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8F" w:rsidRDefault="004A598F" w:rsidP="00371B8A">
      <w:pPr>
        <w:pStyle w:val="Header"/>
        <w:jc w:val="center"/>
        <w:rPr>
          <w:rFonts w:ascii="Cambria" w:hAnsi="Cambria"/>
          <w:b/>
          <w:szCs w:val="20"/>
          <w:lang w:val="es-ES"/>
        </w:rPr>
      </w:pPr>
    </w:p>
    <w:p w:rsidR="00371B8A" w:rsidRPr="004A598F" w:rsidRDefault="004A598F" w:rsidP="00371B8A">
      <w:pPr>
        <w:pStyle w:val="Header"/>
        <w:jc w:val="center"/>
        <w:rPr>
          <w:rFonts w:ascii="Cambria" w:hAnsi="Cambria"/>
          <w:szCs w:val="20"/>
          <w:lang w:val="es-ES"/>
        </w:rPr>
      </w:pPr>
      <w:r w:rsidRPr="004A598F">
        <w:rPr>
          <w:rFonts w:ascii="Cambria" w:hAnsi="Cambria"/>
          <w:b/>
          <w:szCs w:val="20"/>
          <w:lang w:val="es-ES"/>
        </w:rPr>
        <w:t>FICHA DE SEGUIMIENTO DEL INFORME Nº 55/02</w:t>
      </w:r>
    </w:p>
    <w:p w:rsidR="00371B8A" w:rsidRPr="004A598F" w:rsidRDefault="004A598F" w:rsidP="00371B8A">
      <w:pPr>
        <w:spacing w:after="0" w:line="240" w:lineRule="auto"/>
        <w:jc w:val="center"/>
        <w:rPr>
          <w:rFonts w:ascii="Cambria" w:hAnsi="Cambria"/>
          <w:b/>
          <w:szCs w:val="20"/>
          <w:lang w:val="es-ES"/>
        </w:rPr>
      </w:pPr>
      <w:r w:rsidRPr="004A598F">
        <w:rPr>
          <w:rFonts w:ascii="Cambria" w:hAnsi="Cambria"/>
          <w:b/>
          <w:szCs w:val="20"/>
          <w:lang w:val="es-ES"/>
        </w:rPr>
        <w:t>CASO 11.765</w:t>
      </w:r>
    </w:p>
    <w:p w:rsidR="00371B8A" w:rsidRPr="004A598F" w:rsidRDefault="004A598F" w:rsidP="00371B8A">
      <w:pPr>
        <w:spacing w:after="0" w:line="240" w:lineRule="auto"/>
        <w:jc w:val="center"/>
        <w:rPr>
          <w:rFonts w:ascii="Cambria" w:hAnsi="Cambria"/>
          <w:b/>
          <w:szCs w:val="20"/>
          <w:lang w:val="es-ES"/>
        </w:rPr>
      </w:pPr>
      <w:r w:rsidRPr="004A598F">
        <w:rPr>
          <w:rFonts w:ascii="Cambria" w:hAnsi="Cambria"/>
          <w:b/>
          <w:szCs w:val="20"/>
          <w:lang w:val="es-ES"/>
        </w:rPr>
        <w:t>PAUL LALLION</w:t>
      </w:r>
    </w:p>
    <w:p w:rsidR="00371B8A" w:rsidRPr="004A598F" w:rsidRDefault="00371B8A" w:rsidP="00371B8A">
      <w:pPr>
        <w:spacing w:after="0" w:line="240" w:lineRule="auto"/>
        <w:jc w:val="center"/>
        <w:rPr>
          <w:rFonts w:ascii="Cambria" w:hAnsi="Cambria"/>
          <w:b/>
          <w:szCs w:val="20"/>
          <w:lang w:val="es-ES"/>
        </w:rPr>
      </w:pPr>
      <w:r w:rsidRPr="004A598F">
        <w:rPr>
          <w:rFonts w:ascii="Cambria" w:hAnsi="Cambria"/>
          <w:b/>
          <w:szCs w:val="20"/>
          <w:lang w:val="es-ES"/>
        </w:rPr>
        <w:t>(Granada)</w:t>
      </w:r>
    </w:p>
    <w:p w:rsidR="00371B8A" w:rsidRPr="002367BA" w:rsidRDefault="00371B8A" w:rsidP="00371B8A">
      <w:pPr>
        <w:spacing w:after="0" w:line="240" w:lineRule="auto"/>
        <w:jc w:val="both"/>
        <w:rPr>
          <w:rFonts w:ascii="Cambria" w:hAnsi="Cambria"/>
          <w:sz w:val="20"/>
          <w:szCs w:val="20"/>
          <w:lang w:val="es-ES"/>
        </w:rPr>
      </w:pPr>
    </w:p>
    <w:p w:rsidR="00371B8A" w:rsidRPr="002367BA" w:rsidRDefault="00371B8A" w:rsidP="00C76DA2">
      <w:pPr>
        <w:numPr>
          <w:ilvl w:val="0"/>
          <w:numId w:val="1"/>
        </w:numPr>
        <w:spacing w:after="0" w:line="240" w:lineRule="auto"/>
        <w:ind w:left="1440"/>
        <w:rPr>
          <w:rFonts w:ascii="Cambria" w:hAnsi="Cambria" w:cs="Calibri Light"/>
          <w:b/>
          <w:sz w:val="20"/>
          <w:szCs w:val="20"/>
          <w:lang w:val="es-ES"/>
        </w:rPr>
      </w:pPr>
      <w:r w:rsidRPr="002367BA">
        <w:rPr>
          <w:rFonts w:ascii="Cambria" w:hAnsi="Cambria" w:cs="Calibri Light"/>
          <w:b/>
          <w:sz w:val="20"/>
          <w:szCs w:val="20"/>
          <w:lang w:val="es-ES"/>
        </w:rPr>
        <w:t xml:space="preserve">Resumen del caso </w:t>
      </w:r>
    </w:p>
    <w:p w:rsidR="00371B8A" w:rsidRPr="002367BA" w:rsidRDefault="00371B8A" w:rsidP="00371B8A">
      <w:pPr>
        <w:spacing w:after="0" w:line="240" w:lineRule="auto"/>
        <w:ind w:left="1080"/>
        <w:jc w:val="both"/>
        <w:rPr>
          <w:rFonts w:ascii="Cambria" w:hAnsi="Cambria" w:cs="Calibri Light"/>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76"/>
      </w:tblGrid>
      <w:tr w:rsidR="002367BA" w:rsidRPr="00AA23AC" w:rsidTr="002005E0">
        <w:trPr>
          <w:jc w:val="center"/>
        </w:trPr>
        <w:tc>
          <w:tcPr>
            <w:tcW w:w="9576" w:type="dxa"/>
            <w:shd w:val="clear" w:color="auto" w:fill="F2F2F2"/>
          </w:tcPr>
          <w:p w:rsidR="00371B8A" w:rsidRPr="002367BA" w:rsidRDefault="00371B8A" w:rsidP="00C76DA2">
            <w:pPr>
              <w:spacing w:before="120" w:after="0" w:line="240" w:lineRule="auto"/>
              <w:jc w:val="both"/>
              <w:rPr>
                <w:rFonts w:ascii="Cambria" w:hAnsi="Cambria"/>
                <w:b/>
                <w:sz w:val="20"/>
                <w:szCs w:val="20"/>
                <w:lang w:val="es-ES"/>
              </w:rPr>
            </w:pPr>
            <w:r w:rsidRPr="002367BA">
              <w:rPr>
                <w:rFonts w:ascii="Cambria" w:hAnsi="Cambria"/>
                <w:b/>
                <w:sz w:val="20"/>
                <w:szCs w:val="20"/>
                <w:lang w:val="es-ES"/>
              </w:rPr>
              <w:t xml:space="preserve">Víctima (s): </w:t>
            </w:r>
            <w:r w:rsidRPr="002367BA">
              <w:rPr>
                <w:rFonts w:ascii="Cambria" w:hAnsi="Cambria"/>
                <w:sz w:val="20"/>
                <w:szCs w:val="20"/>
                <w:lang w:val="es-ES"/>
              </w:rPr>
              <w:t xml:space="preserve">Paul Lallion </w:t>
            </w:r>
          </w:p>
          <w:p w:rsidR="00371B8A" w:rsidRPr="00B51083" w:rsidRDefault="00371B8A" w:rsidP="002005E0">
            <w:pPr>
              <w:spacing w:after="0" w:line="240" w:lineRule="auto"/>
              <w:jc w:val="both"/>
              <w:rPr>
                <w:rFonts w:ascii="Cambria" w:hAnsi="Cambria"/>
                <w:b/>
                <w:sz w:val="20"/>
                <w:szCs w:val="20"/>
              </w:rPr>
            </w:pPr>
            <w:r w:rsidRPr="00B51083">
              <w:rPr>
                <w:rFonts w:ascii="Cambria" w:hAnsi="Cambria"/>
                <w:b/>
                <w:sz w:val="20"/>
                <w:szCs w:val="20"/>
              </w:rPr>
              <w:t>Peticionario (s):</w:t>
            </w:r>
            <w:r w:rsidRPr="00B51083">
              <w:rPr>
                <w:rFonts w:ascii="Cambria" w:hAnsi="Cambria"/>
                <w:sz w:val="20"/>
                <w:szCs w:val="20"/>
              </w:rPr>
              <w:t xml:space="preserve"> Saul Lehrfreund (The Death Penalty Project) </w:t>
            </w:r>
          </w:p>
          <w:p w:rsidR="00371B8A" w:rsidRPr="002367BA" w:rsidRDefault="00371B8A" w:rsidP="002005E0">
            <w:pPr>
              <w:spacing w:after="0" w:line="240" w:lineRule="auto"/>
              <w:jc w:val="both"/>
              <w:rPr>
                <w:rFonts w:ascii="Cambria" w:hAnsi="Cambria"/>
                <w:sz w:val="20"/>
                <w:szCs w:val="20"/>
                <w:lang w:val="es-ES"/>
              </w:rPr>
            </w:pPr>
            <w:r w:rsidRPr="002367BA">
              <w:rPr>
                <w:rFonts w:ascii="Cambria" w:hAnsi="Cambria"/>
                <w:b/>
                <w:sz w:val="20"/>
                <w:szCs w:val="20"/>
                <w:lang w:val="es-ES"/>
              </w:rPr>
              <w:t xml:space="preserve">Estado: </w:t>
            </w:r>
            <w:r w:rsidRPr="002367BA">
              <w:rPr>
                <w:rFonts w:ascii="Cambria" w:hAnsi="Cambria"/>
                <w:sz w:val="20"/>
                <w:szCs w:val="20"/>
                <w:lang w:val="es-ES"/>
              </w:rPr>
              <w:t>Granada</w:t>
            </w:r>
          </w:p>
          <w:p w:rsidR="00371B8A" w:rsidRPr="002367BA" w:rsidRDefault="00C76DA2" w:rsidP="002005E0">
            <w:pPr>
              <w:spacing w:after="0" w:line="240" w:lineRule="auto"/>
              <w:jc w:val="both"/>
              <w:rPr>
                <w:rFonts w:ascii="Cambria" w:hAnsi="Cambria"/>
                <w:sz w:val="20"/>
                <w:szCs w:val="20"/>
                <w:lang w:val="es-ES"/>
              </w:rPr>
            </w:pPr>
            <w:r>
              <w:rPr>
                <w:rFonts w:ascii="Cambria" w:hAnsi="Cambria"/>
                <w:b/>
                <w:sz w:val="20"/>
                <w:szCs w:val="20"/>
                <w:lang w:val="es-ES"/>
              </w:rPr>
              <w:t>Informe de Fondo Nº</w:t>
            </w:r>
            <w:r w:rsidR="00371B8A" w:rsidRPr="002367BA">
              <w:rPr>
                <w:rFonts w:ascii="Cambria" w:hAnsi="Cambria"/>
                <w:b/>
                <w:sz w:val="20"/>
                <w:szCs w:val="20"/>
                <w:lang w:val="es-ES"/>
              </w:rPr>
              <w:t xml:space="preserve">: </w:t>
            </w:r>
            <w:hyperlink r:id="rId8" w:history="1">
              <w:r w:rsidR="00371B8A" w:rsidRPr="002367BA">
                <w:rPr>
                  <w:rStyle w:val="Hyperlink"/>
                  <w:rFonts w:ascii="Cambria" w:hAnsi="Cambria"/>
                  <w:color w:val="auto"/>
                  <w:sz w:val="20"/>
                  <w:szCs w:val="20"/>
                  <w:lang w:val="es-ES"/>
                </w:rPr>
                <w:t>55/02</w:t>
              </w:r>
            </w:hyperlink>
            <w:r w:rsidR="00371B8A" w:rsidRPr="002367BA">
              <w:rPr>
                <w:rFonts w:ascii="Cambria" w:hAnsi="Cambria"/>
                <w:sz w:val="20"/>
                <w:szCs w:val="20"/>
                <w:lang w:val="es-ES"/>
              </w:rPr>
              <w:t>, publicado el 21 de octubre de 2002</w:t>
            </w:r>
          </w:p>
          <w:p w:rsidR="00371B8A" w:rsidRPr="002367BA" w:rsidRDefault="00C76DA2" w:rsidP="002005E0">
            <w:pPr>
              <w:spacing w:after="0" w:line="240" w:lineRule="auto"/>
              <w:jc w:val="both"/>
              <w:rPr>
                <w:rFonts w:ascii="Cambria" w:hAnsi="Cambria"/>
                <w:sz w:val="20"/>
                <w:szCs w:val="20"/>
                <w:lang w:val="es-ES"/>
              </w:rPr>
            </w:pPr>
            <w:r>
              <w:rPr>
                <w:rFonts w:ascii="Cambria" w:hAnsi="Cambria"/>
                <w:b/>
                <w:sz w:val="20"/>
                <w:szCs w:val="20"/>
                <w:lang w:val="es-ES"/>
              </w:rPr>
              <w:t>Informe de Admisibilidad Nº</w:t>
            </w:r>
            <w:r w:rsidR="00371B8A" w:rsidRPr="002367BA">
              <w:rPr>
                <w:rFonts w:ascii="Cambria" w:hAnsi="Cambria"/>
                <w:b/>
                <w:sz w:val="20"/>
                <w:szCs w:val="20"/>
                <w:lang w:val="es-ES"/>
              </w:rPr>
              <w:t xml:space="preserve">: </w:t>
            </w:r>
            <w:hyperlink r:id="rId9" w:history="1">
              <w:r w:rsidR="00371B8A" w:rsidRPr="002367BA">
                <w:rPr>
                  <w:rStyle w:val="Hyperlink"/>
                  <w:rFonts w:ascii="Cambria" w:hAnsi="Cambria"/>
                  <w:color w:val="auto"/>
                  <w:sz w:val="20"/>
                  <w:szCs w:val="20"/>
                  <w:lang w:val="es-ES"/>
                </w:rPr>
                <w:t>124/99</w:t>
              </w:r>
            </w:hyperlink>
            <w:r w:rsidR="00371B8A" w:rsidRPr="002367BA">
              <w:rPr>
                <w:rFonts w:ascii="Cambria" w:hAnsi="Cambria"/>
                <w:sz w:val="20"/>
                <w:szCs w:val="20"/>
                <w:lang w:val="es-ES"/>
              </w:rPr>
              <w:t>, publicado el 27 de septiembre 1999</w:t>
            </w:r>
          </w:p>
          <w:p w:rsidR="00371B8A" w:rsidRPr="002367BA" w:rsidRDefault="00371B8A" w:rsidP="008F33BF">
            <w:pPr>
              <w:spacing w:after="120" w:line="240" w:lineRule="auto"/>
              <w:jc w:val="both"/>
              <w:rPr>
                <w:rFonts w:ascii="Cambria" w:hAnsi="Cambria"/>
                <w:b/>
                <w:sz w:val="20"/>
                <w:szCs w:val="20"/>
                <w:lang w:val="es-ES"/>
              </w:rPr>
            </w:pPr>
            <w:r w:rsidRPr="002367BA">
              <w:rPr>
                <w:rFonts w:ascii="Cambria" w:hAnsi="Cambria"/>
                <w:b/>
                <w:sz w:val="20"/>
                <w:szCs w:val="20"/>
                <w:lang w:val="es-ES"/>
              </w:rPr>
              <w:t xml:space="preserve">Temas: </w:t>
            </w:r>
            <w:r w:rsidR="00411990" w:rsidRPr="002367BA">
              <w:rPr>
                <w:rFonts w:ascii="Cambria" w:hAnsi="Cambria"/>
                <w:sz w:val="20"/>
                <w:szCs w:val="20"/>
                <w:lang w:val="es-ES"/>
              </w:rPr>
              <w:t xml:space="preserve">Condiciones de detención / Debido proceso legal / Garantías judiciales y protección judicial / Integridad personal / Libertad personal / Pena de muerte / </w:t>
            </w:r>
            <w:r w:rsidR="00411990" w:rsidRPr="002367BA">
              <w:rPr>
                <w:rFonts w:ascii="Cambria" w:hAnsi="Cambria" w:cs="Calibri"/>
                <w:sz w:val="20"/>
                <w:szCs w:val="20"/>
                <w:lang w:val="es-ES"/>
              </w:rPr>
              <w:t>Personas Privadas de Libertad</w:t>
            </w:r>
            <w:r w:rsidR="00411990" w:rsidRPr="002367BA">
              <w:rPr>
                <w:rFonts w:ascii="Cambria" w:hAnsi="Cambria"/>
                <w:sz w:val="20"/>
                <w:szCs w:val="20"/>
                <w:lang w:val="es-ES"/>
              </w:rPr>
              <w:t xml:space="preserve"> / </w:t>
            </w:r>
            <w:r w:rsidRPr="002367BA">
              <w:rPr>
                <w:rFonts w:ascii="Cambria" w:hAnsi="Cambria"/>
                <w:sz w:val="20"/>
                <w:szCs w:val="20"/>
                <w:lang w:val="es-ES"/>
              </w:rPr>
              <w:t xml:space="preserve">Tratos o penas crueles, inhumanos y/o degradantes </w:t>
            </w:r>
          </w:p>
          <w:p w:rsidR="00371B8A" w:rsidRPr="002367BA" w:rsidRDefault="00371B8A" w:rsidP="008F33BF">
            <w:pPr>
              <w:spacing w:after="120" w:line="240" w:lineRule="auto"/>
              <w:jc w:val="both"/>
              <w:rPr>
                <w:rFonts w:ascii="Cambria" w:hAnsi="Cambria"/>
                <w:b/>
                <w:sz w:val="20"/>
                <w:szCs w:val="20"/>
                <w:lang w:val="es-ES"/>
              </w:rPr>
            </w:pPr>
            <w:r w:rsidRPr="002367BA">
              <w:rPr>
                <w:rFonts w:ascii="Cambria" w:hAnsi="Cambria"/>
                <w:b/>
                <w:sz w:val="20"/>
                <w:szCs w:val="20"/>
                <w:lang w:val="es-ES"/>
              </w:rPr>
              <w:t xml:space="preserve">Hechos: </w:t>
            </w:r>
            <w:r w:rsidR="004C7496" w:rsidRPr="002367BA">
              <w:rPr>
                <w:rFonts w:ascii="Cambria" w:hAnsi="Cambria"/>
                <w:sz w:val="20"/>
                <w:szCs w:val="20"/>
                <w:lang w:val="es-ES"/>
              </w:rPr>
              <w:t>Este caso se refiere a Paul Lallion, quien fue declarado culpable de asesinato de conformidad con el artículo 234 del Código Penal de Granada (ahora artículo 230) y que fue condenado a una pena de muerte obligatoria en la horca el 19 de diciembre de 1994. La aplicación obligatoria de la pena de muerte en el caso del Sr. Lallion significó que no se le dio la oportunidad de presentar factores atenuantes en el contexto de la sentencia, ni se permitió al Tribunal considerar pruebas de esta naturaleza para determinar si la pena de muerte era un castigo apropiado en su caso. En el momento de la publicación del informe de fondo, el Sr. Lallion estaba a la espera de ejecución en la cárcel de Richmond Hill, en Granada, donde se encontraba recluido en régimen de aislamiento con condiciones inadecuadas de higiene, ventilación e iluminación natural.</w:t>
            </w:r>
          </w:p>
          <w:p w:rsidR="00371B8A" w:rsidRPr="002367BA" w:rsidRDefault="00371B8A" w:rsidP="00C76DA2">
            <w:pPr>
              <w:spacing w:after="120" w:line="240" w:lineRule="auto"/>
              <w:jc w:val="both"/>
              <w:rPr>
                <w:rFonts w:ascii="Cambria" w:hAnsi="Cambria"/>
                <w:sz w:val="20"/>
                <w:szCs w:val="20"/>
                <w:lang w:val="es-ES"/>
              </w:rPr>
            </w:pPr>
            <w:r w:rsidRPr="002367BA">
              <w:rPr>
                <w:rFonts w:ascii="Cambria" w:hAnsi="Cambria"/>
                <w:b/>
                <w:sz w:val="20"/>
                <w:szCs w:val="20"/>
                <w:lang w:val="es-ES"/>
              </w:rPr>
              <w:t xml:space="preserve">Derechos violados: </w:t>
            </w:r>
            <w:r w:rsidRPr="002367BA">
              <w:rPr>
                <w:rFonts w:ascii="Cambria" w:hAnsi="Cambria"/>
                <w:sz w:val="20"/>
                <w:szCs w:val="20"/>
                <w:lang w:val="es-ES"/>
              </w:rPr>
              <w:t>La CIDH concluyó que el Estado de Granada era responsable de: a) la violación de los derechos del señor Lallion consagrados en los artículos 4(1), 5(1) 5(2) y 8(1), conjuntamente con la violación del artículo 1(1) de la Convención Americana, por sentenciar al señor Lallion a una pena de muerte obligatoria; b) la violación de los derechos del señor Lallion consagrados en el artículo 4(6) de la Convención, conjuntamente con la violación del artículo 1(1) de la misma, por no brindar al señor Lallion un derecho efectivo de solicitar la amnistía, el indulto o la conmutación de la sentencia; c) la violación de los derechos del señor Lallion consagrados en el artículo 5(1) de la Convención Americana, conjuntamente con la violación del artículo 1(1) de la misma, por no respetar el derecho del señor Lallion a la integridad física, mental y moral, por confinarlo en condiciones de detención inhumanas; y d) la violación de los derechos del señor Lallion consagrados en los artículos 8 y 25 de la Convención, conjuntamente con la violación del artículo 1(1) de la misma, por no otorgar asistencia letrada para iniciar una acción constitucional, y e) la violación del derecho del señor Lallion a la libertad personal, dispuesto en el artículo 7(2), 7(4) y 7(5) de la Convención, conjuntamente con la violación del artículo 1(1) de la misma, por no proteger su derecho a la libertad personal y no ser llevado sin demora ante un funcionario judicial.</w:t>
            </w:r>
          </w:p>
        </w:tc>
      </w:tr>
    </w:tbl>
    <w:p w:rsidR="00371B8A" w:rsidRPr="002367BA" w:rsidRDefault="00371B8A" w:rsidP="00371B8A">
      <w:pPr>
        <w:spacing w:after="0" w:line="240" w:lineRule="auto"/>
        <w:ind w:left="180"/>
        <w:jc w:val="both"/>
        <w:rPr>
          <w:rFonts w:ascii="Cambria" w:hAnsi="Cambria"/>
          <w:sz w:val="20"/>
          <w:szCs w:val="20"/>
          <w:lang w:val="es-ES"/>
        </w:rPr>
      </w:pPr>
    </w:p>
    <w:p w:rsidR="00371B8A" w:rsidRPr="002367BA" w:rsidRDefault="00371B8A" w:rsidP="00C76DA2">
      <w:pPr>
        <w:numPr>
          <w:ilvl w:val="0"/>
          <w:numId w:val="1"/>
        </w:numPr>
        <w:spacing w:after="0" w:line="240" w:lineRule="auto"/>
        <w:ind w:left="1440"/>
        <w:jc w:val="both"/>
        <w:rPr>
          <w:rFonts w:ascii="Cambria" w:hAnsi="Cambria" w:cs="Calibri Light"/>
          <w:b/>
          <w:sz w:val="20"/>
          <w:szCs w:val="20"/>
          <w:lang w:val="es-ES"/>
        </w:rPr>
      </w:pPr>
      <w:r w:rsidRPr="002367BA">
        <w:rPr>
          <w:rFonts w:ascii="Cambria" w:hAnsi="Cambria" w:cs="Calibri Light"/>
          <w:b/>
          <w:sz w:val="20"/>
          <w:szCs w:val="20"/>
          <w:lang w:val="es-ES"/>
        </w:rPr>
        <w:t>Recomendaciones</w:t>
      </w:r>
    </w:p>
    <w:p w:rsidR="00371B8A" w:rsidRPr="002367BA" w:rsidRDefault="00371B8A" w:rsidP="00371B8A">
      <w:pPr>
        <w:spacing w:after="0" w:line="240" w:lineRule="auto"/>
        <w:ind w:left="1080"/>
        <w:jc w:val="both"/>
        <w:rPr>
          <w:rFonts w:ascii="Cambria" w:hAnsi="Cambria" w:cs="Calibri Light"/>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250"/>
      </w:tblGrid>
      <w:tr w:rsidR="002367BA" w:rsidRPr="00AA23AC" w:rsidTr="00B51083">
        <w:tc>
          <w:tcPr>
            <w:tcW w:w="7290" w:type="dxa"/>
            <w:shd w:val="clear" w:color="auto" w:fill="auto"/>
            <w:vAlign w:val="center"/>
          </w:tcPr>
          <w:p w:rsidR="00371B8A" w:rsidRPr="002367BA" w:rsidRDefault="00371B8A" w:rsidP="00411990">
            <w:pPr>
              <w:spacing w:after="0" w:line="240" w:lineRule="auto"/>
              <w:jc w:val="center"/>
              <w:rPr>
                <w:rFonts w:ascii="Cambria" w:hAnsi="Cambria" w:cs="Calibri Light"/>
                <w:b/>
                <w:sz w:val="18"/>
                <w:szCs w:val="18"/>
                <w:lang w:val="es-ES"/>
              </w:rPr>
            </w:pPr>
            <w:r w:rsidRPr="002367BA">
              <w:rPr>
                <w:rFonts w:ascii="Cambria" w:hAnsi="Cambria" w:cs="Calibri Light"/>
                <w:b/>
                <w:sz w:val="18"/>
                <w:szCs w:val="18"/>
                <w:lang w:val="es-ES"/>
              </w:rPr>
              <w:t>Recomendaciones</w:t>
            </w:r>
          </w:p>
        </w:tc>
        <w:tc>
          <w:tcPr>
            <w:tcW w:w="2250" w:type="dxa"/>
            <w:shd w:val="clear" w:color="auto" w:fill="auto"/>
            <w:vAlign w:val="center"/>
          </w:tcPr>
          <w:p w:rsidR="00371B8A" w:rsidRPr="002367BA" w:rsidRDefault="00371B8A" w:rsidP="00411990">
            <w:pPr>
              <w:spacing w:after="0" w:line="240" w:lineRule="auto"/>
              <w:jc w:val="center"/>
              <w:rPr>
                <w:rFonts w:ascii="Cambria" w:hAnsi="Cambria" w:cs="Calibri Light"/>
                <w:b/>
                <w:sz w:val="18"/>
                <w:szCs w:val="18"/>
                <w:lang w:val="es-ES"/>
              </w:rPr>
            </w:pPr>
            <w:r w:rsidRPr="002367BA">
              <w:rPr>
                <w:rFonts w:ascii="Cambria" w:hAnsi="Cambria" w:cs="Calibri Light"/>
                <w:b/>
                <w:sz w:val="18"/>
                <w:szCs w:val="18"/>
                <w:lang w:val="es-ES"/>
              </w:rPr>
              <w:t>Estado de cumplimiento en el 2018</w:t>
            </w:r>
          </w:p>
        </w:tc>
      </w:tr>
      <w:tr w:rsidR="002367BA" w:rsidRPr="002367BA" w:rsidTr="00B51083">
        <w:tc>
          <w:tcPr>
            <w:tcW w:w="7290" w:type="dxa"/>
            <w:shd w:val="clear" w:color="auto" w:fill="auto"/>
          </w:tcPr>
          <w:p w:rsidR="00371B8A" w:rsidRPr="002367BA" w:rsidRDefault="00371B8A" w:rsidP="002005E0">
            <w:pPr>
              <w:spacing w:after="0" w:line="240" w:lineRule="auto"/>
              <w:jc w:val="both"/>
              <w:rPr>
                <w:rFonts w:ascii="Cambria" w:hAnsi="Cambria"/>
                <w:sz w:val="18"/>
                <w:szCs w:val="18"/>
                <w:lang w:val="es-ES"/>
              </w:rPr>
            </w:pPr>
            <w:r w:rsidRPr="002367BA">
              <w:rPr>
                <w:rFonts w:ascii="Cambria" w:hAnsi="Cambria"/>
                <w:sz w:val="18"/>
                <w:szCs w:val="18"/>
                <w:lang w:val="es-ES"/>
              </w:rPr>
              <w:t>1. Otorgue al Sr. Lallion una reparación efectiva que incluya la conmutación de la sentencia y una indemnización.</w:t>
            </w:r>
          </w:p>
        </w:tc>
        <w:tc>
          <w:tcPr>
            <w:tcW w:w="2250" w:type="dxa"/>
            <w:shd w:val="clear" w:color="auto" w:fill="auto"/>
            <w:vAlign w:val="center"/>
          </w:tcPr>
          <w:p w:rsidR="00371B8A" w:rsidRPr="002367BA" w:rsidRDefault="00371B8A" w:rsidP="002005E0">
            <w:pPr>
              <w:spacing w:after="0" w:line="240" w:lineRule="auto"/>
              <w:jc w:val="center"/>
              <w:rPr>
                <w:rFonts w:ascii="Cambria" w:hAnsi="Cambria" w:cs="Calibri Light"/>
                <w:b/>
                <w:sz w:val="18"/>
                <w:szCs w:val="18"/>
                <w:highlight w:val="yellow"/>
                <w:lang w:val="es-ES"/>
              </w:rPr>
            </w:pPr>
            <w:r w:rsidRPr="002367BA">
              <w:rPr>
                <w:rFonts w:ascii="Cambria" w:hAnsi="Cambria"/>
                <w:sz w:val="18"/>
                <w:szCs w:val="18"/>
                <w:lang w:val="es-ES"/>
              </w:rPr>
              <w:t>Cumplimiento parcial</w:t>
            </w:r>
          </w:p>
        </w:tc>
      </w:tr>
      <w:tr w:rsidR="002367BA" w:rsidRPr="002367BA" w:rsidTr="00B51083">
        <w:tc>
          <w:tcPr>
            <w:tcW w:w="7290" w:type="dxa"/>
            <w:shd w:val="clear" w:color="auto" w:fill="auto"/>
          </w:tcPr>
          <w:p w:rsidR="00371B8A" w:rsidRPr="002367BA" w:rsidRDefault="002367BA" w:rsidP="002005E0">
            <w:pPr>
              <w:spacing w:after="0" w:line="240" w:lineRule="auto"/>
              <w:jc w:val="both"/>
              <w:rPr>
                <w:rFonts w:ascii="Cambria" w:hAnsi="Cambria"/>
                <w:sz w:val="18"/>
                <w:szCs w:val="18"/>
                <w:lang w:val="es-ES"/>
              </w:rPr>
            </w:pPr>
            <w:r w:rsidRPr="002367BA">
              <w:rPr>
                <w:rFonts w:ascii="Cambria" w:hAnsi="Cambria"/>
                <w:sz w:val="18"/>
                <w:szCs w:val="18"/>
                <w:lang w:val="es-ES"/>
              </w:rPr>
              <w:t>2. Adopte las medidas legislativas y de otra índole que considere necesarias para garantizar que no se imponga la pena de muerte en violación de los derechos y libertades garantizados por la Convención, incluidos los artículos 4, 5 y 8, y, en particular, garantice que ninguna persona sea sentenciada a muerte por sentencia obligatoria en Granada.</w:t>
            </w:r>
          </w:p>
        </w:tc>
        <w:tc>
          <w:tcPr>
            <w:tcW w:w="2250" w:type="dxa"/>
            <w:shd w:val="clear" w:color="auto" w:fill="auto"/>
            <w:vAlign w:val="center"/>
          </w:tcPr>
          <w:p w:rsidR="00371B8A" w:rsidRPr="002367BA" w:rsidRDefault="00371B8A" w:rsidP="002005E0">
            <w:pPr>
              <w:spacing w:after="0" w:line="240" w:lineRule="auto"/>
              <w:jc w:val="center"/>
              <w:rPr>
                <w:rFonts w:ascii="Cambria" w:hAnsi="Cambria" w:cs="Calibri Light"/>
                <w:b/>
                <w:sz w:val="18"/>
                <w:szCs w:val="18"/>
                <w:highlight w:val="yellow"/>
                <w:lang w:val="es-ES"/>
              </w:rPr>
            </w:pPr>
            <w:r w:rsidRPr="002367BA">
              <w:rPr>
                <w:rFonts w:ascii="Cambria" w:hAnsi="Cambria"/>
                <w:sz w:val="18"/>
                <w:szCs w:val="18"/>
                <w:lang w:val="es-ES"/>
              </w:rPr>
              <w:t>Cumplimiento parcial</w:t>
            </w:r>
          </w:p>
        </w:tc>
      </w:tr>
      <w:tr w:rsidR="002367BA" w:rsidRPr="002367BA" w:rsidTr="00B51083">
        <w:tc>
          <w:tcPr>
            <w:tcW w:w="7290" w:type="dxa"/>
            <w:shd w:val="clear" w:color="auto" w:fill="auto"/>
          </w:tcPr>
          <w:p w:rsidR="00371B8A" w:rsidRPr="002367BA" w:rsidRDefault="00371B8A" w:rsidP="002005E0">
            <w:pPr>
              <w:spacing w:after="0" w:line="240" w:lineRule="auto"/>
              <w:jc w:val="both"/>
              <w:rPr>
                <w:rFonts w:ascii="Cambria" w:hAnsi="Cambria" w:cs="Calibri Light"/>
                <w:sz w:val="18"/>
                <w:szCs w:val="18"/>
                <w:lang w:val="es-ES"/>
              </w:rPr>
            </w:pPr>
            <w:r w:rsidRPr="002367BA">
              <w:rPr>
                <w:rFonts w:ascii="Cambria" w:hAnsi="Cambria"/>
                <w:sz w:val="18"/>
                <w:szCs w:val="18"/>
                <w:lang w:val="es-ES"/>
              </w:rPr>
              <w:t>3. Adopte las medidas legislativas y de otra índole que sean necesarias para garantizar la efectividad en Granada del derecho consagrado en el artículo 4(6) de la Convención Americana a solicitar la amnistía, el indulto o la conmutación de la sentencia.</w:t>
            </w:r>
          </w:p>
        </w:tc>
        <w:tc>
          <w:tcPr>
            <w:tcW w:w="2250" w:type="dxa"/>
            <w:shd w:val="clear" w:color="auto" w:fill="auto"/>
            <w:vAlign w:val="center"/>
          </w:tcPr>
          <w:p w:rsidR="00371B8A" w:rsidRPr="002367BA" w:rsidRDefault="00371B8A" w:rsidP="002005E0">
            <w:pPr>
              <w:spacing w:after="0" w:line="240" w:lineRule="auto"/>
              <w:jc w:val="center"/>
              <w:rPr>
                <w:rFonts w:ascii="Cambria" w:hAnsi="Cambria" w:cs="Calibri Light"/>
                <w:b/>
                <w:sz w:val="18"/>
                <w:szCs w:val="18"/>
                <w:highlight w:val="yellow"/>
                <w:lang w:val="es-ES"/>
              </w:rPr>
            </w:pPr>
            <w:r w:rsidRPr="002367BA">
              <w:rPr>
                <w:rFonts w:ascii="Cambria" w:hAnsi="Cambria"/>
                <w:sz w:val="18"/>
                <w:szCs w:val="18"/>
                <w:lang w:val="es-ES"/>
              </w:rPr>
              <w:t>Cumplimiento parcial</w:t>
            </w:r>
          </w:p>
        </w:tc>
      </w:tr>
      <w:tr w:rsidR="002367BA" w:rsidRPr="002367BA" w:rsidTr="00B51083">
        <w:tc>
          <w:tcPr>
            <w:tcW w:w="7290" w:type="dxa"/>
            <w:shd w:val="clear" w:color="auto" w:fill="auto"/>
          </w:tcPr>
          <w:p w:rsidR="00371B8A" w:rsidRPr="002367BA" w:rsidRDefault="00371B8A" w:rsidP="002005E0">
            <w:pPr>
              <w:spacing w:after="0" w:line="240" w:lineRule="auto"/>
              <w:jc w:val="both"/>
              <w:rPr>
                <w:rFonts w:ascii="Cambria" w:hAnsi="Cambria"/>
                <w:sz w:val="18"/>
                <w:szCs w:val="18"/>
                <w:lang w:val="es-ES"/>
              </w:rPr>
            </w:pPr>
            <w:r w:rsidRPr="002367BA">
              <w:rPr>
                <w:rFonts w:ascii="Cambria" w:hAnsi="Cambria"/>
                <w:sz w:val="18"/>
                <w:szCs w:val="18"/>
                <w:lang w:val="es-ES"/>
              </w:rPr>
              <w:lastRenderedPageBreak/>
              <w:t>4. Adopte las medidas legislativas y de otra índole que sean necesarias para garantizar la efectividad en Granada del derecho a un juicio imparcial consagrado en el artículo 8(1) de la Convención Americana y el derecho a la protección judicial consagrado en el artículo 25 de la Convención Americana tengan efecto en Granada en relación con el recurso a acciones constitucionales.</w:t>
            </w:r>
          </w:p>
        </w:tc>
        <w:tc>
          <w:tcPr>
            <w:tcW w:w="2250" w:type="dxa"/>
            <w:shd w:val="clear" w:color="auto" w:fill="auto"/>
            <w:vAlign w:val="center"/>
          </w:tcPr>
          <w:p w:rsidR="00371B8A" w:rsidRPr="002367BA" w:rsidRDefault="00371B8A" w:rsidP="002005E0">
            <w:pPr>
              <w:spacing w:after="0" w:line="240" w:lineRule="auto"/>
              <w:jc w:val="center"/>
              <w:rPr>
                <w:rFonts w:ascii="Cambria" w:hAnsi="Cambria" w:cs="Calibri Light"/>
                <w:b/>
                <w:sz w:val="18"/>
                <w:szCs w:val="18"/>
                <w:highlight w:val="yellow"/>
                <w:lang w:val="es-ES"/>
              </w:rPr>
            </w:pPr>
            <w:r w:rsidRPr="002367BA">
              <w:rPr>
                <w:rFonts w:ascii="Cambria" w:hAnsi="Cambria" w:cs="Calibri"/>
                <w:sz w:val="18"/>
                <w:szCs w:val="18"/>
                <w:lang w:val="es-ES"/>
              </w:rPr>
              <w:t>Pendiente de cumplimiento</w:t>
            </w:r>
          </w:p>
        </w:tc>
      </w:tr>
      <w:tr w:rsidR="002367BA" w:rsidRPr="002367BA" w:rsidTr="00B51083">
        <w:tc>
          <w:tcPr>
            <w:tcW w:w="7290" w:type="dxa"/>
            <w:shd w:val="clear" w:color="auto" w:fill="auto"/>
          </w:tcPr>
          <w:p w:rsidR="00371B8A" w:rsidRPr="002367BA" w:rsidRDefault="00371B8A" w:rsidP="002005E0">
            <w:pPr>
              <w:spacing w:after="0" w:line="240" w:lineRule="auto"/>
              <w:jc w:val="both"/>
              <w:rPr>
                <w:rFonts w:ascii="Cambria" w:hAnsi="Cambria"/>
                <w:sz w:val="18"/>
                <w:szCs w:val="18"/>
                <w:lang w:val="es-ES"/>
              </w:rPr>
            </w:pPr>
            <w:r w:rsidRPr="002367BA">
              <w:rPr>
                <w:rFonts w:ascii="Cambria" w:hAnsi="Cambria"/>
                <w:sz w:val="18"/>
                <w:szCs w:val="18"/>
                <w:lang w:val="es-ES"/>
              </w:rPr>
              <w:t>5. Adopte las medidas legislativas y de otra índole que sean necesarias para garantizar la efectividad en Granada del derecho a un trato humano, consagrado en el artículo 5(1)  de la Convención Americana, en relación con las condiciones de detención del Sr. Lallion.</w:t>
            </w:r>
          </w:p>
        </w:tc>
        <w:tc>
          <w:tcPr>
            <w:tcW w:w="2250" w:type="dxa"/>
            <w:shd w:val="clear" w:color="auto" w:fill="auto"/>
            <w:vAlign w:val="center"/>
          </w:tcPr>
          <w:p w:rsidR="00371B8A" w:rsidRPr="002367BA" w:rsidRDefault="00371B8A" w:rsidP="002005E0">
            <w:pPr>
              <w:spacing w:after="0" w:line="240" w:lineRule="auto"/>
              <w:jc w:val="center"/>
              <w:rPr>
                <w:rFonts w:ascii="Cambria" w:hAnsi="Cambria" w:cs="Calibri Light"/>
                <w:b/>
                <w:sz w:val="18"/>
                <w:szCs w:val="18"/>
                <w:highlight w:val="yellow"/>
                <w:lang w:val="es-ES"/>
              </w:rPr>
            </w:pPr>
            <w:r w:rsidRPr="002367BA">
              <w:rPr>
                <w:rFonts w:ascii="Cambria" w:hAnsi="Cambria" w:cs="Calibri"/>
                <w:sz w:val="18"/>
                <w:szCs w:val="18"/>
                <w:lang w:val="es-ES"/>
              </w:rPr>
              <w:t>Pendiente de cumplimiento</w:t>
            </w:r>
          </w:p>
        </w:tc>
      </w:tr>
      <w:tr w:rsidR="00371B8A" w:rsidRPr="002367BA" w:rsidTr="00B51083">
        <w:tc>
          <w:tcPr>
            <w:tcW w:w="7290" w:type="dxa"/>
            <w:shd w:val="clear" w:color="auto" w:fill="auto"/>
          </w:tcPr>
          <w:p w:rsidR="00371B8A" w:rsidRPr="002367BA" w:rsidRDefault="00371B8A" w:rsidP="002005E0">
            <w:pPr>
              <w:spacing w:after="0" w:line="240" w:lineRule="auto"/>
              <w:jc w:val="both"/>
              <w:rPr>
                <w:rFonts w:ascii="Cambria" w:hAnsi="Cambria"/>
                <w:snapToGrid w:val="0"/>
                <w:sz w:val="18"/>
                <w:szCs w:val="18"/>
                <w:lang w:val="es-ES"/>
              </w:rPr>
            </w:pPr>
            <w:r w:rsidRPr="002367BA">
              <w:rPr>
                <w:rFonts w:ascii="Cambria" w:hAnsi="Cambria"/>
                <w:sz w:val="18"/>
                <w:szCs w:val="18"/>
                <w:lang w:val="es-ES"/>
              </w:rPr>
              <w:t>6. Adopte las medidas legislativas y de otra índole que sean necesarias para garantizar la efectividad en Granada del  derecho a la libertad personal consagrado en el artículo 7(2), 7(4) y 7(5) de la Convención Americana respecto del Sr. Lallion.</w:t>
            </w:r>
          </w:p>
        </w:tc>
        <w:tc>
          <w:tcPr>
            <w:tcW w:w="2250" w:type="dxa"/>
            <w:shd w:val="clear" w:color="auto" w:fill="auto"/>
            <w:vAlign w:val="center"/>
          </w:tcPr>
          <w:p w:rsidR="00371B8A" w:rsidRPr="002367BA" w:rsidRDefault="00371B8A" w:rsidP="002005E0">
            <w:pPr>
              <w:spacing w:after="0" w:line="240" w:lineRule="auto"/>
              <w:jc w:val="center"/>
              <w:rPr>
                <w:rFonts w:ascii="Cambria" w:hAnsi="Cambria" w:cs="Calibri Light"/>
                <w:b/>
                <w:sz w:val="18"/>
                <w:szCs w:val="18"/>
                <w:highlight w:val="yellow"/>
                <w:lang w:val="es-ES"/>
              </w:rPr>
            </w:pPr>
            <w:r w:rsidRPr="002367BA">
              <w:rPr>
                <w:rFonts w:ascii="Cambria" w:hAnsi="Cambria" w:cs="Calibri"/>
                <w:sz w:val="18"/>
                <w:szCs w:val="18"/>
                <w:lang w:val="es-ES"/>
              </w:rPr>
              <w:t>Pendiente de cumplimiento</w:t>
            </w:r>
          </w:p>
        </w:tc>
      </w:tr>
    </w:tbl>
    <w:p w:rsidR="00371B8A" w:rsidRPr="002367BA" w:rsidRDefault="00371B8A" w:rsidP="00371B8A">
      <w:pPr>
        <w:spacing w:after="0" w:line="240" w:lineRule="auto"/>
        <w:jc w:val="both"/>
        <w:rPr>
          <w:rFonts w:ascii="Cambria" w:hAnsi="Cambria" w:cs="Calibri Light"/>
          <w:sz w:val="20"/>
          <w:szCs w:val="20"/>
          <w:lang w:val="es-ES"/>
        </w:rPr>
      </w:pPr>
    </w:p>
    <w:p w:rsidR="00371B8A" w:rsidRPr="002367BA" w:rsidRDefault="00371B8A" w:rsidP="00C76DA2">
      <w:pPr>
        <w:pStyle w:val="ListParagraph"/>
        <w:numPr>
          <w:ilvl w:val="0"/>
          <w:numId w:val="1"/>
        </w:numPr>
        <w:spacing w:after="0" w:line="240" w:lineRule="auto"/>
        <w:ind w:left="1440"/>
        <w:jc w:val="both"/>
        <w:rPr>
          <w:rFonts w:ascii="Cambria" w:hAnsi="Cambria" w:cs="Calibri Light"/>
          <w:b/>
          <w:sz w:val="20"/>
          <w:szCs w:val="20"/>
          <w:lang w:val="es-ES"/>
        </w:rPr>
      </w:pPr>
      <w:r w:rsidRPr="002367BA">
        <w:rPr>
          <w:rFonts w:ascii="Cambria" w:hAnsi="Cambria"/>
          <w:b/>
          <w:sz w:val="20"/>
          <w:szCs w:val="20"/>
          <w:lang w:val="es-ES"/>
        </w:rPr>
        <w:t>Actividad Procesal</w:t>
      </w:r>
    </w:p>
    <w:p w:rsidR="00371B8A" w:rsidRPr="002367BA" w:rsidRDefault="00371B8A" w:rsidP="00371B8A">
      <w:pPr>
        <w:spacing w:after="0" w:line="240" w:lineRule="auto"/>
        <w:jc w:val="both"/>
        <w:rPr>
          <w:rFonts w:ascii="Cambria" w:hAnsi="Cambria" w:cs="Calibri Light"/>
          <w:sz w:val="20"/>
          <w:szCs w:val="20"/>
          <w:lang w:val="es-ES"/>
        </w:rPr>
      </w:pPr>
    </w:p>
    <w:p w:rsidR="00371B8A" w:rsidRPr="002367BA" w:rsidRDefault="00842302" w:rsidP="00371B8A">
      <w:pPr>
        <w:pStyle w:val="ListParagraph"/>
        <w:numPr>
          <w:ilvl w:val="0"/>
          <w:numId w:val="24"/>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 xml:space="preserve">El 24 de julio de 2018, la CIDH solicitó </w:t>
      </w:r>
      <w:r w:rsidR="0074203F" w:rsidRPr="002367BA">
        <w:rPr>
          <w:rFonts w:ascii="Cambria" w:hAnsi="Cambria" w:cs="Calibri Light"/>
          <w:sz w:val="20"/>
          <w:szCs w:val="20"/>
          <w:lang w:val="es-ES"/>
        </w:rPr>
        <w:t xml:space="preserve">al Estado </w:t>
      </w:r>
      <w:r w:rsidRPr="002367BA">
        <w:rPr>
          <w:rFonts w:ascii="Cambria" w:hAnsi="Cambria" w:cs="Calibri Light"/>
          <w:sz w:val="20"/>
          <w:szCs w:val="20"/>
          <w:lang w:val="es-ES"/>
        </w:rPr>
        <w:t>información actualizada sobre el cumplimiento de las recomendaciones. A la fecha de</w:t>
      </w:r>
      <w:r w:rsidR="00411990" w:rsidRPr="002367BA">
        <w:rPr>
          <w:rFonts w:ascii="Cambria" w:hAnsi="Cambria" w:cs="Calibri Light"/>
          <w:sz w:val="20"/>
          <w:szCs w:val="20"/>
          <w:lang w:val="es-ES"/>
        </w:rPr>
        <w:t xml:space="preserve"> cierre</w:t>
      </w:r>
      <w:r w:rsidRPr="002367BA">
        <w:rPr>
          <w:rFonts w:ascii="Cambria" w:hAnsi="Cambria" w:cs="Calibri Light"/>
          <w:sz w:val="20"/>
          <w:szCs w:val="20"/>
          <w:lang w:val="es-ES"/>
        </w:rPr>
        <w:t xml:space="preserve"> de este informe</w:t>
      </w:r>
      <w:r w:rsidR="00411990" w:rsidRPr="002367BA">
        <w:rPr>
          <w:rFonts w:ascii="Cambria" w:hAnsi="Cambria" w:cs="Calibri Light"/>
          <w:sz w:val="20"/>
          <w:szCs w:val="20"/>
          <w:lang w:val="es-ES"/>
        </w:rPr>
        <w:t>,</w:t>
      </w:r>
      <w:r w:rsidRPr="002367BA">
        <w:rPr>
          <w:rFonts w:ascii="Cambria" w:hAnsi="Cambria" w:cs="Calibri Light"/>
          <w:sz w:val="20"/>
          <w:szCs w:val="20"/>
          <w:lang w:val="es-ES"/>
        </w:rPr>
        <w:t xml:space="preserve"> la Comisión no ha recibido esta información por parte del Estado.</w:t>
      </w:r>
      <w:r w:rsidR="00371B8A" w:rsidRPr="002367BA">
        <w:rPr>
          <w:rFonts w:ascii="Cambria" w:hAnsi="Cambria" w:cs="Calibri Light"/>
          <w:sz w:val="20"/>
          <w:szCs w:val="20"/>
          <w:lang w:val="es-ES"/>
        </w:rPr>
        <w:t xml:space="preserve"> </w:t>
      </w:r>
    </w:p>
    <w:p w:rsidR="00371B8A" w:rsidRPr="002367BA" w:rsidRDefault="00371B8A" w:rsidP="00371B8A">
      <w:pPr>
        <w:pStyle w:val="ListParagraph"/>
        <w:spacing w:after="0" w:line="240" w:lineRule="auto"/>
        <w:ind w:left="0" w:firstLine="720"/>
        <w:jc w:val="both"/>
        <w:rPr>
          <w:rFonts w:ascii="Cambria" w:hAnsi="Cambria" w:cs="Calibri Light"/>
          <w:sz w:val="20"/>
          <w:szCs w:val="20"/>
          <w:lang w:val="es-ES"/>
        </w:rPr>
      </w:pPr>
    </w:p>
    <w:p w:rsidR="00371B8A" w:rsidRPr="002367BA" w:rsidRDefault="00842302" w:rsidP="00371B8A">
      <w:pPr>
        <w:pStyle w:val="ListParagraph"/>
        <w:numPr>
          <w:ilvl w:val="0"/>
          <w:numId w:val="24"/>
        </w:numPr>
        <w:spacing w:after="0" w:line="240" w:lineRule="auto"/>
        <w:ind w:left="0" w:firstLine="720"/>
        <w:jc w:val="both"/>
        <w:rPr>
          <w:rFonts w:ascii="Cambria" w:hAnsi="Cambria" w:cs="Calibri Light"/>
          <w:sz w:val="20"/>
          <w:szCs w:val="20"/>
          <w:lang w:val="es-ES"/>
        </w:rPr>
      </w:pPr>
      <w:bookmarkStart w:id="0" w:name="_Hlk697611"/>
      <w:r w:rsidRPr="002367BA">
        <w:rPr>
          <w:rFonts w:ascii="Cambria" w:hAnsi="Cambria" w:cs="Calibri Light"/>
          <w:sz w:val="20"/>
          <w:szCs w:val="20"/>
          <w:lang w:val="es-ES"/>
        </w:rPr>
        <w:t xml:space="preserve">La CIDH solicitó información actualizada sobre el cumplimiento a los peticionarios el 11 de septiembre de 2018 y éstos remitieron </w:t>
      </w:r>
      <w:r w:rsidR="00AA23AC">
        <w:rPr>
          <w:rFonts w:ascii="Cambria" w:hAnsi="Cambria" w:cs="Calibri Light"/>
          <w:sz w:val="20"/>
          <w:szCs w:val="20"/>
          <w:lang w:val="es-ES"/>
        </w:rPr>
        <w:t>dicha</w:t>
      </w:r>
      <w:r w:rsidRPr="002367BA">
        <w:rPr>
          <w:rFonts w:ascii="Cambria" w:hAnsi="Cambria" w:cs="Calibri Light"/>
          <w:sz w:val="20"/>
          <w:szCs w:val="20"/>
          <w:lang w:val="es-ES"/>
        </w:rPr>
        <w:t xml:space="preserve"> información el 16 de noviembre de 2018</w:t>
      </w:r>
      <w:bookmarkEnd w:id="0"/>
      <w:r w:rsidRPr="002367BA">
        <w:rPr>
          <w:rFonts w:ascii="Cambria" w:hAnsi="Cambria" w:cs="Calibri Light"/>
          <w:sz w:val="20"/>
          <w:szCs w:val="20"/>
          <w:lang w:val="es-ES"/>
        </w:rPr>
        <w:t>.</w:t>
      </w:r>
      <w:r w:rsidR="00371B8A" w:rsidRPr="002367BA">
        <w:rPr>
          <w:rFonts w:ascii="Cambria" w:hAnsi="Cambria" w:cs="Calibri Light"/>
          <w:sz w:val="20"/>
          <w:szCs w:val="20"/>
          <w:lang w:val="es-ES"/>
        </w:rPr>
        <w:t xml:space="preserve"> </w:t>
      </w:r>
    </w:p>
    <w:p w:rsidR="00371B8A" w:rsidRPr="002367BA" w:rsidRDefault="00371B8A" w:rsidP="00371B8A">
      <w:pPr>
        <w:spacing w:after="0" w:line="240" w:lineRule="auto"/>
        <w:jc w:val="both"/>
        <w:rPr>
          <w:rFonts w:ascii="Cambria" w:hAnsi="Cambria" w:cs="Calibri Light"/>
          <w:sz w:val="20"/>
          <w:szCs w:val="20"/>
          <w:lang w:val="es-ES"/>
        </w:rPr>
      </w:pPr>
    </w:p>
    <w:p w:rsidR="00371B8A" w:rsidRPr="002367BA" w:rsidRDefault="00E30C60" w:rsidP="00C76DA2">
      <w:pPr>
        <w:pStyle w:val="ListParagraph"/>
        <w:numPr>
          <w:ilvl w:val="0"/>
          <w:numId w:val="1"/>
        </w:numPr>
        <w:spacing w:after="0" w:line="240" w:lineRule="auto"/>
        <w:ind w:left="1440"/>
        <w:jc w:val="both"/>
        <w:rPr>
          <w:rFonts w:ascii="Cambria" w:hAnsi="Cambria" w:cs="Calibri Light"/>
          <w:b/>
          <w:sz w:val="20"/>
          <w:szCs w:val="20"/>
          <w:lang w:val="es-ES"/>
        </w:rPr>
      </w:pPr>
      <w:r>
        <w:rPr>
          <w:rFonts w:ascii="Cambria" w:hAnsi="Cambria" w:cs="Calibri Light"/>
          <w:b/>
          <w:sz w:val="20"/>
          <w:szCs w:val="20"/>
          <w:lang w:val="es-ES"/>
        </w:rPr>
        <w:t>Análisis relativo</w:t>
      </w:r>
      <w:r w:rsidR="00371B8A" w:rsidRPr="002367BA">
        <w:rPr>
          <w:rFonts w:ascii="Cambria" w:hAnsi="Cambria" w:cs="Calibri Light"/>
          <w:b/>
          <w:sz w:val="20"/>
          <w:szCs w:val="20"/>
          <w:lang w:val="es-ES"/>
        </w:rPr>
        <w:t xml:space="preserve"> a información proporcionada</w:t>
      </w:r>
    </w:p>
    <w:p w:rsidR="00371B8A" w:rsidRPr="002367BA" w:rsidRDefault="00371B8A" w:rsidP="00371B8A">
      <w:pPr>
        <w:spacing w:after="0" w:line="240" w:lineRule="auto"/>
        <w:jc w:val="both"/>
        <w:rPr>
          <w:rFonts w:ascii="Cambria" w:hAnsi="Cambria" w:cs="Calibri Light"/>
          <w:sz w:val="20"/>
          <w:szCs w:val="20"/>
          <w:lang w:val="es-ES"/>
        </w:rPr>
      </w:pPr>
    </w:p>
    <w:p w:rsidR="00371B8A" w:rsidRPr="002367BA" w:rsidRDefault="00FE4B5B" w:rsidP="00371B8A">
      <w:pPr>
        <w:pStyle w:val="ListParagraph"/>
        <w:numPr>
          <w:ilvl w:val="0"/>
          <w:numId w:val="24"/>
        </w:numPr>
        <w:spacing w:after="0" w:line="240" w:lineRule="auto"/>
        <w:ind w:left="0" w:firstLine="720"/>
        <w:jc w:val="both"/>
        <w:rPr>
          <w:rFonts w:ascii="Cambria" w:hAnsi="Cambria" w:cs="Calibri Light"/>
          <w:sz w:val="20"/>
          <w:szCs w:val="20"/>
          <w:lang w:val="es-ES"/>
        </w:rPr>
      </w:pPr>
      <w:bookmarkStart w:id="1" w:name="_Hlk697708"/>
      <w:r w:rsidRPr="002367BA">
        <w:rPr>
          <w:rFonts w:ascii="Cambria" w:hAnsi="Cambria" w:cs="Calibri Light"/>
          <w:sz w:val="20"/>
          <w:szCs w:val="20"/>
          <w:lang w:val="es-ES"/>
        </w:rPr>
        <w:t>En 2018, el Estado no presentó</w:t>
      </w:r>
      <w:r w:rsidR="00411990" w:rsidRPr="002367BA">
        <w:rPr>
          <w:rFonts w:ascii="Cambria" w:hAnsi="Cambria" w:cs="Calibri Light"/>
          <w:sz w:val="20"/>
          <w:szCs w:val="20"/>
          <w:lang w:val="es-ES"/>
        </w:rPr>
        <w:t xml:space="preserve"> información en respuesta a la solicitud de la Comisión de información actualizada sobre el cumplimiento.</w:t>
      </w:r>
      <w:r w:rsidRPr="002367BA">
        <w:rPr>
          <w:rFonts w:ascii="Cambria" w:hAnsi="Cambria" w:cs="Calibri Light"/>
          <w:sz w:val="20"/>
          <w:szCs w:val="20"/>
          <w:lang w:val="es-ES"/>
        </w:rPr>
        <w:t xml:space="preserve"> </w:t>
      </w:r>
      <w:bookmarkStart w:id="2" w:name="_Hlk767049"/>
      <w:r w:rsidRPr="002367BA">
        <w:rPr>
          <w:rFonts w:ascii="Cambria" w:hAnsi="Cambria" w:cs="Calibri Light"/>
          <w:sz w:val="20"/>
          <w:szCs w:val="20"/>
          <w:lang w:val="es-ES"/>
        </w:rPr>
        <w:t xml:space="preserve">La Comisión observa con preocupación que </w:t>
      </w:r>
      <w:r w:rsidR="00411990" w:rsidRPr="002367BA">
        <w:rPr>
          <w:rFonts w:ascii="Cambria" w:hAnsi="Cambria" w:cs="Calibri Light"/>
          <w:sz w:val="20"/>
          <w:szCs w:val="20"/>
          <w:lang w:val="es-ES"/>
        </w:rPr>
        <w:t xml:space="preserve">el Estado de </w:t>
      </w:r>
      <w:r w:rsidRPr="002367BA">
        <w:rPr>
          <w:rFonts w:ascii="Cambria" w:hAnsi="Cambria" w:cs="Calibri Light"/>
          <w:sz w:val="20"/>
          <w:szCs w:val="20"/>
          <w:lang w:val="es-ES"/>
        </w:rPr>
        <w:t>Gr</w:t>
      </w:r>
      <w:r w:rsidR="00411990" w:rsidRPr="002367BA">
        <w:rPr>
          <w:rFonts w:ascii="Cambria" w:hAnsi="Cambria" w:cs="Calibri Light"/>
          <w:sz w:val="20"/>
          <w:szCs w:val="20"/>
          <w:lang w:val="es-ES"/>
        </w:rPr>
        <w:t>a</w:t>
      </w:r>
      <w:r w:rsidRPr="002367BA">
        <w:rPr>
          <w:rFonts w:ascii="Cambria" w:hAnsi="Cambria" w:cs="Calibri Light"/>
          <w:sz w:val="20"/>
          <w:szCs w:val="20"/>
          <w:lang w:val="es-ES"/>
        </w:rPr>
        <w:t xml:space="preserve">nada no ha presentado información sobre las medidas adoptadas para implementar las recomendaciones contenidas en el Informe </w:t>
      </w:r>
      <w:r w:rsidR="00411990" w:rsidRPr="002367BA">
        <w:rPr>
          <w:rFonts w:ascii="Cambria" w:hAnsi="Cambria" w:cs="Calibri Light"/>
          <w:sz w:val="20"/>
          <w:szCs w:val="20"/>
          <w:lang w:val="es-ES"/>
        </w:rPr>
        <w:t>de Fondo N</w:t>
      </w:r>
      <w:r w:rsidR="00411990" w:rsidRPr="002367BA">
        <w:rPr>
          <w:rFonts w:ascii="Cambria" w:hAnsi="Cambria"/>
          <w:b/>
          <w:sz w:val="20"/>
          <w:szCs w:val="20"/>
          <w:lang w:val="es-ES"/>
        </w:rPr>
        <w:t>º.</w:t>
      </w:r>
      <w:r w:rsidRPr="002367BA">
        <w:rPr>
          <w:rFonts w:ascii="Cambria" w:hAnsi="Cambria" w:cs="Calibri Light"/>
          <w:sz w:val="20"/>
          <w:szCs w:val="20"/>
          <w:lang w:val="es-ES"/>
        </w:rPr>
        <w:t xml:space="preserve"> 55/02 desde la publicación de este informe</w:t>
      </w:r>
      <w:r w:rsidR="00784362" w:rsidRPr="002367BA">
        <w:rPr>
          <w:rFonts w:ascii="Cambria" w:hAnsi="Cambria" w:cs="Calibri Light"/>
          <w:sz w:val="20"/>
          <w:szCs w:val="20"/>
          <w:lang w:val="es-ES"/>
        </w:rPr>
        <w:t>,</w:t>
      </w:r>
      <w:r w:rsidRPr="002367BA">
        <w:rPr>
          <w:rFonts w:ascii="Cambria" w:hAnsi="Cambria" w:cs="Calibri Light"/>
          <w:sz w:val="20"/>
          <w:szCs w:val="20"/>
          <w:lang w:val="es-ES"/>
        </w:rPr>
        <w:t xml:space="preserve"> en 2002</w:t>
      </w:r>
      <w:bookmarkEnd w:id="1"/>
      <w:bookmarkEnd w:id="2"/>
      <w:r w:rsidR="00371B8A" w:rsidRPr="002367BA">
        <w:rPr>
          <w:rFonts w:ascii="Cambria" w:hAnsi="Cambria" w:cs="Calibri Light"/>
          <w:sz w:val="20"/>
          <w:szCs w:val="20"/>
          <w:lang w:val="es-ES"/>
        </w:rPr>
        <w:t xml:space="preserve">. </w:t>
      </w:r>
    </w:p>
    <w:p w:rsidR="00371B8A" w:rsidRPr="002367BA" w:rsidRDefault="00371B8A" w:rsidP="00371B8A">
      <w:pPr>
        <w:pStyle w:val="ListParagraph"/>
        <w:spacing w:after="0" w:line="240" w:lineRule="auto"/>
        <w:ind w:left="0" w:firstLine="720"/>
        <w:jc w:val="both"/>
        <w:rPr>
          <w:rFonts w:ascii="Cambria" w:hAnsi="Cambria" w:cs="Calibri Light"/>
          <w:sz w:val="20"/>
          <w:szCs w:val="20"/>
          <w:lang w:val="es-ES"/>
        </w:rPr>
      </w:pPr>
    </w:p>
    <w:p w:rsidR="00371B8A" w:rsidRPr="002367BA" w:rsidRDefault="00FE4B5B" w:rsidP="00371B8A">
      <w:pPr>
        <w:pStyle w:val="ListParagraph"/>
        <w:numPr>
          <w:ilvl w:val="0"/>
          <w:numId w:val="24"/>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 xml:space="preserve">La Comisión considera que la información presentada por los peticionarios en 2018 es </w:t>
      </w:r>
      <w:r w:rsidR="00411990" w:rsidRPr="002367BA">
        <w:rPr>
          <w:rFonts w:ascii="Cambria" w:hAnsi="Cambria" w:cs="Calibri Light"/>
          <w:sz w:val="20"/>
          <w:szCs w:val="20"/>
          <w:lang w:val="es-ES"/>
        </w:rPr>
        <w:t>relevante dado que es</w:t>
      </w:r>
      <w:r w:rsidRPr="002367BA">
        <w:rPr>
          <w:rFonts w:ascii="Cambria" w:hAnsi="Cambria" w:cs="Calibri Light"/>
          <w:sz w:val="20"/>
          <w:szCs w:val="20"/>
          <w:lang w:val="es-ES"/>
        </w:rPr>
        <w:t xml:space="preserve"> actualizada y </w:t>
      </w:r>
      <w:r w:rsidR="00411990" w:rsidRPr="002367BA">
        <w:rPr>
          <w:rFonts w:ascii="Cambria" w:hAnsi="Cambria" w:cs="Calibri Light"/>
          <w:sz w:val="20"/>
          <w:szCs w:val="20"/>
          <w:lang w:val="es-ES"/>
        </w:rPr>
        <w:t xml:space="preserve">amplia sobre </w:t>
      </w:r>
      <w:r w:rsidRPr="002367BA">
        <w:rPr>
          <w:rFonts w:ascii="Cambria" w:hAnsi="Cambria" w:cs="Calibri Light"/>
          <w:sz w:val="20"/>
          <w:szCs w:val="20"/>
          <w:lang w:val="es-ES"/>
        </w:rPr>
        <w:t xml:space="preserve">medidas adoptadas </w:t>
      </w:r>
      <w:r w:rsidR="00411990" w:rsidRPr="002367BA">
        <w:rPr>
          <w:rFonts w:ascii="Cambria" w:hAnsi="Cambria" w:cs="Calibri Light"/>
          <w:sz w:val="20"/>
          <w:szCs w:val="20"/>
          <w:lang w:val="es-ES"/>
        </w:rPr>
        <w:t xml:space="preserve">relativas </w:t>
      </w:r>
      <w:r w:rsidRPr="002367BA">
        <w:rPr>
          <w:rFonts w:ascii="Cambria" w:hAnsi="Cambria" w:cs="Calibri Light"/>
          <w:sz w:val="20"/>
          <w:szCs w:val="20"/>
          <w:lang w:val="es-ES"/>
        </w:rPr>
        <w:t xml:space="preserve">al cumplimiento de </w:t>
      </w:r>
      <w:r w:rsidR="00411990" w:rsidRPr="002367BA">
        <w:rPr>
          <w:rFonts w:ascii="Cambria" w:hAnsi="Cambria" w:cs="Calibri Light"/>
          <w:sz w:val="20"/>
          <w:szCs w:val="20"/>
          <w:lang w:val="es-ES"/>
        </w:rPr>
        <w:t>al</w:t>
      </w:r>
      <w:r w:rsidRPr="002367BA">
        <w:rPr>
          <w:rFonts w:ascii="Cambria" w:hAnsi="Cambria" w:cs="Calibri Light"/>
          <w:sz w:val="20"/>
          <w:szCs w:val="20"/>
          <w:lang w:val="es-ES"/>
        </w:rPr>
        <w:t xml:space="preserve"> menos una de las recomendaciones contenidas en el Informe </w:t>
      </w:r>
      <w:r w:rsidR="00411990" w:rsidRPr="002367BA">
        <w:rPr>
          <w:rFonts w:ascii="Cambria" w:hAnsi="Cambria" w:cs="Calibri Light"/>
          <w:sz w:val="20"/>
          <w:szCs w:val="20"/>
          <w:lang w:val="es-ES"/>
        </w:rPr>
        <w:t>de Fondo N</w:t>
      </w:r>
      <w:r w:rsidR="00411990" w:rsidRPr="00AA23AC">
        <w:rPr>
          <w:rFonts w:ascii="Cambria" w:hAnsi="Cambria"/>
          <w:sz w:val="20"/>
          <w:szCs w:val="20"/>
          <w:lang w:val="es-ES"/>
        </w:rPr>
        <w:t>º.</w:t>
      </w:r>
      <w:r w:rsidR="00411990" w:rsidRPr="002367BA">
        <w:rPr>
          <w:rFonts w:ascii="Cambria" w:hAnsi="Cambria" w:cs="Calibri Light"/>
          <w:sz w:val="20"/>
          <w:szCs w:val="20"/>
          <w:lang w:val="es-ES"/>
        </w:rPr>
        <w:t xml:space="preserve"> </w:t>
      </w:r>
      <w:r w:rsidRPr="002367BA">
        <w:rPr>
          <w:rFonts w:ascii="Cambria" w:hAnsi="Cambria" w:cs="Calibri Light"/>
          <w:sz w:val="20"/>
          <w:szCs w:val="20"/>
          <w:lang w:val="es-ES"/>
        </w:rPr>
        <w:t xml:space="preserve">55/02. La Comisión </w:t>
      </w:r>
      <w:r w:rsidR="00411990" w:rsidRPr="002367BA">
        <w:rPr>
          <w:rFonts w:ascii="Cambria" w:hAnsi="Cambria" w:cs="Calibri Light"/>
          <w:sz w:val="20"/>
          <w:szCs w:val="20"/>
          <w:lang w:val="es-ES"/>
        </w:rPr>
        <w:t>valora positivamente que los peticionarios han presenta</w:t>
      </w:r>
      <w:r w:rsidR="00151444" w:rsidRPr="002367BA">
        <w:rPr>
          <w:rFonts w:ascii="Cambria" w:hAnsi="Cambria" w:cs="Calibri Light"/>
          <w:sz w:val="20"/>
          <w:szCs w:val="20"/>
          <w:lang w:val="es-ES"/>
        </w:rPr>
        <w:t>d</w:t>
      </w:r>
      <w:r w:rsidR="00411990" w:rsidRPr="002367BA">
        <w:rPr>
          <w:rFonts w:ascii="Cambria" w:hAnsi="Cambria" w:cs="Calibri Light"/>
          <w:sz w:val="20"/>
          <w:szCs w:val="20"/>
          <w:lang w:val="es-ES"/>
        </w:rPr>
        <w:t xml:space="preserve">o información </w:t>
      </w:r>
      <w:r w:rsidRPr="002367BA">
        <w:rPr>
          <w:rFonts w:ascii="Cambria" w:hAnsi="Cambria" w:cs="Calibri Light"/>
          <w:sz w:val="20"/>
          <w:szCs w:val="20"/>
          <w:lang w:val="es-ES"/>
        </w:rPr>
        <w:t>a la CIDH después de 3 años.</w:t>
      </w:r>
    </w:p>
    <w:p w:rsidR="00371B8A" w:rsidRPr="002367BA" w:rsidRDefault="00371B8A" w:rsidP="00371B8A">
      <w:pPr>
        <w:spacing w:after="0" w:line="240" w:lineRule="auto"/>
        <w:jc w:val="both"/>
        <w:rPr>
          <w:rFonts w:ascii="Cambria" w:hAnsi="Cambria" w:cs="Calibri Light"/>
          <w:sz w:val="20"/>
          <w:szCs w:val="20"/>
          <w:lang w:val="es-ES"/>
        </w:rPr>
      </w:pPr>
    </w:p>
    <w:p w:rsidR="00371B8A" w:rsidRPr="002367BA" w:rsidRDefault="00371B8A" w:rsidP="00C76DA2">
      <w:pPr>
        <w:pStyle w:val="ListParagraph"/>
        <w:numPr>
          <w:ilvl w:val="0"/>
          <w:numId w:val="1"/>
        </w:numPr>
        <w:spacing w:after="0" w:line="240" w:lineRule="auto"/>
        <w:ind w:left="1440"/>
        <w:jc w:val="both"/>
        <w:rPr>
          <w:rFonts w:ascii="Cambria" w:hAnsi="Cambria" w:cs="Calibri Light"/>
          <w:b/>
          <w:sz w:val="20"/>
          <w:szCs w:val="20"/>
          <w:lang w:val="es-ES"/>
        </w:rPr>
      </w:pPr>
      <w:r w:rsidRPr="002367BA">
        <w:rPr>
          <w:rFonts w:ascii="Cambria" w:hAnsi="Cambria" w:cs="Calibri Light"/>
          <w:b/>
          <w:sz w:val="20"/>
          <w:szCs w:val="20"/>
          <w:lang w:val="es-ES"/>
        </w:rPr>
        <w:t>Análisis del cumplimiento de las recomendaciones</w:t>
      </w:r>
    </w:p>
    <w:p w:rsidR="00371B8A" w:rsidRPr="002367BA" w:rsidRDefault="00371B8A" w:rsidP="00371B8A">
      <w:pPr>
        <w:spacing w:after="0" w:line="240" w:lineRule="auto"/>
        <w:jc w:val="both"/>
        <w:rPr>
          <w:rFonts w:ascii="Cambria" w:hAnsi="Cambria" w:cs="Calibri Light"/>
          <w:sz w:val="20"/>
          <w:szCs w:val="20"/>
          <w:lang w:val="es-ES"/>
        </w:rPr>
      </w:pPr>
    </w:p>
    <w:p w:rsidR="00371B8A" w:rsidRPr="002367BA" w:rsidRDefault="00371B8A" w:rsidP="00371B8A">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En relación con la primera recomendación,</w:t>
      </w:r>
      <w:r w:rsidRPr="002367BA">
        <w:rPr>
          <w:rFonts w:ascii="Cambria" w:hAnsi="Cambria" w:cs="Calibri Light"/>
          <w:b/>
          <w:sz w:val="20"/>
          <w:szCs w:val="20"/>
          <w:lang w:val="es-ES"/>
        </w:rPr>
        <w:t xml:space="preserve"> </w:t>
      </w:r>
      <w:r w:rsidR="00482AB4" w:rsidRPr="002367BA">
        <w:rPr>
          <w:rFonts w:ascii="Cambria" w:hAnsi="Cambria" w:cs="Calibri Light"/>
          <w:sz w:val="20"/>
          <w:szCs w:val="20"/>
          <w:lang w:val="es-ES"/>
        </w:rPr>
        <w:t>el Estado no ha presentado información sobre el cumplimiento de esta recomendación</w:t>
      </w:r>
      <w:r w:rsidRPr="002367BA">
        <w:rPr>
          <w:rFonts w:ascii="Cambria" w:hAnsi="Cambria" w:cs="Calibri Light"/>
          <w:sz w:val="20"/>
          <w:szCs w:val="20"/>
          <w:lang w:val="es-ES"/>
        </w:rPr>
        <w:t>.</w:t>
      </w:r>
    </w:p>
    <w:p w:rsidR="00371B8A" w:rsidRPr="002367BA" w:rsidRDefault="00371B8A" w:rsidP="00371B8A">
      <w:pPr>
        <w:pStyle w:val="ListParagraph"/>
        <w:spacing w:after="0" w:line="240" w:lineRule="auto"/>
        <w:jc w:val="both"/>
        <w:rPr>
          <w:rFonts w:ascii="Cambria" w:hAnsi="Cambria" w:cs="Calibri Light"/>
          <w:sz w:val="20"/>
          <w:szCs w:val="20"/>
          <w:lang w:val="es-ES"/>
        </w:rPr>
      </w:pPr>
      <w:r w:rsidRPr="002367BA">
        <w:rPr>
          <w:rFonts w:ascii="Cambria" w:hAnsi="Cambria" w:cs="Calibri Light"/>
          <w:sz w:val="20"/>
          <w:szCs w:val="20"/>
          <w:lang w:val="es-ES"/>
        </w:rPr>
        <w:t xml:space="preserve"> </w:t>
      </w:r>
    </w:p>
    <w:p w:rsidR="00371B8A" w:rsidRPr="002367BA" w:rsidRDefault="00371B8A" w:rsidP="00371B8A">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sz w:val="20"/>
          <w:szCs w:val="20"/>
          <w:lang w:val="es-ES"/>
        </w:rPr>
        <w:t xml:space="preserve">El peticionario informó a la CIDH que en el 2002 el Comité Judicial del Consejo Privado en sentencias de los casos </w:t>
      </w:r>
      <w:r w:rsidRPr="002367BA">
        <w:rPr>
          <w:rFonts w:ascii="Cambria" w:hAnsi="Cambria"/>
          <w:i/>
          <w:iCs/>
          <w:sz w:val="20"/>
          <w:szCs w:val="20"/>
          <w:lang w:val="es-ES"/>
        </w:rPr>
        <w:t xml:space="preserve">R v Hughes, R v Reyes </w:t>
      </w:r>
      <w:r w:rsidRPr="002367BA">
        <w:rPr>
          <w:rFonts w:ascii="Cambria" w:hAnsi="Cambria"/>
          <w:sz w:val="20"/>
          <w:szCs w:val="20"/>
          <w:lang w:val="es-ES"/>
        </w:rPr>
        <w:t xml:space="preserve">y </w:t>
      </w:r>
      <w:r w:rsidRPr="002367BA">
        <w:rPr>
          <w:rFonts w:ascii="Cambria" w:hAnsi="Cambria"/>
          <w:i/>
          <w:iCs/>
          <w:sz w:val="20"/>
          <w:szCs w:val="20"/>
          <w:lang w:val="es-ES"/>
        </w:rPr>
        <w:t>Fox v The Queen</w:t>
      </w:r>
      <w:r w:rsidR="00411990" w:rsidRPr="002367BA">
        <w:rPr>
          <w:rStyle w:val="FootnoteReference"/>
          <w:rFonts w:ascii="Cambria" w:hAnsi="Cambria"/>
          <w:i/>
          <w:iCs/>
          <w:sz w:val="20"/>
          <w:szCs w:val="20"/>
          <w:lang w:val="es-ES"/>
        </w:rPr>
        <w:footnoteReference w:id="1"/>
      </w:r>
      <w:r w:rsidRPr="002367BA">
        <w:rPr>
          <w:rFonts w:ascii="Cambria" w:hAnsi="Cambria"/>
          <w:sz w:val="20"/>
          <w:szCs w:val="20"/>
          <w:lang w:val="es-ES"/>
        </w:rPr>
        <w:t>, declaró la imposición de la pena de muerte en países del Caribe Oriental como inconstitucional</w:t>
      </w:r>
      <w:r w:rsidRPr="002367BA">
        <w:rPr>
          <w:rFonts w:ascii="Cambria" w:hAnsi="Cambria" w:cs="Calibri Light"/>
          <w:sz w:val="20"/>
          <w:szCs w:val="20"/>
          <w:lang w:val="es-ES"/>
        </w:rPr>
        <w:t xml:space="preserve">. Como resultado de esta decisión, </w:t>
      </w:r>
      <w:r w:rsidR="00DC158A" w:rsidRPr="002367BA">
        <w:rPr>
          <w:rFonts w:ascii="Cambria" w:hAnsi="Cambria" w:cs="Calibri Light"/>
          <w:sz w:val="20"/>
          <w:szCs w:val="20"/>
          <w:lang w:val="es-ES"/>
        </w:rPr>
        <w:t>se le requirió al Estado de Gr</w:t>
      </w:r>
      <w:r w:rsidR="00411990" w:rsidRPr="002367BA">
        <w:rPr>
          <w:rFonts w:ascii="Cambria" w:hAnsi="Cambria" w:cs="Calibri Light"/>
          <w:sz w:val="20"/>
          <w:szCs w:val="20"/>
          <w:lang w:val="es-ES"/>
        </w:rPr>
        <w:t>a</w:t>
      </w:r>
      <w:r w:rsidR="00DC158A" w:rsidRPr="002367BA">
        <w:rPr>
          <w:rFonts w:ascii="Cambria" w:hAnsi="Cambria" w:cs="Calibri Light"/>
          <w:sz w:val="20"/>
          <w:szCs w:val="20"/>
          <w:lang w:val="es-ES"/>
        </w:rPr>
        <w:t>nada que revisara la sentencia de muerte del señor Lallion porque él fue sentenciado a muerte automáticamente en el momento de su condena. Como en 2008 Gr</w:t>
      </w:r>
      <w:r w:rsidR="00411990" w:rsidRPr="002367BA">
        <w:rPr>
          <w:rFonts w:ascii="Cambria" w:hAnsi="Cambria" w:cs="Calibri Light"/>
          <w:sz w:val="20"/>
          <w:szCs w:val="20"/>
          <w:lang w:val="es-ES"/>
        </w:rPr>
        <w:t>a</w:t>
      </w:r>
      <w:r w:rsidR="00DC158A" w:rsidRPr="002367BA">
        <w:rPr>
          <w:rFonts w:ascii="Cambria" w:hAnsi="Cambria" w:cs="Calibri Light"/>
          <w:sz w:val="20"/>
          <w:szCs w:val="20"/>
          <w:lang w:val="es-ES"/>
        </w:rPr>
        <w:t xml:space="preserve">nada no había reconsiderado las sentencias de las personas que habían sido sentenciadas a muerte obligatoria, se presentaron peticiones al Consejo Privado en nombre de los diez presos, incluido el señor </w:t>
      </w:r>
      <w:r w:rsidR="00D81358" w:rsidRPr="002367BA">
        <w:rPr>
          <w:rFonts w:ascii="Cambria" w:hAnsi="Cambria" w:cs="Calibri Light"/>
          <w:sz w:val="20"/>
          <w:szCs w:val="20"/>
          <w:lang w:val="es-ES"/>
        </w:rPr>
        <w:t>Lallion. El 11 de junio de 2008 el Consejo Privado abolió la sentencia de muerte del señor Lallion y envió su caso a la Suprema Corte de Gr</w:t>
      </w:r>
      <w:r w:rsidR="00411990" w:rsidRPr="002367BA">
        <w:rPr>
          <w:rFonts w:ascii="Cambria" w:hAnsi="Cambria" w:cs="Calibri Light"/>
          <w:sz w:val="20"/>
          <w:szCs w:val="20"/>
          <w:lang w:val="es-ES"/>
        </w:rPr>
        <w:t>a</w:t>
      </w:r>
      <w:r w:rsidR="00D81358" w:rsidRPr="002367BA">
        <w:rPr>
          <w:rFonts w:ascii="Cambria" w:hAnsi="Cambria" w:cs="Calibri Light"/>
          <w:sz w:val="20"/>
          <w:szCs w:val="20"/>
          <w:lang w:val="es-ES"/>
        </w:rPr>
        <w:t xml:space="preserve">nada, la cual a su vez lo sentenció a </w:t>
      </w:r>
      <w:r w:rsidR="000A6167" w:rsidRPr="002367BA">
        <w:rPr>
          <w:rFonts w:ascii="Cambria" w:hAnsi="Cambria" w:cs="Calibri Light"/>
          <w:sz w:val="20"/>
          <w:szCs w:val="20"/>
          <w:lang w:val="es-ES"/>
        </w:rPr>
        <w:t>25 años de prisión en diciembre de 2009. Debido a que el señor Lallion ya había estado en prisión</w:t>
      </w:r>
      <w:r w:rsidR="00F257E6" w:rsidRPr="002367BA">
        <w:rPr>
          <w:rFonts w:ascii="Cambria" w:hAnsi="Cambria" w:cs="Calibri Light"/>
          <w:sz w:val="20"/>
          <w:szCs w:val="20"/>
          <w:lang w:val="es-ES"/>
        </w:rPr>
        <w:t xml:space="preserve"> y su sentencia fue reducida en un tercio, fue luego puesto en libertad</w:t>
      </w:r>
      <w:r w:rsidR="00B51083">
        <w:rPr>
          <w:rStyle w:val="FootnoteReference"/>
          <w:rFonts w:ascii="Cambria" w:hAnsi="Cambria" w:cs="Calibri Light"/>
          <w:sz w:val="20"/>
          <w:szCs w:val="20"/>
          <w:lang w:val="es-ES"/>
        </w:rPr>
        <w:footnoteReference w:id="2"/>
      </w:r>
      <w:r w:rsidR="00D81358" w:rsidRPr="002367BA">
        <w:rPr>
          <w:rFonts w:ascii="Cambria" w:hAnsi="Cambria" w:cs="Calibri Light"/>
          <w:sz w:val="20"/>
          <w:szCs w:val="20"/>
          <w:lang w:val="es-ES"/>
        </w:rPr>
        <w:t xml:space="preserve">. Los peticionarios informaron que en 2018 el señor </w:t>
      </w:r>
      <w:r w:rsidR="00F257E6" w:rsidRPr="002367BA">
        <w:rPr>
          <w:rFonts w:ascii="Cambria" w:hAnsi="Cambria" w:cs="Calibri Light"/>
          <w:sz w:val="20"/>
          <w:szCs w:val="20"/>
          <w:lang w:val="es-ES"/>
        </w:rPr>
        <w:t>Lallion</w:t>
      </w:r>
      <w:r w:rsidR="00D81358" w:rsidRPr="002367BA">
        <w:rPr>
          <w:rFonts w:ascii="Cambria" w:hAnsi="Cambria" w:cs="Calibri Light"/>
          <w:sz w:val="20"/>
          <w:szCs w:val="20"/>
          <w:lang w:val="es-ES"/>
        </w:rPr>
        <w:t xml:space="preserve"> aún no ha</w:t>
      </w:r>
      <w:r w:rsidR="00F257E6" w:rsidRPr="002367BA">
        <w:rPr>
          <w:rFonts w:ascii="Cambria" w:hAnsi="Cambria" w:cs="Calibri Light"/>
          <w:sz w:val="20"/>
          <w:szCs w:val="20"/>
          <w:lang w:val="es-ES"/>
        </w:rPr>
        <w:t>bía</w:t>
      </w:r>
      <w:r w:rsidR="00D81358" w:rsidRPr="002367BA">
        <w:rPr>
          <w:rFonts w:ascii="Cambria" w:hAnsi="Cambria" w:cs="Calibri Light"/>
          <w:sz w:val="20"/>
          <w:szCs w:val="20"/>
          <w:lang w:val="es-ES"/>
        </w:rPr>
        <w:t xml:space="preserve"> recibido ninguna </w:t>
      </w:r>
      <w:r w:rsidR="00784362" w:rsidRPr="002367BA">
        <w:rPr>
          <w:rFonts w:ascii="Cambria" w:hAnsi="Cambria" w:cs="Calibri Light"/>
          <w:sz w:val="20"/>
          <w:szCs w:val="20"/>
          <w:lang w:val="es-ES"/>
        </w:rPr>
        <w:t>indemnización</w:t>
      </w:r>
      <w:r w:rsidR="00D81358" w:rsidRPr="002367BA">
        <w:rPr>
          <w:rFonts w:ascii="Cambria" w:hAnsi="Cambria" w:cs="Calibri Light"/>
          <w:sz w:val="20"/>
          <w:szCs w:val="20"/>
          <w:lang w:val="es-ES"/>
        </w:rPr>
        <w:t xml:space="preserve"> por las violaciones que sufrió de derechos humanos.</w:t>
      </w:r>
      <w:r w:rsidRPr="002367BA">
        <w:rPr>
          <w:rFonts w:ascii="Cambria" w:hAnsi="Cambria" w:cs="Calibri Light"/>
          <w:sz w:val="20"/>
          <w:szCs w:val="20"/>
          <w:lang w:val="es-ES"/>
        </w:rPr>
        <w:t xml:space="preserve"> </w:t>
      </w:r>
    </w:p>
    <w:p w:rsidR="00371B8A" w:rsidRPr="002367BA" w:rsidRDefault="00371B8A" w:rsidP="00371B8A">
      <w:pPr>
        <w:pStyle w:val="ListParagraph"/>
        <w:spacing w:after="0" w:line="240" w:lineRule="auto"/>
        <w:jc w:val="both"/>
        <w:rPr>
          <w:rFonts w:ascii="Cambria" w:hAnsi="Cambria" w:cs="Calibri Light"/>
          <w:sz w:val="20"/>
          <w:szCs w:val="20"/>
          <w:lang w:val="es-ES"/>
        </w:rPr>
      </w:pPr>
    </w:p>
    <w:p w:rsidR="00371B8A" w:rsidRPr="002367BA" w:rsidRDefault="00F808D4" w:rsidP="00371B8A">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lastRenderedPageBreak/>
        <w:t xml:space="preserve">La Comisión acoge con satisfacción la información presentada por los peticionarios que indican que la víctima ha sido puesta en libertad. Al mismo tiempo, la Comisión insta al Estado a tomar las medidas pertinentes para otorgarle al señor </w:t>
      </w:r>
      <w:r w:rsidR="00AE48FD" w:rsidRPr="002367BA">
        <w:rPr>
          <w:rFonts w:ascii="Cambria" w:hAnsi="Cambria" w:cs="Calibri Light"/>
          <w:sz w:val="20"/>
          <w:szCs w:val="20"/>
          <w:lang w:val="es-ES"/>
        </w:rPr>
        <w:t>Lallion</w:t>
      </w:r>
      <w:r w:rsidRPr="002367BA">
        <w:rPr>
          <w:rFonts w:ascii="Cambria" w:hAnsi="Cambria" w:cs="Calibri Light"/>
          <w:sz w:val="20"/>
          <w:szCs w:val="20"/>
          <w:lang w:val="es-ES"/>
        </w:rPr>
        <w:t xml:space="preserve"> una reparación efectiva incluida una </w:t>
      </w:r>
      <w:r w:rsidR="002367BA" w:rsidRPr="002367BA">
        <w:rPr>
          <w:rFonts w:ascii="Cambria" w:hAnsi="Cambria" w:cs="Calibri Light"/>
          <w:sz w:val="20"/>
          <w:szCs w:val="20"/>
          <w:lang w:val="es-ES"/>
        </w:rPr>
        <w:t>indemnización</w:t>
      </w:r>
      <w:r w:rsidRPr="002367BA">
        <w:rPr>
          <w:rFonts w:ascii="Cambria" w:hAnsi="Cambria" w:cs="Calibri Light"/>
          <w:sz w:val="20"/>
          <w:szCs w:val="20"/>
          <w:lang w:val="es-ES"/>
        </w:rPr>
        <w:t xml:space="preserve"> y que informe a la CIDH sobre estas medidas</w:t>
      </w:r>
      <w:r w:rsidR="00371B8A" w:rsidRPr="002367BA">
        <w:rPr>
          <w:rFonts w:ascii="Cambria" w:hAnsi="Cambria" w:cs="Calibri Light"/>
          <w:sz w:val="20"/>
          <w:szCs w:val="20"/>
          <w:lang w:val="es-ES"/>
        </w:rPr>
        <w:t>.</w:t>
      </w:r>
      <w:r w:rsidR="00A55ED9" w:rsidRPr="002367BA">
        <w:rPr>
          <w:rFonts w:ascii="Cambria" w:hAnsi="Cambria" w:cs="Calibri Light"/>
          <w:sz w:val="20"/>
          <w:szCs w:val="20"/>
          <w:lang w:val="es-ES"/>
        </w:rPr>
        <w:t xml:space="preserve"> </w:t>
      </w:r>
      <w:r w:rsidR="000E7806" w:rsidRPr="002367BA">
        <w:rPr>
          <w:rFonts w:ascii="Cambria" w:hAnsi="Cambria" w:cs="Calibri Light"/>
          <w:sz w:val="20"/>
          <w:szCs w:val="20"/>
          <w:lang w:val="es-ES"/>
        </w:rPr>
        <w:t xml:space="preserve">Por lo anterior, la Comisión concluye que la Recomendación 1 está parcialmente cumplida. </w:t>
      </w:r>
      <w:r w:rsidR="00371B8A" w:rsidRPr="002367BA">
        <w:rPr>
          <w:rFonts w:ascii="Cambria" w:hAnsi="Cambria" w:cs="Calibri Light"/>
          <w:sz w:val="20"/>
          <w:szCs w:val="20"/>
          <w:lang w:val="es-ES"/>
        </w:rPr>
        <w:t xml:space="preserve">   </w:t>
      </w:r>
    </w:p>
    <w:p w:rsidR="00371B8A" w:rsidRPr="002367BA" w:rsidRDefault="00371B8A" w:rsidP="00371B8A">
      <w:pPr>
        <w:pStyle w:val="ListParagraph"/>
        <w:spacing w:after="0" w:line="240" w:lineRule="auto"/>
        <w:jc w:val="both"/>
        <w:rPr>
          <w:rFonts w:ascii="Cambria" w:hAnsi="Cambria" w:cs="Calibri Light"/>
          <w:sz w:val="20"/>
          <w:szCs w:val="20"/>
          <w:lang w:val="es-ES"/>
        </w:rPr>
      </w:pPr>
    </w:p>
    <w:p w:rsidR="00371B8A" w:rsidRPr="002367BA" w:rsidRDefault="00495DD0" w:rsidP="00371B8A">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b/>
          <w:sz w:val="20"/>
          <w:szCs w:val="20"/>
          <w:lang w:val="es-ES"/>
        </w:rPr>
        <w:t xml:space="preserve">Con respecto a la segunda recomendación, </w:t>
      </w:r>
      <w:r w:rsidRPr="002367BA">
        <w:rPr>
          <w:rFonts w:ascii="Cambria" w:hAnsi="Cambria" w:cs="Calibri Light"/>
          <w:sz w:val="20"/>
          <w:szCs w:val="20"/>
          <w:lang w:val="es-ES"/>
        </w:rPr>
        <w:t>el Estado no ha presentado información sobre el cumplimiento de esta recomendación</w:t>
      </w:r>
      <w:r w:rsidR="00371B8A" w:rsidRPr="002367BA">
        <w:rPr>
          <w:rFonts w:ascii="Cambria" w:hAnsi="Cambria" w:cs="Calibri Light"/>
          <w:sz w:val="20"/>
          <w:szCs w:val="20"/>
          <w:lang w:val="es-ES"/>
        </w:rPr>
        <w:t xml:space="preserve">. </w:t>
      </w:r>
    </w:p>
    <w:p w:rsidR="00371B8A" w:rsidRPr="002367BA" w:rsidRDefault="00371B8A" w:rsidP="00371B8A">
      <w:pPr>
        <w:pStyle w:val="ListParagraph"/>
        <w:rPr>
          <w:rFonts w:ascii="Cambria" w:hAnsi="Cambria" w:cs="Calibri Light"/>
          <w:sz w:val="20"/>
          <w:szCs w:val="20"/>
          <w:lang w:val="es-ES"/>
        </w:rPr>
      </w:pPr>
    </w:p>
    <w:p w:rsidR="00371B8A" w:rsidRPr="002367BA" w:rsidRDefault="00676015" w:rsidP="00371B8A">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 xml:space="preserve">En 2015, los peticionarios informaron que la Sección </w:t>
      </w:r>
      <w:r w:rsidRPr="002367BA">
        <w:rPr>
          <w:rFonts w:ascii="Cambria" w:hAnsi="Cambria"/>
          <w:sz w:val="20"/>
          <w:szCs w:val="20"/>
          <w:lang w:val="es-ES"/>
        </w:rPr>
        <w:t xml:space="preserve">230 del Código Penal de </w:t>
      </w:r>
      <w:r w:rsidR="00411990" w:rsidRPr="002367BA">
        <w:rPr>
          <w:rFonts w:ascii="Cambria" w:hAnsi="Cambria"/>
          <w:sz w:val="20"/>
          <w:szCs w:val="20"/>
          <w:lang w:val="es-ES"/>
        </w:rPr>
        <w:t>Granada</w:t>
      </w:r>
      <w:r w:rsidRPr="002367BA">
        <w:rPr>
          <w:rFonts w:ascii="Cambria" w:hAnsi="Cambria"/>
          <w:sz w:val="20"/>
          <w:szCs w:val="20"/>
          <w:lang w:val="es-ES"/>
        </w:rPr>
        <w:t xml:space="preserve"> todavía contiene la imposición de la pena de muerte obligatoria para los casos de </w:t>
      </w:r>
      <w:r w:rsidR="00601491" w:rsidRPr="002367BA">
        <w:rPr>
          <w:rFonts w:ascii="Cambria" w:hAnsi="Cambria"/>
          <w:sz w:val="20"/>
          <w:szCs w:val="20"/>
          <w:lang w:val="es-ES"/>
        </w:rPr>
        <w:t>homicidio</w:t>
      </w:r>
      <w:r w:rsidRPr="002367BA">
        <w:rPr>
          <w:rFonts w:ascii="Cambria" w:hAnsi="Cambria"/>
          <w:sz w:val="20"/>
          <w:szCs w:val="20"/>
          <w:lang w:val="es-ES"/>
        </w:rPr>
        <w:t xml:space="preserve"> y que el Estado no ha tomado ninguna medida legislativa para enmendar esta norma. No obstante, los peticionarios informaron también que las cortes ya no aplican la sentencia de muerte obligatoria en los casos de </w:t>
      </w:r>
      <w:r w:rsidR="00601491" w:rsidRPr="002367BA">
        <w:rPr>
          <w:rFonts w:ascii="Cambria" w:hAnsi="Cambria"/>
          <w:sz w:val="20"/>
          <w:szCs w:val="20"/>
          <w:lang w:val="es-ES"/>
        </w:rPr>
        <w:t>homicidio</w:t>
      </w:r>
      <w:r w:rsidRPr="002367BA">
        <w:rPr>
          <w:rFonts w:ascii="Cambria" w:hAnsi="Cambria"/>
          <w:sz w:val="20"/>
          <w:szCs w:val="20"/>
          <w:lang w:val="es-ES"/>
        </w:rPr>
        <w:t xml:space="preserve">, dado que con base en la decisión del Consejo Privado en </w:t>
      </w:r>
      <w:r w:rsidR="00D34E24" w:rsidRPr="002367BA">
        <w:rPr>
          <w:rFonts w:ascii="Cambria" w:hAnsi="Cambria"/>
          <w:sz w:val="20"/>
          <w:szCs w:val="20"/>
          <w:lang w:val="es-ES"/>
        </w:rPr>
        <w:t xml:space="preserve">el caso de </w:t>
      </w:r>
      <w:r w:rsidR="00371B8A" w:rsidRPr="002367BA">
        <w:rPr>
          <w:rFonts w:ascii="Cambria" w:hAnsi="Cambria"/>
          <w:i/>
          <w:sz w:val="20"/>
          <w:szCs w:val="20"/>
          <w:lang w:val="es-ES"/>
        </w:rPr>
        <w:t xml:space="preserve">Coard </w:t>
      </w:r>
      <w:r w:rsidR="00D34E24" w:rsidRPr="002367BA">
        <w:rPr>
          <w:rFonts w:ascii="Cambria" w:hAnsi="Cambria"/>
          <w:i/>
          <w:sz w:val="20"/>
          <w:szCs w:val="20"/>
          <w:lang w:val="es-ES"/>
        </w:rPr>
        <w:t>c</w:t>
      </w:r>
      <w:r w:rsidR="00371B8A" w:rsidRPr="002367BA">
        <w:rPr>
          <w:rFonts w:ascii="Cambria" w:hAnsi="Cambria"/>
          <w:i/>
          <w:sz w:val="20"/>
          <w:szCs w:val="20"/>
          <w:lang w:val="es-ES"/>
        </w:rPr>
        <w:t>. Attorney General of Grenada</w:t>
      </w:r>
      <w:r w:rsidR="00371B8A" w:rsidRPr="002367BA">
        <w:rPr>
          <w:rStyle w:val="FootnoteReference"/>
          <w:rFonts w:ascii="Cambria" w:hAnsi="Cambria"/>
          <w:sz w:val="20"/>
          <w:szCs w:val="20"/>
          <w:lang w:val="es-ES"/>
        </w:rPr>
        <w:footnoteReference w:id="3"/>
      </w:r>
      <w:r w:rsidR="00371B8A" w:rsidRPr="002367BA">
        <w:rPr>
          <w:rFonts w:ascii="Cambria" w:hAnsi="Cambria"/>
          <w:i/>
          <w:sz w:val="20"/>
          <w:szCs w:val="20"/>
          <w:lang w:val="es-ES"/>
        </w:rPr>
        <w:t xml:space="preserve"> </w:t>
      </w:r>
      <w:r w:rsidR="00D34E24" w:rsidRPr="002367BA">
        <w:rPr>
          <w:rFonts w:ascii="Cambria" w:hAnsi="Cambria"/>
          <w:sz w:val="20"/>
          <w:szCs w:val="20"/>
          <w:lang w:val="es-ES"/>
        </w:rPr>
        <w:t>en</w:t>
      </w:r>
      <w:r w:rsidR="00371B8A" w:rsidRPr="002367BA">
        <w:rPr>
          <w:rFonts w:ascii="Cambria" w:hAnsi="Cambria"/>
          <w:sz w:val="20"/>
          <w:szCs w:val="20"/>
          <w:lang w:val="es-ES"/>
        </w:rPr>
        <w:t xml:space="preserve"> 2007, </w:t>
      </w:r>
      <w:r w:rsidR="00D34E24" w:rsidRPr="002367BA">
        <w:rPr>
          <w:rFonts w:ascii="Cambria" w:hAnsi="Cambria"/>
          <w:sz w:val="20"/>
          <w:szCs w:val="20"/>
          <w:lang w:val="es-ES"/>
        </w:rPr>
        <w:t>en estos casos el poder judicial tiene la discreción de imponer una sentencia menor que la pena de muerte</w:t>
      </w:r>
      <w:r w:rsidR="00371B8A" w:rsidRPr="002367BA">
        <w:rPr>
          <w:rFonts w:ascii="Cambria" w:hAnsi="Cambria"/>
          <w:sz w:val="20"/>
          <w:szCs w:val="20"/>
          <w:lang w:val="es-ES"/>
        </w:rPr>
        <w:t xml:space="preserve">. </w:t>
      </w:r>
    </w:p>
    <w:p w:rsidR="00371B8A" w:rsidRPr="002367BA" w:rsidRDefault="00371B8A" w:rsidP="00371B8A">
      <w:pPr>
        <w:pStyle w:val="ListParagraph"/>
        <w:rPr>
          <w:rFonts w:ascii="Cambria" w:hAnsi="Cambria" w:cs="Calibri Light"/>
          <w:sz w:val="20"/>
          <w:szCs w:val="20"/>
          <w:lang w:val="es-ES"/>
        </w:rPr>
      </w:pPr>
    </w:p>
    <w:p w:rsidR="00371B8A" w:rsidRPr="002367BA" w:rsidRDefault="004A2B1F" w:rsidP="00371B8A">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La Comisión acoge con beneplácito la información de que el Estado de Gr</w:t>
      </w:r>
      <w:r w:rsidR="00411990" w:rsidRPr="002367BA">
        <w:rPr>
          <w:rFonts w:ascii="Cambria" w:hAnsi="Cambria" w:cs="Calibri Light"/>
          <w:sz w:val="20"/>
          <w:szCs w:val="20"/>
          <w:lang w:val="es-ES"/>
        </w:rPr>
        <w:t>a</w:t>
      </w:r>
      <w:r w:rsidRPr="002367BA">
        <w:rPr>
          <w:rFonts w:ascii="Cambria" w:hAnsi="Cambria" w:cs="Calibri Light"/>
          <w:sz w:val="20"/>
          <w:szCs w:val="20"/>
          <w:lang w:val="es-ES"/>
        </w:rPr>
        <w:t xml:space="preserve">nada ya no aplica la sentencia de muerte obligatoria en los casos de </w:t>
      </w:r>
      <w:r w:rsidR="00601491" w:rsidRPr="002367BA">
        <w:rPr>
          <w:rFonts w:ascii="Cambria" w:hAnsi="Cambria" w:cs="Calibri Light"/>
          <w:sz w:val="20"/>
          <w:szCs w:val="20"/>
          <w:lang w:val="es-ES"/>
        </w:rPr>
        <w:t>homicidio</w:t>
      </w:r>
      <w:r w:rsidRPr="002367BA">
        <w:rPr>
          <w:rFonts w:ascii="Cambria" w:hAnsi="Cambria" w:cs="Calibri Light"/>
          <w:sz w:val="20"/>
          <w:szCs w:val="20"/>
          <w:lang w:val="es-ES"/>
        </w:rPr>
        <w:t>. Al mismo tiempo, la Comisión insta al Estado a adoptar las medidas legislativas necesarias o de otra índole para asegurar que no se imponga la pena de muerte obligatoria y que informe a la CIDH sobre estas medidas</w:t>
      </w:r>
      <w:r w:rsidR="001C115D" w:rsidRPr="002367BA">
        <w:rPr>
          <w:rFonts w:ascii="Cambria" w:hAnsi="Cambria" w:cs="Calibri Light"/>
          <w:sz w:val="20"/>
          <w:szCs w:val="20"/>
          <w:lang w:val="es-ES"/>
        </w:rPr>
        <w:t xml:space="preserve"> adoptadas. Por esto, la Comisión considera que la Recomendación 2 ha sido parcialmente cumplida</w:t>
      </w:r>
      <w:r w:rsidR="00371B8A" w:rsidRPr="002367BA">
        <w:rPr>
          <w:rFonts w:ascii="Cambria" w:hAnsi="Cambria" w:cs="Calibri Light"/>
          <w:sz w:val="20"/>
          <w:szCs w:val="20"/>
          <w:lang w:val="es-ES"/>
        </w:rPr>
        <w:t>.</w:t>
      </w:r>
      <w:r w:rsidR="00371B8A" w:rsidRPr="002367BA">
        <w:rPr>
          <w:rFonts w:ascii="Cambria" w:hAnsi="Cambria"/>
          <w:sz w:val="20"/>
          <w:szCs w:val="20"/>
          <w:lang w:val="es-ES"/>
        </w:rPr>
        <w:t xml:space="preserve">     </w:t>
      </w:r>
    </w:p>
    <w:p w:rsidR="00371B8A" w:rsidRPr="002367BA" w:rsidRDefault="00371B8A" w:rsidP="00371B8A">
      <w:pPr>
        <w:pStyle w:val="ListParagraph"/>
        <w:spacing w:after="0" w:line="240" w:lineRule="auto"/>
        <w:ind w:left="0" w:firstLine="720"/>
        <w:jc w:val="both"/>
        <w:rPr>
          <w:rFonts w:ascii="Cambria" w:hAnsi="Cambria" w:cs="Calibri Light"/>
          <w:sz w:val="20"/>
          <w:szCs w:val="20"/>
          <w:highlight w:val="lightGray"/>
          <w:lang w:val="es-ES"/>
        </w:rPr>
      </w:pPr>
    </w:p>
    <w:p w:rsidR="00371B8A" w:rsidRPr="002367BA" w:rsidRDefault="001C115D" w:rsidP="00C76DA2">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b/>
          <w:sz w:val="20"/>
          <w:szCs w:val="20"/>
          <w:lang w:val="es-ES"/>
        </w:rPr>
        <w:t>Con respecto a la tercera recomendaci</w:t>
      </w:r>
      <w:r w:rsidR="00E734F6" w:rsidRPr="002367BA">
        <w:rPr>
          <w:rFonts w:ascii="Cambria" w:hAnsi="Cambria" w:cs="Calibri Light"/>
          <w:b/>
          <w:sz w:val="20"/>
          <w:szCs w:val="20"/>
          <w:lang w:val="es-ES"/>
        </w:rPr>
        <w:t>ó</w:t>
      </w:r>
      <w:r w:rsidRPr="002367BA">
        <w:rPr>
          <w:rFonts w:ascii="Cambria" w:hAnsi="Cambria" w:cs="Calibri Light"/>
          <w:b/>
          <w:sz w:val="20"/>
          <w:szCs w:val="20"/>
          <w:lang w:val="es-ES"/>
        </w:rPr>
        <w:t xml:space="preserve">n, </w:t>
      </w:r>
      <w:r w:rsidRPr="002367BA">
        <w:rPr>
          <w:rFonts w:ascii="Cambria" w:hAnsi="Cambria" w:cs="Calibri Light"/>
          <w:sz w:val="20"/>
          <w:szCs w:val="20"/>
          <w:lang w:val="es-ES"/>
        </w:rPr>
        <w:t>el Estado no ha p</w:t>
      </w:r>
      <w:r w:rsidR="00601491" w:rsidRPr="002367BA">
        <w:rPr>
          <w:rFonts w:ascii="Cambria" w:hAnsi="Cambria" w:cs="Calibri Light"/>
          <w:sz w:val="20"/>
          <w:szCs w:val="20"/>
          <w:lang w:val="es-ES"/>
        </w:rPr>
        <w:t>r</w:t>
      </w:r>
      <w:r w:rsidRPr="002367BA">
        <w:rPr>
          <w:rFonts w:ascii="Cambria" w:hAnsi="Cambria" w:cs="Calibri Light"/>
          <w:sz w:val="20"/>
          <w:szCs w:val="20"/>
          <w:lang w:val="es-ES"/>
        </w:rPr>
        <w:t>esent</w:t>
      </w:r>
      <w:r w:rsidR="00E734F6" w:rsidRPr="002367BA">
        <w:rPr>
          <w:rFonts w:ascii="Cambria" w:hAnsi="Cambria" w:cs="Calibri Light"/>
          <w:sz w:val="20"/>
          <w:szCs w:val="20"/>
          <w:lang w:val="es-ES"/>
        </w:rPr>
        <w:t>a</w:t>
      </w:r>
      <w:r w:rsidRPr="002367BA">
        <w:rPr>
          <w:rFonts w:ascii="Cambria" w:hAnsi="Cambria" w:cs="Calibri Light"/>
          <w:sz w:val="20"/>
          <w:szCs w:val="20"/>
          <w:lang w:val="es-ES"/>
        </w:rPr>
        <w:t xml:space="preserve">do información sobre el cumplimiento </w:t>
      </w:r>
      <w:r w:rsidR="00E734F6" w:rsidRPr="002367BA">
        <w:rPr>
          <w:rFonts w:ascii="Cambria" w:hAnsi="Cambria" w:cs="Calibri Light"/>
          <w:sz w:val="20"/>
          <w:szCs w:val="20"/>
          <w:lang w:val="es-ES"/>
        </w:rPr>
        <w:t>d</w:t>
      </w:r>
      <w:r w:rsidRPr="002367BA">
        <w:rPr>
          <w:rFonts w:ascii="Cambria" w:hAnsi="Cambria" w:cs="Calibri Light"/>
          <w:sz w:val="20"/>
          <w:szCs w:val="20"/>
          <w:lang w:val="es-ES"/>
        </w:rPr>
        <w:t>e esta recomendación</w:t>
      </w:r>
      <w:r w:rsidR="00371B8A" w:rsidRPr="002367BA">
        <w:rPr>
          <w:rFonts w:ascii="Cambria" w:hAnsi="Cambria" w:cs="Calibri Light"/>
          <w:sz w:val="20"/>
          <w:szCs w:val="20"/>
          <w:lang w:val="es-ES"/>
        </w:rPr>
        <w:t xml:space="preserve">. </w:t>
      </w:r>
    </w:p>
    <w:p w:rsidR="00371B8A" w:rsidRPr="002367BA" w:rsidRDefault="00371B8A" w:rsidP="00371B8A">
      <w:pPr>
        <w:pStyle w:val="ListParagraph"/>
        <w:rPr>
          <w:rFonts w:ascii="Cambria" w:hAnsi="Cambria" w:cs="Calibri Light"/>
          <w:sz w:val="20"/>
          <w:szCs w:val="20"/>
          <w:lang w:val="es-ES"/>
        </w:rPr>
      </w:pPr>
    </w:p>
    <w:p w:rsidR="00371B8A" w:rsidRPr="002367BA" w:rsidRDefault="00E734F6" w:rsidP="00C76DA2">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 xml:space="preserve">En 2015 los peticionarios informaron que como resultado de la decisión del Consejo Privado en el caso </w:t>
      </w:r>
      <w:r w:rsidRPr="002367BA">
        <w:rPr>
          <w:rFonts w:ascii="Cambria" w:hAnsi="Cambria" w:cs="Calibri Light"/>
          <w:i/>
          <w:sz w:val="20"/>
          <w:szCs w:val="20"/>
          <w:lang w:val="es-ES"/>
        </w:rPr>
        <w:t xml:space="preserve">Lewis v. Attorney General </w:t>
      </w:r>
      <w:r w:rsidR="00371B8A" w:rsidRPr="002367BA">
        <w:rPr>
          <w:rFonts w:ascii="Cambria" w:hAnsi="Cambria" w:cs="Calibri Light"/>
          <w:i/>
          <w:sz w:val="20"/>
          <w:szCs w:val="20"/>
          <w:lang w:val="es-ES"/>
        </w:rPr>
        <w:t>of Jamaica</w:t>
      </w:r>
      <w:r w:rsidR="00371B8A" w:rsidRPr="002367BA">
        <w:rPr>
          <w:rStyle w:val="FootnoteReference"/>
          <w:rFonts w:ascii="Cambria" w:hAnsi="Cambria" w:cs="Calibri Light"/>
          <w:sz w:val="20"/>
          <w:szCs w:val="20"/>
          <w:lang w:val="es-ES"/>
        </w:rPr>
        <w:footnoteReference w:id="4"/>
      </w:r>
      <w:r w:rsidR="00371B8A" w:rsidRPr="002367BA">
        <w:rPr>
          <w:rFonts w:ascii="Cambria" w:hAnsi="Cambria" w:cs="Calibri Light"/>
          <w:i/>
          <w:sz w:val="20"/>
          <w:szCs w:val="20"/>
          <w:lang w:val="es-ES"/>
        </w:rPr>
        <w:t xml:space="preserve"> </w:t>
      </w:r>
      <w:r w:rsidR="000D165B" w:rsidRPr="002367BA">
        <w:rPr>
          <w:rFonts w:ascii="Cambria" w:hAnsi="Cambria" w:cs="Calibri Light"/>
          <w:sz w:val="20"/>
          <w:szCs w:val="20"/>
          <w:lang w:val="es-ES"/>
        </w:rPr>
        <w:t>e</w:t>
      </w:r>
      <w:r w:rsidR="00371B8A" w:rsidRPr="002367BA">
        <w:rPr>
          <w:rFonts w:ascii="Cambria" w:hAnsi="Cambria" w:cs="Calibri Light"/>
          <w:sz w:val="20"/>
          <w:szCs w:val="20"/>
          <w:lang w:val="es-ES"/>
        </w:rPr>
        <w:t xml:space="preserve">n 2000, </w:t>
      </w:r>
      <w:r w:rsidR="000D165B" w:rsidRPr="002367BA">
        <w:rPr>
          <w:rFonts w:ascii="Cambria" w:hAnsi="Cambria" w:cs="Calibri Light"/>
          <w:sz w:val="20"/>
          <w:szCs w:val="20"/>
          <w:lang w:val="es-ES"/>
        </w:rPr>
        <w:t xml:space="preserve">se le requiere al Estado de </w:t>
      </w:r>
      <w:r w:rsidR="00411990" w:rsidRPr="002367BA">
        <w:rPr>
          <w:rFonts w:ascii="Cambria" w:hAnsi="Cambria" w:cs="Calibri Light"/>
          <w:sz w:val="20"/>
          <w:szCs w:val="20"/>
          <w:lang w:val="es-ES"/>
        </w:rPr>
        <w:t>Granada</w:t>
      </w:r>
      <w:r w:rsidR="000D165B" w:rsidRPr="002367BA">
        <w:rPr>
          <w:rFonts w:ascii="Cambria" w:hAnsi="Cambria" w:cs="Calibri Light"/>
          <w:sz w:val="20"/>
          <w:szCs w:val="20"/>
          <w:lang w:val="es-ES"/>
        </w:rPr>
        <w:t xml:space="preserve"> adoptar procedimientos justos y adecuados para el otorgamiento de clemencia. No obstante, los peticionarios informaron en 2018 que el Estado aún no ha adoptado ninguna medida legislativa para alterar sus procedimientos internos.</w:t>
      </w:r>
      <w:r w:rsidR="00371B8A" w:rsidRPr="002367BA">
        <w:rPr>
          <w:rFonts w:ascii="Cambria" w:hAnsi="Cambria" w:cs="Calibri Light"/>
          <w:sz w:val="20"/>
          <w:szCs w:val="20"/>
          <w:lang w:val="es-ES"/>
        </w:rPr>
        <w:t xml:space="preserve"> </w:t>
      </w:r>
    </w:p>
    <w:p w:rsidR="00371B8A" w:rsidRPr="002367BA" w:rsidRDefault="00371B8A" w:rsidP="00371B8A">
      <w:pPr>
        <w:pStyle w:val="ListParagraph"/>
        <w:rPr>
          <w:rFonts w:ascii="Cambria" w:hAnsi="Cambria" w:cs="Calibri Light"/>
          <w:sz w:val="20"/>
          <w:szCs w:val="20"/>
          <w:lang w:val="es-ES"/>
        </w:rPr>
      </w:pPr>
    </w:p>
    <w:p w:rsidR="00371B8A" w:rsidRPr="002367BA" w:rsidRDefault="00E72C34" w:rsidP="00C76DA2">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La Comisión insta al Estado a adoptar medidas para cumplir con esta recomendación y que informe al respecto a la Comisión. Por esto, la Comisión considera que la Recomendaci</w:t>
      </w:r>
      <w:r w:rsidR="004A2FFF" w:rsidRPr="002367BA">
        <w:rPr>
          <w:rFonts w:ascii="Cambria" w:hAnsi="Cambria" w:cs="Calibri Light"/>
          <w:sz w:val="20"/>
          <w:szCs w:val="20"/>
          <w:lang w:val="es-ES"/>
        </w:rPr>
        <w:t>ó</w:t>
      </w:r>
      <w:r w:rsidRPr="002367BA">
        <w:rPr>
          <w:rFonts w:ascii="Cambria" w:hAnsi="Cambria" w:cs="Calibri Light"/>
          <w:sz w:val="20"/>
          <w:szCs w:val="20"/>
          <w:lang w:val="es-ES"/>
        </w:rPr>
        <w:t>n 3 ha sido parcialmente cumplida</w:t>
      </w:r>
      <w:r w:rsidR="00371B8A" w:rsidRPr="002367BA">
        <w:rPr>
          <w:rFonts w:ascii="Cambria" w:hAnsi="Cambria" w:cs="Calibri Light"/>
          <w:sz w:val="20"/>
          <w:szCs w:val="20"/>
          <w:lang w:val="es-ES"/>
        </w:rPr>
        <w:t xml:space="preserve">. </w:t>
      </w:r>
    </w:p>
    <w:p w:rsidR="00371B8A" w:rsidRPr="002367BA" w:rsidRDefault="00371B8A" w:rsidP="00371B8A">
      <w:pPr>
        <w:pStyle w:val="ListParagraph"/>
        <w:rPr>
          <w:rFonts w:ascii="Cambria" w:hAnsi="Cambria" w:cs="Calibri Light"/>
          <w:b/>
          <w:sz w:val="20"/>
          <w:szCs w:val="20"/>
          <w:lang w:val="es-ES"/>
        </w:rPr>
      </w:pPr>
    </w:p>
    <w:p w:rsidR="00371B8A" w:rsidRPr="002367BA" w:rsidRDefault="004A2FFF" w:rsidP="00C76DA2">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b/>
          <w:sz w:val="20"/>
          <w:szCs w:val="20"/>
          <w:lang w:val="es-ES"/>
        </w:rPr>
        <w:t xml:space="preserve">Con </w:t>
      </w:r>
      <w:r w:rsidRPr="00AA23AC">
        <w:rPr>
          <w:rFonts w:ascii="Cambria" w:hAnsi="Cambria" w:cs="Calibri Light"/>
          <w:b/>
          <w:sz w:val="20"/>
          <w:szCs w:val="20"/>
          <w:lang w:val="es-ES"/>
        </w:rPr>
        <w:t>respecto</w:t>
      </w:r>
      <w:r w:rsidRPr="002367BA">
        <w:rPr>
          <w:rFonts w:ascii="Cambria" w:hAnsi="Cambria" w:cs="Calibri Light"/>
          <w:b/>
          <w:sz w:val="20"/>
          <w:szCs w:val="20"/>
          <w:lang w:val="es-ES"/>
        </w:rPr>
        <w:t xml:space="preserve"> a las recomendaciones 4, 5 y 6, </w:t>
      </w:r>
      <w:r w:rsidRPr="002367BA">
        <w:rPr>
          <w:rFonts w:ascii="Cambria" w:hAnsi="Cambria" w:cs="Calibri Light"/>
          <w:sz w:val="20"/>
          <w:szCs w:val="20"/>
          <w:lang w:val="es-ES"/>
        </w:rPr>
        <w:t>el Estado no ha presen</w:t>
      </w:r>
      <w:r w:rsidR="006C5092" w:rsidRPr="002367BA">
        <w:rPr>
          <w:rFonts w:ascii="Cambria" w:hAnsi="Cambria" w:cs="Calibri Light"/>
          <w:sz w:val="20"/>
          <w:szCs w:val="20"/>
          <w:lang w:val="es-ES"/>
        </w:rPr>
        <w:t>t</w:t>
      </w:r>
      <w:r w:rsidRPr="002367BA">
        <w:rPr>
          <w:rFonts w:ascii="Cambria" w:hAnsi="Cambria" w:cs="Calibri Light"/>
          <w:sz w:val="20"/>
          <w:szCs w:val="20"/>
          <w:lang w:val="es-ES"/>
        </w:rPr>
        <w:t>ado informaci</w:t>
      </w:r>
      <w:r w:rsidR="006C5092" w:rsidRPr="002367BA">
        <w:rPr>
          <w:rFonts w:ascii="Cambria" w:hAnsi="Cambria" w:cs="Calibri Light"/>
          <w:sz w:val="20"/>
          <w:szCs w:val="20"/>
          <w:lang w:val="es-ES"/>
        </w:rPr>
        <w:t xml:space="preserve">ón </w:t>
      </w:r>
      <w:r w:rsidRPr="002367BA">
        <w:rPr>
          <w:rFonts w:ascii="Cambria" w:hAnsi="Cambria" w:cs="Calibri Light"/>
          <w:sz w:val="20"/>
          <w:szCs w:val="20"/>
          <w:lang w:val="es-ES"/>
        </w:rPr>
        <w:t>sobre el cumplimiento de estas recomendaciones</w:t>
      </w:r>
      <w:r w:rsidR="00371B8A" w:rsidRPr="002367BA">
        <w:rPr>
          <w:rFonts w:ascii="Cambria" w:hAnsi="Cambria" w:cs="Calibri Light"/>
          <w:sz w:val="20"/>
          <w:szCs w:val="20"/>
          <w:lang w:val="es-ES"/>
        </w:rPr>
        <w:t xml:space="preserve">. </w:t>
      </w:r>
    </w:p>
    <w:p w:rsidR="00371B8A" w:rsidRPr="002367BA" w:rsidRDefault="00371B8A" w:rsidP="00371B8A">
      <w:pPr>
        <w:pStyle w:val="ListParagraph"/>
        <w:rPr>
          <w:rFonts w:ascii="Cambria" w:hAnsi="Cambria" w:cs="Calibri Light"/>
          <w:sz w:val="20"/>
          <w:szCs w:val="20"/>
          <w:lang w:val="es-ES"/>
        </w:rPr>
      </w:pPr>
    </w:p>
    <w:p w:rsidR="00371B8A" w:rsidRPr="002367BA" w:rsidRDefault="006C5092" w:rsidP="00C76DA2">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E</w:t>
      </w:r>
      <w:r w:rsidR="00371B8A" w:rsidRPr="002367BA">
        <w:rPr>
          <w:rFonts w:ascii="Cambria" w:hAnsi="Cambria" w:cs="Calibri Light"/>
          <w:sz w:val="20"/>
          <w:szCs w:val="20"/>
          <w:lang w:val="es-ES"/>
        </w:rPr>
        <w:t xml:space="preserve">n 2018, </w:t>
      </w:r>
      <w:r w:rsidRPr="002367BA">
        <w:rPr>
          <w:rFonts w:ascii="Cambria" w:hAnsi="Cambria" w:cs="Calibri Light"/>
          <w:sz w:val="20"/>
          <w:szCs w:val="20"/>
          <w:lang w:val="es-ES"/>
        </w:rPr>
        <w:t>los peticionarios informaron que no h</w:t>
      </w:r>
      <w:r w:rsidR="00A94C21" w:rsidRPr="002367BA">
        <w:rPr>
          <w:rFonts w:ascii="Cambria" w:hAnsi="Cambria" w:cs="Calibri Light"/>
          <w:sz w:val="20"/>
          <w:szCs w:val="20"/>
          <w:lang w:val="es-ES"/>
        </w:rPr>
        <w:t>ubo</w:t>
      </w:r>
      <w:r w:rsidRPr="002367BA">
        <w:rPr>
          <w:rFonts w:ascii="Cambria" w:hAnsi="Cambria" w:cs="Calibri Light"/>
          <w:sz w:val="20"/>
          <w:szCs w:val="20"/>
          <w:lang w:val="es-ES"/>
        </w:rPr>
        <w:t xml:space="preserve"> </w:t>
      </w:r>
      <w:r w:rsidR="0026777E" w:rsidRPr="002367BA">
        <w:rPr>
          <w:rFonts w:ascii="Cambria" w:hAnsi="Cambria" w:cs="Calibri Light"/>
          <w:sz w:val="20"/>
          <w:szCs w:val="20"/>
          <w:lang w:val="es-ES"/>
        </w:rPr>
        <w:t>avances</w:t>
      </w:r>
      <w:r w:rsidRPr="002367BA">
        <w:rPr>
          <w:rFonts w:ascii="Cambria" w:hAnsi="Cambria" w:cs="Calibri Light"/>
          <w:sz w:val="20"/>
          <w:szCs w:val="20"/>
          <w:lang w:val="es-ES"/>
        </w:rPr>
        <w:t xml:space="preserve"> con respecto al cumplimiento de estas recomendaciones</w:t>
      </w:r>
      <w:r w:rsidR="00371B8A" w:rsidRPr="002367BA">
        <w:rPr>
          <w:rFonts w:ascii="Cambria" w:hAnsi="Cambria" w:cs="Calibri Light"/>
          <w:sz w:val="20"/>
          <w:szCs w:val="20"/>
          <w:lang w:val="es-ES"/>
        </w:rPr>
        <w:t xml:space="preserve">. </w:t>
      </w:r>
    </w:p>
    <w:p w:rsidR="00371B8A" w:rsidRPr="002367BA" w:rsidRDefault="00371B8A" w:rsidP="00371B8A">
      <w:pPr>
        <w:pStyle w:val="ListParagraph"/>
        <w:rPr>
          <w:rFonts w:ascii="Cambria" w:hAnsi="Cambria" w:cs="Calibri Light"/>
          <w:sz w:val="20"/>
          <w:szCs w:val="20"/>
          <w:lang w:val="es-ES"/>
        </w:rPr>
      </w:pPr>
    </w:p>
    <w:p w:rsidR="00371B8A" w:rsidRPr="002367BA" w:rsidRDefault="00854261" w:rsidP="00C76DA2">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 xml:space="preserve">La Comisión insta al Estado a que adopte medidas para cumplir estas recomendaciones </w:t>
      </w:r>
      <w:r w:rsidR="00A94C21" w:rsidRPr="002367BA">
        <w:rPr>
          <w:rFonts w:ascii="Cambria" w:hAnsi="Cambria" w:cs="Calibri Light"/>
          <w:sz w:val="20"/>
          <w:szCs w:val="20"/>
          <w:lang w:val="es-ES"/>
        </w:rPr>
        <w:t>y que</w:t>
      </w:r>
      <w:r w:rsidRPr="002367BA">
        <w:rPr>
          <w:rFonts w:ascii="Cambria" w:hAnsi="Cambria" w:cs="Calibri Light"/>
          <w:sz w:val="20"/>
          <w:szCs w:val="20"/>
          <w:lang w:val="es-ES"/>
        </w:rPr>
        <w:t xml:space="preserve"> info</w:t>
      </w:r>
      <w:r w:rsidR="00A94C21" w:rsidRPr="002367BA">
        <w:rPr>
          <w:rFonts w:ascii="Cambria" w:hAnsi="Cambria" w:cs="Calibri Light"/>
          <w:sz w:val="20"/>
          <w:szCs w:val="20"/>
          <w:lang w:val="es-ES"/>
        </w:rPr>
        <w:t>r</w:t>
      </w:r>
      <w:r w:rsidRPr="002367BA">
        <w:rPr>
          <w:rFonts w:ascii="Cambria" w:hAnsi="Cambria" w:cs="Calibri Light"/>
          <w:sz w:val="20"/>
          <w:szCs w:val="20"/>
          <w:lang w:val="es-ES"/>
        </w:rPr>
        <w:t xml:space="preserve">me a la Comisión sobre las mismas. </w:t>
      </w:r>
      <w:r w:rsidR="00A94C21" w:rsidRPr="002367BA">
        <w:rPr>
          <w:rFonts w:ascii="Cambria" w:hAnsi="Cambria" w:cs="Calibri Light"/>
          <w:sz w:val="20"/>
          <w:szCs w:val="20"/>
          <w:lang w:val="es-ES"/>
        </w:rPr>
        <w:t>En virtud de lo cual</w:t>
      </w:r>
      <w:r w:rsidRPr="002367BA">
        <w:rPr>
          <w:rFonts w:ascii="Cambria" w:hAnsi="Cambria" w:cs="Calibri Light"/>
          <w:sz w:val="20"/>
          <w:szCs w:val="20"/>
          <w:lang w:val="es-ES"/>
        </w:rPr>
        <w:t>, la Comisión considera que</w:t>
      </w:r>
      <w:r w:rsidR="00234C3B" w:rsidRPr="002367BA">
        <w:rPr>
          <w:rFonts w:ascii="Cambria" w:hAnsi="Cambria" w:cs="Calibri Light"/>
          <w:sz w:val="20"/>
          <w:szCs w:val="20"/>
          <w:lang w:val="es-ES"/>
        </w:rPr>
        <w:t xml:space="preserve"> </w:t>
      </w:r>
      <w:r w:rsidRPr="002367BA">
        <w:rPr>
          <w:rFonts w:ascii="Cambria" w:hAnsi="Cambria" w:cs="Calibri Light"/>
          <w:sz w:val="20"/>
          <w:szCs w:val="20"/>
          <w:lang w:val="es-ES"/>
        </w:rPr>
        <w:t>las Recomendaciones</w:t>
      </w:r>
      <w:r w:rsidR="00371B8A" w:rsidRPr="002367BA">
        <w:rPr>
          <w:rFonts w:ascii="Cambria" w:hAnsi="Cambria" w:cs="Calibri Light"/>
          <w:sz w:val="20"/>
          <w:szCs w:val="20"/>
          <w:lang w:val="es-ES"/>
        </w:rPr>
        <w:t xml:space="preserve"> 4, 5 </w:t>
      </w:r>
      <w:r w:rsidRPr="002367BA">
        <w:rPr>
          <w:rFonts w:ascii="Cambria" w:hAnsi="Cambria" w:cs="Calibri Light"/>
          <w:sz w:val="20"/>
          <w:szCs w:val="20"/>
          <w:lang w:val="es-ES"/>
        </w:rPr>
        <w:t>y</w:t>
      </w:r>
      <w:r w:rsidR="00371B8A" w:rsidRPr="002367BA">
        <w:rPr>
          <w:rFonts w:ascii="Cambria" w:hAnsi="Cambria" w:cs="Calibri Light"/>
          <w:sz w:val="20"/>
          <w:szCs w:val="20"/>
          <w:lang w:val="es-ES"/>
        </w:rPr>
        <w:t xml:space="preserve"> 6 </w:t>
      </w:r>
      <w:r w:rsidR="0026777E" w:rsidRPr="002367BA">
        <w:rPr>
          <w:rFonts w:ascii="Cambria" w:hAnsi="Cambria" w:cs="Calibri Light"/>
          <w:sz w:val="20"/>
          <w:szCs w:val="20"/>
          <w:lang w:val="es-ES"/>
        </w:rPr>
        <w:t xml:space="preserve">se encuentra </w:t>
      </w:r>
      <w:r w:rsidR="00234C3B" w:rsidRPr="002367BA">
        <w:rPr>
          <w:rFonts w:ascii="Cambria" w:hAnsi="Cambria" w:cs="Calibri Light"/>
          <w:sz w:val="20"/>
          <w:szCs w:val="20"/>
          <w:lang w:val="es-ES"/>
        </w:rPr>
        <w:t>pendiente</w:t>
      </w:r>
      <w:r w:rsidR="0026777E" w:rsidRPr="002367BA">
        <w:rPr>
          <w:rFonts w:ascii="Cambria" w:hAnsi="Cambria" w:cs="Calibri Light"/>
          <w:sz w:val="20"/>
          <w:szCs w:val="20"/>
          <w:lang w:val="es-ES"/>
        </w:rPr>
        <w:t>s de cumplimiento</w:t>
      </w:r>
      <w:r w:rsidR="00371B8A" w:rsidRPr="002367BA">
        <w:rPr>
          <w:rFonts w:ascii="Cambria" w:hAnsi="Cambria" w:cs="Calibri Light"/>
          <w:sz w:val="20"/>
          <w:szCs w:val="20"/>
          <w:lang w:val="es-ES"/>
        </w:rPr>
        <w:t>.</w:t>
      </w:r>
    </w:p>
    <w:p w:rsidR="00371B8A" w:rsidRPr="002367BA" w:rsidRDefault="00371B8A" w:rsidP="00371B8A">
      <w:pPr>
        <w:pStyle w:val="ListParagraph"/>
        <w:spacing w:after="0" w:line="240" w:lineRule="auto"/>
        <w:jc w:val="both"/>
        <w:rPr>
          <w:rFonts w:ascii="Cambria" w:hAnsi="Cambria"/>
          <w:sz w:val="20"/>
          <w:szCs w:val="20"/>
          <w:lang w:val="es-ES"/>
        </w:rPr>
      </w:pPr>
    </w:p>
    <w:p w:rsidR="00C76DA2" w:rsidRDefault="00C76DA2">
      <w:pPr>
        <w:rPr>
          <w:rFonts w:ascii="Cambria" w:eastAsia="Calibri" w:hAnsi="Cambria" w:cs="Calibri Light"/>
          <w:b/>
          <w:sz w:val="20"/>
          <w:szCs w:val="20"/>
          <w:lang w:val="es-ES"/>
        </w:rPr>
      </w:pPr>
      <w:r>
        <w:rPr>
          <w:rFonts w:ascii="Cambria" w:hAnsi="Cambria" w:cs="Calibri Light"/>
          <w:b/>
          <w:sz w:val="20"/>
          <w:szCs w:val="20"/>
          <w:lang w:val="es-ES"/>
        </w:rPr>
        <w:br w:type="page"/>
      </w:r>
    </w:p>
    <w:p w:rsidR="00371B8A" w:rsidRPr="002367BA" w:rsidRDefault="00371B8A" w:rsidP="00C76DA2">
      <w:pPr>
        <w:pStyle w:val="ListParagraph"/>
        <w:numPr>
          <w:ilvl w:val="0"/>
          <w:numId w:val="1"/>
        </w:numPr>
        <w:spacing w:after="0" w:line="240" w:lineRule="auto"/>
        <w:ind w:left="1440"/>
        <w:jc w:val="both"/>
        <w:rPr>
          <w:rFonts w:ascii="Cambria" w:hAnsi="Cambria" w:cs="Calibri Light"/>
          <w:b/>
          <w:sz w:val="20"/>
          <w:szCs w:val="20"/>
          <w:lang w:val="es-ES"/>
        </w:rPr>
      </w:pPr>
      <w:r w:rsidRPr="002367BA">
        <w:rPr>
          <w:rFonts w:ascii="Cambria" w:hAnsi="Cambria" w:cs="Calibri Light"/>
          <w:b/>
          <w:sz w:val="20"/>
          <w:szCs w:val="20"/>
          <w:lang w:val="es-ES"/>
        </w:rPr>
        <w:lastRenderedPageBreak/>
        <w:t xml:space="preserve">Nivel del cumplimiento del caso  </w:t>
      </w:r>
    </w:p>
    <w:p w:rsidR="00371B8A" w:rsidRPr="002367BA" w:rsidRDefault="00371B8A" w:rsidP="00371B8A">
      <w:pPr>
        <w:spacing w:after="0" w:line="240" w:lineRule="auto"/>
        <w:jc w:val="both"/>
        <w:rPr>
          <w:rFonts w:ascii="Cambria" w:hAnsi="Cambria" w:cs="Calibri Light"/>
          <w:sz w:val="20"/>
          <w:szCs w:val="20"/>
          <w:lang w:val="es-ES"/>
        </w:rPr>
      </w:pPr>
    </w:p>
    <w:p w:rsidR="00371B8A" w:rsidRPr="002367BA" w:rsidRDefault="00D26E78" w:rsidP="00C76DA2">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 xml:space="preserve">Por lo anterior, la Comisión concluye que el nivel de cumplimiento del caso es parcial. En consecuencia, la CIDH seguirá supervisando el cumplimiento de las Recomendaciones </w:t>
      </w:r>
      <w:r w:rsidR="00371B8A" w:rsidRPr="002367BA">
        <w:rPr>
          <w:rFonts w:ascii="Cambria" w:hAnsi="Cambria" w:cs="Calibri Light"/>
          <w:sz w:val="20"/>
          <w:szCs w:val="20"/>
          <w:lang w:val="es-ES"/>
        </w:rPr>
        <w:t>1, 2, 3, 4</w:t>
      </w:r>
      <w:r w:rsidR="0026777E" w:rsidRPr="002367BA">
        <w:rPr>
          <w:rFonts w:ascii="Cambria" w:hAnsi="Cambria" w:cs="Calibri Light"/>
          <w:sz w:val="20"/>
          <w:szCs w:val="20"/>
          <w:lang w:val="es-ES"/>
        </w:rPr>
        <w:t>,</w:t>
      </w:r>
      <w:r w:rsidR="00371B8A" w:rsidRPr="002367BA">
        <w:rPr>
          <w:rFonts w:ascii="Cambria" w:hAnsi="Cambria" w:cs="Calibri Light"/>
          <w:sz w:val="20"/>
          <w:szCs w:val="20"/>
          <w:lang w:val="es-ES"/>
        </w:rPr>
        <w:t xml:space="preserve"> 5</w:t>
      </w:r>
      <w:r w:rsidR="0026777E" w:rsidRPr="002367BA">
        <w:rPr>
          <w:rFonts w:ascii="Cambria" w:hAnsi="Cambria" w:cs="Calibri Light"/>
          <w:sz w:val="20"/>
          <w:szCs w:val="20"/>
          <w:lang w:val="es-ES"/>
        </w:rPr>
        <w:t xml:space="preserve"> y 6</w:t>
      </w:r>
      <w:r w:rsidR="00371B8A" w:rsidRPr="002367BA">
        <w:rPr>
          <w:rFonts w:ascii="Cambria" w:hAnsi="Cambria" w:cs="Calibri Light"/>
          <w:sz w:val="20"/>
          <w:szCs w:val="20"/>
          <w:lang w:val="es-ES"/>
        </w:rPr>
        <w:t>.</w:t>
      </w:r>
    </w:p>
    <w:p w:rsidR="00371B8A" w:rsidRPr="002367BA" w:rsidRDefault="00371B8A" w:rsidP="00371B8A">
      <w:pPr>
        <w:pStyle w:val="ListParagraph"/>
        <w:spacing w:after="0" w:line="240" w:lineRule="auto"/>
        <w:ind w:left="0" w:firstLine="720"/>
        <w:jc w:val="both"/>
        <w:rPr>
          <w:rFonts w:ascii="Cambria" w:hAnsi="Cambria" w:cs="Calibri Light"/>
          <w:sz w:val="20"/>
          <w:szCs w:val="20"/>
          <w:lang w:val="es-ES"/>
        </w:rPr>
      </w:pPr>
    </w:p>
    <w:p w:rsidR="00371B8A" w:rsidRPr="002367BA" w:rsidRDefault="00797031" w:rsidP="00C76DA2">
      <w:pPr>
        <w:pStyle w:val="ListParagraph"/>
        <w:numPr>
          <w:ilvl w:val="0"/>
          <w:numId w:val="29"/>
        </w:numPr>
        <w:spacing w:after="0" w:line="240" w:lineRule="auto"/>
        <w:ind w:left="0" w:firstLine="720"/>
        <w:jc w:val="both"/>
        <w:rPr>
          <w:rFonts w:ascii="Cambria" w:hAnsi="Cambria" w:cs="Calibri Light"/>
          <w:sz w:val="20"/>
          <w:szCs w:val="20"/>
          <w:lang w:val="es-ES"/>
        </w:rPr>
      </w:pPr>
      <w:r w:rsidRPr="002367BA">
        <w:rPr>
          <w:rFonts w:ascii="Cambria" w:hAnsi="Cambria" w:cs="Calibri Light"/>
          <w:sz w:val="20"/>
          <w:szCs w:val="20"/>
          <w:lang w:val="es-ES"/>
        </w:rPr>
        <w:t>La Comisión acoge con beneplácito la información presentada por los peticionarios que indica que la sentencia del señor Lallion ha sido conmutada y que él ha sido puesto en libertad; así como los aspectos positivos de las decisiones del Comité Judicial del Consejo Privado que resultó en que ya no se aplica en Gr</w:t>
      </w:r>
      <w:r w:rsidR="0026777E" w:rsidRPr="002367BA">
        <w:rPr>
          <w:rFonts w:ascii="Cambria" w:hAnsi="Cambria" w:cs="Calibri Light"/>
          <w:sz w:val="20"/>
          <w:szCs w:val="20"/>
          <w:lang w:val="es-ES"/>
        </w:rPr>
        <w:t>a</w:t>
      </w:r>
      <w:r w:rsidRPr="002367BA">
        <w:rPr>
          <w:rFonts w:ascii="Cambria" w:hAnsi="Cambria" w:cs="Calibri Light"/>
          <w:sz w:val="20"/>
          <w:szCs w:val="20"/>
          <w:lang w:val="es-ES"/>
        </w:rPr>
        <w:t xml:space="preserve">nada la sentencia de muerte obligatoria. Al mismo tiempo, la CIDH insta al Estado a que adopte las medidas legislativas y de otra índole para cumplir plenamente con las recomendaciones contenidas en el Informe </w:t>
      </w:r>
      <w:r w:rsidR="0026777E" w:rsidRPr="002367BA">
        <w:rPr>
          <w:rFonts w:ascii="Cambria" w:hAnsi="Cambria" w:cs="Calibri Light"/>
          <w:sz w:val="20"/>
          <w:szCs w:val="20"/>
          <w:lang w:val="es-ES"/>
        </w:rPr>
        <w:t>de Fondo N</w:t>
      </w:r>
      <w:r w:rsidR="0026777E" w:rsidRPr="002367BA">
        <w:rPr>
          <w:rFonts w:ascii="Cambria" w:hAnsi="Cambria"/>
          <w:b/>
          <w:sz w:val="20"/>
          <w:szCs w:val="20"/>
          <w:lang w:val="es-ES"/>
        </w:rPr>
        <w:t>º.</w:t>
      </w:r>
      <w:r w:rsidR="0026777E" w:rsidRPr="002367BA">
        <w:rPr>
          <w:rFonts w:ascii="Cambria" w:hAnsi="Cambria" w:cs="Calibri Light"/>
          <w:sz w:val="20"/>
          <w:szCs w:val="20"/>
          <w:lang w:val="es-ES"/>
        </w:rPr>
        <w:t xml:space="preserve"> </w:t>
      </w:r>
      <w:r w:rsidRPr="002367BA">
        <w:rPr>
          <w:rFonts w:ascii="Cambria" w:hAnsi="Cambria" w:cs="Calibri Light"/>
          <w:sz w:val="20"/>
          <w:szCs w:val="20"/>
          <w:lang w:val="es-ES"/>
        </w:rPr>
        <w:t xml:space="preserve"> 55/02 y que presente a la Comisión información detallada sobre estas medidas</w:t>
      </w:r>
      <w:r w:rsidR="00371B8A" w:rsidRPr="002367BA">
        <w:rPr>
          <w:rFonts w:ascii="Cambria" w:hAnsi="Cambria" w:cs="Calibri Light"/>
          <w:sz w:val="20"/>
          <w:szCs w:val="20"/>
          <w:lang w:val="es-ES"/>
        </w:rPr>
        <w:t xml:space="preserve">. </w:t>
      </w:r>
    </w:p>
    <w:p w:rsidR="00371B8A" w:rsidRPr="002367BA" w:rsidRDefault="00371B8A" w:rsidP="00371B8A">
      <w:pPr>
        <w:spacing w:after="0" w:line="240" w:lineRule="auto"/>
        <w:jc w:val="both"/>
        <w:rPr>
          <w:rFonts w:ascii="Cambria" w:hAnsi="Cambria" w:cs="Calibri Light"/>
          <w:sz w:val="20"/>
          <w:szCs w:val="20"/>
          <w:lang w:val="es-ES"/>
        </w:rPr>
      </w:pPr>
    </w:p>
    <w:p w:rsidR="00371B8A" w:rsidRPr="002367BA" w:rsidRDefault="00371B8A" w:rsidP="00C76DA2">
      <w:pPr>
        <w:pStyle w:val="ListParagraph"/>
        <w:numPr>
          <w:ilvl w:val="0"/>
          <w:numId w:val="1"/>
        </w:numPr>
        <w:spacing w:after="0" w:line="240" w:lineRule="auto"/>
        <w:ind w:left="1440"/>
        <w:jc w:val="both"/>
        <w:rPr>
          <w:rFonts w:ascii="Cambria" w:hAnsi="Cambria" w:cs="Calibri Light"/>
          <w:b/>
          <w:sz w:val="20"/>
          <w:szCs w:val="20"/>
          <w:lang w:val="es-ES"/>
        </w:rPr>
      </w:pPr>
      <w:r w:rsidRPr="002367BA">
        <w:rPr>
          <w:rFonts w:ascii="Cambria" w:hAnsi="Cambria" w:cs="Calibri Light"/>
          <w:b/>
          <w:sz w:val="20"/>
          <w:szCs w:val="20"/>
          <w:lang w:val="es-ES"/>
        </w:rPr>
        <w:t xml:space="preserve">Resultados individuales y estructurales del caso </w:t>
      </w:r>
    </w:p>
    <w:p w:rsidR="00371B8A" w:rsidRPr="002367BA" w:rsidRDefault="00371B8A" w:rsidP="00371B8A">
      <w:pPr>
        <w:spacing w:after="0" w:line="240" w:lineRule="auto"/>
        <w:jc w:val="both"/>
        <w:rPr>
          <w:rFonts w:ascii="Cambria" w:hAnsi="Cambria"/>
          <w:sz w:val="20"/>
          <w:szCs w:val="20"/>
          <w:lang w:val="es-ES"/>
        </w:rPr>
      </w:pPr>
    </w:p>
    <w:p w:rsidR="00371B8A" w:rsidRPr="002367BA" w:rsidRDefault="002F0D2F" w:rsidP="00C76DA2">
      <w:pPr>
        <w:pStyle w:val="ListParagraph"/>
        <w:numPr>
          <w:ilvl w:val="0"/>
          <w:numId w:val="29"/>
        </w:numPr>
        <w:spacing w:after="0" w:line="240" w:lineRule="auto"/>
        <w:ind w:left="0" w:firstLine="720"/>
        <w:jc w:val="both"/>
        <w:rPr>
          <w:rFonts w:ascii="Cambria" w:hAnsi="Cambria"/>
          <w:sz w:val="20"/>
          <w:szCs w:val="20"/>
          <w:lang w:val="es-ES"/>
        </w:rPr>
      </w:pPr>
      <w:r w:rsidRPr="002367BA">
        <w:rPr>
          <w:rFonts w:ascii="Cambria" w:hAnsi="Cambria"/>
          <w:sz w:val="20"/>
          <w:szCs w:val="20"/>
          <w:lang w:val="es-ES"/>
        </w:rPr>
        <w:t xml:space="preserve">En esta </w:t>
      </w:r>
      <w:r w:rsidRPr="00C76DA2">
        <w:rPr>
          <w:rFonts w:ascii="Cambria" w:hAnsi="Cambria" w:cs="Calibri Light"/>
          <w:sz w:val="20"/>
          <w:szCs w:val="20"/>
          <w:lang w:val="es-ES"/>
        </w:rPr>
        <w:t>sección</w:t>
      </w:r>
      <w:r w:rsidRPr="002367BA">
        <w:rPr>
          <w:rFonts w:ascii="Cambria" w:hAnsi="Cambria"/>
          <w:sz w:val="20"/>
          <w:szCs w:val="20"/>
          <w:lang w:val="es-ES"/>
        </w:rPr>
        <w:t xml:space="preserve"> se destacan los resultaos individuales y estructurales del caso que han sido informados por las partes</w:t>
      </w:r>
      <w:r w:rsidR="00371B8A" w:rsidRPr="002367BA">
        <w:rPr>
          <w:rFonts w:ascii="Cambria" w:hAnsi="Cambria"/>
          <w:sz w:val="20"/>
          <w:szCs w:val="20"/>
          <w:lang w:val="es-ES"/>
        </w:rPr>
        <w:t xml:space="preserve">.  </w:t>
      </w:r>
    </w:p>
    <w:p w:rsidR="00371B8A" w:rsidRPr="002367BA" w:rsidRDefault="00371B8A" w:rsidP="00371B8A">
      <w:pPr>
        <w:spacing w:after="0" w:line="240" w:lineRule="auto"/>
        <w:jc w:val="both"/>
        <w:rPr>
          <w:rFonts w:ascii="Cambria" w:hAnsi="Cambria"/>
          <w:sz w:val="20"/>
          <w:szCs w:val="20"/>
          <w:lang w:val="es-ES"/>
        </w:rPr>
      </w:pPr>
    </w:p>
    <w:p w:rsidR="00371B8A" w:rsidRPr="002367BA" w:rsidRDefault="00371B8A" w:rsidP="00C76DA2">
      <w:pPr>
        <w:pStyle w:val="ListParagraph"/>
        <w:numPr>
          <w:ilvl w:val="0"/>
          <w:numId w:val="20"/>
        </w:numPr>
        <w:spacing w:after="0" w:line="240" w:lineRule="auto"/>
        <w:ind w:left="1440" w:hanging="720"/>
        <w:jc w:val="both"/>
        <w:rPr>
          <w:rFonts w:ascii="Cambria" w:hAnsi="Cambria" w:cs="Calibri Light"/>
          <w:b/>
          <w:sz w:val="20"/>
          <w:szCs w:val="20"/>
          <w:lang w:val="es-ES"/>
        </w:rPr>
      </w:pPr>
      <w:r w:rsidRPr="002367BA">
        <w:rPr>
          <w:rFonts w:ascii="Cambria" w:hAnsi="Cambria" w:cs="Calibri Light"/>
          <w:b/>
          <w:sz w:val="20"/>
          <w:szCs w:val="20"/>
          <w:lang w:val="es-ES"/>
        </w:rPr>
        <w:t>Resultados individuales del caso</w:t>
      </w:r>
    </w:p>
    <w:p w:rsidR="00371B8A" w:rsidRPr="002367BA" w:rsidRDefault="00371B8A" w:rsidP="00371B8A">
      <w:pPr>
        <w:spacing w:after="0" w:line="240" w:lineRule="auto"/>
        <w:jc w:val="both"/>
        <w:rPr>
          <w:rFonts w:ascii="Cambria" w:hAnsi="Cambria"/>
          <w:sz w:val="20"/>
          <w:szCs w:val="20"/>
          <w:lang w:val="es-ES"/>
        </w:rPr>
      </w:pPr>
    </w:p>
    <w:p w:rsidR="00371B8A" w:rsidRPr="002367BA" w:rsidRDefault="00371B8A" w:rsidP="00371B8A">
      <w:pPr>
        <w:spacing w:after="0" w:line="240" w:lineRule="auto"/>
        <w:jc w:val="both"/>
        <w:rPr>
          <w:rFonts w:ascii="Cambria" w:hAnsi="Cambria"/>
          <w:i/>
          <w:sz w:val="20"/>
          <w:szCs w:val="20"/>
          <w:lang w:val="es-ES"/>
        </w:rPr>
      </w:pPr>
      <w:r w:rsidRPr="002367BA">
        <w:rPr>
          <w:rFonts w:ascii="Cambria" w:hAnsi="Cambria"/>
          <w:i/>
          <w:sz w:val="20"/>
          <w:szCs w:val="20"/>
          <w:lang w:val="es-ES"/>
        </w:rPr>
        <w:t>Medidas de restitución en el ejercicio del derecho</w:t>
      </w:r>
    </w:p>
    <w:p w:rsidR="00371B8A" w:rsidRPr="002367BA" w:rsidRDefault="00CC785D" w:rsidP="00371B8A">
      <w:pPr>
        <w:pStyle w:val="ListParagraph"/>
        <w:numPr>
          <w:ilvl w:val="0"/>
          <w:numId w:val="4"/>
        </w:numPr>
        <w:spacing w:after="0" w:line="240" w:lineRule="auto"/>
        <w:jc w:val="both"/>
        <w:rPr>
          <w:rFonts w:ascii="Cambria" w:hAnsi="Cambria"/>
          <w:sz w:val="20"/>
          <w:szCs w:val="20"/>
          <w:lang w:val="es-ES"/>
        </w:rPr>
      </w:pPr>
      <w:r w:rsidRPr="002367BA">
        <w:rPr>
          <w:rFonts w:ascii="Cambria" w:hAnsi="Cambria"/>
          <w:sz w:val="20"/>
          <w:szCs w:val="20"/>
          <w:lang w:val="es-ES"/>
        </w:rPr>
        <w:t>La sentencia de pena de muerte del señor Paul Lallion fue conmutada por la Suprema Corte de Gr</w:t>
      </w:r>
      <w:r w:rsidR="00713EC7" w:rsidRPr="002367BA">
        <w:rPr>
          <w:rFonts w:ascii="Cambria" w:hAnsi="Cambria"/>
          <w:sz w:val="20"/>
          <w:szCs w:val="20"/>
          <w:lang w:val="es-ES"/>
        </w:rPr>
        <w:t>a</w:t>
      </w:r>
      <w:r w:rsidRPr="002367BA">
        <w:rPr>
          <w:rFonts w:ascii="Cambria" w:hAnsi="Cambria"/>
          <w:sz w:val="20"/>
          <w:szCs w:val="20"/>
          <w:lang w:val="es-ES"/>
        </w:rPr>
        <w:t>nada y recibió una sentencia de 25 años de prisión, en diciembre de 2009, y luego fue puesto en libertad</w:t>
      </w:r>
      <w:r w:rsidR="00371B8A" w:rsidRPr="002367BA">
        <w:rPr>
          <w:rFonts w:ascii="Cambria" w:hAnsi="Cambria"/>
          <w:sz w:val="20"/>
          <w:szCs w:val="20"/>
          <w:lang w:val="es-ES"/>
        </w:rPr>
        <w:t xml:space="preserve">.  </w:t>
      </w:r>
    </w:p>
    <w:p w:rsidR="00371B8A" w:rsidRPr="002367BA" w:rsidRDefault="00371B8A" w:rsidP="00371B8A">
      <w:pPr>
        <w:spacing w:after="0" w:line="240" w:lineRule="auto"/>
        <w:jc w:val="both"/>
        <w:rPr>
          <w:rFonts w:ascii="Cambria" w:hAnsi="Cambria"/>
          <w:sz w:val="20"/>
          <w:szCs w:val="20"/>
          <w:lang w:val="es-ES"/>
        </w:rPr>
      </w:pPr>
    </w:p>
    <w:p w:rsidR="00371B8A" w:rsidRDefault="00371B8A" w:rsidP="00C76DA2">
      <w:pPr>
        <w:pStyle w:val="ListParagraph"/>
        <w:numPr>
          <w:ilvl w:val="0"/>
          <w:numId w:val="20"/>
        </w:numPr>
        <w:spacing w:after="0" w:line="240" w:lineRule="auto"/>
        <w:ind w:left="1440" w:hanging="720"/>
        <w:jc w:val="both"/>
        <w:rPr>
          <w:rFonts w:ascii="Cambria" w:hAnsi="Cambria" w:cs="Calibri Light"/>
          <w:b/>
          <w:sz w:val="20"/>
          <w:szCs w:val="20"/>
          <w:lang w:val="es-ES"/>
        </w:rPr>
      </w:pPr>
      <w:r w:rsidRPr="002367BA">
        <w:rPr>
          <w:rFonts w:ascii="Cambria" w:hAnsi="Cambria" w:cs="Calibri Light"/>
          <w:b/>
          <w:sz w:val="20"/>
          <w:szCs w:val="20"/>
          <w:lang w:val="es-ES"/>
        </w:rPr>
        <w:t>Resultados estructurales del caso</w:t>
      </w:r>
    </w:p>
    <w:p w:rsidR="00C76DA2" w:rsidRPr="002367BA" w:rsidRDefault="00C76DA2" w:rsidP="00C76DA2">
      <w:pPr>
        <w:pStyle w:val="ListParagraph"/>
        <w:spacing w:after="0" w:line="240" w:lineRule="auto"/>
        <w:ind w:left="1440"/>
        <w:jc w:val="both"/>
        <w:rPr>
          <w:rFonts w:ascii="Cambria" w:hAnsi="Cambria" w:cs="Calibri Light"/>
          <w:b/>
          <w:sz w:val="20"/>
          <w:szCs w:val="20"/>
          <w:lang w:val="es-ES"/>
        </w:rPr>
      </w:pPr>
    </w:p>
    <w:p w:rsidR="00CD06C6" w:rsidRPr="00AA23AC" w:rsidRDefault="00AA23AC" w:rsidP="00AA23AC">
      <w:pPr>
        <w:spacing w:after="0" w:line="240" w:lineRule="auto"/>
        <w:jc w:val="both"/>
        <w:rPr>
          <w:rFonts w:ascii="Cambria" w:hAnsi="Cambria"/>
          <w:i/>
        </w:rPr>
      </w:pPr>
      <w:r>
        <w:rPr>
          <w:rFonts w:ascii="Cambria" w:hAnsi="Cambria"/>
          <w:i/>
        </w:rPr>
        <w:t>Medidas de no repetición</w:t>
      </w:r>
      <w:bookmarkStart w:id="3" w:name="_GoBack"/>
      <w:bookmarkEnd w:id="3"/>
    </w:p>
    <w:p w:rsidR="00713EC7" w:rsidRPr="002367BA" w:rsidRDefault="00835E9E" w:rsidP="00713EC7">
      <w:pPr>
        <w:pStyle w:val="ListParagraph"/>
        <w:numPr>
          <w:ilvl w:val="0"/>
          <w:numId w:val="4"/>
        </w:numPr>
        <w:spacing w:after="0" w:line="240" w:lineRule="auto"/>
        <w:jc w:val="both"/>
        <w:rPr>
          <w:rFonts w:ascii="Cambria" w:hAnsi="Cambria"/>
          <w:sz w:val="20"/>
          <w:szCs w:val="20"/>
          <w:lang w:val="es-ES"/>
        </w:rPr>
      </w:pPr>
      <w:r w:rsidRPr="002367BA">
        <w:rPr>
          <w:rFonts w:ascii="Cambria" w:hAnsi="Cambria"/>
          <w:sz w:val="20"/>
          <w:szCs w:val="20"/>
          <w:lang w:val="es-ES"/>
        </w:rPr>
        <w:t xml:space="preserve">Las decisiones del Comité Judicial del Consejo Privado de 2002, en el caso </w:t>
      </w:r>
      <w:r w:rsidRPr="002367BA">
        <w:rPr>
          <w:rFonts w:ascii="Cambria" w:hAnsi="Cambria" w:cs="Calibri Light"/>
          <w:i/>
          <w:sz w:val="20"/>
          <w:szCs w:val="20"/>
          <w:lang w:val="es-ES"/>
        </w:rPr>
        <w:t>R c. Hughes</w:t>
      </w:r>
      <w:r w:rsidRPr="002367BA">
        <w:rPr>
          <w:rFonts w:ascii="Cambria" w:hAnsi="Cambria" w:cs="Calibri Light"/>
          <w:sz w:val="20"/>
          <w:szCs w:val="20"/>
          <w:lang w:val="es-ES"/>
        </w:rPr>
        <w:t xml:space="preserve">, </w:t>
      </w:r>
      <w:r w:rsidRPr="002367BA">
        <w:rPr>
          <w:rFonts w:ascii="Cambria" w:hAnsi="Cambria" w:cs="Calibri Light"/>
          <w:i/>
          <w:sz w:val="20"/>
          <w:szCs w:val="20"/>
          <w:lang w:val="es-ES"/>
        </w:rPr>
        <w:t>R c. Reyes</w:t>
      </w:r>
      <w:r w:rsidRPr="002367BA">
        <w:rPr>
          <w:rFonts w:ascii="Cambria" w:hAnsi="Cambria" w:cs="Calibri Light"/>
          <w:sz w:val="20"/>
          <w:szCs w:val="20"/>
          <w:lang w:val="es-ES"/>
        </w:rPr>
        <w:t xml:space="preserve"> y </w:t>
      </w:r>
      <w:r w:rsidRPr="002367BA">
        <w:rPr>
          <w:rFonts w:ascii="Cambria" w:hAnsi="Cambria" w:cs="Calibri Light"/>
          <w:i/>
          <w:sz w:val="20"/>
          <w:szCs w:val="20"/>
          <w:lang w:val="es-ES"/>
        </w:rPr>
        <w:t>Fox c. The Queen</w:t>
      </w:r>
      <w:r w:rsidRPr="002367BA">
        <w:rPr>
          <w:rFonts w:ascii="Cambria" w:hAnsi="Cambria" w:cs="Calibri Light"/>
          <w:sz w:val="20"/>
          <w:szCs w:val="20"/>
          <w:lang w:val="es-ES"/>
        </w:rPr>
        <w:t xml:space="preserve">, que concluyeron que la imposición de la pena de muerte en los países del Caribe Oriental era inconstitucional, dieron por resultado la conversión de las sentencias </w:t>
      </w:r>
      <w:r w:rsidR="002465DA" w:rsidRPr="002367BA">
        <w:rPr>
          <w:rFonts w:ascii="Cambria" w:hAnsi="Cambria" w:cs="Calibri Light"/>
          <w:sz w:val="20"/>
          <w:szCs w:val="20"/>
          <w:lang w:val="es-ES"/>
        </w:rPr>
        <w:t>de</w:t>
      </w:r>
      <w:r w:rsidRPr="002367BA">
        <w:rPr>
          <w:rFonts w:ascii="Cambria" w:hAnsi="Cambria" w:cs="Calibri Light"/>
          <w:sz w:val="20"/>
          <w:szCs w:val="20"/>
          <w:lang w:val="es-ES"/>
        </w:rPr>
        <w:t xml:space="preserve"> pena de muerte a sentencias a cadena perpetua en Gr</w:t>
      </w:r>
      <w:r w:rsidR="00713EC7" w:rsidRPr="002367BA">
        <w:rPr>
          <w:rFonts w:ascii="Cambria" w:hAnsi="Cambria" w:cs="Calibri Light"/>
          <w:sz w:val="20"/>
          <w:szCs w:val="20"/>
          <w:lang w:val="es-ES"/>
        </w:rPr>
        <w:t>a</w:t>
      </w:r>
      <w:r w:rsidRPr="002367BA">
        <w:rPr>
          <w:rFonts w:ascii="Cambria" w:hAnsi="Cambria" w:cs="Calibri Light"/>
          <w:sz w:val="20"/>
          <w:szCs w:val="20"/>
          <w:lang w:val="es-ES"/>
        </w:rPr>
        <w:t>nada.</w:t>
      </w:r>
    </w:p>
    <w:p w:rsidR="00371B8A" w:rsidRPr="002367BA" w:rsidRDefault="00835E9E" w:rsidP="00713EC7">
      <w:pPr>
        <w:pStyle w:val="ListParagraph"/>
        <w:numPr>
          <w:ilvl w:val="0"/>
          <w:numId w:val="4"/>
        </w:numPr>
        <w:spacing w:after="0" w:line="240" w:lineRule="auto"/>
        <w:jc w:val="both"/>
        <w:rPr>
          <w:rFonts w:ascii="Cambria" w:hAnsi="Cambria"/>
          <w:sz w:val="20"/>
          <w:szCs w:val="20"/>
          <w:lang w:val="es-ES"/>
        </w:rPr>
      </w:pPr>
      <w:r w:rsidRPr="002367BA">
        <w:rPr>
          <w:rFonts w:ascii="Cambria" w:hAnsi="Cambria"/>
          <w:sz w:val="20"/>
          <w:szCs w:val="20"/>
          <w:lang w:val="es-ES"/>
        </w:rPr>
        <w:t xml:space="preserve">La decisión de 2007 del Comité Judicial del Consejo Privado en el caso </w:t>
      </w:r>
      <w:r w:rsidRPr="002367BA">
        <w:rPr>
          <w:rFonts w:ascii="Cambria" w:hAnsi="Cambria"/>
          <w:i/>
          <w:sz w:val="20"/>
          <w:szCs w:val="20"/>
          <w:lang w:val="es-ES"/>
        </w:rPr>
        <w:t>Coard c. Attorney General of Grenada</w:t>
      </w:r>
      <w:r w:rsidRPr="002367BA">
        <w:rPr>
          <w:rFonts w:ascii="Cambria" w:hAnsi="Cambria"/>
          <w:sz w:val="20"/>
          <w:szCs w:val="20"/>
          <w:lang w:val="es-ES"/>
        </w:rPr>
        <w:t>, que concluyó que la Sección 230 del Código Penal de Gr</w:t>
      </w:r>
      <w:r w:rsidR="00713EC7" w:rsidRPr="002367BA">
        <w:rPr>
          <w:rFonts w:ascii="Cambria" w:hAnsi="Cambria"/>
          <w:sz w:val="20"/>
          <w:szCs w:val="20"/>
          <w:lang w:val="es-ES"/>
        </w:rPr>
        <w:t>a</w:t>
      </w:r>
      <w:r w:rsidRPr="002367BA">
        <w:rPr>
          <w:rFonts w:ascii="Cambria" w:hAnsi="Cambria"/>
          <w:sz w:val="20"/>
          <w:szCs w:val="20"/>
          <w:lang w:val="es-ES"/>
        </w:rPr>
        <w:t xml:space="preserve">nada debe ser interpretada en el sentido de que la pena de muerte por </w:t>
      </w:r>
      <w:r w:rsidR="002465DA" w:rsidRPr="002367BA">
        <w:rPr>
          <w:rFonts w:ascii="Cambria" w:hAnsi="Cambria"/>
          <w:sz w:val="20"/>
          <w:szCs w:val="20"/>
          <w:lang w:val="es-ES"/>
        </w:rPr>
        <w:t>homicidio</w:t>
      </w:r>
      <w:r w:rsidRPr="002367BA">
        <w:rPr>
          <w:rFonts w:ascii="Cambria" w:hAnsi="Cambria"/>
          <w:sz w:val="20"/>
          <w:szCs w:val="20"/>
          <w:lang w:val="es-ES"/>
        </w:rPr>
        <w:t xml:space="preserve"> es discrecional, dio por resultado que el poder judicial en Gr</w:t>
      </w:r>
      <w:r w:rsidR="00713EC7" w:rsidRPr="002367BA">
        <w:rPr>
          <w:rFonts w:ascii="Cambria" w:hAnsi="Cambria"/>
          <w:sz w:val="20"/>
          <w:szCs w:val="20"/>
          <w:lang w:val="es-ES"/>
        </w:rPr>
        <w:t>a</w:t>
      </w:r>
      <w:r w:rsidRPr="002367BA">
        <w:rPr>
          <w:rFonts w:ascii="Cambria" w:hAnsi="Cambria"/>
          <w:sz w:val="20"/>
          <w:szCs w:val="20"/>
          <w:lang w:val="es-ES"/>
        </w:rPr>
        <w:t xml:space="preserve">nada ya no puede aplicar la pena de muerte obligatoria en los casos de </w:t>
      </w:r>
      <w:r w:rsidR="002465DA" w:rsidRPr="002367BA">
        <w:rPr>
          <w:rFonts w:ascii="Cambria" w:hAnsi="Cambria"/>
          <w:sz w:val="20"/>
          <w:szCs w:val="20"/>
          <w:lang w:val="es-ES"/>
        </w:rPr>
        <w:t>homicidio</w:t>
      </w:r>
      <w:r w:rsidRPr="002367BA">
        <w:rPr>
          <w:rFonts w:ascii="Cambria" w:hAnsi="Cambria"/>
          <w:sz w:val="20"/>
          <w:szCs w:val="20"/>
          <w:lang w:val="es-ES"/>
        </w:rPr>
        <w:t>.</w:t>
      </w:r>
    </w:p>
    <w:sectPr w:rsidR="00371B8A" w:rsidRPr="002367BA" w:rsidSect="004A59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D99" w:rsidRDefault="00152D99" w:rsidP="007B15E0">
      <w:pPr>
        <w:spacing w:after="0" w:line="240" w:lineRule="auto"/>
      </w:pPr>
      <w:r>
        <w:separator/>
      </w:r>
    </w:p>
  </w:endnote>
  <w:endnote w:type="continuationSeparator" w:id="0">
    <w:p w:rsidR="00152D99" w:rsidRDefault="00152D99" w:rsidP="007B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95" w:rsidRDefault="00D30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964791"/>
      <w:docPartObj>
        <w:docPartGallery w:val="Page Numbers (Bottom of Page)"/>
        <w:docPartUnique/>
      </w:docPartObj>
    </w:sdtPr>
    <w:sdtEndPr>
      <w:rPr>
        <w:noProof/>
        <w:sz w:val="16"/>
        <w:szCs w:val="16"/>
      </w:rPr>
    </w:sdtEndPr>
    <w:sdtContent>
      <w:p w:rsidR="005818F5" w:rsidRPr="00C76DA2" w:rsidRDefault="005818F5" w:rsidP="00C76DA2">
        <w:pPr>
          <w:pStyle w:val="Footer"/>
          <w:jc w:val="center"/>
          <w:rPr>
            <w:sz w:val="16"/>
            <w:szCs w:val="16"/>
          </w:rPr>
        </w:pPr>
        <w:r w:rsidRPr="00594FE3">
          <w:rPr>
            <w:sz w:val="16"/>
            <w:szCs w:val="16"/>
          </w:rPr>
          <w:fldChar w:fldCharType="begin"/>
        </w:r>
        <w:r w:rsidRPr="00594FE3">
          <w:rPr>
            <w:sz w:val="16"/>
            <w:szCs w:val="16"/>
          </w:rPr>
          <w:instrText xml:space="preserve"> PAGE   \* MERGEFORMAT </w:instrText>
        </w:r>
        <w:r w:rsidRPr="00594FE3">
          <w:rPr>
            <w:sz w:val="16"/>
            <w:szCs w:val="16"/>
          </w:rPr>
          <w:fldChar w:fldCharType="separate"/>
        </w:r>
        <w:r w:rsidR="00AA23AC">
          <w:rPr>
            <w:noProof/>
            <w:sz w:val="16"/>
            <w:szCs w:val="16"/>
          </w:rPr>
          <w:t>3</w:t>
        </w:r>
        <w:r w:rsidRPr="00594FE3">
          <w:rPr>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95" w:rsidRDefault="00D30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D99" w:rsidRDefault="00152D99" w:rsidP="007B15E0">
      <w:pPr>
        <w:spacing w:after="0" w:line="240" w:lineRule="auto"/>
      </w:pPr>
      <w:r>
        <w:separator/>
      </w:r>
    </w:p>
  </w:footnote>
  <w:footnote w:type="continuationSeparator" w:id="0">
    <w:p w:rsidR="00152D99" w:rsidRDefault="00152D99" w:rsidP="007B15E0">
      <w:pPr>
        <w:spacing w:after="0" w:line="240" w:lineRule="auto"/>
      </w:pPr>
      <w:r>
        <w:continuationSeparator/>
      </w:r>
    </w:p>
  </w:footnote>
  <w:footnote w:id="1">
    <w:p w:rsidR="00411990" w:rsidRPr="00B51083" w:rsidRDefault="00411990" w:rsidP="00B51083">
      <w:pPr>
        <w:pStyle w:val="FootnoteText"/>
        <w:spacing w:after="120"/>
        <w:jc w:val="both"/>
        <w:rPr>
          <w:rFonts w:ascii="Cambria" w:hAnsi="Cambria"/>
          <w:sz w:val="16"/>
          <w:szCs w:val="16"/>
          <w:lang w:val="es-ES"/>
        </w:rPr>
      </w:pPr>
      <w:r w:rsidRPr="00B51083">
        <w:rPr>
          <w:rStyle w:val="FootnoteReference"/>
          <w:rFonts w:ascii="Cambria" w:hAnsi="Cambria"/>
          <w:sz w:val="16"/>
          <w:szCs w:val="16"/>
        </w:rPr>
        <w:footnoteRef/>
      </w:r>
      <w:r w:rsidRPr="00B51083">
        <w:rPr>
          <w:rFonts w:ascii="Cambria" w:hAnsi="Cambria"/>
          <w:sz w:val="16"/>
          <w:szCs w:val="16"/>
          <w:lang w:val="es-ES"/>
        </w:rPr>
        <w:t xml:space="preserve"> </w:t>
      </w:r>
      <w:r w:rsidR="00151444" w:rsidRPr="00B51083">
        <w:rPr>
          <w:rFonts w:ascii="Cambria" w:hAnsi="Cambria"/>
          <w:sz w:val="16"/>
          <w:szCs w:val="16"/>
          <w:lang w:val="es-UY"/>
        </w:rPr>
        <w:t>Comité Judicial del Consejo Privado, Queen c. Hughes, [2002] UKPC 12 (Reino Unido); Comité Judicial del Consejo Privado, Reyes c. R, [2002] UKPC 11 (Reino Unido); Comité Judicial del Consejo Privado, Fox c. R, [2002] UKPC 13 (Reino Unido).</w:t>
      </w:r>
    </w:p>
  </w:footnote>
  <w:footnote w:id="2">
    <w:p w:rsidR="00B51083" w:rsidRPr="00B51083" w:rsidRDefault="00B51083" w:rsidP="00B51083">
      <w:pPr>
        <w:spacing w:after="120"/>
        <w:jc w:val="both"/>
        <w:rPr>
          <w:rFonts w:ascii="Cambria" w:hAnsi="Cambria"/>
          <w:sz w:val="16"/>
          <w:szCs w:val="16"/>
          <w:lang w:val="es-ES"/>
        </w:rPr>
      </w:pPr>
      <w:r w:rsidRPr="00B51083">
        <w:rPr>
          <w:rStyle w:val="FootnoteReference"/>
          <w:rFonts w:ascii="Cambria" w:hAnsi="Cambria"/>
          <w:sz w:val="16"/>
          <w:szCs w:val="16"/>
        </w:rPr>
        <w:footnoteRef/>
      </w:r>
      <w:r w:rsidRPr="00B51083">
        <w:rPr>
          <w:rFonts w:ascii="Cambria" w:hAnsi="Cambria"/>
          <w:sz w:val="16"/>
          <w:szCs w:val="16"/>
          <w:lang w:val="es-ES"/>
        </w:rPr>
        <w:t xml:space="preserve"> CIDH, Informe Anual 2017, </w:t>
      </w:r>
      <w:hyperlink r:id="rId1" w:history="1">
        <w:r w:rsidRPr="00B51083">
          <w:rPr>
            <w:rStyle w:val="Hyperlink"/>
            <w:rFonts w:ascii="Cambria" w:hAnsi="Cambria"/>
            <w:sz w:val="16"/>
            <w:szCs w:val="16"/>
            <w:lang w:val="es-ES"/>
          </w:rPr>
          <w:t>Capítulo II, Sección F: Estado del cumplimiento de las recomendaciones de la CIDH</w:t>
        </w:r>
      </w:hyperlink>
      <w:r w:rsidRPr="00B51083">
        <w:rPr>
          <w:rFonts w:ascii="Cambria" w:hAnsi="Cambria"/>
          <w:sz w:val="16"/>
          <w:szCs w:val="16"/>
          <w:lang w:val="es-ES"/>
        </w:rPr>
        <w:t>, párr. 1162.</w:t>
      </w:r>
      <w:r>
        <w:rPr>
          <w:rFonts w:ascii="Cambria" w:hAnsi="Cambria"/>
          <w:sz w:val="16"/>
          <w:szCs w:val="16"/>
          <w:lang w:val="es-ES"/>
        </w:rPr>
        <w:t xml:space="preserve"> </w:t>
      </w:r>
    </w:p>
  </w:footnote>
  <w:footnote w:id="3">
    <w:p w:rsidR="005818F5" w:rsidRPr="002367BA" w:rsidRDefault="005818F5" w:rsidP="00B51083">
      <w:pPr>
        <w:pStyle w:val="FootnoteText"/>
        <w:spacing w:after="120"/>
        <w:jc w:val="both"/>
        <w:rPr>
          <w:rFonts w:ascii="Cambria" w:hAnsi="Cambria"/>
          <w:sz w:val="16"/>
          <w:szCs w:val="16"/>
          <w:lang w:val="es-UY"/>
        </w:rPr>
      </w:pPr>
      <w:r w:rsidRPr="002367BA">
        <w:rPr>
          <w:rStyle w:val="FootnoteReference"/>
          <w:rFonts w:ascii="Cambria" w:hAnsi="Cambria"/>
          <w:sz w:val="16"/>
          <w:szCs w:val="16"/>
        </w:rPr>
        <w:footnoteRef/>
      </w:r>
      <w:r w:rsidRPr="002367BA">
        <w:rPr>
          <w:rFonts w:ascii="Cambria" w:hAnsi="Cambria"/>
          <w:sz w:val="16"/>
          <w:szCs w:val="16"/>
          <w:lang w:val="es-UY"/>
        </w:rPr>
        <w:t xml:space="preserve"> Comité Judicial del Consejo Privado, Coard c. A.G. of Grenada, Apelación Nro. 10 de 1996, 7 de febrero de 2007 (Reino Unido).</w:t>
      </w:r>
    </w:p>
  </w:footnote>
  <w:footnote w:id="4">
    <w:p w:rsidR="005818F5" w:rsidRPr="000C5C85" w:rsidRDefault="005818F5" w:rsidP="00B51083">
      <w:pPr>
        <w:pStyle w:val="FootnoteText"/>
        <w:spacing w:after="120"/>
        <w:jc w:val="both"/>
        <w:rPr>
          <w:rFonts w:ascii="Cambria" w:hAnsi="Cambria"/>
          <w:sz w:val="16"/>
          <w:szCs w:val="16"/>
          <w:lang w:val="es-UY"/>
        </w:rPr>
      </w:pPr>
      <w:r w:rsidRPr="002367BA">
        <w:rPr>
          <w:rStyle w:val="FootnoteReference"/>
          <w:rFonts w:ascii="Cambria" w:hAnsi="Cambria"/>
          <w:sz w:val="16"/>
          <w:szCs w:val="16"/>
        </w:rPr>
        <w:footnoteRef/>
      </w:r>
      <w:r w:rsidRPr="002367BA">
        <w:rPr>
          <w:rFonts w:ascii="Cambria" w:hAnsi="Cambria"/>
          <w:sz w:val="16"/>
          <w:szCs w:val="16"/>
          <w:lang w:val="es-UY"/>
        </w:rPr>
        <w:t xml:space="preserve"> Comité Judicial del Consejo Privado, Lewis c. Attorney General of Jamaica, Apelación Nros. 60, 65 y 69 de 1999 y 10 de 2000, 12 de septiembre de 2000 (Reino Unido).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95" w:rsidRDefault="00D30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BF" w:rsidRDefault="008F33BF" w:rsidP="008F33BF">
    <w:pPr>
      <w:pStyle w:val="Header"/>
      <w:jc w:val="center"/>
    </w:pPr>
    <w:r>
      <w:rPr>
        <w:noProof/>
        <w:lang w:val="es-US" w:eastAsia="es-US"/>
      </w:rPr>
      <w:drawing>
        <wp:anchor distT="0" distB="0" distL="114300" distR="114300" simplePos="0" relativeHeight="251673088" behindDoc="1" locked="0" layoutInCell="1" allowOverlap="1" wp14:anchorId="3F5C045B" wp14:editId="481FE788">
          <wp:simplePos x="0" y="0"/>
          <wp:positionH relativeFrom="column">
            <wp:posOffset>1795780</wp:posOffset>
          </wp:positionH>
          <wp:positionV relativeFrom="paragraph">
            <wp:posOffset>-20955</wp:posOffset>
          </wp:positionV>
          <wp:extent cx="2296795" cy="116840"/>
          <wp:effectExtent l="0" t="0" r="8255" b="0"/>
          <wp:wrapSquare wrapText="bothSides"/>
          <wp:docPr id="6" name="Picture 6"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11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3BF" w:rsidRPr="00F17462" w:rsidRDefault="00AA23AC" w:rsidP="008F33BF">
    <w:pPr>
      <w:spacing w:after="0" w:line="240" w:lineRule="auto"/>
      <w:jc w:val="center"/>
      <w:rPr>
        <w:rFonts w:ascii="Cambria" w:hAnsi="Cambria"/>
        <w:b/>
      </w:rPr>
    </w:pPr>
    <w:r>
      <w:pict>
        <v:rect id="_x0000_i1025" style="width:0;height:1.5pt" o:hralign="center" o:hrstd="t" o:hr="t" fillcolor="#a0a0a0" stroked="f"/>
      </w:pict>
    </w:r>
  </w:p>
  <w:p w:rsidR="008F33BF" w:rsidRDefault="008F33BF" w:rsidP="008F3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8F" w:rsidRDefault="004A598F" w:rsidP="004A598F">
    <w:pPr>
      <w:pStyle w:val="Header"/>
    </w:pPr>
    <w:r>
      <w:rPr>
        <w:noProof/>
        <w:lang w:val="es-US" w:eastAsia="es-US"/>
      </w:rPr>
      <w:drawing>
        <wp:anchor distT="0" distB="0" distL="114300" distR="114300" simplePos="0" relativeHeight="251666944" behindDoc="1" locked="0" layoutInCell="1" allowOverlap="1">
          <wp:simplePos x="0" y="0"/>
          <wp:positionH relativeFrom="column">
            <wp:posOffset>-57150</wp:posOffset>
          </wp:positionH>
          <wp:positionV relativeFrom="paragraph">
            <wp:posOffset>0</wp:posOffset>
          </wp:positionV>
          <wp:extent cx="1752600" cy="387350"/>
          <wp:effectExtent l="0" t="0" r="0" b="0"/>
          <wp:wrapThrough wrapText="bothSides">
            <wp:wrapPolygon edited="0">
              <wp:start x="0" y="0"/>
              <wp:lineTo x="0" y="20184"/>
              <wp:lineTo x="21365" y="20184"/>
              <wp:lineTo x="21365" y="0"/>
              <wp:lineTo x="0" y="0"/>
            </wp:wrapPolygon>
          </wp:wrapThrough>
          <wp:docPr id="4" name="Picture 4" descr="IA2018-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8-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S" w:eastAsia="es-US"/>
      </w:rPr>
      <w:drawing>
        <wp:anchor distT="0" distB="0" distL="114300" distR="114300" simplePos="0" relativeHeight="251665920" behindDoc="1" locked="0" layoutInCell="1" allowOverlap="1">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3" name="Picture 3"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598F" w:rsidRDefault="004A598F" w:rsidP="004A598F">
    <w:pPr>
      <w:pStyle w:val="Header"/>
    </w:pPr>
  </w:p>
  <w:p w:rsidR="004A598F" w:rsidRDefault="00AA23AC" w:rsidP="004A598F">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2463"/>
    <w:multiLevelType w:val="hybridMultilevel"/>
    <w:tmpl w:val="EC2A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6840"/>
    <w:multiLevelType w:val="hybridMultilevel"/>
    <w:tmpl w:val="509018EA"/>
    <w:lvl w:ilvl="0" w:tplc="1D70DBA2">
      <w:start w:val="1"/>
      <w:numFmt w:val="decimal"/>
      <w:lvlText w:val="%1."/>
      <w:lvlJc w:val="left"/>
      <w:pPr>
        <w:tabs>
          <w:tab w:val="num" w:pos="720"/>
        </w:tabs>
        <w:ind w:left="0" w:firstLine="720"/>
      </w:pPr>
      <w:rPr>
        <w:rFonts w:cs="Times New Roman" w:hint="default"/>
        <w:b w:val="0"/>
        <w:i w:val="0"/>
        <w:strike w:val="0"/>
        <w:sz w:val="20"/>
        <w:szCs w:val="20"/>
      </w:rPr>
    </w:lvl>
    <w:lvl w:ilvl="1" w:tplc="04090005">
      <w:start w:val="1"/>
      <w:numFmt w:val="bullet"/>
      <w:lvlText w:val=""/>
      <w:lvlJc w:val="left"/>
      <w:pPr>
        <w:tabs>
          <w:tab w:val="num" w:pos="1440"/>
        </w:tabs>
        <w:ind w:left="1440" w:hanging="360"/>
      </w:pPr>
      <w:rPr>
        <w:rFonts w:ascii="Wingdings" w:hAnsi="Wingdings" w:hint="default"/>
      </w:rPr>
    </w:lvl>
    <w:lvl w:ilvl="2" w:tplc="E16A2C48">
      <w:start w:val="1"/>
      <w:numFmt w:val="decimal"/>
      <w:lvlText w:val="%3."/>
      <w:lvlJc w:val="left"/>
      <w:pPr>
        <w:tabs>
          <w:tab w:val="num" w:pos="1980"/>
        </w:tabs>
        <w:ind w:left="1260" w:firstLine="720"/>
      </w:pPr>
      <w:rPr>
        <w:rFonts w:hint="default"/>
        <w:b w:val="0"/>
        <w:i w:val="0"/>
        <w:sz w:val="20"/>
        <w:szCs w:val="20"/>
      </w:rPr>
    </w:lvl>
    <w:lvl w:ilvl="3" w:tplc="FA309624">
      <w:start w:val="1"/>
      <w:numFmt w:val="decimal"/>
      <w:lvlText w:val="%4."/>
      <w:lvlJc w:val="left"/>
      <w:pPr>
        <w:tabs>
          <w:tab w:val="num" w:pos="720"/>
        </w:tabs>
        <w:ind w:left="0" w:firstLine="720"/>
      </w:pPr>
      <w:rPr>
        <w:rFonts w:ascii="Univers" w:hAnsi="Univers" w:hint="default"/>
        <w:b w:val="0"/>
        <w:i w:val="0"/>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84EDE"/>
    <w:multiLevelType w:val="hybridMultilevel"/>
    <w:tmpl w:val="A12E0462"/>
    <w:lvl w:ilvl="0" w:tplc="CAD003B2">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52C4"/>
    <w:multiLevelType w:val="hybridMultilevel"/>
    <w:tmpl w:val="E144834E"/>
    <w:lvl w:ilvl="0" w:tplc="C61A4F7E">
      <w:start w:val="1"/>
      <w:numFmt w:val="decimal"/>
      <w:lvlText w:val="%1."/>
      <w:lvlJc w:val="left"/>
      <w:pPr>
        <w:ind w:left="1437" w:hanging="360"/>
      </w:pPr>
      <w:rPr>
        <w:rFonts w:ascii="Cambria" w:eastAsia="Calibri" w:hAnsi="Cambria" w:cs="Calibri Light" w:hint="default"/>
        <w:b w:val="0"/>
        <w:sz w:val="20"/>
        <w:szCs w:val="20"/>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 w15:restartNumberingAfterBreak="0">
    <w:nsid w:val="14D2671C"/>
    <w:multiLevelType w:val="hybridMultilevel"/>
    <w:tmpl w:val="08E0CE9E"/>
    <w:lvl w:ilvl="0" w:tplc="FFC49C5C">
      <w:start w:val="1"/>
      <w:numFmt w:val="decimal"/>
      <w:lvlText w:val="%1-"/>
      <w:lvlJc w:val="left"/>
      <w:pPr>
        <w:ind w:left="720" w:hanging="360"/>
      </w:pPr>
      <w:rPr>
        <w:rFonts w:ascii="Verdana" w:hAnsi="Verdana" w:cstheme="minorBid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A3A85"/>
    <w:multiLevelType w:val="hybridMultilevel"/>
    <w:tmpl w:val="61205FA2"/>
    <w:lvl w:ilvl="0" w:tplc="5994D6D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06297"/>
    <w:multiLevelType w:val="hybridMultilevel"/>
    <w:tmpl w:val="32CE52FE"/>
    <w:lvl w:ilvl="0" w:tplc="6E52A56A">
      <w:start w:val="1"/>
      <w:numFmt w:val="decimal"/>
      <w:lvlText w:val="%1."/>
      <w:lvlJc w:val="left"/>
      <w:pPr>
        <w:ind w:left="1437" w:hanging="360"/>
      </w:pPr>
      <w:rPr>
        <w:rFonts w:ascii="Cambria" w:eastAsia="Calibri" w:hAnsi="Cambria" w:cs="Calibri Light" w:hint="default"/>
        <w:b w:val="0"/>
        <w:sz w:val="22"/>
        <w:szCs w:val="22"/>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15:restartNumberingAfterBreak="0">
    <w:nsid w:val="1D945DE1"/>
    <w:multiLevelType w:val="hybridMultilevel"/>
    <w:tmpl w:val="4A90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048B5"/>
    <w:multiLevelType w:val="hybridMultilevel"/>
    <w:tmpl w:val="FE2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F4882"/>
    <w:multiLevelType w:val="hybridMultilevel"/>
    <w:tmpl w:val="F19C73CC"/>
    <w:lvl w:ilvl="0" w:tplc="8A8A558C">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05901"/>
    <w:multiLevelType w:val="hybridMultilevel"/>
    <w:tmpl w:val="6FD6D0B2"/>
    <w:lvl w:ilvl="0" w:tplc="8F38C9D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3D75D5"/>
    <w:multiLevelType w:val="hybridMultilevel"/>
    <w:tmpl w:val="CACA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524BF"/>
    <w:multiLevelType w:val="hybridMultilevel"/>
    <w:tmpl w:val="D690F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551B0"/>
    <w:multiLevelType w:val="hybridMultilevel"/>
    <w:tmpl w:val="D690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82ADF"/>
    <w:multiLevelType w:val="hybridMultilevel"/>
    <w:tmpl w:val="8A08FA04"/>
    <w:lvl w:ilvl="0" w:tplc="F10C0E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22C2F"/>
    <w:multiLevelType w:val="hybridMultilevel"/>
    <w:tmpl w:val="700271CC"/>
    <w:lvl w:ilvl="0" w:tplc="70EC6EF0">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51AFA"/>
    <w:multiLevelType w:val="hybridMultilevel"/>
    <w:tmpl w:val="4C42D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053A3"/>
    <w:multiLevelType w:val="hybridMultilevel"/>
    <w:tmpl w:val="CB20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67AA8"/>
    <w:multiLevelType w:val="hybridMultilevel"/>
    <w:tmpl w:val="BA3E6216"/>
    <w:lvl w:ilvl="0" w:tplc="890AC77E">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804BF"/>
    <w:multiLevelType w:val="hybridMultilevel"/>
    <w:tmpl w:val="946C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023AD"/>
    <w:multiLevelType w:val="hybridMultilevel"/>
    <w:tmpl w:val="C8FABDD2"/>
    <w:lvl w:ilvl="0" w:tplc="57B096B2">
      <w:start w:val="3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E3759C"/>
    <w:multiLevelType w:val="hybridMultilevel"/>
    <w:tmpl w:val="CEBECEC0"/>
    <w:lvl w:ilvl="0" w:tplc="0F6E6E00">
      <w:start w:val="44"/>
      <w:numFmt w:val="decimal"/>
      <w:lvlText w:val="%1."/>
      <w:lvlJc w:val="left"/>
      <w:pPr>
        <w:tabs>
          <w:tab w:val="num" w:pos="630"/>
        </w:tabs>
        <w:ind w:left="0" w:firstLine="720"/>
      </w:pPr>
      <w:rPr>
        <w:rFonts w:hint="default"/>
        <w:b w:val="0"/>
        <w:i w:val="0"/>
        <w:strike w:val="0"/>
        <w:color w:val="auto"/>
        <w:sz w:val="20"/>
        <w:szCs w:val="20"/>
      </w:rPr>
    </w:lvl>
    <w:lvl w:ilvl="1" w:tplc="04090005">
      <w:start w:val="1"/>
      <w:numFmt w:val="bullet"/>
      <w:lvlText w:val=""/>
      <w:lvlJc w:val="left"/>
      <w:pPr>
        <w:tabs>
          <w:tab w:val="num" w:pos="1440"/>
        </w:tabs>
        <w:ind w:left="1440" w:hanging="360"/>
      </w:pPr>
      <w:rPr>
        <w:rFonts w:ascii="Wingdings" w:hAnsi="Wingdings" w:hint="default"/>
        <w:b w:val="0"/>
        <w:i w:val="0"/>
        <w:color w:val="auto"/>
        <w:sz w:val="20"/>
        <w:szCs w:val="20"/>
      </w:rPr>
    </w:lvl>
    <w:lvl w:ilvl="2" w:tplc="0409001B">
      <w:start w:val="1"/>
      <w:numFmt w:val="lowerRoman"/>
      <w:lvlText w:val="%3."/>
      <w:lvlJc w:val="right"/>
      <w:pPr>
        <w:tabs>
          <w:tab w:val="num" w:pos="2160"/>
        </w:tabs>
        <w:ind w:left="2160" w:hanging="180"/>
      </w:pPr>
    </w:lvl>
    <w:lvl w:ilvl="3" w:tplc="FDE86004">
      <w:start w:val="1"/>
      <w:numFmt w:val="decimal"/>
      <w:lvlText w:val="%4."/>
      <w:lvlJc w:val="left"/>
      <w:pPr>
        <w:tabs>
          <w:tab w:val="num" w:pos="2520"/>
        </w:tabs>
        <w:ind w:left="1800" w:firstLine="720"/>
      </w:pPr>
      <w:rPr>
        <w:rFonts w:hint="default"/>
        <w:b w:val="0"/>
        <w:i w:val="0"/>
        <w:strike w:val="0"/>
        <w:color w:val="auto"/>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AE6C34"/>
    <w:multiLevelType w:val="hybridMultilevel"/>
    <w:tmpl w:val="B0649F7C"/>
    <w:lvl w:ilvl="0" w:tplc="7286DC1C">
      <w:start w:val="235"/>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65CB7"/>
    <w:multiLevelType w:val="hybridMultilevel"/>
    <w:tmpl w:val="67B4E5C0"/>
    <w:lvl w:ilvl="0" w:tplc="E68E6754">
      <w:start w:val="198"/>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7414BC"/>
    <w:multiLevelType w:val="hybridMultilevel"/>
    <w:tmpl w:val="6670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7672C"/>
    <w:multiLevelType w:val="hybridMultilevel"/>
    <w:tmpl w:val="CC845EF4"/>
    <w:lvl w:ilvl="0" w:tplc="269202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00A47"/>
    <w:multiLevelType w:val="hybridMultilevel"/>
    <w:tmpl w:val="AE7C49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93BC7"/>
    <w:multiLevelType w:val="hybridMultilevel"/>
    <w:tmpl w:val="8652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30"/>
  </w:num>
  <w:num w:numId="5">
    <w:abstractNumId w:val="1"/>
  </w:num>
  <w:num w:numId="6">
    <w:abstractNumId w:val="23"/>
  </w:num>
  <w:num w:numId="7">
    <w:abstractNumId w:val="24"/>
  </w:num>
  <w:num w:numId="8">
    <w:abstractNumId w:val="25"/>
  </w:num>
  <w:num w:numId="9">
    <w:abstractNumId w:val="26"/>
  </w:num>
  <w:num w:numId="10">
    <w:abstractNumId w:val="17"/>
  </w:num>
  <w:num w:numId="11">
    <w:abstractNumId w:val="14"/>
  </w:num>
  <w:num w:numId="12">
    <w:abstractNumId w:val="4"/>
  </w:num>
  <w:num w:numId="13">
    <w:abstractNumId w:val="15"/>
  </w:num>
  <w:num w:numId="14">
    <w:abstractNumId w:val="20"/>
  </w:num>
  <w:num w:numId="15">
    <w:abstractNumId w:val="18"/>
  </w:num>
  <w:num w:numId="16">
    <w:abstractNumId w:val="6"/>
  </w:num>
  <w:num w:numId="17">
    <w:abstractNumId w:val="7"/>
  </w:num>
  <w:num w:numId="18">
    <w:abstractNumId w:val="29"/>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31"/>
  </w:num>
  <w:num w:numId="24">
    <w:abstractNumId w:val="28"/>
  </w:num>
  <w:num w:numId="25">
    <w:abstractNumId w:val="16"/>
  </w:num>
  <w:num w:numId="26">
    <w:abstractNumId w:val="3"/>
  </w:num>
  <w:num w:numId="27">
    <w:abstractNumId w:val="21"/>
  </w:num>
  <w:num w:numId="28">
    <w:abstractNumId w:val="22"/>
  </w:num>
  <w:num w:numId="29">
    <w:abstractNumId w:val="11"/>
  </w:num>
  <w:num w:numId="30">
    <w:abstractNumId w:val="10"/>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activeWritingStyle w:appName="MSWord" w:lang="pt-BR" w:vendorID="64" w:dllVersion="6" w:nlCheck="1" w:checkStyle="0"/>
  <w:activeWritingStyle w:appName="MSWord" w:lang="es-UY" w:vendorID="64" w:dllVersion="6" w:nlCheck="1" w:checkStyle="1"/>
  <w:activeWritingStyle w:appName="MSWord" w:lang="en-US" w:vendorID="64" w:dllVersion="6" w:nlCheck="1" w:checkStyle="1"/>
  <w:activeWritingStyle w:appName="MSWord" w:lang="es-US" w:vendorID="64" w:dllVersion="6" w:nlCheck="1" w:checkStyle="1"/>
  <w:activeWritingStyle w:appName="MSWord" w:lang="es-ES" w:vendorID="64" w:dllVersion="6" w:nlCheck="1" w:checkStyle="1"/>
  <w:activeWritingStyle w:appName="MSWord" w:lang="es-VE"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US" w:vendorID="64" w:dllVersion="131078" w:nlCheck="1" w:checkStyle="1"/>
  <w:activeWritingStyle w:appName="MSWord" w:lang="es-UY" w:vendorID="64" w:dllVersion="131078" w:nlCheck="1" w:checkStyle="1"/>
  <w:activeWritingStyle w:appName="MSWord" w:lang="es-ES"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4D"/>
    <w:rsid w:val="00000823"/>
    <w:rsid w:val="000019EF"/>
    <w:rsid w:val="000105E2"/>
    <w:rsid w:val="00010D7D"/>
    <w:rsid w:val="000208BD"/>
    <w:rsid w:val="00027FA3"/>
    <w:rsid w:val="00037C0A"/>
    <w:rsid w:val="0004139E"/>
    <w:rsid w:val="00043872"/>
    <w:rsid w:val="00046E4E"/>
    <w:rsid w:val="000507B2"/>
    <w:rsid w:val="00052627"/>
    <w:rsid w:val="00067A77"/>
    <w:rsid w:val="00076298"/>
    <w:rsid w:val="000823BF"/>
    <w:rsid w:val="00083B2B"/>
    <w:rsid w:val="000A6167"/>
    <w:rsid w:val="000A638D"/>
    <w:rsid w:val="000B2B43"/>
    <w:rsid w:val="000B31A2"/>
    <w:rsid w:val="000C0F1A"/>
    <w:rsid w:val="000C2753"/>
    <w:rsid w:val="000C5C85"/>
    <w:rsid w:val="000D165B"/>
    <w:rsid w:val="000D6083"/>
    <w:rsid w:val="000E0AD2"/>
    <w:rsid w:val="000E2952"/>
    <w:rsid w:val="000E5EAF"/>
    <w:rsid w:val="000E7806"/>
    <w:rsid w:val="001007D0"/>
    <w:rsid w:val="0010125B"/>
    <w:rsid w:val="0010319A"/>
    <w:rsid w:val="001031C8"/>
    <w:rsid w:val="00105A2A"/>
    <w:rsid w:val="00106B9F"/>
    <w:rsid w:val="00106CB6"/>
    <w:rsid w:val="001162CB"/>
    <w:rsid w:val="00121DC4"/>
    <w:rsid w:val="00124B0D"/>
    <w:rsid w:val="0012554E"/>
    <w:rsid w:val="001449D7"/>
    <w:rsid w:val="00147131"/>
    <w:rsid w:val="00147493"/>
    <w:rsid w:val="001504BB"/>
    <w:rsid w:val="00151444"/>
    <w:rsid w:val="00152D99"/>
    <w:rsid w:val="0015686A"/>
    <w:rsid w:val="001759C1"/>
    <w:rsid w:val="001760BA"/>
    <w:rsid w:val="00176E57"/>
    <w:rsid w:val="0018434D"/>
    <w:rsid w:val="0019188A"/>
    <w:rsid w:val="00193311"/>
    <w:rsid w:val="00195BD5"/>
    <w:rsid w:val="001A1812"/>
    <w:rsid w:val="001B6B90"/>
    <w:rsid w:val="001B704C"/>
    <w:rsid w:val="001C115D"/>
    <w:rsid w:val="001E4A88"/>
    <w:rsid w:val="001F3FB0"/>
    <w:rsid w:val="001F657C"/>
    <w:rsid w:val="0020031E"/>
    <w:rsid w:val="002005E0"/>
    <w:rsid w:val="00201F26"/>
    <w:rsid w:val="00203E47"/>
    <w:rsid w:val="00207922"/>
    <w:rsid w:val="002156DC"/>
    <w:rsid w:val="002160C0"/>
    <w:rsid w:val="00224EDC"/>
    <w:rsid w:val="00231AC2"/>
    <w:rsid w:val="00234C3B"/>
    <w:rsid w:val="00235297"/>
    <w:rsid w:val="002367BA"/>
    <w:rsid w:val="0024645A"/>
    <w:rsid w:val="002465DA"/>
    <w:rsid w:val="0024773B"/>
    <w:rsid w:val="00256CEC"/>
    <w:rsid w:val="002667FA"/>
    <w:rsid w:val="0026777E"/>
    <w:rsid w:val="00272E0C"/>
    <w:rsid w:val="00275418"/>
    <w:rsid w:val="002856E7"/>
    <w:rsid w:val="0028678F"/>
    <w:rsid w:val="00287012"/>
    <w:rsid w:val="00291089"/>
    <w:rsid w:val="0029224B"/>
    <w:rsid w:val="00296A3D"/>
    <w:rsid w:val="002A0B85"/>
    <w:rsid w:val="002A2901"/>
    <w:rsid w:val="002A5153"/>
    <w:rsid w:val="002A67C8"/>
    <w:rsid w:val="002B2949"/>
    <w:rsid w:val="002C1DBB"/>
    <w:rsid w:val="002D2200"/>
    <w:rsid w:val="002D2490"/>
    <w:rsid w:val="002D3A69"/>
    <w:rsid w:val="002E04B2"/>
    <w:rsid w:val="002E27BB"/>
    <w:rsid w:val="002E6370"/>
    <w:rsid w:val="002F0D2F"/>
    <w:rsid w:val="002F21C5"/>
    <w:rsid w:val="002F70F2"/>
    <w:rsid w:val="00303A21"/>
    <w:rsid w:val="00312310"/>
    <w:rsid w:val="003151FE"/>
    <w:rsid w:val="003250A4"/>
    <w:rsid w:val="003272C4"/>
    <w:rsid w:val="00334B16"/>
    <w:rsid w:val="003455B5"/>
    <w:rsid w:val="00350C0E"/>
    <w:rsid w:val="003571CE"/>
    <w:rsid w:val="0036198E"/>
    <w:rsid w:val="003624D8"/>
    <w:rsid w:val="0036660E"/>
    <w:rsid w:val="0036721A"/>
    <w:rsid w:val="00367FC8"/>
    <w:rsid w:val="00371B8A"/>
    <w:rsid w:val="00372935"/>
    <w:rsid w:val="003820A6"/>
    <w:rsid w:val="003917D2"/>
    <w:rsid w:val="00391EDC"/>
    <w:rsid w:val="003936F0"/>
    <w:rsid w:val="0039541C"/>
    <w:rsid w:val="00397989"/>
    <w:rsid w:val="003A028B"/>
    <w:rsid w:val="003A4926"/>
    <w:rsid w:val="003A5479"/>
    <w:rsid w:val="003D4EAB"/>
    <w:rsid w:val="003D69FA"/>
    <w:rsid w:val="003D6CC4"/>
    <w:rsid w:val="003E24A8"/>
    <w:rsid w:val="003E2929"/>
    <w:rsid w:val="003E50B8"/>
    <w:rsid w:val="003F147F"/>
    <w:rsid w:val="003F37F4"/>
    <w:rsid w:val="003F610D"/>
    <w:rsid w:val="003F662D"/>
    <w:rsid w:val="004008D3"/>
    <w:rsid w:val="0040675A"/>
    <w:rsid w:val="00411990"/>
    <w:rsid w:val="004263F4"/>
    <w:rsid w:val="00430A46"/>
    <w:rsid w:val="004325E4"/>
    <w:rsid w:val="00436600"/>
    <w:rsid w:val="00437A45"/>
    <w:rsid w:val="00440C84"/>
    <w:rsid w:val="00445E2E"/>
    <w:rsid w:val="00446166"/>
    <w:rsid w:val="00456CA3"/>
    <w:rsid w:val="0046200E"/>
    <w:rsid w:val="00462967"/>
    <w:rsid w:val="00472178"/>
    <w:rsid w:val="004730A3"/>
    <w:rsid w:val="00473BA4"/>
    <w:rsid w:val="004810AB"/>
    <w:rsid w:val="00482AB4"/>
    <w:rsid w:val="00495DD0"/>
    <w:rsid w:val="004A1C31"/>
    <w:rsid w:val="004A2B1F"/>
    <w:rsid w:val="004A2FFF"/>
    <w:rsid w:val="004A3824"/>
    <w:rsid w:val="004A40CF"/>
    <w:rsid w:val="004A598F"/>
    <w:rsid w:val="004A6837"/>
    <w:rsid w:val="004A77BF"/>
    <w:rsid w:val="004B145C"/>
    <w:rsid w:val="004B59C9"/>
    <w:rsid w:val="004B62C5"/>
    <w:rsid w:val="004B68E4"/>
    <w:rsid w:val="004B6B23"/>
    <w:rsid w:val="004C0A9B"/>
    <w:rsid w:val="004C11A7"/>
    <w:rsid w:val="004C2966"/>
    <w:rsid w:val="004C2F2A"/>
    <w:rsid w:val="004C4E4B"/>
    <w:rsid w:val="004C5894"/>
    <w:rsid w:val="004C7496"/>
    <w:rsid w:val="004D10AA"/>
    <w:rsid w:val="004E0A01"/>
    <w:rsid w:val="004E4B65"/>
    <w:rsid w:val="004E611E"/>
    <w:rsid w:val="004F3114"/>
    <w:rsid w:val="004F596A"/>
    <w:rsid w:val="00501FA9"/>
    <w:rsid w:val="0050413C"/>
    <w:rsid w:val="00505EAB"/>
    <w:rsid w:val="005061CE"/>
    <w:rsid w:val="00512C07"/>
    <w:rsid w:val="005138D8"/>
    <w:rsid w:val="005157B7"/>
    <w:rsid w:val="0052132E"/>
    <w:rsid w:val="00521FE0"/>
    <w:rsid w:val="00522ECF"/>
    <w:rsid w:val="005401D5"/>
    <w:rsid w:val="005409CB"/>
    <w:rsid w:val="005421DC"/>
    <w:rsid w:val="005622BE"/>
    <w:rsid w:val="00562570"/>
    <w:rsid w:val="00566512"/>
    <w:rsid w:val="00572FE6"/>
    <w:rsid w:val="005803F5"/>
    <w:rsid w:val="005818F5"/>
    <w:rsid w:val="00581FA1"/>
    <w:rsid w:val="00584DDA"/>
    <w:rsid w:val="00591815"/>
    <w:rsid w:val="005928CC"/>
    <w:rsid w:val="00594FE3"/>
    <w:rsid w:val="005A5360"/>
    <w:rsid w:val="005B2B05"/>
    <w:rsid w:val="005B5263"/>
    <w:rsid w:val="005B616A"/>
    <w:rsid w:val="005D3B59"/>
    <w:rsid w:val="005D685A"/>
    <w:rsid w:val="005E7475"/>
    <w:rsid w:val="005F06F5"/>
    <w:rsid w:val="005F2936"/>
    <w:rsid w:val="005F3DF9"/>
    <w:rsid w:val="005F74CB"/>
    <w:rsid w:val="00601491"/>
    <w:rsid w:val="006029C3"/>
    <w:rsid w:val="006122B6"/>
    <w:rsid w:val="006147F5"/>
    <w:rsid w:val="00624EDD"/>
    <w:rsid w:val="00625F2C"/>
    <w:rsid w:val="00630EF3"/>
    <w:rsid w:val="00634AB3"/>
    <w:rsid w:val="00635858"/>
    <w:rsid w:val="00641554"/>
    <w:rsid w:val="00642C61"/>
    <w:rsid w:val="006455C0"/>
    <w:rsid w:val="00667A6C"/>
    <w:rsid w:val="00674765"/>
    <w:rsid w:val="00676015"/>
    <w:rsid w:val="0067651C"/>
    <w:rsid w:val="00680BC6"/>
    <w:rsid w:val="00687F7B"/>
    <w:rsid w:val="006911D6"/>
    <w:rsid w:val="00693302"/>
    <w:rsid w:val="006944C9"/>
    <w:rsid w:val="0069494F"/>
    <w:rsid w:val="00697C56"/>
    <w:rsid w:val="006A1B27"/>
    <w:rsid w:val="006C5092"/>
    <w:rsid w:val="006C79DE"/>
    <w:rsid w:val="006D5934"/>
    <w:rsid w:val="006F20E2"/>
    <w:rsid w:val="006F3B19"/>
    <w:rsid w:val="0071068F"/>
    <w:rsid w:val="00713EC7"/>
    <w:rsid w:val="00722265"/>
    <w:rsid w:val="00723E9D"/>
    <w:rsid w:val="00733832"/>
    <w:rsid w:val="00741BD5"/>
    <w:rsid w:val="0074203F"/>
    <w:rsid w:val="007548AC"/>
    <w:rsid w:val="007548C2"/>
    <w:rsid w:val="00760CAE"/>
    <w:rsid w:val="00776D45"/>
    <w:rsid w:val="007807D5"/>
    <w:rsid w:val="00784362"/>
    <w:rsid w:val="00787F4C"/>
    <w:rsid w:val="00795EEB"/>
    <w:rsid w:val="00797031"/>
    <w:rsid w:val="007A0AE0"/>
    <w:rsid w:val="007A1626"/>
    <w:rsid w:val="007A47DB"/>
    <w:rsid w:val="007A5299"/>
    <w:rsid w:val="007A770E"/>
    <w:rsid w:val="007B15E0"/>
    <w:rsid w:val="007B55D6"/>
    <w:rsid w:val="007C2F3E"/>
    <w:rsid w:val="007C3277"/>
    <w:rsid w:val="007C386D"/>
    <w:rsid w:val="007C585C"/>
    <w:rsid w:val="007D1739"/>
    <w:rsid w:val="007D430D"/>
    <w:rsid w:val="007D57AB"/>
    <w:rsid w:val="007D64D4"/>
    <w:rsid w:val="007E2255"/>
    <w:rsid w:val="007E2EC7"/>
    <w:rsid w:val="007F17EE"/>
    <w:rsid w:val="008047F4"/>
    <w:rsid w:val="00804D77"/>
    <w:rsid w:val="00806DE7"/>
    <w:rsid w:val="008109AC"/>
    <w:rsid w:val="00815E11"/>
    <w:rsid w:val="00816180"/>
    <w:rsid w:val="008165C2"/>
    <w:rsid w:val="0082033D"/>
    <w:rsid w:val="00826DF1"/>
    <w:rsid w:val="00835E9E"/>
    <w:rsid w:val="00842302"/>
    <w:rsid w:val="00845F3F"/>
    <w:rsid w:val="00851133"/>
    <w:rsid w:val="00854261"/>
    <w:rsid w:val="008549E5"/>
    <w:rsid w:val="00857090"/>
    <w:rsid w:val="00862C26"/>
    <w:rsid w:val="00864126"/>
    <w:rsid w:val="008644BF"/>
    <w:rsid w:val="008665E5"/>
    <w:rsid w:val="00867D53"/>
    <w:rsid w:val="008731F6"/>
    <w:rsid w:val="0087629A"/>
    <w:rsid w:val="00884ECA"/>
    <w:rsid w:val="008A3C4E"/>
    <w:rsid w:val="008A603E"/>
    <w:rsid w:val="008A688C"/>
    <w:rsid w:val="008C255B"/>
    <w:rsid w:val="008C4A04"/>
    <w:rsid w:val="008C51C1"/>
    <w:rsid w:val="008C6F28"/>
    <w:rsid w:val="008D0BF2"/>
    <w:rsid w:val="008D7730"/>
    <w:rsid w:val="008D78CE"/>
    <w:rsid w:val="008E180A"/>
    <w:rsid w:val="008E27AC"/>
    <w:rsid w:val="008E44EE"/>
    <w:rsid w:val="008E5D4A"/>
    <w:rsid w:val="008E6708"/>
    <w:rsid w:val="008F159D"/>
    <w:rsid w:val="008F2CC9"/>
    <w:rsid w:val="008F33BF"/>
    <w:rsid w:val="009065FE"/>
    <w:rsid w:val="00922B34"/>
    <w:rsid w:val="009237C0"/>
    <w:rsid w:val="00930EA7"/>
    <w:rsid w:val="00931BFE"/>
    <w:rsid w:val="00960A4E"/>
    <w:rsid w:val="009714CF"/>
    <w:rsid w:val="00986C78"/>
    <w:rsid w:val="00990B8B"/>
    <w:rsid w:val="009A1813"/>
    <w:rsid w:val="009A1CD5"/>
    <w:rsid w:val="009A3E21"/>
    <w:rsid w:val="009A52D6"/>
    <w:rsid w:val="009A7096"/>
    <w:rsid w:val="009B26FF"/>
    <w:rsid w:val="009B3229"/>
    <w:rsid w:val="009B4B7E"/>
    <w:rsid w:val="009C0B79"/>
    <w:rsid w:val="009C6916"/>
    <w:rsid w:val="009D3368"/>
    <w:rsid w:val="009F3C88"/>
    <w:rsid w:val="009F6A4D"/>
    <w:rsid w:val="00A13B14"/>
    <w:rsid w:val="00A26C13"/>
    <w:rsid w:val="00A34B32"/>
    <w:rsid w:val="00A37F5B"/>
    <w:rsid w:val="00A42227"/>
    <w:rsid w:val="00A47974"/>
    <w:rsid w:val="00A5135C"/>
    <w:rsid w:val="00A53DAF"/>
    <w:rsid w:val="00A5445D"/>
    <w:rsid w:val="00A5562F"/>
    <w:rsid w:val="00A55ED9"/>
    <w:rsid w:val="00A63977"/>
    <w:rsid w:val="00A66701"/>
    <w:rsid w:val="00A700F0"/>
    <w:rsid w:val="00A71D06"/>
    <w:rsid w:val="00A73955"/>
    <w:rsid w:val="00A91FC4"/>
    <w:rsid w:val="00A94C21"/>
    <w:rsid w:val="00A94D10"/>
    <w:rsid w:val="00A95F39"/>
    <w:rsid w:val="00AA17F8"/>
    <w:rsid w:val="00AA23AC"/>
    <w:rsid w:val="00AB2989"/>
    <w:rsid w:val="00AB6CAA"/>
    <w:rsid w:val="00AB6EBB"/>
    <w:rsid w:val="00AD42A5"/>
    <w:rsid w:val="00AE21D8"/>
    <w:rsid w:val="00AE48FD"/>
    <w:rsid w:val="00AE7D71"/>
    <w:rsid w:val="00AF141E"/>
    <w:rsid w:val="00AF279F"/>
    <w:rsid w:val="00AF4359"/>
    <w:rsid w:val="00B033FC"/>
    <w:rsid w:val="00B03E7E"/>
    <w:rsid w:val="00B05212"/>
    <w:rsid w:val="00B144E0"/>
    <w:rsid w:val="00B243FC"/>
    <w:rsid w:val="00B26E4A"/>
    <w:rsid w:val="00B36444"/>
    <w:rsid w:val="00B4725D"/>
    <w:rsid w:val="00B51083"/>
    <w:rsid w:val="00B53870"/>
    <w:rsid w:val="00B54D15"/>
    <w:rsid w:val="00B579B7"/>
    <w:rsid w:val="00B60EE3"/>
    <w:rsid w:val="00B719E1"/>
    <w:rsid w:val="00B71FE1"/>
    <w:rsid w:val="00B72A88"/>
    <w:rsid w:val="00B80B96"/>
    <w:rsid w:val="00B81C34"/>
    <w:rsid w:val="00B84AF5"/>
    <w:rsid w:val="00B92BD9"/>
    <w:rsid w:val="00B92C84"/>
    <w:rsid w:val="00B97925"/>
    <w:rsid w:val="00BA2F04"/>
    <w:rsid w:val="00BA66A7"/>
    <w:rsid w:val="00BB56C4"/>
    <w:rsid w:val="00BE199A"/>
    <w:rsid w:val="00BE3DC4"/>
    <w:rsid w:val="00BF4335"/>
    <w:rsid w:val="00BF4AB2"/>
    <w:rsid w:val="00BF4B42"/>
    <w:rsid w:val="00C12A43"/>
    <w:rsid w:val="00C1461A"/>
    <w:rsid w:val="00C20670"/>
    <w:rsid w:val="00C2616D"/>
    <w:rsid w:val="00C267BD"/>
    <w:rsid w:val="00C30742"/>
    <w:rsid w:val="00C308AF"/>
    <w:rsid w:val="00C33871"/>
    <w:rsid w:val="00C4012C"/>
    <w:rsid w:val="00C41B14"/>
    <w:rsid w:val="00C53C46"/>
    <w:rsid w:val="00C53D0B"/>
    <w:rsid w:val="00C615C8"/>
    <w:rsid w:val="00C7206E"/>
    <w:rsid w:val="00C76DA2"/>
    <w:rsid w:val="00C80CF4"/>
    <w:rsid w:val="00C81120"/>
    <w:rsid w:val="00C86186"/>
    <w:rsid w:val="00C86B20"/>
    <w:rsid w:val="00C900AD"/>
    <w:rsid w:val="00C92A76"/>
    <w:rsid w:val="00C949DC"/>
    <w:rsid w:val="00CA4AEC"/>
    <w:rsid w:val="00CA4DB8"/>
    <w:rsid w:val="00CB20FB"/>
    <w:rsid w:val="00CB49F9"/>
    <w:rsid w:val="00CC430B"/>
    <w:rsid w:val="00CC785D"/>
    <w:rsid w:val="00CD06C6"/>
    <w:rsid w:val="00CE5C6C"/>
    <w:rsid w:val="00CF006C"/>
    <w:rsid w:val="00CF3F6E"/>
    <w:rsid w:val="00CF53A7"/>
    <w:rsid w:val="00D02218"/>
    <w:rsid w:val="00D043F4"/>
    <w:rsid w:val="00D12042"/>
    <w:rsid w:val="00D15DFF"/>
    <w:rsid w:val="00D17F89"/>
    <w:rsid w:val="00D26E78"/>
    <w:rsid w:val="00D30295"/>
    <w:rsid w:val="00D34E24"/>
    <w:rsid w:val="00D4044A"/>
    <w:rsid w:val="00D450DF"/>
    <w:rsid w:val="00D52122"/>
    <w:rsid w:val="00D53326"/>
    <w:rsid w:val="00D6160A"/>
    <w:rsid w:val="00D63D9B"/>
    <w:rsid w:val="00D659F6"/>
    <w:rsid w:val="00D66116"/>
    <w:rsid w:val="00D66A72"/>
    <w:rsid w:val="00D67D9E"/>
    <w:rsid w:val="00D74F83"/>
    <w:rsid w:val="00D774B5"/>
    <w:rsid w:val="00D81358"/>
    <w:rsid w:val="00D85897"/>
    <w:rsid w:val="00D93ED3"/>
    <w:rsid w:val="00D9422C"/>
    <w:rsid w:val="00DA03BE"/>
    <w:rsid w:val="00DA2F5E"/>
    <w:rsid w:val="00DA62E7"/>
    <w:rsid w:val="00DB0B5E"/>
    <w:rsid w:val="00DB32DA"/>
    <w:rsid w:val="00DC158A"/>
    <w:rsid w:val="00DD300D"/>
    <w:rsid w:val="00DE7161"/>
    <w:rsid w:val="00E00878"/>
    <w:rsid w:val="00E020CD"/>
    <w:rsid w:val="00E148F4"/>
    <w:rsid w:val="00E15564"/>
    <w:rsid w:val="00E17DF8"/>
    <w:rsid w:val="00E30C60"/>
    <w:rsid w:val="00E4040B"/>
    <w:rsid w:val="00E42F47"/>
    <w:rsid w:val="00E45179"/>
    <w:rsid w:val="00E50854"/>
    <w:rsid w:val="00E52DC5"/>
    <w:rsid w:val="00E53385"/>
    <w:rsid w:val="00E65905"/>
    <w:rsid w:val="00E66D9E"/>
    <w:rsid w:val="00E6768C"/>
    <w:rsid w:val="00E72C34"/>
    <w:rsid w:val="00E734F6"/>
    <w:rsid w:val="00E75A18"/>
    <w:rsid w:val="00E82269"/>
    <w:rsid w:val="00E84061"/>
    <w:rsid w:val="00E84FD4"/>
    <w:rsid w:val="00E87E69"/>
    <w:rsid w:val="00E91610"/>
    <w:rsid w:val="00E93362"/>
    <w:rsid w:val="00EB41A5"/>
    <w:rsid w:val="00EB41B7"/>
    <w:rsid w:val="00EB4AD8"/>
    <w:rsid w:val="00EB54F1"/>
    <w:rsid w:val="00EC3771"/>
    <w:rsid w:val="00EC3E5A"/>
    <w:rsid w:val="00EC41AF"/>
    <w:rsid w:val="00EC4841"/>
    <w:rsid w:val="00EC5776"/>
    <w:rsid w:val="00ED62D4"/>
    <w:rsid w:val="00EE23F9"/>
    <w:rsid w:val="00EE4AEF"/>
    <w:rsid w:val="00EF2DAE"/>
    <w:rsid w:val="00EF3561"/>
    <w:rsid w:val="00EF3FA6"/>
    <w:rsid w:val="00F050B7"/>
    <w:rsid w:val="00F116A1"/>
    <w:rsid w:val="00F12373"/>
    <w:rsid w:val="00F13E7F"/>
    <w:rsid w:val="00F147EF"/>
    <w:rsid w:val="00F1793E"/>
    <w:rsid w:val="00F2573C"/>
    <w:rsid w:val="00F257E6"/>
    <w:rsid w:val="00F26A78"/>
    <w:rsid w:val="00F30856"/>
    <w:rsid w:val="00F34314"/>
    <w:rsid w:val="00F346C3"/>
    <w:rsid w:val="00F41186"/>
    <w:rsid w:val="00F50E9E"/>
    <w:rsid w:val="00F546B4"/>
    <w:rsid w:val="00F57722"/>
    <w:rsid w:val="00F63941"/>
    <w:rsid w:val="00F63E95"/>
    <w:rsid w:val="00F7089E"/>
    <w:rsid w:val="00F71E59"/>
    <w:rsid w:val="00F808D4"/>
    <w:rsid w:val="00F87A53"/>
    <w:rsid w:val="00F91D0F"/>
    <w:rsid w:val="00F94168"/>
    <w:rsid w:val="00FA222D"/>
    <w:rsid w:val="00FA2231"/>
    <w:rsid w:val="00FA26F0"/>
    <w:rsid w:val="00FA321C"/>
    <w:rsid w:val="00FA471F"/>
    <w:rsid w:val="00FA6AEB"/>
    <w:rsid w:val="00FB0E4F"/>
    <w:rsid w:val="00FB2A45"/>
    <w:rsid w:val="00FC447B"/>
    <w:rsid w:val="00FC78AE"/>
    <w:rsid w:val="00FE29D4"/>
    <w:rsid w:val="00FE4B5B"/>
    <w:rsid w:val="00FF71E2"/>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7B15E0"/>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7B15E0"/>
    <w:rPr>
      <w:rFonts w:ascii="Times New Roman" w:eastAsia="Calibri" w:hAnsi="Times New Roman" w:cs="Times New Roman"/>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7B15E0"/>
    <w:rPr>
      <w:vertAlign w:val="superscript"/>
    </w:rPr>
  </w:style>
  <w:style w:type="paragraph" w:customStyle="1" w:styleId="Appelnotedebasde">
    <w:name w:val="Appel note de bas de..."/>
    <w:basedOn w:val="Normal"/>
    <w:link w:val="FootnoteReference"/>
    <w:rsid w:val="007B15E0"/>
    <w:pPr>
      <w:spacing w:line="240" w:lineRule="exact"/>
    </w:pPr>
    <w:rPr>
      <w:vertAlign w:val="superscript"/>
    </w:rPr>
  </w:style>
  <w:style w:type="paragraph" w:styleId="ListParagraph">
    <w:name w:val="List Paragraph"/>
    <w:aliases w:val="Párrafo de lista1,List Paragraph1,Colorful List - Accent 11,List Paragraph11"/>
    <w:basedOn w:val="Normal"/>
    <w:link w:val="ListParagraphChar"/>
    <w:uiPriority w:val="34"/>
    <w:qFormat/>
    <w:rsid w:val="007B15E0"/>
    <w:pPr>
      <w:spacing w:after="200" w:line="276" w:lineRule="auto"/>
      <w:ind w:left="720"/>
      <w:contextualSpacing/>
    </w:pPr>
    <w:rPr>
      <w:rFonts w:ascii="Calibri" w:eastAsia="Calibri" w:hAnsi="Calibri" w:cs="Times New Roman"/>
    </w:rPr>
  </w:style>
  <w:style w:type="paragraph" w:styleId="BodyTextIndent2">
    <w:name w:val="Body Text Indent 2"/>
    <w:basedOn w:val="Normal"/>
    <w:link w:val="BodyTextIndent2Char"/>
    <w:uiPriority w:val="99"/>
    <w:semiHidden/>
    <w:unhideWhenUsed/>
    <w:rsid w:val="007B1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B15E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15E0"/>
    <w:rPr>
      <w:color w:val="0563C1" w:themeColor="hyperlink"/>
      <w:u w:val="single"/>
    </w:rPr>
  </w:style>
  <w:style w:type="character" w:styleId="FollowedHyperlink">
    <w:name w:val="FollowedHyperlink"/>
    <w:basedOn w:val="DefaultParagraphFont"/>
    <w:uiPriority w:val="99"/>
    <w:semiHidden/>
    <w:unhideWhenUsed/>
    <w:rsid w:val="000E5EAF"/>
    <w:rPr>
      <w:color w:val="954F72" w:themeColor="followedHyperlink"/>
      <w:u w:val="single"/>
    </w:rPr>
  </w:style>
  <w:style w:type="paragraph" w:styleId="Header">
    <w:name w:val="header"/>
    <w:basedOn w:val="Normal"/>
    <w:link w:val="HeaderChar"/>
    <w:uiPriority w:val="99"/>
    <w:unhideWhenUsed/>
    <w:rsid w:val="00D63D9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63D9B"/>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B144E0"/>
    <w:rPr>
      <w:rFonts w:ascii="Calibri" w:eastAsia="Calibri" w:hAnsi="Calibri" w:cs="Times New Roman"/>
    </w:rPr>
  </w:style>
  <w:style w:type="paragraph" w:customStyle="1" w:styleId="Default">
    <w:name w:val="Default"/>
    <w:rsid w:val="00B144E0"/>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4A7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7BF"/>
    <w:rPr>
      <w:rFonts w:ascii="Segoe UI" w:hAnsi="Segoe UI" w:cs="Segoe UI"/>
      <w:sz w:val="18"/>
      <w:szCs w:val="18"/>
    </w:rPr>
  </w:style>
  <w:style w:type="character" w:styleId="CommentReference">
    <w:name w:val="annotation reference"/>
    <w:basedOn w:val="DefaultParagraphFont"/>
    <w:uiPriority w:val="99"/>
    <w:semiHidden/>
    <w:unhideWhenUsed/>
    <w:rsid w:val="002D3A69"/>
    <w:rPr>
      <w:sz w:val="16"/>
      <w:szCs w:val="16"/>
    </w:rPr>
  </w:style>
  <w:style w:type="paragraph" w:styleId="CommentText">
    <w:name w:val="annotation text"/>
    <w:basedOn w:val="Normal"/>
    <w:link w:val="CommentTextChar"/>
    <w:uiPriority w:val="99"/>
    <w:semiHidden/>
    <w:unhideWhenUsed/>
    <w:rsid w:val="002D3A69"/>
    <w:pPr>
      <w:spacing w:line="240" w:lineRule="auto"/>
    </w:pPr>
    <w:rPr>
      <w:sz w:val="20"/>
      <w:szCs w:val="20"/>
    </w:rPr>
  </w:style>
  <w:style w:type="character" w:customStyle="1" w:styleId="CommentTextChar">
    <w:name w:val="Comment Text Char"/>
    <w:basedOn w:val="DefaultParagraphFont"/>
    <w:link w:val="CommentText"/>
    <w:uiPriority w:val="99"/>
    <w:semiHidden/>
    <w:rsid w:val="002D3A69"/>
    <w:rPr>
      <w:sz w:val="20"/>
      <w:szCs w:val="20"/>
    </w:rPr>
  </w:style>
  <w:style w:type="paragraph" w:styleId="CommentSubject">
    <w:name w:val="annotation subject"/>
    <w:basedOn w:val="CommentText"/>
    <w:next w:val="CommentText"/>
    <w:link w:val="CommentSubjectChar"/>
    <w:uiPriority w:val="99"/>
    <w:semiHidden/>
    <w:unhideWhenUsed/>
    <w:rsid w:val="002D3A69"/>
    <w:rPr>
      <w:b/>
      <w:bCs/>
    </w:rPr>
  </w:style>
  <w:style w:type="character" w:customStyle="1" w:styleId="CommentSubjectChar">
    <w:name w:val="Comment Subject Char"/>
    <w:basedOn w:val="CommentTextChar"/>
    <w:link w:val="CommentSubject"/>
    <w:uiPriority w:val="99"/>
    <w:semiHidden/>
    <w:rsid w:val="002D3A69"/>
    <w:rPr>
      <w:b/>
      <w:bCs/>
      <w:sz w:val="20"/>
      <w:szCs w:val="20"/>
    </w:rPr>
  </w:style>
  <w:style w:type="paragraph" w:styleId="Footer">
    <w:name w:val="footer"/>
    <w:basedOn w:val="Normal"/>
    <w:link w:val="FooterChar"/>
    <w:uiPriority w:val="99"/>
    <w:unhideWhenUsed/>
    <w:rsid w:val="0059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FE3"/>
  </w:style>
  <w:style w:type="paragraph" w:styleId="NoSpacing">
    <w:name w:val="No Spacing"/>
    <w:uiPriority w:val="1"/>
    <w:qFormat/>
    <w:rsid w:val="005622BE"/>
    <w:pPr>
      <w:spacing w:after="0" w:line="240" w:lineRule="auto"/>
    </w:pPr>
    <w:rPr>
      <w:rFonts w:ascii="Calibri" w:eastAsia="Calibri" w:hAnsi="Calibri" w:cs="Times New Roman"/>
      <w:lang w:val="pt-BR"/>
    </w:rPr>
  </w:style>
  <w:style w:type="paragraph" w:styleId="BodyTextIndent">
    <w:name w:val="Body Text Indent"/>
    <w:basedOn w:val="Normal"/>
    <w:link w:val="BodyTextIndentChar"/>
    <w:uiPriority w:val="99"/>
    <w:semiHidden/>
    <w:unhideWhenUsed/>
    <w:rsid w:val="00371B8A"/>
    <w:pPr>
      <w:spacing w:after="120"/>
      <w:ind w:left="360"/>
    </w:pPr>
  </w:style>
  <w:style w:type="character" w:customStyle="1" w:styleId="BodyTextIndentChar">
    <w:name w:val="Body Text Indent Char"/>
    <w:basedOn w:val="DefaultParagraphFont"/>
    <w:link w:val="BodyTextIndent"/>
    <w:uiPriority w:val="99"/>
    <w:semiHidden/>
    <w:rsid w:val="00371B8A"/>
  </w:style>
  <w:style w:type="paragraph" w:styleId="EndnoteText">
    <w:name w:val="endnote text"/>
    <w:basedOn w:val="Normal"/>
    <w:link w:val="EndnoteTextChar"/>
    <w:semiHidden/>
    <w:rsid w:val="00371B8A"/>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EndnoteTextChar">
    <w:name w:val="Endnote Text Char"/>
    <w:basedOn w:val="DefaultParagraphFont"/>
    <w:link w:val="EndnoteText"/>
    <w:semiHidden/>
    <w:rsid w:val="00371B8A"/>
    <w:rPr>
      <w:rFonts w:ascii="Times New Roman" w:eastAsia="Times New Roman" w:hAnsi="Times New Roman" w:cs="Times New Roman"/>
      <w:sz w:val="24"/>
      <w:szCs w:val="24"/>
      <w:lang w:val="pt-BR" w:eastAsia="pt-BR"/>
    </w:rPr>
  </w:style>
  <w:style w:type="paragraph" w:styleId="BodyText2">
    <w:name w:val="Body Text 2"/>
    <w:basedOn w:val="Normal"/>
    <w:link w:val="BodyText2Char"/>
    <w:uiPriority w:val="99"/>
    <w:semiHidden/>
    <w:unhideWhenUsed/>
    <w:rsid w:val="00371B8A"/>
    <w:pPr>
      <w:spacing w:after="120" w:line="480" w:lineRule="auto"/>
    </w:pPr>
  </w:style>
  <w:style w:type="character" w:customStyle="1" w:styleId="BodyText2Char">
    <w:name w:val="Body Text 2 Char"/>
    <w:basedOn w:val="DefaultParagraphFont"/>
    <w:link w:val="BodyText2"/>
    <w:uiPriority w:val="99"/>
    <w:semiHidden/>
    <w:rsid w:val="0037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2sp/Grenada.11765.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99span/Admisible/Grenada11765.ht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17/docs/IA2017cap.2-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C611-708E-47BC-8DCE-591C6A85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1922</Words>
  <Characters>10576</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2019-02-25T17:49:00Z</dcterms:created>
  <dcterms:modified xsi:type="dcterms:W3CDTF">2019-03-13T20:12:00Z</dcterms:modified>
</cp:coreProperties>
</file>