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18BBF" w14:textId="6DC2E8CB" w:rsidR="00724CD6" w:rsidRPr="00BA34E5" w:rsidRDefault="00724CD6" w:rsidP="00724CD6">
      <w:pPr>
        <w:pStyle w:val="Header"/>
        <w:jc w:val="center"/>
        <w:rPr>
          <w:rFonts w:ascii="Cambria" w:hAnsi="Cambria"/>
          <w:color w:val="000000" w:themeColor="text1"/>
          <w:sz w:val="20"/>
          <w:szCs w:val="20"/>
          <w:lang w:val="es-CO"/>
        </w:rPr>
      </w:pPr>
      <w:r w:rsidRPr="00BA34E5">
        <w:rPr>
          <w:rFonts w:ascii="Cambria" w:hAnsi="Cambria"/>
          <w:b/>
          <w:color w:val="000000" w:themeColor="text1"/>
          <w:sz w:val="20"/>
          <w:szCs w:val="20"/>
          <w:lang w:val="es-ES"/>
        </w:rPr>
        <w:t>FICHA DE SEGUIMIENTO DEL INFORME Nº</w:t>
      </w:r>
      <w:r w:rsidRPr="00BA34E5">
        <w:rPr>
          <w:rFonts w:ascii="Cambria" w:hAnsi="Cambria"/>
          <w:b/>
          <w:color w:val="000000" w:themeColor="text1"/>
          <w:sz w:val="20"/>
          <w:szCs w:val="20"/>
          <w:lang w:val="es-CO"/>
        </w:rPr>
        <w:t xml:space="preserve"> 99/03</w:t>
      </w:r>
    </w:p>
    <w:p w14:paraId="281628E0" w14:textId="07EB0112" w:rsidR="00441607" w:rsidRPr="00BA34E5" w:rsidRDefault="00724CD6" w:rsidP="00724CD6">
      <w:pPr>
        <w:spacing w:after="0" w:line="240" w:lineRule="auto"/>
        <w:jc w:val="center"/>
        <w:rPr>
          <w:rFonts w:ascii="Cambria" w:hAnsi="Cambria"/>
          <w:b/>
          <w:sz w:val="20"/>
          <w:szCs w:val="20"/>
          <w:lang w:val="es-US"/>
        </w:rPr>
      </w:pPr>
      <w:r w:rsidRPr="00BA34E5">
        <w:rPr>
          <w:rFonts w:ascii="Cambria" w:hAnsi="Cambria"/>
          <w:b/>
          <w:color w:val="000000" w:themeColor="text1"/>
          <w:sz w:val="20"/>
          <w:szCs w:val="20"/>
          <w:lang w:val="es-ES"/>
        </w:rPr>
        <w:t xml:space="preserve">CASO </w:t>
      </w:r>
      <w:r w:rsidR="00441607" w:rsidRPr="00BA34E5">
        <w:rPr>
          <w:rFonts w:ascii="Cambria" w:hAnsi="Cambria"/>
          <w:b/>
          <w:sz w:val="20"/>
          <w:szCs w:val="20"/>
          <w:lang w:val="es-US"/>
        </w:rPr>
        <w:t>11.331</w:t>
      </w:r>
    </w:p>
    <w:p w14:paraId="752AEEB7" w14:textId="2B3DE2EC" w:rsidR="00441607" w:rsidRPr="00BA34E5" w:rsidRDefault="0091210F" w:rsidP="00441607">
      <w:pPr>
        <w:spacing w:after="0" w:line="240" w:lineRule="auto"/>
        <w:jc w:val="center"/>
        <w:rPr>
          <w:rFonts w:ascii="Cambria" w:hAnsi="Cambria"/>
          <w:b/>
          <w:sz w:val="20"/>
          <w:szCs w:val="20"/>
          <w:lang w:val="es-US"/>
        </w:rPr>
      </w:pPr>
      <w:r w:rsidRPr="00BA34E5">
        <w:rPr>
          <w:rFonts w:ascii="Cambria" w:hAnsi="Cambria"/>
          <w:b/>
          <w:bCs/>
          <w:sz w:val="20"/>
          <w:szCs w:val="20"/>
          <w:lang w:val="es-US"/>
        </w:rPr>
        <w:t>CÉ</w:t>
      </w:r>
      <w:r w:rsidR="00025AB1" w:rsidRPr="00BA34E5">
        <w:rPr>
          <w:rFonts w:ascii="Cambria" w:hAnsi="Cambria"/>
          <w:b/>
          <w:bCs/>
          <w:sz w:val="20"/>
          <w:szCs w:val="20"/>
          <w:lang w:val="es-US"/>
        </w:rPr>
        <w:t>SAR FIERRO</w:t>
      </w:r>
    </w:p>
    <w:p w14:paraId="0B14DE6A" w14:textId="19D3EF64" w:rsidR="00441607" w:rsidRPr="00BA34E5" w:rsidRDefault="00441607" w:rsidP="00441607">
      <w:pPr>
        <w:spacing w:after="0" w:line="240" w:lineRule="auto"/>
        <w:jc w:val="center"/>
        <w:rPr>
          <w:rFonts w:ascii="Cambria" w:hAnsi="Cambria"/>
          <w:b/>
          <w:sz w:val="20"/>
          <w:szCs w:val="20"/>
          <w:lang w:val="es-US"/>
        </w:rPr>
      </w:pPr>
      <w:r w:rsidRPr="00BA34E5">
        <w:rPr>
          <w:rFonts w:ascii="Cambria" w:hAnsi="Cambria"/>
          <w:b/>
          <w:sz w:val="20"/>
          <w:szCs w:val="20"/>
          <w:lang w:val="es-US"/>
        </w:rPr>
        <w:t>(</w:t>
      </w:r>
      <w:r w:rsidR="00724CD6" w:rsidRPr="00BA34E5">
        <w:rPr>
          <w:rFonts w:ascii="Cambria" w:hAnsi="Cambria"/>
          <w:b/>
          <w:sz w:val="20"/>
          <w:szCs w:val="20"/>
          <w:lang w:val="es-US"/>
        </w:rPr>
        <w:t>Estados Unidos</w:t>
      </w:r>
      <w:r w:rsidRPr="00BA34E5">
        <w:rPr>
          <w:rFonts w:ascii="Cambria" w:hAnsi="Cambria"/>
          <w:b/>
          <w:sz w:val="20"/>
          <w:szCs w:val="20"/>
          <w:lang w:val="es-US"/>
        </w:rPr>
        <w:t>)</w:t>
      </w:r>
    </w:p>
    <w:p w14:paraId="3AA54CC5" w14:textId="77777777" w:rsidR="00441607" w:rsidRPr="00B8087B" w:rsidRDefault="00441607" w:rsidP="00441607">
      <w:pPr>
        <w:spacing w:after="0" w:line="240" w:lineRule="auto"/>
        <w:jc w:val="both"/>
        <w:rPr>
          <w:rFonts w:ascii="Cambria" w:hAnsi="Cambria"/>
          <w:sz w:val="20"/>
          <w:szCs w:val="20"/>
          <w:lang w:val="es-US"/>
        </w:rPr>
      </w:pPr>
    </w:p>
    <w:p w14:paraId="727EE73F" w14:textId="74190E07" w:rsidR="00441607" w:rsidRPr="00A24EDA" w:rsidRDefault="00724CD6" w:rsidP="00025AB1">
      <w:pPr>
        <w:numPr>
          <w:ilvl w:val="0"/>
          <w:numId w:val="1"/>
        </w:numPr>
        <w:spacing w:after="0" w:line="240" w:lineRule="auto"/>
        <w:ind w:left="1296" w:hanging="576"/>
        <w:jc w:val="both"/>
        <w:rPr>
          <w:rFonts w:ascii="Cambria" w:hAnsi="Cambria" w:cs="Calibri Light"/>
          <w:b/>
          <w:sz w:val="20"/>
          <w:szCs w:val="20"/>
          <w:lang w:val="es-US"/>
        </w:rPr>
      </w:pPr>
      <w:r>
        <w:rPr>
          <w:rFonts w:ascii="Cambria" w:hAnsi="Cambria" w:cs="Calibri Light"/>
          <w:b/>
          <w:sz w:val="20"/>
          <w:szCs w:val="20"/>
          <w:lang w:val="es-US"/>
        </w:rPr>
        <w:t>Resumen del caso</w:t>
      </w:r>
      <w:r w:rsidR="00441607" w:rsidRPr="00A24EDA">
        <w:rPr>
          <w:rFonts w:ascii="Cambria" w:hAnsi="Cambria" w:cs="Calibri Light"/>
          <w:b/>
          <w:sz w:val="20"/>
          <w:szCs w:val="20"/>
          <w:lang w:val="es-US"/>
        </w:rPr>
        <w:t xml:space="preserve"> </w:t>
      </w:r>
    </w:p>
    <w:p w14:paraId="097A593F" w14:textId="77777777" w:rsidR="00441607" w:rsidRPr="00A24EDA" w:rsidRDefault="00441607" w:rsidP="00441607">
      <w:pPr>
        <w:spacing w:after="0" w:line="240" w:lineRule="auto"/>
        <w:ind w:left="1080"/>
        <w:jc w:val="both"/>
        <w:rPr>
          <w:rFonts w:ascii="Cambria" w:hAnsi="Cambria" w:cs="Calibri Light"/>
          <w:sz w:val="20"/>
          <w:szCs w:val="20"/>
          <w:lang w:val="es-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E16D3D" w:rsidRPr="0082274A" w14:paraId="3A190268" w14:textId="77777777" w:rsidTr="00371FE6">
        <w:trPr>
          <w:trHeight w:val="4742"/>
          <w:jc w:val="center"/>
        </w:trPr>
        <w:tc>
          <w:tcPr>
            <w:tcW w:w="9576" w:type="dxa"/>
            <w:shd w:val="clear" w:color="auto" w:fill="F2F2F2"/>
          </w:tcPr>
          <w:p w14:paraId="35BE7504" w14:textId="02CFEDD9" w:rsidR="00441607" w:rsidRPr="00E16D3D" w:rsidRDefault="00724CD6" w:rsidP="00025AB1">
            <w:pPr>
              <w:spacing w:before="120" w:after="0" w:line="240" w:lineRule="auto"/>
              <w:jc w:val="both"/>
              <w:rPr>
                <w:rFonts w:ascii="Cambria" w:hAnsi="Cambria"/>
                <w:b/>
                <w:color w:val="000000" w:themeColor="text1"/>
                <w:sz w:val="20"/>
                <w:szCs w:val="20"/>
                <w:lang w:val="pt-BR"/>
              </w:rPr>
            </w:pPr>
            <w:proofErr w:type="spellStart"/>
            <w:r>
              <w:rPr>
                <w:rFonts w:ascii="Cambria" w:hAnsi="Cambria"/>
                <w:b/>
                <w:color w:val="000000" w:themeColor="text1"/>
                <w:sz w:val="20"/>
                <w:szCs w:val="20"/>
                <w:lang w:val="pt-BR"/>
              </w:rPr>
              <w:t>Víctima</w:t>
            </w:r>
            <w:proofErr w:type="spellEnd"/>
            <w:r w:rsidR="00441607" w:rsidRPr="00E16D3D">
              <w:rPr>
                <w:rFonts w:ascii="Cambria" w:hAnsi="Cambria"/>
                <w:b/>
                <w:color w:val="000000" w:themeColor="text1"/>
                <w:sz w:val="20"/>
                <w:szCs w:val="20"/>
                <w:lang w:val="pt-BR"/>
              </w:rPr>
              <w:t xml:space="preserve"> (s): </w:t>
            </w:r>
            <w:r w:rsidR="000C7F61" w:rsidRPr="00E16D3D">
              <w:rPr>
                <w:rFonts w:ascii="Cambria" w:hAnsi="Cambria"/>
                <w:bCs/>
                <w:color w:val="000000" w:themeColor="text1"/>
                <w:sz w:val="20"/>
                <w:szCs w:val="20"/>
              </w:rPr>
              <w:t>Cé</w:t>
            </w:r>
            <w:r w:rsidR="00441607" w:rsidRPr="00E16D3D">
              <w:rPr>
                <w:rFonts w:ascii="Cambria" w:hAnsi="Cambria"/>
                <w:bCs/>
                <w:color w:val="000000" w:themeColor="text1"/>
                <w:sz w:val="20"/>
                <w:szCs w:val="20"/>
              </w:rPr>
              <w:t>sar Fierro</w:t>
            </w:r>
          </w:p>
          <w:p w14:paraId="669BFDF5" w14:textId="71C53372" w:rsidR="00441607" w:rsidRPr="00E16D3D" w:rsidRDefault="00724CD6" w:rsidP="000E7EA7">
            <w:pPr>
              <w:spacing w:after="0" w:line="240" w:lineRule="auto"/>
              <w:jc w:val="both"/>
              <w:rPr>
                <w:rFonts w:ascii="Cambria" w:hAnsi="Cambria"/>
                <w:b/>
                <w:color w:val="000000" w:themeColor="text1"/>
                <w:sz w:val="20"/>
                <w:szCs w:val="20"/>
              </w:rPr>
            </w:pPr>
            <w:proofErr w:type="spellStart"/>
            <w:r>
              <w:rPr>
                <w:rFonts w:ascii="Cambria" w:hAnsi="Cambria"/>
                <w:b/>
                <w:color w:val="000000" w:themeColor="text1"/>
                <w:sz w:val="20"/>
                <w:szCs w:val="20"/>
              </w:rPr>
              <w:t>Peticionario</w:t>
            </w:r>
            <w:proofErr w:type="spellEnd"/>
            <w:r w:rsidR="00441607" w:rsidRPr="00E16D3D">
              <w:rPr>
                <w:rFonts w:ascii="Cambria" w:hAnsi="Cambria"/>
                <w:b/>
                <w:color w:val="000000" w:themeColor="text1"/>
                <w:sz w:val="20"/>
                <w:szCs w:val="20"/>
              </w:rPr>
              <w:t xml:space="preserve"> (s):</w:t>
            </w:r>
            <w:r w:rsidR="00441607" w:rsidRPr="00E16D3D">
              <w:rPr>
                <w:rFonts w:ascii="Cambria" w:hAnsi="Cambria"/>
                <w:color w:val="000000" w:themeColor="text1"/>
                <w:sz w:val="20"/>
                <w:szCs w:val="20"/>
              </w:rPr>
              <w:t xml:space="preserve"> Adele Shank, John Quigley</w:t>
            </w:r>
          </w:p>
          <w:p w14:paraId="096A823D" w14:textId="48CB1836" w:rsidR="00441607" w:rsidRPr="002435AD" w:rsidRDefault="00724CD6" w:rsidP="000E7EA7">
            <w:pPr>
              <w:spacing w:after="0" w:line="240" w:lineRule="auto"/>
              <w:jc w:val="both"/>
              <w:rPr>
                <w:rFonts w:ascii="Cambria" w:hAnsi="Cambria"/>
                <w:color w:val="000000" w:themeColor="text1"/>
                <w:sz w:val="20"/>
                <w:szCs w:val="20"/>
                <w:lang w:val="es-US"/>
              </w:rPr>
            </w:pPr>
            <w:r w:rsidRPr="002435AD">
              <w:rPr>
                <w:rFonts w:ascii="Cambria" w:hAnsi="Cambria"/>
                <w:b/>
                <w:color w:val="000000" w:themeColor="text1"/>
                <w:sz w:val="20"/>
                <w:szCs w:val="20"/>
                <w:lang w:val="es-US"/>
              </w:rPr>
              <w:t>Estado</w:t>
            </w:r>
            <w:r w:rsidR="00441607" w:rsidRPr="002435AD">
              <w:rPr>
                <w:rFonts w:ascii="Cambria" w:hAnsi="Cambria"/>
                <w:b/>
                <w:color w:val="000000" w:themeColor="text1"/>
                <w:sz w:val="20"/>
                <w:szCs w:val="20"/>
                <w:lang w:val="es-US"/>
              </w:rPr>
              <w:t xml:space="preserve">: </w:t>
            </w:r>
            <w:r w:rsidRPr="002435AD">
              <w:rPr>
                <w:rFonts w:ascii="Cambria" w:hAnsi="Cambria"/>
                <w:color w:val="000000" w:themeColor="text1"/>
                <w:sz w:val="20"/>
                <w:szCs w:val="20"/>
                <w:lang w:val="es-US"/>
              </w:rPr>
              <w:t>Estados Unidos</w:t>
            </w:r>
          </w:p>
          <w:p w14:paraId="561316A8" w14:textId="3DC99DE5" w:rsidR="00441607" w:rsidRPr="00371FE6" w:rsidRDefault="00724CD6" w:rsidP="000E7EA7">
            <w:pPr>
              <w:spacing w:after="0" w:line="240" w:lineRule="auto"/>
              <w:jc w:val="both"/>
              <w:rPr>
                <w:rFonts w:ascii="Cambria" w:hAnsi="Cambria"/>
                <w:color w:val="000000" w:themeColor="text1"/>
                <w:sz w:val="20"/>
                <w:szCs w:val="20"/>
                <w:lang w:val="es-US"/>
              </w:rPr>
            </w:pPr>
            <w:r w:rsidRPr="00371FE6">
              <w:rPr>
                <w:rFonts w:ascii="Cambria" w:hAnsi="Cambria"/>
                <w:b/>
                <w:color w:val="000000" w:themeColor="text1"/>
                <w:sz w:val="20"/>
                <w:szCs w:val="20"/>
                <w:lang w:val="es-US"/>
              </w:rPr>
              <w:t>Informe de Fondo N</w:t>
            </w:r>
            <w:r w:rsidRPr="00371FE6">
              <w:rPr>
                <w:rFonts w:ascii="Cambria" w:hAnsi="Cambria"/>
                <w:b/>
                <w:color w:val="000000" w:themeColor="text1"/>
                <w:lang w:val="es-US"/>
              </w:rPr>
              <w:t>º</w:t>
            </w:r>
            <w:r w:rsidR="00DE018A" w:rsidRPr="00371FE6">
              <w:rPr>
                <w:rFonts w:ascii="Cambria" w:hAnsi="Cambria"/>
                <w:b/>
                <w:color w:val="000000" w:themeColor="text1"/>
                <w:sz w:val="20"/>
                <w:szCs w:val="20"/>
                <w:lang w:val="es-US"/>
              </w:rPr>
              <w:t>:</w:t>
            </w:r>
            <w:r w:rsidR="00441607" w:rsidRPr="00371FE6">
              <w:rPr>
                <w:rFonts w:ascii="Cambria" w:hAnsi="Cambria"/>
                <w:b/>
                <w:color w:val="000000" w:themeColor="text1"/>
                <w:sz w:val="20"/>
                <w:szCs w:val="20"/>
                <w:lang w:val="es-US"/>
              </w:rPr>
              <w:t xml:space="preserve"> </w:t>
            </w:r>
            <w:hyperlink r:id="rId8" w:history="1">
              <w:r w:rsidR="00441607" w:rsidRPr="00371FE6">
                <w:rPr>
                  <w:rStyle w:val="Hyperlink"/>
                  <w:rFonts w:ascii="Cambria" w:hAnsi="Cambria"/>
                  <w:color w:val="000000" w:themeColor="text1"/>
                  <w:sz w:val="20"/>
                  <w:szCs w:val="20"/>
                  <w:lang w:val="es-US"/>
                </w:rPr>
                <w:t>99/03</w:t>
              </w:r>
            </w:hyperlink>
            <w:r w:rsidR="00441607" w:rsidRPr="00371FE6">
              <w:rPr>
                <w:rFonts w:ascii="Cambria" w:hAnsi="Cambria"/>
                <w:color w:val="000000" w:themeColor="text1"/>
                <w:sz w:val="20"/>
                <w:szCs w:val="20"/>
                <w:lang w:val="es-US"/>
              </w:rPr>
              <w:t xml:space="preserve">, </w:t>
            </w:r>
            <w:r w:rsidR="00371FE6" w:rsidRPr="00371FE6">
              <w:rPr>
                <w:rFonts w:ascii="Cambria" w:hAnsi="Cambria"/>
                <w:color w:val="000000" w:themeColor="text1"/>
                <w:sz w:val="20"/>
                <w:szCs w:val="20"/>
                <w:lang w:val="es-US"/>
              </w:rPr>
              <w:t xml:space="preserve">publicado el </w:t>
            </w:r>
            <w:r w:rsidR="00687310" w:rsidRPr="00371FE6">
              <w:rPr>
                <w:rFonts w:ascii="Cambria" w:hAnsi="Cambria"/>
                <w:color w:val="000000" w:themeColor="text1"/>
                <w:sz w:val="20"/>
                <w:szCs w:val="20"/>
                <w:lang w:val="es-US"/>
              </w:rPr>
              <w:t xml:space="preserve"> 29</w:t>
            </w:r>
            <w:r w:rsidR="00371FE6">
              <w:rPr>
                <w:rFonts w:ascii="Cambria" w:hAnsi="Cambria"/>
                <w:color w:val="000000" w:themeColor="text1"/>
                <w:sz w:val="20"/>
                <w:szCs w:val="20"/>
                <w:lang w:val="es-US"/>
              </w:rPr>
              <w:t xml:space="preserve"> de diciembre de</w:t>
            </w:r>
            <w:r w:rsidR="00F1530D" w:rsidRPr="00371FE6">
              <w:rPr>
                <w:rFonts w:ascii="Cambria" w:hAnsi="Cambria"/>
                <w:color w:val="000000" w:themeColor="text1"/>
                <w:sz w:val="20"/>
                <w:szCs w:val="20"/>
                <w:lang w:val="es-US"/>
              </w:rPr>
              <w:t xml:space="preserve"> 2003</w:t>
            </w:r>
          </w:p>
          <w:p w14:paraId="5FCB6AF1" w14:textId="07A733E4" w:rsidR="00724CD6" w:rsidRPr="00F7150F" w:rsidRDefault="004D1747" w:rsidP="00724CD6">
            <w:pPr>
              <w:spacing w:after="0" w:line="240" w:lineRule="auto"/>
              <w:jc w:val="both"/>
              <w:rPr>
                <w:rFonts w:ascii="Cambria" w:hAnsi="Cambria"/>
                <w:color w:val="000000" w:themeColor="text1"/>
                <w:sz w:val="20"/>
                <w:szCs w:val="20"/>
                <w:lang w:val="es-CO"/>
              </w:rPr>
            </w:pPr>
            <w:r w:rsidRPr="00F7150F">
              <w:rPr>
                <w:rFonts w:ascii="Cambria" w:hAnsi="Cambria"/>
                <w:b/>
                <w:color w:val="000000" w:themeColor="text1"/>
                <w:sz w:val="20"/>
                <w:szCs w:val="20"/>
                <w:lang w:val="es-CO"/>
              </w:rPr>
              <w:t xml:space="preserve">Informe de </w:t>
            </w:r>
            <w:proofErr w:type="spellStart"/>
            <w:r w:rsidRPr="00F7150F">
              <w:rPr>
                <w:rFonts w:ascii="Cambria" w:hAnsi="Cambria"/>
                <w:b/>
                <w:color w:val="000000" w:themeColor="text1"/>
                <w:sz w:val="20"/>
                <w:szCs w:val="20"/>
                <w:lang w:val="es-CO"/>
              </w:rPr>
              <w:t>Admissibilidad</w:t>
            </w:r>
            <w:proofErr w:type="spellEnd"/>
            <w:r w:rsidR="00441607" w:rsidRPr="00F7150F">
              <w:rPr>
                <w:rFonts w:ascii="Cambria" w:hAnsi="Cambria"/>
                <w:b/>
                <w:color w:val="000000" w:themeColor="text1"/>
                <w:sz w:val="20"/>
                <w:szCs w:val="20"/>
                <w:lang w:val="es-CO"/>
              </w:rPr>
              <w:t xml:space="preserve">: </w:t>
            </w:r>
            <w:r w:rsidR="00DE018A" w:rsidRPr="00F7150F">
              <w:rPr>
                <w:rFonts w:ascii="Cambria" w:hAnsi="Cambria"/>
                <w:color w:val="000000" w:themeColor="text1"/>
                <w:sz w:val="20"/>
                <w:szCs w:val="20"/>
                <w:lang w:val="es-CO"/>
              </w:rPr>
              <w:t>*</w:t>
            </w:r>
            <w:r w:rsidR="00724CD6" w:rsidRPr="00F7150F">
              <w:rPr>
                <w:rFonts w:ascii="Cambria" w:hAnsi="Cambria"/>
                <w:color w:val="000000" w:themeColor="text1"/>
                <w:sz w:val="20"/>
                <w:szCs w:val="20"/>
                <w:lang w:val="es-CO"/>
              </w:rPr>
              <w:t>Analizado en el informe de fondo Nº 99/03</w:t>
            </w:r>
          </w:p>
          <w:p w14:paraId="32DD7388" w14:textId="4D466967" w:rsidR="00441607" w:rsidRPr="00724CD6" w:rsidRDefault="00724CD6" w:rsidP="00724CD6">
            <w:pPr>
              <w:spacing w:after="0" w:line="240" w:lineRule="auto"/>
              <w:jc w:val="both"/>
              <w:rPr>
                <w:rFonts w:ascii="Cambria" w:hAnsi="Cambria"/>
                <w:color w:val="000000" w:themeColor="text1"/>
                <w:sz w:val="20"/>
                <w:szCs w:val="20"/>
                <w:lang w:val="es-ES"/>
              </w:rPr>
            </w:pPr>
            <w:r w:rsidRPr="00724CD6">
              <w:rPr>
                <w:rFonts w:ascii="Cambria" w:hAnsi="Cambria"/>
                <w:b/>
                <w:color w:val="000000" w:themeColor="text1"/>
                <w:sz w:val="20"/>
                <w:szCs w:val="20"/>
                <w:lang w:val="es-ES"/>
              </w:rPr>
              <w:t>Temas</w:t>
            </w:r>
            <w:r w:rsidR="00441607" w:rsidRPr="00724CD6">
              <w:rPr>
                <w:rFonts w:ascii="Cambria" w:hAnsi="Cambria"/>
                <w:b/>
                <w:color w:val="000000" w:themeColor="text1"/>
                <w:sz w:val="20"/>
                <w:szCs w:val="20"/>
                <w:lang w:val="es-ES"/>
              </w:rPr>
              <w:t xml:space="preserve">: </w:t>
            </w:r>
            <w:r w:rsidRPr="002A2954">
              <w:rPr>
                <w:rFonts w:ascii="Cambria" w:hAnsi="Cambria"/>
                <w:color w:val="000000" w:themeColor="text1"/>
                <w:sz w:val="20"/>
                <w:szCs w:val="20"/>
                <w:lang w:val="es-ES"/>
              </w:rPr>
              <w:t>Acces</w:t>
            </w:r>
            <w:r>
              <w:rPr>
                <w:rFonts w:ascii="Cambria" w:hAnsi="Cambria"/>
                <w:color w:val="000000" w:themeColor="text1"/>
                <w:sz w:val="20"/>
                <w:szCs w:val="20"/>
                <w:lang w:val="es-ES"/>
              </w:rPr>
              <w:t>o</w:t>
            </w:r>
            <w:r w:rsidRPr="002A2954">
              <w:rPr>
                <w:rFonts w:ascii="Cambria" w:hAnsi="Cambria"/>
                <w:color w:val="000000" w:themeColor="text1"/>
                <w:sz w:val="20"/>
                <w:szCs w:val="20"/>
                <w:lang w:val="es-ES"/>
              </w:rPr>
              <w:t xml:space="preserve"> a la justicia / Asistencia consular / Debido proceso legal / Garantías judiciales y protección judicial / Migrantes / Pena de muerte / Personas Privadas de Libertad /</w:t>
            </w:r>
            <w:r w:rsidRPr="002A2954">
              <w:rPr>
                <w:color w:val="000000" w:themeColor="text1"/>
                <w:lang w:val="es-ES"/>
              </w:rPr>
              <w:t xml:space="preserve"> </w:t>
            </w:r>
            <w:r w:rsidRPr="002A2954">
              <w:rPr>
                <w:rFonts w:ascii="Cambria" w:hAnsi="Cambria"/>
                <w:color w:val="000000" w:themeColor="text1"/>
                <w:sz w:val="20"/>
                <w:szCs w:val="20"/>
                <w:lang w:val="es-ES"/>
              </w:rPr>
              <w:t>Tratos o penas crueles, inhumanos y/o degradantes / Vida</w:t>
            </w:r>
          </w:p>
          <w:p w14:paraId="636710EA" w14:textId="77777777" w:rsidR="00724CD6" w:rsidRPr="00724CD6" w:rsidRDefault="00724CD6" w:rsidP="00724CD6">
            <w:pPr>
              <w:spacing w:after="0" w:line="240" w:lineRule="auto"/>
              <w:jc w:val="both"/>
              <w:rPr>
                <w:rFonts w:ascii="Cambria" w:hAnsi="Cambria"/>
                <w:b/>
                <w:color w:val="000000" w:themeColor="text1"/>
                <w:sz w:val="20"/>
                <w:szCs w:val="20"/>
                <w:lang w:val="es-ES"/>
              </w:rPr>
            </w:pPr>
          </w:p>
          <w:p w14:paraId="55AB0C09" w14:textId="440DB71F" w:rsidR="00724CD6" w:rsidRDefault="004D1747" w:rsidP="004D1747">
            <w:pPr>
              <w:spacing w:after="0" w:line="240" w:lineRule="auto"/>
              <w:jc w:val="both"/>
              <w:rPr>
                <w:rFonts w:ascii="Cambria" w:hAnsi="Cambria"/>
                <w:color w:val="000000" w:themeColor="text1"/>
                <w:sz w:val="20"/>
                <w:szCs w:val="20"/>
                <w:lang w:val="es-ES"/>
              </w:rPr>
            </w:pPr>
            <w:r>
              <w:rPr>
                <w:rFonts w:ascii="Cambria" w:hAnsi="Cambria"/>
                <w:b/>
                <w:color w:val="000000" w:themeColor="text1"/>
                <w:sz w:val="20"/>
                <w:szCs w:val="20"/>
                <w:lang w:val="es-ES"/>
              </w:rPr>
              <w:t>Hecho</w:t>
            </w:r>
            <w:r w:rsidR="00441607" w:rsidRPr="004D1747">
              <w:rPr>
                <w:rFonts w:ascii="Cambria" w:hAnsi="Cambria"/>
                <w:b/>
                <w:color w:val="000000" w:themeColor="text1"/>
                <w:sz w:val="20"/>
                <w:szCs w:val="20"/>
                <w:lang w:val="es-ES"/>
              </w:rPr>
              <w:t xml:space="preserve">: </w:t>
            </w:r>
            <w:r w:rsidRPr="004D1747">
              <w:rPr>
                <w:rFonts w:ascii="Cambria" w:hAnsi="Cambria"/>
                <w:color w:val="000000" w:themeColor="text1"/>
                <w:sz w:val="20"/>
                <w:szCs w:val="20"/>
                <w:lang w:val="es-ES"/>
              </w:rPr>
              <w:t xml:space="preserve">El caso se refiere </w:t>
            </w:r>
            <w:r w:rsidR="00AF7B7A" w:rsidRPr="004D1747">
              <w:rPr>
                <w:rFonts w:ascii="Cambria" w:hAnsi="Cambria"/>
                <w:color w:val="000000" w:themeColor="text1"/>
                <w:sz w:val="20"/>
                <w:szCs w:val="20"/>
                <w:lang w:val="es-ES"/>
              </w:rPr>
              <w:t>Cé</w:t>
            </w:r>
            <w:r w:rsidR="00DE018A" w:rsidRPr="004D1747">
              <w:rPr>
                <w:rFonts w:ascii="Cambria" w:hAnsi="Cambria"/>
                <w:color w:val="000000" w:themeColor="text1"/>
                <w:sz w:val="20"/>
                <w:szCs w:val="20"/>
                <w:lang w:val="es-ES"/>
              </w:rPr>
              <w:t xml:space="preserve">sar Fierro, </w:t>
            </w:r>
            <w:r w:rsidRPr="004D1747">
              <w:rPr>
                <w:rFonts w:ascii="Cambria" w:hAnsi="Cambria"/>
                <w:color w:val="000000" w:themeColor="text1"/>
                <w:sz w:val="20"/>
                <w:szCs w:val="20"/>
                <w:lang w:val="es-ES"/>
              </w:rPr>
              <w:t>un ciudadano mexicano</w:t>
            </w:r>
            <w:r w:rsidR="00DE018A" w:rsidRPr="004D1747">
              <w:rPr>
                <w:rFonts w:ascii="Cambria" w:hAnsi="Cambria"/>
                <w:color w:val="000000" w:themeColor="text1"/>
                <w:sz w:val="20"/>
                <w:szCs w:val="20"/>
                <w:lang w:val="es-ES"/>
              </w:rPr>
              <w:t>,</w:t>
            </w:r>
            <w:r w:rsidRPr="004D1747">
              <w:rPr>
                <w:rFonts w:ascii="Cambria" w:hAnsi="Cambria"/>
                <w:color w:val="000000" w:themeColor="text1"/>
                <w:sz w:val="20"/>
                <w:szCs w:val="20"/>
                <w:lang w:val="es-ES"/>
              </w:rPr>
              <w:t xml:space="preserve"> quien fue </w:t>
            </w:r>
            <w:r>
              <w:rPr>
                <w:rFonts w:ascii="Cambria" w:hAnsi="Cambria"/>
                <w:color w:val="000000" w:themeColor="text1"/>
                <w:sz w:val="20"/>
                <w:szCs w:val="20"/>
                <w:lang w:val="es-ES"/>
              </w:rPr>
              <w:t>condenado</w:t>
            </w:r>
            <w:r w:rsidRPr="004D1747">
              <w:rPr>
                <w:rFonts w:ascii="Cambria" w:hAnsi="Cambria"/>
                <w:color w:val="000000" w:themeColor="text1"/>
                <w:sz w:val="20"/>
                <w:szCs w:val="20"/>
                <w:lang w:val="es-ES"/>
              </w:rPr>
              <w:t xml:space="preserve"> a muerte el 14 de febrero de 1980 en el Estado de Texas, Estados Unidos, en procedimientos que violaron sus derechos a</w:t>
            </w:r>
            <w:r>
              <w:rPr>
                <w:rFonts w:ascii="Cambria" w:hAnsi="Cambria"/>
                <w:color w:val="000000" w:themeColor="text1"/>
                <w:sz w:val="20"/>
                <w:szCs w:val="20"/>
                <w:lang w:val="es-ES"/>
              </w:rPr>
              <w:t>l debido proceso</w:t>
            </w:r>
            <w:r w:rsidR="006F023E">
              <w:rPr>
                <w:rFonts w:ascii="Cambria" w:hAnsi="Cambria"/>
                <w:color w:val="000000" w:themeColor="text1"/>
                <w:sz w:val="20"/>
                <w:szCs w:val="20"/>
                <w:lang w:val="es-ES"/>
              </w:rPr>
              <w:t xml:space="preserve"> y a un juicio imparcial</w:t>
            </w:r>
            <w:r>
              <w:rPr>
                <w:rFonts w:ascii="Cambria" w:hAnsi="Cambria"/>
                <w:color w:val="000000" w:themeColor="text1"/>
                <w:sz w:val="20"/>
                <w:szCs w:val="20"/>
                <w:lang w:val="es-ES"/>
              </w:rPr>
              <w:t xml:space="preserve">, incluso el tema que el señor Fierro no fue notificado de su derecho a notificación consular de acuerdo con el artículo 36 del Convenio de Viena sobre Relaciones Consulares. </w:t>
            </w:r>
          </w:p>
          <w:p w14:paraId="5F6984F1" w14:textId="77777777" w:rsidR="004D1747" w:rsidRPr="00724CD6" w:rsidRDefault="004D1747" w:rsidP="004D1747">
            <w:pPr>
              <w:spacing w:after="0" w:line="240" w:lineRule="auto"/>
              <w:jc w:val="both"/>
              <w:rPr>
                <w:rFonts w:ascii="Cambria" w:hAnsi="Cambria"/>
                <w:color w:val="000000" w:themeColor="text1"/>
                <w:sz w:val="20"/>
                <w:szCs w:val="20"/>
                <w:lang w:val="es-ES"/>
              </w:rPr>
            </w:pPr>
          </w:p>
          <w:p w14:paraId="56273B41" w14:textId="4FD3A8FD" w:rsidR="00694BD2" w:rsidRPr="00DF770C" w:rsidRDefault="00441607" w:rsidP="006A6C31">
            <w:pPr>
              <w:spacing w:after="0" w:line="240" w:lineRule="auto"/>
              <w:jc w:val="both"/>
              <w:rPr>
                <w:rFonts w:ascii="Times New Roman" w:eastAsia="Times New Roman" w:hAnsi="Times New Roman"/>
                <w:lang w:val="es-ES"/>
              </w:rPr>
            </w:pPr>
            <w:proofErr w:type="spellStart"/>
            <w:r w:rsidRPr="004D1747">
              <w:rPr>
                <w:rFonts w:ascii="Cambria" w:hAnsi="Cambria"/>
                <w:b/>
                <w:color w:val="000000" w:themeColor="text1"/>
                <w:sz w:val="20"/>
                <w:szCs w:val="20"/>
                <w:lang w:val="es-ES"/>
              </w:rPr>
              <w:t>Rights</w:t>
            </w:r>
            <w:proofErr w:type="spellEnd"/>
            <w:r w:rsidRPr="004D1747">
              <w:rPr>
                <w:rFonts w:ascii="Cambria" w:hAnsi="Cambria"/>
                <w:b/>
                <w:color w:val="000000" w:themeColor="text1"/>
                <w:sz w:val="20"/>
                <w:szCs w:val="20"/>
                <w:lang w:val="es-ES"/>
              </w:rPr>
              <w:t xml:space="preserve"> </w:t>
            </w:r>
            <w:proofErr w:type="spellStart"/>
            <w:r w:rsidRPr="004D1747">
              <w:rPr>
                <w:rFonts w:ascii="Cambria" w:hAnsi="Cambria"/>
                <w:b/>
                <w:color w:val="000000" w:themeColor="text1"/>
                <w:sz w:val="20"/>
                <w:szCs w:val="20"/>
                <w:lang w:val="es-ES"/>
              </w:rPr>
              <w:t>violated</w:t>
            </w:r>
            <w:proofErr w:type="spellEnd"/>
            <w:r w:rsidRPr="004D1747">
              <w:rPr>
                <w:rFonts w:ascii="Cambria" w:hAnsi="Cambria"/>
                <w:b/>
                <w:color w:val="000000" w:themeColor="text1"/>
                <w:sz w:val="20"/>
                <w:szCs w:val="20"/>
                <w:lang w:val="es-ES"/>
              </w:rPr>
              <w:t xml:space="preserve">: </w:t>
            </w:r>
            <w:r w:rsidR="004D1747" w:rsidRPr="00DF770C">
              <w:rPr>
                <w:rFonts w:ascii="Cambria" w:hAnsi="Cambria"/>
                <w:b/>
                <w:color w:val="000000" w:themeColor="text1"/>
                <w:sz w:val="20"/>
                <w:szCs w:val="20"/>
                <w:lang w:val="es-ES"/>
              </w:rPr>
              <w:t>L</w:t>
            </w:r>
            <w:r w:rsidR="004D1747" w:rsidRPr="00DF770C">
              <w:rPr>
                <w:rFonts w:ascii="Cambria" w:hAnsi="Cambria"/>
                <w:sz w:val="20"/>
                <w:szCs w:val="20"/>
                <w:lang w:val="es-ES"/>
              </w:rPr>
              <w:t>a Comisión concluyó que el Estado era responsable de violaciones de los artículos XVIII y XXVI de la Declaración Americana en el juicio, condena e imposición de la sentencia a pena de muerte de Cesar Fierro. De la misma manera, la CIDH concluye que</w:t>
            </w:r>
            <w:r w:rsidR="006A6C31">
              <w:rPr>
                <w:rFonts w:ascii="Cambria" w:hAnsi="Cambria"/>
                <w:sz w:val="20"/>
                <w:szCs w:val="20"/>
                <w:lang w:val="es-ES"/>
              </w:rPr>
              <w:t>, de ejecutar</w:t>
            </w:r>
            <w:r w:rsidR="00DF770C" w:rsidRPr="00DF770C">
              <w:rPr>
                <w:rFonts w:ascii="Cambria" w:hAnsi="Cambria"/>
                <w:sz w:val="20"/>
                <w:szCs w:val="20"/>
                <w:lang w:val="es-ES"/>
              </w:rPr>
              <w:t xml:space="preserve"> </w:t>
            </w:r>
            <w:r w:rsidR="004D1747" w:rsidRPr="00DF770C">
              <w:rPr>
                <w:rFonts w:ascii="Cambria" w:hAnsi="Cambria"/>
                <w:sz w:val="20"/>
                <w:szCs w:val="20"/>
                <w:lang w:val="es-ES"/>
              </w:rPr>
              <w:t>al señor Fierro, de conformidad con el proceso penal del que se trata en este Caso, el Estado perpetrará una violación grave e irreparable del derecho fundamental a la vida en virtud del artículo I de la Declaración Americana.</w:t>
            </w:r>
          </w:p>
        </w:tc>
      </w:tr>
    </w:tbl>
    <w:p w14:paraId="6C7E28CB" w14:textId="77777777" w:rsidR="00441607" w:rsidRPr="00B8087B" w:rsidRDefault="00441607" w:rsidP="00441607">
      <w:pPr>
        <w:spacing w:after="0" w:line="240" w:lineRule="auto"/>
        <w:ind w:left="180"/>
        <w:jc w:val="both"/>
        <w:rPr>
          <w:rFonts w:ascii="Cambria" w:hAnsi="Cambria"/>
          <w:color w:val="000000" w:themeColor="text1"/>
          <w:sz w:val="20"/>
          <w:szCs w:val="20"/>
          <w:lang w:val="es-US"/>
        </w:rPr>
      </w:pPr>
    </w:p>
    <w:p w14:paraId="3EEFEBDB" w14:textId="5CDCF30F" w:rsidR="00441607" w:rsidRPr="00E16D3D" w:rsidRDefault="00441607" w:rsidP="007E6EC8">
      <w:pPr>
        <w:numPr>
          <w:ilvl w:val="0"/>
          <w:numId w:val="1"/>
        </w:numPr>
        <w:spacing w:after="0" w:line="240" w:lineRule="auto"/>
        <w:ind w:left="1440"/>
        <w:jc w:val="both"/>
        <w:rPr>
          <w:rFonts w:ascii="Cambria" w:hAnsi="Cambria" w:cs="Calibri Light"/>
          <w:b/>
          <w:color w:val="000000" w:themeColor="text1"/>
          <w:sz w:val="20"/>
          <w:szCs w:val="20"/>
        </w:rPr>
      </w:pPr>
      <w:proofErr w:type="spellStart"/>
      <w:r w:rsidRPr="00E16D3D">
        <w:rPr>
          <w:rFonts w:ascii="Cambria" w:hAnsi="Cambria" w:cs="Calibri Light"/>
          <w:b/>
          <w:color w:val="000000" w:themeColor="text1"/>
          <w:sz w:val="20"/>
          <w:szCs w:val="20"/>
        </w:rPr>
        <w:t>Recomenda</w:t>
      </w:r>
      <w:r w:rsidR="007E6EC8">
        <w:rPr>
          <w:rFonts w:ascii="Cambria" w:hAnsi="Cambria" w:cs="Calibri Light"/>
          <w:b/>
          <w:color w:val="000000" w:themeColor="text1"/>
          <w:sz w:val="20"/>
          <w:szCs w:val="20"/>
        </w:rPr>
        <w:t>c</w:t>
      </w:r>
      <w:r w:rsidRPr="00E16D3D">
        <w:rPr>
          <w:rFonts w:ascii="Cambria" w:hAnsi="Cambria" w:cs="Calibri Light"/>
          <w:b/>
          <w:color w:val="000000" w:themeColor="text1"/>
          <w:sz w:val="20"/>
          <w:szCs w:val="20"/>
        </w:rPr>
        <w:t>ion</w:t>
      </w:r>
      <w:r w:rsidR="007E6EC8">
        <w:rPr>
          <w:rFonts w:ascii="Cambria" w:hAnsi="Cambria" w:cs="Calibri Light"/>
          <w:b/>
          <w:color w:val="000000" w:themeColor="text1"/>
          <w:sz w:val="20"/>
          <w:szCs w:val="20"/>
        </w:rPr>
        <w:t>e</w:t>
      </w:r>
      <w:r w:rsidRPr="00E16D3D">
        <w:rPr>
          <w:rFonts w:ascii="Cambria" w:hAnsi="Cambria" w:cs="Calibri Light"/>
          <w:b/>
          <w:color w:val="000000" w:themeColor="text1"/>
          <w:sz w:val="20"/>
          <w:szCs w:val="20"/>
        </w:rPr>
        <w:t>s</w:t>
      </w:r>
      <w:proofErr w:type="spellEnd"/>
    </w:p>
    <w:p w14:paraId="153810FF" w14:textId="77777777" w:rsidR="00441607" w:rsidRPr="00E16D3D" w:rsidRDefault="00441607" w:rsidP="00441607">
      <w:pPr>
        <w:spacing w:after="0" w:line="240" w:lineRule="auto"/>
        <w:ind w:left="1080"/>
        <w:jc w:val="both"/>
        <w:rPr>
          <w:rFonts w:ascii="Cambria" w:hAnsi="Cambria" w:cs="Calibri Light"/>
          <w:b/>
          <w:color w:val="000000" w:themeColor="text1"/>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9"/>
        <w:gridCol w:w="1873"/>
      </w:tblGrid>
      <w:tr w:rsidR="00E16D3D" w:rsidRPr="007E6EC8" w14:paraId="04B2B171" w14:textId="77777777" w:rsidTr="000E425B">
        <w:tc>
          <w:tcPr>
            <w:tcW w:w="7650" w:type="dxa"/>
            <w:shd w:val="clear" w:color="auto" w:fill="auto"/>
            <w:vAlign w:val="center"/>
          </w:tcPr>
          <w:p w14:paraId="22F0B159" w14:textId="1E5EBFD0" w:rsidR="00441607" w:rsidRPr="007E6EC8" w:rsidRDefault="00441607" w:rsidP="000E425B">
            <w:pPr>
              <w:spacing w:after="0" w:line="240" w:lineRule="auto"/>
              <w:jc w:val="center"/>
              <w:rPr>
                <w:rFonts w:ascii="Cambria" w:hAnsi="Cambria" w:cs="Calibri Light"/>
                <w:b/>
                <w:color w:val="000000" w:themeColor="text1"/>
                <w:sz w:val="18"/>
                <w:szCs w:val="18"/>
              </w:rPr>
            </w:pPr>
            <w:proofErr w:type="spellStart"/>
            <w:r w:rsidRPr="007E6EC8">
              <w:rPr>
                <w:rFonts w:ascii="Cambria" w:hAnsi="Cambria" w:cs="Calibri Light"/>
                <w:b/>
                <w:color w:val="000000" w:themeColor="text1"/>
                <w:sz w:val="18"/>
                <w:szCs w:val="18"/>
              </w:rPr>
              <w:t>Recomenda</w:t>
            </w:r>
            <w:r w:rsidR="007E6EC8" w:rsidRPr="007E6EC8">
              <w:rPr>
                <w:rFonts w:ascii="Cambria" w:hAnsi="Cambria" w:cs="Calibri Light"/>
                <w:b/>
                <w:color w:val="000000" w:themeColor="text1"/>
                <w:sz w:val="18"/>
                <w:szCs w:val="18"/>
              </w:rPr>
              <w:t>ci</w:t>
            </w:r>
            <w:r w:rsidRPr="007E6EC8">
              <w:rPr>
                <w:rFonts w:ascii="Cambria" w:hAnsi="Cambria" w:cs="Calibri Light"/>
                <w:b/>
                <w:color w:val="000000" w:themeColor="text1"/>
                <w:sz w:val="18"/>
                <w:szCs w:val="18"/>
              </w:rPr>
              <w:t>on</w:t>
            </w:r>
            <w:r w:rsidR="007E6EC8" w:rsidRPr="007E6EC8">
              <w:rPr>
                <w:rFonts w:ascii="Cambria" w:hAnsi="Cambria" w:cs="Calibri Light"/>
                <w:b/>
                <w:color w:val="000000" w:themeColor="text1"/>
                <w:sz w:val="18"/>
                <w:szCs w:val="18"/>
              </w:rPr>
              <w:t>e</w:t>
            </w:r>
            <w:r w:rsidRPr="007E6EC8">
              <w:rPr>
                <w:rFonts w:ascii="Cambria" w:hAnsi="Cambria" w:cs="Calibri Light"/>
                <w:b/>
                <w:color w:val="000000" w:themeColor="text1"/>
                <w:sz w:val="18"/>
                <w:szCs w:val="18"/>
              </w:rPr>
              <w:t>s</w:t>
            </w:r>
            <w:proofErr w:type="spellEnd"/>
          </w:p>
        </w:tc>
        <w:tc>
          <w:tcPr>
            <w:tcW w:w="1890" w:type="dxa"/>
            <w:shd w:val="clear" w:color="auto" w:fill="auto"/>
            <w:vAlign w:val="center"/>
          </w:tcPr>
          <w:p w14:paraId="06D06B58" w14:textId="7DFAE4EA" w:rsidR="00441607" w:rsidRPr="007E6EC8" w:rsidRDefault="007E6EC8" w:rsidP="000E425B">
            <w:pPr>
              <w:spacing w:after="0" w:line="240" w:lineRule="auto"/>
              <w:jc w:val="center"/>
              <w:rPr>
                <w:rFonts w:ascii="Cambria" w:hAnsi="Cambria" w:cs="Calibri Light"/>
                <w:b/>
                <w:color w:val="000000" w:themeColor="text1"/>
                <w:sz w:val="18"/>
                <w:szCs w:val="18"/>
              </w:rPr>
            </w:pPr>
            <w:r w:rsidRPr="007E6EC8">
              <w:rPr>
                <w:rFonts w:ascii="Cambria" w:hAnsi="Cambria" w:cs="Calibri Light"/>
                <w:b/>
                <w:color w:val="000000" w:themeColor="text1"/>
                <w:sz w:val="18"/>
                <w:szCs w:val="18"/>
              </w:rPr>
              <w:t xml:space="preserve">Estado de </w:t>
            </w:r>
            <w:proofErr w:type="spellStart"/>
            <w:r w:rsidRPr="007E6EC8">
              <w:rPr>
                <w:rFonts w:ascii="Cambria" w:hAnsi="Cambria" w:cs="Calibri Light"/>
                <w:b/>
                <w:color w:val="000000" w:themeColor="text1"/>
                <w:sz w:val="18"/>
                <w:szCs w:val="18"/>
              </w:rPr>
              <w:t>cumplimiento</w:t>
            </w:r>
            <w:proofErr w:type="spellEnd"/>
            <w:r w:rsidRPr="007E6EC8">
              <w:rPr>
                <w:rFonts w:ascii="Cambria" w:hAnsi="Cambria" w:cs="Calibri Light"/>
                <w:b/>
                <w:color w:val="000000" w:themeColor="text1"/>
                <w:sz w:val="18"/>
                <w:szCs w:val="18"/>
              </w:rPr>
              <w:t xml:space="preserve"> </w:t>
            </w:r>
            <w:proofErr w:type="spellStart"/>
            <w:r w:rsidRPr="007E6EC8">
              <w:rPr>
                <w:rFonts w:ascii="Cambria" w:hAnsi="Cambria" w:cs="Calibri Light"/>
                <w:b/>
                <w:color w:val="000000" w:themeColor="text1"/>
                <w:sz w:val="18"/>
                <w:szCs w:val="18"/>
              </w:rPr>
              <w:t>en</w:t>
            </w:r>
            <w:proofErr w:type="spellEnd"/>
            <w:r w:rsidRPr="007E6EC8">
              <w:rPr>
                <w:rFonts w:ascii="Cambria" w:hAnsi="Cambria" w:cs="Calibri Light"/>
                <w:b/>
                <w:color w:val="000000" w:themeColor="text1"/>
                <w:sz w:val="18"/>
                <w:szCs w:val="18"/>
              </w:rPr>
              <w:t xml:space="preserve"> 2018</w:t>
            </w:r>
          </w:p>
        </w:tc>
      </w:tr>
      <w:tr w:rsidR="00E16D3D" w:rsidRPr="007E6EC8" w14:paraId="19184252" w14:textId="77777777" w:rsidTr="00A24EDA">
        <w:tc>
          <w:tcPr>
            <w:tcW w:w="7650" w:type="dxa"/>
            <w:shd w:val="clear" w:color="auto" w:fill="auto"/>
          </w:tcPr>
          <w:p w14:paraId="564DDE71" w14:textId="46AB6C04" w:rsidR="00441607" w:rsidRPr="007E6EC8" w:rsidRDefault="001B4FA8" w:rsidP="007E6EC8">
            <w:pPr>
              <w:spacing w:after="0" w:line="240" w:lineRule="auto"/>
              <w:rPr>
                <w:rFonts w:ascii="Cambria" w:eastAsia="Times New Roman" w:hAnsi="Cambria"/>
                <w:sz w:val="18"/>
                <w:szCs w:val="18"/>
                <w:lang w:val="es-ES"/>
              </w:rPr>
            </w:pPr>
            <w:r w:rsidRPr="007E6EC8">
              <w:rPr>
                <w:rFonts w:ascii="Cambria" w:hAnsi="Cambria"/>
                <w:color w:val="000000" w:themeColor="text1"/>
                <w:sz w:val="18"/>
                <w:szCs w:val="18"/>
                <w:lang w:val="es-ES"/>
              </w:rPr>
              <w:t xml:space="preserve">1. </w:t>
            </w:r>
            <w:r w:rsidR="007E6EC8" w:rsidRPr="007E6EC8">
              <w:rPr>
                <w:rFonts w:ascii="Cambria" w:hAnsi="Cambria"/>
                <w:color w:val="000000"/>
                <w:sz w:val="18"/>
                <w:szCs w:val="18"/>
                <w:shd w:val="clear" w:color="auto" w:fill="FFFFFF"/>
                <w:lang w:val="es-ES"/>
              </w:rPr>
              <w:t>Otorgue al Sr. Fierro una reparación efectiva que incluya un nuevo juicio de conformidad con las garantías del debido proceso y un juicio imparcial que le confieren los artículos XVIII y XXVI de la Declaración Americana, de no poderse celebrar un nuevo juicio en cumplimiento de estas garantías, la puesta en libertad del Sr. Fierro.  </w:t>
            </w:r>
          </w:p>
        </w:tc>
        <w:tc>
          <w:tcPr>
            <w:tcW w:w="1890" w:type="dxa"/>
            <w:shd w:val="clear" w:color="auto" w:fill="auto"/>
            <w:vAlign w:val="center"/>
          </w:tcPr>
          <w:p w14:paraId="66745CC8" w14:textId="2A26B479" w:rsidR="00441607" w:rsidRPr="007E6EC8" w:rsidRDefault="007E6EC8" w:rsidP="00A24EDA">
            <w:pPr>
              <w:spacing w:after="0" w:line="240" w:lineRule="auto"/>
              <w:jc w:val="center"/>
              <w:rPr>
                <w:rFonts w:ascii="Cambria" w:hAnsi="Cambria" w:cs="Calibri Light"/>
                <w:b/>
                <w:color w:val="000000" w:themeColor="text1"/>
                <w:sz w:val="18"/>
                <w:szCs w:val="18"/>
                <w:highlight w:val="yellow"/>
              </w:rPr>
            </w:pPr>
            <w:proofErr w:type="spellStart"/>
            <w:r w:rsidRPr="007E6EC8">
              <w:rPr>
                <w:rFonts w:ascii="Cambria" w:hAnsi="Cambria"/>
                <w:color w:val="000000" w:themeColor="text1"/>
                <w:sz w:val="18"/>
                <w:szCs w:val="18"/>
              </w:rPr>
              <w:t>Pendiente</w:t>
            </w:r>
            <w:proofErr w:type="spellEnd"/>
            <w:r w:rsidRPr="007E6EC8">
              <w:rPr>
                <w:rFonts w:ascii="Cambria" w:hAnsi="Cambria"/>
                <w:color w:val="000000" w:themeColor="text1"/>
                <w:sz w:val="18"/>
                <w:szCs w:val="18"/>
              </w:rPr>
              <w:t xml:space="preserve"> de </w:t>
            </w:r>
            <w:proofErr w:type="spellStart"/>
            <w:r w:rsidRPr="007E6EC8">
              <w:rPr>
                <w:rFonts w:ascii="Cambria" w:hAnsi="Cambria"/>
                <w:color w:val="000000" w:themeColor="text1"/>
                <w:sz w:val="18"/>
                <w:szCs w:val="18"/>
              </w:rPr>
              <w:t>cumplimiento</w:t>
            </w:r>
            <w:proofErr w:type="spellEnd"/>
          </w:p>
        </w:tc>
      </w:tr>
      <w:tr w:rsidR="00441607" w:rsidRPr="007E6EC8" w14:paraId="20AE01FD" w14:textId="77777777" w:rsidTr="00A24EDA">
        <w:tc>
          <w:tcPr>
            <w:tcW w:w="7650" w:type="dxa"/>
            <w:shd w:val="clear" w:color="auto" w:fill="auto"/>
          </w:tcPr>
          <w:p w14:paraId="52B4F936" w14:textId="30FA3FF3" w:rsidR="00441607" w:rsidRPr="007E6EC8" w:rsidRDefault="001B4FA8" w:rsidP="007E6EC8">
            <w:pPr>
              <w:spacing w:after="0" w:line="240" w:lineRule="auto"/>
              <w:rPr>
                <w:rFonts w:ascii="Cambria" w:eastAsia="Times New Roman" w:hAnsi="Cambria"/>
                <w:sz w:val="18"/>
                <w:szCs w:val="18"/>
                <w:lang w:val="es-ES"/>
              </w:rPr>
            </w:pPr>
            <w:r w:rsidRPr="007E6EC8">
              <w:rPr>
                <w:rFonts w:ascii="Cambria" w:hAnsi="Cambria"/>
                <w:color w:val="000000" w:themeColor="text1"/>
                <w:sz w:val="18"/>
                <w:szCs w:val="18"/>
                <w:lang w:val="es-ES"/>
              </w:rPr>
              <w:t xml:space="preserve">2. </w:t>
            </w:r>
            <w:r w:rsidR="007E6EC8" w:rsidRPr="007E6EC8">
              <w:rPr>
                <w:rFonts w:ascii="Cambria" w:hAnsi="Cambria"/>
                <w:color w:val="000000"/>
                <w:sz w:val="18"/>
                <w:szCs w:val="18"/>
                <w:shd w:val="clear" w:color="auto" w:fill="FFFFFF"/>
                <w:lang w:val="es-ES"/>
              </w:rPr>
              <w:t> Examine sus leyes, procedimientos y prácticas para asegurar que todo nacional extranjero arrestado de cualquier forma, detenido, o puesto en prisión preventiva en los Estados Unidos, es informado sin retraso de su derecho a asistencia consular y que, con su coincidencia, el consulado adecuado es informado sin dilación de las circunstancias del nacional extranjero, de conformidad con las garantías judiciales del debido proceso y un juicio imparcial consagradas en los artículos XVIII y XXVI de la Declaración Americana.</w:t>
            </w:r>
          </w:p>
        </w:tc>
        <w:tc>
          <w:tcPr>
            <w:tcW w:w="1890" w:type="dxa"/>
            <w:shd w:val="clear" w:color="auto" w:fill="auto"/>
            <w:vAlign w:val="center"/>
          </w:tcPr>
          <w:p w14:paraId="6ED5F1E6" w14:textId="070C80CA" w:rsidR="00441607" w:rsidRPr="007E6EC8" w:rsidRDefault="007E6EC8" w:rsidP="00A24EDA">
            <w:pPr>
              <w:spacing w:after="0" w:line="240" w:lineRule="auto"/>
              <w:jc w:val="center"/>
              <w:rPr>
                <w:rFonts w:ascii="Cambria" w:hAnsi="Cambria" w:cs="Calibri Light"/>
                <w:b/>
                <w:color w:val="000000" w:themeColor="text1"/>
                <w:sz w:val="18"/>
                <w:szCs w:val="18"/>
                <w:highlight w:val="yellow"/>
              </w:rPr>
            </w:pPr>
            <w:proofErr w:type="spellStart"/>
            <w:r w:rsidRPr="007E6EC8">
              <w:rPr>
                <w:rFonts w:ascii="Cambria" w:hAnsi="Cambria"/>
                <w:color w:val="000000" w:themeColor="text1"/>
                <w:sz w:val="18"/>
                <w:szCs w:val="18"/>
              </w:rPr>
              <w:t>Cumplimiento</w:t>
            </w:r>
            <w:proofErr w:type="spellEnd"/>
            <w:r w:rsidRPr="007E6EC8">
              <w:rPr>
                <w:rFonts w:ascii="Cambria" w:hAnsi="Cambria"/>
                <w:color w:val="000000" w:themeColor="text1"/>
                <w:sz w:val="18"/>
                <w:szCs w:val="18"/>
              </w:rPr>
              <w:t xml:space="preserve"> </w:t>
            </w:r>
            <w:proofErr w:type="spellStart"/>
            <w:r w:rsidRPr="007E6EC8">
              <w:rPr>
                <w:rFonts w:ascii="Cambria" w:hAnsi="Cambria"/>
                <w:color w:val="000000" w:themeColor="text1"/>
                <w:sz w:val="18"/>
                <w:szCs w:val="18"/>
              </w:rPr>
              <w:t>parcial</w:t>
            </w:r>
            <w:proofErr w:type="spellEnd"/>
          </w:p>
        </w:tc>
      </w:tr>
    </w:tbl>
    <w:p w14:paraId="4E8F1403" w14:textId="77777777" w:rsidR="00441607" w:rsidRPr="00E16D3D" w:rsidRDefault="00441607" w:rsidP="00441607">
      <w:pPr>
        <w:spacing w:after="0" w:line="240" w:lineRule="auto"/>
        <w:jc w:val="both"/>
        <w:rPr>
          <w:rFonts w:ascii="Cambria" w:hAnsi="Cambria" w:cs="Calibri Light"/>
          <w:b/>
          <w:color w:val="000000" w:themeColor="text1"/>
          <w:sz w:val="20"/>
          <w:szCs w:val="20"/>
        </w:rPr>
      </w:pPr>
    </w:p>
    <w:p w14:paraId="61FF8D68" w14:textId="3575B676" w:rsidR="00441607" w:rsidRPr="00E16D3D" w:rsidRDefault="007E6EC8" w:rsidP="00025AB1">
      <w:pPr>
        <w:pStyle w:val="ListParagraph"/>
        <w:numPr>
          <w:ilvl w:val="0"/>
          <w:numId w:val="1"/>
        </w:numPr>
        <w:spacing w:after="0" w:line="240" w:lineRule="auto"/>
        <w:ind w:left="1440"/>
        <w:jc w:val="both"/>
        <w:rPr>
          <w:rFonts w:ascii="Cambria" w:hAnsi="Cambria" w:cs="Calibri Light"/>
          <w:b/>
          <w:color w:val="000000" w:themeColor="text1"/>
          <w:sz w:val="20"/>
          <w:szCs w:val="20"/>
        </w:rPr>
      </w:pPr>
      <w:proofErr w:type="spellStart"/>
      <w:r>
        <w:rPr>
          <w:rFonts w:ascii="Cambria" w:hAnsi="Cambria"/>
          <w:b/>
          <w:color w:val="000000" w:themeColor="text1"/>
          <w:sz w:val="20"/>
          <w:szCs w:val="20"/>
        </w:rPr>
        <w:t>Actividad</w:t>
      </w:r>
      <w:proofErr w:type="spellEnd"/>
      <w:r>
        <w:rPr>
          <w:rFonts w:ascii="Cambria" w:hAnsi="Cambria"/>
          <w:b/>
          <w:color w:val="000000" w:themeColor="text1"/>
          <w:sz w:val="20"/>
          <w:szCs w:val="20"/>
        </w:rPr>
        <w:t xml:space="preserve"> </w:t>
      </w:r>
      <w:proofErr w:type="spellStart"/>
      <w:r>
        <w:rPr>
          <w:rFonts w:ascii="Cambria" w:hAnsi="Cambria"/>
          <w:b/>
          <w:color w:val="000000" w:themeColor="text1"/>
          <w:sz w:val="20"/>
          <w:szCs w:val="20"/>
        </w:rPr>
        <w:t>procesal</w:t>
      </w:r>
      <w:proofErr w:type="spellEnd"/>
    </w:p>
    <w:p w14:paraId="23E0B237" w14:textId="77777777" w:rsidR="001B4FA8" w:rsidRPr="00E16D3D" w:rsidRDefault="001B4FA8" w:rsidP="00AC21B5">
      <w:pPr>
        <w:spacing w:after="0" w:line="240" w:lineRule="auto"/>
        <w:ind w:left="357"/>
        <w:jc w:val="both"/>
        <w:rPr>
          <w:rFonts w:ascii="Cambria" w:hAnsi="Cambria" w:cs="Calibri Light"/>
          <w:b/>
          <w:color w:val="000000" w:themeColor="text1"/>
          <w:sz w:val="20"/>
          <w:szCs w:val="20"/>
        </w:rPr>
      </w:pPr>
    </w:p>
    <w:p w14:paraId="67858158" w14:textId="77777777" w:rsidR="007E6EC8" w:rsidRPr="00C6608C" w:rsidRDefault="007E6EC8" w:rsidP="007E6EC8">
      <w:pPr>
        <w:pStyle w:val="ListParagraph"/>
        <w:numPr>
          <w:ilvl w:val="0"/>
          <w:numId w:val="14"/>
        </w:numPr>
        <w:autoSpaceDE w:val="0"/>
        <w:autoSpaceDN w:val="0"/>
        <w:adjustRightInd w:val="0"/>
        <w:spacing w:after="0" w:line="240" w:lineRule="auto"/>
        <w:jc w:val="both"/>
        <w:rPr>
          <w:rFonts w:ascii="Cambria" w:hAnsi="Cambria"/>
          <w:color w:val="000000" w:themeColor="text1"/>
          <w:sz w:val="20"/>
          <w:szCs w:val="20"/>
          <w:lang w:val="es-CO"/>
        </w:rPr>
      </w:pPr>
      <w:r w:rsidRPr="00C6608C">
        <w:rPr>
          <w:rFonts w:ascii="Cambria" w:hAnsi="Cambria" w:cs="Calibri Light"/>
          <w:color w:val="000000" w:themeColor="text1"/>
          <w:sz w:val="20"/>
          <w:szCs w:val="20"/>
          <w:lang w:val="es-CO"/>
        </w:rPr>
        <w:t>En 2018, la CIDH solicitó información actualizada sobre el cumplimiento al Estado el 19 de julio y el Estado presentó dicha información el 23 de agosto.</w:t>
      </w:r>
    </w:p>
    <w:p w14:paraId="07BFF7BF" w14:textId="77777777" w:rsidR="007E6EC8" w:rsidRPr="00C6608C" w:rsidRDefault="007E6EC8" w:rsidP="007E6EC8">
      <w:pPr>
        <w:pStyle w:val="ListParagraph"/>
        <w:rPr>
          <w:rFonts w:ascii="Cambria" w:hAnsi="Cambria" w:cs="Calibri Light"/>
          <w:color w:val="000000" w:themeColor="text1"/>
          <w:sz w:val="20"/>
          <w:szCs w:val="20"/>
          <w:lang w:val="es-CO"/>
        </w:rPr>
      </w:pPr>
    </w:p>
    <w:p w14:paraId="4D223E45" w14:textId="3A3E5A00" w:rsidR="00205338" w:rsidRPr="007E6EC8" w:rsidRDefault="007E6EC8" w:rsidP="00C03755">
      <w:pPr>
        <w:pStyle w:val="ListParagraph"/>
        <w:numPr>
          <w:ilvl w:val="0"/>
          <w:numId w:val="14"/>
        </w:numPr>
        <w:autoSpaceDE w:val="0"/>
        <w:autoSpaceDN w:val="0"/>
        <w:adjustRightInd w:val="0"/>
        <w:spacing w:after="0" w:line="240" w:lineRule="auto"/>
        <w:jc w:val="both"/>
        <w:rPr>
          <w:rFonts w:ascii="Cambria" w:hAnsi="Cambria"/>
          <w:color w:val="000000" w:themeColor="text1"/>
          <w:sz w:val="20"/>
          <w:szCs w:val="20"/>
          <w:lang w:val="es-CO"/>
        </w:rPr>
      </w:pPr>
      <w:r w:rsidRPr="00C6608C">
        <w:rPr>
          <w:rFonts w:ascii="Cambria" w:hAnsi="Cambria" w:cs="Calibri Light"/>
          <w:color w:val="000000" w:themeColor="text1"/>
          <w:sz w:val="20"/>
          <w:szCs w:val="20"/>
          <w:lang w:val="es-CO"/>
        </w:rPr>
        <w:t xml:space="preserve">La CIDH </w:t>
      </w:r>
      <w:r w:rsidRPr="00C6608C">
        <w:rPr>
          <w:rFonts w:ascii="Cambria" w:hAnsi="Cambria"/>
          <w:color w:val="000000" w:themeColor="text1"/>
          <w:sz w:val="20"/>
          <w:szCs w:val="20"/>
          <w:lang w:val="es-ES"/>
        </w:rPr>
        <w:t>solicitó información actualizada sobre el cumplimiento a l</w:t>
      </w:r>
      <w:r>
        <w:rPr>
          <w:rFonts w:ascii="Cambria" w:hAnsi="Cambria"/>
          <w:color w:val="000000" w:themeColor="text1"/>
          <w:sz w:val="20"/>
          <w:szCs w:val="20"/>
          <w:lang w:val="es-ES"/>
        </w:rPr>
        <w:t xml:space="preserve">os peticionarios </w:t>
      </w:r>
      <w:r w:rsidRPr="00C6608C">
        <w:rPr>
          <w:rFonts w:ascii="Cambria" w:hAnsi="Cambria"/>
          <w:color w:val="000000" w:themeColor="text1"/>
          <w:sz w:val="20"/>
          <w:szCs w:val="20"/>
          <w:lang w:val="es-ES"/>
        </w:rPr>
        <w:t>el 1</w:t>
      </w:r>
      <w:r>
        <w:rPr>
          <w:rFonts w:ascii="Cambria" w:hAnsi="Cambria"/>
          <w:color w:val="000000" w:themeColor="text1"/>
          <w:sz w:val="20"/>
          <w:szCs w:val="20"/>
          <w:lang w:val="es-ES"/>
        </w:rPr>
        <w:t>0</w:t>
      </w:r>
      <w:r w:rsidRPr="00C6608C">
        <w:rPr>
          <w:rFonts w:ascii="Cambria" w:hAnsi="Cambria"/>
          <w:color w:val="000000" w:themeColor="text1"/>
          <w:sz w:val="20"/>
          <w:szCs w:val="20"/>
          <w:lang w:val="es-ES"/>
        </w:rPr>
        <w:t xml:space="preserve"> de septiembre de 2018 y l</w:t>
      </w:r>
      <w:r>
        <w:rPr>
          <w:rFonts w:ascii="Cambria" w:hAnsi="Cambria"/>
          <w:color w:val="000000" w:themeColor="text1"/>
          <w:sz w:val="20"/>
          <w:szCs w:val="20"/>
          <w:lang w:val="es-ES"/>
        </w:rPr>
        <w:t xml:space="preserve">os peticionarios </w:t>
      </w:r>
      <w:r w:rsidRPr="00C6608C">
        <w:rPr>
          <w:rFonts w:ascii="Cambria" w:hAnsi="Cambria"/>
          <w:color w:val="000000" w:themeColor="text1"/>
          <w:sz w:val="20"/>
          <w:szCs w:val="20"/>
          <w:lang w:val="es-ES"/>
        </w:rPr>
        <w:t>present</w:t>
      </w:r>
      <w:r>
        <w:rPr>
          <w:rFonts w:ascii="Cambria" w:hAnsi="Cambria"/>
          <w:color w:val="000000" w:themeColor="text1"/>
          <w:sz w:val="20"/>
          <w:szCs w:val="20"/>
          <w:lang w:val="es-ES"/>
        </w:rPr>
        <w:t>aron</w:t>
      </w:r>
      <w:r w:rsidRPr="00C6608C">
        <w:rPr>
          <w:rFonts w:ascii="Cambria" w:hAnsi="Cambria"/>
          <w:color w:val="000000" w:themeColor="text1"/>
          <w:sz w:val="20"/>
          <w:szCs w:val="20"/>
          <w:lang w:val="es-ES"/>
        </w:rPr>
        <w:t xml:space="preserve"> dicha información el </w:t>
      </w:r>
      <w:r>
        <w:rPr>
          <w:rFonts w:ascii="Cambria" w:hAnsi="Cambria"/>
          <w:color w:val="000000" w:themeColor="text1"/>
          <w:sz w:val="20"/>
          <w:szCs w:val="20"/>
          <w:lang w:val="es-ES"/>
        </w:rPr>
        <w:t>3</w:t>
      </w:r>
      <w:r w:rsidRPr="00C6608C">
        <w:rPr>
          <w:rFonts w:ascii="Cambria" w:hAnsi="Cambria"/>
          <w:color w:val="000000" w:themeColor="text1"/>
          <w:sz w:val="20"/>
          <w:szCs w:val="20"/>
          <w:lang w:val="es-ES"/>
        </w:rPr>
        <w:t xml:space="preserve"> de </w:t>
      </w:r>
      <w:r>
        <w:rPr>
          <w:rFonts w:ascii="Cambria" w:hAnsi="Cambria"/>
          <w:color w:val="000000" w:themeColor="text1"/>
          <w:sz w:val="20"/>
          <w:szCs w:val="20"/>
          <w:lang w:val="es-ES"/>
        </w:rPr>
        <w:t>octubre</w:t>
      </w:r>
      <w:r w:rsidRPr="00C6608C">
        <w:rPr>
          <w:rFonts w:ascii="Cambria" w:hAnsi="Cambria"/>
          <w:color w:val="000000" w:themeColor="text1"/>
          <w:sz w:val="20"/>
          <w:szCs w:val="20"/>
          <w:lang w:val="es-ES"/>
        </w:rPr>
        <w:t>.</w:t>
      </w:r>
    </w:p>
    <w:p w14:paraId="0E1A2ECD" w14:textId="633861EF" w:rsidR="00F7150F" w:rsidRPr="007E6EC8" w:rsidRDefault="00F7150F" w:rsidP="00C03755">
      <w:pPr>
        <w:spacing w:after="0" w:line="240" w:lineRule="auto"/>
        <w:jc w:val="both"/>
        <w:rPr>
          <w:rFonts w:ascii="Cambria" w:hAnsi="Cambria" w:cs="Calibri Light"/>
          <w:color w:val="000000" w:themeColor="text1"/>
          <w:sz w:val="20"/>
          <w:szCs w:val="20"/>
          <w:lang w:val="es-ES"/>
        </w:rPr>
      </w:pPr>
    </w:p>
    <w:p w14:paraId="4D2677C3" w14:textId="3A6C5EF7" w:rsidR="007E6EC8" w:rsidRDefault="007E6EC8" w:rsidP="007E6EC8">
      <w:pPr>
        <w:pStyle w:val="ListParagraph"/>
        <w:numPr>
          <w:ilvl w:val="0"/>
          <w:numId w:val="1"/>
        </w:numPr>
        <w:spacing w:after="0" w:line="240" w:lineRule="auto"/>
        <w:ind w:left="1440"/>
        <w:jc w:val="both"/>
        <w:rPr>
          <w:rFonts w:ascii="Cambria" w:hAnsi="Cambria" w:cs="Calibri Light"/>
          <w:b/>
          <w:color w:val="000000" w:themeColor="text1"/>
          <w:sz w:val="20"/>
          <w:szCs w:val="20"/>
          <w:lang w:val="es-ES"/>
        </w:rPr>
      </w:pPr>
      <w:r w:rsidRPr="008D7AF1">
        <w:rPr>
          <w:rFonts w:ascii="Cambria" w:hAnsi="Cambria" w:cs="Calibri Light"/>
          <w:b/>
          <w:color w:val="000000" w:themeColor="text1"/>
          <w:sz w:val="20"/>
          <w:szCs w:val="20"/>
          <w:lang w:val="es-ES"/>
        </w:rPr>
        <w:t>Análisis relativ</w:t>
      </w:r>
      <w:r>
        <w:rPr>
          <w:rFonts w:ascii="Cambria" w:hAnsi="Cambria" w:cs="Calibri Light"/>
          <w:b/>
          <w:color w:val="000000" w:themeColor="text1"/>
          <w:sz w:val="20"/>
          <w:szCs w:val="20"/>
          <w:lang w:val="es-ES"/>
        </w:rPr>
        <w:t>o</w:t>
      </w:r>
      <w:r w:rsidRPr="008D7AF1">
        <w:rPr>
          <w:rFonts w:ascii="Cambria" w:hAnsi="Cambria" w:cs="Calibri Light"/>
          <w:b/>
          <w:color w:val="000000" w:themeColor="text1"/>
          <w:sz w:val="20"/>
          <w:szCs w:val="20"/>
          <w:lang w:val="es-ES"/>
        </w:rPr>
        <w:t xml:space="preserve"> a </w:t>
      </w:r>
      <w:r w:rsidR="00371FE6">
        <w:rPr>
          <w:rFonts w:ascii="Cambria" w:hAnsi="Cambria" w:cs="Calibri Light"/>
          <w:b/>
          <w:color w:val="000000" w:themeColor="text1"/>
          <w:sz w:val="20"/>
          <w:szCs w:val="20"/>
          <w:lang w:val="es-ES"/>
        </w:rPr>
        <w:t xml:space="preserve">la </w:t>
      </w:r>
      <w:r w:rsidRPr="008D7AF1">
        <w:rPr>
          <w:rFonts w:ascii="Cambria" w:hAnsi="Cambria" w:cs="Calibri Light"/>
          <w:b/>
          <w:color w:val="000000" w:themeColor="text1"/>
          <w:sz w:val="20"/>
          <w:szCs w:val="20"/>
          <w:lang w:val="es-ES"/>
        </w:rPr>
        <w:t>información proporcion</w:t>
      </w:r>
      <w:r>
        <w:rPr>
          <w:rFonts w:ascii="Cambria" w:hAnsi="Cambria" w:cs="Calibri Light"/>
          <w:b/>
          <w:color w:val="000000" w:themeColor="text1"/>
          <w:sz w:val="20"/>
          <w:szCs w:val="20"/>
          <w:lang w:val="es-ES"/>
        </w:rPr>
        <w:t>ada</w:t>
      </w:r>
    </w:p>
    <w:p w14:paraId="57CD46B6" w14:textId="77777777" w:rsidR="007E6EC8" w:rsidRPr="008D7AF1" w:rsidRDefault="007E6EC8" w:rsidP="007E6EC8">
      <w:pPr>
        <w:spacing w:after="0" w:line="240" w:lineRule="auto"/>
        <w:ind w:left="720"/>
        <w:jc w:val="both"/>
        <w:rPr>
          <w:rFonts w:ascii="Cambria" w:hAnsi="Cambria" w:cs="Calibri Light"/>
          <w:b/>
          <w:color w:val="000000" w:themeColor="text1"/>
          <w:sz w:val="20"/>
          <w:szCs w:val="20"/>
          <w:lang w:val="es-ES"/>
        </w:rPr>
      </w:pPr>
    </w:p>
    <w:p w14:paraId="791E89E8" w14:textId="65366D76" w:rsidR="007E6EC8" w:rsidRPr="00C6608C" w:rsidRDefault="007E6EC8" w:rsidP="007E6EC8">
      <w:pPr>
        <w:pStyle w:val="ListParagraph"/>
        <w:numPr>
          <w:ilvl w:val="0"/>
          <w:numId w:val="14"/>
        </w:numPr>
        <w:spacing w:after="0" w:line="240" w:lineRule="auto"/>
        <w:jc w:val="both"/>
        <w:rPr>
          <w:rFonts w:ascii="Cambria" w:hAnsi="Cambria" w:cs="Calibri Light"/>
          <w:color w:val="000000" w:themeColor="text1"/>
          <w:sz w:val="20"/>
          <w:szCs w:val="20"/>
          <w:lang w:val="es-CO"/>
        </w:rPr>
      </w:pPr>
      <w:r w:rsidRPr="00C6608C">
        <w:rPr>
          <w:rFonts w:ascii="Cambria" w:hAnsi="Cambria"/>
          <w:color w:val="000000" w:themeColor="text1"/>
          <w:sz w:val="20"/>
          <w:szCs w:val="20"/>
          <w:lang w:val="es-US"/>
        </w:rPr>
        <w:lastRenderedPageBreak/>
        <w:t xml:space="preserve">La Comisión considera que la información proporcionada por el Estado en 2018 no es relevante dado que </w:t>
      </w:r>
      <w:r w:rsidRPr="00C6608C">
        <w:rPr>
          <w:rFonts w:ascii="Cambria" w:hAnsi="Cambria"/>
          <w:color w:val="000000" w:themeColor="text1"/>
          <w:sz w:val="20"/>
          <w:szCs w:val="20"/>
          <w:lang w:val="es-ES_tradnl"/>
        </w:rPr>
        <w:t>no se refiere a las medidas adoptadas relativas al cumplimiento de al menos una de las recomendaciones</w:t>
      </w:r>
      <w:r w:rsidRPr="00C6608C">
        <w:rPr>
          <w:rFonts w:ascii="Cambria" w:hAnsi="Cambria" w:cs="Calibri Light"/>
          <w:color w:val="000000" w:themeColor="text1"/>
          <w:sz w:val="20"/>
          <w:szCs w:val="20"/>
          <w:lang w:val="es-CO"/>
        </w:rPr>
        <w:t xml:space="preserve"> incluidas en el Informe de Fondo</w:t>
      </w:r>
      <w:r>
        <w:rPr>
          <w:rFonts w:ascii="Cambria" w:hAnsi="Cambria" w:cs="Calibri Light"/>
          <w:color w:val="000000" w:themeColor="text1"/>
          <w:sz w:val="20"/>
          <w:szCs w:val="20"/>
          <w:lang w:val="es-CO"/>
        </w:rPr>
        <w:t xml:space="preserve"> </w:t>
      </w:r>
      <w:r w:rsidRPr="00C6608C">
        <w:rPr>
          <w:rFonts w:ascii="Cambria" w:hAnsi="Cambria"/>
          <w:color w:val="000000" w:themeColor="text1"/>
          <w:sz w:val="20"/>
          <w:szCs w:val="20"/>
          <w:lang w:val="es-US"/>
        </w:rPr>
        <w:t>Nº</w:t>
      </w:r>
      <w:r w:rsidRPr="00C6608C">
        <w:rPr>
          <w:rFonts w:ascii="Cambria" w:hAnsi="Cambria" w:cs="Calibri Light"/>
          <w:color w:val="000000" w:themeColor="text1"/>
          <w:sz w:val="20"/>
          <w:szCs w:val="20"/>
          <w:lang w:val="es-CO"/>
        </w:rPr>
        <w:t xml:space="preserve"> </w:t>
      </w:r>
      <w:r>
        <w:rPr>
          <w:rFonts w:ascii="Cambria" w:hAnsi="Cambria" w:cs="Calibri Light"/>
          <w:color w:val="000000" w:themeColor="text1"/>
          <w:sz w:val="20"/>
          <w:szCs w:val="20"/>
          <w:lang w:val="es-CO"/>
        </w:rPr>
        <w:t>99</w:t>
      </w:r>
      <w:r w:rsidRPr="00C6608C">
        <w:rPr>
          <w:rFonts w:ascii="Cambria" w:hAnsi="Cambria" w:cs="Calibri Light"/>
          <w:color w:val="000000" w:themeColor="text1"/>
          <w:sz w:val="20"/>
          <w:szCs w:val="20"/>
          <w:lang w:val="es-CO"/>
        </w:rPr>
        <w:t>/</w:t>
      </w:r>
      <w:r>
        <w:rPr>
          <w:rFonts w:ascii="Cambria" w:hAnsi="Cambria" w:cs="Calibri Light"/>
          <w:color w:val="000000" w:themeColor="text1"/>
          <w:sz w:val="20"/>
          <w:szCs w:val="20"/>
          <w:lang w:val="es-CO"/>
        </w:rPr>
        <w:t>03</w:t>
      </w:r>
      <w:r w:rsidRPr="00C6608C">
        <w:rPr>
          <w:rFonts w:ascii="Cambria" w:hAnsi="Cambria" w:cs="Calibri Light"/>
          <w:color w:val="000000" w:themeColor="text1"/>
          <w:sz w:val="20"/>
          <w:szCs w:val="20"/>
          <w:lang w:val="es-CO"/>
        </w:rPr>
        <w:t>. Previamente, el Estado remitió i</w:t>
      </w:r>
      <w:r w:rsidR="00371FE6">
        <w:rPr>
          <w:rFonts w:ascii="Cambria" w:hAnsi="Cambria" w:cs="Calibri Light"/>
          <w:color w:val="000000" w:themeColor="text1"/>
          <w:sz w:val="20"/>
          <w:szCs w:val="20"/>
          <w:lang w:val="es-CO"/>
        </w:rPr>
        <w:t>nformación a la Comisión en 2015</w:t>
      </w:r>
      <w:r w:rsidRPr="00C6608C">
        <w:rPr>
          <w:rFonts w:ascii="Cambria" w:hAnsi="Cambria" w:cs="Calibri Light"/>
          <w:color w:val="000000" w:themeColor="text1"/>
          <w:sz w:val="20"/>
          <w:szCs w:val="20"/>
          <w:lang w:val="es-CO"/>
        </w:rPr>
        <w:t>.</w:t>
      </w:r>
    </w:p>
    <w:p w14:paraId="239D88A9" w14:textId="77777777" w:rsidR="007E6EC8" w:rsidRPr="00C6608C" w:rsidRDefault="007E6EC8" w:rsidP="007E6EC8">
      <w:pPr>
        <w:pStyle w:val="ListParagraph"/>
        <w:spacing w:after="0" w:line="240" w:lineRule="auto"/>
        <w:jc w:val="both"/>
        <w:rPr>
          <w:rFonts w:ascii="Cambria" w:hAnsi="Cambria" w:cs="Calibri Light"/>
          <w:color w:val="000000" w:themeColor="text1"/>
          <w:sz w:val="20"/>
          <w:szCs w:val="20"/>
          <w:lang w:val="es-CO"/>
        </w:rPr>
      </w:pPr>
    </w:p>
    <w:p w14:paraId="6D908D24" w14:textId="37DBC6D4" w:rsidR="007E6EC8" w:rsidRPr="008D7AF1" w:rsidRDefault="007E6EC8" w:rsidP="007E6EC8">
      <w:pPr>
        <w:pStyle w:val="ListParagraph"/>
        <w:numPr>
          <w:ilvl w:val="0"/>
          <w:numId w:val="14"/>
        </w:numPr>
        <w:spacing w:after="0" w:line="240" w:lineRule="auto"/>
        <w:jc w:val="both"/>
        <w:rPr>
          <w:rFonts w:ascii="Cambria" w:hAnsi="Cambria" w:cs="Calibri Light"/>
          <w:color w:val="000000" w:themeColor="text1"/>
          <w:sz w:val="20"/>
          <w:szCs w:val="20"/>
          <w:lang w:val="es-CO"/>
        </w:rPr>
      </w:pPr>
      <w:r w:rsidRPr="00C6608C">
        <w:rPr>
          <w:rFonts w:ascii="Cambria" w:hAnsi="Cambria"/>
          <w:color w:val="000000" w:themeColor="text1"/>
          <w:sz w:val="20"/>
          <w:szCs w:val="20"/>
          <w:lang w:val="es-US"/>
        </w:rPr>
        <w:t>La Comisión considera que la información proporcionada por la peticionaria en 2018 es relevante dado que es actualizada y amplia sobre medidas adoptadas relativas al cumplimiento de al menos una de las recomendaciones emitidas en el Informe Nº</w:t>
      </w:r>
      <w:r w:rsidRPr="00C6608C">
        <w:rPr>
          <w:rFonts w:ascii="Cambria" w:hAnsi="Cambria" w:cs="Calibri Light"/>
          <w:color w:val="000000" w:themeColor="text1"/>
          <w:sz w:val="20"/>
          <w:szCs w:val="20"/>
          <w:lang w:val="es-CO"/>
        </w:rPr>
        <w:t xml:space="preserve"> </w:t>
      </w:r>
      <w:r>
        <w:rPr>
          <w:rFonts w:ascii="Cambria" w:hAnsi="Cambria" w:cs="Calibri Light"/>
          <w:color w:val="000000" w:themeColor="text1"/>
          <w:sz w:val="20"/>
          <w:szCs w:val="20"/>
          <w:lang w:val="es-CO"/>
        </w:rPr>
        <w:t>99</w:t>
      </w:r>
      <w:r w:rsidRPr="00C6608C">
        <w:rPr>
          <w:rFonts w:ascii="Cambria" w:hAnsi="Cambria" w:cs="Calibri Light"/>
          <w:color w:val="000000" w:themeColor="text1"/>
          <w:sz w:val="20"/>
          <w:szCs w:val="20"/>
          <w:lang w:val="es-CO"/>
        </w:rPr>
        <w:t>/</w:t>
      </w:r>
      <w:r>
        <w:rPr>
          <w:rFonts w:ascii="Cambria" w:hAnsi="Cambria" w:cs="Calibri Light"/>
          <w:color w:val="000000" w:themeColor="text1"/>
          <w:sz w:val="20"/>
          <w:szCs w:val="20"/>
          <w:lang w:val="es-CO"/>
        </w:rPr>
        <w:t>03</w:t>
      </w:r>
      <w:r w:rsidRPr="00C6608C">
        <w:rPr>
          <w:rFonts w:ascii="Cambria" w:hAnsi="Cambria" w:cs="Calibri Light"/>
          <w:color w:val="000000" w:themeColor="text1"/>
          <w:sz w:val="20"/>
          <w:szCs w:val="20"/>
          <w:lang w:val="es-CO"/>
        </w:rPr>
        <w:t xml:space="preserve">. Previamente, </w:t>
      </w:r>
      <w:r>
        <w:rPr>
          <w:rFonts w:ascii="Cambria" w:hAnsi="Cambria" w:cs="Calibri Light"/>
          <w:color w:val="000000" w:themeColor="text1"/>
          <w:sz w:val="20"/>
          <w:szCs w:val="20"/>
          <w:lang w:val="es-CO"/>
        </w:rPr>
        <w:t xml:space="preserve">los peticionarios </w:t>
      </w:r>
      <w:r w:rsidR="00371FE6" w:rsidRPr="00C6608C">
        <w:rPr>
          <w:rFonts w:ascii="Cambria" w:hAnsi="Cambria" w:cs="Calibri Light"/>
          <w:color w:val="000000" w:themeColor="text1"/>
          <w:sz w:val="20"/>
          <w:szCs w:val="20"/>
          <w:lang w:val="es-CO"/>
        </w:rPr>
        <w:t>remiti</w:t>
      </w:r>
      <w:r w:rsidR="00371FE6">
        <w:rPr>
          <w:rFonts w:ascii="Cambria" w:hAnsi="Cambria" w:cs="Calibri Light"/>
          <w:color w:val="000000" w:themeColor="text1"/>
          <w:sz w:val="20"/>
          <w:szCs w:val="20"/>
          <w:lang w:val="es-CO"/>
        </w:rPr>
        <w:t>eron</w:t>
      </w:r>
      <w:r w:rsidRPr="00C6608C">
        <w:rPr>
          <w:rFonts w:ascii="Cambria" w:hAnsi="Cambria" w:cs="Calibri Light"/>
          <w:color w:val="000000" w:themeColor="text1"/>
          <w:sz w:val="20"/>
          <w:szCs w:val="20"/>
          <w:lang w:val="es-CO"/>
        </w:rPr>
        <w:t xml:space="preserve"> información a la Comisión en 201</w:t>
      </w:r>
      <w:r>
        <w:rPr>
          <w:rFonts w:ascii="Cambria" w:hAnsi="Cambria" w:cs="Calibri Light"/>
          <w:color w:val="000000" w:themeColor="text1"/>
          <w:sz w:val="20"/>
          <w:szCs w:val="20"/>
          <w:lang w:val="es-CO"/>
        </w:rPr>
        <w:t>5</w:t>
      </w:r>
      <w:r w:rsidRPr="00C6608C">
        <w:rPr>
          <w:rFonts w:ascii="Cambria" w:hAnsi="Cambria" w:cs="Calibri Light"/>
          <w:color w:val="000000" w:themeColor="text1"/>
          <w:sz w:val="20"/>
          <w:szCs w:val="20"/>
          <w:lang w:val="es-CO"/>
        </w:rPr>
        <w:t>.</w:t>
      </w:r>
    </w:p>
    <w:p w14:paraId="5D837E6F" w14:textId="77777777" w:rsidR="007E6EC8" w:rsidRPr="008D7AF1" w:rsidRDefault="007E6EC8" w:rsidP="007E6EC8">
      <w:pPr>
        <w:spacing w:after="0" w:line="240" w:lineRule="auto"/>
        <w:jc w:val="both"/>
        <w:rPr>
          <w:rFonts w:ascii="Cambria" w:hAnsi="Cambria" w:cs="Calibri Light"/>
          <w:color w:val="000000" w:themeColor="text1"/>
          <w:sz w:val="20"/>
          <w:szCs w:val="20"/>
          <w:lang w:val="es-ES"/>
        </w:rPr>
      </w:pPr>
    </w:p>
    <w:p w14:paraId="189658F2" w14:textId="77777777" w:rsidR="007E6EC8" w:rsidRPr="008D7AF1" w:rsidRDefault="007E6EC8" w:rsidP="007E6EC8">
      <w:pPr>
        <w:pStyle w:val="ListParagraph"/>
        <w:numPr>
          <w:ilvl w:val="0"/>
          <w:numId w:val="1"/>
        </w:numPr>
        <w:spacing w:after="0" w:line="240" w:lineRule="auto"/>
        <w:ind w:left="1440"/>
        <w:jc w:val="both"/>
        <w:rPr>
          <w:rFonts w:ascii="Cambria" w:hAnsi="Cambria" w:cs="Calibri Light"/>
          <w:b/>
          <w:color w:val="000000" w:themeColor="text1"/>
          <w:sz w:val="20"/>
          <w:szCs w:val="20"/>
          <w:lang w:val="es-ES"/>
        </w:rPr>
      </w:pPr>
      <w:r w:rsidRPr="008D7AF1">
        <w:rPr>
          <w:rFonts w:ascii="Cambria" w:hAnsi="Cambria" w:cs="Calibri Light"/>
          <w:b/>
          <w:color w:val="000000" w:themeColor="text1"/>
          <w:sz w:val="20"/>
          <w:szCs w:val="20"/>
          <w:lang w:val="es-ES"/>
        </w:rPr>
        <w:t>Análisis del cumplimiento de las recomendaciones</w:t>
      </w:r>
    </w:p>
    <w:p w14:paraId="31D6E553" w14:textId="77777777" w:rsidR="00CD0219" w:rsidRPr="007E6EC8" w:rsidRDefault="00CD0219" w:rsidP="00CD0219">
      <w:pPr>
        <w:pStyle w:val="ListParagraph"/>
        <w:spacing w:after="0" w:line="240" w:lineRule="auto"/>
        <w:jc w:val="both"/>
        <w:rPr>
          <w:rFonts w:ascii="Cambria" w:hAnsi="Cambria"/>
          <w:color w:val="000000" w:themeColor="text1"/>
          <w:sz w:val="20"/>
          <w:szCs w:val="20"/>
          <w:lang w:val="es-ES"/>
        </w:rPr>
      </w:pPr>
    </w:p>
    <w:p w14:paraId="63518C88" w14:textId="2D431AC2" w:rsidR="007E6EC8" w:rsidRPr="007E6EC8" w:rsidRDefault="007E6EC8" w:rsidP="00192D88">
      <w:pPr>
        <w:pStyle w:val="ListParagraph"/>
        <w:numPr>
          <w:ilvl w:val="0"/>
          <w:numId w:val="14"/>
        </w:numPr>
        <w:spacing w:after="0" w:line="240" w:lineRule="auto"/>
        <w:jc w:val="both"/>
        <w:rPr>
          <w:rFonts w:ascii="Cambria" w:hAnsi="Cambria" w:cs="Calibri Light"/>
          <w:b/>
          <w:color w:val="000000" w:themeColor="text1"/>
          <w:sz w:val="20"/>
          <w:szCs w:val="20"/>
          <w:lang w:val="es-ES"/>
        </w:rPr>
      </w:pPr>
      <w:r w:rsidRPr="007E6EC8">
        <w:rPr>
          <w:rFonts w:ascii="Cambria" w:hAnsi="Cambria" w:cs="Calibri Light"/>
          <w:b/>
          <w:color w:val="000000" w:themeColor="text1"/>
          <w:sz w:val="20"/>
          <w:szCs w:val="20"/>
          <w:lang w:val="es-ES"/>
        </w:rPr>
        <w:t xml:space="preserve">Con relación con la primera recomendación, </w:t>
      </w:r>
      <w:r w:rsidRPr="007E6EC8">
        <w:rPr>
          <w:rFonts w:ascii="Cambria" w:hAnsi="Cambria" w:cs="Calibri Light"/>
          <w:color w:val="000000" w:themeColor="text1"/>
          <w:sz w:val="20"/>
          <w:szCs w:val="20"/>
          <w:lang w:val="es-ES"/>
        </w:rPr>
        <w:t>e</w:t>
      </w:r>
      <w:r w:rsidR="00192D88" w:rsidRPr="007E6EC8">
        <w:rPr>
          <w:rFonts w:ascii="Cambria" w:hAnsi="Cambria" w:cs="Calibri Light"/>
          <w:color w:val="000000" w:themeColor="text1"/>
          <w:sz w:val="20"/>
          <w:szCs w:val="20"/>
          <w:lang w:val="es-ES"/>
        </w:rPr>
        <w:t>n 20</w:t>
      </w:r>
      <w:r w:rsidR="009008C4" w:rsidRPr="007E6EC8">
        <w:rPr>
          <w:rFonts w:ascii="Cambria" w:hAnsi="Cambria" w:cs="Calibri Light"/>
          <w:color w:val="000000" w:themeColor="text1"/>
          <w:sz w:val="20"/>
          <w:szCs w:val="20"/>
          <w:lang w:val="es-ES"/>
        </w:rPr>
        <w:t xml:space="preserve">12, </w:t>
      </w:r>
      <w:r w:rsidR="00371FE6">
        <w:rPr>
          <w:rFonts w:ascii="Cambria" w:hAnsi="Cambria"/>
          <w:sz w:val="20"/>
          <w:szCs w:val="20"/>
          <w:lang w:val="es-ES"/>
        </w:rPr>
        <w:t>e</w:t>
      </w:r>
      <w:r w:rsidRPr="007E6EC8">
        <w:rPr>
          <w:rFonts w:ascii="Cambria" w:hAnsi="Cambria"/>
          <w:sz w:val="20"/>
          <w:szCs w:val="20"/>
          <w:lang w:val="es-ES"/>
        </w:rPr>
        <w:t>l Estado reiteró que</w:t>
      </w:r>
      <w:r w:rsidR="0082274A">
        <w:rPr>
          <w:rFonts w:ascii="Cambria" w:hAnsi="Cambria"/>
          <w:sz w:val="20"/>
          <w:szCs w:val="20"/>
          <w:lang w:val="es-ES"/>
        </w:rPr>
        <w:t xml:space="preserve"> no está de acuerdo con</w:t>
      </w:r>
      <w:r w:rsidRPr="007E6EC8">
        <w:rPr>
          <w:rFonts w:ascii="Cambria" w:hAnsi="Cambria"/>
          <w:sz w:val="20"/>
          <w:szCs w:val="20"/>
          <w:lang w:val="es-ES"/>
        </w:rPr>
        <w:t xml:space="preserve"> las recomendaciones de la Comisión</w:t>
      </w:r>
      <w:r w:rsidR="009008C4" w:rsidRPr="007E6EC8">
        <w:rPr>
          <w:rStyle w:val="FootnoteReference"/>
          <w:rFonts w:ascii="Cambria" w:hAnsi="Cambria" w:cs="Calibri Light"/>
          <w:color w:val="000000" w:themeColor="text1"/>
          <w:sz w:val="20"/>
          <w:szCs w:val="20"/>
        </w:rPr>
        <w:footnoteReference w:id="1"/>
      </w:r>
      <w:r w:rsidR="00D52D18">
        <w:rPr>
          <w:rFonts w:ascii="Cambria" w:hAnsi="Cambria"/>
          <w:sz w:val="20"/>
          <w:szCs w:val="20"/>
          <w:lang w:val="es-ES"/>
        </w:rPr>
        <w:t>.</w:t>
      </w:r>
      <w:r w:rsidR="009008C4" w:rsidRPr="007E6EC8">
        <w:rPr>
          <w:rFonts w:ascii="Cambria" w:hAnsi="Cambria" w:cs="Calibri Light"/>
          <w:color w:val="000000" w:themeColor="text1"/>
          <w:sz w:val="20"/>
          <w:szCs w:val="20"/>
          <w:lang w:val="es-ES"/>
        </w:rPr>
        <w:t xml:space="preserve"> </w:t>
      </w:r>
      <w:r w:rsidRPr="007E6EC8">
        <w:rPr>
          <w:rFonts w:ascii="Cambria" w:hAnsi="Cambria" w:cs="Calibri Light"/>
          <w:color w:val="000000" w:themeColor="text1"/>
          <w:sz w:val="20"/>
          <w:szCs w:val="20"/>
          <w:lang w:val="es-ES"/>
        </w:rPr>
        <w:t>E</w:t>
      </w:r>
      <w:r w:rsidR="005E466A" w:rsidRPr="007E6EC8">
        <w:rPr>
          <w:rFonts w:ascii="Cambria" w:hAnsi="Cambria" w:cs="Calibri Light"/>
          <w:color w:val="000000" w:themeColor="text1"/>
          <w:sz w:val="20"/>
          <w:szCs w:val="20"/>
          <w:lang w:val="es-ES"/>
        </w:rPr>
        <w:t xml:space="preserve">n 2018, </w:t>
      </w:r>
      <w:r w:rsidRPr="007E6EC8">
        <w:rPr>
          <w:rFonts w:ascii="Cambria" w:hAnsi="Cambria"/>
          <w:sz w:val="20"/>
          <w:szCs w:val="20"/>
          <w:lang w:val="es-ES"/>
        </w:rPr>
        <w:t>el Estado reiter</w:t>
      </w:r>
      <w:r w:rsidR="0082274A">
        <w:rPr>
          <w:rFonts w:ascii="Cambria" w:hAnsi="Cambria"/>
          <w:sz w:val="20"/>
          <w:szCs w:val="20"/>
          <w:lang w:val="es-ES"/>
        </w:rPr>
        <w:t>ó</w:t>
      </w:r>
      <w:r w:rsidRPr="007E6EC8">
        <w:rPr>
          <w:rFonts w:ascii="Cambria" w:hAnsi="Cambria"/>
          <w:sz w:val="20"/>
          <w:szCs w:val="20"/>
          <w:lang w:val="es-ES"/>
        </w:rPr>
        <w:t xml:space="preserve"> sus respuestas anteriores en relación</w:t>
      </w:r>
      <w:r w:rsidR="00371FE6">
        <w:rPr>
          <w:rFonts w:ascii="Cambria" w:hAnsi="Cambria"/>
          <w:sz w:val="20"/>
          <w:szCs w:val="20"/>
          <w:lang w:val="es-ES"/>
        </w:rPr>
        <w:t xml:space="preserve"> con este Informe</w:t>
      </w:r>
      <w:r w:rsidRPr="007E6EC8">
        <w:rPr>
          <w:rFonts w:ascii="Cambria" w:hAnsi="Cambria"/>
          <w:sz w:val="20"/>
          <w:szCs w:val="20"/>
          <w:lang w:val="es-ES"/>
        </w:rPr>
        <w:t>, sin referirse a esfuerzos realizados durante este año a fin de cumplir con las recomendaciones de la CIDH.</w:t>
      </w:r>
      <w:r w:rsidRPr="007E6EC8">
        <w:rPr>
          <w:rFonts w:ascii="Univers" w:hAnsi="Univers"/>
          <w:sz w:val="20"/>
          <w:szCs w:val="20"/>
          <w:lang w:val="es-ES"/>
        </w:rPr>
        <w:t xml:space="preserve"> </w:t>
      </w:r>
    </w:p>
    <w:p w14:paraId="55E9B127" w14:textId="77777777" w:rsidR="007E6EC8" w:rsidRPr="007E6EC8" w:rsidRDefault="007E6EC8" w:rsidP="00192D88">
      <w:pPr>
        <w:spacing w:after="0" w:line="240" w:lineRule="auto"/>
        <w:jc w:val="both"/>
        <w:rPr>
          <w:rFonts w:ascii="Cambria" w:hAnsi="Cambria" w:cs="Calibri Light"/>
          <w:b/>
          <w:color w:val="000000" w:themeColor="text1"/>
          <w:sz w:val="20"/>
          <w:szCs w:val="20"/>
          <w:lang w:val="es-ES"/>
        </w:rPr>
      </w:pPr>
    </w:p>
    <w:p w14:paraId="18518146" w14:textId="5F98EAA7" w:rsidR="00DA6C31" w:rsidRPr="00DA6C31" w:rsidRDefault="005C42F8" w:rsidP="00DA6C31">
      <w:pPr>
        <w:pStyle w:val="ListParagraph"/>
        <w:numPr>
          <w:ilvl w:val="0"/>
          <w:numId w:val="14"/>
        </w:numPr>
        <w:spacing w:after="0" w:line="240" w:lineRule="auto"/>
        <w:jc w:val="both"/>
        <w:rPr>
          <w:rFonts w:ascii="Cambria" w:hAnsi="Cambria" w:cs="Calibri Light"/>
          <w:color w:val="000000" w:themeColor="text1"/>
          <w:sz w:val="20"/>
          <w:szCs w:val="20"/>
          <w:lang w:val="es-ES"/>
        </w:rPr>
      </w:pPr>
      <w:r w:rsidRPr="00E06196">
        <w:rPr>
          <w:rFonts w:ascii="Cambria" w:hAnsi="Cambria" w:cs="Calibri Light"/>
          <w:color w:val="000000" w:themeColor="text1"/>
          <w:sz w:val="20"/>
          <w:szCs w:val="20"/>
          <w:lang w:val="es-ES"/>
        </w:rPr>
        <w:t>E</w:t>
      </w:r>
      <w:r w:rsidR="00C01CA1" w:rsidRPr="00E06196">
        <w:rPr>
          <w:rFonts w:ascii="Cambria" w:hAnsi="Cambria" w:cs="Calibri Light"/>
          <w:color w:val="000000" w:themeColor="text1"/>
          <w:sz w:val="20"/>
          <w:szCs w:val="20"/>
          <w:lang w:val="es-ES"/>
        </w:rPr>
        <w:t xml:space="preserve">n 2008, </w:t>
      </w:r>
      <w:r w:rsidRPr="00E06196">
        <w:rPr>
          <w:rFonts w:ascii="Cambria" w:hAnsi="Cambria" w:cs="Calibri Light"/>
          <w:color w:val="000000" w:themeColor="text1"/>
          <w:sz w:val="20"/>
          <w:szCs w:val="20"/>
          <w:lang w:val="es-ES"/>
        </w:rPr>
        <w:t xml:space="preserve">los peticionarios informaron que el 31 de marzo de 2008, la Corte Suprema de los Estados Unidos </w:t>
      </w:r>
      <w:r w:rsidR="00E06196" w:rsidRPr="00E06196">
        <w:rPr>
          <w:rFonts w:ascii="Cambria" w:hAnsi="Cambria" w:cs="Calibri Light"/>
          <w:color w:val="000000" w:themeColor="text1"/>
          <w:sz w:val="20"/>
          <w:szCs w:val="20"/>
          <w:lang w:val="es-ES"/>
        </w:rPr>
        <w:t>denegó</w:t>
      </w:r>
      <w:r w:rsidRPr="00E06196">
        <w:rPr>
          <w:rFonts w:ascii="Cambria" w:hAnsi="Cambria" w:cs="Calibri Light"/>
          <w:color w:val="000000" w:themeColor="text1"/>
          <w:sz w:val="20"/>
          <w:szCs w:val="20"/>
          <w:lang w:val="es-ES"/>
        </w:rPr>
        <w:t xml:space="preserve"> escuchar el recurso del señor Fierro en base de su decisión en Medellín v. Texas</w:t>
      </w:r>
      <w:r w:rsidR="00E06196" w:rsidRPr="00E16D3D">
        <w:rPr>
          <w:rStyle w:val="FootnoteReference"/>
          <w:rFonts w:ascii="Cambria" w:hAnsi="Cambria"/>
          <w:color w:val="000000" w:themeColor="text1"/>
          <w:sz w:val="20"/>
          <w:szCs w:val="20"/>
        </w:rPr>
        <w:footnoteReference w:id="2"/>
      </w:r>
      <w:r w:rsidRPr="00E06196">
        <w:rPr>
          <w:rFonts w:ascii="Cambria" w:hAnsi="Cambria" w:cs="Calibri Light"/>
          <w:color w:val="000000" w:themeColor="text1"/>
          <w:sz w:val="20"/>
          <w:szCs w:val="20"/>
          <w:lang w:val="es-ES"/>
        </w:rPr>
        <w:t xml:space="preserve">, </w:t>
      </w:r>
      <w:r w:rsidR="00E06196" w:rsidRPr="00E06196">
        <w:rPr>
          <w:rFonts w:ascii="Cambria" w:hAnsi="Cambria" w:cs="Calibri Light"/>
          <w:color w:val="000000" w:themeColor="text1"/>
          <w:sz w:val="20"/>
          <w:szCs w:val="20"/>
          <w:lang w:val="es-ES"/>
        </w:rPr>
        <w:t>en el que se</w:t>
      </w:r>
      <w:r w:rsidRPr="00E06196">
        <w:rPr>
          <w:rFonts w:ascii="Cambria" w:hAnsi="Cambria" w:cs="Calibri Light"/>
          <w:color w:val="000000" w:themeColor="text1"/>
          <w:sz w:val="20"/>
          <w:szCs w:val="20"/>
          <w:lang w:val="es-ES"/>
        </w:rPr>
        <w:t xml:space="preserve"> determinó que </w:t>
      </w:r>
      <w:r w:rsidR="00E06196" w:rsidRPr="00E06196">
        <w:rPr>
          <w:rFonts w:ascii="Cambria" w:hAnsi="Cambria" w:cs="Calibri Light"/>
          <w:color w:val="000000" w:themeColor="text1"/>
          <w:sz w:val="20"/>
          <w:szCs w:val="20"/>
          <w:lang w:val="es-ES"/>
        </w:rPr>
        <w:t xml:space="preserve">la sentencia </w:t>
      </w:r>
      <w:r w:rsidR="00E06196" w:rsidRPr="00E06196">
        <w:rPr>
          <w:rFonts w:ascii="Cambria" w:hAnsi="Cambria" w:cs="Calibri Light"/>
          <w:i/>
          <w:color w:val="000000" w:themeColor="text1"/>
          <w:sz w:val="20"/>
          <w:szCs w:val="20"/>
          <w:lang w:val="es-ES"/>
        </w:rPr>
        <w:t xml:space="preserve">Avena y Otros Nacionales Mexicanos </w:t>
      </w:r>
      <w:r w:rsidR="00E06196" w:rsidRPr="00E06196">
        <w:rPr>
          <w:rFonts w:ascii="Cambria" w:hAnsi="Cambria" w:cs="Calibri Light"/>
          <w:color w:val="000000" w:themeColor="text1"/>
          <w:sz w:val="20"/>
          <w:szCs w:val="20"/>
          <w:lang w:val="es-ES"/>
        </w:rPr>
        <w:t xml:space="preserve">(México v. Estados Unidos de América) de la Corte Internacional de Justicia no es vinculante para los tribunales de los Estados </w:t>
      </w:r>
      <w:r w:rsidR="00371FE6" w:rsidRPr="00E06196">
        <w:rPr>
          <w:rFonts w:ascii="Cambria" w:hAnsi="Cambria" w:cs="Calibri Light"/>
          <w:color w:val="000000" w:themeColor="text1"/>
          <w:sz w:val="20"/>
          <w:szCs w:val="20"/>
          <w:lang w:val="es-ES"/>
        </w:rPr>
        <w:t>Unidos</w:t>
      </w:r>
      <w:r w:rsidR="00E06196" w:rsidRPr="00E06196">
        <w:rPr>
          <w:rFonts w:ascii="Cambria" w:hAnsi="Cambria" w:cs="Calibri Light"/>
          <w:color w:val="000000" w:themeColor="text1"/>
          <w:sz w:val="20"/>
          <w:szCs w:val="20"/>
          <w:lang w:val="es-ES"/>
        </w:rPr>
        <w:t>.</w:t>
      </w:r>
      <w:r w:rsidR="00E06196" w:rsidRPr="00C6608C">
        <w:rPr>
          <w:rStyle w:val="FootnoteReference"/>
          <w:rFonts w:ascii="Cambria" w:hAnsi="Cambria" w:cs="Calibri Light"/>
          <w:color w:val="000000" w:themeColor="text1"/>
          <w:sz w:val="20"/>
          <w:szCs w:val="20"/>
        </w:rPr>
        <w:footnoteReference w:id="3"/>
      </w:r>
      <w:r w:rsidR="00E06196" w:rsidRPr="00E06196">
        <w:rPr>
          <w:rFonts w:ascii="Cambria" w:hAnsi="Cambria" w:cs="Calibri Light"/>
          <w:color w:val="000000" w:themeColor="text1"/>
          <w:sz w:val="20"/>
          <w:szCs w:val="20"/>
          <w:lang w:val="es-ES"/>
        </w:rPr>
        <w:t xml:space="preserve"> Subsecuentemente, la Corte de Apelaciones de los Estados Unidos</w:t>
      </w:r>
      <w:r w:rsidR="00E06196">
        <w:rPr>
          <w:rFonts w:ascii="Cambria" w:hAnsi="Cambria" w:cs="Calibri Light"/>
          <w:color w:val="000000" w:themeColor="text1"/>
          <w:sz w:val="20"/>
          <w:szCs w:val="20"/>
          <w:lang w:val="es-ES"/>
        </w:rPr>
        <w:t xml:space="preserve"> desestimó, el 2 de junio de 2008, un recurso de hábeas corpus</w:t>
      </w:r>
      <w:r w:rsidR="00E06196" w:rsidRPr="00E16D3D">
        <w:rPr>
          <w:rStyle w:val="FootnoteReference"/>
          <w:rFonts w:ascii="Cambria" w:hAnsi="Cambria"/>
          <w:color w:val="000000" w:themeColor="text1"/>
          <w:sz w:val="20"/>
          <w:szCs w:val="20"/>
        </w:rPr>
        <w:footnoteReference w:id="4"/>
      </w:r>
      <w:r w:rsidR="00E06196">
        <w:rPr>
          <w:rFonts w:ascii="Cambria" w:hAnsi="Cambria" w:cs="Calibri Light"/>
          <w:color w:val="000000" w:themeColor="text1"/>
          <w:sz w:val="20"/>
          <w:szCs w:val="20"/>
          <w:lang w:val="es-ES"/>
        </w:rPr>
        <w:t xml:space="preserve"> reparador.</w:t>
      </w:r>
      <w:r w:rsidR="00E06196" w:rsidRPr="00E16D3D">
        <w:rPr>
          <w:rStyle w:val="FootnoteReference"/>
          <w:rFonts w:ascii="Cambria" w:hAnsi="Cambria"/>
          <w:color w:val="000000" w:themeColor="text1"/>
          <w:sz w:val="20"/>
          <w:szCs w:val="20"/>
        </w:rPr>
        <w:footnoteReference w:id="5"/>
      </w:r>
      <w:r w:rsidR="00E06196">
        <w:rPr>
          <w:rFonts w:ascii="Cambria" w:hAnsi="Cambria" w:cs="Calibri Light"/>
          <w:color w:val="000000" w:themeColor="text1"/>
          <w:sz w:val="20"/>
          <w:szCs w:val="20"/>
          <w:lang w:val="es-ES"/>
        </w:rPr>
        <w:t xml:space="preserve"> En 2018, los peticionarios informaron que el señor Fierro </w:t>
      </w:r>
      <w:r w:rsidR="00DA6C31">
        <w:rPr>
          <w:rFonts w:ascii="Cambria" w:hAnsi="Cambria" w:cs="Calibri Light"/>
          <w:color w:val="000000" w:themeColor="text1"/>
          <w:sz w:val="20"/>
          <w:szCs w:val="20"/>
          <w:lang w:val="es-ES"/>
        </w:rPr>
        <w:t>permanece en el pabellón de los condenados a muerte en Texas, donde ha estado por 38 años. Mencionaron que no se ha establecido un</w:t>
      </w:r>
      <w:r w:rsidR="00371FE6">
        <w:rPr>
          <w:rFonts w:ascii="Cambria" w:hAnsi="Cambria" w:cs="Calibri Light"/>
          <w:color w:val="000000" w:themeColor="text1"/>
          <w:sz w:val="20"/>
          <w:szCs w:val="20"/>
          <w:lang w:val="es-ES"/>
        </w:rPr>
        <w:t>a</w:t>
      </w:r>
      <w:r w:rsidR="00DA6C31">
        <w:rPr>
          <w:rFonts w:ascii="Cambria" w:hAnsi="Cambria" w:cs="Calibri Light"/>
          <w:color w:val="000000" w:themeColor="text1"/>
          <w:sz w:val="20"/>
          <w:szCs w:val="20"/>
          <w:lang w:val="es-ES"/>
        </w:rPr>
        <w:t xml:space="preserve"> nueva </w:t>
      </w:r>
      <w:r w:rsidR="00371FE6">
        <w:rPr>
          <w:rFonts w:ascii="Cambria" w:hAnsi="Cambria" w:cs="Calibri Light"/>
          <w:color w:val="000000" w:themeColor="text1"/>
          <w:sz w:val="20"/>
          <w:szCs w:val="20"/>
          <w:lang w:val="es-ES"/>
        </w:rPr>
        <w:t xml:space="preserve">fecha </w:t>
      </w:r>
      <w:r w:rsidR="00DA6C31">
        <w:rPr>
          <w:rFonts w:ascii="Cambria" w:hAnsi="Cambria" w:cs="Calibri Light"/>
          <w:color w:val="000000" w:themeColor="text1"/>
          <w:sz w:val="20"/>
          <w:szCs w:val="20"/>
          <w:lang w:val="es-ES"/>
        </w:rPr>
        <w:t>para su ejecución y que actualmente no hay ninguna acción pendiente en ninguna autoridad gubernamental estatal o federal que pueda resultar en un nuevo juicio por el señor Fierro.</w:t>
      </w:r>
    </w:p>
    <w:p w14:paraId="1A5B83AA" w14:textId="77777777" w:rsidR="00513F13" w:rsidRPr="00B8087B" w:rsidRDefault="00513F13" w:rsidP="00DA6C31">
      <w:pPr>
        <w:spacing w:after="0" w:line="240" w:lineRule="auto"/>
        <w:jc w:val="both"/>
        <w:rPr>
          <w:rFonts w:ascii="Cambria" w:hAnsi="Cambria" w:cs="Calibri Light"/>
          <w:b/>
          <w:color w:val="000000" w:themeColor="text1"/>
          <w:sz w:val="20"/>
          <w:szCs w:val="20"/>
          <w:lang w:val="es-US"/>
        </w:rPr>
      </w:pPr>
    </w:p>
    <w:p w14:paraId="3D3FC86D" w14:textId="4B0D76B1" w:rsidR="00B8087B" w:rsidRPr="00B8087B" w:rsidRDefault="009213F8" w:rsidP="00B8087B">
      <w:pPr>
        <w:pStyle w:val="ListParagraph"/>
        <w:numPr>
          <w:ilvl w:val="0"/>
          <w:numId w:val="14"/>
        </w:numPr>
        <w:spacing w:after="0" w:line="240" w:lineRule="auto"/>
        <w:jc w:val="both"/>
        <w:rPr>
          <w:rFonts w:ascii="Cambria" w:hAnsi="Cambria" w:cs="Calibri Light"/>
          <w:b/>
          <w:color w:val="000000" w:themeColor="text1"/>
          <w:sz w:val="20"/>
          <w:szCs w:val="20"/>
          <w:lang w:val="es-ES"/>
        </w:rPr>
      </w:pPr>
      <w:r w:rsidRPr="009213F8">
        <w:rPr>
          <w:rFonts w:ascii="Cambria" w:hAnsi="Cambria"/>
          <w:color w:val="000000" w:themeColor="text1"/>
          <w:sz w:val="20"/>
          <w:szCs w:val="20"/>
          <w:lang w:val="es-ES"/>
        </w:rPr>
        <w:t>La Comisión observa con preocupación que el Estado no ha ad</w:t>
      </w:r>
      <w:r>
        <w:rPr>
          <w:rFonts w:ascii="Cambria" w:hAnsi="Cambria"/>
          <w:color w:val="000000" w:themeColor="text1"/>
          <w:sz w:val="20"/>
          <w:szCs w:val="20"/>
          <w:lang w:val="es-ES"/>
        </w:rPr>
        <w:t>o</w:t>
      </w:r>
      <w:r w:rsidRPr="009213F8">
        <w:rPr>
          <w:rFonts w:ascii="Cambria" w:hAnsi="Cambria"/>
          <w:color w:val="000000" w:themeColor="text1"/>
          <w:sz w:val="20"/>
          <w:szCs w:val="20"/>
          <w:lang w:val="es-ES"/>
        </w:rPr>
        <w:t xml:space="preserve">ptado </w:t>
      </w:r>
      <w:r>
        <w:rPr>
          <w:rFonts w:ascii="Cambria" w:hAnsi="Cambria"/>
          <w:color w:val="000000" w:themeColor="text1"/>
          <w:sz w:val="20"/>
          <w:szCs w:val="20"/>
          <w:lang w:val="es-ES"/>
        </w:rPr>
        <w:t>acciones para otorgar a César Fierro un remedio efect</w:t>
      </w:r>
      <w:r w:rsidR="00371FE6">
        <w:rPr>
          <w:rFonts w:ascii="Cambria" w:hAnsi="Cambria"/>
          <w:color w:val="000000" w:themeColor="text1"/>
          <w:sz w:val="20"/>
          <w:szCs w:val="20"/>
          <w:lang w:val="es-ES"/>
        </w:rPr>
        <w:t>ivo</w:t>
      </w:r>
      <w:r>
        <w:rPr>
          <w:rFonts w:ascii="Cambria" w:hAnsi="Cambria"/>
          <w:color w:val="000000" w:themeColor="text1"/>
          <w:sz w:val="20"/>
          <w:szCs w:val="20"/>
          <w:lang w:val="es-ES"/>
        </w:rPr>
        <w:t xml:space="preserve"> desde la publicación del Informe de Fondo en 2003. En ese sentido, la CIDH recuerda que se ha reconocido la Declaración Americana como una fuente de obligaciones internacionales por los Estados Miembros de la OEA, </w:t>
      </w:r>
      <w:r w:rsidR="00B8087B">
        <w:rPr>
          <w:rFonts w:ascii="Cambria" w:hAnsi="Cambria"/>
          <w:color w:val="000000" w:themeColor="text1"/>
          <w:sz w:val="20"/>
          <w:szCs w:val="20"/>
          <w:lang w:val="es-ES"/>
        </w:rPr>
        <w:t>incluyendo los que no son partes de</w:t>
      </w:r>
      <w:r>
        <w:rPr>
          <w:rFonts w:ascii="Cambria" w:hAnsi="Cambria"/>
          <w:color w:val="000000" w:themeColor="text1"/>
          <w:sz w:val="20"/>
          <w:szCs w:val="20"/>
          <w:lang w:val="es-ES"/>
        </w:rPr>
        <w:t xml:space="preserve"> la Convención Americana </w:t>
      </w:r>
      <w:r w:rsidR="00A00AA1">
        <w:rPr>
          <w:rFonts w:ascii="Cambria" w:hAnsi="Cambria"/>
          <w:color w:val="000000" w:themeColor="text1"/>
          <w:sz w:val="20"/>
          <w:szCs w:val="20"/>
          <w:lang w:val="es-ES"/>
        </w:rPr>
        <w:t>sobre</w:t>
      </w:r>
      <w:r>
        <w:rPr>
          <w:rFonts w:ascii="Cambria" w:hAnsi="Cambria"/>
          <w:color w:val="000000" w:themeColor="text1"/>
          <w:sz w:val="20"/>
          <w:szCs w:val="20"/>
          <w:lang w:val="es-ES"/>
        </w:rPr>
        <w:t xml:space="preserve"> Derechos Humanos.</w:t>
      </w:r>
      <w:r w:rsidR="003766A6" w:rsidRPr="00E16D3D">
        <w:rPr>
          <w:rStyle w:val="FootnoteReference"/>
          <w:rFonts w:ascii="Cambria" w:hAnsi="Cambria" w:cs="Calibri Light"/>
          <w:color w:val="000000" w:themeColor="text1"/>
          <w:sz w:val="20"/>
          <w:szCs w:val="20"/>
        </w:rPr>
        <w:footnoteReference w:id="6"/>
      </w:r>
      <w:r w:rsidR="003766A6" w:rsidRPr="004661A0">
        <w:rPr>
          <w:rFonts w:ascii="Cambria" w:hAnsi="Cambria" w:cs="Calibri Light"/>
          <w:color w:val="000000" w:themeColor="text1"/>
          <w:sz w:val="20"/>
          <w:szCs w:val="20"/>
          <w:lang w:val="es-ES"/>
        </w:rPr>
        <w:t xml:space="preserve"> </w:t>
      </w:r>
      <w:r w:rsidR="00A00AA1" w:rsidRPr="00A00AA1">
        <w:rPr>
          <w:rFonts w:ascii="Cambria" w:hAnsi="Cambria" w:cs="Calibri Light"/>
          <w:color w:val="000000" w:themeColor="text1"/>
          <w:sz w:val="20"/>
          <w:szCs w:val="20"/>
          <w:lang w:val="es-ES"/>
        </w:rPr>
        <w:t xml:space="preserve">De conformidad con el artículo </w:t>
      </w:r>
      <w:r w:rsidR="003766A6" w:rsidRPr="00A00AA1">
        <w:rPr>
          <w:rFonts w:ascii="Cambria" w:hAnsi="Cambria" w:cs="Calibri Light"/>
          <w:color w:val="000000" w:themeColor="text1"/>
          <w:sz w:val="20"/>
          <w:szCs w:val="20"/>
          <w:lang w:val="es-ES"/>
        </w:rPr>
        <w:t xml:space="preserve">31(1) </w:t>
      </w:r>
      <w:r w:rsidR="00A00AA1" w:rsidRPr="00A00AA1">
        <w:rPr>
          <w:rFonts w:ascii="Cambria" w:hAnsi="Cambria" w:cs="Calibri Light"/>
          <w:color w:val="000000" w:themeColor="text1"/>
          <w:sz w:val="20"/>
          <w:szCs w:val="20"/>
          <w:lang w:val="es-ES"/>
        </w:rPr>
        <w:t>de la Convención de Viena sobre el Derecho de los Tratados, los Estados Mie</w:t>
      </w:r>
      <w:r w:rsidR="00A00AA1">
        <w:rPr>
          <w:rFonts w:ascii="Cambria" w:hAnsi="Cambria" w:cs="Calibri Light"/>
          <w:color w:val="000000" w:themeColor="text1"/>
          <w:sz w:val="20"/>
          <w:szCs w:val="20"/>
          <w:lang w:val="es-ES"/>
        </w:rPr>
        <w:t xml:space="preserve">mbros </w:t>
      </w:r>
      <w:r w:rsidR="00B8087B">
        <w:rPr>
          <w:rFonts w:ascii="Cambria" w:hAnsi="Cambria" w:cs="Calibri Light"/>
          <w:color w:val="000000" w:themeColor="text1"/>
          <w:sz w:val="20"/>
          <w:szCs w:val="20"/>
          <w:lang w:val="es-ES"/>
        </w:rPr>
        <w:t>deben realizar esfuerzos de buena fe para cumplir con las recomendaciones de los órganos de supervisión, como la Comisión Interamericana</w:t>
      </w:r>
      <w:r w:rsidR="003766A6" w:rsidRPr="00B8087B">
        <w:rPr>
          <w:rFonts w:ascii="Cambria" w:hAnsi="Cambria" w:cs="Calibri Light"/>
          <w:color w:val="000000" w:themeColor="text1"/>
          <w:sz w:val="20"/>
          <w:szCs w:val="20"/>
          <w:lang w:val="es-US"/>
        </w:rPr>
        <w:t>.</w:t>
      </w:r>
      <w:r w:rsidR="003766A6" w:rsidRPr="00E16D3D">
        <w:rPr>
          <w:rStyle w:val="FootnoteReference"/>
          <w:rFonts w:ascii="Cambria" w:hAnsi="Cambria" w:cs="Calibri Light"/>
          <w:color w:val="000000" w:themeColor="text1"/>
          <w:sz w:val="20"/>
          <w:szCs w:val="20"/>
        </w:rPr>
        <w:footnoteReference w:id="7"/>
      </w:r>
      <w:r w:rsidR="003766A6" w:rsidRPr="00B8087B">
        <w:rPr>
          <w:rFonts w:ascii="Cambria" w:hAnsi="Cambria" w:cs="Calibri Light"/>
          <w:color w:val="000000" w:themeColor="text1"/>
          <w:sz w:val="20"/>
          <w:szCs w:val="20"/>
          <w:lang w:val="es-US"/>
        </w:rPr>
        <w:t xml:space="preserve"> </w:t>
      </w:r>
      <w:r w:rsidR="00350B09">
        <w:rPr>
          <w:rFonts w:ascii="Cambria" w:hAnsi="Cambria" w:cs="Calibri Light"/>
          <w:color w:val="000000" w:themeColor="text1"/>
          <w:sz w:val="20"/>
          <w:szCs w:val="20"/>
          <w:lang w:val="es-US"/>
        </w:rPr>
        <w:t xml:space="preserve">La Comisión </w:t>
      </w:r>
      <w:r w:rsidR="00975EAC">
        <w:rPr>
          <w:rFonts w:ascii="Cambria" w:hAnsi="Cambria" w:cs="Calibri Light"/>
          <w:color w:val="000000" w:themeColor="text1"/>
          <w:sz w:val="20"/>
          <w:szCs w:val="20"/>
          <w:lang w:val="es-US"/>
        </w:rPr>
        <w:t>urge</w:t>
      </w:r>
      <w:r w:rsidR="00350B09">
        <w:rPr>
          <w:rFonts w:ascii="Cambria" w:hAnsi="Cambria" w:cs="Calibri Light"/>
          <w:color w:val="000000" w:themeColor="text1"/>
          <w:sz w:val="20"/>
          <w:szCs w:val="20"/>
          <w:lang w:val="es-US"/>
        </w:rPr>
        <w:t xml:space="preserve"> al Estado a que conceda al Sr. Fierro un nuevo juicio de conformidad con las garantías procesales y el debido proceso legal contenida en la Declaración Americana o, si ello no fuera posible, a que conceda su puesta en libertad. Por lo anterior, la Comisión considera que la Recomendación 1 se encuentra pendiente de cumplimiento. </w:t>
      </w:r>
    </w:p>
    <w:p w14:paraId="7F51089A" w14:textId="77777777" w:rsidR="000169F7" w:rsidRPr="00915289" w:rsidRDefault="000169F7" w:rsidP="00350B09">
      <w:pPr>
        <w:spacing w:after="0" w:line="240" w:lineRule="auto"/>
        <w:jc w:val="both"/>
        <w:rPr>
          <w:rFonts w:ascii="Cambria" w:hAnsi="Cambria" w:cs="Calibri Light"/>
          <w:color w:val="000000" w:themeColor="text1"/>
          <w:sz w:val="20"/>
          <w:szCs w:val="20"/>
          <w:lang w:val="es-US"/>
        </w:rPr>
      </w:pPr>
    </w:p>
    <w:p w14:paraId="5CA5AE78" w14:textId="0B192B25" w:rsidR="001C34AC" w:rsidRPr="00957702" w:rsidRDefault="00350B09" w:rsidP="00957702">
      <w:pPr>
        <w:pStyle w:val="ListParagraph"/>
        <w:numPr>
          <w:ilvl w:val="0"/>
          <w:numId w:val="14"/>
        </w:numPr>
        <w:spacing w:after="0" w:line="240" w:lineRule="auto"/>
        <w:jc w:val="both"/>
        <w:rPr>
          <w:rFonts w:ascii="Cambria" w:hAnsi="Cambria" w:cs="Calibri Light"/>
          <w:color w:val="000000" w:themeColor="text1"/>
          <w:sz w:val="20"/>
          <w:szCs w:val="20"/>
          <w:lang w:val="es-US"/>
        </w:rPr>
      </w:pPr>
      <w:r w:rsidRPr="00FB5FEB">
        <w:rPr>
          <w:rFonts w:ascii="Cambria" w:hAnsi="Cambria" w:cs="Calibri Light"/>
          <w:b/>
          <w:color w:val="000000" w:themeColor="text1"/>
          <w:sz w:val="20"/>
          <w:szCs w:val="20"/>
          <w:lang w:val="es-US"/>
        </w:rPr>
        <w:t xml:space="preserve">Respeto a la segunda recomendación, </w:t>
      </w:r>
      <w:r w:rsidRPr="00FB5FEB">
        <w:rPr>
          <w:rFonts w:ascii="Cambria" w:hAnsi="Cambria" w:cs="Calibri Light"/>
          <w:color w:val="000000" w:themeColor="text1"/>
          <w:sz w:val="20"/>
          <w:szCs w:val="20"/>
          <w:lang w:val="es-US"/>
        </w:rPr>
        <w:t xml:space="preserve">el Estado </w:t>
      </w:r>
      <w:r w:rsidR="00915289">
        <w:rPr>
          <w:rFonts w:ascii="Cambria" w:hAnsi="Cambria" w:cs="Calibri Light"/>
          <w:color w:val="000000" w:themeColor="text1"/>
          <w:sz w:val="20"/>
          <w:szCs w:val="20"/>
          <w:lang w:val="es-US"/>
        </w:rPr>
        <w:t>reitera</w:t>
      </w:r>
      <w:r w:rsidRPr="00FB5FEB">
        <w:rPr>
          <w:rFonts w:ascii="Cambria" w:hAnsi="Cambria" w:cs="Calibri Light"/>
          <w:color w:val="000000" w:themeColor="text1"/>
          <w:sz w:val="20"/>
          <w:szCs w:val="20"/>
          <w:lang w:val="es-US"/>
        </w:rPr>
        <w:t xml:space="preserve"> </w:t>
      </w:r>
      <w:r w:rsidR="00915289">
        <w:rPr>
          <w:rFonts w:ascii="Cambria" w:hAnsi="Cambria" w:cs="Calibri Light"/>
          <w:color w:val="000000" w:themeColor="text1"/>
          <w:sz w:val="20"/>
          <w:szCs w:val="20"/>
          <w:lang w:val="es-US"/>
        </w:rPr>
        <w:t xml:space="preserve">que es parte de </w:t>
      </w:r>
      <w:r w:rsidR="00FB5FEB" w:rsidRPr="00FB5FEB">
        <w:rPr>
          <w:rFonts w:ascii="Cambria" w:hAnsi="Cambria" w:cs="Calibri Light"/>
          <w:color w:val="000000" w:themeColor="text1"/>
          <w:sz w:val="20"/>
          <w:szCs w:val="20"/>
          <w:lang w:val="es-US"/>
        </w:rPr>
        <w:t>la Convención de Viena sobre Relaciones Consulares (</w:t>
      </w:r>
      <w:r w:rsidR="005F2C30">
        <w:rPr>
          <w:rFonts w:ascii="Cambria" w:hAnsi="Cambria" w:cs="Calibri Light"/>
          <w:color w:val="000000" w:themeColor="text1"/>
          <w:sz w:val="20"/>
          <w:szCs w:val="20"/>
          <w:lang w:val="es-US"/>
        </w:rPr>
        <w:t>CVCR</w:t>
      </w:r>
      <w:r w:rsidR="00FB5FEB" w:rsidRPr="00FB5FEB">
        <w:rPr>
          <w:rFonts w:ascii="Cambria" w:hAnsi="Cambria" w:cs="Calibri Light"/>
          <w:color w:val="000000" w:themeColor="text1"/>
          <w:sz w:val="20"/>
          <w:szCs w:val="20"/>
          <w:lang w:val="es-US"/>
        </w:rPr>
        <w:t xml:space="preserve">) </w:t>
      </w:r>
      <w:r w:rsidR="00A538D1">
        <w:rPr>
          <w:rFonts w:ascii="Cambria" w:hAnsi="Cambria" w:cs="Calibri Light"/>
          <w:color w:val="000000" w:themeColor="text1"/>
          <w:sz w:val="20"/>
          <w:szCs w:val="20"/>
          <w:lang w:val="es-US"/>
        </w:rPr>
        <w:t xml:space="preserve">y </w:t>
      </w:r>
      <w:r w:rsidR="00915289">
        <w:rPr>
          <w:rFonts w:ascii="Cambria" w:hAnsi="Cambria" w:cs="Calibri Light"/>
          <w:color w:val="000000" w:themeColor="text1"/>
          <w:sz w:val="20"/>
          <w:szCs w:val="20"/>
          <w:lang w:val="es-US"/>
        </w:rPr>
        <w:t xml:space="preserve">está plenamente comprometido a cumplir sus obligaciones con </w:t>
      </w:r>
      <w:r w:rsidR="00915289">
        <w:rPr>
          <w:rFonts w:ascii="Cambria" w:hAnsi="Cambria" w:cs="Calibri Light"/>
          <w:color w:val="000000" w:themeColor="text1"/>
          <w:sz w:val="20"/>
          <w:szCs w:val="20"/>
          <w:lang w:val="es-US"/>
        </w:rPr>
        <w:lastRenderedPageBreak/>
        <w:t xml:space="preserve">base en dicho instrumento de suministrar notificación y acceso </w:t>
      </w:r>
      <w:r w:rsidR="00371FE6">
        <w:rPr>
          <w:rFonts w:ascii="Cambria" w:hAnsi="Cambria" w:cs="Calibri Light"/>
          <w:color w:val="000000" w:themeColor="text1"/>
          <w:sz w:val="20"/>
          <w:szCs w:val="20"/>
          <w:lang w:val="es-US"/>
        </w:rPr>
        <w:t xml:space="preserve">consular </w:t>
      </w:r>
      <w:r w:rsidR="00915289">
        <w:rPr>
          <w:rFonts w:ascii="Cambria" w:hAnsi="Cambria" w:cs="Calibri Light"/>
          <w:color w:val="000000" w:themeColor="text1"/>
          <w:sz w:val="20"/>
          <w:szCs w:val="20"/>
          <w:lang w:val="es-US"/>
        </w:rPr>
        <w:t>en los casos de ciudadanos extranjeros detenidos</w:t>
      </w:r>
      <w:r w:rsidR="00A538D1" w:rsidRPr="00AA0E62">
        <w:rPr>
          <w:rFonts w:ascii="Cambria" w:hAnsi="Cambria" w:cs="Calibri Light"/>
          <w:color w:val="000000" w:themeColor="text1"/>
          <w:sz w:val="20"/>
          <w:szCs w:val="20"/>
          <w:lang w:val="es-US"/>
        </w:rPr>
        <w:t xml:space="preserve">. </w:t>
      </w:r>
      <w:r w:rsidR="00FB5FEB" w:rsidRPr="00AA0E62">
        <w:rPr>
          <w:rFonts w:ascii="Cambria" w:hAnsi="Cambria"/>
          <w:color w:val="000000" w:themeColor="text1"/>
          <w:sz w:val="20"/>
          <w:szCs w:val="20"/>
          <w:lang w:val="es-US"/>
        </w:rPr>
        <w:t>E</w:t>
      </w:r>
      <w:r w:rsidR="001C34AC" w:rsidRPr="00AA0E62">
        <w:rPr>
          <w:rFonts w:ascii="Cambria" w:hAnsi="Cambria"/>
          <w:color w:val="000000" w:themeColor="text1"/>
          <w:sz w:val="20"/>
          <w:szCs w:val="20"/>
          <w:lang w:val="es-US"/>
        </w:rPr>
        <w:t xml:space="preserve">n 2010, </w:t>
      </w:r>
      <w:r w:rsidR="00FB5FEB" w:rsidRPr="00AA0E62">
        <w:rPr>
          <w:rFonts w:ascii="Cambria" w:hAnsi="Cambria"/>
          <w:color w:val="000000" w:themeColor="text1"/>
          <w:sz w:val="20"/>
          <w:szCs w:val="20"/>
          <w:lang w:val="es-US"/>
        </w:rPr>
        <w:t>el Estado</w:t>
      </w:r>
      <w:r w:rsidR="00A538D1" w:rsidRPr="00AA0E62">
        <w:rPr>
          <w:rFonts w:ascii="Cambria" w:hAnsi="Cambria"/>
          <w:color w:val="000000" w:themeColor="text1"/>
          <w:sz w:val="20"/>
          <w:szCs w:val="20"/>
          <w:lang w:val="es-US"/>
        </w:rPr>
        <w:t xml:space="preserve"> </w:t>
      </w:r>
      <w:r w:rsidR="00A538D1" w:rsidRPr="00AA0E62">
        <w:rPr>
          <w:rFonts w:ascii="Cambria" w:hAnsi="Cambria"/>
          <w:color w:val="000000" w:themeColor="text1"/>
          <w:sz w:val="20"/>
          <w:szCs w:val="20"/>
          <w:lang w:val="es-CO"/>
        </w:rPr>
        <w:t xml:space="preserve">ha procurado, a través de una diversidad de medios, asegurar el cumplimiento interno de los requisitos de la Convención de Viena sobre Relaciones Consulares, mediante servicios de extensión, orientación y capacitación a personal policial, fiscales y jueces a nivel federal, estatal y local, sobre notificación y acceso consular. </w:t>
      </w:r>
      <w:r w:rsidR="00A538D1" w:rsidRPr="00AA0E62">
        <w:rPr>
          <w:rFonts w:ascii="Cambria" w:hAnsi="Cambria"/>
          <w:color w:val="000000" w:themeColor="text1"/>
          <w:sz w:val="20"/>
          <w:szCs w:val="20"/>
          <w:lang w:val="es-ES"/>
        </w:rPr>
        <w:t>El manual del Departamento de Estado “Notificación y acceso consulares: Instrucciones para las fuerzas federales, estatales y locales y otros funcionarios con respecto a los ciudadanos extranjeros en Estados Unidos y los derechos de los funcionarios consulares a ayudarles” proporciona instrucciones a funcionarios policiales y penitenciarios sobre lo que se debe hacer cuando se detiene o arresta a un ciudadano extranjero, con el fin de cumplir las disposiciones de la Convención de Viena y los acuerdos consulares bilaterales. El manual contiene una lista de los países para los cuales se requiere notificación consular, incluso si el detenido no la solicita; modelos de declaraciones de notificación consular en inglés y en los 20 idiomas hablados más comúnmente por ciudadanos extranjeros en Estados Unidos; un modelo de “</w:t>
      </w:r>
      <w:r w:rsidR="00A538D1" w:rsidRPr="00957702">
        <w:rPr>
          <w:rFonts w:ascii="Cambria" w:hAnsi="Cambria"/>
          <w:color w:val="000000" w:themeColor="text1"/>
          <w:sz w:val="20"/>
          <w:szCs w:val="20"/>
          <w:lang w:val="es-ES"/>
        </w:rPr>
        <w:t xml:space="preserve">procedimiento operativo estándar” para la notificación y el acceso consulares que los departamentos de policía pueden adaptar y colocar en sus comisarías; modelos de fax para notificar a un consulado sobre un arresto o una detención, y modelos de carnés diplomáticos y consulares, a fin de que los funcionarios policiales y penitenciarios puedan reconocer las credenciales de los funcionarios extranjeros que acudan a sus instalaciones con fines consulares. </w:t>
      </w:r>
      <w:r w:rsidR="00A538D1" w:rsidRPr="00957702">
        <w:rPr>
          <w:rFonts w:ascii="Cambria" w:hAnsi="Cambria"/>
          <w:color w:val="000000" w:themeColor="text1"/>
          <w:spacing w:val="-2"/>
          <w:sz w:val="20"/>
          <w:szCs w:val="20"/>
          <w:lang w:val="es-ES"/>
        </w:rPr>
        <w:t>El Estado afirmó que, desde 199</w:t>
      </w:r>
      <w:r w:rsidR="005F2C30" w:rsidRPr="00957702">
        <w:rPr>
          <w:rFonts w:ascii="Cambria" w:hAnsi="Cambria"/>
          <w:color w:val="000000" w:themeColor="text1"/>
          <w:spacing w:val="-2"/>
          <w:sz w:val="20"/>
          <w:szCs w:val="20"/>
          <w:lang w:val="es-ES"/>
        </w:rPr>
        <w:t>8, el Departamento de Estado ha</w:t>
      </w:r>
      <w:r w:rsidR="00A538D1" w:rsidRPr="00957702">
        <w:rPr>
          <w:rFonts w:ascii="Cambria" w:hAnsi="Cambria"/>
          <w:color w:val="000000" w:themeColor="text1"/>
          <w:spacing w:val="-2"/>
          <w:sz w:val="20"/>
          <w:szCs w:val="20"/>
          <w:lang w:val="es-ES"/>
        </w:rPr>
        <w:t xml:space="preserve"> distribuido </w:t>
      </w:r>
      <w:r w:rsidR="005F2C30" w:rsidRPr="00957702">
        <w:rPr>
          <w:rFonts w:ascii="Cambria" w:hAnsi="Cambria"/>
          <w:color w:val="000000" w:themeColor="text1"/>
          <w:spacing w:val="-2"/>
          <w:sz w:val="20"/>
          <w:szCs w:val="20"/>
          <w:lang w:val="es-ES"/>
        </w:rPr>
        <w:t xml:space="preserve">a los agentes federales, </w:t>
      </w:r>
      <w:r w:rsidR="00371FE6" w:rsidRPr="00957702">
        <w:rPr>
          <w:rFonts w:ascii="Cambria" w:hAnsi="Cambria"/>
          <w:color w:val="000000" w:themeColor="text1"/>
          <w:spacing w:val="-2"/>
          <w:sz w:val="20"/>
          <w:szCs w:val="20"/>
          <w:lang w:val="es-ES"/>
        </w:rPr>
        <w:t>esta</w:t>
      </w:r>
      <w:r w:rsidR="00371FE6">
        <w:rPr>
          <w:rFonts w:ascii="Cambria" w:hAnsi="Cambria"/>
          <w:color w:val="000000" w:themeColor="text1"/>
          <w:spacing w:val="-2"/>
          <w:sz w:val="20"/>
          <w:szCs w:val="20"/>
          <w:lang w:val="es-ES"/>
        </w:rPr>
        <w:t>ta</w:t>
      </w:r>
      <w:r w:rsidR="00371FE6" w:rsidRPr="00957702">
        <w:rPr>
          <w:rFonts w:ascii="Cambria" w:hAnsi="Cambria"/>
          <w:color w:val="000000" w:themeColor="text1"/>
          <w:spacing w:val="-2"/>
          <w:sz w:val="20"/>
          <w:szCs w:val="20"/>
          <w:lang w:val="es-ES"/>
        </w:rPr>
        <w:t>les</w:t>
      </w:r>
      <w:r w:rsidR="005F2C30" w:rsidRPr="00957702">
        <w:rPr>
          <w:rFonts w:ascii="Cambria" w:hAnsi="Cambria"/>
          <w:color w:val="000000" w:themeColor="text1"/>
          <w:spacing w:val="-2"/>
          <w:sz w:val="20"/>
          <w:szCs w:val="20"/>
          <w:lang w:val="es-ES"/>
        </w:rPr>
        <w:t xml:space="preserve"> y locales encargados de hacer cumplir la ley </w:t>
      </w:r>
      <w:r w:rsidR="00A538D1" w:rsidRPr="00957702">
        <w:rPr>
          <w:rFonts w:ascii="Cambria" w:hAnsi="Cambria"/>
          <w:color w:val="000000" w:themeColor="text1"/>
          <w:spacing w:val="-2"/>
          <w:sz w:val="20"/>
          <w:szCs w:val="20"/>
          <w:lang w:val="es-ES"/>
        </w:rPr>
        <w:t>más de</w:t>
      </w:r>
      <w:r w:rsidR="005F2C30" w:rsidRPr="00957702">
        <w:rPr>
          <w:rFonts w:ascii="Cambria" w:hAnsi="Cambria"/>
          <w:color w:val="000000" w:themeColor="text1"/>
          <w:spacing w:val="-2"/>
          <w:sz w:val="20"/>
          <w:szCs w:val="20"/>
          <w:lang w:val="es-ES"/>
        </w:rPr>
        <w:t xml:space="preserve"> mil vídeos de formación, folletos y</w:t>
      </w:r>
      <w:r w:rsidR="00A538D1" w:rsidRPr="00957702">
        <w:rPr>
          <w:rFonts w:ascii="Cambria" w:hAnsi="Cambria"/>
          <w:color w:val="000000" w:themeColor="text1"/>
          <w:spacing w:val="-2"/>
          <w:sz w:val="20"/>
          <w:szCs w:val="20"/>
          <w:lang w:val="es-ES"/>
        </w:rPr>
        <w:t xml:space="preserve"> tarjetas de </w:t>
      </w:r>
      <w:r w:rsidR="005F2C30" w:rsidRPr="00957702">
        <w:rPr>
          <w:rFonts w:ascii="Cambria" w:hAnsi="Cambria"/>
          <w:color w:val="000000" w:themeColor="text1"/>
          <w:spacing w:val="-2"/>
          <w:sz w:val="20"/>
          <w:szCs w:val="20"/>
          <w:lang w:val="es-ES"/>
        </w:rPr>
        <w:t>capacitación en relación con el arresto y la detención de extranjeros; asimismo, ha celebrado más de 350 seminarios de capacitación sobre el derecho a la asistencia consular en todo Estados Unidos y sus territorios, y ha creado un curso de capacitaci</w:t>
      </w:r>
      <w:r w:rsidR="001A1CD5" w:rsidRPr="00957702">
        <w:rPr>
          <w:rFonts w:ascii="Cambria" w:hAnsi="Cambria"/>
          <w:color w:val="000000" w:themeColor="text1"/>
          <w:spacing w:val="-2"/>
          <w:sz w:val="20"/>
          <w:szCs w:val="20"/>
          <w:lang w:val="es-ES"/>
        </w:rPr>
        <w:t>ón por Internet sobre el tema</w:t>
      </w:r>
      <w:r w:rsidR="0093283A" w:rsidRPr="00957702">
        <w:rPr>
          <w:rFonts w:ascii="Cambria" w:hAnsi="Cambria"/>
          <w:color w:val="000000" w:themeColor="text1"/>
          <w:spacing w:val="-2"/>
          <w:sz w:val="20"/>
          <w:szCs w:val="20"/>
          <w:lang w:val="es-US"/>
        </w:rPr>
        <w:t>.</w:t>
      </w:r>
      <w:r w:rsidR="00FA1CD1" w:rsidRPr="00957702">
        <w:rPr>
          <w:rStyle w:val="FootnoteReference"/>
          <w:rFonts w:ascii="Cambria" w:hAnsi="Cambria"/>
          <w:color w:val="000000" w:themeColor="text1"/>
          <w:spacing w:val="-2"/>
          <w:sz w:val="20"/>
          <w:szCs w:val="20"/>
        </w:rPr>
        <w:footnoteReference w:id="8"/>
      </w:r>
      <w:r w:rsidR="001C34AC" w:rsidRPr="00957702">
        <w:rPr>
          <w:rFonts w:ascii="Cambria" w:hAnsi="Cambria"/>
          <w:color w:val="000000" w:themeColor="text1"/>
          <w:spacing w:val="-2"/>
          <w:sz w:val="20"/>
          <w:szCs w:val="20"/>
          <w:lang w:val="es-US"/>
        </w:rPr>
        <w:t xml:space="preserve"> </w:t>
      </w:r>
      <w:r w:rsidR="00957702" w:rsidRPr="00957702">
        <w:rPr>
          <w:rFonts w:ascii="Cambria" w:hAnsi="Cambria"/>
          <w:color w:val="000000" w:themeColor="text1"/>
          <w:spacing w:val="-2"/>
          <w:sz w:val="20"/>
          <w:szCs w:val="20"/>
          <w:lang w:val="es-US"/>
        </w:rPr>
        <w:t>En particular, entre 2005 y 2010</w:t>
      </w:r>
      <w:r w:rsidR="00AA0E62" w:rsidRPr="00957702">
        <w:rPr>
          <w:rFonts w:ascii="Cambria" w:hAnsi="Cambria"/>
          <w:color w:val="000000" w:themeColor="text1"/>
          <w:spacing w:val="-2"/>
          <w:sz w:val="20"/>
          <w:szCs w:val="20"/>
          <w:lang w:val="es-US"/>
        </w:rPr>
        <w:t xml:space="preserve">, el Estado </w:t>
      </w:r>
      <w:r w:rsidR="00371FE6">
        <w:rPr>
          <w:rFonts w:ascii="Cambria" w:hAnsi="Cambria"/>
          <w:color w:val="000000" w:themeColor="text1"/>
          <w:spacing w:val="-2"/>
          <w:sz w:val="20"/>
          <w:szCs w:val="20"/>
          <w:lang w:val="es-US"/>
        </w:rPr>
        <w:t>ha llevado</w:t>
      </w:r>
      <w:r w:rsidR="00957702" w:rsidRPr="00957702">
        <w:rPr>
          <w:rFonts w:ascii="Cambria" w:hAnsi="Cambria"/>
          <w:color w:val="000000" w:themeColor="text1"/>
          <w:spacing w:val="-2"/>
          <w:sz w:val="20"/>
          <w:szCs w:val="20"/>
          <w:lang w:val="es-US"/>
        </w:rPr>
        <w:t xml:space="preserve"> a cabo</w:t>
      </w:r>
      <w:r w:rsidR="00AA0E62" w:rsidRPr="00957702">
        <w:rPr>
          <w:rFonts w:ascii="Cambria" w:hAnsi="Cambria"/>
          <w:color w:val="000000" w:themeColor="text1"/>
          <w:spacing w:val="-2"/>
          <w:sz w:val="20"/>
          <w:szCs w:val="20"/>
          <w:lang w:val="es-US"/>
        </w:rPr>
        <w:t xml:space="preserve"> más</w:t>
      </w:r>
      <w:r w:rsidR="00957702" w:rsidRPr="00957702">
        <w:rPr>
          <w:rFonts w:ascii="Cambria" w:hAnsi="Cambria"/>
          <w:color w:val="000000" w:themeColor="text1"/>
          <w:spacing w:val="-2"/>
          <w:sz w:val="20"/>
          <w:szCs w:val="20"/>
          <w:lang w:val="es-US"/>
        </w:rPr>
        <w:t xml:space="preserve"> de 200 sesiones de capacitación sobre la notificación </w:t>
      </w:r>
      <w:r w:rsidR="00371FE6">
        <w:rPr>
          <w:rFonts w:ascii="Cambria" w:hAnsi="Cambria"/>
          <w:color w:val="000000" w:themeColor="text1"/>
          <w:spacing w:val="-2"/>
          <w:sz w:val="20"/>
          <w:szCs w:val="20"/>
          <w:lang w:val="es-US"/>
        </w:rPr>
        <w:t xml:space="preserve">y </w:t>
      </w:r>
      <w:r w:rsidR="00371FE6" w:rsidRPr="00957702">
        <w:rPr>
          <w:rFonts w:ascii="Cambria" w:hAnsi="Cambria"/>
          <w:color w:val="000000" w:themeColor="text1"/>
          <w:spacing w:val="-2"/>
          <w:sz w:val="20"/>
          <w:szCs w:val="20"/>
          <w:lang w:val="es-US"/>
        </w:rPr>
        <w:t xml:space="preserve">acceso </w:t>
      </w:r>
      <w:r w:rsidR="00371FE6">
        <w:rPr>
          <w:rFonts w:ascii="Cambria" w:hAnsi="Cambria"/>
          <w:color w:val="000000" w:themeColor="text1"/>
          <w:spacing w:val="-2"/>
          <w:sz w:val="20"/>
          <w:szCs w:val="20"/>
          <w:lang w:val="es-US"/>
        </w:rPr>
        <w:t>consular</w:t>
      </w:r>
      <w:r w:rsidR="00957702" w:rsidRPr="00957702">
        <w:rPr>
          <w:rFonts w:ascii="Cambria" w:hAnsi="Cambria"/>
          <w:color w:val="000000" w:themeColor="text1"/>
          <w:spacing w:val="-2"/>
          <w:sz w:val="20"/>
          <w:szCs w:val="20"/>
          <w:lang w:val="es-US"/>
        </w:rPr>
        <w:t xml:space="preserve"> a la policía federal, estatal y local y a los estudiantes de policía, así como a los funcionarios consulares que prestan servicios en los consulados extranjeros en los Estados Unidos. El Departamento de Estado también ofreció sesiones informativas a otras entidades, como los Departamentos de Justicia y Seguridad Nacional de los Estados Unidos y los colegios de abogados estatales, en las que se explicaron los esfuerzos del Departamento para concienciar y aumentar el cumplimiento de las obligaciones de notificación y acceso consulares. </w:t>
      </w:r>
      <w:r w:rsidR="00957702" w:rsidRPr="00957702">
        <w:rPr>
          <w:rFonts w:ascii="Cambria" w:hAnsi="Cambria"/>
          <w:color w:val="000000" w:themeColor="text1"/>
          <w:sz w:val="20"/>
          <w:szCs w:val="20"/>
          <w:lang w:val="es-ES"/>
        </w:rPr>
        <w:t>El Estado informó que todas estas acciones están dirigidas a crear conciencia sobre la importancia de incrementar el cumplimiento de las obligaciones de notificación y acceso consulares, y sobre los mecanismos para que las supuestas violaciones a las mis</w:t>
      </w:r>
      <w:r w:rsidR="00D52D18">
        <w:rPr>
          <w:rFonts w:ascii="Cambria" w:hAnsi="Cambria"/>
          <w:color w:val="000000" w:themeColor="text1"/>
          <w:sz w:val="20"/>
          <w:szCs w:val="20"/>
          <w:lang w:val="es-ES"/>
        </w:rPr>
        <w:t>mas sean remediadas o resueltas</w:t>
      </w:r>
      <w:r w:rsidR="00957702" w:rsidRPr="00957702">
        <w:rPr>
          <w:rStyle w:val="FootnoteReference"/>
          <w:rFonts w:ascii="Cambria" w:hAnsi="Cambria"/>
          <w:color w:val="000000" w:themeColor="text1"/>
          <w:sz w:val="20"/>
          <w:szCs w:val="20"/>
        </w:rPr>
        <w:footnoteReference w:id="9"/>
      </w:r>
      <w:r w:rsidR="00D52D18" w:rsidRPr="00D52D18">
        <w:rPr>
          <w:rFonts w:ascii="Cambria" w:hAnsi="Cambria"/>
          <w:color w:val="000000" w:themeColor="text1"/>
          <w:sz w:val="20"/>
          <w:szCs w:val="20"/>
          <w:lang w:val="es-US"/>
        </w:rPr>
        <w:t>.</w:t>
      </w:r>
    </w:p>
    <w:p w14:paraId="1834C2CF" w14:textId="77777777" w:rsidR="000169F7" w:rsidRPr="00957702" w:rsidRDefault="000169F7" w:rsidP="000169F7">
      <w:pPr>
        <w:pStyle w:val="ListParagraph"/>
        <w:spacing w:after="0" w:line="240" w:lineRule="auto"/>
        <w:jc w:val="both"/>
        <w:rPr>
          <w:rFonts w:ascii="Cambria" w:hAnsi="Cambria"/>
          <w:color w:val="000000" w:themeColor="text1"/>
          <w:sz w:val="20"/>
          <w:szCs w:val="20"/>
          <w:lang w:val="es-US"/>
        </w:rPr>
      </w:pPr>
    </w:p>
    <w:p w14:paraId="42740039" w14:textId="68E50B70" w:rsidR="00366EC2" w:rsidRPr="00124918" w:rsidRDefault="00340A4F" w:rsidP="00124918">
      <w:pPr>
        <w:pStyle w:val="ListParagraph"/>
        <w:numPr>
          <w:ilvl w:val="0"/>
          <w:numId w:val="14"/>
        </w:numPr>
        <w:spacing w:after="0" w:line="240" w:lineRule="auto"/>
        <w:jc w:val="both"/>
        <w:rPr>
          <w:rFonts w:ascii="Cambria" w:hAnsi="Cambria"/>
          <w:color w:val="000000" w:themeColor="text1"/>
          <w:sz w:val="20"/>
          <w:szCs w:val="20"/>
          <w:lang w:val="es-US"/>
        </w:rPr>
      </w:pPr>
      <w:r w:rsidRPr="00340A4F">
        <w:rPr>
          <w:rFonts w:ascii="Cambria" w:hAnsi="Cambria" w:cs="Calibri Light"/>
          <w:color w:val="000000" w:themeColor="text1"/>
          <w:sz w:val="20"/>
          <w:szCs w:val="20"/>
          <w:lang w:val="es-US"/>
        </w:rPr>
        <w:t xml:space="preserve">En 2018, los peticionarios informaron que no hay información pública disponible que indique que los Estados Unidos, o las autoridades de cualquiera de sus estados, hayan emprendido una </w:t>
      </w:r>
      <w:r>
        <w:rPr>
          <w:rFonts w:ascii="Cambria" w:hAnsi="Cambria" w:cs="Calibri Light"/>
          <w:color w:val="000000" w:themeColor="text1"/>
          <w:sz w:val="20"/>
          <w:szCs w:val="20"/>
          <w:lang w:val="es-US"/>
        </w:rPr>
        <w:t>revisió</w:t>
      </w:r>
      <w:r w:rsidRPr="00340A4F">
        <w:rPr>
          <w:rFonts w:ascii="Cambria" w:hAnsi="Cambria" w:cs="Calibri Light"/>
          <w:color w:val="000000" w:themeColor="text1"/>
          <w:sz w:val="20"/>
          <w:szCs w:val="20"/>
          <w:lang w:val="es-US"/>
        </w:rPr>
        <w:t>n de las leyes,</w:t>
      </w:r>
      <w:r>
        <w:rPr>
          <w:rFonts w:ascii="Cambria" w:hAnsi="Cambria" w:cs="Calibri Light"/>
          <w:color w:val="000000" w:themeColor="text1"/>
          <w:sz w:val="20"/>
          <w:szCs w:val="20"/>
          <w:lang w:val="es-US"/>
        </w:rPr>
        <w:t xml:space="preserve"> procedimientos o prácticas para asegurar que los extranjeros arrestados en Estados Unidos estén informados sobre la asistencia consular. </w:t>
      </w:r>
      <w:r w:rsidRPr="00340A4F">
        <w:rPr>
          <w:rFonts w:ascii="Cambria" w:hAnsi="Cambria" w:cs="Calibri Light"/>
          <w:color w:val="000000" w:themeColor="text1"/>
          <w:sz w:val="20"/>
          <w:szCs w:val="20"/>
          <w:lang w:val="es-US"/>
        </w:rPr>
        <w:t xml:space="preserve"> </w:t>
      </w:r>
      <w:r>
        <w:rPr>
          <w:rFonts w:ascii="Cambria" w:hAnsi="Cambria" w:cs="Calibri Light"/>
          <w:color w:val="000000" w:themeColor="text1"/>
          <w:sz w:val="20"/>
          <w:szCs w:val="20"/>
          <w:lang w:val="es-US"/>
        </w:rPr>
        <w:t xml:space="preserve">Además, los peticionarios indicaron que las cortes federales y estatales en Estados Unidos niegan sistemáticamente la reparación por violaciones del acceso consular. </w:t>
      </w:r>
      <w:r w:rsidR="00371FE6">
        <w:rPr>
          <w:rFonts w:ascii="Cambria" w:hAnsi="Cambria" w:cs="Calibri Light"/>
          <w:color w:val="000000" w:themeColor="text1"/>
          <w:sz w:val="20"/>
          <w:szCs w:val="20"/>
          <w:lang w:val="es-US"/>
        </w:rPr>
        <w:t>Los peticionarios r</w:t>
      </w:r>
      <w:r>
        <w:rPr>
          <w:rFonts w:ascii="Cambria" w:hAnsi="Cambria" w:cs="Calibri Light"/>
          <w:color w:val="000000" w:themeColor="text1"/>
          <w:sz w:val="20"/>
          <w:szCs w:val="20"/>
          <w:lang w:val="es-US"/>
        </w:rPr>
        <w:t>ealizaron un análisis de casos judiciales entre el 15 de octubre de 2016 y septiembre de 2018 en los cuales un extranjero no fue informado en el momento de la detención</w:t>
      </w:r>
      <w:r w:rsidR="003C0646">
        <w:rPr>
          <w:rFonts w:ascii="Cambria" w:hAnsi="Cambria" w:cs="Calibri Light"/>
          <w:color w:val="000000" w:themeColor="text1"/>
          <w:sz w:val="20"/>
          <w:szCs w:val="20"/>
          <w:lang w:val="es-US"/>
        </w:rPr>
        <w:t xml:space="preserve"> sobre el acceso consular y en que solicitó un recurso judicial por esa violación (un total de 18 casos</w:t>
      </w:r>
      <w:r w:rsidR="00D52D18">
        <w:rPr>
          <w:rFonts w:ascii="Cambria" w:hAnsi="Cambria" w:cs="Calibri Light"/>
          <w:color w:val="000000" w:themeColor="text1"/>
          <w:sz w:val="20"/>
          <w:szCs w:val="20"/>
          <w:lang w:val="es-US"/>
        </w:rPr>
        <w:t>)</w:t>
      </w:r>
      <w:r w:rsidR="007B080D" w:rsidRPr="00E16D3D">
        <w:rPr>
          <w:rStyle w:val="FootnoteReference"/>
          <w:rFonts w:ascii="Cambria" w:hAnsi="Cambria" w:cs="Calibri Light"/>
          <w:color w:val="000000" w:themeColor="text1"/>
          <w:sz w:val="20"/>
          <w:szCs w:val="20"/>
        </w:rPr>
        <w:footnoteReference w:id="10"/>
      </w:r>
      <w:r w:rsidR="00D52D18" w:rsidRPr="00D52D18">
        <w:rPr>
          <w:rFonts w:ascii="Cambria" w:hAnsi="Cambria" w:cs="Calibri Light"/>
          <w:color w:val="000000" w:themeColor="text1"/>
          <w:sz w:val="20"/>
          <w:szCs w:val="20"/>
          <w:lang w:val="es-US"/>
        </w:rPr>
        <w:t>.</w:t>
      </w:r>
      <w:r w:rsidR="00256704" w:rsidRPr="003C0646">
        <w:rPr>
          <w:rFonts w:ascii="Cambria" w:hAnsi="Cambria" w:cs="Calibri Light"/>
          <w:color w:val="000000" w:themeColor="text1"/>
          <w:sz w:val="20"/>
          <w:szCs w:val="20"/>
          <w:lang w:val="es-US"/>
        </w:rPr>
        <w:t xml:space="preserve"> </w:t>
      </w:r>
      <w:r w:rsidR="003C0646">
        <w:rPr>
          <w:rFonts w:ascii="Cambria" w:hAnsi="Cambria" w:cs="Calibri Light"/>
          <w:color w:val="000000" w:themeColor="text1"/>
          <w:sz w:val="20"/>
          <w:szCs w:val="20"/>
          <w:lang w:val="es-US"/>
        </w:rPr>
        <w:t xml:space="preserve">Expresaron que no se encontró ningún </w:t>
      </w:r>
      <w:r w:rsidR="003C0646">
        <w:rPr>
          <w:rFonts w:ascii="Cambria" w:hAnsi="Cambria" w:cs="Calibri Light"/>
          <w:color w:val="000000" w:themeColor="text1"/>
          <w:sz w:val="20"/>
          <w:szCs w:val="20"/>
          <w:lang w:val="es-US"/>
        </w:rPr>
        <w:lastRenderedPageBreak/>
        <w:t xml:space="preserve">caso durante el período de tiempo indicado, en el que un extranjero reclamara un recurso judicial por no haber informado las autoridades sobre el acceso consular y en el que se hubiera concedido dicho recurso. </w:t>
      </w:r>
      <w:r w:rsidR="00A74C2D">
        <w:rPr>
          <w:rFonts w:ascii="Cambria" w:hAnsi="Cambria" w:cs="Calibri Light"/>
          <w:color w:val="000000" w:themeColor="text1"/>
          <w:sz w:val="20"/>
          <w:szCs w:val="20"/>
          <w:lang w:val="es-US"/>
        </w:rPr>
        <w:t xml:space="preserve">Además, indicaron que la posición del Departamento de Estado y del Departamento de Justicia es que no se requiere ninguna reparación judicial por una violación del acceso consular. </w:t>
      </w:r>
      <w:r w:rsidR="004D1600">
        <w:rPr>
          <w:rFonts w:ascii="Cambria" w:hAnsi="Cambria" w:cs="Calibri Light"/>
          <w:color w:val="000000" w:themeColor="text1"/>
          <w:sz w:val="20"/>
          <w:szCs w:val="20"/>
          <w:lang w:val="es-US"/>
        </w:rPr>
        <w:t xml:space="preserve">Los peticionarios informaron que la constante incapacidad de las cortes de proporcionar un recurso permite a las autoridades eludir las obligaciones de acceso consular sin </w:t>
      </w:r>
      <w:r w:rsidR="00371FE6">
        <w:rPr>
          <w:rFonts w:ascii="Cambria" w:hAnsi="Cambria" w:cs="Calibri Light"/>
          <w:color w:val="000000" w:themeColor="text1"/>
          <w:sz w:val="20"/>
          <w:szCs w:val="20"/>
          <w:lang w:val="es-US"/>
        </w:rPr>
        <w:t xml:space="preserve">la </w:t>
      </w:r>
      <w:r w:rsidR="004D1600">
        <w:rPr>
          <w:rFonts w:ascii="Cambria" w:hAnsi="Cambria" w:cs="Calibri Light"/>
          <w:color w:val="000000" w:themeColor="text1"/>
          <w:sz w:val="20"/>
          <w:szCs w:val="20"/>
          <w:lang w:val="es-US"/>
        </w:rPr>
        <w:t>preocupación</w:t>
      </w:r>
      <w:r w:rsidR="00371FE6">
        <w:rPr>
          <w:rFonts w:ascii="Cambria" w:hAnsi="Cambria" w:cs="Calibri Light"/>
          <w:color w:val="000000" w:themeColor="text1"/>
          <w:sz w:val="20"/>
          <w:szCs w:val="20"/>
          <w:lang w:val="es-US"/>
        </w:rPr>
        <w:t xml:space="preserve"> de</w:t>
      </w:r>
      <w:r w:rsidR="004D1600">
        <w:rPr>
          <w:rFonts w:ascii="Cambria" w:hAnsi="Cambria" w:cs="Calibri Light"/>
          <w:color w:val="000000" w:themeColor="text1"/>
          <w:sz w:val="20"/>
          <w:szCs w:val="20"/>
          <w:lang w:val="es-US"/>
        </w:rPr>
        <w:t xml:space="preserve"> que pueden poner en peligro el proceso penal de un nacional extranjero. Los peticionarios habían informado previamente que el manual de Notificación Consular del Estado no se compromete a respon</w:t>
      </w:r>
      <w:r w:rsidR="00124918">
        <w:rPr>
          <w:rFonts w:ascii="Cambria" w:hAnsi="Cambria" w:cs="Calibri Light"/>
          <w:color w:val="000000" w:themeColor="text1"/>
          <w:sz w:val="20"/>
          <w:szCs w:val="20"/>
          <w:lang w:val="es-US"/>
        </w:rPr>
        <w:t>sabilizar a las autoridades locales para asegurar la reparación de los extranjeros cuyos derechos de acceso consular han sido violados</w:t>
      </w:r>
      <w:r w:rsidR="00C878E7" w:rsidRPr="00E16D3D">
        <w:rPr>
          <w:rStyle w:val="FootnoteReference"/>
          <w:rFonts w:ascii="Cambria" w:hAnsi="Cambria"/>
          <w:color w:val="000000" w:themeColor="text1"/>
          <w:sz w:val="20"/>
          <w:szCs w:val="20"/>
        </w:rPr>
        <w:footnoteReference w:id="11"/>
      </w:r>
      <w:r w:rsidR="00D52D18" w:rsidRPr="00D52D18">
        <w:rPr>
          <w:rFonts w:ascii="Cambria" w:hAnsi="Cambria" w:cs="Calibri Light"/>
          <w:color w:val="000000" w:themeColor="text1"/>
          <w:sz w:val="20"/>
          <w:szCs w:val="20"/>
          <w:lang w:val="es-US"/>
        </w:rPr>
        <w:t>.</w:t>
      </w:r>
    </w:p>
    <w:p w14:paraId="6F0149F8" w14:textId="77777777" w:rsidR="00366EC2" w:rsidRPr="000C2D9A" w:rsidRDefault="00366EC2" w:rsidP="00366EC2">
      <w:pPr>
        <w:pStyle w:val="ListParagraph"/>
        <w:spacing w:after="0" w:line="240" w:lineRule="auto"/>
        <w:jc w:val="both"/>
        <w:rPr>
          <w:rFonts w:ascii="Cambria" w:hAnsi="Cambria"/>
          <w:color w:val="000000" w:themeColor="text1"/>
          <w:sz w:val="20"/>
          <w:szCs w:val="20"/>
          <w:lang w:val="es-US"/>
        </w:rPr>
      </w:pPr>
    </w:p>
    <w:p w14:paraId="233DF799" w14:textId="7BECAE21" w:rsidR="006F023E" w:rsidRDefault="006C3865" w:rsidP="006C3865">
      <w:pPr>
        <w:pStyle w:val="ListParagraph"/>
        <w:numPr>
          <w:ilvl w:val="0"/>
          <w:numId w:val="14"/>
        </w:numPr>
        <w:spacing w:after="0" w:line="240" w:lineRule="auto"/>
        <w:jc w:val="both"/>
        <w:rPr>
          <w:rFonts w:ascii="Cambria" w:hAnsi="Cambria"/>
          <w:color w:val="000000" w:themeColor="text1"/>
          <w:sz w:val="20"/>
          <w:szCs w:val="20"/>
          <w:lang w:val="es-US"/>
        </w:rPr>
      </w:pPr>
      <w:r w:rsidRPr="006C3865">
        <w:rPr>
          <w:rFonts w:ascii="Cambria" w:hAnsi="Cambria"/>
          <w:color w:val="000000" w:themeColor="text1"/>
          <w:sz w:val="20"/>
          <w:szCs w:val="20"/>
          <w:lang w:val="es-US"/>
        </w:rPr>
        <w:t xml:space="preserve">La Comisión valora el </w:t>
      </w:r>
      <w:r>
        <w:rPr>
          <w:rFonts w:ascii="Cambria" w:hAnsi="Cambria"/>
          <w:color w:val="000000" w:themeColor="text1"/>
          <w:sz w:val="20"/>
          <w:szCs w:val="20"/>
          <w:lang w:val="es-US"/>
        </w:rPr>
        <w:t>compromiso</w:t>
      </w:r>
      <w:r w:rsidRPr="006C3865">
        <w:rPr>
          <w:rFonts w:ascii="Cambria" w:hAnsi="Cambria"/>
          <w:color w:val="000000" w:themeColor="text1"/>
          <w:sz w:val="20"/>
          <w:szCs w:val="20"/>
          <w:lang w:val="es-US"/>
        </w:rPr>
        <w:t xml:space="preserve"> del Estado en cumplir las obliga</w:t>
      </w:r>
      <w:r>
        <w:rPr>
          <w:rFonts w:ascii="Cambria" w:hAnsi="Cambria"/>
          <w:color w:val="000000" w:themeColor="text1"/>
          <w:sz w:val="20"/>
          <w:szCs w:val="20"/>
          <w:lang w:val="es-US"/>
        </w:rPr>
        <w:t>c</w:t>
      </w:r>
      <w:r w:rsidRPr="006C3865">
        <w:rPr>
          <w:rFonts w:ascii="Cambria" w:hAnsi="Cambria"/>
          <w:color w:val="000000" w:themeColor="text1"/>
          <w:sz w:val="20"/>
          <w:szCs w:val="20"/>
          <w:lang w:val="es-US"/>
        </w:rPr>
        <w:t>iones asumidas en el marco de la Convenci</w:t>
      </w:r>
      <w:r>
        <w:rPr>
          <w:rFonts w:ascii="Cambria" w:hAnsi="Cambria"/>
          <w:color w:val="000000" w:themeColor="text1"/>
          <w:sz w:val="20"/>
          <w:szCs w:val="20"/>
          <w:lang w:val="es-US"/>
        </w:rPr>
        <w:t xml:space="preserve">ón de Viena sobre Relaciones Consulares, y toma nota de las acciones adoptadas para asegurar que sus agentes </w:t>
      </w:r>
      <w:r w:rsidR="00371FE6">
        <w:rPr>
          <w:rFonts w:ascii="Cambria" w:hAnsi="Cambria"/>
          <w:color w:val="000000" w:themeColor="text1"/>
          <w:sz w:val="20"/>
          <w:szCs w:val="20"/>
          <w:lang w:val="es-US"/>
        </w:rPr>
        <w:t>actúen</w:t>
      </w:r>
      <w:r>
        <w:rPr>
          <w:rFonts w:ascii="Cambria" w:hAnsi="Cambria"/>
          <w:color w:val="000000" w:themeColor="text1"/>
          <w:sz w:val="20"/>
          <w:szCs w:val="20"/>
          <w:lang w:val="es-US"/>
        </w:rPr>
        <w:t xml:space="preserve"> de conformidad con la Convención incluyendo que los extranjeros detenidos sean informados con prontitud de sus derechos a un acceso consular. Al mismo tiempo, la CIDH observa con preocupación la información proporcionada por los peticionarios </w:t>
      </w:r>
      <w:r w:rsidR="006F023E">
        <w:rPr>
          <w:rFonts w:ascii="Cambria" w:hAnsi="Cambria"/>
          <w:color w:val="000000" w:themeColor="text1"/>
          <w:sz w:val="20"/>
          <w:szCs w:val="20"/>
          <w:lang w:val="es-US"/>
        </w:rPr>
        <w:t>mencionando</w:t>
      </w:r>
      <w:r>
        <w:rPr>
          <w:rFonts w:ascii="Cambria" w:hAnsi="Cambria"/>
          <w:color w:val="000000" w:themeColor="text1"/>
          <w:sz w:val="20"/>
          <w:szCs w:val="20"/>
          <w:lang w:val="es-US"/>
        </w:rPr>
        <w:t xml:space="preserve"> la falta de información pública sobre </w:t>
      </w:r>
      <w:r w:rsidR="00B34CFE">
        <w:rPr>
          <w:rFonts w:ascii="Cambria" w:hAnsi="Cambria"/>
          <w:color w:val="000000" w:themeColor="text1"/>
          <w:sz w:val="20"/>
          <w:szCs w:val="20"/>
          <w:lang w:val="es-US"/>
        </w:rPr>
        <w:t>el</w:t>
      </w:r>
      <w:r>
        <w:rPr>
          <w:rFonts w:ascii="Cambria" w:hAnsi="Cambria"/>
          <w:color w:val="000000" w:themeColor="text1"/>
          <w:sz w:val="20"/>
          <w:szCs w:val="20"/>
          <w:lang w:val="es-US"/>
        </w:rPr>
        <w:t xml:space="preserve"> compromiso del Estado a </w:t>
      </w:r>
      <w:r w:rsidR="006F023E">
        <w:rPr>
          <w:rFonts w:ascii="Cambria" w:hAnsi="Cambria"/>
          <w:color w:val="000000" w:themeColor="text1"/>
          <w:sz w:val="20"/>
          <w:szCs w:val="20"/>
          <w:lang w:val="es-US"/>
        </w:rPr>
        <w:t xml:space="preserve">examinar </w:t>
      </w:r>
      <w:r>
        <w:rPr>
          <w:rFonts w:ascii="Cambria" w:hAnsi="Cambria"/>
          <w:color w:val="000000" w:themeColor="text1"/>
          <w:sz w:val="20"/>
          <w:szCs w:val="20"/>
          <w:lang w:val="es-US"/>
        </w:rPr>
        <w:t xml:space="preserve">sus leyes, procedimientos o prácticas para </w:t>
      </w:r>
      <w:r w:rsidR="006F023E">
        <w:rPr>
          <w:rFonts w:ascii="Cambria" w:hAnsi="Cambria"/>
          <w:color w:val="000000" w:themeColor="text1"/>
          <w:sz w:val="20"/>
          <w:szCs w:val="20"/>
          <w:lang w:val="es-US"/>
        </w:rPr>
        <w:t>garantizar</w:t>
      </w:r>
      <w:r>
        <w:rPr>
          <w:rFonts w:ascii="Cambria" w:hAnsi="Cambria"/>
          <w:color w:val="000000" w:themeColor="text1"/>
          <w:sz w:val="20"/>
          <w:szCs w:val="20"/>
          <w:lang w:val="es-US"/>
        </w:rPr>
        <w:t xml:space="preserve"> que los extranjeros detenidos en Estados Unidos </w:t>
      </w:r>
      <w:r w:rsidR="00B34CFE">
        <w:rPr>
          <w:rFonts w:ascii="Cambria" w:hAnsi="Cambria"/>
          <w:color w:val="000000" w:themeColor="text1"/>
          <w:sz w:val="20"/>
          <w:szCs w:val="20"/>
          <w:lang w:val="es-US"/>
        </w:rPr>
        <w:t>sean</w:t>
      </w:r>
      <w:r>
        <w:rPr>
          <w:rFonts w:ascii="Cambria" w:hAnsi="Cambria"/>
          <w:color w:val="000000" w:themeColor="text1"/>
          <w:sz w:val="20"/>
          <w:szCs w:val="20"/>
          <w:lang w:val="es-US"/>
        </w:rPr>
        <w:t xml:space="preserve"> informados </w:t>
      </w:r>
      <w:r w:rsidR="006F023E">
        <w:rPr>
          <w:rFonts w:ascii="Cambria" w:hAnsi="Cambria"/>
          <w:color w:val="000000" w:themeColor="text1"/>
          <w:sz w:val="20"/>
          <w:szCs w:val="20"/>
          <w:lang w:val="es-US"/>
        </w:rPr>
        <w:t xml:space="preserve">de la asistencia consular y </w:t>
      </w:r>
      <w:r w:rsidR="00B34CFE">
        <w:rPr>
          <w:rFonts w:ascii="Cambria" w:hAnsi="Cambria"/>
          <w:color w:val="000000" w:themeColor="text1"/>
          <w:sz w:val="20"/>
          <w:szCs w:val="20"/>
          <w:lang w:val="es-US"/>
        </w:rPr>
        <w:t xml:space="preserve">también respecto </w:t>
      </w:r>
      <w:r w:rsidR="006F023E">
        <w:rPr>
          <w:rFonts w:ascii="Cambria" w:hAnsi="Cambria"/>
          <w:color w:val="000000" w:themeColor="text1"/>
          <w:sz w:val="20"/>
          <w:szCs w:val="20"/>
          <w:lang w:val="es-US"/>
        </w:rPr>
        <w:t xml:space="preserve">que los tribunales del país denieguen sistemáticamente la reparación de las violaciones del acceso consular. Por lo anterior, la Comisión considera la Recomendación 2 </w:t>
      </w:r>
      <w:r w:rsidR="00B34CFE">
        <w:rPr>
          <w:rFonts w:ascii="Cambria" w:hAnsi="Cambria"/>
          <w:color w:val="000000" w:themeColor="text1"/>
          <w:sz w:val="20"/>
          <w:szCs w:val="20"/>
          <w:lang w:val="es-US"/>
        </w:rPr>
        <w:t xml:space="preserve">está </w:t>
      </w:r>
      <w:r w:rsidR="006F023E">
        <w:rPr>
          <w:rFonts w:ascii="Cambria" w:hAnsi="Cambria"/>
          <w:color w:val="000000" w:themeColor="text1"/>
          <w:sz w:val="20"/>
          <w:szCs w:val="20"/>
          <w:lang w:val="es-US"/>
        </w:rPr>
        <w:t xml:space="preserve">parcialmente cumplida. </w:t>
      </w:r>
    </w:p>
    <w:p w14:paraId="568EB5EE" w14:textId="6415BECD" w:rsidR="0095427B" w:rsidRPr="006F023E" w:rsidRDefault="006C3865" w:rsidP="006F023E">
      <w:pPr>
        <w:spacing w:after="0" w:line="240" w:lineRule="auto"/>
        <w:jc w:val="both"/>
        <w:rPr>
          <w:rFonts w:ascii="Cambria" w:hAnsi="Cambria"/>
          <w:color w:val="000000" w:themeColor="text1"/>
          <w:sz w:val="20"/>
          <w:szCs w:val="20"/>
          <w:lang w:val="es-US"/>
        </w:rPr>
      </w:pPr>
      <w:r w:rsidRPr="006F023E">
        <w:rPr>
          <w:rFonts w:ascii="Cambria" w:hAnsi="Cambria"/>
          <w:color w:val="000000" w:themeColor="text1"/>
          <w:sz w:val="20"/>
          <w:szCs w:val="20"/>
          <w:lang w:val="es-US"/>
        </w:rPr>
        <w:t xml:space="preserve"> </w:t>
      </w:r>
    </w:p>
    <w:p w14:paraId="3BE65DF4" w14:textId="58EDA455" w:rsidR="00441607" w:rsidRPr="00E16D3D" w:rsidRDefault="006F023E" w:rsidP="006F023E">
      <w:pPr>
        <w:pStyle w:val="ListParagraph"/>
        <w:numPr>
          <w:ilvl w:val="0"/>
          <w:numId w:val="1"/>
        </w:numPr>
        <w:spacing w:after="0" w:line="240" w:lineRule="auto"/>
        <w:ind w:left="1440"/>
        <w:jc w:val="both"/>
        <w:rPr>
          <w:rFonts w:ascii="Cambria" w:hAnsi="Cambria" w:cs="Calibri Light"/>
          <w:b/>
          <w:color w:val="000000" w:themeColor="text1"/>
          <w:sz w:val="20"/>
          <w:szCs w:val="20"/>
        </w:rPr>
      </w:pPr>
      <w:proofErr w:type="spellStart"/>
      <w:r>
        <w:rPr>
          <w:rFonts w:ascii="Cambria" w:hAnsi="Cambria" w:cs="Calibri Light"/>
          <w:b/>
          <w:color w:val="000000" w:themeColor="text1"/>
          <w:sz w:val="20"/>
          <w:szCs w:val="20"/>
        </w:rPr>
        <w:t>Nivel</w:t>
      </w:r>
      <w:proofErr w:type="spellEnd"/>
      <w:r>
        <w:rPr>
          <w:rFonts w:ascii="Cambria" w:hAnsi="Cambria" w:cs="Calibri Light"/>
          <w:b/>
          <w:color w:val="000000" w:themeColor="text1"/>
          <w:sz w:val="20"/>
          <w:szCs w:val="20"/>
        </w:rPr>
        <w:t xml:space="preserve"> del </w:t>
      </w:r>
      <w:proofErr w:type="spellStart"/>
      <w:r>
        <w:rPr>
          <w:rFonts w:ascii="Cambria" w:hAnsi="Cambria" w:cs="Calibri Light"/>
          <w:b/>
          <w:color w:val="000000" w:themeColor="text1"/>
          <w:sz w:val="20"/>
          <w:szCs w:val="20"/>
        </w:rPr>
        <w:t>cumplimiento</w:t>
      </w:r>
      <w:proofErr w:type="spellEnd"/>
      <w:r>
        <w:rPr>
          <w:rFonts w:ascii="Cambria" w:hAnsi="Cambria" w:cs="Calibri Light"/>
          <w:b/>
          <w:color w:val="000000" w:themeColor="text1"/>
          <w:sz w:val="20"/>
          <w:szCs w:val="20"/>
        </w:rPr>
        <w:t xml:space="preserve"> del </w:t>
      </w:r>
      <w:proofErr w:type="spellStart"/>
      <w:r>
        <w:rPr>
          <w:rFonts w:ascii="Cambria" w:hAnsi="Cambria" w:cs="Calibri Light"/>
          <w:b/>
          <w:color w:val="000000" w:themeColor="text1"/>
          <w:sz w:val="20"/>
          <w:szCs w:val="20"/>
        </w:rPr>
        <w:t>caso</w:t>
      </w:r>
      <w:proofErr w:type="spellEnd"/>
    </w:p>
    <w:p w14:paraId="0FAF2219" w14:textId="77777777" w:rsidR="00441607" w:rsidRPr="00E16D3D" w:rsidRDefault="00441607" w:rsidP="00441607">
      <w:pPr>
        <w:spacing w:after="0" w:line="240" w:lineRule="auto"/>
        <w:jc w:val="both"/>
        <w:rPr>
          <w:rFonts w:ascii="Cambria" w:hAnsi="Cambria" w:cs="Calibri Light"/>
          <w:color w:val="000000" w:themeColor="text1"/>
          <w:sz w:val="20"/>
          <w:szCs w:val="20"/>
        </w:rPr>
      </w:pPr>
    </w:p>
    <w:p w14:paraId="7EE1DFB6" w14:textId="05A235EE" w:rsidR="006F023E" w:rsidRPr="00C6608C" w:rsidRDefault="006F023E" w:rsidP="006F023E">
      <w:pPr>
        <w:pStyle w:val="ListParagraph"/>
        <w:numPr>
          <w:ilvl w:val="0"/>
          <w:numId w:val="14"/>
        </w:numPr>
        <w:spacing w:after="0" w:line="240" w:lineRule="auto"/>
        <w:jc w:val="both"/>
        <w:rPr>
          <w:rFonts w:ascii="Cambria" w:hAnsi="Cambria" w:cs="Calibri Light"/>
          <w:color w:val="000000" w:themeColor="text1"/>
          <w:sz w:val="20"/>
          <w:szCs w:val="20"/>
          <w:lang w:val="es-CO"/>
        </w:rPr>
      </w:pPr>
      <w:r w:rsidRPr="00C6608C">
        <w:rPr>
          <w:rFonts w:ascii="Cambria" w:hAnsi="Cambria" w:cs="Calibri Light"/>
          <w:color w:val="000000" w:themeColor="text1"/>
          <w:sz w:val="20"/>
          <w:szCs w:val="20"/>
          <w:lang w:val="es-US"/>
        </w:rPr>
        <w:t xml:space="preserve">Por lo anterior, la Comisión concluye que el nivel de cumplimiento del caso es parcial. </w:t>
      </w:r>
      <w:r w:rsidRPr="00C6608C">
        <w:rPr>
          <w:rFonts w:ascii="Cambria" w:hAnsi="Cambria" w:cs="Calibri Light"/>
          <w:color w:val="000000" w:themeColor="text1"/>
          <w:sz w:val="20"/>
          <w:szCs w:val="20"/>
          <w:lang w:val="es-CO"/>
        </w:rPr>
        <w:t xml:space="preserve">En consecuencia, la Comisión seguirá supervisando el cumplimiento de </w:t>
      </w:r>
      <w:r>
        <w:rPr>
          <w:rFonts w:ascii="Cambria" w:hAnsi="Cambria" w:cs="Calibri Light"/>
          <w:color w:val="000000" w:themeColor="text1"/>
          <w:sz w:val="20"/>
          <w:szCs w:val="20"/>
          <w:lang w:val="es-CO"/>
        </w:rPr>
        <w:t>las recomendaciones 1 y 2</w:t>
      </w:r>
      <w:r w:rsidRPr="00C6608C">
        <w:rPr>
          <w:rFonts w:ascii="Cambria" w:hAnsi="Cambria" w:cs="Calibri Light"/>
          <w:color w:val="000000" w:themeColor="text1"/>
          <w:sz w:val="20"/>
          <w:szCs w:val="20"/>
          <w:lang w:val="es-CO"/>
        </w:rPr>
        <w:t>.</w:t>
      </w:r>
    </w:p>
    <w:p w14:paraId="5F5AD0D0" w14:textId="77777777" w:rsidR="00204FD0" w:rsidRPr="006F023E" w:rsidRDefault="00204FD0" w:rsidP="00204FD0">
      <w:pPr>
        <w:pStyle w:val="ListParagraph"/>
        <w:spacing w:after="0" w:line="240" w:lineRule="auto"/>
        <w:jc w:val="both"/>
        <w:rPr>
          <w:rFonts w:ascii="Cambria" w:hAnsi="Cambria" w:cs="Calibri Light"/>
          <w:color w:val="000000" w:themeColor="text1"/>
          <w:sz w:val="20"/>
          <w:szCs w:val="20"/>
          <w:lang w:val="es-CO"/>
        </w:rPr>
      </w:pPr>
    </w:p>
    <w:p w14:paraId="1F30A583" w14:textId="63B172F3" w:rsidR="00441607" w:rsidRPr="006A6C31" w:rsidRDefault="006F023E" w:rsidP="006A6C31">
      <w:pPr>
        <w:pStyle w:val="ListParagraph"/>
        <w:numPr>
          <w:ilvl w:val="0"/>
          <w:numId w:val="14"/>
        </w:numPr>
        <w:spacing w:after="0" w:line="240" w:lineRule="auto"/>
        <w:jc w:val="both"/>
        <w:rPr>
          <w:rFonts w:ascii="Cambria" w:hAnsi="Cambria" w:cs="Calibri Light"/>
          <w:color w:val="000000" w:themeColor="text1"/>
          <w:sz w:val="20"/>
          <w:szCs w:val="20"/>
          <w:lang w:val="es-CO"/>
        </w:rPr>
      </w:pPr>
      <w:r w:rsidRPr="00C6608C">
        <w:rPr>
          <w:rFonts w:ascii="Cambria" w:hAnsi="Cambria" w:cs="Calibri Light"/>
          <w:color w:val="000000" w:themeColor="text1"/>
          <w:sz w:val="20"/>
          <w:szCs w:val="20"/>
          <w:lang w:val="es-CO"/>
        </w:rPr>
        <w:t xml:space="preserve">La Comisión insta al Estado a que adopte las </w:t>
      </w:r>
      <w:r>
        <w:rPr>
          <w:rFonts w:ascii="Cambria" w:hAnsi="Cambria" w:cs="Calibri Light"/>
          <w:color w:val="000000" w:themeColor="text1"/>
          <w:sz w:val="20"/>
          <w:szCs w:val="20"/>
          <w:lang w:val="es-CO"/>
        </w:rPr>
        <w:t>legislaciones necesarias, entre otras medidas, para cumplir totalmente con las recomendaciones emitidas en Informe de Fondo</w:t>
      </w:r>
      <w:r w:rsidRPr="00C6608C">
        <w:rPr>
          <w:rFonts w:ascii="Cambria" w:hAnsi="Cambria"/>
          <w:b/>
          <w:color w:val="000000" w:themeColor="text1"/>
          <w:sz w:val="20"/>
          <w:szCs w:val="20"/>
          <w:lang w:val="es-ES"/>
        </w:rPr>
        <w:t xml:space="preserve"> </w:t>
      </w:r>
      <w:r w:rsidRPr="00C6608C">
        <w:rPr>
          <w:rFonts w:ascii="Cambria" w:hAnsi="Cambria"/>
          <w:color w:val="000000" w:themeColor="text1"/>
          <w:sz w:val="20"/>
          <w:szCs w:val="20"/>
          <w:lang w:val="es-ES"/>
        </w:rPr>
        <w:t>Nº</w:t>
      </w:r>
      <w:r>
        <w:rPr>
          <w:rFonts w:ascii="Cambria" w:hAnsi="Cambria" w:cs="Calibri Light"/>
          <w:color w:val="000000" w:themeColor="text1"/>
          <w:sz w:val="20"/>
          <w:szCs w:val="20"/>
          <w:lang w:val="es-CO"/>
        </w:rPr>
        <w:t xml:space="preserve"> 99/03</w:t>
      </w:r>
      <w:r w:rsidRPr="00C6608C">
        <w:rPr>
          <w:rFonts w:ascii="Cambria" w:hAnsi="Cambria" w:cs="Calibri Light"/>
          <w:color w:val="000000" w:themeColor="text1"/>
          <w:sz w:val="20"/>
          <w:szCs w:val="20"/>
          <w:lang w:val="es-CO"/>
        </w:rPr>
        <w:t xml:space="preserve"> y a que provea a la Comisión con información detallada y actualizada sobre estas acciones.</w:t>
      </w:r>
      <w:r>
        <w:rPr>
          <w:rFonts w:ascii="Cambria" w:hAnsi="Cambria" w:cs="Calibri Light"/>
          <w:color w:val="000000" w:themeColor="text1"/>
          <w:sz w:val="20"/>
          <w:szCs w:val="20"/>
          <w:lang w:val="es-CO"/>
        </w:rPr>
        <w:t xml:space="preserve"> La CIDH </w:t>
      </w:r>
      <w:r w:rsidR="006A6C31">
        <w:rPr>
          <w:rFonts w:ascii="Cambria" w:hAnsi="Cambria" w:cs="Calibri Light"/>
          <w:color w:val="000000" w:themeColor="text1"/>
          <w:sz w:val="20"/>
          <w:szCs w:val="20"/>
          <w:lang w:val="es-CO"/>
        </w:rPr>
        <w:t xml:space="preserve">recuerda que, </w:t>
      </w:r>
      <w:r w:rsidR="006A6C31">
        <w:rPr>
          <w:rFonts w:ascii="Cambria" w:hAnsi="Cambria"/>
          <w:sz w:val="20"/>
          <w:szCs w:val="20"/>
          <w:lang w:val="es-ES"/>
        </w:rPr>
        <w:t>de ejecutar</w:t>
      </w:r>
      <w:r w:rsidR="006A6C31" w:rsidRPr="00DF770C">
        <w:rPr>
          <w:rFonts w:ascii="Cambria" w:hAnsi="Cambria"/>
          <w:sz w:val="20"/>
          <w:szCs w:val="20"/>
          <w:lang w:val="es-ES"/>
        </w:rPr>
        <w:t xml:space="preserve"> al señor Fierro, de conformidad con el proceso penal del que se trata en este Caso, el Estado perpetrará una violación grave e irreparable del derecho fundamental a la vida en virtud del artículo I de la Declaración Americana</w:t>
      </w:r>
      <w:r w:rsidR="00335613" w:rsidRPr="00E16D3D">
        <w:rPr>
          <w:rStyle w:val="FootnoteReference"/>
          <w:rFonts w:ascii="Cambria" w:hAnsi="Cambria" w:cs="Calibri Light"/>
          <w:color w:val="000000" w:themeColor="text1"/>
          <w:sz w:val="20"/>
          <w:szCs w:val="20"/>
        </w:rPr>
        <w:footnoteReference w:id="12"/>
      </w:r>
      <w:r w:rsidR="002435AD" w:rsidRPr="002435AD">
        <w:rPr>
          <w:rFonts w:ascii="Cambria" w:hAnsi="Cambria"/>
          <w:sz w:val="20"/>
          <w:szCs w:val="20"/>
          <w:lang w:val="es-US"/>
        </w:rPr>
        <w:t>.</w:t>
      </w:r>
    </w:p>
    <w:p w14:paraId="7C7EA169" w14:textId="34E8909E" w:rsidR="00DC325E" w:rsidRPr="006A6C31" w:rsidRDefault="00DC325E" w:rsidP="00DC325E">
      <w:pPr>
        <w:spacing w:after="0" w:line="240" w:lineRule="auto"/>
        <w:jc w:val="both"/>
        <w:rPr>
          <w:rFonts w:ascii="Cambria" w:hAnsi="Cambria"/>
          <w:color w:val="000000" w:themeColor="text1"/>
          <w:sz w:val="20"/>
          <w:szCs w:val="20"/>
          <w:lang w:val="es-US"/>
        </w:rPr>
      </w:pPr>
    </w:p>
    <w:p w14:paraId="284A4F95" w14:textId="039DA3E7" w:rsidR="00441607" w:rsidRPr="006A6C31" w:rsidRDefault="006A6C31" w:rsidP="00025AB1">
      <w:pPr>
        <w:pStyle w:val="ListParagraph"/>
        <w:numPr>
          <w:ilvl w:val="0"/>
          <w:numId w:val="1"/>
        </w:numPr>
        <w:spacing w:after="0" w:line="240" w:lineRule="auto"/>
        <w:ind w:left="1440"/>
        <w:jc w:val="both"/>
        <w:rPr>
          <w:rFonts w:ascii="Cambria" w:hAnsi="Cambria"/>
          <w:b/>
          <w:color w:val="000000" w:themeColor="text1"/>
          <w:sz w:val="20"/>
          <w:szCs w:val="20"/>
          <w:lang w:val="es-US"/>
        </w:rPr>
      </w:pPr>
      <w:r>
        <w:rPr>
          <w:rFonts w:ascii="Cambria" w:hAnsi="Cambria"/>
          <w:b/>
          <w:color w:val="000000" w:themeColor="text1"/>
          <w:sz w:val="20"/>
          <w:szCs w:val="20"/>
          <w:lang w:val="es-US"/>
        </w:rPr>
        <w:t>Resultados individuales y estructurales del caso</w:t>
      </w:r>
      <w:r w:rsidR="00441607" w:rsidRPr="006A6C31">
        <w:rPr>
          <w:rFonts w:ascii="Cambria" w:hAnsi="Cambria"/>
          <w:b/>
          <w:color w:val="000000" w:themeColor="text1"/>
          <w:sz w:val="20"/>
          <w:szCs w:val="20"/>
          <w:lang w:val="es-US"/>
        </w:rPr>
        <w:t xml:space="preserve"> </w:t>
      </w:r>
    </w:p>
    <w:p w14:paraId="15876CE2" w14:textId="77777777" w:rsidR="004D7151" w:rsidRPr="006A6C31" w:rsidRDefault="004D7151" w:rsidP="004D7151">
      <w:pPr>
        <w:pStyle w:val="ListParagraph"/>
        <w:spacing w:after="0" w:line="240" w:lineRule="auto"/>
        <w:jc w:val="both"/>
        <w:rPr>
          <w:rFonts w:ascii="Cambria" w:hAnsi="Cambria"/>
          <w:color w:val="000000" w:themeColor="text1"/>
          <w:sz w:val="20"/>
          <w:szCs w:val="20"/>
          <w:lang w:val="es-US"/>
        </w:rPr>
      </w:pPr>
    </w:p>
    <w:p w14:paraId="56461E2C" w14:textId="77777777" w:rsidR="006A6C31" w:rsidRPr="00C6608C" w:rsidRDefault="006A6C31" w:rsidP="006A6C31">
      <w:pPr>
        <w:pStyle w:val="ListParagraph"/>
        <w:numPr>
          <w:ilvl w:val="0"/>
          <w:numId w:val="14"/>
        </w:numPr>
        <w:spacing w:after="0" w:line="240" w:lineRule="auto"/>
        <w:jc w:val="both"/>
        <w:rPr>
          <w:rFonts w:ascii="Cambria" w:hAnsi="Cambria" w:cs="Calibri Light"/>
          <w:color w:val="000000" w:themeColor="text1"/>
          <w:sz w:val="20"/>
          <w:szCs w:val="20"/>
          <w:lang w:val="es-US"/>
        </w:rPr>
      </w:pPr>
      <w:r w:rsidRPr="00C6608C">
        <w:rPr>
          <w:rFonts w:ascii="Cambria" w:hAnsi="Cambria" w:cs="Calibri Light"/>
          <w:color w:val="000000" w:themeColor="text1"/>
          <w:sz w:val="20"/>
          <w:szCs w:val="20"/>
          <w:lang w:val="es-US"/>
        </w:rPr>
        <w:t>En esta sección se destaca</w:t>
      </w:r>
      <w:r>
        <w:rPr>
          <w:rFonts w:ascii="Cambria" w:hAnsi="Cambria" w:cs="Calibri Light"/>
          <w:color w:val="000000" w:themeColor="text1"/>
          <w:sz w:val="20"/>
          <w:szCs w:val="20"/>
          <w:lang w:val="es-US"/>
        </w:rPr>
        <w:t>n</w:t>
      </w:r>
      <w:r w:rsidRPr="00C6608C">
        <w:rPr>
          <w:rFonts w:ascii="Cambria" w:hAnsi="Cambria" w:cs="Calibri Light"/>
          <w:color w:val="000000" w:themeColor="text1"/>
          <w:sz w:val="20"/>
          <w:szCs w:val="20"/>
          <w:lang w:val="es-US"/>
        </w:rPr>
        <w:t xml:space="preserve"> los resultados individuales y estructurales del caso informados por las partes. </w:t>
      </w:r>
    </w:p>
    <w:p w14:paraId="4475A607" w14:textId="77777777" w:rsidR="004D7151" w:rsidRPr="006A6C31" w:rsidRDefault="004D7151" w:rsidP="004D7151">
      <w:pPr>
        <w:pStyle w:val="ListParagraph"/>
        <w:spacing w:after="0" w:line="240" w:lineRule="auto"/>
        <w:jc w:val="both"/>
        <w:rPr>
          <w:rFonts w:ascii="Cambria" w:hAnsi="Cambria"/>
          <w:color w:val="000000" w:themeColor="text1"/>
          <w:sz w:val="20"/>
          <w:szCs w:val="20"/>
          <w:lang w:val="es-US"/>
        </w:rPr>
      </w:pPr>
    </w:p>
    <w:p w14:paraId="706F23BF" w14:textId="67D3BDD1" w:rsidR="004D7151" w:rsidRPr="00E16D3D" w:rsidRDefault="006A6C31" w:rsidP="00025AB1">
      <w:pPr>
        <w:pStyle w:val="ListParagraph"/>
        <w:numPr>
          <w:ilvl w:val="0"/>
          <w:numId w:val="4"/>
        </w:numPr>
        <w:spacing w:after="0" w:line="240" w:lineRule="auto"/>
        <w:ind w:left="1440" w:hanging="720"/>
        <w:jc w:val="both"/>
        <w:rPr>
          <w:rFonts w:ascii="Cambria" w:hAnsi="Cambria"/>
          <w:b/>
          <w:color w:val="000000" w:themeColor="text1"/>
          <w:sz w:val="20"/>
          <w:szCs w:val="20"/>
        </w:rPr>
      </w:pPr>
      <w:proofErr w:type="spellStart"/>
      <w:r>
        <w:rPr>
          <w:rFonts w:ascii="Cambria" w:hAnsi="Cambria"/>
          <w:b/>
          <w:color w:val="000000" w:themeColor="text1"/>
          <w:sz w:val="20"/>
          <w:szCs w:val="20"/>
        </w:rPr>
        <w:t>Resultados</w:t>
      </w:r>
      <w:proofErr w:type="spellEnd"/>
      <w:r>
        <w:rPr>
          <w:rFonts w:ascii="Cambria" w:hAnsi="Cambria"/>
          <w:b/>
          <w:color w:val="000000" w:themeColor="text1"/>
          <w:sz w:val="20"/>
          <w:szCs w:val="20"/>
        </w:rPr>
        <w:t xml:space="preserve"> </w:t>
      </w:r>
      <w:proofErr w:type="spellStart"/>
      <w:r>
        <w:rPr>
          <w:rFonts w:ascii="Cambria" w:hAnsi="Cambria"/>
          <w:b/>
          <w:color w:val="000000" w:themeColor="text1"/>
          <w:sz w:val="20"/>
          <w:szCs w:val="20"/>
        </w:rPr>
        <w:t>individuales</w:t>
      </w:r>
      <w:proofErr w:type="spellEnd"/>
      <w:r>
        <w:rPr>
          <w:rFonts w:ascii="Cambria" w:hAnsi="Cambria"/>
          <w:b/>
          <w:color w:val="000000" w:themeColor="text1"/>
          <w:sz w:val="20"/>
          <w:szCs w:val="20"/>
        </w:rPr>
        <w:t xml:space="preserve"> del </w:t>
      </w:r>
      <w:proofErr w:type="spellStart"/>
      <w:r>
        <w:rPr>
          <w:rFonts w:ascii="Cambria" w:hAnsi="Cambria"/>
          <w:b/>
          <w:color w:val="000000" w:themeColor="text1"/>
          <w:sz w:val="20"/>
          <w:szCs w:val="20"/>
        </w:rPr>
        <w:t>caso</w:t>
      </w:r>
      <w:proofErr w:type="spellEnd"/>
    </w:p>
    <w:p w14:paraId="72BB41FB" w14:textId="77777777" w:rsidR="004D7151" w:rsidRPr="00E16D3D" w:rsidRDefault="004D7151" w:rsidP="004D7151">
      <w:pPr>
        <w:spacing w:after="0" w:line="240" w:lineRule="auto"/>
        <w:jc w:val="both"/>
        <w:rPr>
          <w:rFonts w:ascii="Cambria" w:hAnsi="Cambria"/>
          <w:b/>
          <w:color w:val="000000" w:themeColor="text1"/>
          <w:sz w:val="20"/>
          <w:szCs w:val="20"/>
        </w:rPr>
      </w:pPr>
    </w:p>
    <w:p w14:paraId="3A0A6ABC" w14:textId="77777777" w:rsidR="006A6C31" w:rsidRPr="00C6608C" w:rsidRDefault="006A6C31" w:rsidP="006A6C31">
      <w:pPr>
        <w:pStyle w:val="ListParagraph"/>
        <w:numPr>
          <w:ilvl w:val="0"/>
          <w:numId w:val="5"/>
        </w:numPr>
        <w:spacing w:after="0" w:line="240" w:lineRule="auto"/>
        <w:jc w:val="both"/>
        <w:rPr>
          <w:rFonts w:ascii="Cambria" w:hAnsi="Cambria"/>
          <w:color w:val="000000" w:themeColor="text1"/>
          <w:sz w:val="20"/>
          <w:szCs w:val="20"/>
          <w:lang w:val="es-CO"/>
        </w:rPr>
      </w:pPr>
      <w:r w:rsidRPr="00C6608C">
        <w:rPr>
          <w:rFonts w:ascii="Cambria" w:hAnsi="Cambria" w:cs="Calibri Light"/>
          <w:color w:val="000000" w:themeColor="text1"/>
          <w:sz w:val="20"/>
          <w:szCs w:val="20"/>
          <w:lang w:val="es-ES"/>
        </w:rPr>
        <w:t>No hay resultados individuales informados por las partes</w:t>
      </w:r>
      <w:r w:rsidRPr="00C6608C">
        <w:rPr>
          <w:rFonts w:ascii="Cambria" w:hAnsi="Cambria"/>
          <w:color w:val="000000" w:themeColor="text1"/>
          <w:sz w:val="20"/>
          <w:szCs w:val="20"/>
          <w:lang w:val="es-CO"/>
        </w:rPr>
        <w:t xml:space="preserve">. </w:t>
      </w:r>
    </w:p>
    <w:p w14:paraId="51DE4493" w14:textId="77777777" w:rsidR="004D7151" w:rsidRPr="006A6C31" w:rsidRDefault="004D7151" w:rsidP="004D7151">
      <w:pPr>
        <w:spacing w:after="0" w:line="240" w:lineRule="auto"/>
        <w:jc w:val="both"/>
        <w:rPr>
          <w:rFonts w:ascii="Cambria" w:hAnsi="Cambria"/>
          <w:color w:val="000000" w:themeColor="text1"/>
          <w:sz w:val="20"/>
          <w:szCs w:val="20"/>
          <w:lang w:val="es-CO"/>
        </w:rPr>
      </w:pPr>
    </w:p>
    <w:p w14:paraId="56F99CA8" w14:textId="03FFB757" w:rsidR="004D7151" w:rsidRPr="00E16D3D" w:rsidRDefault="006A6C31" w:rsidP="00025AB1">
      <w:pPr>
        <w:pStyle w:val="ListParagraph"/>
        <w:numPr>
          <w:ilvl w:val="0"/>
          <w:numId w:val="4"/>
        </w:numPr>
        <w:spacing w:after="0" w:line="240" w:lineRule="auto"/>
        <w:ind w:left="1440" w:hanging="720"/>
        <w:jc w:val="both"/>
        <w:rPr>
          <w:rFonts w:ascii="Cambria" w:hAnsi="Cambria"/>
          <w:b/>
          <w:color w:val="000000" w:themeColor="text1"/>
          <w:sz w:val="20"/>
          <w:szCs w:val="20"/>
        </w:rPr>
      </w:pPr>
      <w:proofErr w:type="spellStart"/>
      <w:r>
        <w:rPr>
          <w:rFonts w:ascii="Cambria" w:hAnsi="Cambria"/>
          <w:b/>
          <w:color w:val="000000" w:themeColor="text1"/>
          <w:sz w:val="20"/>
          <w:szCs w:val="20"/>
        </w:rPr>
        <w:t>Resultados</w:t>
      </w:r>
      <w:proofErr w:type="spellEnd"/>
      <w:r>
        <w:rPr>
          <w:rFonts w:ascii="Cambria" w:hAnsi="Cambria"/>
          <w:b/>
          <w:color w:val="000000" w:themeColor="text1"/>
          <w:sz w:val="20"/>
          <w:szCs w:val="20"/>
        </w:rPr>
        <w:t xml:space="preserve"> </w:t>
      </w:r>
      <w:proofErr w:type="spellStart"/>
      <w:r>
        <w:rPr>
          <w:rFonts w:ascii="Cambria" w:hAnsi="Cambria"/>
          <w:b/>
          <w:color w:val="000000" w:themeColor="text1"/>
          <w:sz w:val="20"/>
          <w:szCs w:val="20"/>
        </w:rPr>
        <w:t>estructurales</w:t>
      </w:r>
      <w:proofErr w:type="spellEnd"/>
      <w:r>
        <w:rPr>
          <w:rFonts w:ascii="Cambria" w:hAnsi="Cambria"/>
          <w:b/>
          <w:color w:val="000000" w:themeColor="text1"/>
          <w:sz w:val="20"/>
          <w:szCs w:val="20"/>
        </w:rPr>
        <w:t xml:space="preserve"> del </w:t>
      </w:r>
      <w:proofErr w:type="spellStart"/>
      <w:r>
        <w:rPr>
          <w:rFonts w:ascii="Cambria" w:hAnsi="Cambria"/>
          <w:b/>
          <w:color w:val="000000" w:themeColor="text1"/>
          <w:sz w:val="20"/>
          <w:szCs w:val="20"/>
        </w:rPr>
        <w:t>caso</w:t>
      </w:r>
      <w:proofErr w:type="spellEnd"/>
      <w:r w:rsidR="004D7151" w:rsidRPr="00E16D3D">
        <w:rPr>
          <w:rFonts w:ascii="Cambria" w:hAnsi="Cambria"/>
          <w:b/>
          <w:color w:val="000000" w:themeColor="text1"/>
          <w:sz w:val="20"/>
          <w:szCs w:val="20"/>
        </w:rPr>
        <w:t xml:space="preserve"> </w:t>
      </w:r>
    </w:p>
    <w:p w14:paraId="40FBD064" w14:textId="77777777" w:rsidR="004D7151" w:rsidRPr="00E16D3D" w:rsidRDefault="004D7151" w:rsidP="004D7151">
      <w:pPr>
        <w:spacing w:after="0" w:line="240" w:lineRule="auto"/>
        <w:jc w:val="both"/>
        <w:rPr>
          <w:rFonts w:ascii="Cambria" w:hAnsi="Cambria"/>
          <w:color w:val="000000" w:themeColor="text1"/>
          <w:sz w:val="20"/>
          <w:szCs w:val="20"/>
        </w:rPr>
      </w:pPr>
    </w:p>
    <w:p w14:paraId="177673BB" w14:textId="54F00983" w:rsidR="004D7151" w:rsidRDefault="006F023E" w:rsidP="004D7151">
      <w:pPr>
        <w:spacing w:after="0" w:line="240" w:lineRule="auto"/>
        <w:jc w:val="both"/>
        <w:rPr>
          <w:rFonts w:ascii="Cambria" w:hAnsi="Cambria"/>
          <w:i/>
          <w:color w:val="000000" w:themeColor="text1"/>
          <w:sz w:val="20"/>
          <w:szCs w:val="20"/>
        </w:rPr>
      </w:pPr>
      <w:proofErr w:type="spellStart"/>
      <w:r>
        <w:rPr>
          <w:rFonts w:ascii="Cambria" w:hAnsi="Cambria"/>
          <w:i/>
          <w:color w:val="000000" w:themeColor="text1"/>
          <w:sz w:val="20"/>
          <w:szCs w:val="20"/>
        </w:rPr>
        <w:t>Fortalecimiento</w:t>
      </w:r>
      <w:proofErr w:type="spellEnd"/>
      <w:r>
        <w:rPr>
          <w:rFonts w:ascii="Cambria" w:hAnsi="Cambria"/>
          <w:i/>
          <w:color w:val="000000" w:themeColor="text1"/>
          <w:sz w:val="20"/>
          <w:szCs w:val="20"/>
        </w:rPr>
        <w:t xml:space="preserve"> </w:t>
      </w:r>
      <w:proofErr w:type="spellStart"/>
      <w:r>
        <w:rPr>
          <w:rFonts w:ascii="Cambria" w:hAnsi="Cambria"/>
          <w:i/>
          <w:color w:val="000000" w:themeColor="text1"/>
          <w:sz w:val="20"/>
          <w:szCs w:val="20"/>
        </w:rPr>
        <w:t>institucional</w:t>
      </w:r>
      <w:proofErr w:type="spellEnd"/>
    </w:p>
    <w:p w14:paraId="434134B5" w14:textId="773CC132" w:rsidR="001B0EBE" w:rsidRPr="001B0EBE" w:rsidRDefault="00B34CFE" w:rsidP="006A6C31">
      <w:pPr>
        <w:pStyle w:val="ListParagraph"/>
        <w:numPr>
          <w:ilvl w:val="0"/>
          <w:numId w:val="5"/>
        </w:numPr>
        <w:spacing w:after="0" w:line="240" w:lineRule="auto"/>
        <w:jc w:val="both"/>
        <w:rPr>
          <w:rFonts w:ascii="Cambria" w:hAnsi="Cambria"/>
          <w:color w:val="000000" w:themeColor="text1"/>
          <w:sz w:val="20"/>
          <w:szCs w:val="20"/>
          <w:lang w:val="es-ES"/>
        </w:rPr>
      </w:pPr>
      <w:r w:rsidRPr="00B34CFE">
        <w:rPr>
          <w:rFonts w:ascii="Cambria" w:hAnsi="Cambria"/>
          <w:color w:val="000000" w:themeColor="text1"/>
          <w:spacing w:val="-2"/>
          <w:sz w:val="20"/>
          <w:szCs w:val="20"/>
          <w:lang w:val="es-US"/>
        </w:rPr>
        <w:t>E</w:t>
      </w:r>
      <w:r w:rsidR="001B0EBE" w:rsidRPr="00957702">
        <w:rPr>
          <w:rFonts w:ascii="Cambria" w:hAnsi="Cambria"/>
          <w:color w:val="000000" w:themeColor="text1"/>
          <w:spacing w:val="-2"/>
          <w:sz w:val="20"/>
          <w:szCs w:val="20"/>
          <w:lang w:val="es-US"/>
        </w:rPr>
        <w:t>ntre 2005 y 2010, el Estado ha llevaba a cabo más de 200 sesiones de capacitación sobre la notificación consular y el acceso a la policía federal, estatal y local y a los estudiantes de policía, así como a los funcionarios consulares que prestan servicios en los consulados extranjeros en  los Estados Unidos.</w:t>
      </w:r>
    </w:p>
    <w:p w14:paraId="3D1CC682" w14:textId="378FCD8F" w:rsidR="006A6C31" w:rsidRPr="00C6608C" w:rsidRDefault="006A6C31" w:rsidP="006A6C31">
      <w:pPr>
        <w:pStyle w:val="ListParagraph"/>
        <w:numPr>
          <w:ilvl w:val="0"/>
          <w:numId w:val="5"/>
        </w:numPr>
        <w:spacing w:after="0" w:line="240" w:lineRule="auto"/>
        <w:jc w:val="both"/>
        <w:rPr>
          <w:rFonts w:ascii="Cambria" w:hAnsi="Cambria"/>
          <w:color w:val="000000" w:themeColor="text1"/>
          <w:sz w:val="20"/>
          <w:szCs w:val="20"/>
          <w:lang w:val="es-ES"/>
        </w:rPr>
      </w:pPr>
      <w:r w:rsidRPr="00C6608C">
        <w:rPr>
          <w:rFonts w:ascii="Cambria" w:hAnsi="Cambria"/>
          <w:color w:val="000000" w:themeColor="text1"/>
          <w:sz w:val="20"/>
          <w:szCs w:val="20"/>
          <w:lang w:val="es-ES"/>
        </w:rPr>
        <w:t>Publicación del Manual Consular</w:t>
      </w:r>
      <w:r w:rsidRPr="00C6608C">
        <w:rPr>
          <w:rFonts w:ascii="Cambria" w:hAnsi="Cambria"/>
          <w:i/>
          <w:color w:val="000000" w:themeColor="text1"/>
          <w:sz w:val="20"/>
          <w:szCs w:val="20"/>
          <w:lang w:val="es-ES"/>
        </w:rPr>
        <w:t xml:space="preserve"> “</w:t>
      </w:r>
      <w:r w:rsidRPr="00C6608C">
        <w:rPr>
          <w:rFonts w:ascii="Cambria" w:hAnsi="Cambria"/>
          <w:color w:val="000000" w:themeColor="text1"/>
          <w:sz w:val="20"/>
          <w:szCs w:val="20"/>
          <w:lang w:val="es-ES"/>
        </w:rPr>
        <w:t xml:space="preserve">Notificación y acceso consulares: Instrucciones para las fuerzas federales, estatales y locales y otros funcionarios con respecto a los ciudadanos extranjeros en Estados </w:t>
      </w:r>
      <w:r w:rsidRPr="00C6608C">
        <w:rPr>
          <w:rFonts w:ascii="Cambria" w:hAnsi="Cambria"/>
          <w:color w:val="000000" w:themeColor="text1"/>
          <w:sz w:val="20"/>
          <w:szCs w:val="20"/>
          <w:lang w:val="es-ES"/>
        </w:rPr>
        <w:lastRenderedPageBreak/>
        <w:t xml:space="preserve">Unidos y los derechos de los funcionarios consulares a ayudarles”, que proporciona instrucciones a funcionarios policiales y penitenciarios sobre lo que se debe hacer cuando se detiene o arresta a un ciudadano extranjero, a fin de cumplir las disposiciones de la Convención de Viena y los acuerdos consulares bilaterales (última revisión: septiembre de 2018). </w:t>
      </w:r>
    </w:p>
    <w:p w14:paraId="22F8CF16" w14:textId="6D28C5A2" w:rsidR="006A6C31" w:rsidRPr="00C6608C" w:rsidRDefault="006A6C31" w:rsidP="006A6C31">
      <w:pPr>
        <w:pStyle w:val="ListParagraph"/>
        <w:numPr>
          <w:ilvl w:val="0"/>
          <w:numId w:val="5"/>
        </w:numPr>
        <w:spacing w:after="0" w:line="240" w:lineRule="auto"/>
        <w:jc w:val="both"/>
        <w:rPr>
          <w:rFonts w:ascii="Cambria" w:hAnsi="Cambria"/>
          <w:color w:val="000000" w:themeColor="text1"/>
          <w:sz w:val="20"/>
          <w:szCs w:val="20"/>
          <w:lang w:val="es-ES"/>
        </w:rPr>
      </w:pPr>
      <w:r w:rsidRPr="00C6608C">
        <w:rPr>
          <w:rFonts w:ascii="Cambria" w:hAnsi="Cambria"/>
          <w:color w:val="000000" w:themeColor="text1"/>
          <w:sz w:val="20"/>
          <w:szCs w:val="20"/>
          <w:lang w:val="es-ES"/>
        </w:rPr>
        <w:t>Distribución del Manual Consular</w:t>
      </w:r>
      <w:r w:rsidRPr="00C6608C">
        <w:rPr>
          <w:rFonts w:ascii="Cambria" w:hAnsi="Cambria"/>
          <w:i/>
          <w:color w:val="000000" w:themeColor="text1"/>
          <w:sz w:val="20"/>
          <w:szCs w:val="20"/>
          <w:lang w:val="es-ES"/>
        </w:rPr>
        <w:t xml:space="preserve"> “</w:t>
      </w:r>
      <w:r w:rsidRPr="00C6608C">
        <w:rPr>
          <w:rFonts w:ascii="Cambria" w:hAnsi="Cambria"/>
          <w:color w:val="000000" w:themeColor="text1"/>
          <w:sz w:val="20"/>
          <w:szCs w:val="20"/>
          <w:lang w:val="es-ES"/>
        </w:rPr>
        <w:t>Notificación y acceso consulares: Instrucciones para las fuerzas federales, estatales y locales y otros funcionarios con respecto a los ciudadanos extranjeros en Estados Unidos y los derechos de los funcionarios consulares a ayudarles”</w:t>
      </w:r>
      <w:r w:rsidRPr="00C6608C">
        <w:rPr>
          <w:rFonts w:ascii="Cambria" w:hAnsi="Cambria"/>
          <w:i/>
          <w:color w:val="000000" w:themeColor="text1"/>
          <w:sz w:val="20"/>
          <w:szCs w:val="20"/>
          <w:lang w:val="es-ES"/>
        </w:rPr>
        <w:t xml:space="preserve"> </w:t>
      </w:r>
      <w:r w:rsidRPr="00C6608C">
        <w:rPr>
          <w:rFonts w:ascii="Cambria" w:hAnsi="Cambria"/>
          <w:color w:val="000000" w:themeColor="text1"/>
          <w:sz w:val="20"/>
          <w:szCs w:val="20"/>
          <w:lang w:val="es-ES"/>
        </w:rPr>
        <w:t xml:space="preserve">a </w:t>
      </w:r>
      <w:r w:rsidRPr="00C6608C">
        <w:rPr>
          <w:rFonts w:ascii="Cambria" w:hAnsi="Cambria"/>
          <w:color w:val="000000" w:themeColor="text1"/>
          <w:spacing w:val="-2"/>
          <w:sz w:val="20"/>
          <w:szCs w:val="20"/>
          <w:lang w:val="es-ES"/>
        </w:rPr>
        <w:t>funcionarios federales, estatales y locales; organismos federales y estatales; oficinas de gobernadores y alcaldías; colegios de abogados; asociaciones penitenciarias y consulados extranjeros en Estados Unidos, entre otros</w:t>
      </w:r>
    </w:p>
    <w:p w14:paraId="44CBF9FB" w14:textId="77FA3609" w:rsidR="006A6C31" w:rsidRPr="00C6608C" w:rsidRDefault="006A6C31" w:rsidP="006A6C31">
      <w:pPr>
        <w:pStyle w:val="ListParagraph"/>
        <w:numPr>
          <w:ilvl w:val="0"/>
          <w:numId w:val="5"/>
        </w:numPr>
        <w:spacing w:after="0" w:line="240" w:lineRule="auto"/>
        <w:jc w:val="both"/>
        <w:rPr>
          <w:rFonts w:ascii="Cambria" w:hAnsi="Cambria"/>
          <w:color w:val="000000" w:themeColor="text1"/>
          <w:sz w:val="20"/>
          <w:szCs w:val="20"/>
          <w:lang w:val="es-ES"/>
        </w:rPr>
      </w:pPr>
      <w:r>
        <w:rPr>
          <w:rFonts w:ascii="Cambria" w:hAnsi="Cambria"/>
          <w:color w:val="000000" w:themeColor="text1"/>
          <w:sz w:val="20"/>
          <w:szCs w:val="20"/>
          <w:lang w:val="es-ES"/>
        </w:rPr>
        <w:t>En 2009</w:t>
      </w:r>
      <w:r w:rsidRPr="00C6608C">
        <w:rPr>
          <w:rFonts w:ascii="Cambria" w:hAnsi="Cambria"/>
          <w:color w:val="000000" w:themeColor="text1"/>
          <w:sz w:val="20"/>
          <w:szCs w:val="20"/>
          <w:lang w:val="es-ES"/>
        </w:rPr>
        <w:t xml:space="preserve">, el Estado </w:t>
      </w:r>
      <w:r>
        <w:rPr>
          <w:rFonts w:ascii="Cambria" w:hAnsi="Cambria"/>
          <w:color w:val="000000" w:themeColor="text1"/>
          <w:spacing w:val="-2"/>
          <w:sz w:val="20"/>
          <w:szCs w:val="20"/>
          <w:lang w:val="es-ES"/>
        </w:rPr>
        <w:t>distribuyó</w:t>
      </w:r>
      <w:r w:rsidRPr="00C6608C">
        <w:rPr>
          <w:rFonts w:ascii="Cambria" w:hAnsi="Cambria"/>
          <w:color w:val="000000" w:themeColor="text1"/>
          <w:spacing w:val="-2"/>
          <w:sz w:val="20"/>
          <w:szCs w:val="20"/>
          <w:lang w:val="es-ES"/>
        </w:rPr>
        <w:t xml:space="preserve"> más de 200.000 manuales </w:t>
      </w:r>
      <w:r>
        <w:rPr>
          <w:rFonts w:ascii="Cambria" w:hAnsi="Cambria"/>
          <w:color w:val="000000" w:themeColor="text1"/>
          <w:spacing w:val="-2"/>
          <w:sz w:val="20"/>
          <w:szCs w:val="20"/>
          <w:lang w:val="es-ES"/>
        </w:rPr>
        <w:t xml:space="preserve">y materiales de capacitación sobre notificación y acceso consular – incluidas aproximadamente 84.000 tarjetas de capacitación – a organismos encargados de hacer cumplir la ley, prisiones y otras entidades en todo Estados Unidos. </w:t>
      </w:r>
    </w:p>
    <w:p w14:paraId="267F53CF" w14:textId="77777777" w:rsidR="006A6C31" w:rsidRPr="00C6608C" w:rsidRDefault="006A6C31" w:rsidP="006A6C31">
      <w:pPr>
        <w:pStyle w:val="ListParagraph"/>
        <w:numPr>
          <w:ilvl w:val="0"/>
          <w:numId w:val="5"/>
        </w:numPr>
        <w:spacing w:after="0" w:line="240" w:lineRule="auto"/>
        <w:jc w:val="both"/>
        <w:rPr>
          <w:rFonts w:ascii="Cambria" w:hAnsi="Cambria"/>
          <w:color w:val="000000" w:themeColor="text1"/>
          <w:sz w:val="20"/>
          <w:szCs w:val="20"/>
          <w:lang w:val="es-ES"/>
        </w:rPr>
      </w:pPr>
      <w:r w:rsidRPr="00C6608C">
        <w:rPr>
          <w:rFonts w:ascii="Cambria" w:hAnsi="Cambria"/>
          <w:color w:val="000000" w:themeColor="text1"/>
          <w:sz w:val="20"/>
          <w:szCs w:val="20"/>
          <w:lang w:val="es-ES"/>
        </w:rPr>
        <w:t xml:space="preserve">Difusión de información sobre la notificación y el acceso consulares en medios sociales, como Facebook y Twitter.  </w:t>
      </w:r>
    </w:p>
    <w:p w14:paraId="13933171" w14:textId="77777777" w:rsidR="00D32543" w:rsidRPr="006A6C31" w:rsidRDefault="00D32543" w:rsidP="00441607">
      <w:pPr>
        <w:rPr>
          <w:rFonts w:ascii="Cambria" w:hAnsi="Cambria"/>
          <w:color w:val="000000" w:themeColor="text1"/>
          <w:sz w:val="20"/>
          <w:szCs w:val="20"/>
          <w:lang w:val="es-ES"/>
        </w:rPr>
      </w:pPr>
    </w:p>
    <w:sectPr w:rsidR="00D32543" w:rsidRPr="006A6C31" w:rsidSect="008D2C3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4C6E4" w14:textId="77777777" w:rsidR="00662C54" w:rsidRDefault="00662C54" w:rsidP="00D715C1">
      <w:pPr>
        <w:spacing w:after="0" w:line="240" w:lineRule="auto"/>
      </w:pPr>
      <w:r>
        <w:separator/>
      </w:r>
    </w:p>
  </w:endnote>
  <w:endnote w:type="continuationSeparator" w:id="0">
    <w:p w14:paraId="1409673C" w14:textId="77777777" w:rsidR="00662C54" w:rsidRDefault="00662C54" w:rsidP="00D71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20B0603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2DBDB" w14:textId="77777777" w:rsidR="008D2C3C" w:rsidRDefault="008D2C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467590"/>
      <w:docPartObj>
        <w:docPartGallery w:val="Page Numbers (Bottom of Page)"/>
        <w:docPartUnique/>
      </w:docPartObj>
    </w:sdtPr>
    <w:sdtEndPr>
      <w:rPr>
        <w:noProof/>
      </w:rPr>
    </w:sdtEndPr>
    <w:sdtContent>
      <w:p w14:paraId="4DB779A0" w14:textId="255A3083" w:rsidR="00A24EDA" w:rsidRDefault="00A24EDA">
        <w:pPr>
          <w:pStyle w:val="Footer"/>
          <w:jc w:val="center"/>
        </w:pPr>
        <w:r w:rsidRPr="00A24EDA">
          <w:rPr>
            <w:sz w:val="16"/>
            <w:szCs w:val="16"/>
          </w:rPr>
          <w:fldChar w:fldCharType="begin"/>
        </w:r>
        <w:r w:rsidRPr="00A24EDA">
          <w:rPr>
            <w:sz w:val="16"/>
            <w:szCs w:val="16"/>
          </w:rPr>
          <w:instrText xml:space="preserve"> PAGE   \* MERGEFORMAT </w:instrText>
        </w:r>
        <w:r w:rsidRPr="00A24EDA">
          <w:rPr>
            <w:sz w:val="16"/>
            <w:szCs w:val="16"/>
          </w:rPr>
          <w:fldChar w:fldCharType="separate"/>
        </w:r>
        <w:r w:rsidR="00975EAC">
          <w:rPr>
            <w:noProof/>
            <w:sz w:val="16"/>
            <w:szCs w:val="16"/>
          </w:rPr>
          <w:t>5</w:t>
        </w:r>
        <w:r w:rsidRPr="00A24EDA">
          <w:rPr>
            <w:noProof/>
            <w:sz w:val="16"/>
            <w:szCs w:val="16"/>
          </w:rPr>
          <w:fldChar w:fldCharType="end"/>
        </w:r>
      </w:p>
    </w:sdtContent>
  </w:sdt>
  <w:p w14:paraId="6112D505" w14:textId="4C904854" w:rsidR="00A24EDA" w:rsidRDefault="00A24E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8893237"/>
      <w:docPartObj>
        <w:docPartGallery w:val="Page Numbers (Bottom of Page)"/>
        <w:docPartUnique/>
      </w:docPartObj>
    </w:sdtPr>
    <w:sdtEndPr>
      <w:rPr>
        <w:rFonts w:ascii="Cambria" w:hAnsi="Cambria"/>
        <w:noProof/>
        <w:sz w:val="16"/>
        <w:szCs w:val="16"/>
      </w:rPr>
    </w:sdtEndPr>
    <w:sdtContent>
      <w:p w14:paraId="4B8DCE5A" w14:textId="6B9F7E97" w:rsidR="008D2C3C" w:rsidRPr="008D2C3C" w:rsidRDefault="008D2C3C">
        <w:pPr>
          <w:pStyle w:val="Footer"/>
          <w:jc w:val="center"/>
          <w:rPr>
            <w:rFonts w:ascii="Cambria" w:hAnsi="Cambria"/>
            <w:sz w:val="16"/>
            <w:szCs w:val="16"/>
          </w:rPr>
        </w:pPr>
        <w:r w:rsidRPr="008D2C3C">
          <w:rPr>
            <w:rFonts w:ascii="Cambria" w:hAnsi="Cambria"/>
            <w:sz w:val="16"/>
            <w:szCs w:val="16"/>
          </w:rPr>
          <w:fldChar w:fldCharType="begin"/>
        </w:r>
        <w:r w:rsidRPr="008D2C3C">
          <w:rPr>
            <w:rFonts w:ascii="Cambria" w:hAnsi="Cambria"/>
            <w:sz w:val="16"/>
            <w:szCs w:val="16"/>
          </w:rPr>
          <w:instrText xml:space="preserve"> PAGE   \* MERGEFORMAT </w:instrText>
        </w:r>
        <w:r w:rsidRPr="008D2C3C">
          <w:rPr>
            <w:rFonts w:ascii="Cambria" w:hAnsi="Cambria"/>
            <w:sz w:val="16"/>
            <w:szCs w:val="16"/>
          </w:rPr>
          <w:fldChar w:fldCharType="separate"/>
        </w:r>
        <w:r w:rsidR="00975EAC">
          <w:rPr>
            <w:rFonts w:ascii="Cambria" w:hAnsi="Cambria"/>
            <w:noProof/>
            <w:sz w:val="16"/>
            <w:szCs w:val="16"/>
          </w:rPr>
          <w:t>1</w:t>
        </w:r>
        <w:r w:rsidRPr="008D2C3C">
          <w:rPr>
            <w:rFonts w:ascii="Cambria" w:hAnsi="Cambria"/>
            <w:noProof/>
            <w:sz w:val="16"/>
            <w:szCs w:val="16"/>
          </w:rPr>
          <w:fldChar w:fldCharType="end"/>
        </w:r>
      </w:p>
    </w:sdtContent>
  </w:sdt>
  <w:p w14:paraId="05DF61AA" w14:textId="77777777" w:rsidR="008D2C3C" w:rsidRDefault="008D2C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E3EBD" w14:textId="77777777" w:rsidR="00662C54" w:rsidRDefault="00662C54" w:rsidP="00D715C1">
      <w:pPr>
        <w:spacing w:after="0" w:line="240" w:lineRule="auto"/>
      </w:pPr>
      <w:r>
        <w:separator/>
      </w:r>
    </w:p>
  </w:footnote>
  <w:footnote w:type="continuationSeparator" w:id="0">
    <w:p w14:paraId="7AF6BD0B" w14:textId="77777777" w:rsidR="00662C54" w:rsidRDefault="00662C54" w:rsidP="00D715C1">
      <w:pPr>
        <w:spacing w:after="0" w:line="240" w:lineRule="auto"/>
      </w:pPr>
      <w:r>
        <w:continuationSeparator/>
      </w:r>
    </w:p>
  </w:footnote>
  <w:footnote w:id="1">
    <w:p w14:paraId="01471D43" w14:textId="2B6CCCD2" w:rsidR="009008C4" w:rsidRPr="00B8087B" w:rsidRDefault="009008C4" w:rsidP="00205338">
      <w:pPr>
        <w:pStyle w:val="FootnoteText"/>
        <w:spacing w:after="120"/>
        <w:ind w:firstLine="720"/>
        <w:jc w:val="both"/>
        <w:rPr>
          <w:rFonts w:ascii="Cambria" w:hAnsi="Cambria"/>
          <w:color w:val="000000" w:themeColor="text1"/>
          <w:sz w:val="16"/>
          <w:szCs w:val="16"/>
          <w:lang w:val="es-US"/>
        </w:rPr>
      </w:pPr>
      <w:r w:rsidRPr="0093283A">
        <w:rPr>
          <w:rStyle w:val="FootnoteReference"/>
          <w:rFonts w:ascii="Cambria" w:hAnsi="Cambria"/>
          <w:color w:val="000000" w:themeColor="text1"/>
          <w:sz w:val="16"/>
          <w:szCs w:val="16"/>
        </w:rPr>
        <w:footnoteRef/>
      </w:r>
      <w:r w:rsidRPr="007E6EC8">
        <w:rPr>
          <w:rFonts w:ascii="Cambria" w:hAnsi="Cambria"/>
          <w:color w:val="000000" w:themeColor="text1"/>
          <w:sz w:val="16"/>
          <w:szCs w:val="16"/>
          <w:lang w:val="es-ES"/>
        </w:rPr>
        <w:t xml:space="preserve"> </w:t>
      </w:r>
      <w:r w:rsidR="007E6EC8" w:rsidRPr="007E6EC8">
        <w:rPr>
          <w:rFonts w:ascii="Cambria" w:hAnsi="Cambria"/>
          <w:color w:val="000000" w:themeColor="text1"/>
          <w:sz w:val="16"/>
          <w:szCs w:val="16"/>
          <w:lang w:val="es-ES"/>
        </w:rPr>
        <w:t>CIDH</w:t>
      </w:r>
      <w:r w:rsidRPr="007E6EC8">
        <w:rPr>
          <w:rFonts w:ascii="Cambria" w:hAnsi="Cambria"/>
          <w:color w:val="000000" w:themeColor="text1"/>
          <w:sz w:val="16"/>
          <w:szCs w:val="16"/>
          <w:lang w:val="es-ES"/>
        </w:rPr>
        <w:t xml:space="preserve">, </w:t>
      </w:r>
      <w:r w:rsidR="007E6EC8">
        <w:rPr>
          <w:rFonts w:ascii="Cambria" w:hAnsi="Cambria"/>
          <w:color w:val="000000" w:themeColor="text1"/>
          <w:sz w:val="16"/>
          <w:szCs w:val="16"/>
          <w:lang w:val="es-ES"/>
        </w:rPr>
        <w:t>Informe</w:t>
      </w:r>
      <w:r w:rsidRPr="007E6EC8">
        <w:rPr>
          <w:rFonts w:ascii="Cambria" w:hAnsi="Cambria"/>
          <w:color w:val="000000" w:themeColor="text1"/>
          <w:sz w:val="16"/>
          <w:szCs w:val="16"/>
          <w:lang w:val="es-ES"/>
        </w:rPr>
        <w:t xml:space="preserve"> Anual</w:t>
      </w:r>
      <w:r w:rsidR="007E6EC8" w:rsidRPr="007E6EC8">
        <w:rPr>
          <w:rFonts w:ascii="Cambria" w:hAnsi="Cambria"/>
          <w:color w:val="000000" w:themeColor="text1"/>
          <w:sz w:val="16"/>
          <w:szCs w:val="16"/>
          <w:lang w:val="es-ES"/>
        </w:rPr>
        <w:t xml:space="preserve"> 2012</w:t>
      </w:r>
      <w:r w:rsidRPr="007E6EC8">
        <w:rPr>
          <w:rFonts w:ascii="Cambria" w:hAnsi="Cambria"/>
          <w:color w:val="000000" w:themeColor="text1"/>
          <w:sz w:val="16"/>
          <w:szCs w:val="16"/>
          <w:lang w:val="es-ES"/>
        </w:rPr>
        <w:t xml:space="preserve">, </w:t>
      </w:r>
      <w:r w:rsidR="007E6EC8" w:rsidRPr="007E6EC8">
        <w:rPr>
          <w:rFonts w:ascii="Cambria" w:hAnsi="Cambria"/>
          <w:sz w:val="16"/>
          <w:szCs w:val="16"/>
          <w:lang w:val="es-ES"/>
        </w:rPr>
        <w:t>Capítulo</w:t>
      </w:r>
      <w:r w:rsidRPr="007E6EC8">
        <w:rPr>
          <w:rFonts w:ascii="Cambria" w:hAnsi="Cambria"/>
          <w:sz w:val="16"/>
          <w:szCs w:val="16"/>
          <w:lang w:val="es-ES"/>
        </w:rPr>
        <w:t xml:space="preserve"> III, Sec</w:t>
      </w:r>
      <w:r w:rsidR="007E6EC8" w:rsidRPr="007E6EC8">
        <w:rPr>
          <w:rFonts w:ascii="Cambria" w:hAnsi="Cambria"/>
          <w:sz w:val="16"/>
          <w:szCs w:val="16"/>
          <w:lang w:val="es-ES"/>
        </w:rPr>
        <w:t>c</w:t>
      </w:r>
      <w:r w:rsidRPr="007E6EC8">
        <w:rPr>
          <w:rFonts w:ascii="Cambria" w:hAnsi="Cambria"/>
          <w:sz w:val="16"/>
          <w:szCs w:val="16"/>
          <w:lang w:val="es-ES"/>
        </w:rPr>
        <w:t>i</w:t>
      </w:r>
      <w:r w:rsidR="007E6EC8" w:rsidRPr="007E6EC8">
        <w:rPr>
          <w:rFonts w:ascii="Cambria" w:hAnsi="Cambria"/>
          <w:sz w:val="16"/>
          <w:szCs w:val="16"/>
          <w:lang w:val="es-ES"/>
        </w:rPr>
        <w:t>ó</w:t>
      </w:r>
      <w:r w:rsidRPr="007E6EC8">
        <w:rPr>
          <w:rFonts w:ascii="Cambria" w:hAnsi="Cambria"/>
          <w:sz w:val="16"/>
          <w:szCs w:val="16"/>
          <w:lang w:val="es-ES"/>
        </w:rPr>
        <w:t xml:space="preserve">n D: </w:t>
      </w:r>
      <w:r w:rsidR="007E6EC8" w:rsidRPr="007E6EC8">
        <w:rPr>
          <w:rFonts w:ascii="Cambria" w:hAnsi="Cambria"/>
          <w:sz w:val="16"/>
          <w:szCs w:val="16"/>
          <w:lang w:val="es-ES"/>
        </w:rPr>
        <w:t>Estado de cumplimiento de las recomendaciones de la CIDH</w:t>
      </w:r>
      <w:r w:rsidRPr="007E6EC8">
        <w:rPr>
          <w:rFonts w:ascii="Cambria" w:hAnsi="Cambria"/>
          <w:color w:val="000000" w:themeColor="text1"/>
          <w:sz w:val="16"/>
          <w:szCs w:val="16"/>
          <w:lang w:val="es-ES"/>
        </w:rPr>
        <w:t>, p</w:t>
      </w:r>
      <w:r w:rsidR="007E6EC8" w:rsidRPr="007E6EC8">
        <w:rPr>
          <w:rFonts w:ascii="Cambria" w:hAnsi="Cambria"/>
          <w:color w:val="000000" w:themeColor="text1"/>
          <w:sz w:val="16"/>
          <w:szCs w:val="16"/>
          <w:lang w:val="es-ES"/>
        </w:rPr>
        <w:t>á</w:t>
      </w:r>
      <w:r w:rsidRPr="007E6EC8">
        <w:rPr>
          <w:rFonts w:ascii="Cambria" w:hAnsi="Cambria"/>
          <w:color w:val="000000" w:themeColor="text1"/>
          <w:sz w:val="16"/>
          <w:szCs w:val="16"/>
          <w:lang w:val="es-ES"/>
        </w:rPr>
        <w:t>r</w:t>
      </w:r>
      <w:r w:rsidR="007E6EC8">
        <w:rPr>
          <w:rFonts w:ascii="Cambria" w:hAnsi="Cambria"/>
          <w:color w:val="000000" w:themeColor="text1"/>
          <w:sz w:val="16"/>
          <w:szCs w:val="16"/>
          <w:lang w:val="es-ES"/>
        </w:rPr>
        <w:t>r</w:t>
      </w:r>
      <w:r w:rsidRPr="007E6EC8">
        <w:rPr>
          <w:rFonts w:ascii="Cambria" w:hAnsi="Cambria"/>
          <w:color w:val="000000" w:themeColor="text1"/>
          <w:sz w:val="16"/>
          <w:szCs w:val="16"/>
          <w:lang w:val="es-ES"/>
        </w:rPr>
        <w:t xml:space="preserve">. </w:t>
      </w:r>
      <w:r w:rsidRPr="00B8087B">
        <w:rPr>
          <w:rFonts w:ascii="Cambria" w:hAnsi="Cambria"/>
          <w:color w:val="000000" w:themeColor="text1"/>
          <w:sz w:val="16"/>
          <w:szCs w:val="16"/>
          <w:lang w:val="es-US"/>
        </w:rPr>
        <w:t xml:space="preserve">619. </w:t>
      </w:r>
    </w:p>
  </w:footnote>
  <w:footnote w:id="2">
    <w:p w14:paraId="111D15DA" w14:textId="4A40F7A9" w:rsidR="00E06196" w:rsidRPr="00E06196" w:rsidRDefault="00E06196" w:rsidP="00E06196">
      <w:pPr>
        <w:pStyle w:val="FootnoteText"/>
        <w:spacing w:after="120"/>
        <w:ind w:firstLine="720"/>
        <w:jc w:val="both"/>
        <w:rPr>
          <w:rFonts w:ascii="Cambria" w:hAnsi="Cambria"/>
          <w:color w:val="000000" w:themeColor="text1"/>
          <w:sz w:val="16"/>
          <w:szCs w:val="16"/>
          <w:lang w:val="es-ES"/>
        </w:rPr>
      </w:pPr>
      <w:r w:rsidRPr="0093283A">
        <w:rPr>
          <w:rStyle w:val="FootnoteReference"/>
          <w:rFonts w:ascii="Cambria" w:hAnsi="Cambria"/>
          <w:color w:val="000000" w:themeColor="text1"/>
          <w:sz w:val="16"/>
          <w:szCs w:val="16"/>
        </w:rPr>
        <w:footnoteRef/>
      </w:r>
      <w:r w:rsidRPr="005C42F8">
        <w:rPr>
          <w:rFonts w:ascii="Cambria" w:hAnsi="Cambria"/>
          <w:color w:val="000000" w:themeColor="text1"/>
          <w:sz w:val="16"/>
          <w:szCs w:val="16"/>
          <w:lang w:val="es-ES"/>
        </w:rPr>
        <w:t xml:space="preserve"> Corte Suprema de los Estados Unidos, </w:t>
      </w:r>
      <w:hyperlink r:id="rId1" w:history="1">
        <w:r w:rsidRPr="005C42F8">
          <w:rPr>
            <w:rStyle w:val="Hyperlink"/>
            <w:rFonts w:ascii="Cambria" w:hAnsi="Cambria"/>
            <w:color w:val="000000" w:themeColor="text1"/>
            <w:sz w:val="16"/>
            <w:szCs w:val="16"/>
            <w:lang w:val="es-ES"/>
          </w:rPr>
          <w:t>Medellín v. Texas</w:t>
        </w:r>
      </w:hyperlink>
      <w:r w:rsidRPr="005C42F8">
        <w:rPr>
          <w:rFonts w:ascii="Cambria" w:hAnsi="Cambria"/>
          <w:color w:val="000000" w:themeColor="text1"/>
          <w:sz w:val="16"/>
          <w:szCs w:val="16"/>
          <w:lang w:val="es-ES"/>
        </w:rPr>
        <w:t xml:space="preserve">, 554 U.S. 759 (2008). </w:t>
      </w:r>
      <w:r w:rsidRPr="00E06196">
        <w:rPr>
          <w:rFonts w:ascii="Cambria" w:hAnsi="Cambria"/>
          <w:color w:val="000000" w:themeColor="text1"/>
          <w:sz w:val="16"/>
          <w:szCs w:val="16"/>
          <w:lang w:val="es-ES"/>
        </w:rPr>
        <w:t>(</w:t>
      </w:r>
      <w:r>
        <w:rPr>
          <w:rFonts w:ascii="Cambria" w:hAnsi="Cambria"/>
          <w:color w:val="000000" w:themeColor="text1"/>
          <w:sz w:val="16"/>
          <w:szCs w:val="16"/>
          <w:lang w:val="es-ES"/>
        </w:rPr>
        <w:t>s</w:t>
      </w:r>
      <w:r w:rsidRPr="00E06196">
        <w:rPr>
          <w:rFonts w:ascii="Cambria" w:hAnsi="Cambria"/>
          <w:color w:val="000000" w:themeColor="text1"/>
          <w:sz w:val="16"/>
          <w:szCs w:val="16"/>
          <w:lang w:val="es-ES"/>
        </w:rPr>
        <w:t>olo disponible en inglés)</w:t>
      </w:r>
    </w:p>
  </w:footnote>
  <w:footnote w:id="3">
    <w:p w14:paraId="1D443513" w14:textId="77777777" w:rsidR="00E06196" w:rsidRPr="00BE3567" w:rsidRDefault="00E06196" w:rsidP="00E06196">
      <w:pPr>
        <w:pStyle w:val="FootnoteText"/>
        <w:spacing w:after="120"/>
        <w:ind w:firstLine="720"/>
        <w:jc w:val="both"/>
        <w:rPr>
          <w:rFonts w:ascii="Cambria" w:hAnsi="Cambria" w:cs="Arial"/>
          <w:color w:val="000000" w:themeColor="text1"/>
          <w:sz w:val="16"/>
          <w:szCs w:val="16"/>
          <w:lang w:val="es-CO"/>
        </w:rPr>
      </w:pPr>
      <w:r w:rsidRPr="00BE3567">
        <w:rPr>
          <w:rStyle w:val="FootnoteReference"/>
          <w:rFonts w:ascii="Cambria" w:hAnsi="Cambria" w:cs="Arial"/>
          <w:color w:val="000000" w:themeColor="text1"/>
          <w:sz w:val="16"/>
          <w:szCs w:val="16"/>
        </w:rPr>
        <w:footnoteRef/>
      </w:r>
      <w:r w:rsidRPr="00BE3567">
        <w:rPr>
          <w:rFonts w:ascii="Cambria" w:hAnsi="Cambria" w:cs="Arial"/>
          <w:color w:val="000000" w:themeColor="text1"/>
          <w:sz w:val="16"/>
          <w:szCs w:val="16"/>
          <w:lang w:val="es-CO"/>
        </w:rPr>
        <w:t xml:space="preserve"> Corte Internacional de Justicia, </w:t>
      </w:r>
      <w:hyperlink r:id="rId2" w:history="1">
        <w:r w:rsidRPr="00BE3567">
          <w:rPr>
            <w:rStyle w:val="Hyperlink"/>
            <w:rFonts w:ascii="Cambria" w:hAnsi="Cambria" w:cs="Arial"/>
            <w:color w:val="000000" w:themeColor="text1"/>
            <w:sz w:val="16"/>
            <w:szCs w:val="16"/>
            <w:lang w:val="es-CO"/>
          </w:rPr>
          <w:t>Avena y otros nacionales mexicanos (</w:t>
        </w:r>
        <w:proofErr w:type="spellStart"/>
        <w:r w:rsidRPr="00BE3567">
          <w:rPr>
            <w:rStyle w:val="Hyperlink"/>
            <w:rFonts w:ascii="Cambria" w:hAnsi="Cambria" w:cs="Arial"/>
            <w:color w:val="000000" w:themeColor="text1"/>
            <w:sz w:val="16"/>
            <w:szCs w:val="16"/>
            <w:lang w:val="es-CO"/>
          </w:rPr>
          <w:t>Mexico</w:t>
        </w:r>
        <w:proofErr w:type="spellEnd"/>
        <w:r w:rsidRPr="00BE3567">
          <w:rPr>
            <w:rStyle w:val="Hyperlink"/>
            <w:rFonts w:ascii="Cambria" w:hAnsi="Cambria" w:cs="Arial"/>
            <w:color w:val="000000" w:themeColor="text1"/>
            <w:sz w:val="16"/>
            <w:szCs w:val="16"/>
            <w:lang w:val="es-CO"/>
          </w:rPr>
          <w:t xml:space="preserve"> c. Estados Unidos de América)</w:t>
        </w:r>
      </w:hyperlink>
      <w:r w:rsidRPr="00BE3567">
        <w:rPr>
          <w:rFonts w:ascii="Cambria" w:hAnsi="Cambria" w:cs="Arial"/>
          <w:color w:val="000000" w:themeColor="text1"/>
          <w:sz w:val="16"/>
          <w:szCs w:val="16"/>
          <w:lang w:val="es-CO"/>
        </w:rPr>
        <w:t>, Sentencia del 31 de marzo de 2004 (</w:t>
      </w:r>
      <w:r>
        <w:rPr>
          <w:rFonts w:ascii="Cambria" w:hAnsi="Cambria" w:cs="Arial"/>
          <w:color w:val="000000" w:themeColor="text1"/>
          <w:sz w:val="16"/>
          <w:szCs w:val="16"/>
          <w:lang w:val="es-CO"/>
        </w:rPr>
        <w:t>s</w:t>
      </w:r>
      <w:r w:rsidRPr="00BE3567">
        <w:rPr>
          <w:rFonts w:ascii="Cambria" w:hAnsi="Cambria" w:cs="Arial"/>
          <w:color w:val="000000" w:themeColor="text1"/>
          <w:sz w:val="16"/>
          <w:szCs w:val="16"/>
          <w:lang w:val="es-CO"/>
        </w:rPr>
        <w:t>olo disponible en inglés y en francés).</w:t>
      </w:r>
    </w:p>
  </w:footnote>
  <w:footnote w:id="4">
    <w:p w14:paraId="30F556B6" w14:textId="77777777" w:rsidR="00E06196" w:rsidRPr="00E06196" w:rsidRDefault="00E06196" w:rsidP="00E06196">
      <w:pPr>
        <w:pStyle w:val="FootnoteText"/>
        <w:spacing w:after="120"/>
        <w:ind w:firstLine="720"/>
        <w:jc w:val="both"/>
        <w:rPr>
          <w:rFonts w:ascii="Cambria" w:hAnsi="Cambria"/>
          <w:color w:val="000000" w:themeColor="text1"/>
          <w:sz w:val="16"/>
          <w:szCs w:val="16"/>
          <w:lang w:val="es-ES"/>
        </w:rPr>
      </w:pPr>
      <w:r w:rsidRPr="0093283A">
        <w:rPr>
          <w:rStyle w:val="FootnoteReference"/>
          <w:rFonts w:ascii="Cambria" w:hAnsi="Cambria"/>
          <w:color w:val="000000" w:themeColor="text1"/>
          <w:sz w:val="16"/>
          <w:szCs w:val="16"/>
        </w:rPr>
        <w:footnoteRef/>
      </w:r>
      <w:r w:rsidRPr="00E06196">
        <w:rPr>
          <w:rFonts w:ascii="Cambria" w:hAnsi="Cambria"/>
          <w:color w:val="000000" w:themeColor="text1"/>
          <w:sz w:val="16"/>
          <w:szCs w:val="16"/>
          <w:lang w:val="es-ES"/>
        </w:rPr>
        <w:t xml:space="preserve"> Corte de Apelaciones del Circuito Quinto de los Estados Unidos, </w:t>
      </w:r>
      <w:hyperlink r:id="rId3" w:history="1">
        <w:r w:rsidRPr="00E06196">
          <w:rPr>
            <w:rStyle w:val="Hyperlink"/>
            <w:rFonts w:ascii="Cambria" w:hAnsi="Cambria"/>
            <w:color w:val="000000" w:themeColor="text1"/>
            <w:sz w:val="16"/>
            <w:szCs w:val="16"/>
            <w:lang w:val="es-ES"/>
          </w:rPr>
          <w:t>Re: Cesar Roberto Fierro</w:t>
        </w:r>
      </w:hyperlink>
      <w:r w:rsidRPr="00E06196">
        <w:rPr>
          <w:rFonts w:ascii="Cambria" w:hAnsi="Cambria"/>
          <w:color w:val="000000" w:themeColor="text1"/>
          <w:sz w:val="16"/>
          <w:szCs w:val="16"/>
          <w:lang w:val="es-ES"/>
        </w:rPr>
        <w:t xml:space="preserve">, </w:t>
      </w:r>
      <w:r>
        <w:rPr>
          <w:rFonts w:ascii="Cambria" w:hAnsi="Cambria"/>
          <w:color w:val="000000" w:themeColor="text1"/>
          <w:sz w:val="16"/>
          <w:szCs w:val="16"/>
          <w:lang w:val="es-ES"/>
        </w:rPr>
        <w:t>2 de junio de</w:t>
      </w:r>
      <w:r w:rsidRPr="00E06196">
        <w:rPr>
          <w:rFonts w:ascii="Cambria" w:hAnsi="Cambria"/>
          <w:color w:val="000000" w:themeColor="text1"/>
          <w:sz w:val="16"/>
          <w:szCs w:val="16"/>
          <w:lang w:val="es-ES"/>
        </w:rPr>
        <w:t xml:space="preserve"> 2008. </w:t>
      </w:r>
      <w:r>
        <w:rPr>
          <w:rFonts w:ascii="Cambria" w:hAnsi="Cambria"/>
          <w:color w:val="000000" w:themeColor="text1"/>
          <w:sz w:val="16"/>
          <w:szCs w:val="16"/>
          <w:lang w:val="es-ES"/>
        </w:rPr>
        <w:t>(solo disponible en inglés)</w:t>
      </w:r>
    </w:p>
  </w:footnote>
  <w:footnote w:id="5">
    <w:p w14:paraId="3204A87A" w14:textId="67A19C62" w:rsidR="00E06196" w:rsidRPr="00E06196" w:rsidRDefault="00E06196" w:rsidP="00E06196">
      <w:pPr>
        <w:pStyle w:val="FootnoteText"/>
        <w:spacing w:after="120"/>
        <w:ind w:firstLine="720"/>
        <w:rPr>
          <w:rFonts w:ascii="Cambria" w:hAnsi="Cambria"/>
          <w:color w:val="000000" w:themeColor="text1"/>
          <w:sz w:val="16"/>
          <w:szCs w:val="16"/>
          <w:lang w:val="es-ES"/>
        </w:rPr>
      </w:pPr>
      <w:r w:rsidRPr="0093283A">
        <w:rPr>
          <w:rStyle w:val="FootnoteReference"/>
          <w:rFonts w:ascii="Cambria" w:hAnsi="Cambria"/>
          <w:color w:val="000000" w:themeColor="text1"/>
          <w:sz w:val="16"/>
          <w:szCs w:val="16"/>
        </w:rPr>
        <w:footnoteRef/>
      </w:r>
      <w:r w:rsidRPr="00E06196">
        <w:rPr>
          <w:rFonts w:ascii="Cambria" w:hAnsi="Cambria"/>
          <w:color w:val="000000" w:themeColor="text1"/>
          <w:sz w:val="16"/>
          <w:szCs w:val="16"/>
          <w:lang w:val="es-ES"/>
        </w:rPr>
        <w:t xml:space="preserve"> CIDH, Informe Anual 2011, </w:t>
      </w:r>
      <w:hyperlink r:id="rId4" w:history="1">
        <w:r w:rsidRPr="001A1CD5">
          <w:rPr>
            <w:rStyle w:val="Hyperlink"/>
            <w:rFonts w:ascii="Cambria" w:hAnsi="Cambria"/>
            <w:sz w:val="16"/>
            <w:szCs w:val="16"/>
            <w:lang w:val="es-ES"/>
          </w:rPr>
          <w:t>Capítulo III, Sección D: Estado de cumplimiento de las recomendaciones de la CIDH</w:t>
        </w:r>
      </w:hyperlink>
      <w:r w:rsidRPr="007E6EC8">
        <w:rPr>
          <w:rFonts w:ascii="Cambria" w:hAnsi="Cambria"/>
          <w:color w:val="000000" w:themeColor="text1"/>
          <w:sz w:val="16"/>
          <w:szCs w:val="16"/>
          <w:lang w:val="es-ES"/>
        </w:rPr>
        <w:t>, pár</w:t>
      </w:r>
      <w:r>
        <w:rPr>
          <w:rFonts w:ascii="Cambria" w:hAnsi="Cambria"/>
          <w:color w:val="000000" w:themeColor="text1"/>
          <w:sz w:val="16"/>
          <w:szCs w:val="16"/>
          <w:lang w:val="es-ES"/>
        </w:rPr>
        <w:t>r</w:t>
      </w:r>
      <w:r w:rsidRPr="007E6EC8">
        <w:rPr>
          <w:rFonts w:ascii="Cambria" w:hAnsi="Cambria"/>
          <w:color w:val="000000" w:themeColor="text1"/>
          <w:sz w:val="16"/>
          <w:szCs w:val="16"/>
          <w:lang w:val="es-ES"/>
        </w:rPr>
        <w:t>.</w:t>
      </w:r>
      <w:r w:rsidRPr="00E06196">
        <w:rPr>
          <w:rFonts w:ascii="Cambria" w:hAnsi="Cambria"/>
          <w:color w:val="000000" w:themeColor="text1"/>
          <w:sz w:val="16"/>
          <w:szCs w:val="16"/>
          <w:lang w:val="es-ES"/>
        </w:rPr>
        <w:t xml:space="preserve"> 593.</w:t>
      </w:r>
    </w:p>
  </w:footnote>
  <w:footnote w:id="6">
    <w:p w14:paraId="15342424" w14:textId="5F011EE0" w:rsidR="003766A6" w:rsidRPr="00A00AA1" w:rsidRDefault="003766A6" w:rsidP="00A00AA1">
      <w:pPr>
        <w:spacing w:after="120" w:line="240" w:lineRule="auto"/>
        <w:ind w:firstLine="720"/>
        <w:rPr>
          <w:rFonts w:ascii="Times New Roman" w:eastAsia="Times New Roman" w:hAnsi="Times New Roman"/>
          <w:sz w:val="24"/>
          <w:szCs w:val="24"/>
          <w:lang w:val="es-ES"/>
        </w:rPr>
      </w:pPr>
      <w:r w:rsidRPr="0093283A">
        <w:rPr>
          <w:rStyle w:val="FootnoteReference"/>
          <w:rFonts w:ascii="Cambria" w:hAnsi="Cambria"/>
          <w:color w:val="000000" w:themeColor="text1"/>
          <w:sz w:val="16"/>
          <w:szCs w:val="16"/>
        </w:rPr>
        <w:footnoteRef/>
      </w:r>
      <w:r w:rsidRPr="00A00AA1">
        <w:rPr>
          <w:rFonts w:ascii="Cambria" w:hAnsi="Cambria"/>
          <w:color w:val="000000" w:themeColor="text1"/>
          <w:sz w:val="16"/>
          <w:szCs w:val="16"/>
          <w:lang w:val="es-ES"/>
        </w:rPr>
        <w:t xml:space="preserve"> </w:t>
      </w:r>
      <w:r w:rsidR="00A00AA1" w:rsidRPr="00A00AA1">
        <w:rPr>
          <w:rFonts w:ascii="Cambria" w:hAnsi="Cambria"/>
          <w:color w:val="000000" w:themeColor="text1"/>
          <w:sz w:val="16"/>
          <w:szCs w:val="16"/>
          <w:lang w:val="es-ES"/>
        </w:rPr>
        <w:t>Corte IDH</w:t>
      </w:r>
      <w:r w:rsidRPr="00A00AA1">
        <w:rPr>
          <w:rFonts w:ascii="Cambria" w:hAnsi="Cambria"/>
          <w:color w:val="000000" w:themeColor="text1"/>
          <w:sz w:val="16"/>
          <w:szCs w:val="16"/>
          <w:lang w:val="es-ES"/>
        </w:rPr>
        <w:t>,</w:t>
      </w:r>
      <w:r w:rsidR="00A00AA1" w:rsidRPr="00A00AA1">
        <w:rPr>
          <w:rFonts w:ascii="Cambria" w:hAnsi="Cambria"/>
          <w:color w:val="000000" w:themeColor="text1"/>
          <w:sz w:val="16"/>
          <w:szCs w:val="16"/>
          <w:lang w:val="es-ES"/>
        </w:rPr>
        <w:t xml:space="preserve"> Opinión Consultativa OC-10/89 </w:t>
      </w:r>
      <w:r w:rsidR="00A00AA1" w:rsidRPr="00A00AA1">
        <w:rPr>
          <w:rFonts w:ascii="Cambria" w:eastAsia="Times New Roman" w:hAnsi="Cambria"/>
          <w:sz w:val="16"/>
          <w:szCs w:val="16"/>
          <w:lang w:val="es-ES"/>
        </w:rPr>
        <w:t>Interpretación de la Declaración Americana de los Derechos y Deberes del Hombre en el marco del Artículo 64 de la Convención Americana sobre Derechos Humanos, 14 de Julio de 1989,</w:t>
      </w:r>
      <w:r w:rsidRPr="00A00AA1">
        <w:rPr>
          <w:rFonts w:ascii="Cambria" w:hAnsi="Cambria"/>
          <w:color w:val="000000" w:themeColor="text1"/>
          <w:sz w:val="16"/>
          <w:szCs w:val="16"/>
          <w:lang w:val="es-ES"/>
        </w:rPr>
        <w:t xml:space="preserve">Ser. </w:t>
      </w:r>
      <w:r w:rsidRPr="00B8087B">
        <w:rPr>
          <w:rFonts w:ascii="Cambria" w:hAnsi="Cambria"/>
          <w:color w:val="000000" w:themeColor="text1"/>
          <w:sz w:val="16"/>
          <w:szCs w:val="16"/>
          <w:lang w:val="es-ES"/>
        </w:rPr>
        <w:t>A No. 10 (1989), paras. 35-45.</w:t>
      </w:r>
    </w:p>
  </w:footnote>
  <w:footnote w:id="7">
    <w:p w14:paraId="0C5B2716" w14:textId="619D016A" w:rsidR="003766A6" w:rsidRPr="001A1CD5" w:rsidRDefault="003766A6" w:rsidP="00205338">
      <w:pPr>
        <w:pStyle w:val="FootnoteText"/>
        <w:spacing w:after="120"/>
        <w:ind w:firstLine="720"/>
        <w:jc w:val="both"/>
        <w:rPr>
          <w:rFonts w:ascii="Cambria" w:hAnsi="Cambria"/>
          <w:color w:val="000000" w:themeColor="text1"/>
          <w:sz w:val="16"/>
          <w:szCs w:val="16"/>
          <w:lang w:val="es-US"/>
        </w:rPr>
      </w:pPr>
      <w:r w:rsidRPr="0093283A">
        <w:rPr>
          <w:rStyle w:val="FootnoteReference"/>
          <w:rFonts w:ascii="Cambria" w:hAnsi="Cambria"/>
          <w:color w:val="000000" w:themeColor="text1"/>
          <w:sz w:val="16"/>
          <w:szCs w:val="16"/>
        </w:rPr>
        <w:footnoteRef/>
      </w:r>
      <w:r w:rsidRPr="00B8087B">
        <w:rPr>
          <w:rFonts w:ascii="Cambria" w:hAnsi="Cambria"/>
          <w:color w:val="000000" w:themeColor="text1"/>
          <w:sz w:val="16"/>
          <w:szCs w:val="16"/>
          <w:lang w:val="es-US"/>
        </w:rPr>
        <w:t xml:space="preserve"> </w:t>
      </w:r>
      <w:r w:rsidR="00B8087B" w:rsidRPr="00BE3567">
        <w:rPr>
          <w:rFonts w:ascii="Cambria" w:hAnsi="Cambria"/>
          <w:color w:val="000000" w:themeColor="text1"/>
          <w:sz w:val="16"/>
          <w:szCs w:val="16"/>
          <w:lang w:val="es-ES"/>
        </w:rPr>
        <w:t xml:space="preserve">CIDH, </w:t>
      </w:r>
      <w:hyperlink r:id="rId5" w:history="1">
        <w:r w:rsidR="00B8087B" w:rsidRPr="00BE3567">
          <w:rPr>
            <w:rStyle w:val="Hyperlink"/>
            <w:rFonts w:ascii="Cambria" w:hAnsi="Cambria"/>
            <w:color w:val="000000" w:themeColor="text1"/>
            <w:sz w:val="16"/>
            <w:szCs w:val="16"/>
            <w:lang w:val="es-ES"/>
          </w:rPr>
          <w:t>Caso 12.873, Informe de Fondo Nº 44/14, Edgar Tamayo Arias (Estados Unidos)</w:t>
        </w:r>
      </w:hyperlink>
      <w:r w:rsidR="00B8087B">
        <w:rPr>
          <w:rFonts w:ascii="Cambria" w:hAnsi="Cambria"/>
          <w:color w:val="000000" w:themeColor="text1"/>
          <w:sz w:val="16"/>
          <w:szCs w:val="16"/>
          <w:lang w:val="es-ES"/>
        </w:rPr>
        <w:t>, párr.</w:t>
      </w:r>
      <w:r w:rsidR="00B8087B">
        <w:rPr>
          <w:rFonts w:ascii="Cambria" w:hAnsi="Cambria"/>
          <w:color w:val="000000" w:themeColor="text1"/>
          <w:sz w:val="16"/>
          <w:szCs w:val="16"/>
          <w:lang w:val="es-US"/>
        </w:rPr>
        <w:t xml:space="preserve"> </w:t>
      </w:r>
      <w:r w:rsidRPr="00B8087B">
        <w:rPr>
          <w:rFonts w:ascii="Cambria" w:hAnsi="Cambria"/>
          <w:color w:val="000000" w:themeColor="text1"/>
          <w:sz w:val="16"/>
          <w:szCs w:val="16"/>
          <w:lang w:val="es-ES"/>
        </w:rPr>
        <w:t xml:space="preserve">214; </w:t>
      </w:r>
      <w:r w:rsidR="00B8087B">
        <w:rPr>
          <w:rFonts w:ascii="Cambria" w:hAnsi="Cambria"/>
          <w:color w:val="000000" w:themeColor="text1"/>
          <w:sz w:val="16"/>
          <w:szCs w:val="16"/>
          <w:lang w:val="es-ES"/>
        </w:rPr>
        <w:t>CI</w:t>
      </w:r>
      <w:bookmarkStart w:id="0" w:name="_GoBack"/>
      <w:bookmarkEnd w:id="0"/>
      <w:r w:rsidR="00B8087B">
        <w:rPr>
          <w:rFonts w:ascii="Cambria" w:hAnsi="Cambria"/>
          <w:color w:val="000000" w:themeColor="text1"/>
          <w:sz w:val="16"/>
          <w:szCs w:val="16"/>
          <w:lang w:val="es-ES"/>
        </w:rPr>
        <w:t>DH</w:t>
      </w:r>
      <w:r w:rsidRPr="00B8087B">
        <w:rPr>
          <w:rFonts w:ascii="Cambria" w:hAnsi="Cambria"/>
          <w:color w:val="000000" w:themeColor="text1"/>
          <w:sz w:val="16"/>
          <w:szCs w:val="16"/>
          <w:lang w:val="es-ES"/>
        </w:rPr>
        <w:t xml:space="preserve">, </w:t>
      </w:r>
      <w:hyperlink r:id="rId6" w:history="1">
        <w:r w:rsidR="00B8087B">
          <w:rPr>
            <w:rStyle w:val="Hyperlink"/>
            <w:rFonts w:ascii="Cambria" w:hAnsi="Cambria"/>
            <w:color w:val="000000" w:themeColor="text1"/>
            <w:sz w:val="16"/>
            <w:szCs w:val="16"/>
            <w:lang w:val="es-ES"/>
          </w:rPr>
          <w:t>Caso</w:t>
        </w:r>
        <w:r w:rsidRPr="00B8087B">
          <w:rPr>
            <w:rStyle w:val="Hyperlink"/>
            <w:rFonts w:ascii="Cambria" w:hAnsi="Cambria"/>
            <w:color w:val="000000" w:themeColor="text1"/>
            <w:sz w:val="16"/>
            <w:szCs w:val="16"/>
            <w:lang w:val="es-ES"/>
          </w:rPr>
          <w:t xml:space="preserve"> 12.626, </w:t>
        </w:r>
        <w:r w:rsidR="00B8087B">
          <w:rPr>
            <w:rStyle w:val="Hyperlink"/>
            <w:rFonts w:ascii="Cambria" w:hAnsi="Cambria"/>
            <w:color w:val="000000" w:themeColor="text1"/>
            <w:sz w:val="16"/>
            <w:szCs w:val="16"/>
            <w:lang w:val="es-ES"/>
          </w:rPr>
          <w:t xml:space="preserve">Informe de Fondo </w:t>
        </w:r>
        <w:proofErr w:type="spellStart"/>
        <w:r w:rsidRPr="00B8087B">
          <w:rPr>
            <w:rStyle w:val="Hyperlink"/>
            <w:rFonts w:ascii="Cambria" w:hAnsi="Cambria"/>
            <w:color w:val="000000" w:themeColor="text1"/>
            <w:sz w:val="16"/>
            <w:szCs w:val="16"/>
            <w:lang w:val="es-ES"/>
          </w:rPr>
          <w:t>Report</w:t>
        </w:r>
        <w:proofErr w:type="spellEnd"/>
        <w:r w:rsidRPr="00B8087B">
          <w:rPr>
            <w:rStyle w:val="Hyperlink"/>
            <w:rFonts w:ascii="Cambria" w:hAnsi="Cambria"/>
            <w:color w:val="000000" w:themeColor="text1"/>
            <w:sz w:val="16"/>
            <w:szCs w:val="16"/>
            <w:lang w:val="es-ES"/>
          </w:rPr>
          <w:t xml:space="preserve"> </w:t>
        </w:r>
        <w:r w:rsidR="00B8087B" w:rsidRPr="00B8087B">
          <w:rPr>
            <w:rStyle w:val="Hyperlink"/>
            <w:rFonts w:ascii="Cambria" w:hAnsi="Cambria"/>
            <w:color w:val="000000" w:themeColor="text1"/>
            <w:sz w:val="16"/>
            <w:szCs w:val="16"/>
            <w:lang w:val="es-ES"/>
          </w:rPr>
          <w:t>Nº</w:t>
        </w:r>
        <w:r w:rsidR="00B8087B">
          <w:rPr>
            <w:rStyle w:val="Hyperlink"/>
            <w:rFonts w:ascii="Cambria" w:hAnsi="Cambria"/>
            <w:color w:val="000000" w:themeColor="text1"/>
            <w:sz w:val="16"/>
            <w:szCs w:val="16"/>
            <w:lang w:val="es-ES"/>
          </w:rPr>
          <w:t>.</w:t>
        </w:r>
        <w:r w:rsidRPr="00B8087B">
          <w:rPr>
            <w:rStyle w:val="Hyperlink"/>
            <w:rFonts w:ascii="Cambria" w:hAnsi="Cambria"/>
            <w:color w:val="000000" w:themeColor="text1"/>
            <w:sz w:val="16"/>
            <w:szCs w:val="16"/>
            <w:lang w:val="es-ES"/>
          </w:rPr>
          <w:t xml:space="preserve"> 80/1</w:t>
        </w:r>
        <w:r w:rsidR="00B8087B">
          <w:rPr>
            <w:rStyle w:val="Hyperlink"/>
            <w:rFonts w:ascii="Cambria" w:hAnsi="Cambria"/>
            <w:color w:val="000000" w:themeColor="text1"/>
            <w:sz w:val="16"/>
            <w:szCs w:val="16"/>
            <w:lang w:val="es-ES"/>
          </w:rPr>
          <w:t xml:space="preserve">1, Jessica </w:t>
        </w:r>
        <w:proofErr w:type="spellStart"/>
        <w:r w:rsidR="00B8087B">
          <w:rPr>
            <w:rStyle w:val="Hyperlink"/>
            <w:rFonts w:ascii="Cambria" w:hAnsi="Cambria"/>
            <w:color w:val="000000" w:themeColor="text1"/>
            <w:sz w:val="16"/>
            <w:szCs w:val="16"/>
            <w:lang w:val="es-ES"/>
          </w:rPr>
          <w:t>Lenahan</w:t>
        </w:r>
        <w:proofErr w:type="spellEnd"/>
        <w:r w:rsidR="00B8087B">
          <w:rPr>
            <w:rStyle w:val="Hyperlink"/>
            <w:rFonts w:ascii="Cambria" w:hAnsi="Cambria"/>
            <w:color w:val="000000" w:themeColor="text1"/>
            <w:sz w:val="16"/>
            <w:szCs w:val="16"/>
            <w:lang w:val="es-ES"/>
          </w:rPr>
          <w:t xml:space="preserve"> (Gonzales) y otros</w:t>
        </w:r>
        <w:r w:rsidRPr="00B8087B">
          <w:rPr>
            <w:rStyle w:val="Hyperlink"/>
            <w:rFonts w:ascii="Cambria" w:hAnsi="Cambria"/>
            <w:color w:val="000000" w:themeColor="text1"/>
            <w:sz w:val="16"/>
            <w:szCs w:val="16"/>
            <w:lang w:val="es-ES"/>
          </w:rPr>
          <w:t xml:space="preserve"> </w:t>
        </w:r>
        <w:r w:rsidRPr="00B8087B">
          <w:rPr>
            <w:rStyle w:val="Hyperlink"/>
            <w:rFonts w:ascii="Cambria" w:hAnsi="Cambria"/>
            <w:color w:val="000000" w:themeColor="text1"/>
            <w:sz w:val="16"/>
            <w:szCs w:val="16"/>
            <w:lang w:val="es-US"/>
          </w:rPr>
          <w:t>(</w:t>
        </w:r>
        <w:r w:rsidR="00B8087B">
          <w:rPr>
            <w:rStyle w:val="Hyperlink"/>
            <w:rFonts w:ascii="Cambria" w:hAnsi="Cambria"/>
            <w:color w:val="000000" w:themeColor="text1"/>
            <w:sz w:val="16"/>
            <w:szCs w:val="16"/>
            <w:lang w:val="es-US"/>
          </w:rPr>
          <w:t>Estados Unidos</w:t>
        </w:r>
        <w:r w:rsidRPr="00B8087B">
          <w:rPr>
            <w:rStyle w:val="Hyperlink"/>
            <w:rFonts w:ascii="Cambria" w:hAnsi="Cambria"/>
            <w:color w:val="000000" w:themeColor="text1"/>
            <w:sz w:val="16"/>
            <w:szCs w:val="16"/>
            <w:lang w:val="es-US"/>
          </w:rPr>
          <w:t>)</w:t>
        </w:r>
      </w:hyperlink>
      <w:r w:rsidR="00B8087B">
        <w:rPr>
          <w:rFonts w:ascii="Cambria" w:hAnsi="Cambria"/>
          <w:color w:val="000000" w:themeColor="text1"/>
          <w:sz w:val="16"/>
          <w:szCs w:val="16"/>
          <w:lang w:val="es-US"/>
        </w:rPr>
        <w:t xml:space="preserve">, </w:t>
      </w:r>
      <w:proofErr w:type="spellStart"/>
      <w:r w:rsidR="00B8087B">
        <w:rPr>
          <w:rFonts w:ascii="Cambria" w:hAnsi="Cambria"/>
          <w:color w:val="000000" w:themeColor="text1"/>
          <w:sz w:val="16"/>
          <w:szCs w:val="16"/>
          <w:lang w:val="es-US"/>
        </w:rPr>
        <w:t>párr</w:t>
      </w:r>
      <w:r w:rsidRPr="00B8087B">
        <w:rPr>
          <w:rFonts w:ascii="Cambria" w:hAnsi="Cambria"/>
          <w:color w:val="000000" w:themeColor="text1"/>
          <w:sz w:val="16"/>
          <w:szCs w:val="16"/>
          <w:lang w:val="es-US"/>
        </w:rPr>
        <w:t>s</w:t>
      </w:r>
      <w:proofErr w:type="spellEnd"/>
      <w:r w:rsidRPr="00B8087B">
        <w:rPr>
          <w:rFonts w:ascii="Cambria" w:hAnsi="Cambria"/>
          <w:color w:val="000000" w:themeColor="text1"/>
          <w:sz w:val="16"/>
          <w:szCs w:val="16"/>
          <w:lang w:val="es-US"/>
        </w:rPr>
        <w:t xml:space="preserve">. </w:t>
      </w:r>
      <w:r w:rsidRPr="00915289">
        <w:rPr>
          <w:rFonts w:ascii="Cambria" w:hAnsi="Cambria"/>
          <w:color w:val="000000" w:themeColor="text1"/>
          <w:sz w:val="16"/>
          <w:szCs w:val="16"/>
          <w:lang w:val="es-US"/>
        </w:rPr>
        <w:t xml:space="preserve">115-120; </w:t>
      </w:r>
      <w:r w:rsidR="006F023E" w:rsidRPr="00915289">
        <w:rPr>
          <w:rFonts w:ascii="Cambria" w:hAnsi="Cambria"/>
          <w:color w:val="000000" w:themeColor="text1"/>
          <w:sz w:val="16"/>
          <w:szCs w:val="16"/>
          <w:lang w:val="es-US"/>
        </w:rPr>
        <w:t>CIDH</w:t>
      </w:r>
      <w:r w:rsidRPr="00915289">
        <w:rPr>
          <w:rFonts w:ascii="Cambria" w:hAnsi="Cambria"/>
          <w:color w:val="000000" w:themeColor="text1"/>
          <w:sz w:val="16"/>
          <w:szCs w:val="16"/>
          <w:lang w:val="es-US"/>
        </w:rPr>
        <w:t xml:space="preserve">, </w:t>
      </w:r>
      <w:hyperlink r:id="rId7" w:history="1">
        <w:r w:rsidR="0097137C" w:rsidRPr="00915289">
          <w:rPr>
            <w:rStyle w:val="Hyperlink"/>
            <w:rFonts w:ascii="Cambria" w:hAnsi="Cambria"/>
            <w:sz w:val="16"/>
            <w:szCs w:val="16"/>
            <w:lang w:val="es-US"/>
          </w:rPr>
          <w:t>Hacia el cierre de Guantánamo</w:t>
        </w:r>
      </w:hyperlink>
      <w:r w:rsidR="006F023E" w:rsidRPr="00915289">
        <w:rPr>
          <w:rFonts w:ascii="Cambria" w:hAnsi="Cambria"/>
          <w:color w:val="000000" w:themeColor="text1"/>
          <w:sz w:val="16"/>
          <w:szCs w:val="16"/>
          <w:lang w:val="es-US"/>
        </w:rPr>
        <w:t xml:space="preserve">, 2015, </w:t>
      </w:r>
      <w:proofErr w:type="spellStart"/>
      <w:r w:rsidR="006F023E" w:rsidRPr="00915289">
        <w:rPr>
          <w:rFonts w:ascii="Cambria" w:hAnsi="Cambria"/>
          <w:color w:val="000000" w:themeColor="text1"/>
          <w:sz w:val="16"/>
          <w:szCs w:val="16"/>
          <w:lang w:val="es-US"/>
        </w:rPr>
        <w:t>párr</w:t>
      </w:r>
      <w:r w:rsidRPr="00915289">
        <w:rPr>
          <w:rFonts w:ascii="Cambria" w:hAnsi="Cambria"/>
          <w:color w:val="000000" w:themeColor="text1"/>
          <w:sz w:val="16"/>
          <w:szCs w:val="16"/>
          <w:lang w:val="es-US"/>
        </w:rPr>
        <w:t>s</w:t>
      </w:r>
      <w:proofErr w:type="spellEnd"/>
      <w:r w:rsidRPr="00915289">
        <w:rPr>
          <w:rFonts w:ascii="Cambria" w:hAnsi="Cambria"/>
          <w:color w:val="000000" w:themeColor="text1"/>
          <w:sz w:val="16"/>
          <w:szCs w:val="16"/>
          <w:lang w:val="es-US"/>
        </w:rPr>
        <w:t xml:space="preserve">. </w:t>
      </w:r>
      <w:r w:rsidRPr="00350B09">
        <w:rPr>
          <w:rFonts w:ascii="Cambria" w:hAnsi="Cambria"/>
          <w:color w:val="000000" w:themeColor="text1"/>
          <w:sz w:val="16"/>
          <w:szCs w:val="16"/>
          <w:lang w:val="es-US"/>
        </w:rPr>
        <w:t xml:space="preserve">16-23; </w:t>
      </w:r>
      <w:r w:rsidR="00350B09" w:rsidRPr="00B33DD5">
        <w:rPr>
          <w:rFonts w:ascii="Cambria" w:hAnsi="Cambria"/>
          <w:sz w:val="16"/>
          <w:szCs w:val="16"/>
          <w:lang w:val="es-ES"/>
        </w:rPr>
        <w:t xml:space="preserve">CIDH, </w:t>
      </w:r>
      <w:hyperlink r:id="rId8" w:history="1">
        <w:r w:rsidR="00350B09" w:rsidRPr="00B33DD5">
          <w:rPr>
            <w:rStyle w:val="Hyperlink"/>
            <w:rFonts w:ascii="Cambria" w:hAnsi="Cambria"/>
            <w:sz w:val="16"/>
            <w:szCs w:val="16"/>
            <w:lang w:val="es-ES"/>
          </w:rPr>
          <w:t xml:space="preserve">Caso 12.586, Informe de Fondo Nº. 78/11, John </w:t>
        </w:r>
        <w:proofErr w:type="spellStart"/>
        <w:r w:rsidR="00350B09" w:rsidRPr="00B33DD5">
          <w:rPr>
            <w:rStyle w:val="Hyperlink"/>
            <w:rFonts w:ascii="Cambria" w:hAnsi="Cambria"/>
            <w:sz w:val="16"/>
            <w:szCs w:val="16"/>
            <w:lang w:val="es-ES"/>
          </w:rPr>
          <w:t>Doe</w:t>
        </w:r>
        <w:proofErr w:type="spellEnd"/>
        <w:r w:rsidR="00350B09" w:rsidRPr="00B33DD5">
          <w:rPr>
            <w:rStyle w:val="Hyperlink"/>
            <w:rFonts w:ascii="Cambria" w:hAnsi="Cambria"/>
            <w:sz w:val="16"/>
            <w:szCs w:val="16"/>
            <w:lang w:val="es-ES"/>
          </w:rPr>
          <w:t xml:space="preserve"> y otros (Canadá)</w:t>
        </w:r>
      </w:hyperlink>
      <w:r w:rsidR="00350B09" w:rsidRPr="00B33DD5">
        <w:rPr>
          <w:rFonts w:ascii="Cambria" w:hAnsi="Cambria"/>
          <w:sz w:val="16"/>
          <w:szCs w:val="16"/>
          <w:lang w:val="es-ES"/>
        </w:rPr>
        <w:t>, párr</w:t>
      </w:r>
      <w:r w:rsidR="00350B09">
        <w:rPr>
          <w:rFonts w:ascii="Cambria" w:hAnsi="Cambria"/>
          <w:sz w:val="16"/>
          <w:szCs w:val="16"/>
          <w:lang w:val="es-ES"/>
        </w:rPr>
        <w:t xml:space="preserve">. </w:t>
      </w:r>
      <w:r w:rsidRPr="001A1CD5">
        <w:rPr>
          <w:rFonts w:ascii="Cambria" w:hAnsi="Cambria"/>
          <w:color w:val="000000" w:themeColor="text1"/>
          <w:sz w:val="16"/>
          <w:szCs w:val="16"/>
          <w:lang w:val="es-US"/>
        </w:rPr>
        <w:t>129.</w:t>
      </w:r>
    </w:p>
  </w:footnote>
  <w:footnote w:id="8">
    <w:p w14:paraId="1001D330" w14:textId="0DB1B8B3" w:rsidR="00FA1CD1" w:rsidRPr="00915289" w:rsidRDefault="00FA1CD1" w:rsidP="00205338">
      <w:pPr>
        <w:pStyle w:val="FootnoteText"/>
        <w:spacing w:after="120"/>
        <w:ind w:firstLine="720"/>
        <w:rPr>
          <w:rFonts w:ascii="Cambria" w:hAnsi="Cambria"/>
          <w:color w:val="000000" w:themeColor="text1"/>
          <w:sz w:val="16"/>
          <w:szCs w:val="16"/>
          <w:lang w:val="es-US"/>
        </w:rPr>
      </w:pPr>
      <w:r w:rsidRPr="0093283A">
        <w:rPr>
          <w:rStyle w:val="FootnoteReference"/>
          <w:rFonts w:ascii="Cambria" w:hAnsi="Cambria"/>
          <w:color w:val="000000" w:themeColor="text1"/>
          <w:sz w:val="16"/>
          <w:szCs w:val="16"/>
        </w:rPr>
        <w:footnoteRef/>
      </w:r>
      <w:r w:rsidRPr="001A1CD5">
        <w:rPr>
          <w:rFonts w:ascii="Cambria" w:hAnsi="Cambria"/>
          <w:color w:val="000000" w:themeColor="text1"/>
          <w:sz w:val="16"/>
          <w:szCs w:val="16"/>
          <w:lang w:val="es-US"/>
        </w:rPr>
        <w:t xml:space="preserve"> </w:t>
      </w:r>
      <w:r w:rsidR="001A1CD5" w:rsidRPr="00E06196">
        <w:rPr>
          <w:rFonts w:ascii="Cambria" w:hAnsi="Cambria"/>
          <w:color w:val="000000" w:themeColor="text1"/>
          <w:sz w:val="16"/>
          <w:szCs w:val="16"/>
          <w:lang w:val="es-ES"/>
        </w:rPr>
        <w:t xml:space="preserve">CIDH, Informe Anual 2011, </w:t>
      </w:r>
      <w:hyperlink r:id="rId9" w:history="1">
        <w:r w:rsidR="001A1CD5" w:rsidRPr="001A1CD5">
          <w:rPr>
            <w:rStyle w:val="Hyperlink"/>
            <w:rFonts w:ascii="Cambria" w:hAnsi="Cambria"/>
            <w:sz w:val="16"/>
            <w:szCs w:val="16"/>
            <w:lang w:val="es-ES"/>
          </w:rPr>
          <w:t>Capítulo III, Sección D: Estado de cumplimiento de las recomendaciones de la CIDH</w:t>
        </w:r>
      </w:hyperlink>
      <w:r w:rsidR="001A1CD5" w:rsidRPr="007E6EC8">
        <w:rPr>
          <w:rFonts w:ascii="Cambria" w:hAnsi="Cambria"/>
          <w:color w:val="000000" w:themeColor="text1"/>
          <w:sz w:val="16"/>
          <w:szCs w:val="16"/>
          <w:lang w:val="es-ES"/>
        </w:rPr>
        <w:t>, pár</w:t>
      </w:r>
      <w:r w:rsidR="001A1CD5">
        <w:rPr>
          <w:rFonts w:ascii="Cambria" w:hAnsi="Cambria"/>
          <w:color w:val="000000" w:themeColor="text1"/>
          <w:sz w:val="16"/>
          <w:szCs w:val="16"/>
          <w:lang w:val="es-ES"/>
        </w:rPr>
        <w:t>r</w:t>
      </w:r>
      <w:r w:rsidR="001A1CD5" w:rsidRPr="007E6EC8">
        <w:rPr>
          <w:rFonts w:ascii="Cambria" w:hAnsi="Cambria"/>
          <w:color w:val="000000" w:themeColor="text1"/>
          <w:sz w:val="16"/>
          <w:szCs w:val="16"/>
          <w:lang w:val="es-ES"/>
        </w:rPr>
        <w:t>.</w:t>
      </w:r>
      <w:r w:rsidR="001A1CD5">
        <w:rPr>
          <w:rFonts w:ascii="Cambria" w:hAnsi="Cambria"/>
          <w:color w:val="000000" w:themeColor="text1"/>
          <w:sz w:val="16"/>
          <w:szCs w:val="16"/>
          <w:lang w:val="es-ES"/>
        </w:rPr>
        <w:t xml:space="preserve"> </w:t>
      </w:r>
      <w:r w:rsidR="001A1CD5" w:rsidRPr="00915289">
        <w:rPr>
          <w:rFonts w:ascii="Cambria" w:hAnsi="Cambria"/>
          <w:color w:val="000000" w:themeColor="text1"/>
          <w:sz w:val="16"/>
          <w:szCs w:val="16"/>
          <w:lang w:val="es-US"/>
        </w:rPr>
        <w:t>592.</w:t>
      </w:r>
    </w:p>
  </w:footnote>
  <w:footnote w:id="9">
    <w:p w14:paraId="7A7B2EFF" w14:textId="77777777" w:rsidR="00957702" w:rsidRPr="00915289" w:rsidRDefault="00957702" w:rsidP="00957702">
      <w:pPr>
        <w:pStyle w:val="FootnoteText"/>
        <w:spacing w:after="120"/>
        <w:ind w:firstLine="720"/>
        <w:rPr>
          <w:rFonts w:ascii="Cambria" w:hAnsi="Cambria"/>
          <w:color w:val="000000" w:themeColor="text1"/>
          <w:sz w:val="16"/>
          <w:szCs w:val="16"/>
        </w:rPr>
      </w:pPr>
      <w:r w:rsidRPr="0093283A">
        <w:rPr>
          <w:rStyle w:val="FootnoteReference"/>
          <w:rFonts w:ascii="Cambria" w:hAnsi="Cambria"/>
          <w:color w:val="000000" w:themeColor="text1"/>
          <w:sz w:val="16"/>
          <w:szCs w:val="16"/>
        </w:rPr>
        <w:footnoteRef/>
      </w:r>
      <w:r w:rsidRPr="00957702">
        <w:rPr>
          <w:rFonts w:ascii="Cambria" w:hAnsi="Cambria"/>
          <w:color w:val="000000" w:themeColor="text1"/>
          <w:sz w:val="16"/>
          <w:szCs w:val="16"/>
          <w:lang w:val="es-US"/>
        </w:rPr>
        <w:t xml:space="preserve"> CIDH, Informe Anual 2010, </w:t>
      </w:r>
      <w:hyperlink r:id="rId10" w:history="1">
        <w:r>
          <w:rPr>
            <w:rStyle w:val="Hyperlink"/>
            <w:rFonts w:ascii="Cambria" w:hAnsi="Cambria"/>
            <w:color w:val="000000" w:themeColor="text1"/>
            <w:sz w:val="16"/>
            <w:szCs w:val="16"/>
            <w:lang w:val="es-US"/>
          </w:rPr>
          <w:t>Capítulo</w:t>
        </w:r>
        <w:r w:rsidRPr="00957702">
          <w:rPr>
            <w:rStyle w:val="Hyperlink"/>
            <w:rFonts w:ascii="Cambria" w:hAnsi="Cambria"/>
            <w:color w:val="000000" w:themeColor="text1"/>
            <w:sz w:val="16"/>
            <w:szCs w:val="16"/>
            <w:lang w:val="es-US"/>
          </w:rPr>
          <w:t xml:space="preserve"> III, Sec</w:t>
        </w:r>
        <w:r>
          <w:rPr>
            <w:rStyle w:val="Hyperlink"/>
            <w:rFonts w:ascii="Cambria" w:hAnsi="Cambria"/>
            <w:color w:val="000000" w:themeColor="text1"/>
            <w:sz w:val="16"/>
            <w:szCs w:val="16"/>
            <w:lang w:val="es-US"/>
          </w:rPr>
          <w:t>ció</w:t>
        </w:r>
        <w:r w:rsidRPr="00957702">
          <w:rPr>
            <w:rStyle w:val="Hyperlink"/>
            <w:rFonts w:ascii="Cambria" w:hAnsi="Cambria"/>
            <w:color w:val="000000" w:themeColor="text1"/>
            <w:sz w:val="16"/>
            <w:szCs w:val="16"/>
            <w:lang w:val="es-US"/>
          </w:rPr>
          <w:t>n D: Estados de cumplimiento de las recomendaciones de la CIDH</w:t>
        </w:r>
      </w:hyperlink>
      <w:r w:rsidRPr="00957702">
        <w:rPr>
          <w:rFonts w:ascii="Cambria" w:hAnsi="Cambria"/>
          <w:color w:val="000000" w:themeColor="text1"/>
          <w:sz w:val="16"/>
          <w:szCs w:val="16"/>
          <w:lang w:val="es-US"/>
        </w:rPr>
        <w:t xml:space="preserve">, para. </w:t>
      </w:r>
      <w:r w:rsidRPr="00915289">
        <w:rPr>
          <w:rFonts w:ascii="Cambria" w:hAnsi="Cambria"/>
          <w:color w:val="000000" w:themeColor="text1"/>
          <w:sz w:val="16"/>
          <w:szCs w:val="16"/>
        </w:rPr>
        <w:t>551.</w:t>
      </w:r>
    </w:p>
  </w:footnote>
  <w:footnote w:id="10">
    <w:p w14:paraId="5C8F3898" w14:textId="0806647D" w:rsidR="007B080D" w:rsidRPr="00915289" w:rsidRDefault="007B080D" w:rsidP="00205338">
      <w:pPr>
        <w:pStyle w:val="FootnoteText"/>
        <w:spacing w:after="120"/>
        <w:ind w:firstLine="720"/>
        <w:jc w:val="both"/>
        <w:rPr>
          <w:rFonts w:ascii="Cambria" w:hAnsi="Cambria"/>
          <w:color w:val="000000" w:themeColor="text1"/>
          <w:sz w:val="16"/>
          <w:szCs w:val="16"/>
          <w:lang w:val="es-US"/>
        </w:rPr>
      </w:pPr>
      <w:r w:rsidRPr="0093283A">
        <w:rPr>
          <w:rStyle w:val="FootnoteReference"/>
          <w:rFonts w:ascii="Cambria" w:hAnsi="Cambria"/>
          <w:color w:val="000000" w:themeColor="text1"/>
          <w:sz w:val="16"/>
          <w:szCs w:val="16"/>
        </w:rPr>
        <w:footnoteRef/>
      </w:r>
      <w:r w:rsidRPr="0093283A">
        <w:rPr>
          <w:rFonts w:ascii="Cambria" w:hAnsi="Cambria"/>
          <w:color w:val="000000" w:themeColor="text1"/>
          <w:sz w:val="16"/>
          <w:szCs w:val="16"/>
        </w:rPr>
        <w:t xml:space="preserve"> </w:t>
      </w:r>
      <w:r w:rsidR="0097137C">
        <w:rPr>
          <w:rFonts w:ascii="Cambria" w:hAnsi="Cambria"/>
          <w:color w:val="000000" w:themeColor="text1"/>
          <w:sz w:val="16"/>
          <w:szCs w:val="16"/>
        </w:rPr>
        <w:t xml:space="preserve">Los 12 </w:t>
      </w:r>
      <w:proofErr w:type="spellStart"/>
      <w:r w:rsidR="0097137C">
        <w:rPr>
          <w:rFonts w:ascii="Cambria" w:hAnsi="Cambria"/>
          <w:color w:val="000000" w:themeColor="text1"/>
          <w:sz w:val="16"/>
          <w:szCs w:val="16"/>
        </w:rPr>
        <w:t>casos</w:t>
      </w:r>
      <w:proofErr w:type="spellEnd"/>
      <w:r w:rsidR="0097137C">
        <w:rPr>
          <w:rFonts w:ascii="Cambria" w:hAnsi="Cambria"/>
          <w:color w:val="000000" w:themeColor="text1"/>
          <w:sz w:val="16"/>
          <w:szCs w:val="16"/>
        </w:rPr>
        <w:t xml:space="preserve"> </w:t>
      </w:r>
      <w:proofErr w:type="spellStart"/>
      <w:r w:rsidR="0097137C">
        <w:rPr>
          <w:rFonts w:ascii="Cambria" w:hAnsi="Cambria"/>
          <w:color w:val="000000" w:themeColor="text1"/>
          <w:sz w:val="16"/>
          <w:szCs w:val="16"/>
        </w:rPr>
        <w:t>analizados</w:t>
      </w:r>
      <w:proofErr w:type="spellEnd"/>
      <w:r w:rsidR="0097137C">
        <w:rPr>
          <w:rFonts w:ascii="Cambria" w:hAnsi="Cambria"/>
          <w:color w:val="000000" w:themeColor="text1"/>
          <w:sz w:val="16"/>
          <w:szCs w:val="16"/>
        </w:rPr>
        <w:t xml:space="preserve"> </w:t>
      </w:r>
      <w:proofErr w:type="spellStart"/>
      <w:r w:rsidR="0097137C">
        <w:rPr>
          <w:rFonts w:ascii="Cambria" w:hAnsi="Cambria"/>
          <w:color w:val="000000" w:themeColor="text1"/>
          <w:sz w:val="16"/>
          <w:szCs w:val="16"/>
        </w:rPr>
        <w:t>por</w:t>
      </w:r>
      <w:proofErr w:type="spellEnd"/>
      <w:r w:rsidR="0097137C">
        <w:rPr>
          <w:rFonts w:ascii="Cambria" w:hAnsi="Cambria"/>
          <w:color w:val="000000" w:themeColor="text1"/>
          <w:sz w:val="16"/>
          <w:szCs w:val="16"/>
        </w:rPr>
        <w:t xml:space="preserve"> los </w:t>
      </w:r>
      <w:proofErr w:type="spellStart"/>
      <w:r w:rsidR="0097137C">
        <w:rPr>
          <w:rFonts w:ascii="Cambria" w:hAnsi="Cambria"/>
          <w:color w:val="000000" w:themeColor="text1"/>
          <w:sz w:val="16"/>
          <w:szCs w:val="16"/>
        </w:rPr>
        <w:t>peticionaros</w:t>
      </w:r>
      <w:proofErr w:type="spellEnd"/>
      <w:r w:rsidR="0097137C">
        <w:rPr>
          <w:rFonts w:ascii="Cambria" w:hAnsi="Cambria"/>
          <w:color w:val="000000" w:themeColor="text1"/>
          <w:sz w:val="16"/>
          <w:szCs w:val="16"/>
        </w:rPr>
        <w:t xml:space="preserve"> son</w:t>
      </w:r>
      <w:r w:rsidRPr="0093283A">
        <w:rPr>
          <w:rFonts w:ascii="Cambria" w:hAnsi="Cambria"/>
          <w:color w:val="000000" w:themeColor="text1"/>
          <w:sz w:val="16"/>
          <w:szCs w:val="16"/>
        </w:rPr>
        <w:t>: USA v. Castillo, US Court of Appeals, 3d Circuit, 2018 WL 3472030; German v. Goodwin, US District Court, Eastern District of Louisiana, 2018 WL 1611793; Alvarez v, Davis, US District Court, Southern District of Texas, 2017 WL 4844570; USA v. Saucedo-Avalos, US District Court for Kansas, 2018 WL 2321952; Cervantes-</w:t>
      </w:r>
      <w:proofErr w:type="spellStart"/>
      <w:r w:rsidRPr="0093283A">
        <w:rPr>
          <w:rFonts w:ascii="Cambria" w:hAnsi="Cambria"/>
          <w:color w:val="000000" w:themeColor="text1"/>
          <w:sz w:val="16"/>
          <w:szCs w:val="16"/>
        </w:rPr>
        <w:t>Guervara</w:t>
      </w:r>
      <w:proofErr w:type="spellEnd"/>
      <w:r w:rsidRPr="0093283A">
        <w:rPr>
          <w:rFonts w:ascii="Cambria" w:hAnsi="Cambria"/>
          <w:color w:val="000000" w:themeColor="text1"/>
          <w:sz w:val="16"/>
          <w:szCs w:val="16"/>
        </w:rPr>
        <w:t xml:space="preserve"> v. Texas, Court of Appeals of Texas, 532 S.W.3d 827 (2017); People v, Perez, COUl1of Appeal, Second District, Division 3, California, 2017 WL 4053865; Acosta v, Texas, Court of Appeals of Texas, Beaumont, 2018 WL 3370595; State of Washington v. Quintero, Court of Appeals of Washington, Division 3,2 Wash.App.2d 1054 (2018); Commonwealth of Pennsylvania v. </w:t>
      </w:r>
      <w:proofErr w:type="spellStart"/>
      <w:r w:rsidRPr="0093283A">
        <w:rPr>
          <w:rFonts w:ascii="Cambria" w:hAnsi="Cambria"/>
          <w:color w:val="000000" w:themeColor="text1"/>
          <w:sz w:val="16"/>
          <w:szCs w:val="16"/>
        </w:rPr>
        <w:t>Durrante</w:t>
      </w:r>
      <w:proofErr w:type="spellEnd"/>
      <w:r w:rsidRPr="0093283A">
        <w:rPr>
          <w:rFonts w:ascii="Cambria" w:hAnsi="Cambria"/>
          <w:color w:val="000000" w:themeColor="text1"/>
          <w:sz w:val="16"/>
          <w:szCs w:val="16"/>
        </w:rPr>
        <w:t xml:space="preserve">, Superior Court of Pennsylvania, 2018 WL 2437587; Ex parte Ruben Ramirez Cardenas, Court of Criminal Appeals of Texas, 2017 WL 5151571; </w:t>
      </w:r>
      <w:proofErr w:type="spellStart"/>
      <w:r w:rsidRPr="0093283A">
        <w:rPr>
          <w:rFonts w:ascii="Cambria" w:hAnsi="Cambria"/>
          <w:color w:val="000000" w:themeColor="text1"/>
          <w:sz w:val="16"/>
          <w:szCs w:val="16"/>
        </w:rPr>
        <w:t>Archanian</w:t>
      </w:r>
      <w:proofErr w:type="spellEnd"/>
      <w:r w:rsidRPr="0093283A">
        <w:rPr>
          <w:rFonts w:ascii="Cambria" w:hAnsi="Cambria"/>
          <w:color w:val="000000" w:themeColor="text1"/>
          <w:sz w:val="16"/>
          <w:szCs w:val="16"/>
        </w:rPr>
        <w:t xml:space="preserve"> v. State of Nevada, Supreme Court of Nevada, 419 P.3d 701 (2018); </w:t>
      </w:r>
      <w:proofErr w:type="spellStart"/>
      <w:r w:rsidRPr="0093283A">
        <w:rPr>
          <w:rFonts w:ascii="Cambria" w:hAnsi="Cambria"/>
          <w:color w:val="000000" w:themeColor="text1"/>
          <w:sz w:val="16"/>
          <w:szCs w:val="16"/>
        </w:rPr>
        <w:t>Vanisi</w:t>
      </w:r>
      <w:proofErr w:type="spellEnd"/>
      <w:r w:rsidRPr="0093283A">
        <w:rPr>
          <w:rFonts w:ascii="Cambria" w:hAnsi="Cambria"/>
          <w:color w:val="000000" w:themeColor="text1"/>
          <w:sz w:val="16"/>
          <w:szCs w:val="16"/>
        </w:rPr>
        <w:t xml:space="preserve"> v. Baker, Supreme Court of Nevada, 405 P.3d 97 (20</w:t>
      </w:r>
      <w:r w:rsidR="00D231E6" w:rsidRPr="0093283A">
        <w:rPr>
          <w:rFonts w:ascii="Cambria" w:hAnsi="Cambria"/>
          <w:color w:val="000000" w:themeColor="text1"/>
          <w:sz w:val="16"/>
          <w:szCs w:val="16"/>
        </w:rPr>
        <w:t xml:space="preserve">17); </w:t>
      </w:r>
      <w:r w:rsidR="004710C8" w:rsidRPr="0093283A">
        <w:rPr>
          <w:rFonts w:ascii="Cambria" w:hAnsi="Cambria"/>
          <w:color w:val="000000" w:themeColor="text1"/>
          <w:sz w:val="16"/>
          <w:szCs w:val="16"/>
        </w:rPr>
        <w:t>U</w:t>
      </w:r>
      <w:r w:rsidR="00D231E6" w:rsidRPr="0093283A">
        <w:rPr>
          <w:rFonts w:ascii="Cambria" w:hAnsi="Cambria"/>
          <w:color w:val="000000" w:themeColor="text1"/>
          <w:sz w:val="16"/>
          <w:szCs w:val="16"/>
        </w:rPr>
        <w:t>S District Court for the Middle District of Florida, Jeremias V. Gomez v</w:t>
      </w:r>
      <w:r w:rsidR="004710C8" w:rsidRPr="0093283A">
        <w:rPr>
          <w:rFonts w:ascii="Cambria" w:hAnsi="Cambria"/>
          <w:color w:val="000000" w:themeColor="text1"/>
          <w:sz w:val="16"/>
          <w:szCs w:val="16"/>
        </w:rPr>
        <w:t>. Florida Attorney General, 11 August 2017, 2017 WL 3456958; U</w:t>
      </w:r>
      <w:r w:rsidR="00D231E6" w:rsidRPr="0093283A">
        <w:rPr>
          <w:rFonts w:ascii="Cambria" w:hAnsi="Cambria"/>
          <w:color w:val="000000" w:themeColor="text1"/>
          <w:sz w:val="16"/>
          <w:szCs w:val="16"/>
        </w:rPr>
        <w:t xml:space="preserve">S District Court for the Southern District of Georgia, Owen </w:t>
      </w:r>
      <w:proofErr w:type="spellStart"/>
      <w:r w:rsidR="00D231E6" w:rsidRPr="0093283A">
        <w:rPr>
          <w:rFonts w:ascii="Cambria" w:hAnsi="Cambria"/>
          <w:color w:val="000000" w:themeColor="text1"/>
          <w:sz w:val="16"/>
          <w:szCs w:val="16"/>
        </w:rPr>
        <w:t>Oddman</w:t>
      </w:r>
      <w:proofErr w:type="spellEnd"/>
      <w:r w:rsidR="00D231E6" w:rsidRPr="0093283A">
        <w:rPr>
          <w:rFonts w:ascii="Cambria" w:hAnsi="Cambria"/>
          <w:color w:val="000000" w:themeColor="text1"/>
          <w:sz w:val="16"/>
          <w:szCs w:val="16"/>
        </w:rPr>
        <w:t xml:space="preserve"> v. Hickey,</w:t>
      </w:r>
      <w:r w:rsidR="004710C8" w:rsidRPr="0093283A">
        <w:rPr>
          <w:rFonts w:ascii="Cambria" w:hAnsi="Cambria"/>
          <w:color w:val="000000" w:themeColor="text1"/>
          <w:sz w:val="16"/>
          <w:szCs w:val="16"/>
        </w:rPr>
        <w:t xml:space="preserve"> 27 July 2017, 2017 WL 3197237; </w:t>
      </w:r>
      <w:r w:rsidR="00D231E6" w:rsidRPr="0093283A">
        <w:rPr>
          <w:rFonts w:ascii="Cambria" w:hAnsi="Cambria"/>
          <w:color w:val="000000" w:themeColor="text1"/>
          <w:sz w:val="16"/>
          <w:szCs w:val="16"/>
        </w:rPr>
        <w:t xml:space="preserve">US District Court for the District of South Dakota, Emmanuel William </w:t>
      </w:r>
      <w:proofErr w:type="spellStart"/>
      <w:r w:rsidR="00D231E6" w:rsidRPr="0093283A">
        <w:rPr>
          <w:rFonts w:ascii="Cambria" w:hAnsi="Cambria"/>
          <w:color w:val="000000" w:themeColor="text1"/>
          <w:sz w:val="16"/>
          <w:szCs w:val="16"/>
        </w:rPr>
        <w:t>Nyuon</w:t>
      </w:r>
      <w:proofErr w:type="spellEnd"/>
      <w:r w:rsidR="00D231E6" w:rsidRPr="0093283A">
        <w:rPr>
          <w:rFonts w:ascii="Cambria" w:hAnsi="Cambria"/>
          <w:color w:val="000000" w:themeColor="text1"/>
          <w:sz w:val="16"/>
          <w:szCs w:val="16"/>
        </w:rPr>
        <w:t xml:space="preserve"> v. U.S.A., </w:t>
      </w:r>
      <w:r w:rsidR="004710C8" w:rsidRPr="0093283A">
        <w:rPr>
          <w:rFonts w:ascii="Cambria" w:hAnsi="Cambria"/>
          <w:color w:val="000000" w:themeColor="text1"/>
          <w:sz w:val="16"/>
          <w:szCs w:val="16"/>
        </w:rPr>
        <w:t xml:space="preserve">27 April 2017, 2017 WL 1507450; </w:t>
      </w:r>
      <w:r w:rsidR="00D231E6" w:rsidRPr="0093283A">
        <w:rPr>
          <w:rFonts w:ascii="Cambria" w:hAnsi="Cambria"/>
          <w:color w:val="000000" w:themeColor="text1"/>
          <w:sz w:val="16"/>
          <w:szCs w:val="16"/>
        </w:rPr>
        <w:t>Court of Appeal of Louisiana, State of Louisiana v. Jose Perez, 3</w:t>
      </w:r>
      <w:r w:rsidR="004710C8" w:rsidRPr="0093283A">
        <w:rPr>
          <w:rFonts w:ascii="Cambria" w:hAnsi="Cambria"/>
          <w:color w:val="000000" w:themeColor="text1"/>
          <w:sz w:val="16"/>
          <w:szCs w:val="16"/>
        </w:rPr>
        <w:t xml:space="preserve">0 August 2017, 2017 WL 3725707; </w:t>
      </w:r>
      <w:r w:rsidR="00D231E6" w:rsidRPr="0093283A">
        <w:rPr>
          <w:rFonts w:ascii="Cambria" w:hAnsi="Cambria"/>
          <w:color w:val="000000" w:themeColor="text1"/>
          <w:sz w:val="16"/>
          <w:szCs w:val="16"/>
        </w:rPr>
        <w:t xml:space="preserve">Supreme Court of Arizona, Arizona v. Joel </w:t>
      </w:r>
      <w:proofErr w:type="spellStart"/>
      <w:r w:rsidR="00D231E6" w:rsidRPr="0093283A">
        <w:rPr>
          <w:rFonts w:ascii="Cambria" w:hAnsi="Cambria"/>
          <w:color w:val="000000" w:themeColor="text1"/>
          <w:sz w:val="16"/>
          <w:szCs w:val="16"/>
        </w:rPr>
        <w:t>Randu</w:t>
      </w:r>
      <w:proofErr w:type="spellEnd"/>
      <w:r w:rsidR="00D231E6" w:rsidRPr="0093283A">
        <w:rPr>
          <w:rFonts w:ascii="Cambria" w:hAnsi="Cambria"/>
          <w:color w:val="000000" w:themeColor="text1"/>
          <w:sz w:val="16"/>
          <w:szCs w:val="16"/>
        </w:rPr>
        <w:t xml:space="preserve"> Escalante-Orozco, 1</w:t>
      </w:r>
      <w:r w:rsidR="004710C8" w:rsidRPr="0093283A">
        <w:rPr>
          <w:rFonts w:ascii="Cambria" w:hAnsi="Cambria"/>
          <w:color w:val="000000" w:themeColor="text1"/>
          <w:sz w:val="16"/>
          <w:szCs w:val="16"/>
        </w:rPr>
        <w:t xml:space="preserve">2 January 2017, 241 Ariz. 254; </w:t>
      </w:r>
      <w:r w:rsidR="00D231E6" w:rsidRPr="0093283A">
        <w:rPr>
          <w:rFonts w:ascii="Cambria" w:hAnsi="Cambria"/>
          <w:color w:val="000000" w:themeColor="text1"/>
          <w:sz w:val="16"/>
          <w:szCs w:val="16"/>
        </w:rPr>
        <w:t>US District Court for the Northern District of Georgia, USA v. Eugene Thomas Chung et al., 28 October 2016, 2016 WL 6440128</w:t>
      </w:r>
      <w:r w:rsidR="004710C8" w:rsidRPr="0093283A">
        <w:rPr>
          <w:rFonts w:ascii="Cambria" w:hAnsi="Cambria"/>
          <w:color w:val="000000" w:themeColor="text1"/>
          <w:sz w:val="16"/>
          <w:szCs w:val="16"/>
        </w:rPr>
        <w:t xml:space="preserve">; </w:t>
      </w:r>
      <w:r w:rsidR="00D231E6" w:rsidRPr="0093283A">
        <w:rPr>
          <w:rFonts w:ascii="Cambria" w:hAnsi="Cambria"/>
          <w:color w:val="000000" w:themeColor="text1"/>
          <w:sz w:val="16"/>
          <w:szCs w:val="16"/>
        </w:rPr>
        <w:t xml:space="preserve">Second Judicial District Court for the County of Washoe, Gutierrez v. Nevada, </w:t>
      </w:r>
      <w:proofErr w:type="spellStart"/>
      <w:r w:rsidR="00D231E6" w:rsidRPr="0093283A">
        <w:rPr>
          <w:rFonts w:ascii="Cambria" w:hAnsi="Cambria"/>
          <w:color w:val="000000" w:themeColor="text1"/>
          <w:sz w:val="16"/>
          <w:szCs w:val="16"/>
        </w:rPr>
        <w:t>Caso</w:t>
      </w:r>
      <w:proofErr w:type="spellEnd"/>
      <w:r w:rsidR="00D231E6" w:rsidRPr="0093283A">
        <w:rPr>
          <w:rFonts w:ascii="Cambria" w:hAnsi="Cambria"/>
          <w:color w:val="000000" w:themeColor="text1"/>
          <w:sz w:val="16"/>
          <w:szCs w:val="16"/>
        </w:rPr>
        <w:t xml:space="preserve"> NO CR94-1795B, Order Post-Eviden</w:t>
      </w:r>
      <w:r w:rsidR="004710C8" w:rsidRPr="0093283A">
        <w:rPr>
          <w:rFonts w:ascii="Cambria" w:hAnsi="Cambria"/>
          <w:color w:val="000000" w:themeColor="text1"/>
          <w:sz w:val="16"/>
          <w:szCs w:val="16"/>
        </w:rPr>
        <w:t xml:space="preserve">tiary Hearing, August 21, 2017. </w:t>
      </w:r>
      <w:r w:rsidR="0097137C">
        <w:rPr>
          <w:rFonts w:ascii="Cambria" w:hAnsi="Cambria"/>
          <w:color w:val="000000" w:themeColor="text1"/>
          <w:sz w:val="16"/>
          <w:szCs w:val="16"/>
        </w:rPr>
        <w:t xml:space="preserve"> </w:t>
      </w:r>
      <w:r w:rsidR="0097137C" w:rsidRPr="00915289">
        <w:rPr>
          <w:rFonts w:ascii="Cambria" w:hAnsi="Cambria"/>
          <w:color w:val="000000" w:themeColor="text1"/>
          <w:sz w:val="16"/>
          <w:szCs w:val="16"/>
          <w:lang w:val="es-US"/>
        </w:rPr>
        <w:t>(solo disponible en inglés)</w:t>
      </w:r>
    </w:p>
  </w:footnote>
  <w:footnote w:id="11">
    <w:p w14:paraId="40EE2030" w14:textId="215B1E88" w:rsidR="00C878E7" w:rsidRPr="00915289" w:rsidRDefault="00C878E7" w:rsidP="00205338">
      <w:pPr>
        <w:pStyle w:val="FootnoteText"/>
        <w:spacing w:after="120"/>
        <w:ind w:firstLine="720"/>
        <w:rPr>
          <w:rFonts w:ascii="Cambria" w:hAnsi="Cambria"/>
          <w:color w:val="000000" w:themeColor="text1"/>
          <w:sz w:val="16"/>
          <w:szCs w:val="16"/>
          <w:lang w:val="es-US"/>
        </w:rPr>
      </w:pPr>
      <w:r w:rsidRPr="0093283A">
        <w:rPr>
          <w:rStyle w:val="FootnoteReference"/>
          <w:rFonts w:ascii="Cambria" w:hAnsi="Cambria"/>
          <w:color w:val="000000" w:themeColor="text1"/>
          <w:sz w:val="16"/>
          <w:szCs w:val="16"/>
        </w:rPr>
        <w:footnoteRef/>
      </w:r>
      <w:r w:rsidRPr="000C2D9A">
        <w:rPr>
          <w:rFonts w:ascii="Cambria" w:hAnsi="Cambria"/>
          <w:color w:val="000000" w:themeColor="text1"/>
          <w:sz w:val="16"/>
          <w:szCs w:val="16"/>
          <w:lang w:val="es-US"/>
        </w:rPr>
        <w:t xml:space="preserve"> </w:t>
      </w:r>
      <w:r w:rsidR="000C2D9A" w:rsidRPr="00957702">
        <w:rPr>
          <w:rFonts w:ascii="Cambria" w:hAnsi="Cambria"/>
          <w:color w:val="000000" w:themeColor="text1"/>
          <w:sz w:val="16"/>
          <w:szCs w:val="16"/>
          <w:lang w:val="es-US"/>
        </w:rPr>
        <w:t xml:space="preserve">CIDH, Informe Anual 2010, </w:t>
      </w:r>
      <w:hyperlink r:id="rId11" w:history="1">
        <w:r w:rsidR="000C2D9A">
          <w:rPr>
            <w:rStyle w:val="Hyperlink"/>
            <w:rFonts w:ascii="Cambria" w:hAnsi="Cambria"/>
            <w:color w:val="000000" w:themeColor="text1"/>
            <w:sz w:val="16"/>
            <w:szCs w:val="16"/>
            <w:lang w:val="es-US"/>
          </w:rPr>
          <w:t>Capítulo</w:t>
        </w:r>
        <w:r w:rsidR="000C2D9A" w:rsidRPr="00957702">
          <w:rPr>
            <w:rStyle w:val="Hyperlink"/>
            <w:rFonts w:ascii="Cambria" w:hAnsi="Cambria"/>
            <w:color w:val="000000" w:themeColor="text1"/>
            <w:sz w:val="16"/>
            <w:szCs w:val="16"/>
            <w:lang w:val="es-US"/>
          </w:rPr>
          <w:t xml:space="preserve"> III, Sec</w:t>
        </w:r>
        <w:r w:rsidR="000C2D9A">
          <w:rPr>
            <w:rStyle w:val="Hyperlink"/>
            <w:rFonts w:ascii="Cambria" w:hAnsi="Cambria"/>
            <w:color w:val="000000" w:themeColor="text1"/>
            <w:sz w:val="16"/>
            <w:szCs w:val="16"/>
            <w:lang w:val="es-US"/>
          </w:rPr>
          <w:t>ció</w:t>
        </w:r>
        <w:r w:rsidR="000C2D9A" w:rsidRPr="00957702">
          <w:rPr>
            <w:rStyle w:val="Hyperlink"/>
            <w:rFonts w:ascii="Cambria" w:hAnsi="Cambria"/>
            <w:color w:val="000000" w:themeColor="text1"/>
            <w:sz w:val="16"/>
            <w:szCs w:val="16"/>
            <w:lang w:val="es-US"/>
          </w:rPr>
          <w:t>n D: Estados de cumplimiento de las recomendaciones de la CIDH</w:t>
        </w:r>
      </w:hyperlink>
      <w:r w:rsidR="000C2D9A" w:rsidRPr="00957702">
        <w:rPr>
          <w:rFonts w:ascii="Cambria" w:hAnsi="Cambria"/>
          <w:color w:val="000000" w:themeColor="text1"/>
          <w:sz w:val="16"/>
          <w:szCs w:val="16"/>
          <w:lang w:val="es-US"/>
        </w:rPr>
        <w:t xml:space="preserve">, para. </w:t>
      </w:r>
      <w:r w:rsidR="000C2D9A" w:rsidRPr="00915289">
        <w:rPr>
          <w:rFonts w:ascii="Cambria" w:hAnsi="Cambria"/>
          <w:color w:val="000000" w:themeColor="text1"/>
          <w:sz w:val="16"/>
          <w:szCs w:val="16"/>
          <w:lang w:val="es-US"/>
        </w:rPr>
        <w:t>553.</w:t>
      </w:r>
    </w:p>
  </w:footnote>
  <w:footnote w:id="12">
    <w:p w14:paraId="45014576" w14:textId="197C0263" w:rsidR="00335613" w:rsidRPr="008B560B" w:rsidRDefault="00335613" w:rsidP="00205338">
      <w:pPr>
        <w:pStyle w:val="FootnoteText"/>
        <w:spacing w:after="120"/>
        <w:ind w:firstLine="720"/>
      </w:pPr>
      <w:r w:rsidRPr="007E25D3">
        <w:rPr>
          <w:rStyle w:val="FootnoteReference"/>
          <w:rFonts w:ascii="Cambria" w:hAnsi="Cambria"/>
          <w:color w:val="000000" w:themeColor="text1"/>
          <w:sz w:val="16"/>
          <w:szCs w:val="16"/>
        </w:rPr>
        <w:footnoteRef/>
      </w:r>
      <w:r w:rsidRPr="006F023E">
        <w:rPr>
          <w:rFonts w:ascii="Cambria" w:hAnsi="Cambria"/>
          <w:color w:val="000000" w:themeColor="text1"/>
          <w:sz w:val="16"/>
          <w:szCs w:val="16"/>
          <w:lang w:val="es-US"/>
        </w:rPr>
        <w:t xml:space="preserve"> </w:t>
      </w:r>
      <w:r w:rsidR="006F023E" w:rsidRPr="006F023E">
        <w:rPr>
          <w:rFonts w:ascii="Cambria" w:hAnsi="Cambria"/>
          <w:color w:val="000000" w:themeColor="text1"/>
          <w:sz w:val="16"/>
          <w:szCs w:val="16"/>
          <w:lang w:val="es-US"/>
        </w:rPr>
        <w:t>CIDH</w:t>
      </w:r>
      <w:r w:rsidRPr="006F023E">
        <w:rPr>
          <w:rFonts w:ascii="Cambria" w:hAnsi="Cambria"/>
          <w:color w:val="000000" w:themeColor="text1"/>
          <w:sz w:val="16"/>
          <w:szCs w:val="16"/>
          <w:lang w:val="es-US"/>
        </w:rPr>
        <w:t xml:space="preserve">, </w:t>
      </w:r>
      <w:hyperlink r:id="rId12" w:history="1">
        <w:r w:rsidR="006F023E" w:rsidRPr="006F023E">
          <w:rPr>
            <w:rStyle w:val="Hyperlink"/>
            <w:rFonts w:ascii="Cambria" w:hAnsi="Cambria"/>
            <w:color w:val="000000" w:themeColor="text1"/>
            <w:sz w:val="16"/>
            <w:szCs w:val="16"/>
            <w:lang w:val="es-US"/>
          </w:rPr>
          <w:t>Caso</w:t>
        </w:r>
        <w:r w:rsidRPr="006F023E">
          <w:rPr>
            <w:rStyle w:val="Hyperlink"/>
            <w:rFonts w:ascii="Cambria" w:hAnsi="Cambria"/>
            <w:color w:val="000000" w:themeColor="text1"/>
            <w:sz w:val="16"/>
            <w:szCs w:val="16"/>
            <w:lang w:val="es-US"/>
          </w:rPr>
          <w:t xml:space="preserve"> 11.331, </w:t>
        </w:r>
        <w:r w:rsidR="006F023E" w:rsidRPr="006F023E">
          <w:rPr>
            <w:rStyle w:val="Hyperlink"/>
            <w:rFonts w:ascii="Cambria" w:hAnsi="Cambria"/>
            <w:color w:val="000000" w:themeColor="text1"/>
            <w:sz w:val="16"/>
            <w:szCs w:val="16"/>
            <w:lang w:val="es-US"/>
          </w:rPr>
          <w:t>Informe de Fondo</w:t>
        </w:r>
        <w:r w:rsidRPr="006F023E">
          <w:rPr>
            <w:rStyle w:val="Hyperlink"/>
            <w:rFonts w:ascii="Cambria" w:hAnsi="Cambria"/>
            <w:color w:val="000000" w:themeColor="text1"/>
            <w:sz w:val="16"/>
            <w:szCs w:val="16"/>
            <w:lang w:val="es-US"/>
          </w:rPr>
          <w:t xml:space="preserve"> </w:t>
        </w:r>
        <w:r w:rsidR="006F023E" w:rsidRPr="006F023E">
          <w:rPr>
            <w:rStyle w:val="Hyperlink"/>
            <w:rFonts w:ascii="Cambria" w:hAnsi="Cambria"/>
            <w:color w:val="000000" w:themeColor="text1"/>
            <w:sz w:val="16"/>
            <w:szCs w:val="16"/>
            <w:lang w:val="es-US"/>
          </w:rPr>
          <w:t>Nº</w:t>
        </w:r>
        <w:r w:rsidRPr="006F023E">
          <w:rPr>
            <w:rStyle w:val="Hyperlink"/>
            <w:rFonts w:ascii="Cambria" w:hAnsi="Cambria"/>
            <w:color w:val="000000" w:themeColor="text1"/>
            <w:sz w:val="16"/>
            <w:szCs w:val="16"/>
            <w:lang w:val="es-US"/>
          </w:rPr>
          <w:t>. 99/03, César Fierro (</w:t>
        </w:r>
        <w:r w:rsidR="006F023E">
          <w:rPr>
            <w:rStyle w:val="Hyperlink"/>
            <w:rFonts w:ascii="Cambria" w:hAnsi="Cambria"/>
            <w:color w:val="000000" w:themeColor="text1"/>
            <w:sz w:val="16"/>
            <w:szCs w:val="16"/>
            <w:lang w:val="es-US"/>
          </w:rPr>
          <w:t>Estados Unidos</w:t>
        </w:r>
        <w:r w:rsidRPr="006F023E">
          <w:rPr>
            <w:rStyle w:val="Hyperlink"/>
            <w:rFonts w:ascii="Cambria" w:hAnsi="Cambria"/>
            <w:color w:val="000000" w:themeColor="text1"/>
            <w:sz w:val="16"/>
            <w:szCs w:val="16"/>
            <w:lang w:val="es-US"/>
          </w:rPr>
          <w:t>)</w:t>
        </w:r>
      </w:hyperlink>
      <w:r w:rsidRPr="006F023E">
        <w:rPr>
          <w:rFonts w:ascii="Cambria" w:hAnsi="Cambria"/>
          <w:color w:val="000000" w:themeColor="text1"/>
          <w:sz w:val="16"/>
          <w:szCs w:val="16"/>
          <w:lang w:val="es-US"/>
        </w:rPr>
        <w:t xml:space="preserve">, </w:t>
      </w:r>
      <w:r w:rsidRPr="006F023E">
        <w:rPr>
          <w:rFonts w:ascii="Cambria" w:hAnsi="Cambria"/>
          <w:sz w:val="16"/>
          <w:szCs w:val="16"/>
          <w:lang w:val="es-US"/>
        </w:rPr>
        <w:t xml:space="preserve">para. </w:t>
      </w:r>
      <w:r w:rsidRPr="0093283A">
        <w:rPr>
          <w:rFonts w:ascii="Cambria" w:hAnsi="Cambria"/>
          <w:sz w:val="16"/>
          <w:szCs w:val="16"/>
        </w:rPr>
        <w:t>71.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6D65D" w14:textId="77777777" w:rsidR="008D2C3C" w:rsidRDefault="008D2C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4462B" w14:textId="115828B1" w:rsidR="008D2C3C" w:rsidRDefault="008D2C3C" w:rsidP="008D2C3C">
    <w:pPr>
      <w:pStyle w:val="Header"/>
      <w:jc w:val="center"/>
    </w:pPr>
    <w:r>
      <w:tab/>
    </w:r>
  </w:p>
  <w:p w14:paraId="14CCDFF6" w14:textId="4313D907" w:rsidR="008D2C3C" w:rsidRDefault="008D2C3C" w:rsidP="008D2C3C">
    <w:pPr>
      <w:pStyle w:val="Header"/>
    </w:pPr>
  </w:p>
  <w:p w14:paraId="7478E12D" w14:textId="348E025E" w:rsidR="008D2C3C" w:rsidRDefault="008D2C3C" w:rsidP="008D2C3C">
    <w:pPr>
      <w:pStyle w:val="Header"/>
    </w:pPr>
    <w:r>
      <w:rPr>
        <w:noProof/>
        <w:lang w:val="es-US" w:eastAsia="es-US"/>
      </w:rPr>
      <w:drawing>
        <wp:anchor distT="0" distB="0" distL="114300" distR="114300" simplePos="0" relativeHeight="251664896" behindDoc="0" locked="0" layoutInCell="1" allowOverlap="1" wp14:anchorId="1CDF340A" wp14:editId="10DFB173">
          <wp:simplePos x="0" y="0"/>
          <wp:positionH relativeFrom="column">
            <wp:posOffset>1817370</wp:posOffset>
          </wp:positionH>
          <wp:positionV relativeFrom="paragraph">
            <wp:posOffset>104583</wp:posOffset>
          </wp:positionV>
          <wp:extent cx="2296795" cy="116840"/>
          <wp:effectExtent l="0" t="0" r="8255" b="0"/>
          <wp:wrapNone/>
          <wp:docPr id="6" name="Picture 6"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6795" cy="116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54422A" w14:textId="100BECF4" w:rsidR="00A24EDA" w:rsidRDefault="00975EAC" w:rsidP="00A24EDA">
    <w:pPr>
      <w:pStyle w:val="Header"/>
    </w:pPr>
    <w:r>
      <w:rPr>
        <w:noProof/>
      </w:rPr>
      <w:pict w14:anchorId="341BAB64">
        <v:rect id="_x0000_i1025" alt="" style="width:468pt;height:.05pt;mso-width-percent:0;mso-height-percent:0;mso-width-percent:0;mso-height-percent:0" o:hralign="center" o:hrstd="t" o:hr="t" fillcolor="#a0a0a0" stroked="f"/>
      </w:pict>
    </w:r>
  </w:p>
  <w:p w14:paraId="3CF5317E" w14:textId="1841B19C" w:rsidR="00A24EDA" w:rsidRDefault="00A24E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9A8BA" w14:textId="4DBB3E16" w:rsidR="00025AB1" w:rsidRDefault="00025AB1" w:rsidP="00025AB1">
    <w:pPr>
      <w:pStyle w:val="Header"/>
    </w:pPr>
    <w:r>
      <w:tab/>
    </w:r>
    <w:r>
      <w:tab/>
    </w:r>
  </w:p>
  <w:p w14:paraId="5A9AA516" w14:textId="475784C8" w:rsidR="00025AB1" w:rsidRDefault="008D2C3C" w:rsidP="00025AB1">
    <w:pPr>
      <w:pStyle w:val="Header"/>
    </w:pPr>
    <w:r>
      <w:rPr>
        <w:noProof/>
        <w:lang w:val="es-US" w:eastAsia="es-US"/>
      </w:rPr>
      <w:drawing>
        <wp:anchor distT="0" distB="0" distL="114300" distR="114300" simplePos="0" relativeHeight="251675648" behindDoc="1" locked="0" layoutInCell="1" allowOverlap="1" wp14:anchorId="41C4C5EC" wp14:editId="775F9F2D">
          <wp:simplePos x="0" y="0"/>
          <wp:positionH relativeFrom="column">
            <wp:posOffset>3981450</wp:posOffset>
          </wp:positionH>
          <wp:positionV relativeFrom="paragraph">
            <wp:posOffset>133645</wp:posOffset>
          </wp:positionV>
          <wp:extent cx="1962150" cy="433705"/>
          <wp:effectExtent l="0" t="0" r="0" b="4445"/>
          <wp:wrapThrough wrapText="bothSides">
            <wp:wrapPolygon edited="0">
              <wp:start x="0" y="0"/>
              <wp:lineTo x="0" y="20873"/>
              <wp:lineTo x="21390" y="20873"/>
              <wp:lineTo x="21390" y="0"/>
              <wp:lineTo x="0" y="0"/>
            </wp:wrapPolygon>
          </wp:wrapThrough>
          <wp:docPr id="3" name="Picture 3"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433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59B39A" w14:textId="7E8B76BF" w:rsidR="008D2C3C" w:rsidRDefault="008D2C3C" w:rsidP="00025AB1">
    <w:pPr>
      <w:pStyle w:val="Header"/>
    </w:pPr>
    <w:r>
      <w:rPr>
        <w:noProof/>
        <w:lang w:val="es-US" w:eastAsia="es-US"/>
      </w:rPr>
      <w:drawing>
        <wp:anchor distT="0" distB="0" distL="114300" distR="114300" simplePos="0" relativeHeight="251691008" behindDoc="1" locked="0" layoutInCell="1" allowOverlap="1" wp14:anchorId="704C13F0" wp14:editId="20F85E29">
          <wp:simplePos x="0" y="0"/>
          <wp:positionH relativeFrom="column">
            <wp:posOffset>-4445</wp:posOffset>
          </wp:positionH>
          <wp:positionV relativeFrom="paragraph">
            <wp:posOffset>9525</wp:posOffset>
          </wp:positionV>
          <wp:extent cx="1752600" cy="387350"/>
          <wp:effectExtent l="0" t="0" r="0" b="0"/>
          <wp:wrapThrough wrapText="bothSides">
            <wp:wrapPolygon edited="0">
              <wp:start x="0" y="0"/>
              <wp:lineTo x="0" y="20184"/>
              <wp:lineTo x="21365" y="20184"/>
              <wp:lineTo x="21365" y="0"/>
              <wp:lineTo x="0" y="0"/>
            </wp:wrapPolygon>
          </wp:wrapThrough>
          <wp:docPr id="4" name="Picture 4" descr="IA2018-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2018-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2600" cy="38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98A95F" w14:textId="7FAEEFE0" w:rsidR="008D2C3C" w:rsidRDefault="008D2C3C" w:rsidP="00025AB1">
    <w:pPr>
      <w:pStyle w:val="Header"/>
    </w:pPr>
  </w:p>
  <w:p w14:paraId="79BC1BB3" w14:textId="77777777" w:rsidR="00025AB1" w:rsidRDefault="00975EAC" w:rsidP="00025AB1">
    <w:pPr>
      <w:pStyle w:val="Header"/>
    </w:pPr>
    <w:r>
      <w:rPr>
        <w:noProof/>
      </w:rPr>
      <w:pict w14:anchorId="44FCCB22">
        <v:rect id="_x0000_i1026" alt="" style="width:468pt;height:.05pt;mso-width-percent:0;mso-height-percent:0;mso-width-percent:0;mso-height-percent:0" o:hralign="center" o:hrstd="t" o:hr="t" fillcolor="#a0a0a0" stroked="f"/>
      </w:pict>
    </w:r>
  </w:p>
  <w:p w14:paraId="5E591815" w14:textId="3050910F" w:rsidR="00A24EDA" w:rsidRDefault="00A24EDA" w:rsidP="00A24EDA">
    <w:pPr>
      <w:pStyle w:val="Header"/>
    </w:pPr>
    <w:r>
      <w:rPr>
        <w:snapToGrid w:val="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91889"/>
    <w:multiLevelType w:val="hybridMultilevel"/>
    <w:tmpl w:val="C6E6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050C4"/>
    <w:multiLevelType w:val="hybridMultilevel"/>
    <w:tmpl w:val="2B804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D50E7"/>
    <w:multiLevelType w:val="hybridMultilevel"/>
    <w:tmpl w:val="45600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F6840"/>
    <w:multiLevelType w:val="hybridMultilevel"/>
    <w:tmpl w:val="509018EA"/>
    <w:lvl w:ilvl="0" w:tplc="1D70DBA2">
      <w:start w:val="1"/>
      <w:numFmt w:val="decimal"/>
      <w:lvlText w:val="%1."/>
      <w:lvlJc w:val="left"/>
      <w:pPr>
        <w:tabs>
          <w:tab w:val="num" w:pos="720"/>
        </w:tabs>
        <w:ind w:left="0" w:firstLine="720"/>
      </w:pPr>
      <w:rPr>
        <w:rFonts w:cs="Times New Roman" w:hint="default"/>
        <w:b w:val="0"/>
        <w:i w:val="0"/>
        <w:strike w:val="0"/>
        <w:sz w:val="20"/>
        <w:szCs w:val="20"/>
      </w:rPr>
    </w:lvl>
    <w:lvl w:ilvl="1" w:tplc="04090005">
      <w:start w:val="1"/>
      <w:numFmt w:val="bullet"/>
      <w:lvlText w:val=""/>
      <w:lvlJc w:val="left"/>
      <w:pPr>
        <w:tabs>
          <w:tab w:val="num" w:pos="1440"/>
        </w:tabs>
        <w:ind w:left="1440" w:hanging="360"/>
      </w:pPr>
      <w:rPr>
        <w:rFonts w:ascii="Wingdings" w:hAnsi="Wingdings" w:hint="default"/>
      </w:rPr>
    </w:lvl>
    <w:lvl w:ilvl="2" w:tplc="E16A2C48">
      <w:start w:val="1"/>
      <w:numFmt w:val="decimal"/>
      <w:lvlText w:val="%3."/>
      <w:lvlJc w:val="left"/>
      <w:pPr>
        <w:tabs>
          <w:tab w:val="num" w:pos="1980"/>
        </w:tabs>
        <w:ind w:left="1260" w:firstLine="720"/>
      </w:pPr>
      <w:rPr>
        <w:rFonts w:hint="default"/>
        <w:b w:val="0"/>
        <w:i w:val="0"/>
        <w:sz w:val="20"/>
        <w:szCs w:val="20"/>
      </w:rPr>
    </w:lvl>
    <w:lvl w:ilvl="3" w:tplc="FA309624">
      <w:start w:val="1"/>
      <w:numFmt w:val="decimal"/>
      <w:lvlText w:val="%4."/>
      <w:lvlJc w:val="left"/>
      <w:pPr>
        <w:tabs>
          <w:tab w:val="num" w:pos="720"/>
        </w:tabs>
        <w:ind w:left="0" w:firstLine="720"/>
      </w:pPr>
      <w:rPr>
        <w:rFonts w:ascii="Univers" w:hAnsi="Univers" w:hint="default"/>
        <w:b w:val="0"/>
        <w:i w:val="0"/>
        <w:sz w:val="20"/>
        <w:szCs w:val="2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073007"/>
    <w:multiLevelType w:val="hybridMultilevel"/>
    <w:tmpl w:val="066EE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CB0BBA"/>
    <w:multiLevelType w:val="hybridMultilevel"/>
    <w:tmpl w:val="DE0E5E3E"/>
    <w:lvl w:ilvl="0" w:tplc="DF44F4CC">
      <w:start w:val="619"/>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FC7275"/>
    <w:multiLevelType w:val="hybridMultilevel"/>
    <w:tmpl w:val="C978B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F45527"/>
    <w:multiLevelType w:val="hybridMultilevel"/>
    <w:tmpl w:val="0AACDEDE"/>
    <w:lvl w:ilvl="0" w:tplc="6400DF4A">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4410C8"/>
    <w:multiLevelType w:val="hybridMultilevel"/>
    <w:tmpl w:val="56FA2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BF62D2"/>
    <w:multiLevelType w:val="hybridMultilevel"/>
    <w:tmpl w:val="C1B02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645C0F"/>
    <w:multiLevelType w:val="hybridMultilevel"/>
    <w:tmpl w:val="AE904AB0"/>
    <w:lvl w:ilvl="0" w:tplc="115AF9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7662E5"/>
    <w:multiLevelType w:val="hybridMultilevel"/>
    <w:tmpl w:val="54FCCF88"/>
    <w:lvl w:ilvl="0" w:tplc="BD5E407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AD7891"/>
    <w:multiLevelType w:val="hybridMultilevel"/>
    <w:tmpl w:val="58B6D69A"/>
    <w:lvl w:ilvl="0" w:tplc="8D7C44D6">
      <w:start w:val="59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60A07D1"/>
    <w:multiLevelType w:val="hybridMultilevel"/>
    <w:tmpl w:val="EE085A36"/>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3F7875"/>
    <w:multiLevelType w:val="hybridMultilevel"/>
    <w:tmpl w:val="5DDAF2F6"/>
    <w:lvl w:ilvl="0" w:tplc="498CE1C2">
      <w:start w:val="96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C92294D"/>
    <w:multiLevelType w:val="hybridMultilevel"/>
    <w:tmpl w:val="474EEE5E"/>
    <w:lvl w:ilvl="0" w:tplc="367EFF8C">
      <w:start w:val="1"/>
      <w:numFmt w:val="decimal"/>
      <w:lvlText w:val="%1."/>
      <w:lvlJc w:val="left"/>
      <w:pPr>
        <w:ind w:left="0" w:firstLine="720"/>
      </w:pPr>
      <w:rPr>
        <w:rFonts w:hint="default"/>
        <w:b w:val="0"/>
        <w:color w:val="auto"/>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447F5D"/>
    <w:multiLevelType w:val="multilevel"/>
    <w:tmpl w:val="56FA22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88E27B5"/>
    <w:multiLevelType w:val="hybridMultilevel"/>
    <w:tmpl w:val="225CAD40"/>
    <w:lvl w:ilvl="0" w:tplc="6400DF4A">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1"/>
  </w:num>
  <w:num w:numId="4">
    <w:abstractNumId w:val="4"/>
  </w:num>
  <w:num w:numId="5">
    <w:abstractNumId w:val="19"/>
  </w:num>
  <w:num w:numId="6">
    <w:abstractNumId w:val="6"/>
  </w:num>
  <w:num w:numId="7">
    <w:abstractNumId w:val="13"/>
  </w:num>
  <w:num w:numId="8">
    <w:abstractNumId w:val="15"/>
  </w:num>
  <w:num w:numId="9">
    <w:abstractNumId w:val="10"/>
  </w:num>
  <w:num w:numId="10">
    <w:abstractNumId w:val="5"/>
  </w:num>
  <w:num w:numId="11">
    <w:abstractNumId w:val="1"/>
  </w:num>
  <w:num w:numId="12">
    <w:abstractNumId w:val="2"/>
  </w:num>
  <w:num w:numId="13">
    <w:abstractNumId w:val="7"/>
  </w:num>
  <w:num w:numId="14">
    <w:abstractNumId w:val="16"/>
  </w:num>
  <w:num w:numId="15">
    <w:abstractNumId w:val="12"/>
  </w:num>
  <w:num w:numId="16">
    <w:abstractNumId w:val="9"/>
  </w:num>
  <w:num w:numId="17">
    <w:abstractNumId w:val="17"/>
  </w:num>
  <w:num w:numId="18">
    <w:abstractNumId w:val="8"/>
  </w:num>
  <w:num w:numId="19">
    <w:abstractNumId w:val="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pt-BR"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s-CO" w:vendorID="64" w:dllVersion="131078" w:nlCheck="1" w:checkStyle="0"/>
  <w:activeWritingStyle w:appName="MSWord" w:lang="es-US" w:vendorID="64" w:dllVersion="131078" w:nlCheck="1" w:checkStyle="0"/>
  <w:proofState w:spelling="clean" w:grammar="clean"/>
  <w:defaultTabStop w:val="720"/>
  <w:hyphenationZone w:val="425"/>
  <w:characterSpacingControl w:val="doNotCompress"/>
  <w:hdrShapeDefaults>
    <o:shapedefaults v:ext="edit" spidmax="1638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C43"/>
    <w:rsid w:val="00000E6B"/>
    <w:rsid w:val="00003997"/>
    <w:rsid w:val="000169F7"/>
    <w:rsid w:val="00022224"/>
    <w:rsid w:val="00025AB1"/>
    <w:rsid w:val="00084536"/>
    <w:rsid w:val="000C0C70"/>
    <w:rsid w:val="000C2D9A"/>
    <w:rsid w:val="000C43F9"/>
    <w:rsid w:val="000C7F61"/>
    <w:rsid w:val="000E425B"/>
    <w:rsid w:val="000E7EA7"/>
    <w:rsid w:val="001046C7"/>
    <w:rsid w:val="00124918"/>
    <w:rsid w:val="00124A72"/>
    <w:rsid w:val="001254D7"/>
    <w:rsid w:val="00152E1B"/>
    <w:rsid w:val="00165643"/>
    <w:rsid w:val="001801F2"/>
    <w:rsid w:val="00180C43"/>
    <w:rsid w:val="00192D88"/>
    <w:rsid w:val="001968F6"/>
    <w:rsid w:val="001A1CD5"/>
    <w:rsid w:val="001B0EBE"/>
    <w:rsid w:val="001B4C37"/>
    <w:rsid w:val="001B4FA8"/>
    <w:rsid w:val="001C34AC"/>
    <w:rsid w:val="001C54B3"/>
    <w:rsid w:val="001E151B"/>
    <w:rsid w:val="001F19A2"/>
    <w:rsid w:val="00204FD0"/>
    <w:rsid w:val="00205338"/>
    <w:rsid w:val="002158D0"/>
    <w:rsid w:val="002435AD"/>
    <w:rsid w:val="002459CD"/>
    <w:rsid w:val="00256704"/>
    <w:rsid w:val="002818D8"/>
    <w:rsid w:val="00281BE0"/>
    <w:rsid w:val="002B58CE"/>
    <w:rsid w:val="002C0DE6"/>
    <w:rsid w:val="00313A05"/>
    <w:rsid w:val="00324229"/>
    <w:rsid w:val="003307EE"/>
    <w:rsid w:val="00335613"/>
    <w:rsid w:val="00340A4F"/>
    <w:rsid w:val="00350B09"/>
    <w:rsid w:val="00366EC2"/>
    <w:rsid w:val="00371FE6"/>
    <w:rsid w:val="003766A6"/>
    <w:rsid w:val="00395E4E"/>
    <w:rsid w:val="0039702A"/>
    <w:rsid w:val="003A4793"/>
    <w:rsid w:val="003A592B"/>
    <w:rsid w:val="003B7C13"/>
    <w:rsid w:val="003C0646"/>
    <w:rsid w:val="003D335B"/>
    <w:rsid w:val="003D4732"/>
    <w:rsid w:val="003E3E98"/>
    <w:rsid w:val="00403904"/>
    <w:rsid w:val="00441607"/>
    <w:rsid w:val="0045410A"/>
    <w:rsid w:val="004661A0"/>
    <w:rsid w:val="004710C8"/>
    <w:rsid w:val="004934C7"/>
    <w:rsid w:val="004A272A"/>
    <w:rsid w:val="004B1823"/>
    <w:rsid w:val="004B1D9C"/>
    <w:rsid w:val="004C4244"/>
    <w:rsid w:val="004D1600"/>
    <w:rsid w:val="004D1747"/>
    <w:rsid w:val="004D7151"/>
    <w:rsid w:val="004E37D7"/>
    <w:rsid w:val="00505FD0"/>
    <w:rsid w:val="00511249"/>
    <w:rsid w:val="00513F13"/>
    <w:rsid w:val="00533CE8"/>
    <w:rsid w:val="00534CBF"/>
    <w:rsid w:val="005428FC"/>
    <w:rsid w:val="00545708"/>
    <w:rsid w:val="0056071B"/>
    <w:rsid w:val="005C42F8"/>
    <w:rsid w:val="005C722B"/>
    <w:rsid w:val="005E466A"/>
    <w:rsid w:val="005F2C30"/>
    <w:rsid w:val="00662C54"/>
    <w:rsid w:val="00687310"/>
    <w:rsid w:val="00694BD2"/>
    <w:rsid w:val="006A6C31"/>
    <w:rsid w:val="006B0687"/>
    <w:rsid w:val="006C3865"/>
    <w:rsid w:val="006D418B"/>
    <w:rsid w:val="006F023E"/>
    <w:rsid w:val="006F1423"/>
    <w:rsid w:val="006F37AD"/>
    <w:rsid w:val="00714956"/>
    <w:rsid w:val="00724CD6"/>
    <w:rsid w:val="00730CC7"/>
    <w:rsid w:val="00732058"/>
    <w:rsid w:val="00746A6B"/>
    <w:rsid w:val="007512A0"/>
    <w:rsid w:val="00766112"/>
    <w:rsid w:val="00785CBF"/>
    <w:rsid w:val="00785D91"/>
    <w:rsid w:val="00791DFF"/>
    <w:rsid w:val="00797722"/>
    <w:rsid w:val="007B080D"/>
    <w:rsid w:val="007E01C5"/>
    <w:rsid w:val="007E25D3"/>
    <w:rsid w:val="007E6B2D"/>
    <w:rsid w:val="007E6EC8"/>
    <w:rsid w:val="00803EAA"/>
    <w:rsid w:val="0082274A"/>
    <w:rsid w:val="008571EE"/>
    <w:rsid w:val="00877838"/>
    <w:rsid w:val="00877932"/>
    <w:rsid w:val="00880581"/>
    <w:rsid w:val="00886D33"/>
    <w:rsid w:val="008B1AEF"/>
    <w:rsid w:val="008B560B"/>
    <w:rsid w:val="008C5DDA"/>
    <w:rsid w:val="008D2C3C"/>
    <w:rsid w:val="008D4668"/>
    <w:rsid w:val="008F4D6B"/>
    <w:rsid w:val="009008C4"/>
    <w:rsid w:val="009068E6"/>
    <w:rsid w:val="0091210F"/>
    <w:rsid w:val="00915289"/>
    <w:rsid w:val="009213F8"/>
    <w:rsid w:val="0093283A"/>
    <w:rsid w:val="009469BE"/>
    <w:rsid w:val="00947A81"/>
    <w:rsid w:val="0095427B"/>
    <w:rsid w:val="00957702"/>
    <w:rsid w:val="00966A3F"/>
    <w:rsid w:val="0097137C"/>
    <w:rsid w:val="00971ABC"/>
    <w:rsid w:val="00975EAC"/>
    <w:rsid w:val="00981E79"/>
    <w:rsid w:val="0099198F"/>
    <w:rsid w:val="009A6984"/>
    <w:rsid w:val="009C6463"/>
    <w:rsid w:val="009F4E1C"/>
    <w:rsid w:val="00A00AA1"/>
    <w:rsid w:val="00A0225B"/>
    <w:rsid w:val="00A24EDA"/>
    <w:rsid w:val="00A3157D"/>
    <w:rsid w:val="00A42463"/>
    <w:rsid w:val="00A538D1"/>
    <w:rsid w:val="00A53B3B"/>
    <w:rsid w:val="00A556D8"/>
    <w:rsid w:val="00A55C41"/>
    <w:rsid w:val="00A74C2D"/>
    <w:rsid w:val="00AA0E62"/>
    <w:rsid w:val="00AA26AC"/>
    <w:rsid w:val="00AC21B5"/>
    <w:rsid w:val="00AE4BE9"/>
    <w:rsid w:val="00AE5518"/>
    <w:rsid w:val="00AF7B7A"/>
    <w:rsid w:val="00B14B45"/>
    <w:rsid w:val="00B243D0"/>
    <w:rsid w:val="00B2555B"/>
    <w:rsid w:val="00B34CFE"/>
    <w:rsid w:val="00B3710A"/>
    <w:rsid w:val="00B37AF9"/>
    <w:rsid w:val="00B607BF"/>
    <w:rsid w:val="00B8087B"/>
    <w:rsid w:val="00BA34E5"/>
    <w:rsid w:val="00BC2955"/>
    <w:rsid w:val="00BC5A58"/>
    <w:rsid w:val="00BE6253"/>
    <w:rsid w:val="00BE783C"/>
    <w:rsid w:val="00C01CA1"/>
    <w:rsid w:val="00C03755"/>
    <w:rsid w:val="00C119BC"/>
    <w:rsid w:val="00C20691"/>
    <w:rsid w:val="00C70111"/>
    <w:rsid w:val="00C722CD"/>
    <w:rsid w:val="00C83BF2"/>
    <w:rsid w:val="00C878E7"/>
    <w:rsid w:val="00C937D9"/>
    <w:rsid w:val="00CA1C7C"/>
    <w:rsid w:val="00CA7873"/>
    <w:rsid w:val="00CC2C92"/>
    <w:rsid w:val="00CD0219"/>
    <w:rsid w:val="00CD1148"/>
    <w:rsid w:val="00CE6540"/>
    <w:rsid w:val="00D17BC7"/>
    <w:rsid w:val="00D231E6"/>
    <w:rsid w:val="00D31A6F"/>
    <w:rsid w:val="00D32543"/>
    <w:rsid w:val="00D52D18"/>
    <w:rsid w:val="00D57651"/>
    <w:rsid w:val="00D61A5D"/>
    <w:rsid w:val="00D715C1"/>
    <w:rsid w:val="00D86A0F"/>
    <w:rsid w:val="00D871A7"/>
    <w:rsid w:val="00DA6C31"/>
    <w:rsid w:val="00DB1FCF"/>
    <w:rsid w:val="00DC325E"/>
    <w:rsid w:val="00DC47DC"/>
    <w:rsid w:val="00DD42C2"/>
    <w:rsid w:val="00DD7DB4"/>
    <w:rsid w:val="00DE018A"/>
    <w:rsid w:val="00DF770C"/>
    <w:rsid w:val="00E06196"/>
    <w:rsid w:val="00E16D3D"/>
    <w:rsid w:val="00E2091D"/>
    <w:rsid w:val="00E22443"/>
    <w:rsid w:val="00E324A5"/>
    <w:rsid w:val="00E3379B"/>
    <w:rsid w:val="00E3607A"/>
    <w:rsid w:val="00E555F7"/>
    <w:rsid w:val="00E71E7E"/>
    <w:rsid w:val="00EA30B7"/>
    <w:rsid w:val="00ED14FB"/>
    <w:rsid w:val="00ED78ED"/>
    <w:rsid w:val="00F1530D"/>
    <w:rsid w:val="00F23E1C"/>
    <w:rsid w:val="00F25AFD"/>
    <w:rsid w:val="00F42C36"/>
    <w:rsid w:val="00F7150F"/>
    <w:rsid w:val="00F8580E"/>
    <w:rsid w:val="00F8680E"/>
    <w:rsid w:val="00F87047"/>
    <w:rsid w:val="00FA1CD1"/>
    <w:rsid w:val="00FB5FEB"/>
    <w:rsid w:val="00FC4851"/>
    <w:rsid w:val="00FE6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7"/>
    <o:shapelayout v:ext="edit">
      <o:idmap v:ext="edit" data="1"/>
    </o:shapelayout>
  </w:shapeDefaults>
  <w:decimalSymbol w:val="."/>
  <w:listSeparator w:val=","/>
  <w14:docId w14:val="50C888AD"/>
  <w15:docId w15:val="{9A4537BE-13D4-4A24-BB8B-85AEFDE54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5C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D715C1"/>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D715C1"/>
    <w:rPr>
      <w:rFonts w:ascii="Times New Roman" w:eastAsia="Calibri" w:hAnsi="Times New Roman" w:cs="Times New Roman"/>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iPriority w:val="99"/>
    <w:unhideWhenUsed/>
    <w:qFormat/>
    <w:rsid w:val="00D715C1"/>
    <w:rPr>
      <w:vertAlign w:val="superscript"/>
    </w:rPr>
  </w:style>
  <w:style w:type="paragraph" w:customStyle="1" w:styleId="Appelnotedebasde">
    <w:name w:val="Appel note de bas de..."/>
    <w:basedOn w:val="Normal"/>
    <w:link w:val="FootnoteReference"/>
    <w:uiPriority w:val="99"/>
    <w:rsid w:val="00D715C1"/>
    <w:pPr>
      <w:spacing w:after="160" w:line="240" w:lineRule="exact"/>
    </w:pPr>
    <w:rPr>
      <w:rFonts w:asciiTheme="minorHAnsi" w:eastAsiaTheme="minorHAnsi" w:hAnsiTheme="minorHAnsi" w:cstheme="minorBidi"/>
      <w:vertAlign w:val="superscript"/>
    </w:rPr>
  </w:style>
  <w:style w:type="paragraph" w:styleId="ListParagraph">
    <w:name w:val="List Paragraph"/>
    <w:aliases w:val="Párrafo de lista1,List Paragraph1,Colorful List - Accent 11,List Paragraph11"/>
    <w:basedOn w:val="Normal"/>
    <w:link w:val="ListParagraphChar"/>
    <w:uiPriority w:val="34"/>
    <w:qFormat/>
    <w:rsid w:val="00D715C1"/>
    <w:pPr>
      <w:ind w:left="720"/>
      <w:contextualSpacing/>
    </w:pPr>
  </w:style>
  <w:style w:type="character" w:styleId="Hyperlink">
    <w:name w:val="Hyperlink"/>
    <w:basedOn w:val="DefaultParagraphFont"/>
    <w:uiPriority w:val="99"/>
    <w:unhideWhenUsed/>
    <w:rsid w:val="001E151B"/>
    <w:rPr>
      <w:color w:val="0563C1" w:themeColor="hyperlink"/>
      <w:u w:val="single"/>
    </w:rPr>
  </w:style>
  <w:style w:type="paragraph" w:styleId="Header">
    <w:name w:val="header"/>
    <w:basedOn w:val="Normal"/>
    <w:link w:val="HeaderChar"/>
    <w:uiPriority w:val="99"/>
    <w:unhideWhenUsed/>
    <w:rsid w:val="00857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1EE"/>
    <w:rPr>
      <w:rFonts w:ascii="Calibri" w:eastAsia="Calibri" w:hAnsi="Calibri" w:cs="Times New Roman"/>
    </w:rPr>
  </w:style>
  <w:style w:type="character" w:styleId="FollowedHyperlink">
    <w:name w:val="FollowedHyperlink"/>
    <w:basedOn w:val="DefaultParagraphFont"/>
    <w:uiPriority w:val="99"/>
    <w:semiHidden/>
    <w:unhideWhenUsed/>
    <w:rsid w:val="001C54B3"/>
    <w:rPr>
      <w:color w:val="954F72" w:themeColor="followedHyperlink"/>
      <w:u w:val="single"/>
    </w:rPr>
  </w:style>
  <w:style w:type="paragraph" w:styleId="BlockText">
    <w:name w:val="Block Text"/>
    <w:basedOn w:val="Normal"/>
    <w:uiPriority w:val="99"/>
    <w:rsid w:val="00441607"/>
    <w:pPr>
      <w:spacing w:before="100" w:beforeAutospacing="1" w:after="100" w:afterAutospacing="1" w:line="240" w:lineRule="auto"/>
    </w:pPr>
    <w:rPr>
      <w:rFonts w:ascii="Times New Roman" w:eastAsia="Times New Roman" w:hAnsi="Times New Roman"/>
      <w:sz w:val="24"/>
      <w:szCs w:val="24"/>
    </w:rPr>
  </w:style>
  <w:style w:type="paragraph" w:styleId="BodyTextIndent">
    <w:name w:val="Body Text Indent"/>
    <w:basedOn w:val="Normal"/>
    <w:link w:val="BodyTextIndentChar"/>
    <w:rsid w:val="00441607"/>
    <w:pPr>
      <w:spacing w:after="120" w:line="240" w:lineRule="auto"/>
      <w:ind w:left="360"/>
    </w:pPr>
    <w:rPr>
      <w:rFonts w:ascii="Times New Roman" w:eastAsia="Times New Roman" w:hAnsi="Times New Roman"/>
      <w:sz w:val="24"/>
      <w:szCs w:val="24"/>
      <w:lang w:val="x-none" w:eastAsia="x-none"/>
    </w:rPr>
  </w:style>
  <w:style w:type="character" w:customStyle="1" w:styleId="BodyTextIndentChar">
    <w:name w:val="Body Text Indent Char"/>
    <w:basedOn w:val="DefaultParagraphFont"/>
    <w:link w:val="BodyTextIndent"/>
    <w:rsid w:val="00441607"/>
    <w:rPr>
      <w:rFonts w:ascii="Times New Roman" w:eastAsia="Times New Roman" w:hAnsi="Times New Roman" w:cs="Times New Roman"/>
      <w:sz w:val="24"/>
      <w:szCs w:val="24"/>
      <w:lang w:val="x-none" w:eastAsia="x-non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441607"/>
    <w:rPr>
      <w:rFonts w:ascii="Calibri" w:eastAsia="Calibri" w:hAnsi="Calibri" w:cs="Times New Roman"/>
    </w:rPr>
  </w:style>
  <w:style w:type="paragraph" w:styleId="BodyText">
    <w:name w:val="Body Text"/>
    <w:basedOn w:val="Normal"/>
    <w:link w:val="BodyTextChar"/>
    <w:uiPriority w:val="99"/>
    <w:semiHidden/>
    <w:unhideWhenUsed/>
    <w:rsid w:val="00441607"/>
    <w:pPr>
      <w:spacing w:after="120"/>
    </w:pPr>
  </w:style>
  <w:style w:type="character" w:customStyle="1" w:styleId="BodyTextChar">
    <w:name w:val="Body Text Char"/>
    <w:basedOn w:val="DefaultParagraphFont"/>
    <w:link w:val="BodyText"/>
    <w:uiPriority w:val="99"/>
    <w:semiHidden/>
    <w:rsid w:val="00441607"/>
    <w:rPr>
      <w:rFonts w:ascii="Calibri" w:eastAsia="Calibri" w:hAnsi="Calibri" w:cs="Times New Roman"/>
    </w:rPr>
  </w:style>
  <w:style w:type="paragraph" w:styleId="BodyTextIndent3">
    <w:name w:val="Body Text Indent 3"/>
    <w:basedOn w:val="Normal"/>
    <w:link w:val="BodyTextIndent3Char"/>
    <w:uiPriority w:val="99"/>
    <w:semiHidden/>
    <w:unhideWhenUsed/>
    <w:rsid w:val="0044160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41607"/>
    <w:rPr>
      <w:rFonts w:ascii="Calibri" w:eastAsia="Calibri" w:hAnsi="Calibri" w:cs="Times New Roman"/>
      <w:sz w:val="16"/>
      <w:szCs w:val="16"/>
    </w:rPr>
  </w:style>
  <w:style w:type="paragraph" w:styleId="NormalWeb">
    <w:name w:val="Normal (Web)"/>
    <w:basedOn w:val="Normal"/>
    <w:uiPriority w:val="99"/>
    <w:semiHidden/>
    <w:unhideWhenUsed/>
    <w:rsid w:val="00441607"/>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80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1F2"/>
    <w:rPr>
      <w:rFonts w:ascii="Tahoma" w:eastAsia="Calibri" w:hAnsi="Tahoma" w:cs="Tahoma"/>
      <w:sz w:val="16"/>
      <w:szCs w:val="16"/>
    </w:rPr>
  </w:style>
  <w:style w:type="paragraph" w:styleId="Footer">
    <w:name w:val="footer"/>
    <w:basedOn w:val="Normal"/>
    <w:link w:val="FooterChar"/>
    <w:uiPriority w:val="99"/>
    <w:unhideWhenUsed/>
    <w:rsid w:val="000C4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3F9"/>
    <w:rPr>
      <w:rFonts w:ascii="Calibri" w:eastAsia="Calibri" w:hAnsi="Calibri" w:cs="Times New Roman"/>
    </w:rPr>
  </w:style>
  <w:style w:type="character" w:styleId="CommentReference">
    <w:name w:val="annotation reference"/>
    <w:basedOn w:val="DefaultParagraphFont"/>
    <w:uiPriority w:val="99"/>
    <w:semiHidden/>
    <w:unhideWhenUsed/>
    <w:rsid w:val="00D61A5D"/>
    <w:rPr>
      <w:sz w:val="16"/>
      <w:szCs w:val="16"/>
    </w:rPr>
  </w:style>
  <w:style w:type="paragraph" w:styleId="CommentText">
    <w:name w:val="annotation text"/>
    <w:basedOn w:val="Normal"/>
    <w:link w:val="CommentTextChar"/>
    <w:uiPriority w:val="99"/>
    <w:semiHidden/>
    <w:unhideWhenUsed/>
    <w:rsid w:val="00D61A5D"/>
    <w:pPr>
      <w:spacing w:line="240" w:lineRule="auto"/>
    </w:pPr>
    <w:rPr>
      <w:sz w:val="20"/>
      <w:szCs w:val="20"/>
    </w:rPr>
  </w:style>
  <w:style w:type="character" w:customStyle="1" w:styleId="CommentTextChar">
    <w:name w:val="Comment Text Char"/>
    <w:basedOn w:val="DefaultParagraphFont"/>
    <w:link w:val="CommentText"/>
    <w:uiPriority w:val="99"/>
    <w:semiHidden/>
    <w:rsid w:val="00D61A5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61A5D"/>
    <w:rPr>
      <w:b/>
      <w:bCs/>
    </w:rPr>
  </w:style>
  <w:style w:type="character" w:customStyle="1" w:styleId="CommentSubjectChar">
    <w:name w:val="Comment Subject Char"/>
    <w:basedOn w:val="CommentTextChar"/>
    <w:link w:val="CommentSubject"/>
    <w:uiPriority w:val="99"/>
    <w:semiHidden/>
    <w:rsid w:val="00D61A5D"/>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43809">
      <w:bodyDiv w:val="1"/>
      <w:marLeft w:val="0"/>
      <w:marRight w:val="0"/>
      <w:marTop w:val="0"/>
      <w:marBottom w:val="0"/>
      <w:divBdr>
        <w:top w:val="none" w:sz="0" w:space="0" w:color="auto"/>
        <w:left w:val="none" w:sz="0" w:space="0" w:color="auto"/>
        <w:bottom w:val="none" w:sz="0" w:space="0" w:color="auto"/>
        <w:right w:val="none" w:sz="0" w:space="0" w:color="auto"/>
      </w:divBdr>
    </w:div>
    <w:div w:id="341855787">
      <w:bodyDiv w:val="1"/>
      <w:marLeft w:val="0"/>
      <w:marRight w:val="0"/>
      <w:marTop w:val="0"/>
      <w:marBottom w:val="0"/>
      <w:divBdr>
        <w:top w:val="none" w:sz="0" w:space="0" w:color="auto"/>
        <w:left w:val="none" w:sz="0" w:space="0" w:color="auto"/>
        <w:bottom w:val="none" w:sz="0" w:space="0" w:color="auto"/>
        <w:right w:val="none" w:sz="0" w:space="0" w:color="auto"/>
      </w:divBdr>
    </w:div>
    <w:div w:id="470294464">
      <w:bodyDiv w:val="1"/>
      <w:marLeft w:val="0"/>
      <w:marRight w:val="0"/>
      <w:marTop w:val="0"/>
      <w:marBottom w:val="0"/>
      <w:divBdr>
        <w:top w:val="none" w:sz="0" w:space="0" w:color="auto"/>
        <w:left w:val="none" w:sz="0" w:space="0" w:color="auto"/>
        <w:bottom w:val="none" w:sz="0" w:space="0" w:color="auto"/>
        <w:right w:val="none" w:sz="0" w:space="0" w:color="auto"/>
      </w:divBdr>
    </w:div>
    <w:div w:id="1299073888">
      <w:bodyDiv w:val="1"/>
      <w:marLeft w:val="0"/>
      <w:marRight w:val="0"/>
      <w:marTop w:val="0"/>
      <w:marBottom w:val="0"/>
      <w:divBdr>
        <w:top w:val="none" w:sz="0" w:space="0" w:color="auto"/>
        <w:left w:val="none" w:sz="0" w:space="0" w:color="auto"/>
        <w:bottom w:val="none" w:sz="0" w:space="0" w:color="auto"/>
        <w:right w:val="none" w:sz="0" w:space="0" w:color="auto"/>
      </w:divBdr>
    </w:div>
    <w:div w:id="1561088611">
      <w:bodyDiv w:val="1"/>
      <w:marLeft w:val="0"/>
      <w:marRight w:val="0"/>
      <w:marTop w:val="0"/>
      <w:marBottom w:val="0"/>
      <w:divBdr>
        <w:top w:val="none" w:sz="0" w:space="0" w:color="auto"/>
        <w:left w:val="none" w:sz="0" w:space="0" w:color="auto"/>
        <w:bottom w:val="none" w:sz="0" w:space="0" w:color="auto"/>
        <w:right w:val="none" w:sz="0" w:space="0" w:color="auto"/>
      </w:divBdr>
    </w:div>
    <w:div w:id="162380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h.oas.org/annualrep/2003sp/EEUU.11331.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decisiones/2011/CAPU12586ES.doc" TargetMode="External"/><Relationship Id="rId3" Type="http://schemas.openxmlformats.org/officeDocument/2006/relationships/hyperlink" Target="http://www.ca5.uscourts.gov/opinions%5Cunpub%5C07/07-50336.0.wpd.pdf" TargetMode="External"/><Relationship Id="rId7" Type="http://schemas.openxmlformats.org/officeDocument/2006/relationships/hyperlink" Target="http://www.oas.org/es/cidh/informes/pdfs/Hacia-cierre-Guantanamo.pdfhttp:/www.oas.org/es/cidh/informes/pdfs/Hacia-cierre-Guantanamo.pdf" TargetMode="External"/><Relationship Id="rId12" Type="http://schemas.openxmlformats.org/officeDocument/2006/relationships/hyperlink" Target="http://www.cidh.oas.org/annualrep/2003sp/EEUU.11331.htm" TargetMode="External"/><Relationship Id="rId2" Type="http://schemas.openxmlformats.org/officeDocument/2006/relationships/hyperlink" Target="https://www.icj-cij.org/en/case/128/judgments" TargetMode="External"/><Relationship Id="rId1" Type="http://schemas.openxmlformats.org/officeDocument/2006/relationships/hyperlink" Target="https://supreme.justia.com/cases/federal/us/554/759/" TargetMode="External"/><Relationship Id="rId6" Type="http://schemas.openxmlformats.org/officeDocument/2006/relationships/hyperlink" Target="file:///C:\Users\CIDHINT17\Downloads\USPU12626ES.doc" TargetMode="External"/><Relationship Id="rId11" Type="http://schemas.openxmlformats.org/officeDocument/2006/relationships/hyperlink" Target="http://www.cidh.org/annualrep/2010eng/Chap.III.D.doc" TargetMode="External"/><Relationship Id="rId5" Type="http://schemas.openxmlformats.org/officeDocument/2006/relationships/hyperlink" Target="http://www.oas.org/es/cidh/decisiones/2014/USPU12873ES.pdf" TargetMode="External"/><Relationship Id="rId10" Type="http://schemas.openxmlformats.org/officeDocument/2006/relationships/hyperlink" Target="http://www.cidh.org/annualrep/2010eng/Chap.III.D.doc" TargetMode="External"/><Relationship Id="rId4" Type="http://schemas.openxmlformats.org/officeDocument/2006/relationships/hyperlink" Target="file:///C:\Users\CIDHINT17\Downloads\Cap3D.doc" TargetMode="External"/><Relationship Id="rId9" Type="http://schemas.openxmlformats.org/officeDocument/2006/relationships/hyperlink" Target="file:///C:\Users\CIDHINT17\Downloads\Cap3D.do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D666C-2DD8-4DE4-AC47-E8C346DBD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2284</Words>
  <Characters>12564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CIDH Intern 17 (Rocha, Thais)</dc:creator>
  <cp:keywords/>
  <dc:description/>
  <cp:lastModifiedBy>Dos Anjos, Fernanda</cp:lastModifiedBy>
  <cp:revision>9</cp:revision>
  <dcterms:created xsi:type="dcterms:W3CDTF">2019-03-15T19:59:00Z</dcterms:created>
  <dcterms:modified xsi:type="dcterms:W3CDTF">2019-03-16T14:43:00Z</dcterms:modified>
</cp:coreProperties>
</file>