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82CD9" w14:textId="6BFA20AE" w:rsidR="00C14908" w:rsidRPr="00601F17" w:rsidRDefault="000B3F0A" w:rsidP="00C14908">
      <w:pPr>
        <w:pStyle w:val="NoSpacing"/>
        <w:ind w:left="-450" w:right="-450"/>
        <w:jc w:val="center"/>
        <w:rPr>
          <w:rFonts w:ascii="Cambria" w:hAnsi="Cambria"/>
          <w:b/>
          <w:sz w:val="20"/>
          <w:szCs w:val="20"/>
          <w:lang w:val="es-ES"/>
        </w:rPr>
      </w:pPr>
      <w:r w:rsidRPr="00601F17">
        <w:rPr>
          <w:rFonts w:ascii="Cambria" w:hAnsi="Cambria"/>
          <w:b/>
          <w:sz w:val="20"/>
          <w:szCs w:val="20"/>
          <w:lang w:val="es-ES"/>
        </w:rPr>
        <w:t xml:space="preserve">FICHA DE SEGUIMIENTO DEL INFORME </w:t>
      </w:r>
      <w:r w:rsidR="0031135D" w:rsidRPr="00601F17">
        <w:rPr>
          <w:rFonts w:ascii="Cambria" w:hAnsi="Cambria"/>
          <w:b/>
          <w:sz w:val="20"/>
          <w:szCs w:val="20"/>
          <w:lang w:val="es-ES"/>
        </w:rPr>
        <w:t>N</w:t>
      </w:r>
      <w:r w:rsidR="00C14908" w:rsidRPr="00601F17">
        <w:rPr>
          <w:rFonts w:ascii="Cambria" w:hAnsi="Cambria"/>
          <w:b/>
          <w:sz w:val="20"/>
          <w:szCs w:val="20"/>
          <w:lang w:val="es-ES"/>
        </w:rPr>
        <w:t xml:space="preserve">º </w:t>
      </w:r>
      <w:r w:rsidR="00C14908" w:rsidRPr="00601F17">
        <w:rPr>
          <w:rFonts w:ascii="Cambria" w:hAnsi="Cambria" w:cs="Calibri"/>
          <w:b/>
          <w:bCs/>
          <w:sz w:val="20"/>
          <w:szCs w:val="20"/>
          <w:lang w:val="es-ES"/>
        </w:rPr>
        <w:t>101/17</w:t>
      </w:r>
    </w:p>
    <w:p w14:paraId="283D4F35" w14:textId="12B422D5" w:rsidR="00C14908" w:rsidRPr="00601F17" w:rsidRDefault="000B3F0A" w:rsidP="00C14908">
      <w:pPr>
        <w:pStyle w:val="NoSpacing"/>
        <w:ind w:left="-450" w:right="-450"/>
        <w:jc w:val="center"/>
        <w:rPr>
          <w:rFonts w:ascii="Cambria" w:hAnsi="Cambria"/>
          <w:b/>
          <w:sz w:val="20"/>
          <w:szCs w:val="20"/>
          <w:lang w:val="es-ES"/>
        </w:rPr>
      </w:pPr>
      <w:r w:rsidRPr="00601F17">
        <w:rPr>
          <w:rFonts w:ascii="Cambria" w:hAnsi="Cambria"/>
          <w:b/>
          <w:sz w:val="20"/>
          <w:szCs w:val="20"/>
          <w:lang w:val="es-ES"/>
        </w:rPr>
        <w:t xml:space="preserve">CASO </w:t>
      </w:r>
      <w:r w:rsidR="00C14908" w:rsidRPr="00601F17">
        <w:rPr>
          <w:rFonts w:ascii="Cambria" w:hAnsi="Cambria"/>
          <w:b/>
          <w:sz w:val="20"/>
          <w:szCs w:val="20"/>
          <w:lang w:val="es-ES"/>
        </w:rPr>
        <w:t>12.414</w:t>
      </w:r>
    </w:p>
    <w:p w14:paraId="53147DF1" w14:textId="702F02B1" w:rsidR="00C14908" w:rsidRPr="00601F17" w:rsidRDefault="000B3F0A" w:rsidP="00C14908">
      <w:pPr>
        <w:pStyle w:val="NoSpacing"/>
        <w:ind w:left="-450" w:right="-450"/>
        <w:jc w:val="center"/>
        <w:rPr>
          <w:rFonts w:ascii="Cambria" w:hAnsi="Cambria"/>
          <w:b/>
          <w:sz w:val="20"/>
          <w:szCs w:val="20"/>
          <w:lang w:val="es-ES"/>
        </w:rPr>
      </w:pPr>
      <w:r w:rsidRPr="00601F17">
        <w:rPr>
          <w:rFonts w:ascii="Cambria" w:hAnsi="Cambria"/>
          <w:b/>
          <w:sz w:val="20"/>
          <w:szCs w:val="20"/>
          <w:lang w:val="es-ES"/>
        </w:rPr>
        <w:t>ALCIDES TORRES ARIAS, ÁNGEL DAVID QUINTERO Y OTROS</w:t>
      </w:r>
    </w:p>
    <w:p w14:paraId="543070A6" w14:textId="77777777" w:rsidR="00C14908" w:rsidRPr="00601F17" w:rsidRDefault="00C14908" w:rsidP="00C14908">
      <w:pPr>
        <w:pStyle w:val="NoSpacing"/>
        <w:ind w:left="-450" w:right="-450"/>
        <w:jc w:val="center"/>
        <w:rPr>
          <w:rFonts w:ascii="Cambria" w:hAnsi="Cambria"/>
          <w:b/>
          <w:sz w:val="20"/>
          <w:szCs w:val="20"/>
          <w:lang w:val="es-ES"/>
        </w:rPr>
      </w:pPr>
      <w:r w:rsidRPr="00601F17">
        <w:rPr>
          <w:rFonts w:ascii="Cambria" w:hAnsi="Cambria"/>
          <w:b/>
          <w:sz w:val="20"/>
          <w:szCs w:val="20"/>
          <w:lang w:val="es-ES"/>
        </w:rPr>
        <w:t>(Colombia)</w:t>
      </w:r>
    </w:p>
    <w:p w14:paraId="615E71EF" w14:textId="77777777" w:rsidR="00C14908" w:rsidRPr="004956D7" w:rsidRDefault="00C14908" w:rsidP="00C14908">
      <w:pPr>
        <w:pStyle w:val="NoSpacing"/>
        <w:jc w:val="center"/>
        <w:rPr>
          <w:rFonts w:ascii="Cambria" w:hAnsi="Cambria"/>
          <w:b/>
          <w:sz w:val="20"/>
          <w:szCs w:val="20"/>
          <w:lang w:val="es-ES"/>
        </w:rPr>
      </w:pPr>
    </w:p>
    <w:p w14:paraId="7F45D1A9" w14:textId="77777777" w:rsidR="00C14908" w:rsidRPr="004956D7" w:rsidRDefault="00C14908" w:rsidP="000B3F0A">
      <w:pPr>
        <w:numPr>
          <w:ilvl w:val="0"/>
          <w:numId w:val="1"/>
        </w:numPr>
        <w:spacing w:after="0" w:line="240" w:lineRule="auto"/>
        <w:ind w:left="1440"/>
        <w:rPr>
          <w:rFonts w:ascii="Cambria" w:hAnsi="Cambria" w:cs="Calibri Light"/>
          <w:b/>
          <w:sz w:val="20"/>
          <w:szCs w:val="20"/>
          <w:lang w:val="es-US"/>
        </w:rPr>
      </w:pPr>
      <w:r w:rsidRPr="004956D7">
        <w:rPr>
          <w:rFonts w:ascii="Cambria" w:hAnsi="Cambria" w:cs="Calibri Light"/>
          <w:b/>
          <w:sz w:val="20"/>
          <w:szCs w:val="20"/>
          <w:lang w:val="es-US"/>
        </w:rPr>
        <w:t xml:space="preserve">Resumen del caso </w:t>
      </w:r>
    </w:p>
    <w:p w14:paraId="3489398E" w14:textId="77777777" w:rsidR="00C14908" w:rsidRPr="004956D7" w:rsidRDefault="00C14908" w:rsidP="00C14908">
      <w:pPr>
        <w:spacing w:after="0" w:line="240" w:lineRule="auto"/>
        <w:ind w:left="1080"/>
        <w:rPr>
          <w:rFonts w:ascii="Cambria" w:hAnsi="Cambria" w:cs="Calibri Light"/>
          <w:b/>
          <w:sz w:val="20"/>
          <w:szCs w:val="20"/>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C14908" w:rsidRPr="00EF24DC" w14:paraId="0B78887F" w14:textId="77777777" w:rsidTr="009D3FBD">
        <w:trPr>
          <w:jc w:val="center"/>
        </w:trPr>
        <w:tc>
          <w:tcPr>
            <w:tcW w:w="9576" w:type="dxa"/>
            <w:shd w:val="clear" w:color="auto" w:fill="F2F2F2"/>
          </w:tcPr>
          <w:p w14:paraId="0F71CB7D" w14:textId="097DDB0C" w:rsidR="00C14908" w:rsidRPr="004956D7" w:rsidRDefault="00C14908" w:rsidP="00B16793">
            <w:pPr>
              <w:pStyle w:val="NoSpacing"/>
              <w:spacing w:before="120"/>
              <w:jc w:val="both"/>
              <w:rPr>
                <w:rFonts w:ascii="Cambria" w:hAnsi="Cambria"/>
                <w:sz w:val="20"/>
                <w:szCs w:val="20"/>
              </w:rPr>
            </w:pPr>
            <w:proofErr w:type="spellStart"/>
            <w:r w:rsidRPr="004956D7">
              <w:rPr>
                <w:rFonts w:ascii="Cambria" w:hAnsi="Cambria"/>
                <w:b/>
                <w:sz w:val="20"/>
                <w:szCs w:val="20"/>
              </w:rPr>
              <w:t>Víctima</w:t>
            </w:r>
            <w:proofErr w:type="spellEnd"/>
            <w:r w:rsidRPr="004956D7">
              <w:rPr>
                <w:rFonts w:ascii="Cambria" w:hAnsi="Cambria"/>
                <w:b/>
                <w:sz w:val="20"/>
                <w:szCs w:val="20"/>
              </w:rPr>
              <w:t xml:space="preserve"> (s):</w:t>
            </w:r>
            <w:r w:rsidR="00145B40" w:rsidRPr="004956D7">
              <w:rPr>
                <w:rFonts w:ascii="Cambria" w:hAnsi="Cambria"/>
                <w:sz w:val="20"/>
                <w:szCs w:val="20"/>
              </w:rPr>
              <w:t xml:space="preserve"> Alcide</w:t>
            </w:r>
            <w:r w:rsidR="007173D1" w:rsidRPr="004956D7">
              <w:rPr>
                <w:rFonts w:ascii="Cambria" w:hAnsi="Cambria"/>
                <w:sz w:val="20"/>
                <w:szCs w:val="20"/>
              </w:rPr>
              <w:t>s</w:t>
            </w:r>
            <w:r w:rsidR="00145B40" w:rsidRPr="004956D7">
              <w:rPr>
                <w:rFonts w:ascii="Cambria" w:hAnsi="Cambria"/>
                <w:sz w:val="20"/>
                <w:szCs w:val="20"/>
              </w:rPr>
              <w:t xml:space="preserve"> Torres Arias</w:t>
            </w:r>
            <w:r w:rsidR="000B3F0A" w:rsidRPr="004956D7">
              <w:rPr>
                <w:rFonts w:ascii="Cambria" w:hAnsi="Cambria"/>
                <w:sz w:val="20"/>
                <w:szCs w:val="20"/>
              </w:rPr>
              <w:t>,</w:t>
            </w:r>
            <w:r w:rsidR="00145B40" w:rsidRPr="004956D7">
              <w:rPr>
                <w:rFonts w:ascii="Cambria" w:hAnsi="Cambria"/>
                <w:sz w:val="20"/>
                <w:szCs w:val="20"/>
              </w:rPr>
              <w:t xml:space="preserve"> </w:t>
            </w:r>
            <w:proofErr w:type="spellStart"/>
            <w:r w:rsidR="000B3F0A" w:rsidRPr="004956D7">
              <w:rPr>
                <w:rFonts w:ascii="Cambria" w:hAnsi="Cambria"/>
                <w:sz w:val="20"/>
                <w:szCs w:val="20"/>
              </w:rPr>
              <w:t>Ángel</w:t>
            </w:r>
            <w:proofErr w:type="spellEnd"/>
            <w:r w:rsidR="000B3F0A" w:rsidRPr="004956D7">
              <w:rPr>
                <w:rFonts w:ascii="Cambria" w:hAnsi="Cambria"/>
                <w:sz w:val="20"/>
                <w:szCs w:val="20"/>
              </w:rPr>
              <w:t xml:space="preserve"> David Quintero</w:t>
            </w:r>
          </w:p>
          <w:p w14:paraId="1B983827" w14:textId="4DCF37C8" w:rsidR="00C14908" w:rsidRPr="004956D7" w:rsidRDefault="0035297B" w:rsidP="000B3F0A">
            <w:pPr>
              <w:pStyle w:val="NoSpacing"/>
              <w:jc w:val="both"/>
              <w:rPr>
                <w:rFonts w:ascii="Cambria" w:hAnsi="Cambria"/>
                <w:sz w:val="20"/>
                <w:szCs w:val="20"/>
                <w:lang w:val="es-ES"/>
              </w:rPr>
            </w:pPr>
            <w:r w:rsidRPr="004956D7">
              <w:rPr>
                <w:rFonts w:ascii="Cambria" w:hAnsi="Cambria"/>
                <w:b/>
                <w:sz w:val="20"/>
                <w:szCs w:val="20"/>
                <w:lang w:val="es-ES"/>
              </w:rPr>
              <w:t>Peticionario</w:t>
            </w:r>
            <w:r w:rsidR="00C14908" w:rsidRPr="004956D7">
              <w:rPr>
                <w:rFonts w:ascii="Cambria" w:hAnsi="Cambria"/>
                <w:b/>
                <w:sz w:val="20"/>
                <w:szCs w:val="20"/>
                <w:lang w:val="es-ES"/>
              </w:rPr>
              <w:t xml:space="preserve"> (s): </w:t>
            </w:r>
            <w:r w:rsidR="00135506" w:rsidRPr="004956D7">
              <w:rPr>
                <w:rFonts w:ascii="Cambria" w:hAnsi="Cambria"/>
                <w:sz w:val="20"/>
                <w:szCs w:val="20"/>
                <w:lang w:val="es-ES"/>
              </w:rPr>
              <w:t>César Augusto Rendón Pinzón</w:t>
            </w:r>
          </w:p>
          <w:p w14:paraId="39AEFD6B" w14:textId="171D1F55" w:rsidR="00C14908" w:rsidRPr="004956D7" w:rsidRDefault="00C14908" w:rsidP="000B3F0A">
            <w:pPr>
              <w:pStyle w:val="NoSpacing"/>
              <w:jc w:val="both"/>
              <w:rPr>
                <w:rFonts w:ascii="Cambria" w:hAnsi="Cambria"/>
                <w:sz w:val="20"/>
                <w:szCs w:val="20"/>
                <w:lang w:val="es-US"/>
              </w:rPr>
            </w:pPr>
            <w:r w:rsidRPr="004956D7">
              <w:rPr>
                <w:rFonts w:ascii="Cambria" w:hAnsi="Cambria"/>
                <w:b/>
                <w:sz w:val="20"/>
                <w:szCs w:val="20"/>
                <w:lang w:val="es-US"/>
              </w:rPr>
              <w:t>Estado:</w:t>
            </w:r>
            <w:r w:rsidR="00B16793" w:rsidRPr="004956D7">
              <w:rPr>
                <w:rFonts w:ascii="Cambria" w:hAnsi="Cambria"/>
                <w:sz w:val="20"/>
                <w:szCs w:val="20"/>
                <w:lang w:val="es-US"/>
              </w:rPr>
              <w:t xml:space="preserve"> Colombia</w:t>
            </w:r>
          </w:p>
          <w:p w14:paraId="093CD621" w14:textId="4F06BAF7" w:rsidR="00C14908" w:rsidRPr="007C51E3" w:rsidRDefault="00121688" w:rsidP="000B3F0A">
            <w:pPr>
              <w:pStyle w:val="NoSpacing"/>
              <w:jc w:val="both"/>
              <w:rPr>
                <w:rFonts w:ascii="Cambria" w:hAnsi="Cambria"/>
                <w:sz w:val="20"/>
                <w:szCs w:val="20"/>
                <w:lang w:val="es-US"/>
              </w:rPr>
            </w:pPr>
            <w:r w:rsidRPr="004956D7">
              <w:rPr>
                <w:rFonts w:ascii="Cambria" w:hAnsi="Cambria"/>
                <w:b/>
                <w:sz w:val="20"/>
                <w:szCs w:val="20"/>
                <w:lang w:val="es-US"/>
              </w:rPr>
              <w:t xml:space="preserve">Informe de </w:t>
            </w:r>
            <w:r w:rsidRPr="007C51E3">
              <w:rPr>
                <w:rFonts w:ascii="Cambria" w:hAnsi="Cambria"/>
                <w:b/>
                <w:sz w:val="20"/>
                <w:szCs w:val="20"/>
                <w:lang w:val="es-US"/>
              </w:rPr>
              <w:t>Fondo N</w:t>
            </w:r>
            <w:r w:rsidR="00C14908" w:rsidRPr="007C51E3">
              <w:rPr>
                <w:rFonts w:ascii="Cambria" w:hAnsi="Cambria"/>
                <w:b/>
                <w:sz w:val="20"/>
                <w:szCs w:val="20"/>
                <w:lang w:val="es-US"/>
              </w:rPr>
              <w:t>º</w:t>
            </w:r>
            <w:r w:rsidR="00B16793" w:rsidRPr="007C51E3">
              <w:rPr>
                <w:rFonts w:ascii="Cambria" w:hAnsi="Cambria"/>
                <w:b/>
                <w:sz w:val="20"/>
                <w:szCs w:val="20"/>
                <w:lang w:val="es-US"/>
              </w:rPr>
              <w:t>:</w:t>
            </w:r>
            <w:r w:rsidR="00C14908" w:rsidRPr="007C51E3">
              <w:rPr>
                <w:rFonts w:ascii="Cambria" w:hAnsi="Cambria"/>
                <w:b/>
                <w:sz w:val="20"/>
                <w:szCs w:val="20"/>
                <w:lang w:val="es-US"/>
              </w:rPr>
              <w:t xml:space="preserve"> </w:t>
            </w:r>
            <w:hyperlink r:id="rId8" w:history="1">
              <w:r w:rsidR="00C14908" w:rsidRPr="007C51E3">
                <w:rPr>
                  <w:rStyle w:val="Hyperlink"/>
                  <w:rFonts w:ascii="Cambria" w:hAnsi="Cambria"/>
                  <w:color w:val="auto"/>
                  <w:sz w:val="20"/>
                  <w:szCs w:val="20"/>
                  <w:lang w:val="es-US"/>
                </w:rPr>
                <w:t>101/17</w:t>
              </w:r>
            </w:hyperlink>
            <w:r w:rsidR="00C14908" w:rsidRPr="007C51E3">
              <w:rPr>
                <w:rFonts w:ascii="Cambria" w:hAnsi="Cambria"/>
                <w:sz w:val="20"/>
                <w:szCs w:val="20"/>
                <w:lang w:val="es-US"/>
              </w:rPr>
              <w:t>, publicado</w:t>
            </w:r>
            <w:r w:rsidR="00B16793" w:rsidRPr="007C51E3">
              <w:rPr>
                <w:rFonts w:ascii="Cambria" w:hAnsi="Cambria"/>
                <w:sz w:val="20"/>
                <w:szCs w:val="20"/>
                <w:lang w:val="es-US"/>
              </w:rPr>
              <w:t xml:space="preserve"> el 05 de septiembre de 2017</w:t>
            </w:r>
          </w:p>
          <w:p w14:paraId="7DEF64CF" w14:textId="67EEBCE2" w:rsidR="00073656" w:rsidRPr="004956D7" w:rsidRDefault="00121688" w:rsidP="000B3F0A">
            <w:pPr>
              <w:pStyle w:val="NoSpacing"/>
              <w:jc w:val="both"/>
              <w:rPr>
                <w:rFonts w:ascii="Cambria" w:hAnsi="Cambria"/>
                <w:sz w:val="20"/>
                <w:szCs w:val="20"/>
                <w:lang w:val="es-US"/>
              </w:rPr>
            </w:pPr>
            <w:r w:rsidRPr="007C51E3">
              <w:rPr>
                <w:rFonts w:ascii="Cambria" w:hAnsi="Cambria"/>
                <w:b/>
                <w:sz w:val="20"/>
                <w:szCs w:val="20"/>
                <w:lang w:val="es-US"/>
              </w:rPr>
              <w:t>Informe de Admisibilidad N</w:t>
            </w:r>
            <w:r w:rsidR="00C14908" w:rsidRPr="007C51E3">
              <w:rPr>
                <w:rFonts w:ascii="Cambria" w:hAnsi="Cambria"/>
                <w:b/>
                <w:sz w:val="20"/>
                <w:szCs w:val="20"/>
                <w:lang w:val="es-US"/>
              </w:rPr>
              <w:t>º</w:t>
            </w:r>
            <w:r w:rsidR="00B16793" w:rsidRPr="007C51E3">
              <w:rPr>
                <w:rFonts w:ascii="Cambria" w:hAnsi="Cambria"/>
                <w:b/>
                <w:sz w:val="20"/>
                <w:szCs w:val="20"/>
                <w:lang w:val="es-US"/>
              </w:rPr>
              <w:t>:</w:t>
            </w:r>
            <w:r w:rsidR="00C14908" w:rsidRPr="007C51E3">
              <w:rPr>
                <w:rFonts w:ascii="Cambria" w:hAnsi="Cambria"/>
                <w:b/>
                <w:sz w:val="20"/>
                <w:szCs w:val="20"/>
                <w:lang w:val="es-US"/>
              </w:rPr>
              <w:t xml:space="preserve"> </w:t>
            </w:r>
            <w:hyperlink r:id="rId9" w:history="1">
              <w:r w:rsidR="00C14908" w:rsidRPr="007C51E3">
                <w:rPr>
                  <w:rStyle w:val="Hyperlink"/>
                  <w:rFonts w:ascii="Cambria" w:hAnsi="Cambria"/>
                  <w:color w:val="auto"/>
                  <w:sz w:val="20"/>
                  <w:szCs w:val="20"/>
                  <w:lang w:val="es-US"/>
                </w:rPr>
                <w:t>06/03</w:t>
              </w:r>
            </w:hyperlink>
            <w:r w:rsidR="00C14908" w:rsidRPr="007C51E3">
              <w:rPr>
                <w:rFonts w:ascii="Cambria" w:hAnsi="Cambria"/>
                <w:sz w:val="20"/>
                <w:szCs w:val="20"/>
                <w:lang w:val="es-US"/>
              </w:rPr>
              <w:t>, publicado</w:t>
            </w:r>
            <w:r w:rsidR="00B16793" w:rsidRPr="007C51E3">
              <w:rPr>
                <w:rFonts w:ascii="Cambria" w:hAnsi="Cambria"/>
                <w:sz w:val="20"/>
                <w:szCs w:val="20"/>
                <w:lang w:val="es-US"/>
              </w:rPr>
              <w:t xml:space="preserve"> </w:t>
            </w:r>
            <w:r w:rsidR="00B16793" w:rsidRPr="004956D7">
              <w:rPr>
                <w:rFonts w:ascii="Cambria" w:hAnsi="Cambria"/>
                <w:sz w:val="20"/>
                <w:szCs w:val="20"/>
                <w:lang w:val="es-US"/>
              </w:rPr>
              <w:t>el 20 de febrero de 2003</w:t>
            </w:r>
          </w:p>
          <w:p w14:paraId="63FB5B93" w14:textId="65B461B6" w:rsidR="00C14908" w:rsidRPr="004956D7" w:rsidRDefault="00C14908" w:rsidP="00B16793">
            <w:pPr>
              <w:pStyle w:val="NoSpacing"/>
              <w:spacing w:after="120"/>
              <w:jc w:val="both"/>
              <w:rPr>
                <w:rFonts w:ascii="Cambria" w:hAnsi="Cambria"/>
                <w:sz w:val="20"/>
                <w:szCs w:val="20"/>
                <w:lang w:val="es-ES"/>
              </w:rPr>
            </w:pPr>
            <w:r w:rsidRPr="004956D7">
              <w:rPr>
                <w:rFonts w:ascii="Cambria" w:hAnsi="Cambria"/>
                <w:b/>
                <w:sz w:val="20"/>
                <w:szCs w:val="20"/>
                <w:lang w:val="es-ES"/>
              </w:rPr>
              <w:t>Temas:</w:t>
            </w:r>
            <w:r w:rsidRPr="004956D7">
              <w:rPr>
                <w:rFonts w:ascii="Cambria" w:hAnsi="Cambria"/>
                <w:sz w:val="20"/>
                <w:szCs w:val="20"/>
                <w:lang w:val="es-ES"/>
              </w:rPr>
              <w:t xml:space="preserve"> </w:t>
            </w:r>
            <w:r w:rsidR="00073656" w:rsidRPr="004956D7">
              <w:rPr>
                <w:rFonts w:ascii="Cambria" w:hAnsi="Cambria"/>
                <w:sz w:val="20"/>
                <w:szCs w:val="20"/>
                <w:lang w:val="es-ES"/>
              </w:rPr>
              <w:t xml:space="preserve">Acceso a la justicia / Campesinos / </w:t>
            </w:r>
            <w:r w:rsidR="002809B2" w:rsidRPr="004956D7">
              <w:rPr>
                <w:rFonts w:ascii="Cambria" w:hAnsi="Cambria"/>
                <w:sz w:val="20"/>
                <w:szCs w:val="20"/>
                <w:lang w:val="es-ES"/>
              </w:rPr>
              <w:t xml:space="preserve">Debido proceso legal / </w:t>
            </w:r>
            <w:r w:rsidR="00073656" w:rsidRPr="004956D7">
              <w:rPr>
                <w:rFonts w:ascii="Cambria" w:hAnsi="Cambria"/>
                <w:sz w:val="20"/>
                <w:szCs w:val="20"/>
                <w:lang w:val="es-ES"/>
              </w:rPr>
              <w:t xml:space="preserve">Desaparición forzada / </w:t>
            </w:r>
            <w:r w:rsidR="002809B2" w:rsidRPr="004956D7">
              <w:rPr>
                <w:rFonts w:ascii="Cambria" w:hAnsi="Cambria"/>
                <w:sz w:val="20"/>
                <w:szCs w:val="20"/>
                <w:lang w:val="es-ES"/>
              </w:rPr>
              <w:t xml:space="preserve">Garantías judiciales y protección judicial / Integridad personal / Libertad personal / </w:t>
            </w:r>
            <w:r w:rsidR="00073656" w:rsidRPr="004956D7">
              <w:rPr>
                <w:rFonts w:ascii="Cambria" w:hAnsi="Cambria"/>
                <w:sz w:val="20"/>
                <w:szCs w:val="20"/>
                <w:lang w:val="es-ES"/>
              </w:rPr>
              <w:t xml:space="preserve">Memoria, </w:t>
            </w:r>
            <w:r w:rsidR="002809B2" w:rsidRPr="004956D7">
              <w:rPr>
                <w:rFonts w:ascii="Cambria" w:hAnsi="Cambria"/>
                <w:sz w:val="20"/>
                <w:szCs w:val="20"/>
                <w:lang w:val="es-ES"/>
              </w:rPr>
              <w:t>v</w:t>
            </w:r>
            <w:r w:rsidR="00073656" w:rsidRPr="004956D7">
              <w:rPr>
                <w:rFonts w:ascii="Cambria" w:hAnsi="Cambria"/>
                <w:sz w:val="20"/>
                <w:szCs w:val="20"/>
                <w:lang w:val="es-ES"/>
              </w:rPr>
              <w:t xml:space="preserve">erdad y </w:t>
            </w:r>
            <w:r w:rsidR="002809B2" w:rsidRPr="004956D7">
              <w:rPr>
                <w:rFonts w:ascii="Cambria" w:hAnsi="Cambria"/>
                <w:sz w:val="20"/>
                <w:szCs w:val="20"/>
                <w:lang w:val="es-ES"/>
              </w:rPr>
              <w:t>j</w:t>
            </w:r>
            <w:r w:rsidR="00073656" w:rsidRPr="004956D7">
              <w:rPr>
                <w:rFonts w:ascii="Cambria" w:hAnsi="Cambria"/>
                <w:sz w:val="20"/>
                <w:szCs w:val="20"/>
                <w:lang w:val="es-ES"/>
              </w:rPr>
              <w:t xml:space="preserve">usticia / </w:t>
            </w:r>
            <w:r w:rsidR="002809B2" w:rsidRPr="004956D7">
              <w:rPr>
                <w:rFonts w:ascii="Cambria" w:hAnsi="Cambria"/>
                <w:sz w:val="20"/>
                <w:szCs w:val="20"/>
                <w:lang w:val="es-ES"/>
              </w:rPr>
              <w:t>Obligación de respetar los derechos /</w:t>
            </w:r>
            <w:r w:rsidR="0005578C" w:rsidRPr="004956D7">
              <w:rPr>
                <w:rFonts w:ascii="Cambria" w:hAnsi="Cambria"/>
                <w:sz w:val="20"/>
                <w:szCs w:val="20"/>
                <w:lang w:val="es-ES"/>
              </w:rPr>
              <w:t xml:space="preserve"> Paramilitares, parapoliciales /</w:t>
            </w:r>
            <w:r w:rsidR="002809B2" w:rsidRPr="004956D7">
              <w:rPr>
                <w:rFonts w:ascii="Cambria" w:hAnsi="Cambria"/>
                <w:sz w:val="20"/>
                <w:szCs w:val="20"/>
                <w:lang w:val="es-ES"/>
              </w:rPr>
              <w:t xml:space="preserve"> Personalidad jurídica / </w:t>
            </w:r>
            <w:r w:rsidR="00073656" w:rsidRPr="004956D7">
              <w:rPr>
                <w:rFonts w:ascii="Cambria" w:hAnsi="Cambria"/>
                <w:sz w:val="20"/>
                <w:szCs w:val="20"/>
                <w:lang w:val="es-ES"/>
              </w:rPr>
              <w:t xml:space="preserve">Personas </w:t>
            </w:r>
            <w:r w:rsidR="002809B2" w:rsidRPr="004956D7">
              <w:rPr>
                <w:rFonts w:ascii="Cambria" w:hAnsi="Cambria"/>
                <w:sz w:val="20"/>
                <w:szCs w:val="20"/>
                <w:lang w:val="es-ES"/>
              </w:rPr>
              <w:t>p</w:t>
            </w:r>
            <w:r w:rsidR="00073656" w:rsidRPr="004956D7">
              <w:rPr>
                <w:rFonts w:ascii="Cambria" w:hAnsi="Cambria"/>
                <w:sz w:val="20"/>
                <w:szCs w:val="20"/>
                <w:lang w:val="es-ES"/>
              </w:rPr>
              <w:t xml:space="preserve">rivadas de </w:t>
            </w:r>
            <w:r w:rsidR="002809B2" w:rsidRPr="004956D7">
              <w:rPr>
                <w:rFonts w:ascii="Cambria" w:hAnsi="Cambria"/>
                <w:sz w:val="20"/>
                <w:szCs w:val="20"/>
                <w:lang w:val="es-ES"/>
              </w:rPr>
              <w:t>l</w:t>
            </w:r>
            <w:r w:rsidR="0005578C" w:rsidRPr="004956D7">
              <w:rPr>
                <w:rFonts w:ascii="Cambria" w:hAnsi="Cambria"/>
                <w:sz w:val="20"/>
                <w:szCs w:val="20"/>
                <w:lang w:val="es-ES"/>
              </w:rPr>
              <w:t xml:space="preserve">ibertad / </w:t>
            </w:r>
            <w:r w:rsidR="002809B2" w:rsidRPr="004956D7">
              <w:rPr>
                <w:rFonts w:ascii="Cambria" w:hAnsi="Cambria"/>
                <w:sz w:val="20"/>
                <w:szCs w:val="20"/>
                <w:lang w:val="es-ES"/>
              </w:rPr>
              <w:t>Vida</w:t>
            </w:r>
          </w:p>
          <w:p w14:paraId="3CF4F257" w14:textId="4094B67A" w:rsidR="009801A5" w:rsidRPr="006620E0" w:rsidRDefault="00C14908" w:rsidP="00B16793">
            <w:pPr>
              <w:pStyle w:val="NoSpacing"/>
              <w:spacing w:after="120"/>
              <w:jc w:val="both"/>
              <w:rPr>
                <w:rFonts w:ascii="Cambria" w:hAnsi="Cambria"/>
                <w:sz w:val="20"/>
                <w:szCs w:val="20"/>
                <w:lang w:val="es-ES"/>
              </w:rPr>
            </w:pPr>
            <w:r w:rsidRPr="006620E0">
              <w:rPr>
                <w:rFonts w:ascii="Cambria" w:hAnsi="Cambria"/>
                <w:b/>
                <w:sz w:val="20"/>
                <w:szCs w:val="20"/>
                <w:lang w:val="es-ES"/>
              </w:rPr>
              <w:t>Hechos:</w:t>
            </w:r>
            <w:r w:rsidRPr="006620E0">
              <w:rPr>
                <w:rFonts w:ascii="Cambria" w:hAnsi="Cambria"/>
                <w:sz w:val="20"/>
                <w:szCs w:val="20"/>
                <w:lang w:val="es-ES"/>
              </w:rPr>
              <w:t xml:space="preserve"> </w:t>
            </w:r>
            <w:r w:rsidR="00A15FC7" w:rsidRPr="006620E0">
              <w:rPr>
                <w:rFonts w:ascii="Cambria" w:hAnsi="Cambria"/>
                <w:sz w:val="20"/>
                <w:szCs w:val="20"/>
                <w:lang w:val="es-ES"/>
              </w:rPr>
              <w:t>El caso se refiere a la desaparición forzada de</w:t>
            </w:r>
            <w:r w:rsidR="002809B2" w:rsidRPr="006620E0">
              <w:rPr>
                <w:rFonts w:ascii="Cambria" w:hAnsi="Cambria"/>
                <w:sz w:val="20"/>
                <w:szCs w:val="20"/>
                <w:lang w:val="es-ES"/>
              </w:rPr>
              <w:t xml:space="preserve"> </w:t>
            </w:r>
            <w:r w:rsidR="00A15FC7" w:rsidRPr="006620E0">
              <w:rPr>
                <w:rFonts w:ascii="Cambria" w:hAnsi="Cambria"/>
                <w:sz w:val="20"/>
                <w:szCs w:val="20"/>
                <w:lang w:val="es-ES"/>
              </w:rPr>
              <w:t>l</w:t>
            </w:r>
            <w:r w:rsidR="002809B2" w:rsidRPr="006620E0">
              <w:rPr>
                <w:rFonts w:ascii="Cambria" w:hAnsi="Cambria"/>
                <w:sz w:val="20"/>
                <w:szCs w:val="20"/>
                <w:lang w:val="es-ES"/>
              </w:rPr>
              <w:t>os</w:t>
            </w:r>
            <w:r w:rsidR="00A15FC7" w:rsidRPr="006620E0">
              <w:rPr>
                <w:rFonts w:ascii="Cambria" w:hAnsi="Cambria"/>
                <w:sz w:val="20"/>
                <w:szCs w:val="20"/>
                <w:lang w:val="es-ES"/>
              </w:rPr>
              <w:t xml:space="preserve"> señor</w:t>
            </w:r>
            <w:r w:rsidR="002809B2" w:rsidRPr="006620E0">
              <w:rPr>
                <w:rFonts w:ascii="Cambria" w:hAnsi="Cambria"/>
                <w:sz w:val="20"/>
                <w:szCs w:val="20"/>
                <w:lang w:val="es-ES"/>
              </w:rPr>
              <w:t>es</w:t>
            </w:r>
            <w:r w:rsidR="00A15FC7" w:rsidRPr="006620E0">
              <w:rPr>
                <w:rFonts w:ascii="Cambria" w:hAnsi="Cambria"/>
                <w:sz w:val="20"/>
                <w:szCs w:val="20"/>
                <w:lang w:val="es-ES"/>
              </w:rPr>
              <w:t xml:space="preserve"> Alcides Torres Arias, un campesino que pertenecía a la </w:t>
            </w:r>
            <w:proofErr w:type="spellStart"/>
            <w:r w:rsidR="00A15FC7" w:rsidRPr="006620E0">
              <w:rPr>
                <w:rFonts w:ascii="Cambria" w:hAnsi="Cambria"/>
                <w:sz w:val="20"/>
                <w:szCs w:val="20"/>
                <w:lang w:val="es-ES"/>
              </w:rPr>
              <w:t>precooperativa</w:t>
            </w:r>
            <w:proofErr w:type="spellEnd"/>
            <w:r w:rsidR="00A15FC7" w:rsidRPr="006620E0">
              <w:rPr>
                <w:rFonts w:ascii="Cambria" w:hAnsi="Cambria"/>
                <w:sz w:val="20"/>
                <w:szCs w:val="20"/>
                <w:lang w:val="es-ES"/>
              </w:rPr>
              <w:t xml:space="preserve"> de Cacaoteros de San José de Apartadó, Antioquia, Colombia,</w:t>
            </w:r>
            <w:r w:rsidR="002809B2" w:rsidRPr="006620E0">
              <w:rPr>
                <w:rFonts w:ascii="Cambria" w:hAnsi="Cambria"/>
                <w:sz w:val="20"/>
                <w:szCs w:val="20"/>
                <w:lang w:val="es-ES"/>
              </w:rPr>
              <w:t xml:space="preserve"> y el señor Ángel David Quintero,</w:t>
            </w:r>
            <w:r w:rsidR="00A15FC7" w:rsidRPr="006620E0">
              <w:rPr>
                <w:rFonts w:ascii="Cambria" w:hAnsi="Cambria"/>
                <w:sz w:val="20"/>
                <w:szCs w:val="20"/>
                <w:lang w:val="es-ES"/>
              </w:rPr>
              <w:t xml:space="preserve"> </w:t>
            </w:r>
            <w:r w:rsidR="007C356E" w:rsidRPr="006620E0">
              <w:rPr>
                <w:rFonts w:ascii="Cambria" w:hAnsi="Cambria"/>
                <w:sz w:val="20"/>
                <w:szCs w:val="20"/>
                <w:lang w:val="es-ES"/>
              </w:rPr>
              <w:t xml:space="preserve">el 20 de </w:t>
            </w:r>
            <w:r w:rsidRPr="006620E0">
              <w:rPr>
                <w:rFonts w:ascii="Cambria" w:hAnsi="Cambria"/>
                <w:sz w:val="20"/>
                <w:szCs w:val="20"/>
                <w:lang w:val="es-ES"/>
              </w:rPr>
              <w:t>diciembre de 1995</w:t>
            </w:r>
            <w:r w:rsidR="00121688" w:rsidRPr="006620E0">
              <w:rPr>
                <w:rFonts w:ascii="Cambria" w:hAnsi="Cambria"/>
                <w:sz w:val="20"/>
                <w:szCs w:val="20"/>
                <w:lang w:val="es-ES"/>
              </w:rPr>
              <w:t>,</w:t>
            </w:r>
            <w:r w:rsidRPr="006620E0">
              <w:rPr>
                <w:rFonts w:ascii="Cambria" w:hAnsi="Cambria"/>
                <w:sz w:val="20"/>
                <w:szCs w:val="20"/>
                <w:lang w:val="es-ES"/>
              </w:rPr>
              <w:t xml:space="preserve"> por parte de agentes militares y miembros de grupos paramilitares cuando se encontraba</w:t>
            </w:r>
            <w:r w:rsidR="002809B2" w:rsidRPr="006620E0">
              <w:rPr>
                <w:rFonts w:ascii="Cambria" w:hAnsi="Cambria"/>
                <w:sz w:val="20"/>
                <w:szCs w:val="20"/>
                <w:lang w:val="es-ES"/>
              </w:rPr>
              <w:t>n</w:t>
            </w:r>
            <w:r w:rsidRPr="006620E0">
              <w:rPr>
                <w:rFonts w:ascii="Cambria" w:hAnsi="Cambria"/>
                <w:sz w:val="20"/>
                <w:szCs w:val="20"/>
                <w:lang w:val="es-ES"/>
              </w:rPr>
              <w:t xml:space="preserve"> detenido</w:t>
            </w:r>
            <w:r w:rsidR="002809B2" w:rsidRPr="006620E0">
              <w:rPr>
                <w:rFonts w:ascii="Cambria" w:hAnsi="Cambria"/>
                <w:sz w:val="20"/>
                <w:szCs w:val="20"/>
                <w:lang w:val="es-ES"/>
              </w:rPr>
              <w:t>s</w:t>
            </w:r>
            <w:r w:rsidRPr="006620E0">
              <w:rPr>
                <w:rFonts w:ascii="Cambria" w:hAnsi="Cambria"/>
                <w:sz w:val="20"/>
                <w:szCs w:val="20"/>
                <w:lang w:val="es-ES"/>
              </w:rPr>
              <w:t xml:space="preserve"> en las instalaciones de la Brigada XVII de </w:t>
            </w:r>
            <w:proofErr w:type="spellStart"/>
            <w:r w:rsidRPr="006620E0">
              <w:rPr>
                <w:rFonts w:ascii="Cambria" w:hAnsi="Cambria"/>
                <w:sz w:val="20"/>
                <w:szCs w:val="20"/>
                <w:lang w:val="es-ES"/>
              </w:rPr>
              <w:t>Carepa</w:t>
            </w:r>
            <w:proofErr w:type="spellEnd"/>
            <w:r w:rsidRPr="006620E0">
              <w:rPr>
                <w:rFonts w:ascii="Cambria" w:hAnsi="Cambria"/>
                <w:sz w:val="20"/>
                <w:szCs w:val="20"/>
                <w:lang w:val="es-ES"/>
              </w:rPr>
              <w:t xml:space="preserve">, Antioquia. </w:t>
            </w:r>
            <w:r w:rsidR="009801A5" w:rsidRPr="006620E0">
              <w:rPr>
                <w:rFonts w:ascii="Cambria" w:hAnsi="Cambria"/>
                <w:sz w:val="20"/>
                <w:szCs w:val="20"/>
                <w:lang w:val="es-CO"/>
              </w:rPr>
              <w:t xml:space="preserve">Asimismo, se alegó la situación de impunidad en que se encontrarían los hechos. </w:t>
            </w:r>
            <w:r w:rsidR="002809B2" w:rsidRPr="006620E0">
              <w:rPr>
                <w:rFonts w:ascii="Cambria" w:hAnsi="Cambria"/>
                <w:sz w:val="20"/>
                <w:szCs w:val="20"/>
                <w:lang w:val="es-CO"/>
              </w:rPr>
              <w:t>El proceso destinado a juzgar a los responsables no fue eficaz.</w:t>
            </w:r>
          </w:p>
          <w:p w14:paraId="1C01C894" w14:textId="7A916BFB" w:rsidR="00C14908" w:rsidRPr="004956D7" w:rsidRDefault="00C14908" w:rsidP="006620E0">
            <w:pPr>
              <w:pStyle w:val="NoSpacing"/>
              <w:spacing w:after="120"/>
              <w:jc w:val="both"/>
              <w:rPr>
                <w:rFonts w:ascii="Cambria" w:hAnsi="Cambria"/>
                <w:sz w:val="20"/>
                <w:szCs w:val="20"/>
                <w:lang w:val="es-ES"/>
              </w:rPr>
            </w:pPr>
            <w:r w:rsidRPr="004956D7">
              <w:rPr>
                <w:rFonts w:ascii="Cambria" w:hAnsi="Cambria"/>
                <w:b/>
                <w:sz w:val="20"/>
                <w:szCs w:val="20"/>
                <w:lang w:val="es-ES"/>
              </w:rPr>
              <w:t>Derechos violados:</w:t>
            </w:r>
            <w:r w:rsidRPr="004956D7">
              <w:rPr>
                <w:rFonts w:ascii="Cambria" w:hAnsi="Cambria"/>
                <w:sz w:val="20"/>
                <w:szCs w:val="20"/>
                <w:lang w:val="es-ES"/>
              </w:rPr>
              <w:t xml:space="preserve"> </w:t>
            </w:r>
            <w:r w:rsidR="009801A5" w:rsidRPr="004956D7">
              <w:rPr>
                <w:rFonts w:ascii="Cambria" w:hAnsi="Cambria"/>
                <w:sz w:val="20"/>
                <w:szCs w:val="20"/>
                <w:lang w:val="es-ES"/>
              </w:rPr>
              <w:t xml:space="preserve">La Comisión </w:t>
            </w:r>
            <w:r w:rsidR="009801A5" w:rsidRPr="004956D7">
              <w:rPr>
                <w:rFonts w:ascii="Cambria" w:hAnsi="Cambria"/>
                <w:sz w:val="20"/>
                <w:szCs w:val="20"/>
                <w:lang w:val="es-CO"/>
              </w:rPr>
              <w:t>concluyó que el Estado e</w:t>
            </w:r>
            <w:r w:rsidR="002809B2" w:rsidRPr="004956D7">
              <w:rPr>
                <w:rFonts w:ascii="Cambria" w:hAnsi="Cambria"/>
                <w:sz w:val="20"/>
                <w:szCs w:val="20"/>
                <w:lang w:val="es-CO"/>
              </w:rPr>
              <w:t xml:space="preserve">ra </w:t>
            </w:r>
            <w:r w:rsidR="009801A5" w:rsidRPr="004956D7">
              <w:rPr>
                <w:rFonts w:ascii="Cambria" w:hAnsi="Cambria"/>
                <w:sz w:val="20"/>
                <w:szCs w:val="20"/>
                <w:lang w:val="es-CO"/>
              </w:rPr>
              <w:t xml:space="preserve">responsable por la violación de los derechos al reconocimiento de la personalidad jurídica, a la vida, a la integridad personal, a la libertad personal, a las garantías judiciales y a la protección judicial consagrados en los artículos 3, 4, 5, 7, 8 y 25 de la Convención Americana en relación con las obligaciones establecidas en el artículo 1.1 del mismo instrumento, en perjuicio de los señores Alcides Torres Arias y </w:t>
            </w:r>
            <w:r w:rsidR="00F241F5" w:rsidRPr="004956D7">
              <w:rPr>
                <w:rFonts w:ascii="Cambria" w:hAnsi="Cambria"/>
                <w:sz w:val="20"/>
                <w:szCs w:val="20"/>
                <w:lang w:val="es-CO"/>
              </w:rPr>
              <w:t>Ángel</w:t>
            </w:r>
            <w:r w:rsidR="009801A5" w:rsidRPr="004956D7">
              <w:rPr>
                <w:rFonts w:ascii="Cambria" w:hAnsi="Cambria"/>
                <w:sz w:val="20"/>
                <w:szCs w:val="20"/>
                <w:lang w:val="es-CO"/>
              </w:rPr>
              <w:t xml:space="preserve"> David Quintero. Asimismo, la Comisión concluyó que el Estado violó los derechos a la integridad personal, garantías judiciales y protección judicial, establecidos en los artículos 5, 8 y 25 de la Convención Americana en relación con las obligaciones establecidas en el artículo 1.1 del mismo instrumento, en perjuicio de los familiares. Finalmente, la Comisión concluyó que el Estado e</w:t>
            </w:r>
            <w:r w:rsidR="0005578C" w:rsidRPr="004956D7">
              <w:rPr>
                <w:rFonts w:ascii="Cambria" w:hAnsi="Cambria"/>
                <w:sz w:val="20"/>
                <w:szCs w:val="20"/>
                <w:lang w:val="es-CO"/>
              </w:rPr>
              <w:t>ra</w:t>
            </w:r>
            <w:r w:rsidR="009801A5" w:rsidRPr="004956D7">
              <w:rPr>
                <w:rFonts w:ascii="Cambria" w:hAnsi="Cambria"/>
                <w:sz w:val="20"/>
                <w:szCs w:val="20"/>
                <w:lang w:val="es-CO"/>
              </w:rPr>
              <w:t xml:space="preserve"> responsable por la violación de las obligaciones establecidas en los artículos </w:t>
            </w:r>
            <w:proofErr w:type="spellStart"/>
            <w:r w:rsidR="009801A5" w:rsidRPr="004956D7">
              <w:rPr>
                <w:rFonts w:ascii="Cambria" w:hAnsi="Cambria"/>
                <w:sz w:val="20"/>
                <w:szCs w:val="20"/>
                <w:lang w:val="es-CO"/>
              </w:rPr>
              <w:t>I.a</w:t>
            </w:r>
            <w:proofErr w:type="spellEnd"/>
            <w:r w:rsidR="009801A5" w:rsidRPr="004956D7">
              <w:rPr>
                <w:rFonts w:ascii="Cambria" w:hAnsi="Cambria"/>
                <w:sz w:val="20"/>
                <w:szCs w:val="20"/>
                <w:lang w:val="es-CO"/>
              </w:rPr>
              <w:t xml:space="preserve">) y </w:t>
            </w:r>
            <w:proofErr w:type="spellStart"/>
            <w:r w:rsidR="009801A5" w:rsidRPr="004956D7">
              <w:rPr>
                <w:rFonts w:ascii="Cambria" w:hAnsi="Cambria"/>
                <w:sz w:val="20"/>
                <w:szCs w:val="20"/>
                <w:lang w:val="es-CO"/>
              </w:rPr>
              <w:t>I.b</w:t>
            </w:r>
            <w:proofErr w:type="spellEnd"/>
            <w:r w:rsidR="009801A5" w:rsidRPr="004956D7">
              <w:rPr>
                <w:rFonts w:ascii="Cambria" w:hAnsi="Cambria"/>
                <w:sz w:val="20"/>
                <w:szCs w:val="20"/>
                <w:lang w:val="es-CO"/>
              </w:rPr>
              <w:t xml:space="preserve">) de la Convención Interamericana sobre Desaparición Forzada de Personas. </w:t>
            </w:r>
          </w:p>
        </w:tc>
      </w:tr>
    </w:tbl>
    <w:p w14:paraId="2A19227D" w14:textId="77777777" w:rsidR="00C14908" w:rsidRPr="004956D7" w:rsidRDefault="00C14908" w:rsidP="00C14908">
      <w:pPr>
        <w:spacing w:after="0" w:line="240" w:lineRule="auto"/>
        <w:ind w:left="180"/>
        <w:rPr>
          <w:rFonts w:ascii="Cambria" w:hAnsi="Cambria"/>
          <w:sz w:val="20"/>
          <w:szCs w:val="20"/>
          <w:lang w:val="es-ES"/>
        </w:rPr>
      </w:pPr>
    </w:p>
    <w:p w14:paraId="214CF1A6" w14:textId="77777777" w:rsidR="00C14908" w:rsidRPr="004956D7" w:rsidRDefault="00C14908" w:rsidP="00B16793">
      <w:pPr>
        <w:numPr>
          <w:ilvl w:val="0"/>
          <w:numId w:val="1"/>
        </w:numPr>
        <w:spacing w:after="0" w:line="240" w:lineRule="auto"/>
        <w:ind w:left="1440"/>
        <w:jc w:val="both"/>
        <w:rPr>
          <w:rFonts w:ascii="Cambria" w:hAnsi="Cambria" w:cs="Calibri Light"/>
          <w:b/>
          <w:sz w:val="20"/>
          <w:szCs w:val="20"/>
          <w:lang w:val="es-US"/>
        </w:rPr>
      </w:pPr>
      <w:r w:rsidRPr="004956D7">
        <w:rPr>
          <w:rFonts w:ascii="Cambria" w:hAnsi="Cambria" w:cs="Calibri Light"/>
          <w:b/>
          <w:sz w:val="20"/>
          <w:szCs w:val="20"/>
          <w:lang w:val="es-US"/>
        </w:rPr>
        <w:t xml:space="preserve">Recomendaciones </w:t>
      </w:r>
    </w:p>
    <w:p w14:paraId="1FDF37C9" w14:textId="77777777" w:rsidR="00C14908" w:rsidRPr="004956D7" w:rsidRDefault="00C14908" w:rsidP="00C14908">
      <w:pPr>
        <w:spacing w:after="0" w:line="240" w:lineRule="auto"/>
        <w:ind w:left="1080"/>
        <w:jc w:val="both"/>
        <w:rPr>
          <w:rFonts w:ascii="Cambria" w:hAnsi="Cambria" w:cs="Calibri Light"/>
          <w:sz w:val="20"/>
          <w:szCs w:val="20"/>
          <w:lang w:val="es-US"/>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250"/>
      </w:tblGrid>
      <w:tr w:rsidR="00C14908" w:rsidRPr="00EF24DC" w14:paraId="20814DC2" w14:textId="77777777" w:rsidTr="008263AB">
        <w:tc>
          <w:tcPr>
            <w:tcW w:w="7290" w:type="dxa"/>
            <w:shd w:val="clear" w:color="auto" w:fill="auto"/>
            <w:vAlign w:val="center"/>
          </w:tcPr>
          <w:p w14:paraId="516BE2A0" w14:textId="77777777" w:rsidR="00C14908" w:rsidRPr="004956D7" w:rsidRDefault="00C14908" w:rsidP="00B16793">
            <w:pPr>
              <w:spacing w:after="0" w:line="240" w:lineRule="auto"/>
              <w:jc w:val="center"/>
              <w:rPr>
                <w:rFonts w:ascii="Cambria" w:hAnsi="Cambria" w:cs="Calibri Light"/>
                <w:b/>
                <w:sz w:val="18"/>
                <w:szCs w:val="18"/>
                <w:lang w:val="es-US"/>
              </w:rPr>
            </w:pPr>
            <w:r w:rsidRPr="004956D7">
              <w:rPr>
                <w:rFonts w:ascii="Cambria" w:hAnsi="Cambria" w:cs="Calibri Light"/>
                <w:b/>
                <w:sz w:val="18"/>
                <w:szCs w:val="18"/>
                <w:lang w:val="es-US"/>
              </w:rPr>
              <w:t>Recomendaciones</w:t>
            </w:r>
          </w:p>
        </w:tc>
        <w:tc>
          <w:tcPr>
            <w:tcW w:w="2250" w:type="dxa"/>
            <w:shd w:val="clear" w:color="auto" w:fill="auto"/>
            <w:vAlign w:val="center"/>
          </w:tcPr>
          <w:p w14:paraId="32E1EE57" w14:textId="77777777" w:rsidR="00C14908" w:rsidRPr="004956D7" w:rsidRDefault="00C14908" w:rsidP="00B16793">
            <w:pPr>
              <w:spacing w:after="0" w:line="240" w:lineRule="auto"/>
              <w:jc w:val="center"/>
              <w:rPr>
                <w:rFonts w:ascii="Cambria" w:hAnsi="Cambria" w:cs="Calibri Light"/>
                <w:b/>
                <w:sz w:val="18"/>
                <w:szCs w:val="18"/>
                <w:lang w:val="es-US"/>
              </w:rPr>
            </w:pPr>
            <w:r w:rsidRPr="004956D7">
              <w:rPr>
                <w:rFonts w:ascii="Cambria" w:hAnsi="Cambria" w:cs="Calibri Light"/>
                <w:b/>
                <w:sz w:val="18"/>
                <w:szCs w:val="18"/>
                <w:lang w:val="es-US"/>
              </w:rPr>
              <w:t>Estado de cumplimiento en el 2018</w:t>
            </w:r>
          </w:p>
        </w:tc>
      </w:tr>
      <w:tr w:rsidR="00C14908" w:rsidRPr="004956D7" w14:paraId="150A2B33" w14:textId="77777777" w:rsidTr="008263AB">
        <w:tc>
          <w:tcPr>
            <w:tcW w:w="7290" w:type="dxa"/>
            <w:shd w:val="clear" w:color="auto" w:fill="auto"/>
          </w:tcPr>
          <w:p w14:paraId="1B90D043" w14:textId="77777777" w:rsidR="00C14908" w:rsidRPr="004956D7" w:rsidRDefault="00C14908" w:rsidP="00B16793">
            <w:pPr>
              <w:spacing w:after="0" w:line="240" w:lineRule="auto"/>
              <w:jc w:val="both"/>
              <w:rPr>
                <w:rFonts w:ascii="Cambria" w:hAnsi="Cambria"/>
                <w:sz w:val="18"/>
                <w:szCs w:val="18"/>
                <w:lang w:val="es-ES"/>
              </w:rPr>
            </w:pPr>
            <w:r w:rsidRPr="004956D7">
              <w:rPr>
                <w:rFonts w:ascii="Cambria" w:hAnsi="Cambria"/>
                <w:sz w:val="18"/>
                <w:szCs w:val="18"/>
                <w:lang w:val="es-ES"/>
              </w:rPr>
              <w:t xml:space="preserve">1. Investigar de manera completa, imparcial y efectiva el paradero de Alcides Torres Arias y Angel David Quintero y, de ser el caso, adoptar las medidas necesarias para identificar y entregar a sus familiares los restos mortales. </w:t>
            </w:r>
          </w:p>
        </w:tc>
        <w:tc>
          <w:tcPr>
            <w:tcW w:w="2250" w:type="dxa"/>
            <w:shd w:val="clear" w:color="auto" w:fill="auto"/>
            <w:vAlign w:val="center"/>
          </w:tcPr>
          <w:p w14:paraId="1D926A71" w14:textId="77777777" w:rsidR="00C14908" w:rsidRPr="004956D7" w:rsidRDefault="008F0F94" w:rsidP="00B16793">
            <w:pPr>
              <w:spacing w:after="0" w:line="240" w:lineRule="auto"/>
              <w:jc w:val="center"/>
              <w:rPr>
                <w:rFonts w:ascii="Cambria" w:hAnsi="Cambria"/>
                <w:sz w:val="18"/>
                <w:szCs w:val="18"/>
                <w:lang w:val="es-ES"/>
              </w:rPr>
            </w:pPr>
            <w:r w:rsidRPr="004956D7">
              <w:rPr>
                <w:rFonts w:ascii="Cambria" w:hAnsi="Cambria"/>
                <w:sz w:val="18"/>
                <w:szCs w:val="18"/>
                <w:lang w:val="es-ES"/>
              </w:rPr>
              <w:t>Pendiente de cumplimiento</w:t>
            </w:r>
          </w:p>
        </w:tc>
      </w:tr>
      <w:tr w:rsidR="00C14908" w:rsidRPr="004956D7" w14:paraId="40B64C49" w14:textId="77777777" w:rsidTr="008263AB">
        <w:tc>
          <w:tcPr>
            <w:tcW w:w="7290" w:type="dxa"/>
            <w:shd w:val="clear" w:color="auto" w:fill="auto"/>
          </w:tcPr>
          <w:p w14:paraId="4227F534" w14:textId="77777777" w:rsidR="00C14908" w:rsidRPr="004956D7" w:rsidRDefault="00C14908" w:rsidP="00B16793">
            <w:pPr>
              <w:spacing w:after="0" w:line="240" w:lineRule="auto"/>
              <w:jc w:val="both"/>
              <w:rPr>
                <w:rFonts w:ascii="Cambria" w:hAnsi="Cambria"/>
                <w:sz w:val="18"/>
                <w:szCs w:val="18"/>
                <w:lang w:val="es-ES"/>
              </w:rPr>
            </w:pPr>
            <w:r w:rsidRPr="004956D7">
              <w:rPr>
                <w:rFonts w:ascii="Cambria" w:hAnsi="Cambria"/>
                <w:sz w:val="18"/>
                <w:szCs w:val="18"/>
                <w:lang w:val="es-ES"/>
              </w:rPr>
              <w:t xml:space="preserve">2. Llevar a cabo los procedimientos internos relacionados con las violaciones a los derechos humanos declaradas en el presente informe y conducir los procesos correspondientes por el delito de desaparición forzada de Alcides Torres Arias y Ángel David Quintero, de manera imparcial, efectiva y dentro de un plazo razonable, con el objeto de esclarecer los hechos en forma completa, identificar a todos los responsables e imponer las sanciones que correspondan. </w:t>
            </w:r>
          </w:p>
        </w:tc>
        <w:tc>
          <w:tcPr>
            <w:tcW w:w="2250" w:type="dxa"/>
            <w:shd w:val="clear" w:color="auto" w:fill="auto"/>
            <w:vAlign w:val="center"/>
          </w:tcPr>
          <w:p w14:paraId="11F6B624" w14:textId="77777777" w:rsidR="00C14908" w:rsidRPr="004956D7" w:rsidRDefault="009F77BB" w:rsidP="00B16793">
            <w:pPr>
              <w:spacing w:after="0" w:line="240" w:lineRule="auto"/>
              <w:jc w:val="center"/>
              <w:rPr>
                <w:rFonts w:ascii="Cambria" w:hAnsi="Cambria"/>
                <w:sz w:val="18"/>
                <w:szCs w:val="18"/>
                <w:lang w:val="es-ES"/>
              </w:rPr>
            </w:pPr>
            <w:r w:rsidRPr="004956D7">
              <w:rPr>
                <w:rFonts w:ascii="Cambria" w:hAnsi="Cambria"/>
                <w:sz w:val="18"/>
                <w:szCs w:val="18"/>
                <w:lang w:val="es-ES"/>
              </w:rPr>
              <w:t>Cumplimiento parcial</w:t>
            </w:r>
          </w:p>
        </w:tc>
      </w:tr>
      <w:tr w:rsidR="00C14908" w:rsidRPr="004956D7" w14:paraId="4FD8172D" w14:textId="77777777" w:rsidTr="008263AB">
        <w:tc>
          <w:tcPr>
            <w:tcW w:w="7290" w:type="dxa"/>
            <w:shd w:val="clear" w:color="auto" w:fill="auto"/>
          </w:tcPr>
          <w:p w14:paraId="2C9951C1" w14:textId="77777777" w:rsidR="00C14908" w:rsidRPr="004956D7" w:rsidRDefault="00C14908" w:rsidP="00B16793">
            <w:pPr>
              <w:spacing w:after="0" w:line="240" w:lineRule="auto"/>
              <w:jc w:val="both"/>
              <w:rPr>
                <w:rFonts w:ascii="Cambria" w:hAnsi="Cambria"/>
                <w:sz w:val="18"/>
                <w:szCs w:val="18"/>
                <w:lang w:val="es-ES"/>
              </w:rPr>
            </w:pPr>
            <w:r w:rsidRPr="004956D7">
              <w:rPr>
                <w:rFonts w:ascii="Cambria" w:hAnsi="Cambria"/>
                <w:sz w:val="18"/>
                <w:szCs w:val="18"/>
                <w:lang w:val="es-ES"/>
              </w:rPr>
              <w:t xml:space="preserve">3. Reparar adecuadamente las violaciones de derechos humanos declaradas en el presente informe tanto en el aspecto material como moral, incluyendo una justa compensación, el establecimiento y difusión de la verdad histórica de los hechos y la implementación de un programa adecuado de atención a sus familiares. </w:t>
            </w:r>
          </w:p>
        </w:tc>
        <w:tc>
          <w:tcPr>
            <w:tcW w:w="2250" w:type="dxa"/>
            <w:shd w:val="clear" w:color="auto" w:fill="auto"/>
            <w:vAlign w:val="center"/>
          </w:tcPr>
          <w:p w14:paraId="10E22CA9" w14:textId="77777777" w:rsidR="00C14908" w:rsidRPr="004956D7" w:rsidRDefault="003C786D" w:rsidP="00B16793">
            <w:pPr>
              <w:spacing w:after="0" w:line="240" w:lineRule="auto"/>
              <w:jc w:val="center"/>
              <w:rPr>
                <w:rFonts w:ascii="Cambria" w:hAnsi="Cambria"/>
                <w:sz w:val="18"/>
                <w:szCs w:val="18"/>
                <w:lang w:val="es-ES"/>
              </w:rPr>
            </w:pPr>
            <w:r w:rsidRPr="004956D7">
              <w:rPr>
                <w:rFonts w:ascii="Cambria" w:hAnsi="Cambria"/>
                <w:sz w:val="18"/>
                <w:szCs w:val="18"/>
                <w:lang w:val="es-ES"/>
              </w:rPr>
              <w:t>Cumplimiento parcial</w:t>
            </w:r>
          </w:p>
        </w:tc>
      </w:tr>
      <w:tr w:rsidR="00C14908" w:rsidRPr="004956D7" w14:paraId="773968E7" w14:textId="77777777" w:rsidTr="008263AB">
        <w:tc>
          <w:tcPr>
            <w:tcW w:w="7290" w:type="dxa"/>
            <w:shd w:val="clear" w:color="auto" w:fill="auto"/>
          </w:tcPr>
          <w:p w14:paraId="2FFDF3A3" w14:textId="77777777" w:rsidR="00C14908" w:rsidRPr="004956D7" w:rsidRDefault="00C14908" w:rsidP="00B16793">
            <w:pPr>
              <w:spacing w:after="0" w:line="240" w:lineRule="auto"/>
              <w:jc w:val="both"/>
              <w:rPr>
                <w:rFonts w:ascii="Cambria" w:hAnsi="Cambria"/>
                <w:sz w:val="18"/>
                <w:szCs w:val="18"/>
                <w:lang w:val="es-ES"/>
              </w:rPr>
            </w:pPr>
            <w:r w:rsidRPr="004956D7">
              <w:rPr>
                <w:rFonts w:ascii="Cambria" w:hAnsi="Cambria"/>
                <w:sz w:val="18"/>
                <w:szCs w:val="18"/>
                <w:lang w:val="es-ES"/>
              </w:rPr>
              <w:t>4. Adoptar medidas de no repetición necesarias para evitar que en el futuro se produzcan hechos similares.</w:t>
            </w:r>
          </w:p>
        </w:tc>
        <w:tc>
          <w:tcPr>
            <w:tcW w:w="2250" w:type="dxa"/>
            <w:shd w:val="clear" w:color="auto" w:fill="auto"/>
            <w:vAlign w:val="center"/>
          </w:tcPr>
          <w:p w14:paraId="3C788955" w14:textId="4469475D" w:rsidR="00C14908" w:rsidRPr="004956D7" w:rsidRDefault="00C14908" w:rsidP="00B16793">
            <w:pPr>
              <w:spacing w:after="0" w:line="240" w:lineRule="auto"/>
              <w:jc w:val="center"/>
              <w:rPr>
                <w:rFonts w:ascii="Cambria" w:hAnsi="Cambria"/>
                <w:sz w:val="18"/>
                <w:szCs w:val="18"/>
                <w:lang w:val="es-ES"/>
              </w:rPr>
            </w:pPr>
            <w:r w:rsidRPr="004956D7">
              <w:rPr>
                <w:rFonts w:ascii="Cambria" w:hAnsi="Cambria"/>
                <w:sz w:val="18"/>
                <w:szCs w:val="18"/>
                <w:lang w:val="es-ES"/>
              </w:rPr>
              <w:t>Cumplimiento total</w:t>
            </w:r>
            <w:r w:rsidR="000D7146" w:rsidRPr="004956D7">
              <w:rPr>
                <w:rStyle w:val="FootnoteReference"/>
                <w:rFonts w:ascii="Cambria" w:hAnsi="Cambria"/>
                <w:sz w:val="18"/>
                <w:szCs w:val="18"/>
                <w:lang w:val="es-ES"/>
              </w:rPr>
              <w:footnoteReference w:id="1"/>
            </w:r>
            <w:r w:rsidRPr="004956D7">
              <w:rPr>
                <w:rFonts w:ascii="Cambria" w:hAnsi="Cambria"/>
                <w:sz w:val="18"/>
                <w:szCs w:val="18"/>
                <w:lang w:val="es-ES"/>
              </w:rPr>
              <w:t xml:space="preserve"> </w:t>
            </w:r>
          </w:p>
        </w:tc>
      </w:tr>
      <w:tr w:rsidR="00C14908" w:rsidRPr="004956D7" w14:paraId="7718A9B2" w14:textId="77777777" w:rsidTr="008263AB">
        <w:tc>
          <w:tcPr>
            <w:tcW w:w="7290" w:type="dxa"/>
            <w:shd w:val="clear" w:color="auto" w:fill="auto"/>
          </w:tcPr>
          <w:p w14:paraId="707A5CC0" w14:textId="142B41FB" w:rsidR="00C14908" w:rsidRPr="004956D7" w:rsidRDefault="00956DA8" w:rsidP="00B16793">
            <w:pPr>
              <w:spacing w:after="0" w:line="240" w:lineRule="auto"/>
              <w:jc w:val="both"/>
              <w:rPr>
                <w:rFonts w:ascii="Cambria" w:hAnsi="Cambria"/>
                <w:sz w:val="18"/>
                <w:szCs w:val="18"/>
                <w:lang w:val="es-ES"/>
              </w:rPr>
            </w:pPr>
            <w:r w:rsidRPr="004956D7">
              <w:rPr>
                <w:rFonts w:ascii="Cambria" w:hAnsi="Cambria"/>
                <w:sz w:val="18"/>
                <w:szCs w:val="18"/>
                <w:lang w:val="es-ES"/>
              </w:rPr>
              <w:t xml:space="preserve">5. </w:t>
            </w:r>
            <w:r w:rsidR="00C14908" w:rsidRPr="004956D7">
              <w:rPr>
                <w:rFonts w:ascii="Cambria" w:hAnsi="Cambria"/>
                <w:sz w:val="18"/>
                <w:szCs w:val="18"/>
                <w:lang w:val="es-ES"/>
              </w:rPr>
              <w:t xml:space="preserve">Reconocer públicamente, garantizando mecanismos adecuados de difusión, las </w:t>
            </w:r>
            <w:r w:rsidR="00C14908" w:rsidRPr="004956D7">
              <w:rPr>
                <w:rFonts w:ascii="Cambria" w:hAnsi="Cambria"/>
                <w:sz w:val="18"/>
                <w:szCs w:val="18"/>
                <w:lang w:val="es-ES"/>
              </w:rPr>
              <w:lastRenderedPageBreak/>
              <w:t>violaciones declaradas en el presente caso.</w:t>
            </w:r>
          </w:p>
        </w:tc>
        <w:tc>
          <w:tcPr>
            <w:tcW w:w="2250" w:type="dxa"/>
            <w:shd w:val="clear" w:color="auto" w:fill="auto"/>
            <w:vAlign w:val="center"/>
          </w:tcPr>
          <w:p w14:paraId="21453540" w14:textId="18116500" w:rsidR="00C14908" w:rsidRPr="004956D7" w:rsidRDefault="00C14908" w:rsidP="00A62579">
            <w:pPr>
              <w:spacing w:after="0" w:line="240" w:lineRule="auto"/>
              <w:jc w:val="center"/>
              <w:rPr>
                <w:rFonts w:ascii="Cambria" w:hAnsi="Cambria"/>
                <w:sz w:val="18"/>
                <w:szCs w:val="18"/>
                <w:lang w:val="es-ES"/>
              </w:rPr>
            </w:pPr>
            <w:r w:rsidRPr="004956D7">
              <w:rPr>
                <w:rFonts w:ascii="Cambria" w:hAnsi="Cambria"/>
                <w:sz w:val="18"/>
                <w:szCs w:val="18"/>
                <w:lang w:val="es-ES"/>
              </w:rPr>
              <w:lastRenderedPageBreak/>
              <w:t>Cumplimiento total</w:t>
            </w:r>
            <w:r w:rsidR="000D7146" w:rsidRPr="004956D7">
              <w:rPr>
                <w:rStyle w:val="FootnoteReference"/>
                <w:rFonts w:ascii="Cambria" w:hAnsi="Cambria"/>
                <w:sz w:val="18"/>
                <w:szCs w:val="18"/>
                <w:lang w:val="es-ES"/>
              </w:rPr>
              <w:footnoteReference w:id="2"/>
            </w:r>
          </w:p>
        </w:tc>
      </w:tr>
    </w:tbl>
    <w:p w14:paraId="0832FC84" w14:textId="77777777" w:rsidR="00C14908" w:rsidRPr="004956D7" w:rsidRDefault="00C14908" w:rsidP="00C14908">
      <w:pPr>
        <w:spacing w:after="0" w:line="240" w:lineRule="auto"/>
        <w:jc w:val="both"/>
        <w:rPr>
          <w:rFonts w:ascii="Cambria" w:hAnsi="Cambria" w:cs="Calibri Light"/>
          <w:sz w:val="20"/>
          <w:szCs w:val="20"/>
          <w:lang w:val="es-US"/>
        </w:rPr>
      </w:pPr>
    </w:p>
    <w:p w14:paraId="37B38EEE" w14:textId="78742383" w:rsidR="00145B40" w:rsidRPr="004956D7" w:rsidRDefault="00C14908" w:rsidP="00813E90">
      <w:pPr>
        <w:pStyle w:val="ListParagraph"/>
        <w:numPr>
          <w:ilvl w:val="0"/>
          <w:numId w:val="1"/>
        </w:numPr>
        <w:spacing w:after="0" w:line="240" w:lineRule="auto"/>
        <w:ind w:left="1440"/>
        <w:jc w:val="both"/>
        <w:rPr>
          <w:rFonts w:ascii="Cambria" w:hAnsi="Cambria" w:cs="Calibri Light"/>
          <w:b/>
          <w:sz w:val="20"/>
          <w:szCs w:val="20"/>
          <w:lang w:val="es-ES_tradnl"/>
        </w:rPr>
      </w:pPr>
      <w:r w:rsidRPr="004956D7">
        <w:rPr>
          <w:rFonts w:ascii="Cambria" w:hAnsi="Cambria"/>
          <w:b/>
          <w:sz w:val="20"/>
          <w:szCs w:val="20"/>
          <w:lang w:val="es-VE"/>
        </w:rPr>
        <w:t>Actividad Procesal</w:t>
      </w:r>
    </w:p>
    <w:p w14:paraId="4338AB37" w14:textId="700D4055" w:rsidR="00C3709F" w:rsidRPr="004956D7" w:rsidRDefault="00C3709F" w:rsidP="00306969">
      <w:pPr>
        <w:spacing w:after="0" w:line="240" w:lineRule="auto"/>
        <w:ind w:firstLine="720"/>
        <w:jc w:val="both"/>
        <w:rPr>
          <w:rFonts w:ascii="Cambria" w:hAnsi="Cambria" w:cs="Calibri Light"/>
          <w:sz w:val="20"/>
          <w:szCs w:val="20"/>
          <w:lang w:val="es-ES_tradnl"/>
        </w:rPr>
      </w:pPr>
    </w:p>
    <w:p w14:paraId="6627D699" w14:textId="1168E4AB" w:rsidR="00956DA8" w:rsidRPr="004956D7" w:rsidRDefault="00EF4810" w:rsidP="00306969">
      <w:pPr>
        <w:pStyle w:val="ListParagraph"/>
        <w:numPr>
          <w:ilvl w:val="0"/>
          <w:numId w:val="14"/>
        </w:numPr>
        <w:spacing w:after="0" w:line="240" w:lineRule="auto"/>
        <w:ind w:left="0" w:firstLine="720"/>
        <w:jc w:val="both"/>
        <w:rPr>
          <w:rFonts w:ascii="Cambria" w:hAnsi="Cambria" w:cs="Calibri Light"/>
          <w:sz w:val="20"/>
          <w:szCs w:val="20"/>
          <w:lang w:val="es-ES_tradnl"/>
        </w:rPr>
      </w:pPr>
      <w:r w:rsidRPr="004956D7">
        <w:rPr>
          <w:rFonts w:ascii="Cambria" w:hAnsi="Cambria" w:cs="Calibri Light"/>
          <w:sz w:val="20"/>
          <w:szCs w:val="20"/>
          <w:lang w:val="es-ES_tradnl"/>
        </w:rPr>
        <w:t xml:space="preserve">En 2018, la Comisión solicitó </w:t>
      </w:r>
      <w:r w:rsidR="00956DA8" w:rsidRPr="004956D7">
        <w:rPr>
          <w:rFonts w:ascii="Cambria" w:hAnsi="Cambria" w:cs="Calibri Light"/>
          <w:sz w:val="20"/>
          <w:szCs w:val="20"/>
          <w:lang w:val="es-ES_tradnl"/>
        </w:rPr>
        <w:t xml:space="preserve">información actualizada sobre el cumplimiento </w:t>
      </w:r>
      <w:r w:rsidRPr="004956D7">
        <w:rPr>
          <w:rFonts w:ascii="Cambria" w:hAnsi="Cambria" w:cs="Calibri Light"/>
          <w:sz w:val="20"/>
          <w:szCs w:val="20"/>
          <w:lang w:val="es-ES_tradnl"/>
        </w:rPr>
        <w:t>al Estado</w:t>
      </w:r>
      <w:r w:rsidR="00956DA8" w:rsidRPr="004956D7">
        <w:rPr>
          <w:rFonts w:ascii="Cambria" w:hAnsi="Cambria" w:cs="Calibri Light"/>
          <w:sz w:val="20"/>
          <w:szCs w:val="20"/>
          <w:lang w:val="es-ES_tradnl"/>
        </w:rPr>
        <w:t xml:space="preserve"> el 26 de julio, y el Estado proporcionó dicha información el 22 de agosto. </w:t>
      </w:r>
      <w:r w:rsidRPr="004956D7">
        <w:rPr>
          <w:rFonts w:ascii="Cambria" w:hAnsi="Cambria" w:cs="Calibri Light"/>
          <w:sz w:val="20"/>
          <w:szCs w:val="20"/>
          <w:lang w:val="es-ES_tradnl"/>
        </w:rPr>
        <w:t xml:space="preserve"> </w:t>
      </w:r>
    </w:p>
    <w:p w14:paraId="00192FFF" w14:textId="77777777" w:rsidR="00956DA8" w:rsidRPr="004956D7" w:rsidRDefault="00956DA8" w:rsidP="00956DA8">
      <w:pPr>
        <w:pStyle w:val="ListParagraph"/>
        <w:spacing w:after="0" w:line="240" w:lineRule="auto"/>
        <w:jc w:val="both"/>
        <w:rPr>
          <w:rFonts w:ascii="Cambria" w:hAnsi="Cambria" w:cs="Calibri Light"/>
          <w:sz w:val="20"/>
          <w:szCs w:val="20"/>
          <w:lang w:val="es-ES_tradnl"/>
        </w:rPr>
      </w:pPr>
    </w:p>
    <w:p w14:paraId="32AAC96A" w14:textId="0DAF78FD" w:rsidR="00D905DB" w:rsidRPr="004956D7" w:rsidRDefault="00956DA8" w:rsidP="00306969">
      <w:pPr>
        <w:pStyle w:val="ListParagraph"/>
        <w:numPr>
          <w:ilvl w:val="0"/>
          <w:numId w:val="14"/>
        </w:numPr>
        <w:spacing w:after="0" w:line="240" w:lineRule="auto"/>
        <w:ind w:left="0" w:firstLine="720"/>
        <w:jc w:val="both"/>
        <w:rPr>
          <w:rFonts w:ascii="Cambria" w:hAnsi="Cambria" w:cs="Calibri Light"/>
          <w:sz w:val="20"/>
          <w:szCs w:val="20"/>
          <w:lang w:val="es-ES_tradnl"/>
        </w:rPr>
      </w:pPr>
      <w:r w:rsidRPr="004956D7">
        <w:rPr>
          <w:rFonts w:ascii="Cambria" w:hAnsi="Cambria" w:cs="Calibri Light"/>
          <w:sz w:val="20"/>
          <w:szCs w:val="20"/>
          <w:lang w:val="es-ES_tradnl"/>
        </w:rPr>
        <w:t xml:space="preserve">La Comisión solicitó información actualizada sobre el cumplimiento a los peticionarios </w:t>
      </w:r>
      <w:r w:rsidR="008D63EA" w:rsidRPr="004956D7">
        <w:rPr>
          <w:rFonts w:ascii="Cambria" w:hAnsi="Cambria" w:cs="Calibri Light"/>
          <w:sz w:val="20"/>
          <w:szCs w:val="20"/>
          <w:lang w:val="es-ES_tradnl"/>
        </w:rPr>
        <w:t>el 13 de septiembre de 2018</w:t>
      </w:r>
      <w:r w:rsidRPr="004956D7">
        <w:rPr>
          <w:rFonts w:ascii="Cambria" w:hAnsi="Cambria" w:cs="Calibri Light"/>
          <w:sz w:val="20"/>
          <w:szCs w:val="20"/>
          <w:lang w:val="es-ES_tradnl"/>
        </w:rPr>
        <w:t xml:space="preserve">, y los peticionarios proporcionaron dicha información el </w:t>
      </w:r>
      <w:r w:rsidR="008D63EA" w:rsidRPr="004956D7">
        <w:rPr>
          <w:rFonts w:ascii="Cambria" w:hAnsi="Cambria" w:cs="Calibri Light"/>
          <w:sz w:val="20"/>
          <w:szCs w:val="20"/>
          <w:lang w:val="es-ES_tradnl"/>
        </w:rPr>
        <w:t>29 de noviembre</w:t>
      </w:r>
      <w:r w:rsidR="00C3709F" w:rsidRPr="004956D7">
        <w:rPr>
          <w:rFonts w:ascii="Cambria" w:hAnsi="Cambria" w:cs="Calibri Light"/>
          <w:sz w:val="20"/>
          <w:szCs w:val="20"/>
          <w:lang w:val="es-ES_tradnl"/>
        </w:rPr>
        <w:t xml:space="preserve">. </w:t>
      </w:r>
    </w:p>
    <w:p w14:paraId="2A672045" w14:textId="77777777" w:rsidR="00C14908" w:rsidRPr="004956D7" w:rsidRDefault="00C14908" w:rsidP="00C14908">
      <w:pPr>
        <w:spacing w:after="0" w:line="240" w:lineRule="auto"/>
        <w:jc w:val="both"/>
        <w:rPr>
          <w:rFonts w:ascii="Cambria" w:hAnsi="Cambria" w:cs="Calibri Light"/>
          <w:sz w:val="20"/>
          <w:szCs w:val="20"/>
          <w:lang w:val="es-ES_tradnl"/>
        </w:rPr>
      </w:pPr>
    </w:p>
    <w:p w14:paraId="514DC045" w14:textId="0ADFF135" w:rsidR="00C14908" w:rsidRPr="004956D7" w:rsidRDefault="00C14908" w:rsidP="005F7B42">
      <w:pPr>
        <w:pStyle w:val="ListParagraph"/>
        <w:numPr>
          <w:ilvl w:val="0"/>
          <w:numId w:val="1"/>
        </w:numPr>
        <w:spacing w:after="0" w:line="240" w:lineRule="auto"/>
        <w:ind w:left="1440"/>
        <w:jc w:val="both"/>
        <w:rPr>
          <w:rFonts w:ascii="Cambria" w:hAnsi="Cambria" w:cs="Calibri Light"/>
          <w:b/>
          <w:sz w:val="20"/>
          <w:szCs w:val="20"/>
          <w:lang w:val="es-ES_tradnl"/>
        </w:rPr>
      </w:pPr>
      <w:r w:rsidRPr="004956D7">
        <w:rPr>
          <w:rFonts w:ascii="Cambria" w:hAnsi="Cambria" w:cs="Calibri Light"/>
          <w:b/>
          <w:sz w:val="20"/>
          <w:szCs w:val="20"/>
          <w:lang w:val="es-ES_tradnl"/>
        </w:rPr>
        <w:t>Análisis relativ</w:t>
      </w:r>
      <w:r w:rsidR="005F7B42">
        <w:rPr>
          <w:rFonts w:ascii="Cambria" w:hAnsi="Cambria" w:cs="Calibri Light"/>
          <w:b/>
          <w:sz w:val="20"/>
          <w:szCs w:val="20"/>
          <w:lang w:val="es-ES_tradnl"/>
        </w:rPr>
        <w:t>o</w:t>
      </w:r>
      <w:r w:rsidRPr="004956D7">
        <w:rPr>
          <w:rFonts w:ascii="Cambria" w:hAnsi="Cambria" w:cs="Calibri Light"/>
          <w:b/>
          <w:sz w:val="20"/>
          <w:szCs w:val="20"/>
          <w:lang w:val="es-ES_tradnl"/>
        </w:rPr>
        <w:t xml:space="preserve"> a</w:t>
      </w:r>
      <w:r w:rsidR="007B3C59">
        <w:rPr>
          <w:rFonts w:ascii="Cambria" w:hAnsi="Cambria" w:cs="Calibri Light"/>
          <w:b/>
          <w:sz w:val="20"/>
          <w:szCs w:val="20"/>
          <w:lang w:val="es-ES_tradnl"/>
        </w:rPr>
        <w:t xml:space="preserve"> la</w:t>
      </w:r>
      <w:r w:rsidRPr="004956D7">
        <w:rPr>
          <w:rFonts w:ascii="Cambria" w:hAnsi="Cambria" w:cs="Calibri Light"/>
          <w:b/>
          <w:sz w:val="20"/>
          <w:szCs w:val="20"/>
          <w:lang w:val="es-ES_tradnl"/>
        </w:rPr>
        <w:t xml:space="preserve"> información proporcionada</w:t>
      </w:r>
    </w:p>
    <w:p w14:paraId="2ED602AA" w14:textId="77777777" w:rsidR="00C14908" w:rsidRPr="004956D7" w:rsidRDefault="00C14908" w:rsidP="00C14908">
      <w:pPr>
        <w:spacing w:after="0" w:line="240" w:lineRule="auto"/>
        <w:jc w:val="both"/>
        <w:rPr>
          <w:rFonts w:ascii="Cambria" w:hAnsi="Cambria" w:cs="Calibri Light"/>
          <w:sz w:val="20"/>
          <w:szCs w:val="20"/>
          <w:lang w:val="es-ES_tradnl"/>
        </w:rPr>
      </w:pPr>
    </w:p>
    <w:p w14:paraId="7CA8F484" w14:textId="77B6361B" w:rsidR="00712B8C" w:rsidRPr="004956D7" w:rsidRDefault="00712B8C" w:rsidP="00306969">
      <w:pPr>
        <w:pStyle w:val="ListParagraph"/>
        <w:numPr>
          <w:ilvl w:val="0"/>
          <w:numId w:val="14"/>
        </w:numPr>
        <w:spacing w:after="0" w:line="240" w:lineRule="auto"/>
        <w:ind w:left="0" w:firstLine="720"/>
        <w:jc w:val="both"/>
        <w:rPr>
          <w:rFonts w:ascii="Cambria" w:hAnsi="Cambria" w:cs="Calibri Light"/>
          <w:sz w:val="20"/>
          <w:szCs w:val="20"/>
          <w:lang w:val="es-ES_tradnl"/>
        </w:rPr>
      </w:pPr>
      <w:r w:rsidRPr="004956D7">
        <w:rPr>
          <w:rFonts w:ascii="Cambria" w:hAnsi="Cambria" w:cs="Calibri Light"/>
          <w:sz w:val="20"/>
          <w:szCs w:val="20"/>
          <w:lang w:val="es-ES_tradnl"/>
        </w:rPr>
        <w:t>La Comisión considera que la información proporcionada por las partes en 2018 es relevante dado que es actualizada y amplia sobre medidas adoptadas relativas al cumplimiento de al menos una de las recomendac</w:t>
      </w:r>
      <w:r w:rsidR="005F7B42">
        <w:rPr>
          <w:rFonts w:ascii="Cambria" w:hAnsi="Cambria" w:cs="Calibri Light"/>
          <w:sz w:val="20"/>
          <w:szCs w:val="20"/>
          <w:lang w:val="es-ES_tradnl"/>
        </w:rPr>
        <w:t>iones emitidas en el Informe Nº</w:t>
      </w:r>
      <w:r w:rsidRPr="004956D7">
        <w:rPr>
          <w:rFonts w:ascii="Cambria" w:hAnsi="Cambria" w:cs="Calibri Light"/>
          <w:sz w:val="20"/>
          <w:szCs w:val="20"/>
          <w:lang w:val="es-ES_tradnl"/>
        </w:rPr>
        <w:t xml:space="preserve"> 101/17. </w:t>
      </w:r>
    </w:p>
    <w:p w14:paraId="02B52C7D" w14:textId="5664B794" w:rsidR="00C14908" w:rsidRPr="004956D7" w:rsidRDefault="00C14908" w:rsidP="00C14908">
      <w:pPr>
        <w:spacing w:after="0" w:line="240" w:lineRule="auto"/>
        <w:jc w:val="both"/>
        <w:rPr>
          <w:rFonts w:ascii="Cambria" w:hAnsi="Cambria" w:cs="Calibri Light"/>
          <w:b/>
          <w:color w:val="FF0000"/>
          <w:sz w:val="20"/>
          <w:szCs w:val="20"/>
          <w:highlight w:val="yellow"/>
          <w:lang w:val="es-ES_tradnl"/>
        </w:rPr>
      </w:pPr>
    </w:p>
    <w:p w14:paraId="7B785D65" w14:textId="77777777" w:rsidR="00C14908" w:rsidRPr="005F7B42" w:rsidRDefault="00C14908" w:rsidP="002D1BBE">
      <w:pPr>
        <w:pStyle w:val="ListParagraph"/>
        <w:numPr>
          <w:ilvl w:val="0"/>
          <w:numId w:val="1"/>
        </w:numPr>
        <w:spacing w:after="0" w:line="240" w:lineRule="auto"/>
        <w:ind w:left="1440"/>
        <w:jc w:val="both"/>
        <w:rPr>
          <w:rFonts w:ascii="Cambria" w:hAnsi="Cambria" w:cs="Calibri Light"/>
          <w:b/>
          <w:sz w:val="20"/>
          <w:szCs w:val="20"/>
          <w:lang w:val="es-ES_tradnl"/>
        </w:rPr>
      </w:pPr>
      <w:r w:rsidRPr="005F7B42">
        <w:rPr>
          <w:rFonts w:ascii="Cambria" w:hAnsi="Cambria" w:cs="Calibri Light"/>
          <w:b/>
          <w:sz w:val="20"/>
          <w:szCs w:val="20"/>
          <w:lang w:val="es-US"/>
        </w:rPr>
        <w:t>Análisis del cumplimiento de las recomendaciones</w:t>
      </w:r>
    </w:p>
    <w:p w14:paraId="41EE9DB4" w14:textId="3F7CC368" w:rsidR="00C14908" w:rsidRPr="005F7B42" w:rsidRDefault="00C14908" w:rsidP="00C14908">
      <w:pPr>
        <w:spacing w:after="0" w:line="240" w:lineRule="auto"/>
        <w:jc w:val="both"/>
        <w:rPr>
          <w:rFonts w:ascii="Cambria" w:hAnsi="Cambria" w:cs="Calibri Light"/>
          <w:sz w:val="20"/>
          <w:szCs w:val="20"/>
          <w:highlight w:val="yellow"/>
          <w:lang w:val="es-US"/>
        </w:rPr>
      </w:pPr>
    </w:p>
    <w:p w14:paraId="25EAE9C0" w14:textId="4E6F7BA8" w:rsidR="000A417C" w:rsidRPr="005F7B42" w:rsidRDefault="00301D87" w:rsidP="00DE6103">
      <w:pPr>
        <w:pStyle w:val="ListParagraph"/>
        <w:numPr>
          <w:ilvl w:val="0"/>
          <w:numId w:val="14"/>
        </w:numPr>
        <w:tabs>
          <w:tab w:val="left" w:pos="0"/>
        </w:tabs>
        <w:autoSpaceDE w:val="0"/>
        <w:autoSpaceDN w:val="0"/>
        <w:adjustRightInd w:val="0"/>
        <w:spacing w:after="0" w:line="240" w:lineRule="auto"/>
        <w:ind w:left="0" w:firstLine="720"/>
        <w:jc w:val="both"/>
        <w:rPr>
          <w:rFonts w:ascii="Cambria" w:eastAsiaTheme="minorHAnsi" w:hAnsi="Cambria" w:cs="Arial"/>
          <w:iCs/>
          <w:sz w:val="20"/>
          <w:szCs w:val="20"/>
          <w:lang w:val="es-CO"/>
        </w:rPr>
      </w:pPr>
      <w:r w:rsidRPr="005F7B42">
        <w:rPr>
          <w:rFonts w:ascii="Cambria" w:hAnsi="Cambria" w:cs="Calibri Light"/>
          <w:b/>
          <w:sz w:val="20"/>
          <w:szCs w:val="20"/>
          <w:lang w:val="es-US"/>
        </w:rPr>
        <w:t>En relación con la primera recomendación,</w:t>
      </w:r>
      <w:r w:rsidRPr="005F7B42">
        <w:rPr>
          <w:rFonts w:ascii="Cambria" w:hAnsi="Cambria" w:cs="Calibri Light"/>
          <w:sz w:val="20"/>
          <w:szCs w:val="20"/>
          <w:lang w:val="es-US"/>
        </w:rPr>
        <w:t xml:space="preserve"> </w:t>
      </w:r>
      <w:r w:rsidR="002D1BBE" w:rsidRPr="005F7B42">
        <w:rPr>
          <w:rFonts w:ascii="Cambria" w:hAnsi="Cambria" w:cs="Calibri Light"/>
          <w:sz w:val="20"/>
          <w:szCs w:val="20"/>
          <w:lang w:val="es-US"/>
        </w:rPr>
        <w:t xml:space="preserve">en 2018, el Estado informó sobre </w:t>
      </w:r>
      <w:r w:rsidR="00D34753" w:rsidRPr="005F7B42">
        <w:rPr>
          <w:rFonts w:ascii="Cambria" w:hAnsi="Cambria" w:cs="Calibri Light"/>
          <w:sz w:val="20"/>
          <w:szCs w:val="20"/>
          <w:lang w:val="es-US"/>
        </w:rPr>
        <w:t xml:space="preserve">las actuaciones </w:t>
      </w:r>
      <w:r w:rsidR="0028511C" w:rsidRPr="005F7B42">
        <w:rPr>
          <w:rFonts w:ascii="Cambria" w:hAnsi="Cambria" w:cs="Calibri Light"/>
          <w:sz w:val="20"/>
          <w:szCs w:val="20"/>
          <w:lang w:val="es-US"/>
        </w:rPr>
        <w:t>realizadas</w:t>
      </w:r>
      <w:r w:rsidR="00D34753" w:rsidRPr="005F7B42">
        <w:rPr>
          <w:rFonts w:ascii="Cambria" w:hAnsi="Cambria" w:cs="Calibri Light"/>
          <w:sz w:val="20"/>
          <w:szCs w:val="20"/>
          <w:lang w:val="es-US"/>
        </w:rPr>
        <w:t xml:space="preserve"> por la Fiscalía 37 Especializada de Derecho Humanos y Derecho Internacional Humanitario</w:t>
      </w:r>
      <w:r w:rsidR="0028511C" w:rsidRPr="005F7B42">
        <w:rPr>
          <w:rFonts w:ascii="Cambria" w:hAnsi="Cambria" w:cs="Calibri Light"/>
          <w:sz w:val="20"/>
          <w:szCs w:val="20"/>
          <w:lang w:val="es-US"/>
        </w:rPr>
        <w:t xml:space="preserve"> respecto a la búsqueda de las víctimas</w:t>
      </w:r>
      <w:r w:rsidR="00CB6668" w:rsidRPr="005F7B42">
        <w:rPr>
          <w:rFonts w:ascii="Cambria" w:eastAsiaTheme="minorHAnsi" w:hAnsi="Cambria" w:cs="Arial"/>
          <w:sz w:val="20"/>
          <w:szCs w:val="20"/>
          <w:lang w:val="es-CO"/>
        </w:rPr>
        <w:t xml:space="preserve">. </w:t>
      </w:r>
      <w:r w:rsidR="0028511C" w:rsidRPr="005F7B42">
        <w:rPr>
          <w:rFonts w:ascii="Cambria" w:eastAsiaTheme="minorHAnsi" w:hAnsi="Cambria" w:cs="Arial"/>
          <w:sz w:val="20"/>
          <w:szCs w:val="20"/>
          <w:lang w:val="es-CO"/>
        </w:rPr>
        <w:t>El Estado indicó</w:t>
      </w:r>
      <w:r w:rsidR="00CB6668" w:rsidRPr="005F7B42">
        <w:rPr>
          <w:rFonts w:ascii="Cambria" w:eastAsiaTheme="minorHAnsi" w:hAnsi="Cambria" w:cs="Arial"/>
          <w:sz w:val="20"/>
          <w:szCs w:val="20"/>
          <w:lang w:val="es-CO"/>
        </w:rPr>
        <w:t xml:space="preserve"> </w:t>
      </w:r>
      <w:r w:rsidR="0028511C" w:rsidRPr="005F7B42">
        <w:rPr>
          <w:rFonts w:ascii="Cambria" w:eastAsiaTheme="minorHAnsi" w:hAnsi="Cambria" w:cs="Arial"/>
          <w:sz w:val="20"/>
          <w:szCs w:val="20"/>
          <w:lang w:val="es-CO"/>
        </w:rPr>
        <w:t xml:space="preserve">que </w:t>
      </w:r>
      <w:r w:rsidR="00F31370" w:rsidRPr="005F7B42">
        <w:rPr>
          <w:rFonts w:ascii="Cambria" w:eastAsiaTheme="minorHAnsi" w:hAnsi="Cambria" w:cs="Arial"/>
          <w:sz w:val="20"/>
          <w:szCs w:val="20"/>
          <w:lang w:val="es-CO"/>
        </w:rPr>
        <w:t xml:space="preserve">a pesar de </w:t>
      </w:r>
      <w:r w:rsidR="000C30B2" w:rsidRPr="005F7B42">
        <w:rPr>
          <w:rFonts w:ascii="Cambria" w:eastAsiaTheme="minorHAnsi" w:hAnsi="Cambria" w:cs="Arial"/>
          <w:sz w:val="20"/>
          <w:szCs w:val="20"/>
          <w:lang w:val="es-CO"/>
        </w:rPr>
        <w:t xml:space="preserve">las </w:t>
      </w:r>
      <w:r w:rsidR="003D1EB1" w:rsidRPr="005F7B42">
        <w:rPr>
          <w:rFonts w:ascii="Cambria" w:eastAsiaTheme="minorHAnsi" w:hAnsi="Cambria" w:cs="Arial"/>
          <w:sz w:val="20"/>
          <w:szCs w:val="20"/>
          <w:lang w:val="es-CO"/>
        </w:rPr>
        <w:t>distintas actuaciones</w:t>
      </w:r>
      <w:r w:rsidR="000C30B2" w:rsidRPr="005F7B42">
        <w:rPr>
          <w:rFonts w:ascii="Cambria" w:eastAsiaTheme="minorHAnsi" w:hAnsi="Cambria" w:cs="Arial"/>
          <w:sz w:val="20"/>
          <w:szCs w:val="20"/>
          <w:lang w:val="es-CO"/>
        </w:rPr>
        <w:t xml:space="preserve"> adelantadas</w:t>
      </w:r>
      <w:r w:rsidR="003D1EB1" w:rsidRPr="005F7B42">
        <w:rPr>
          <w:rFonts w:ascii="Cambria" w:eastAsiaTheme="minorHAnsi" w:hAnsi="Cambria" w:cs="Arial"/>
          <w:sz w:val="20"/>
          <w:szCs w:val="20"/>
          <w:lang w:val="es-CO"/>
        </w:rPr>
        <w:t xml:space="preserve"> </w:t>
      </w:r>
      <w:r w:rsidR="000C30B2" w:rsidRPr="005F7B42">
        <w:rPr>
          <w:rFonts w:ascii="Cambria" w:eastAsiaTheme="minorHAnsi" w:hAnsi="Cambria" w:cs="Arial"/>
          <w:sz w:val="20"/>
          <w:szCs w:val="20"/>
          <w:lang w:val="es-CO"/>
        </w:rPr>
        <w:t xml:space="preserve">aún </w:t>
      </w:r>
      <w:r w:rsidR="00F31370" w:rsidRPr="005F7B42">
        <w:rPr>
          <w:rFonts w:ascii="Cambria" w:eastAsiaTheme="minorHAnsi" w:hAnsi="Cambria" w:cs="Arial"/>
          <w:sz w:val="20"/>
          <w:szCs w:val="20"/>
          <w:lang w:val="es-CO"/>
        </w:rPr>
        <w:t xml:space="preserve">no </w:t>
      </w:r>
      <w:r w:rsidR="0028511C" w:rsidRPr="005F7B42">
        <w:rPr>
          <w:rFonts w:ascii="Cambria" w:eastAsiaTheme="minorHAnsi" w:hAnsi="Cambria" w:cs="Arial"/>
          <w:sz w:val="20"/>
          <w:szCs w:val="20"/>
          <w:lang w:val="es-CO"/>
        </w:rPr>
        <w:t>ha</w:t>
      </w:r>
      <w:r w:rsidR="000C30B2" w:rsidRPr="005F7B42">
        <w:rPr>
          <w:rFonts w:ascii="Cambria" w:eastAsiaTheme="minorHAnsi" w:hAnsi="Cambria" w:cs="Arial"/>
          <w:sz w:val="20"/>
          <w:szCs w:val="20"/>
          <w:lang w:val="es-CO"/>
        </w:rPr>
        <w:t xml:space="preserve"> sido posible </w:t>
      </w:r>
      <w:r w:rsidR="003D1EB1" w:rsidRPr="005F7B42">
        <w:rPr>
          <w:rFonts w:ascii="Cambria" w:eastAsiaTheme="minorHAnsi" w:hAnsi="Cambria" w:cs="Arial"/>
          <w:sz w:val="20"/>
          <w:szCs w:val="20"/>
          <w:lang w:val="es-CO"/>
        </w:rPr>
        <w:t>conocer el paradero de las víctimas</w:t>
      </w:r>
      <w:r w:rsidR="00784698" w:rsidRPr="005F7B42">
        <w:rPr>
          <w:rFonts w:ascii="Cambria" w:eastAsiaTheme="minorHAnsi" w:hAnsi="Cambria" w:cs="Arial"/>
          <w:sz w:val="20"/>
          <w:szCs w:val="20"/>
          <w:lang w:val="es-CO"/>
        </w:rPr>
        <w:t xml:space="preserve">, señalando que fueron consultados los siguientes sistemas sin obtener resultados favorables: </w:t>
      </w:r>
      <w:r w:rsidR="003E1336" w:rsidRPr="005F7B42">
        <w:rPr>
          <w:rFonts w:ascii="Cambria" w:eastAsiaTheme="minorHAnsi" w:hAnsi="Cambria" w:cs="Arial"/>
          <w:iCs/>
          <w:sz w:val="20"/>
          <w:szCs w:val="20"/>
          <w:lang w:val="es-CO"/>
        </w:rPr>
        <w:t>s</w:t>
      </w:r>
      <w:r w:rsidR="000A417C" w:rsidRPr="005F7B42">
        <w:rPr>
          <w:rFonts w:ascii="Cambria" w:eastAsiaTheme="minorHAnsi" w:hAnsi="Cambria" w:cs="Arial"/>
          <w:iCs/>
          <w:sz w:val="20"/>
          <w:szCs w:val="20"/>
          <w:lang w:val="es-CO"/>
        </w:rPr>
        <w:t>istema de</w:t>
      </w:r>
      <w:r w:rsidR="00CB6668" w:rsidRPr="005F7B42">
        <w:rPr>
          <w:rFonts w:ascii="Cambria" w:eastAsiaTheme="minorHAnsi" w:hAnsi="Cambria" w:cs="Arial"/>
          <w:sz w:val="20"/>
          <w:szCs w:val="20"/>
          <w:lang w:val="es-CO"/>
        </w:rPr>
        <w:t xml:space="preserve"> </w:t>
      </w:r>
      <w:r w:rsidR="000A417C" w:rsidRPr="005F7B42">
        <w:rPr>
          <w:rFonts w:ascii="Cambria" w:eastAsiaTheme="minorHAnsi" w:hAnsi="Cambria" w:cs="Arial"/>
          <w:iCs/>
          <w:sz w:val="20"/>
          <w:szCs w:val="20"/>
          <w:lang w:val="es-CO"/>
        </w:rPr>
        <w:t>información</w:t>
      </w:r>
      <w:r w:rsidR="00CB6668" w:rsidRPr="005F7B42">
        <w:rPr>
          <w:rFonts w:ascii="Cambria" w:eastAsiaTheme="minorHAnsi" w:hAnsi="Cambria" w:cs="Arial"/>
          <w:iCs/>
          <w:sz w:val="20"/>
          <w:szCs w:val="20"/>
          <w:lang w:val="es-CO"/>
        </w:rPr>
        <w:t xml:space="preserve"> del Institu</w:t>
      </w:r>
      <w:r w:rsidR="000A417C" w:rsidRPr="005F7B42">
        <w:rPr>
          <w:rFonts w:ascii="Cambria" w:eastAsiaTheme="minorHAnsi" w:hAnsi="Cambria" w:cs="Arial"/>
          <w:iCs/>
          <w:sz w:val="20"/>
          <w:szCs w:val="20"/>
          <w:lang w:val="es-CO"/>
        </w:rPr>
        <w:t>to Penitenciario y Cancelario</w:t>
      </w:r>
      <w:r w:rsidR="00CB6668" w:rsidRPr="005F7B42">
        <w:rPr>
          <w:rFonts w:ascii="Cambria" w:eastAsiaTheme="minorHAnsi" w:hAnsi="Cambria" w:cs="Arial"/>
          <w:iCs/>
          <w:sz w:val="20"/>
          <w:szCs w:val="20"/>
          <w:lang w:val="es-CO"/>
        </w:rPr>
        <w:t xml:space="preserve">; </w:t>
      </w:r>
      <w:r w:rsidR="000A417C" w:rsidRPr="005F7B42">
        <w:rPr>
          <w:rFonts w:ascii="Cambria" w:eastAsiaTheme="minorHAnsi" w:hAnsi="Cambria" w:cs="Arial"/>
          <w:iCs/>
          <w:sz w:val="20"/>
          <w:szCs w:val="20"/>
          <w:lang w:val="es-CO"/>
        </w:rPr>
        <w:t>sistema de afiliaciones al sistema de seguridad</w:t>
      </w:r>
      <w:r w:rsidR="00CB6668" w:rsidRPr="005F7B42">
        <w:rPr>
          <w:rFonts w:ascii="Cambria" w:eastAsiaTheme="minorHAnsi" w:hAnsi="Cambria" w:cs="Arial"/>
          <w:iCs/>
          <w:sz w:val="20"/>
          <w:szCs w:val="20"/>
          <w:lang w:val="es-CO"/>
        </w:rPr>
        <w:t xml:space="preserve"> </w:t>
      </w:r>
      <w:r w:rsidR="003E1336" w:rsidRPr="005F7B42">
        <w:rPr>
          <w:rFonts w:ascii="Cambria" w:eastAsiaTheme="minorHAnsi" w:hAnsi="Cambria" w:cs="Arial"/>
          <w:iCs/>
          <w:sz w:val="20"/>
          <w:szCs w:val="20"/>
          <w:lang w:val="es-CO"/>
        </w:rPr>
        <w:t>social; sistema de i</w:t>
      </w:r>
      <w:r w:rsidR="000A417C" w:rsidRPr="005F7B42">
        <w:rPr>
          <w:rFonts w:ascii="Cambria" w:eastAsiaTheme="minorHAnsi" w:hAnsi="Cambria" w:cs="Arial"/>
          <w:iCs/>
          <w:sz w:val="20"/>
          <w:szCs w:val="20"/>
          <w:lang w:val="es-CO"/>
        </w:rPr>
        <w:t xml:space="preserve">nformación de afiliaciones </w:t>
      </w:r>
      <w:r w:rsidR="003E1336" w:rsidRPr="005F7B42">
        <w:rPr>
          <w:rFonts w:ascii="Cambria" w:eastAsiaTheme="minorHAnsi" w:hAnsi="Cambria" w:cs="Arial"/>
          <w:iCs/>
          <w:sz w:val="20"/>
          <w:szCs w:val="20"/>
          <w:lang w:val="es-CO"/>
        </w:rPr>
        <w:t>en relación con la</w:t>
      </w:r>
      <w:r w:rsidR="000A417C" w:rsidRPr="005F7B42">
        <w:rPr>
          <w:rFonts w:ascii="Cambria" w:eastAsiaTheme="minorHAnsi" w:hAnsi="Cambria" w:cs="Arial"/>
          <w:iCs/>
          <w:sz w:val="20"/>
          <w:szCs w:val="20"/>
          <w:lang w:val="es-CO"/>
        </w:rPr>
        <w:t xml:space="preserve"> Selección de Beneficiarios para Programas Sociales</w:t>
      </w:r>
      <w:r w:rsidR="00DE6103" w:rsidRPr="005F7B42">
        <w:rPr>
          <w:rFonts w:ascii="Cambria" w:eastAsiaTheme="minorHAnsi" w:hAnsi="Cambria" w:cs="Arial"/>
          <w:iCs/>
          <w:sz w:val="20"/>
          <w:szCs w:val="20"/>
          <w:lang w:val="es-CO"/>
        </w:rPr>
        <w:t xml:space="preserve">; y </w:t>
      </w:r>
      <w:r w:rsidR="000A417C" w:rsidRPr="005F7B42">
        <w:rPr>
          <w:rFonts w:ascii="Cambria" w:eastAsiaTheme="minorHAnsi" w:hAnsi="Cambria" w:cs="Arial"/>
          <w:iCs/>
          <w:sz w:val="20"/>
          <w:szCs w:val="20"/>
          <w:lang w:val="es-CO"/>
        </w:rPr>
        <w:t>Sistema Integrado de Información sobre Multas y</w:t>
      </w:r>
      <w:r w:rsidR="003E1336" w:rsidRPr="005F7B42">
        <w:rPr>
          <w:rFonts w:ascii="Cambria" w:eastAsiaTheme="minorHAnsi" w:hAnsi="Cambria" w:cs="Arial"/>
          <w:iCs/>
          <w:sz w:val="20"/>
          <w:szCs w:val="20"/>
          <w:lang w:val="es-CO"/>
        </w:rPr>
        <w:t xml:space="preserve"> </w:t>
      </w:r>
      <w:r w:rsidR="000A417C" w:rsidRPr="005F7B42">
        <w:rPr>
          <w:rFonts w:ascii="Cambria" w:eastAsiaTheme="minorHAnsi" w:hAnsi="Cambria" w:cs="Arial"/>
          <w:iCs/>
          <w:sz w:val="20"/>
          <w:szCs w:val="20"/>
          <w:lang w:val="es-CO"/>
        </w:rPr>
        <w:t xml:space="preserve">Sanciones por Infracciones </w:t>
      </w:r>
      <w:r w:rsidR="003D1EB1" w:rsidRPr="005F7B42">
        <w:rPr>
          <w:rFonts w:ascii="Cambria" w:eastAsiaTheme="minorHAnsi" w:hAnsi="Cambria" w:cs="Arial"/>
          <w:iCs/>
          <w:sz w:val="20"/>
          <w:szCs w:val="20"/>
          <w:lang w:val="es-CO"/>
        </w:rPr>
        <w:t xml:space="preserve">de </w:t>
      </w:r>
      <w:r w:rsidR="000A417C" w:rsidRPr="005F7B42">
        <w:rPr>
          <w:rFonts w:ascii="Cambria" w:eastAsiaTheme="minorHAnsi" w:hAnsi="Cambria" w:cs="Arial"/>
          <w:iCs/>
          <w:sz w:val="20"/>
          <w:szCs w:val="20"/>
          <w:lang w:val="es-CO"/>
        </w:rPr>
        <w:t>Tránsito</w:t>
      </w:r>
      <w:r w:rsidR="00DE6103" w:rsidRPr="005F7B42">
        <w:rPr>
          <w:rFonts w:ascii="Cambria" w:eastAsiaTheme="minorHAnsi" w:hAnsi="Cambria" w:cs="Arial"/>
          <w:iCs/>
          <w:sz w:val="20"/>
          <w:szCs w:val="20"/>
          <w:lang w:val="es-CO"/>
        </w:rPr>
        <w:t>.</w:t>
      </w:r>
      <w:r w:rsidR="003E1336" w:rsidRPr="005F7B42">
        <w:rPr>
          <w:rFonts w:ascii="Cambria" w:eastAsiaTheme="minorHAnsi" w:hAnsi="Cambria" w:cs="Arial"/>
          <w:iCs/>
          <w:sz w:val="20"/>
          <w:szCs w:val="20"/>
          <w:lang w:val="es-CO"/>
        </w:rPr>
        <w:t xml:space="preserve"> </w:t>
      </w:r>
      <w:r w:rsidR="00DE6103" w:rsidRPr="005F7B42">
        <w:rPr>
          <w:rFonts w:ascii="Cambria" w:eastAsiaTheme="minorHAnsi" w:hAnsi="Cambria" w:cs="Arial"/>
          <w:iCs/>
          <w:sz w:val="20"/>
          <w:szCs w:val="20"/>
          <w:lang w:val="es-CO"/>
        </w:rPr>
        <w:t xml:space="preserve">Asimismo, el Estado informó que </w:t>
      </w:r>
      <w:r w:rsidR="00DA2736" w:rsidRPr="005F7B42">
        <w:rPr>
          <w:rFonts w:ascii="Cambria" w:eastAsiaTheme="minorHAnsi" w:hAnsi="Cambria" w:cs="Arial"/>
          <w:iCs/>
          <w:sz w:val="20"/>
          <w:szCs w:val="20"/>
          <w:lang w:val="es-CO"/>
        </w:rPr>
        <w:t>verificó</w:t>
      </w:r>
      <w:r w:rsidR="000A417C" w:rsidRPr="005F7B42">
        <w:rPr>
          <w:rFonts w:ascii="Cambria" w:eastAsiaTheme="minorHAnsi" w:hAnsi="Cambria" w:cs="Arial"/>
          <w:iCs/>
          <w:sz w:val="20"/>
          <w:szCs w:val="20"/>
          <w:lang w:val="es-CO"/>
        </w:rPr>
        <w:t xml:space="preserve"> si en las diligencias de exhumación desarrolladas por </w:t>
      </w:r>
      <w:r w:rsidR="00DE6103" w:rsidRPr="005F7B42">
        <w:rPr>
          <w:rFonts w:ascii="Cambria" w:eastAsiaTheme="minorHAnsi" w:hAnsi="Cambria" w:cs="Arial"/>
          <w:iCs/>
          <w:sz w:val="20"/>
          <w:szCs w:val="20"/>
          <w:lang w:val="es-CO"/>
        </w:rPr>
        <w:t>la Fiscalía</w:t>
      </w:r>
      <w:r w:rsidR="000A417C" w:rsidRPr="005F7B42">
        <w:rPr>
          <w:rFonts w:ascii="Cambria" w:eastAsiaTheme="minorHAnsi" w:hAnsi="Cambria" w:cs="Arial"/>
          <w:iCs/>
          <w:sz w:val="20"/>
          <w:szCs w:val="20"/>
          <w:lang w:val="es-CO"/>
        </w:rPr>
        <w:t xml:space="preserve"> se habían encontrado restos de cuerpos que</w:t>
      </w:r>
      <w:r w:rsidR="00DA2736" w:rsidRPr="005F7B42">
        <w:rPr>
          <w:rFonts w:ascii="Cambria" w:eastAsiaTheme="minorHAnsi" w:hAnsi="Cambria" w:cs="Arial"/>
          <w:iCs/>
          <w:sz w:val="20"/>
          <w:szCs w:val="20"/>
          <w:lang w:val="es-CO"/>
        </w:rPr>
        <w:t xml:space="preserve"> </w:t>
      </w:r>
      <w:r w:rsidR="000A417C" w:rsidRPr="005F7B42">
        <w:rPr>
          <w:rFonts w:ascii="Cambria" w:eastAsiaTheme="minorHAnsi" w:hAnsi="Cambria" w:cs="Arial"/>
          <w:iCs/>
          <w:sz w:val="20"/>
          <w:szCs w:val="20"/>
          <w:lang w:val="es-CO"/>
        </w:rPr>
        <w:t xml:space="preserve">guardaran similitud con las características de </w:t>
      </w:r>
      <w:r w:rsidR="00DA2736" w:rsidRPr="005F7B42">
        <w:rPr>
          <w:rFonts w:ascii="Cambria" w:eastAsiaTheme="minorHAnsi" w:hAnsi="Cambria" w:cs="Arial"/>
          <w:iCs/>
          <w:sz w:val="20"/>
          <w:szCs w:val="20"/>
          <w:lang w:val="es-CO"/>
        </w:rPr>
        <w:t>las víctimas</w:t>
      </w:r>
      <w:r w:rsidR="000A417C" w:rsidRPr="005F7B42">
        <w:rPr>
          <w:rFonts w:ascii="Cambria" w:eastAsiaTheme="minorHAnsi" w:hAnsi="Cambria" w:cs="Arial"/>
          <w:iCs/>
          <w:sz w:val="20"/>
          <w:szCs w:val="20"/>
          <w:lang w:val="es-CO"/>
        </w:rPr>
        <w:t>.</w:t>
      </w:r>
      <w:r w:rsidR="006B7664" w:rsidRPr="005F7B42">
        <w:rPr>
          <w:rFonts w:ascii="Cambria" w:eastAsiaTheme="minorHAnsi" w:hAnsi="Cambria" w:cs="Arial"/>
          <w:iCs/>
          <w:sz w:val="20"/>
          <w:szCs w:val="20"/>
          <w:lang w:val="es-CO"/>
        </w:rPr>
        <w:t xml:space="preserve"> </w:t>
      </w:r>
      <w:r w:rsidR="007B2EAA" w:rsidRPr="005F7B42">
        <w:rPr>
          <w:rFonts w:ascii="Cambria" w:eastAsiaTheme="minorHAnsi" w:hAnsi="Cambria" w:cs="Arial"/>
          <w:sz w:val="20"/>
          <w:szCs w:val="20"/>
          <w:lang w:val="es-CO"/>
        </w:rPr>
        <w:t xml:space="preserve">Adicionalmente, </w:t>
      </w:r>
      <w:r w:rsidR="00DE6103" w:rsidRPr="005F7B42">
        <w:rPr>
          <w:rFonts w:ascii="Cambria" w:eastAsiaTheme="minorHAnsi" w:hAnsi="Cambria" w:cs="Arial"/>
          <w:sz w:val="20"/>
          <w:szCs w:val="20"/>
          <w:lang w:val="es-CO"/>
        </w:rPr>
        <w:t xml:space="preserve">el Estado indicó que la estrategia de la Fiscalía estaba </w:t>
      </w:r>
      <w:r w:rsidR="000A417C" w:rsidRPr="005F7B42">
        <w:rPr>
          <w:rFonts w:ascii="Cambria" w:eastAsiaTheme="minorHAnsi" w:hAnsi="Cambria" w:cs="Arial"/>
          <w:iCs/>
          <w:sz w:val="20"/>
          <w:szCs w:val="20"/>
          <w:lang w:val="es-CO"/>
        </w:rPr>
        <w:t>dirigida a capturar a las personas que participaron</w:t>
      </w:r>
      <w:r w:rsidR="00717402" w:rsidRPr="005F7B42">
        <w:rPr>
          <w:rFonts w:ascii="Cambria" w:eastAsiaTheme="minorHAnsi" w:hAnsi="Cambria" w:cs="Arial"/>
          <w:iCs/>
          <w:sz w:val="20"/>
          <w:szCs w:val="20"/>
          <w:lang w:val="es-CO"/>
        </w:rPr>
        <w:t xml:space="preserve"> </w:t>
      </w:r>
      <w:r w:rsidR="000A417C" w:rsidRPr="005F7B42">
        <w:rPr>
          <w:rFonts w:ascii="Cambria" w:eastAsiaTheme="minorHAnsi" w:hAnsi="Cambria" w:cs="Arial"/>
          <w:iCs/>
          <w:sz w:val="20"/>
          <w:szCs w:val="20"/>
          <w:lang w:val="es-CO"/>
        </w:rPr>
        <w:t xml:space="preserve">en la desaparición de las dos </w:t>
      </w:r>
      <w:r w:rsidR="00717402" w:rsidRPr="005F7B42">
        <w:rPr>
          <w:rFonts w:ascii="Cambria" w:eastAsiaTheme="minorHAnsi" w:hAnsi="Cambria" w:cs="Arial"/>
          <w:iCs/>
          <w:sz w:val="20"/>
          <w:szCs w:val="20"/>
          <w:lang w:val="es-CO"/>
        </w:rPr>
        <w:t>víctimas, por ser</w:t>
      </w:r>
      <w:r w:rsidR="00F31370" w:rsidRPr="005F7B42">
        <w:rPr>
          <w:rFonts w:ascii="Cambria" w:eastAsiaTheme="minorHAnsi" w:hAnsi="Cambria" w:cs="Arial"/>
          <w:iCs/>
          <w:sz w:val="20"/>
          <w:szCs w:val="20"/>
          <w:lang w:val="es-CO"/>
        </w:rPr>
        <w:t>, en su criterio,</w:t>
      </w:r>
      <w:r w:rsidR="00717402" w:rsidRPr="005F7B42">
        <w:rPr>
          <w:rFonts w:ascii="Cambria" w:eastAsiaTheme="minorHAnsi" w:hAnsi="Cambria" w:cs="Arial"/>
          <w:iCs/>
          <w:sz w:val="20"/>
          <w:szCs w:val="20"/>
          <w:lang w:val="es-CO"/>
        </w:rPr>
        <w:t xml:space="preserve"> </w:t>
      </w:r>
      <w:r w:rsidR="000A417C" w:rsidRPr="005F7B42">
        <w:rPr>
          <w:rFonts w:ascii="Cambria" w:eastAsiaTheme="minorHAnsi" w:hAnsi="Cambria" w:cs="Arial"/>
          <w:iCs/>
          <w:sz w:val="20"/>
          <w:szCs w:val="20"/>
          <w:lang w:val="es-CO"/>
        </w:rPr>
        <w:t xml:space="preserve">la única fuente de información </w:t>
      </w:r>
      <w:r w:rsidR="006B7664" w:rsidRPr="005F7B42">
        <w:rPr>
          <w:rFonts w:ascii="Cambria" w:eastAsiaTheme="minorHAnsi" w:hAnsi="Cambria" w:cs="Arial"/>
          <w:iCs/>
          <w:sz w:val="20"/>
          <w:szCs w:val="20"/>
          <w:lang w:val="es-CO"/>
        </w:rPr>
        <w:t>relacionada con</w:t>
      </w:r>
      <w:r w:rsidR="000A417C" w:rsidRPr="005F7B42">
        <w:rPr>
          <w:rFonts w:ascii="Cambria" w:eastAsiaTheme="minorHAnsi" w:hAnsi="Cambria" w:cs="Arial"/>
          <w:iCs/>
          <w:sz w:val="20"/>
          <w:szCs w:val="20"/>
          <w:lang w:val="es-CO"/>
        </w:rPr>
        <w:t xml:space="preserve"> la ubicación de </w:t>
      </w:r>
      <w:r w:rsidR="00F31370" w:rsidRPr="005F7B42">
        <w:rPr>
          <w:rFonts w:ascii="Cambria" w:eastAsiaTheme="minorHAnsi" w:hAnsi="Cambria" w:cs="Arial"/>
          <w:iCs/>
          <w:sz w:val="20"/>
          <w:szCs w:val="20"/>
          <w:lang w:val="es-CO"/>
        </w:rPr>
        <w:t>las víctimas</w:t>
      </w:r>
      <w:r w:rsidR="00F14105" w:rsidRPr="005F7B42">
        <w:rPr>
          <w:rFonts w:ascii="Cambria" w:eastAsiaTheme="minorHAnsi" w:hAnsi="Cambria" w:cs="Arial"/>
          <w:iCs/>
          <w:sz w:val="20"/>
          <w:szCs w:val="20"/>
          <w:lang w:val="es-CO"/>
        </w:rPr>
        <w:t>,</w:t>
      </w:r>
      <w:r w:rsidR="006B7664" w:rsidRPr="005F7B42">
        <w:rPr>
          <w:rFonts w:ascii="Cambria" w:eastAsiaTheme="minorHAnsi" w:hAnsi="Cambria" w:cs="Arial"/>
          <w:iCs/>
          <w:sz w:val="20"/>
          <w:szCs w:val="20"/>
          <w:lang w:val="es-CO"/>
        </w:rPr>
        <w:t xml:space="preserve"> y en atención al tiempo ocurrido desde las desapariciones. </w:t>
      </w:r>
    </w:p>
    <w:p w14:paraId="1C216934" w14:textId="77777777" w:rsidR="006B7664" w:rsidRPr="005F7B42" w:rsidRDefault="006B7664" w:rsidP="00306969">
      <w:pPr>
        <w:tabs>
          <w:tab w:val="left" w:pos="0"/>
        </w:tabs>
        <w:autoSpaceDE w:val="0"/>
        <w:autoSpaceDN w:val="0"/>
        <w:adjustRightInd w:val="0"/>
        <w:spacing w:after="0" w:line="240" w:lineRule="auto"/>
        <w:ind w:firstLine="720"/>
        <w:jc w:val="both"/>
        <w:rPr>
          <w:rFonts w:ascii="Cambria" w:eastAsiaTheme="minorHAnsi" w:hAnsi="Cambria" w:cs="Arial"/>
          <w:sz w:val="20"/>
          <w:szCs w:val="20"/>
          <w:lang w:val="es-CO"/>
        </w:rPr>
      </w:pPr>
    </w:p>
    <w:p w14:paraId="3061560F" w14:textId="0473A88F" w:rsidR="00301D87" w:rsidRPr="005F7B42" w:rsidRDefault="00F31370" w:rsidP="00306969">
      <w:pPr>
        <w:pStyle w:val="ListParagraph"/>
        <w:numPr>
          <w:ilvl w:val="0"/>
          <w:numId w:val="14"/>
        </w:numPr>
        <w:tabs>
          <w:tab w:val="left" w:pos="0"/>
        </w:tabs>
        <w:autoSpaceDE w:val="0"/>
        <w:autoSpaceDN w:val="0"/>
        <w:adjustRightInd w:val="0"/>
        <w:spacing w:after="0" w:line="240" w:lineRule="auto"/>
        <w:ind w:left="0" w:firstLine="720"/>
        <w:jc w:val="both"/>
        <w:rPr>
          <w:rFonts w:ascii="Cambria" w:eastAsiaTheme="minorHAnsi" w:hAnsi="Cambria" w:cs="CIDFont+F1"/>
          <w:sz w:val="20"/>
          <w:szCs w:val="20"/>
          <w:lang w:val="es-CO"/>
        </w:rPr>
      </w:pPr>
      <w:r w:rsidRPr="005F7B42">
        <w:rPr>
          <w:rFonts w:ascii="Cambria" w:eastAsiaTheme="minorHAnsi" w:hAnsi="Cambria" w:cs="CIDFont+F1"/>
          <w:sz w:val="20"/>
          <w:szCs w:val="20"/>
          <w:lang w:val="es-CO"/>
        </w:rPr>
        <w:t xml:space="preserve">En 2018, </w:t>
      </w:r>
      <w:r w:rsidR="00013FD1" w:rsidRPr="005F7B42">
        <w:rPr>
          <w:rFonts w:ascii="Cambria" w:eastAsiaTheme="minorHAnsi" w:hAnsi="Cambria" w:cs="CIDFont+F1"/>
          <w:sz w:val="20"/>
          <w:szCs w:val="20"/>
          <w:lang w:val="es-CO"/>
        </w:rPr>
        <w:t xml:space="preserve">los peticionarios </w:t>
      </w:r>
      <w:r w:rsidRPr="005F7B42">
        <w:rPr>
          <w:rFonts w:ascii="Cambria" w:eastAsiaTheme="minorHAnsi" w:hAnsi="Cambria" w:cs="CIDFont+F1"/>
          <w:sz w:val="20"/>
          <w:szCs w:val="20"/>
          <w:lang w:val="es-CO"/>
        </w:rPr>
        <w:t>señalaron</w:t>
      </w:r>
      <w:r w:rsidR="00663140" w:rsidRPr="005F7B42">
        <w:rPr>
          <w:rFonts w:ascii="Cambria" w:eastAsiaTheme="minorHAnsi" w:hAnsi="Cambria" w:cs="CIDFont+F1"/>
          <w:sz w:val="20"/>
          <w:szCs w:val="20"/>
          <w:lang w:val="es-CO"/>
        </w:rPr>
        <w:t xml:space="preserve"> que las labores de investigación del paradero de las víctimas han sido lentas e infructuosas. </w:t>
      </w:r>
      <w:r w:rsidR="006B7664" w:rsidRPr="005F7B42">
        <w:rPr>
          <w:rFonts w:ascii="Cambria" w:eastAsiaTheme="minorHAnsi" w:hAnsi="Cambria" w:cs="CIDFont+F1"/>
          <w:sz w:val="20"/>
          <w:szCs w:val="20"/>
          <w:lang w:val="es-CO"/>
        </w:rPr>
        <w:t>Además, i</w:t>
      </w:r>
      <w:r w:rsidR="00663140" w:rsidRPr="005F7B42">
        <w:rPr>
          <w:rFonts w:ascii="Cambria" w:eastAsiaTheme="minorHAnsi" w:hAnsi="Cambria" w:cs="CIDFont+F1"/>
          <w:sz w:val="20"/>
          <w:szCs w:val="20"/>
          <w:lang w:val="es-CO"/>
        </w:rPr>
        <w:t>ndicaron que el Estado les ha negado el acceso a los videos que fueron utilizados al interior de los procesos tramitados mediante la Ley de Justicia y Paz, lo que les ha impedido conocer cuáles fueron las condiciones de desaparición de las víctimas.</w:t>
      </w:r>
    </w:p>
    <w:p w14:paraId="2BA29831" w14:textId="29C8236A" w:rsidR="00301D87" w:rsidRPr="005F7B42" w:rsidRDefault="00301D87" w:rsidP="00306969">
      <w:pPr>
        <w:tabs>
          <w:tab w:val="left" w:pos="0"/>
        </w:tabs>
        <w:spacing w:after="0" w:line="240" w:lineRule="auto"/>
        <w:ind w:firstLine="720"/>
        <w:jc w:val="both"/>
        <w:rPr>
          <w:rFonts w:ascii="Cambria" w:hAnsi="Cambria" w:cs="Calibri Light"/>
          <w:sz w:val="20"/>
          <w:szCs w:val="20"/>
          <w:lang w:val="es-US"/>
        </w:rPr>
      </w:pPr>
    </w:p>
    <w:p w14:paraId="1E09DB44" w14:textId="104100A4" w:rsidR="00A96DE8" w:rsidRPr="005F7B42" w:rsidRDefault="00FC184F" w:rsidP="00306969">
      <w:pPr>
        <w:pStyle w:val="ListParagraph"/>
        <w:numPr>
          <w:ilvl w:val="0"/>
          <w:numId w:val="14"/>
        </w:numPr>
        <w:tabs>
          <w:tab w:val="left" w:pos="0"/>
        </w:tabs>
        <w:spacing w:after="0" w:line="240" w:lineRule="auto"/>
        <w:ind w:left="0" w:firstLine="720"/>
        <w:jc w:val="both"/>
        <w:rPr>
          <w:rFonts w:ascii="Cambria" w:hAnsi="Cambria"/>
          <w:sz w:val="20"/>
          <w:szCs w:val="20"/>
          <w:lang w:val="es-US"/>
        </w:rPr>
      </w:pPr>
      <w:r w:rsidRPr="005F7B42">
        <w:rPr>
          <w:rFonts w:ascii="Cambria" w:hAnsi="Cambria" w:cs="Calibri Light"/>
          <w:sz w:val="20"/>
          <w:szCs w:val="20"/>
          <w:lang w:val="es-US"/>
        </w:rPr>
        <w:t xml:space="preserve">La Comisión </w:t>
      </w:r>
      <w:r w:rsidR="0021565C" w:rsidRPr="005F7B42">
        <w:rPr>
          <w:rFonts w:ascii="Cambria" w:hAnsi="Cambria" w:cs="Calibri Light"/>
          <w:sz w:val="20"/>
          <w:szCs w:val="20"/>
          <w:lang w:val="es-US"/>
        </w:rPr>
        <w:t xml:space="preserve">valora los </w:t>
      </w:r>
      <w:r w:rsidRPr="005F7B42">
        <w:rPr>
          <w:rFonts w:ascii="Cambria" w:hAnsi="Cambria" w:cs="Calibri Light"/>
          <w:sz w:val="20"/>
          <w:szCs w:val="20"/>
          <w:lang w:val="es-US"/>
        </w:rPr>
        <w:t xml:space="preserve">esfuerzos desplegados por el Estado para conocer el paradero de las víctimas, </w:t>
      </w:r>
      <w:r w:rsidR="0021565C" w:rsidRPr="005F7B42">
        <w:rPr>
          <w:rFonts w:ascii="Cambria" w:hAnsi="Cambria" w:cs="Calibri Light"/>
          <w:sz w:val="20"/>
          <w:szCs w:val="20"/>
          <w:lang w:val="es-US"/>
        </w:rPr>
        <w:t xml:space="preserve">sin embargo nota que a pesar de dichos esfuerzos aún </w:t>
      </w:r>
      <w:r w:rsidRPr="005F7B42">
        <w:rPr>
          <w:rFonts w:ascii="Cambria" w:hAnsi="Cambria" w:cs="Calibri Light"/>
          <w:sz w:val="20"/>
          <w:szCs w:val="20"/>
          <w:lang w:val="es-US"/>
        </w:rPr>
        <w:t xml:space="preserve">no se ha obtenido resultados concretos en relación con </w:t>
      </w:r>
      <w:r w:rsidR="0021565C" w:rsidRPr="005F7B42">
        <w:rPr>
          <w:rFonts w:ascii="Cambria" w:hAnsi="Cambria" w:cs="Calibri Light"/>
          <w:sz w:val="20"/>
          <w:szCs w:val="20"/>
          <w:lang w:val="es-US"/>
        </w:rPr>
        <w:t xml:space="preserve">esta </w:t>
      </w:r>
      <w:r w:rsidRPr="005F7B42">
        <w:rPr>
          <w:rFonts w:ascii="Cambria" w:hAnsi="Cambria" w:cs="Calibri Light"/>
          <w:sz w:val="20"/>
          <w:szCs w:val="20"/>
          <w:lang w:val="es-US"/>
        </w:rPr>
        <w:t>recomendación.</w:t>
      </w:r>
      <w:r w:rsidR="00A96DE8" w:rsidRPr="005F7B42">
        <w:rPr>
          <w:rFonts w:ascii="Cambria" w:hAnsi="Cambria"/>
          <w:sz w:val="20"/>
          <w:szCs w:val="20"/>
          <w:lang w:val="es-US"/>
        </w:rPr>
        <w:t xml:space="preserve"> </w:t>
      </w:r>
      <w:r w:rsidR="00557C34" w:rsidRPr="005F7B42">
        <w:rPr>
          <w:rFonts w:ascii="Cambria" w:hAnsi="Cambria"/>
          <w:sz w:val="20"/>
          <w:szCs w:val="20"/>
          <w:lang w:val="es-US"/>
        </w:rPr>
        <w:t xml:space="preserve">En este sentido, </w:t>
      </w:r>
      <w:r w:rsidR="00557C34" w:rsidRPr="005F7B42">
        <w:rPr>
          <w:rFonts w:ascii="Cambria" w:hAnsi="Cambria" w:cs="Calibri Light"/>
          <w:sz w:val="20"/>
          <w:szCs w:val="20"/>
          <w:lang w:val="es-US"/>
        </w:rPr>
        <w:t xml:space="preserve">la CIDH </w:t>
      </w:r>
      <w:r w:rsidR="00EF24DC">
        <w:rPr>
          <w:rFonts w:ascii="Cambria" w:hAnsi="Cambria" w:cs="Calibri Light"/>
          <w:sz w:val="20"/>
          <w:szCs w:val="20"/>
          <w:lang w:val="es-US"/>
        </w:rPr>
        <w:t>insta</w:t>
      </w:r>
      <w:r w:rsidR="00557C34" w:rsidRPr="005F7B42">
        <w:rPr>
          <w:rFonts w:ascii="Cambria" w:hAnsi="Cambria" w:cs="Calibri Light"/>
          <w:sz w:val="20"/>
          <w:szCs w:val="20"/>
          <w:lang w:val="es-US"/>
        </w:rPr>
        <w:t xml:space="preserve"> al Estado a adoptar las medidas necesarias para </w:t>
      </w:r>
      <w:r w:rsidR="00A966E6" w:rsidRPr="005F7B42">
        <w:rPr>
          <w:rFonts w:ascii="Cambria" w:hAnsi="Cambria" w:cs="Calibri Light"/>
          <w:sz w:val="20"/>
          <w:szCs w:val="20"/>
          <w:lang w:val="es-US"/>
        </w:rPr>
        <w:t xml:space="preserve">conocer el paradero de las víctimas y entregar sus restos a sus familiares. </w:t>
      </w:r>
      <w:r w:rsidR="0076441F" w:rsidRPr="005F7B42">
        <w:rPr>
          <w:rFonts w:ascii="Cambria" w:hAnsi="Cambria"/>
          <w:sz w:val="20"/>
          <w:szCs w:val="20"/>
          <w:lang w:val="es-US"/>
        </w:rPr>
        <w:t>Por lo anterior, la CIDH considera que la recomendación</w:t>
      </w:r>
      <w:r w:rsidR="00010965" w:rsidRPr="005F7B42">
        <w:rPr>
          <w:rFonts w:ascii="Cambria" w:hAnsi="Cambria"/>
          <w:sz w:val="20"/>
          <w:szCs w:val="20"/>
          <w:lang w:val="es-US"/>
        </w:rPr>
        <w:t xml:space="preserve"> 1</w:t>
      </w:r>
      <w:r w:rsidR="0076441F" w:rsidRPr="005F7B42">
        <w:rPr>
          <w:rFonts w:ascii="Cambria" w:hAnsi="Cambria"/>
          <w:sz w:val="20"/>
          <w:szCs w:val="20"/>
          <w:lang w:val="es-US"/>
        </w:rPr>
        <w:t xml:space="preserve"> se encuentra pendiente de cumplimiento. </w:t>
      </w:r>
    </w:p>
    <w:p w14:paraId="5CEB9580" w14:textId="77777777" w:rsidR="00822A38" w:rsidRPr="004956D7" w:rsidRDefault="00822A38" w:rsidP="00306969">
      <w:pPr>
        <w:tabs>
          <w:tab w:val="left" w:pos="0"/>
        </w:tabs>
        <w:spacing w:after="0" w:line="240" w:lineRule="auto"/>
        <w:ind w:firstLine="720"/>
        <w:jc w:val="both"/>
        <w:rPr>
          <w:rFonts w:ascii="Cambria" w:hAnsi="Cambria" w:cs="Calibri Light"/>
          <w:color w:val="FF0000"/>
          <w:sz w:val="20"/>
          <w:szCs w:val="20"/>
          <w:highlight w:val="yellow"/>
          <w:lang w:val="es-US"/>
        </w:rPr>
      </w:pPr>
    </w:p>
    <w:p w14:paraId="0F4F795E" w14:textId="24469123" w:rsidR="000A417C" w:rsidRPr="0010630E" w:rsidRDefault="00894A87" w:rsidP="00F93484">
      <w:pPr>
        <w:pStyle w:val="ListParagraph"/>
        <w:numPr>
          <w:ilvl w:val="0"/>
          <w:numId w:val="14"/>
        </w:numPr>
        <w:tabs>
          <w:tab w:val="left" w:pos="0"/>
        </w:tabs>
        <w:spacing w:after="0" w:line="240" w:lineRule="auto"/>
        <w:ind w:left="0" w:firstLine="720"/>
        <w:jc w:val="both"/>
        <w:rPr>
          <w:rFonts w:ascii="Cambria" w:hAnsi="Cambria" w:cs="Calibri Light"/>
          <w:sz w:val="20"/>
          <w:szCs w:val="20"/>
          <w:lang w:val="es-US"/>
        </w:rPr>
      </w:pPr>
      <w:r w:rsidRPr="0010630E">
        <w:rPr>
          <w:rFonts w:ascii="Cambria" w:hAnsi="Cambria" w:cs="Calibri Light"/>
          <w:b/>
          <w:sz w:val="20"/>
          <w:szCs w:val="20"/>
          <w:lang w:val="es-US"/>
        </w:rPr>
        <w:t>En</w:t>
      </w:r>
      <w:r w:rsidR="00D26832" w:rsidRPr="0010630E">
        <w:rPr>
          <w:rFonts w:ascii="Cambria" w:hAnsi="Cambria" w:cs="Calibri Light"/>
          <w:b/>
          <w:sz w:val="20"/>
          <w:szCs w:val="20"/>
          <w:lang w:val="es-US"/>
        </w:rPr>
        <w:t xml:space="preserve"> relación con la </w:t>
      </w:r>
      <w:r w:rsidR="00A12D6B" w:rsidRPr="0010630E">
        <w:rPr>
          <w:rFonts w:ascii="Cambria" w:hAnsi="Cambria" w:cs="Calibri Light"/>
          <w:b/>
          <w:sz w:val="20"/>
          <w:szCs w:val="20"/>
          <w:lang w:val="es-US"/>
        </w:rPr>
        <w:t>segunda</w:t>
      </w:r>
      <w:r w:rsidR="00D26832" w:rsidRPr="0010630E">
        <w:rPr>
          <w:rFonts w:ascii="Cambria" w:hAnsi="Cambria" w:cs="Calibri Light"/>
          <w:b/>
          <w:sz w:val="20"/>
          <w:szCs w:val="20"/>
          <w:lang w:val="es-US"/>
        </w:rPr>
        <w:t xml:space="preserve"> recomendación</w:t>
      </w:r>
      <w:r w:rsidR="00D26832" w:rsidRPr="0010630E">
        <w:rPr>
          <w:rFonts w:ascii="Cambria" w:hAnsi="Cambria" w:cs="Calibri Light"/>
          <w:sz w:val="20"/>
          <w:szCs w:val="20"/>
          <w:lang w:val="es-US"/>
        </w:rPr>
        <w:t>, en</w:t>
      </w:r>
      <w:r w:rsidRPr="0010630E">
        <w:rPr>
          <w:rFonts w:ascii="Cambria" w:hAnsi="Cambria" w:cs="Calibri Light"/>
          <w:sz w:val="20"/>
          <w:szCs w:val="20"/>
          <w:lang w:val="es-US"/>
        </w:rPr>
        <w:t xml:space="preserve"> 2017, </w:t>
      </w:r>
      <w:r w:rsidR="00F0659F" w:rsidRPr="0010630E">
        <w:rPr>
          <w:rFonts w:ascii="Cambria" w:eastAsiaTheme="minorHAnsi" w:hAnsi="Cambria" w:cs="Arial"/>
          <w:iCs/>
          <w:sz w:val="20"/>
          <w:szCs w:val="20"/>
          <w:lang w:val="es-CO"/>
        </w:rPr>
        <w:t>el Estado informó que ya existían seis sentencias condenatorias por los hechos del caso, dictadas entre 2006 y 2012, las cuales incluyen tanto a paramilitares como a agentes estatales</w:t>
      </w:r>
      <w:r w:rsidR="00F0659F" w:rsidRPr="0010630E">
        <w:rPr>
          <w:rStyle w:val="FootnoteReference"/>
          <w:rFonts w:ascii="Cambria" w:eastAsiaTheme="minorHAnsi" w:hAnsi="Cambria" w:cs="Arial"/>
          <w:iCs/>
          <w:sz w:val="20"/>
          <w:szCs w:val="20"/>
          <w:lang w:val="es-CO"/>
        </w:rPr>
        <w:footnoteReference w:id="3"/>
      </w:r>
      <w:r w:rsidR="00F0659F" w:rsidRPr="0010630E">
        <w:rPr>
          <w:rFonts w:ascii="Cambria" w:eastAsiaTheme="minorHAnsi" w:hAnsi="Cambria" w:cs="Arial"/>
          <w:iCs/>
          <w:sz w:val="20"/>
          <w:szCs w:val="20"/>
          <w:lang w:val="es-CO"/>
        </w:rPr>
        <w:t xml:space="preserve">. </w:t>
      </w:r>
      <w:r w:rsidR="00565436" w:rsidRPr="0010630E">
        <w:rPr>
          <w:rFonts w:ascii="Cambria" w:eastAsiaTheme="minorHAnsi" w:hAnsi="Cambria" w:cs="Arial"/>
          <w:iCs/>
          <w:sz w:val="20"/>
          <w:szCs w:val="20"/>
          <w:lang w:val="es-CO"/>
        </w:rPr>
        <w:t xml:space="preserve">En 2018, el Estado informó que la investigación Nº 1189 ante la Fiscalía </w:t>
      </w:r>
      <w:r w:rsidR="00EF4CBB" w:rsidRPr="0010630E">
        <w:rPr>
          <w:rFonts w:ascii="Cambria" w:eastAsiaTheme="minorHAnsi" w:hAnsi="Cambria" w:cs="Arial"/>
          <w:iCs/>
          <w:sz w:val="20"/>
          <w:szCs w:val="20"/>
          <w:lang w:val="es-CO"/>
        </w:rPr>
        <w:t xml:space="preserve">106 Especializada </w:t>
      </w:r>
      <w:r w:rsidR="00565436" w:rsidRPr="0010630E">
        <w:rPr>
          <w:rFonts w:ascii="Cambria" w:eastAsiaTheme="minorHAnsi" w:hAnsi="Cambria" w:cs="Arial"/>
          <w:iCs/>
          <w:sz w:val="20"/>
          <w:szCs w:val="20"/>
          <w:lang w:val="es-CO"/>
        </w:rPr>
        <w:t xml:space="preserve">se </w:t>
      </w:r>
      <w:r w:rsidR="00EF4CBB" w:rsidRPr="0010630E">
        <w:rPr>
          <w:rFonts w:ascii="Cambria" w:eastAsiaTheme="minorHAnsi" w:hAnsi="Cambria" w:cs="Arial"/>
          <w:iCs/>
          <w:sz w:val="20"/>
          <w:szCs w:val="20"/>
          <w:lang w:val="es-CO"/>
        </w:rPr>
        <w:t xml:space="preserve">encuentra en etapa de instrucción contra las siguientes personas: </w:t>
      </w:r>
      <w:r w:rsidR="000A417C" w:rsidRPr="0010630E">
        <w:rPr>
          <w:rFonts w:ascii="Cambria" w:eastAsiaTheme="minorHAnsi" w:hAnsi="Cambria" w:cs="Arial"/>
          <w:iCs/>
          <w:sz w:val="20"/>
          <w:szCs w:val="20"/>
          <w:lang w:val="es-CO"/>
        </w:rPr>
        <w:t xml:space="preserve">Manuel de Jesús Lozada Plazas, comandante del </w:t>
      </w:r>
      <w:r w:rsidR="00993C77" w:rsidRPr="0010630E">
        <w:rPr>
          <w:rFonts w:ascii="Cambria" w:eastAsiaTheme="minorHAnsi" w:hAnsi="Cambria" w:cs="Arial"/>
          <w:iCs/>
          <w:sz w:val="20"/>
          <w:szCs w:val="20"/>
          <w:lang w:val="es-CO"/>
        </w:rPr>
        <w:t>UNASE</w:t>
      </w:r>
      <w:r w:rsidR="000A417C" w:rsidRPr="0010630E">
        <w:rPr>
          <w:rFonts w:ascii="Cambria" w:eastAsiaTheme="minorHAnsi" w:hAnsi="Cambria" w:cs="Arial"/>
          <w:iCs/>
          <w:sz w:val="20"/>
          <w:szCs w:val="20"/>
          <w:lang w:val="es-CO"/>
        </w:rPr>
        <w:t xml:space="preserve"> de Cali para</w:t>
      </w:r>
      <w:r w:rsidR="006B7664" w:rsidRPr="0010630E">
        <w:rPr>
          <w:rFonts w:ascii="Cambria" w:eastAsiaTheme="minorHAnsi" w:hAnsi="Cambria" w:cs="Arial"/>
          <w:iCs/>
          <w:sz w:val="20"/>
          <w:szCs w:val="20"/>
          <w:lang w:val="es-CO"/>
        </w:rPr>
        <w:t xml:space="preserve"> </w:t>
      </w:r>
      <w:r w:rsidR="000A417C" w:rsidRPr="0010630E">
        <w:rPr>
          <w:rFonts w:ascii="Cambria" w:eastAsiaTheme="minorHAnsi" w:hAnsi="Cambria" w:cs="Arial"/>
          <w:iCs/>
          <w:sz w:val="20"/>
          <w:szCs w:val="20"/>
          <w:lang w:val="es-CO"/>
        </w:rPr>
        <w:t>1995</w:t>
      </w:r>
      <w:r w:rsidR="006B7664" w:rsidRPr="0010630E">
        <w:rPr>
          <w:rFonts w:ascii="Cambria" w:eastAsiaTheme="minorHAnsi" w:hAnsi="Cambria" w:cs="Arial"/>
          <w:iCs/>
          <w:sz w:val="20"/>
          <w:szCs w:val="20"/>
          <w:lang w:val="es-CO"/>
        </w:rPr>
        <w:t>,</w:t>
      </w:r>
      <w:r w:rsidR="000A417C" w:rsidRPr="0010630E">
        <w:rPr>
          <w:rFonts w:ascii="Cambria" w:eastAsiaTheme="minorHAnsi" w:hAnsi="Cambria" w:cs="Arial"/>
          <w:iCs/>
          <w:sz w:val="20"/>
          <w:szCs w:val="20"/>
          <w:lang w:val="es-CO"/>
        </w:rPr>
        <w:t xml:space="preserve"> </w:t>
      </w:r>
      <w:r w:rsidR="00B3404F" w:rsidRPr="0010630E">
        <w:rPr>
          <w:rFonts w:ascii="Cambria" w:eastAsiaTheme="minorHAnsi" w:hAnsi="Cambria" w:cs="Arial"/>
          <w:iCs/>
          <w:sz w:val="20"/>
          <w:szCs w:val="20"/>
          <w:lang w:val="es-CO"/>
        </w:rPr>
        <w:t xml:space="preserve">como </w:t>
      </w:r>
      <w:r w:rsidR="000A417C" w:rsidRPr="0010630E">
        <w:rPr>
          <w:rFonts w:ascii="Cambria" w:eastAsiaTheme="minorHAnsi" w:hAnsi="Cambria" w:cs="Arial"/>
          <w:iCs/>
          <w:sz w:val="20"/>
          <w:szCs w:val="20"/>
          <w:lang w:val="es-CO"/>
        </w:rPr>
        <w:t xml:space="preserve">coautor de </w:t>
      </w:r>
      <w:r w:rsidR="00F31370" w:rsidRPr="0010630E">
        <w:rPr>
          <w:rFonts w:ascii="Cambria" w:eastAsiaTheme="minorHAnsi" w:hAnsi="Cambria" w:cs="Arial"/>
          <w:iCs/>
          <w:sz w:val="20"/>
          <w:szCs w:val="20"/>
          <w:lang w:val="es-CO"/>
        </w:rPr>
        <w:t>desaparición forzada</w:t>
      </w:r>
      <w:r w:rsidR="00EF4CBB" w:rsidRPr="0010630E">
        <w:rPr>
          <w:rFonts w:ascii="Cambria" w:eastAsiaTheme="minorHAnsi" w:hAnsi="Cambria" w:cs="Arial"/>
          <w:iCs/>
          <w:sz w:val="20"/>
          <w:szCs w:val="20"/>
          <w:lang w:val="es-CO"/>
        </w:rPr>
        <w:t xml:space="preserve">; </w:t>
      </w:r>
      <w:proofErr w:type="spellStart"/>
      <w:r w:rsidR="000A417C" w:rsidRPr="0010630E">
        <w:rPr>
          <w:rFonts w:ascii="Cambria" w:eastAsiaTheme="minorHAnsi" w:hAnsi="Cambria" w:cs="Arial"/>
          <w:iCs/>
          <w:sz w:val="20"/>
          <w:szCs w:val="20"/>
          <w:lang w:val="es-CO"/>
        </w:rPr>
        <w:t>Antony</w:t>
      </w:r>
      <w:proofErr w:type="spellEnd"/>
      <w:r w:rsidR="000A417C" w:rsidRPr="0010630E">
        <w:rPr>
          <w:rFonts w:ascii="Cambria" w:eastAsiaTheme="minorHAnsi" w:hAnsi="Cambria" w:cs="Arial"/>
          <w:iCs/>
          <w:sz w:val="20"/>
          <w:szCs w:val="20"/>
          <w:lang w:val="es-CO"/>
        </w:rPr>
        <w:t xml:space="preserve"> </w:t>
      </w:r>
      <w:proofErr w:type="spellStart"/>
      <w:r w:rsidR="000A417C" w:rsidRPr="0010630E">
        <w:rPr>
          <w:rFonts w:ascii="Cambria" w:eastAsiaTheme="minorHAnsi" w:hAnsi="Cambria" w:cs="Arial"/>
          <w:iCs/>
          <w:sz w:val="20"/>
          <w:szCs w:val="20"/>
          <w:lang w:val="es-CO"/>
        </w:rPr>
        <w:t>Valentierra</w:t>
      </w:r>
      <w:proofErr w:type="spellEnd"/>
      <w:r w:rsidR="000A417C" w:rsidRPr="0010630E">
        <w:rPr>
          <w:rFonts w:ascii="Cambria" w:eastAsiaTheme="minorHAnsi" w:hAnsi="Cambria" w:cs="Arial"/>
          <w:iCs/>
          <w:sz w:val="20"/>
          <w:szCs w:val="20"/>
          <w:lang w:val="es-CO"/>
        </w:rPr>
        <w:t xml:space="preserve"> Paredes, hijo de </w:t>
      </w:r>
      <w:proofErr w:type="spellStart"/>
      <w:r w:rsidR="000A417C" w:rsidRPr="0010630E">
        <w:rPr>
          <w:rFonts w:ascii="Cambria" w:eastAsiaTheme="minorHAnsi" w:hAnsi="Cambria" w:cs="Arial"/>
          <w:iCs/>
          <w:sz w:val="20"/>
          <w:szCs w:val="20"/>
          <w:lang w:val="es-CO"/>
        </w:rPr>
        <w:t>Silano</w:t>
      </w:r>
      <w:proofErr w:type="spellEnd"/>
      <w:r w:rsidR="000A417C" w:rsidRPr="0010630E">
        <w:rPr>
          <w:rFonts w:ascii="Cambria" w:eastAsiaTheme="minorHAnsi" w:hAnsi="Cambria" w:cs="Arial"/>
          <w:iCs/>
          <w:sz w:val="20"/>
          <w:szCs w:val="20"/>
          <w:lang w:val="es-CO"/>
        </w:rPr>
        <w:t xml:space="preserve"> </w:t>
      </w:r>
      <w:proofErr w:type="spellStart"/>
      <w:r w:rsidR="000A417C" w:rsidRPr="0010630E">
        <w:rPr>
          <w:rFonts w:ascii="Cambria" w:eastAsiaTheme="minorHAnsi" w:hAnsi="Cambria" w:cs="Arial"/>
          <w:iCs/>
          <w:sz w:val="20"/>
          <w:szCs w:val="20"/>
          <w:lang w:val="es-CO"/>
        </w:rPr>
        <w:t>Valentierra</w:t>
      </w:r>
      <w:proofErr w:type="spellEnd"/>
      <w:r w:rsidR="000A417C" w:rsidRPr="0010630E">
        <w:rPr>
          <w:rFonts w:ascii="Cambria" w:eastAsiaTheme="minorHAnsi" w:hAnsi="Cambria" w:cs="Arial"/>
          <w:iCs/>
          <w:sz w:val="20"/>
          <w:szCs w:val="20"/>
          <w:lang w:val="es-CO"/>
        </w:rPr>
        <w:t>, con orden de</w:t>
      </w:r>
      <w:r w:rsidR="00B3404F" w:rsidRPr="0010630E">
        <w:rPr>
          <w:rFonts w:ascii="Cambria" w:eastAsiaTheme="minorHAnsi" w:hAnsi="Cambria" w:cs="Arial"/>
          <w:iCs/>
          <w:sz w:val="20"/>
          <w:szCs w:val="20"/>
          <w:lang w:val="es-CO"/>
        </w:rPr>
        <w:t xml:space="preserve"> </w:t>
      </w:r>
      <w:r w:rsidR="000A417C" w:rsidRPr="0010630E">
        <w:rPr>
          <w:rFonts w:ascii="Cambria" w:eastAsiaTheme="minorHAnsi" w:hAnsi="Cambria" w:cs="Arial"/>
          <w:iCs/>
          <w:sz w:val="20"/>
          <w:szCs w:val="20"/>
          <w:lang w:val="es-CO"/>
        </w:rPr>
        <w:t>captur</w:t>
      </w:r>
      <w:r w:rsidR="00B3404F" w:rsidRPr="0010630E">
        <w:rPr>
          <w:rFonts w:ascii="Cambria" w:eastAsiaTheme="minorHAnsi" w:hAnsi="Cambria" w:cs="Arial"/>
          <w:iCs/>
          <w:sz w:val="20"/>
          <w:szCs w:val="20"/>
          <w:lang w:val="es-CO"/>
        </w:rPr>
        <w:t>a internacional expedida para ll</w:t>
      </w:r>
      <w:r w:rsidR="000A417C" w:rsidRPr="0010630E">
        <w:rPr>
          <w:rFonts w:ascii="Cambria" w:eastAsiaTheme="minorHAnsi" w:hAnsi="Cambria" w:cs="Arial"/>
          <w:iCs/>
          <w:sz w:val="20"/>
          <w:szCs w:val="20"/>
          <w:lang w:val="es-CO"/>
        </w:rPr>
        <w:t>evar a cabo diligencia de</w:t>
      </w:r>
      <w:r w:rsidR="00B3404F" w:rsidRPr="0010630E">
        <w:rPr>
          <w:rFonts w:ascii="Cambria" w:eastAsiaTheme="minorHAnsi" w:hAnsi="Cambria" w:cs="Arial"/>
          <w:iCs/>
          <w:sz w:val="20"/>
          <w:szCs w:val="20"/>
          <w:lang w:val="es-CO"/>
        </w:rPr>
        <w:t xml:space="preserve"> </w:t>
      </w:r>
      <w:r w:rsidR="000A417C" w:rsidRPr="0010630E">
        <w:rPr>
          <w:rFonts w:ascii="Cambria" w:eastAsiaTheme="minorHAnsi" w:hAnsi="Cambria" w:cs="Arial"/>
          <w:iCs/>
          <w:sz w:val="20"/>
          <w:szCs w:val="20"/>
          <w:lang w:val="es-CO"/>
        </w:rPr>
        <w:t xml:space="preserve">indagatoria, </w:t>
      </w:r>
      <w:r w:rsidR="00B3404F" w:rsidRPr="0010630E">
        <w:rPr>
          <w:rFonts w:ascii="Cambria" w:eastAsiaTheme="minorHAnsi" w:hAnsi="Cambria" w:cs="Arial"/>
          <w:iCs/>
          <w:sz w:val="20"/>
          <w:szCs w:val="20"/>
          <w:lang w:val="es-CO"/>
        </w:rPr>
        <w:t xml:space="preserve">por </w:t>
      </w:r>
      <w:r w:rsidR="000A417C" w:rsidRPr="0010630E">
        <w:rPr>
          <w:rFonts w:ascii="Cambria" w:eastAsiaTheme="minorHAnsi" w:hAnsi="Cambria" w:cs="Arial"/>
          <w:iCs/>
          <w:sz w:val="20"/>
          <w:szCs w:val="20"/>
          <w:lang w:val="es-CO"/>
        </w:rPr>
        <w:t>coautor</w:t>
      </w:r>
      <w:r w:rsidR="00B3404F" w:rsidRPr="0010630E">
        <w:rPr>
          <w:rFonts w:ascii="Cambria" w:eastAsiaTheme="minorHAnsi" w:hAnsi="Cambria" w:cs="Arial"/>
          <w:iCs/>
          <w:sz w:val="20"/>
          <w:szCs w:val="20"/>
          <w:lang w:val="es-CO"/>
        </w:rPr>
        <w:t>ía en</w:t>
      </w:r>
      <w:r w:rsidR="000A417C" w:rsidRPr="0010630E">
        <w:rPr>
          <w:rFonts w:ascii="Cambria" w:eastAsiaTheme="minorHAnsi" w:hAnsi="Cambria" w:cs="Arial"/>
          <w:iCs/>
          <w:sz w:val="20"/>
          <w:szCs w:val="20"/>
          <w:lang w:val="es-CO"/>
        </w:rPr>
        <w:t xml:space="preserve"> </w:t>
      </w:r>
      <w:r w:rsidR="00B3404F" w:rsidRPr="0010630E">
        <w:rPr>
          <w:rFonts w:ascii="Cambria" w:eastAsiaTheme="minorHAnsi" w:hAnsi="Cambria" w:cs="Arial"/>
          <w:iCs/>
          <w:sz w:val="20"/>
          <w:szCs w:val="20"/>
          <w:lang w:val="es-CO"/>
        </w:rPr>
        <w:t>d</w:t>
      </w:r>
      <w:r w:rsidR="00F31370" w:rsidRPr="0010630E">
        <w:rPr>
          <w:rFonts w:ascii="Cambria" w:eastAsiaTheme="minorHAnsi" w:hAnsi="Cambria" w:cs="Arial"/>
          <w:iCs/>
          <w:sz w:val="20"/>
          <w:szCs w:val="20"/>
          <w:lang w:val="es-CO"/>
        </w:rPr>
        <w:t>esaparición forzada</w:t>
      </w:r>
      <w:r w:rsidR="00EF4CBB" w:rsidRPr="0010630E">
        <w:rPr>
          <w:rFonts w:ascii="Cambria" w:eastAsiaTheme="minorHAnsi" w:hAnsi="Cambria" w:cs="Arial"/>
          <w:iCs/>
          <w:sz w:val="20"/>
          <w:szCs w:val="20"/>
          <w:lang w:val="es-CO"/>
        </w:rPr>
        <w:t>;</w:t>
      </w:r>
      <w:r w:rsidR="000B441C" w:rsidRPr="0010630E">
        <w:rPr>
          <w:rFonts w:ascii="Cambria" w:eastAsiaTheme="minorHAnsi" w:hAnsi="Cambria" w:cs="Arial"/>
          <w:iCs/>
          <w:sz w:val="20"/>
          <w:szCs w:val="20"/>
          <w:lang w:val="es-CO"/>
        </w:rPr>
        <w:t xml:space="preserve"> </w:t>
      </w:r>
      <w:r w:rsidR="00EF4CBB" w:rsidRPr="0010630E">
        <w:rPr>
          <w:rFonts w:ascii="Cambria" w:eastAsiaTheme="minorHAnsi" w:hAnsi="Cambria" w:cs="Arial"/>
          <w:iCs/>
          <w:sz w:val="20"/>
          <w:szCs w:val="20"/>
          <w:lang w:val="es-CO"/>
        </w:rPr>
        <w:t xml:space="preserve">y </w:t>
      </w:r>
      <w:r w:rsidR="000A417C" w:rsidRPr="0010630E">
        <w:rPr>
          <w:rFonts w:ascii="Cambria" w:eastAsiaTheme="minorHAnsi" w:hAnsi="Cambria" w:cs="Arial"/>
          <w:iCs/>
          <w:sz w:val="20"/>
          <w:szCs w:val="20"/>
          <w:lang w:val="es-CO"/>
        </w:rPr>
        <w:t xml:space="preserve">Fredy Gil </w:t>
      </w:r>
      <w:r w:rsidR="00B3404F" w:rsidRPr="0010630E">
        <w:rPr>
          <w:rFonts w:ascii="Cambria" w:eastAsiaTheme="minorHAnsi" w:hAnsi="Cambria" w:cs="Arial"/>
          <w:iCs/>
          <w:sz w:val="20"/>
          <w:szCs w:val="20"/>
          <w:lang w:val="es-CO"/>
        </w:rPr>
        <w:t>Rodríguez,</w:t>
      </w:r>
      <w:r w:rsidR="000A417C" w:rsidRPr="0010630E">
        <w:rPr>
          <w:rFonts w:ascii="Cambria" w:eastAsiaTheme="minorHAnsi" w:hAnsi="Cambria" w:cs="Arial"/>
          <w:iCs/>
          <w:sz w:val="20"/>
          <w:szCs w:val="20"/>
          <w:lang w:val="es-CO"/>
        </w:rPr>
        <w:t xml:space="preserve"> con orden de captura internacional vigente, </w:t>
      </w:r>
      <w:r w:rsidR="00B3404F" w:rsidRPr="0010630E">
        <w:rPr>
          <w:rFonts w:ascii="Cambria" w:eastAsiaTheme="minorHAnsi" w:hAnsi="Cambria" w:cs="Arial"/>
          <w:iCs/>
          <w:sz w:val="20"/>
          <w:szCs w:val="20"/>
          <w:lang w:val="es-CO"/>
        </w:rPr>
        <w:t>como coautor de</w:t>
      </w:r>
      <w:r w:rsidR="009F24AA" w:rsidRPr="0010630E">
        <w:rPr>
          <w:rFonts w:ascii="Cambria" w:eastAsiaTheme="minorHAnsi" w:hAnsi="Cambria" w:cs="Arial"/>
          <w:iCs/>
          <w:sz w:val="20"/>
          <w:szCs w:val="20"/>
          <w:lang w:val="es-CO"/>
        </w:rPr>
        <w:t xml:space="preserve"> desaparición forzada. </w:t>
      </w:r>
      <w:r w:rsidR="001C102E" w:rsidRPr="0010630E">
        <w:rPr>
          <w:rFonts w:ascii="Cambria" w:eastAsiaTheme="minorHAnsi" w:hAnsi="Cambria" w:cs="Arial"/>
          <w:iCs/>
          <w:sz w:val="20"/>
          <w:szCs w:val="20"/>
          <w:lang w:val="es-CO"/>
        </w:rPr>
        <w:t xml:space="preserve">El Estado indicó que a pesar de que se emitió una orden de captura respecto al Fredy Gil Rodríguez, a la fecha no ha sido posible hacer efectiva su captura debido a que </w:t>
      </w:r>
      <w:r w:rsidR="00F93484" w:rsidRPr="0010630E">
        <w:rPr>
          <w:rFonts w:ascii="Cambria" w:eastAsiaTheme="minorHAnsi" w:hAnsi="Cambria" w:cs="Arial"/>
          <w:iCs/>
          <w:sz w:val="20"/>
          <w:szCs w:val="20"/>
          <w:lang w:val="es-CO"/>
        </w:rPr>
        <w:t xml:space="preserve">él </w:t>
      </w:r>
      <w:r w:rsidR="001C102E" w:rsidRPr="0010630E">
        <w:rPr>
          <w:rFonts w:ascii="Cambria" w:eastAsiaTheme="minorHAnsi" w:hAnsi="Cambria" w:cs="Arial"/>
          <w:iCs/>
          <w:sz w:val="20"/>
          <w:szCs w:val="20"/>
          <w:lang w:val="es-CO"/>
        </w:rPr>
        <w:t xml:space="preserve">salió del país el 9 de mayo de 2018. </w:t>
      </w:r>
      <w:r w:rsidR="00F93484" w:rsidRPr="0010630E">
        <w:rPr>
          <w:rFonts w:ascii="Cambria" w:eastAsiaTheme="minorHAnsi" w:hAnsi="Cambria" w:cs="Arial"/>
          <w:iCs/>
          <w:sz w:val="20"/>
          <w:szCs w:val="20"/>
          <w:lang w:val="es-CO"/>
        </w:rPr>
        <w:t xml:space="preserve">Asimismo, se emitió una solicitud de extradición del </w:t>
      </w:r>
      <w:proofErr w:type="spellStart"/>
      <w:r w:rsidR="00F93484" w:rsidRPr="0010630E">
        <w:rPr>
          <w:rFonts w:ascii="Cambria" w:eastAsiaTheme="minorHAnsi" w:hAnsi="Cambria" w:cs="Arial"/>
          <w:iCs/>
          <w:sz w:val="20"/>
          <w:szCs w:val="20"/>
          <w:lang w:val="es-CO"/>
        </w:rPr>
        <w:t>Antony</w:t>
      </w:r>
      <w:proofErr w:type="spellEnd"/>
      <w:r w:rsidR="00F93484" w:rsidRPr="0010630E">
        <w:rPr>
          <w:rFonts w:ascii="Cambria" w:eastAsiaTheme="minorHAnsi" w:hAnsi="Cambria" w:cs="Arial"/>
          <w:iCs/>
          <w:sz w:val="20"/>
          <w:szCs w:val="20"/>
          <w:lang w:val="es-CO"/>
        </w:rPr>
        <w:t xml:space="preserve"> </w:t>
      </w:r>
      <w:proofErr w:type="spellStart"/>
      <w:r w:rsidR="00F93484" w:rsidRPr="0010630E">
        <w:rPr>
          <w:rFonts w:ascii="Cambria" w:eastAsiaTheme="minorHAnsi" w:hAnsi="Cambria" w:cs="Arial"/>
          <w:iCs/>
          <w:sz w:val="20"/>
          <w:szCs w:val="20"/>
          <w:lang w:val="es-CO"/>
        </w:rPr>
        <w:t>Valentierra</w:t>
      </w:r>
      <w:proofErr w:type="spellEnd"/>
      <w:r w:rsidR="00F93484" w:rsidRPr="0010630E">
        <w:rPr>
          <w:rFonts w:ascii="Cambria" w:eastAsiaTheme="minorHAnsi" w:hAnsi="Cambria" w:cs="Arial"/>
          <w:iCs/>
          <w:sz w:val="20"/>
          <w:szCs w:val="20"/>
          <w:lang w:val="es-CO"/>
        </w:rPr>
        <w:t xml:space="preserve"> quien se encontraría en Ecuador. El Estado señaló que</w:t>
      </w:r>
      <w:r w:rsidR="001C102E" w:rsidRPr="0010630E">
        <w:rPr>
          <w:rFonts w:ascii="Cambria" w:eastAsiaTheme="minorHAnsi" w:hAnsi="Cambria" w:cs="Arial"/>
          <w:iCs/>
          <w:sz w:val="20"/>
          <w:szCs w:val="20"/>
          <w:lang w:val="es-CO"/>
        </w:rPr>
        <w:t xml:space="preserve"> </w:t>
      </w:r>
      <w:r w:rsidR="00F93484" w:rsidRPr="0010630E">
        <w:rPr>
          <w:rFonts w:ascii="Cambria" w:eastAsiaTheme="minorHAnsi" w:hAnsi="Cambria" w:cs="Arial"/>
          <w:iCs/>
          <w:sz w:val="20"/>
          <w:szCs w:val="20"/>
          <w:lang w:val="es-CO"/>
        </w:rPr>
        <w:t xml:space="preserve">los </w:t>
      </w:r>
      <w:r w:rsidR="000A417C" w:rsidRPr="0010630E">
        <w:rPr>
          <w:rFonts w:ascii="Cambria" w:eastAsiaTheme="minorHAnsi" w:hAnsi="Cambria" w:cs="Arial"/>
          <w:iCs/>
          <w:sz w:val="20"/>
          <w:szCs w:val="20"/>
          <w:lang w:val="es-CO"/>
        </w:rPr>
        <w:t>principal</w:t>
      </w:r>
      <w:r w:rsidR="00F93484" w:rsidRPr="0010630E">
        <w:rPr>
          <w:rFonts w:ascii="Cambria" w:eastAsiaTheme="minorHAnsi" w:hAnsi="Cambria" w:cs="Arial"/>
          <w:iCs/>
          <w:sz w:val="20"/>
          <w:szCs w:val="20"/>
          <w:lang w:val="es-CO"/>
        </w:rPr>
        <w:t>es</w:t>
      </w:r>
      <w:r w:rsidR="000A417C" w:rsidRPr="0010630E">
        <w:rPr>
          <w:rFonts w:ascii="Cambria" w:eastAsiaTheme="minorHAnsi" w:hAnsi="Cambria" w:cs="Arial"/>
          <w:iCs/>
          <w:sz w:val="20"/>
          <w:szCs w:val="20"/>
          <w:lang w:val="es-CO"/>
        </w:rPr>
        <w:t xml:space="preserve"> </w:t>
      </w:r>
      <w:r w:rsidR="000A417C" w:rsidRPr="0010630E">
        <w:rPr>
          <w:rFonts w:ascii="Cambria" w:eastAsiaTheme="minorHAnsi" w:hAnsi="Cambria" w:cs="Arial"/>
          <w:iCs/>
          <w:sz w:val="20"/>
          <w:szCs w:val="20"/>
          <w:lang w:val="es-CO"/>
        </w:rPr>
        <w:lastRenderedPageBreak/>
        <w:t>obstáculo</w:t>
      </w:r>
      <w:r w:rsidR="00F93484" w:rsidRPr="0010630E">
        <w:rPr>
          <w:rFonts w:ascii="Cambria" w:eastAsiaTheme="minorHAnsi" w:hAnsi="Cambria" w:cs="Arial"/>
          <w:iCs/>
          <w:sz w:val="20"/>
          <w:szCs w:val="20"/>
          <w:lang w:val="es-CO"/>
        </w:rPr>
        <w:t>s</w:t>
      </w:r>
      <w:r w:rsidR="000A417C" w:rsidRPr="0010630E">
        <w:rPr>
          <w:rFonts w:ascii="Cambria" w:eastAsiaTheme="minorHAnsi" w:hAnsi="Cambria" w:cs="Arial"/>
          <w:iCs/>
          <w:sz w:val="20"/>
          <w:szCs w:val="20"/>
          <w:lang w:val="es-CO"/>
        </w:rPr>
        <w:t xml:space="preserve"> para el avance de la investigación</w:t>
      </w:r>
      <w:r w:rsidR="006B3323" w:rsidRPr="0010630E">
        <w:rPr>
          <w:rFonts w:ascii="Cambria" w:eastAsiaTheme="minorHAnsi" w:hAnsi="Cambria" w:cs="Arial"/>
          <w:iCs/>
          <w:sz w:val="20"/>
          <w:szCs w:val="20"/>
          <w:lang w:val="es-CO"/>
        </w:rPr>
        <w:t xml:space="preserve"> </w:t>
      </w:r>
      <w:r w:rsidR="000A417C" w:rsidRPr="0010630E">
        <w:rPr>
          <w:rFonts w:ascii="Cambria" w:eastAsiaTheme="minorHAnsi" w:hAnsi="Cambria" w:cs="Arial"/>
          <w:iCs/>
          <w:sz w:val="20"/>
          <w:szCs w:val="20"/>
          <w:lang w:val="es-CO"/>
        </w:rPr>
        <w:t>ha</w:t>
      </w:r>
      <w:r w:rsidR="00F93484" w:rsidRPr="0010630E">
        <w:rPr>
          <w:rFonts w:ascii="Cambria" w:eastAsiaTheme="minorHAnsi" w:hAnsi="Cambria" w:cs="Arial"/>
          <w:iCs/>
          <w:sz w:val="20"/>
          <w:szCs w:val="20"/>
          <w:lang w:val="es-CO"/>
        </w:rPr>
        <w:t>n sido el transcurso del tiempo</w:t>
      </w:r>
      <w:r w:rsidR="000A417C" w:rsidRPr="0010630E">
        <w:rPr>
          <w:rFonts w:ascii="Cambria" w:eastAsiaTheme="minorHAnsi" w:hAnsi="Cambria" w:cs="Arial"/>
          <w:iCs/>
          <w:sz w:val="20"/>
          <w:szCs w:val="20"/>
          <w:lang w:val="es-CO"/>
        </w:rPr>
        <w:t xml:space="preserve"> </w:t>
      </w:r>
      <w:r w:rsidR="00F93484" w:rsidRPr="0010630E">
        <w:rPr>
          <w:rFonts w:ascii="Cambria" w:eastAsiaTheme="minorHAnsi" w:hAnsi="Cambria" w:cs="Arial"/>
          <w:iCs/>
          <w:sz w:val="20"/>
          <w:szCs w:val="20"/>
          <w:lang w:val="es-CO"/>
        </w:rPr>
        <w:t xml:space="preserve">y la </w:t>
      </w:r>
      <w:r w:rsidR="000A417C" w:rsidRPr="0010630E">
        <w:rPr>
          <w:rFonts w:ascii="Cambria" w:eastAsiaTheme="minorHAnsi" w:hAnsi="Cambria" w:cs="Arial"/>
          <w:iCs/>
          <w:sz w:val="20"/>
          <w:szCs w:val="20"/>
          <w:lang w:val="es-CO"/>
        </w:rPr>
        <w:t>dificultad de</w:t>
      </w:r>
      <w:r w:rsidR="006B3323" w:rsidRPr="0010630E">
        <w:rPr>
          <w:rFonts w:ascii="Cambria" w:eastAsiaTheme="minorHAnsi" w:hAnsi="Cambria" w:cs="Arial"/>
          <w:iCs/>
          <w:sz w:val="20"/>
          <w:szCs w:val="20"/>
          <w:lang w:val="es-CO"/>
        </w:rPr>
        <w:t xml:space="preserve"> </w:t>
      </w:r>
      <w:r w:rsidR="000A417C" w:rsidRPr="0010630E">
        <w:rPr>
          <w:rFonts w:ascii="Cambria" w:eastAsiaTheme="minorHAnsi" w:hAnsi="Cambria" w:cs="Arial"/>
          <w:iCs/>
          <w:sz w:val="20"/>
          <w:szCs w:val="20"/>
          <w:lang w:val="es-CO"/>
        </w:rPr>
        <w:t>obtener información obrante en los archivos de la Policía Nac</w:t>
      </w:r>
      <w:r w:rsidR="006B3323" w:rsidRPr="0010630E">
        <w:rPr>
          <w:rFonts w:ascii="Cambria" w:eastAsiaTheme="minorHAnsi" w:hAnsi="Cambria" w:cs="Arial"/>
          <w:iCs/>
          <w:sz w:val="20"/>
          <w:szCs w:val="20"/>
          <w:lang w:val="es-CO"/>
        </w:rPr>
        <w:t>ional</w:t>
      </w:r>
      <w:r w:rsidR="000A417C" w:rsidRPr="0010630E">
        <w:rPr>
          <w:rFonts w:ascii="Cambria" w:eastAsiaTheme="minorHAnsi" w:hAnsi="Cambria" w:cs="Arial"/>
          <w:iCs/>
          <w:sz w:val="20"/>
          <w:szCs w:val="20"/>
          <w:lang w:val="es-CO"/>
        </w:rPr>
        <w:t>.</w:t>
      </w:r>
      <w:r w:rsidR="006B3323" w:rsidRPr="0010630E">
        <w:rPr>
          <w:rFonts w:ascii="Cambria" w:eastAsiaTheme="minorHAnsi" w:hAnsi="Cambria" w:cs="Arial"/>
          <w:iCs/>
          <w:sz w:val="20"/>
          <w:szCs w:val="20"/>
          <w:lang w:val="es-CO"/>
        </w:rPr>
        <w:t xml:space="preserve"> </w:t>
      </w:r>
    </w:p>
    <w:p w14:paraId="76CD5C38" w14:textId="3F57CED3" w:rsidR="00170068" w:rsidRPr="0010630E" w:rsidRDefault="00170068" w:rsidP="00306969">
      <w:pPr>
        <w:tabs>
          <w:tab w:val="left" w:pos="0"/>
        </w:tabs>
        <w:autoSpaceDE w:val="0"/>
        <w:autoSpaceDN w:val="0"/>
        <w:adjustRightInd w:val="0"/>
        <w:spacing w:after="0" w:line="240" w:lineRule="auto"/>
        <w:ind w:firstLine="720"/>
        <w:jc w:val="both"/>
        <w:rPr>
          <w:rFonts w:ascii="Cambria" w:eastAsiaTheme="minorHAnsi" w:hAnsi="Cambria" w:cs="CIDFont+F1"/>
          <w:sz w:val="20"/>
          <w:szCs w:val="20"/>
          <w:lang w:val="es-CO"/>
        </w:rPr>
      </w:pPr>
    </w:p>
    <w:p w14:paraId="26A63F82" w14:textId="47F29979" w:rsidR="00170068" w:rsidRPr="0010630E" w:rsidRDefault="00F6516A" w:rsidP="00306969">
      <w:pPr>
        <w:pStyle w:val="ListParagraph"/>
        <w:numPr>
          <w:ilvl w:val="0"/>
          <w:numId w:val="14"/>
        </w:numPr>
        <w:tabs>
          <w:tab w:val="left" w:pos="0"/>
        </w:tabs>
        <w:autoSpaceDE w:val="0"/>
        <w:autoSpaceDN w:val="0"/>
        <w:adjustRightInd w:val="0"/>
        <w:spacing w:after="0" w:line="240" w:lineRule="auto"/>
        <w:ind w:left="0" w:firstLine="720"/>
        <w:jc w:val="both"/>
        <w:rPr>
          <w:rFonts w:ascii="Cambria" w:eastAsiaTheme="minorHAnsi" w:hAnsi="Cambria" w:cs="CIDFont+F1"/>
          <w:sz w:val="20"/>
          <w:szCs w:val="20"/>
          <w:lang w:val="es-CO"/>
        </w:rPr>
      </w:pPr>
      <w:r w:rsidRPr="0010630E">
        <w:rPr>
          <w:rFonts w:ascii="Cambria" w:eastAsiaTheme="minorHAnsi" w:hAnsi="Cambria" w:cs="CIDFont+F1"/>
          <w:sz w:val="20"/>
          <w:szCs w:val="20"/>
          <w:lang w:val="es-CO"/>
        </w:rPr>
        <w:t>E</w:t>
      </w:r>
      <w:r w:rsidR="00170068" w:rsidRPr="0010630E">
        <w:rPr>
          <w:rFonts w:ascii="Cambria" w:eastAsiaTheme="minorHAnsi" w:hAnsi="Cambria" w:cs="CIDFont+F1"/>
          <w:sz w:val="20"/>
          <w:szCs w:val="20"/>
          <w:lang w:val="es-CO"/>
        </w:rPr>
        <w:t xml:space="preserve">n 2018, los peticionarios </w:t>
      </w:r>
      <w:r w:rsidRPr="0010630E">
        <w:rPr>
          <w:rFonts w:ascii="Cambria" w:eastAsiaTheme="minorHAnsi" w:hAnsi="Cambria" w:cs="CIDFont+F1"/>
          <w:sz w:val="20"/>
          <w:szCs w:val="20"/>
          <w:lang w:val="es-CO"/>
        </w:rPr>
        <w:t xml:space="preserve">manifestaron </w:t>
      </w:r>
      <w:r w:rsidR="00170068" w:rsidRPr="0010630E">
        <w:rPr>
          <w:rFonts w:ascii="Cambria" w:eastAsiaTheme="minorHAnsi" w:hAnsi="Cambria" w:cs="CIDFont+F1"/>
          <w:sz w:val="20"/>
          <w:szCs w:val="20"/>
          <w:lang w:val="es-CO"/>
        </w:rPr>
        <w:t>el inconformismo de las víctimas con el adelantamiento de las investigaciones</w:t>
      </w:r>
      <w:r w:rsidR="00663140" w:rsidRPr="0010630E">
        <w:rPr>
          <w:rFonts w:ascii="Cambria" w:eastAsiaTheme="minorHAnsi" w:hAnsi="Cambria" w:cs="CIDFont+F1"/>
          <w:sz w:val="20"/>
          <w:szCs w:val="20"/>
          <w:lang w:val="es-CO"/>
        </w:rPr>
        <w:t xml:space="preserve"> y el reconocimiento de medidas de protección. Señalaron que, </w:t>
      </w:r>
      <w:r w:rsidR="00971CF5" w:rsidRPr="0010630E">
        <w:rPr>
          <w:rFonts w:ascii="Cambria" w:eastAsiaTheme="minorHAnsi" w:hAnsi="Cambria" w:cs="CIDFont+F1"/>
          <w:sz w:val="20"/>
          <w:szCs w:val="20"/>
          <w:lang w:val="es-CO"/>
        </w:rPr>
        <w:t xml:space="preserve">pasados 20 </w:t>
      </w:r>
      <w:r w:rsidR="00663140" w:rsidRPr="0010630E">
        <w:rPr>
          <w:rFonts w:ascii="Cambria" w:eastAsiaTheme="minorHAnsi" w:hAnsi="Cambria" w:cs="CIDFont+F1"/>
          <w:sz w:val="20"/>
          <w:szCs w:val="20"/>
          <w:lang w:val="es-CO"/>
        </w:rPr>
        <w:t>años, el Estado no ha entregado resultados concretos</w:t>
      </w:r>
      <w:r w:rsidR="00E11114" w:rsidRPr="0010630E">
        <w:rPr>
          <w:rFonts w:ascii="Cambria" w:eastAsiaTheme="minorHAnsi" w:hAnsi="Cambria" w:cs="CIDFont+F1"/>
          <w:sz w:val="20"/>
          <w:szCs w:val="20"/>
          <w:lang w:val="es-CO"/>
        </w:rPr>
        <w:t xml:space="preserve"> de las investigaciones sobre la ocurrencia de los hechos. </w:t>
      </w:r>
      <w:r w:rsidR="00673BD4" w:rsidRPr="0010630E">
        <w:rPr>
          <w:rFonts w:ascii="Cambria" w:eastAsiaTheme="minorHAnsi" w:hAnsi="Cambria" w:cs="CIDFont+F1"/>
          <w:sz w:val="20"/>
          <w:szCs w:val="20"/>
          <w:lang w:val="es-CO"/>
        </w:rPr>
        <w:t xml:space="preserve">Indicaron que no habían sido constituidos como parte civil en las investigaciones correspondientes. </w:t>
      </w:r>
      <w:r w:rsidR="00E11114" w:rsidRPr="0010630E">
        <w:rPr>
          <w:rFonts w:ascii="Cambria" w:eastAsiaTheme="minorHAnsi" w:hAnsi="Cambria" w:cs="CIDFont+F1"/>
          <w:sz w:val="20"/>
          <w:szCs w:val="20"/>
          <w:lang w:val="es-CO"/>
        </w:rPr>
        <w:t xml:space="preserve">Además, </w:t>
      </w:r>
      <w:r w:rsidR="00AB7EAC" w:rsidRPr="0010630E">
        <w:rPr>
          <w:rFonts w:ascii="Cambria" w:eastAsiaTheme="minorHAnsi" w:hAnsi="Cambria" w:cs="CIDFont+F1"/>
          <w:sz w:val="20"/>
          <w:szCs w:val="20"/>
          <w:lang w:val="es-CO"/>
        </w:rPr>
        <w:t>manifestaron</w:t>
      </w:r>
      <w:r w:rsidR="00E11114" w:rsidRPr="0010630E">
        <w:rPr>
          <w:rFonts w:ascii="Cambria" w:eastAsiaTheme="minorHAnsi" w:hAnsi="Cambria" w:cs="CIDFont+F1"/>
          <w:sz w:val="20"/>
          <w:szCs w:val="20"/>
          <w:lang w:val="es-CO"/>
        </w:rPr>
        <w:t xml:space="preserve"> </w:t>
      </w:r>
      <w:r w:rsidR="00F14105" w:rsidRPr="0010630E">
        <w:rPr>
          <w:rFonts w:ascii="Cambria" w:eastAsiaTheme="minorHAnsi" w:hAnsi="Cambria" w:cs="CIDFont+F1"/>
          <w:sz w:val="20"/>
          <w:szCs w:val="20"/>
          <w:lang w:val="es-CO"/>
        </w:rPr>
        <w:t>que tampoco se ha</w:t>
      </w:r>
      <w:r w:rsidR="00E11114" w:rsidRPr="0010630E">
        <w:rPr>
          <w:rFonts w:ascii="Cambria" w:eastAsiaTheme="minorHAnsi" w:hAnsi="Cambria" w:cs="CIDFont+F1"/>
          <w:sz w:val="20"/>
          <w:szCs w:val="20"/>
          <w:lang w:val="es-CO"/>
        </w:rPr>
        <w:t xml:space="preserve"> entregado la protección necesaria a</w:t>
      </w:r>
      <w:r w:rsidR="00663140" w:rsidRPr="0010630E">
        <w:rPr>
          <w:rFonts w:ascii="Cambria" w:eastAsiaTheme="minorHAnsi" w:hAnsi="Cambria" w:cs="CIDFont+F1"/>
          <w:sz w:val="20"/>
          <w:szCs w:val="20"/>
          <w:lang w:val="es-CO"/>
        </w:rPr>
        <w:t xml:space="preserve"> familiares y testigos de los hechos</w:t>
      </w:r>
      <w:r w:rsidR="00E11114" w:rsidRPr="0010630E">
        <w:rPr>
          <w:rFonts w:ascii="Cambria" w:eastAsiaTheme="minorHAnsi" w:hAnsi="Cambria" w:cs="CIDFont+F1"/>
          <w:sz w:val="20"/>
          <w:szCs w:val="20"/>
          <w:lang w:val="es-CO"/>
        </w:rPr>
        <w:t xml:space="preserve"> y que, en consecuencia, algunos</w:t>
      </w:r>
      <w:r w:rsidR="00663140" w:rsidRPr="0010630E">
        <w:rPr>
          <w:rFonts w:ascii="Cambria" w:eastAsiaTheme="minorHAnsi" w:hAnsi="Cambria" w:cs="CIDFont+F1"/>
          <w:sz w:val="20"/>
          <w:szCs w:val="20"/>
          <w:lang w:val="es-CO"/>
        </w:rPr>
        <w:t xml:space="preserve"> han sido asesinados</w:t>
      </w:r>
      <w:r w:rsidR="00170068" w:rsidRPr="0010630E">
        <w:rPr>
          <w:rFonts w:ascii="Cambria" w:eastAsiaTheme="minorHAnsi" w:hAnsi="Cambria" w:cs="CIDFont+F1"/>
          <w:sz w:val="20"/>
          <w:szCs w:val="20"/>
          <w:lang w:val="es-CO"/>
        </w:rPr>
        <w:t xml:space="preserve">. </w:t>
      </w:r>
      <w:r w:rsidR="00E11114" w:rsidRPr="0010630E">
        <w:rPr>
          <w:rFonts w:ascii="Cambria" w:eastAsiaTheme="minorHAnsi" w:hAnsi="Cambria" w:cs="CIDFont+F1"/>
          <w:sz w:val="20"/>
          <w:szCs w:val="20"/>
          <w:lang w:val="es-CO"/>
        </w:rPr>
        <w:t>Igualmente, r</w:t>
      </w:r>
      <w:r w:rsidR="00971CF5" w:rsidRPr="0010630E">
        <w:rPr>
          <w:rFonts w:ascii="Cambria" w:eastAsiaTheme="minorHAnsi" w:hAnsi="Cambria" w:cs="CIDFont+F1"/>
          <w:sz w:val="20"/>
          <w:szCs w:val="20"/>
          <w:lang w:val="es-CO"/>
        </w:rPr>
        <w:t>eiteraron los hechos</w:t>
      </w:r>
      <w:r w:rsidR="00E11114" w:rsidRPr="0010630E">
        <w:rPr>
          <w:rFonts w:ascii="Cambria" w:eastAsiaTheme="minorHAnsi" w:hAnsi="Cambria" w:cs="CIDFont+F1"/>
          <w:sz w:val="20"/>
          <w:szCs w:val="20"/>
          <w:lang w:val="es-CO"/>
        </w:rPr>
        <w:t xml:space="preserve"> relacionados con las condiciones en las que ocurrieron </w:t>
      </w:r>
      <w:r w:rsidR="00971CF5" w:rsidRPr="0010630E">
        <w:rPr>
          <w:rFonts w:ascii="Cambria" w:eastAsiaTheme="minorHAnsi" w:hAnsi="Cambria" w:cs="CIDFont+F1"/>
          <w:sz w:val="20"/>
          <w:szCs w:val="20"/>
          <w:lang w:val="es-CO"/>
        </w:rPr>
        <w:t xml:space="preserve">las desapariciones de las víctimas, </w:t>
      </w:r>
      <w:r w:rsidR="00E11114" w:rsidRPr="0010630E">
        <w:rPr>
          <w:rFonts w:ascii="Cambria" w:eastAsiaTheme="minorHAnsi" w:hAnsi="Cambria" w:cs="CIDFont+F1"/>
          <w:sz w:val="20"/>
          <w:szCs w:val="20"/>
          <w:lang w:val="es-CO"/>
        </w:rPr>
        <w:t>y con las falencias del Estado</w:t>
      </w:r>
      <w:r w:rsidRPr="0010630E">
        <w:rPr>
          <w:rFonts w:ascii="Cambria" w:eastAsiaTheme="minorHAnsi" w:hAnsi="Cambria" w:cs="CIDFont+F1"/>
          <w:sz w:val="20"/>
          <w:szCs w:val="20"/>
          <w:lang w:val="es-CO"/>
        </w:rPr>
        <w:t xml:space="preserve">, insistiendo que las desapariciones de </w:t>
      </w:r>
      <w:r w:rsidR="00971CF5" w:rsidRPr="0010630E">
        <w:rPr>
          <w:rFonts w:ascii="Cambria" w:eastAsiaTheme="minorHAnsi" w:hAnsi="Cambria" w:cs="CIDFont+F1"/>
          <w:sz w:val="20"/>
          <w:szCs w:val="20"/>
          <w:lang w:val="es-CO"/>
        </w:rPr>
        <w:t xml:space="preserve">las víctimas corresponden a falsos positivos. </w:t>
      </w:r>
      <w:r w:rsidR="00E11114" w:rsidRPr="0010630E">
        <w:rPr>
          <w:rFonts w:ascii="Cambria" w:eastAsiaTheme="minorHAnsi" w:hAnsi="Cambria" w:cs="CIDFont+F1"/>
          <w:sz w:val="20"/>
          <w:szCs w:val="20"/>
          <w:lang w:val="es-CO"/>
        </w:rPr>
        <w:t>Por último</w:t>
      </w:r>
      <w:r w:rsidR="00170068" w:rsidRPr="0010630E">
        <w:rPr>
          <w:rFonts w:ascii="Cambria" w:eastAsiaTheme="minorHAnsi" w:hAnsi="Cambria" w:cs="CIDFont+F1"/>
          <w:sz w:val="20"/>
          <w:szCs w:val="20"/>
          <w:lang w:val="es-CO"/>
        </w:rPr>
        <w:t xml:space="preserve">, </w:t>
      </w:r>
      <w:r w:rsidR="00E11114" w:rsidRPr="0010630E">
        <w:rPr>
          <w:rFonts w:ascii="Cambria" w:eastAsiaTheme="minorHAnsi" w:hAnsi="Cambria" w:cs="CIDFont+F1"/>
          <w:sz w:val="20"/>
          <w:szCs w:val="20"/>
          <w:lang w:val="es-CO"/>
        </w:rPr>
        <w:t xml:space="preserve">los peticionarios </w:t>
      </w:r>
      <w:r w:rsidR="00D430D0" w:rsidRPr="0010630E">
        <w:rPr>
          <w:rFonts w:ascii="Cambria" w:eastAsiaTheme="minorHAnsi" w:hAnsi="Cambria" w:cs="CIDFont+F1"/>
          <w:sz w:val="20"/>
          <w:szCs w:val="20"/>
          <w:lang w:val="es-CO"/>
        </w:rPr>
        <w:t xml:space="preserve">manifestaron </w:t>
      </w:r>
      <w:r w:rsidR="00E11114" w:rsidRPr="0010630E">
        <w:rPr>
          <w:rFonts w:ascii="Cambria" w:eastAsiaTheme="minorHAnsi" w:hAnsi="Cambria" w:cs="CIDFont+F1"/>
          <w:sz w:val="20"/>
          <w:szCs w:val="20"/>
          <w:lang w:val="es-CO"/>
        </w:rPr>
        <w:t>haber sido</w:t>
      </w:r>
      <w:r w:rsidR="00D430D0" w:rsidRPr="0010630E">
        <w:rPr>
          <w:rFonts w:ascii="Cambria" w:eastAsiaTheme="minorHAnsi" w:hAnsi="Cambria" w:cs="CIDFont+F1"/>
          <w:sz w:val="20"/>
          <w:szCs w:val="20"/>
          <w:lang w:val="es-CO"/>
        </w:rPr>
        <w:t xml:space="preserve"> sujetos de amenazas</w:t>
      </w:r>
      <w:r w:rsidR="00E11114" w:rsidRPr="0010630E">
        <w:rPr>
          <w:rFonts w:ascii="Cambria" w:eastAsiaTheme="minorHAnsi" w:hAnsi="Cambria" w:cs="CIDFont+F1"/>
          <w:sz w:val="20"/>
          <w:szCs w:val="20"/>
          <w:lang w:val="es-CO"/>
        </w:rPr>
        <w:t xml:space="preserve"> con ocasión </w:t>
      </w:r>
      <w:r w:rsidR="00F14105" w:rsidRPr="0010630E">
        <w:rPr>
          <w:rFonts w:ascii="Cambria" w:eastAsiaTheme="minorHAnsi" w:hAnsi="Cambria" w:cs="CIDFont+F1"/>
          <w:sz w:val="20"/>
          <w:szCs w:val="20"/>
          <w:lang w:val="es-CO"/>
        </w:rPr>
        <w:t>de</w:t>
      </w:r>
      <w:r w:rsidR="00E11114" w:rsidRPr="0010630E">
        <w:rPr>
          <w:rFonts w:ascii="Cambria" w:eastAsiaTheme="minorHAnsi" w:hAnsi="Cambria" w:cs="CIDFont+F1"/>
          <w:sz w:val="20"/>
          <w:szCs w:val="20"/>
          <w:lang w:val="es-CO"/>
        </w:rPr>
        <w:t xml:space="preserve"> la representación de este caso, lo cual</w:t>
      </w:r>
      <w:r w:rsidR="00D430D0" w:rsidRPr="0010630E">
        <w:rPr>
          <w:rFonts w:ascii="Cambria" w:eastAsiaTheme="minorHAnsi" w:hAnsi="Cambria" w:cs="CIDFont+F1"/>
          <w:sz w:val="20"/>
          <w:szCs w:val="20"/>
          <w:lang w:val="es-CO"/>
        </w:rPr>
        <w:t xml:space="preserve"> los ha forzado a desplazarse a otro país. </w:t>
      </w:r>
    </w:p>
    <w:p w14:paraId="793171BE" w14:textId="4FCF1772" w:rsidR="00894A87" w:rsidRPr="0010630E" w:rsidRDefault="00894A87" w:rsidP="00306969">
      <w:pPr>
        <w:tabs>
          <w:tab w:val="left" w:pos="0"/>
        </w:tabs>
        <w:spacing w:after="0" w:line="240" w:lineRule="auto"/>
        <w:ind w:firstLine="720"/>
        <w:jc w:val="both"/>
        <w:rPr>
          <w:rFonts w:ascii="Cambria" w:hAnsi="Cambria" w:cs="Calibri Light"/>
          <w:sz w:val="20"/>
          <w:szCs w:val="20"/>
          <w:lang w:val="es-US"/>
        </w:rPr>
      </w:pPr>
    </w:p>
    <w:p w14:paraId="057A5F2C" w14:textId="07393BB8" w:rsidR="002D1BBE" w:rsidRPr="0010630E" w:rsidRDefault="00F6516A" w:rsidP="00B949E5">
      <w:pPr>
        <w:pStyle w:val="ListParagraph"/>
        <w:numPr>
          <w:ilvl w:val="0"/>
          <w:numId w:val="14"/>
        </w:numPr>
        <w:tabs>
          <w:tab w:val="left" w:pos="0"/>
        </w:tabs>
        <w:spacing w:after="0" w:line="240" w:lineRule="auto"/>
        <w:ind w:left="0" w:firstLine="720"/>
        <w:jc w:val="both"/>
        <w:rPr>
          <w:rFonts w:ascii="Cambria" w:eastAsiaTheme="minorHAnsi" w:hAnsi="Cambria" w:cs="Cambria"/>
          <w:sz w:val="20"/>
          <w:szCs w:val="20"/>
          <w:lang w:val="es-CO"/>
        </w:rPr>
      </w:pPr>
      <w:r w:rsidRPr="0010630E">
        <w:rPr>
          <w:rFonts w:ascii="Cambria" w:eastAsiaTheme="minorHAnsi" w:hAnsi="Cambria" w:cs="Cambria"/>
          <w:sz w:val="20"/>
          <w:szCs w:val="20"/>
          <w:lang w:val="es-CO"/>
        </w:rPr>
        <w:t xml:space="preserve">La Comisión valora la existencia de seis sentencias condenatorias emitidas entre 2006 y 2012, que incluyeron a paramilitares y a agentes estatales, y toma nota de las acciones desplegadas por el Estado </w:t>
      </w:r>
      <w:r w:rsidR="0028795E" w:rsidRPr="0010630E">
        <w:rPr>
          <w:rFonts w:ascii="Cambria" w:eastAsiaTheme="minorHAnsi" w:hAnsi="Cambria" w:cs="Cambria"/>
          <w:sz w:val="20"/>
          <w:szCs w:val="20"/>
          <w:lang w:val="es-CO"/>
        </w:rPr>
        <w:t xml:space="preserve">para identificar a las personas responsables e imponer las sanciones correspondientes. Al mismo tiempo, </w:t>
      </w:r>
      <w:r w:rsidR="00B949E5" w:rsidRPr="0010630E">
        <w:rPr>
          <w:rFonts w:ascii="Cambria" w:eastAsiaTheme="minorHAnsi" w:hAnsi="Cambria" w:cs="Cambria"/>
          <w:sz w:val="20"/>
          <w:szCs w:val="20"/>
          <w:lang w:val="es-CO"/>
        </w:rPr>
        <w:t xml:space="preserve">la CIDH </w:t>
      </w:r>
      <w:r w:rsidR="0028795E" w:rsidRPr="0010630E">
        <w:rPr>
          <w:rFonts w:ascii="Cambria" w:eastAsiaTheme="minorHAnsi" w:hAnsi="Cambria" w:cs="Cambria"/>
          <w:sz w:val="20"/>
          <w:szCs w:val="20"/>
          <w:lang w:val="es-CO"/>
        </w:rPr>
        <w:t xml:space="preserve">nota con preocupación la información suministrada por los peticionarios </w:t>
      </w:r>
      <w:r w:rsidR="00B949E5" w:rsidRPr="0010630E">
        <w:rPr>
          <w:rFonts w:ascii="Cambria" w:eastAsiaTheme="minorHAnsi" w:hAnsi="Cambria" w:cs="Cambria"/>
          <w:sz w:val="20"/>
          <w:szCs w:val="20"/>
          <w:lang w:val="es-CO"/>
        </w:rPr>
        <w:t xml:space="preserve">respecto a la falta de avances en la investigación. </w:t>
      </w:r>
      <w:r w:rsidR="00B949E5" w:rsidRPr="0010630E">
        <w:rPr>
          <w:rFonts w:ascii="Cambria" w:hAnsi="Cambria" w:cs="Calibri Light"/>
          <w:sz w:val="20"/>
          <w:szCs w:val="20"/>
          <w:lang w:val="es-US"/>
        </w:rPr>
        <w:t xml:space="preserve">En este sentido, la Comisión </w:t>
      </w:r>
      <w:r w:rsidR="00DE0661">
        <w:rPr>
          <w:rFonts w:ascii="Cambria" w:hAnsi="Cambria" w:cs="Calibri Light"/>
          <w:sz w:val="20"/>
          <w:szCs w:val="20"/>
          <w:lang w:val="es-US"/>
        </w:rPr>
        <w:t>insta</w:t>
      </w:r>
      <w:bookmarkStart w:id="0" w:name="_GoBack"/>
      <w:bookmarkEnd w:id="0"/>
      <w:r w:rsidR="00B949E5" w:rsidRPr="0010630E">
        <w:rPr>
          <w:rFonts w:ascii="Cambria" w:hAnsi="Cambria" w:cs="Calibri Light"/>
          <w:sz w:val="20"/>
          <w:szCs w:val="20"/>
          <w:lang w:val="es-US"/>
        </w:rPr>
        <w:t xml:space="preserve"> al Estado a adoptar las medidas necesarias para que </w:t>
      </w:r>
      <w:r w:rsidR="00B949E5" w:rsidRPr="0010630E">
        <w:rPr>
          <w:rFonts w:ascii="Cambria" w:hAnsi="Cambria" w:cs="Calibri Light"/>
          <w:sz w:val="20"/>
          <w:szCs w:val="20"/>
          <w:lang w:val="es-ES"/>
        </w:rPr>
        <w:t xml:space="preserve">la investigación avance de manera ágil. </w:t>
      </w:r>
      <w:r w:rsidR="00010965" w:rsidRPr="0010630E">
        <w:rPr>
          <w:rFonts w:ascii="Cambria" w:hAnsi="Cambria"/>
          <w:sz w:val="20"/>
          <w:szCs w:val="20"/>
          <w:lang w:val="es-US"/>
        </w:rPr>
        <w:t xml:space="preserve">Por lo anterior, la Comisión considera que la recomendación 2 se encuentra parcialmente cumplida. </w:t>
      </w:r>
    </w:p>
    <w:p w14:paraId="51D11530" w14:textId="77777777" w:rsidR="002D1BBE" w:rsidRPr="0010630E" w:rsidRDefault="002D1BBE" w:rsidP="002D1BBE">
      <w:pPr>
        <w:pStyle w:val="ListParagraph"/>
        <w:tabs>
          <w:tab w:val="left" w:pos="0"/>
        </w:tabs>
        <w:spacing w:after="0" w:line="240" w:lineRule="auto"/>
        <w:jc w:val="both"/>
        <w:rPr>
          <w:rFonts w:ascii="Cambria" w:eastAsiaTheme="minorHAnsi" w:hAnsi="Cambria" w:cs="Cambria"/>
          <w:sz w:val="20"/>
          <w:szCs w:val="20"/>
          <w:lang w:val="es-CO"/>
        </w:rPr>
      </w:pPr>
    </w:p>
    <w:p w14:paraId="2A13C5E6" w14:textId="78BCDA08" w:rsidR="00141841" w:rsidRPr="0010630E" w:rsidRDefault="00A12D6B" w:rsidP="00141841">
      <w:pPr>
        <w:pStyle w:val="ListParagraph"/>
        <w:numPr>
          <w:ilvl w:val="0"/>
          <w:numId w:val="14"/>
        </w:numPr>
        <w:tabs>
          <w:tab w:val="left" w:pos="0"/>
        </w:tabs>
        <w:spacing w:after="0" w:line="240" w:lineRule="auto"/>
        <w:ind w:left="0" w:firstLine="720"/>
        <w:jc w:val="both"/>
        <w:rPr>
          <w:rFonts w:ascii="Cambria" w:hAnsi="Cambria"/>
          <w:sz w:val="20"/>
          <w:szCs w:val="20"/>
          <w:lang w:val="es-ES"/>
        </w:rPr>
      </w:pPr>
      <w:r w:rsidRPr="0010630E">
        <w:rPr>
          <w:rFonts w:ascii="Cambria" w:hAnsi="Cambria" w:cs="Calibri Light"/>
          <w:b/>
          <w:sz w:val="20"/>
          <w:szCs w:val="20"/>
          <w:lang w:val="es-US"/>
        </w:rPr>
        <w:t>En relación con la tercera recomendación</w:t>
      </w:r>
      <w:r w:rsidRPr="0010630E">
        <w:rPr>
          <w:rFonts w:ascii="Cambria" w:hAnsi="Cambria" w:cs="Calibri Light"/>
          <w:sz w:val="20"/>
          <w:szCs w:val="20"/>
          <w:lang w:val="es-US"/>
        </w:rPr>
        <w:t xml:space="preserve">, </w:t>
      </w:r>
      <w:r w:rsidR="000A417C" w:rsidRPr="0010630E">
        <w:rPr>
          <w:rFonts w:ascii="Cambria" w:hAnsi="Cambria" w:cs="Calibri Light"/>
          <w:sz w:val="20"/>
          <w:szCs w:val="20"/>
          <w:lang w:val="es-US"/>
        </w:rPr>
        <w:t>en</w:t>
      </w:r>
      <w:r w:rsidR="00A40623" w:rsidRPr="0010630E">
        <w:rPr>
          <w:rFonts w:ascii="Cambria" w:hAnsi="Cambria" w:cs="Calibri Light"/>
          <w:sz w:val="20"/>
          <w:szCs w:val="20"/>
          <w:lang w:val="es-US"/>
        </w:rPr>
        <w:t xml:space="preserve"> 2017, el Estado </w:t>
      </w:r>
      <w:r w:rsidR="00892E6C" w:rsidRPr="0010630E">
        <w:rPr>
          <w:rFonts w:ascii="Cambria" w:hAnsi="Cambria" w:cs="Calibri Light"/>
          <w:sz w:val="20"/>
          <w:szCs w:val="20"/>
          <w:lang w:val="es-US"/>
        </w:rPr>
        <w:t xml:space="preserve">informó que </w:t>
      </w:r>
      <w:r w:rsidR="00892E6C" w:rsidRPr="0010630E">
        <w:rPr>
          <w:rFonts w:ascii="Cambria" w:eastAsiaTheme="minorHAnsi" w:hAnsi="Cambria" w:cs="Cambria"/>
          <w:sz w:val="20"/>
          <w:szCs w:val="20"/>
          <w:lang w:val="es-CO"/>
        </w:rPr>
        <w:t>el Programa de Atención Psicosocial y Salud Integral para las Víctimas brindaría atención médica y psicológica a los familiares de las víctimas del caso, salvo dos beneficiarias que manifestaron que no deseaban la atención, y que se tenía previsto realizar una valoración para efectuar un ofrecimiento de atención integral individual, familiar y comunitaria</w:t>
      </w:r>
      <w:r w:rsidR="00892E6C" w:rsidRPr="0010630E">
        <w:rPr>
          <w:rStyle w:val="FootnoteReference"/>
          <w:rFonts w:ascii="Cambria" w:eastAsiaTheme="minorHAnsi" w:hAnsi="Cambria" w:cs="Cambria"/>
          <w:sz w:val="20"/>
          <w:szCs w:val="20"/>
          <w:lang w:val="es-CO"/>
        </w:rPr>
        <w:footnoteReference w:id="4"/>
      </w:r>
      <w:r w:rsidR="00892E6C" w:rsidRPr="0010630E">
        <w:rPr>
          <w:rFonts w:ascii="Cambria" w:eastAsiaTheme="minorHAnsi" w:hAnsi="Cambria" w:cs="Cambria"/>
          <w:sz w:val="20"/>
          <w:szCs w:val="20"/>
          <w:lang w:val="es-CO"/>
        </w:rPr>
        <w:t xml:space="preserve">. En relación con la medida de compensación, el Estado informó que </w:t>
      </w:r>
      <w:r w:rsidR="00892E6C" w:rsidRPr="0010630E">
        <w:rPr>
          <w:rFonts w:ascii="Cambria" w:hAnsi="Cambria"/>
          <w:sz w:val="20"/>
          <w:szCs w:val="20"/>
          <w:lang w:val="es-ES"/>
        </w:rPr>
        <w:t>los</w:t>
      </w:r>
      <w:r w:rsidR="00A40623" w:rsidRPr="0010630E">
        <w:rPr>
          <w:rFonts w:ascii="Cambria" w:hAnsi="Cambria"/>
          <w:sz w:val="20"/>
          <w:szCs w:val="20"/>
          <w:lang w:val="es-ES"/>
        </w:rPr>
        <w:t xml:space="preserve"> familiares de </w:t>
      </w:r>
      <w:r w:rsidR="001130CA" w:rsidRPr="0010630E">
        <w:rPr>
          <w:rFonts w:ascii="Cambria" w:hAnsi="Cambria"/>
          <w:sz w:val="20"/>
          <w:szCs w:val="20"/>
          <w:lang w:val="es-ES"/>
        </w:rPr>
        <w:t>Ángel</w:t>
      </w:r>
      <w:r w:rsidR="00A40623" w:rsidRPr="0010630E">
        <w:rPr>
          <w:rFonts w:ascii="Cambria" w:hAnsi="Cambria"/>
          <w:sz w:val="20"/>
          <w:szCs w:val="20"/>
          <w:lang w:val="es-ES"/>
        </w:rPr>
        <w:t xml:space="preserve"> David Quintero ya fueron indemnizados en el marco del proceso contencioso administrativo a través de la Resolución Número 3852 de 19 de junio de 2012 de la Dirección de Asuntos Legales del Ministerio de Defensa Nacional</w:t>
      </w:r>
      <w:r w:rsidR="001130CA" w:rsidRPr="0010630E">
        <w:rPr>
          <w:rStyle w:val="FootnoteReference"/>
          <w:rFonts w:ascii="Cambria" w:hAnsi="Cambria"/>
          <w:sz w:val="20"/>
          <w:szCs w:val="20"/>
          <w:lang w:val="es-ES"/>
        </w:rPr>
        <w:footnoteReference w:id="5"/>
      </w:r>
      <w:r w:rsidR="00A40623" w:rsidRPr="0010630E">
        <w:rPr>
          <w:rFonts w:ascii="Cambria" w:hAnsi="Cambria"/>
          <w:sz w:val="20"/>
          <w:szCs w:val="20"/>
          <w:lang w:val="es-ES"/>
        </w:rPr>
        <w:t>.</w:t>
      </w:r>
      <w:r w:rsidR="009E10F6" w:rsidRPr="0010630E">
        <w:rPr>
          <w:rFonts w:ascii="Cambria" w:hAnsi="Cambria"/>
          <w:sz w:val="20"/>
          <w:szCs w:val="20"/>
          <w:lang w:val="es-ES"/>
        </w:rPr>
        <w:t xml:space="preserve"> </w:t>
      </w:r>
      <w:r w:rsidR="00181B9F" w:rsidRPr="0010630E">
        <w:rPr>
          <w:rFonts w:ascii="Cambria" w:hAnsi="Cambria"/>
          <w:sz w:val="20"/>
          <w:szCs w:val="20"/>
          <w:lang w:val="es-ES"/>
        </w:rPr>
        <w:t>En relación con los familiares de Alcides Torres Arias, el Estado informó que</w:t>
      </w:r>
      <w:r w:rsidR="00771D50" w:rsidRPr="0010630E">
        <w:rPr>
          <w:rFonts w:ascii="Cambria" w:hAnsi="Cambria"/>
          <w:sz w:val="20"/>
          <w:szCs w:val="20"/>
          <w:lang w:val="es-ES"/>
        </w:rPr>
        <w:t xml:space="preserve"> </w:t>
      </w:r>
      <w:r w:rsidR="00AA7B92" w:rsidRPr="0010630E">
        <w:rPr>
          <w:rFonts w:ascii="Cambria" w:hAnsi="Cambria"/>
          <w:sz w:val="20"/>
          <w:szCs w:val="20"/>
          <w:lang w:val="es-ES"/>
        </w:rPr>
        <w:t>las partes suscribieron un acuerdo conciliatorio el 5 de abril de 2016 a instancias de la Procuraduría 11 Administrativa Delegada ante el Tribunal Administrativo de Cundinamarca</w:t>
      </w:r>
      <w:r w:rsidR="00181B9F" w:rsidRPr="0010630E">
        <w:rPr>
          <w:rFonts w:ascii="Cambria" w:hAnsi="Cambria"/>
          <w:sz w:val="20"/>
          <w:szCs w:val="20"/>
          <w:lang w:val="es-ES"/>
        </w:rPr>
        <w:t xml:space="preserve"> </w:t>
      </w:r>
      <w:r w:rsidR="00AA7B92" w:rsidRPr="0010630E">
        <w:rPr>
          <w:rFonts w:ascii="Cambria" w:eastAsiaTheme="minorHAnsi" w:hAnsi="Cambria" w:cs="Cambria"/>
          <w:sz w:val="20"/>
          <w:szCs w:val="20"/>
          <w:lang w:val="es-CO"/>
        </w:rPr>
        <w:t xml:space="preserve">en el que se pactó la indemnización pecuniaria a su favor. </w:t>
      </w:r>
      <w:r w:rsidR="00BA680C" w:rsidRPr="0010630E">
        <w:rPr>
          <w:rFonts w:ascii="Cambria" w:eastAsiaTheme="minorHAnsi" w:hAnsi="Cambria" w:cs="Cambria"/>
          <w:sz w:val="20"/>
          <w:szCs w:val="20"/>
          <w:lang w:val="es-CO"/>
        </w:rPr>
        <w:t xml:space="preserve">En 2018, el Estado informó que </w:t>
      </w:r>
      <w:r w:rsidR="00181B9F" w:rsidRPr="0010630E">
        <w:rPr>
          <w:rFonts w:ascii="Cambria" w:eastAsiaTheme="minorHAnsi" w:hAnsi="Cambria" w:cs="Arial"/>
          <w:iCs/>
          <w:sz w:val="20"/>
          <w:szCs w:val="20"/>
          <w:lang w:val="es-CO"/>
        </w:rPr>
        <w:t>el turno de liquidación y pago asignado</w:t>
      </w:r>
      <w:r w:rsidR="00181B9F" w:rsidRPr="0010630E">
        <w:rPr>
          <w:rFonts w:ascii="Cambria" w:eastAsiaTheme="minorHAnsi" w:hAnsi="Cambria" w:cs="Arial"/>
          <w:sz w:val="20"/>
          <w:szCs w:val="20"/>
          <w:lang w:val="es-CO"/>
        </w:rPr>
        <w:t xml:space="preserve"> </w:t>
      </w:r>
      <w:r w:rsidR="00181B9F" w:rsidRPr="0010630E">
        <w:rPr>
          <w:rFonts w:ascii="Cambria" w:eastAsiaTheme="minorHAnsi" w:hAnsi="Cambria" w:cs="Arial"/>
          <w:iCs/>
          <w:sz w:val="20"/>
          <w:szCs w:val="20"/>
          <w:lang w:val="es-CO"/>
        </w:rPr>
        <w:t xml:space="preserve">al señor Juan Gregorio Torres (padre de Alcides Torres Arias) y de otras personas había sido el T-2888-2017. Indicó que los peticionarios radicaron la correspondiente solicitud hasta el 15 de septiembre de 2017 y, para el momento, el Ministerio de Defensa estaba liquidando cuentas de cobro radicadas en el mes de enero de 2015. </w:t>
      </w:r>
    </w:p>
    <w:p w14:paraId="67C61295" w14:textId="77777777" w:rsidR="000A417C" w:rsidRPr="0010630E" w:rsidRDefault="000A417C" w:rsidP="00306969">
      <w:pPr>
        <w:tabs>
          <w:tab w:val="left" w:pos="0"/>
        </w:tabs>
        <w:autoSpaceDE w:val="0"/>
        <w:autoSpaceDN w:val="0"/>
        <w:adjustRightInd w:val="0"/>
        <w:spacing w:after="0" w:line="240" w:lineRule="auto"/>
        <w:ind w:firstLine="720"/>
        <w:jc w:val="both"/>
        <w:rPr>
          <w:rFonts w:ascii="Cambria" w:hAnsi="Cambria" w:cs="Calibri Light"/>
          <w:sz w:val="20"/>
          <w:szCs w:val="20"/>
          <w:lang w:val="es-US"/>
        </w:rPr>
      </w:pPr>
    </w:p>
    <w:p w14:paraId="1212C086" w14:textId="77777777" w:rsidR="0029246C" w:rsidRPr="0010630E" w:rsidRDefault="00784DA5" w:rsidP="0029246C">
      <w:pPr>
        <w:pStyle w:val="ListParagraph"/>
        <w:numPr>
          <w:ilvl w:val="0"/>
          <w:numId w:val="14"/>
        </w:numPr>
        <w:tabs>
          <w:tab w:val="left" w:pos="0"/>
        </w:tabs>
        <w:autoSpaceDE w:val="0"/>
        <w:autoSpaceDN w:val="0"/>
        <w:adjustRightInd w:val="0"/>
        <w:spacing w:after="0" w:line="240" w:lineRule="auto"/>
        <w:ind w:left="0" w:firstLine="720"/>
        <w:jc w:val="both"/>
        <w:rPr>
          <w:rFonts w:ascii="Cambria" w:eastAsiaTheme="minorHAnsi" w:hAnsi="Cambria" w:cs="CIDFont+F1"/>
          <w:sz w:val="20"/>
          <w:szCs w:val="20"/>
          <w:lang w:val="es-CO"/>
        </w:rPr>
      </w:pPr>
      <w:r w:rsidRPr="0010630E">
        <w:rPr>
          <w:rFonts w:ascii="Cambria" w:hAnsi="Cambria" w:cs="Calibri Light"/>
          <w:sz w:val="20"/>
          <w:szCs w:val="20"/>
          <w:lang w:val="es-US"/>
        </w:rPr>
        <w:t>E</w:t>
      </w:r>
      <w:r w:rsidR="007E3CA2" w:rsidRPr="0010630E">
        <w:rPr>
          <w:rFonts w:ascii="Cambria" w:hAnsi="Cambria" w:cs="Calibri Light"/>
          <w:sz w:val="20"/>
          <w:szCs w:val="20"/>
          <w:lang w:val="es-US"/>
        </w:rPr>
        <w:t xml:space="preserve">n 2017, </w:t>
      </w:r>
      <w:r w:rsidR="0079153A" w:rsidRPr="0010630E">
        <w:rPr>
          <w:rFonts w:ascii="Cambria" w:hAnsi="Cambria" w:cs="Calibri Light"/>
          <w:sz w:val="20"/>
          <w:szCs w:val="20"/>
          <w:lang w:val="es-US"/>
        </w:rPr>
        <w:t xml:space="preserve">los peticionarios </w:t>
      </w:r>
      <w:r w:rsidR="00673BD4" w:rsidRPr="0010630E">
        <w:rPr>
          <w:rFonts w:ascii="Cambria" w:hAnsi="Cambria" w:cs="Calibri Light"/>
          <w:sz w:val="20"/>
          <w:szCs w:val="20"/>
          <w:lang w:val="es-US"/>
        </w:rPr>
        <w:t xml:space="preserve">informaron que el Estado no </w:t>
      </w:r>
      <w:r w:rsidR="007727EB" w:rsidRPr="0010630E">
        <w:rPr>
          <w:rFonts w:ascii="Cambria" w:hAnsi="Cambria" w:cs="Calibri Light"/>
          <w:sz w:val="20"/>
          <w:szCs w:val="20"/>
          <w:lang w:val="es-US"/>
        </w:rPr>
        <w:t xml:space="preserve">había realizado los esfuerzos necesarios para eliminar contenidos en internet que señalan a los desaparecidos de haber sido “presuntos guerrilleros”. </w:t>
      </w:r>
      <w:r w:rsidR="00673BD4" w:rsidRPr="0010630E">
        <w:rPr>
          <w:rFonts w:ascii="Cambria" w:hAnsi="Cambria" w:cs="Calibri Light"/>
          <w:sz w:val="20"/>
          <w:szCs w:val="20"/>
          <w:lang w:val="es-US"/>
        </w:rPr>
        <w:t>S</w:t>
      </w:r>
      <w:r w:rsidR="0079153A" w:rsidRPr="0010630E">
        <w:rPr>
          <w:rFonts w:ascii="Cambria" w:hAnsi="Cambria" w:cs="Calibri Light"/>
          <w:sz w:val="20"/>
          <w:szCs w:val="20"/>
          <w:lang w:val="es-US"/>
        </w:rPr>
        <w:t>eñalaron</w:t>
      </w:r>
      <w:r w:rsidR="00301D87" w:rsidRPr="0010630E">
        <w:rPr>
          <w:rFonts w:ascii="Cambria" w:hAnsi="Cambria" w:cs="Calibri Light"/>
          <w:sz w:val="20"/>
          <w:szCs w:val="20"/>
          <w:lang w:val="es-US"/>
        </w:rPr>
        <w:t xml:space="preserve"> que, hasta </w:t>
      </w:r>
      <w:r w:rsidR="00673BD4" w:rsidRPr="0010630E">
        <w:rPr>
          <w:rFonts w:ascii="Cambria" w:hAnsi="Cambria" w:cs="Calibri Light"/>
          <w:sz w:val="20"/>
          <w:szCs w:val="20"/>
          <w:lang w:val="es-US"/>
        </w:rPr>
        <w:t xml:space="preserve">aquel </w:t>
      </w:r>
      <w:r w:rsidR="00301D87" w:rsidRPr="0010630E">
        <w:rPr>
          <w:rFonts w:ascii="Cambria" w:hAnsi="Cambria" w:cs="Calibri Light"/>
          <w:sz w:val="20"/>
          <w:szCs w:val="20"/>
          <w:lang w:val="es-US"/>
        </w:rPr>
        <w:t>momento, el Estado no ha</w:t>
      </w:r>
      <w:r w:rsidRPr="0010630E">
        <w:rPr>
          <w:rFonts w:ascii="Cambria" w:hAnsi="Cambria" w:cs="Calibri Light"/>
          <w:sz w:val="20"/>
          <w:szCs w:val="20"/>
          <w:lang w:val="es-US"/>
        </w:rPr>
        <w:t>bía</w:t>
      </w:r>
      <w:r w:rsidR="00301D87" w:rsidRPr="0010630E">
        <w:rPr>
          <w:rFonts w:ascii="Cambria" w:hAnsi="Cambria" w:cs="Calibri Light"/>
          <w:sz w:val="20"/>
          <w:szCs w:val="20"/>
          <w:lang w:val="es-US"/>
        </w:rPr>
        <w:t xml:space="preserve"> </w:t>
      </w:r>
      <w:r w:rsidR="00301D87" w:rsidRPr="0010630E">
        <w:rPr>
          <w:rFonts w:ascii="Cambria" w:eastAsiaTheme="minorHAnsi" w:hAnsi="Cambria" w:cs="CIDFont+F1"/>
          <w:sz w:val="20"/>
          <w:szCs w:val="20"/>
          <w:lang w:val="es-CO"/>
        </w:rPr>
        <w:t xml:space="preserve">entregado el registro civil de defunción de </w:t>
      </w:r>
      <w:proofErr w:type="spellStart"/>
      <w:r w:rsidR="00301D87" w:rsidRPr="0010630E">
        <w:rPr>
          <w:rFonts w:ascii="Cambria" w:eastAsiaTheme="minorHAnsi" w:hAnsi="Cambria" w:cs="CIDFont+F1"/>
          <w:sz w:val="20"/>
          <w:szCs w:val="20"/>
          <w:lang w:val="es-CO"/>
        </w:rPr>
        <w:t>Orbairo</w:t>
      </w:r>
      <w:proofErr w:type="spellEnd"/>
      <w:r w:rsidR="00301D87" w:rsidRPr="0010630E">
        <w:rPr>
          <w:rFonts w:ascii="Cambria" w:eastAsiaTheme="minorHAnsi" w:hAnsi="Cambria" w:cs="CIDFont+F1"/>
          <w:sz w:val="20"/>
          <w:szCs w:val="20"/>
          <w:lang w:val="es-CO"/>
        </w:rPr>
        <w:t xml:space="preserve"> Torres Arias, hermano de la</w:t>
      </w:r>
      <w:r w:rsidR="00301D87" w:rsidRPr="0010630E">
        <w:rPr>
          <w:rFonts w:ascii="Cambria" w:hAnsi="Cambria" w:cs="Calibri Light"/>
          <w:sz w:val="20"/>
          <w:szCs w:val="20"/>
          <w:lang w:val="es-US"/>
        </w:rPr>
        <w:t xml:space="preserve"> </w:t>
      </w:r>
      <w:r w:rsidR="00301D87" w:rsidRPr="0010630E">
        <w:rPr>
          <w:rFonts w:ascii="Cambria" w:eastAsiaTheme="minorHAnsi" w:hAnsi="Cambria" w:cs="CIDFont+F1"/>
          <w:sz w:val="20"/>
          <w:szCs w:val="20"/>
          <w:lang w:val="es-CO"/>
        </w:rPr>
        <w:t xml:space="preserve">víctima, quien fue asesinado como retaliación por estos mismos hechos y </w:t>
      </w:r>
      <w:r w:rsidR="007576A9" w:rsidRPr="0010630E">
        <w:rPr>
          <w:rFonts w:ascii="Cambria" w:eastAsiaTheme="minorHAnsi" w:hAnsi="Cambria" w:cs="CIDFont+F1"/>
          <w:sz w:val="20"/>
          <w:szCs w:val="20"/>
          <w:lang w:val="es-CO"/>
        </w:rPr>
        <w:t>cuyos restos fueron</w:t>
      </w:r>
      <w:r w:rsidR="00301D87" w:rsidRPr="0010630E">
        <w:rPr>
          <w:rFonts w:ascii="Cambria" w:hAnsi="Cambria" w:cs="Calibri Light"/>
          <w:sz w:val="20"/>
          <w:szCs w:val="20"/>
          <w:lang w:val="es-US"/>
        </w:rPr>
        <w:t xml:space="preserve"> </w:t>
      </w:r>
      <w:r w:rsidR="007576A9" w:rsidRPr="0010630E">
        <w:rPr>
          <w:rFonts w:ascii="Cambria" w:eastAsiaTheme="minorHAnsi" w:hAnsi="Cambria" w:cs="CIDFont+F1"/>
          <w:sz w:val="20"/>
          <w:szCs w:val="20"/>
          <w:lang w:val="es-CO"/>
        </w:rPr>
        <w:t>encontrados</w:t>
      </w:r>
      <w:r w:rsidR="00301D87" w:rsidRPr="0010630E">
        <w:rPr>
          <w:rFonts w:ascii="Cambria" w:eastAsiaTheme="minorHAnsi" w:hAnsi="Cambria" w:cs="CIDFont+F1"/>
          <w:sz w:val="20"/>
          <w:szCs w:val="20"/>
          <w:lang w:val="es-CO"/>
        </w:rPr>
        <w:t xml:space="preserve"> en una fosa común. </w:t>
      </w:r>
      <w:r w:rsidR="00673BD4" w:rsidRPr="0010630E">
        <w:rPr>
          <w:rFonts w:ascii="Cambria" w:eastAsiaTheme="minorHAnsi" w:hAnsi="Cambria" w:cs="CIDFont+F1"/>
          <w:sz w:val="20"/>
          <w:szCs w:val="20"/>
          <w:lang w:val="es-CO"/>
        </w:rPr>
        <w:t>Asimismo, i</w:t>
      </w:r>
      <w:r w:rsidR="0079153A" w:rsidRPr="0010630E">
        <w:rPr>
          <w:rFonts w:ascii="Cambria" w:eastAsiaTheme="minorHAnsi" w:hAnsi="Cambria" w:cs="CIDFont+F1"/>
          <w:sz w:val="20"/>
          <w:szCs w:val="20"/>
          <w:lang w:val="es-CO"/>
        </w:rPr>
        <w:t>nformaron que</w:t>
      </w:r>
      <w:r w:rsidR="004E57BA" w:rsidRPr="0010630E">
        <w:rPr>
          <w:rFonts w:ascii="Cambria" w:eastAsiaTheme="minorHAnsi" w:hAnsi="Cambria" w:cs="CIDFont+F1"/>
          <w:sz w:val="20"/>
          <w:szCs w:val="20"/>
          <w:lang w:val="es-CO"/>
        </w:rPr>
        <w:t xml:space="preserve"> </w:t>
      </w:r>
      <w:r w:rsidR="00301D87" w:rsidRPr="0010630E">
        <w:rPr>
          <w:rFonts w:ascii="Cambria" w:eastAsiaTheme="minorHAnsi" w:hAnsi="Cambria" w:cs="CIDFont+F1"/>
          <w:sz w:val="20"/>
          <w:szCs w:val="20"/>
          <w:lang w:val="es-CO"/>
        </w:rPr>
        <w:t>el Estado no había brindado acceso a medidas de reparación en educación y vivienda a favor de los hijos de las víctimas.</w:t>
      </w:r>
      <w:r w:rsidR="00673BD4" w:rsidRPr="0010630E">
        <w:rPr>
          <w:rFonts w:ascii="Cambria" w:eastAsiaTheme="minorHAnsi" w:hAnsi="Cambria" w:cs="CIDFont+F1"/>
          <w:sz w:val="20"/>
          <w:szCs w:val="20"/>
          <w:lang w:val="es-CO"/>
        </w:rPr>
        <w:t xml:space="preserve"> </w:t>
      </w:r>
      <w:r w:rsidR="005078C3" w:rsidRPr="0010630E">
        <w:rPr>
          <w:rFonts w:ascii="Cambria" w:eastAsiaTheme="minorHAnsi" w:hAnsi="Cambria" w:cs="CIDFont+F1"/>
          <w:sz w:val="20"/>
          <w:szCs w:val="20"/>
          <w:lang w:val="es-CO"/>
        </w:rPr>
        <w:t>En 2018, los peticion</w:t>
      </w:r>
      <w:r w:rsidR="00A40623" w:rsidRPr="0010630E">
        <w:rPr>
          <w:rFonts w:ascii="Cambria" w:eastAsiaTheme="minorHAnsi" w:hAnsi="Cambria" w:cs="CIDFont+F1"/>
          <w:sz w:val="20"/>
          <w:szCs w:val="20"/>
          <w:lang w:val="es-CO"/>
        </w:rPr>
        <w:t xml:space="preserve">arios </w:t>
      </w:r>
      <w:r w:rsidR="00673BD4" w:rsidRPr="0010630E">
        <w:rPr>
          <w:rFonts w:ascii="Cambria" w:eastAsiaTheme="minorHAnsi" w:hAnsi="Cambria" w:cs="CIDFont+F1"/>
          <w:sz w:val="20"/>
          <w:szCs w:val="20"/>
          <w:lang w:val="es-CO"/>
        </w:rPr>
        <w:t xml:space="preserve">informaron </w:t>
      </w:r>
      <w:r w:rsidR="00EB0D98" w:rsidRPr="0010630E">
        <w:rPr>
          <w:rFonts w:ascii="Cambria" w:eastAsiaTheme="minorHAnsi" w:hAnsi="Cambria" w:cs="CIDFont+F1"/>
          <w:sz w:val="20"/>
          <w:szCs w:val="20"/>
          <w:lang w:val="es-CO"/>
        </w:rPr>
        <w:t xml:space="preserve">que </w:t>
      </w:r>
      <w:r w:rsidR="00673BD4" w:rsidRPr="0010630E">
        <w:rPr>
          <w:rFonts w:ascii="Cambria" w:eastAsiaTheme="minorHAnsi" w:hAnsi="Cambria" w:cs="CIDFont+F1"/>
          <w:sz w:val="20"/>
          <w:szCs w:val="20"/>
          <w:lang w:val="es-CO"/>
        </w:rPr>
        <w:t xml:space="preserve">aunque se </w:t>
      </w:r>
      <w:r w:rsidR="00EB0D98" w:rsidRPr="0010630E">
        <w:rPr>
          <w:rFonts w:ascii="Cambria" w:eastAsiaTheme="minorHAnsi" w:hAnsi="Cambria" w:cs="CIDFont+F1"/>
          <w:sz w:val="20"/>
          <w:szCs w:val="20"/>
          <w:lang w:val="es-CO"/>
        </w:rPr>
        <w:t>fijó la suma de indemnización de las víctimas</w:t>
      </w:r>
      <w:r w:rsidR="007576A9" w:rsidRPr="0010630E">
        <w:rPr>
          <w:rFonts w:ascii="Cambria" w:eastAsiaTheme="minorHAnsi" w:hAnsi="Cambria" w:cs="CIDFont+F1"/>
          <w:sz w:val="20"/>
          <w:szCs w:val="20"/>
          <w:lang w:val="es-CO"/>
        </w:rPr>
        <w:t>,</w:t>
      </w:r>
      <w:r w:rsidR="00D17C8E" w:rsidRPr="0010630E">
        <w:rPr>
          <w:rFonts w:ascii="Cambria" w:eastAsiaTheme="minorHAnsi" w:hAnsi="Cambria" w:cs="CIDFont+F1"/>
          <w:sz w:val="20"/>
          <w:szCs w:val="20"/>
          <w:lang w:val="es-CO"/>
        </w:rPr>
        <w:t xml:space="preserve"> los respectivos</w:t>
      </w:r>
      <w:r w:rsidR="00EB0D98" w:rsidRPr="0010630E">
        <w:rPr>
          <w:rFonts w:ascii="Cambria" w:eastAsiaTheme="minorHAnsi" w:hAnsi="Cambria" w:cs="CIDFont+F1"/>
          <w:sz w:val="20"/>
          <w:szCs w:val="20"/>
          <w:lang w:val="es-CO"/>
        </w:rPr>
        <w:t xml:space="preserve"> monto</w:t>
      </w:r>
      <w:r w:rsidR="00D17C8E" w:rsidRPr="0010630E">
        <w:rPr>
          <w:rFonts w:ascii="Cambria" w:eastAsiaTheme="minorHAnsi" w:hAnsi="Cambria" w:cs="CIDFont+F1"/>
          <w:sz w:val="20"/>
          <w:szCs w:val="20"/>
          <w:lang w:val="es-CO"/>
        </w:rPr>
        <w:t>s</w:t>
      </w:r>
      <w:r w:rsidR="00EB0D98" w:rsidRPr="0010630E">
        <w:rPr>
          <w:rFonts w:ascii="Cambria" w:eastAsiaTheme="minorHAnsi" w:hAnsi="Cambria" w:cs="CIDFont+F1"/>
          <w:sz w:val="20"/>
          <w:szCs w:val="20"/>
          <w:lang w:val="es-CO"/>
        </w:rPr>
        <w:t xml:space="preserve"> </w:t>
      </w:r>
      <w:r w:rsidR="00673BD4" w:rsidRPr="0010630E">
        <w:rPr>
          <w:rFonts w:ascii="Cambria" w:eastAsiaTheme="minorHAnsi" w:hAnsi="Cambria" w:cs="CIDFont+F1"/>
          <w:sz w:val="20"/>
          <w:szCs w:val="20"/>
          <w:lang w:val="es-CO"/>
        </w:rPr>
        <w:t xml:space="preserve">aún </w:t>
      </w:r>
      <w:r w:rsidR="00EB0D98" w:rsidRPr="0010630E">
        <w:rPr>
          <w:rFonts w:ascii="Cambria" w:eastAsiaTheme="minorHAnsi" w:hAnsi="Cambria" w:cs="CIDFont+F1"/>
          <w:sz w:val="20"/>
          <w:szCs w:val="20"/>
          <w:lang w:val="es-CO"/>
        </w:rPr>
        <w:t>no había</w:t>
      </w:r>
      <w:r w:rsidR="00D17C8E" w:rsidRPr="0010630E">
        <w:rPr>
          <w:rFonts w:ascii="Cambria" w:eastAsiaTheme="minorHAnsi" w:hAnsi="Cambria" w:cs="CIDFont+F1"/>
          <w:sz w:val="20"/>
          <w:szCs w:val="20"/>
          <w:lang w:val="es-CO"/>
        </w:rPr>
        <w:t>n</w:t>
      </w:r>
      <w:r w:rsidR="00EB0D98" w:rsidRPr="0010630E">
        <w:rPr>
          <w:rFonts w:ascii="Cambria" w:eastAsiaTheme="minorHAnsi" w:hAnsi="Cambria" w:cs="CIDFont+F1"/>
          <w:sz w:val="20"/>
          <w:szCs w:val="20"/>
          <w:lang w:val="es-CO"/>
        </w:rPr>
        <w:t xml:space="preserve"> sido efectivamente pagados</w:t>
      </w:r>
      <w:r w:rsidR="0084784E" w:rsidRPr="0010630E">
        <w:rPr>
          <w:rFonts w:ascii="Cambria" w:eastAsiaTheme="minorHAnsi" w:hAnsi="Cambria" w:cs="CIDFont+F1"/>
          <w:sz w:val="20"/>
          <w:szCs w:val="20"/>
          <w:lang w:val="es-CO"/>
        </w:rPr>
        <w:t xml:space="preserve"> </w:t>
      </w:r>
      <w:r w:rsidR="00EB0D98" w:rsidRPr="0010630E">
        <w:rPr>
          <w:rFonts w:ascii="Cambria" w:eastAsiaTheme="minorHAnsi" w:hAnsi="Cambria" w:cs="CIDFont+F1"/>
          <w:sz w:val="20"/>
          <w:szCs w:val="20"/>
          <w:lang w:val="es-CO"/>
        </w:rPr>
        <w:t xml:space="preserve">a las víctimas </w:t>
      </w:r>
      <w:r w:rsidR="00D17C8E" w:rsidRPr="0010630E">
        <w:rPr>
          <w:rFonts w:ascii="Cambria" w:eastAsiaTheme="minorHAnsi" w:hAnsi="Cambria" w:cs="CIDFont+F1"/>
          <w:sz w:val="20"/>
          <w:szCs w:val="20"/>
          <w:lang w:val="es-CO"/>
        </w:rPr>
        <w:t>ni</w:t>
      </w:r>
      <w:r w:rsidR="0084784E" w:rsidRPr="0010630E">
        <w:rPr>
          <w:rFonts w:ascii="Cambria" w:eastAsiaTheme="minorHAnsi" w:hAnsi="Cambria" w:cs="CIDFont+F1"/>
          <w:sz w:val="20"/>
          <w:szCs w:val="20"/>
          <w:lang w:val="es-CO"/>
        </w:rPr>
        <w:t xml:space="preserve"> se había ordenado su</w:t>
      </w:r>
      <w:r w:rsidR="00EB0D98" w:rsidRPr="0010630E">
        <w:rPr>
          <w:rFonts w:ascii="Cambria" w:eastAsiaTheme="minorHAnsi" w:hAnsi="Cambria" w:cs="CIDFont+F1"/>
          <w:sz w:val="20"/>
          <w:szCs w:val="20"/>
          <w:lang w:val="es-CO"/>
        </w:rPr>
        <w:t xml:space="preserve"> vinculación a programa</w:t>
      </w:r>
      <w:r w:rsidR="00D17C8E" w:rsidRPr="0010630E">
        <w:rPr>
          <w:rFonts w:ascii="Cambria" w:eastAsiaTheme="minorHAnsi" w:hAnsi="Cambria" w:cs="CIDFont+F1"/>
          <w:sz w:val="20"/>
          <w:szCs w:val="20"/>
          <w:lang w:val="es-CO"/>
        </w:rPr>
        <w:t>s</w:t>
      </w:r>
      <w:r w:rsidR="0084784E" w:rsidRPr="0010630E">
        <w:rPr>
          <w:rFonts w:ascii="Cambria" w:eastAsiaTheme="minorHAnsi" w:hAnsi="Cambria" w:cs="CIDFont+F1"/>
          <w:sz w:val="20"/>
          <w:szCs w:val="20"/>
          <w:lang w:val="es-CO"/>
        </w:rPr>
        <w:t xml:space="preserve"> de reparaciones</w:t>
      </w:r>
      <w:r w:rsidR="00EB0D98" w:rsidRPr="0010630E">
        <w:rPr>
          <w:rFonts w:ascii="Cambria" w:eastAsiaTheme="minorHAnsi" w:hAnsi="Cambria" w:cs="CIDFont+F1"/>
          <w:sz w:val="20"/>
          <w:szCs w:val="20"/>
          <w:lang w:val="es-CO"/>
        </w:rPr>
        <w:t xml:space="preserve">. </w:t>
      </w:r>
      <w:r w:rsidR="00D17C8E" w:rsidRPr="0010630E">
        <w:rPr>
          <w:rFonts w:ascii="Cambria" w:eastAsiaTheme="minorHAnsi" w:hAnsi="Cambria" w:cs="CIDFont+F1"/>
          <w:sz w:val="20"/>
          <w:szCs w:val="20"/>
          <w:lang w:val="es-CO"/>
        </w:rPr>
        <w:t>Además,</w:t>
      </w:r>
      <w:r w:rsidR="00673BD4" w:rsidRPr="0010630E">
        <w:rPr>
          <w:rFonts w:ascii="Cambria" w:eastAsiaTheme="minorHAnsi" w:hAnsi="Cambria" w:cs="CIDFont+F1"/>
          <w:sz w:val="20"/>
          <w:szCs w:val="20"/>
          <w:lang w:val="es-CO"/>
        </w:rPr>
        <w:t xml:space="preserve"> los peticionarios</w:t>
      </w:r>
      <w:r w:rsidR="00D17C8E" w:rsidRPr="0010630E">
        <w:rPr>
          <w:rFonts w:ascii="Cambria" w:eastAsiaTheme="minorHAnsi" w:hAnsi="Cambria" w:cs="CIDFont+F1"/>
          <w:sz w:val="20"/>
          <w:szCs w:val="20"/>
          <w:lang w:val="es-CO"/>
        </w:rPr>
        <w:t xml:space="preserve"> manifestaron que no habían</w:t>
      </w:r>
      <w:r w:rsidR="00EB0D98" w:rsidRPr="0010630E">
        <w:rPr>
          <w:rFonts w:ascii="Cambria" w:eastAsiaTheme="minorHAnsi" w:hAnsi="Cambria" w:cs="CIDFont+F1"/>
          <w:sz w:val="20"/>
          <w:szCs w:val="20"/>
          <w:lang w:val="es-CO"/>
        </w:rPr>
        <w:t xml:space="preserve"> sido constituidos como parte civil en las investigaciones correspondientes. </w:t>
      </w:r>
    </w:p>
    <w:p w14:paraId="1CAB5221" w14:textId="77777777" w:rsidR="0029246C" w:rsidRPr="0010630E" w:rsidRDefault="0029246C" w:rsidP="0029246C">
      <w:pPr>
        <w:pStyle w:val="ListParagraph"/>
        <w:rPr>
          <w:rFonts w:ascii="Cambria" w:hAnsi="Cambria" w:cs="Calibri Light"/>
          <w:sz w:val="20"/>
          <w:szCs w:val="20"/>
          <w:lang w:val="es-US"/>
        </w:rPr>
      </w:pPr>
    </w:p>
    <w:p w14:paraId="48A71E38" w14:textId="5B8D9289" w:rsidR="009D79D1" w:rsidRPr="0010630E" w:rsidRDefault="0029246C" w:rsidP="004956D7">
      <w:pPr>
        <w:pStyle w:val="ListParagraph"/>
        <w:numPr>
          <w:ilvl w:val="0"/>
          <w:numId w:val="14"/>
        </w:numPr>
        <w:tabs>
          <w:tab w:val="left" w:pos="0"/>
        </w:tabs>
        <w:autoSpaceDE w:val="0"/>
        <w:autoSpaceDN w:val="0"/>
        <w:adjustRightInd w:val="0"/>
        <w:spacing w:after="0" w:line="240" w:lineRule="auto"/>
        <w:ind w:left="0" w:firstLine="720"/>
        <w:jc w:val="both"/>
        <w:rPr>
          <w:rFonts w:ascii="Cambria" w:eastAsiaTheme="minorHAnsi" w:hAnsi="Cambria" w:cs="CIDFont+F1"/>
          <w:sz w:val="20"/>
          <w:szCs w:val="20"/>
          <w:lang w:val="es-CO"/>
        </w:rPr>
      </w:pPr>
      <w:r w:rsidRPr="0010630E">
        <w:rPr>
          <w:rFonts w:ascii="Cambria" w:hAnsi="Cambria" w:cs="Calibri Light"/>
          <w:sz w:val="20"/>
          <w:szCs w:val="20"/>
          <w:lang w:val="es-US"/>
        </w:rPr>
        <w:t xml:space="preserve">La Comisión valora positivamente el pago de las indemnizaciones a favor de </w:t>
      </w:r>
      <w:r w:rsidRPr="0010630E">
        <w:rPr>
          <w:rFonts w:ascii="Cambria" w:eastAsiaTheme="minorHAnsi" w:hAnsi="Cambria" w:cs="Cambria"/>
          <w:sz w:val="20"/>
          <w:szCs w:val="20"/>
          <w:lang w:val="es-CO"/>
        </w:rPr>
        <w:t xml:space="preserve">los familiares de </w:t>
      </w:r>
      <w:r w:rsidRPr="0010630E">
        <w:rPr>
          <w:rFonts w:ascii="Cambria" w:hAnsi="Cambria"/>
          <w:sz w:val="20"/>
          <w:szCs w:val="20"/>
          <w:lang w:val="es-CO"/>
        </w:rPr>
        <w:t>Ángel</w:t>
      </w:r>
      <w:r w:rsidRPr="0010630E">
        <w:rPr>
          <w:rFonts w:ascii="Cambria" w:eastAsiaTheme="minorHAnsi" w:hAnsi="Cambria" w:cs="Cambria"/>
          <w:sz w:val="20"/>
          <w:szCs w:val="20"/>
          <w:lang w:val="es-CO"/>
        </w:rPr>
        <w:t xml:space="preserve"> David Quintero</w:t>
      </w:r>
      <w:r w:rsidRPr="0010630E">
        <w:rPr>
          <w:rFonts w:ascii="Cambria" w:hAnsi="Cambria" w:cs="Calibri Light"/>
          <w:sz w:val="20"/>
          <w:szCs w:val="20"/>
          <w:lang w:val="es-US"/>
        </w:rPr>
        <w:t>, e insta al Estado a tomar las medidas necesarias para efectuar el pago a</w:t>
      </w:r>
      <w:r w:rsidR="004956D7" w:rsidRPr="0010630E">
        <w:rPr>
          <w:rFonts w:ascii="Cambria" w:hAnsi="Cambria" w:cs="Calibri Light"/>
          <w:sz w:val="20"/>
          <w:szCs w:val="20"/>
          <w:lang w:val="es-US"/>
        </w:rPr>
        <w:t xml:space="preserve"> favor de los familiares de</w:t>
      </w:r>
      <w:r w:rsidRPr="0010630E">
        <w:rPr>
          <w:rFonts w:ascii="Cambria" w:hAnsi="Cambria" w:cs="Calibri Light"/>
          <w:sz w:val="20"/>
          <w:szCs w:val="20"/>
          <w:lang w:val="es-US"/>
        </w:rPr>
        <w:t xml:space="preserve"> </w:t>
      </w:r>
      <w:r w:rsidR="004956D7" w:rsidRPr="0010630E">
        <w:rPr>
          <w:rFonts w:ascii="Cambria" w:eastAsiaTheme="minorHAnsi" w:hAnsi="Cambria" w:cs="Arial"/>
          <w:iCs/>
          <w:sz w:val="20"/>
          <w:szCs w:val="20"/>
          <w:lang w:val="es-CO"/>
        </w:rPr>
        <w:t xml:space="preserve">Alcides Torres Arias. </w:t>
      </w:r>
      <w:r w:rsidR="002F4A6F" w:rsidRPr="0010630E">
        <w:rPr>
          <w:rFonts w:ascii="Cambria" w:hAnsi="Cambria"/>
          <w:sz w:val="20"/>
          <w:szCs w:val="20"/>
          <w:lang w:val="es-CO"/>
        </w:rPr>
        <w:t>R</w:t>
      </w:r>
      <w:r w:rsidR="004E57BA" w:rsidRPr="0010630E">
        <w:rPr>
          <w:rFonts w:ascii="Cambria" w:hAnsi="Cambria"/>
          <w:sz w:val="20"/>
          <w:szCs w:val="20"/>
          <w:lang w:val="es-CO"/>
        </w:rPr>
        <w:t xml:space="preserve">especto de </w:t>
      </w:r>
      <w:r w:rsidR="00CE142B" w:rsidRPr="0010630E">
        <w:rPr>
          <w:rFonts w:ascii="Cambria" w:hAnsi="Cambria"/>
          <w:sz w:val="20"/>
          <w:szCs w:val="20"/>
          <w:lang w:val="es-CO"/>
        </w:rPr>
        <w:t xml:space="preserve">la vinculación de las víctimas </w:t>
      </w:r>
      <w:r w:rsidR="00CE142B" w:rsidRPr="0010630E">
        <w:rPr>
          <w:rFonts w:ascii="Cambria" w:eastAsiaTheme="minorHAnsi" w:hAnsi="Cambria" w:cs="Cambria"/>
          <w:sz w:val="20"/>
          <w:szCs w:val="20"/>
          <w:lang w:val="es-CO"/>
        </w:rPr>
        <w:t>a</w:t>
      </w:r>
      <w:r w:rsidR="009D79D1" w:rsidRPr="0010630E">
        <w:rPr>
          <w:rFonts w:ascii="Cambria" w:eastAsiaTheme="minorHAnsi" w:hAnsi="Cambria" w:cs="Cambria"/>
          <w:sz w:val="20"/>
          <w:szCs w:val="20"/>
          <w:lang w:val="es-CO"/>
        </w:rPr>
        <w:t>l Programa de Atención Psicosocial y Salud Integral</w:t>
      </w:r>
      <w:r w:rsidR="00CE142B" w:rsidRPr="0010630E">
        <w:rPr>
          <w:rFonts w:ascii="Cambria" w:eastAsiaTheme="minorHAnsi" w:hAnsi="Cambria" w:cs="Cambria"/>
          <w:sz w:val="20"/>
          <w:szCs w:val="20"/>
          <w:lang w:val="es-CO"/>
        </w:rPr>
        <w:t xml:space="preserve">, el Estado no </w:t>
      </w:r>
      <w:r w:rsidR="004956D7" w:rsidRPr="0010630E">
        <w:rPr>
          <w:rFonts w:ascii="Cambria" w:eastAsiaTheme="minorHAnsi" w:hAnsi="Cambria" w:cs="Cambria"/>
          <w:sz w:val="20"/>
          <w:szCs w:val="20"/>
          <w:lang w:val="es-CO"/>
        </w:rPr>
        <w:t>presentó</w:t>
      </w:r>
      <w:r w:rsidR="00CE142B" w:rsidRPr="0010630E">
        <w:rPr>
          <w:rFonts w:ascii="Cambria" w:eastAsiaTheme="minorHAnsi" w:hAnsi="Cambria" w:cs="Cambria"/>
          <w:sz w:val="20"/>
          <w:szCs w:val="20"/>
          <w:lang w:val="es-CO"/>
        </w:rPr>
        <w:t xml:space="preserve"> información </w:t>
      </w:r>
      <w:r w:rsidR="004956D7" w:rsidRPr="0010630E">
        <w:rPr>
          <w:rFonts w:ascii="Cambria" w:eastAsiaTheme="minorHAnsi" w:hAnsi="Cambria" w:cs="Cambria"/>
          <w:sz w:val="20"/>
          <w:szCs w:val="20"/>
          <w:lang w:val="es-CO"/>
        </w:rPr>
        <w:t xml:space="preserve">actualizada </w:t>
      </w:r>
      <w:r w:rsidR="00CE142B" w:rsidRPr="0010630E">
        <w:rPr>
          <w:rFonts w:ascii="Cambria" w:eastAsiaTheme="minorHAnsi" w:hAnsi="Cambria" w:cs="Cambria"/>
          <w:sz w:val="20"/>
          <w:szCs w:val="20"/>
          <w:lang w:val="es-CO"/>
        </w:rPr>
        <w:t xml:space="preserve">sobre las medidas específicas que se </w:t>
      </w:r>
      <w:r w:rsidR="00964DB4" w:rsidRPr="0010630E">
        <w:rPr>
          <w:rFonts w:ascii="Cambria" w:eastAsiaTheme="minorHAnsi" w:hAnsi="Cambria" w:cs="Cambria"/>
          <w:sz w:val="20"/>
          <w:szCs w:val="20"/>
          <w:lang w:val="es-CO"/>
        </w:rPr>
        <w:t>han</w:t>
      </w:r>
      <w:r w:rsidR="00CE142B" w:rsidRPr="0010630E">
        <w:rPr>
          <w:rFonts w:ascii="Cambria" w:eastAsiaTheme="minorHAnsi" w:hAnsi="Cambria" w:cs="Cambria"/>
          <w:sz w:val="20"/>
          <w:szCs w:val="20"/>
          <w:lang w:val="es-CO"/>
        </w:rPr>
        <w:t xml:space="preserve"> tomado al respecto</w:t>
      </w:r>
      <w:r w:rsidR="002F4A6F" w:rsidRPr="0010630E">
        <w:rPr>
          <w:rFonts w:ascii="Cambria" w:eastAsiaTheme="minorHAnsi" w:hAnsi="Cambria" w:cs="Cambria"/>
          <w:sz w:val="20"/>
          <w:szCs w:val="20"/>
          <w:lang w:val="es-CO"/>
        </w:rPr>
        <w:t xml:space="preserve">, por lo que </w:t>
      </w:r>
      <w:r w:rsidR="004956D7" w:rsidRPr="0010630E">
        <w:rPr>
          <w:rFonts w:ascii="Cambria" w:eastAsiaTheme="minorHAnsi" w:hAnsi="Cambria" w:cs="Cambria"/>
          <w:sz w:val="20"/>
          <w:szCs w:val="20"/>
          <w:lang w:val="es-CO"/>
        </w:rPr>
        <w:t xml:space="preserve">la CIDH </w:t>
      </w:r>
      <w:r w:rsidR="002F4A6F" w:rsidRPr="0010630E">
        <w:rPr>
          <w:rFonts w:ascii="Cambria" w:eastAsiaTheme="minorHAnsi" w:hAnsi="Cambria" w:cs="Cambria"/>
          <w:sz w:val="20"/>
          <w:szCs w:val="20"/>
          <w:lang w:val="es-CO"/>
        </w:rPr>
        <w:t xml:space="preserve">insta </w:t>
      </w:r>
      <w:r w:rsidR="00CE142B" w:rsidRPr="0010630E">
        <w:rPr>
          <w:rFonts w:ascii="Cambria" w:eastAsiaTheme="minorHAnsi" w:hAnsi="Cambria" w:cs="Cambria"/>
          <w:sz w:val="20"/>
          <w:szCs w:val="20"/>
          <w:lang w:val="es-CO"/>
        </w:rPr>
        <w:t xml:space="preserve">al Estado a informar </w:t>
      </w:r>
      <w:r w:rsidR="004956D7" w:rsidRPr="0010630E">
        <w:rPr>
          <w:rFonts w:ascii="Cambria" w:eastAsiaTheme="minorHAnsi" w:hAnsi="Cambria" w:cs="Cambria"/>
          <w:sz w:val="20"/>
          <w:szCs w:val="20"/>
          <w:lang w:val="es-CO"/>
        </w:rPr>
        <w:t xml:space="preserve">sobre la adopción de </w:t>
      </w:r>
      <w:r w:rsidR="00CE142B" w:rsidRPr="0010630E">
        <w:rPr>
          <w:rFonts w:ascii="Cambria" w:eastAsiaTheme="minorHAnsi" w:hAnsi="Cambria" w:cs="Cambria"/>
          <w:sz w:val="20"/>
          <w:szCs w:val="20"/>
          <w:lang w:val="es-CO"/>
        </w:rPr>
        <w:t xml:space="preserve">medidas </w:t>
      </w:r>
      <w:r w:rsidR="00964DB4" w:rsidRPr="0010630E">
        <w:rPr>
          <w:rFonts w:ascii="Cambria" w:eastAsiaTheme="minorHAnsi" w:hAnsi="Cambria" w:cs="Cambria"/>
          <w:sz w:val="20"/>
          <w:szCs w:val="20"/>
          <w:lang w:val="es-CO"/>
        </w:rPr>
        <w:lastRenderedPageBreak/>
        <w:t xml:space="preserve">concretas </w:t>
      </w:r>
      <w:r w:rsidR="00CE142B" w:rsidRPr="0010630E">
        <w:rPr>
          <w:rFonts w:ascii="Cambria" w:eastAsiaTheme="minorHAnsi" w:hAnsi="Cambria" w:cs="Cambria"/>
          <w:sz w:val="20"/>
          <w:szCs w:val="20"/>
          <w:lang w:val="es-CO"/>
        </w:rPr>
        <w:t>de reparación relacionadas con vivienda, educación y</w:t>
      </w:r>
      <w:r w:rsidR="004956D7" w:rsidRPr="0010630E">
        <w:rPr>
          <w:rFonts w:ascii="Cambria" w:eastAsiaTheme="minorHAnsi" w:hAnsi="Cambria" w:cs="Cambria"/>
          <w:sz w:val="20"/>
          <w:szCs w:val="20"/>
          <w:lang w:val="es-CO"/>
        </w:rPr>
        <w:t xml:space="preserve"> salud a favor de las víctimas</w:t>
      </w:r>
      <w:r w:rsidR="00CE142B" w:rsidRPr="0010630E">
        <w:rPr>
          <w:rFonts w:ascii="Cambria" w:eastAsiaTheme="minorHAnsi" w:hAnsi="Cambria" w:cs="Cambria"/>
          <w:sz w:val="20"/>
          <w:szCs w:val="20"/>
          <w:lang w:val="es-CO"/>
        </w:rPr>
        <w:t xml:space="preserve">. En </w:t>
      </w:r>
      <w:r w:rsidR="009D79D1" w:rsidRPr="0010630E">
        <w:rPr>
          <w:rFonts w:ascii="Cambria" w:eastAsiaTheme="minorHAnsi" w:hAnsi="Cambria" w:cs="Cambria"/>
          <w:sz w:val="20"/>
          <w:szCs w:val="20"/>
          <w:lang w:val="es-CO"/>
        </w:rPr>
        <w:t xml:space="preserve">virtud de lo anterior, la Comisión concluye que esta recomendación se encuentra cumplida parcialmente. </w:t>
      </w:r>
    </w:p>
    <w:p w14:paraId="705079C8" w14:textId="77777777" w:rsidR="00D70F1E" w:rsidRPr="0010630E" w:rsidRDefault="00D70F1E" w:rsidP="00E20A91">
      <w:pPr>
        <w:spacing w:after="0" w:line="240" w:lineRule="auto"/>
        <w:ind w:left="-90" w:firstLine="90"/>
        <w:rPr>
          <w:rFonts w:ascii="Cambria" w:hAnsi="Cambria"/>
          <w:sz w:val="20"/>
          <w:szCs w:val="20"/>
          <w:highlight w:val="yellow"/>
          <w:lang w:val="es-US"/>
        </w:rPr>
      </w:pPr>
    </w:p>
    <w:p w14:paraId="4759D5C0" w14:textId="314B0D5C" w:rsidR="00D7514B" w:rsidRPr="0010630E" w:rsidRDefault="00D7514B" w:rsidP="004956D7">
      <w:pPr>
        <w:pStyle w:val="ListParagraph"/>
        <w:numPr>
          <w:ilvl w:val="0"/>
          <w:numId w:val="1"/>
        </w:numPr>
        <w:tabs>
          <w:tab w:val="left" w:pos="0"/>
        </w:tabs>
        <w:spacing w:after="0" w:line="240" w:lineRule="auto"/>
        <w:ind w:left="1440"/>
        <w:jc w:val="both"/>
        <w:rPr>
          <w:rFonts w:ascii="Cambria" w:hAnsi="Cambria" w:cs="Calibri Light"/>
          <w:b/>
          <w:sz w:val="20"/>
          <w:szCs w:val="20"/>
          <w:lang w:val="es-US"/>
        </w:rPr>
      </w:pPr>
      <w:r w:rsidRPr="0010630E">
        <w:rPr>
          <w:rFonts w:ascii="Cambria" w:hAnsi="Cambria" w:cs="Calibri Light"/>
          <w:b/>
          <w:sz w:val="20"/>
          <w:szCs w:val="20"/>
          <w:lang w:val="es-US"/>
        </w:rPr>
        <w:t xml:space="preserve">Nivel del cumplimiento del caso </w:t>
      </w:r>
    </w:p>
    <w:p w14:paraId="7399DABD" w14:textId="592634E5" w:rsidR="00D7514B" w:rsidRPr="0010630E" w:rsidRDefault="00D7514B" w:rsidP="00306969">
      <w:pPr>
        <w:tabs>
          <w:tab w:val="left" w:pos="0"/>
        </w:tabs>
        <w:spacing w:after="0" w:line="240" w:lineRule="auto"/>
        <w:ind w:firstLine="720"/>
        <w:jc w:val="both"/>
        <w:rPr>
          <w:rFonts w:ascii="Cambria" w:hAnsi="Cambria" w:cs="Calibri Light"/>
          <w:sz w:val="20"/>
          <w:szCs w:val="20"/>
          <w:lang w:val="es-US"/>
        </w:rPr>
      </w:pPr>
    </w:p>
    <w:p w14:paraId="1E4C30B5" w14:textId="2A84C8CF" w:rsidR="00D7514B" w:rsidRPr="0010630E" w:rsidRDefault="00D7514B" w:rsidP="00306969">
      <w:pPr>
        <w:pStyle w:val="ListParagraph"/>
        <w:numPr>
          <w:ilvl w:val="0"/>
          <w:numId w:val="14"/>
        </w:numPr>
        <w:tabs>
          <w:tab w:val="left" w:pos="0"/>
        </w:tabs>
        <w:spacing w:after="0" w:line="240" w:lineRule="auto"/>
        <w:ind w:left="0" w:firstLine="720"/>
        <w:jc w:val="both"/>
        <w:rPr>
          <w:rFonts w:ascii="Cambria" w:hAnsi="Cambria" w:cs="Calibri Light"/>
          <w:sz w:val="20"/>
          <w:szCs w:val="20"/>
          <w:lang w:val="es-US"/>
        </w:rPr>
      </w:pPr>
      <w:r w:rsidRPr="0010630E">
        <w:rPr>
          <w:rFonts w:ascii="Cambria" w:hAnsi="Cambria" w:cs="Calibri Light"/>
          <w:sz w:val="20"/>
          <w:szCs w:val="20"/>
          <w:lang w:val="es-US"/>
        </w:rPr>
        <w:t xml:space="preserve">Por lo anterior, la Comisión concluye que el nivel de cumplimiento del caso es parcial. En consecuencia, la CIDH seguirá supervisando el cumplimiento las recomendaciones 1, 2 y 3. </w:t>
      </w:r>
    </w:p>
    <w:p w14:paraId="193197AA" w14:textId="77777777" w:rsidR="00AB7EAC" w:rsidRPr="0010630E" w:rsidRDefault="00AB7EAC" w:rsidP="00306969">
      <w:pPr>
        <w:tabs>
          <w:tab w:val="left" w:pos="0"/>
        </w:tabs>
        <w:spacing w:after="0" w:line="240" w:lineRule="auto"/>
        <w:ind w:firstLine="720"/>
        <w:jc w:val="both"/>
        <w:rPr>
          <w:rFonts w:ascii="Cambria" w:hAnsi="Cambria"/>
          <w:sz w:val="20"/>
          <w:szCs w:val="20"/>
          <w:lang w:val="es-ES"/>
        </w:rPr>
      </w:pPr>
    </w:p>
    <w:p w14:paraId="1D776724" w14:textId="02C13589" w:rsidR="00AB7EAC" w:rsidRPr="0010630E" w:rsidRDefault="00AB7EAC" w:rsidP="004956D7">
      <w:pPr>
        <w:pStyle w:val="ListParagraph"/>
        <w:numPr>
          <w:ilvl w:val="0"/>
          <w:numId w:val="1"/>
        </w:numPr>
        <w:tabs>
          <w:tab w:val="left" w:pos="0"/>
        </w:tabs>
        <w:spacing w:after="0" w:line="240" w:lineRule="auto"/>
        <w:ind w:left="1440"/>
        <w:jc w:val="both"/>
        <w:rPr>
          <w:rFonts w:ascii="Cambria" w:hAnsi="Cambria" w:cs="Calibri Light"/>
          <w:b/>
          <w:sz w:val="20"/>
          <w:szCs w:val="20"/>
          <w:lang w:val="es-US"/>
        </w:rPr>
      </w:pPr>
      <w:r w:rsidRPr="0010630E">
        <w:rPr>
          <w:rFonts w:ascii="Cambria" w:hAnsi="Cambria" w:cs="Calibri Light"/>
          <w:b/>
          <w:sz w:val="20"/>
          <w:szCs w:val="20"/>
          <w:lang w:val="es-US"/>
        </w:rPr>
        <w:t xml:space="preserve">Resultados individuales y estructurales del caso </w:t>
      </w:r>
    </w:p>
    <w:p w14:paraId="57A9960F" w14:textId="77777777" w:rsidR="00AB7EAC" w:rsidRPr="0010630E" w:rsidRDefault="00AB7EAC" w:rsidP="00AB7EAC">
      <w:pPr>
        <w:spacing w:after="0" w:line="240" w:lineRule="auto"/>
        <w:jc w:val="both"/>
        <w:rPr>
          <w:rFonts w:ascii="Cambria" w:hAnsi="Cambria" w:cs="Calibri Light"/>
          <w:sz w:val="20"/>
          <w:szCs w:val="20"/>
          <w:lang w:val="es-US"/>
        </w:rPr>
      </w:pPr>
    </w:p>
    <w:p w14:paraId="2E1178EE" w14:textId="105A8393" w:rsidR="00C334C8" w:rsidRPr="0010630E" w:rsidRDefault="00AB7EAC" w:rsidP="00306969">
      <w:pPr>
        <w:pStyle w:val="ListParagraph"/>
        <w:numPr>
          <w:ilvl w:val="0"/>
          <w:numId w:val="14"/>
        </w:numPr>
        <w:spacing w:after="0" w:line="240" w:lineRule="auto"/>
        <w:ind w:left="0" w:firstLine="720"/>
        <w:jc w:val="both"/>
        <w:rPr>
          <w:rFonts w:ascii="Cambria" w:hAnsi="Cambria" w:cs="Calibri Light"/>
          <w:sz w:val="20"/>
          <w:szCs w:val="20"/>
          <w:lang w:val="es-US"/>
        </w:rPr>
      </w:pPr>
      <w:r w:rsidRPr="0010630E">
        <w:rPr>
          <w:rFonts w:ascii="Cambria" w:hAnsi="Cambria" w:cs="Calibri Light"/>
          <w:sz w:val="20"/>
          <w:szCs w:val="20"/>
          <w:lang w:val="es-US"/>
        </w:rPr>
        <w:t>En esta sección se destaca</w:t>
      </w:r>
      <w:r w:rsidR="00516955">
        <w:rPr>
          <w:rFonts w:ascii="Cambria" w:hAnsi="Cambria" w:cs="Calibri Light"/>
          <w:sz w:val="20"/>
          <w:szCs w:val="20"/>
          <w:lang w:val="es-US"/>
        </w:rPr>
        <w:t>n</w:t>
      </w:r>
      <w:r w:rsidRPr="0010630E">
        <w:rPr>
          <w:rFonts w:ascii="Cambria" w:hAnsi="Cambria" w:cs="Calibri Light"/>
          <w:sz w:val="20"/>
          <w:szCs w:val="20"/>
          <w:lang w:val="es-US"/>
        </w:rPr>
        <w:t xml:space="preserve"> los resultados individuales y estructurales del caso informados por las partes</w:t>
      </w:r>
      <w:r w:rsidR="00C334C8" w:rsidRPr="0010630E">
        <w:rPr>
          <w:rFonts w:ascii="Cambria" w:hAnsi="Cambria" w:cs="Calibri Light"/>
          <w:sz w:val="20"/>
          <w:szCs w:val="20"/>
          <w:lang w:val="es-US"/>
        </w:rPr>
        <w:t xml:space="preserve">. </w:t>
      </w:r>
    </w:p>
    <w:p w14:paraId="6F5912EE" w14:textId="77777777" w:rsidR="00C334C8" w:rsidRPr="0010630E" w:rsidRDefault="00C334C8" w:rsidP="00C334C8">
      <w:pPr>
        <w:spacing w:after="0" w:line="240" w:lineRule="auto"/>
        <w:ind w:left="720"/>
        <w:jc w:val="both"/>
        <w:rPr>
          <w:rFonts w:ascii="Cambria" w:hAnsi="Cambria" w:cs="Calibri Light"/>
          <w:sz w:val="20"/>
          <w:szCs w:val="20"/>
          <w:lang w:val="es-US"/>
        </w:rPr>
      </w:pPr>
    </w:p>
    <w:p w14:paraId="473837CF" w14:textId="77777777" w:rsidR="00C334C8" w:rsidRPr="0010630E" w:rsidRDefault="00C334C8" w:rsidP="004956D7">
      <w:pPr>
        <w:pStyle w:val="ListParagraph"/>
        <w:numPr>
          <w:ilvl w:val="0"/>
          <w:numId w:val="3"/>
        </w:numPr>
        <w:spacing w:after="0" w:line="240" w:lineRule="auto"/>
        <w:ind w:left="1440" w:hanging="720"/>
        <w:jc w:val="both"/>
        <w:rPr>
          <w:rFonts w:ascii="Cambria" w:hAnsi="Cambria" w:cs="Calibri Light"/>
          <w:b/>
          <w:sz w:val="20"/>
          <w:szCs w:val="20"/>
          <w:lang w:val="es-US"/>
        </w:rPr>
      </w:pPr>
      <w:r w:rsidRPr="0010630E">
        <w:rPr>
          <w:rFonts w:ascii="Cambria" w:hAnsi="Cambria" w:cs="Calibri Light"/>
          <w:b/>
          <w:sz w:val="20"/>
          <w:szCs w:val="20"/>
          <w:lang w:val="es-US"/>
        </w:rPr>
        <w:t>Resultados individuales del caso</w:t>
      </w:r>
    </w:p>
    <w:p w14:paraId="4982C7F0" w14:textId="465B0D13" w:rsidR="00AB7EAC" w:rsidRPr="0010630E" w:rsidRDefault="000F4935" w:rsidP="000F4935">
      <w:pPr>
        <w:tabs>
          <w:tab w:val="left" w:pos="1440"/>
        </w:tabs>
        <w:spacing w:after="0" w:line="240" w:lineRule="auto"/>
        <w:jc w:val="both"/>
        <w:rPr>
          <w:rFonts w:ascii="Cambria" w:hAnsi="Cambria" w:cs="Calibri Light"/>
          <w:sz w:val="20"/>
          <w:szCs w:val="20"/>
          <w:lang w:val="es-US"/>
        </w:rPr>
      </w:pPr>
      <w:r w:rsidRPr="0010630E">
        <w:rPr>
          <w:rFonts w:ascii="Cambria" w:hAnsi="Cambria" w:cs="Calibri Light"/>
          <w:sz w:val="20"/>
          <w:szCs w:val="20"/>
          <w:lang w:val="es-US"/>
        </w:rPr>
        <w:tab/>
      </w:r>
    </w:p>
    <w:p w14:paraId="4C1AD4D1" w14:textId="77777777" w:rsidR="000F4935" w:rsidRPr="0010630E" w:rsidRDefault="000F4935" w:rsidP="00AD5A7F">
      <w:pPr>
        <w:spacing w:after="0" w:line="240" w:lineRule="auto"/>
        <w:jc w:val="both"/>
        <w:rPr>
          <w:rFonts w:ascii="Cambria" w:hAnsi="Cambria"/>
          <w:i/>
          <w:sz w:val="20"/>
          <w:szCs w:val="20"/>
          <w:lang w:val="es-US"/>
        </w:rPr>
      </w:pPr>
      <w:r w:rsidRPr="0010630E">
        <w:rPr>
          <w:rFonts w:ascii="Cambria" w:hAnsi="Cambria"/>
          <w:i/>
          <w:sz w:val="20"/>
          <w:szCs w:val="20"/>
          <w:lang w:val="es-US"/>
        </w:rPr>
        <w:t>Medidas en materia de verdad y justicia</w:t>
      </w:r>
    </w:p>
    <w:p w14:paraId="784B7D43" w14:textId="6E96E4DF" w:rsidR="000F4935" w:rsidRPr="0010630E" w:rsidRDefault="00E96A82" w:rsidP="00AD5A7F">
      <w:pPr>
        <w:pStyle w:val="ListParagraph"/>
        <w:numPr>
          <w:ilvl w:val="0"/>
          <w:numId w:val="13"/>
        </w:numPr>
        <w:tabs>
          <w:tab w:val="left" w:pos="1440"/>
        </w:tabs>
        <w:spacing w:after="0" w:line="240" w:lineRule="auto"/>
        <w:jc w:val="both"/>
        <w:rPr>
          <w:rFonts w:ascii="Cambria" w:hAnsi="Cambria" w:cs="Calibri Light"/>
          <w:sz w:val="20"/>
          <w:szCs w:val="20"/>
          <w:lang w:val="es-US"/>
        </w:rPr>
      </w:pPr>
      <w:r w:rsidRPr="0010630E">
        <w:rPr>
          <w:rFonts w:ascii="Cambria" w:hAnsi="Cambria" w:cs="Calibri Light"/>
          <w:sz w:val="20"/>
          <w:szCs w:val="20"/>
          <w:lang w:val="es-US"/>
        </w:rPr>
        <w:t>S</w:t>
      </w:r>
      <w:r w:rsidR="000F4935" w:rsidRPr="0010630E">
        <w:rPr>
          <w:rFonts w:ascii="Cambria" w:hAnsi="Cambria" w:cs="Calibri Light"/>
          <w:sz w:val="20"/>
          <w:szCs w:val="20"/>
          <w:lang w:val="es-US"/>
        </w:rPr>
        <w:t xml:space="preserve">eis sentencias condenatorias </w:t>
      </w:r>
      <w:r w:rsidRPr="0010630E">
        <w:rPr>
          <w:rFonts w:ascii="Cambria" w:hAnsi="Cambria" w:cs="Calibri Light"/>
          <w:sz w:val="20"/>
          <w:szCs w:val="20"/>
          <w:lang w:val="es-US"/>
        </w:rPr>
        <w:t xml:space="preserve">proferidas </w:t>
      </w:r>
      <w:r w:rsidR="000F4935" w:rsidRPr="0010630E">
        <w:rPr>
          <w:rFonts w:ascii="Cambria" w:hAnsi="Cambria" w:cs="Calibri Light"/>
          <w:sz w:val="20"/>
          <w:szCs w:val="20"/>
          <w:lang w:val="es-US"/>
        </w:rPr>
        <w:t>en contra de miembros de grupos paramilitares y de la fuerza pública.</w:t>
      </w:r>
    </w:p>
    <w:p w14:paraId="4468B82A" w14:textId="77777777" w:rsidR="000F4935" w:rsidRPr="0010630E" w:rsidRDefault="000F4935" w:rsidP="00AD5A7F">
      <w:pPr>
        <w:tabs>
          <w:tab w:val="left" w:pos="1440"/>
        </w:tabs>
        <w:spacing w:after="0" w:line="240" w:lineRule="auto"/>
        <w:jc w:val="both"/>
        <w:rPr>
          <w:rFonts w:ascii="Cambria" w:hAnsi="Cambria" w:cs="Calibri Light"/>
          <w:sz w:val="20"/>
          <w:szCs w:val="20"/>
          <w:lang w:val="es-US"/>
        </w:rPr>
      </w:pPr>
    </w:p>
    <w:p w14:paraId="3FA3D89D" w14:textId="1EAF6357" w:rsidR="00AB7EAC" w:rsidRPr="0010630E" w:rsidRDefault="00AB7EAC" w:rsidP="00AD5A7F">
      <w:pPr>
        <w:spacing w:after="0" w:line="240" w:lineRule="auto"/>
        <w:jc w:val="both"/>
        <w:rPr>
          <w:rFonts w:ascii="Cambria" w:hAnsi="Cambria" w:cs="Calibri Light"/>
          <w:sz w:val="20"/>
          <w:szCs w:val="20"/>
          <w:lang w:val="es-US"/>
        </w:rPr>
      </w:pPr>
      <w:r w:rsidRPr="0010630E">
        <w:rPr>
          <w:rFonts w:ascii="Cambria" w:hAnsi="Cambria" w:cs="Calibri Light"/>
          <w:i/>
          <w:sz w:val="20"/>
          <w:szCs w:val="20"/>
          <w:lang w:val="es-US"/>
        </w:rPr>
        <w:t xml:space="preserve">Medidas de compensación pecuniaria </w:t>
      </w:r>
    </w:p>
    <w:p w14:paraId="1ED4EC29" w14:textId="60C2CC66" w:rsidR="004956D7" w:rsidRPr="0010630E" w:rsidRDefault="004956D7" w:rsidP="004956D7">
      <w:pPr>
        <w:pStyle w:val="ListParagraph"/>
        <w:numPr>
          <w:ilvl w:val="0"/>
          <w:numId w:val="12"/>
        </w:numPr>
        <w:spacing w:after="0" w:line="240" w:lineRule="auto"/>
        <w:jc w:val="both"/>
        <w:rPr>
          <w:rFonts w:ascii="Cambria" w:hAnsi="Cambria" w:cs="Calibri Light"/>
          <w:sz w:val="20"/>
          <w:szCs w:val="20"/>
          <w:lang w:val="es-US"/>
        </w:rPr>
      </w:pPr>
      <w:r w:rsidRPr="0010630E">
        <w:rPr>
          <w:rFonts w:ascii="Cambria" w:hAnsi="Cambria" w:cs="Calibri Light"/>
          <w:sz w:val="20"/>
          <w:szCs w:val="20"/>
          <w:lang w:val="es-US"/>
        </w:rPr>
        <w:t>Indemnizació</w:t>
      </w:r>
      <w:r w:rsidR="005F7B42" w:rsidRPr="0010630E">
        <w:rPr>
          <w:rFonts w:ascii="Cambria" w:hAnsi="Cambria" w:cs="Calibri Light"/>
          <w:sz w:val="20"/>
          <w:szCs w:val="20"/>
          <w:lang w:val="es-US"/>
        </w:rPr>
        <w:t>n pagada mediante Resolución Nº</w:t>
      </w:r>
      <w:r w:rsidRPr="0010630E">
        <w:rPr>
          <w:rFonts w:ascii="Cambria" w:hAnsi="Cambria" w:cs="Calibri Light"/>
          <w:sz w:val="20"/>
          <w:szCs w:val="20"/>
          <w:lang w:val="es-US"/>
        </w:rPr>
        <w:t xml:space="preserve"> 3852 de 19 de junio de 2012 de la Dirección de Asuntos Legales del Ministerio de Defensa Nacional a favor de los familiares de Ángel David Quintero.</w:t>
      </w:r>
    </w:p>
    <w:p w14:paraId="2439F4ED" w14:textId="535C7FA6" w:rsidR="004956D7" w:rsidRPr="0010630E" w:rsidRDefault="004956D7" w:rsidP="004956D7">
      <w:pPr>
        <w:pStyle w:val="ListParagraph"/>
        <w:spacing w:after="0" w:line="240" w:lineRule="auto"/>
        <w:jc w:val="both"/>
        <w:rPr>
          <w:rFonts w:ascii="Cambria" w:hAnsi="Cambria" w:cs="Calibri Light"/>
          <w:sz w:val="20"/>
          <w:szCs w:val="20"/>
          <w:lang w:val="es-US"/>
        </w:rPr>
      </w:pPr>
    </w:p>
    <w:p w14:paraId="1F78797F" w14:textId="2E2EE924" w:rsidR="00AD5A7F" w:rsidRPr="0010630E" w:rsidRDefault="00AD5A7F" w:rsidP="004956D7">
      <w:pPr>
        <w:spacing w:after="0" w:line="240" w:lineRule="auto"/>
        <w:jc w:val="both"/>
        <w:rPr>
          <w:rFonts w:ascii="Cambria" w:hAnsi="Cambria" w:cs="Calibri Light"/>
          <w:i/>
          <w:sz w:val="20"/>
          <w:szCs w:val="20"/>
          <w:lang w:val="es-US"/>
        </w:rPr>
      </w:pPr>
      <w:r w:rsidRPr="0010630E">
        <w:rPr>
          <w:rFonts w:ascii="Cambria" w:hAnsi="Cambria" w:cs="Calibri Light"/>
          <w:i/>
          <w:sz w:val="20"/>
          <w:szCs w:val="20"/>
          <w:lang w:val="es-US"/>
        </w:rPr>
        <w:t>Medidas de satisfacción</w:t>
      </w:r>
    </w:p>
    <w:p w14:paraId="2A40BC11" w14:textId="6094B6B4" w:rsidR="0018032A" w:rsidRPr="0010630E" w:rsidRDefault="0018032A" w:rsidP="00AD5A7F">
      <w:pPr>
        <w:pStyle w:val="ListParagraph"/>
        <w:numPr>
          <w:ilvl w:val="0"/>
          <w:numId w:val="12"/>
        </w:numPr>
        <w:spacing w:after="0" w:line="240" w:lineRule="auto"/>
        <w:jc w:val="both"/>
        <w:rPr>
          <w:rFonts w:ascii="Cambria" w:hAnsi="Cambria" w:cs="Calibri Light"/>
          <w:sz w:val="20"/>
          <w:szCs w:val="20"/>
          <w:lang w:val="es-US"/>
        </w:rPr>
      </w:pPr>
      <w:r w:rsidRPr="0010630E">
        <w:rPr>
          <w:rFonts w:ascii="Cambria" w:hAnsi="Cambria" w:cs="Calibri Light"/>
          <w:sz w:val="20"/>
          <w:szCs w:val="20"/>
          <w:lang w:val="es-US"/>
        </w:rPr>
        <w:t>Acto de reconocimiento de responsabilidad realizado el 27 de noviembre de 2015 en Medellín, Colombia</w:t>
      </w:r>
      <w:r w:rsidR="006346BD" w:rsidRPr="0010630E">
        <w:rPr>
          <w:rFonts w:ascii="Cambria" w:hAnsi="Cambria" w:cs="Calibri Light"/>
          <w:sz w:val="20"/>
          <w:szCs w:val="20"/>
          <w:lang w:val="es-US"/>
        </w:rPr>
        <w:t>, con los familiares de Ángel David Quintero</w:t>
      </w:r>
      <w:r w:rsidRPr="0010630E">
        <w:rPr>
          <w:rFonts w:ascii="Cambria" w:hAnsi="Cambria" w:cs="Calibri Light"/>
          <w:sz w:val="20"/>
          <w:szCs w:val="20"/>
          <w:lang w:val="es-US"/>
        </w:rPr>
        <w:t xml:space="preserve">. </w:t>
      </w:r>
    </w:p>
    <w:p w14:paraId="7E9A803A" w14:textId="4431F859" w:rsidR="0018032A" w:rsidRPr="0010630E" w:rsidRDefault="0018032A" w:rsidP="00AD5A7F">
      <w:pPr>
        <w:pStyle w:val="ListParagraph"/>
        <w:numPr>
          <w:ilvl w:val="0"/>
          <w:numId w:val="12"/>
        </w:numPr>
        <w:spacing w:after="0" w:line="240" w:lineRule="auto"/>
        <w:jc w:val="both"/>
        <w:rPr>
          <w:rFonts w:ascii="Cambria" w:hAnsi="Cambria" w:cs="Calibri Light"/>
          <w:sz w:val="20"/>
          <w:szCs w:val="20"/>
          <w:lang w:val="es-US"/>
        </w:rPr>
      </w:pPr>
      <w:r w:rsidRPr="0010630E">
        <w:rPr>
          <w:rFonts w:ascii="Cambria" w:hAnsi="Cambria" w:cs="Calibri Light"/>
          <w:sz w:val="20"/>
          <w:szCs w:val="20"/>
          <w:lang w:val="es-US"/>
        </w:rPr>
        <w:t>Acto de reconocimiento de responsabilidad realizado el 19 de febrero de 2016 en Calgary, Canadá</w:t>
      </w:r>
      <w:r w:rsidR="006346BD" w:rsidRPr="0010630E">
        <w:rPr>
          <w:rFonts w:ascii="Cambria" w:hAnsi="Cambria" w:cs="Calibri Light"/>
          <w:sz w:val="20"/>
          <w:szCs w:val="20"/>
          <w:lang w:val="es-US"/>
        </w:rPr>
        <w:t>, con los familiares de Alcides Torres Arias</w:t>
      </w:r>
      <w:r w:rsidRPr="0010630E">
        <w:rPr>
          <w:rFonts w:ascii="Cambria" w:hAnsi="Cambria" w:cs="Calibri Light"/>
          <w:sz w:val="20"/>
          <w:szCs w:val="20"/>
          <w:lang w:val="es-US"/>
        </w:rPr>
        <w:t xml:space="preserve">. </w:t>
      </w:r>
    </w:p>
    <w:p w14:paraId="26101467" w14:textId="182AD07F" w:rsidR="00AD5A7F" w:rsidRPr="0010630E" w:rsidRDefault="00A875F4" w:rsidP="002F4A6F">
      <w:pPr>
        <w:pStyle w:val="ListParagraph"/>
        <w:numPr>
          <w:ilvl w:val="0"/>
          <w:numId w:val="12"/>
        </w:numPr>
        <w:spacing w:after="0" w:line="240" w:lineRule="auto"/>
        <w:jc w:val="both"/>
        <w:rPr>
          <w:rFonts w:ascii="Cambria" w:hAnsi="Cambria" w:cs="Calibri Light"/>
          <w:sz w:val="20"/>
          <w:szCs w:val="20"/>
          <w:lang w:val="es-US"/>
        </w:rPr>
      </w:pPr>
      <w:r w:rsidRPr="0010630E">
        <w:rPr>
          <w:rFonts w:ascii="Cambria" w:hAnsi="Cambria" w:cs="Calibri Light"/>
          <w:sz w:val="20"/>
          <w:szCs w:val="20"/>
          <w:lang w:val="es-US"/>
        </w:rPr>
        <w:t>P</w:t>
      </w:r>
      <w:r w:rsidR="00AD5A7F" w:rsidRPr="0010630E">
        <w:rPr>
          <w:rFonts w:ascii="Cambria" w:hAnsi="Cambria" w:cs="Calibri Light"/>
          <w:sz w:val="20"/>
          <w:szCs w:val="20"/>
          <w:lang w:val="es-US"/>
        </w:rPr>
        <w:t>lacas conmemorativas</w:t>
      </w:r>
      <w:r w:rsidRPr="0010630E">
        <w:rPr>
          <w:rFonts w:ascii="Cambria" w:hAnsi="Cambria" w:cs="Calibri Light"/>
          <w:sz w:val="20"/>
          <w:szCs w:val="20"/>
          <w:lang w:val="es-US"/>
        </w:rPr>
        <w:t xml:space="preserve"> entregadas a los familiares de las víctimas e</w:t>
      </w:r>
      <w:r w:rsidR="0018032A" w:rsidRPr="0010630E">
        <w:rPr>
          <w:rFonts w:ascii="Cambria" w:hAnsi="Cambria" w:cs="Calibri Light"/>
          <w:sz w:val="20"/>
          <w:szCs w:val="20"/>
          <w:lang w:val="es-US"/>
        </w:rPr>
        <w:t>n ambos actos de reconocimiento</w:t>
      </w:r>
      <w:r w:rsidR="00AD5A7F" w:rsidRPr="0010630E">
        <w:rPr>
          <w:rFonts w:ascii="Cambria" w:hAnsi="Cambria" w:cs="Calibri Light"/>
          <w:sz w:val="20"/>
          <w:szCs w:val="20"/>
          <w:lang w:val="es-US"/>
        </w:rPr>
        <w:t>.</w:t>
      </w:r>
      <w:r w:rsidRPr="0010630E">
        <w:rPr>
          <w:rFonts w:ascii="Cambria" w:hAnsi="Cambria" w:cs="Calibri Light"/>
          <w:sz w:val="20"/>
          <w:szCs w:val="20"/>
          <w:lang w:val="es-US"/>
        </w:rPr>
        <w:t xml:space="preserve"> El texto y diseño de las placas fue concertado con los familiares y sus representantes. </w:t>
      </w:r>
    </w:p>
    <w:p w14:paraId="5606CE85" w14:textId="02FFDFFF" w:rsidR="00C334C8" w:rsidRPr="0010630E" w:rsidRDefault="00C334C8" w:rsidP="00AD5A7F">
      <w:pPr>
        <w:spacing w:after="0" w:line="240" w:lineRule="auto"/>
        <w:jc w:val="both"/>
        <w:rPr>
          <w:rFonts w:ascii="Cambria" w:hAnsi="Cambria" w:cs="Calibri Light"/>
          <w:sz w:val="20"/>
          <w:szCs w:val="20"/>
          <w:lang w:val="es-US"/>
        </w:rPr>
      </w:pPr>
    </w:p>
    <w:p w14:paraId="5E2D9B15" w14:textId="487DCF00" w:rsidR="00C334C8" w:rsidRPr="0010630E" w:rsidRDefault="00C334C8" w:rsidP="002D1BBE">
      <w:pPr>
        <w:pStyle w:val="ListParagraph"/>
        <w:numPr>
          <w:ilvl w:val="0"/>
          <w:numId w:val="3"/>
        </w:numPr>
        <w:spacing w:after="0" w:line="240" w:lineRule="auto"/>
        <w:ind w:left="1440" w:hanging="720"/>
        <w:jc w:val="both"/>
        <w:rPr>
          <w:rFonts w:ascii="Cambria" w:hAnsi="Cambria" w:cs="Calibri Light"/>
          <w:b/>
          <w:sz w:val="20"/>
          <w:szCs w:val="20"/>
          <w:lang w:val="es-US"/>
        </w:rPr>
      </w:pPr>
      <w:r w:rsidRPr="0010630E">
        <w:rPr>
          <w:rFonts w:ascii="Cambria" w:hAnsi="Cambria" w:cs="Calibri Light"/>
          <w:b/>
          <w:sz w:val="20"/>
          <w:szCs w:val="20"/>
          <w:lang w:val="es-US"/>
        </w:rPr>
        <w:t>Resultados estructurales del caso</w:t>
      </w:r>
    </w:p>
    <w:p w14:paraId="2A868591" w14:textId="77777777" w:rsidR="00AD5A7F" w:rsidRPr="0010630E" w:rsidRDefault="00AD5A7F" w:rsidP="00AD5A7F">
      <w:pPr>
        <w:spacing w:after="0" w:line="240" w:lineRule="auto"/>
        <w:jc w:val="both"/>
        <w:rPr>
          <w:rFonts w:ascii="Cambria" w:hAnsi="Cambria"/>
          <w:i/>
          <w:sz w:val="20"/>
          <w:szCs w:val="20"/>
          <w:lang w:val="es-US"/>
        </w:rPr>
      </w:pPr>
    </w:p>
    <w:p w14:paraId="6FE11A32" w14:textId="2DBF0BDF" w:rsidR="00AD5A7F" w:rsidRPr="0010630E" w:rsidRDefault="00AD5A7F" w:rsidP="00AD5A7F">
      <w:pPr>
        <w:spacing w:after="0" w:line="240" w:lineRule="auto"/>
        <w:jc w:val="both"/>
        <w:rPr>
          <w:rFonts w:ascii="Cambria" w:hAnsi="Cambria"/>
          <w:sz w:val="20"/>
          <w:szCs w:val="20"/>
          <w:lang w:val="es-US"/>
        </w:rPr>
      </w:pPr>
      <w:r w:rsidRPr="0010630E">
        <w:rPr>
          <w:rFonts w:ascii="Cambria" w:hAnsi="Cambria"/>
          <w:i/>
          <w:sz w:val="20"/>
          <w:szCs w:val="20"/>
          <w:lang w:val="es-US"/>
        </w:rPr>
        <w:t>Fortalecimiento institucional</w:t>
      </w:r>
      <w:r w:rsidRPr="0010630E">
        <w:rPr>
          <w:rFonts w:ascii="Cambria" w:hAnsi="Cambria"/>
          <w:sz w:val="20"/>
          <w:szCs w:val="20"/>
          <w:lang w:val="es-US"/>
        </w:rPr>
        <w:t xml:space="preserve"> </w:t>
      </w:r>
    </w:p>
    <w:p w14:paraId="4B0D03C9" w14:textId="77777777" w:rsidR="001D3B44" w:rsidRDefault="001D3B44" w:rsidP="001D3B44">
      <w:pPr>
        <w:numPr>
          <w:ilvl w:val="0"/>
          <w:numId w:val="15"/>
        </w:numPr>
        <w:spacing w:after="0" w:line="240" w:lineRule="auto"/>
        <w:contextualSpacing/>
        <w:jc w:val="both"/>
        <w:rPr>
          <w:rFonts w:ascii="Cambria" w:hAnsi="Cambria"/>
          <w:sz w:val="20"/>
          <w:szCs w:val="20"/>
          <w:lang w:val="es-ES_tradnl"/>
        </w:rPr>
      </w:pPr>
      <w:r>
        <w:rPr>
          <w:rFonts w:ascii="Cambria" w:hAnsi="Cambria"/>
          <w:sz w:val="20"/>
          <w:szCs w:val="20"/>
          <w:lang w:val="es-ES_tradnl"/>
        </w:rPr>
        <w:t>Acciones adoptadas en el marco de la “Política Integral de Derechos Humanos y Derecho Internacional Humanitario” del Ministerio de Defensa Nacional que se viene implementando desde el año 2008, y que fue actualizada en el año 2018 y articulada con la “Estrategia Nacional de Garantías de los Derechos Humanos 2014-2034”. Dichas acciones incluyen: la realización de capacitaciones constantes a las unidades militares sobre el sistema interamericano de derechos humanos y las obligaciones que tiene el Estado frente al mismo; la realización de seminarios y diplomados en derechos humanos y DIH; la publicación de cartillas e impresiones sobre DIH y otros aspectos relacionados a los derechos humanos; pistas de derechos humanos y DIH para la capacitación de unidades militares; y, la implementación de buenas prácticas operacionales.</w:t>
      </w:r>
    </w:p>
    <w:p w14:paraId="6E70208A" w14:textId="2C284C3C" w:rsidR="0046473F" w:rsidRPr="0010630E" w:rsidRDefault="0046473F" w:rsidP="0046473F">
      <w:pPr>
        <w:pStyle w:val="ListParagraph"/>
        <w:numPr>
          <w:ilvl w:val="0"/>
          <w:numId w:val="15"/>
        </w:numPr>
        <w:spacing w:after="0" w:line="240" w:lineRule="auto"/>
        <w:jc w:val="both"/>
        <w:rPr>
          <w:rFonts w:ascii="Cambria" w:hAnsi="Cambria"/>
          <w:sz w:val="20"/>
          <w:szCs w:val="20"/>
          <w:lang w:val="es-US"/>
        </w:rPr>
      </w:pPr>
      <w:r w:rsidRPr="0010630E">
        <w:rPr>
          <w:rFonts w:ascii="Cambria" w:hAnsi="Cambria"/>
          <w:sz w:val="20"/>
          <w:szCs w:val="20"/>
          <w:lang w:val="es-US"/>
        </w:rPr>
        <w:t xml:space="preserve">Establecimiento de directrices sobe los procesos de búsqueda, exhumación, identificación y entrega de personas desparecidas de la Fiscalía General de la Nación, mediante Resolución Nº 3481 del 31 de octubre de 2016.  </w:t>
      </w:r>
    </w:p>
    <w:p w14:paraId="219940E7" w14:textId="77777777" w:rsidR="00AD5A7F" w:rsidRPr="0010630E" w:rsidRDefault="00AD5A7F" w:rsidP="00AD5A7F">
      <w:pPr>
        <w:spacing w:after="0" w:line="240" w:lineRule="auto"/>
        <w:jc w:val="both"/>
        <w:rPr>
          <w:rFonts w:ascii="Cambria" w:hAnsi="Cambria"/>
          <w:sz w:val="20"/>
          <w:szCs w:val="20"/>
          <w:lang w:val="es-US"/>
        </w:rPr>
      </w:pPr>
    </w:p>
    <w:p w14:paraId="302FD6B9" w14:textId="25589C32" w:rsidR="00A874F3" w:rsidRPr="0010630E" w:rsidRDefault="00DE0661">
      <w:pPr>
        <w:rPr>
          <w:rFonts w:ascii="Cambria" w:hAnsi="Cambria"/>
          <w:sz w:val="20"/>
          <w:szCs w:val="20"/>
          <w:lang w:val="es-ES"/>
        </w:rPr>
      </w:pPr>
    </w:p>
    <w:sectPr w:rsidR="00A874F3" w:rsidRPr="0010630E" w:rsidSect="000D7146">
      <w:headerReference w:type="default" r:id="rId10"/>
      <w:footerReference w:type="default" r:id="rId11"/>
      <w:headerReference w:type="first" r:id="rId12"/>
      <w:pgSz w:w="12240" w:h="15840"/>
      <w:pgMar w:top="1440" w:right="1440" w:bottom="900" w:left="1440" w:header="2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EF6D1" w14:textId="77777777" w:rsidR="00157F61" w:rsidRDefault="00157F61" w:rsidP="00C14908">
      <w:pPr>
        <w:spacing w:after="0" w:line="240" w:lineRule="auto"/>
      </w:pPr>
      <w:r>
        <w:separator/>
      </w:r>
    </w:p>
  </w:endnote>
  <w:endnote w:type="continuationSeparator" w:id="0">
    <w:p w14:paraId="667E6D49" w14:textId="77777777" w:rsidR="00157F61" w:rsidRDefault="00157F61" w:rsidP="00C1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55676"/>
      <w:docPartObj>
        <w:docPartGallery w:val="Page Numbers (Bottom of Page)"/>
        <w:docPartUnique/>
      </w:docPartObj>
    </w:sdtPr>
    <w:sdtEndPr>
      <w:rPr>
        <w:noProof/>
        <w:sz w:val="16"/>
        <w:szCs w:val="16"/>
      </w:rPr>
    </w:sdtEndPr>
    <w:sdtContent>
      <w:p w14:paraId="48F95C8D" w14:textId="7910AE86" w:rsidR="00AF13D1" w:rsidRPr="00AF13D1" w:rsidRDefault="00AF13D1" w:rsidP="00AF13D1">
        <w:pPr>
          <w:pStyle w:val="Footer"/>
          <w:spacing w:after="0" w:line="240" w:lineRule="auto"/>
          <w:jc w:val="center"/>
          <w:rPr>
            <w:sz w:val="16"/>
            <w:szCs w:val="16"/>
          </w:rPr>
        </w:pPr>
        <w:r w:rsidRPr="00AF13D1">
          <w:rPr>
            <w:sz w:val="16"/>
            <w:szCs w:val="16"/>
          </w:rPr>
          <w:fldChar w:fldCharType="begin"/>
        </w:r>
        <w:r w:rsidRPr="00AF13D1">
          <w:rPr>
            <w:sz w:val="16"/>
            <w:szCs w:val="16"/>
          </w:rPr>
          <w:instrText xml:space="preserve"> PAGE   \* MERGEFORMAT </w:instrText>
        </w:r>
        <w:r w:rsidRPr="00AF13D1">
          <w:rPr>
            <w:sz w:val="16"/>
            <w:szCs w:val="16"/>
          </w:rPr>
          <w:fldChar w:fldCharType="separate"/>
        </w:r>
        <w:r w:rsidR="00DE0661">
          <w:rPr>
            <w:noProof/>
            <w:sz w:val="16"/>
            <w:szCs w:val="16"/>
          </w:rPr>
          <w:t>3</w:t>
        </w:r>
        <w:r w:rsidRPr="00AF13D1">
          <w:rPr>
            <w:noProof/>
            <w:sz w:val="16"/>
            <w:szCs w:val="16"/>
          </w:rPr>
          <w:fldChar w:fldCharType="end"/>
        </w:r>
      </w:p>
    </w:sdtContent>
  </w:sdt>
  <w:p w14:paraId="1C0871BA" w14:textId="60ABB14E" w:rsidR="008D6198" w:rsidRDefault="00DE0661" w:rsidP="008D61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4C826" w14:textId="77777777" w:rsidR="00157F61" w:rsidRDefault="00157F61" w:rsidP="00C14908">
      <w:pPr>
        <w:spacing w:after="0" w:line="240" w:lineRule="auto"/>
      </w:pPr>
      <w:r>
        <w:separator/>
      </w:r>
    </w:p>
  </w:footnote>
  <w:footnote w:type="continuationSeparator" w:id="0">
    <w:p w14:paraId="755C050C" w14:textId="77777777" w:rsidR="00157F61" w:rsidRDefault="00157F61" w:rsidP="00C14908">
      <w:pPr>
        <w:spacing w:after="0" w:line="240" w:lineRule="auto"/>
      </w:pPr>
      <w:r>
        <w:continuationSeparator/>
      </w:r>
    </w:p>
  </w:footnote>
  <w:footnote w:id="1">
    <w:p w14:paraId="05499842" w14:textId="210151D8" w:rsidR="000D7146" w:rsidRPr="00F241F5" w:rsidRDefault="000D7146" w:rsidP="00B06D12">
      <w:pPr>
        <w:pStyle w:val="FootnoteText"/>
        <w:spacing w:after="120"/>
        <w:ind w:firstLine="720"/>
        <w:jc w:val="both"/>
        <w:rPr>
          <w:rFonts w:ascii="Cambria" w:hAnsi="Cambria"/>
          <w:sz w:val="16"/>
          <w:szCs w:val="16"/>
          <w:lang w:val="es-ES"/>
        </w:rPr>
      </w:pPr>
      <w:r w:rsidRPr="00F241F5">
        <w:rPr>
          <w:rStyle w:val="FootnoteReference"/>
          <w:rFonts w:ascii="Cambria" w:hAnsi="Cambria"/>
          <w:sz w:val="16"/>
          <w:szCs w:val="16"/>
        </w:rPr>
        <w:footnoteRef/>
      </w:r>
      <w:r w:rsidRPr="00F241F5">
        <w:rPr>
          <w:rFonts w:ascii="Cambria" w:hAnsi="Cambria"/>
          <w:sz w:val="16"/>
          <w:szCs w:val="16"/>
          <w:lang w:val="es-ES"/>
        </w:rPr>
        <w:t xml:space="preserve"> CIDH, </w:t>
      </w:r>
      <w:hyperlink r:id="rId1" w:history="1">
        <w:r w:rsidRPr="00F241F5">
          <w:rPr>
            <w:rStyle w:val="Hyperlink"/>
            <w:rFonts w:ascii="Cambria" w:hAnsi="Cambria"/>
            <w:color w:val="auto"/>
            <w:sz w:val="16"/>
            <w:szCs w:val="16"/>
            <w:lang w:val="es-ES"/>
          </w:rPr>
          <w:t xml:space="preserve">Caso 12.414, Informe Nº </w:t>
        </w:r>
        <w:r w:rsidR="00A62579" w:rsidRPr="00F241F5">
          <w:rPr>
            <w:rStyle w:val="Hyperlink"/>
            <w:rFonts w:ascii="Cambria" w:hAnsi="Cambria"/>
            <w:color w:val="auto"/>
            <w:sz w:val="16"/>
            <w:szCs w:val="16"/>
            <w:lang w:val="es-ES"/>
          </w:rPr>
          <w:t>43</w:t>
        </w:r>
        <w:r w:rsidRPr="00F241F5">
          <w:rPr>
            <w:rStyle w:val="Hyperlink"/>
            <w:rFonts w:ascii="Cambria" w:hAnsi="Cambria"/>
            <w:color w:val="auto"/>
            <w:sz w:val="16"/>
            <w:szCs w:val="16"/>
            <w:lang w:val="es-ES"/>
          </w:rPr>
          <w:t>/17, Alcides Torres Arias, Ángel David Quintero y otros (Colombia)</w:t>
        </w:r>
      </w:hyperlink>
      <w:r w:rsidRPr="00F241F5">
        <w:rPr>
          <w:rFonts w:ascii="Cambria" w:hAnsi="Cambria"/>
          <w:sz w:val="16"/>
          <w:szCs w:val="16"/>
          <w:lang w:val="es-ES"/>
        </w:rPr>
        <w:t xml:space="preserve">, párr. 192. </w:t>
      </w:r>
    </w:p>
  </w:footnote>
  <w:footnote w:id="2">
    <w:p w14:paraId="3D30D9B7" w14:textId="4AADA036" w:rsidR="000D7146" w:rsidRPr="00A62579" w:rsidRDefault="000D7146" w:rsidP="00B06D12">
      <w:pPr>
        <w:pStyle w:val="FootnoteText"/>
        <w:spacing w:after="120"/>
        <w:ind w:firstLine="720"/>
        <w:jc w:val="both"/>
        <w:rPr>
          <w:rFonts w:ascii="Cambria" w:hAnsi="Cambria"/>
          <w:sz w:val="16"/>
          <w:szCs w:val="16"/>
          <w:lang w:val="es-ES"/>
        </w:rPr>
      </w:pPr>
      <w:r w:rsidRPr="00F241F5">
        <w:rPr>
          <w:rStyle w:val="FootnoteReference"/>
          <w:rFonts w:ascii="Cambria" w:hAnsi="Cambria"/>
          <w:sz w:val="16"/>
          <w:szCs w:val="16"/>
        </w:rPr>
        <w:footnoteRef/>
      </w:r>
      <w:r w:rsidRPr="00F241F5">
        <w:rPr>
          <w:rFonts w:ascii="Cambria" w:hAnsi="Cambria"/>
          <w:sz w:val="16"/>
          <w:szCs w:val="16"/>
          <w:lang w:val="es-ES"/>
        </w:rPr>
        <w:t xml:space="preserve"> CIDH, </w:t>
      </w:r>
      <w:hyperlink r:id="rId2" w:history="1">
        <w:r w:rsidRPr="00F241F5">
          <w:rPr>
            <w:rStyle w:val="Hyperlink"/>
            <w:rFonts w:ascii="Cambria" w:hAnsi="Cambria"/>
            <w:color w:val="auto"/>
            <w:sz w:val="16"/>
            <w:szCs w:val="16"/>
            <w:lang w:val="es-ES"/>
          </w:rPr>
          <w:t xml:space="preserve">Caso 12.414, Informe Nº </w:t>
        </w:r>
        <w:r w:rsidR="00A62579" w:rsidRPr="00F241F5">
          <w:rPr>
            <w:rStyle w:val="Hyperlink"/>
            <w:rFonts w:ascii="Cambria" w:hAnsi="Cambria"/>
            <w:color w:val="auto"/>
            <w:sz w:val="16"/>
            <w:szCs w:val="16"/>
            <w:lang w:val="es-ES"/>
          </w:rPr>
          <w:t>43</w:t>
        </w:r>
        <w:r w:rsidRPr="00F241F5">
          <w:rPr>
            <w:rStyle w:val="Hyperlink"/>
            <w:rFonts w:ascii="Cambria" w:hAnsi="Cambria"/>
            <w:color w:val="auto"/>
            <w:sz w:val="16"/>
            <w:szCs w:val="16"/>
            <w:lang w:val="es-ES"/>
          </w:rPr>
          <w:t>/17, Alcides Torres Arias, Ángel David Quintero y otros (Colombia)</w:t>
        </w:r>
      </w:hyperlink>
      <w:r w:rsidRPr="00F241F5">
        <w:rPr>
          <w:rFonts w:ascii="Cambria" w:hAnsi="Cambria"/>
          <w:sz w:val="16"/>
          <w:szCs w:val="16"/>
          <w:lang w:val="es-ES"/>
        </w:rPr>
        <w:t>, párr. 193.</w:t>
      </w:r>
    </w:p>
  </w:footnote>
  <w:footnote w:id="3">
    <w:p w14:paraId="3AFFD495" w14:textId="01E8222B" w:rsidR="00F0659F" w:rsidRPr="00F241F5" w:rsidRDefault="00F0659F" w:rsidP="0010630E">
      <w:pPr>
        <w:pStyle w:val="FootnoteText"/>
        <w:spacing w:after="120"/>
        <w:ind w:firstLine="720"/>
        <w:jc w:val="both"/>
        <w:rPr>
          <w:rFonts w:ascii="Cambria" w:hAnsi="Cambria"/>
          <w:sz w:val="16"/>
          <w:szCs w:val="16"/>
          <w:lang w:val="es-ES"/>
        </w:rPr>
      </w:pPr>
      <w:r w:rsidRPr="00F241F5">
        <w:rPr>
          <w:rStyle w:val="FootnoteReference"/>
          <w:rFonts w:ascii="Cambria" w:hAnsi="Cambria"/>
          <w:sz w:val="16"/>
          <w:szCs w:val="16"/>
        </w:rPr>
        <w:footnoteRef/>
      </w:r>
      <w:r w:rsidRPr="00F241F5">
        <w:rPr>
          <w:rFonts w:ascii="Cambria" w:hAnsi="Cambria"/>
          <w:sz w:val="16"/>
          <w:szCs w:val="16"/>
          <w:lang w:val="es-ES"/>
        </w:rPr>
        <w:t xml:space="preserve"> CIDH, </w:t>
      </w:r>
      <w:hyperlink r:id="rId3" w:history="1">
        <w:r w:rsidRPr="00F241F5">
          <w:rPr>
            <w:rStyle w:val="Hyperlink"/>
            <w:rFonts w:ascii="Cambria" w:hAnsi="Cambria"/>
            <w:color w:val="auto"/>
            <w:sz w:val="16"/>
            <w:szCs w:val="16"/>
            <w:lang w:val="es-ES"/>
          </w:rPr>
          <w:t>Caso 12.414, Informe Nº 101/17, Alcides Torres Arias, Ángel David Quintero y otros (Colombia)</w:t>
        </w:r>
      </w:hyperlink>
      <w:r w:rsidRPr="00F241F5">
        <w:rPr>
          <w:rFonts w:ascii="Cambria" w:hAnsi="Cambria"/>
          <w:sz w:val="16"/>
          <w:szCs w:val="16"/>
          <w:lang w:val="es-ES"/>
        </w:rPr>
        <w:t xml:space="preserve">, párr. 191. </w:t>
      </w:r>
    </w:p>
  </w:footnote>
  <w:footnote w:id="4">
    <w:p w14:paraId="7913DA6A" w14:textId="41738A56" w:rsidR="00892E6C" w:rsidRPr="00F241F5" w:rsidRDefault="00892E6C" w:rsidP="0010630E">
      <w:pPr>
        <w:pStyle w:val="FootnoteText"/>
        <w:spacing w:after="120"/>
        <w:ind w:firstLine="720"/>
        <w:jc w:val="both"/>
        <w:rPr>
          <w:rFonts w:ascii="Cambria" w:hAnsi="Cambria"/>
          <w:sz w:val="16"/>
          <w:szCs w:val="16"/>
          <w:lang w:val="es-ES"/>
        </w:rPr>
      </w:pPr>
      <w:r w:rsidRPr="00F241F5">
        <w:rPr>
          <w:rStyle w:val="FootnoteReference"/>
          <w:rFonts w:ascii="Cambria" w:hAnsi="Cambria"/>
          <w:sz w:val="16"/>
          <w:szCs w:val="16"/>
        </w:rPr>
        <w:footnoteRef/>
      </w:r>
      <w:r w:rsidRPr="00F241F5">
        <w:rPr>
          <w:rFonts w:ascii="Cambria" w:hAnsi="Cambria"/>
          <w:sz w:val="16"/>
          <w:szCs w:val="16"/>
          <w:lang w:val="es-ES"/>
        </w:rPr>
        <w:t xml:space="preserve"> CIDH, </w:t>
      </w:r>
      <w:hyperlink r:id="rId4" w:history="1">
        <w:r w:rsidRPr="00F241F5">
          <w:rPr>
            <w:rStyle w:val="Hyperlink"/>
            <w:rFonts w:ascii="Cambria" w:hAnsi="Cambria"/>
            <w:color w:val="auto"/>
            <w:sz w:val="16"/>
            <w:szCs w:val="16"/>
            <w:lang w:val="es-ES"/>
          </w:rPr>
          <w:t>Caso 12.414, Informe Nº 101/17, Alcides Torres Arias, Ángel David Quintero y otros (Colombia)</w:t>
        </w:r>
      </w:hyperlink>
      <w:r w:rsidRPr="00F241F5">
        <w:rPr>
          <w:rFonts w:ascii="Cambria" w:hAnsi="Cambria"/>
          <w:sz w:val="16"/>
          <w:szCs w:val="16"/>
          <w:lang w:val="es-ES"/>
        </w:rPr>
        <w:t>, párr. 193.</w:t>
      </w:r>
    </w:p>
  </w:footnote>
  <w:footnote w:id="5">
    <w:p w14:paraId="515DCB11" w14:textId="088EE05C" w:rsidR="001130CA" w:rsidRPr="001130CA" w:rsidRDefault="001130CA" w:rsidP="0010630E">
      <w:pPr>
        <w:pStyle w:val="FootnoteText"/>
        <w:spacing w:after="120"/>
        <w:ind w:firstLine="720"/>
        <w:jc w:val="both"/>
        <w:rPr>
          <w:rFonts w:ascii="Cambria" w:hAnsi="Cambria"/>
          <w:sz w:val="16"/>
          <w:szCs w:val="16"/>
          <w:lang w:val="es-ES"/>
        </w:rPr>
      </w:pPr>
      <w:r w:rsidRPr="00F241F5">
        <w:rPr>
          <w:rStyle w:val="FootnoteReference"/>
          <w:rFonts w:ascii="Cambria" w:hAnsi="Cambria"/>
          <w:sz w:val="16"/>
          <w:szCs w:val="16"/>
        </w:rPr>
        <w:footnoteRef/>
      </w:r>
      <w:r w:rsidRPr="00F241F5">
        <w:rPr>
          <w:rFonts w:ascii="Cambria" w:hAnsi="Cambria"/>
          <w:sz w:val="16"/>
          <w:szCs w:val="16"/>
          <w:lang w:val="es-ES"/>
        </w:rPr>
        <w:t xml:space="preserve"> CIDH, </w:t>
      </w:r>
      <w:hyperlink r:id="rId5" w:history="1">
        <w:r w:rsidRPr="00F241F5">
          <w:rPr>
            <w:rStyle w:val="Hyperlink"/>
            <w:rFonts w:ascii="Cambria" w:hAnsi="Cambria"/>
            <w:color w:val="auto"/>
            <w:sz w:val="16"/>
            <w:szCs w:val="16"/>
            <w:lang w:val="es-ES"/>
          </w:rPr>
          <w:t>Caso 12.414, Informe Nº 101/17, Alcides Torres Arias, Ángel David Quintero y otros (Colombia)</w:t>
        </w:r>
      </w:hyperlink>
      <w:r w:rsidRPr="00F241F5">
        <w:rPr>
          <w:rFonts w:ascii="Cambria" w:hAnsi="Cambria"/>
          <w:sz w:val="16"/>
          <w:szCs w:val="16"/>
          <w:lang w:val="es-ES"/>
        </w:rPr>
        <w:t>, párr. 192.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1F0A1" w14:textId="77777777" w:rsidR="009F3E17" w:rsidRDefault="009F3E17" w:rsidP="009F3E17">
    <w:pPr>
      <w:pStyle w:val="Header"/>
      <w:spacing w:after="0" w:line="240" w:lineRule="auto"/>
      <w:jc w:val="center"/>
      <w:rPr>
        <w:noProof/>
        <w:lang w:val="en-US"/>
      </w:rPr>
    </w:pPr>
  </w:p>
  <w:p w14:paraId="38EB4598" w14:textId="52AF9272" w:rsidR="009F3E17" w:rsidRDefault="009F3E17" w:rsidP="009F3E17">
    <w:pPr>
      <w:pStyle w:val="Header"/>
      <w:spacing w:after="0" w:line="240" w:lineRule="auto"/>
      <w:jc w:val="center"/>
      <w:rPr>
        <w:noProof/>
        <w:lang w:val="en-US"/>
      </w:rPr>
    </w:pPr>
    <w:r>
      <w:rPr>
        <w:noProof/>
        <w:lang w:val="es-US" w:eastAsia="es-US"/>
      </w:rPr>
      <w:drawing>
        <wp:anchor distT="0" distB="0" distL="114300" distR="114300" simplePos="0" relativeHeight="251665408" behindDoc="1" locked="0" layoutInCell="1" allowOverlap="1" wp14:anchorId="0744E063" wp14:editId="06E32282">
          <wp:simplePos x="0" y="0"/>
          <wp:positionH relativeFrom="column">
            <wp:posOffset>1819910</wp:posOffset>
          </wp:positionH>
          <wp:positionV relativeFrom="paragraph">
            <wp:posOffset>54610</wp:posOffset>
          </wp:positionV>
          <wp:extent cx="2296795" cy="116840"/>
          <wp:effectExtent l="0" t="0" r="8255" b="0"/>
          <wp:wrapTight wrapText="bothSides">
            <wp:wrapPolygon edited="0">
              <wp:start x="0" y="0"/>
              <wp:lineTo x="0" y="17609"/>
              <wp:lineTo x="21498" y="17609"/>
              <wp:lineTo x="21498" y="0"/>
              <wp:lineTo x="0" y="0"/>
            </wp:wrapPolygon>
          </wp:wrapTight>
          <wp:docPr id="7" name="Picture 7"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9AD90" w14:textId="77777777" w:rsidR="009F3E17" w:rsidRDefault="00DE0661" w:rsidP="009F3E17">
    <w:pPr>
      <w:pStyle w:val="Header"/>
      <w:spacing w:after="0" w:line="240" w:lineRule="auto"/>
    </w:pPr>
    <w:r>
      <w:pict w14:anchorId="7860E983">
        <v:rect id="_x0000_i1025" style="width:0;height:1.5pt" o:hralign="center" o:hrstd="t" o:hr="t" fillcolor="#a0a0a0" stroked="f"/>
      </w:pict>
    </w:r>
  </w:p>
  <w:p w14:paraId="206B9015" w14:textId="2B937703" w:rsidR="008D6198" w:rsidRDefault="009F3E17" w:rsidP="009F3E17">
    <w:pPr>
      <w:pStyle w:val="Header"/>
      <w:spacing w:after="0" w:line="240" w:lineRule="auto"/>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81C7B" w14:textId="77777777" w:rsidR="000D7146" w:rsidRDefault="000D7146" w:rsidP="000D7146">
    <w:pPr>
      <w:pStyle w:val="Header"/>
      <w:spacing w:after="0" w:line="240" w:lineRule="auto"/>
    </w:pPr>
  </w:p>
  <w:p w14:paraId="59A05D6B" w14:textId="5E63EF6A" w:rsidR="000D7146" w:rsidRDefault="000D7146" w:rsidP="009F3E17">
    <w:pPr>
      <w:pStyle w:val="Header"/>
    </w:pPr>
    <w:r>
      <w:rPr>
        <w:noProof/>
        <w:lang w:val="es-US" w:eastAsia="es-US"/>
      </w:rPr>
      <w:drawing>
        <wp:anchor distT="0" distB="0" distL="114300" distR="114300" simplePos="0" relativeHeight="251663360" behindDoc="1" locked="0" layoutInCell="1" allowOverlap="1" wp14:anchorId="694AA2AB" wp14:editId="6F4F6EC8">
          <wp:simplePos x="0" y="0"/>
          <wp:positionH relativeFrom="column">
            <wp:posOffset>-57150</wp:posOffset>
          </wp:positionH>
          <wp:positionV relativeFrom="paragraph">
            <wp:posOffset>0</wp:posOffset>
          </wp:positionV>
          <wp:extent cx="1752600" cy="387350"/>
          <wp:effectExtent l="0" t="0" r="0" b="0"/>
          <wp:wrapThrough wrapText="bothSides">
            <wp:wrapPolygon edited="0">
              <wp:start x="0" y="0"/>
              <wp:lineTo x="0" y="20184"/>
              <wp:lineTo x="21365" y="20184"/>
              <wp:lineTo x="21365" y="0"/>
              <wp:lineTo x="0" y="0"/>
            </wp:wrapPolygon>
          </wp:wrapThrough>
          <wp:docPr id="5" name="Picture 5"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S" w:eastAsia="es-US"/>
      </w:rPr>
      <w:drawing>
        <wp:anchor distT="0" distB="0" distL="114300" distR="114300" simplePos="0" relativeHeight="251662336" behindDoc="1" locked="0" layoutInCell="1" allowOverlap="1" wp14:anchorId="5559E7BD" wp14:editId="751C2BE0">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6" name="Picture 6"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82DE1" w14:textId="782CC9E7" w:rsidR="000D7146" w:rsidRDefault="00DE0661" w:rsidP="000D7146">
    <w:pPr>
      <w:pStyle w:val="Header"/>
    </w:pPr>
    <w:r>
      <w:pict w14:anchorId="3B817591">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4725"/>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B4033"/>
    <w:multiLevelType w:val="hybridMultilevel"/>
    <w:tmpl w:val="3AF8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16B7A"/>
    <w:multiLevelType w:val="hybridMultilevel"/>
    <w:tmpl w:val="9DDC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313FA"/>
    <w:multiLevelType w:val="hybridMultilevel"/>
    <w:tmpl w:val="08BE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C3E11"/>
    <w:multiLevelType w:val="hybridMultilevel"/>
    <w:tmpl w:val="A2DECEF8"/>
    <w:lvl w:ilvl="0" w:tplc="9DF42598">
      <w:start w:val="1"/>
      <w:numFmt w:val="decimal"/>
      <w:lvlText w:val="%1."/>
      <w:lvlJc w:val="left"/>
      <w:pPr>
        <w:ind w:left="900" w:hanging="360"/>
      </w:pPr>
      <w:rPr>
        <w:rFonts w:asciiTheme="minorHAnsi" w:hAnsiTheme="minorHAnsi" w:hint="default"/>
        <w:sz w:val="20"/>
        <w:szCs w:val="2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 w15:restartNumberingAfterBreak="0">
    <w:nsid w:val="21DE01C1"/>
    <w:multiLevelType w:val="hybridMultilevel"/>
    <w:tmpl w:val="E1DE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286982"/>
    <w:multiLevelType w:val="hybridMultilevel"/>
    <w:tmpl w:val="FE60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B3ABA"/>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46362"/>
    <w:multiLevelType w:val="hybridMultilevel"/>
    <w:tmpl w:val="D17A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828DF"/>
    <w:multiLevelType w:val="hybridMultilevel"/>
    <w:tmpl w:val="6DFE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F4F61"/>
    <w:multiLevelType w:val="hybridMultilevel"/>
    <w:tmpl w:val="2F681FEC"/>
    <w:lvl w:ilvl="0" w:tplc="247CF87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51FAA"/>
    <w:multiLevelType w:val="hybridMultilevel"/>
    <w:tmpl w:val="36A4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D23DB"/>
    <w:multiLevelType w:val="hybridMultilevel"/>
    <w:tmpl w:val="DF64B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B7C6B"/>
    <w:multiLevelType w:val="hybridMultilevel"/>
    <w:tmpl w:val="2D266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13"/>
  </w:num>
  <w:num w:numId="7">
    <w:abstractNumId w:val="8"/>
  </w:num>
  <w:num w:numId="8">
    <w:abstractNumId w:val="1"/>
  </w:num>
  <w:num w:numId="9">
    <w:abstractNumId w:val="12"/>
  </w:num>
  <w:num w:numId="10">
    <w:abstractNumId w:val="0"/>
  </w:num>
  <w:num w:numId="11">
    <w:abstractNumId w:val="6"/>
  </w:num>
  <w:num w:numId="12">
    <w:abstractNumId w:val="2"/>
  </w:num>
  <w:num w:numId="13">
    <w:abstractNumId w:val="3"/>
  </w:num>
  <w:num w:numId="14">
    <w:abstractNumId w:val="11"/>
  </w:num>
  <w:num w:numId="15">
    <w:abstractNumId w:val="10"/>
  </w:num>
  <w:num w:numId="16">
    <w:abstractNumId w:val="9"/>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US" w:vendorID="64" w:dllVersion="131078" w:nlCheck="1" w:checkStyle="1"/>
  <w:activeWritingStyle w:appName="MSWord" w:lang="es-CO" w:vendorID="64" w:dllVersion="131078" w:nlCheck="1" w:checkStyle="1"/>
  <w:activeWritingStyle w:appName="MSWord" w:lang="es-VE"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4710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908"/>
    <w:rsid w:val="00010965"/>
    <w:rsid w:val="00013FD1"/>
    <w:rsid w:val="00021038"/>
    <w:rsid w:val="0005578C"/>
    <w:rsid w:val="0006130B"/>
    <w:rsid w:val="000615C9"/>
    <w:rsid w:val="00073656"/>
    <w:rsid w:val="000A417C"/>
    <w:rsid w:val="000B3F0A"/>
    <w:rsid w:val="000B441C"/>
    <w:rsid w:val="000C1B99"/>
    <w:rsid w:val="000C30B2"/>
    <w:rsid w:val="000D0FA8"/>
    <w:rsid w:val="000D7146"/>
    <w:rsid w:val="000E7DA0"/>
    <w:rsid w:val="000F4935"/>
    <w:rsid w:val="0010630E"/>
    <w:rsid w:val="001130CA"/>
    <w:rsid w:val="00121688"/>
    <w:rsid w:val="0012444E"/>
    <w:rsid w:val="00135506"/>
    <w:rsid w:val="00141841"/>
    <w:rsid w:val="00145B40"/>
    <w:rsid w:val="00157F61"/>
    <w:rsid w:val="00170068"/>
    <w:rsid w:val="0018032A"/>
    <w:rsid w:val="00181B9F"/>
    <w:rsid w:val="00190214"/>
    <w:rsid w:val="001C102E"/>
    <w:rsid w:val="001D3B44"/>
    <w:rsid w:val="001E6A76"/>
    <w:rsid w:val="001F3FEF"/>
    <w:rsid w:val="00210BFF"/>
    <w:rsid w:val="0021565C"/>
    <w:rsid w:val="00231E14"/>
    <w:rsid w:val="00247AB9"/>
    <w:rsid w:val="002809B2"/>
    <w:rsid w:val="0028511C"/>
    <w:rsid w:val="0028795E"/>
    <w:rsid w:val="0029246C"/>
    <w:rsid w:val="002D1BBE"/>
    <w:rsid w:val="002F4A6F"/>
    <w:rsid w:val="00301D87"/>
    <w:rsid w:val="00306969"/>
    <w:rsid w:val="0031135D"/>
    <w:rsid w:val="0035297B"/>
    <w:rsid w:val="00366649"/>
    <w:rsid w:val="003918BE"/>
    <w:rsid w:val="003974EA"/>
    <w:rsid w:val="003A5D58"/>
    <w:rsid w:val="003C786D"/>
    <w:rsid w:val="003D1EB1"/>
    <w:rsid w:val="003E1336"/>
    <w:rsid w:val="00406835"/>
    <w:rsid w:val="004069CA"/>
    <w:rsid w:val="00455699"/>
    <w:rsid w:val="0046473F"/>
    <w:rsid w:val="00467ACC"/>
    <w:rsid w:val="004956D7"/>
    <w:rsid w:val="004B2776"/>
    <w:rsid w:val="004E57BA"/>
    <w:rsid w:val="004E6AD3"/>
    <w:rsid w:val="005078C3"/>
    <w:rsid w:val="00516955"/>
    <w:rsid w:val="00557C34"/>
    <w:rsid w:val="00565436"/>
    <w:rsid w:val="00572B4B"/>
    <w:rsid w:val="005B19D7"/>
    <w:rsid w:val="005E266C"/>
    <w:rsid w:val="005F2BA8"/>
    <w:rsid w:val="005F7B42"/>
    <w:rsid w:val="00601F17"/>
    <w:rsid w:val="006346BD"/>
    <w:rsid w:val="006620E0"/>
    <w:rsid w:val="00663140"/>
    <w:rsid w:val="00673BD4"/>
    <w:rsid w:val="006814DD"/>
    <w:rsid w:val="006A0B91"/>
    <w:rsid w:val="006B3323"/>
    <w:rsid w:val="006B7664"/>
    <w:rsid w:val="006F5118"/>
    <w:rsid w:val="00712B8C"/>
    <w:rsid w:val="007173D1"/>
    <w:rsid w:val="00717402"/>
    <w:rsid w:val="007241A8"/>
    <w:rsid w:val="00746090"/>
    <w:rsid w:val="007576A9"/>
    <w:rsid w:val="0076441F"/>
    <w:rsid w:val="00771D50"/>
    <w:rsid w:val="007727EB"/>
    <w:rsid w:val="00784698"/>
    <w:rsid w:val="00784DA5"/>
    <w:rsid w:val="0079153A"/>
    <w:rsid w:val="00795114"/>
    <w:rsid w:val="007B2EAA"/>
    <w:rsid w:val="007B3C59"/>
    <w:rsid w:val="007C114C"/>
    <w:rsid w:val="007C356E"/>
    <w:rsid w:val="007C51E3"/>
    <w:rsid w:val="007E3CA2"/>
    <w:rsid w:val="007F3ABF"/>
    <w:rsid w:val="00813E90"/>
    <w:rsid w:val="00822A38"/>
    <w:rsid w:val="008263AB"/>
    <w:rsid w:val="0084784E"/>
    <w:rsid w:val="00863917"/>
    <w:rsid w:val="00864C6D"/>
    <w:rsid w:val="00892E6C"/>
    <w:rsid w:val="00894A87"/>
    <w:rsid w:val="00896C5F"/>
    <w:rsid w:val="008B6C57"/>
    <w:rsid w:val="008D5F1C"/>
    <w:rsid w:val="008D6242"/>
    <w:rsid w:val="008D63EA"/>
    <w:rsid w:val="008F0F94"/>
    <w:rsid w:val="008F27B8"/>
    <w:rsid w:val="00924DDF"/>
    <w:rsid w:val="00956DA8"/>
    <w:rsid w:val="00960CFC"/>
    <w:rsid w:val="00964DB4"/>
    <w:rsid w:val="00971CF5"/>
    <w:rsid w:val="00972F3E"/>
    <w:rsid w:val="009801A5"/>
    <w:rsid w:val="0099366C"/>
    <w:rsid w:val="00993C77"/>
    <w:rsid w:val="009A3E6F"/>
    <w:rsid w:val="009D411F"/>
    <w:rsid w:val="009D79D1"/>
    <w:rsid w:val="009E10F6"/>
    <w:rsid w:val="009F24AA"/>
    <w:rsid w:val="009F3E17"/>
    <w:rsid w:val="009F77BB"/>
    <w:rsid w:val="00A12D6B"/>
    <w:rsid w:val="00A15FC7"/>
    <w:rsid w:val="00A16527"/>
    <w:rsid w:val="00A334A2"/>
    <w:rsid w:val="00A40623"/>
    <w:rsid w:val="00A62579"/>
    <w:rsid w:val="00A72473"/>
    <w:rsid w:val="00A826C1"/>
    <w:rsid w:val="00A875F4"/>
    <w:rsid w:val="00A966E6"/>
    <w:rsid w:val="00A96DE8"/>
    <w:rsid w:val="00A97211"/>
    <w:rsid w:val="00AA7B92"/>
    <w:rsid w:val="00AB7EAC"/>
    <w:rsid w:val="00AC00FC"/>
    <w:rsid w:val="00AC4185"/>
    <w:rsid w:val="00AD5A7F"/>
    <w:rsid w:val="00AE48BF"/>
    <w:rsid w:val="00AF13D1"/>
    <w:rsid w:val="00B06D12"/>
    <w:rsid w:val="00B16793"/>
    <w:rsid w:val="00B3404F"/>
    <w:rsid w:val="00B34FEF"/>
    <w:rsid w:val="00B949E5"/>
    <w:rsid w:val="00BA680C"/>
    <w:rsid w:val="00BD7DAA"/>
    <w:rsid w:val="00BE6CB7"/>
    <w:rsid w:val="00C14908"/>
    <w:rsid w:val="00C334C8"/>
    <w:rsid w:val="00C3709F"/>
    <w:rsid w:val="00C7365B"/>
    <w:rsid w:val="00CB134A"/>
    <w:rsid w:val="00CB6668"/>
    <w:rsid w:val="00CE142B"/>
    <w:rsid w:val="00CF700B"/>
    <w:rsid w:val="00D17C8E"/>
    <w:rsid w:val="00D26832"/>
    <w:rsid w:val="00D34753"/>
    <w:rsid w:val="00D430D0"/>
    <w:rsid w:val="00D54E1C"/>
    <w:rsid w:val="00D70F1E"/>
    <w:rsid w:val="00D7256F"/>
    <w:rsid w:val="00D7514B"/>
    <w:rsid w:val="00D905DB"/>
    <w:rsid w:val="00DA2736"/>
    <w:rsid w:val="00DC612D"/>
    <w:rsid w:val="00DC626B"/>
    <w:rsid w:val="00DE0661"/>
    <w:rsid w:val="00DE6103"/>
    <w:rsid w:val="00DE642B"/>
    <w:rsid w:val="00E11114"/>
    <w:rsid w:val="00E20A91"/>
    <w:rsid w:val="00E20C68"/>
    <w:rsid w:val="00E34364"/>
    <w:rsid w:val="00E4447E"/>
    <w:rsid w:val="00E85422"/>
    <w:rsid w:val="00E96A82"/>
    <w:rsid w:val="00EB0D98"/>
    <w:rsid w:val="00EC67E5"/>
    <w:rsid w:val="00EF24DC"/>
    <w:rsid w:val="00EF4810"/>
    <w:rsid w:val="00EF4CBB"/>
    <w:rsid w:val="00F0659F"/>
    <w:rsid w:val="00F14105"/>
    <w:rsid w:val="00F241F5"/>
    <w:rsid w:val="00F31370"/>
    <w:rsid w:val="00F31707"/>
    <w:rsid w:val="00F6516A"/>
    <w:rsid w:val="00F86F8B"/>
    <w:rsid w:val="00F922D5"/>
    <w:rsid w:val="00F93484"/>
    <w:rsid w:val="00FC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7"/>
    <o:shapelayout v:ext="edit">
      <o:idmap v:ext="edit" data="1"/>
    </o:shapelayout>
  </w:shapeDefaults>
  <w:decimalSymbol w:val="."/>
  <w:listSeparator w:val=","/>
  <w14:docId w14:val="2615876F"/>
  <w15:docId w15:val="{C1FDADDA-BF49-4245-86BD-3B8289A5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908"/>
    <w:pPr>
      <w:spacing w:after="200" w:line="276" w:lineRule="auto"/>
    </w:pPr>
    <w:rPr>
      <w:rFonts w:ascii="Calibri" w:eastAsia="Calibri" w:hAnsi="Calibri" w:cs="Times New Roman"/>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C14908"/>
    <w:pPr>
      <w:spacing w:after="0" w:line="240" w:lineRule="auto"/>
    </w:pPr>
    <w:rPr>
      <w:rFonts w:ascii="Times New Roman" w:hAnsi="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14908"/>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C14908"/>
    <w:rPr>
      <w:vertAlign w:val="superscript"/>
    </w:rPr>
  </w:style>
  <w:style w:type="paragraph" w:customStyle="1" w:styleId="Appelnotedebasde">
    <w:name w:val="Appel note de bas de..."/>
    <w:basedOn w:val="Normal"/>
    <w:link w:val="FootnoteReference"/>
    <w:uiPriority w:val="99"/>
    <w:rsid w:val="00C14908"/>
    <w:pPr>
      <w:spacing w:after="160" w:line="240" w:lineRule="exact"/>
    </w:pPr>
    <w:rPr>
      <w:rFonts w:asciiTheme="minorHAnsi" w:eastAsiaTheme="minorHAnsi" w:hAnsiTheme="minorHAnsi" w:cstheme="minorBidi"/>
      <w:vertAlign w:val="superscript"/>
      <w:lang w:val="en-US"/>
    </w:rPr>
  </w:style>
  <w:style w:type="paragraph" w:styleId="ListParagraph">
    <w:name w:val="List Paragraph"/>
    <w:basedOn w:val="Normal"/>
    <w:uiPriority w:val="34"/>
    <w:qFormat/>
    <w:rsid w:val="00C14908"/>
    <w:pPr>
      <w:ind w:left="720"/>
      <w:contextualSpacing/>
    </w:pPr>
    <w:rPr>
      <w:lang w:val="en-US"/>
    </w:rPr>
  </w:style>
  <w:style w:type="character" w:styleId="Hyperlink">
    <w:name w:val="Hyperlink"/>
    <w:uiPriority w:val="99"/>
    <w:unhideWhenUsed/>
    <w:rsid w:val="00C14908"/>
    <w:rPr>
      <w:color w:val="0000FF"/>
      <w:u w:val="single"/>
    </w:rPr>
  </w:style>
  <w:style w:type="paragraph" w:styleId="NoSpacing">
    <w:name w:val="No Spacing"/>
    <w:uiPriority w:val="1"/>
    <w:qFormat/>
    <w:rsid w:val="00C14908"/>
    <w:pPr>
      <w:spacing w:after="0" w:line="240" w:lineRule="auto"/>
    </w:pPr>
    <w:rPr>
      <w:rFonts w:ascii="Calibri" w:eastAsia="Calibri" w:hAnsi="Calibri" w:cs="Times New Roman"/>
      <w:lang w:val="pt-BR"/>
    </w:rPr>
  </w:style>
  <w:style w:type="paragraph" w:styleId="Header">
    <w:name w:val="header"/>
    <w:basedOn w:val="Normal"/>
    <w:link w:val="HeaderChar"/>
    <w:uiPriority w:val="99"/>
    <w:unhideWhenUsed/>
    <w:rsid w:val="00C14908"/>
    <w:pPr>
      <w:tabs>
        <w:tab w:val="center" w:pos="4513"/>
        <w:tab w:val="right" w:pos="9026"/>
      </w:tabs>
    </w:pPr>
  </w:style>
  <w:style w:type="character" w:customStyle="1" w:styleId="HeaderChar">
    <w:name w:val="Header Char"/>
    <w:basedOn w:val="DefaultParagraphFont"/>
    <w:link w:val="Header"/>
    <w:uiPriority w:val="99"/>
    <w:rsid w:val="00C14908"/>
    <w:rPr>
      <w:rFonts w:ascii="Calibri" w:eastAsia="Calibri" w:hAnsi="Calibri" w:cs="Times New Roman"/>
      <w:lang w:val="pt-BR"/>
    </w:rPr>
  </w:style>
  <w:style w:type="paragraph" w:styleId="Footer">
    <w:name w:val="footer"/>
    <w:basedOn w:val="Normal"/>
    <w:link w:val="FooterChar"/>
    <w:uiPriority w:val="99"/>
    <w:unhideWhenUsed/>
    <w:rsid w:val="00C14908"/>
    <w:pPr>
      <w:tabs>
        <w:tab w:val="center" w:pos="4513"/>
        <w:tab w:val="right" w:pos="9026"/>
      </w:tabs>
    </w:pPr>
  </w:style>
  <w:style w:type="character" w:customStyle="1" w:styleId="FooterChar">
    <w:name w:val="Footer Char"/>
    <w:basedOn w:val="DefaultParagraphFont"/>
    <w:link w:val="Footer"/>
    <w:uiPriority w:val="99"/>
    <w:rsid w:val="00C14908"/>
    <w:rPr>
      <w:rFonts w:ascii="Calibri" w:eastAsia="Calibri" w:hAnsi="Calibri" w:cs="Times New Roman"/>
      <w:lang w:val="pt-BR"/>
    </w:rPr>
  </w:style>
  <w:style w:type="character" w:styleId="FollowedHyperlink">
    <w:name w:val="FollowedHyperlink"/>
    <w:basedOn w:val="DefaultParagraphFont"/>
    <w:uiPriority w:val="99"/>
    <w:semiHidden/>
    <w:unhideWhenUsed/>
    <w:rsid w:val="00121688"/>
    <w:rPr>
      <w:color w:val="954F72" w:themeColor="followedHyperlink"/>
      <w:u w:val="single"/>
    </w:rPr>
  </w:style>
  <w:style w:type="paragraph" w:customStyle="1" w:styleId="Default">
    <w:name w:val="Default"/>
    <w:rsid w:val="009801A5"/>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4069CA"/>
    <w:rPr>
      <w:sz w:val="16"/>
      <w:szCs w:val="16"/>
    </w:rPr>
  </w:style>
  <w:style w:type="paragraph" w:styleId="CommentText">
    <w:name w:val="annotation text"/>
    <w:basedOn w:val="Normal"/>
    <w:link w:val="CommentTextChar"/>
    <w:uiPriority w:val="99"/>
    <w:semiHidden/>
    <w:unhideWhenUsed/>
    <w:rsid w:val="004069CA"/>
    <w:pPr>
      <w:spacing w:line="240" w:lineRule="auto"/>
    </w:pPr>
    <w:rPr>
      <w:sz w:val="20"/>
      <w:szCs w:val="20"/>
    </w:rPr>
  </w:style>
  <w:style w:type="character" w:customStyle="1" w:styleId="CommentTextChar">
    <w:name w:val="Comment Text Char"/>
    <w:basedOn w:val="DefaultParagraphFont"/>
    <w:link w:val="CommentText"/>
    <w:uiPriority w:val="99"/>
    <w:semiHidden/>
    <w:rsid w:val="004069CA"/>
    <w:rPr>
      <w:rFonts w:ascii="Calibri" w:eastAsia="Calibri" w:hAnsi="Calibri" w:cs="Times New Roman"/>
      <w:sz w:val="20"/>
      <w:szCs w:val="20"/>
      <w:lang w:val="pt-BR"/>
    </w:rPr>
  </w:style>
  <w:style w:type="paragraph" w:styleId="CommentSubject">
    <w:name w:val="annotation subject"/>
    <w:basedOn w:val="CommentText"/>
    <w:next w:val="CommentText"/>
    <w:link w:val="CommentSubjectChar"/>
    <w:uiPriority w:val="99"/>
    <w:semiHidden/>
    <w:unhideWhenUsed/>
    <w:rsid w:val="004069CA"/>
    <w:rPr>
      <w:b/>
      <w:bCs/>
    </w:rPr>
  </w:style>
  <w:style w:type="character" w:customStyle="1" w:styleId="CommentSubjectChar">
    <w:name w:val="Comment Subject Char"/>
    <w:basedOn w:val="CommentTextChar"/>
    <w:link w:val="CommentSubject"/>
    <w:uiPriority w:val="99"/>
    <w:semiHidden/>
    <w:rsid w:val="004069CA"/>
    <w:rPr>
      <w:rFonts w:ascii="Calibri" w:eastAsia="Calibri" w:hAnsi="Calibri" w:cs="Times New Roman"/>
      <w:b/>
      <w:bCs/>
      <w:sz w:val="20"/>
      <w:szCs w:val="20"/>
      <w:lang w:val="pt-BR"/>
    </w:rPr>
  </w:style>
  <w:style w:type="paragraph" w:styleId="BalloonText">
    <w:name w:val="Balloon Text"/>
    <w:basedOn w:val="Normal"/>
    <w:link w:val="BalloonTextChar"/>
    <w:uiPriority w:val="99"/>
    <w:semiHidden/>
    <w:unhideWhenUsed/>
    <w:rsid w:val="00406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9CA"/>
    <w:rPr>
      <w:rFonts w:ascii="Segoe UI" w:eastAsia="Calibri" w:hAnsi="Segoe UI" w:cs="Segoe UI"/>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7/COPU12414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as.org/annualrep/2003sp/Colombia.597.00.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ecisiones/2017/COPU12414ES.pdf" TargetMode="External"/><Relationship Id="rId2" Type="http://schemas.openxmlformats.org/officeDocument/2006/relationships/hyperlink" Target="http://www.oas.org/es/cidh/decisiones/2017/COPU12414ES.pdf" TargetMode="External"/><Relationship Id="rId1" Type="http://schemas.openxmlformats.org/officeDocument/2006/relationships/hyperlink" Target="http://www.oas.org/es/cidh/decisiones/2017/COPU12414ES.pdf" TargetMode="External"/><Relationship Id="rId5" Type="http://schemas.openxmlformats.org/officeDocument/2006/relationships/hyperlink" Target="http://www.oas.org/es/cidh/decisiones/2017/COPU12414ES.pdf" TargetMode="External"/><Relationship Id="rId4" Type="http://schemas.openxmlformats.org/officeDocument/2006/relationships/hyperlink" Target="http://www.oas.org/es/cidh/decisiones/2017/COPU12414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0182-1E3E-486E-852E-A5B12D2D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4</Pages>
  <Words>2361</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CIDH Becario 16 (Paez, Catalina)</dc:creator>
  <cp:keywords/>
  <dc:description/>
  <cp:lastModifiedBy>Dos Anjos, Fernanda</cp:lastModifiedBy>
  <cp:revision>159</cp:revision>
  <dcterms:created xsi:type="dcterms:W3CDTF">2019-02-20T22:22:00Z</dcterms:created>
  <dcterms:modified xsi:type="dcterms:W3CDTF">2019-03-16T00:25:00Z</dcterms:modified>
</cp:coreProperties>
</file>