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B8A" w:rsidRPr="00E9746B" w:rsidRDefault="00E9746B" w:rsidP="005F117F">
      <w:pPr>
        <w:spacing w:after="0" w:line="240" w:lineRule="auto"/>
        <w:jc w:val="center"/>
        <w:rPr>
          <w:rFonts w:ascii="Cambria" w:hAnsi="Cambria"/>
          <w:szCs w:val="20"/>
          <w:lang w:val="es-ES"/>
        </w:rPr>
      </w:pPr>
      <w:r w:rsidRPr="00E9746B">
        <w:rPr>
          <w:rFonts w:ascii="Cambria" w:hAnsi="Cambria"/>
          <w:b/>
          <w:szCs w:val="20"/>
          <w:lang w:val="es-ES"/>
        </w:rPr>
        <w:t>FICHA DE SEGUIMIENTO DEL INFORME Nº 78/11</w:t>
      </w:r>
    </w:p>
    <w:p w:rsidR="00371B8A" w:rsidRPr="00E9746B" w:rsidRDefault="00E9746B" w:rsidP="00371B8A">
      <w:pPr>
        <w:spacing w:after="0" w:line="240" w:lineRule="auto"/>
        <w:jc w:val="center"/>
        <w:rPr>
          <w:rFonts w:ascii="Cambria" w:hAnsi="Cambria"/>
          <w:b/>
          <w:szCs w:val="20"/>
          <w:lang w:val="es-ES"/>
        </w:rPr>
      </w:pPr>
      <w:r w:rsidRPr="00E9746B">
        <w:rPr>
          <w:rFonts w:ascii="Cambria" w:hAnsi="Cambria"/>
          <w:b/>
          <w:szCs w:val="20"/>
          <w:lang w:val="es-ES"/>
        </w:rPr>
        <w:t xml:space="preserve"> CASO 12.586 </w:t>
      </w:r>
    </w:p>
    <w:p w:rsidR="00371B8A" w:rsidRPr="00E9746B" w:rsidRDefault="00E9746B" w:rsidP="00371B8A">
      <w:pPr>
        <w:spacing w:after="0" w:line="240" w:lineRule="auto"/>
        <w:jc w:val="center"/>
        <w:rPr>
          <w:rFonts w:ascii="Cambria" w:hAnsi="Cambria"/>
          <w:b/>
          <w:szCs w:val="20"/>
          <w:lang w:val="es-ES"/>
        </w:rPr>
      </w:pPr>
      <w:r w:rsidRPr="00E9746B">
        <w:rPr>
          <w:rFonts w:ascii="Cambria" w:hAnsi="Cambria"/>
          <w:b/>
          <w:szCs w:val="20"/>
          <w:lang w:val="es-ES"/>
        </w:rPr>
        <w:t xml:space="preserve">JOHN DOE Y OTROS </w:t>
      </w:r>
    </w:p>
    <w:p w:rsidR="00371B8A" w:rsidRPr="00E9746B" w:rsidRDefault="00371B8A" w:rsidP="00371B8A">
      <w:pPr>
        <w:spacing w:after="0" w:line="240" w:lineRule="auto"/>
        <w:jc w:val="center"/>
        <w:rPr>
          <w:rFonts w:ascii="Cambria" w:hAnsi="Cambria"/>
          <w:b/>
          <w:szCs w:val="20"/>
          <w:lang w:val="es-ES"/>
        </w:rPr>
      </w:pPr>
      <w:r w:rsidRPr="00E9746B">
        <w:rPr>
          <w:rFonts w:ascii="Cambria" w:hAnsi="Cambria"/>
          <w:b/>
          <w:szCs w:val="20"/>
          <w:lang w:val="es-ES"/>
        </w:rPr>
        <w:t xml:space="preserve"> (Canadá)</w:t>
      </w:r>
    </w:p>
    <w:p w:rsidR="00371B8A" w:rsidRPr="00CD0A1E" w:rsidRDefault="00371B8A" w:rsidP="00371B8A">
      <w:pPr>
        <w:spacing w:after="0" w:line="240" w:lineRule="auto"/>
        <w:jc w:val="center"/>
        <w:rPr>
          <w:rFonts w:ascii="Cambria" w:hAnsi="Cambria"/>
          <w:sz w:val="20"/>
          <w:szCs w:val="20"/>
          <w:lang w:val="es-ES"/>
        </w:rPr>
      </w:pPr>
    </w:p>
    <w:p w:rsidR="00371B8A" w:rsidRPr="00CD0A1E" w:rsidRDefault="00371B8A" w:rsidP="00236AA1">
      <w:pPr>
        <w:pStyle w:val="NoSpacing"/>
        <w:numPr>
          <w:ilvl w:val="0"/>
          <w:numId w:val="18"/>
        </w:numPr>
        <w:ind w:left="1440" w:hanging="720"/>
        <w:jc w:val="both"/>
        <w:rPr>
          <w:rFonts w:ascii="Cambria" w:hAnsi="Cambria" w:cs="Calibri Light"/>
          <w:b/>
          <w:sz w:val="20"/>
          <w:szCs w:val="20"/>
          <w:lang w:val="es-ES"/>
        </w:rPr>
      </w:pPr>
      <w:r w:rsidRPr="00CD0A1E">
        <w:rPr>
          <w:rFonts w:ascii="Cambria" w:hAnsi="Cambria" w:cs="Calibri Light"/>
          <w:b/>
          <w:sz w:val="20"/>
          <w:szCs w:val="20"/>
          <w:lang w:val="es-ES"/>
        </w:rPr>
        <w:t xml:space="preserve">Resumen del caso </w:t>
      </w:r>
    </w:p>
    <w:p w:rsidR="00371B8A" w:rsidRPr="00CD0A1E" w:rsidRDefault="00371B8A" w:rsidP="00371B8A">
      <w:pPr>
        <w:spacing w:after="0" w:line="240" w:lineRule="auto"/>
        <w:ind w:left="1080"/>
        <w:rPr>
          <w:rFonts w:ascii="Cambria" w:hAnsi="Cambria" w:cs="Calibri Light"/>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76"/>
      </w:tblGrid>
      <w:tr w:rsidR="00371B8A" w:rsidRPr="00790E65" w:rsidTr="002005E0">
        <w:trPr>
          <w:trHeight w:val="4067"/>
          <w:jc w:val="center"/>
        </w:trPr>
        <w:tc>
          <w:tcPr>
            <w:tcW w:w="9576" w:type="dxa"/>
            <w:shd w:val="clear" w:color="auto" w:fill="F2F2F2"/>
          </w:tcPr>
          <w:p w:rsidR="00371B8A" w:rsidRPr="00790E65" w:rsidRDefault="00371B8A" w:rsidP="00236AA1">
            <w:pPr>
              <w:spacing w:before="120" w:after="0" w:line="240" w:lineRule="auto"/>
              <w:jc w:val="both"/>
              <w:rPr>
                <w:rFonts w:ascii="Cambria" w:hAnsi="Cambria"/>
                <w:b/>
                <w:sz w:val="20"/>
                <w:szCs w:val="20"/>
              </w:rPr>
            </w:pPr>
            <w:r w:rsidRPr="00790E65">
              <w:rPr>
                <w:rFonts w:ascii="Cambria" w:hAnsi="Cambria"/>
                <w:b/>
                <w:sz w:val="20"/>
                <w:szCs w:val="20"/>
              </w:rPr>
              <w:t xml:space="preserve">Víctima (s): </w:t>
            </w:r>
            <w:r w:rsidRPr="00790E65">
              <w:rPr>
                <w:rFonts w:ascii="Cambria" w:hAnsi="Cambria"/>
                <w:sz w:val="20"/>
                <w:szCs w:val="20"/>
              </w:rPr>
              <w:t>John Doe 1, John Doe 2 and John Doe 3</w:t>
            </w:r>
          </w:p>
          <w:p w:rsidR="00371B8A" w:rsidRPr="00790E65" w:rsidRDefault="00371B8A" w:rsidP="002005E0">
            <w:pPr>
              <w:spacing w:after="0" w:line="240" w:lineRule="auto"/>
              <w:jc w:val="both"/>
              <w:rPr>
                <w:rFonts w:ascii="Cambria" w:hAnsi="Cambria"/>
                <w:b/>
                <w:sz w:val="20"/>
                <w:szCs w:val="20"/>
              </w:rPr>
            </w:pPr>
            <w:r w:rsidRPr="00790E65">
              <w:rPr>
                <w:rFonts w:ascii="Cambria" w:hAnsi="Cambria"/>
                <w:b/>
                <w:sz w:val="20"/>
                <w:szCs w:val="20"/>
              </w:rPr>
              <w:t>Peticionario (s):</w:t>
            </w:r>
            <w:r w:rsidRPr="00790E65">
              <w:rPr>
                <w:rFonts w:ascii="Cambria" w:hAnsi="Cambria"/>
                <w:sz w:val="20"/>
                <w:szCs w:val="20"/>
              </w:rPr>
              <w:t xml:space="preserve"> Deborah Anker, Sabrineh Ardalan (Harvard Immigration and Refugee Clinic)</w:t>
            </w:r>
          </w:p>
          <w:p w:rsidR="00371B8A" w:rsidRPr="00790E65" w:rsidRDefault="00371B8A" w:rsidP="002005E0">
            <w:pPr>
              <w:spacing w:after="0" w:line="240" w:lineRule="auto"/>
              <w:jc w:val="both"/>
              <w:rPr>
                <w:rFonts w:ascii="Cambria" w:hAnsi="Cambria"/>
                <w:sz w:val="20"/>
                <w:szCs w:val="20"/>
              </w:rPr>
            </w:pPr>
            <w:r w:rsidRPr="00790E65">
              <w:rPr>
                <w:rFonts w:ascii="Cambria" w:hAnsi="Cambria"/>
                <w:b/>
                <w:sz w:val="20"/>
                <w:szCs w:val="20"/>
              </w:rPr>
              <w:t xml:space="preserve">Estado: </w:t>
            </w:r>
            <w:r w:rsidRPr="00790E65">
              <w:rPr>
                <w:rFonts w:ascii="Cambria" w:hAnsi="Cambria"/>
                <w:sz w:val="20"/>
                <w:szCs w:val="20"/>
              </w:rPr>
              <w:t xml:space="preserve">Canadá </w:t>
            </w:r>
          </w:p>
          <w:p w:rsidR="00371B8A" w:rsidRPr="00790E65" w:rsidRDefault="00371B8A" w:rsidP="002005E0">
            <w:pPr>
              <w:spacing w:after="0" w:line="240" w:lineRule="auto"/>
              <w:jc w:val="both"/>
              <w:rPr>
                <w:rFonts w:ascii="Cambria" w:hAnsi="Cambria"/>
                <w:sz w:val="20"/>
                <w:szCs w:val="20"/>
              </w:rPr>
            </w:pPr>
            <w:r w:rsidRPr="00790E65">
              <w:rPr>
                <w:rFonts w:ascii="Cambria" w:hAnsi="Cambria"/>
                <w:b/>
                <w:sz w:val="20"/>
                <w:szCs w:val="20"/>
              </w:rPr>
              <w:t xml:space="preserve">Informe de Fondo Nº: </w:t>
            </w:r>
            <w:hyperlink r:id="rId8" w:history="1">
              <w:r w:rsidRPr="00790E65">
                <w:rPr>
                  <w:rStyle w:val="Hyperlink"/>
                  <w:rFonts w:ascii="Cambria" w:hAnsi="Cambria"/>
                  <w:color w:val="auto"/>
                  <w:sz w:val="20"/>
                  <w:szCs w:val="20"/>
                </w:rPr>
                <w:t>78/11</w:t>
              </w:r>
            </w:hyperlink>
            <w:r w:rsidRPr="00790E65">
              <w:rPr>
                <w:rFonts w:ascii="Cambria" w:hAnsi="Cambria"/>
                <w:sz w:val="20"/>
                <w:szCs w:val="20"/>
              </w:rPr>
              <w:t xml:space="preserve">, publicado el 21 de julio de 2011 </w:t>
            </w:r>
          </w:p>
          <w:p w:rsidR="00371B8A" w:rsidRPr="00790E65" w:rsidRDefault="00371B8A" w:rsidP="002005E0">
            <w:pPr>
              <w:spacing w:after="0" w:line="240" w:lineRule="auto"/>
              <w:jc w:val="both"/>
              <w:rPr>
                <w:rFonts w:ascii="Cambria" w:hAnsi="Cambria"/>
                <w:sz w:val="20"/>
                <w:szCs w:val="20"/>
              </w:rPr>
            </w:pPr>
            <w:r w:rsidRPr="00790E65">
              <w:rPr>
                <w:rFonts w:ascii="Cambria" w:hAnsi="Cambria"/>
                <w:b/>
                <w:sz w:val="20"/>
                <w:szCs w:val="20"/>
              </w:rPr>
              <w:t xml:space="preserve">Informe de Admisibilidad Nº: </w:t>
            </w:r>
            <w:hyperlink r:id="rId9" w:history="1">
              <w:r w:rsidRPr="00790E65">
                <w:rPr>
                  <w:rStyle w:val="Hyperlink"/>
                  <w:rFonts w:ascii="Cambria" w:hAnsi="Cambria"/>
                  <w:color w:val="auto"/>
                  <w:sz w:val="20"/>
                  <w:szCs w:val="20"/>
                </w:rPr>
                <w:t>121/06</w:t>
              </w:r>
            </w:hyperlink>
            <w:r w:rsidRPr="00790E65">
              <w:rPr>
                <w:rFonts w:ascii="Cambria" w:hAnsi="Cambria"/>
                <w:sz w:val="20"/>
                <w:szCs w:val="20"/>
              </w:rPr>
              <w:t xml:space="preserve">, emitido el  27 de octubre de 2006 </w:t>
            </w:r>
          </w:p>
          <w:p w:rsidR="00371B8A" w:rsidRPr="002E1919" w:rsidRDefault="00371B8A" w:rsidP="002005E0">
            <w:pPr>
              <w:spacing w:after="120" w:line="240" w:lineRule="auto"/>
              <w:jc w:val="both"/>
              <w:rPr>
                <w:rFonts w:ascii="Cambria" w:hAnsi="Cambria"/>
                <w:sz w:val="20"/>
                <w:szCs w:val="20"/>
                <w:lang w:val="es-ES"/>
              </w:rPr>
            </w:pPr>
            <w:r w:rsidRPr="002E1919">
              <w:rPr>
                <w:rFonts w:ascii="Cambria" w:hAnsi="Cambria"/>
                <w:b/>
                <w:sz w:val="20"/>
                <w:szCs w:val="20"/>
                <w:lang w:val="es-ES"/>
              </w:rPr>
              <w:t xml:space="preserve">Temas: </w:t>
            </w:r>
            <w:r w:rsidRPr="002E1919">
              <w:rPr>
                <w:rFonts w:ascii="Cambria" w:hAnsi="Cambria"/>
                <w:sz w:val="20"/>
                <w:szCs w:val="20"/>
                <w:lang w:val="es-ES"/>
              </w:rPr>
              <w:t xml:space="preserve">Asilo / </w:t>
            </w:r>
            <w:r w:rsidR="009516CD" w:rsidRPr="002E1919">
              <w:rPr>
                <w:rFonts w:ascii="Cambria" w:hAnsi="Cambria"/>
                <w:sz w:val="20"/>
                <w:szCs w:val="20"/>
                <w:lang w:val="es-ES"/>
              </w:rPr>
              <w:t xml:space="preserve">Debido proceso legal / </w:t>
            </w:r>
            <w:r w:rsidRPr="002E1919">
              <w:rPr>
                <w:rFonts w:ascii="Cambria" w:hAnsi="Cambria"/>
                <w:sz w:val="20"/>
                <w:szCs w:val="20"/>
                <w:lang w:val="es-ES"/>
              </w:rPr>
              <w:t xml:space="preserve">Deportación / </w:t>
            </w:r>
            <w:r w:rsidR="009516CD" w:rsidRPr="002E1919">
              <w:rPr>
                <w:rFonts w:ascii="Cambria" w:hAnsi="Cambria"/>
                <w:sz w:val="20"/>
                <w:szCs w:val="20"/>
                <w:lang w:val="es-ES"/>
              </w:rPr>
              <w:t>Garantías judiciales y protección judicial / Política</w:t>
            </w:r>
            <w:r w:rsidR="003E331C" w:rsidRPr="002E1919">
              <w:rPr>
                <w:rFonts w:ascii="Cambria" w:hAnsi="Cambria"/>
                <w:sz w:val="20"/>
                <w:szCs w:val="20"/>
                <w:lang w:val="es-ES"/>
              </w:rPr>
              <w:t xml:space="preserve">s migratorias / Principio de </w:t>
            </w:r>
            <w:r w:rsidR="009516CD" w:rsidRPr="002E1919">
              <w:rPr>
                <w:rFonts w:ascii="Cambria" w:hAnsi="Cambria"/>
                <w:sz w:val="20"/>
                <w:szCs w:val="20"/>
                <w:lang w:val="es-ES"/>
              </w:rPr>
              <w:t>no devolución (</w:t>
            </w:r>
            <w:r w:rsidR="009516CD" w:rsidRPr="002E1919">
              <w:rPr>
                <w:rFonts w:ascii="Cambria" w:hAnsi="Cambria"/>
                <w:i/>
                <w:sz w:val="20"/>
                <w:szCs w:val="20"/>
                <w:lang w:val="es-ES"/>
              </w:rPr>
              <w:t>non-refoulement</w:t>
            </w:r>
            <w:r w:rsidR="009516CD" w:rsidRPr="002E1919">
              <w:rPr>
                <w:rFonts w:ascii="Cambria" w:hAnsi="Cambria"/>
                <w:sz w:val="20"/>
                <w:szCs w:val="20"/>
                <w:lang w:val="es-ES"/>
              </w:rPr>
              <w:t>) / Procedimiento de determinación de la condición de apátrida, protección complementaria, o refugiado/a / Solicitantes de r</w:t>
            </w:r>
            <w:r w:rsidRPr="002E1919">
              <w:rPr>
                <w:rFonts w:ascii="Cambria" w:hAnsi="Cambria"/>
                <w:sz w:val="20"/>
                <w:szCs w:val="20"/>
                <w:lang w:val="es-ES"/>
              </w:rPr>
              <w:t xml:space="preserve">efugio </w:t>
            </w:r>
          </w:p>
          <w:p w:rsidR="00371B8A" w:rsidRPr="00CD0A1E" w:rsidRDefault="00371B8A" w:rsidP="001C2E4F">
            <w:pPr>
              <w:pStyle w:val="EndnoteText"/>
              <w:spacing w:before="0" w:beforeAutospacing="0" w:after="120" w:afterAutospacing="0"/>
              <w:jc w:val="both"/>
              <w:rPr>
                <w:rFonts w:ascii="Cambria" w:hAnsi="Cambria"/>
                <w:sz w:val="20"/>
                <w:szCs w:val="20"/>
                <w:lang w:val="es-ES"/>
              </w:rPr>
            </w:pPr>
            <w:r w:rsidRPr="00CD0A1E">
              <w:rPr>
                <w:rFonts w:ascii="Cambria" w:hAnsi="Cambria"/>
                <w:b/>
                <w:sz w:val="20"/>
                <w:szCs w:val="20"/>
                <w:lang w:val="es-ES"/>
              </w:rPr>
              <w:t xml:space="preserve">Hechos: </w:t>
            </w:r>
            <w:r w:rsidR="000208BD" w:rsidRPr="00CD0A1E">
              <w:rPr>
                <w:rFonts w:ascii="Cambria" w:hAnsi="Cambria"/>
                <w:sz w:val="20"/>
                <w:szCs w:val="20"/>
                <w:lang w:val="es-ES"/>
              </w:rPr>
              <w:t xml:space="preserve">Este caso </w:t>
            </w:r>
            <w:r w:rsidRPr="00CD0A1E">
              <w:rPr>
                <w:rFonts w:ascii="Cambria" w:hAnsi="Cambria"/>
                <w:sz w:val="20"/>
                <w:szCs w:val="20"/>
                <w:lang w:val="es-ES"/>
              </w:rPr>
              <w:t>s</w:t>
            </w:r>
            <w:r w:rsidR="000208BD" w:rsidRPr="00CD0A1E">
              <w:rPr>
                <w:rFonts w:ascii="Cambria" w:hAnsi="Cambria"/>
                <w:sz w:val="20"/>
                <w:szCs w:val="20"/>
                <w:lang w:val="es-ES"/>
              </w:rPr>
              <w:t xml:space="preserve">e refiere a tres personas no nombradas, conocidas como </w:t>
            </w:r>
            <w:r w:rsidRPr="00CD0A1E">
              <w:rPr>
                <w:rFonts w:ascii="Cambria" w:hAnsi="Cambria"/>
                <w:sz w:val="20"/>
                <w:szCs w:val="20"/>
                <w:lang w:val="es-ES"/>
              </w:rPr>
              <w:t xml:space="preserve">John Doe 1, John Doe 2 </w:t>
            </w:r>
            <w:r w:rsidR="00291089" w:rsidRPr="00CD0A1E">
              <w:rPr>
                <w:rFonts w:ascii="Cambria" w:hAnsi="Cambria"/>
                <w:sz w:val="20"/>
                <w:szCs w:val="20"/>
                <w:lang w:val="es-ES"/>
              </w:rPr>
              <w:t>y</w:t>
            </w:r>
            <w:r w:rsidR="001C2E4F" w:rsidRPr="00CD0A1E">
              <w:rPr>
                <w:rFonts w:ascii="Cambria" w:hAnsi="Cambria"/>
                <w:sz w:val="20"/>
                <w:szCs w:val="20"/>
                <w:lang w:val="es-ES"/>
              </w:rPr>
              <w:t xml:space="preserve"> John </w:t>
            </w:r>
            <w:r w:rsidRPr="00CD0A1E">
              <w:rPr>
                <w:rFonts w:ascii="Cambria" w:hAnsi="Cambria"/>
                <w:sz w:val="20"/>
                <w:szCs w:val="20"/>
                <w:lang w:val="es-ES"/>
              </w:rPr>
              <w:t xml:space="preserve">Doe 3, </w:t>
            </w:r>
            <w:r w:rsidR="000208BD" w:rsidRPr="00CD0A1E">
              <w:rPr>
                <w:rFonts w:ascii="Cambria" w:hAnsi="Cambria"/>
                <w:sz w:val="20"/>
                <w:szCs w:val="20"/>
                <w:lang w:val="es-ES"/>
              </w:rPr>
              <w:t xml:space="preserve">nacionales de Malasia, </w:t>
            </w:r>
            <w:r w:rsidRPr="00CD0A1E">
              <w:rPr>
                <w:rFonts w:ascii="Cambria" w:hAnsi="Cambria"/>
                <w:sz w:val="20"/>
                <w:szCs w:val="20"/>
                <w:lang w:val="es-ES"/>
              </w:rPr>
              <w:t>Pakist</w:t>
            </w:r>
            <w:r w:rsidR="000208BD" w:rsidRPr="00CD0A1E">
              <w:rPr>
                <w:rFonts w:ascii="Cambria" w:hAnsi="Cambria"/>
                <w:sz w:val="20"/>
                <w:szCs w:val="20"/>
                <w:lang w:val="es-ES"/>
              </w:rPr>
              <w:t>á</w:t>
            </w:r>
            <w:r w:rsidRPr="00CD0A1E">
              <w:rPr>
                <w:rFonts w:ascii="Cambria" w:hAnsi="Cambria"/>
                <w:sz w:val="20"/>
                <w:szCs w:val="20"/>
                <w:lang w:val="es-ES"/>
              </w:rPr>
              <w:t xml:space="preserve">n </w:t>
            </w:r>
            <w:r w:rsidR="000208BD" w:rsidRPr="00CD0A1E">
              <w:rPr>
                <w:rFonts w:ascii="Cambria" w:hAnsi="Cambria"/>
                <w:sz w:val="20"/>
                <w:szCs w:val="20"/>
                <w:lang w:val="es-ES"/>
              </w:rPr>
              <w:t>y</w:t>
            </w:r>
            <w:r w:rsidRPr="00CD0A1E">
              <w:rPr>
                <w:rFonts w:ascii="Cambria" w:hAnsi="Cambria"/>
                <w:sz w:val="20"/>
                <w:szCs w:val="20"/>
                <w:lang w:val="es-ES"/>
              </w:rPr>
              <w:t xml:space="preserve"> Albania, </w:t>
            </w:r>
            <w:r w:rsidR="00795EEB" w:rsidRPr="00CD0A1E">
              <w:rPr>
                <w:rFonts w:ascii="Cambria" w:hAnsi="Cambria"/>
                <w:sz w:val="20"/>
                <w:szCs w:val="20"/>
                <w:lang w:val="es-ES"/>
              </w:rPr>
              <w:t xml:space="preserve">que </w:t>
            </w:r>
            <w:r w:rsidR="005975D5" w:rsidRPr="00CD0A1E">
              <w:rPr>
                <w:rFonts w:ascii="Cambria" w:hAnsi="Cambria"/>
                <w:sz w:val="20"/>
                <w:szCs w:val="20"/>
                <w:lang w:val="es-ES"/>
              </w:rPr>
              <w:t xml:space="preserve">buscaron </w:t>
            </w:r>
            <w:r w:rsidR="00124598" w:rsidRPr="00CD0A1E">
              <w:rPr>
                <w:rFonts w:ascii="Cambria" w:hAnsi="Cambria"/>
                <w:sz w:val="20"/>
                <w:szCs w:val="20"/>
                <w:lang w:val="es-ES"/>
              </w:rPr>
              <w:t>solicitar</w:t>
            </w:r>
            <w:r w:rsidR="005975D5" w:rsidRPr="00CD0A1E">
              <w:rPr>
                <w:rFonts w:ascii="Cambria" w:hAnsi="Cambria"/>
                <w:sz w:val="20"/>
                <w:szCs w:val="20"/>
                <w:lang w:val="es-ES"/>
              </w:rPr>
              <w:t xml:space="preserve"> </w:t>
            </w:r>
            <w:r w:rsidR="00795EEB" w:rsidRPr="00CD0A1E">
              <w:rPr>
                <w:rFonts w:ascii="Cambria" w:hAnsi="Cambria"/>
                <w:sz w:val="20"/>
                <w:szCs w:val="20"/>
                <w:lang w:val="es-ES"/>
              </w:rPr>
              <w:t xml:space="preserve">asilo en Canadá después de llegar al punto de ingreso en la frontera </w:t>
            </w:r>
            <w:r w:rsidR="003E331C">
              <w:rPr>
                <w:rFonts w:ascii="Cambria" w:hAnsi="Cambria"/>
                <w:sz w:val="20"/>
                <w:szCs w:val="20"/>
                <w:lang w:val="es-ES"/>
              </w:rPr>
              <w:t xml:space="preserve">con </w:t>
            </w:r>
            <w:r w:rsidR="00795EEB" w:rsidRPr="00CD0A1E">
              <w:rPr>
                <w:rFonts w:ascii="Cambria" w:hAnsi="Cambria"/>
                <w:sz w:val="20"/>
                <w:szCs w:val="20"/>
                <w:lang w:val="es-ES"/>
              </w:rPr>
              <w:t xml:space="preserve">Estados Unidos, en enero, abril y agosto de 2003, respectivamente. En enero de 2003, Canadá implementó cambios a </w:t>
            </w:r>
            <w:r w:rsidR="005975D5" w:rsidRPr="00CD0A1E">
              <w:rPr>
                <w:rFonts w:ascii="Cambria" w:hAnsi="Cambria"/>
                <w:sz w:val="20"/>
                <w:szCs w:val="20"/>
                <w:lang w:val="es-ES"/>
              </w:rPr>
              <w:t>una</w:t>
            </w:r>
            <w:r w:rsidR="00795EEB" w:rsidRPr="00CD0A1E">
              <w:rPr>
                <w:rFonts w:ascii="Cambria" w:hAnsi="Cambria"/>
                <w:sz w:val="20"/>
                <w:szCs w:val="20"/>
                <w:lang w:val="es-ES"/>
              </w:rPr>
              <w:t xml:space="preserve"> política de inmigraci</w:t>
            </w:r>
            <w:r w:rsidR="00BE3DC4" w:rsidRPr="00CD0A1E">
              <w:rPr>
                <w:rFonts w:ascii="Cambria" w:hAnsi="Cambria"/>
                <w:sz w:val="20"/>
                <w:szCs w:val="20"/>
                <w:lang w:val="es-ES"/>
              </w:rPr>
              <w:t>ó</w:t>
            </w:r>
            <w:r w:rsidR="00795EEB" w:rsidRPr="00CD0A1E">
              <w:rPr>
                <w:rFonts w:ascii="Cambria" w:hAnsi="Cambria"/>
                <w:sz w:val="20"/>
                <w:szCs w:val="20"/>
                <w:lang w:val="es-ES"/>
              </w:rPr>
              <w:t xml:space="preserve">n, conocida como </w:t>
            </w:r>
            <w:r w:rsidR="00572FE6" w:rsidRPr="00CD0A1E">
              <w:rPr>
                <w:rFonts w:ascii="Cambria" w:hAnsi="Cambria"/>
                <w:sz w:val="20"/>
                <w:szCs w:val="20"/>
                <w:lang w:val="es-ES"/>
              </w:rPr>
              <w:t xml:space="preserve">la </w:t>
            </w:r>
            <w:r w:rsidR="00BE3DC4" w:rsidRPr="00CD0A1E">
              <w:rPr>
                <w:rFonts w:ascii="Cambria" w:hAnsi="Cambria"/>
                <w:sz w:val="20"/>
                <w:szCs w:val="20"/>
                <w:lang w:val="es-ES"/>
              </w:rPr>
              <w:t>“política de devolución directa”</w:t>
            </w:r>
            <w:r w:rsidR="00672068" w:rsidRPr="00CD0A1E">
              <w:rPr>
                <w:rFonts w:ascii="Cambria" w:hAnsi="Cambria"/>
                <w:sz w:val="20"/>
                <w:szCs w:val="20"/>
                <w:lang w:val="es-ES"/>
              </w:rPr>
              <w:t xml:space="preserve"> (“direct-back policy”)</w:t>
            </w:r>
            <w:r w:rsidR="00BE3DC4" w:rsidRPr="00CD0A1E">
              <w:rPr>
                <w:rFonts w:ascii="Cambria" w:hAnsi="Cambria"/>
                <w:sz w:val="20"/>
                <w:szCs w:val="20"/>
                <w:lang w:val="es-ES"/>
              </w:rPr>
              <w:t>, bajo la cual los solicitantes de asilo que llega</w:t>
            </w:r>
            <w:r w:rsidR="00AE7D71" w:rsidRPr="00CD0A1E">
              <w:rPr>
                <w:rFonts w:ascii="Cambria" w:hAnsi="Cambria"/>
                <w:sz w:val="20"/>
                <w:szCs w:val="20"/>
                <w:lang w:val="es-ES"/>
              </w:rPr>
              <w:t>r</w:t>
            </w:r>
            <w:r w:rsidR="00572FE6" w:rsidRPr="00CD0A1E">
              <w:rPr>
                <w:rFonts w:ascii="Cambria" w:hAnsi="Cambria"/>
                <w:sz w:val="20"/>
                <w:szCs w:val="20"/>
                <w:lang w:val="es-ES"/>
              </w:rPr>
              <w:t>a</w:t>
            </w:r>
            <w:r w:rsidR="00BE3DC4" w:rsidRPr="00CD0A1E">
              <w:rPr>
                <w:rFonts w:ascii="Cambria" w:hAnsi="Cambria"/>
                <w:sz w:val="20"/>
                <w:szCs w:val="20"/>
                <w:lang w:val="es-ES"/>
              </w:rPr>
              <w:t>n a Canadá a trav</w:t>
            </w:r>
            <w:r w:rsidR="00193311" w:rsidRPr="00CD0A1E">
              <w:rPr>
                <w:rFonts w:ascii="Cambria" w:hAnsi="Cambria"/>
                <w:sz w:val="20"/>
                <w:szCs w:val="20"/>
                <w:lang w:val="es-ES"/>
              </w:rPr>
              <w:t>és</w:t>
            </w:r>
            <w:r w:rsidR="00BE3DC4" w:rsidRPr="00CD0A1E">
              <w:rPr>
                <w:rFonts w:ascii="Cambria" w:hAnsi="Cambria"/>
                <w:sz w:val="20"/>
                <w:szCs w:val="20"/>
                <w:lang w:val="es-ES"/>
              </w:rPr>
              <w:t xml:space="preserve"> de un punto de ingreso en la frontera con E</w:t>
            </w:r>
            <w:r w:rsidR="00193311" w:rsidRPr="00CD0A1E">
              <w:rPr>
                <w:rFonts w:ascii="Cambria" w:hAnsi="Cambria"/>
                <w:sz w:val="20"/>
                <w:szCs w:val="20"/>
                <w:lang w:val="es-ES"/>
              </w:rPr>
              <w:t>s</w:t>
            </w:r>
            <w:r w:rsidR="00BE3DC4" w:rsidRPr="00CD0A1E">
              <w:rPr>
                <w:rFonts w:ascii="Cambria" w:hAnsi="Cambria"/>
                <w:sz w:val="20"/>
                <w:szCs w:val="20"/>
                <w:lang w:val="es-ES"/>
              </w:rPr>
              <w:t xml:space="preserve">tados </w:t>
            </w:r>
            <w:r w:rsidR="00AE7D71" w:rsidRPr="00CD0A1E">
              <w:rPr>
                <w:rFonts w:ascii="Cambria" w:hAnsi="Cambria"/>
                <w:sz w:val="20"/>
                <w:szCs w:val="20"/>
                <w:lang w:val="es-ES"/>
              </w:rPr>
              <w:t xml:space="preserve">Unidos </w:t>
            </w:r>
            <w:r w:rsidR="00256CEC" w:rsidRPr="00CD0A1E">
              <w:rPr>
                <w:rFonts w:ascii="Cambria" w:hAnsi="Cambria"/>
                <w:sz w:val="20"/>
                <w:szCs w:val="20"/>
                <w:lang w:val="es-ES"/>
              </w:rPr>
              <w:t>eran</w:t>
            </w:r>
            <w:r w:rsidR="00AE7D71" w:rsidRPr="00CD0A1E">
              <w:rPr>
                <w:rFonts w:ascii="Cambria" w:hAnsi="Cambria"/>
                <w:sz w:val="20"/>
                <w:szCs w:val="20"/>
                <w:lang w:val="es-ES"/>
              </w:rPr>
              <w:t xml:space="preserve"> devueltos a ese país </w:t>
            </w:r>
            <w:r w:rsidR="00256CEC" w:rsidRPr="00CD0A1E">
              <w:rPr>
                <w:rFonts w:ascii="Cambria" w:hAnsi="Cambria"/>
                <w:sz w:val="20"/>
                <w:szCs w:val="20"/>
                <w:lang w:val="es-ES"/>
              </w:rPr>
              <w:t>si Canadá no podía procesar sus solicitudes</w:t>
            </w:r>
            <w:r w:rsidR="00572FE6" w:rsidRPr="00CD0A1E">
              <w:rPr>
                <w:rFonts w:ascii="Cambria" w:hAnsi="Cambria"/>
                <w:sz w:val="20"/>
                <w:szCs w:val="20"/>
                <w:lang w:val="es-ES"/>
              </w:rPr>
              <w:t>,</w:t>
            </w:r>
            <w:r w:rsidR="00256CEC" w:rsidRPr="00CD0A1E">
              <w:rPr>
                <w:rFonts w:ascii="Cambria" w:hAnsi="Cambria"/>
                <w:sz w:val="20"/>
                <w:szCs w:val="20"/>
                <w:lang w:val="es-ES"/>
              </w:rPr>
              <w:t xml:space="preserve"> y sin ningún tipo de consideración inmediata a sus </w:t>
            </w:r>
            <w:r w:rsidR="00672068" w:rsidRPr="00CD0A1E">
              <w:rPr>
                <w:rFonts w:ascii="Cambria" w:hAnsi="Cambria"/>
                <w:sz w:val="20"/>
                <w:szCs w:val="20"/>
                <w:lang w:val="es-ES"/>
              </w:rPr>
              <w:t>solicitudes</w:t>
            </w:r>
            <w:r w:rsidR="00256CEC" w:rsidRPr="00CD0A1E">
              <w:rPr>
                <w:rFonts w:ascii="Cambria" w:hAnsi="Cambria"/>
                <w:sz w:val="20"/>
                <w:szCs w:val="20"/>
                <w:lang w:val="es-ES"/>
              </w:rPr>
              <w:t xml:space="preserve">. Antes de su partida </w:t>
            </w:r>
            <w:r w:rsidR="00B60EE3" w:rsidRPr="00CD0A1E">
              <w:rPr>
                <w:rFonts w:ascii="Cambria" w:hAnsi="Cambria"/>
                <w:sz w:val="20"/>
                <w:szCs w:val="20"/>
                <w:lang w:val="es-ES"/>
              </w:rPr>
              <w:t xml:space="preserve">se les asignó a </w:t>
            </w:r>
            <w:r w:rsidR="00256CEC" w:rsidRPr="00CD0A1E">
              <w:rPr>
                <w:rFonts w:ascii="Cambria" w:hAnsi="Cambria"/>
                <w:sz w:val="20"/>
                <w:szCs w:val="20"/>
                <w:lang w:val="es-ES"/>
              </w:rPr>
              <w:t>los solicitantes de</w:t>
            </w:r>
            <w:r w:rsidR="00B60EE3" w:rsidRPr="00CD0A1E">
              <w:rPr>
                <w:rFonts w:ascii="Cambria" w:hAnsi="Cambria"/>
                <w:sz w:val="20"/>
                <w:szCs w:val="20"/>
                <w:lang w:val="es-ES"/>
              </w:rPr>
              <w:t xml:space="preserve"> </w:t>
            </w:r>
            <w:r w:rsidR="00256CEC" w:rsidRPr="00CD0A1E">
              <w:rPr>
                <w:rFonts w:ascii="Cambria" w:hAnsi="Cambria"/>
                <w:sz w:val="20"/>
                <w:szCs w:val="20"/>
                <w:lang w:val="es-ES"/>
              </w:rPr>
              <w:t>asilo</w:t>
            </w:r>
            <w:r w:rsidR="00B60EE3" w:rsidRPr="00CD0A1E">
              <w:rPr>
                <w:rFonts w:ascii="Cambria" w:hAnsi="Cambria"/>
                <w:sz w:val="20"/>
                <w:szCs w:val="20"/>
                <w:lang w:val="es-ES"/>
              </w:rPr>
              <w:t xml:space="preserve"> fechas para sus entrevistas para la determinación de la </w:t>
            </w:r>
            <w:r w:rsidR="00672068" w:rsidRPr="00CD0A1E">
              <w:rPr>
                <w:rFonts w:ascii="Cambria" w:hAnsi="Cambria"/>
                <w:sz w:val="20"/>
                <w:szCs w:val="20"/>
                <w:lang w:val="es-ES"/>
              </w:rPr>
              <w:t>condición de refugiada.</w:t>
            </w:r>
            <w:r w:rsidR="00B60EE3" w:rsidRPr="00CD0A1E">
              <w:rPr>
                <w:rFonts w:ascii="Cambria" w:hAnsi="Cambria"/>
                <w:sz w:val="20"/>
                <w:szCs w:val="20"/>
                <w:lang w:val="es-ES"/>
              </w:rPr>
              <w:t xml:space="preserve"> </w:t>
            </w:r>
            <w:r w:rsidR="00672068" w:rsidRPr="00CD0A1E">
              <w:rPr>
                <w:rFonts w:ascii="Cambria" w:hAnsi="Cambria"/>
                <w:sz w:val="20"/>
                <w:szCs w:val="20"/>
                <w:lang w:val="es-ES"/>
              </w:rPr>
              <w:t xml:space="preserve">Debido a este cambio de política, luego de que se les asignó fechas para sus entrevistas, </w:t>
            </w:r>
            <w:r w:rsidRPr="00CD0A1E">
              <w:rPr>
                <w:rFonts w:ascii="Cambria" w:hAnsi="Cambria"/>
                <w:sz w:val="20"/>
                <w:szCs w:val="20"/>
                <w:lang w:val="es-ES"/>
              </w:rPr>
              <w:t xml:space="preserve">John Doe 1, John Doe 2 </w:t>
            </w:r>
            <w:r w:rsidR="00E91610" w:rsidRPr="00CD0A1E">
              <w:rPr>
                <w:rFonts w:ascii="Cambria" w:hAnsi="Cambria"/>
                <w:sz w:val="20"/>
                <w:szCs w:val="20"/>
                <w:lang w:val="es-ES"/>
              </w:rPr>
              <w:t>y</w:t>
            </w:r>
            <w:r w:rsidRPr="00CD0A1E">
              <w:rPr>
                <w:rFonts w:ascii="Cambria" w:hAnsi="Cambria"/>
                <w:sz w:val="20"/>
                <w:szCs w:val="20"/>
                <w:lang w:val="es-ES"/>
              </w:rPr>
              <w:t xml:space="preserve"> John Doe 3 </w:t>
            </w:r>
            <w:r w:rsidR="00E91610" w:rsidRPr="00CD0A1E">
              <w:rPr>
                <w:rFonts w:ascii="Cambria" w:hAnsi="Cambria"/>
                <w:sz w:val="20"/>
                <w:szCs w:val="20"/>
                <w:lang w:val="es-ES"/>
              </w:rPr>
              <w:t>fueron devueltos a Estados Unidos donde fueron arrestados por las autoridades de inmigración y luego deportados a sus países de origen</w:t>
            </w:r>
            <w:r w:rsidRPr="00CD0A1E">
              <w:rPr>
                <w:rFonts w:ascii="Cambria" w:hAnsi="Cambria"/>
                <w:sz w:val="20"/>
                <w:szCs w:val="20"/>
                <w:lang w:val="es-ES"/>
              </w:rPr>
              <w:t xml:space="preserve">.  </w:t>
            </w:r>
          </w:p>
          <w:p w:rsidR="00371B8A" w:rsidRPr="00CD0A1E" w:rsidRDefault="00371B8A" w:rsidP="00236AA1">
            <w:pPr>
              <w:spacing w:after="120" w:line="240" w:lineRule="auto"/>
              <w:jc w:val="both"/>
              <w:rPr>
                <w:rFonts w:ascii="Cambria" w:hAnsi="Cambria"/>
                <w:bCs/>
                <w:sz w:val="20"/>
                <w:szCs w:val="20"/>
                <w:lang w:val="es-ES"/>
              </w:rPr>
            </w:pPr>
            <w:r w:rsidRPr="00CD0A1E">
              <w:rPr>
                <w:rFonts w:ascii="Cambria" w:hAnsi="Cambria"/>
                <w:b/>
                <w:sz w:val="20"/>
                <w:szCs w:val="20"/>
                <w:lang w:val="es-ES"/>
              </w:rPr>
              <w:t xml:space="preserve">Derechos violados: </w:t>
            </w:r>
            <w:r w:rsidRPr="00CD0A1E">
              <w:rPr>
                <w:rFonts w:ascii="Cambria" w:hAnsi="Cambria"/>
                <w:bCs/>
                <w:sz w:val="20"/>
                <w:szCs w:val="20"/>
                <w:lang w:val="es-ES"/>
              </w:rPr>
              <w:t>La Comisión concluyó que el Estado era respons</w:t>
            </w:r>
            <w:r w:rsidR="00E91610" w:rsidRPr="00CD0A1E">
              <w:rPr>
                <w:rFonts w:ascii="Cambria" w:hAnsi="Cambria"/>
                <w:bCs/>
                <w:sz w:val="20"/>
                <w:szCs w:val="20"/>
                <w:lang w:val="es-ES"/>
              </w:rPr>
              <w:t>a</w:t>
            </w:r>
            <w:r w:rsidRPr="00CD0A1E">
              <w:rPr>
                <w:rFonts w:ascii="Cambria" w:hAnsi="Cambria"/>
                <w:bCs/>
                <w:sz w:val="20"/>
                <w:szCs w:val="20"/>
                <w:lang w:val="es-ES"/>
              </w:rPr>
              <w:t>ble por la violación de los artículos XXVII y XVIII de la Declaración Americana por no proteger los derechos de las presuntas víctimas a procurar asilo en un territorio extranjero, por no realizar una evaluac</w:t>
            </w:r>
            <w:r w:rsidR="003E331C">
              <w:rPr>
                <w:rFonts w:ascii="Cambria" w:hAnsi="Cambria"/>
                <w:bCs/>
                <w:sz w:val="20"/>
                <w:szCs w:val="20"/>
                <w:lang w:val="es-ES"/>
              </w:rPr>
              <w:t>ión básica, individualizada con</w:t>
            </w:r>
            <w:r w:rsidRPr="00CD0A1E">
              <w:rPr>
                <w:rFonts w:ascii="Cambria" w:hAnsi="Cambria"/>
                <w:bCs/>
                <w:sz w:val="20"/>
                <w:szCs w:val="20"/>
                <w:lang w:val="es-ES"/>
              </w:rPr>
              <w:t xml:space="preserve"> respecto al riesgo de devolución (</w:t>
            </w:r>
            <w:r w:rsidRPr="00CD0A1E">
              <w:rPr>
                <w:rFonts w:ascii="Cambria" w:hAnsi="Cambria"/>
                <w:bCs/>
                <w:i/>
                <w:sz w:val="20"/>
                <w:szCs w:val="20"/>
                <w:lang w:val="es-ES"/>
              </w:rPr>
              <w:t>refoulement</w:t>
            </w:r>
            <w:r w:rsidRPr="00CD0A1E">
              <w:rPr>
                <w:rFonts w:ascii="Cambria" w:hAnsi="Cambria"/>
                <w:bCs/>
                <w:sz w:val="20"/>
                <w:szCs w:val="20"/>
                <w:lang w:val="es-ES"/>
              </w:rPr>
              <w:t>), y no haber ofrecido a los John Does el acceso efectivo al proceso judicial de la aplicación de la política de devolución directa.</w:t>
            </w:r>
          </w:p>
        </w:tc>
      </w:tr>
    </w:tbl>
    <w:p w:rsidR="00371B8A" w:rsidRPr="00CD0A1E" w:rsidRDefault="00371B8A" w:rsidP="00371B8A">
      <w:pPr>
        <w:spacing w:after="0" w:line="240" w:lineRule="auto"/>
        <w:ind w:left="180"/>
        <w:rPr>
          <w:rFonts w:ascii="Cambria" w:hAnsi="Cambria"/>
          <w:sz w:val="20"/>
          <w:szCs w:val="20"/>
          <w:lang w:val="es-ES"/>
        </w:rPr>
      </w:pPr>
    </w:p>
    <w:p w:rsidR="00371B8A" w:rsidRPr="00CD0A1E" w:rsidRDefault="00371B8A" w:rsidP="00236AA1">
      <w:pPr>
        <w:pStyle w:val="NoSpacing"/>
        <w:numPr>
          <w:ilvl w:val="0"/>
          <w:numId w:val="18"/>
        </w:numPr>
        <w:ind w:left="1440" w:hanging="720"/>
        <w:jc w:val="both"/>
        <w:rPr>
          <w:rFonts w:ascii="Cambria" w:hAnsi="Cambria" w:cs="Calibri Light"/>
          <w:b/>
          <w:sz w:val="20"/>
          <w:szCs w:val="20"/>
          <w:lang w:val="es-ES"/>
        </w:rPr>
      </w:pPr>
      <w:r w:rsidRPr="00CD0A1E">
        <w:rPr>
          <w:rFonts w:ascii="Cambria" w:hAnsi="Cambria" w:cs="Calibri Light"/>
          <w:b/>
          <w:sz w:val="20"/>
          <w:szCs w:val="20"/>
          <w:lang w:val="es-ES"/>
        </w:rPr>
        <w:t xml:space="preserve">Recomendaciones </w:t>
      </w:r>
    </w:p>
    <w:p w:rsidR="00371B8A" w:rsidRPr="00CD0A1E" w:rsidRDefault="00371B8A" w:rsidP="00371B8A">
      <w:pPr>
        <w:spacing w:after="0" w:line="240" w:lineRule="auto"/>
        <w:ind w:left="1080"/>
        <w:jc w:val="both"/>
        <w:rPr>
          <w:rFonts w:ascii="Cambria" w:hAnsi="Cambria" w:cs="Calibri Light"/>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250"/>
      </w:tblGrid>
      <w:tr w:rsidR="00371B8A" w:rsidRPr="00790E65" w:rsidTr="002005E0">
        <w:trPr>
          <w:trHeight w:val="251"/>
        </w:trPr>
        <w:tc>
          <w:tcPr>
            <w:tcW w:w="7290" w:type="dxa"/>
            <w:shd w:val="clear" w:color="auto" w:fill="auto"/>
            <w:vAlign w:val="center"/>
          </w:tcPr>
          <w:p w:rsidR="00371B8A" w:rsidRPr="00CD0A1E" w:rsidRDefault="00371B8A" w:rsidP="002005E0">
            <w:pPr>
              <w:spacing w:after="0" w:line="240" w:lineRule="auto"/>
              <w:jc w:val="center"/>
              <w:rPr>
                <w:rFonts w:ascii="Cambria" w:hAnsi="Cambria" w:cs="Calibri Light"/>
                <w:b/>
                <w:sz w:val="18"/>
                <w:szCs w:val="18"/>
                <w:lang w:val="es-ES"/>
              </w:rPr>
            </w:pPr>
            <w:r w:rsidRPr="00CD0A1E">
              <w:rPr>
                <w:rFonts w:ascii="Cambria" w:hAnsi="Cambria" w:cs="Calibri Light"/>
                <w:b/>
                <w:sz w:val="18"/>
                <w:szCs w:val="18"/>
                <w:lang w:val="es-ES"/>
              </w:rPr>
              <w:t>Recomendaciones</w:t>
            </w:r>
          </w:p>
        </w:tc>
        <w:tc>
          <w:tcPr>
            <w:tcW w:w="2250" w:type="dxa"/>
            <w:shd w:val="clear" w:color="auto" w:fill="auto"/>
            <w:vAlign w:val="center"/>
          </w:tcPr>
          <w:p w:rsidR="00371B8A" w:rsidRPr="00CD0A1E" w:rsidRDefault="00371B8A" w:rsidP="002005E0">
            <w:pPr>
              <w:spacing w:after="0" w:line="240" w:lineRule="auto"/>
              <w:jc w:val="center"/>
              <w:rPr>
                <w:rFonts w:ascii="Cambria" w:hAnsi="Cambria" w:cs="Calibri Light"/>
                <w:b/>
                <w:sz w:val="18"/>
                <w:szCs w:val="18"/>
                <w:lang w:val="es-ES"/>
              </w:rPr>
            </w:pPr>
            <w:r w:rsidRPr="00CD0A1E">
              <w:rPr>
                <w:rFonts w:ascii="Cambria" w:hAnsi="Cambria" w:cs="Calibri Light"/>
                <w:b/>
                <w:sz w:val="18"/>
                <w:szCs w:val="18"/>
                <w:lang w:val="es-ES"/>
              </w:rPr>
              <w:t>Estado de cumplimiento en el 2018</w:t>
            </w:r>
          </w:p>
        </w:tc>
      </w:tr>
      <w:tr w:rsidR="00371B8A" w:rsidRPr="00CD0A1E" w:rsidTr="002005E0">
        <w:tc>
          <w:tcPr>
            <w:tcW w:w="7290" w:type="dxa"/>
            <w:shd w:val="clear" w:color="auto" w:fill="auto"/>
          </w:tcPr>
          <w:p w:rsidR="00371B8A" w:rsidRPr="00CD0A1E" w:rsidRDefault="00371B8A" w:rsidP="002005E0">
            <w:pPr>
              <w:spacing w:after="0" w:line="240" w:lineRule="auto"/>
              <w:jc w:val="both"/>
              <w:rPr>
                <w:rFonts w:ascii="Cambria" w:hAnsi="Cambria"/>
                <w:sz w:val="18"/>
                <w:szCs w:val="18"/>
                <w:lang w:val="es-ES"/>
              </w:rPr>
            </w:pPr>
            <w:r w:rsidRPr="00CD0A1E">
              <w:rPr>
                <w:rFonts w:ascii="Cambria" w:hAnsi="Cambria"/>
                <w:sz w:val="18"/>
                <w:szCs w:val="18"/>
                <w:lang w:val="es-ES"/>
              </w:rPr>
              <w:t>1. Adopte medi</w:t>
            </w:r>
            <w:r w:rsidR="0040675A" w:rsidRPr="00CD0A1E">
              <w:rPr>
                <w:rFonts w:ascii="Cambria" w:hAnsi="Cambria"/>
                <w:sz w:val="18"/>
                <w:szCs w:val="18"/>
                <w:lang w:val="es-ES"/>
              </w:rPr>
              <w:t>d</w:t>
            </w:r>
            <w:r w:rsidRPr="00CD0A1E">
              <w:rPr>
                <w:rFonts w:ascii="Cambria" w:hAnsi="Cambria"/>
                <w:sz w:val="18"/>
                <w:szCs w:val="18"/>
                <w:lang w:val="es-ES"/>
              </w:rPr>
              <w:t>as para identificar a los John Does y verifique su situación y condición, a fin de procesar cualquier pedido pendiente de asilo que éstos deseen tramitar.</w:t>
            </w:r>
          </w:p>
        </w:tc>
        <w:tc>
          <w:tcPr>
            <w:tcW w:w="2250" w:type="dxa"/>
            <w:shd w:val="clear" w:color="auto" w:fill="auto"/>
            <w:vAlign w:val="center"/>
          </w:tcPr>
          <w:p w:rsidR="00371B8A" w:rsidRPr="00CD0A1E" w:rsidRDefault="00371B8A" w:rsidP="002005E0">
            <w:pPr>
              <w:spacing w:after="0" w:line="240" w:lineRule="auto"/>
              <w:jc w:val="center"/>
              <w:rPr>
                <w:rFonts w:ascii="Cambria" w:hAnsi="Cambria" w:cs="Calibri Light"/>
                <w:b/>
                <w:sz w:val="18"/>
                <w:szCs w:val="18"/>
                <w:lang w:val="es-ES"/>
              </w:rPr>
            </w:pPr>
            <w:r w:rsidRPr="00CD0A1E">
              <w:rPr>
                <w:rFonts w:ascii="Cambria" w:eastAsia="MS Mincho" w:hAnsi="Cambria" w:cs="Calibri"/>
                <w:bCs/>
                <w:sz w:val="18"/>
                <w:szCs w:val="18"/>
                <w:lang w:val="es-ES" w:eastAsia="es-ES_tradnl"/>
              </w:rPr>
              <w:t>Pendiente de cumplimiento</w:t>
            </w:r>
          </w:p>
        </w:tc>
      </w:tr>
      <w:tr w:rsidR="00371B8A" w:rsidRPr="00CD0A1E" w:rsidTr="002005E0">
        <w:tc>
          <w:tcPr>
            <w:tcW w:w="7290" w:type="dxa"/>
            <w:shd w:val="clear" w:color="auto" w:fill="auto"/>
          </w:tcPr>
          <w:p w:rsidR="00371B8A" w:rsidRPr="00CD0A1E" w:rsidRDefault="00371B8A" w:rsidP="002005E0">
            <w:pPr>
              <w:spacing w:after="0" w:line="240" w:lineRule="auto"/>
              <w:jc w:val="both"/>
              <w:rPr>
                <w:rFonts w:ascii="Cambria" w:hAnsi="Cambria"/>
                <w:sz w:val="18"/>
                <w:szCs w:val="18"/>
                <w:lang w:val="es-ES"/>
              </w:rPr>
            </w:pPr>
            <w:r w:rsidRPr="00CD0A1E">
              <w:rPr>
                <w:rFonts w:ascii="Cambria" w:hAnsi="Cambria"/>
                <w:sz w:val="18"/>
                <w:szCs w:val="18"/>
                <w:lang w:val="es-ES"/>
              </w:rPr>
              <w:t>2. Haga una total reparación a los John Does por las violaciones establecidas, incluyendo los perjuicios materiales pero no limitándose únicamente a los mismos.</w:t>
            </w:r>
          </w:p>
        </w:tc>
        <w:tc>
          <w:tcPr>
            <w:tcW w:w="2250" w:type="dxa"/>
            <w:shd w:val="clear" w:color="auto" w:fill="auto"/>
            <w:vAlign w:val="center"/>
          </w:tcPr>
          <w:p w:rsidR="00371B8A" w:rsidRPr="00CD0A1E" w:rsidRDefault="00371B8A" w:rsidP="002005E0">
            <w:pPr>
              <w:spacing w:after="0" w:line="240" w:lineRule="auto"/>
              <w:jc w:val="center"/>
              <w:rPr>
                <w:rFonts w:ascii="Cambria" w:hAnsi="Cambria" w:cs="Calibri Light"/>
                <w:b/>
                <w:sz w:val="18"/>
                <w:szCs w:val="18"/>
                <w:lang w:val="es-ES"/>
              </w:rPr>
            </w:pPr>
            <w:r w:rsidRPr="00CD0A1E">
              <w:rPr>
                <w:rFonts w:ascii="Cambria" w:eastAsia="MS Mincho" w:hAnsi="Cambria" w:cs="Calibri"/>
                <w:bCs/>
                <w:sz w:val="18"/>
                <w:szCs w:val="18"/>
                <w:lang w:val="es-ES" w:eastAsia="es-ES_tradnl"/>
              </w:rPr>
              <w:t>Pendiente de cumplimiento</w:t>
            </w:r>
          </w:p>
        </w:tc>
      </w:tr>
      <w:tr w:rsidR="00371B8A" w:rsidRPr="00CD0A1E" w:rsidTr="002005E0">
        <w:tc>
          <w:tcPr>
            <w:tcW w:w="7290" w:type="dxa"/>
            <w:shd w:val="clear" w:color="auto" w:fill="auto"/>
          </w:tcPr>
          <w:p w:rsidR="00371B8A" w:rsidRPr="00CD0A1E" w:rsidRDefault="00371B8A" w:rsidP="002005E0">
            <w:pPr>
              <w:spacing w:after="0" w:line="240" w:lineRule="auto"/>
              <w:jc w:val="both"/>
              <w:rPr>
                <w:rFonts w:ascii="Cambria" w:hAnsi="Cambria"/>
                <w:sz w:val="18"/>
                <w:szCs w:val="18"/>
                <w:lang w:val="es-ES"/>
              </w:rPr>
            </w:pPr>
            <w:r w:rsidRPr="00CD0A1E">
              <w:rPr>
                <w:rFonts w:ascii="Cambria" w:hAnsi="Cambria"/>
                <w:sz w:val="18"/>
                <w:szCs w:val="18"/>
                <w:lang w:val="es-ES"/>
              </w:rPr>
              <w:t xml:space="preserve">3. Adopte las medidas legislativas necesarias o cambios administrativos para asegurar que los solicitantes de refugio reciben el debido proceso al presentar sus solicitudes de asilo. Si se continúa con la aplicación de la política de devolución directa, esto requerirá que se deberán obtener las garantías necesarias de las autoridades de inmigración del tercer Estado, de que las personas que sean devueltas directamente podrán retornar al Canadá para asistir a sus entrevistas de determinación de la condición de refugiado. A su vez, el Estado deberá realizar análisis individualizados basados en la legislación de inmigración del tercer Estado para determinar si las personas que son devueltas directamente tendrían acceso a solicitar asilo en dicho Estado y que no se enfrentarán con impedimentos legales automáticos.  En aquellos casos en que hubiere un impedimento para solicitar asilo, éstos no podrán ser devueltos en forma directa. Finalmente, cualquier política de “devolución directa” deberá incluir un análisis individualizado para determinar si hay un riesgo de una </w:t>
            </w:r>
            <w:r w:rsidRPr="00CD0A1E">
              <w:rPr>
                <w:rFonts w:ascii="Cambria" w:hAnsi="Cambria"/>
                <w:sz w:val="18"/>
                <w:szCs w:val="18"/>
                <w:lang w:val="es-ES"/>
              </w:rPr>
              <w:lastRenderedPageBreak/>
              <w:t>posterior devolución (</w:t>
            </w:r>
            <w:r w:rsidRPr="00CD0A1E">
              <w:rPr>
                <w:rFonts w:ascii="Cambria" w:hAnsi="Cambria"/>
                <w:i/>
                <w:sz w:val="18"/>
                <w:szCs w:val="18"/>
                <w:lang w:val="es-ES"/>
              </w:rPr>
              <w:t>refoulement</w:t>
            </w:r>
            <w:r w:rsidRPr="00CD0A1E">
              <w:rPr>
                <w:rFonts w:ascii="Cambria" w:hAnsi="Cambria"/>
                <w:sz w:val="18"/>
                <w:szCs w:val="18"/>
                <w:lang w:val="es-ES"/>
              </w:rPr>
              <w:t>) de algún solicitante de asilo que ha sido devuelto al tercer Estado.</w:t>
            </w:r>
          </w:p>
        </w:tc>
        <w:tc>
          <w:tcPr>
            <w:tcW w:w="2250" w:type="dxa"/>
            <w:shd w:val="clear" w:color="auto" w:fill="auto"/>
            <w:vAlign w:val="center"/>
          </w:tcPr>
          <w:p w:rsidR="00371B8A" w:rsidRPr="00CD0A1E" w:rsidRDefault="00371B8A" w:rsidP="002005E0">
            <w:pPr>
              <w:spacing w:after="0" w:line="240" w:lineRule="auto"/>
              <w:jc w:val="center"/>
              <w:rPr>
                <w:rFonts w:ascii="Cambria" w:hAnsi="Cambria" w:cs="Calibri Light"/>
                <w:b/>
                <w:sz w:val="18"/>
                <w:szCs w:val="18"/>
                <w:lang w:val="es-ES"/>
              </w:rPr>
            </w:pPr>
            <w:r w:rsidRPr="00CD0A1E">
              <w:rPr>
                <w:rFonts w:ascii="Cambria" w:hAnsi="Cambria"/>
                <w:sz w:val="18"/>
                <w:szCs w:val="18"/>
                <w:lang w:val="es-ES"/>
              </w:rPr>
              <w:lastRenderedPageBreak/>
              <w:t>Cumplimiento parcial</w:t>
            </w:r>
          </w:p>
        </w:tc>
      </w:tr>
      <w:tr w:rsidR="00371B8A" w:rsidRPr="00CD0A1E" w:rsidTr="002005E0">
        <w:tc>
          <w:tcPr>
            <w:tcW w:w="7290" w:type="dxa"/>
            <w:shd w:val="clear" w:color="auto" w:fill="auto"/>
          </w:tcPr>
          <w:p w:rsidR="00371B8A" w:rsidRPr="00CD0A1E" w:rsidRDefault="00371B8A" w:rsidP="002005E0">
            <w:pPr>
              <w:spacing w:after="0" w:line="240" w:lineRule="auto"/>
              <w:jc w:val="both"/>
              <w:rPr>
                <w:rFonts w:ascii="Cambria" w:hAnsi="Cambria"/>
                <w:sz w:val="18"/>
                <w:szCs w:val="18"/>
                <w:lang w:val="es-ES"/>
              </w:rPr>
            </w:pPr>
            <w:r w:rsidRPr="00CD0A1E">
              <w:rPr>
                <w:rFonts w:ascii="Cambria" w:hAnsi="Cambria"/>
                <w:sz w:val="18"/>
                <w:szCs w:val="18"/>
                <w:lang w:val="es-ES"/>
              </w:rPr>
              <w:t>4. Adopte las medidas legislativas o de otro tipo, necesarias para asegurar que los solicitantes</w:t>
            </w:r>
            <w:r w:rsidR="006911D6" w:rsidRPr="00CD0A1E">
              <w:rPr>
                <w:rFonts w:ascii="Cambria" w:hAnsi="Cambria"/>
                <w:sz w:val="18"/>
                <w:szCs w:val="18"/>
                <w:lang w:val="es-ES"/>
              </w:rPr>
              <w:t xml:space="preserve"> </w:t>
            </w:r>
            <w:r w:rsidRPr="00CD0A1E">
              <w:rPr>
                <w:rFonts w:ascii="Cambria" w:hAnsi="Cambria"/>
                <w:sz w:val="18"/>
                <w:szCs w:val="18"/>
                <w:lang w:val="es-ES"/>
              </w:rPr>
              <w:t>de asilo tiene</w:t>
            </w:r>
            <w:r w:rsidR="006911D6" w:rsidRPr="00CD0A1E">
              <w:rPr>
                <w:rFonts w:ascii="Cambria" w:hAnsi="Cambria"/>
                <w:sz w:val="18"/>
                <w:szCs w:val="18"/>
                <w:lang w:val="es-ES"/>
              </w:rPr>
              <w:t>n</w:t>
            </w:r>
            <w:r w:rsidRPr="00CD0A1E">
              <w:rPr>
                <w:rFonts w:ascii="Cambria" w:hAnsi="Cambria"/>
                <w:sz w:val="18"/>
                <w:szCs w:val="18"/>
                <w:lang w:val="es-ES"/>
              </w:rPr>
              <w:t xml:space="preserve"> acceso a recursos internos adecuados y eficaces para impugnar las devoluciones directas antes que ocurran.</w:t>
            </w:r>
          </w:p>
        </w:tc>
        <w:tc>
          <w:tcPr>
            <w:tcW w:w="2250" w:type="dxa"/>
            <w:shd w:val="clear" w:color="auto" w:fill="auto"/>
            <w:vAlign w:val="center"/>
          </w:tcPr>
          <w:p w:rsidR="00371B8A" w:rsidRPr="00CD0A1E" w:rsidRDefault="00371B8A" w:rsidP="002005E0">
            <w:pPr>
              <w:spacing w:after="0" w:line="240" w:lineRule="auto"/>
              <w:jc w:val="center"/>
              <w:rPr>
                <w:rFonts w:ascii="Cambria" w:hAnsi="Cambria" w:cs="Calibri Light"/>
                <w:b/>
                <w:sz w:val="18"/>
                <w:szCs w:val="18"/>
                <w:highlight w:val="yellow"/>
                <w:lang w:val="es-ES"/>
              </w:rPr>
            </w:pPr>
            <w:r w:rsidRPr="00CD0A1E">
              <w:rPr>
                <w:rFonts w:ascii="Cambria" w:eastAsia="MS Mincho" w:hAnsi="Cambria" w:cs="Calibri"/>
                <w:bCs/>
                <w:sz w:val="18"/>
                <w:szCs w:val="18"/>
                <w:lang w:val="es-ES" w:eastAsia="es-ES_tradnl"/>
              </w:rPr>
              <w:t>Pendiente de cumplimiento</w:t>
            </w:r>
          </w:p>
        </w:tc>
      </w:tr>
    </w:tbl>
    <w:p w:rsidR="00371B8A" w:rsidRPr="00CD0A1E" w:rsidRDefault="00371B8A" w:rsidP="00371B8A">
      <w:pPr>
        <w:spacing w:after="0" w:line="240" w:lineRule="auto"/>
        <w:jc w:val="both"/>
        <w:rPr>
          <w:rFonts w:ascii="Cambria" w:hAnsi="Cambria" w:cs="Calibri Light"/>
          <w:sz w:val="20"/>
          <w:szCs w:val="20"/>
          <w:lang w:val="es-ES"/>
        </w:rPr>
      </w:pPr>
    </w:p>
    <w:p w:rsidR="00371B8A" w:rsidRPr="00CD0A1E" w:rsidRDefault="00371B8A" w:rsidP="00236AA1">
      <w:pPr>
        <w:pStyle w:val="NoSpacing"/>
        <w:numPr>
          <w:ilvl w:val="0"/>
          <w:numId w:val="18"/>
        </w:numPr>
        <w:ind w:left="1440" w:hanging="720"/>
        <w:jc w:val="both"/>
        <w:rPr>
          <w:rFonts w:ascii="Cambria" w:hAnsi="Cambria" w:cs="Calibri Light"/>
          <w:b/>
          <w:sz w:val="20"/>
          <w:szCs w:val="20"/>
          <w:lang w:val="es-ES"/>
        </w:rPr>
      </w:pPr>
      <w:r w:rsidRPr="00236AA1">
        <w:rPr>
          <w:rFonts w:ascii="Cambria" w:hAnsi="Cambria" w:cs="Calibri Light"/>
          <w:b/>
          <w:sz w:val="20"/>
          <w:szCs w:val="20"/>
          <w:lang w:val="es-ES"/>
        </w:rPr>
        <w:t>Actividad Procesal</w:t>
      </w:r>
    </w:p>
    <w:p w:rsidR="00371B8A" w:rsidRPr="00CD0A1E" w:rsidRDefault="00371B8A" w:rsidP="00371B8A">
      <w:pPr>
        <w:spacing w:after="0" w:line="240" w:lineRule="auto"/>
        <w:jc w:val="both"/>
        <w:rPr>
          <w:rFonts w:ascii="Cambria" w:hAnsi="Cambria" w:cs="Calibri Light"/>
          <w:sz w:val="20"/>
          <w:szCs w:val="20"/>
          <w:lang w:val="es-ES"/>
        </w:rPr>
      </w:pPr>
    </w:p>
    <w:p w:rsidR="00371B8A" w:rsidRPr="00CD0A1E" w:rsidRDefault="0040675A"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E</w:t>
      </w:r>
      <w:r w:rsidR="00A83FCB" w:rsidRPr="00CD0A1E">
        <w:rPr>
          <w:rFonts w:ascii="Cambria" w:hAnsi="Cambria" w:cs="Calibri Light"/>
          <w:sz w:val="20"/>
          <w:szCs w:val="20"/>
          <w:lang w:val="es-ES"/>
        </w:rPr>
        <w:t>n 2018</w:t>
      </w:r>
      <w:r w:rsidR="00371B8A" w:rsidRPr="00CD0A1E">
        <w:rPr>
          <w:rFonts w:ascii="Cambria" w:hAnsi="Cambria" w:cs="Calibri Light"/>
          <w:sz w:val="20"/>
          <w:szCs w:val="20"/>
          <w:lang w:val="es-ES"/>
        </w:rPr>
        <w:t xml:space="preserve">, </w:t>
      </w:r>
      <w:r w:rsidRPr="00CD0A1E">
        <w:rPr>
          <w:rFonts w:ascii="Cambria" w:hAnsi="Cambria" w:cs="Calibri Light"/>
          <w:sz w:val="20"/>
          <w:szCs w:val="20"/>
          <w:lang w:val="es-ES"/>
        </w:rPr>
        <w:t xml:space="preserve">la CIDH solicitó información actualizada sobre el cumplimiento </w:t>
      </w:r>
      <w:r w:rsidR="00A83FCB" w:rsidRPr="00CD0A1E">
        <w:rPr>
          <w:rFonts w:ascii="Cambria" w:hAnsi="Cambria" w:cs="Calibri Light"/>
          <w:sz w:val="20"/>
          <w:szCs w:val="20"/>
          <w:lang w:val="es-ES"/>
        </w:rPr>
        <w:t>al</w:t>
      </w:r>
      <w:r w:rsidR="006911D6" w:rsidRPr="00CD0A1E">
        <w:rPr>
          <w:rFonts w:ascii="Cambria" w:hAnsi="Cambria" w:cs="Calibri Light"/>
          <w:sz w:val="20"/>
          <w:szCs w:val="20"/>
          <w:lang w:val="es-ES"/>
        </w:rPr>
        <w:t xml:space="preserve"> Estado</w:t>
      </w:r>
      <w:r w:rsidR="00A83FCB" w:rsidRPr="00CD0A1E">
        <w:rPr>
          <w:rFonts w:ascii="Cambria" w:hAnsi="Cambria" w:cs="Calibri Light"/>
          <w:sz w:val="20"/>
          <w:szCs w:val="20"/>
          <w:lang w:val="es-ES"/>
        </w:rPr>
        <w:t xml:space="preserve"> el 18 de julio</w:t>
      </w:r>
      <w:r w:rsidRPr="00CD0A1E">
        <w:rPr>
          <w:rFonts w:ascii="Cambria" w:hAnsi="Cambria" w:cs="Calibri Light"/>
          <w:sz w:val="20"/>
          <w:szCs w:val="20"/>
          <w:lang w:val="es-ES"/>
        </w:rPr>
        <w:t xml:space="preserve">. </w:t>
      </w:r>
      <w:r w:rsidR="00A83FCB" w:rsidRPr="00CD0A1E">
        <w:rPr>
          <w:rFonts w:ascii="Cambria" w:hAnsi="Cambria" w:cs="Calibri Light"/>
          <w:sz w:val="20"/>
          <w:szCs w:val="20"/>
          <w:lang w:val="es-ES"/>
        </w:rPr>
        <w:t xml:space="preserve">A la fecha de cierre de este informe, </w:t>
      </w:r>
      <w:r w:rsidRPr="00CD0A1E">
        <w:rPr>
          <w:rFonts w:ascii="Cambria" w:hAnsi="Cambria" w:cs="Calibri Light"/>
          <w:sz w:val="20"/>
          <w:szCs w:val="20"/>
          <w:lang w:val="es-ES"/>
        </w:rPr>
        <w:t xml:space="preserve">la Comisión no había recibido </w:t>
      </w:r>
      <w:r w:rsidR="00A83FCB" w:rsidRPr="00CD0A1E">
        <w:rPr>
          <w:rFonts w:ascii="Cambria" w:hAnsi="Cambria" w:cs="Calibri Light"/>
          <w:sz w:val="20"/>
          <w:szCs w:val="20"/>
          <w:lang w:val="es-ES"/>
        </w:rPr>
        <w:t xml:space="preserve">dicha </w:t>
      </w:r>
      <w:r w:rsidRPr="00CD0A1E">
        <w:rPr>
          <w:rFonts w:ascii="Cambria" w:hAnsi="Cambria" w:cs="Calibri Light"/>
          <w:sz w:val="20"/>
          <w:szCs w:val="20"/>
          <w:lang w:val="es-ES"/>
        </w:rPr>
        <w:t>por parte del Estado</w:t>
      </w:r>
      <w:r w:rsidR="00371B8A" w:rsidRPr="00CD0A1E">
        <w:rPr>
          <w:rFonts w:ascii="Cambria" w:hAnsi="Cambria" w:cs="Calibri Light"/>
          <w:sz w:val="20"/>
          <w:szCs w:val="20"/>
          <w:lang w:val="es-ES"/>
        </w:rPr>
        <w:t>.</w:t>
      </w:r>
    </w:p>
    <w:p w:rsidR="00371B8A" w:rsidRPr="00CD0A1E" w:rsidRDefault="00371B8A" w:rsidP="00371B8A">
      <w:pPr>
        <w:pStyle w:val="ListParagraph"/>
        <w:spacing w:after="0" w:line="240" w:lineRule="auto"/>
        <w:jc w:val="both"/>
        <w:rPr>
          <w:rFonts w:ascii="Cambria" w:hAnsi="Cambria" w:cs="Calibri Light"/>
          <w:sz w:val="20"/>
          <w:szCs w:val="20"/>
          <w:lang w:val="es-ES"/>
        </w:rPr>
      </w:pPr>
    </w:p>
    <w:p w:rsidR="00371B8A" w:rsidRPr="00CD0A1E" w:rsidRDefault="00FF71E2"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 xml:space="preserve">La CIDH solicitó información actualizada sobre el cumplimiento a los peticionarios el 11 de septiembre de 2018, y éstos la enviaron el 27 de diciembre de </w:t>
      </w:r>
      <w:r w:rsidR="00371B8A" w:rsidRPr="00CD0A1E">
        <w:rPr>
          <w:rFonts w:ascii="Cambria" w:hAnsi="Cambria" w:cs="Calibri Light"/>
          <w:sz w:val="20"/>
          <w:szCs w:val="20"/>
          <w:lang w:val="es-ES"/>
        </w:rPr>
        <w:t>2018.</w:t>
      </w:r>
    </w:p>
    <w:p w:rsidR="00371B8A" w:rsidRPr="00CD0A1E" w:rsidRDefault="00371B8A" w:rsidP="00371B8A">
      <w:pPr>
        <w:spacing w:after="0" w:line="240" w:lineRule="auto"/>
        <w:jc w:val="both"/>
        <w:rPr>
          <w:rFonts w:ascii="Cambria" w:hAnsi="Cambria" w:cs="Calibri Light"/>
          <w:sz w:val="20"/>
          <w:szCs w:val="20"/>
          <w:lang w:val="es-ES"/>
        </w:rPr>
      </w:pPr>
    </w:p>
    <w:p w:rsidR="00371B8A" w:rsidRPr="00CD0A1E" w:rsidRDefault="007C4E19" w:rsidP="00236AA1">
      <w:pPr>
        <w:pStyle w:val="NoSpacing"/>
        <w:numPr>
          <w:ilvl w:val="0"/>
          <w:numId w:val="18"/>
        </w:numPr>
        <w:ind w:left="1440" w:hanging="720"/>
        <w:jc w:val="both"/>
        <w:rPr>
          <w:rFonts w:ascii="Cambria" w:hAnsi="Cambria" w:cs="Calibri Light"/>
          <w:b/>
          <w:sz w:val="20"/>
          <w:szCs w:val="20"/>
          <w:lang w:val="es-ES"/>
        </w:rPr>
      </w:pPr>
      <w:r>
        <w:rPr>
          <w:rFonts w:ascii="Cambria" w:hAnsi="Cambria" w:cs="Calibri Light"/>
          <w:b/>
          <w:sz w:val="20"/>
          <w:szCs w:val="20"/>
          <w:lang w:val="es-ES"/>
        </w:rPr>
        <w:t>Análisis relativo</w:t>
      </w:r>
      <w:r w:rsidR="00371B8A" w:rsidRPr="00CD0A1E">
        <w:rPr>
          <w:rFonts w:ascii="Cambria" w:hAnsi="Cambria" w:cs="Calibri Light"/>
          <w:b/>
          <w:sz w:val="20"/>
          <w:szCs w:val="20"/>
          <w:lang w:val="es-ES"/>
        </w:rPr>
        <w:t xml:space="preserve"> a información proporcionada</w:t>
      </w:r>
    </w:p>
    <w:p w:rsidR="00371B8A" w:rsidRPr="00CD0A1E" w:rsidRDefault="00371B8A" w:rsidP="00371B8A">
      <w:pPr>
        <w:spacing w:after="0" w:line="240" w:lineRule="auto"/>
        <w:jc w:val="both"/>
        <w:rPr>
          <w:rFonts w:ascii="Cambria" w:hAnsi="Cambria" w:cs="Calibri Light"/>
          <w:sz w:val="20"/>
          <w:szCs w:val="20"/>
          <w:lang w:val="es-ES"/>
        </w:rPr>
      </w:pPr>
    </w:p>
    <w:p w:rsidR="00371B8A" w:rsidRPr="00CD0A1E" w:rsidRDefault="00FF71E2"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E</w:t>
      </w:r>
      <w:r w:rsidR="00371B8A" w:rsidRPr="00CD0A1E">
        <w:rPr>
          <w:rFonts w:ascii="Cambria" w:hAnsi="Cambria" w:cs="Calibri Light"/>
          <w:sz w:val="20"/>
          <w:szCs w:val="20"/>
          <w:lang w:val="es-ES"/>
        </w:rPr>
        <w:t>n 2018 e</w:t>
      </w:r>
      <w:r w:rsidR="00DE7161" w:rsidRPr="00CD0A1E">
        <w:rPr>
          <w:rFonts w:ascii="Cambria" w:hAnsi="Cambria" w:cs="Calibri Light"/>
          <w:sz w:val="20"/>
          <w:szCs w:val="20"/>
          <w:lang w:val="es-ES"/>
        </w:rPr>
        <w:t>l</w:t>
      </w:r>
      <w:r w:rsidR="00371B8A" w:rsidRPr="00CD0A1E">
        <w:rPr>
          <w:rFonts w:ascii="Cambria" w:hAnsi="Cambria" w:cs="Calibri Light"/>
          <w:sz w:val="20"/>
          <w:szCs w:val="20"/>
          <w:lang w:val="es-ES"/>
        </w:rPr>
        <w:t xml:space="preserve"> </w:t>
      </w:r>
      <w:r w:rsidR="00DE7161" w:rsidRPr="00CD0A1E">
        <w:rPr>
          <w:rFonts w:ascii="Cambria" w:hAnsi="Cambria" w:cs="Calibri Light"/>
          <w:sz w:val="20"/>
          <w:szCs w:val="20"/>
          <w:lang w:val="es-ES"/>
        </w:rPr>
        <w:t xml:space="preserve">Estado no presentó información </w:t>
      </w:r>
      <w:r w:rsidR="00A83FCB" w:rsidRPr="00CD0A1E">
        <w:rPr>
          <w:rFonts w:ascii="Cambria" w:hAnsi="Cambria" w:cs="Calibri Light"/>
          <w:sz w:val="20"/>
          <w:szCs w:val="20"/>
          <w:lang w:val="es-ES"/>
        </w:rPr>
        <w:t xml:space="preserve">en respuesta a la solicitud de la Comisión de información </w:t>
      </w:r>
      <w:r w:rsidR="00DE7161" w:rsidRPr="00CD0A1E">
        <w:rPr>
          <w:rFonts w:ascii="Cambria" w:hAnsi="Cambria" w:cs="Calibri Light"/>
          <w:sz w:val="20"/>
          <w:szCs w:val="20"/>
          <w:lang w:val="es-ES"/>
        </w:rPr>
        <w:t xml:space="preserve">actualizada </w:t>
      </w:r>
      <w:r w:rsidR="00A83FCB" w:rsidRPr="00CD0A1E">
        <w:rPr>
          <w:rFonts w:ascii="Cambria" w:hAnsi="Cambria" w:cs="Calibri Light"/>
          <w:sz w:val="20"/>
          <w:szCs w:val="20"/>
          <w:lang w:val="es-ES"/>
        </w:rPr>
        <w:t>sobre el cumplimiento de las recomendaciones</w:t>
      </w:r>
      <w:r w:rsidR="00DE7161" w:rsidRPr="00CD0A1E">
        <w:rPr>
          <w:rFonts w:ascii="Cambria" w:hAnsi="Cambria" w:cs="Calibri Light"/>
          <w:sz w:val="20"/>
          <w:szCs w:val="20"/>
          <w:lang w:val="es-ES"/>
        </w:rPr>
        <w:t>. La Comisión observa con</w:t>
      </w:r>
      <w:r w:rsidR="00147131" w:rsidRPr="00CD0A1E">
        <w:rPr>
          <w:rFonts w:ascii="Cambria" w:hAnsi="Cambria" w:cs="Calibri Light"/>
          <w:sz w:val="20"/>
          <w:szCs w:val="20"/>
          <w:lang w:val="es-ES"/>
        </w:rPr>
        <w:t xml:space="preserve"> </w:t>
      </w:r>
      <w:r w:rsidR="00DE7161" w:rsidRPr="00CD0A1E">
        <w:rPr>
          <w:rFonts w:ascii="Cambria" w:hAnsi="Cambria" w:cs="Calibri Light"/>
          <w:sz w:val="20"/>
          <w:szCs w:val="20"/>
          <w:lang w:val="es-ES"/>
        </w:rPr>
        <w:t xml:space="preserve">preocupación que el Estado de Canadá no ha presentado información sobre las medidas adoptadas para implementar las recomendaciones contenidas en el Informe </w:t>
      </w:r>
      <w:r w:rsidR="00A83FCB" w:rsidRPr="00CD0A1E">
        <w:rPr>
          <w:rFonts w:ascii="Cambria" w:hAnsi="Cambria" w:cs="Calibri Light"/>
          <w:sz w:val="20"/>
          <w:szCs w:val="20"/>
          <w:lang w:val="es-ES"/>
        </w:rPr>
        <w:t xml:space="preserve">de Fondo Nº. </w:t>
      </w:r>
      <w:r w:rsidR="00DE7161" w:rsidRPr="00CD0A1E">
        <w:rPr>
          <w:rFonts w:ascii="Cambria" w:hAnsi="Cambria" w:cs="Calibri Light"/>
          <w:sz w:val="20"/>
          <w:szCs w:val="20"/>
          <w:lang w:val="es-ES"/>
        </w:rPr>
        <w:t xml:space="preserve">78/11 </w:t>
      </w:r>
      <w:r w:rsidR="00A83FCB" w:rsidRPr="00CD0A1E">
        <w:rPr>
          <w:rFonts w:ascii="Cambria" w:hAnsi="Cambria" w:cs="Calibri Light"/>
          <w:sz w:val="20"/>
          <w:szCs w:val="20"/>
          <w:lang w:val="es-ES"/>
        </w:rPr>
        <w:t>a</w:t>
      </w:r>
      <w:r w:rsidR="00147131" w:rsidRPr="00CD0A1E">
        <w:rPr>
          <w:rFonts w:ascii="Cambria" w:hAnsi="Cambria" w:cs="Calibri Light"/>
          <w:sz w:val="20"/>
          <w:szCs w:val="20"/>
          <w:lang w:val="es-ES"/>
        </w:rPr>
        <w:t xml:space="preserve"> la CIDH desde </w:t>
      </w:r>
      <w:r w:rsidR="00371B8A" w:rsidRPr="00CD0A1E">
        <w:rPr>
          <w:rFonts w:ascii="Cambria" w:hAnsi="Cambria" w:cs="Calibri Light"/>
          <w:sz w:val="20"/>
          <w:szCs w:val="20"/>
          <w:lang w:val="es-ES"/>
        </w:rPr>
        <w:t xml:space="preserve">2012. </w:t>
      </w:r>
    </w:p>
    <w:p w:rsidR="00371B8A" w:rsidRPr="00CD0A1E" w:rsidRDefault="00371B8A" w:rsidP="00371B8A">
      <w:pPr>
        <w:pStyle w:val="ListParagraph"/>
        <w:spacing w:after="0" w:line="240" w:lineRule="auto"/>
        <w:jc w:val="both"/>
        <w:rPr>
          <w:rFonts w:ascii="Cambria" w:hAnsi="Cambria" w:cs="Calibri Light"/>
          <w:sz w:val="20"/>
          <w:szCs w:val="20"/>
          <w:highlight w:val="yellow"/>
          <w:lang w:val="es-ES"/>
        </w:rPr>
      </w:pPr>
    </w:p>
    <w:p w:rsidR="00371B8A" w:rsidRPr="00CD0A1E" w:rsidRDefault="00147131"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La Comisión considera que la informaci</w:t>
      </w:r>
      <w:r w:rsidR="00DB0B5E" w:rsidRPr="00CD0A1E">
        <w:rPr>
          <w:rFonts w:ascii="Cambria" w:hAnsi="Cambria" w:cs="Calibri Light"/>
          <w:sz w:val="20"/>
          <w:szCs w:val="20"/>
          <w:lang w:val="es-ES"/>
        </w:rPr>
        <w:t>ó</w:t>
      </w:r>
      <w:r w:rsidRPr="00CD0A1E">
        <w:rPr>
          <w:rFonts w:ascii="Cambria" w:hAnsi="Cambria" w:cs="Calibri Light"/>
          <w:sz w:val="20"/>
          <w:szCs w:val="20"/>
          <w:lang w:val="es-ES"/>
        </w:rPr>
        <w:t xml:space="preserve">n presentada por los peticionarios en 2018 es </w:t>
      </w:r>
      <w:r w:rsidR="00A83FCB" w:rsidRPr="00CD0A1E">
        <w:rPr>
          <w:rFonts w:ascii="Cambria" w:hAnsi="Cambria" w:cs="Calibri Light"/>
          <w:sz w:val="20"/>
          <w:szCs w:val="20"/>
          <w:lang w:val="es-ES"/>
        </w:rPr>
        <w:t>relevante</w:t>
      </w:r>
      <w:r w:rsidRPr="00CD0A1E">
        <w:rPr>
          <w:rFonts w:ascii="Cambria" w:hAnsi="Cambria" w:cs="Calibri Light"/>
          <w:sz w:val="20"/>
          <w:szCs w:val="20"/>
          <w:lang w:val="es-ES"/>
        </w:rPr>
        <w:t xml:space="preserve"> </w:t>
      </w:r>
      <w:r w:rsidR="00A83FCB" w:rsidRPr="00CD0A1E">
        <w:rPr>
          <w:rFonts w:ascii="Cambria" w:hAnsi="Cambria" w:cs="Calibri Light"/>
          <w:sz w:val="20"/>
          <w:szCs w:val="20"/>
          <w:lang w:val="es-ES"/>
        </w:rPr>
        <w:t xml:space="preserve">dado que </w:t>
      </w:r>
      <w:r w:rsidRPr="00CD0A1E">
        <w:rPr>
          <w:rFonts w:ascii="Cambria" w:hAnsi="Cambria" w:cs="Calibri Light"/>
          <w:sz w:val="20"/>
          <w:szCs w:val="20"/>
          <w:lang w:val="es-ES"/>
        </w:rPr>
        <w:t xml:space="preserve">es actualizada y </w:t>
      </w:r>
      <w:r w:rsidR="00A83FCB" w:rsidRPr="00CD0A1E">
        <w:rPr>
          <w:rFonts w:ascii="Cambria" w:hAnsi="Cambria" w:cs="Calibri Light"/>
          <w:sz w:val="20"/>
          <w:szCs w:val="20"/>
          <w:lang w:val="es-ES"/>
        </w:rPr>
        <w:t xml:space="preserve">amplia sobre </w:t>
      </w:r>
      <w:r w:rsidRPr="00CD0A1E">
        <w:rPr>
          <w:rFonts w:ascii="Cambria" w:hAnsi="Cambria" w:cs="Calibri Light"/>
          <w:sz w:val="20"/>
          <w:szCs w:val="20"/>
          <w:lang w:val="es-ES"/>
        </w:rPr>
        <w:t>medidas adoptadas</w:t>
      </w:r>
      <w:r w:rsidR="00A83FCB" w:rsidRPr="00CD0A1E">
        <w:rPr>
          <w:rFonts w:ascii="Cambria" w:hAnsi="Cambria" w:cs="Calibri Light"/>
          <w:sz w:val="20"/>
          <w:szCs w:val="20"/>
          <w:lang w:val="es-ES"/>
        </w:rPr>
        <w:t xml:space="preserve"> relativas al cumplimiento de al menos una de las recomendaciones emitidas</w:t>
      </w:r>
      <w:r w:rsidRPr="00CD0A1E">
        <w:rPr>
          <w:rFonts w:ascii="Cambria" w:hAnsi="Cambria" w:cs="Calibri Light"/>
          <w:sz w:val="20"/>
          <w:szCs w:val="20"/>
          <w:lang w:val="es-ES"/>
        </w:rPr>
        <w:t xml:space="preserve"> en el Informe</w:t>
      </w:r>
      <w:r w:rsidR="00DB0B5E" w:rsidRPr="00CD0A1E">
        <w:rPr>
          <w:rFonts w:ascii="Cambria" w:hAnsi="Cambria" w:cs="Calibri Light"/>
          <w:sz w:val="20"/>
          <w:szCs w:val="20"/>
          <w:lang w:val="es-ES"/>
        </w:rPr>
        <w:t xml:space="preserve"> </w:t>
      </w:r>
      <w:r w:rsidR="00A83FCB" w:rsidRPr="00CD0A1E">
        <w:rPr>
          <w:rFonts w:ascii="Cambria" w:hAnsi="Cambria" w:cs="Calibri Light"/>
          <w:sz w:val="20"/>
          <w:szCs w:val="20"/>
          <w:lang w:val="es-ES"/>
        </w:rPr>
        <w:t>de Fondo</w:t>
      </w:r>
      <w:r w:rsidRPr="00CD0A1E">
        <w:rPr>
          <w:rFonts w:ascii="Cambria" w:hAnsi="Cambria" w:cs="Calibri Light"/>
          <w:sz w:val="20"/>
          <w:szCs w:val="20"/>
          <w:lang w:val="es-ES"/>
        </w:rPr>
        <w:t xml:space="preserve"> N</w:t>
      </w:r>
      <w:r w:rsidR="00A83FCB" w:rsidRPr="00CD0A1E">
        <w:rPr>
          <w:rFonts w:ascii="Cambria" w:hAnsi="Cambria" w:cs="Calibri Light"/>
          <w:sz w:val="20"/>
          <w:szCs w:val="20"/>
          <w:lang w:val="es-ES"/>
        </w:rPr>
        <w:t>º.</w:t>
      </w:r>
      <w:r w:rsidRPr="00CD0A1E">
        <w:rPr>
          <w:rFonts w:ascii="Cambria" w:hAnsi="Cambria" w:cs="Calibri Light"/>
          <w:sz w:val="20"/>
          <w:szCs w:val="20"/>
          <w:lang w:val="es-ES"/>
        </w:rPr>
        <w:t xml:space="preserve"> 78/11. La Comisión </w:t>
      </w:r>
      <w:r w:rsidR="00A83FCB" w:rsidRPr="00CD0A1E">
        <w:rPr>
          <w:rFonts w:ascii="Cambria" w:hAnsi="Cambria" w:cs="Calibri Light"/>
          <w:sz w:val="20"/>
          <w:szCs w:val="20"/>
          <w:lang w:val="es-ES"/>
        </w:rPr>
        <w:t>valora positivamente que los peticionarios hayan presentado información</w:t>
      </w:r>
      <w:r w:rsidR="00DB0B5E" w:rsidRPr="00CD0A1E">
        <w:rPr>
          <w:rFonts w:ascii="Cambria" w:hAnsi="Cambria" w:cs="Calibri Light"/>
          <w:sz w:val="20"/>
          <w:szCs w:val="20"/>
          <w:lang w:val="es-ES"/>
        </w:rPr>
        <w:t xml:space="preserve"> a la CIDH después de 5 años</w:t>
      </w:r>
      <w:r w:rsidR="00371B8A" w:rsidRPr="00CD0A1E">
        <w:rPr>
          <w:rFonts w:ascii="Cambria" w:hAnsi="Cambria" w:cs="Calibri Light"/>
          <w:sz w:val="20"/>
          <w:szCs w:val="20"/>
          <w:lang w:val="es-ES"/>
        </w:rPr>
        <w:t xml:space="preserve">.   </w:t>
      </w:r>
    </w:p>
    <w:p w:rsidR="00371B8A" w:rsidRPr="00CD0A1E" w:rsidRDefault="00371B8A" w:rsidP="00371B8A">
      <w:pPr>
        <w:spacing w:after="0" w:line="240" w:lineRule="auto"/>
        <w:jc w:val="both"/>
        <w:rPr>
          <w:rFonts w:ascii="Cambria" w:hAnsi="Cambria" w:cs="Calibri Light"/>
          <w:sz w:val="20"/>
          <w:szCs w:val="20"/>
          <w:lang w:val="es-ES"/>
        </w:rPr>
      </w:pPr>
    </w:p>
    <w:p w:rsidR="00371B8A" w:rsidRPr="00CD0A1E" w:rsidRDefault="00371B8A" w:rsidP="00236AA1">
      <w:pPr>
        <w:pStyle w:val="NoSpacing"/>
        <w:numPr>
          <w:ilvl w:val="0"/>
          <w:numId w:val="18"/>
        </w:numPr>
        <w:ind w:left="1440" w:hanging="720"/>
        <w:jc w:val="both"/>
        <w:rPr>
          <w:rFonts w:ascii="Cambria" w:hAnsi="Cambria" w:cs="Calibri Light"/>
          <w:b/>
          <w:sz w:val="20"/>
          <w:szCs w:val="20"/>
          <w:lang w:val="es-ES"/>
        </w:rPr>
      </w:pPr>
      <w:r w:rsidRPr="00CD0A1E">
        <w:rPr>
          <w:rFonts w:ascii="Cambria" w:hAnsi="Cambria" w:cs="Calibri Light"/>
          <w:b/>
          <w:sz w:val="20"/>
          <w:szCs w:val="20"/>
          <w:lang w:val="es-ES"/>
        </w:rPr>
        <w:t>Análisis del cumplimiento de las recomendaciones</w:t>
      </w:r>
    </w:p>
    <w:p w:rsidR="00371B8A" w:rsidRPr="00CD0A1E" w:rsidRDefault="00371B8A" w:rsidP="00371B8A">
      <w:pPr>
        <w:spacing w:after="0" w:line="240" w:lineRule="auto"/>
        <w:jc w:val="both"/>
        <w:rPr>
          <w:rFonts w:ascii="Cambria" w:hAnsi="Cambria" w:cs="Calibri Light"/>
          <w:sz w:val="20"/>
          <w:szCs w:val="20"/>
          <w:lang w:val="es-ES"/>
        </w:rPr>
      </w:pPr>
    </w:p>
    <w:p w:rsidR="00371B8A" w:rsidRPr="00CD0A1E" w:rsidRDefault="00371B8A"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b/>
          <w:sz w:val="20"/>
          <w:szCs w:val="20"/>
          <w:lang w:val="es-ES"/>
        </w:rPr>
        <w:t>En relación con la primera recomendación</w:t>
      </w:r>
      <w:r w:rsidRPr="00CD0A1E">
        <w:rPr>
          <w:rFonts w:ascii="Cambria" w:hAnsi="Cambria" w:cs="Calibri Light"/>
          <w:sz w:val="20"/>
          <w:szCs w:val="20"/>
          <w:lang w:val="es-ES"/>
        </w:rPr>
        <w:t xml:space="preserve">, en 2012, el Estado informó que era imposible identificar a los John Does </w:t>
      </w:r>
      <w:r w:rsidR="00790E65">
        <w:rPr>
          <w:rFonts w:ascii="Cambria" w:hAnsi="Cambria" w:cs="Calibri Light"/>
          <w:sz w:val="20"/>
          <w:szCs w:val="20"/>
          <w:lang w:val="es-ES"/>
        </w:rPr>
        <w:t>1</w:t>
      </w:r>
      <w:r w:rsidRPr="00CD0A1E">
        <w:rPr>
          <w:rFonts w:ascii="Cambria" w:hAnsi="Cambria" w:cs="Calibri Light"/>
          <w:sz w:val="20"/>
          <w:szCs w:val="20"/>
          <w:lang w:val="es-ES"/>
        </w:rPr>
        <w:t xml:space="preserve"> y </w:t>
      </w:r>
      <w:r w:rsidR="00790E65">
        <w:rPr>
          <w:rFonts w:ascii="Cambria" w:hAnsi="Cambria" w:cs="Calibri Light"/>
          <w:sz w:val="20"/>
          <w:szCs w:val="20"/>
          <w:lang w:val="es-ES"/>
        </w:rPr>
        <w:t>2</w:t>
      </w:r>
      <w:r w:rsidRPr="00CD0A1E">
        <w:rPr>
          <w:rFonts w:ascii="Cambria" w:hAnsi="Cambria" w:cs="Calibri Light"/>
          <w:sz w:val="20"/>
          <w:szCs w:val="20"/>
          <w:lang w:val="es-ES"/>
        </w:rPr>
        <w:t xml:space="preserve"> porque siempre han sido, y siguen siendo, anónimos. </w:t>
      </w:r>
      <w:r w:rsidR="00DB0B5E" w:rsidRPr="00CD0A1E">
        <w:rPr>
          <w:rFonts w:ascii="Cambria" w:hAnsi="Cambria"/>
          <w:sz w:val="20"/>
          <w:szCs w:val="20"/>
          <w:lang w:val="es-ES"/>
        </w:rPr>
        <w:t xml:space="preserve">El Estado mencionó que </w:t>
      </w:r>
      <w:r w:rsidR="004465AA" w:rsidRPr="00CD0A1E">
        <w:rPr>
          <w:rFonts w:ascii="Cambria" w:hAnsi="Cambria"/>
          <w:sz w:val="20"/>
          <w:szCs w:val="20"/>
          <w:lang w:val="es-ES"/>
        </w:rPr>
        <w:t>ni</w:t>
      </w:r>
      <w:r w:rsidR="00DB0B5E" w:rsidRPr="00CD0A1E">
        <w:rPr>
          <w:rFonts w:ascii="Cambria" w:hAnsi="Cambria"/>
          <w:sz w:val="20"/>
          <w:szCs w:val="20"/>
          <w:lang w:val="es-ES"/>
        </w:rPr>
        <w:t xml:space="preserve"> los peticionarios ni la Comisión han sum</w:t>
      </w:r>
      <w:r w:rsidR="00195BD5" w:rsidRPr="00CD0A1E">
        <w:rPr>
          <w:rFonts w:ascii="Cambria" w:hAnsi="Cambria"/>
          <w:sz w:val="20"/>
          <w:szCs w:val="20"/>
          <w:lang w:val="es-ES"/>
        </w:rPr>
        <w:t>i</w:t>
      </w:r>
      <w:r w:rsidR="00DB0B5E" w:rsidRPr="00CD0A1E">
        <w:rPr>
          <w:rFonts w:ascii="Cambria" w:hAnsi="Cambria"/>
          <w:sz w:val="20"/>
          <w:szCs w:val="20"/>
          <w:lang w:val="es-ES"/>
        </w:rPr>
        <w:t>nistrado información adicional que pueda asistir al Estado en la identificación de</w:t>
      </w:r>
      <w:r w:rsidR="00195BD5" w:rsidRPr="00CD0A1E">
        <w:rPr>
          <w:rFonts w:ascii="Cambria" w:hAnsi="Cambria"/>
          <w:sz w:val="20"/>
          <w:szCs w:val="20"/>
          <w:lang w:val="es-ES"/>
        </w:rPr>
        <w:t xml:space="preserve"> los </w:t>
      </w:r>
      <w:r w:rsidRPr="00CD0A1E">
        <w:rPr>
          <w:rFonts w:ascii="Cambria" w:hAnsi="Cambria"/>
          <w:sz w:val="20"/>
          <w:szCs w:val="20"/>
          <w:lang w:val="es-ES"/>
        </w:rPr>
        <w:t xml:space="preserve">John Does 1 </w:t>
      </w:r>
      <w:r w:rsidR="00195BD5" w:rsidRPr="00CD0A1E">
        <w:rPr>
          <w:rFonts w:ascii="Cambria" w:hAnsi="Cambria"/>
          <w:sz w:val="20"/>
          <w:szCs w:val="20"/>
          <w:lang w:val="es-ES"/>
        </w:rPr>
        <w:t>y</w:t>
      </w:r>
      <w:r w:rsidRPr="00CD0A1E">
        <w:rPr>
          <w:rFonts w:ascii="Cambria" w:hAnsi="Cambria"/>
          <w:sz w:val="20"/>
          <w:szCs w:val="20"/>
          <w:lang w:val="es-ES"/>
        </w:rPr>
        <w:t xml:space="preserve"> 2</w:t>
      </w:r>
      <w:r w:rsidR="00B33DD5">
        <w:rPr>
          <w:rStyle w:val="FootnoteReference"/>
          <w:rFonts w:ascii="Cambria" w:hAnsi="Cambria"/>
          <w:sz w:val="20"/>
          <w:szCs w:val="20"/>
          <w:lang w:val="es-ES"/>
        </w:rPr>
        <w:footnoteReference w:id="1"/>
      </w:r>
      <w:r w:rsidRPr="00CD0A1E">
        <w:rPr>
          <w:rFonts w:ascii="Cambria" w:hAnsi="Cambria"/>
          <w:sz w:val="20"/>
          <w:szCs w:val="20"/>
          <w:lang w:val="es-ES"/>
        </w:rPr>
        <w:t xml:space="preserve">. </w:t>
      </w:r>
      <w:r w:rsidRPr="00CD0A1E">
        <w:rPr>
          <w:rFonts w:ascii="Cambria" w:hAnsi="Cambria" w:cs="Calibri Light"/>
          <w:sz w:val="20"/>
          <w:szCs w:val="20"/>
          <w:lang w:val="es-ES"/>
        </w:rPr>
        <w:t>Respecto de John Doe 3, mientras el caso estaba siendo procesado por la CIDH, el Estado presentó información que éste había regresado a Canadá después de haber sido deportado a Albania y que luego se le otorgó asilo</w:t>
      </w:r>
      <w:r w:rsidRPr="00CD0A1E">
        <w:rPr>
          <w:rStyle w:val="FootnoteReference"/>
          <w:rFonts w:ascii="Cambria" w:hAnsi="Cambria"/>
          <w:sz w:val="20"/>
          <w:szCs w:val="20"/>
          <w:lang w:val="es-ES"/>
        </w:rPr>
        <w:footnoteReference w:id="2"/>
      </w:r>
      <w:r w:rsidRPr="00CD0A1E">
        <w:rPr>
          <w:rFonts w:ascii="Cambria" w:hAnsi="Cambria" w:cs="Calibri Light"/>
          <w:sz w:val="20"/>
          <w:szCs w:val="20"/>
          <w:lang w:val="es-ES"/>
        </w:rPr>
        <w:t>.</w:t>
      </w:r>
      <w:r w:rsidRPr="00CD0A1E">
        <w:rPr>
          <w:rFonts w:ascii="Cambria" w:hAnsi="Cambria"/>
          <w:sz w:val="20"/>
          <w:szCs w:val="20"/>
          <w:lang w:val="es-ES"/>
        </w:rPr>
        <w:t xml:space="preserve"> </w:t>
      </w:r>
      <w:r w:rsidR="003D6CC4" w:rsidRPr="00CD0A1E">
        <w:rPr>
          <w:rFonts w:ascii="Cambria" w:hAnsi="Cambria"/>
          <w:sz w:val="20"/>
          <w:szCs w:val="20"/>
          <w:lang w:val="es-ES"/>
        </w:rPr>
        <w:t>No obstante</w:t>
      </w:r>
      <w:r w:rsidR="00EF3FA6" w:rsidRPr="00CD0A1E">
        <w:rPr>
          <w:rFonts w:ascii="Cambria" w:hAnsi="Cambria"/>
          <w:sz w:val="20"/>
          <w:szCs w:val="20"/>
          <w:lang w:val="es-ES"/>
        </w:rPr>
        <w:t>, en 2012</w:t>
      </w:r>
      <w:r w:rsidR="003E331C">
        <w:rPr>
          <w:rFonts w:ascii="Cambria" w:hAnsi="Cambria"/>
          <w:sz w:val="20"/>
          <w:szCs w:val="20"/>
          <w:lang w:val="es-ES"/>
        </w:rPr>
        <w:t>, el Estado señaló que, pese a la identificación</w:t>
      </w:r>
      <w:r w:rsidR="00EF3FA6" w:rsidRPr="00CD0A1E">
        <w:rPr>
          <w:rFonts w:ascii="Cambria" w:hAnsi="Cambria"/>
          <w:sz w:val="20"/>
          <w:szCs w:val="20"/>
          <w:lang w:val="es-ES"/>
        </w:rPr>
        <w:t xml:space="preserve"> en forma tentativ</w:t>
      </w:r>
      <w:r w:rsidR="00EC5776" w:rsidRPr="00CD0A1E">
        <w:rPr>
          <w:rFonts w:ascii="Cambria" w:hAnsi="Cambria"/>
          <w:sz w:val="20"/>
          <w:szCs w:val="20"/>
          <w:lang w:val="es-ES"/>
        </w:rPr>
        <w:t>a</w:t>
      </w:r>
      <w:r w:rsidR="00EF3FA6" w:rsidRPr="00CD0A1E">
        <w:rPr>
          <w:rFonts w:ascii="Cambria" w:hAnsi="Cambria"/>
          <w:sz w:val="20"/>
          <w:szCs w:val="20"/>
          <w:lang w:val="es-ES"/>
        </w:rPr>
        <w:t xml:space="preserve"> </w:t>
      </w:r>
      <w:r w:rsidR="003E331C">
        <w:rPr>
          <w:rFonts w:ascii="Cambria" w:hAnsi="Cambria"/>
          <w:sz w:val="20"/>
          <w:szCs w:val="20"/>
          <w:lang w:val="es-ES"/>
        </w:rPr>
        <w:t xml:space="preserve">de </w:t>
      </w:r>
      <w:r w:rsidR="00EF3FA6" w:rsidRPr="00CD0A1E">
        <w:rPr>
          <w:rFonts w:ascii="Cambria" w:hAnsi="Cambria"/>
          <w:sz w:val="20"/>
          <w:szCs w:val="20"/>
          <w:lang w:val="es-ES"/>
        </w:rPr>
        <w:t>una persona que se devolvió y</w:t>
      </w:r>
      <w:r w:rsidR="000E0AD2" w:rsidRPr="00CD0A1E">
        <w:rPr>
          <w:rFonts w:ascii="Cambria" w:hAnsi="Cambria"/>
          <w:sz w:val="20"/>
          <w:szCs w:val="20"/>
          <w:lang w:val="es-ES"/>
        </w:rPr>
        <w:t xml:space="preserve"> que</w:t>
      </w:r>
      <w:r w:rsidR="00EF3FA6" w:rsidRPr="00CD0A1E">
        <w:rPr>
          <w:rFonts w:ascii="Cambria" w:hAnsi="Cambria"/>
          <w:sz w:val="20"/>
          <w:szCs w:val="20"/>
          <w:lang w:val="es-ES"/>
        </w:rPr>
        <w:t xml:space="preserve"> luego re</w:t>
      </w:r>
      <w:r w:rsidR="00EC5776" w:rsidRPr="00CD0A1E">
        <w:rPr>
          <w:rFonts w:ascii="Cambria" w:hAnsi="Cambria"/>
          <w:sz w:val="20"/>
          <w:szCs w:val="20"/>
          <w:lang w:val="es-ES"/>
        </w:rPr>
        <w:t>t</w:t>
      </w:r>
      <w:r w:rsidR="00EF3FA6" w:rsidRPr="00CD0A1E">
        <w:rPr>
          <w:rFonts w:ascii="Cambria" w:hAnsi="Cambria"/>
          <w:sz w:val="20"/>
          <w:szCs w:val="20"/>
          <w:lang w:val="es-ES"/>
        </w:rPr>
        <w:t>ornó a Canadá,</w:t>
      </w:r>
      <w:r w:rsidR="003E331C">
        <w:rPr>
          <w:rFonts w:ascii="Cambria" w:hAnsi="Cambria"/>
          <w:sz w:val="20"/>
          <w:szCs w:val="20"/>
          <w:lang w:val="es-ES"/>
        </w:rPr>
        <w:t xml:space="preserve"> y que después de presentar</w:t>
      </w:r>
      <w:r w:rsidR="00EF3FA6" w:rsidRPr="00CD0A1E">
        <w:rPr>
          <w:rFonts w:ascii="Cambria" w:hAnsi="Cambria"/>
          <w:sz w:val="20"/>
          <w:szCs w:val="20"/>
          <w:lang w:val="es-ES"/>
        </w:rPr>
        <w:t xml:space="preserve"> </w:t>
      </w:r>
      <w:r w:rsidR="003E331C">
        <w:rPr>
          <w:rFonts w:ascii="Cambria" w:hAnsi="Cambria"/>
          <w:sz w:val="20"/>
          <w:szCs w:val="20"/>
          <w:lang w:val="es-ES"/>
        </w:rPr>
        <w:t>solicitud de asilo</w:t>
      </w:r>
      <w:r w:rsidR="00EF3FA6" w:rsidRPr="00CD0A1E">
        <w:rPr>
          <w:rFonts w:ascii="Cambria" w:hAnsi="Cambria"/>
          <w:sz w:val="20"/>
          <w:szCs w:val="20"/>
          <w:lang w:val="es-ES"/>
        </w:rPr>
        <w:t xml:space="preserve"> se</w:t>
      </w:r>
      <w:r w:rsidR="00EC5776" w:rsidRPr="00CD0A1E">
        <w:rPr>
          <w:rFonts w:ascii="Cambria" w:hAnsi="Cambria"/>
          <w:sz w:val="20"/>
          <w:szCs w:val="20"/>
          <w:lang w:val="es-ES"/>
        </w:rPr>
        <w:t xml:space="preserve"> </w:t>
      </w:r>
      <w:r w:rsidR="00EF3FA6" w:rsidRPr="00CD0A1E">
        <w:rPr>
          <w:rFonts w:ascii="Cambria" w:hAnsi="Cambria"/>
          <w:sz w:val="20"/>
          <w:szCs w:val="20"/>
          <w:lang w:val="es-ES"/>
        </w:rPr>
        <w:t>le</w:t>
      </w:r>
      <w:r w:rsidR="003E331C">
        <w:rPr>
          <w:rFonts w:ascii="Cambria" w:hAnsi="Cambria"/>
          <w:sz w:val="20"/>
          <w:szCs w:val="20"/>
          <w:lang w:val="es-ES"/>
        </w:rPr>
        <w:t xml:space="preserve"> había otorgado</w:t>
      </w:r>
      <w:r w:rsidR="00EF3FA6" w:rsidRPr="00CD0A1E">
        <w:rPr>
          <w:rFonts w:ascii="Cambria" w:hAnsi="Cambria"/>
          <w:sz w:val="20"/>
          <w:szCs w:val="20"/>
          <w:lang w:val="es-ES"/>
        </w:rPr>
        <w:t xml:space="preserve"> </w:t>
      </w:r>
      <w:r w:rsidR="003E331C">
        <w:rPr>
          <w:rFonts w:ascii="Cambria" w:hAnsi="Cambria"/>
          <w:sz w:val="20"/>
          <w:szCs w:val="20"/>
          <w:lang w:val="es-ES"/>
        </w:rPr>
        <w:t xml:space="preserve">la </w:t>
      </w:r>
      <w:r w:rsidR="00EF3FA6" w:rsidRPr="00CD0A1E">
        <w:rPr>
          <w:rFonts w:ascii="Cambria" w:hAnsi="Cambria"/>
          <w:sz w:val="20"/>
          <w:szCs w:val="20"/>
          <w:lang w:val="es-ES"/>
        </w:rPr>
        <w:t>protecci</w:t>
      </w:r>
      <w:r w:rsidR="00EC5776" w:rsidRPr="00CD0A1E">
        <w:rPr>
          <w:rFonts w:ascii="Cambria" w:hAnsi="Cambria"/>
          <w:sz w:val="20"/>
          <w:szCs w:val="20"/>
          <w:lang w:val="es-ES"/>
        </w:rPr>
        <w:t>ó</w:t>
      </w:r>
      <w:r w:rsidR="003E331C">
        <w:rPr>
          <w:rFonts w:ascii="Cambria" w:hAnsi="Cambria"/>
          <w:sz w:val="20"/>
          <w:szCs w:val="20"/>
          <w:lang w:val="es-ES"/>
        </w:rPr>
        <w:t xml:space="preserve">n de refugiado, </w:t>
      </w:r>
      <w:r w:rsidR="00EF3FA6" w:rsidRPr="00CD0A1E">
        <w:rPr>
          <w:rFonts w:ascii="Cambria" w:hAnsi="Cambria"/>
          <w:sz w:val="20"/>
          <w:szCs w:val="20"/>
          <w:lang w:val="es-ES"/>
        </w:rPr>
        <w:t>no sab</w:t>
      </w:r>
      <w:r w:rsidR="00EC5776" w:rsidRPr="00CD0A1E">
        <w:rPr>
          <w:rFonts w:ascii="Cambria" w:hAnsi="Cambria"/>
          <w:sz w:val="20"/>
          <w:szCs w:val="20"/>
          <w:lang w:val="es-ES"/>
        </w:rPr>
        <w:t>í</w:t>
      </w:r>
      <w:r w:rsidR="00EF3FA6" w:rsidRPr="00CD0A1E">
        <w:rPr>
          <w:rFonts w:ascii="Cambria" w:hAnsi="Cambria"/>
          <w:sz w:val="20"/>
          <w:szCs w:val="20"/>
          <w:lang w:val="es-ES"/>
        </w:rPr>
        <w:t>a si esta persona es</w:t>
      </w:r>
      <w:r w:rsidR="0020031E" w:rsidRPr="00CD0A1E">
        <w:rPr>
          <w:rFonts w:ascii="Cambria" w:hAnsi="Cambria"/>
          <w:sz w:val="20"/>
          <w:szCs w:val="20"/>
          <w:lang w:val="es-ES"/>
        </w:rPr>
        <w:t xml:space="preserve"> o no</w:t>
      </w:r>
      <w:r w:rsidR="00EF3FA6" w:rsidRPr="00CD0A1E">
        <w:rPr>
          <w:rFonts w:ascii="Cambria" w:hAnsi="Cambria"/>
          <w:sz w:val="20"/>
          <w:szCs w:val="20"/>
          <w:lang w:val="es-ES"/>
        </w:rPr>
        <w:t xml:space="preserve"> uno de los tres John Does</w:t>
      </w:r>
      <w:r w:rsidR="00E6543F">
        <w:rPr>
          <w:rFonts w:ascii="Cambria" w:hAnsi="Cambria"/>
          <w:sz w:val="20"/>
          <w:szCs w:val="20"/>
          <w:lang w:val="es-ES"/>
        </w:rPr>
        <w:t xml:space="preserve"> </w:t>
      </w:r>
      <w:r w:rsidR="00EC5776" w:rsidRPr="00CD0A1E">
        <w:rPr>
          <w:rFonts w:ascii="Cambria" w:hAnsi="Cambria"/>
          <w:sz w:val="20"/>
          <w:szCs w:val="20"/>
          <w:lang w:val="es-ES"/>
        </w:rPr>
        <w:t>porque</w:t>
      </w:r>
      <w:r w:rsidR="00E6543F">
        <w:rPr>
          <w:rFonts w:ascii="Cambria" w:hAnsi="Cambria"/>
          <w:sz w:val="20"/>
          <w:szCs w:val="20"/>
          <w:lang w:val="es-ES"/>
        </w:rPr>
        <w:t xml:space="preserve"> dicha persona no</w:t>
      </w:r>
      <w:r w:rsidR="00EC5776" w:rsidRPr="00CD0A1E">
        <w:rPr>
          <w:rFonts w:ascii="Cambria" w:hAnsi="Cambria"/>
          <w:sz w:val="20"/>
          <w:szCs w:val="20"/>
          <w:lang w:val="es-ES"/>
        </w:rPr>
        <w:t xml:space="preserve"> había </w:t>
      </w:r>
      <w:r w:rsidR="00E6543F">
        <w:rPr>
          <w:rFonts w:ascii="Cambria" w:hAnsi="Cambria"/>
          <w:sz w:val="20"/>
          <w:szCs w:val="20"/>
          <w:lang w:val="es-ES"/>
        </w:rPr>
        <w:t>procedido a identificarse.</w:t>
      </w:r>
      <w:r w:rsidRPr="00CD0A1E">
        <w:rPr>
          <w:rFonts w:ascii="Cambria" w:hAnsi="Cambria"/>
          <w:sz w:val="20"/>
          <w:szCs w:val="20"/>
          <w:lang w:val="es-ES"/>
        </w:rPr>
        <w:t xml:space="preserve"> </w:t>
      </w:r>
      <w:r w:rsidR="000E0AD2" w:rsidRPr="00CD0A1E">
        <w:rPr>
          <w:rFonts w:ascii="Cambria" w:hAnsi="Cambria"/>
          <w:sz w:val="20"/>
          <w:szCs w:val="20"/>
          <w:lang w:val="es-ES"/>
        </w:rPr>
        <w:t>Además, el Estado expresó que a</w:t>
      </w:r>
      <w:r w:rsidR="001162CB" w:rsidRPr="00CD0A1E">
        <w:rPr>
          <w:rFonts w:ascii="Cambria" w:hAnsi="Cambria"/>
          <w:sz w:val="20"/>
          <w:szCs w:val="20"/>
          <w:lang w:val="es-ES"/>
        </w:rPr>
        <w:t>ú</w:t>
      </w:r>
      <w:r w:rsidR="000E0AD2" w:rsidRPr="00CD0A1E">
        <w:rPr>
          <w:rFonts w:ascii="Cambria" w:hAnsi="Cambria"/>
          <w:sz w:val="20"/>
          <w:szCs w:val="20"/>
          <w:lang w:val="es-ES"/>
        </w:rPr>
        <w:t xml:space="preserve">n si esta persona es </w:t>
      </w:r>
      <w:r w:rsidRPr="00CD0A1E">
        <w:rPr>
          <w:rFonts w:ascii="Cambria" w:hAnsi="Cambria"/>
          <w:sz w:val="20"/>
          <w:szCs w:val="20"/>
          <w:lang w:val="es-ES"/>
        </w:rPr>
        <w:t xml:space="preserve">John Doe 3 </w:t>
      </w:r>
      <w:r w:rsidR="000E0AD2" w:rsidRPr="00CD0A1E">
        <w:rPr>
          <w:rFonts w:ascii="Cambria" w:hAnsi="Cambria"/>
          <w:sz w:val="20"/>
          <w:szCs w:val="20"/>
          <w:lang w:val="es-ES"/>
        </w:rPr>
        <w:t xml:space="preserve">los hechos de su caso no respaldan </w:t>
      </w:r>
      <w:r w:rsidR="001162CB" w:rsidRPr="00CD0A1E">
        <w:rPr>
          <w:rFonts w:ascii="Cambria" w:hAnsi="Cambria"/>
          <w:sz w:val="20"/>
          <w:szCs w:val="20"/>
          <w:lang w:val="es-ES"/>
        </w:rPr>
        <w:t xml:space="preserve">la </w:t>
      </w:r>
      <w:r w:rsidR="0090002C" w:rsidRPr="00CD0A1E">
        <w:rPr>
          <w:rFonts w:ascii="Cambria" w:hAnsi="Cambria"/>
          <w:sz w:val="20"/>
          <w:szCs w:val="20"/>
          <w:lang w:val="es-ES"/>
        </w:rPr>
        <w:t>conclusión</w:t>
      </w:r>
      <w:r w:rsidR="001162CB" w:rsidRPr="00CD0A1E">
        <w:rPr>
          <w:rFonts w:ascii="Cambria" w:hAnsi="Cambria"/>
          <w:sz w:val="20"/>
          <w:szCs w:val="20"/>
          <w:lang w:val="es-ES"/>
        </w:rPr>
        <w:t xml:space="preserve"> de que sus derechos de asilo y debido proceso fueron violados por Canadá. El Estado inform</w:t>
      </w:r>
      <w:r w:rsidR="00733832" w:rsidRPr="00CD0A1E">
        <w:rPr>
          <w:rFonts w:ascii="Cambria" w:hAnsi="Cambria"/>
          <w:sz w:val="20"/>
          <w:szCs w:val="20"/>
          <w:lang w:val="es-ES"/>
        </w:rPr>
        <w:t>ó</w:t>
      </w:r>
      <w:r w:rsidR="001162CB" w:rsidRPr="00CD0A1E">
        <w:rPr>
          <w:rFonts w:ascii="Cambria" w:hAnsi="Cambria"/>
          <w:sz w:val="20"/>
          <w:szCs w:val="20"/>
          <w:lang w:val="es-ES"/>
        </w:rPr>
        <w:t xml:space="preserve"> anteriormente que no pudo encontrar</w:t>
      </w:r>
      <w:r w:rsidR="0069494F" w:rsidRPr="00CD0A1E">
        <w:rPr>
          <w:rFonts w:ascii="Cambria" w:hAnsi="Cambria"/>
          <w:sz w:val="20"/>
          <w:szCs w:val="20"/>
          <w:lang w:val="es-ES"/>
        </w:rPr>
        <w:t xml:space="preserve"> posibles </w:t>
      </w:r>
      <w:r w:rsidR="00733832" w:rsidRPr="00CD0A1E">
        <w:rPr>
          <w:rFonts w:ascii="Cambria" w:hAnsi="Cambria"/>
          <w:sz w:val="20"/>
          <w:szCs w:val="20"/>
          <w:lang w:val="es-ES"/>
        </w:rPr>
        <w:t>c</w:t>
      </w:r>
      <w:r w:rsidR="0069494F" w:rsidRPr="00CD0A1E">
        <w:rPr>
          <w:rFonts w:ascii="Cambria" w:hAnsi="Cambria"/>
          <w:sz w:val="20"/>
          <w:szCs w:val="20"/>
          <w:lang w:val="es-ES"/>
        </w:rPr>
        <w:t>oincidencias con alguna de l</w:t>
      </w:r>
      <w:r w:rsidR="00733832" w:rsidRPr="00CD0A1E">
        <w:rPr>
          <w:rFonts w:ascii="Cambria" w:hAnsi="Cambria"/>
          <w:sz w:val="20"/>
          <w:szCs w:val="20"/>
          <w:lang w:val="es-ES"/>
        </w:rPr>
        <w:t>a</w:t>
      </w:r>
      <w:r w:rsidR="0069494F" w:rsidRPr="00CD0A1E">
        <w:rPr>
          <w:rFonts w:ascii="Cambria" w:hAnsi="Cambria"/>
          <w:sz w:val="20"/>
          <w:szCs w:val="20"/>
          <w:lang w:val="es-ES"/>
        </w:rPr>
        <w:t xml:space="preserve">s tres personas en su base </w:t>
      </w:r>
      <w:r w:rsidR="00733832" w:rsidRPr="00CD0A1E">
        <w:rPr>
          <w:rFonts w:ascii="Cambria" w:hAnsi="Cambria"/>
          <w:sz w:val="20"/>
          <w:szCs w:val="20"/>
          <w:lang w:val="es-ES"/>
        </w:rPr>
        <w:t xml:space="preserve">central </w:t>
      </w:r>
      <w:r w:rsidR="0069494F" w:rsidRPr="00CD0A1E">
        <w:rPr>
          <w:rFonts w:ascii="Cambria" w:hAnsi="Cambria"/>
          <w:sz w:val="20"/>
          <w:szCs w:val="20"/>
          <w:lang w:val="es-ES"/>
        </w:rPr>
        <w:t>de datos de inmigración o en los archivos documentales del puerto de entrada en Windsor</w:t>
      </w:r>
      <w:r w:rsidR="00B33DD5">
        <w:rPr>
          <w:rStyle w:val="FootnoteReference"/>
          <w:rFonts w:ascii="Cambria" w:hAnsi="Cambria"/>
          <w:sz w:val="20"/>
          <w:szCs w:val="20"/>
          <w:lang w:val="es-ES"/>
        </w:rPr>
        <w:footnoteReference w:id="3"/>
      </w:r>
      <w:r w:rsidR="0069494F" w:rsidRPr="00CD0A1E">
        <w:rPr>
          <w:rFonts w:ascii="Cambria" w:hAnsi="Cambria"/>
          <w:sz w:val="20"/>
          <w:szCs w:val="20"/>
          <w:lang w:val="es-ES"/>
        </w:rPr>
        <w:t xml:space="preserve">. El Estado </w:t>
      </w:r>
      <w:r w:rsidR="00733832" w:rsidRPr="00CD0A1E">
        <w:rPr>
          <w:rFonts w:ascii="Cambria" w:hAnsi="Cambria"/>
          <w:sz w:val="20"/>
          <w:szCs w:val="20"/>
          <w:lang w:val="es-ES"/>
        </w:rPr>
        <w:t>informó q</w:t>
      </w:r>
      <w:r w:rsidR="0069494F" w:rsidRPr="00CD0A1E">
        <w:rPr>
          <w:rFonts w:ascii="Cambria" w:hAnsi="Cambria"/>
          <w:sz w:val="20"/>
          <w:szCs w:val="20"/>
          <w:lang w:val="es-ES"/>
        </w:rPr>
        <w:t xml:space="preserve">ue </w:t>
      </w:r>
      <w:r w:rsidR="0090002C" w:rsidRPr="00CD0A1E">
        <w:rPr>
          <w:rFonts w:ascii="Cambria" w:hAnsi="Cambria"/>
          <w:sz w:val="20"/>
          <w:szCs w:val="20"/>
          <w:lang w:val="es-ES"/>
        </w:rPr>
        <w:t>había desplegado</w:t>
      </w:r>
      <w:r w:rsidR="00275418" w:rsidRPr="00CD0A1E">
        <w:rPr>
          <w:rFonts w:ascii="Cambria" w:hAnsi="Cambria"/>
          <w:sz w:val="20"/>
          <w:szCs w:val="20"/>
          <w:lang w:val="es-ES"/>
        </w:rPr>
        <w:t xml:space="preserve"> </w:t>
      </w:r>
      <w:r w:rsidR="0069494F" w:rsidRPr="00CD0A1E">
        <w:rPr>
          <w:rFonts w:ascii="Cambria" w:hAnsi="Cambria"/>
          <w:sz w:val="20"/>
          <w:szCs w:val="20"/>
          <w:lang w:val="es-ES"/>
        </w:rPr>
        <w:t>sus ma</w:t>
      </w:r>
      <w:r w:rsidR="00733832" w:rsidRPr="00CD0A1E">
        <w:rPr>
          <w:rFonts w:ascii="Cambria" w:hAnsi="Cambria"/>
          <w:sz w:val="20"/>
          <w:szCs w:val="20"/>
          <w:lang w:val="es-ES"/>
        </w:rPr>
        <w:t>y</w:t>
      </w:r>
      <w:r w:rsidR="0069494F" w:rsidRPr="00CD0A1E">
        <w:rPr>
          <w:rFonts w:ascii="Cambria" w:hAnsi="Cambria"/>
          <w:sz w:val="20"/>
          <w:szCs w:val="20"/>
          <w:lang w:val="es-ES"/>
        </w:rPr>
        <w:t>or</w:t>
      </w:r>
      <w:r w:rsidR="00733832" w:rsidRPr="00CD0A1E">
        <w:rPr>
          <w:rFonts w:ascii="Cambria" w:hAnsi="Cambria"/>
          <w:sz w:val="20"/>
          <w:szCs w:val="20"/>
          <w:lang w:val="es-ES"/>
        </w:rPr>
        <w:t>es</w:t>
      </w:r>
      <w:r w:rsidR="0069494F" w:rsidRPr="00CD0A1E">
        <w:rPr>
          <w:rFonts w:ascii="Cambria" w:hAnsi="Cambria"/>
          <w:sz w:val="20"/>
          <w:szCs w:val="20"/>
          <w:lang w:val="es-ES"/>
        </w:rPr>
        <w:t xml:space="preserve"> esfuerzos para identifi</w:t>
      </w:r>
      <w:r w:rsidR="00733832" w:rsidRPr="00CD0A1E">
        <w:rPr>
          <w:rFonts w:ascii="Cambria" w:hAnsi="Cambria"/>
          <w:sz w:val="20"/>
          <w:szCs w:val="20"/>
          <w:lang w:val="es-ES"/>
        </w:rPr>
        <w:t>c</w:t>
      </w:r>
      <w:r w:rsidR="0069494F" w:rsidRPr="00CD0A1E">
        <w:rPr>
          <w:rFonts w:ascii="Cambria" w:hAnsi="Cambria"/>
          <w:sz w:val="20"/>
          <w:szCs w:val="20"/>
          <w:lang w:val="es-ES"/>
        </w:rPr>
        <w:t>ar</w:t>
      </w:r>
      <w:r w:rsidR="00275418" w:rsidRPr="00CD0A1E">
        <w:rPr>
          <w:rFonts w:ascii="Cambria" w:hAnsi="Cambria"/>
          <w:sz w:val="20"/>
          <w:szCs w:val="20"/>
          <w:lang w:val="es-ES"/>
        </w:rPr>
        <w:t xml:space="preserve"> a</w:t>
      </w:r>
      <w:r w:rsidR="0069494F" w:rsidRPr="00CD0A1E">
        <w:rPr>
          <w:rFonts w:ascii="Cambria" w:hAnsi="Cambria"/>
          <w:sz w:val="20"/>
          <w:szCs w:val="20"/>
          <w:lang w:val="es-ES"/>
        </w:rPr>
        <w:t xml:space="preserve"> los tres </w:t>
      </w:r>
      <w:r w:rsidRPr="00CD0A1E">
        <w:rPr>
          <w:rFonts w:ascii="Cambria" w:hAnsi="Cambria"/>
          <w:sz w:val="20"/>
          <w:szCs w:val="20"/>
          <w:lang w:val="es-ES"/>
        </w:rPr>
        <w:t xml:space="preserve">John Does </w:t>
      </w:r>
      <w:r w:rsidR="0069494F" w:rsidRPr="00CD0A1E">
        <w:rPr>
          <w:rFonts w:ascii="Cambria" w:hAnsi="Cambria"/>
          <w:sz w:val="20"/>
          <w:szCs w:val="20"/>
          <w:lang w:val="es-ES"/>
        </w:rPr>
        <w:t>y en las actuales circunstancias, al meno</w:t>
      </w:r>
      <w:r w:rsidR="00733832" w:rsidRPr="00CD0A1E">
        <w:rPr>
          <w:rFonts w:ascii="Cambria" w:hAnsi="Cambria"/>
          <w:sz w:val="20"/>
          <w:szCs w:val="20"/>
          <w:lang w:val="es-ES"/>
        </w:rPr>
        <w:t>s</w:t>
      </w:r>
      <w:r w:rsidR="0069494F" w:rsidRPr="00CD0A1E">
        <w:rPr>
          <w:rFonts w:ascii="Cambria" w:hAnsi="Cambria"/>
          <w:sz w:val="20"/>
          <w:szCs w:val="20"/>
          <w:lang w:val="es-ES"/>
        </w:rPr>
        <w:t xml:space="preserve"> </w:t>
      </w:r>
      <w:r w:rsidR="00E6543F">
        <w:rPr>
          <w:rFonts w:ascii="Cambria" w:hAnsi="Cambria"/>
          <w:sz w:val="20"/>
          <w:szCs w:val="20"/>
          <w:lang w:val="es-ES"/>
        </w:rPr>
        <w:t xml:space="preserve">que </w:t>
      </w:r>
      <w:r w:rsidR="0069494F" w:rsidRPr="00CD0A1E">
        <w:rPr>
          <w:rFonts w:ascii="Cambria" w:hAnsi="Cambria"/>
          <w:sz w:val="20"/>
          <w:szCs w:val="20"/>
          <w:lang w:val="es-ES"/>
        </w:rPr>
        <w:t>se suministre nueva informaci</w:t>
      </w:r>
      <w:r w:rsidR="00733832" w:rsidRPr="00CD0A1E">
        <w:rPr>
          <w:rFonts w:ascii="Cambria" w:hAnsi="Cambria"/>
          <w:sz w:val="20"/>
          <w:szCs w:val="20"/>
          <w:lang w:val="es-ES"/>
        </w:rPr>
        <w:t>ó</w:t>
      </w:r>
      <w:r w:rsidR="0069494F" w:rsidRPr="00CD0A1E">
        <w:rPr>
          <w:rFonts w:ascii="Cambria" w:hAnsi="Cambria"/>
          <w:sz w:val="20"/>
          <w:szCs w:val="20"/>
          <w:lang w:val="es-ES"/>
        </w:rPr>
        <w:t>n que le permita al Estado identificar estas personas</w:t>
      </w:r>
      <w:r w:rsidR="00733832" w:rsidRPr="00CD0A1E">
        <w:rPr>
          <w:rFonts w:ascii="Cambria" w:hAnsi="Cambria"/>
          <w:sz w:val="20"/>
          <w:szCs w:val="20"/>
          <w:lang w:val="es-ES"/>
        </w:rPr>
        <w:t>, resulta imposible implementar esta recomendación</w:t>
      </w:r>
      <w:r w:rsidRPr="00CD0A1E">
        <w:rPr>
          <w:rFonts w:ascii="Cambria" w:hAnsi="Cambria"/>
          <w:sz w:val="20"/>
          <w:szCs w:val="20"/>
          <w:lang w:val="es-ES"/>
        </w:rPr>
        <w:t xml:space="preserve">. </w:t>
      </w:r>
    </w:p>
    <w:p w:rsidR="00371B8A" w:rsidRPr="00CD0A1E" w:rsidRDefault="00371B8A" w:rsidP="00371B8A">
      <w:pPr>
        <w:pStyle w:val="ListParagraph"/>
        <w:spacing w:after="0" w:line="240" w:lineRule="auto"/>
        <w:jc w:val="both"/>
        <w:rPr>
          <w:rFonts w:ascii="Cambria" w:hAnsi="Cambria" w:cs="Calibri Light"/>
          <w:sz w:val="20"/>
          <w:szCs w:val="20"/>
          <w:lang w:val="es-ES"/>
        </w:rPr>
      </w:pPr>
    </w:p>
    <w:p w:rsidR="00371B8A" w:rsidRPr="00CD0A1E" w:rsidRDefault="00C33871"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E</w:t>
      </w:r>
      <w:r w:rsidR="00371B8A" w:rsidRPr="00CD0A1E">
        <w:rPr>
          <w:rFonts w:ascii="Cambria" w:hAnsi="Cambria" w:cs="Calibri Light"/>
          <w:sz w:val="20"/>
          <w:szCs w:val="20"/>
          <w:lang w:val="es-ES"/>
        </w:rPr>
        <w:t xml:space="preserve">n 2010, </w:t>
      </w:r>
      <w:r w:rsidRPr="00CD0A1E">
        <w:rPr>
          <w:rFonts w:ascii="Cambria" w:hAnsi="Cambria" w:cs="Calibri Light"/>
          <w:sz w:val="20"/>
          <w:szCs w:val="20"/>
          <w:lang w:val="es-ES"/>
        </w:rPr>
        <w:t>los peticionarios informaron que el Estado conoc</w:t>
      </w:r>
      <w:r w:rsidR="00DA2F5E" w:rsidRPr="00CD0A1E">
        <w:rPr>
          <w:rFonts w:ascii="Cambria" w:hAnsi="Cambria" w:cs="Calibri Light"/>
          <w:sz w:val="20"/>
          <w:szCs w:val="20"/>
          <w:lang w:val="es-ES"/>
        </w:rPr>
        <w:t>ía</w:t>
      </w:r>
      <w:r w:rsidRPr="00CD0A1E">
        <w:rPr>
          <w:rFonts w:ascii="Cambria" w:hAnsi="Cambria" w:cs="Calibri Light"/>
          <w:sz w:val="20"/>
          <w:szCs w:val="20"/>
          <w:lang w:val="es-ES"/>
        </w:rPr>
        <w:t xml:space="preserve"> la situación de </w:t>
      </w:r>
      <w:r w:rsidR="00371B8A" w:rsidRPr="00CD0A1E">
        <w:rPr>
          <w:rFonts w:ascii="Cambria" w:hAnsi="Cambria" w:cs="Calibri Light"/>
          <w:sz w:val="20"/>
          <w:szCs w:val="20"/>
          <w:lang w:val="es-ES"/>
        </w:rPr>
        <w:t xml:space="preserve">John Doe 3 </w:t>
      </w:r>
      <w:r w:rsidRPr="00CD0A1E">
        <w:rPr>
          <w:rFonts w:ascii="Cambria" w:hAnsi="Cambria" w:cs="Calibri Light"/>
          <w:sz w:val="20"/>
          <w:szCs w:val="20"/>
          <w:lang w:val="es-ES"/>
        </w:rPr>
        <w:t>a</w:t>
      </w:r>
      <w:r w:rsidR="00DA2F5E" w:rsidRPr="00CD0A1E">
        <w:rPr>
          <w:rFonts w:ascii="Cambria" w:hAnsi="Cambria" w:cs="Calibri Light"/>
          <w:sz w:val="20"/>
          <w:szCs w:val="20"/>
          <w:lang w:val="es-ES"/>
        </w:rPr>
        <w:t xml:space="preserve"> </w:t>
      </w:r>
      <w:r w:rsidRPr="00CD0A1E">
        <w:rPr>
          <w:rFonts w:ascii="Cambria" w:hAnsi="Cambria" w:cs="Calibri Light"/>
          <w:sz w:val="20"/>
          <w:szCs w:val="20"/>
          <w:lang w:val="es-ES"/>
        </w:rPr>
        <w:t>quien se le otorgó asilo y que en la actualidad está viviendo en Canadá. Los peticionarios informaron que el Estado hab</w:t>
      </w:r>
      <w:r w:rsidR="00DA2F5E" w:rsidRPr="00CD0A1E">
        <w:rPr>
          <w:rFonts w:ascii="Cambria" w:hAnsi="Cambria" w:cs="Calibri Light"/>
          <w:sz w:val="20"/>
          <w:szCs w:val="20"/>
          <w:lang w:val="es-ES"/>
        </w:rPr>
        <w:t>í</w:t>
      </w:r>
      <w:r w:rsidRPr="00CD0A1E">
        <w:rPr>
          <w:rFonts w:ascii="Cambria" w:hAnsi="Cambria" w:cs="Calibri Light"/>
          <w:sz w:val="20"/>
          <w:szCs w:val="20"/>
          <w:lang w:val="es-ES"/>
        </w:rPr>
        <w:t>a presentado esta información a la Comisión mient</w:t>
      </w:r>
      <w:r w:rsidR="00275418" w:rsidRPr="00CD0A1E">
        <w:rPr>
          <w:rFonts w:ascii="Cambria" w:hAnsi="Cambria" w:cs="Calibri Light"/>
          <w:sz w:val="20"/>
          <w:szCs w:val="20"/>
          <w:lang w:val="es-ES"/>
        </w:rPr>
        <w:t>r</w:t>
      </w:r>
      <w:r w:rsidRPr="00CD0A1E">
        <w:rPr>
          <w:rFonts w:ascii="Cambria" w:hAnsi="Cambria" w:cs="Calibri Light"/>
          <w:sz w:val="20"/>
          <w:szCs w:val="20"/>
          <w:lang w:val="es-ES"/>
        </w:rPr>
        <w:t>as se estaba procesando el caso. En 2018, los peticionarios no presentaron i</w:t>
      </w:r>
      <w:r w:rsidR="00DA2F5E" w:rsidRPr="00CD0A1E">
        <w:rPr>
          <w:rFonts w:ascii="Cambria" w:hAnsi="Cambria" w:cs="Calibri Light"/>
          <w:sz w:val="20"/>
          <w:szCs w:val="20"/>
          <w:lang w:val="es-ES"/>
        </w:rPr>
        <w:t>n</w:t>
      </w:r>
      <w:r w:rsidRPr="00CD0A1E">
        <w:rPr>
          <w:rFonts w:ascii="Cambria" w:hAnsi="Cambria" w:cs="Calibri Light"/>
          <w:sz w:val="20"/>
          <w:szCs w:val="20"/>
          <w:lang w:val="es-ES"/>
        </w:rPr>
        <w:t>formaci</w:t>
      </w:r>
      <w:r w:rsidR="00DA2F5E" w:rsidRPr="00CD0A1E">
        <w:rPr>
          <w:rFonts w:ascii="Cambria" w:hAnsi="Cambria" w:cs="Calibri Light"/>
          <w:sz w:val="20"/>
          <w:szCs w:val="20"/>
          <w:lang w:val="es-ES"/>
        </w:rPr>
        <w:t>ó</w:t>
      </w:r>
      <w:r w:rsidRPr="00CD0A1E">
        <w:rPr>
          <w:rFonts w:ascii="Cambria" w:hAnsi="Cambria" w:cs="Calibri Light"/>
          <w:sz w:val="20"/>
          <w:szCs w:val="20"/>
          <w:lang w:val="es-ES"/>
        </w:rPr>
        <w:t>n actualizada sobre las medidas adopta</w:t>
      </w:r>
      <w:r w:rsidR="00DA2F5E" w:rsidRPr="00CD0A1E">
        <w:rPr>
          <w:rFonts w:ascii="Cambria" w:hAnsi="Cambria" w:cs="Calibri Light"/>
          <w:sz w:val="20"/>
          <w:szCs w:val="20"/>
          <w:lang w:val="es-ES"/>
        </w:rPr>
        <w:t>d</w:t>
      </w:r>
      <w:r w:rsidRPr="00CD0A1E">
        <w:rPr>
          <w:rFonts w:ascii="Cambria" w:hAnsi="Cambria" w:cs="Calibri Light"/>
          <w:sz w:val="20"/>
          <w:szCs w:val="20"/>
          <w:lang w:val="es-ES"/>
        </w:rPr>
        <w:t>as por el Estado para cumplir con esta recomendación.</w:t>
      </w:r>
      <w:r w:rsidR="00371B8A" w:rsidRPr="00CD0A1E">
        <w:rPr>
          <w:rFonts w:ascii="Cambria" w:hAnsi="Cambria" w:cs="Calibri Light"/>
          <w:sz w:val="20"/>
          <w:szCs w:val="20"/>
          <w:lang w:val="es-ES"/>
        </w:rPr>
        <w:t xml:space="preserve">  </w:t>
      </w:r>
    </w:p>
    <w:p w:rsidR="00371B8A" w:rsidRPr="00CD0A1E" w:rsidRDefault="00371B8A" w:rsidP="00371B8A">
      <w:pPr>
        <w:spacing w:after="0" w:line="240" w:lineRule="auto"/>
        <w:jc w:val="both"/>
        <w:rPr>
          <w:rFonts w:ascii="Cambria" w:hAnsi="Cambria" w:cs="Calibri Light"/>
          <w:sz w:val="20"/>
          <w:szCs w:val="20"/>
          <w:highlight w:val="yellow"/>
          <w:lang w:val="es-ES"/>
        </w:rPr>
      </w:pPr>
    </w:p>
    <w:p w:rsidR="00371B8A" w:rsidRPr="00CD0A1E" w:rsidRDefault="00B033FC"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La Comisión solicita que el E</w:t>
      </w:r>
      <w:r w:rsidR="00FC78AE" w:rsidRPr="00CD0A1E">
        <w:rPr>
          <w:rFonts w:ascii="Cambria" w:hAnsi="Cambria" w:cs="Calibri Light"/>
          <w:sz w:val="20"/>
          <w:szCs w:val="20"/>
          <w:lang w:val="es-ES"/>
        </w:rPr>
        <w:t>s</w:t>
      </w:r>
      <w:r w:rsidRPr="00CD0A1E">
        <w:rPr>
          <w:rFonts w:ascii="Cambria" w:hAnsi="Cambria" w:cs="Calibri Light"/>
          <w:sz w:val="20"/>
          <w:szCs w:val="20"/>
          <w:lang w:val="es-ES"/>
        </w:rPr>
        <w:t>tado suministre informaci</w:t>
      </w:r>
      <w:r w:rsidR="00FC78AE" w:rsidRPr="00CD0A1E">
        <w:rPr>
          <w:rFonts w:ascii="Cambria" w:hAnsi="Cambria" w:cs="Calibri Light"/>
          <w:sz w:val="20"/>
          <w:szCs w:val="20"/>
          <w:lang w:val="es-ES"/>
        </w:rPr>
        <w:t>ó</w:t>
      </w:r>
      <w:r w:rsidRPr="00CD0A1E">
        <w:rPr>
          <w:rFonts w:ascii="Cambria" w:hAnsi="Cambria" w:cs="Calibri Light"/>
          <w:sz w:val="20"/>
          <w:szCs w:val="20"/>
          <w:lang w:val="es-ES"/>
        </w:rPr>
        <w:t xml:space="preserve">n detallada sobre las medidas adoptadas </w:t>
      </w:r>
      <w:r w:rsidR="00043872" w:rsidRPr="00CD0A1E">
        <w:rPr>
          <w:rFonts w:ascii="Cambria" w:hAnsi="Cambria" w:cs="Calibri Light"/>
          <w:sz w:val="20"/>
          <w:szCs w:val="20"/>
          <w:lang w:val="es-ES"/>
        </w:rPr>
        <w:t>p</w:t>
      </w:r>
      <w:r w:rsidRPr="00CD0A1E">
        <w:rPr>
          <w:rFonts w:ascii="Cambria" w:hAnsi="Cambria" w:cs="Calibri Light"/>
          <w:sz w:val="20"/>
          <w:szCs w:val="20"/>
          <w:lang w:val="es-ES"/>
        </w:rPr>
        <w:t xml:space="preserve">ara identificar y localizar </w:t>
      </w:r>
      <w:r w:rsidR="00310B09" w:rsidRPr="00CD0A1E">
        <w:rPr>
          <w:rFonts w:ascii="Cambria" w:hAnsi="Cambria" w:cs="Calibri Light"/>
          <w:sz w:val="20"/>
          <w:szCs w:val="20"/>
          <w:lang w:val="es-ES"/>
        </w:rPr>
        <w:t>a John Does 1, 2 y 3</w:t>
      </w:r>
      <w:r w:rsidR="00371B8A" w:rsidRPr="00CD0A1E">
        <w:rPr>
          <w:rFonts w:ascii="Cambria" w:hAnsi="Cambria" w:cs="Calibri Light"/>
          <w:sz w:val="20"/>
          <w:szCs w:val="20"/>
          <w:lang w:val="es-ES"/>
        </w:rPr>
        <w:t xml:space="preserve">. </w:t>
      </w:r>
      <w:r w:rsidRPr="00CD0A1E">
        <w:rPr>
          <w:rFonts w:ascii="Cambria" w:hAnsi="Cambria" w:cs="Calibri Light"/>
          <w:sz w:val="20"/>
          <w:szCs w:val="20"/>
          <w:lang w:val="es-ES"/>
        </w:rPr>
        <w:t xml:space="preserve">Además, la Comisión </w:t>
      </w:r>
      <w:r w:rsidR="00310B09">
        <w:rPr>
          <w:rFonts w:ascii="Cambria" w:hAnsi="Cambria" w:cs="Calibri Light"/>
          <w:sz w:val="20"/>
          <w:szCs w:val="20"/>
          <w:lang w:val="es-ES"/>
        </w:rPr>
        <w:t>llama</w:t>
      </w:r>
      <w:r w:rsidRPr="00CD0A1E">
        <w:rPr>
          <w:rFonts w:ascii="Cambria" w:hAnsi="Cambria" w:cs="Calibri Light"/>
          <w:sz w:val="20"/>
          <w:szCs w:val="20"/>
          <w:lang w:val="es-ES"/>
        </w:rPr>
        <w:t xml:space="preserve"> a los peticionarios que suministren cualquier información que pueda asistir al Estado en la identifica</w:t>
      </w:r>
      <w:r w:rsidR="004B68E4" w:rsidRPr="00CD0A1E">
        <w:rPr>
          <w:rFonts w:ascii="Cambria" w:hAnsi="Cambria" w:cs="Calibri Light"/>
          <w:sz w:val="20"/>
          <w:szCs w:val="20"/>
          <w:lang w:val="es-ES"/>
        </w:rPr>
        <w:t>ción</w:t>
      </w:r>
      <w:r w:rsidRPr="00CD0A1E">
        <w:rPr>
          <w:rFonts w:ascii="Cambria" w:hAnsi="Cambria" w:cs="Calibri Light"/>
          <w:sz w:val="20"/>
          <w:szCs w:val="20"/>
          <w:lang w:val="es-ES"/>
        </w:rPr>
        <w:t xml:space="preserve"> de </w:t>
      </w:r>
      <w:r w:rsidR="00371B8A" w:rsidRPr="00CD0A1E">
        <w:rPr>
          <w:rFonts w:ascii="Cambria" w:hAnsi="Cambria" w:cs="Calibri Light"/>
          <w:sz w:val="20"/>
          <w:szCs w:val="20"/>
          <w:lang w:val="es-ES"/>
        </w:rPr>
        <w:t>John Doe</w:t>
      </w:r>
      <w:r w:rsidR="000B2B43" w:rsidRPr="00CD0A1E">
        <w:rPr>
          <w:rFonts w:ascii="Cambria" w:hAnsi="Cambria" w:cs="Calibri Light"/>
          <w:sz w:val="20"/>
          <w:szCs w:val="20"/>
          <w:lang w:val="es-ES"/>
        </w:rPr>
        <w:t>s</w:t>
      </w:r>
      <w:r w:rsidR="00371B8A" w:rsidRPr="00CD0A1E">
        <w:rPr>
          <w:rFonts w:ascii="Cambria" w:hAnsi="Cambria" w:cs="Calibri Light"/>
          <w:sz w:val="20"/>
          <w:szCs w:val="20"/>
          <w:lang w:val="es-ES"/>
        </w:rPr>
        <w:t xml:space="preserve"> 1, 2 </w:t>
      </w:r>
      <w:r w:rsidR="000A638D" w:rsidRPr="00CD0A1E">
        <w:rPr>
          <w:rFonts w:ascii="Cambria" w:hAnsi="Cambria" w:cs="Calibri Light"/>
          <w:sz w:val="20"/>
          <w:szCs w:val="20"/>
          <w:lang w:val="es-ES"/>
        </w:rPr>
        <w:t>y</w:t>
      </w:r>
      <w:r w:rsidR="00371B8A" w:rsidRPr="00CD0A1E">
        <w:rPr>
          <w:rFonts w:ascii="Cambria" w:hAnsi="Cambria" w:cs="Calibri Light"/>
          <w:sz w:val="20"/>
          <w:szCs w:val="20"/>
          <w:lang w:val="es-ES"/>
        </w:rPr>
        <w:t xml:space="preserve"> 3. Por lo anterior, la CIDH considera que la Recomendación 1 se encuentra pendiente de cumplimiento. </w:t>
      </w:r>
    </w:p>
    <w:p w:rsidR="00371B8A" w:rsidRPr="00CD0A1E" w:rsidRDefault="00371B8A" w:rsidP="00371B8A">
      <w:pPr>
        <w:pStyle w:val="ListParagraph"/>
        <w:spacing w:after="0" w:line="240" w:lineRule="auto"/>
        <w:ind w:left="0" w:firstLine="720"/>
        <w:jc w:val="both"/>
        <w:rPr>
          <w:rFonts w:ascii="Cambria" w:hAnsi="Cambria" w:cs="Calibri Light"/>
          <w:sz w:val="20"/>
          <w:szCs w:val="20"/>
          <w:lang w:val="es-ES"/>
        </w:rPr>
      </w:pPr>
    </w:p>
    <w:p w:rsidR="00371B8A" w:rsidRPr="00CD0A1E" w:rsidRDefault="00371B8A"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b/>
          <w:sz w:val="20"/>
          <w:szCs w:val="20"/>
          <w:lang w:val="es-ES"/>
        </w:rPr>
        <w:t>Respecto de la segunda recomendación</w:t>
      </w:r>
      <w:r w:rsidRPr="00CD0A1E">
        <w:rPr>
          <w:rFonts w:ascii="Cambria" w:hAnsi="Cambria" w:cs="Calibri Light"/>
          <w:sz w:val="20"/>
          <w:szCs w:val="20"/>
          <w:lang w:val="es-ES"/>
        </w:rPr>
        <w:t>, en 2010, el Estado expresó que “sin identificación, es imposible determinar lo que realmente sucedió con los John Does 1 y 2 y si corresponde la reparación”. Con respecto a John Doe 3, el Estado informó que, en su opinión, sus derechos no fueron violados</w:t>
      </w:r>
      <w:r w:rsidR="00E6543F">
        <w:rPr>
          <w:rFonts w:ascii="Cambria" w:hAnsi="Cambria" w:cs="Calibri Light"/>
          <w:sz w:val="20"/>
          <w:szCs w:val="20"/>
          <w:lang w:val="es-ES"/>
        </w:rPr>
        <w:t>, por lo que no procede</w:t>
      </w:r>
      <w:r w:rsidRPr="00CD0A1E">
        <w:rPr>
          <w:rFonts w:ascii="Cambria" w:hAnsi="Cambria" w:cs="Calibri Light"/>
          <w:sz w:val="20"/>
          <w:szCs w:val="20"/>
          <w:lang w:val="es-ES"/>
        </w:rPr>
        <w:t xml:space="preserve"> reparación alguna</w:t>
      </w:r>
      <w:r w:rsidR="00B33DD5">
        <w:rPr>
          <w:rStyle w:val="FootnoteReference"/>
          <w:rFonts w:ascii="Cambria" w:hAnsi="Cambria" w:cs="Calibri Light"/>
          <w:sz w:val="20"/>
          <w:szCs w:val="20"/>
          <w:lang w:val="es-ES"/>
        </w:rPr>
        <w:footnoteReference w:id="4"/>
      </w:r>
      <w:r w:rsidRPr="00CD0A1E">
        <w:rPr>
          <w:rFonts w:ascii="Cambria" w:hAnsi="Cambria" w:cs="Calibri Light"/>
          <w:sz w:val="20"/>
          <w:szCs w:val="20"/>
          <w:lang w:val="es-ES"/>
        </w:rPr>
        <w:t xml:space="preserve">. </w:t>
      </w:r>
    </w:p>
    <w:p w:rsidR="00371B8A" w:rsidRPr="00CD0A1E" w:rsidRDefault="00371B8A" w:rsidP="00371B8A">
      <w:pPr>
        <w:pStyle w:val="ListParagraph"/>
        <w:rPr>
          <w:rFonts w:ascii="Cambria" w:hAnsi="Cambria" w:cs="Calibri Light"/>
          <w:sz w:val="20"/>
          <w:szCs w:val="20"/>
          <w:lang w:val="es-ES"/>
        </w:rPr>
      </w:pPr>
    </w:p>
    <w:p w:rsidR="00371B8A" w:rsidRPr="00CD0A1E" w:rsidRDefault="000A638D"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E</w:t>
      </w:r>
      <w:r w:rsidR="00371B8A" w:rsidRPr="00CD0A1E">
        <w:rPr>
          <w:rFonts w:ascii="Cambria" w:hAnsi="Cambria" w:cs="Calibri Light"/>
          <w:sz w:val="20"/>
          <w:szCs w:val="20"/>
          <w:lang w:val="es-ES"/>
        </w:rPr>
        <w:t xml:space="preserve">n 2010, </w:t>
      </w:r>
      <w:r w:rsidRPr="00CD0A1E">
        <w:rPr>
          <w:rFonts w:ascii="Cambria" w:hAnsi="Cambria" w:cs="Calibri Light"/>
          <w:sz w:val="20"/>
          <w:szCs w:val="20"/>
          <w:lang w:val="es-ES"/>
        </w:rPr>
        <w:t>los peticionarios informaron que</w:t>
      </w:r>
      <w:r w:rsidR="002856E7" w:rsidRPr="00CD0A1E">
        <w:rPr>
          <w:rFonts w:ascii="Cambria" w:hAnsi="Cambria" w:cs="Calibri Light"/>
          <w:sz w:val="20"/>
          <w:szCs w:val="20"/>
          <w:lang w:val="es-ES"/>
        </w:rPr>
        <w:t>,</w:t>
      </w:r>
      <w:r w:rsidRPr="00CD0A1E">
        <w:rPr>
          <w:rFonts w:ascii="Cambria" w:hAnsi="Cambria" w:cs="Calibri Light"/>
          <w:sz w:val="20"/>
          <w:szCs w:val="20"/>
          <w:lang w:val="es-ES"/>
        </w:rPr>
        <w:t xml:space="preserve"> si bien </w:t>
      </w:r>
      <w:r w:rsidR="00371B8A" w:rsidRPr="00CD0A1E">
        <w:rPr>
          <w:rFonts w:ascii="Cambria" w:hAnsi="Cambria" w:cs="Calibri Light"/>
          <w:sz w:val="20"/>
          <w:szCs w:val="20"/>
          <w:lang w:val="es-ES"/>
        </w:rPr>
        <w:t>John Doe 3 ha</w:t>
      </w:r>
      <w:r w:rsidRPr="00CD0A1E">
        <w:rPr>
          <w:rFonts w:ascii="Cambria" w:hAnsi="Cambria" w:cs="Calibri Light"/>
          <w:sz w:val="20"/>
          <w:szCs w:val="20"/>
          <w:lang w:val="es-ES"/>
        </w:rPr>
        <w:t xml:space="preserve"> sido identifi</w:t>
      </w:r>
      <w:r w:rsidR="002856E7" w:rsidRPr="00CD0A1E">
        <w:rPr>
          <w:rFonts w:ascii="Cambria" w:hAnsi="Cambria" w:cs="Calibri Light"/>
          <w:sz w:val="20"/>
          <w:szCs w:val="20"/>
          <w:lang w:val="es-ES"/>
        </w:rPr>
        <w:t>c</w:t>
      </w:r>
      <w:r w:rsidRPr="00CD0A1E">
        <w:rPr>
          <w:rFonts w:ascii="Cambria" w:hAnsi="Cambria" w:cs="Calibri Light"/>
          <w:sz w:val="20"/>
          <w:szCs w:val="20"/>
          <w:lang w:val="es-ES"/>
        </w:rPr>
        <w:t>ado y que en ese momento vivía en Canadá, el Estado no le</w:t>
      </w:r>
      <w:r w:rsidR="002856E7" w:rsidRPr="00CD0A1E">
        <w:rPr>
          <w:rFonts w:ascii="Cambria" w:hAnsi="Cambria" w:cs="Calibri Light"/>
          <w:sz w:val="20"/>
          <w:szCs w:val="20"/>
          <w:lang w:val="es-ES"/>
        </w:rPr>
        <w:t xml:space="preserve"> </w:t>
      </w:r>
      <w:r w:rsidRPr="00CD0A1E">
        <w:rPr>
          <w:rFonts w:ascii="Cambria" w:hAnsi="Cambria" w:cs="Calibri Light"/>
          <w:sz w:val="20"/>
          <w:szCs w:val="20"/>
          <w:lang w:val="es-ES"/>
        </w:rPr>
        <w:t xml:space="preserve">ha otorgado las reparaciones </w:t>
      </w:r>
      <w:r w:rsidR="002856E7" w:rsidRPr="00CD0A1E">
        <w:rPr>
          <w:rFonts w:ascii="Cambria" w:hAnsi="Cambria" w:cs="Calibri Light"/>
          <w:sz w:val="20"/>
          <w:szCs w:val="20"/>
          <w:lang w:val="es-ES"/>
        </w:rPr>
        <w:t xml:space="preserve">correspondientes </w:t>
      </w:r>
      <w:r w:rsidRPr="00CD0A1E">
        <w:rPr>
          <w:rFonts w:ascii="Cambria" w:hAnsi="Cambria" w:cs="Calibri Light"/>
          <w:sz w:val="20"/>
          <w:szCs w:val="20"/>
          <w:lang w:val="es-ES"/>
        </w:rPr>
        <w:t xml:space="preserve">y </w:t>
      </w:r>
      <w:r w:rsidR="00E6543F">
        <w:rPr>
          <w:rFonts w:ascii="Cambria" w:hAnsi="Cambria" w:cs="Calibri Light"/>
          <w:sz w:val="20"/>
          <w:szCs w:val="20"/>
          <w:lang w:val="es-ES"/>
        </w:rPr>
        <w:t>declaró</w:t>
      </w:r>
      <w:r w:rsidRPr="00CD0A1E">
        <w:rPr>
          <w:rFonts w:ascii="Cambria" w:hAnsi="Cambria" w:cs="Calibri Light"/>
          <w:sz w:val="20"/>
          <w:szCs w:val="20"/>
          <w:lang w:val="es-ES"/>
        </w:rPr>
        <w:t xml:space="preserve"> que no planea hacerlo. En 2018, los peticionarios no pre</w:t>
      </w:r>
      <w:r w:rsidR="002856E7" w:rsidRPr="00CD0A1E">
        <w:rPr>
          <w:rFonts w:ascii="Cambria" w:hAnsi="Cambria" w:cs="Calibri Light"/>
          <w:sz w:val="20"/>
          <w:szCs w:val="20"/>
          <w:lang w:val="es-ES"/>
        </w:rPr>
        <w:t>s</w:t>
      </w:r>
      <w:r w:rsidRPr="00CD0A1E">
        <w:rPr>
          <w:rFonts w:ascii="Cambria" w:hAnsi="Cambria" w:cs="Calibri Light"/>
          <w:sz w:val="20"/>
          <w:szCs w:val="20"/>
          <w:lang w:val="es-ES"/>
        </w:rPr>
        <w:t>entaron informaci</w:t>
      </w:r>
      <w:r w:rsidR="002856E7" w:rsidRPr="00CD0A1E">
        <w:rPr>
          <w:rFonts w:ascii="Cambria" w:hAnsi="Cambria" w:cs="Calibri Light"/>
          <w:sz w:val="20"/>
          <w:szCs w:val="20"/>
          <w:lang w:val="es-ES"/>
        </w:rPr>
        <w:t>ó</w:t>
      </w:r>
      <w:r w:rsidRPr="00CD0A1E">
        <w:rPr>
          <w:rFonts w:ascii="Cambria" w:hAnsi="Cambria" w:cs="Calibri Light"/>
          <w:sz w:val="20"/>
          <w:szCs w:val="20"/>
          <w:lang w:val="es-ES"/>
        </w:rPr>
        <w:t>n actualizada sobre las acciones adoptadas por el Esta</w:t>
      </w:r>
      <w:r w:rsidR="002856E7" w:rsidRPr="00CD0A1E">
        <w:rPr>
          <w:rFonts w:ascii="Cambria" w:hAnsi="Cambria" w:cs="Calibri Light"/>
          <w:sz w:val="20"/>
          <w:szCs w:val="20"/>
          <w:lang w:val="es-ES"/>
        </w:rPr>
        <w:t>d</w:t>
      </w:r>
      <w:r w:rsidRPr="00CD0A1E">
        <w:rPr>
          <w:rFonts w:ascii="Cambria" w:hAnsi="Cambria" w:cs="Calibri Light"/>
          <w:sz w:val="20"/>
          <w:szCs w:val="20"/>
          <w:lang w:val="es-ES"/>
        </w:rPr>
        <w:t>o en cumplimiento de esta r</w:t>
      </w:r>
      <w:bookmarkStart w:id="0" w:name="_GoBack"/>
      <w:bookmarkEnd w:id="0"/>
      <w:r w:rsidRPr="00CD0A1E">
        <w:rPr>
          <w:rFonts w:ascii="Cambria" w:hAnsi="Cambria" w:cs="Calibri Light"/>
          <w:sz w:val="20"/>
          <w:szCs w:val="20"/>
          <w:lang w:val="es-ES"/>
        </w:rPr>
        <w:t>ecomendación</w:t>
      </w:r>
      <w:r w:rsidR="00371B8A" w:rsidRPr="00CD0A1E">
        <w:rPr>
          <w:rFonts w:ascii="Cambria" w:hAnsi="Cambria" w:cs="Calibri Light"/>
          <w:sz w:val="20"/>
          <w:szCs w:val="20"/>
          <w:lang w:val="es-ES"/>
        </w:rPr>
        <w:t xml:space="preserve">. </w:t>
      </w:r>
    </w:p>
    <w:p w:rsidR="00371B8A" w:rsidRPr="00CD0A1E" w:rsidRDefault="00371B8A" w:rsidP="00371B8A">
      <w:pPr>
        <w:pStyle w:val="ListParagraph"/>
        <w:rPr>
          <w:rFonts w:ascii="Cambria" w:hAnsi="Cambria" w:cs="Calibri Light"/>
          <w:sz w:val="20"/>
          <w:szCs w:val="20"/>
          <w:lang w:val="es-ES"/>
        </w:rPr>
      </w:pPr>
    </w:p>
    <w:p w:rsidR="00371B8A" w:rsidRPr="00CD0A1E" w:rsidRDefault="00371B8A"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 xml:space="preserve">La Comisión recuerda que la Declaración Americana es reconocida como fuente de obligaciones jurídicas para los Estados Miembros de la </w:t>
      </w:r>
      <w:r w:rsidR="00A4512C">
        <w:rPr>
          <w:rFonts w:ascii="Cambria" w:hAnsi="Cambria" w:cs="Calibri Light"/>
          <w:sz w:val="20"/>
          <w:szCs w:val="20"/>
          <w:lang w:val="es-ES"/>
        </w:rPr>
        <w:t>Organización de los Estados Americanos</w:t>
      </w:r>
      <w:r w:rsidRPr="00CD0A1E">
        <w:rPr>
          <w:rFonts w:ascii="Cambria" w:hAnsi="Cambria" w:cs="Calibri Light"/>
          <w:sz w:val="20"/>
          <w:szCs w:val="20"/>
          <w:lang w:val="es-ES"/>
        </w:rPr>
        <w:t>, incluyendo particularmente aquellos Estados que no son parte de la Convención Americana sobre Derechos Humanos</w:t>
      </w:r>
      <w:r w:rsidRPr="00CD0A1E">
        <w:rPr>
          <w:rStyle w:val="FootnoteReference"/>
          <w:rFonts w:ascii="Cambria" w:hAnsi="Cambria" w:cs="Calibri Light"/>
          <w:sz w:val="20"/>
          <w:szCs w:val="20"/>
          <w:lang w:val="es-ES"/>
        </w:rPr>
        <w:footnoteReference w:id="5"/>
      </w:r>
      <w:r w:rsidRPr="00CD0A1E">
        <w:rPr>
          <w:rFonts w:ascii="Cambria" w:hAnsi="Cambria" w:cs="Calibri Light"/>
          <w:sz w:val="20"/>
          <w:szCs w:val="20"/>
          <w:lang w:val="es-ES"/>
        </w:rPr>
        <w:t>. Conforme al artículo 31(1) de la Convención de Viena sobre Derecho de los Tratados, los Estados Miembros deben adoptar esfuerzos rebuena fe para cumplir con las recomendaciones de órganos de supervisión tales como esta Comisión</w:t>
      </w:r>
      <w:r w:rsidRPr="00CD0A1E">
        <w:rPr>
          <w:rStyle w:val="FootnoteReference"/>
          <w:rFonts w:ascii="Cambria" w:hAnsi="Cambria" w:cs="Calibri Light"/>
          <w:sz w:val="20"/>
          <w:szCs w:val="20"/>
          <w:lang w:val="es-ES"/>
        </w:rPr>
        <w:footnoteReference w:id="6"/>
      </w:r>
      <w:r w:rsidRPr="00CD0A1E">
        <w:rPr>
          <w:rFonts w:ascii="Cambria" w:hAnsi="Cambria" w:cs="Calibri Light"/>
          <w:sz w:val="20"/>
          <w:szCs w:val="20"/>
          <w:lang w:val="es-ES"/>
        </w:rPr>
        <w:t xml:space="preserve">. Por lo anterior, la CIDH considera que la Recomendación 2 se encuentra pendiente de cumplimiento. </w:t>
      </w:r>
    </w:p>
    <w:p w:rsidR="00371B8A" w:rsidRPr="00CD0A1E" w:rsidRDefault="00371B8A" w:rsidP="00371B8A">
      <w:pPr>
        <w:pStyle w:val="ListParagraph"/>
        <w:spacing w:after="0" w:line="240" w:lineRule="auto"/>
        <w:jc w:val="both"/>
        <w:rPr>
          <w:rFonts w:ascii="Cambria" w:hAnsi="Cambria" w:cs="Calibri Light"/>
          <w:sz w:val="20"/>
          <w:szCs w:val="20"/>
          <w:lang w:val="es-ES"/>
        </w:rPr>
      </w:pPr>
    </w:p>
    <w:p w:rsidR="00371B8A" w:rsidRPr="00CD0A1E" w:rsidRDefault="00371B8A" w:rsidP="00EE0016">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b/>
          <w:sz w:val="20"/>
          <w:szCs w:val="20"/>
          <w:lang w:val="es-ES"/>
        </w:rPr>
        <w:t>En relación con la tercera recomendación</w:t>
      </w:r>
      <w:r w:rsidRPr="00CD0A1E">
        <w:rPr>
          <w:rFonts w:ascii="Cambria" w:hAnsi="Cambria" w:cs="Calibri Light"/>
          <w:sz w:val="20"/>
          <w:szCs w:val="20"/>
          <w:lang w:val="es-ES"/>
        </w:rPr>
        <w:t>, en 2012, el Estado reiteró información previamente proporcionada detallando que la política de usar la devolución directa fue revisada el 31 de agosto de 2006, y ahora sólo se permiten las devoluciones directas en limitadas circunstancias</w:t>
      </w:r>
      <w:r w:rsidRPr="00CD0A1E">
        <w:rPr>
          <w:rFonts w:ascii="Cambria" w:hAnsi="Cambria"/>
          <w:sz w:val="20"/>
          <w:szCs w:val="20"/>
          <w:lang w:val="es-ES"/>
        </w:rPr>
        <w:t xml:space="preserve">. </w:t>
      </w:r>
      <w:r w:rsidR="00A42227" w:rsidRPr="00CD0A1E">
        <w:rPr>
          <w:rFonts w:ascii="Cambria" w:hAnsi="Cambria"/>
          <w:sz w:val="20"/>
          <w:szCs w:val="20"/>
          <w:lang w:val="es-ES"/>
        </w:rPr>
        <w:t>La política revisada de la devoluci</w:t>
      </w:r>
      <w:r w:rsidR="00E84FD4" w:rsidRPr="00CD0A1E">
        <w:rPr>
          <w:rFonts w:ascii="Cambria" w:hAnsi="Cambria"/>
          <w:sz w:val="20"/>
          <w:szCs w:val="20"/>
          <w:lang w:val="es-ES"/>
        </w:rPr>
        <w:t>ó</w:t>
      </w:r>
      <w:r w:rsidR="00A42227" w:rsidRPr="00CD0A1E">
        <w:rPr>
          <w:rFonts w:ascii="Cambria" w:hAnsi="Cambria"/>
          <w:sz w:val="20"/>
          <w:szCs w:val="20"/>
          <w:lang w:val="es-ES"/>
        </w:rPr>
        <w:t xml:space="preserve">n directa requiere que los oficiales fronterizos utilicen las alternativas apropiadas para devolver directamente a los solicitantes de </w:t>
      </w:r>
      <w:r w:rsidR="00043872" w:rsidRPr="00CD0A1E">
        <w:rPr>
          <w:rFonts w:ascii="Cambria" w:hAnsi="Cambria"/>
          <w:sz w:val="20"/>
          <w:szCs w:val="20"/>
          <w:lang w:val="es-ES"/>
        </w:rPr>
        <w:t>asilo</w:t>
      </w:r>
      <w:r w:rsidR="00A42227" w:rsidRPr="00CD0A1E">
        <w:rPr>
          <w:rFonts w:ascii="Cambria" w:hAnsi="Cambria"/>
          <w:sz w:val="20"/>
          <w:szCs w:val="20"/>
          <w:lang w:val="es-ES"/>
        </w:rPr>
        <w:t>, incluso pueden tenerlos</w:t>
      </w:r>
      <w:r w:rsidR="00E84FD4" w:rsidRPr="00CD0A1E">
        <w:rPr>
          <w:rFonts w:ascii="Cambria" w:hAnsi="Cambria"/>
          <w:sz w:val="20"/>
          <w:szCs w:val="20"/>
          <w:lang w:val="es-ES"/>
        </w:rPr>
        <w:t xml:space="preserve"> </w:t>
      </w:r>
      <w:r w:rsidR="00A42227" w:rsidRPr="00CD0A1E">
        <w:rPr>
          <w:rFonts w:ascii="Cambria" w:hAnsi="Cambria"/>
          <w:sz w:val="20"/>
          <w:szCs w:val="20"/>
          <w:lang w:val="es-ES"/>
        </w:rPr>
        <w:t xml:space="preserve">esperando en el </w:t>
      </w:r>
      <w:r w:rsidR="00E84FD4" w:rsidRPr="00CD0A1E">
        <w:rPr>
          <w:rFonts w:ascii="Cambria" w:hAnsi="Cambria"/>
          <w:sz w:val="20"/>
          <w:szCs w:val="20"/>
          <w:lang w:val="es-ES"/>
        </w:rPr>
        <w:t>p</w:t>
      </w:r>
      <w:r w:rsidR="00A42227" w:rsidRPr="00CD0A1E">
        <w:rPr>
          <w:rFonts w:ascii="Cambria" w:hAnsi="Cambria"/>
          <w:sz w:val="20"/>
          <w:szCs w:val="20"/>
          <w:lang w:val="es-ES"/>
        </w:rPr>
        <w:t>uerto de entrada antes de que se procese su solicitud y considere detener al refugiado si hubiere razones para hacerlo.</w:t>
      </w:r>
      <w:r w:rsidRPr="00CD0A1E">
        <w:rPr>
          <w:rFonts w:ascii="Cambria" w:hAnsi="Cambria"/>
          <w:sz w:val="20"/>
          <w:szCs w:val="20"/>
          <w:lang w:val="es-ES"/>
        </w:rPr>
        <w:t xml:space="preserve"> </w:t>
      </w:r>
      <w:r w:rsidR="00E84FD4" w:rsidRPr="00CD0A1E">
        <w:rPr>
          <w:rFonts w:ascii="Cambria" w:hAnsi="Cambria"/>
          <w:sz w:val="20"/>
          <w:szCs w:val="20"/>
          <w:lang w:val="es-ES"/>
        </w:rPr>
        <w:t xml:space="preserve">El Estado informó que solo si esas alternativas han sido consideradas y no están disponibles, </w:t>
      </w:r>
      <w:r w:rsidR="004B68E4" w:rsidRPr="00CD0A1E">
        <w:rPr>
          <w:rFonts w:ascii="Cambria" w:hAnsi="Cambria"/>
          <w:sz w:val="20"/>
          <w:szCs w:val="20"/>
          <w:lang w:val="es-ES"/>
        </w:rPr>
        <w:t xml:space="preserve">los oficiales de los servicios de frontera </w:t>
      </w:r>
      <w:r w:rsidR="00E6543F">
        <w:rPr>
          <w:rFonts w:ascii="Cambria" w:hAnsi="Cambria"/>
          <w:sz w:val="20"/>
          <w:szCs w:val="20"/>
          <w:lang w:val="es-ES"/>
        </w:rPr>
        <w:t xml:space="preserve">pueden </w:t>
      </w:r>
      <w:r w:rsidR="004B68E4" w:rsidRPr="00CD0A1E">
        <w:rPr>
          <w:rFonts w:ascii="Cambria" w:hAnsi="Cambria"/>
          <w:sz w:val="20"/>
          <w:szCs w:val="20"/>
          <w:lang w:val="es-ES"/>
        </w:rPr>
        <w:t>considerar el uso de la política de devolución directa</w:t>
      </w:r>
      <w:r w:rsidRPr="00CD0A1E">
        <w:rPr>
          <w:rFonts w:ascii="Cambria" w:hAnsi="Cambria"/>
          <w:sz w:val="20"/>
          <w:szCs w:val="20"/>
          <w:lang w:val="es-ES"/>
        </w:rPr>
        <w:t xml:space="preserve">. </w:t>
      </w:r>
      <w:r w:rsidRPr="00CD0A1E">
        <w:rPr>
          <w:rFonts w:ascii="Cambria" w:hAnsi="Cambria" w:cs="Calibri Light"/>
          <w:sz w:val="20"/>
          <w:szCs w:val="20"/>
          <w:lang w:val="es-ES"/>
        </w:rPr>
        <w:t>Desde dicha revisión, el Estado alegó que ninguna persona que llegara a Canadá en busca de asilo había sido o sería encaminada de vuelta a los Estados Unidos para esperar a que se le haga entrevista en Canadá a no ser que los Estados Unidos garantice que a las personas devueltas directamente se les permita regres</w:t>
      </w:r>
      <w:r w:rsidR="00EE0016" w:rsidRPr="00CD0A1E">
        <w:rPr>
          <w:rFonts w:ascii="Cambria" w:hAnsi="Cambria" w:cs="Calibri Light"/>
          <w:sz w:val="20"/>
          <w:szCs w:val="20"/>
          <w:lang w:val="es-ES"/>
        </w:rPr>
        <w:t>ar a Canadá para su entrevista</w:t>
      </w:r>
      <w:r w:rsidR="00B33DD5">
        <w:rPr>
          <w:rStyle w:val="FootnoteReference"/>
          <w:rFonts w:ascii="Cambria" w:hAnsi="Cambria" w:cs="Calibri Light"/>
          <w:sz w:val="20"/>
          <w:szCs w:val="20"/>
          <w:lang w:val="es-ES"/>
        </w:rPr>
        <w:footnoteReference w:id="7"/>
      </w:r>
      <w:r w:rsidR="00EE0016" w:rsidRPr="00CD0A1E">
        <w:rPr>
          <w:rFonts w:ascii="Cambria" w:hAnsi="Cambria" w:cs="Calibri Light"/>
          <w:sz w:val="20"/>
          <w:szCs w:val="20"/>
          <w:lang w:val="es-ES"/>
        </w:rPr>
        <w:t>.</w:t>
      </w:r>
      <w:r w:rsidRPr="00CD0A1E">
        <w:rPr>
          <w:rFonts w:ascii="Cambria" w:hAnsi="Cambria" w:cs="Calibri Light"/>
          <w:sz w:val="20"/>
          <w:szCs w:val="20"/>
          <w:lang w:val="es-ES"/>
        </w:rPr>
        <w:t xml:space="preserve"> </w:t>
      </w:r>
      <w:r w:rsidR="008549E5" w:rsidRPr="00CD0A1E">
        <w:rPr>
          <w:rFonts w:ascii="Cambria" w:hAnsi="Cambria"/>
          <w:sz w:val="20"/>
          <w:szCs w:val="20"/>
          <w:lang w:val="es-ES"/>
        </w:rPr>
        <w:t>El Estado informó que</w:t>
      </w:r>
      <w:r w:rsidR="00043872" w:rsidRPr="00CD0A1E">
        <w:rPr>
          <w:rFonts w:ascii="Cambria" w:hAnsi="Cambria"/>
          <w:sz w:val="20"/>
          <w:szCs w:val="20"/>
          <w:lang w:val="es-ES"/>
        </w:rPr>
        <w:t>,</w:t>
      </w:r>
      <w:r w:rsidR="008549E5" w:rsidRPr="00CD0A1E">
        <w:rPr>
          <w:rFonts w:ascii="Cambria" w:hAnsi="Cambria"/>
          <w:sz w:val="20"/>
          <w:szCs w:val="20"/>
          <w:lang w:val="es-ES"/>
        </w:rPr>
        <w:t xml:space="preserve"> considerando la política revisada de devolución directa, ha cumplido plenamente con la Recomendación 3 y que no se requieren más modificaciones a esta política</w:t>
      </w:r>
      <w:r w:rsidRPr="00CD0A1E">
        <w:rPr>
          <w:rFonts w:ascii="Cambria" w:hAnsi="Cambria"/>
          <w:sz w:val="20"/>
          <w:szCs w:val="20"/>
          <w:lang w:val="es-ES"/>
        </w:rPr>
        <w:t xml:space="preserve">. </w:t>
      </w:r>
    </w:p>
    <w:p w:rsidR="00371B8A" w:rsidRPr="00CD0A1E" w:rsidRDefault="00371B8A" w:rsidP="00371B8A">
      <w:pPr>
        <w:pStyle w:val="ListParagraph"/>
        <w:spacing w:after="0" w:line="240" w:lineRule="auto"/>
        <w:jc w:val="both"/>
        <w:rPr>
          <w:rFonts w:ascii="Cambria" w:hAnsi="Cambria" w:cs="Calibri Light"/>
          <w:sz w:val="20"/>
          <w:szCs w:val="20"/>
          <w:lang w:val="es-ES"/>
        </w:rPr>
      </w:pPr>
    </w:p>
    <w:p w:rsidR="00371B8A" w:rsidRPr="00CD0A1E" w:rsidRDefault="00303A21"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E</w:t>
      </w:r>
      <w:r w:rsidR="00371B8A" w:rsidRPr="00CD0A1E">
        <w:rPr>
          <w:rFonts w:ascii="Cambria" w:hAnsi="Cambria" w:cs="Calibri Light"/>
          <w:sz w:val="20"/>
          <w:szCs w:val="20"/>
          <w:lang w:val="es-ES"/>
        </w:rPr>
        <w:t xml:space="preserve">n 2018, </w:t>
      </w:r>
      <w:r w:rsidR="00B4725D" w:rsidRPr="00CD0A1E">
        <w:rPr>
          <w:rFonts w:ascii="Cambria" w:hAnsi="Cambria" w:cs="Calibri Light"/>
          <w:sz w:val="20"/>
          <w:szCs w:val="20"/>
          <w:lang w:val="es-ES"/>
        </w:rPr>
        <w:t xml:space="preserve">los peticionarios informaron que no habían tenido noticias en años recientes sobre casos de devolución directa, como se mencionó en el Informe </w:t>
      </w:r>
      <w:r w:rsidR="00EE0016" w:rsidRPr="00CD0A1E">
        <w:rPr>
          <w:rFonts w:ascii="Cambria" w:hAnsi="Cambria" w:cs="Calibri Light"/>
          <w:sz w:val="20"/>
          <w:szCs w:val="20"/>
          <w:lang w:val="es-ES"/>
        </w:rPr>
        <w:t>de Fondo</w:t>
      </w:r>
      <w:r w:rsidR="00B4725D" w:rsidRPr="00CD0A1E">
        <w:rPr>
          <w:rFonts w:ascii="Cambria" w:hAnsi="Cambria" w:cs="Calibri Light"/>
          <w:sz w:val="20"/>
          <w:szCs w:val="20"/>
          <w:lang w:val="es-ES"/>
        </w:rPr>
        <w:t xml:space="preserve"> </w:t>
      </w:r>
      <w:r w:rsidR="00371B8A" w:rsidRPr="00CD0A1E">
        <w:rPr>
          <w:rFonts w:ascii="Cambria" w:hAnsi="Cambria" w:cs="Calibri Light"/>
          <w:sz w:val="20"/>
          <w:szCs w:val="20"/>
          <w:lang w:val="es-ES"/>
        </w:rPr>
        <w:t>N</w:t>
      </w:r>
      <w:r w:rsidR="00EE0016" w:rsidRPr="00CD0A1E">
        <w:rPr>
          <w:rFonts w:ascii="Cambria" w:hAnsi="Cambria" w:cs="Calibri Light"/>
          <w:sz w:val="20"/>
          <w:szCs w:val="20"/>
          <w:lang w:val="es-ES"/>
        </w:rPr>
        <w:t>º</w:t>
      </w:r>
      <w:r w:rsidR="00371B8A" w:rsidRPr="00CD0A1E">
        <w:rPr>
          <w:rFonts w:ascii="Cambria" w:hAnsi="Cambria" w:cs="Calibri Light"/>
          <w:sz w:val="20"/>
          <w:szCs w:val="20"/>
          <w:lang w:val="es-ES"/>
        </w:rPr>
        <w:t xml:space="preserve"> 78/11. </w:t>
      </w:r>
      <w:r w:rsidR="00B4725D" w:rsidRPr="00CD0A1E">
        <w:rPr>
          <w:rFonts w:ascii="Cambria" w:hAnsi="Cambria" w:cs="Calibri Light"/>
          <w:sz w:val="20"/>
          <w:szCs w:val="20"/>
          <w:lang w:val="es-ES"/>
        </w:rPr>
        <w:t>Además</w:t>
      </w:r>
      <w:r w:rsidR="003820A6" w:rsidRPr="00CD0A1E">
        <w:rPr>
          <w:rFonts w:ascii="Cambria" w:hAnsi="Cambria" w:cs="Calibri Light"/>
          <w:sz w:val="20"/>
          <w:szCs w:val="20"/>
          <w:lang w:val="es-ES"/>
        </w:rPr>
        <w:t>,</w:t>
      </w:r>
      <w:r w:rsidR="00B4725D" w:rsidRPr="00CD0A1E">
        <w:rPr>
          <w:rFonts w:ascii="Cambria" w:hAnsi="Cambria" w:cs="Calibri Light"/>
          <w:sz w:val="20"/>
          <w:szCs w:val="20"/>
          <w:lang w:val="es-ES"/>
        </w:rPr>
        <w:t xml:space="preserve"> informaron que la cuestión de la devoluci</w:t>
      </w:r>
      <w:r w:rsidR="00E17DF8" w:rsidRPr="00CD0A1E">
        <w:rPr>
          <w:rFonts w:ascii="Cambria" w:hAnsi="Cambria" w:cs="Calibri Light"/>
          <w:sz w:val="20"/>
          <w:szCs w:val="20"/>
          <w:lang w:val="es-ES"/>
        </w:rPr>
        <w:t>ó</w:t>
      </w:r>
      <w:r w:rsidR="00B4725D" w:rsidRPr="00CD0A1E">
        <w:rPr>
          <w:rFonts w:ascii="Cambria" w:hAnsi="Cambria" w:cs="Calibri Light"/>
          <w:sz w:val="20"/>
          <w:szCs w:val="20"/>
          <w:lang w:val="es-ES"/>
        </w:rPr>
        <w:t xml:space="preserve">n directa ha sido superada por el Acuerdo </w:t>
      </w:r>
      <w:r w:rsidR="00C81120" w:rsidRPr="00CD0A1E">
        <w:rPr>
          <w:rFonts w:ascii="Cambria" w:hAnsi="Cambria" w:cs="Calibri Light"/>
          <w:sz w:val="20"/>
          <w:szCs w:val="20"/>
          <w:lang w:val="es-ES"/>
        </w:rPr>
        <w:t>del Tercer País Seguro</w:t>
      </w:r>
      <w:r w:rsidR="00BE7008" w:rsidRPr="00CD0A1E">
        <w:rPr>
          <w:rFonts w:ascii="Cambria" w:hAnsi="Cambria" w:cs="Calibri Light"/>
          <w:sz w:val="20"/>
          <w:szCs w:val="20"/>
          <w:lang w:val="es-ES"/>
        </w:rPr>
        <w:t xml:space="preserve"> (“Safe Third Country Agreement”)</w:t>
      </w:r>
      <w:r w:rsidR="00C81120" w:rsidRPr="00CD0A1E">
        <w:rPr>
          <w:rFonts w:ascii="Cambria" w:hAnsi="Cambria" w:cs="Calibri Light"/>
          <w:sz w:val="20"/>
          <w:szCs w:val="20"/>
          <w:lang w:val="es-ES"/>
        </w:rPr>
        <w:t>, vigente de</w:t>
      </w:r>
      <w:r w:rsidR="00E17DF8" w:rsidRPr="00CD0A1E">
        <w:rPr>
          <w:rFonts w:ascii="Cambria" w:hAnsi="Cambria" w:cs="Calibri Light"/>
          <w:sz w:val="20"/>
          <w:szCs w:val="20"/>
          <w:lang w:val="es-ES"/>
        </w:rPr>
        <w:t>s</w:t>
      </w:r>
      <w:r w:rsidR="00C81120" w:rsidRPr="00CD0A1E">
        <w:rPr>
          <w:rFonts w:ascii="Cambria" w:hAnsi="Cambria" w:cs="Calibri Light"/>
          <w:sz w:val="20"/>
          <w:szCs w:val="20"/>
          <w:lang w:val="es-ES"/>
        </w:rPr>
        <w:t>de diciembre de 2004 y bajo el cual Canadá y Estados Unidos</w:t>
      </w:r>
      <w:r w:rsidR="00A729D9" w:rsidRPr="00CD0A1E">
        <w:rPr>
          <w:rFonts w:ascii="Cambria" w:hAnsi="Cambria" w:cs="Calibri Light"/>
          <w:sz w:val="20"/>
          <w:szCs w:val="20"/>
          <w:lang w:val="es-ES"/>
        </w:rPr>
        <w:t xml:space="preserve"> declaran que el</w:t>
      </w:r>
      <w:r w:rsidR="00C81120" w:rsidRPr="00CD0A1E">
        <w:rPr>
          <w:rFonts w:ascii="Cambria" w:hAnsi="Cambria" w:cs="Calibri Light"/>
          <w:sz w:val="20"/>
          <w:szCs w:val="20"/>
          <w:lang w:val="es-ES"/>
        </w:rPr>
        <w:t xml:space="preserve"> otro país </w:t>
      </w:r>
      <w:r w:rsidR="00A729D9" w:rsidRPr="00CD0A1E">
        <w:rPr>
          <w:rFonts w:ascii="Cambria" w:hAnsi="Cambria" w:cs="Calibri Light"/>
          <w:sz w:val="20"/>
          <w:szCs w:val="20"/>
          <w:lang w:val="es-ES"/>
        </w:rPr>
        <w:t xml:space="preserve">es </w:t>
      </w:r>
      <w:r w:rsidR="00C81120" w:rsidRPr="00CD0A1E">
        <w:rPr>
          <w:rFonts w:ascii="Cambria" w:hAnsi="Cambria" w:cs="Calibri Light"/>
          <w:sz w:val="20"/>
          <w:szCs w:val="20"/>
          <w:lang w:val="es-ES"/>
        </w:rPr>
        <w:t>“seguro” para refugiados.</w:t>
      </w:r>
      <w:r w:rsidR="00371B8A" w:rsidRPr="00CD0A1E">
        <w:rPr>
          <w:rFonts w:ascii="Cambria" w:hAnsi="Cambria" w:cs="Calibri Light"/>
          <w:sz w:val="20"/>
          <w:szCs w:val="20"/>
          <w:lang w:val="es-ES"/>
        </w:rPr>
        <w:t xml:space="preserve"> </w:t>
      </w:r>
      <w:r w:rsidR="003F610D" w:rsidRPr="00CD0A1E">
        <w:rPr>
          <w:rFonts w:ascii="Cambria" w:hAnsi="Cambria" w:cs="Calibri Light"/>
          <w:sz w:val="20"/>
          <w:szCs w:val="20"/>
          <w:lang w:val="es-ES"/>
        </w:rPr>
        <w:t xml:space="preserve">La aplicación del Acuerdo </w:t>
      </w:r>
      <w:r w:rsidR="00DA03BE" w:rsidRPr="00CD0A1E">
        <w:rPr>
          <w:rFonts w:ascii="Cambria" w:hAnsi="Cambria" w:cs="Calibri Light"/>
          <w:sz w:val="20"/>
          <w:szCs w:val="20"/>
          <w:lang w:val="es-ES"/>
        </w:rPr>
        <w:t xml:space="preserve">consiste en que </w:t>
      </w:r>
      <w:r w:rsidR="00E6543F">
        <w:rPr>
          <w:rFonts w:ascii="Cambria" w:hAnsi="Cambria" w:cs="Calibri Light"/>
          <w:sz w:val="20"/>
          <w:szCs w:val="20"/>
          <w:lang w:val="es-ES"/>
        </w:rPr>
        <w:t>al</w:t>
      </w:r>
      <w:r w:rsidR="00DA03BE" w:rsidRPr="00CD0A1E">
        <w:rPr>
          <w:rFonts w:ascii="Cambria" w:hAnsi="Cambria" w:cs="Calibri Light"/>
          <w:sz w:val="20"/>
          <w:szCs w:val="20"/>
          <w:lang w:val="es-ES"/>
        </w:rPr>
        <w:t xml:space="preserve"> solicitante de asilo que se </w:t>
      </w:r>
      <w:r w:rsidR="00DA03BE" w:rsidRPr="00E96F59">
        <w:rPr>
          <w:rFonts w:ascii="Cambria" w:hAnsi="Cambria" w:cs="Calibri Light"/>
          <w:sz w:val="20"/>
          <w:szCs w:val="20"/>
          <w:lang w:val="es-ES"/>
        </w:rPr>
        <w:t xml:space="preserve">presenta </w:t>
      </w:r>
      <w:r w:rsidR="007D1739" w:rsidRPr="00E96F59">
        <w:rPr>
          <w:rFonts w:ascii="Cambria" w:hAnsi="Cambria" w:cs="Calibri Light"/>
          <w:sz w:val="20"/>
          <w:szCs w:val="20"/>
          <w:lang w:val="es-ES"/>
        </w:rPr>
        <w:t>en</w:t>
      </w:r>
      <w:r w:rsidR="00DA03BE" w:rsidRPr="00E96F59">
        <w:rPr>
          <w:rFonts w:ascii="Cambria" w:hAnsi="Cambria" w:cs="Calibri Light"/>
          <w:sz w:val="20"/>
          <w:szCs w:val="20"/>
          <w:lang w:val="es-ES"/>
        </w:rPr>
        <w:t xml:space="preserve"> un </w:t>
      </w:r>
      <w:r w:rsidR="007D1739" w:rsidRPr="00E96F59">
        <w:rPr>
          <w:rFonts w:ascii="Cambria" w:hAnsi="Cambria" w:cs="Calibri Light"/>
          <w:sz w:val="20"/>
          <w:szCs w:val="20"/>
          <w:lang w:val="es-ES"/>
        </w:rPr>
        <w:t>p</w:t>
      </w:r>
      <w:r w:rsidR="00DA03BE" w:rsidRPr="00E96F59">
        <w:rPr>
          <w:rFonts w:ascii="Cambria" w:hAnsi="Cambria" w:cs="Calibri Light"/>
          <w:sz w:val="20"/>
          <w:szCs w:val="20"/>
          <w:lang w:val="es-ES"/>
        </w:rPr>
        <w:t xml:space="preserve">uerto de entrada canadiense </w:t>
      </w:r>
      <w:r w:rsidR="00BF4B42" w:rsidRPr="00E96F59">
        <w:rPr>
          <w:rFonts w:ascii="Cambria" w:hAnsi="Cambria" w:cs="Calibri Light"/>
          <w:sz w:val="20"/>
          <w:szCs w:val="20"/>
          <w:lang w:val="es-ES"/>
        </w:rPr>
        <w:t>para presentar una solicitud de asilo, con limitadas excepciones,</w:t>
      </w:r>
      <w:r w:rsidR="00E6543F">
        <w:rPr>
          <w:rFonts w:ascii="Cambria" w:hAnsi="Cambria" w:cs="Calibri Light"/>
          <w:sz w:val="20"/>
          <w:szCs w:val="20"/>
          <w:lang w:val="es-ES"/>
        </w:rPr>
        <w:t xml:space="preserve"> </w:t>
      </w:r>
      <w:r w:rsidR="00BF4B42" w:rsidRPr="00E96F59">
        <w:rPr>
          <w:rFonts w:ascii="Cambria" w:hAnsi="Cambria" w:cs="Calibri Light"/>
          <w:sz w:val="20"/>
          <w:szCs w:val="20"/>
          <w:lang w:val="es-ES"/>
        </w:rPr>
        <w:t>es denegado</w:t>
      </w:r>
      <w:r w:rsidR="00E6543F">
        <w:rPr>
          <w:rFonts w:ascii="Cambria" w:hAnsi="Cambria" w:cs="Calibri Light"/>
          <w:sz w:val="20"/>
          <w:szCs w:val="20"/>
          <w:lang w:val="es-ES"/>
        </w:rPr>
        <w:t xml:space="preserve"> su acceso</w:t>
      </w:r>
      <w:r w:rsidR="00BF4B42" w:rsidRPr="00E96F59">
        <w:rPr>
          <w:rFonts w:ascii="Cambria" w:hAnsi="Cambria" w:cs="Calibri Light"/>
          <w:sz w:val="20"/>
          <w:szCs w:val="20"/>
          <w:lang w:val="es-ES"/>
        </w:rPr>
        <w:t xml:space="preserve"> </w:t>
      </w:r>
      <w:r w:rsidR="00E6543F">
        <w:rPr>
          <w:rFonts w:ascii="Cambria" w:hAnsi="Cambria" w:cs="Calibri Light"/>
          <w:sz w:val="20"/>
          <w:szCs w:val="20"/>
          <w:lang w:val="es-ES"/>
        </w:rPr>
        <w:t>a</w:t>
      </w:r>
      <w:r w:rsidR="00BF4B42" w:rsidRPr="00E96F59">
        <w:rPr>
          <w:rFonts w:ascii="Cambria" w:hAnsi="Cambria" w:cs="Calibri Light"/>
          <w:sz w:val="20"/>
          <w:szCs w:val="20"/>
          <w:lang w:val="es-ES"/>
        </w:rPr>
        <w:t xml:space="preserve">l </w:t>
      </w:r>
      <w:r w:rsidR="005157B7" w:rsidRPr="00E96F59">
        <w:rPr>
          <w:rFonts w:ascii="Cambria" w:hAnsi="Cambria" w:cs="Calibri Light"/>
          <w:sz w:val="20"/>
          <w:szCs w:val="20"/>
          <w:lang w:val="es-ES"/>
        </w:rPr>
        <w:t>s</w:t>
      </w:r>
      <w:r w:rsidR="00BF4B42" w:rsidRPr="00E96F59">
        <w:rPr>
          <w:rFonts w:ascii="Cambria" w:hAnsi="Cambria" w:cs="Calibri Light"/>
          <w:sz w:val="20"/>
          <w:szCs w:val="20"/>
          <w:lang w:val="es-ES"/>
        </w:rPr>
        <w:t>istema de asilo canadiense e inmediatamente devuelto a los Est</w:t>
      </w:r>
      <w:r w:rsidR="005157B7" w:rsidRPr="00E96F59">
        <w:rPr>
          <w:rFonts w:ascii="Cambria" w:hAnsi="Cambria" w:cs="Calibri Light"/>
          <w:sz w:val="20"/>
          <w:szCs w:val="20"/>
          <w:lang w:val="es-ES"/>
        </w:rPr>
        <w:t>a</w:t>
      </w:r>
      <w:r w:rsidR="00BF4B42" w:rsidRPr="00E96F59">
        <w:rPr>
          <w:rFonts w:ascii="Cambria" w:hAnsi="Cambria" w:cs="Calibri Light"/>
          <w:sz w:val="20"/>
          <w:szCs w:val="20"/>
          <w:lang w:val="es-ES"/>
        </w:rPr>
        <w:t>dos Unidos para presentar su solicitud de protección al refugiado allí.</w:t>
      </w:r>
      <w:r w:rsidR="00DA03BE" w:rsidRPr="00E96F59">
        <w:rPr>
          <w:rFonts w:ascii="Cambria" w:hAnsi="Cambria" w:cs="Calibri Light"/>
          <w:sz w:val="20"/>
          <w:szCs w:val="20"/>
          <w:lang w:val="es-ES"/>
        </w:rPr>
        <w:t xml:space="preserve"> </w:t>
      </w:r>
      <w:r w:rsidR="005157B7" w:rsidRPr="00E96F59">
        <w:rPr>
          <w:rFonts w:ascii="Cambria" w:hAnsi="Cambria" w:cs="Calibri Light"/>
          <w:sz w:val="20"/>
          <w:szCs w:val="20"/>
          <w:lang w:val="es-ES"/>
        </w:rPr>
        <w:t xml:space="preserve">Los peticionarios informaron que en julio de 2017 el </w:t>
      </w:r>
      <w:r w:rsidR="00A729D9" w:rsidRPr="00E96F59">
        <w:rPr>
          <w:rFonts w:ascii="Cambria" w:hAnsi="Cambria" w:cs="Calibri Light"/>
          <w:sz w:val="20"/>
          <w:szCs w:val="20"/>
          <w:lang w:val="es-ES"/>
        </w:rPr>
        <w:t>Canadian Council for Refugees</w:t>
      </w:r>
      <w:r w:rsidR="005157B7" w:rsidRPr="00E96F59">
        <w:rPr>
          <w:rFonts w:ascii="Cambria" w:hAnsi="Cambria" w:cs="Calibri Light"/>
          <w:sz w:val="20"/>
          <w:szCs w:val="20"/>
          <w:lang w:val="es-ES"/>
        </w:rPr>
        <w:t>, Amnesty Int</w:t>
      </w:r>
      <w:r w:rsidR="004C2966" w:rsidRPr="00E96F59">
        <w:rPr>
          <w:rFonts w:ascii="Cambria" w:hAnsi="Cambria" w:cs="Calibri Light"/>
          <w:sz w:val="20"/>
          <w:szCs w:val="20"/>
          <w:lang w:val="es-ES"/>
        </w:rPr>
        <w:t>e</w:t>
      </w:r>
      <w:r w:rsidR="005157B7" w:rsidRPr="00E96F59">
        <w:rPr>
          <w:rFonts w:ascii="Cambria" w:hAnsi="Cambria" w:cs="Calibri Light"/>
          <w:sz w:val="20"/>
          <w:szCs w:val="20"/>
          <w:lang w:val="es-ES"/>
        </w:rPr>
        <w:t>rnaci</w:t>
      </w:r>
      <w:r w:rsidR="004C2966" w:rsidRPr="00E96F59">
        <w:rPr>
          <w:rFonts w:ascii="Cambria" w:hAnsi="Cambria" w:cs="Calibri Light"/>
          <w:sz w:val="20"/>
          <w:szCs w:val="20"/>
          <w:lang w:val="es-ES"/>
        </w:rPr>
        <w:t>o</w:t>
      </w:r>
      <w:r w:rsidR="005157B7" w:rsidRPr="00E96F59">
        <w:rPr>
          <w:rFonts w:ascii="Cambria" w:hAnsi="Cambria" w:cs="Calibri Light"/>
          <w:sz w:val="20"/>
          <w:szCs w:val="20"/>
          <w:lang w:val="es-ES"/>
        </w:rPr>
        <w:t xml:space="preserve">nal y el </w:t>
      </w:r>
      <w:r w:rsidR="00A729D9" w:rsidRPr="00E96F59">
        <w:rPr>
          <w:rFonts w:ascii="Cambria" w:hAnsi="Cambria" w:cs="Calibri Light"/>
          <w:sz w:val="20"/>
          <w:szCs w:val="20"/>
          <w:lang w:val="es-ES"/>
        </w:rPr>
        <w:t>Canadian Council of Churches</w:t>
      </w:r>
      <w:r w:rsidR="00A729D9" w:rsidRPr="00E96F59" w:rsidDel="00A729D9">
        <w:rPr>
          <w:rFonts w:ascii="Cambria" w:hAnsi="Cambria" w:cs="Calibri Light"/>
          <w:sz w:val="20"/>
          <w:szCs w:val="20"/>
          <w:lang w:val="es-ES"/>
        </w:rPr>
        <w:t xml:space="preserve"> </w:t>
      </w:r>
      <w:r w:rsidR="00F050B7" w:rsidRPr="00E96F59">
        <w:rPr>
          <w:rFonts w:ascii="Cambria" w:hAnsi="Cambria" w:cs="Calibri Light"/>
          <w:sz w:val="20"/>
          <w:szCs w:val="20"/>
          <w:lang w:val="es-ES"/>
        </w:rPr>
        <w:t xml:space="preserve">se </w:t>
      </w:r>
      <w:r w:rsidR="00F050B7" w:rsidRPr="00E96F59">
        <w:rPr>
          <w:rFonts w:ascii="Cambria" w:hAnsi="Cambria" w:cs="Calibri Light"/>
          <w:sz w:val="20"/>
          <w:szCs w:val="20"/>
          <w:lang w:val="es-ES"/>
        </w:rPr>
        <w:lastRenderedPageBreak/>
        <w:t>unieron a litigantes individuales que le solicita</w:t>
      </w:r>
      <w:r w:rsidR="00440C84" w:rsidRPr="00E96F59">
        <w:rPr>
          <w:rFonts w:ascii="Cambria" w:hAnsi="Cambria" w:cs="Calibri Light"/>
          <w:sz w:val="20"/>
          <w:szCs w:val="20"/>
          <w:lang w:val="es-ES"/>
        </w:rPr>
        <w:t>ro</w:t>
      </w:r>
      <w:r w:rsidR="00F050B7" w:rsidRPr="00E96F59">
        <w:rPr>
          <w:rFonts w:ascii="Cambria" w:hAnsi="Cambria" w:cs="Calibri Light"/>
          <w:sz w:val="20"/>
          <w:szCs w:val="20"/>
          <w:lang w:val="es-ES"/>
        </w:rPr>
        <w:t xml:space="preserve">n a la Corte Federal la eliminación del Acuerdo de Tercer País Seguro y </w:t>
      </w:r>
      <w:r w:rsidR="00440C84" w:rsidRPr="00E96F59">
        <w:rPr>
          <w:rFonts w:ascii="Cambria" w:hAnsi="Cambria" w:cs="Calibri Light"/>
          <w:sz w:val="20"/>
          <w:szCs w:val="20"/>
          <w:lang w:val="es-ES"/>
        </w:rPr>
        <w:t xml:space="preserve">piden </w:t>
      </w:r>
      <w:r w:rsidR="00F050B7" w:rsidRPr="00E96F59">
        <w:rPr>
          <w:rFonts w:ascii="Cambria" w:hAnsi="Cambria" w:cs="Calibri Light"/>
          <w:sz w:val="20"/>
          <w:szCs w:val="20"/>
          <w:lang w:val="es-ES"/>
        </w:rPr>
        <w:t>que</w:t>
      </w:r>
      <w:r w:rsidR="00440C84" w:rsidRPr="00E96F59">
        <w:rPr>
          <w:rFonts w:ascii="Cambria" w:hAnsi="Cambria" w:cs="Calibri Light"/>
          <w:sz w:val="20"/>
          <w:szCs w:val="20"/>
          <w:lang w:val="es-ES"/>
        </w:rPr>
        <w:t xml:space="preserve"> se</w:t>
      </w:r>
      <w:r w:rsidR="00F050B7" w:rsidRPr="00E96F59">
        <w:rPr>
          <w:rFonts w:ascii="Cambria" w:hAnsi="Cambria" w:cs="Calibri Light"/>
          <w:sz w:val="20"/>
          <w:szCs w:val="20"/>
          <w:lang w:val="es-ES"/>
        </w:rPr>
        <w:t xml:space="preserve"> les permita presentar una solicitud de asilo en Canadá</w:t>
      </w:r>
      <w:r w:rsidR="00371B8A" w:rsidRPr="00E96F59">
        <w:rPr>
          <w:rFonts w:ascii="Cambria" w:hAnsi="Cambria" w:cs="Calibri Light"/>
          <w:sz w:val="20"/>
          <w:szCs w:val="20"/>
          <w:lang w:val="es-ES"/>
        </w:rPr>
        <w:t xml:space="preserve">. </w:t>
      </w:r>
      <w:r w:rsidR="00931BFE" w:rsidRPr="00E96F59">
        <w:rPr>
          <w:rFonts w:ascii="Cambria" w:hAnsi="Cambria" w:cs="Calibri Light"/>
          <w:sz w:val="20"/>
          <w:szCs w:val="20"/>
          <w:lang w:val="es-ES"/>
        </w:rPr>
        <w:t xml:space="preserve">Se han presentado pruebas sustanciales en este caso sobre personas que fueron devueltas desde un </w:t>
      </w:r>
      <w:r w:rsidR="00440C84" w:rsidRPr="00E96F59">
        <w:rPr>
          <w:rFonts w:ascii="Cambria" w:hAnsi="Cambria" w:cs="Calibri Light"/>
          <w:sz w:val="20"/>
          <w:szCs w:val="20"/>
          <w:lang w:val="es-ES"/>
        </w:rPr>
        <w:t>p</w:t>
      </w:r>
      <w:r w:rsidR="00931BFE" w:rsidRPr="00E96F59">
        <w:rPr>
          <w:rFonts w:ascii="Cambria" w:hAnsi="Cambria" w:cs="Calibri Light"/>
          <w:sz w:val="20"/>
          <w:szCs w:val="20"/>
          <w:lang w:val="es-ES"/>
        </w:rPr>
        <w:t xml:space="preserve">uerto de entrada canadiense </w:t>
      </w:r>
      <w:r w:rsidR="00440C84" w:rsidRPr="00E96F59">
        <w:rPr>
          <w:rFonts w:ascii="Cambria" w:hAnsi="Cambria" w:cs="Calibri Light"/>
          <w:sz w:val="20"/>
          <w:szCs w:val="20"/>
          <w:lang w:val="es-ES"/>
        </w:rPr>
        <w:t>en base al</w:t>
      </w:r>
      <w:r w:rsidR="00931BFE" w:rsidRPr="00E96F59">
        <w:rPr>
          <w:rFonts w:ascii="Cambria" w:hAnsi="Cambria" w:cs="Calibri Light"/>
          <w:sz w:val="20"/>
          <w:szCs w:val="20"/>
          <w:lang w:val="es-ES"/>
        </w:rPr>
        <w:t xml:space="preserve"> Acuerdo de Tercer País Seguro y luego fueron ingresados a centros de detención de inmigración en los Estados Unidos</w:t>
      </w:r>
      <w:r w:rsidR="00371B8A" w:rsidRPr="00E96F59">
        <w:rPr>
          <w:rFonts w:ascii="Cambria" w:hAnsi="Cambria" w:cs="Calibri Light"/>
          <w:sz w:val="20"/>
          <w:szCs w:val="20"/>
          <w:lang w:val="es-ES"/>
        </w:rPr>
        <w:t xml:space="preserve">. </w:t>
      </w:r>
      <w:r w:rsidR="00931BFE" w:rsidRPr="00E96F59">
        <w:rPr>
          <w:rFonts w:ascii="Cambria" w:hAnsi="Cambria" w:cs="Calibri Light"/>
          <w:sz w:val="20"/>
          <w:szCs w:val="20"/>
          <w:lang w:val="es-ES"/>
        </w:rPr>
        <w:t>La audiencia en la Corte Federal de Canadá está programa</w:t>
      </w:r>
      <w:r w:rsidR="00D93ED3" w:rsidRPr="00E96F59">
        <w:rPr>
          <w:rFonts w:ascii="Cambria" w:hAnsi="Cambria" w:cs="Calibri Light"/>
          <w:sz w:val="20"/>
          <w:szCs w:val="20"/>
          <w:lang w:val="es-ES"/>
        </w:rPr>
        <w:t>da del 6 al 9 de mayo de 2019. Además, los peticionaros informaron que</w:t>
      </w:r>
      <w:r w:rsidR="00440C84" w:rsidRPr="00E96F59">
        <w:rPr>
          <w:rFonts w:ascii="Cambria" w:hAnsi="Cambria" w:cs="Calibri Light"/>
          <w:sz w:val="20"/>
          <w:szCs w:val="20"/>
          <w:lang w:val="es-ES"/>
        </w:rPr>
        <w:t xml:space="preserve"> </w:t>
      </w:r>
      <w:r w:rsidR="00D93ED3" w:rsidRPr="00E96F59">
        <w:rPr>
          <w:rFonts w:ascii="Cambria" w:hAnsi="Cambria" w:cs="Calibri Light"/>
          <w:sz w:val="20"/>
          <w:szCs w:val="20"/>
          <w:lang w:val="es-ES"/>
        </w:rPr>
        <w:t xml:space="preserve">ha habido casos de personas que se presentaron en los puertos </w:t>
      </w:r>
      <w:r w:rsidR="00D93ED3" w:rsidRPr="00CD0A1E">
        <w:rPr>
          <w:rFonts w:ascii="Cambria" w:hAnsi="Cambria" w:cs="Calibri Light"/>
          <w:sz w:val="20"/>
          <w:szCs w:val="20"/>
          <w:lang w:val="es-ES"/>
        </w:rPr>
        <w:t xml:space="preserve">de entrada canadienses para presentar una solicitud de asilo y que han sido devueltos a los Estados Unidos sin que se les diera la oportunidad para presentar su solicitud, </w:t>
      </w:r>
      <w:r w:rsidR="00D9422C" w:rsidRPr="00CD0A1E">
        <w:rPr>
          <w:rFonts w:ascii="Cambria" w:hAnsi="Cambria" w:cs="Calibri Light"/>
          <w:sz w:val="20"/>
          <w:szCs w:val="20"/>
          <w:lang w:val="es-ES"/>
        </w:rPr>
        <w:t>incluso</w:t>
      </w:r>
      <w:r w:rsidR="00D93ED3" w:rsidRPr="00CD0A1E">
        <w:rPr>
          <w:rFonts w:ascii="Cambria" w:hAnsi="Cambria" w:cs="Calibri Light"/>
          <w:sz w:val="20"/>
          <w:szCs w:val="20"/>
          <w:lang w:val="es-ES"/>
        </w:rPr>
        <w:t xml:space="preserve"> cuando su situaci</w:t>
      </w:r>
      <w:r w:rsidR="00440C84" w:rsidRPr="00CD0A1E">
        <w:rPr>
          <w:rFonts w:ascii="Cambria" w:hAnsi="Cambria" w:cs="Calibri Light"/>
          <w:sz w:val="20"/>
          <w:szCs w:val="20"/>
          <w:lang w:val="es-ES"/>
        </w:rPr>
        <w:t>ón</w:t>
      </w:r>
      <w:r w:rsidR="00D93ED3" w:rsidRPr="00CD0A1E">
        <w:rPr>
          <w:rFonts w:ascii="Cambria" w:hAnsi="Cambria" w:cs="Calibri Light"/>
          <w:sz w:val="20"/>
          <w:szCs w:val="20"/>
          <w:lang w:val="es-ES"/>
        </w:rPr>
        <w:t xml:space="preserve"> se encuentra entre </w:t>
      </w:r>
      <w:r w:rsidR="00697C56" w:rsidRPr="00CD0A1E">
        <w:rPr>
          <w:rFonts w:ascii="Cambria" w:hAnsi="Cambria" w:cs="Calibri Light"/>
          <w:sz w:val="20"/>
          <w:szCs w:val="20"/>
          <w:lang w:val="es-ES"/>
        </w:rPr>
        <w:t>una de las excepciones del Acuerdo de Tercer País Seguro el cual les permitiría solicitar la protección de refugia</w:t>
      </w:r>
      <w:r w:rsidR="00440C84" w:rsidRPr="00CD0A1E">
        <w:rPr>
          <w:rFonts w:ascii="Cambria" w:hAnsi="Cambria" w:cs="Calibri Light"/>
          <w:sz w:val="20"/>
          <w:szCs w:val="20"/>
          <w:lang w:val="es-ES"/>
        </w:rPr>
        <w:t>d</w:t>
      </w:r>
      <w:r w:rsidR="00697C56" w:rsidRPr="00CD0A1E">
        <w:rPr>
          <w:rFonts w:ascii="Cambria" w:hAnsi="Cambria" w:cs="Calibri Light"/>
          <w:sz w:val="20"/>
          <w:szCs w:val="20"/>
          <w:lang w:val="es-ES"/>
        </w:rPr>
        <w:t xml:space="preserve">os en Canadá. En un caso </w:t>
      </w:r>
      <w:r w:rsidR="00D85154">
        <w:rPr>
          <w:rFonts w:ascii="Cambria" w:hAnsi="Cambria" w:cs="Calibri Light"/>
          <w:sz w:val="20"/>
          <w:szCs w:val="20"/>
          <w:lang w:val="es-ES"/>
        </w:rPr>
        <w:t>particular, a pesar de las medida</w:t>
      </w:r>
      <w:r w:rsidR="00697C56" w:rsidRPr="00CD0A1E">
        <w:rPr>
          <w:rFonts w:ascii="Cambria" w:hAnsi="Cambria" w:cs="Calibri Light"/>
          <w:sz w:val="20"/>
          <w:szCs w:val="20"/>
          <w:lang w:val="es-ES"/>
        </w:rPr>
        <w:t>s adopt</w:t>
      </w:r>
      <w:r w:rsidR="00EC3771" w:rsidRPr="00CD0A1E">
        <w:rPr>
          <w:rFonts w:ascii="Cambria" w:hAnsi="Cambria" w:cs="Calibri Light"/>
          <w:sz w:val="20"/>
          <w:szCs w:val="20"/>
          <w:lang w:val="es-ES"/>
        </w:rPr>
        <w:t>a</w:t>
      </w:r>
      <w:r w:rsidR="00697C56" w:rsidRPr="00CD0A1E">
        <w:rPr>
          <w:rFonts w:ascii="Cambria" w:hAnsi="Cambria" w:cs="Calibri Light"/>
          <w:sz w:val="20"/>
          <w:szCs w:val="20"/>
          <w:lang w:val="es-ES"/>
        </w:rPr>
        <w:t>das por la Agencia de Servicios Fronterizos de</w:t>
      </w:r>
      <w:r w:rsidR="00D9422C" w:rsidRPr="00CD0A1E">
        <w:rPr>
          <w:rFonts w:ascii="Cambria" w:hAnsi="Cambria" w:cs="Calibri Light"/>
          <w:sz w:val="20"/>
          <w:szCs w:val="20"/>
          <w:lang w:val="es-ES"/>
        </w:rPr>
        <w:t>l</w:t>
      </w:r>
      <w:r w:rsidR="00697C56" w:rsidRPr="00CD0A1E">
        <w:rPr>
          <w:rFonts w:ascii="Cambria" w:hAnsi="Cambria" w:cs="Calibri Light"/>
          <w:sz w:val="20"/>
          <w:szCs w:val="20"/>
          <w:lang w:val="es-ES"/>
        </w:rPr>
        <w:t xml:space="preserve"> Canadá, después de la intervención de los peticionarios, esta persona regresó al puerto de </w:t>
      </w:r>
      <w:r w:rsidR="00440C84" w:rsidRPr="00CD0A1E">
        <w:rPr>
          <w:rFonts w:ascii="Cambria" w:hAnsi="Cambria" w:cs="Calibri Light"/>
          <w:sz w:val="20"/>
          <w:szCs w:val="20"/>
          <w:lang w:val="es-ES"/>
        </w:rPr>
        <w:t>entrada</w:t>
      </w:r>
      <w:r w:rsidR="00697C56" w:rsidRPr="00CD0A1E">
        <w:rPr>
          <w:rFonts w:ascii="Cambria" w:hAnsi="Cambria" w:cs="Calibri Light"/>
          <w:sz w:val="20"/>
          <w:szCs w:val="20"/>
          <w:lang w:val="es-ES"/>
        </w:rPr>
        <w:t xml:space="preserve"> pero se le denegó nuevamente la oportunidad de presentar una solicitud de asilo.</w:t>
      </w:r>
      <w:r w:rsidR="00D93ED3" w:rsidRPr="00CD0A1E">
        <w:rPr>
          <w:rFonts w:ascii="Cambria" w:hAnsi="Cambria" w:cs="Calibri Light"/>
          <w:sz w:val="20"/>
          <w:szCs w:val="20"/>
          <w:lang w:val="es-ES"/>
        </w:rPr>
        <w:t xml:space="preserve">  </w:t>
      </w:r>
      <w:r w:rsidR="00371B8A" w:rsidRPr="00CD0A1E">
        <w:rPr>
          <w:rFonts w:ascii="Cambria" w:hAnsi="Cambria" w:cs="Calibri Light"/>
          <w:sz w:val="20"/>
          <w:szCs w:val="20"/>
          <w:lang w:val="es-ES"/>
        </w:rPr>
        <w:t xml:space="preserve">  </w:t>
      </w:r>
    </w:p>
    <w:p w:rsidR="00371B8A" w:rsidRPr="00CD0A1E" w:rsidRDefault="00371B8A" w:rsidP="00371B8A">
      <w:pPr>
        <w:pStyle w:val="ListParagraph"/>
        <w:spacing w:after="0" w:line="240" w:lineRule="auto"/>
        <w:jc w:val="both"/>
        <w:rPr>
          <w:rFonts w:ascii="Cambria" w:hAnsi="Cambria" w:cs="Calibri Light"/>
          <w:sz w:val="20"/>
          <w:szCs w:val="20"/>
          <w:lang w:val="es-ES"/>
        </w:rPr>
      </w:pPr>
    </w:p>
    <w:p w:rsidR="00371B8A" w:rsidRPr="00CD0A1E" w:rsidRDefault="00EC3771"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 xml:space="preserve">La Comisión </w:t>
      </w:r>
      <w:r w:rsidR="00A729D9" w:rsidRPr="00CD0A1E">
        <w:rPr>
          <w:rFonts w:ascii="Cambria" w:hAnsi="Cambria" w:cs="Calibri Light"/>
          <w:sz w:val="20"/>
          <w:szCs w:val="20"/>
          <w:lang w:val="es-ES"/>
        </w:rPr>
        <w:t xml:space="preserve">valora positivamente </w:t>
      </w:r>
      <w:r w:rsidRPr="00CD0A1E">
        <w:rPr>
          <w:rFonts w:ascii="Cambria" w:hAnsi="Cambria" w:cs="Calibri Light"/>
          <w:sz w:val="20"/>
          <w:szCs w:val="20"/>
          <w:lang w:val="es-ES"/>
        </w:rPr>
        <w:t xml:space="preserve">la revisión </w:t>
      </w:r>
      <w:r w:rsidR="00437A45" w:rsidRPr="00CD0A1E">
        <w:rPr>
          <w:rFonts w:ascii="Cambria" w:hAnsi="Cambria" w:cs="Calibri Light"/>
          <w:sz w:val="20"/>
          <w:szCs w:val="20"/>
          <w:lang w:val="es-ES"/>
        </w:rPr>
        <w:t>de</w:t>
      </w:r>
      <w:r w:rsidRPr="00CD0A1E">
        <w:rPr>
          <w:rFonts w:ascii="Cambria" w:hAnsi="Cambria" w:cs="Calibri Light"/>
          <w:sz w:val="20"/>
          <w:szCs w:val="20"/>
          <w:lang w:val="es-ES"/>
        </w:rPr>
        <w:t xml:space="preserve"> la pol</w:t>
      </w:r>
      <w:r w:rsidR="00B92BD9" w:rsidRPr="00CD0A1E">
        <w:rPr>
          <w:rFonts w:ascii="Cambria" w:hAnsi="Cambria" w:cs="Calibri Light"/>
          <w:sz w:val="20"/>
          <w:szCs w:val="20"/>
          <w:lang w:val="es-ES"/>
        </w:rPr>
        <w:t>í</w:t>
      </w:r>
      <w:r w:rsidRPr="00CD0A1E">
        <w:rPr>
          <w:rFonts w:ascii="Cambria" w:hAnsi="Cambria" w:cs="Calibri Light"/>
          <w:sz w:val="20"/>
          <w:szCs w:val="20"/>
          <w:lang w:val="es-ES"/>
        </w:rPr>
        <w:t>tic</w:t>
      </w:r>
      <w:r w:rsidR="00B92BD9" w:rsidRPr="00CD0A1E">
        <w:rPr>
          <w:rFonts w:ascii="Cambria" w:hAnsi="Cambria" w:cs="Calibri Light"/>
          <w:sz w:val="20"/>
          <w:szCs w:val="20"/>
          <w:lang w:val="es-ES"/>
        </w:rPr>
        <w:t>a</w:t>
      </w:r>
      <w:r w:rsidRPr="00CD0A1E">
        <w:rPr>
          <w:rFonts w:ascii="Cambria" w:hAnsi="Cambria" w:cs="Calibri Light"/>
          <w:sz w:val="20"/>
          <w:szCs w:val="20"/>
          <w:lang w:val="es-ES"/>
        </w:rPr>
        <w:t xml:space="preserve"> de devolución direct</w:t>
      </w:r>
      <w:r w:rsidR="00B92BD9" w:rsidRPr="00CD0A1E">
        <w:rPr>
          <w:rFonts w:ascii="Cambria" w:hAnsi="Cambria" w:cs="Calibri Light"/>
          <w:sz w:val="20"/>
          <w:szCs w:val="20"/>
          <w:lang w:val="es-ES"/>
        </w:rPr>
        <w:t>a</w:t>
      </w:r>
      <w:r w:rsidRPr="00CD0A1E">
        <w:rPr>
          <w:rFonts w:ascii="Cambria" w:hAnsi="Cambria" w:cs="Calibri Light"/>
          <w:sz w:val="20"/>
          <w:szCs w:val="20"/>
          <w:lang w:val="es-ES"/>
        </w:rPr>
        <w:t xml:space="preserve"> realizada en 2006 y solicita al Esta</w:t>
      </w:r>
      <w:r w:rsidR="00B92BD9" w:rsidRPr="00CD0A1E">
        <w:rPr>
          <w:rFonts w:ascii="Cambria" w:hAnsi="Cambria" w:cs="Calibri Light"/>
          <w:sz w:val="20"/>
          <w:szCs w:val="20"/>
          <w:lang w:val="es-ES"/>
        </w:rPr>
        <w:t>d</w:t>
      </w:r>
      <w:r w:rsidRPr="00CD0A1E">
        <w:rPr>
          <w:rFonts w:ascii="Cambria" w:hAnsi="Cambria" w:cs="Calibri Light"/>
          <w:sz w:val="20"/>
          <w:szCs w:val="20"/>
          <w:lang w:val="es-ES"/>
        </w:rPr>
        <w:t>o que suministre informaci</w:t>
      </w:r>
      <w:r w:rsidR="00B92BD9" w:rsidRPr="00CD0A1E">
        <w:rPr>
          <w:rFonts w:ascii="Cambria" w:hAnsi="Cambria" w:cs="Calibri Light"/>
          <w:sz w:val="20"/>
          <w:szCs w:val="20"/>
          <w:lang w:val="es-ES"/>
        </w:rPr>
        <w:t>ó</w:t>
      </w:r>
      <w:r w:rsidRPr="00CD0A1E">
        <w:rPr>
          <w:rFonts w:ascii="Cambria" w:hAnsi="Cambria" w:cs="Calibri Light"/>
          <w:sz w:val="20"/>
          <w:szCs w:val="20"/>
          <w:lang w:val="es-ES"/>
        </w:rPr>
        <w:t xml:space="preserve">n sobre la </w:t>
      </w:r>
      <w:r w:rsidR="008C11F6">
        <w:rPr>
          <w:rFonts w:ascii="Cambria" w:hAnsi="Cambria" w:cs="Calibri Light"/>
          <w:sz w:val="20"/>
          <w:szCs w:val="20"/>
          <w:lang w:val="es-ES"/>
        </w:rPr>
        <w:t>continuidad</w:t>
      </w:r>
      <w:r w:rsidRPr="00CD0A1E">
        <w:rPr>
          <w:rFonts w:ascii="Cambria" w:hAnsi="Cambria" w:cs="Calibri Light"/>
          <w:sz w:val="20"/>
          <w:szCs w:val="20"/>
          <w:lang w:val="es-ES"/>
        </w:rPr>
        <w:t xml:space="preserve"> y aplicaci</w:t>
      </w:r>
      <w:r w:rsidR="00B92BD9" w:rsidRPr="00CD0A1E">
        <w:rPr>
          <w:rFonts w:ascii="Cambria" w:hAnsi="Cambria" w:cs="Calibri Light"/>
          <w:sz w:val="20"/>
          <w:szCs w:val="20"/>
          <w:lang w:val="es-ES"/>
        </w:rPr>
        <w:t>ó</w:t>
      </w:r>
      <w:r w:rsidRPr="00CD0A1E">
        <w:rPr>
          <w:rFonts w:ascii="Cambria" w:hAnsi="Cambria" w:cs="Calibri Light"/>
          <w:sz w:val="20"/>
          <w:szCs w:val="20"/>
          <w:lang w:val="es-ES"/>
        </w:rPr>
        <w:t>n de esta política</w:t>
      </w:r>
      <w:r w:rsidR="00B92BD9" w:rsidRPr="00CD0A1E">
        <w:rPr>
          <w:rFonts w:ascii="Cambria" w:hAnsi="Cambria" w:cs="Calibri Light"/>
          <w:sz w:val="20"/>
          <w:szCs w:val="20"/>
          <w:lang w:val="es-ES"/>
        </w:rPr>
        <w:t xml:space="preserve"> </w:t>
      </w:r>
      <w:r w:rsidR="008C11F6">
        <w:rPr>
          <w:rFonts w:ascii="Cambria" w:hAnsi="Cambria" w:cs="Calibri Light"/>
          <w:sz w:val="20"/>
          <w:szCs w:val="20"/>
          <w:lang w:val="es-ES"/>
        </w:rPr>
        <w:t>según lo establecido</w:t>
      </w:r>
      <w:r w:rsidR="00B92BD9" w:rsidRPr="00CD0A1E">
        <w:rPr>
          <w:rFonts w:ascii="Cambria" w:hAnsi="Cambria" w:cs="Calibri Light"/>
          <w:sz w:val="20"/>
          <w:szCs w:val="20"/>
          <w:lang w:val="es-ES"/>
        </w:rPr>
        <w:t xml:space="preserve"> en el Informe </w:t>
      </w:r>
      <w:r w:rsidR="00A729D9" w:rsidRPr="00CD0A1E">
        <w:rPr>
          <w:rFonts w:ascii="Cambria" w:hAnsi="Cambria" w:cs="Calibri Light"/>
          <w:sz w:val="20"/>
          <w:szCs w:val="20"/>
          <w:lang w:val="es-ES"/>
        </w:rPr>
        <w:t>de Fondo</w:t>
      </w:r>
      <w:r w:rsidR="00B92BD9" w:rsidRPr="00CD0A1E">
        <w:rPr>
          <w:rFonts w:ascii="Cambria" w:hAnsi="Cambria" w:cs="Calibri Light"/>
          <w:sz w:val="20"/>
          <w:szCs w:val="20"/>
          <w:lang w:val="es-ES"/>
        </w:rPr>
        <w:t xml:space="preserve"> </w:t>
      </w:r>
      <w:r w:rsidR="00371B8A" w:rsidRPr="00CD0A1E">
        <w:rPr>
          <w:rFonts w:ascii="Cambria" w:hAnsi="Cambria" w:cs="Calibri Light"/>
          <w:sz w:val="20"/>
          <w:szCs w:val="20"/>
          <w:lang w:val="es-ES"/>
        </w:rPr>
        <w:t>N</w:t>
      </w:r>
      <w:r w:rsidR="00A729D9" w:rsidRPr="00CD0A1E">
        <w:rPr>
          <w:rFonts w:ascii="Cambria" w:hAnsi="Cambria" w:cs="Calibri Light"/>
          <w:sz w:val="20"/>
          <w:szCs w:val="20"/>
          <w:lang w:val="es-ES"/>
        </w:rPr>
        <w:t>º</w:t>
      </w:r>
      <w:r w:rsidR="00371B8A" w:rsidRPr="00CD0A1E">
        <w:rPr>
          <w:rFonts w:ascii="Cambria" w:hAnsi="Cambria" w:cs="Calibri Light"/>
          <w:sz w:val="20"/>
          <w:szCs w:val="20"/>
          <w:lang w:val="es-ES"/>
        </w:rPr>
        <w:t xml:space="preserve">. 78/11. </w:t>
      </w:r>
      <w:r w:rsidR="00A729D9" w:rsidRPr="00CD0A1E">
        <w:rPr>
          <w:rFonts w:ascii="Cambria" w:hAnsi="Cambria" w:cs="Calibri Light"/>
          <w:sz w:val="20"/>
          <w:szCs w:val="20"/>
          <w:lang w:val="es-ES"/>
        </w:rPr>
        <w:t>Sin embargo</w:t>
      </w:r>
      <w:r w:rsidR="00B92BD9" w:rsidRPr="00CD0A1E">
        <w:rPr>
          <w:rFonts w:ascii="Cambria" w:hAnsi="Cambria" w:cs="Calibri Light"/>
          <w:sz w:val="20"/>
          <w:szCs w:val="20"/>
          <w:lang w:val="es-ES"/>
        </w:rPr>
        <w:t>, la Comisi</w:t>
      </w:r>
      <w:r w:rsidR="00437A45" w:rsidRPr="00CD0A1E">
        <w:rPr>
          <w:rFonts w:ascii="Cambria" w:hAnsi="Cambria" w:cs="Calibri Light"/>
          <w:sz w:val="20"/>
          <w:szCs w:val="20"/>
          <w:lang w:val="es-ES"/>
        </w:rPr>
        <w:t>ó</w:t>
      </w:r>
      <w:r w:rsidR="00B92BD9" w:rsidRPr="00CD0A1E">
        <w:rPr>
          <w:rFonts w:ascii="Cambria" w:hAnsi="Cambria" w:cs="Calibri Light"/>
          <w:sz w:val="20"/>
          <w:szCs w:val="20"/>
          <w:lang w:val="es-ES"/>
        </w:rPr>
        <w:t>n observa con preocupación la informaci</w:t>
      </w:r>
      <w:r w:rsidR="00437A45" w:rsidRPr="00CD0A1E">
        <w:rPr>
          <w:rFonts w:ascii="Cambria" w:hAnsi="Cambria" w:cs="Calibri Light"/>
          <w:sz w:val="20"/>
          <w:szCs w:val="20"/>
          <w:lang w:val="es-ES"/>
        </w:rPr>
        <w:t>ó</w:t>
      </w:r>
      <w:r w:rsidR="00B92BD9" w:rsidRPr="00CD0A1E">
        <w:rPr>
          <w:rFonts w:ascii="Cambria" w:hAnsi="Cambria" w:cs="Calibri Light"/>
          <w:sz w:val="20"/>
          <w:szCs w:val="20"/>
          <w:lang w:val="es-ES"/>
        </w:rPr>
        <w:t xml:space="preserve">n reciente presentada por los peticionarios sobre personas que han sido devueltas a los Estados Unidos sin haber podido </w:t>
      </w:r>
      <w:r w:rsidR="00AE0761" w:rsidRPr="00CD0A1E">
        <w:rPr>
          <w:rFonts w:ascii="Cambria" w:hAnsi="Cambria" w:cs="Calibri Light"/>
          <w:sz w:val="20"/>
          <w:szCs w:val="20"/>
          <w:lang w:val="es-ES"/>
        </w:rPr>
        <w:t>solicitar</w:t>
      </w:r>
      <w:r w:rsidR="00B92BD9" w:rsidRPr="00CD0A1E">
        <w:rPr>
          <w:rFonts w:ascii="Cambria" w:hAnsi="Cambria" w:cs="Calibri Light"/>
          <w:sz w:val="20"/>
          <w:szCs w:val="20"/>
          <w:lang w:val="es-ES"/>
        </w:rPr>
        <w:t xml:space="preserve"> la protecci</w:t>
      </w:r>
      <w:r w:rsidR="008644BF" w:rsidRPr="00CD0A1E">
        <w:rPr>
          <w:rFonts w:ascii="Cambria" w:hAnsi="Cambria" w:cs="Calibri Light"/>
          <w:sz w:val="20"/>
          <w:szCs w:val="20"/>
          <w:lang w:val="es-ES"/>
        </w:rPr>
        <w:t>ó</w:t>
      </w:r>
      <w:r w:rsidR="00B92BD9" w:rsidRPr="00CD0A1E">
        <w:rPr>
          <w:rFonts w:ascii="Cambria" w:hAnsi="Cambria" w:cs="Calibri Light"/>
          <w:sz w:val="20"/>
          <w:szCs w:val="20"/>
          <w:lang w:val="es-ES"/>
        </w:rPr>
        <w:t>n de refugiados en un puerto de entrada canadiense</w:t>
      </w:r>
      <w:r w:rsidR="008644BF" w:rsidRPr="00CD0A1E">
        <w:rPr>
          <w:rFonts w:ascii="Cambria" w:hAnsi="Cambria" w:cs="Calibri Light"/>
          <w:sz w:val="20"/>
          <w:szCs w:val="20"/>
          <w:lang w:val="es-ES"/>
        </w:rPr>
        <w:t>,</w:t>
      </w:r>
      <w:r w:rsidR="00B92BD9" w:rsidRPr="00CD0A1E">
        <w:rPr>
          <w:rFonts w:ascii="Cambria" w:hAnsi="Cambria" w:cs="Calibri Light"/>
          <w:sz w:val="20"/>
          <w:szCs w:val="20"/>
          <w:lang w:val="es-ES"/>
        </w:rPr>
        <w:t xml:space="preserve"> a</w:t>
      </w:r>
      <w:r w:rsidR="008644BF" w:rsidRPr="00CD0A1E">
        <w:rPr>
          <w:rFonts w:ascii="Cambria" w:hAnsi="Cambria" w:cs="Calibri Light"/>
          <w:sz w:val="20"/>
          <w:szCs w:val="20"/>
          <w:lang w:val="es-ES"/>
        </w:rPr>
        <w:t xml:space="preserve"> pesar de </w:t>
      </w:r>
      <w:r w:rsidR="00437A45" w:rsidRPr="00CD0A1E">
        <w:rPr>
          <w:rFonts w:ascii="Cambria" w:hAnsi="Cambria" w:cs="Calibri Light"/>
          <w:sz w:val="20"/>
          <w:szCs w:val="20"/>
          <w:lang w:val="es-ES"/>
        </w:rPr>
        <w:t>esta</w:t>
      </w:r>
      <w:r w:rsidR="008644BF" w:rsidRPr="00CD0A1E">
        <w:rPr>
          <w:rFonts w:ascii="Cambria" w:hAnsi="Cambria" w:cs="Calibri Light"/>
          <w:sz w:val="20"/>
          <w:szCs w:val="20"/>
          <w:lang w:val="es-ES"/>
        </w:rPr>
        <w:t>r</w:t>
      </w:r>
      <w:r w:rsidR="00437A45" w:rsidRPr="00CD0A1E">
        <w:rPr>
          <w:rFonts w:ascii="Cambria" w:hAnsi="Cambria" w:cs="Calibri Light"/>
          <w:sz w:val="20"/>
          <w:szCs w:val="20"/>
          <w:lang w:val="es-ES"/>
        </w:rPr>
        <w:t xml:space="preserve"> comprendidos dentro de las e</w:t>
      </w:r>
      <w:r w:rsidR="008644BF" w:rsidRPr="00CD0A1E">
        <w:rPr>
          <w:rFonts w:ascii="Cambria" w:hAnsi="Cambria" w:cs="Calibri Light"/>
          <w:sz w:val="20"/>
          <w:szCs w:val="20"/>
          <w:lang w:val="es-ES"/>
        </w:rPr>
        <w:t>x</w:t>
      </w:r>
      <w:r w:rsidR="00437A45" w:rsidRPr="00CD0A1E">
        <w:rPr>
          <w:rFonts w:ascii="Cambria" w:hAnsi="Cambria" w:cs="Calibri Light"/>
          <w:sz w:val="20"/>
          <w:szCs w:val="20"/>
          <w:lang w:val="es-ES"/>
        </w:rPr>
        <w:t>cepciones del Acuerdo de Tercer País Seguro. En este sentido, la</w:t>
      </w:r>
      <w:r w:rsidR="008644BF" w:rsidRPr="00CD0A1E">
        <w:rPr>
          <w:rFonts w:ascii="Cambria" w:hAnsi="Cambria" w:cs="Calibri Light"/>
          <w:sz w:val="20"/>
          <w:szCs w:val="20"/>
          <w:lang w:val="es-ES"/>
        </w:rPr>
        <w:t xml:space="preserve"> </w:t>
      </w:r>
      <w:r w:rsidR="00437A45" w:rsidRPr="00CD0A1E">
        <w:rPr>
          <w:rFonts w:ascii="Cambria" w:hAnsi="Cambria" w:cs="Calibri Light"/>
          <w:sz w:val="20"/>
          <w:szCs w:val="20"/>
          <w:lang w:val="es-ES"/>
        </w:rPr>
        <w:t>Comisión solicita al Estado que sumin</w:t>
      </w:r>
      <w:r w:rsidR="008644BF" w:rsidRPr="00CD0A1E">
        <w:rPr>
          <w:rFonts w:ascii="Cambria" w:hAnsi="Cambria" w:cs="Calibri Light"/>
          <w:sz w:val="20"/>
          <w:szCs w:val="20"/>
          <w:lang w:val="es-ES"/>
        </w:rPr>
        <w:t>i</w:t>
      </w:r>
      <w:r w:rsidR="00437A45" w:rsidRPr="00CD0A1E">
        <w:rPr>
          <w:rFonts w:ascii="Cambria" w:hAnsi="Cambria" w:cs="Calibri Light"/>
          <w:sz w:val="20"/>
          <w:szCs w:val="20"/>
          <w:lang w:val="es-ES"/>
        </w:rPr>
        <w:t>stre informaci</w:t>
      </w:r>
      <w:r w:rsidR="008644BF" w:rsidRPr="00CD0A1E">
        <w:rPr>
          <w:rFonts w:ascii="Cambria" w:hAnsi="Cambria" w:cs="Calibri Light"/>
          <w:sz w:val="20"/>
          <w:szCs w:val="20"/>
          <w:lang w:val="es-ES"/>
        </w:rPr>
        <w:t>ó</w:t>
      </w:r>
      <w:r w:rsidR="00437A45" w:rsidRPr="00CD0A1E">
        <w:rPr>
          <w:rFonts w:ascii="Cambria" w:hAnsi="Cambria" w:cs="Calibri Light"/>
          <w:sz w:val="20"/>
          <w:szCs w:val="20"/>
          <w:lang w:val="es-ES"/>
        </w:rPr>
        <w:t>n detallada sobre las me</w:t>
      </w:r>
      <w:r w:rsidR="008644BF" w:rsidRPr="00CD0A1E">
        <w:rPr>
          <w:rFonts w:ascii="Cambria" w:hAnsi="Cambria" w:cs="Calibri Light"/>
          <w:sz w:val="20"/>
          <w:szCs w:val="20"/>
          <w:lang w:val="es-ES"/>
        </w:rPr>
        <w:t>d</w:t>
      </w:r>
      <w:r w:rsidR="00437A45" w:rsidRPr="00CD0A1E">
        <w:rPr>
          <w:rFonts w:ascii="Cambria" w:hAnsi="Cambria" w:cs="Calibri Light"/>
          <w:sz w:val="20"/>
          <w:szCs w:val="20"/>
          <w:lang w:val="es-ES"/>
        </w:rPr>
        <w:t>i</w:t>
      </w:r>
      <w:r w:rsidR="008644BF" w:rsidRPr="00CD0A1E">
        <w:rPr>
          <w:rFonts w:ascii="Cambria" w:hAnsi="Cambria" w:cs="Calibri Light"/>
          <w:sz w:val="20"/>
          <w:szCs w:val="20"/>
          <w:lang w:val="es-ES"/>
        </w:rPr>
        <w:t>d</w:t>
      </w:r>
      <w:r w:rsidR="00437A45" w:rsidRPr="00CD0A1E">
        <w:rPr>
          <w:rFonts w:ascii="Cambria" w:hAnsi="Cambria" w:cs="Calibri Light"/>
          <w:sz w:val="20"/>
          <w:szCs w:val="20"/>
          <w:lang w:val="es-ES"/>
        </w:rPr>
        <w:t>as adopta</w:t>
      </w:r>
      <w:r w:rsidR="00776D45" w:rsidRPr="00CD0A1E">
        <w:rPr>
          <w:rFonts w:ascii="Cambria" w:hAnsi="Cambria" w:cs="Calibri Light"/>
          <w:sz w:val="20"/>
          <w:szCs w:val="20"/>
          <w:lang w:val="es-ES"/>
        </w:rPr>
        <w:t>da</w:t>
      </w:r>
      <w:r w:rsidR="00437A45" w:rsidRPr="00CD0A1E">
        <w:rPr>
          <w:rFonts w:ascii="Cambria" w:hAnsi="Cambria" w:cs="Calibri Light"/>
          <w:sz w:val="20"/>
          <w:szCs w:val="20"/>
          <w:lang w:val="es-ES"/>
        </w:rPr>
        <w:t>s para asegurar que los solicitantes de asilo puedan disfrutar del debi</w:t>
      </w:r>
      <w:r w:rsidR="008644BF" w:rsidRPr="00CD0A1E">
        <w:rPr>
          <w:rFonts w:ascii="Cambria" w:hAnsi="Cambria" w:cs="Calibri Light"/>
          <w:sz w:val="20"/>
          <w:szCs w:val="20"/>
          <w:lang w:val="es-ES"/>
        </w:rPr>
        <w:t>d</w:t>
      </w:r>
      <w:r w:rsidR="00437A45" w:rsidRPr="00CD0A1E">
        <w:rPr>
          <w:rFonts w:ascii="Cambria" w:hAnsi="Cambria" w:cs="Calibri Light"/>
          <w:sz w:val="20"/>
          <w:szCs w:val="20"/>
          <w:lang w:val="es-ES"/>
        </w:rPr>
        <w:t>o pr</w:t>
      </w:r>
      <w:r w:rsidR="008644BF" w:rsidRPr="00CD0A1E">
        <w:rPr>
          <w:rFonts w:ascii="Cambria" w:hAnsi="Cambria" w:cs="Calibri Light"/>
          <w:sz w:val="20"/>
          <w:szCs w:val="20"/>
          <w:lang w:val="es-ES"/>
        </w:rPr>
        <w:t>oceso</w:t>
      </w:r>
      <w:r w:rsidR="00437A45" w:rsidRPr="00CD0A1E">
        <w:rPr>
          <w:rFonts w:ascii="Cambria" w:hAnsi="Cambria" w:cs="Calibri Light"/>
          <w:sz w:val="20"/>
          <w:szCs w:val="20"/>
          <w:lang w:val="es-ES"/>
        </w:rPr>
        <w:t xml:space="preserve"> presentando sus solicitudes de asilo.</w:t>
      </w:r>
      <w:r w:rsidR="00371B8A" w:rsidRPr="00CD0A1E">
        <w:rPr>
          <w:rFonts w:ascii="Cambria" w:hAnsi="Cambria" w:cs="Calibri Light"/>
          <w:sz w:val="20"/>
          <w:szCs w:val="20"/>
          <w:lang w:val="es-ES"/>
        </w:rPr>
        <w:t xml:space="preserve"> Por lo anterior, la CIDH considera que la Recomendación 3 se encuentra parcialmente cumplida. </w:t>
      </w:r>
    </w:p>
    <w:p w:rsidR="00371B8A" w:rsidRPr="00CD0A1E" w:rsidRDefault="00371B8A" w:rsidP="00371B8A">
      <w:pPr>
        <w:pStyle w:val="ListParagraph"/>
        <w:spacing w:after="0" w:line="240" w:lineRule="auto"/>
        <w:jc w:val="both"/>
        <w:rPr>
          <w:rFonts w:ascii="Cambria" w:hAnsi="Cambria" w:cs="Calibri Light"/>
          <w:sz w:val="20"/>
          <w:szCs w:val="20"/>
          <w:lang w:val="es-ES"/>
        </w:rPr>
      </w:pPr>
    </w:p>
    <w:p w:rsidR="00371B8A" w:rsidRPr="00CD0A1E" w:rsidRDefault="00371B8A"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b/>
          <w:sz w:val="20"/>
          <w:szCs w:val="20"/>
          <w:lang w:val="es-ES"/>
        </w:rPr>
        <w:t>Respecto de la cuarta recomendación</w:t>
      </w:r>
      <w:r w:rsidRPr="00CD0A1E">
        <w:rPr>
          <w:rFonts w:ascii="Cambria" w:hAnsi="Cambria" w:cs="Calibri Light"/>
          <w:color w:val="FF0000"/>
          <w:sz w:val="20"/>
          <w:szCs w:val="20"/>
          <w:lang w:val="es-ES"/>
        </w:rPr>
        <w:t xml:space="preserve">, </w:t>
      </w:r>
      <w:r w:rsidRPr="00CD0A1E">
        <w:rPr>
          <w:rFonts w:ascii="Cambria" w:hAnsi="Cambria" w:cs="Calibri Light"/>
          <w:sz w:val="20"/>
          <w:szCs w:val="20"/>
          <w:lang w:val="es-ES"/>
        </w:rPr>
        <w:t>en 2012, el Estado informó que sus recursos legales vigentes eran adecuados y efectivos, por lo que no se requerían otras medidas para la implementación de esta recomendación</w:t>
      </w:r>
      <w:r w:rsidR="00B33DD5">
        <w:rPr>
          <w:rStyle w:val="FootnoteReference"/>
          <w:rFonts w:ascii="Cambria" w:hAnsi="Cambria" w:cs="Calibri Light"/>
          <w:sz w:val="20"/>
          <w:szCs w:val="20"/>
          <w:lang w:val="es-ES"/>
        </w:rPr>
        <w:footnoteReference w:id="8"/>
      </w:r>
      <w:r w:rsidRPr="00CD0A1E">
        <w:rPr>
          <w:rFonts w:ascii="Cambria" w:hAnsi="Cambria" w:cs="Calibri Light"/>
          <w:sz w:val="20"/>
          <w:szCs w:val="20"/>
          <w:lang w:val="es-ES"/>
        </w:rPr>
        <w:t>.</w:t>
      </w:r>
    </w:p>
    <w:p w:rsidR="00371B8A" w:rsidRPr="00CD0A1E" w:rsidRDefault="00371B8A" w:rsidP="00371B8A">
      <w:pPr>
        <w:pStyle w:val="ListParagraph"/>
        <w:rPr>
          <w:rFonts w:ascii="Cambria" w:hAnsi="Cambria" w:cs="Calibri Light"/>
          <w:sz w:val="20"/>
          <w:szCs w:val="20"/>
          <w:lang w:val="es-ES"/>
        </w:rPr>
      </w:pPr>
    </w:p>
    <w:p w:rsidR="00371B8A" w:rsidRPr="00CD0A1E" w:rsidRDefault="00371B8A"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 xml:space="preserve">En 2010, los peticionarios informaron que, en ese momento, el sistema actual no ofrece recurso legal alguno que impida una devolución directa y que los únicos recursos para impugnar la legalidad de una devolución directa </w:t>
      </w:r>
      <w:r w:rsidR="008C11F6">
        <w:rPr>
          <w:rFonts w:ascii="Cambria" w:hAnsi="Cambria" w:cs="Calibri Light"/>
          <w:sz w:val="20"/>
          <w:szCs w:val="20"/>
          <w:lang w:val="es-ES"/>
        </w:rPr>
        <w:t>se desahogan</w:t>
      </w:r>
      <w:r w:rsidRPr="00CD0A1E">
        <w:rPr>
          <w:rFonts w:ascii="Cambria" w:hAnsi="Cambria" w:cs="Calibri Light"/>
          <w:sz w:val="20"/>
          <w:szCs w:val="20"/>
          <w:lang w:val="es-ES"/>
        </w:rPr>
        <w:t xml:space="preserve"> una vez que la persona ya ha sido expulsada de Canadá, lo que convierte la cuestión en abstracta en los casos en que la persona es detenida y deportada de los Estados Unidos</w:t>
      </w:r>
      <w:r w:rsidR="00B33DD5">
        <w:rPr>
          <w:rStyle w:val="FootnoteReference"/>
          <w:rFonts w:ascii="Cambria" w:hAnsi="Cambria" w:cs="Calibri Light"/>
          <w:sz w:val="20"/>
          <w:szCs w:val="20"/>
          <w:lang w:val="es-ES"/>
        </w:rPr>
        <w:footnoteReference w:id="9"/>
      </w:r>
      <w:r w:rsidRPr="00CD0A1E">
        <w:rPr>
          <w:rFonts w:ascii="Cambria" w:hAnsi="Cambria" w:cs="Calibri Light"/>
          <w:sz w:val="20"/>
          <w:szCs w:val="20"/>
          <w:lang w:val="es-ES"/>
        </w:rPr>
        <w:t xml:space="preserve">. </w:t>
      </w:r>
      <w:r w:rsidR="00121DC4" w:rsidRPr="00CD0A1E">
        <w:rPr>
          <w:rFonts w:ascii="Cambria" w:hAnsi="Cambria" w:cs="Calibri Light"/>
          <w:sz w:val="20"/>
          <w:szCs w:val="20"/>
          <w:lang w:val="es-ES"/>
        </w:rPr>
        <w:t>E</w:t>
      </w:r>
      <w:r w:rsidRPr="00CD0A1E">
        <w:rPr>
          <w:rFonts w:ascii="Cambria" w:hAnsi="Cambria" w:cs="Calibri Light"/>
          <w:sz w:val="20"/>
          <w:szCs w:val="20"/>
          <w:lang w:val="es-ES"/>
        </w:rPr>
        <w:t xml:space="preserve">n 2018, </w:t>
      </w:r>
      <w:r w:rsidR="00121DC4" w:rsidRPr="00CD0A1E">
        <w:rPr>
          <w:rFonts w:ascii="Cambria" w:hAnsi="Cambria" w:cs="Calibri Light"/>
          <w:sz w:val="20"/>
          <w:szCs w:val="20"/>
          <w:lang w:val="es-ES"/>
        </w:rPr>
        <w:t>los peticionarios no presentaron información actualizada sobre las accione</w:t>
      </w:r>
      <w:r w:rsidR="0012554E" w:rsidRPr="00CD0A1E">
        <w:rPr>
          <w:rFonts w:ascii="Cambria" w:hAnsi="Cambria" w:cs="Calibri Light"/>
          <w:sz w:val="20"/>
          <w:szCs w:val="20"/>
          <w:lang w:val="es-ES"/>
        </w:rPr>
        <w:t>s</w:t>
      </w:r>
      <w:r w:rsidR="00121DC4" w:rsidRPr="00CD0A1E">
        <w:rPr>
          <w:rFonts w:ascii="Cambria" w:hAnsi="Cambria" w:cs="Calibri Light"/>
          <w:sz w:val="20"/>
          <w:szCs w:val="20"/>
          <w:lang w:val="es-ES"/>
        </w:rPr>
        <w:t xml:space="preserve"> adoptadas por el Estado sobre el cumplimiento de esta recomendación.</w:t>
      </w:r>
      <w:r w:rsidRPr="00CD0A1E">
        <w:rPr>
          <w:rFonts w:ascii="Cambria" w:hAnsi="Cambria" w:cs="Calibri Light"/>
          <w:sz w:val="20"/>
          <w:szCs w:val="20"/>
          <w:lang w:val="es-ES"/>
        </w:rPr>
        <w:t xml:space="preserve"> </w:t>
      </w:r>
    </w:p>
    <w:p w:rsidR="00371B8A" w:rsidRPr="00CD0A1E" w:rsidRDefault="00371B8A" w:rsidP="00371B8A">
      <w:pPr>
        <w:pStyle w:val="ListParagraph"/>
        <w:rPr>
          <w:rFonts w:ascii="Cambria" w:hAnsi="Cambria" w:cs="Calibri Light"/>
          <w:color w:val="FF0000"/>
          <w:sz w:val="20"/>
          <w:szCs w:val="20"/>
          <w:lang w:val="es-ES"/>
        </w:rPr>
      </w:pPr>
    </w:p>
    <w:p w:rsidR="00371B8A" w:rsidRPr="00CD0A1E" w:rsidRDefault="00E15564"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La Comisión observa que no</w:t>
      </w:r>
      <w:r w:rsidR="00ED1C0A" w:rsidRPr="00CD0A1E">
        <w:rPr>
          <w:rFonts w:ascii="Cambria" w:hAnsi="Cambria" w:cs="Calibri Light"/>
          <w:sz w:val="20"/>
          <w:szCs w:val="20"/>
          <w:lang w:val="es-ES"/>
        </w:rPr>
        <w:t xml:space="preserve"> cuenta con</w:t>
      </w:r>
      <w:r w:rsidRPr="00CD0A1E">
        <w:rPr>
          <w:rFonts w:ascii="Cambria" w:hAnsi="Cambria" w:cs="Calibri Light"/>
          <w:sz w:val="20"/>
          <w:szCs w:val="20"/>
          <w:lang w:val="es-ES"/>
        </w:rPr>
        <w:t xml:space="preserve"> informaci</w:t>
      </w:r>
      <w:r w:rsidR="00456CA3" w:rsidRPr="00CD0A1E">
        <w:rPr>
          <w:rFonts w:ascii="Cambria" w:hAnsi="Cambria" w:cs="Calibri Light"/>
          <w:sz w:val="20"/>
          <w:szCs w:val="20"/>
          <w:lang w:val="es-ES"/>
        </w:rPr>
        <w:t>ó</w:t>
      </w:r>
      <w:r w:rsidRPr="00CD0A1E">
        <w:rPr>
          <w:rFonts w:ascii="Cambria" w:hAnsi="Cambria" w:cs="Calibri Light"/>
          <w:sz w:val="20"/>
          <w:szCs w:val="20"/>
          <w:lang w:val="es-ES"/>
        </w:rPr>
        <w:t>n actualizada sobre las acciones adopta</w:t>
      </w:r>
      <w:r w:rsidR="00456CA3" w:rsidRPr="00CD0A1E">
        <w:rPr>
          <w:rFonts w:ascii="Cambria" w:hAnsi="Cambria" w:cs="Calibri Light"/>
          <w:sz w:val="20"/>
          <w:szCs w:val="20"/>
          <w:lang w:val="es-ES"/>
        </w:rPr>
        <w:t>d</w:t>
      </w:r>
      <w:r w:rsidRPr="00CD0A1E">
        <w:rPr>
          <w:rFonts w:ascii="Cambria" w:hAnsi="Cambria" w:cs="Calibri Light"/>
          <w:sz w:val="20"/>
          <w:szCs w:val="20"/>
          <w:lang w:val="es-ES"/>
        </w:rPr>
        <w:t>as por el Estado para cumplir</w:t>
      </w:r>
      <w:r w:rsidR="00456CA3" w:rsidRPr="00CD0A1E">
        <w:rPr>
          <w:rFonts w:ascii="Cambria" w:hAnsi="Cambria" w:cs="Calibri Light"/>
          <w:sz w:val="20"/>
          <w:szCs w:val="20"/>
          <w:lang w:val="es-ES"/>
        </w:rPr>
        <w:t xml:space="preserve"> </w:t>
      </w:r>
      <w:r w:rsidRPr="00CD0A1E">
        <w:rPr>
          <w:rFonts w:ascii="Cambria" w:hAnsi="Cambria" w:cs="Calibri Light"/>
          <w:sz w:val="20"/>
          <w:szCs w:val="20"/>
          <w:lang w:val="es-ES"/>
        </w:rPr>
        <w:t>con esta recomendaci</w:t>
      </w:r>
      <w:r w:rsidR="00456CA3" w:rsidRPr="00CD0A1E">
        <w:rPr>
          <w:rFonts w:ascii="Cambria" w:hAnsi="Cambria" w:cs="Calibri Light"/>
          <w:sz w:val="20"/>
          <w:szCs w:val="20"/>
          <w:lang w:val="es-ES"/>
        </w:rPr>
        <w:t>ón</w:t>
      </w:r>
      <w:r w:rsidRPr="00CD0A1E">
        <w:rPr>
          <w:rFonts w:ascii="Cambria" w:hAnsi="Cambria" w:cs="Calibri Light"/>
          <w:sz w:val="20"/>
          <w:szCs w:val="20"/>
          <w:lang w:val="es-ES"/>
        </w:rPr>
        <w:t xml:space="preserve">. En este sentido, la CIDH </w:t>
      </w:r>
      <w:r w:rsidR="005F49D9">
        <w:rPr>
          <w:rFonts w:ascii="Cambria" w:hAnsi="Cambria" w:cs="Calibri Light"/>
          <w:sz w:val="20"/>
          <w:szCs w:val="20"/>
          <w:lang w:val="es-ES"/>
        </w:rPr>
        <w:t>llama</w:t>
      </w:r>
      <w:r w:rsidRPr="00CD0A1E">
        <w:rPr>
          <w:rFonts w:ascii="Cambria" w:hAnsi="Cambria" w:cs="Calibri Light"/>
          <w:sz w:val="20"/>
          <w:szCs w:val="20"/>
          <w:lang w:val="es-ES"/>
        </w:rPr>
        <w:t xml:space="preserve"> al Estado </w:t>
      </w:r>
      <w:r w:rsidR="00ED1C0A" w:rsidRPr="00CD0A1E">
        <w:rPr>
          <w:rFonts w:ascii="Cambria" w:hAnsi="Cambria" w:cs="Calibri Light"/>
          <w:sz w:val="20"/>
          <w:szCs w:val="20"/>
          <w:lang w:val="es-ES"/>
        </w:rPr>
        <w:t xml:space="preserve">proporcionar información sobre </w:t>
      </w:r>
      <w:r w:rsidRPr="00CD0A1E">
        <w:rPr>
          <w:rFonts w:ascii="Cambria" w:hAnsi="Cambria" w:cs="Calibri Light"/>
          <w:sz w:val="20"/>
          <w:szCs w:val="20"/>
          <w:lang w:val="es-ES"/>
        </w:rPr>
        <w:t>las acc</w:t>
      </w:r>
      <w:r w:rsidR="00456CA3" w:rsidRPr="00CD0A1E">
        <w:rPr>
          <w:rFonts w:ascii="Cambria" w:hAnsi="Cambria" w:cs="Calibri Light"/>
          <w:sz w:val="20"/>
          <w:szCs w:val="20"/>
          <w:lang w:val="es-ES"/>
        </w:rPr>
        <w:t>io</w:t>
      </w:r>
      <w:r w:rsidRPr="00CD0A1E">
        <w:rPr>
          <w:rFonts w:ascii="Cambria" w:hAnsi="Cambria" w:cs="Calibri Light"/>
          <w:sz w:val="20"/>
          <w:szCs w:val="20"/>
          <w:lang w:val="es-ES"/>
        </w:rPr>
        <w:t>nes adoptadas para</w:t>
      </w:r>
      <w:r w:rsidR="00456CA3" w:rsidRPr="00CD0A1E">
        <w:rPr>
          <w:rFonts w:ascii="Cambria" w:hAnsi="Cambria" w:cs="Calibri Light"/>
          <w:sz w:val="20"/>
          <w:szCs w:val="20"/>
          <w:lang w:val="es-ES"/>
        </w:rPr>
        <w:t xml:space="preserve"> </w:t>
      </w:r>
      <w:r w:rsidR="005F49D9">
        <w:rPr>
          <w:rFonts w:ascii="Cambria" w:hAnsi="Cambria" w:cs="Calibri Light"/>
          <w:sz w:val="20"/>
          <w:szCs w:val="20"/>
          <w:lang w:val="es-ES"/>
        </w:rPr>
        <w:t>asegurar que las personas tengan</w:t>
      </w:r>
      <w:r w:rsidRPr="00CD0A1E">
        <w:rPr>
          <w:rFonts w:ascii="Cambria" w:hAnsi="Cambria" w:cs="Calibri Light"/>
          <w:sz w:val="20"/>
          <w:szCs w:val="20"/>
          <w:lang w:val="es-ES"/>
        </w:rPr>
        <w:t xml:space="preserve"> un acceso adecuado a l</w:t>
      </w:r>
      <w:r w:rsidR="00ED1C0A" w:rsidRPr="00CD0A1E">
        <w:rPr>
          <w:rFonts w:ascii="Cambria" w:hAnsi="Cambria" w:cs="Calibri Light"/>
          <w:sz w:val="20"/>
          <w:szCs w:val="20"/>
          <w:lang w:val="es-ES"/>
        </w:rPr>
        <w:t xml:space="preserve">os recursos </w:t>
      </w:r>
      <w:r w:rsidRPr="00CD0A1E">
        <w:rPr>
          <w:rFonts w:ascii="Cambria" w:hAnsi="Cambria" w:cs="Calibri Light"/>
          <w:sz w:val="20"/>
          <w:szCs w:val="20"/>
          <w:lang w:val="es-ES"/>
        </w:rPr>
        <w:t>intern</w:t>
      </w:r>
      <w:r w:rsidR="00ED1C0A" w:rsidRPr="00CD0A1E">
        <w:rPr>
          <w:rFonts w:ascii="Cambria" w:hAnsi="Cambria" w:cs="Calibri Light"/>
          <w:sz w:val="20"/>
          <w:szCs w:val="20"/>
          <w:lang w:val="es-ES"/>
        </w:rPr>
        <w:t>o</w:t>
      </w:r>
      <w:r w:rsidRPr="00CD0A1E">
        <w:rPr>
          <w:rFonts w:ascii="Cambria" w:hAnsi="Cambria" w:cs="Calibri Light"/>
          <w:sz w:val="20"/>
          <w:szCs w:val="20"/>
          <w:lang w:val="es-ES"/>
        </w:rPr>
        <w:t xml:space="preserve">s </w:t>
      </w:r>
      <w:r w:rsidR="00ED1C0A" w:rsidRPr="00CD0A1E">
        <w:rPr>
          <w:rFonts w:ascii="Cambria" w:hAnsi="Cambria" w:cs="Calibri Light"/>
          <w:sz w:val="20"/>
          <w:szCs w:val="20"/>
          <w:lang w:val="es-ES"/>
        </w:rPr>
        <w:t xml:space="preserve">adecuados y eficaces </w:t>
      </w:r>
      <w:r w:rsidRPr="00CD0A1E">
        <w:rPr>
          <w:rFonts w:ascii="Cambria" w:hAnsi="Cambria" w:cs="Calibri Light"/>
          <w:sz w:val="20"/>
          <w:szCs w:val="20"/>
          <w:lang w:val="es-ES"/>
        </w:rPr>
        <w:t xml:space="preserve">para </w:t>
      </w:r>
      <w:r w:rsidR="00ED1C0A" w:rsidRPr="00CD0A1E">
        <w:rPr>
          <w:rFonts w:ascii="Cambria" w:hAnsi="Cambria" w:cs="Calibri Light"/>
          <w:sz w:val="20"/>
          <w:szCs w:val="20"/>
          <w:lang w:val="es-ES"/>
        </w:rPr>
        <w:t xml:space="preserve">impugnar las devoluciones </w:t>
      </w:r>
      <w:r w:rsidRPr="00CD0A1E">
        <w:rPr>
          <w:rFonts w:ascii="Cambria" w:hAnsi="Cambria" w:cs="Calibri Light"/>
          <w:sz w:val="20"/>
          <w:szCs w:val="20"/>
          <w:lang w:val="es-ES"/>
        </w:rPr>
        <w:t>directa</w:t>
      </w:r>
      <w:r w:rsidR="00ED1C0A" w:rsidRPr="00CD0A1E">
        <w:rPr>
          <w:rFonts w:ascii="Cambria" w:hAnsi="Cambria" w:cs="Calibri Light"/>
          <w:sz w:val="20"/>
          <w:szCs w:val="20"/>
          <w:lang w:val="es-ES"/>
        </w:rPr>
        <w:t>s</w:t>
      </w:r>
      <w:r w:rsidRPr="00CD0A1E">
        <w:rPr>
          <w:rFonts w:ascii="Cambria" w:hAnsi="Cambria" w:cs="Calibri Light"/>
          <w:sz w:val="20"/>
          <w:szCs w:val="20"/>
          <w:lang w:val="es-ES"/>
        </w:rPr>
        <w:t xml:space="preserve"> antes de que ocurran. </w:t>
      </w:r>
      <w:r w:rsidR="00371B8A" w:rsidRPr="00CD0A1E">
        <w:rPr>
          <w:rFonts w:ascii="Cambria" w:hAnsi="Cambria" w:cs="Calibri Light"/>
          <w:sz w:val="20"/>
          <w:szCs w:val="20"/>
          <w:lang w:val="es-ES"/>
        </w:rPr>
        <w:t xml:space="preserve">Por lo anterior, la CIDH considera que la Recomendación 4 se encuentra pendiente de cumplimiento. </w:t>
      </w:r>
    </w:p>
    <w:p w:rsidR="00371B8A" w:rsidRPr="00CD0A1E" w:rsidRDefault="00371B8A" w:rsidP="00371B8A">
      <w:pPr>
        <w:pStyle w:val="ListParagraph"/>
        <w:spacing w:after="0" w:line="240" w:lineRule="auto"/>
        <w:jc w:val="both"/>
        <w:rPr>
          <w:rFonts w:ascii="Cambria" w:hAnsi="Cambria" w:cs="Calibri Light"/>
          <w:sz w:val="20"/>
          <w:szCs w:val="20"/>
          <w:lang w:val="es-ES"/>
        </w:rPr>
      </w:pPr>
    </w:p>
    <w:p w:rsidR="00371B8A" w:rsidRPr="00CD0A1E" w:rsidRDefault="00371B8A" w:rsidP="00236AA1">
      <w:pPr>
        <w:pStyle w:val="NoSpacing"/>
        <w:numPr>
          <w:ilvl w:val="0"/>
          <w:numId w:val="18"/>
        </w:numPr>
        <w:ind w:left="1440" w:hanging="720"/>
        <w:jc w:val="both"/>
        <w:rPr>
          <w:rFonts w:ascii="Cambria" w:hAnsi="Cambria" w:cs="Calibri Light"/>
          <w:b/>
          <w:sz w:val="20"/>
          <w:szCs w:val="20"/>
          <w:lang w:val="es-ES"/>
        </w:rPr>
      </w:pPr>
      <w:r w:rsidRPr="00CD0A1E">
        <w:rPr>
          <w:rFonts w:ascii="Cambria" w:hAnsi="Cambria" w:cs="Calibri Light"/>
          <w:b/>
          <w:sz w:val="20"/>
          <w:szCs w:val="20"/>
          <w:lang w:val="es-ES"/>
        </w:rPr>
        <w:t xml:space="preserve">Nivel del cumplimiento del caso </w:t>
      </w:r>
    </w:p>
    <w:p w:rsidR="00371B8A" w:rsidRPr="00CD0A1E" w:rsidRDefault="00371B8A" w:rsidP="00371B8A">
      <w:pPr>
        <w:spacing w:after="0" w:line="240" w:lineRule="auto"/>
        <w:jc w:val="both"/>
        <w:rPr>
          <w:rFonts w:ascii="Cambria" w:hAnsi="Cambria" w:cs="Calibri Light"/>
          <w:sz w:val="20"/>
          <w:szCs w:val="20"/>
          <w:lang w:val="es-ES"/>
        </w:rPr>
      </w:pPr>
    </w:p>
    <w:p w:rsidR="00371B8A" w:rsidRPr="00CD0A1E" w:rsidRDefault="00371B8A" w:rsidP="00371B8A">
      <w:pPr>
        <w:pStyle w:val="ListParagraph"/>
        <w:numPr>
          <w:ilvl w:val="0"/>
          <w:numId w:val="23"/>
        </w:numPr>
        <w:spacing w:after="0" w:line="240" w:lineRule="auto"/>
        <w:ind w:left="0" w:firstLine="720"/>
        <w:jc w:val="both"/>
        <w:rPr>
          <w:rFonts w:ascii="Cambria" w:hAnsi="Cambria" w:cs="Calibri Light"/>
          <w:sz w:val="20"/>
          <w:szCs w:val="20"/>
          <w:lang w:val="es-ES"/>
        </w:rPr>
      </w:pPr>
      <w:r w:rsidRPr="00CD0A1E">
        <w:rPr>
          <w:rFonts w:ascii="Cambria" w:hAnsi="Cambria" w:cs="Calibri Light"/>
          <w:sz w:val="20"/>
          <w:szCs w:val="20"/>
          <w:lang w:val="es-ES"/>
        </w:rPr>
        <w:t xml:space="preserve">Por lo anterior, la Comisión concluye que el nivel de cumplimiento del caso es parcial. En consecuencia, la CIDH seguirá supervisando el cumplimiento de las Recomendaciones 1, 2, 3 y 4. </w:t>
      </w:r>
    </w:p>
    <w:p w:rsidR="00371B8A" w:rsidRPr="00CD0A1E" w:rsidRDefault="00371B8A" w:rsidP="00371B8A">
      <w:pPr>
        <w:pStyle w:val="ListParagraph"/>
        <w:spacing w:after="0" w:line="240" w:lineRule="auto"/>
        <w:jc w:val="both"/>
        <w:rPr>
          <w:rFonts w:ascii="Cambria" w:hAnsi="Cambria" w:cs="Calibri Light"/>
          <w:color w:val="FF0000"/>
          <w:sz w:val="20"/>
          <w:szCs w:val="20"/>
          <w:lang w:val="es-ES"/>
        </w:rPr>
      </w:pPr>
    </w:p>
    <w:p w:rsidR="00371B8A" w:rsidRPr="00CD0A1E" w:rsidRDefault="00371B8A" w:rsidP="00371B8A">
      <w:pPr>
        <w:spacing w:after="0" w:line="240" w:lineRule="auto"/>
        <w:rPr>
          <w:rFonts w:ascii="Cambria" w:hAnsi="Cambria"/>
          <w:sz w:val="20"/>
          <w:szCs w:val="20"/>
          <w:lang w:val="es-ES"/>
        </w:rPr>
      </w:pPr>
    </w:p>
    <w:p w:rsidR="00371B8A" w:rsidRPr="00CD0A1E" w:rsidRDefault="00371B8A" w:rsidP="00236AA1">
      <w:pPr>
        <w:pStyle w:val="NoSpacing"/>
        <w:numPr>
          <w:ilvl w:val="0"/>
          <w:numId w:val="18"/>
        </w:numPr>
        <w:ind w:left="1440" w:hanging="720"/>
        <w:jc w:val="both"/>
        <w:rPr>
          <w:rFonts w:ascii="Cambria" w:hAnsi="Cambria" w:cs="Calibri Light"/>
          <w:b/>
          <w:sz w:val="20"/>
          <w:szCs w:val="20"/>
          <w:lang w:val="es-ES"/>
        </w:rPr>
      </w:pPr>
      <w:r w:rsidRPr="00CD0A1E">
        <w:rPr>
          <w:rFonts w:ascii="Cambria" w:hAnsi="Cambria" w:cs="Calibri Light"/>
          <w:b/>
          <w:sz w:val="20"/>
          <w:szCs w:val="20"/>
          <w:lang w:val="es-ES"/>
        </w:rPr>
        <w:t xml:space="preserve">Resultados individuales y estructurales del caso </w:t>
      </w:r>
    </w:p>
    <w:p w:rsidR="00371B8A" w:rsidRPr="00CD0A1E" w:rsidRDefault="00371B8A" w:rsidP="00371B8A">
      <w:pPr>
        <w:spacing w:after="0" w:line="240" w:lineRule="auto"/>
        <w:rPr>
          <w:rFonts w:ascii="Cambria" w:hAnsi="Cambria"/>
          <w:b/>
          <w:sz w:val="20"/>
          <w:szCs w:val="20"/>
          <w:lang w:val="es-ES"/>
        </w:rPr>
      </w:pPr>
    </w:p>
    <w:p w:rsidR="00371B8A" w:rsidRPr="00CD0A1E" w:rsidRDefault="00371B8A" w:rsidP="00371B8A">
      <w:pPr>
        <w:pStyle w:val="ListParagraph"/>
        <w:numPr>
          <w:ilvl w:val="0"/>
          <w:numId w:val="23"/>
        </w:numPr>
        <w:spacing w:after="0" w:line="240" w:lineRule="auto"/>
        <w:ind w:left="0" w:firstLine="720"/>
        <w:jc w:val="both"/>
        <w:rPr>
          <w:rFonts w:ascii="Cambria" w:hAnsi="Cambria"/>
          <w:sz w:val="20"/>
          <w:szCs w:val="20"/>
          <w:lang w:val="es-ES"/>
        </w:rPr>
      </w:pPr>
      <w:r w:rsidRPr="00CD0A1E">
        <w:rPr>
          <w:rFonts w:ascii="Cambria" w:hAnsi="Cambria" w:cs="Calibri Light"/>
          <w:sz w:val="20"/>
          <w:szCs w:val="20"/>
          <w:lang w:val="es-ES"/>
        </w:rPr>
        <w:t xml:space="preserve">En esta sección se destaca los resultados individuales y estructurales del caso informados por las partes. </w:t>
      </w:r>
    </w:p>
    <w:p w:rsidR="00371B8A" w:rsidRPr="00CD0A1E" w:rsidRDefault="00371B8A" w:rsidP="00371B8A">
      <w:pPr>
        <w:spacing w:after="0" w:line="240" w:lineRule="auto"/>
        <w:jc w:val="both"/>
        <w:rPr>
          <w:rFonts w:ascii="Cambria" w:hAnsi="Cambria"/>
          <w:color w:val="FF0000"/>
          <w:sz w:val="20"/>
          <w:szCs w:val="20"/>
          <w:lang w:val="es-ES"/>
        </w:rPr>
      </w:pPr>
    </w:p>
    <w:p w:rsidR="00371B8A" w:rsidRPr="00CD0A1E" w:rsidRDefault="00371B8A" w:rsidP="00236AA1">
      <w:pPr>
        <w:pStyle w:val="ListParagraph"/>
        <w:numPr>
          <w:ilvl w:val="0"/>
          <w:numId w:val="20"/>
        </w:numPr>
        <w:spacing w:after="0" w:line="240" w:lineRule="auto"/>
        <w:ind w:left="1440" w:hanging="720"/>
        <w:jc w:val="both"/>
        <w:rPr>
          <w:rFonts w:ascii="Cambria" w:hAnsi="Cambria" w:cs="Calibri Light"/>
          <w:b/>
          <w:sz w:val="20"/>
          <w:szCs w:val="20"/>
          <w:lang w:val="es-ES"/>
        </w:rPr>
      </w:pPr>
      <w:r w:rsidRPr="00CD0A1E">
        <w:rPr>
          <w:rFonts w:ascii="Cambria" w:hAnsi="Cambria" w:cs="Calibri Light"/>
          <w:b/>
          <w:sz w:val="20"/>
          <w:szCs w:val="20"/>
          <w:lang w:val="es-ES"/>
        </w:rPr>
        <w:t>Resultados individuales del caso</w:t>
      </w:r>
    </w:p>
    <w:p w:rsidR="00371B8A" w:rsidRPr="00CD0A1E" w:rsidRDefault="00371B8A" w:rsidP="00371B8A">
      <w:pPr>
        <w:spacing w:after="0" w:line="240" w:lineRule="auto"/>
        <w:rPr>
          <w:rFonts w:ascii="Cambria" w:hAnsi="Cambria"/>
          <w:b/>
          <w:sz w:val="20"/>
          <w:szCs w:val="20"/>
          <w:lang w:val="es-ES"/>
        </w:rPr>
      </w:pPr>
    </w:p>
    <w:p w:rsidR="00371B8A" w:rsidRPr="00CD0A1E" w:rsidRDefault="00371B8A" w:rsidP="00371B8A">
      <w:pPr>
        <w:pStyle w:val="ListParagraph"/>
        <w:numPr>
          <w:ilvl w:val="0"/>
          <w:numId w:val="4"/>
        </w:numPr>
        <w:spacing w:after="0" w:line="240" w:lineRule="auto"/>
        <w:rPr>
          <w:rFonts w:ascii="Cambria" w:hAnsi="Cambria"/>
          <w:sz w:val="20"/>
          <w:szCs w:val="20"/>
          <w:lang w:val="es-ES"/>
        </w:rPr>
      </w:pPr>
      <w:r w:rsidRPr="00CD0A1E">
        <w:rPr>
          <w:rFonts w:ascii="Cambria" w:hAnsi="Cambria"/>
          <w:sz w:val="20"/>
          <w:szCs w:val="20"/>
          <w:lang w:val="es-ES"/>
        </w:rPr>
        <w:t xml:space="preserve">No hay resultados individuales informados por las partes.  </w:t>
      </w:r>
    </w:p>
    <w:p w:rsidR="00371B8A" w:rsidRPr="00CD0A1E" w:rsidRDefault="00371B8A" w:rsidP="00371B8A">
      <w:pPr>
        <w:spacing w:after="0" w:line="240" w:lineRule="auto"/>
        <w:rPr>
          <w:rFonts w:ascii="Cambria" w:hAnsi="Cambria"/>
          <w:sz w:val="20"/>
          <w:szCs w:val="20"/>
          <w:lang w:val="es-ES"/>
        </w:rPr>
      </w:pPr>
    </w:p>
    <w:p w:rsidR="00371B8A" w:rsidRPr="00CD0A1E" w:rsidRDefault="00371B8A" w:rsidP="00236AA1">
      <w:pPr>
        <w:pStyle w:val="ListParagraph"/>
        <w:numPr>
          <w:ilvl w:val="0"/>
          <w:numId w:val="20"/>
        </w:numPr>
        <w:spacing w:after="0" w:line="240" w:lineRule="auto"/>
        <w:ind w:firstLine="0"/>
        <w:jc w:val="both"/>
        <w:rPr>
          <w:rFonts w:ascii="Cambria" w:hAnsi="Cambria" w:cs="Calibri Light"/>
          <w:b/>
          <w:sz w:val="20"/>
          <w:szCs w:val="20"/>
          <w:lang w:val="es-ES"/>
        </w:rPr>
      </w:pPr>
      <w:r w:rsidRPr="00CD0A1E">
        <w:rPr>
          <w:rFonts w:ascii="Cambria" w:hAnsi="Cambria" w:cs="Calibri Light"/>
          <w:b/>
          <w:sz w:val="20"/>
          <w:szCs w:val="20"/>
          <w:lang w:val="es-ES"/>
        </w:rPr>
        <w:t>Resultados estructurales del caso</w:t>
      </w:r>
    </w:p>
    <w:p w:rsidR="00371B8A" w:rsidRPr="00CD0A1E" w:rsidRDefault="00371B8A" w:rsidP="00371B8A">
      <w:pPr>
        <w:spacing w:after="0" w:line="240" w:lineRule="auto"/>
        <w:rPr>
          <w:rFonts w:ascii="Cambria" w:hAnsi="Cambria"/>
          <w:sz w:val="20"/>
          <w:szCs w:val="20"/>
          <w:lang w:val="es-ES"/>
        </w:rPr>
      </w:pPr>
    </w:p>
    <w:p w:rsidR="00371B8A" w:rsidRDefault="00371B8A" w:rsidP="00371B8A">
      <w:pPr>
        <w:spacing w:after="0" w:line="240" w:lineRule="auto"/>
        <w:rPr>
          <w:rFonts w:ascii="Cambria" w:hAnsi="Cambria"/>
          <w:i/>
          <w:sz w:val="20"/>
          <w:szCs w:val="20"/>
          <w:lang w:val="es-ES"/>
        </w:rPr>
      </w:pPr>
      <w:r w:rsidRPr="00CD0A1E">
        <w:rPr>
          <w:rFonts w:ascii="Cambria" w:hAnsi="Cambria"/>
          <w:i/>
          <w:sz w:val="20"/>
          <w:szCs w:val="20"/>
          <w:lang w:val="es-ES"/>
        </w:rPr>
        <w:t xml:space="preserve">Legislación/Normativa </w:t>
      </w:r>
    </w:p>
    <w:p w:rsidR="009A1B90" w:rsidRPr="00CD0A1E" w:rsidRDefault="009A1B90" w:rsidP="00371B8A">
      <w:pPr>
        <w:spacing w:after="0" w:line="240" w:lineRule="auto"/>
        <w:rPr>
          <w:rFonts w:ascii="Cambria" w:hAnsi="Cambria"/>
          <w:i/>
          <w:sz w:val="20"/>
          <w:szCs w:val="20"/>
          <w:lang w:val="es-ES"/>
        </w:rPr>
      </w:pPr>
    </w:p>
    <w:p w:rsidR="00371B8A" w:rsidRPr="00CD0A1E" w:rsidRDefault="00A34B32" w:rsidP="00371B8A">
      <w:pPr>
        <w:pStyle w:val="ListParagraph"/>
        <w:numPr>
          <w:ilvl w:val="0"/>
          <w:numId w:val="4"/>
        </w:numPr>
        <w:spacing w:after="0" w:line="240" w:lineRule="auto"/>
        <w:jc w:val="both"/>
        <w:rPr>
          <w:rFonts w:ascii="Cambria" w:hAnsi="Cambria"/>
          <w:sz w:val="20"/>
          <w:szCs w:val="20"/>
          <w:lang w:val="es-ES"/>
        </w:rPr>
      </w:pPr>
      <w:r w:rsidRPr="00CD0A1E">
        <w:rPr>
          <w:rFonts w:ascii="Cambria" w:hAnsi="Cambria"/>
          <w:sz w:val="20"/>
          <w:szCs w:val="20"/>
          <w:lang w:val="es-ES"/>
        </w:rPr>
        <w:t>El Estado revisó la políti</w:t>
      </w:r>
      <w:r w:rsidR="00D6160A" w:rsidRPr="00CD0A1E">
        <w:rPr>
          <w:rFonts w:ascii="Cambria" w:hAnsi="Cambria"/>
          <w:sz w:val="20"/>
          <w:szCs w:val="20"/>
          <w:lang w:val="es-ES"/>
        </w:rPr>
        <w:t>c</w:t>
      </w:r>
      <w:r w:rsidRPr="00CD0A1E">
        <w:rPr>
          <w:rFonts w:ascii="Cambria" w:hAnsi="Cambria"/>
          <w:sz w:val="20"/>
          <w:szCs w:val="20"/>
          <w:lang w:val="es-ES"/>
        </w:rPr>
        <w:t xml:space="preserve">a de devolución directa relacionada </w:t>
      </w:r>
      <w:r w:rsidR="00D6160A" w:rsidRPr="00CD0A1E">
        <w:rPr>
          <w:rFonts w:ascii="Cambria" w:hAnsi="Cambria"/>
          <w:sz w:val="20"/>
          <w:szCs w:val="20"/>
          <w:lang w:val="es-ES"/>
        </w:rPr>
        <w:t>con</w:t>
      </w:r>
      <w:r w:rsidRPr="00CD0A1E">
        <w:rPr>
          <w:rFonts w:ascii="Cambria" w:hAnsi="Cambria"/>
          <w:sz w:val="20"/>
          <w:szCs w:val="20"/>
          <w:lang w:val="es-ES"/>
        </w:rPr>
        <w:t xml:space="preserve"> los solicitantes de asilo el 31 de </w:t>
      </w:r>
      <w:r w:rsidR="00000823" w:rsidRPr="00CD0A1E">
        <w:rPr>
          <w:rFonts w:ascii="Cambria" w:hAnsi="Cambria"/>
          <w:sz w:val="20"/>
          <w:szCs w:val="20"/>
          <w:lang w:val="es-ES"/>
        </w:rPr>
        <w:t>a</w:t>
      </w:r>
      <w:r w:rsidRPr="00CD0A1E">
        <w:rPr>
          <w:rFonts w:ascii="Cambria" w:hAnsi="Cambria"/>
          <w:sz w:val="20"/>
          <w:szCs w:val="20"/>
          <w:lang w:val="es-ES"/>
        </w:rPr>
        <w:t>gosto de 2006</w:t>
      </w:r>
      <w:r w:rsidR="00A5445D" w:rsidRPr="00CD0A1E">
        <w:rPr>
          <w:rFonts w:ascii="Cambria" w:hAnsi="Cambria"/>
          <w:sz w:val="20"/>
          <w:szCs w:val="20"/>
          <w:lang w:val="es-ES"/>
        </w:rPr>
        <w:t xml:space="preserve">, requiriendo que los oficiales </w:t>
      </w:r>
      <w:r w:rsidR="00000823" w:rsidRPr="00CD0A1E">
        <w:rPr>
          <w:rFonts w:ascii="Cambria" w:hAnsi="Cambria"/>
          <w:sz w:val="20"/>
          <w:szCs w:val="20"/>
          <w:lang w:val="es-ES"/>
        </w:rPr>
        <w:t>d</w:t>
      </w:r>
      <w:r w:rsidR="00A5445D" w:rsidRPr="00CD0A1E">
        <w:rPr>
          <w:rFonts w:ascii="Cambria" w:hAnsi="Cambria"/>
          <w:sz w:val="20"/>
          <w:szCs w:val="20"/>
          <w:lang w:val="es-ES"/>
        </w:rPr>
        <w:t xml:space="preserve">el servicio fronterizo usen alternativas apropiadas para </w:t>
      </w:r>
      <w:r w:rsidR="00000823" w:rsidRPr="00CD0A1E">
        <w:rPr>
          <w:rFonts w:ascii="Cambria" w:hAnsi="Cambria"/>
          <w:sz w:val="20"/>
          <w:szCs w:val="20"/>
          <w:lang w:val="es-ES"/>
        </w:rPr>
        <w:t xml:space="preserve">la devolución directa de solicitantes de asilo, inclusive la espera de los solicitantes en el puerto de entrada antes de que </w:t>
      </w:r>
      <w:r w:rsidR="00D66116" w:rsidRPr="00CD0A1E">
        <w:rPr>
          <w:rFonts w:ascii="Cambria" w:hAnsi="Cambria"/>
          <w:sz w:val="20"/>
          <w:szCs w:val="20"/>
          <w:lang w:val="es-ES"/>
        </w:rPr>
        <w:t xml:space="preserve">se </w:t>
      </w:r>
      <w:r w:rsidR="00000823" w:rsidRPr="00CD0A1E">
        <w:rPr>
          <w:rFonts w:ascii="Cambria" w:hAnsi="Cambria"/>
          <w:sz w:val="20"/>
          <w:szCs w:val="20"/>
          <w:lang w:val="es-ES"/>
        </w:rPr>
        <w:t>procese</w:t>
      </w:r>
      <w:r w:rsidR="00D66116" w:rsidRPr="00CD0A1E">
        <w:rPr>
          <w:rFonts w:ascii="Cambria" w:hAnsi="Cambria"/>
          <w:sz w:val="20"/>
          <w:szCs w:val="20"/>
          <w:lang w:val="es-ES"/>
        </w:rPr>
        <w:t>n</w:t>
      </w:r>
      <w:r w:rsidR="00000823" w:rsidRPr="00CD0A1E">
        <w:rPr>
          <w:rFonts w:ascii="Cambria" w:hAnsi="Cambria"/>
          <w:sz w:val="20"/>
          <w:szCs w:val="20"/>
          <w:lang w:val="es-ES"/>
        </w:rPr>
        <w:t xml:space="preserve"> sus solicitudes y </w:t>
      </w:r>
      <w:r w:rsidR="00D66116" w:rsidRPr="00CD0A1E">
        <w:rPr>
          <w:rFonts w:ascii="Cambria" w:hAnsi="Cambria"/>
          <w:sz w:val="20"/>
          <w:szCs w:val="20"/>
          <w:lang w:val="es-ES"/>
        </w:rPr>
        <w:t xml:space="preserve">también </w:t>
      </w:r>
      <w:r w:rsidR="00000823" w:rsidRPr="00CD0A1E">
        <w:rPr>
          <w:rFonts w:ascii="Cambria" w:hAnsi="Cambria"/>
          <w:sz w:val="20"/>
          <w:szCs w:val="20"/>
          <w:lang w:val="es-ES"/>
        </w:rPr>
        <w:t>la consideración de detener</w:t>
      </w:r>
      <w:r w:rsidR="006F20E2" w:rsidRPr="00CD0A1E">
        <w:rPr>
          <w:rFonts w:ascii="Cambria" w:hAnsi="Cambria"/>
          <w:sz w:val="20"/>
          <w:szCs w:val="20"/>
          <w:lang w:val="es-ES"/>
        </w:rPr>
        <w:t xml:space="preserve"> a</w:t>
      </w:r>
      <w:r w:rsidR="00000823" w:rsidRPr="00CD0A1E">
        <w:rPr>
          <w:rFonts w:ascii="Cambria" w:hAnsi="Cambria"/>
          <w:sz w:val="20"/>
          <w:szCs w:val="20"/>
          <w:lang w:val="es-ES"/>
        </w:rPr>
        <w:t xml:space="preserve"> los </w:t>
      </w:r>
      <w:r w:rsidR="00D66116" w:rsidRPr="00CD0A1E">
        <w:rPr>
          <w:rFonts w:ascii="Cambria" w:hAnsi="Cambria"/>
          <w:sz w:val="20"/>
          <w:szCs w:val="20"/>
          <w:lang w:val="es-ES"/>
        </w:rPr>
        <w:t xml:space="preserve">solicitantes de asilo </w:t>
      </w:r>
      <w:r w:rsidR="00000823" w:rsidRPr="00CD0A1E">
        <w:rPr>
          <w:rFonts w:ascii="Cambria" w:hAnsi="Cambria"/>
          <w:sz w:val="20"/>
          <w:szCs w:val="20"/>
          <w:lang w:val="es-ES"/>
        </w:rPr>
        <w:t xml:space="preserve">si </w:t>
      </w:r>
      <w:r w:rsidR="00D66116" w:rsidRPr="00CD0A1E">
        <w:rPr>
          <w:rFonts w:ascii="Cambria" w:hAnsi="Cambria"/>
          <w:sz w:val="20"/>
          <w:szCs w:val="20"/>
          <w:lang w:val="es-ES"/>
        </w:rPr>
        <w:t>hay un</w:t>
      </w:r>
      <w:r w:rsidR="006F20E2" w:rsidRPr="00CD0A1E">
        <w:rPr>
          <w:rFonts w:ascii="Cambria" w:hAnsi="Cambria"/>
          <w:sz w:val="20"/>
          <w:szCs w:val="20"/>
          <w:lang w:val="es-ES"/>
        </w:rPr>
        <w:t>a</w:t>
      </w:r>
      <w:r w:rsidR="00D66116" w:rsidRPr="00CD0A1E">
        <w:rPr>
          <w:rFonts w:ascii="Cambria" w:hAnsi="Cambria"/>
          <w:sz w:val="20"/>
          <w:szCs w:val="20"/>
          <w:lang w:val="es-ES"/>
        </w:rPr>
        <w:t xml:space="preserve"> razón para hacerlo</w:t>
      </w:r>
      <w:r w:rsidR="00371B8A" w:rsidRPr="00CD0A1E">
        <w:rPr>
          <w:rFonts w:ascii="Cambria" w:hAnsi="Cambria"/>
          <w:sz w:val="20"/>
          <w:szCs w:val="20"/>
          <w:lang w:val="es-ES"/>
        </w:rPr>
        <w:t xml:space="preserve">. </w:t>
      </w:r>
    </w:p>
    <w:p w:rsidR="00371B8A" w:rsidRPr="00CD0A1E" w:rsidRDefault="00371B8A">
      <w:pPr>
        <w:rPr>
          <w:rFonts w:ascii="Cambria" w:hAnsi="Cambria"/>
          <w:sz w:val="20"/>
          <w:szCs w:val="20"/>
          <w:lang w:val="es-ES"/>
        </w:rPr>
      </w:pPr>
    </w:p>
    <w:sectPr w:rsidR="00371B8A" w:rsidRPr="00CD0A1E" w:rsidSect="00E9746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F4B" w:rsidRDefault="00813F4B" w:rsidP="007B15E0">
      <w:pPr>
        <w:spacing w:after="0" w:line="240" w:lineRule="auto"/>
      </w:pPr>
      <w:r>
        <w:separator/>
      </w:r>
    </w:p>
  </w:endnote>
  <w:endnote w:type="continuationSeparator" w:id="0">
    <w:p w:rsidR="00813F4B" w:rsidRDefault="00813F4B" w:rsidP="007B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8F0" w:rsidRDefault="00237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964791"/>
      <w:docPartObj>
        <w:docPartGallery w:val="Page Numbers (Bottom of Page)"/>
        <w:docPartUnique/>
      </w:docPartObj>
    </w:sdtPr>
    <w:sdtEndPr>
      <w:rPr>
        <w:noProof/>
        <w:sz w:val="16"/>
        <w:szCs w:val="16"/>
      </w:rPr>
    </w:sdtEndPr>
    <w:sdtContent>
      <w:p w:rsidR="005818F5" w:rsidRPr="00236AA1" w:rsidRDefault="005818F5" w:rsidP="00236AA1">
        <w:pPr>
          <w:pStyle w:val="Footer"/>
          <w:jc w:val="center"/>
          <w:rPr>
            <w:sz w:val="16"/>
            <w:szCs w:val="16"/>
          </w:rPr>
        </w:pPr>
        <w:r w:rsidRPr="00594FE3">
          <w:rPr>
            <w:sz w:val="16"/>
            <w:szCs w:val="16"/>
          </w:rPr>
          <w:fldChar w:fldCharType="begin"/>
        </w:r>
        <w:r w:rsidRPr="00594FE3">
          <w:rPr>
            <w:sz w:val="16"/>
            <w:szCs w:val="16"/>
          </w:rPr>
          <w:instrText xml:space="preserve"> PAGE   \* MERGEFORMAT </w:instrText>
        </w:r>
        <w:r w:rsidRPr="00594FE3">
          <w:rPr>
            <w:sz w:val="16"/>
            <w:szCs w:val="16"/>
          </w:rPr>
          <w:fldChar w:fldCharType="separate"/>
        </w:r>
        <w:r w:rsidR="00790E65">
          <w:rPr>
            <w:noProof/>
            <w:sz w:val="16"/>
            <w:szCs w:val="16"/>
          </w:rPr>
          <w:t>4</w:t>
        </w:r>
        <w:r w:rsidRPr="00594FE3">
          <w:rPr>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8F0" w:rsidRDefault="00237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F4B" w:rsidRDefault="00813F4B" w:rsidP="007B15E0">
      <w:pPr>
        <w:spacing w:after="0" w:line="240" w:lineRule="auto"/>
      </w:pPr>
      <w:r>
        <w:separator/>
      </w:r>
    </w:p>
  </w:footnote>
  <w:footnote w:type="continuationSeparator" w:id="0">
    <w:p w:rsidR="00813F4B" w:rsidRDefault="00813F4B" w:rsidP="007B15E0">
      <w:pPr>
        <w:spacing w:after="0" w:line="240" w:lineRule="auto"/>
      </w:pPr>
      <w:r>
        <w:continuationSeparator/>
      </w:r>
    </w:p>
  </w:footnote>
  <w:footnote w:id="1">
    <w:p w:rsidR="00B33DD5" w:rsidRPr="00B33DD5" w:rsidRDefault="00B33DD5" w:rsidP="00417E4D">
      <w:pPr>
        <w:spacing w:after="120"/>
        <w:ind w:firstLine="720"/>
        <w:jc w:val="both"/>
        <w:rPr>
          <w:rFonts w:ascii="Cambria" w:hAnsi="Cambria"/>
          <w:sz w:val="16"/>
          <w:szCs w:val="16"/>
          <w:lang w:val="es-ES"/>
        </w:rPr>
      </w:pPr>
      <w:r w:rsidRPr="00B33DD5">
        <w:rPr>
          <w:rStyle w:val="FootnoteReference"/>
          <w:rFonts w:ascii="Cambria" w:hAnsi="Cambria"/>
          <w:sz w:val="16"/>
          <w:szCs w:val="16"/>
        </w:rPr>
        <w:footnoteRef/>
      </w:r>
      <w:r w:rsidRPr="00B33DD5">
        <w:rPr>
          <w:rFonts w:ascii="Cambria" w:hAnsi="Cambria"/>
          <w:sz w:val="16"/>
          <w:szCs w:val="16"/>
          <w:lang w:val="es-ES"/>
        </w:rPr>
        <w:t xml:space="preserve"> CIDH, Informe Anual 2017, </w:t>
      </w:r>
      <w:hyperlink r:id="rId1" w:history="1">
        <w:r w:rsidRPr="00B33DD5">
          <w:rPr>
            <w:rStyle w:val="Hyperlink"/>
            <w:rFonts w:ascii="Cambria" w:hAnsi="Cambria"/>
            <w:sz w:val="16"/>
            <w:szCs w:val="16"/>
            <w:lang w:val="es-ES"/>
          </w:rPr>
          <w:t>Capítulo II, Sección F: Estado del cumplimiento de las recomendaciones de la CIDH</w:t>
        </w:r>
      </w:hyperlink>
      <w:r w:rsidRPr="00B33DD5">
        <w:rPr>
          <w:rFonts w:ascii="Cambria" w:hAnsi="Cambria"/>
          <w:sz w:val="16"/>
          <w:szCs w:val="16"/>
          <w:lang w:val="es-ES"/>
        </w:rPr>
        <w:t xml:space="preserve">, párr. 493. </w:t>
      </w:r>
    </w:p>
  </w:footnote>
  <w:footnote w:id="2">
    <w:p w:rsidR="005818F5" w:rsidRPr="00B33DD5" w:rsidRDefault="005818F5" w:rsidP="00417E4D">
      <w:pPr>
        <w:pStyle w:val="FootnoteText"/>
        <w:spacing w:after="120"/>
        <w:ind w:firstLine="720"/>
        <w:jc w:val="both"/>
        <w:rPr>
          <w:rFonts w:ascii="Cambria" w:hAnsi="Cambria"/>
          <w:sz w:val="16"/>
          <w:szCs w:val="16"/>
          <w:lang w:val="es-ES"/>
        </w:rPr>
      </w:pPr>
      <w:r w:rsidRPr="00B33DD5">
        <w:rPr>
          <w:rStyle w:val="FootnoteReference"/>
          <w:rFonts w:ascii="Cambria" w:hAnsi="Cambria"/>
          <w:sz w:val="16"/>
          <w:szCs w:val="16"/>
        </w:rPr>
        <w:footnoteRef/>
      </w:r>
      <w:r w:rsidRPr="00B33DD5">
        <w:rPr>
          <w:rFonts w:ascii="Cambria" w:hAnsi="Cambria"/>
          <w:sz w:val="16"/>
          <w:szCs w:val="16"/>
          <w:lang w:val="es-ES"/>
        </w:rPr>
        <w:t xml:space="preserve"> CIDH, </w:t>
      </w:r>
      <w:hyperlink r:id="rId2" w:history="1">
        <w:r w:rsidRPr="00B33DD5">
          <w:rPr>
            <w:rStyle w:val="Hyperlink"/>
            <w:rFonts w:ascii="Cambria" w:hAnsi="Cambria"/>
            <w:sz w:val="16"/>
            <w:szCs w:val="16"/>
            <w:lang w:val="es-ES"/>
          </w:rPr>
          <w:t xml:space="preserve">Caso 12.586, Informe </w:t>
        </w:r>
        <w:r w:rsidR="004465AA" w:rsidRPr="00B33DD5">
          <w:rPr>
            <w:rStyle w:val="Hyperlink"/>
            <w:rFonts w:ascii="Cambria" w:hAnsi="Cambria"/>
            <w:sz w:val="16"/>
            <w:szCs w:val="16"/>
            <w:lang w:val="es-ES"/>
          </w:rPr>
          <w:t xml:space="preserve">de Fondo </w:t>
        </w:r>
        <w:r w:rsidRPr="00B33DD5">
          <w:rPr>
            <w:rStyle w:val="Hyperlink"/>
            <w:rFonts w:ascii="Cambria" w:hAnsi="Cambria"/>
            <w:sz w:val="16"/>
            <w:szCs w:val="16"/>
            <w:lang w:val="es-ES"/>
          </w:rPr>
          <w:t>N</w:t>
        </w:r>
        <w:r w:rsidR="004465AA" w:rsidRPr="00B33DD5">
          <w:rPr>
            <w:rStyle w:val="Hyperlink"/>
            <w:rFonts w:ascii="Cambria" w:hAnsi="Cambria"/>
            <w:sz w:val="16"/>
            <w:szCs w:val="16"/>
            <w:lang w:val="es-ES"/>
          </w:rPr>
          <w:t>º</w:t>
        </w:r>
        <w:r w:rsidRPr="00B33DD5">
          <w:rPr>
            <w:rStyle w:val="Hyperlink"/>
            <w:rFonts w:ascii="Cambria" w:hAnsi="Cambria"/>
            <w:sz w:val="16"/>
            <w:szCs w:val="16"/>
            <w:lang w:val="es-ES"/>
          </w:rPr>
          <w:t xml:space="preserve">. 78/11, John Doe </w:t>
        </w:r>
        <w:r w:rsidR="004465AA" w:rsidRPr="00B33DD5">
          <w:rPr>
            <w:rStyle w:val="Hyperlink"/>
            <w:rFonts w:ascii="Cambria" w:hAnsi="Cambria"/>
            <w:sz w:val="16"/>
            <w:szCs w:val="16"/>
            <w:lang w:val="es-ES"/>
          </w:rPr>
          <w:t xml:space="preserve">y otros </w:t>
        </w:r>
        <w:r w:rsidRPr="00B33DD5">
          <w:rPr>
            <w:rStyle w:val="Hyperlink"/>
            <w:rFonts w:ascii="Cambria" w:hAnsi="Cambria"/>
            <w:sz w:val="16"/>
            <w:szCs w:val="16"/>
            <w:lang w:val="es-ES"/>
          </w:rPr>
          <w:t>(Canadá)</w:t>
        </w:r>
      </w:hyperlink>
      <w:r w:rsidRPr="00B33DD5">
        <w:rPr>
          <w:rFonts w:ascii="Cambria" w:hAnsi="Cambria"/>
          <w:sz w:val="16"/>
          <w:szCs w:val="16"/>
          <w:lang w:val="es-ES"/>
        </w:rPr>
        <w:t>, pár</w:t>
      </w:r>
      <w:r w:rsidR="004465AA" w:rsidRPr="00B33DD5">
        <w:rPr>
          <w:rFonts w:ascii="Cambria" w:hAnsi="Cambria"/>
          <w:sz w:val="16"/>
          <w:szCs w:val="16"/>
          <w:lang w:val="es-ES"/>
        </w:rPr>
        <w:t>r</w:t>
      </w:r>
      <w:r w:rsidRPr="00B33DD5">
        <w:rPr>
          <w:rFonts w:ascii="Cambria" w:hAnsi="Cambria"/>
          <w:sz w:val="16"/>
          <w:szCs w:val="16"/>
          <w:lang w:val="es-ES"/>
        </w:rPr>
        <w:t>. 96.</w:t>
      </w:r>
    </w:p>
  </w:footnote>
  <w:footnote w:id="3">
    <w:p w:rsidR="00B33DD5" w:rsidRPr="00B33DD5" w:rsidRDefault="00B33DD5" w:rsidP="00417E4D">
      <w:pPr>
        <w:pStyle w:val="FootnoteText"/>
        <w:spacing w:after="120"/>
        <w:ind w:firstLine="720"/>
        <w:jc w:val="both"/>
        <w:rPr>
          <w:lang w:val="es-ES"/>
        </w:rPr>
      </w:pPr>
      <w:r w:rsidRPr="00B33DD5">
        <w:rPr>
          <w:rStyle w:val="FootnoteReference"/>
          <w:rFonts w:ascii="Cambria" w:hAnsi="Cambria"/>
          <w:sz w:val="16"/>
          <w:szCs w:val="16"/>
        </w:rPr>
        <w:footnoteRef/>
      </w:r>
      <w:r w:rsidRPr="00B33DD5">
        <w:rPr>
          <w:rFonts w:ascii="Cambria" w:hAnsi="Cambria"/>
          <w:sz w:val="16"/>
          <w:szCs w:val="16"/>
          <w:lang w:val="es-ES"/>
        </w:rPr>
        <w:t xml:space="preserve"> CIDH, </w:t>
      </w:r>
      <w:hyperlink r:id="rId3" w:history="1">
        <w:r w:rsidRPr="00B33DD5">
          <w:rPr>
            <w:rStyle w:val="Hyperlink"/>
            <w:rFonts w:ascii="Cambria" w:hAnsi="Cambria"/>
            <w:sz w:val="16"/>
            <w:szCs w:val="16"/>
            <w:lang w:val="es-ES"/>
          </w:rPr>
          <w:t>Caso 12.586, Informe de Fondo Nº. 78/11, John Doe y otros (Canadá)</w:t>
        </w:r>
      </w:hyperlink>
      <w:r w:rsidRPr="00B33DD5">
        <w:rPr>
          <w:rFonts w:ascii="Cambria" w:hAnsi="Cambria"/>
          <w:sz w:val="16"/>
          <w:szCs w:val="16"/>
          <w:lang w:val="es-ES"/>
        </w:rPr>
        <w:t>, párr. 123.</w:t>
      </w:r>
    </w:p>
  </w:footnote>
  <w:footnote w:id="4">
    <w:p w:rsidR="00B33DD5" w:rsidRPr="00A4512C" w:rsidRDefault="00B33DD5" w:rsidP="00417E4D">
      <w:pPr>
        <w:pStyle w:val="FootnoteText"/>
        <w:spacing w:after="120"/>
        <w:ind w:firstLine="720"/>
        <w:jc w:val="both"/>
        <w:rPr>
          <w:rFonts w:ascii="Cambria" w:hAnsi="Cambria"/>
          <w:sz w:val="16"/>
          <w:szCs w:val="16"/>
          <w:lang w:val="es-ES"/>
        </w:rPr>
      </w:pPr>
      <w:r w:rsidRPr="00A4512C">
        <w:rPr>
          <w:rStyle w:val="FootnoteReference"/>
          <w:rFonts w:ascii="Cambria" w:hAnsi="Cambria"/>
          <w:sz w:val="16"/>
          <w:szCs w:val="16"/>
        </w:rPr>
        <w:footnoteRef/>
      </w:r>
      <w:r w:rsidRPr="00A4512C">
        <w:rPr>
          <w:rFonts w:ascii="Cambria" w:hAnsi="Cambria"/>
          <w:sz w:val="16"/>
          <w:szCs w:val="16"/>
          <w:lang w:val="es-ES"/>
        </w:rPr>
        <w:t xml:space="preserve"> CIDH, </w:t>
      </w:r>
      <w:hyperlink r:id="rId4" w:history="1">
        <w:r w:rsidRPr="00A4512C">
          <w:rPr>
            <w:rStyle w:val="Hyperlink"/>
            <w:rFonts w:ascii="Cambria" w:hAnsi="Cambria"/>
            <w:sz w:val="16"/>
            <w:szCs w:val="16"/>
            <w:lang w:val="es-ES"/>
          </w:rPr>
          <w:t>Caso 12.586, Informe de Fondo Nº. 78/11, John Doe y otros (Canadá)</w:t>
        </w:r>
      </w:hyperlink>
      <w:r w:rsidRPr="00A4512C">
        <w:rPr>
          <w:rFonts w:ascii="Cambria" w:hAnsi="Cambria"/>
          <w:sz w:val="16"/>
          <w:szCs w:val="16"/>
          <w:lang w:val="es-ES"/>
        </w:rPr>
        <w:t>, párr. 124.</w:t>
      </w:r>
    </w:p>
  </w:footnote>
  <w:footnote w:id="5">
    <w:p w:rsidR="005818F5" w:rsidRPr="00A4512C" w:rsidRDefault="005818F5" w:rsidP="00417E4D">
      <w:pPr>
        <w:pStyle w:val="FootnoteText"/>
        <w:spacing w:after="120"/>
        <w:ind w:firstLine="720"/>
        <w:jc w:val="both"/>
        <w:rPr>
          <w:rFonts w:ascii="Cambria" w:hAnsi="Cambria"/>
          <w:sz w:val="16"/>
          <w:szCs w:val="16"/>
          <w:lang w:val="es-UY"/>
        </w:rPr>
      </w:pPr>
      <w:r w:rsidRPr="00A4512C">
        <w:rPr>
          <w:rStyle w:val="FootnoteReference"/>
          <w:rFonts w:ascii="Cambria" w:hAnsi="Cambria"/>
          <w:sz w:val="16"/>
          <w:szCs w:val="16"/>
        </w:rPr>
        <w:footnoteRef/>
      </w:r>
      <w:r w:rsidRPr="00A4512C">
        <w:rPr>
          <w:rFonts w:ascii="Cambria" w:hAnsi="Cambria"/>
          <w:sz w:val="16"/>
          <w:szCs w:val="16"/>
          <w:lang w:val="es-UY"/>
        </w:rPr>
        <w:t xml:space="preserve"> CIDH, </w:t>
      </w:r>
      <w:hyperlink r:id="rId5" w:history="1">
        <w:r w:rsidRPr="00A4512C">
          <w:rPr>
            <w:rStyle w:val="Hyperlink"/>
            <w:rFonts w:ascii="Cambria" w:hAnsi="Cambria"/>
            <w:sz w:val="16"/>
            <w:szCs w:val="16"/>
            <w:lang w:val="es-UY"/>
          </w:rPr>
          <w:t xml:space="preserve">Opinión Consultiva OC-10/89 Interpretación de la </w:t>
        </w:r>
        <w:r w:rsidR="00EE0016" w:rsidRPr="00A4512C">
          <w:rPr>
            <w:rStyle w:val="Hyperlink"/>
            <w:rFonts w:ascii="Cambria" w:hAnsi="Cambria"/>
            <w:sz w:val="16"/>
            <w:szCs w:val="16"/>
            <w:lang w:val="es-UY"/>
          </w:rPr>
          <w:t>Declaración</w:t>
        </w:r>
        <w:r w:rsidRPr="00A4512C">
          <w:rPr>
            <w:rStyle w:val="Hyperlink"/>
            <w:rFonts w:ascii="Cambria" w:hAnsi="Cambria"/>
            <w:sz w:val="16"/>
            <w:szCs w:val="16"/>
            <w:lang w:val="es-UY"/>
          </w:rPr>
          <w:t xml:space="preserve"> e los Derechos y Deber</w:t>
        </w:r>
        <w:r w:rsidR="00EE0016" w:rsidRPr="00A4512C">
          <w:rPr>
            <w:rStyle w:val="Hyperlink"/>
            <w:rFonts w:ascii="Cambria" w:hAnsi="Cambria"/>
            <w:sz w:val="16"/>
            <w:szCs w:val="16"/>
            <w:lang w:val="es-UY"/>
          </w:rPr>
          <w:t>e</w:t>
        </w:r>
        <w:r w:rsidRPr="00A4512C">
          <w:rPr>
            <w:rStyle w:val="Hyperlink"/>
            <w:rFonts w:ascii="Cambria" w:hAnsi="Cambria"/>
            <w:sz w:val="16"/>
            <w:szCs w:val="16"/>
            <w:lang w:val="es-UY"/>
          </w:rPr>
          <w:t xml:space="preserve">s del Hombre en el Marco del Artículo 64 de la Convención Americana </w:t>
        </w:r>
        <w:r w:rsidR="00EE0016" w:rsidRPr="00A4512C">
          <w:rPr>
            <w:rStyle w:val="Hyperlink"/>
            <w:rFonts w:ascii="Cambria" w:hAnsi="Cambria"/>
            <w:sz w:val="16"/>
            <w:szCs w:val="16"/>
            <w:lang w:val="es-UY"/>
          </w:rPr>
          <w:t>sobre</w:t>
        </w:r>
        <w:r w:rsidRPr="00A4512C">
          <w:rPr>
            <w:rStyle w:val="Hyperlink"/>
            <w:rFonts w:ascii="Cambria" w:hAnsi="Cambria"/>
            <w:sz w:val="16"/>
            <w:szCs w:val="16"/>
            <w:lang w:val="es-UY"/>
          </w:rPr>
          <w:t xml:space="preserve"> Derechos Humanos</w:t>
        </w:r>
      </w:hyperlink>
      <w:r w:rsidRPr="00A4512C">
        <w:rPr>
          <w:rFonts w:ascii="Cambria" w:hAnsi="Cambria"/>
          <w:sz w:val="16"/>
          <w:szCs w:val="16"/>
          <w:lang w:val="es-UY"/>
        </w:rPr>
        <w:t xml:space="preserve">, 14 de julio de 1989, Ser. A No. 10 (1989), párrs. 35-45. </w:t>
      </w:r>
    </w:p>
  </w:footnote>
  <w:footnote w:id="6">
    <w:p w:rsidR="005818F5" w:rsidRPr="00A4512C" w:rsidRDefault="005818F5" w:rsidP="00417E4D">
      <w:pPr>
        <w:pStyle w:val="FootnoteText"/>
        <w:spacing w:after="120"/>
        <w:ind w:firstLine="720"/>
        <w:jc w:val="both"/>
        <w:rPr>
          <w:rFonts w:ascii="Cambria" w:hAnsi="Cambria"/>
          <w:sz w:val="16"/>
          <w:szCs w:val="16"/>
          <w:lang w:val="es-UY"/>
        </w:rPr>
      </w:pPr>
      <w:r w:rsidRPr="00A4512C">
        <w:rPr>
          <w:rStyle w:val="FootnoteReference"/>
          <w:rFonts w:ascii="Cambria" w:hAnsi="Cambria"/>
          <w:sz w:val="16"/>
          <w:szCs w:val="16"/>
        </w:rPr>
        <w:footnoteRef/>
      </w:r>
      <w:r w:rsidRPr="00A4512C">
        <w:rPr>
          <w:rFonts w:ascii="Cambria" w:hAnsi="Cambria"/>
          <w:sz w:val="16"/>
          <w:szCs w:val="16"/>
          <w:lang w:val="es-UY"/>
        </w:rPr>
        <w:t xml:space="preserve"> CIDH, </w:t>
      </w:r>
      <w:hyperlink r:id="rId6" w:history="1">
        <w:r w:rsidRPr="00A4512C">
          <w:rPr>
            <w:rStyle w:val="Hyperlink"/>
            <w:rFonts w:ascii="Cambria" w:hAnsi="Cambria"/>
            <w:sz w:val="16"/>
            <w:szCs w:val="16"/>
            <w:lang w:val="es-UY"/>
          </w:rPr>
          <w:t xml:space="preserve">Caso 12.586, Informe </w:t>
        </w:r>
        <w:r w:rsidR="00EE0016" w:rsidRPr="00A4512C">
          <w:rPr>
            <w:rStyle w:val="Hyperlink"/>
            <w:rFonts w:ascii="Cambria" w:hAnsi="Cambria"/>
            <w:sz w:val="16"/>
            <w:szCs w:val="16"/>
            <w:lang w:val="es-UY"/>
          </w:rPr>
          <w:t xml:space="preserve">de Fondo </w:t>
        </w:r>
        <w:r w:rsidRPr="00A4512C">
          <w:rPr>
            <w:rStyle w:val="Hyperlink"/>
            <w:rFonts w:ascii="Cambria" w:hAnsi="Cambria"/>
            <w:sz w:val="16"/>
            <w:szCs w:val="16"/>
            <w:lang w:val="es-UY"/>
          </w:rPr>
          <w:t>Nº. 78/11, John Doe y otros (Canadá)</w:t>
        </w:r>
      </w:hyperlink>
      <w:r w:rsidRPr="00A4512C">
        <w:rPr>
          <w:rFonts w:ascii="Cambria" w:hAnsi="Cambria"/>
          <w:sz w:val="16"/>
          <w:szCs w:val="16"/>
          <w:lang w:val="es-UY"/>
        </w:rPr>
        <w:t xml:space="preserve">, párrs. 129-131. </w:t>
      </w:r>
    </w:p>
  </w:footnote>
  <w:footnote w:id="7">
    <w:p w:rsidR="00B33DD5" w:rsidRPr="00B33DD5" w:rsidRDefault="00B33DD5" w:rsidP="00417E4D">
      <w:pPr>
        <w:pStyle w:val="FootnoteText"/>
        <w:spacing w:after="120"/>
        <w:ind w:firstLine="720"/>
        <w:jc w:val="both"/>
        <w:rPr>
          <w:lang w:val="es-ES"/>
        </w:rPr>
      </w:pPr>
      <w:r w:rsidRPr="00A4512C">
        <w:rPr>
          <w:rStyle w:val="FootnoteReference"/>
          <w:rFonts w:ascii="Cambria" w:hAnsi="Cambria"/>
          <w:sz w:val="16"/>
          <w:szCs w:val="16"/>
        </w:rPr>
        <w:footnoteRef/>
      </w:r>
      <w:r w:rsidRPr="00A4512C">
        <w:rPr>
          <w:rFonts w:ascii="Cambria" w:hAnsi="Cambria"/>
          <w:sz w:val="16"/>
          <w:szCs w:val="16"/>
          <w:lang w:val="es-ES"/>
        </w:rPr>
        <w:t xml:space="preserve"> CIDH, Informe Anual 2017, </w:t>
      </w:r>
      <w:hyperlink r:id="rId7" w:history="1">
        <w:r w:rsidRPr="00A4512C">
          <w:rPr>
            <w:rStyle w:val="Hyperlink"/>
            <w:rFonts w:ascii="Cambria" w:hAnsi="Cambria"/>
            <w:sz w:val="16"/>
            <w:szCs w:val="16"/>
            <w:lang w:val="es-ES"/>
          </w:rPr>
          <w:t>Capítulo II, Sección F: Estado del cumplimiento de las recomendaciones de la CIDH</w:t>
        </w:r>
      </w:hyperlink>
      <w:r w:rsidRPr="00A4512C">
        <w:rPr>
          <w:rFonts w:ascii="Cambria" w:hAnsi="Cambria"/>
          <w:sz w:val="16"/>
          <w:szCs w:val="16"/>
          <w:lang w:val="es-ES"/>
        </w:rPr>
        <w:t>, párr. 493.</w:t>
      </w:r>
    </w:p>
  </w:footnote>
  <w:footnote w:id="8">
    <w:p w:rsidR="00B33DD5" w:rsidRPr="00B33DD5" w:rsidRDefault="00B33DD5" w:rsidP="00417E4D">
      <w:pPr>
        <w:pStyle w:val="FootnoteText"/>
        <w:spacing w:after="120"/>
        <w:ind w:firstLine="720"/>
        <w:rPr>
          <w:lang w:val="es-ES"/>
        </w:rPr>
      </w:pPr>
      <w:r>
        <w:rPr>
          <w:rStyle w:val="FootnoteReference"/>
        </w:rPr>
        <w:footnoteRef/>
      </w:r>
      <w:r w:rsidRPr="00B33DD5">
        <w:rPr>
          <w:lang w:val="es-ES"/>
        </w:rPr>
        <w:t xml:space="preserve"> </w:t>
      </w:r>
      <w:r w:rsidRPr="00B33DD5">
        <w:rPr>
          <w:rFonts w:ascii="Cambria" w:hAnsi="Cambria"/>
          <w:sz w:val="16"/>
          <w:szCs w:val="16"/>
          <w:lang w:val="es-ES"/>
        </w:rPr>
        <w:t xml:space="preserve">CIDH, Informe Anual 2017, </w:t>
      </w:r>
      <w:hyperlink r:id="rId8" w:history="1">
        <w:r w:rsidRPr="00B33DD5">
          <w:rPr>
            <w:rStyle w:val="Hyperlink"/>
            <w:rFonts w:ascii="Cambria" w:hAnsi="Cambria"/>
            <w:sz w:val="16"/>
            <w:szCs w:val="16"/>
            <w:lang w:val="es-ES"/>
          </w:rPr>
          <w:t>Capítulo II, Sección F: Estado del cumplimiento de las recomendaciones de la CIDH</w:t>
        </w:r>
      </w:hyperlink>
      <w:r w:rsidRPr="00B33DD5">
        <w:rPr>
          <w:rFonts w:ascii="Cambria" w:hAnsi="Cambria"/>
          <w:sz w:val="16"/>
          <w:szCs w:val="16"/>
          <w:lang w:val="es-ES"/>
        </w:rPr>
        <w:t>, párr. 493.</w:t>
      </w:r>
    </w:p>
  </w:footnote>
  <w:footnote w:id="9">
    <w:p w:rsidR="00B33DD5" w:rsidRPr="00B33DD5" w:rsidRDefault="00B33DD5" w:rsidP="00417E4D">
      <w:pPr>
        <w:pStyle w:val="FootnoteText"/>
        <w:spacing w:after="120"/>
        <w:ind w:firstLine="720"/>
        <w:rPr>
          <w:lang w:val="es-ES"/>
        </w:rPr>
      </w:pPr>
      <w:r>
        <w:rPr>
          <w:rStyle w:val="FootnoteReference"/>
        </w:rPr>
        <w:footnoteRef/>
      </w:r>
      <w:r w:rsidRPr="00B33DD5">
        <w:rPr>
          <w:lang w:val="es-ES"/>
        </w:rPr>
        <w:t xml:space="preserve"> </w:t>
      </w:r>
      <w:r w:rsidRPr="00B33DD5">
        <w:rPr>
          <w:rFonts w:ascii="Cambria" w:hAnsi="Cambria"/>
          <w:sz w:val="16"/>
          <w:szCs w:val="16"/>
          <w:lang w:val="es-ES"/>
        </w:rPr>
        <w:t xml:space="preserve">CIDH, </w:t>
      </w:r>
      <w:hyperlink r:id="rId9" w:history="1">
        <w:r w:rsidRPr="00B33DD5">
          <w:rPr>
            <w:rStyle w:val="Hyperlink"/>
            <w:rFonts w:ascii="Cambria" w:hAnsi="Cambria"/>
            <w:sz w:val="16"/>
            <w:szCs w:val="16"/>
            <w:lang w:val="es-ES"/>
          </w:rPr>
          <w:t>Caso 12.586, Informe de Fondo Nº. 78/11, John Doe y otros (Canadá)</w:t>
        </w:r>
      </w:hyperlink>
      <w:r w:rsidRPr="00B33DD5">
        <w:rPr>
          <w:rFonts w:ascii="Cambria" w:hAnsi="Cambria"/>
          <w:sz w:val="16"/>
          <w:szCs w:val="16"/>
          <w:lang w:val="es-ES"/>
        </w:rPr>
        <w:t>, párr. 12</w:t>
      </w:r>
      <w:r>
        <w:rPr>
          <w:rFonts w:ascii="Cambria" w:hAnsi="Cambria"/>
          <w:sz w:val="16"/>
          <w:szCs w:val="16"/>
          <w:lang w:val="es-ES"/>
        </w:rPr>
        <w:t xml:space="preserve">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8F0" w:rsidRDefault="00237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F5" w:rsidRDefault="005818F5" w:rsidP="00594FE3">
    <w:pPr>
      <w:pStyle w:val="Header"/>
      <w:jc w:val="center"/>
    </w:pPr>
    <w:r>
      <w:rPr>
        <w:noProof/>
        <w:lang w:val="es-US" w:eastAsia="es-US"/>
      </w:rPr>
      <w:drawing>
        <wp:anchor distT="0" distB="0" distL="114300" distR="114300" simplePos="0" relativeHeight="251660288" behindDoc="1" locked="0" layoutInCell="1" allowOverlap="1" wp14:editId="48DE1F9C">
          <wp:simplePos x="0" y="0"/>
          <wp:positionH relativeFrom="column">
            <wp:posOffset>1795780</wp:posOffset>
          </wp:positionH>
          <wp:positionV relativeFrom="paragraph">
            <wp:posOffset>-20955</wp:posOffset>
          </wp:positionV>
          <wp:extent cx="2296795" cy="116840"/>
          <wp:effectExtent l="0" t="0" r="8255" b="0"/>
          <wp:wrapSquare wrapText="bothSides"/>
          <wp:docPr id="6" name="Picture 6"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116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8F5" w:rsidRPr="00F17462" w:rsidRDefault="00790E65" w:rsidP="00594FE3">
    <w:pPr>
      <w:spacing w:after="0" w:line="240" w:lineRule="auto"/>
      <w:jc w:val="center"/>
      <w:rPr>
        <w:rFonts w:ascii="Cambria" w:hAnsi="Cambria"/>
        <w:b/>
      </w:rPr>
    </w:pPr>
    <w:r>
      <w:pict w14:anchorId="35248EBE">
        <v:rect id="_x0000_i1025" style="width:0;height:1.5pt" o:hralign="center" o:hrstd="t" o:hr="t" fillcolor="#a0a0a0" stroked="f"/>
      </w:pict>
    </w:r>
  </w:p>
  <w:p w:rsidR="005818F5" w:rsidRDefault="005818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6B" w:rsidRDefault="00E9746B" w:rsidP="00E9746B">
    <w:pPr>
      <w:pStyle w:val="Header"/>
    </w:pPr>
    <w:r>
      <w:rPr>
        <w:noProof/>
        <w:lang w:val="es-US" w:eastAsia="es-US"/>
      </w:rPr>
      <w:drawing>
        <wp:anchor distT="0" distB="0" distL="114300" distR="114300" simplePos="0" relativeHeight="251664384" behindDoc="1" locked="0" layoutInCell="1" allowOverlap="1">
          <wp:simplePos x="0" y="0"/>
          <wp:positionH relativeFrom="column">
            <wp:posOffset>-57150</wp:posOffset>
          </wp:positionH>
          <wp:positionV relativeFrom="paragraph">
            <wp:posOffset>0</wp:posOffset>
          </wp:positionV>
          <wp:extent cx="1752600" cy="387350"/>
          <wp:effectExtent l="0" t="0" r="0" b="0"/>
          <wp:wrapThrough wrapText="bothSides">
            <wp:wrapPolygon edited="0">
              <wp:start x="0" y="0"/>
              <wp:lineTo x="0" y="20184"/>
              <wp:lineTo x="21365" y="20184"/>
              <wp:lineTo x="21365" y="0"/>
              <wp:lineTo x="0" y="0"/>
            </wp:wrapPolygon>
          </wp:wrapThrough>
          <wp:docPr id="4" name="Picture 4" descr="IA2018-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8-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US" w:eastAsia="es-US"/>
      </w:rPr>
      <w:drawing>
        <wp:anchor distT="0" distB="0" distL="114300" distR="114300" simplePos="0" relativeHeight="251663360" behindDoc="1" locked="0" layoutInCell="1" allowOverlap="1">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3" name="Picture 3"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46B" w:rsidRDefault="00E9746B" w:rsidP="00E9746B">
    <w:pPr>
      <w:pStyle w:val="Header"/>
    </w:pPr>
  </w:p>
  <w:p w:rsidR="00E9746B" w:rsidRDefault="00790E65" w:rsidP="00E9746B">
    <w:pPr>
      <w:pStyle w:val="Header"/>
    </w:pPr>
    <w:r>
      <w:pict>
        <v:rect id="_x0000_i1026" style="width:0;height:1.5pt" o:hralign="center" o:hrstd="t" o:hr="t" fillcolor="#a0a0a0" stroked="f"/>
      </w:pict>
    </w:r>
  </w:p>
  <w:p w:rsidR="005818F5" w:rsidRPr="005622BE" w:rsidRDefault="005818F5" w:rsidP="00594FE3">
    <w:pPr>
      <w:pStyle w:val="Header"/>
    </w:pPr>
    <w:r>
      <w:rPr>
        <w:snapToGrid w:val="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2463"/>
    <w:multiLevelType w:val="hybridMultilevel"/>
    <w:tmpl w:val="EC2A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F6840"/>
    <w:multiLevelType w:val="hybridMultilevel"/>
    <w:tmpl w:val="509018EA"/>
    <w:lvl w:ilvl="0" w:tplc="1D70DBA2">
      <w:start w:val="1"/>
      <w:numFmt w:val="decimal"/>
      <w:lvlText w:val="%1."/>
      <w:lvlJc w:val="left"/>
      <w:pPr>
        <w:tabs>
          <w:tab w:val="num" w:pos="720"/>
        </w:tabs>
        <w:ind w:left="0" w:firstLine="720"/>
      </w:pPr>
      <w:rPr>
        <w:rFonts w:cs="Times New Roman" w:hint="default"/>
        <w:b w:val="0"/>
        <w:i w:val="0"/>
        <w:strike w:val="0"/>
        <w:sz w:val="20"/>
        <w:szCs w:val="20"/>
      </w:rPr>
    </w:lvl>
    <w:lvl w:ilvl="1" w:tplc="04090005">
      <w:start w:val="1"/>
      <w:numFmt w:val="bullet"/>
      <w:lvlText w:val=""/>
      <w:lvlJc w:val="left"/>
      <w:pPr>
        <w:tabs>
          <w:tab w:val="num" w:pos="1440"/>
        </w:tabs>
        <w:ind w:left="1440" w:hanging="360"/>
      </w:pPr>
      <w:rPr>
        <w:rFonts w:ascii="Wingdings" w:hAnsi="Wingdings" w:hint="default"/>
      </w:rPr>
    </w:lvl>
    <w:lvl w:ilvl="2" w:tplc="E16A2C48">
      <w:start w:val="1"/>
      <w:numFmt w:val="decimal"/>
      <w:lvlText w:val="%3."/>
      <w:lvlJc w:val="left"/>
      <w:pPr>
        <w:tabs>
          <w:tab w:val="num" w:pos="1980"/>
        </w:tabs>
        <w:ind w:left="1260" w:firstLine="720"/>
      </w:pPr>
      <w:rPr>
        <w:rFonts w:hint="default"/>
        <w:b w:val="0"/>
        <w:i w:val="0"/>
        <w:sz w:val="20"/>
        <w:szCs w:val="20"/>
      </w:rPr>
    </w:lvl>
    <w:lvl w:ilvl="3" w:tplc="FA309624">
      <w:start w:val="1"/>
      <w:numFmt w:val="decimal"/>
      <w:lvlText w:val="%4."/>
      <w:lvlJc w:val="left"/>
      <w:pPr>
        <w:tabs>
          <w:tab w:val="num" w:pos="720"/>
        </w:tabs>
        <w:ind w:left="0" w:firstLine="720"/>
      </w:pPr>
      <w:rPr>
        <w:rFonts w:ascii="Univers" w:hAnsi="Univers" w:hint="default"/>
        <w:b w:val="0"/>
        <w:i w:val="0"/>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84EDE"/>
    <w:multiLevelType w:val="hybridMultilevel"/>
    <w:tmpl w:val="A12E0462"/>
    <w:lvl w:ilvl="0" w:tplc="CAD003B2">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552C4"/>
    <w:multiLevelType w:val="hybridMultilevel"/>
    <w:tmpl w:val="E144834E"/>
    <w:lvl w:ilvl="0" w:tplc="C61A4F7E">
      <w:start w:val="1"/>
      <w:numFmt w:val="decimal"/>
      <w:lvlText w:val="%1."/>
      <w:lvlJc w:val="left"/>
      <w:pPr>
        <w:ind w:left="1437" w:hanging="360"/>
      </w:pPr>
      <w:rPr>
        <w:rFonts w:ascii="Cambria" w:eastAsia="Calibri" w:hAnsi="Cambria" w:cs="Calibri Light" w:hint="default"/>
        <w:b w:val="0"/>
        <w:sz w:val="20"/>
        <w:szCs w:val="20"/>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 w15:restartNumberingAfterBreak="0">
    <w:nsid w:val="14D2671C"/>
    <w:multiLevelType w:val="hybridMultilevel"/>
    <w:tmpl w:val="08E0CE9E"/>
    <w:lvl w:ilvl="0" w:tplc="FFC49C5C">
      <w:start w:val="1"/>
      <w:numFmt w:val="decimal"/>
      <w:lvlText w:val="%1-"/>
      <w:lvlJc w:val="left"/>
      <w:pPr>
        <w:ind w:left="720" w:hanging="360"/>
      </w:pPr>
      <w:rPr>
        <w:rFonts w:ascii="Verdana" w:hAnsi="Verdana" w:cstheme="minorBid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A3A85"/>
    <w:multiLevelType w:val="hybridMultilevel"/>
    <w:tmpl w:val="61205FA2"/>
    <w:lvl w:ilvl="0" w:tplc="5994D6D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06297"/>
    <w:multiLevelType w:val="hybridMultilevel"/>
    <w:tmpl w:val="32CE52FE"/>
    <w:lvl w:ilvl="0" w:tplc="6E52A56A">
      <w:start w:val="1"/>
      <w:numFmt w:val="decimal"/>
      <w:lvlText w:val="%1."/>
      <w:lvlJc w:val="left"/>
      <w:pPr>
        <w:ind w:left="1437" w:hanging="360"/>
      </w:pPr>
      <w:rPr>
        <w:rFonts w:ascii="Cambria" w:eastAsia="Calibri" w:hAnsi="Cambria" w:cs="Calibri Light" w:hint="default"/>
        <w:b w:val="0"/>
        <w:sz w:val="22"/>
        <w:szCs w:val="22"/>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 w15:restartNumberingAfterBreak="0">
    <w:nsid w:val="1D945DE1"/>
    <w:multiLevelType w:val="hybridMultilevel"/>
    <w:tmpl w:val="4A90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048B5"/>
    <w:multiLevelType w:val="hybridMultilevel"/>
    <w:tmpl w:val="FE2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F4882"/>
    <w:multiLevelType w:val="hybridMultilevel"/>
    <w:tmpl w:val="F19C73CC"/>
    <w:lvl w:ilvl="0" w:tplc="8A8A558C">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05901"/>
    <w:multiLevelType w:val="hybridMultilevel"/>
    <w:tmpl w:val="6FD6D0B2"/>
    <w:lvl w:ilvl="0" w:tplc="8F38C9D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E60B5"/>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B3D75D5"/>
    <w:multiLevelType w:val="hybridMultilevel"/>
    <w:tmpl w:val="CACA6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524BF"/>
    <w:multiLevelType w:val="hybridMultilevel"/>
    <w:tmpl w:val="D690F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551B0"/>
    <w:multiLevelType w:val="hybridMultilevel"/>
    <w:tmpl w:val="D690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82ADF"/>
    <w:multiLevelType w:val="hybridMultilevel"/>
    <w:tmpl w:val="8A08FA04"/>
    <w:lvl w:ilvl="0" w:tplc="F10C0E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22C2F"/>
    <w:multiLevelType w:val="hybridMultilevel"/>
    <w:tmpl w:val="700271CC"/>
    <w:lvl w:ilvl="0" w:tplc="70EC6EF0">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51AFA"/>
    <w:multiLevelType w:val="hybridMultilevel"/>
    <w:tmpl w:val="4C42D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053A3"/>
    <w:multiLevelType w:val="hybridMultilevel"/>
    <w:tmpl w:val="CB20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67AA8"/>
    <w:multiLevelType w:val="hybridMultilevel"/>
    <w:tmpl w:val="BA3E6216"/>
    <w:lvl w:ilvl="0" w:tplc="890AC77E">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804BF"/>
    <w:multiLevelType w:val="hybridMultilevel"/>
    <w:tmpl w:val="946C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023AD"/>
    <w:multiLevelType w:val="hybridMultilevel"/>
    <w:tmpl w:val="C8FABDD2"/>
    <w:lvl w:ilvl="0" w:tplc="57B096B2">
      <w:start w:val="3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E3759C"/>
    <w:multiLevelType w:val="hybridMultilevel"/>
    <w:tmpl w:val="CEBECEC0"/>
    <w:lvl w:ilvl="0" w:tplc="0F6E6E00">
      <w:start w:val="44"/>
      <w:numFmt w:val="decimal"/>
      <w:lvlText w:val="%1."/>
      <w:lvlJc w:val="left"/>
      <w:pPr>
        <w:tabs>
          <w:tab w:val="num" w:pos="630"/>
        </w:tabs>
        <w:ind w:left="0" w:firstLine="720"/>
      </w:pPr>
      <w:rPr>
        <w:rFonts w:hint="default"/>
        <w:b w:val="0"/>
        <w:i w:val="0"/>
        <w:strike w:val="0"/>
        <w:color w:val="auto"/>
        <w:sz w:val="20"/>
        <w:szCs w:val="20"/>
      </w:rPr>
    </w:lvl>
    <w:lvl w:ilvl="1" w:tplc="04090005">
      <w:start w:val="1"/>
      <w:numFmt w:val="bullet"/>
      <w:lvlText w:val=""/>
      <w:lvlJc w:val="left"/>
      <w:pPr>
        <w:tabs>
          <w:tab w:val="num" w:pos="1440"/>
        </w:tabs>
        <w:ind w:left="1440" w:hanging="360"/>
      </w:pPr>
      <w:rPr>
        <w:rFonts w:ascii="Wingdings" w:hAnsi="Wingdings" w:hint="default"/>
        <w:b w:val="0"/>
        <w:i w:val="0"/>
        <w:color w:val="auto"/>
        <w:sz w:val="20"/>
        <w:szCs w:val="20"/>
      </w:rPr>
    </w:lvl>
    <w:lvl w:ilvl="2" w:tplc="0409001B">
      <w:start w:val="1"/>
      <w:numFmt w:val="lowerRoman"/>
      <w:lvlText w:val="%3."/>
      <w:lvlJc w:val="right"/>
      <w:pPr>
        <w:tabs>
          <w:tab w:val="num" w:pos="2160"/>
        </w:tabs>
        <w:ind w:left="2160" w:hanging="180"/>
      </w:pPr>
    </w:lvl>
    <w:lvl w:ilvl="3" w:tplc="FDE86004">
      <w:start w:val="1"/>
      <w:numFmt w:val="decimal"/>
      <w:lvlText w:val="%4."/>
      <w:lvlJc w:val="left"/>
      <w:pPr>
        <w:tabs>
          <w:tab w:val="num" w:pos="2520"/>
        </w:tabs>
        <w:ind w:left="1800" w:firstLine="720"/>
      </w:pPr>
      <w:rPr>
        <w:rFonts w:hint="default"/>
        <w:b w:val="0"/>
        <w:i w:val="0"/>
        <w:strike w:val="0"/>
        <w:color w:val="auto"/>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AE6C34"/>
    <w:multiLevelType w:val="hybridMultilevel"/>
    <w:tmpl w:val="B0649F7C"/>
    <w:lvl w:ilvl="0" w:tplc="7286DC1C">
      <w:start w:val="235"/>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65CB7"/>
    <w:multiLevelType w:val="hybridMultilevel"/>
    <w:tmpl w:val="67B4E5C0"/>
    <w:lvl w:ilvl="0" w:tplc="E68E6754">
      <w:start w:val="198"/>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7414BC"/>
    <w:multiLevelType w:val="hybridMultilevel"/>
    <w:tmpl w:val="6670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7672C"/>
    <w:multiLevelType w:val="hybridMultilevel"/>
    <w:tmpl w:val="CC845EF4"/>
    <w:lvl w:ilvl="0" w:tplc="269202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00A47"/>
    <w:multiLevelType w:val="hybridMultilevel"/>
    <w:tmpl w:val="CF8CB3EE"/>
    <w:lvl w:ilvl="0" w:tplc="27B230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93BC7"/>
    <w:multiLevelType w:val="hybridMultilevel"/>
    <w:tmpl w:val="8652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30"/>
  </w:num>
  <w:num w:numId="5">
    <w:abstractNumId w:val="1"/>
  </w:num>
  <w:num w:numId="6">
    <w:abstractNumId w:val="23"/>
  </w:num>
  <w:num w:numId="7">
    <w:abstractNumId w:val="24"/>
  </w:num>
  <w:num w:numId="8">
    <w:abstractNumId w:val="25"/>
  </w:num>
  <w:num w:numId="9">
    <w:abstractNumId w:val="26"/>
  </w:num>
  <w:num w:numId="10">
    <w:abstractNumId w:val="17"/>
  </w:num>
  <w:num w:numId="11">
    <w:abstractNumId w:val="14"/>
  </w:num>
  <w:num w:numId="12">
    <w:abstractNumId w:val="4"/>
  </w:num>
  <w:num w:numId="13">
    <w:abstractNumId w:val="15"/>
  </w:num>
  <w:num w:numId="14">
    <w:abstractNumId w:val="20"/>
  </w:num>
  <w:num w:numId="15">
    <w:abstractNumId w:val="18"/>
  </w:num>
  <w:num w:numId="16">
    <w:abstractNumId w:val="6"/>
  </w:num>
  <w:num w:numId="17">
    <w:abstractNumId w:val="7"/>
  </w:num>
  <w:num w:numId="18">
    <w:abstractNumId w:val="29"/>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31"/>
  </w:num>
  <w:num w:numId="24">
    <w:abstractNumId w:val="28"/>
  </w:num>
  <w:num w:numId="25">
    <w:abstractNumId w:val="16"/>
  </w:num>
  <w:num w:numId="26">
    <w:abstractNumId w:val="3"/>
  </w:num>
  <w:num w:numId="27">
    <w:abstractNumId w:val="21"/>
  </w:num>
  <w:num w:numId="28">
    <w:abstractNumId w:val="22"/>
  </w:num>
  <w:num w:numId="29">
    <w:abstractNumId w:val="11"/>
  </w:num>
  <w:num w:numId="30">
    <w:abstractNumId w:val="10"/>
  </w:num>
  <w:num w:numId="31">
    <w:abstractNumId w:val="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s-VE" w:vendorID="64" w:dllVersion="131078" w:nlCheck="1" w:checkStyle="1"/>
  <w:activeWritingStyle w:appName="MSWord" w:lang="es-ES_tradnl" w:vendorID="64" w:dllVersion="131078" w:nlCheck="1" w:checkStyle="1"/>
  <w:activeWritingStyle w:appName="MSWord" w:lang="es-CO" w:vendorID="64" w:dllVersion="131078" w:nlCheck="1" w:checkStyle="1"/>
  <w:defaultTabStop w:val="720"/>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4D"/>
    <w:rsid w:val="00000823"/>
    <w:rsid w:val="000019EF"/>
    <w:rsid w:val="000105E2"/>
    <w:rsid w:val="00010D7D"/>
    <w:rsid w:val="000208BD"/>
    <w:rsid w:val="00027FA3"/>
    <w:rsid w:val="00037C0A"/>
    <w:rsid w:val="0004139E"/>
    <w:rsid w:val="00043872"/>
    <w:rsid w:val="00046E4E"/>
    <w:rsid w:val="000507B2"/>
    <w:rsid w:val="00052627"/>
    <w:rsid w:val="00067A77"/>
    <w:rsid w:val="00076298"/>
    <w:rsid w:val="00081A47"/>
    <w:rsid w:val="000823BF"/>
    <w:rsid w:val="00083B2B"/>
    <w:rsid w:val="000A6167"/>
    <w:rsid w:val="000A638D"/>
    <w:rsid w:val="000B2B43"/>
    <w:rsid w:val="000B31A2"/>
    <w:rsid w:val="000C0F1A"/>
    <w:rsid w:val="000C2753"/>
    <w:rsid w:val="000C5C85"/>
    <w:rsid w:val="000D165B"/>
    <w:rsid w:val="000D6083"/>
    <w:rsid w:val="000E0AD2"/>
    <w:rsid w:val="000E2952"/>
    <w:rsid w:val="000E5EAF"/>
    <w:rsid w:val="000E7806"/>
    <w:rsid w:val="001007D0"/>
    <w:rsid w:val="0010125B"/>
    <w:rsid w:val="0010319A"/>
    <w:rsid w:val="001031C8"/>
    <w:rsid w:val="00105A2A"/>
    <w:rsid w:val="00106B9F"/>
    <w:rsid w:val="00106CB6"/>
    <w:rsid w:val="001162CB"/>
    <w:rsid w:val="00121DC4"/>
    <w:rsid w:val="00124598"/>
    <w:rsid w:val="00124B0D"/>
    <w:rsid w:val="0012554E"/>
    <w:rsid w:val="001449D7"/>
    <w:rsid w:val="00147131"/>
    <w:rsid w:val="00147493"/>
    <w:rsid w:val="001504BB"/>
    <w:rsid w:val="0015686A"/>
    <w:rsid w:val="001759C1"/>
    <w:rsid w:val="001760BA"/>
    <w:rsid w:val="00176E57"/>
    <w:rsid w:val="0018434D"/>
    <w:rsid w:val="0019188A"/>
    <w:rsid w:val="00193311"/>
    <w:rsid w:val="00195BD5"/>
    <w:rsid w:val="001A1812"/>
    <w:rsid w:val="001B6B90"/>
    <w:rsid w:val="001B704C"/>
    <w:rsid w:val="001C115D"/>
    <w:rsid w:val="001C2E4F"/>
    <w:rsid w:val="001E4A88"/>
    <w:rsid w:val="001F3FB0"/>
    <w:rsid w:val="001F657C"/>
    <w:rsid w:val="0020031E"/>
    <w:rsid w:val="002005E0"/>
    <w:rsid w:val="00201F26"/>
    <w:rsid w:val="00203E47"/>
    <w:rsid w:val="00207922"/>
    <w:rsid w:val="002156DC"/>
    <w:rsid w:val="002160C0"/>
    <w:rsid w:val="00224EDC"/>
    <w:rsid w:val="00231AC2"/>
    <w:rsid w:val="00234C3B"/>
    <w:rsid w:val="00235297"/>
    <w:rsid w:val="00236AA1"/>
    <w:rsid w:val="002378F0"/>
    <w:rsid w:val="0024645A"/>
    <w:rsid w:val="002465DA"/>
    <w:rsid w:val="0024773B"/>
    <w:rsid w:val="00256CEC"/>
    <w:rsid w:val="002667FA"/>
    <w:rsid w:val="00272E0C"/>
    <w:rsid w:val="00275418"/>
    <w:rsid w:val="002856E7"/>
    <w:rsid w:val="0028678F"/>
    <w:rsid w:val="00287012"/>
    <w:rsid w:val="00291089"/>
    <w:rsid w:val="0029224B"/>
    <w:rsid w:val="00296A3D"/>
    <w:rsid w:val="002A0B85"/>
    <w:rsid w:val="002A2901"/>
    <w:rsid w:val="002A5153"/>
    <w:rsid w:val="002A67C8"/>
    <w:rsid w:val="002B2949"/>
    <w:rsid w:val="002C1DBB"/>
    <w:rsid w:val="002D2200"/>
    <w:rsid w:val="002D2490"/>
    <w:rsid w:val="002D3A69"/>
    <w:rsid w:val="002E04B2"/>
    <w:rsid w:val="002E1919"/>
    <w:rsid w:val="002E27BB"/>
    <w:rsid w:val="002E6370"/>
    <w:rsid w:val="002F0D2F"/>
    <w:rsid w:val="002F21C5"/>
    <w:rsid w:val="002F70F2"/>
    <w:rsid w:val="00303A21"/>
    <w:rsid w:val="00310B09"/>
    <w:rsid w:val="00312310"/>
    <w:rsid w:val="003151FE"/>
    <w:rsid w:val="003250A4"/>
    <w:rsid w:val="003272C4"/>
    <w:rsid w:val="00334B16"/>
    <w:rsid w:val="003455B5"/>
    <w:rsid w:val="00350C0E"/>
    <w:rsid w:val="003571CE"/>
    <w:rsid w:val="0036198E"/>
    <w:rsid w:val="003624D8"/>
    <w:rsid w:val="0036660E"/>
    <w:rsid w:val="0036721A"/>
    <w:rsid w:val="00367FC8"/>
    <w:rsid w:val="00371B8A"/>
    <w:rsid w:val="00372935"/>
    <w:rsid w:val="003820A6"/>
    <w:rsid w:val="003917D2"/>
    <w:rsid w:val="00391EDC"/>
    <w:rsid w:val="003936F0"/>
    <w:rsid w:val="00397989"/>
    <w:rsid w:val="003A028B"/>
    <w:rsid w:val="003A4926"/>
    <w:rsid w:val="003A5479"/>
    <w:rsid w:val="003D4EAB"/>
    <w:rsid w:val="003D69FA"/>
    <w:rsid w:val="003D6CC4"/>
    <w:rsid w:val="003E24A8"/>
    <w:rsid w:val="003E2929"/>
    <w:rsid w:val="003E331C"/>
    <w:rsid w:val="003E50B8"/>
    <w:rsid w:val="003F147F"/>
    <w:rsid w:val="003F37F4"/>
    <w:rsid w:val="003F610D"/>
    <w:rsid w:val="003F662D"/>
    <w:rsid w:val="004008D3"/>
    <w:rsid w:val="0040675A"/>
    <w:rsid w:val="00417E4D"/>
    <w:rsid w:val="004263F4"/>
    <w:rsid w:val="00430A46"/>
    <w:rsid w:val="004325E4"/>
    <w:rsid w:val="00436600"/>
    <w:rsid w:val="00437A45"/>
    <w:rsid w:val="00440C84"/>
    <w:rsid w:val="00445E2E"/>
    <w:rsid w:val="00446166"/>
    <w:rsid w:val="004465AA"/>
    <w:rsid w:val="00456CA3"/>
    <w:rsid w:val="0046200E"/>
    <w:rsid w:val="00462967"/>
    <w:rsid w:val="00472178"/>
    <w:rsid w:val="004730A3"/>
    <w:rsid w:val="00473BA4"/>
    <w:rsid w:val="004810AB"/>
    <w:rsid w:val="00482AB4"/>
    <w:rsid w:val="00495DD0"/>
    <w:rsid w:val="004A1C31"/>
    <w:rsid w:val="004A2B1F"/>
    <w:rsid w:val="004A2FFF"/>
    <w:rsid w:val="004A3824"/>
    <w:rsid w:val="004A40CF"/>
    <w:rsid w:val="004A6837"/>
    <w:rsid w:val="004A77BF"/>
    <w:rsid w:val="004B145C"/>
    <w:rsid w:val="004B59C9"/>
    <w:rsid w:val="004B62C5"/>
    <w:rsid w:val="004B68E4"/>
    <w:rsid w:val="004B6B23"/>
    <w:rsid w:val="004C0A9B"/>
    <w:rsid w:val="004C11A7"/>
    <w:rsid w:val="004C2966"/>
    <w:rsid w:val="004C2F2A"/>
    <w:rsid w:val="004C4E4B"/>
    <w:rsid w:val="004C5894"/>
    <w:rsid w:val="004D10AA"/>
    <w:rsid w:val="004E0A01"/>
    <w:rsid w:val="004E4B65"/>
    <w:rsid w:val="004E611E"/>
    <w:rsid w:val="004F3114"/>
    <w:rsid w:val="004F596A"/>
    <w:rsid w:val="00501FA9"/>
    <w:rsid w:val="0050413C"/>
    <w:rsid w:val="00505EAB"/>
    <w:rsid w:val="005061CE"/>
    <w:rsid w:val="00512C07"/>
    <w:rsid w:val="005138D8"/>
    <w:rsid w:val="005157B7"/>
    <w:rsid w:val="0052132E"/>
    <w:rsid w:val="00521FE0"/>
    <w:rsid w:val="00522ECF"/>
    <w:rsid w:val="005401D5"/>
    <w:rsid w:val="005409CB"/>
    <w:rsid w:val="005421DC"/>
    <w:rsid w:val="005622BE"/>
    <w:rsid w:val="00562570"/>
    <w:rsid w:val="00566512"/>
    <w:rsid w:val="00572FE6"/>
    <w:rsid w:val="005803F5"/>
    <w:rsid w:val="005818F5"/>
    <w:rsid w:val="00581FA1"/>
    <w:rsid w:val="00584DDA"/>
    <w:rsid w:val="00591815"/>
    <w:rsid w:val="005928CC"/>
    <w:rsid w:val="00594FE3"/>
    <w:rsid w:val="005975D5"/>
    <w:rsid w:val="005A5360"/>
    <w:rsid w:val="005B2B05"/>
    <w:rsid w:val="005B5263"/>
    <w:rsid w:val="005B616A"/>
    <w:rsid w:val="005D3B59"/>
    <w:rsid w:val="005D685A"/>
    <w:rsid w:val="005E1B72"/>
    <w:rsid w:val="005E7475"/>
    <w:rsid w:val="005F06F5"/>
    <w:rsid w:val="005F117F"/>
    <w:rsid w:val="005F2936"/>
    <w:rsid w:val="005F3DF9"/>
    <w:rsid w:val="005F49D9"/>
    <w:rsid w:val="005F74CB"/>
    <w:rsid w:val="00601491"/>
    <w:rsid w:val="006029C3"/>
    <w:rsid w:val="00612176"/>
    <w:rsid w:val="006122B6"/>
    <w:rsid w:val="006147F5"/>
    <w:rsid w:val="00625F2C"/>
    <w:rsid w:val="00630EF3"/>
    <w:rsid w:val="00634AB3"/>
    <w:rsid w:val="00635858"/>
    <w:rsid w:val="00641554"/>
    <w:rsid w:val="00642C61"/>
    <w:rsid w:val="006455C0"/>
    <w:rsid w:val="00667A6C"/>
    <w:rsid w:val="00672068"/>
    <w:rsid w:val="00674765"/>
    <w:rsid w:val="00676015"/>
    <w:rsid w:val="0067651C"/>
    <w:rsid w:val="00680BC6"/>
    <w:rsid w:val="00687F7B"/>
    <w:rsid w:val="006911D6"/>
    <w:rsid w:val="00693302"/>
    <w:rsid w:val="006944C9"/>
    <w:rsid w:val="0069494F"/>
    <w:rsid w:val="00697C56"/>
    <w:rsid w:val="006A1B27"/>
    <w:rsid w:val="006C5092"/>
    <w:rsid w:val="006C79DE"/>
    <w:rsid w:val="006D5934"/>
    <w:rsid w:val="006E73E6"/>
    <w:rsid w:val="006F20E2"/>
    <w:rsid w:val="006F3B19"/>
    <w:rsid w:val="0071068F"/>
    <w:rsid w:val="00722265"/>
    <w:rsid w:val="00733832"/>
    <w:rsid w:val="00741BD5"/>
    <w:rsid w:val="0074203F"/>
    <w:rsid w:val="007548AC"/>
    <w:rsid w:val="007548C2"/>
    <w:rsid w:val="00760CAE"/>
    <w:rsid w:val="00776D45"/>
    <w:rsid w:val="007807D5"/>
    <w:rsid w:val="00784362"/>
    <w:rsid w:val="00787F4C"/>
    <w:rsid w:val="00790E65"/>
    <w:rsid w:val="00795EEB"/>
    <w:rsid w:val="00797031"/>
    <w:rsid w:val="007A0AE0"/>
    <w:rsid w:val="007A1626"/>
    <w:rsid w:val="007A47DB"/>
    <w:rsid w:val="007A5299"/>
    <w:rsid w:val="007A770E"/>
    <w:rsid w:val="007B15E0"/>
    <w:rsid w:val="007B55D6"/>
    <w:rsid w:val="007C2F3E"/>
    <w:rsid w:val="007C3277"/>
    <w:rsid w:val="007C386D"/>
    <w:rsid w:val="007C4E19"/>
    <w:rsid w:val="007C585C"/>
    <w:rsid w:val="007D1739"/>
    <w:rsid w:val="007D430D"/>
    <w:rsid w:val="007D57AB"/>
    <w:rsid w:val="007D64D4"/>
    <w:rsid w:val="007E2255"/>
    <w:rsid w:val="007E2EC7"/>
    <w:rsid w:val="007F17EE"/>
    <w:rsid w:val="008047F4"/>
    <w:rsid w:val="00804D77"/>
    <w:rsid w:val="00806DE7"/>
    <w:rsid w:val="008109AC"/>
    <w:rsid w:val="00813F4B"/>
    <w:rsid w:val="00815E11"/>
    <w:rsid w:val="00816180"/>
    <w:rsid w:val="008165C2"/>
    <w:rsid w:val="0082033D"/>
    <w:rsid w:val="00826DF1"/>
    <w:rsid w:val="00835E9E"/>
    <w:rsid w:val="00842302"/>
    <w:rsid w:val="00845F3F"/>
    <w:rsid w:val="00851133"/>
    <w:rsid w:val="00854261"/>
    <w:rsid w:val="008549E5"/>
    <w:rsid w:val="00857090"/>
    <w:rsid w:val="00862C26"/>
    <w:rsid w:val="00864126"/>
    <w:rsid w:val="008644BF"/>
    <w:rsid w:val="008665E5"/>
    <w:rsid w:val="008731F6"/>
    <w:rsid w:val="0087629A"/>
    <w:rsid w:val="00884ECA"/>
    <w:rsid w:val="008A3C4E"/>
    <w:rsid w:val="008A688C"/>
    <w:rsid w:val="008C11F6"/>
    <w:rsid w:val="008C255B"/>
    <w:rsid w:val="008C4A04"/>
    <w:rsid w:val="008C51C1"/>
    <w:rsid w:val="008C6F28"/>
    <w:rsid w:val="008D0BF2"/>
    <w:rsid w:val="008D7730"/>
    <w:rsid w:val="008D78CE"/>
    <w:rsid w:val="008E180A"/>
    <w:rsid w:val="008E27AC"/>
    <w:rsid w:val="008E44EE"/>
    <w:rsid w:val="008E5D4A"/>
    <w:rsid w:val="008E6708"/>
    <w:rsid w:val="008F159D"/>
    <w:rsid w:val="008F2CC9"/>
    <w:rsid w:val="0090002C"/>
    <w:rsid w:val="009065FE"/>
    <w:rsid w:val="00916782"/>
    <w:rsid w:val="00922B34"/>
    <w:rsid w:val="009237C0"/>
    <w:rsid w:val="00930EA7"/>
    <w:rsid w:val="00931BFE"/>
    <w:rsid w:val="009516CD"/>
    <w:rsid w:val="00960A4E"/>
    <w:rsid w:val="009714CF"/>
    <w:rsid w:val="00986C78"/>
    <w:rsid w:val="00990B8B"/>
    <w:rsid w:val="009A1813"/>
    <w:rsid w:val="009A1B90"/>
    <w:rsid w:val="009A1CD5"/>
    <w:rsid w:val="009A3E21"/>
    <w:rsid w:val="009A52D6"/>
    <w:rsid w:val="009A7096"/>
    <w:rsid w:val="009B26FF"/>
    <w:rsid w:val="009B3229"/>
    <w:rsid w:val="009B4B7E"/>
    <w:rsid w:val="009C0B79"/>
    <w:rsid w:val="009C6916"/>
    <w:rsid w:val="009D3368"/>
    <w:rsid w:val="009F3C88"/>
    <w:rsid w:val="009F6A4D"/>
    <w:rsid w:val="00A13B14"/>
    <w:rsid w:val="00A26C13"/>
    <w:rsid w:val="00A34B32"/>
    <w:rsid w:val="00A37F5B"/>
    <w:rsid w:val="00A42227"/>
    <w:rsid w:val="00A4512C"/>
    <w:rsid w:val="00A47974"/>
    <w:rsid w:val="00A5135C"/>
    <w:rsid w:val="00A53DAF"/>
    <w:rsid w:val="00A5445D"/>
    <w:rsid w:val="00A5562F"/>
    <w:rsid w:val="00A55ED9"/>
    <w:rsid w:val="00A66701"/>
    <w:rsid w:val="00A700F0"/>
    <w:rsid w:val="00A71D06"/>
    <w:rsid w:val="00A729D9"/>
    <w:rsid w:val="00A73362"/>
    <w:rsid w:val="00A73955"/>
    <w:rsid w:val="00A83FCB"/>
    <w:rsid w:val="00A91FC4"/>
    <w:rsid w:val="00A94C21"/>
    <w:rsid w:val="00A94D10"/>
    <w:rsid w:val="00A95F39"/>
    <w:rsid w:val="00AA17F8"/>
    <w:rsid w:val="00AB2989"/>
    <w:rsid w:val="00AB6CAA"/>
    <w:rsid w:val="00AB6EBB"/>
    <w:rsid w:val="00AD42A5"/>
    <w:rsid w:val="00AE0761"/>
    <w:rsid w:val="00AE21D8"/>
    <w:rsid w:val="00AE48FD"/>
    <w:rsid w:val="00AE7D71"/>
    <w:rsid w:val="00AF141E"/>
    <w:rsid w:val="00AF279F"/>
    <w:rsid w:val="00AF4359"/>
    <w:rsid w:val="00B033FC"/>
    <w:rsid w:val="00B03E7E"/>
    <w:rsid w:val="00B05212"/>
    <w:rsid w:val="00B144E0"/>
    <w:rsid w:val="00B243FC"/>
    <w:rsid w:val="00B26E4A"/>
    <w:rsid w:val="00B33CA1"/>
    <w:rsid w:val="00B33DD5"/>
    <w:rsid w:val="00B36444"/>
    <w:rsid w:val="00B4725D"/>
    <w:rsid w:val="00B53870"/>
    <w:rsid w:val="00B54D15"/>
    <w:rsid w:val="00B579B7"/>
    <w:rsid w:val="00B60EE3"/>
    <w:rsid w:val="00B719E1"/>
    <w:rsid w:val="00B71FE1"/>
    <w:rsid w:val="00B72A88"/>
    <w:rsid w:val="00B80B96"/>
    <w:rsid w:val="00B81C34"/>
    <w:rsid w:val="00B84AF5"/>
    <w:rsid w:val="00B92BD9"/>
    <w:rsid w:val="00B92C84"/>
    <w:rsid w:val="00B97925"/>
    <w:rsid w:val="00BA2F04"/>
    <w:rsid w:val="00BA66A7"/>
    <w:rsid w:val="00BB56C4"/>
    <w:rsid w:val="00BE199A"/>
    <w:rsid w:val="00BE3DC4"/>
    <w:rsid w:val="00BE7008"/>
    <w:rsid w:val="00BF4335"/>
    <w:rsid w:val="00BF4AB2"/>
    <w:rsid w:val="00BF4B42"/>
    <w:rsid w:val="00C12A43"/>
    <w:rsid w:val="00C1461A"/>
    <w:rsid w:val="00C20670"/>
    <w:rsid w:val="00C2616D"/>
    <w:rsid w:val="00C267BD"/>
    <w:rsid w:val="00C30742"/>
    <w:rsid w:val="00C308AF"/>
    <w:rsid w:val="00C33871"/>
    <w:rsid w:val="00C4012C"/>
    <w:rsid w:val="00C41B14"/>
    <w:rsid w:val="00C53C46"/>
    <w:rsid w:val="00C53D0B"/>
    <w:rsid w:val="00C615C8"/>
    <w:rsid w:val="00C7206E"/>
    <w:rsid w:val="00C80CF4"/>
    <w:rsid w:val="00C81120"/>
    <w:rsid w:val="00C82E5D"/>
    <w:rsid w:val="00C86186"/>
    <w:rsid w:val="00C86B20"/>
    <w:rsid w:val="00C900AD"/>
    <w:rsid w:val="00C92A76"/>
    <w:rsid w:val="00C949DC"/>
    <w:rsid w:val="00CA4AEC"/>
    <w:rsid w:val="00CA4DB8"/>
    <w:rsid w:val="00CB20FB"/>
    <w:rsid w:val="00CB49F9"/>
    <w:rsid w:val="00CC430B"/>
    <w:rsid w:val="00CC785D"/>
    <w:rsid w:val="00CD0A1E"/>
    <w:rsid w:val="00CE5C6C"/>
    <w:rsid w:val="00CF006C"/>
    <w:rsid w:val="00CF3F6E"/>
    <w:rsid w:val="00CF53A7"/>
    <w:rsid w:val="00D043F4"/>
    <w:rsid w:val="00D12042"/>
    <w:rsid w:val="00D15DFF"/>
    <w:rsid w:val="00D17F89"/>
    <w:rsid w:val="00D26E78"/>
    <w:rsid w:val="00D34E24"/>
    <w:rsid w:val="00D4044A"/>
    <w:rsid w:val="00D450DF"/>
    <w:rsid w:val="00D52122"/>
    <w:rsid w:val="00D53326"/>
    <w:rsid w:val="00D6160A"/>
    <w:rsid w:val="00D63D9B"/>
    <w:rsid w:val="00D659F6"/>
    <w:rsid w:val="00D66116"/>
    <w:rsid w:val="00D66A72"/>
    <w:rsid w:val="00D67D9E"/>
    <w:rsid w:val="00D74F83"/>
    <w:rsid w:val="00D774B5"/>
    <w:rsid w:val="00D81358"/>
    <w:rsid w:val="00D85154"/>
    <w:rsid w:val="00D85897"/>
    <w:rsid w:val="00D93ED3"/>
    <w:rsid w:val="00D9422C"/>
    <w:rsid w:val="00DA03BE"/>
    <w:rsid w:val="00DA2F5E"/>
    <w:rsid w:val="00DA62E7"/>
    <w:rsid w:val="00DB0B5E"/>
    <w:rsid w:val="00DB32DA"/>
    <w:rsid w:val="00DC158A"/>
    <w:rsid w:val="00DD300D"/>
    <w:rsid w:val="00DE7161"/>
    <w:rsid w:val="00E00878"/>
    <w:rsid w:val="00E020CD"/>
    <w:rsid w:val="00E148F4"/>
    <w:rsid w:val="00E15564"/>
    <w:rsid w:val="00E17DF8"/>
    <w:rsid w:val="00E4040B"/>
    <w:rsid w:val="00E42F47"/>
    <w:rsid w:val="00E45179"/>
    <w:rsid w:val="00E50854"/>
    <w:rsid w:val="00E52DC5"/>
    <w:rsid w:val="00E53385"/>
    <w:rsid w:val="00E6543F"/>
    <w:rsid w:val="00E65905"/>
    <w:rsid w:val="00E66D9E"/>
    <w:rsid w:val="00E6768C"/>
    <w:rsid w:val="00E72C34"/>
    <w:rsid w:val="00E734F6"/>
    <w:rsid w:val="00E75A18"/>
    <w:rsid w:val="00E82269"/>
    <w:rsid w:val="00E84061"/>
    <w:rsid w:val="00E84FD4"/>
    <w:rsid w:val="00E87E69"/>
    <w:rsid w:val="00E91610"/>
    <w:rsid w:val="00E93362"/>
    <w:rsid w:val="00E96F59"/>
    <w:rsid w:val="00E9746B"/>
    <w:rsid w:val="00EB41A5"/>
    <w:rsid w:val="00EB41B7"/>
    <w:rsid w:val="00EB4AD8"/>
    <w:rsid w:val="00EB54F1"/>
    <w:rsid w:val="00EC3771"/>
    <w:rsid w:val="00EC3E5A"/>
    <w:rsid w:val="00EC41AF"/>
    <w:rsid w:val="00EC4841"/>
    <w:rsid w:val="00EC5776"/>
    <w:rsid w:val="00ED1C0A"/>
    <w:rsid w:val="00ED62D4"/>
    <w:rsid w:val="00EE0016"/>
    <w:rsid w:val="00EE23F9"/>
    <w:rsid w:val="00EE4AEF"/>
    <w:rsid w:val="00EF2DAE"/>
    <w:rsid w:val="00EF3561"/>
    <w:rsid w:val="00EF3FA6"/>
    <w:rsid w:val="00F050B7"/>
    <w:rsid w:val="00F116A1"/>
    <w:rsid w:val="00F12373"/>
    <w:rsid w:val="00F13E7F"/>
    <w:rsid w:val="00F147EF"/>
    <w:rsid w:val="00F1793E"/>
    <w:rsid w:val="00F2573C"/>
    <w:rsid w:val="00F257E6"/>
    <w:rsid w:val="00F26A78"/>
    <w:rsid w:val="00F30856"/>
    <w:rsid w:val="00F34314"/>
    <w:rsid w:val="00F346C3"/>
    <w:rsid w:val="00F41186"/>
    <w:rsid w:val="00F50E9E"/>
    <w:rsid w:val="00F546B4"/>
    <w:rsid w:val="00F57722"/>
    <w:rsid w:val="00F63941"/>
    <w:rsid w:val="00F63E95"/>
    <w:rsid w:val="00F7089E"/>
    <w:rsid w:val="00F71E59"/>
    <w:rsid w:val="00F808D4"/>
    <w:rsid w:val="00F87A53"/>
    <w:rsid w:val="00F91D0F"/>
    <w:rsid w:val="00F94168"/>
    <w:rsid w:val="00FA222D"/>
    <w:rsid w:val="00FA2231"/>
    <w:rsid w:val="00FA26F0"/>
    <w:rsid w:val="00FA321C"/>
    <w:rsid w:val="00FA471F"/>
    <w:rsid w:val="00FB0E4F"/>
    <w:rsid w:val="00FB2A45"/>
    <w:rsid w:val="00FC447B"/>
    <w:rsid w:val="00FC78AE"/>
    <w:rsid w:val="00FE29D4"/>
    <w:rsid w:val="00FE4B5B"/>
    <w:rsid w:val="00FF71E2"/>
    <w:rsid w:val="00FF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7B15E0"/>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7B15E0"/>
    <w:rPr>
      <w:rFonts w:ascii="Times New Roman" w:eastAsia="Calibri" w:hAnsi="Times New Roman" w:cs="Times New Roman"/>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7B15E0"/>
    <w:rPr>
      <w:vertAlign w:val="superscript"/>
    </w:rPr>
  </w:style>
  <w:style w:type="paragraph" w:customStyle="1" w:styleId="Appelnotedebasde">
    <w:name w:val="Appel note de bas de..."/>
    <w:basedOn w:val="Normal"/>
    <w:link w:val="FootnoteReference"/>
    <w:rsid w:val="007B15E0"/>
    <w:pPr>
      <w:spacing w:line="240" w:lineRule="exact"/>
    </w:pPr>
    <w:rPr>
      <w:vertAlign w:val="superscript"/>
    </w:rPr>
  </w:style>
  <w:style w:type="paragraph" w:styleId="ListParagraph">
    <w:name w:val="List Paragraph"/>
    <w:aliases w:val="Párrafo de lista1,List Paragraph1,Colorful List - Accent 11,List Paragraph11"/>
    <w:basedOn w:val="Normal"/>
    <w:link w:val="ListParagraphChar"/>
    <w:uiPriority w:val="34"/>
    <w:qFormat/>
    <w:rsid w:val="007B15E0"/>
    <w:pPr>
      <w:spacing w:after="200" w:line="276" w:lineRule="auto"/>
      <w:ind w:left="720"/>
      <w:contextualSpacing/>
    </w:pPr>
    <w:rPr>
      <w:rFonts w:ascii="Calibri" w:eastAsia="Calibri" w:hAnsi="Calibri" w:cs="Times New Roman"/>
    </w:rPr>
  </w:style>
  <w:style w:type="paragraph" w:styleId="BodyTextIndent2">
    <w:name w:val="Body Text Indent 2"/>
    <w:basedOn w:val="Normal"/>
    <w:link w:val="BodyTextIndent2Char"/>
    <w:uiPriority w:val="99"/>
    <w:semiHidden/>
    <w:unhideWhenUsed/>
    <w:rsid w:val="007B1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B15E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15E0"/>
    <w:rPr>
      <w:color w:val="0563C1" w:themeColor="hyperlink"/>
      <w:u w:val="single"/>
    </w:rPr>
  </w:style>
  <w:style w:type="character" w:styleId="FollowedHyperlink">
    <w:name w:val="FollowedHyperlink"/>
    <w:basedOn w:val="DefaultParagraphFont"/>
    <w:uiPriority w:val="99"/>
    <w:semiHidden/>
    <w:unhideWhenUsed/>
    <w:rsid w:val="000E5EAF"/>
    <w:rPr>
      <w:color w:val="954F72" w:themeColor="followedHyperlink"/>
      <w:u w:val="single"/>
    </w:rPr>
  </w:style>
  <w:style w:type="paragraph" w:styleId="Header">
    <w:name w:val="header"/>
    <w:basedOn w:val="Normal"/>
    <w:link w:val="HeaderChar"/>
    <w:uiPriority w:val="99"/>
    <w:unhideWhenUsed/>
    <w:rsid w:val="00D63D9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63D9B"/>
    <w:rPr>
      <w:rFonts w:ascii="Calibri" w:eastAsia="Calibri" w:hAnsi="Calibri" w:cs="Times New Roman"/>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B144E0"/>
    <w:rPr>
      <w:rFonts w:ascii="Calibri" w:eastAsia="Calibri" w:hAnsi="Calibri" w:cs="Times New Roman"/>
    </w:rPr>
  </w:style>
  <w:style w:type="paragraph" w:customStyle="1" w:styleId="Default">
    <w:name w:val="Default"/>
    <w:rsid w:val="00B144E0"/>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4A7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7BF"/>
    <w:rPr>
      <w:rFonts w:ascii="Segoe UI" w:hAnsi="Segoe UI" w:cs="Segoe UI"/>
      <w:sz w:val="18"/>
      <w:szCs w:val="18"/>
    </w:rPr>
  </w:style>
  <w:style w:type="character" w:styleId="CommentReference">
    <w:name w:val="annotation reference"/>
    <w:basedOn w:val="DefaultParagraphFont"/>
    <w:uiPriority w:val="99"/>
    <w:semiHidden/>
    <w:unhideWhenUsed/>
    <w:rsid w:val="002D3A69"/>
    <w:rPr>
      <w:sz w:val="16"/>
      <w:szCs w:val="16"/>
    </w:rPr>
  </w:style>
  <w:style w:type="paragraph" w:styleId="CommentText">
    <w:name w:val="annotation text"/>
    <w:basedOn w:val="Normal"/>
    <w:link w:val="CommentTextChar"/>
    <w:uiPriority w:val="99"/>
    <w:semiHidden/>
    <w:unhideWhenUsed/>
    <w:rsid w:val="002D3A69"/>
    <w:pPr>
      <w:spacing w:line="240" w:lineRule="auto"/>
    </w:pPr>
    <w:rPr>
      <w:sz w:val="20"/>
      <w:szCs w:val="20"/>
    </w:rPr>
  </w:style>
  <w:style w:type="character" w:customStyle="1" w:styleId="CommentTextChar">
    <w:name w:val="Comment Text Char"/>
    <w:basedOn w:val="DefaultParagraphFont"/>
    <w:link w:val="CommentText"/>
    <w:uiPriority w:val="99"/>
    <w:semiHidden/>
    <w:rsid w:val="002D3A69"/>
    <w:rPr>
      <w:sz w:val="20"/>
      <w:szCs w:val="20"/>
    </w:rPr>
  </w:style>
  <w:style w:type="paragraph" w:styleId="CommentSubject">
    <w:name w:val="annotation subject"/>
    <w:basedOn w:val="CommentText"/>
    <w:next w:val="CommentText"/>
    <w:link w:val="CommentSubjectChar"/>
    <w:uiPriority w:val="99"/>
    <w:semiHidden/>
    <w:unhideWhenUsed/>
    <w:rsid w:val="002D3A69"/>
    <w:rPr>
      <w:b/>
      <w:bCs/>
    </w:rPr>
  </w:style>
  <w:style w:type="character" w:customStyle="1" w:styleId="CommentSubjectChar">
    <w:name w:val="Comment Subject Char"/>
    <w:basedOn w:val="CommentTextChar"/>
    <w:link w:val="CommentSubject"/>
    <w:uiPriority w:val="99"/>
    <w:semiHidden/>
    <w:rsid w:val="002D3A69"/>
    <w:rPr>
      <w:b/>
      <w:bCs/>
      <w:sz w:val="20"/>
      <w:szCs w:val="20"/>
    </w:rPr>
  </w:style>
  <w:style w:type="paragraph" w:styleId="Footer">
    <w:name w:val="footer"/>
    <w:basedOn w:val="Normal"/>
    <w:link w:val="FooterChar"/>
    <w:uiPriority w:val="99"/>
    <w:unhideWhenUsed/>
    <w:rsid w:val="00594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FE3"/>
  </w:style>
  <w:style w:type="paragraph" w:styleId="NoSpacing">
    <w:name w:val="No Spacing"/>
    <w:uiPriority w:val="1"/>
    <w:qFormat/>
    <w:rsid w:val="005622BE"/>
    <w:pPr>
      <w:spacing w:after="0" w:line="240" w:lineRule="auto"/>
    </w:pPr>
    <w:rPr>
      <w:rFonts w:ascii="Calibri" w:eastAsia="Calibri" w:hAnsi="Calibri" w:cs="Times New Roman"/>
      <w:lang w:val="pt-BR"/>
    </w:rPr>
  </w:style>
  <w:style w:type="paragraph" w:styleId="BodyTextIndent">
    <w:name w:val="Body Text Indent"/>
    <w:basedOn w:val="Normal"/>
    <w:link w:val="BodyTextIndentChar"/>
    <w:uiPriority w:val="99"/>
    <w:semiHidden/>
    <w:unhideWhenUsed/>
    <w:rsid w:val="00371B8A"/>
    <w:pPr>
      <w:spacing w:after="120"/>
      <w:ind w:left="360"/>
    </w:pPr>
  </w:style>
  <w:style w:type="character" w:customStyle="1" w:styleId="BodyTextIndentChar">
    <w:name w:val="Body Text Indent Char"/>
    <w:basedOn w:val="DefaultParagraphFont"/>
    <w:link w:val="BodyTextIndent"/>
    <w:uiPriority w:val="99"/>
    <w:semiHidden/>
    <w:rsid w:val="00371B8A"/>
  </w:style>
  <w:style w:type="paragraph" w:styleId="EndnoteText">
    <w:name w:val="endnote text"/>
    <w:basedOn w:val="Normal"/>
    <w:link w:val="EndnoteTextChar"/>
    <w:semiHidden/>
    <w:rsid w:val="00371B8A"/>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EndnoteTextChar">
    <w:name w:val="Endnote Text Char"/>
    <w:basedOn w:val="DefaultParagraphFont"/>
    <w:link w:val="EndnoteText"/>
    <w:semiHidden/>
    <w:rsid w:val="00371B8A"/>
    <w:rPr>
      <w:rFonts w:ascii="Times New Roman" w:eastAsia="Times New Roman" w:hAnsi="Times New Roman" w:cs="Times New Roman"/>
      <w:sz w:val="24"/>
      <w:szCs w:val="24"/>
      <w:lang w:val="pt-BR" w:eastAsia="pt-BR"/>
    </w:rPr>
  </w:style>
  <w:style w:type="paragraph" w:styleId="BodyText2">
    <w:name w:val="Body Text 2"/>
    <w:basedOn w:val="Normal"/>
    <w:link w:val="BodyText2Char"/>
    <w:uiPriority w:val="99"/>
    <w:semiHidden/>
    <w:unhideWhenUsed/>
    <w:rsid w:val="00371B8A"/>
    <w:pPr>
      <w:spacing w:after="120" w:line="480" w:lineRule="auto"/>
    </w:pPr>
  </w:style>
  <w:style w:type="character" w:customStyle="1" w:styleId="BodyText2Char">
    <w:name w:val="Body Text 2 Char"/>
    <w:basedOn w:val="DefaultParagraphFont"/>
    <w:link w:val="BodyText2"/>
    <w:uiPriority w:val="99"/>
    <w:semiHidden/>
    <w:rsid w:val="00371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2011/CAPU12586ES.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idh.org/annualrep/2006eng/CANADA.554%2004eng.ht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ocs/anual/2017/docs/IA2017cap.2-es.pdf" TargetMode="External"/><Relationship Id="rId3" Type="http://schemas.openxmlformats.org/officeDocument/2006/relationships/hyperlink" Target="http://www.oas.org/es/cidh/decisiones/2011/CAPU12586ES.doc" TargetMode="External"/><Relationship Id="rId7" Type="http://schemas.openxmlformats.org/officeDocument/2006/relationships/hyperlink" Target="http://www.oas.org/es/cidh/docs/anual/2017/docs/IA2017cap.2-es.pdf" TargetMode="External"/><Relationship Id="rId2" Type="http://schemas.openxmlformats.org/officeDocument/2006/relationships/hyperlink" Target="http://www.oas.org/es/cidh/decisiones/2011/CAPU12586ES.doc" TargetMode="External"/><Relationship Id="rId1" Type="http://schemas.openxmlformats.org/officeDocument/2006/relationships/hyperlink" Target="http://www.oas.org/es/cidh/docs/anual/2017/docs/IA2017cap.2-es.pdf" TargetMode="External"/><Relationship Id="rId6" Type="http://schemas.openxmlformats.org/officeDocument/2006/relationships/hyperlink" Target="http://www.oas.org/en/iachr/decisions/2011/CAPU12586EN.doc" TargetMode="External"/><Relationship Id="rId5" Type="http://schemas.openxmlformats.org/officeDocument/2006/relationships/hyperlink" Target="http://www.corteidh.or.cr/docs/opiniones/seriea_10_ing1.pdf" TargetMode="External"/><Relationship Id="rId4" Type="http://schemas.openxmlformats.org/officeDocument/2006/relationships/hyperlink" Target="http://www.oas.org/es/cidh/decisiones/2011/CAPU12586ES.doc" TargetMode="External"/><Relationship Id="rId9" Type="http://schemas.openxmlformats.org/officeDocument/2006/relationships/hyperlink" Target="http://www.oas.org/es/cidh/decisiones/2011/CAPU12586ES.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C831C-BA2A-4331-8806-D882174A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2482</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2019-02-25T17:31:00Z</dcterms:created>
  <dcterms:modified xsi:type="dcterms:W3CDTF">2019-03-13T22:06:00Z</dcterms:modified>
</cp:coreProperties>
</file>