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6339" w14:textId="77777777" w:rsidR="007B5CD8" w:rsidRPr="00FC1EA6" w:rsidRDefault="007B5CD8" w:rsidP="006608F7">
      <w:pPr>
        <w:autoSpaceDE w:val="0"/>
        <w:autoSpaceDN w:val="0"/>
        <w:adjustRightInd w:val="0"/>
        <w:spacing w:after="0" w:line="240" w:lineRule="auto"/>
        <w:contextualSpacing/>
        <w:jc w:val="right"/>
        <w:rPr>
          <w:rFonts w:ascii="Arial Narrow" w:eastAsiaTheme="minorEastAsia" w:hAnsi="Arial Narrow" w:cs="Helvetica-Bold"/>
          <w:b/>
          <w:bCs/>
          <w:lang w:val="es-ES_tradnl" w:eastAsia="es-MX"/>
        </w:rPr>
      </w:pPr>
      <w:bookmarkStart w:id="0" w:name="_GoBack"/>
      <w:bookmarkEnd w:id="0"/>
      <w:r w:rsidRPr="00FC1EA6">
        <w:rPr>
          <w:rFonts w:ascii="Arial Narrow" w:eastAsiaTheme="minorEastAsia" w:hAnsi="Arial Narrow"/>
          <w:noProof/>
          <w:lang w:val="en-US"/>
        </w:rPr>
        <w:drawing>
          <wp:anchor distT="0" distB="0" distL="114300" distR="114300" simplePos="0" relativeHeight="251661312" behindDoc="0" locked="0" layoutInCell="1" allowOverlap="1" wp14:anchorId="6AB2E9DB" wp14:editId="6CC27616">
            <wp:simplePos x="0" y="0"/>
            <wp:positionH relativeFrom="margin">
              <wp:posOffset>4232211</wp:posOffset>
            </wp:positionH>
            <wp:positionV relativeFrom="paragraph">
              <wp:posOffset>-223520</wp:posOffset>
            </wp:positionV>
            <wp:extent cx="1314450" cy="87630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dh version definitiva compartir organizacio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14:sizeRelH relativeFrom="page">
              <wp14:pctWidth>0</wp14:pctWidth>
            </wp14:sizeRelH>
            <wp14:sizeRelV relativeFrom="page">
              <wp14:pctHeight>0</wp14:pctHeight>
            </wp14:sizeRelV>
          </wp:anchor>
        </w:drawing>
      </w:r>
      <w:r w:rsidRPr="00FC1EA6">
        <w:rPr>
          <w:rFonts w:ascii="Arial Narrow" w:eastAsiaTheme="minorEastAsia" w:hAnsi="Arial Narrow"/>
          <w:noProof/>
          <w:lang w:val="en-US"/>
        </w:rPr>
        <w:drawing>
          <wp:anchor distT="0" distB="0" distL="114300" distR="114300" simplePos="0" relativeHeight="251660288" behindDoc="1" locked="0" layoutInCell="1" allowOverlap="1" wp14:anchorId="7B3909AC" wp14:editId="56350A0A">
            <wp:simplePos x="0" y="0"/>
            <wp:positionH relativeFrom="column">
              <wp:posOffset>2591371</wp:posOffset>
            </wp:positionH>
            <wp:positionV relativeFrom="margin">
              <wp:posOffset>-340995</wp:posOffset>
            </wp:positionV>
            <wp:extent cx="1470025" cy="1028700"/>
            <wp:effectExtent l="0" t="0" r="0" b="0"/>
            <wp:wrapThrough wrapText="bothSides">
              <wp:wrapPolygon edited="0">
                <wp:start x="0" y="0"/>
                <wp:lineTo x="0" y="21200"/>
                <wp:lineTo x="21273" y="21200"/>
                <wp:lineTo x="21273" y="0"/>
                <wp:lineTo x="0" y="0"/>
              </wp:wrapPolygon>
            </wp:wrapThrough>
            <wp:docPr id="6" name="Imagen 6" descr="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red.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0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EA6">
        <w:rPr>
          <w:rFonts w:ascii="Arial Narrow" w:eastAsiaTheme="minorEastAsia" w:hAnsi="Arial Narrow" w:cs="Arial"/>
          <w:b/>
          <w:noProof/>
          <w:lang w:val="en-US"/>
        </w:rPr>
        <w:drawing>
          <wp:anchor distT="0" distB="0" distL="114300" distR="114300" simplePos="0" relativeHeight="251662336" behindDoc="0" locked="0" layoutInCell="1" allowOverlap="1" wp14:anchorId="4BCEF387" wp14:editId="5D617056">
            <wp:simplePos x="0" y="0"/>
            <wp:positionH relativeFrom="margin">
              <wp:posOffset>-53404</wp:posOffset>
            </wp:positionH>
            <wp:positionV relativeFrom="paragraph">
              <wp:posOffset>-300355</wp:posOffset>
            </wp:positionV>
            <wp:extent cx="2331778" cy="489585"/>
            <wp:effectExtent l="0" t="0" r="0" b="5715"/>
            <wp:wrapNone/>
            <wp:docPr id="10" name="Imagen 10" descr="C:\Users\usuario1\Downloads\cm_ba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uario1\Downloads\cm_baj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778"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EA6">
        <w:rPr>
          <w:rFonts w:ascii="Arial Narrow" w:eastAsiaTheme="minorEastAsia" w:hAnsi="Arial Narrow"/>
          <w:noProof/>
          <w:lang w:val="en-US"/>
        </w:rPr>
        <w:drawing>
          <wp:anchor distT="0" distB="0" distL="114300" distR="114300" simplePos="0" relativeHeight="251659264" behindDoc="0" locked="0" layoutInCell="1" allowOverlap="1" wp14:anchorId="7E1F7B77" wp14:editId="18D07779">
            <wp:simplePos x="0" y="0"/>
            <wp:positionH relativeFrom="column">
              <wp:posOffset>-266700</wp:posOffset>
            </wp:positionH>
            <wp:positionV relativeFrom="paragraph">
              <wp:posOffset>186055</wp:posOffset>
            </wp:positionV>
            <wp:extent cx="2740660" cy="53340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066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74346" w14:textId="77777777" w:rsidR="007B5CD8" w:rsidRPr="00FC1EA6" w:rsidRDefault="007B5CD8" w:rsidP="006608F7">
      <w:pPr>
        <w:autoSpaceDE w:val="0"/>
        <w:autoSpaceDN w:val="0"/>
        <w:adjustRightInd w:val="0"/>
        <w:spacing w:after="0" w:line="240" w:lineRule="auto"/>
        <w:contextualSpacing/>
        <w:jc w:val="right"/>
        <w:rPr>
          <w:rFonts w:ascii="Arial Narrow" w:eastAsiaTheme="minorEastAsia" w:hAnsi="Arial Narrow" w:cs="Helvetica-Bold"/>
          <w:b/>
          <w:bCs/>
          <w:lang w:val="es-ES_tradnl" w:eastAsia="es-MX"/>
        </w:rPr>
      </w:pPr>
    </w:p>
    <w:p w14:paraId="7A1C856E" w14:textId="77777777" w:rsidR="007B5CD8" w:rsidRPr="00FC1EA6" w:rsidRDefault="007B5CD8" w:rsidP="006608F7">
      <w:pPr>
        <w:autoSpaceDE w:val="0"/>
        <w:autoSpaceDN w:val="0"/>
        <w:adjustRightInd w:val="0"/>
        <w:spacing w:after="0" w:line="240" w:lineRule="auto"/>
        <w:contextualSpacing/>
        <w:jc w:val="right"/>
        <w:rPr>
          <w:rFonts w:ascii="Arial Narrow" w:eastAsiaTheme="minorEastAsia" w:hAnsi="Arial Narrow" w:cs="Helvetica-Bold"/>
          <w:b/>
          <w:bCs/>
          <w:lang w:val="es-ES_tradnl" w:eastAsia="es-MX"/>
        </w:rPr>
      </w:pPr>
    </w:p>
    <w:p w14:paraId="3337C539" w14:textId="77777777" w:rsidR="007B5CD8" w:rsidRPr="00FC1EA6" w:rsidRDefault="007B5CD8" w:rsidP="006608F7">
      <w:pPr>
        <w:spacing w:after="0" w:line="240" w:lineRule="auto"/>
        <w:contextualSpacing/>
        <w:rPr>
          <w:rFonts w:ascii="Arial Narrow" w:eastAsiaTheme="minorEastAsia" w:hAnsi="Arial Narrow"/>
          <w:lang w:val="es-ES_tradnl" w:eastAsia="es-MX"/>
        </w:rPr>
      </w:pPr>
    </w:p>
    <w:p w14:paraId="7D95FAA3" w14:textId="77777777" w:rsidR="007B5CD8" w:rsidRPr="00FC1EA6" w:rsidRDefault="007B5CD8" w:rsidP="006608F7">
      <w:pPr>
        <w:spacing w:after="0" w:line="240" w:lineRule="auto"/>
        <w:contextualSpacing/>
        <w:jc w:val="both"/>
        <w:rPr>
          <w:rFonts w:ascii="Arial Narrow" w:eastAsiaTheme="minorEastAsia" w:hAnsi="Arial Narrow" w:cs="Arial"/>
          <w:b/>
          <w:lang w:val="es-ES_tradnl" w:eastAsia="es-MX"/>
        </w:rPr>
      </w:pPr>
    </w:p>
    <w:p w14:paraId="7DBD44BC" w14:textId="7BC111C6" w:rsidR="007B5CD8" w:rsidRPr="00FC1EA6" w:rsidRDefault="007B5CD8" w:rsidP="006608F7">
      <w:pPr>
        <w:spacing w:after="0" w:line="240" w:lineRule="auto"/>
        <w:ind w:left="4820"/>
        <w:contextualSpacing/>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 xml:space="preserve">Ciudad de México, a </w:t>
      </w:r>
      <w:r w:rsidR="000B2027" w:rsidRPr="00FC1EA6">
        <w:rPr>
          <w:rFonts w:ascii="Arial Narrow" w:eastAsiaTheme="minorEastAsia" w:hAnsi="Arial Narrow" w:cs="Arial"/>
          <w:b/>
          <w:lang w:val="es-ES_tradnl" w:eastAsia="es-MX"/>
        </w:rPr>
        <w:t>1 de mayo</w:t>
      </w:r>
      <w:r w:rsidRPr="00FC1EA6">
        <w:rPr>
          <w:rFonts w:ascii="Arial Narrow" w:eastAsiaTheme="minorEastAsia" w:hAnsi="Arial Narrow" w:cs="Arial"/>
          <w:b/>
          <w:lang w:val="es-ES_tradnl" w:eastAsia="es-MX"/>
        </w:rPr>
        <w:t xml:space="preserve"> de 2018.</w:t>
      </w:r>
    </w:p>
    <w:p w14:paraId="6102D482" w14:textId="77777777" w:rsidR="007B5CD8" w:rsidRPr="00FC1EA6" w:rsidRDefault="007B5CD8" w:rsidP="006608F7">
      <w:pPr>
        <w:spacing w:after="0" w:line="240" w:lineRule="auto"/>
        <w:ind w:left="4820"/>
        <w:contextualSpacing/>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Asunto: Observaciones sobre la propuesta de “Informe de Balance” remitido por la CIDH a las partes.</w:t>
      </w:r>
    </w:p>
    <w:p w14:paraId="449F74F0" w14:textId="77777777" w:rsidR="007B5CD8" w:rsidRPr="00FC1EA6" w:rsidRDefault="007B5CD8" w:rsidP="006608F7">
      <w:pPr>
        <w:spacing w:after="0" w:line="240" w:lineRule="auto"/>
        <w:ind w:left="4820"/>
        <w:contextualSpacing/>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Ref: MC 409-14 Estudiantes de la Escuela Rural “Raúl Isidro Burgos” respecto de México.</w:t>
      </w:r>
    </w:p>
    <w:p w14:paraId="345602BD" w14:textId="77777777" w:rsidR="007B5CD8" w:rsidRPr="00FC1EA6" w:rsidRDefault="007B5CD8" w:rsidP="006608F7">
      <w:pPr>
        <w:spacing w:after="0" w:line="240" w:lineRule="auto"/>
        <w:contextualSpacing/>
        <w:jc w:val="both"/>
        <w:rPr>
          <w:rFonts w:ascii="Arial Narrow" w:eastAsiaTheme="minorEastAsia" w:hAnsi="Arial Narrow" w:cs="Arial"/>
          <w:b/>
          <w:lang w:val="es-ES_tradnl" w:eastAsia="es-MX"/>
        </w:rPr>
      </w:pPr>
    </w:p>
    <w:p w14:paraId="62B3E78C" w14:textId="77777777" w:rsidR="007B5CD8" w:rsidRPr="00FC1EA6" w:rsidRDefault="007B5CD8" w:rsidP="006608F7">
      <w:pPr>
        <w:spacing w:after="0" w:line="240" w:lineRule="auto"/>
        <w:contextualSpacing/>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Dr. Paulo Abrão.</w:t>
      </w:r>
    </w:p>
    <w:p w14:paraId="2AC6CC5D" w14:textId="77777777" w:rsidR="007B5CD8" w:rsidRPr="00FC1EA6" w:rsidRDefault="007B5CD8" w:rsidP="006608F7">
      <w:pPr>
        <w:spacing w:after="0" w:line="240" w:lineRule="auto"/>
        <w:contextualSpacing/>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Secretario Ejecutivo</w:t>
      </w:r>
    </w:p>
    <w:p w14:paraId="279AD1D8" w14:textId="77777777" w:rsidR="007B5CD8" w:rsidRPr="00FC1EA6" w:rsidRDefault="007B5CD8" w:rsidP="006608F7">
      <w:pPr>
        <w:spacing w:after="0" w:line="240" w:lineRule="auto"/>
        <w:contextualSpacing/>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Comisión Interamericana de Derechos Humanos (CIDH)</w:t>
      </w:r>
    </w:p>
    <w:p w14:paraId="79711EF0" w14:textId="77777777" w:rsidR="007B5CD8" w:rsidRPr="00FC1EA6" w:rsidRDefault="007B5CD8" w:rsidP="006608F7">
      <w:pPr>
        <w:spacing w:after="0" w:line="240" w:lineRule="auto"/>
        <w:contextualSpacing/>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 xml:space="preserve">Presente. - </w:t>
      </w:r>
    </w:p>
    <w:p w14:paraId="03BCC45E" w14:textId="77777777" w:rsidR="007B5CD8" w:rsidRPr="00FC1EA6" w:rsidRDefault="007B5CD8" w:rsidP="006608F7">
      <w:pPr>
        <w:spacing w:after="0" w:line="240" w:lineRule="auto"/>
        <w:contextualSpacing/>
        <w:jc w:val="both"/>
        <w:rPr>
          <w:rFonts w:ascii="Arial Narrow" w:eastAsiaTheme="minorEastAsia" w:hAnsi="Arial Narrow" w:cs="Arial"/>
          <w:b/>
          <w:lang w:val="es-ES_tradnl" w:eastAsia="es-MX"/>
        </w:rPr>
      </w:pPr>
    </w:p>
    <w:p w14:paraId="7BC60244" w14:textId="5A464659" w:rsidR="007B5CD8" w:rsidRPr="00FC1EA6" w:rsidRDefault="007B5CD8" w:rsidP="006608F7">
      <w:pPr>
        <w:autoSpaceDE w:val="0"/>
        <w:autoSpaceDN w:val="0"/>
        <w:adjustRightInd w:val="0"/>
        <w:spacing w:after="0" w:line="240" w:lineRule="auto"/>
        <w:contextualSpacing/>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El Centro de Derechos Humanos de la Montaña Tlachinollan, el Centro Regional de Defensa de los Derechos Humanos José María Morelos y Pavón, A.C., la Red Guerrerense de Organismos Civiles de Derechos Humanos y el Centro de Derechos Humanos Miguel Agustín Pro Juárez, A.C. (Centro Prodh) nos dirigimos por su conducto a la Ilustre Comisión Interamericana de Derechos Humanos (CIDH) respecto de las medidas cautelares en referencia, a fin de remitir nuestras observaciones sobre el documento “Informe de Balance. Seguimiento al asunto Ayotzinapa realizado por el Mecanismo Especial de Seguimiento de la CIDH”</w:t>
      </w:r>
      <w:r w:rsidR="006D311C">
        <w:rPr>
          <w:rFonts w:ascii="Arial Narrow" w:eastAsiaTheme="minorEastAsia" w:hAnsi="Arial Narrow" w:cs="Arial"/>
          <w:lang w:val="es-ES_tradnl" w:eastAsia="es-MX"/>
        </w:rPr>
        <w:t xml:space="preserve"> (“Informe de Balance”)</w:t>
      </w:r>
      <w:r w:rsidRPr="00FC1EA6">
        <w:rPr>
          <w:rFonts w:ascii="Arial Narrow" w:eastAsiaTheme="minorEastAsia" w:hAnsi="Arial Narrow" w:cs="Arial"/>
          <w:lang w:val="es-ES_tradnl" w:eastAsia="es-MX"/>
        </w:rPr>
        <w:t xml:space="preserve">, remitido a las partes en su comunicación del pasado 24 de abril de 2018. </w:t>
      </w:r>
    </w:p>
    <w:p w14:paraId="7651ECC7" w14:textId="77777777" w:rsidR="007B5CD8" w:rsidRPr="00FC1EA6" w:rsidRDefault="007B5CD8" w:rsidP="006608F7">
      <w:pPr>
        <w:autoSpaceDE w:val="0"/>
        <w:autoSpaceDN w:val="0"/>
        <w:adjustRightInd w:val="0"/>
        <w:spacing w:after="0" w:line="240" w:lineRule="auto"/>
        <w:contextualSpacing/>
        <w:jc w:val="both"/>
        <w:rPr>
          <w:rFonts w:ascii="Arial Narrow" w:eastAsiaTheme="minorEastAsia" w:hAnsi="Arial Narrow" w:cs="Arial"/>
          <w:lang w:val="es-ES_tradnl" w:eastAsia="es-MX"/>
        </w:rPr>
      </w:pPr>
    </w:p>
    <w:p w14:paraId="3FF574B8" w14:textId="77777777" w:rsidR="007B5CD8" w:rsidRPr="00FC1EA6" w:rsidRDefault="007B5CD8" w:rsidP="006608F7">
      <w:pPr>
        <w:autoSpaceDE w:val="0"/>
        <w:autoSpaceDN w:val="0"/>
        <w:adjustRightInd w:val="0"/>
        <w:spacing w:after="0" w:line="240" w:lineRule="auto"/>
        <w:contextualSpacing/>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Para este efecto, la representación de las personas beneficiarias presentará enseguida su exposición a partir de tres apartados: 1. Observaciones generales; 2. Observaciones específicas; 3. Propuestas sobre la presentación del Informe. </w:t>
      </w:r>
    </w:p>
    <w:p w14:paraId="468B9C5F" w14:textId="77777777" w:rsidR="007B5CD8" w:rsidRPr="00FC1EA6" w:rsidRDefault="007B5CD8" w:rsidP="006608F7">
      <w:pPr>
        <w:autoSpaceDE w:val="0"/>
        <w:autoSpaceDN w:val="0"/>
        <w:adjustRightInd w:val="0"/>
        <w:spacing w:after="0" w:line="240" w:lineRule="auto"/>
        <w:contextualSpacing/>
        <w:jc w:val="both"/>
        <w:rPr>
          <w:rFonts w:ascii="Arial Narrow" w:eastAsiaTheme="minorEastAsia" w:hAnsi="Arial Narrow" w:cs="Arial"/>
          <w:b/>
          <w:lang w:val="es-ES_tradnl" w:eastAsia="es-MX"/>
        </w:rPr>
      </w:pPr>
    </w:p>
    <w:p w14:paraId="74FAC711" w14:textId="77777777" w:rsidR="007B5CD8" w:rsidRPr="00FC1EA6" w:rsidRDefault="007B5CD8" w:rsidP="006608F7">
      <w:pPr>
        <w:autoSpaceDE w:val="0"/>
        <w:autoSpaceDN w:val="0"/>
        <w:adjustRightInd w:val="0"/>
        <w:spacing w:after="0" w:line="240" w:lineRule="auto"/>
        <w:contextualSpacing/>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 xml:space="preserve">1. Observaciones generales    </w:t>
      </w:r>
    </w:p>
    <w:p w14:paraId="53B3E038" w14:textId="77777777" w:rsidR="00D01639" w:rsidRPr="00FC1EA6" w:rsidRDefault="00D01639" w:rsidP="006608F7">
      <w:pPr>
        <w:autoSpaceDE w:val="0"/>
        <w:autoSpaceDN w:val="0"/>
        <w:adjustRightInd w:val="0"/>
        <w:spacing w:after="0" w:line="240" w:lineRule="auto"/>
        <w:contextualSpacing/>
        <w:jc w:val="both"/>
        <w:rPr>
          <w:rFonts w:ascii="Arial Narrow" w:eastAsiaTheme="minorEastAsia" w:hAnsi="Arial Narrow" w:cs="Arial"/>
          <w:lang w:val="es-ES_tradnl" w:eastAsia="es-MX"/>
        </w:rPr>
      </w:pPr>
    </w:p>
    <w:p w14:paraId="36ADA6BA" w14:textId="749FE14E" w:rsidR="007B5CD8" w:rsidRPr="00FC1EA6" w:rsidRDefault="007C756A" w:rsidP="000B138F">
      <w:pPr>
        <w:pStyle w:val="ListParagraph"/>
        <w:autoSpaceDE w:val="0"/>
        <w:autoSpaceDN w:val="0"/>
        <w:adjustRightInd w:val="0"/>
        <w:spacing w:after="0" w:line="240" w:lineRule="auto"/>
        <w:ind w:left="0"/>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1.1 </w:t>
      </w:r>
      <w:r w:rsidR="007B5CD8" w:rsidRPr="00FC1EA6">
        <w:rPr>
          <w:rFonts w:ascii="Arial Narrow" w:eastAsiaTheme="minorEastAsia" w:hAnsi="Arial Narrow" w:cs="Arial"/>
          <w:lang w:val="es-ES_tradnl" w:eastAsia="es-MX"/>
        </w:rPr>
        <w:t>La representación de las personas beneficiarias desea comenzar destacando el valioso esfuerzo realizado por el Mecanismo Especial de Seguimiento (MES) para formular un borrador de “Informe de Balance” que desde una perspectiva integral hace un recuento del estado de la investigación, a partir de las bases sobre las que el Estado en su momento solicitó asistencia técnica a esta Ilustre Comisión. El documento es abarcativo y comprehensivo, como es pertinente en un caso tan complejo. En ese sentido, la representación victimal saluda el esfuerzo de la Comisión Interamer</w:t>
      </w:r>
      <w:r w:rsidR="00100ED2">
        <w:rPr>
          <w:rFonts w:ascii="Arial Narrow" w:eastAsiaTheme="minorEastAsia" w:hAnsi="Arial Narrow" w:cs="Arial"/>
          <w:lang w:val="es-ES_tradnl" w:eastAsia="es-MX"/>
        </w:rPr>
        <w:t>icana de Derechos Humanos</w:t>
      </w:r>
      <w:r w:rsidR="007B5CD8" w:rsidRPr="00FC1EA6">
        <w:rPr>
          <w:rFonts w:ascii="Arial Narrow" w:eastAsiaTheme="minorEastAsia" w:hAnsi="Arial Narrow" w:cs="Arial"/>
          <w:lang w:val="es-ES_tradnl" w:eastAsia="es-MX"/>
        </w:rPr>
        <w:t xml:space="preserve">. </w:t>
      </w:r>
    </w:p>
    <w:p w14:paraId="3EE1F401" w14:textId="77777777" w:rsidR="007B5CD8" w:rsidRPr="00FC1EA6" w:rsidRDefault="007B5CD8" w:rsidP="007C756A">
      <w:pPr>
        <w:pStyle w:val="ListParagraph"/>
        <w:autoSpaceDE w:val="0"/>
        <w:autoSpaceDN w:val="0"/>
        <w:adjustRightInd w:val="0"/>
        <w:spacing w:after="0" w:line="240" w:lineRule="auto"/>
        <w:ind w:left="0"/>
        <w:jc w:val="both"/>
        <w:rPr>
          <w:rFonts w:ascii="Arial Narrow" w:eastAsiaTheme="minorEastAsia" w:hAnsi="Arial Narrow" w:cs="Arial"/>
          <w:lang w:val="es-ES_tradnl" w:eastAsia="es-MX"/>
        </w:rPr>
      </w:pPr>
    </w:p>
    <w:p w14:paraId="7D5A9A4F" w14:textId="57E54EFD" w:rsidR="004D09FC" w:rsidRPr="00FC1EA6" w:rsidRDefault="007C756A" w:rsidP="000B138F">
      <w:pPr>
        <w:pStyle w:val="ListParagraph"/>
        <w:autoSpaceDE w:val="0"/>
        <w:autoSpaceDN w:val="0"/>
        <w:adjustRightInd w:val="0"/>
        <w:spacing w:after="0" w:line="240" w:lineRule="auto"/>
        <w:ind w:left="0"/>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1.2 </w:t>
      </w:r>
      <w:r w:rsidR="007B5CD8" w:rsidRPr="00FC1EA6">
        <w:rPr>
          <w:rFonts w:ascii="Arial Narrow" w:eastAsiaTheme="minorEastAsia" w:hAnsi="Arial Narrow" w:cs="Arial"/>
          <w:lang w:val="es-ES_tradnl" w:eastAsia="es-MX"/>
        </w:rPr>
        <w:t xml:space="preserve">Dada la extensión actual del documento, el apartado de Conclusiones es fundamental para </w:t>
      </w:r>
      <w:r w:rsidR="004D09FC" w:rsidRPr="00FC1EA6">
        <w:rPr>
          <w:rFonts w:ascii="Arial Narrow" w:eastAsiaTheme="minorEastAsia" w:hAnsi="Arial Narrow" w:cs="Arial"/>
          <w:lang w:val="es-ES_tradnl" w:eastAsia="es-MX"/>
        </w:rPr>
        <w:t xml:space="preserve">la expresión de los mensajes centrales que el MES hará públicos, lo mismo que la presentación pública del “Informe Balance”; por ello, en este documento prestaremos especial atención a ambas cuestiones. </w:t>
      </w:r>
    </w:p>
    <w:p w14:paraId="17DEC1A3" w14:textId="77777777" w:rsidR="006608F7" w:rsidRPr="00FC1EA6" w:rsidRDefault="006608F7" w:rsidP="006608F7">
      <w:pPr>
        <w:autoSpaceDE w:val="0"/>
        <w:autoSpaceDN w:val="0"/>
        <w:adjustRightInd w:val="0"/>
        <w:spacing w:after="0" w:line="240" w:lineRule="auto"/>
        <w:jc w:val="both"/>
        <w:rPr>
          <w:rFonts w:ascii="Arial Narrow" w:eastAsiaTheme="minorEastAsia" w:hAnsi="Arial Narrow" w:cs="Arial"/>
          <w:b/>
          <w:lang w:val="es-ES_tradnl" w:eastAsia="es-MX"/>
        </w:rPr>
      </w:pPr>
    </w:p>
    <w:p w14:paraId="57B74448" w14:textId="77777777" w:rsidR="004D09FC" w:rsidRPr="00FC1EA6" w:rsidRDefault="004D09FC" w:rsidP="006608F7">
      <w:pPr>
        <w:autoSpaceDE w:val="0"/>
        <w:autoSpaceDN w:val="0"/>
        <w:adjustRightInd w:val="0"/>
        <w:spacing w:after="0" w:line="240" w:lineRule="auto"/>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2. Observaciones específicas</w:t>
      </w:r>
    </w:p>
    <w:p w14:paraId="2CC37598" w14:textId="77777777" w:rsidR="004D09FC" w:rsidRPr="00FC1EA6" w:rsidRDefault="004D09FC"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61831039" w14:textId="4C51316C" w:rsidR="00522A78" w:rsidRPr="00FC1EA6" w:rsidRDefault="004D09FC"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2.1 En el apartado “ii)</w:t>
      </w:r>
      <w:r w:rsidR="00522A78" w:rsidRPr="00FC1EA6">
        <w:rPr>
          <w:rFonts w:ascii="Arial Narrow" w:eastAsiaTheme="minorEastAsia" w:hAnsi="Arial Narrow" w:cs="Arial"/>
          <w:lang w:val="es-ES_tradnl" w:eastAsia="es-MX"/>
        </w:rPr>
        <w:t xml:space="preserve"> Elabo</w:t>
      </w:r>
      <w:r w:rsidR="00100ED2">
        <w:rPr>
          <w:rFonts w:ascii="Arial Narrow" w:eastAsiaTheme="minorEastAsia" w:hAnsi="Arial Narrow" w:cs="Arial"/>
          <w:lang w:val="es-ES_tradnl" w:eastAsia="es-MX"/>
        </w:rPr>
        <w:t>ración del cronograma” (párr.</w:t>
      </w:r>
      <w:r w:rsidR="00522A78" w:rsidRPr="00FC1EA6">
        <w:rPr>
          <w:rFonts w:ascii="Arial Narrow" w:eastAsiaTheme="minorEastAsia" w:hAnsi="Arial Narrow" w:cs="Arial"/>
          <w:lang w:val="es-ES_tradnl" w:eastAsia="es-MX"/>
        </w:rPr>
        <w:t xml:space="preserve"> 20, 21 y 22), sería deseable que se aludiera a la necesidad de recalendarizar el cronograma, a las propuestas que al respecto se han planteado y a las respuestas estatales a dichas propuestas. Ello en razón de que tal cuestión ha sido abordada en </w:t>
      </w:r>
      <w:r w:rsidR="002D0B1E" w:rsidRPr="00FC1EA6">
        <w:rPr>
          <w:rFonts w:ascii="Arial Narrow" w:eastAsiaTheme="minorEastAsia" w:hAnsi="Arial Narrow" w:cs="Arial"/>
          <w:lang w:val="es-ES_tradnl" w:eastAsia="es-MX"/>
        </w:rPr>
        <w:t xml:space="preserve">reuniones de trabajo y en la última </w:t>
      </w:r>
      <w:r w:rsidR="00522A78" w:rsidRPr="00FC1EA6">
        <w:rPr>
          <w:rFonts w:ascii="Arial Narrow" w:eastAsiaTheme="minorEastAsia" w:hAnsi="Arial Narrow" w:cs="Arial"/>
          <w:lang w:val="es-ES_tradnl" w:eastAsia="es-MX"/>
        </w:rPr>
        <w:t>audiencia pública por la CIDH</w:t>
      </w:r>
      <w:r w:rsidR="000A1F50" w:rsidRPr="00FC1EA6">
        <w:rPr>
          <w:rFonts w:ascii="Arial Narrow" w:eastAsiaTheme="minorEastAsia" w:hAnsi="Arial Narrow" w:cs="Arial"/>
          <w:lang w:val="es-ES_tradnl" w:eastAsia="es-MX"/>
        </w:rPr>
        <w:t xml:space="preserve">, durante el periodo de sesiones 167 en la ciudad de Bogotá; para lo cual esta representación presentó una propuesta en este periodo, la cual fue formalmente trasladada a la Comisión en escrito de 9 de marzo del presente. </w:t>
      </w:r>
    </w:p>
    <w:p w14:paraId="7C1249E6" w14:textId="77777777" w:rsidR="00522A78" w:rsidRPr="00FC1EA6" w:rsidRDefault="00522A78"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64A9EBAC" w14:textId="77777777" w:rsidR="00522A78" w:rsidRPr="00FC1EA6" w:rsidRDefault="00522A78"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2.2 En el apartado “</w:t>
      </w:r>
      <w:r w:rsidR="005645A2" w:rsidRPr="00FC1EA6">
        <w:rPr>
          <w:rFonts w:ascii="Arial Narrow" w:eastAsiaTheme="minorEastAsia" w:hAnsi="Arial Narrow" w:cs="Arial"/>
          <w:lang w:val="es-ES_tradnl" w:eastAsia="es-MX"/>
        </w:rPr>
        <w:t>iv)</w:t>
      </w:r>
      <w:r w:rsidRPr="00FC1EA6">
        <w:rPr>
          <w:rFonts w:ascii="Arial Narrow" w:eastAsiaTheme="minorEastAsia" w:hAnsi="Arial Narrow" w:cs="Arial"/>
          <w:lang w:val="es-ES_tradnl" w:eastAsia="es-MX"/>
        </w:rPr>
        <w:t xml:space="preserve"> Realización de diligencias a sugerencia del Mecanismo” (</w:t>
      </w:r>
      <w:r w:rsidR="006608F7" w:rsidRPr="00FC1EA6">
        <w:rPr>
          <w:rFonts w:ascii="Arial Narrow" w:eastAsiaTheme="minorEastAsia" w:hAnsi="Arial Narrow" w:cs="Arial"/>
          <w:lang w:val="es-ES_tradnl" w:eastAsia="es-MX"/>
        </w:rPr>
        <w:t>párr</w:t>
      </w:r>
      <w:r w:rsidRPr="00FC1EA6">
        <w:rPr>
          <w:rFonts w:ascii="Arial Narrow" w:eastAsiaTheme="minorEastAsia" w:hAnsi="Arial Narrow" w:cs="Arial"/>
          <w:lang w:val="es-ES_tradnl" w:eastAsia="es-MX"/>
        </w:rPr>
        <w:t xml:space="preserve">. 27), sería relevante que la CIDH hiciera mención expresa de su presencia en la toma de al menos una declaración relevante, para destacar este hecho como una buena práctica a reproducir en el futuro. </w:t>
      </w:r>
    </w:p>
    <w:p w14:paraId="65C30DB5" w14:textId="77777777" w:rsidR="00522A78" w:rsidRPr="00FC1EA6" w:rsidRDefault="00522A78"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06F1CBFF" w14:textId="474E36D8" w:rsidR="00522A78" w:rsidRPr="00FC1EA6" w:rsidRDefault="00522A78"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2.3 En el apartado “v</w:t>
      </w:r>
      <w:r w:rsidR="005645A2" w:rsidRPr="00FC1EA6">
        <w:rPr>
          <w:rFonts w:ascii="Arial Narrow" w:eastAsiaTheme="minorEastAsia" w:hAnsi="Arial Narrow" w:cs="Arial"/>
          <w:lang w:val="es-ES_tradnl" w:eastAsia="es-MX"/>
        </w:rPr>
        <w:t>)</w:t>
      </w:r>
      <w:r w:rsidRPr="00FC1EA6">
        <w:rPr>
          <w:rFonts w:ascii="Arial Narrow" w:eastAsiaTheme="minorEastAsia" w:hAnsi="Arial Narrow" w:cs="Arial"/>
          <w:lang w:val="es-ES_tradnl" w:eastAsia="es-MX"/>
        </w:rPr>
        <w:t xml:space="preserve"> Falta de consignación por el delito de desaparición forzada” (</w:t>
      </w:r>
      <w:r w:rsidR="00FC1EA6" w:rsidRPr="00FC1EA6">
        <w:rPr>
          <w:rFonts w:ascii="Arial Narrow" w:eastAsiaTheme="minorEastAsia" w:hAnsi="Arial Narrow" w:cs="Arial"/>
          <w:lang w:val="es-ES_tradnl" w:eastAsia="es-MX"/>
        </w:rPr>
        <w:t>párr.</w:t>
      </w:r>
      <w:r w:rsidRPr="00FC1EA6">
        <w:rPr>
          <w:rFonts w:ascii="Arial Narrow" w:eastAsiaTheme="minorEastAsia" w:hAnsi="Arial Narrow" w:cs="Arial"/>
          <w:lang w:val="es-ES_tradnl" w:eastAsia="es-MX"/>
        </w:rPr>
        <w:t xml:space="preserve"> 28 y 29) sería relevante que la CIDH señale que a más de 3 años de los hechos los tribunales mexicanos no han dictado una sola sentencia sancionatoria respecto de los delitos cometidos contra los estudiantes, por lo que no hay ninguna resolución condenatoria contra los responsables de la desaparición forzada, lo que está debidamente acreditado en el caso. </w:t>
      </w:r>
    </w:p>
    <w:p w14:paraId="052BB70E" w14:textId="77777777" w:rsidR="00522A78" w:rsidRPr="00FC1EA6" w:rsidRDefault="00522A78"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791A3726" w14:textId="77777777" w:rsidR="005645A2" w:rsidRPr="00FC1EA6" w:rsidRDefault="00522A78"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2.4 </w:t>
      </w:r>
      <w:r w:rsidR="005645A2" w:rsidRPr="00FC1EA6">
        <w:rPr>
          <w:rFonts w:ascii="Arial Narrow" w:eastAsiaTheme="minorEastAsia" w:hAnsi="Arial Narrow" w:cs="Arial"/>
          <w:lang w:val="es-ES_tradnl" w:eastAsia="es-MX"/>
        </w:rPr>
        <w:t xml:space="preserve">Sobre el apartado “vi) Recomendaciones estructurales”, sería deseable que este apareciera en la parte final del texto, para no interrumpir la secuencia relacionada con la valoración del caso en lo específico. </w:t>
      </w:r>
    </w:p>
    <w:p w14:paraId="7DC2AD4E" w14:textId="77777777" w:rsidR="005645A2" w:rsidRPr="00FC1EA6" w:rsidRDefault="005645A2"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307F76F5" w14:textId="292FCA58" w:rsidR="005645A2" w:rsidRPr="00FC1EA6" w:rsidRDefault="005645A2"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2.5 En el apartado “vii) Búsqueda de los estudiantes desaparecidos”, se afirma que las acciones relacionadas con este fin han sido de dos tipos: la implementación con tecnología LIDAR, por un lado, y las búsquedas en campo con los representantes, las víctimas y el Equipo Argentino de Antropología Forense (EAAF), ent</w:t>
      </w:r>
      <w:r w:rsidR="005A17A3" w:rsidRPr="00FC1EA6">
        <w:rPr>
          <w:rFonts w:ascii="Arial Narrow" w:eastAsiaTheme="minorEastAsia" w:hAnsi="Arial Narrow" w:cs="Arial"/>
          <w:lang w:val="es-ES_tradnl" w:eastAsia="es-MX"/>
        </w:rPr>
        <w:t>end</w:t>
      </w:r>
      <w:r w:rsidRPr="00FC1EA6">
        <w:rPr>
          <w:rFonts w:ascii="Arial Narrow" w:eastAsiaTheme="minorEastAsia" w:hAnsi="Arial Narrow" w:cs="Arial"/>
          <w:lang w:val="es-ES_tradnl" w:eastAsia="es-MX"/>
        </w:rPr>
        <w:t xml:space="preserve">iéndose que se trata de dos procesos diferenciados. En realidad, este es un mismo proceso de búsqueda pues es el EAFF la parte que ha propuesto el uso de LIDAR </w:t>
      </w:r>
      <w:r w:rsidR="00AB313D" w:rsidRPr="00FC1EA6">
        <w:rPr>
          <w:rFonts w:ascii="Arial Narrow" w:eastAsiaTheme="minorEastAsia" w:hAnsi="Arial Narrow" w:cs="Arial"/>
          <w:lang w:val="es-ES_tradnl" w:eastAsia="es-MX"/>
        </w:rPr>
        <w:t xml:space="preserve">y </w:t>
      </w:r>
      <w:r w:rsidRPr="00FC1EA6">
        <w:rPr>
          <w:rFonts w:ascii="Arial Narrow" w:eastAsiaTheme="minorEastAsia" w:hAnsi="Arial Narrow" w:cs="Arial"/>
          <w:lang w:val="es-ES_tradnl" w:eastAsia="es-MX"/>
        </w:rPr>
        <w:t>que ha guiado tras su análisis la búsqueda en terreno a la que se alude</w:t>
      </w:r>
      <w:r w:rsidR="00CB7383" w:rsidRPr="00FC1EA6">
        <w:rPr>
          <w:rFonts w:ascii="Arial Narrow" w:eastAsiaTheme="minorEastAsia" w:hAnsi="Arial Narrow" w:cs="Arial"/>
          <w:lang w:val="es-ES_tradnl" w:eastAsia="es-MX"/>
        </w:rPr>
        <w:t>; de suerte que una parte de los puntos propuestos la formula el EAAF y la otra PGR en un esquema de coordinación</w:t>
      </w:r>
      <w:r w:rsidRPr="00FC1EA6">
        <w:rPr>
          <w:rFonts w:ascii="Arial Narrow" w:eastAsiaTheme="minorEastAsia" w:hAnsi="Arial Narrow" w:cs="Arial"/>
          <w:lang w:val="es-ES_tradnl" w:eastAsia="es-MX"/>
        </w:rPr>
        <w:t xml:space="preserve">. Justamente, esta caracterización permite dimensionar cabalmente uno de los problemas que enfrenta actualmente la búsqueda, siendo este el que dichas salidas a campo estén condicionadas a que las impulsen y propongan las víctimas </w:t>
      </w:r>
      <w:r w:rsidR="00AB313D" w:rsidRPr="00FC1EA6">
        <w:rPr>
          <w:rFonts w:ascii="Arial Narrow" w:eastAsiaTheme="minorEastAsia" w:hAnsi="Arial Narrow" w:cs="Arial"/>
          <w:lang w:val="es-ES_tradnl" w:eastAsia="es-MX"/>
        </w:rPr>
        <w:t xml:space="preserve">– por vía de sus peritos y representantes – </w:t>
      </w:r>
      <w:r w:rsidRPr="00FC1EA6">
        <w:rPr>
          <w:rFonts w:ascii="Arial Narrow" w:eastAsiaTheme="minorEastAsia" w:hAnsi="Arial Narrow" w:cs="Arial"/>
          <w:lang w:val="es-ES_tradnl" w:eastAsia="es-MX"/>
        </w:rPr>
        <w:t>sin que el Estado las proponga oficiosamente a partir de la informac</w:t>
      </w:r>
      <w:r w:rsidR="00F403D9" w:rsidRPr="00FC1EA6">
        <w:rPr>
          <w:rFonts w:ascii="Arial Narrow" w:eastAsiaTheme="minorEastAsia" w:hAnsi="Arial Narrow" w:cs="Arial"/>
          <w:lang w:val="es-ES_tradnl" w:eastAsia="es-MX"/>
        </w:rPr>
        <w:t xml:space="preserve">ión que obra en el expediente. En ese sentido, sería de primera importancia que se asentara que el Estado no ha propuesta nuevas búsquedas de forma oficiosa e instarlo a que así lo haga. </w:t>
      </w:r>
      <w:r w:rsidR="00CB7383" w:rsidRPr="00FC1EA6">
        <w:rPr>
          <w:rFonts w:ascii="Arial Narrow" w:eastAsiaTheme="minorEastAsia" w:hAnsi="Arial Narrow" w:cs="Arial"/>
          <w:lang w:val="es-ES_tradnl" w:eastAsia="es-MX"/>
        </w:rPr>
        <w:t xml:space="preserve">Finalmente, no omitimos señalar que no solo en las diligencias pasadas se encontraron sitios ya procesados por peritos de criminalística que no habían sido sistematizados en las bases empeladas para las búsquedas, sino que esto ocurrió también recientemente, en las diligencias efectuadas en semanas pasadas (abril) de 2018. Por ello, es esencial la construcción de una base de datos sobre el particular, siendo el caso que hasta ahora sólo hay esfuerzos incipientes para consolidar ésta, considerando que los datos enviados por el Estado al MES aunque son relevantes aun no consolidan una base de datos integral, amén de que se han allegado a la CIDH en formatos ilegibles -al menos por cuanto hace a lo que se ha trasladado a los beneficiarios. </w:t>
      </w:r>
    </w:p>
    <w:p w14:paraId="250364F4" w14:textId="77777777" w:rsidR="005645A2" w:rsidRPr="00FC1EA6" w:rsidRDefault="005645A2"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0E44B737" w14:textId="323DBF19" w:rsidR="004D09FC" w:rsidRPr="00FC1EA6" w:rsidRDefault="005645A2"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2.6 Sobre los incentivos para</w:t>
      </w:r>
      <w:r w:rsidR="005A17A3" w:rsidRPr="00FC1EA6">
        <w:rPr>
          <w:rFonts w:ascii="Arial Narrow" w:eastAsiaTheme="minorEastAsia" w:hAnsi="Arial Narrow" w:cs="Arial"/>
          <w:lang w:val="es-ES_tradnl" w:eastAsia="es-MX"/>
        </w:rPr>
        <w:t xml:space="preserve"> posibles </w:t>
      </w:r>
      <w:r w:rsidRPr="00FC1EA6">
        <w:rPr>
          <w:rFonts w:ascii="Arial Narrow" w:eastAsiaTheme="minorEastAsia" w:hAnsi="Arial Narrow" w:cs="Arial"/>
          <w:lang w:val="es-ES_tradnl" w:eastAsia="es-MX"/>
        </w:rPr>
        <w:t>testigos colaboradores, la CIDH alude correctamente a la necesidad de aplicar lo dispuesto por el artículo 35 de la Ley Federal contra la Delincuencia Organizada</w:t>
      </w:r>
      <w:r w:rsidR="00495101" w:rsidRPr="00FC1EA6">
        <w:rPr>
          <w:rFonts w:ascii="Arial Narrow" w:eastAsiaTheme="minorEastAsia" w:hAnsi="Arial Narrow" w:cs="Arial"/>
          <w:lang w:val="es-ES_tradnl" w:eastAsia="es-MX"/>
        </w:rPr>
        <w:t xml:space="preserve"> (párr. 36)</w:t>
      </w:r>
      <w:r w:rsidRPr="00FC1EA6">
        <w:rPr>
          <w:rFonts w:ascii="Arial Narrow" w:eastAsiaTheme="minorEastAsia" w:hAnsi="Arial Narrow" w:cs="Arial"/>
          <w:lang w:val="es-ES_tradnl" w:eastAsia="es-MX"/>
        </w:rPr>
        <w:t xml:space="preserve">; sería deseable, también, recordar que hoy en día y en la medida en que su aplicación no sería retroactiva por suponer un beneficio a las personas, el Estado podría aplicar el numeral 33 de la Ley General de Delitos en Materia de Desaparición Forzada de Personas, Desaparición cometida por Particulares y del Sistema Nacional de Búsqueda </w:t>
      </w:r>
      <w:r w:rsidR="005A17A3" w:rsidRPr="00FC1EA6">
        <w:rPr>
          <w:rFonts w:ascii="Arial Narrow" w:eastAsiaTheme="minorEastAsia" w:hAnsi="Arial Narrow" w:cs="Arial"/>
          <w:lang w:val="es-ES_tradnl" w:eastAsia="es-MX"/>
        </w:rPr>
        <w:t xml:space="preserve">de Personas, publicada en el Diario Oficial de la Federación el 17 de noviembre de 2017, máxime si como el Estado afirma los hechos se investigan como una desaparición forzada.  </w:t>
      </w:r>
      <w:r w:rsidRPr="00FC1EA6">
        <w:rPr>
          <w:rFonts w:ascii="Arial Narrow" w:eastAsiaTheme="minorEastAsia" w:hAnsi="Arial Narrow" w:cs="Arial"/>
          <w:lang w:val="es-ES_tradnl" w:eastAsia="es-MX"/>
        </w:rPr>
        <w:t xml:space="preserve">     </w:t>
      </w:r>
      <w:r w:rsidR="00522A78" w:rsidRPr="00FC1EA6">
        <w:rPr>
          <w:rFonts w:ascii="Arial Narrow" w:eastAsiaTheme="minorEastAsia" w:hAnsi="Arial Narrow" w:cs="Arial"/>
          <w:lang w:val="es-ES_tradnl" w:eastAsia="es-MX"/>
        </w:rPr>
        <w:t xml:space="preserve">   </w:t>
      </w:r>
    </w:p>
    <w:p w14:paraId="7D3572E6" w14:textId="77777777" w:rsidR="005A17A3" w:rsidRPr="00FC1EA6" w:rsidRDefault="005A17A3"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0685CB0F" w14:textId="31D6EE48" w:rsidR="005A17A3" w:rsidRPr="00FC1EA6" w:rsidRDefault="005A17A3"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2.7 En el apartado “viii</w:t>
      </w:r>
      <w:r w:rsidR="00FC6C26">
        <w:rPr>
          <w:rFonts w:ascii="Arial Narrow" w:eastAsiaTheme="minorEastAsia" w:hAnsi="Arial Narrow" w:cs="Arial"/>
          <w:lang w:val="es-ES_tradnl" w:eastAsia="es-MX"/>
        </w:rPr>
        <w:t>) Atención a víctimas” (párr.</w:t>
      </w:r>
      <w:r w:rsidRPr="00FC1EA6">
        <w:rPr>
          <w:rFonts w:ascii="Arial Narrow" w:eastAsiaTheme="minorEastAsia" w:hAnsi="Arial Narrow" w:cs="Arial"/>
          <w:lang w:val="es-ES_tradnl" w:eastAsia="es-MX"/>
        </w:rPr>
        <w:t xml:space="preserve"> 39 a 42), a</w:t>
      </w:r>
      <w:r w:rsidR="00AB313D" w:rsidRPr="00FC1EA6">
        <w:rPr>
          <w:rFonts w:ascii="Arial Narrow" w:eastAsiaTheme="minorEastAsia" w:hAnsi="Arial Narrow" w:cs="Arial"/>
          <w:lang w:val="es-ES_tradnl" w:eastAsia="es-MX"/>
        </w:rPr>
        <w:t>l</w:t>
      </w:r>
      <w:r w:rsidRPr="00FC1EA6">
        <w:rPr>
          <w:rFonts w:ascii="Arial Narrow" w:eastAsiaTheme="minorEastAsia" w:hAnsi="Arial Narrow" w:cs="Arial"/>
          <w:lang w:val="es-ES_tradnl" w:eastAsia="es-MX"/>
        </w:rPr>
        <w:t xml:space="preserve"> aludir al caso de Aldo Gutiérrez Solano y el posible regreso a su comunidad “a través de la construcción de una casa adaptada a sus necesidades para que pueda vivir con su familia”, estimamos relevante que se señale más claramente que tal traslado no se ha materializado por retraso de las autoridades del Estado mexicano, pues como periódicamente hemos informado a la Comisión, sólo de esa forma se explica el actual rezago, estando dado el resto de las condiciones</w:t>
      </w:r>
      <w:r w:rsidR="00AB313D" w:rsidRPr="00FC1EA6">
        <w:rPr>
          <w:rFonts w:ascii="Arial Narrow" w:eastAsiaTheme="minorEastAsia" w:hAnsi="Arial Narrow" w:cs="Arial"/>
          <w:lang w:val="es-ES_tradnl" w:eastAsia="es-MX"/>
        </w:rPr>
        <w:t xml:space="preserve"> y habiéndose firmado un Acuerdo Interinstitucional de alto nivel </w:t>
      </w:r>
      <w:r w:rsidR="00912077" w:rsidRPr="00FC1EA6">
        <w:rPr>
          <w:rFonts w:ascii="Arial Narrow" w:eastAsiaTheme="minorEastAsia" w:hAnsi="Arial Narrow" w:cs="Arial"/>
          <w:lang w:val="es-ES_tradnl" w:eastAsia="es-MX"/>
        </w:rPr>
        <w:t>hace diez meses</w:t>
      </w:r>
      <w:r w:rsidR="006F5C46" w:rsidRPr="00FC1EA6">
        <w:rPr>
          <w:rFonts w:ascii="Arial Narrow" w:eastAsiaTheme="minorEastAsia" w:hAnsi="Arial Narrow" w:cs="Arial"/>
          <w:lang w:val="es-ES_tradnl" w:eastAsia="es-MX"/>
        </w:rPr>
        <w:t>, que no sólo se refiere a la casa donde la víctima habitará sino también a lo relacionado con la adquisición de equipo m</w:t>
      </w:r>
      <w:r w:rsidR="00495101" w:rsidRPr="00FC1EA6">
        <w:rPr>
          <w:rFonts w:ascii="Arial Narrow" w:eastAsiaTheme="minorEastAsia" w:hAnsi="Arial Narrow" w:cs="Arial"/>
          <w:lang w:val="es-ES_tradnl" w:eastAsia="es-MX"/>
        </w:rPr>
        <w:t>édico para su equipamiento y la atención médica permanente que deberá ofrecerse una vez que sea trasladado,</w:t>
      </w:r>
      <w:r w:rsidR="006F5C46" w:rsidRPr="00FC1EA6">
        <w:rPr>
          <w:rFonts w:ascii="Arial Narrow" w:eastAsiaTheme="minorEastAsia" w:hAnsi="Arial Narrow" w:cs="Arial"/>
          <w:lang w:val="es-ES_tradnl" w:eastAsia="es-MX"/>
        </w:rPr>
        <w:t xml:space="preserve"> entre otras cuestiones.</w:t>
      </w:r>
      <w:r w:rsidRPr="00FC1EA6">
        <w:rPr>
          <w:rFonts w:ascii="Arial Narrow" w:eastAsiaTheme="minorEastAsia" w:hAnsi="Arial Narrow" w:cs="Arial"/>
          <w:lang w:val="es-ES_tradnl" w:eastAsia="es-MX"/>
        </w:rPr>
        <w:t xml:space="preserve"> </w:t>
      </w:r>
    </w:p>
    <w:p w14:paraId="55CBA855" w14:textId="77777777" w:rsidR="005A17A3" w:rsidRPr="00FC1EA6" w:rsidRDefault="005A17A3"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401C1B5C" w14:textId="611E4983" w:rsidR="00DD4653" w:rsidRPr="00FC1EA6" w:rsidRDefault="00C427E7"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2.8 </w:t>
      </w:r>
      <w:r w:rsidR="00DD4653" w:rsidRPr="00FC1EA6">
        <w:rPr>
          <w:rFonts w:ascii="Arial Narrow" w:eastAsiaTheme="minorEastAsia" w:hAnsi="Arial Narrow" w:cs="Arial"/>
          <w:lang w:val="es-ES_tradnl" w:eastAsia="es-MX"/>
        </w:rPr>
        <w:t>En el apartado de “</w:t>
      </w:r>
      <w:r w:rsidRPr="00FC1EA6">
        <w:rPr>
          <w:rFonts w:ascii="Arial Narrow" w:eastAsiaTheme="minorEastAsia" w:hAnsi="Arial Narrow" w:cs="Arial"/>
          <w:lang w:val="es-ES_tradnl" w:eastAsia="es-MX"/>
        </w:rPr>
        <w:t xml:space="preserve">ix) </w:t>
      </w:r>
      <w:r w:rsidR="00DD4653" w:rsidRPr="00FC1EA6">
        <w:rPr>
          <w:rFonts w:ascii="Arial Narrow" w:eastAsiaTheme="minorEastAsia" w:hAnsi="Arial Narrow" w:cs="Arial"/>
          <w:lang w:val="es-ES_tradnl" w:eastAsia="es-MX"/>
        </w:rPr>
        <w:t xml:space="preserve">Investigación”, destacamos la relevancia de que la CIDH se refiere a </w:t>
      </w:r>
      <w:r w:rsidRPr="00FC1EA6">
        <w:rPr>
          <w:rFonts w:ascii="Arial Narrow" w:eastAsiaTheme="minorEastAsia" w:hAnsi="Arial Narrow" w:cs="Arial"/>
          <w:lang w:val="es-ES_tradnl" w:eastAsia="es-MX"/>
        </w:rPr>
        <w:t xml:space="preserve">la “información esencial” aportada en </w:t>
      </w:r>
      <w:r w:rsidR="00DD4653" w:rsidRPr="00FC1EA6">
        <w:rPr>
          <w:rFonts w:ascii="Arial Narrow" w:eastAsiaTheme="minorEastAsia" w:hAnsi="Arial Narrow" w:cs="Arial"/>
          <w:lang w:val="es-ES_tradnl" w:eastAsia="es-MX"/>
        </w:rPr>
        <w:t>las diversas declaracione</w:t>
      </w:r>
      <w:r w:rsidRPr="00FC1EA6">
        <w:rPr>
          <w:rFonts w:ascii="Arial Narrow" w:eastAsiaTheme="minorEastAsia" w:hAnsi="Arial Narrow" w:cs="Arial"/>
          <w:lang w:val="es-ES_tradnl" w:eastAsia="es-MX"/>
        </w:rPr>
        <w:t>s rendidas por Walter Al</w:t>
      </w:r>
      <w:r w:rsidR="00DD4653" w:rsidRPr="00FC1EA6">
        <w:rPr>
          <w:rFonts w:ascii="Arial Narrow" w:eastAsiaTheme="minorEastAsia" w:hAnsi="Arial Narrow" w:cs="Arial"/>
          <w:lang w:val="es-ES_tradnl" w:eastAsia="es-MX"/>
        </w:rPr>
        <w:t>fonso Deloya Tomás</w:t>
      </w:r>
      <w:r w:rsidRPr="00FC1EA6">
        <w:rPr>
          <w:rFonts w:ascii="Arial Narrow" w:eastAsiaTheme="minorEastAsia" w:hAnsi="Arial Narrow" w:cs="Arial"/>
          <w:lang w:val="es-ES_tradnl" w:eastAsia="es-MX"/>
        </w:rPr>
        <w:t xml:space="preserve"> (párr.</w:t>
      </w:r>
      <w:r w:rsidR="00945BDC">
        <w:rPr>
          <w:rFonts w:ascii="Arial Narrow" w:eastAsiaTheme="minorEastAsia" w:hAnsi="Arial Narrow" w:cs="Arial"/>
          <w:lang w:val="es-ES_tradnl" w:eastAsia="es-MX"/>
        </w:rPr>
        <w:t xml:space="preserve"> </w:t>
      </w:r>
      <w:r w:rsidRPr="00FC1EA6">
        <w:rPr>
          <w:rFonts w:ascii="Arial Narrow" w:eastAsiaTheme="minorEastAsia" w:hAnsi="Arial Narrow" w:cs="Arial"/>
          <w:lang w:val="es-ES_tradnl" w:eastAsia="es-MX"/>
        </w:rPr>
        <w:t>45)</w:t>
      </w:r>
      <w:r w:rsidR="00DD4653" w:rsidRPr="00FC1EA6">
        <w:rPr>
          <w:rFonts w:ascii="Arial Narrow" w:eastAsiaTheme="minorEastAsia" w:hAnsi="Arial Narrow" w:cs="Arial"/>
          <w:lang w:val="es-ES_tradnl" w:eastAsia="es-MX"/>
        </w:rPr>
        <w:t>. Sobre el particular, sería deseable que la CIDH aludiera específicamente a la importancia de que se agoten todas las líneas de investigación que surgen de este testimonio, incluyendo las relacionadas con el esquema de macrocriminalidad descrito por el</w:t>
      </w:r>
      <w:r w:rsidRPr="00FC1EA6">
        <w:rPr>
          <w:rFonts w:ascii="Arial Narrow" w:eastAsiaTheme="minorEastAsia" w:hAnsi="Arial Narrow" w:cs="Arial"/>
          <w:lang w:val="es-ES_tradnl" w:eastAsia="es-MX"/>
        </w:rPr>
        <w:t xml:space="preserve"> </w:t>
      </w:r>
      <w:r w:rsidR="00DD4653" w:rsidRPr="00FC1EA6">
        <w:rPr>
          <w:rFonts w:ascii="Arial Narrow" w:eastAsiaTheme="minorEastAsia" w:hAnsi="Arial Narrow" w:cs="Arial"/>
          <w:lang w:val="es-ES_tradnl" w:eastAsia="es-MX"/>
        </w:rPr>
        <w:t>deponente, que alcanza a políticos del Estado de Guerrero y a elementos del 27 Batall</w:t>
      </w:r>
      <w:r w:rsidR="00577D4A" w:rsidRPr="00FC1EA6">
        <w:rPr>
          <w:rFonts w:ascii="Arial Narrow" w:eastAsiaTheme="minorEastAsia" w:hAnsi="Arial Narrow" w:cs="Arial"/>
          <w:lang w:val="es-ES_tradnl" w:eastAsia="es-MX"/>
        </w:rPr>
        <w:t>ó</w:t>
      </w:r>
      <w:r w:rsidR="00DD4653" w:rsidRPr="00FC1EA6">
        <w:rPr>
          <w:rFonts w:ascii="Arial Narrow" w:eastAsiaTheme="minorEastAsia" w:hAnsi="Arial Narrow" w:cs="Arial"/>
          <w:lang w:val="es-ES_tradnl" w:eastAsia="es-MX"/>
        </w:rPr>
        <w:t xml:space="preserve">n de Infantería, como podrá corroborarlo la Comisión. </w:t>
      </w:r>
      <w:r w:rsidR="00577D4A" w:rsidRPr="00FC1EA6">
        <w:rPr>
          <w:rFonts w:ascii="Arial Narrow" w:eastAsiaTheme="minorEastAsia" w:hAnsi="Arial Narrow" w:cs="Arial"/>
          <w:lang w:val="es-ES_tradnl" w:eastAsia="es-MX"/>
        </w:rPr>
        <w:t>En este mismo apartado, se hace mención de que</w:t>
      </w:r>
      <w:r w:rsidRPr="00FC1EA6">
        <w:rPr>
          <w:rFonts w:ascii="Arial Narrow" w:eastAsiaTheme="minorEastAsia" w:hAnsi="Arial Narrow" w:cs="Arial"/>
          <w:lang w:val="es-ES_tradnl" w:eastAsia="es-MX"/>
        </w:rPr>
        <w:t>,</w:t>
      </w:r>
      <w:r w:rsidR="00577D4A" w:rsidRPr="00FC1EA6">
        <w:rPr>
          <w:rFonts w:ascii="Arial Narrow" w:eastAsiaTheme="minorEastAsia" w:hAnsi="Arial Narrow" w:cs="Arial"/>
          <w:lang w:val="es-ES_tradnl" w:eastAsia="es-MX"/>
        </w:rPr>
        <w:t xml:space="preserve"> </w:t>
      </w:r>
      <w:r w:rsidRPr="00FC1EA6">
        <w:rPr>
          <w:rFonts w:ascii="Arial Narrow" w:eastAsiaTheme="minorEastAsia" w:hAnsi="Arial Narrow" w:cs="Arial"/>
          <w:lang w:val="es-ES_tradnl" w:eastAsia="es-MX"/>
        </w:rPr>
        <w:t>de acuerdo a la información proveída por esta representación, actualmente hay</w:t>
      </w:r>
      <w:r w:rsidR="00577D4A" w:rsidRPr="00FC1EA6">
        <w:rPr>
          <w:rFonts w:ascii="Arial Narrow" w:eastAsiaTheme="minorEastAsia" w:hAnsi="Arial Narrow" w:cs="Arial"/>
          <w:lang w:val="es-ES_tradnl" w:eastAsia="es-MX"/>
        </w:rPr>
        <w:t xml:space="preserve"> </w:t>
      </w:r>
      <w:r w:rsidRPr="00FC1EA6">
        <w:rPr>
          <w:rFonts w:ascii="Arial Narrow" w:eastAsiaTheme="minorEastAsia" w:hAnsi="Arial Narrow" w:cs="Arial"/>
          <w:lang w:val="es-ES_tradnl" w:eastAsia="es-MX"/>
        </w:rPr>
        <w:t>cinco</w:t>
      </w:r>
      <w:r w:rsidR="00577D4A" w:rsidRPr="00FC1EA6">
        <w:rPr>
          <w:rFonts w:ascii="Arial Narrow" w:eastAsiaTheme="minorEastAsia" w:hAnsi="Arial Narrow" w:cs="Arial"/>
          <w:lang w:val="es-ES_tradnl" w:eastAsia="es-MX"/>
        </w:rPr>
        <w:t xml:space="preserve"> personas prófugas. Al respecto, es importante matizar </w:t>
      </w:r>
      <w:r w:rsidR="00857DB9" w:rsidRPr="00FC1EA6">
        <w:rPr>
          <w:rFonts w:ascii="Arial Narrow" w:eastAsiaTheme="minorEastAsia" w:hAnsi="Arial Narrow" w:cs="Arial"/>
          <w:lang w:val="es-ES_tradnl" w:eastAsia="es-MX"/>
        </w:rPr>
        <w:t>que las menciones de la representación en sus escritos no se refieren a una lista taxativa de personas prófugas</w:t>
      </w:r>
      <w:r w:rsidR="00577D4A" w:rsidRPr="00FC1EA6">
        <w:rPr>
          <w:rFonts w:ascii="Arial Narrow" w:eastAsiaTheme="minorEastAsia" w:hAnsi="Arial Narrow" w:cs="Arial"/>
          <w:lang w:val="es-ES_tradnl" w:eastAsia="es-MX"/>
        </w:rPr>
        <w:t>, siendo este número un aproximado no definitivo</w:t>
      </w:r>
      <w:r w:rsidR="00857DB9" w:rsidRPr="00FC1EA6">
        <w:rPr>
          <w:rFonts w:ascii="Arial Narrow" w:eastAsiaTheme="minorEastAsia" w:hAnsi="Arial Narrow" w:cs="Arial"/>
          <w:lang w:val="es-ES_tradnl" w:eastAsia="es-MX"/>
        </w:rPr>
        <w:t>. Es</w:t>
      </w:r>
      <w:r w:rsidR="00577D4A" w:rsidRPr="00FC1EA6">
        <w:rPr>
          <w:rFonts w:ascii="Arial Narrow" w:eastAsiaTheme="minorEastAsia" w:hAnsi="Arial Narrow" w:cs="Arial"/>
          <w:lang w:val="es-ES_tradnl" w:eastAsia="es-MX"/>
        </w:rPr>
        <w:t xml:space="preserve"> igualmente importante precisar que</w:t>
      </w:r>
      <w:r w:rsidR="00857DB9" w:rsidRPr="00FC1EA6">
        <w:rPr>
          <w:rFonts w:ascii="Arial Narrow" w:eastAsiaTheme="minorEastAsia" w:hAnsi="Arial Narrow" w:cs="Arial"/>
          <w:lang w:val="es-ES_tradnl" w:eastAsia="es-MX"/>
        </w:rPr>
        <w:t>,</w:t>
      </w:r>
      <w:r w:rsidR="00577D4A" w:rsidRPr="00FC1EA6">
        <w:rPr>
          <w:rFonts w:ascii="Arial Narrow" w:eastAsiaTheme="minorEastAsia" w:hAnsi="Arial Narrow" w:cs="Arial"/>
          <w:lang w:val="es-ES_tradnl" w:eastAsia="es-MX"/>
        </w:rPr>
        <w:t xml:space="preserve"> en algunos de esos casos, los mandatos de captura permanecen incumplidos desde 2014</w:t>
      </w:r>
      <w:r w:rsidR="00857DB9" w:rsidRPr="00FC1EA6">
        <w:rPr>
          <w:rFonts w:ascii="Arial Narrow" w:eastAsiaTheme="minorEastAsia" w:hAnsi="Arial Narrow" w:cs="Arial"/>
          <w:lang w:val="es-ES_tradnl" w:eastAsia="es-MX"/>
        </w:rPr>
        <w:t xml:space="preserve"> y que la falta de </w:t>
      </w:r>
      <w:r w:rsidR="00C106DC" w:rsidRPr="00FC1EA6">
        <w:rPr>
          <w:rFonts w:ascii="Arial Narrow" w:eastAsiaTheme="minorEastAsia" w:hAnsi="Arial Narrow" w:cs="Arial"/>
          <w:lang w:val="es-ES_tradnl" w:eastAsia="es-MX"/>
        </w:rPr>
        <w:t>profundización</w:t>
      </w:r>
      <w:r w:rsidR="00857DB9" w:rsidRPr="00FC1EA6">
        <w:rPr>
          <w:rFonts w:ascii="Arial Narrow" w:eastAsiaTheme="minorEastAsia" w:hAnsi="Arial Narrow" w:cs="Arial"/>
          <w:lang w:val="es-ES_tradnl" w:eastAsia="es-MX"/>
        </w:rPr>
        <w:t xml:space="preserve"> de líneas de investigación no ha permitido que la PGR ordene al menos la localización y presentación de personas que podrían aportar información relevante para el caso.</w:t>
      </w:r>
    </w:p>
    <w:p w14:paraId="2F3C149F" w14:textId="50BB64F0" w:rsidR="00DD4653" w:rsidRPr="00FC1EA6" w:rsidRDefault="00DD4653"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 </w:t>
      </w:r>
    </w:p>
    <w:p w14:paraId="0105B354" w14:textId="2A3191A9" w:rsidR="00963A4E" w:rsidRPr="00FC1EA6" w:rsidRDefault="005A17A3"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w:t>
      </w:r>
      <w:r w:rsidR="0096320E" w:rsidRPr="00FC1EA6">
        <w:rPr>
          <w:rFonts w:ascii="Arial Narrow" w:eastAsiaTheme="minorEastAsia" w:hAnsi="Arial Narrow" w:cs="Arial"/>
          <w:lang w:val="es-ES_tradnl" w:eastAsia="es-MX"/>
        </w:rPr>
        <w:t>9</w:t>
      </w:r>
      <w:r w:rsidRPr="00FC1EA6">
        <w:rPr>
          <w:rFonts w:ascii="Arial Narrow" w:eastAsiaTheme="minorEastAsia" w:hAnsi="Arial Narrow" w:cs="Arial"/>
          <w:lang w:val="es-ES_tradnl" w:eastAsia="es-MX"/>
        </w:rPr>
        <w:t xml:space="preserve"> En el apartado “Pliegos de consignación (acusación)” (párrafos 46 a 49), sería deseable que la CIDH estableciera que ni la Ilustre Comisión ni la representación victimal tuvieron acceso previo y completo a los pliegos de consignación (acusaciones) a efecto de cerciorarse de que los extremos contenidos en estos y especialmente sus marcos fácticos estuvieron acordes con los hechos hasta ahora esclarecidos a partir de los informes del Grupo Interdisciplinario de Expertos Independientes (GIEI) y la propia Comisión Nacional de los Derechos Humanos (CNDH)</w:t>
      </w:r>
      <w:r w:rsidR="00963A4E" w:rsidRPr="00FC1EA6">
        <w:rPr>
          <w:rFonts w:ascii="Arial Narrow" w:eastAsiaTheme="minorEastAsia" w:hAnsi="Arial Narrow" w:cs="Arial"/>
          <w:lang w:val="es-ES_tradnl" w:eastAsia="es-MX"/>
        </w:rPr>
        <w:t>. Igualmente, sería deseable que se hiciera un balance amplio sobre las nuevas acusaciones para concluir que, durante la vigencia del Mecanismo, se intentaron 3 nuevas acciones penales referentes a 45 servidores públicos (activos o en retiro), 29 de los cuales ya se encuentra</w:t>
      </w:r>
      <w:r w:rsidR="00351A21" w:rsidRPr="00FC1EA6">
        <w:rPr>
          <w:rFonts w:ascii="Arial Narrow" w:eastAsiaTheme="minorEastAsia" w:hAnsi="Arial Narrow" w:cs="Arial"/>
          <w:lang w:val="es-ES_tradnl" w:eastAsia="es-MX"/>
        </w:rPr>
        <w:t>n</w:t>
      </w:r>
      <w:r w:rsidR="00963A4E" w:rsidRPr="00FC1EA6">
        <w:rPr>
          <w:rFonts w:ascii="Arial Narrow" w:eastAsiaTheme="minorEastAsia" w:hAnsi="Arial Narrow" w:cs="Arial"/>
          <w:lang w:val="es-ES_tradnl" w:eastAsia="es-MX"/>
        </w:rPr>
        <w:t xml:space="preserve"> detenidos, de las cuales ninguna ha prosperado pues no se ha dictado ningún nuevo auto de formal prisión. En ese sentido, sería relevante que la CIDH le señale al Estado que el éxito de las nuevas acusaciones no s</w:t>
      </w:r>
      <w:r w:rsidR="006608F7" w:rsidRPr="00FC1EA6">
        <w:rPr>
          <w:rFonts w:ascii="Arial Narrow" w:eastAsiaTheme="minorEastAsia" w:hAnsi="Arial Narrow" w:cs="Arial"/>
          <w:lang w:val="es-ES_tradnl" w:eastAsia="es-MX"/>
        </w:rPr>
        <w:t>e agota con su sola formulación</w:t>
      </w:r>
      <w:r w:rsidR="00351A21" w:rsidRPr="00FC1EA6">
        <w:rPr>
          <w:rFonts w:ascii="Arial Narrow" w:eastAsiaTheme="minorEastAsia" w:hAnsi="Arial Narrow" w:cs="Arial"/>
          <w:lang w:val="es-ES_tradnl" w:eastAsia="es-MX"/>
        </w:rPr>
        <w:t>,</w:t>
      </w:r>
      <w:r w:rsidR="00963A4E" w:rsidRPr="00FC1EA6">
        <w:rPr>
          <w:rFonts w:ascii="Arial Narrow" w:eastAsiaTheme="minorEastAsia" w:hAnsi="Arial Narrow" w:cs="Arial"/>
          <w:lang w:val="es-ES_tradnl" w:eastAsia="es-MX"/>
        </w:rPr>
        <w:t xml:space="preserve"> sino que es necesario el efectivo procesamiento de quienes participaron en los hechos como perpetradores, máxime si los tribunales deniegan dicho procesamiento aduciendo “insuficiencia probatoria” en la labor de investigación de los delitos llevada adelante por la Procuraduría General de la República. Finalmente, específicamente por cuanto hace a las acusaciones contra nueve elementos de la Policía de Huitzuco (</w:t>
      </w:r>
      <w:r w:rsidR="006608F7" w:rsidRPr="00FC1EA6">
        <w:rPr>
          <w:rFonts w:ascii="Arial Narrow" w:eastAsiaTheme="minorEastAsia" w:hAnsi="Arial Narrow" w:cs="Arial"/>
          <w:lang w:val="es-ES_tradnl" w:eastAsia="es-MX"/>
        </w:rPr>
        <w:t>párr</w:t>
      </w:r>
      <w:r w:rsidR="00963A4E" w:rsidRPr="00FC1EA6">
        <w:rPr>
          <w:rFonts w:ascii="Arial Narrow" w:eastAsiaTheme="minorEastAsia" w:hAnsi="Arial Narrow" w:cs="Arial"/>
          <w:lang w:val="es-ES_tradnl" w:eastAsia="es-MX"/>
        </w:rPr>
        <w:t>. 47), esta representación considera relevante que se subraye que en la acusación no se incluyó al Director de dicha Policía, pese a los señalamientos que pesan en su contra.</w:t>
      </w:r>
      <w:r w:rsidR="006F5C46" w:rsidRPr="00FC1EA6">
        <w:rPr>
          <w:rFonts w:ascii="Arial Narrow" w:eastAsiaTheme="minorEastAsia" w:hAnsi="Arial Narrow" w:cs="Arial"/>
          <w:lang w:val="es-ES_tradnl" w:eastAsia="es-MX"/>
        </w:rPr>
        <w:t xml:space="preserve"> Por otro lado, sería relevante también que los dos funcionarios ministeriales contra quienes se ha ejercitado infructuosamente acción penal fueran identificados como “servidores públicos de la policía ministerial del Estado de Guerrero, dependiente de la </w:t>
      </w:r>
      <w:r w:rsidR="0096320E" w:rsidRPr="00FC1EA6">
        <w:rPr>
          <w:rFonts w:ascii="Arial Narrow" w:eastAsiaTheme="minorEastAsia" w:hAnsi="Arial Narrow" w:cs="Arial"/>
          <w:lang w:val="es-ES_tradnl" w:eastAsia="es-MX"/>
        </w:rPr>
        <w:t>Procuraduría</w:t>
      </w:r>
      <w:r w:rsidR="006F5C46" w:rsidRPr="00FC1EA6">
        <w:rPr>
          <w:rFonts w:ascii="Arial Narrow" w:eastAsiaTheme="minorEastAsia" w:hAnsi="Arial Narrow" w:cs="Arial"/>
          <w:lang w:val="es-ES_tradnl" w:eastAsia="es-MX"/>
        </w:rPr>
        <w:t xml:space="preserve"> General de Justicia del Estado” a efecto de hacer patente su adscripción</w:t>
      </w:r>
      <w:r w:rsidR="0096320E" w:rsidRPr="00FC1EA6">
        <w:rPr>
          <w:rFonts w:ascii="Arial Narrow" w:eastAsiaTheme="minorEastAsia" w:hAnsi="Arial Narrow" w:cs="Arial"/>
          <w:lang w:val="es-ES_tradnl" w:eastAsia="es-MX"/>
        </w:rPr>
        <w:t>,</w:t>
      </w:r>
      <w:r w:rsidR="006F5C46" w:rsidRPr="00FC1EA6">
        <w:rPr>
          <w:rFonts w:ascii="Arial Narrow" w:eastAsiaTheme="minorEastAsia" w:hAnsi="Arial Narrow" w:cs="Arial"/>
          <w:lang w:val="es-ES_tradnl" w:eastAsia="es-MX"/>
        </w:rPr>
        <w:t xml:space="preserve"> pues ello corrobora que llevaba la razón el GIEI al apuntar a la responsabilidad de funcionarios del ámbito </w:t>
      </w:r>
      <w:r w:rsidR="0096320E" w:rsidRPr="00FC1EA6">
        <w:rPr>
          <w:rFonts w:ascii="Arial Narrow" w:eastAsiaTheme="minorEastAsia" w:hAnsi="Arial Narrow" w:cs="Arial"/>
          <w:lang w:val="es-ES_tradnl" w:eastAsia="es-MX"/>
        </w:rPr>
        <w:t>estat</w:t>
      </w:r>
      <w:r w:rsidR="006F5C46" w:rsidRPr="00FC1EA6">
        <w:rPr>
          <w:rFonts w:ascii="Arial Narrow" w:eastAsiaTheme="minorEastAsia" w:hAnsi="Arial Narrow" w:cs="Arial"/>
          <w:lang w:val="es-ES_tradnl" w:eastAsia="es-MX"/>
        </w:rPr>
        <w:t xml:space="preserve">al. </w:t>
      </w:r>
      <w:r w:rsidR="00963A4E" w:rsidRPr="00FC1EA6">
        <w:rPr>
          <w:rFonts w:ascii="Arial Narrow" w:eastAsiaTheme="minorEastAsia" w:hAnsi="Arial Narrow" w:cs="Arial"/>
          <w:lang w:val="es-ES_tradnl" w:eastAsia="es-MX"/>
        </w:rPr>
        <w:t xml:space="preserve"> </w:t>
      </w:r>
    </w:p>
    <w:p w14:paraId="52BD46F3" w14:textId="77777777" w:rsidR="00963A4E" w:rsidRPr="00FC1EA6" w:rsidRDefault="00963A4E"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4257C347" w14:textId="4AADC8DA" w:rsidR="00032436" w:rsidRPr="00FC1EA6" w:rsidRDefault="00963A4E"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w:t>
      </w:r>
      <w:r w:rsidR="00720503" w:rsidRPr="00FC1EA6">
        <w:rPr>
          <w:rFonts w:ascii="Arial Narrow" w:eastAsiaTheme="minorEastAsia" w:hAnsi="Arial Narrow" w:cs="Arial"/>
          <w:lang w:val="es-ES_tradnl" w:eastAsia="es-MX"/>
        </w:rPr>
        <w:t>10</w:t>
      </w:r>
      <w:r w:rsidRPr="00FC1EA6">
        <w:rPr>
          <w:rFonts w:ascii="Arial Narrow" w:eastAsiaTheme="minorEastAsia" w:hAnsi="Arial Narrow" w:cs="Arial"/>
          <w:lang w:val="es-ES_tradnl" w:eastAsia="es-MX"/>
        </w:rPr>
        <w:t xml:space="preserve"> En el apartado “Análisis técnico de telefonía” estimamos relevante que se señale que el Estado ha aceptado que al menos 9 teléfonos y/o IMEIS</w:t>
      </w:r>
      <w:r w:rsidR="00032436" w:rsidRPr="00FC1EA6">
        <w:rPr>
          <w:rFonts w:ascii="Arial Narrow" w:eastAsiaTheme="minorEastAsia" w:hAnsi="Arial Narrow" w:cs="Arial"/>
          <w:lang w:val="es-ES_tradnl" w:eastAsia="es-MX"/>
        </w:rPr>
        <w:t xml:space="preserve"> (International Mobile Station Equipment Identity)</w:t>
      </w:r>
      <w:r w:rsidRPr="00FC1EA6">
        <w:rPr>
          <w:rFonts w:ascii="Arial Narrow" w:eastAsiaTheme="minorEastAsia" w:hAnsi="Arial Narrow" w:cs="Arial"/>
          <w:lang w:val="es-ES_tradnl" w:eastAsia="es-MX"/>
        </w:rPr>
        <w:t xml:space="preserve"> de los estudiantes tuvieron actividad después de la medianoche del 26 de septiembre de 2014, pese a que en un primer momento el propio Estado afirmó que los teléfonos habrían tenido el mismo destino que afirmó tuvieron las víctimas en la primera fase de la investigación. En ese sentido, es relevante que se asiente también que al menos uno de estos teléfonos fue encontrado en manos de un funcionario de seguridad pública Estatal, lo que debería esclarecerse con celeridad.   </w:t>
      </w:r>
    </w:p>
    <w:p w14:paraId="3BEB486B" w14:textId="77777777" w:rsidR="00032436" w:rsidRPr="00FC1EA6" w:rsidRDefault="00032436"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4C46119A" w14:textId="58E85366" w:rsidR="00032436" w:rsidRPr="00FC1EA6" w:rsidRDefault="00032436"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2.1</w:t>
      </w:r>
      <w:r w:rsidR="00720503" w:rsidRPr="00FC1EA6">
        <w:rPr>
          <w:rFonts w:ascii="Arial Narrow" w:eastAsiaTheme="minorEastAsia" w:hAnsi="Arial Narrow" w:cs="Arial"/>
          <w:lang w:val="es-ES_tradnl" w:eastAsia="es-MX"/>
        </w:rPr>
        <w:t>1</w:t>
      </w:r>
      <w:r w:rsidRPr="00FC1EA6">
        <w:rPr>
          <w:rFonts w:ascii="Arial Narrow" w:eastAsiaTheme="minorEastAsia" w:hAnsi="Arial Narrow" w:cs="Arial"/>
          <w:lang w:val="es-ES_tradnl" w:eastAsia="es-MX"/>
        </w:rPr>
        <w:t xml:space="preserve"> Sobre el apartado “Tráfico de drogas y Asistencia Técnica Internacional”, consideramos relevante que esta Ilustre CIDH asiente que ha tenido conocimiento de que la representación victimal ha solicitado el desahogo de 67 pruebas para terminar de explotar la información que surge de los mensajes de telefonía recabados por las autoridades de los Estados Unidos</w:t>
      </w:r>
      <w:r w:rsidR="00351A21" w:rsidRPr="00FC1EA6">
        <w:rPr>
          <w:rFonts w:ascii="Arial Narrow" w:eastAsiaTheme="minorEastAsia" w:hAnsi="Arial Narrow" w:cs="Arial"/>
          <w:lang w:val="es-ES_tradnl" w:eastAsia="es-MX"/>
        </w:rPr>
        <w:t>; presentadas ante la Comisión durante el pasado 167 periodo de sesiones y trasladadas formalmente en escr</w:t>
      </w:r>
      <w:r w:rsidR="00945BDC">
        <w:rPr>
          <w:rFonts w:ascii="Arial Narrow" w:eastAsiaTheme="minorEastAsia" w:hAnsi="Arial Narrow" w:cs="Arial"/>
          <w:lang w:val="es-ES_tradnl" w:eastAsia="es-MX"/>
        </w:rPr>
        <w:t>ito de 9 de marzo del presente.</w:t>
      </w:r>
      <w:r w:rsidRPr="00FC1EA6">
        <w:rPr>
          <w:rFonts w:ascii="Arial Narrow" w:eastAsiaTheme="minorEastAsia" w:hAnsi="Arial Narrow" w:cs="Arial"/>
          <w:lang w:val="es-ES_tradnl" w:eastAsia="es-MX"/>
        </w:rPr>
        <w:t xml:space="preserve"> </w:t>
      </w:r>
    </w:p>
    <w:p w14:paraId="371E2DE4" w14:textId="77777777" w:rsidR="00032436" w:rsidRPr="00FC1EA6" w:rsidRDefault="00032436"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1BD361B7" w14:textId="505CAFBB" w:rsidR="00395222" w:rsidRPr="00FC1EA6" w:rsidRDefault="00032436"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lastRenderedPageBreak/>
        <w:t>2.1</w:t>
      </w:r>
      <w:r w:rsidR="00720503" w:rsidRPr="00FC1EA6">
        <w:rPr>
          <w:rFonts w:ascii="Arial Narrow" w:eastAsiaTheme="minorEastAsia" w:hAnsi="Arial Narrow" w:cs="Arial"/>
          <w:lang w:val="es-ES_tradnl" w:eastAsia="es-MX"/>
        </w:rPr>
        <w:t>2</w:t>
      </w:r>
      <w:r w:rsidRPr="00FC1EA6">
        <w:rPr>
          <w:rFonts w:ascii="Arial Narrow" w:eastAsiaTheme="minorEastAsia" w:hAnsi="Arial Narrow" w:cs="Arial"/>
          <w:lang w:val="es-ES_tradnl" w:eastAsia="es-MX"/>
        </w:rPr>
        <w:t xml:space="preserve"> </w:t>
      </w:r>
      <w:r w:rsidR="00395222" w:rsidRPr="00FC1EA6">
        <w:rPr>
          <w:rFonts w:ascii="Arial Narrow" w:eastAsiaTheme="minorEastAsia" w:hAnsi="Arial Narrow" w:cs="Arial"/>
          <w:lang w:val="es-ES_tradnl" w:eastAsia="es-MX"/>
        </w:rPr>
        <w:t>Sobre el apartado “Quinto autobús” estimamos relevante que el mismo se titule “Trasiego de drogas en autobuses” a efecto de que en el mismo se aluda, no sólo a cuanto concierne al autobús Estrella Roja 3278, sino también a otros autobuses relacionados con los hechos del 26 de septiembre de 2014; máxime considerando que en la información recibida recientemente en la investigación se alude a posibles vínculos entre la organización delictiva implicada en los hechos y la empresa “Estrella Blanca”, lo que desde</w:t>
      </w:r>
      <w:r w:rsidR="006608F7" w:rsidRPr="00FC1EA6">
        <w:rPr>
          <w:rFonts w:ascii="Arial Narrow" w:eastAsiaTheme="minorEastAsia" w:hAnsi="Arial Narrow" w:cs="Arial"/>
          <w:lang w:val="es-ES_tradnl" w:eastAsia="es-MX"/>
        </w:rPr>
        <w:t xml:space="preserve"> </w:t>
      </w:r>
      <w:r w:rsidR="00395222" w:rsidRPr="00FC1EA6">
        <w:rPr>
          <w:rFonts w:ascii="Arial Narrow" w:eastAsiaTheme="minorEastAsia" w:hAnsi="Arial Narrow" w:cs="Arial"/>
          <w:lang w:val="es-ES_tradnl" w:eastAsia="es-MX"/>
        </w:rPr>
        <w:t>nuestra perspectiva abre las líneas de investigación hacia todas las empresas de autobuses (formales o tipo “chárter”) con presencia en Iguala.</w:t>
      </w:r>
    </w:p>
    <w:p w14:paraId="175873D0" w14:textId="77777777" w:rsidR="00395222" w:rsidRPr="00FC1EA6" w:rsidRDefault="00395222"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375FAD3B" w14:textId="0ECE7014" w:rsidR="00395222" w:rsidRPr="00FC1EA6" w:rsidRDefault="00395222"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2.1</w:t>
      </w:r>
      <w:r w:rsidR="00720503" w:rsidRPr="00FC1EA6">
        <w:rPr>
          <w:rFonts w:ascii="Arial Narrow" w:eastAsiaTheme="minorEastAsia" w:hAnsi="Arial Narrow" w:cs="Arial"/>
          <w:lang w:val="es-ES_tradnl" w:eastAsia="es-MX"/>
        </w:rPr>
        <w:t>3</w:t>
      </w:r>
      <w:r w:rsidRPr="00FC1EA6">
        <w:rPr>
          <w:rFonts w:ascii="Arial Narrow" w:eastAsiaTheme="minorEastAsia" w:hAnsi="Arial Narrow" w:cs="Arial"/>
          <w:lang w:val="es-ES_tradnl" w:eastAsia="es-MX"/>
        </w:rPr>
        <w:t xml:space="preserve"> </w:t>
      </w:r>
      <w:r w:rsidR="00032436" w:rsidRPr="00FC1EA6">
        <w:rPr>
          <w:rFonts w:ascii="Arial Narrow" w:eastAsiaTheme="minorEastAsia" w:hAnsi="Arial Narrow" w:cs="Arial"/>
          <w:lang w:val="es-ES_tradnl" w:eastAsia="es-MX"/>
        </w:rPr>
        <w:t>Sobre el apartado “Posible participación de Policías Municipales”</w:t>
      </w:r>
      <w:r w:rsidRPr="00FC1EA6">
        <w:rPr>
          <w:rFonts w:ascii="Arial Narrow" w:eastAsiaTheme="minorEastAsia" w:hAnsi="Arial Narrow" w:cs="Arial"/>
          <w:lang w:val="es-ES_tradnl" w:eastAsia="es-MX"/>
        </w:rPr>
        <w:t xml:space="preserve"> dado que en el párrafo 71 se alude a dos policías municipales en particular (Pilcaya y Tepecoacuilco), estimamos relevante que se destaque que ello no exime de que se profundice la investigación sobre otras policías cuya intervención ya está probada (Iguala, Cocula, Huitzuco) y otras respecto de las cuales obran indicios que deberían indagarse (Taxco, Apaxtla). Ello con la intención de que las menciones sobre las dos primeras policías no se entiendan de forma limitativa. </w:t>
      </w:r>
      <w:r w:rsidR="00F403D9" w:rsidRPr="00FC1EA6">
        <w:rPr>
          <w:rFonts w:ascii="Arial Narrow" w:eastAsiaTheme="minorEastAsia" w:hAnsi="Arial Narrow" w:cs="Arial"/>
          <w:lang w:val="es-ES_tradnl" w:eastAsia="es-MX"/>
        </w:rPr>
        <w:t xml:space="preserve">Específicamente, es relevante que se reitere lo concerniente a la Policía de Huitzuco, pues su ubicación en algunas de las escenas de los hechos por medio de telefonía es consecuencia directa de la insistencia del GIEI y por tanto de la CIDH, siendo de primera relevancia que esos perpetradores ya identificados no queden impunes.  </w:t>
      </w:r>
    </w:p>
    <w:p w14:paraId="6C8592E3" w14:textId="65AFD1DA" w:rsidR="00395222" w:rsidRPr="00FC1EA6" w:rsidRDefault="00395222"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2512987A" w14:textId="6AF00EAB" w:rsidR="00DD4653" w:rsidRPr="00FC1EA6" w:rsidRDefault="00DD4653"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Sobre el apartado referido a los personajes identificados como “El </w:t>
      </w:r>
      <w:r w:rsidR="00720503" w:rsidRPr="00FC1EA6">
        <w:rPr>
          <w:rFonts w:ascii="Arial Narrow" w:eastAsiaTheme="minorEastAsia" w:hAnsi="Arial Narrow" w:cs="Arial"/>
          <w:lang w:val="es-ES_tradnl" w:eastAsia="es-MX"/>
        </w:rPr>
        <w:t>Patrón</w:t>
      </w:r>
      <w:r w:rsidRPr="00FC1EA6">
        <w:rPr>
          <w:rFonts w:ascii="Arial Narrow" w:eastAsiaTheme="minorEastAsia" w:hAnsi="Arial Narrow" w:cs="Arial"/>
          <w:lang w:val="es-ES_tradnl" w:eastAsia="es-MX"/>
        </w:rPr>
        <w:t xml:space="preserve">” y “El Caminante”, además de las relevantes consideraciones de la CIDH es pertinente señalar que incluso en la indagatoria hay contradicciones sobre la identidad de estos. </w:t>
      </w:r>
    </w:p>
    <w:p w14:paraId="340D2C6B" w14:textId="77777777" w:rsidR="00DD4653" w:rsidRPr="00FC1EA6" w:rsidRDefault="00DD4653"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5B61023A" w14:textId="5B7AD4DD" w:rsidR="00506059" w:rsidRPr="00FC1EA6" w:rsidRDefault="00395222"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2.1</w:t>
      </w:r>
      <w:r w:rsidR="00720503" w:rsidRPr="00FC1EA6">
        <w:rPr>
          <w:rFonts w:ascii="Arial Narrow" w:eastAsiaTheme="minorEastAsia" w:hAnsi="Arial Narrow" w:cs="Arial"/>
          <w:lang w:val="es-ES_tradnl" w:eastAsia="es-MX"/>
        </w:rPr>
        <w:t>4</w:t>
      </w:r>
      <w:r w:rsidRPr="00FC1EA6">
        <w:rPr>
          <w:rFonts w:ascii="Arial Narrow" w:eastAsiaTheme="minorEastAsia" w:hAnsi="Arial Narrow" w:cs="Arial"/>
          <w:lang w:val="es-ES_tradnl" w:eastAsia="es-MX"/>
        </w:rPr>
        <w:t xml:space="preserve"> Sobre el apartado </w:t>
      </w:r>
      <w:r w:rsidR="00506059" w:rsidRPr="00FC1EA6">
        <w:rPr>
          <w:rFonts w:ascii="Arial Narrow" w:eastAsiaTheme="minorEastAsia" w:hAnsi="Arial Narrow" w:cs="Arial"/>
          <w:lang w:val="es-ES_tradnl" w:eastAsia="es-MX"/>
        </w:rPr>
        <w:t>“Investigaciones de presuntas torturas y malos tratos” (párrafos 83 a 86), dado que se alude tanto a las investigaciones realizadas por la OACNUDH como a las que conduce la CNDH y que se encuentra en curso, y considerando que en respuesta a ambas investigaciones el Estado ha cuestionado públicamente</w:t>
      </w:r>
      <w:r w:rsidR="00506059" w:rsidRPr="00FC1EA6">
        <w:rPr>
          <w:rStyle w:val="FootnoteReference"/>
          <w:rFonts w:ascii="Arial Narrow" w:eastAsiaTheme="minorEastAsia" w:hAnsi="Arial Narrow" w:cs="Arial"/>
          <w:lang w:val="es-ES_tradnl" w:eastAsia="es-MX"/>
        </w:rPr>
        <w:footnoteReference w:id="1"/>
      </w:r>
      <w:r w:rsidR="00506059" w:rsidRPr="00FC1EA6">
        <w:rPr>
          <w:rFonts w:ascii="Arial Narrow" w:eastAsiaTheme="minorEastAsia" w:hAnsi="Arial Narrow" w:cs="Arial"/>
          <w:lang w:val="es-ES_tradnl" w:eastAsia="es-MX"/>
        </w:rPr>
        <w:t xml:space="preserve"> a ambas instancias por intervenir en el presente caso señalando que ya rinde cuentas ante esta CIDH</w:t>
      </w:r>
      <w:r w:rsidR="004772C3" w:rsidRPr="00FC1EA6">
        <w:rPr>
          <w:rStyle w:val="FootnoteReference"/>
          <w:rFonts w:ascii="Arial Narrow" w:eastAsiaTheme="minorEastAsia" w:hAnsi="Arial Narrow" w:cs="Arial"/>
          <w:lang w:val="es-ES_tradnl" w:eastAsia="es-MX"/>
        </w:rPr>
        <w:footnoteReference w:id="2"/>
      </w:r>
      <w:r w:rsidR="00506059" w:rsidRPr="00FC1EA6">
        <w:rPr>
          <w:rFonts w:ascii="Arial Narrow" w:eastAsiaTheme="minorEastAsia" w:hAnsi="Arial Narrow" w:cs="Arial"/>
          <w:lang w:val="es-ES_tradnl" w:eastAsia="es-MX"/>
        </w:rPr>
        <w:t>, la representación victimal considera indispensable que la Ilustre CIDH reiter</w:t>
      </w:r>
      <w:r w:rsidR="0081321E" w:rsidRPr="00FC1EA6">
        <w:rPr>
          <w:rFonts w:ascii="Arial Narrow" w:eastAsiaTheme="minorEastAsia" w:hAnsi="Arial Narrow" w:cs="Arial"/>
          <w:lang w:val="es-ES_tradnl" w:eastAsia="es-MX"/>
        </w:rPr>
        <w:t>e</w:t>
      </w:r>
      <w:r w:rsidR="00506059" w:rsidRPr="00FC1EA6">
        <w:rPr>
          <w:rFonts w:ascii="Arial Narrow" w:eastAsiaTheme="minorEastAsia" w:hAnsi="Arial Narrow" w:cs="Arial"/>
          <w:lang w:val="es-ES_tradnl" w:eastAsia="es-MX"/>
        </w:rPr>
        <w:t xml:space="preserve"> que dichas investigaciones complementan la que este órgano interamericano realiza, sin que pueda argumentarse que una sustituye a la otra, máxime ante un caso de semejante relevancia y trascendencia. En este sentido, que la propia CIDH señale en vía de contraste cómo la CNDH ha podido acceder a los centros de reclusión en ejercicio de sus facultades constitucionales y cómo la OACNUDH ha accedido a las quejas presentadas ante los mecanismos especiales de Naciones Unidas, sería relevante para mostrar la complementariedad entre las perspectivas de investigación de la CNDH, la CIDH y la OACNUDH, destacando más bien su convergencia. </w:t>
      </w:r>
    </w:p>
    <w:p w14:paraId="339F5D56" w14:textId="77777777" w:rsidR="00506059" w:rsidRPr="00FC1EA6" w:rsidRDefault="00506059"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03CC8629" w14:textId="1245020C" w:rsidR="005A17A3" w:rsidRPr="00FC1EA6" w:rsidRDefault="00506059"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2.1</w:t>
      </w:r>
      <w:r w:rsidR="004772C3" w:rsidRPr="00FC1EA6">
        <w:rPr>
          <w:rFonts w:ascii="Arial Narrow" w:eastAsiaTheme="minorEastAsia" w:hAnsi="Arial Narrow" w:cs="Arial"/>
          <w:lang w:val="es-ES_tradnl" w:eastAsia="es-MX"/>
        </w:rPr>
        <w:t>5</w:t>
      </w:r>
      <w:r w:rsidRPr="00FC1EA6">
        <w:rPr>
          <w:rFonts w:ascii="Arial Narrow" w:eastAsiaTheme="minorEastAsia" w:hAnsi="Arial Narrow" w:cs="Arial"/>
          <w:lang w:val="es-ES_tradnl" w:eastAsia="es-MX"/>
        </w:rPr>
        <w:t xml:space="preserve"> Respecto del apartado “Investigación respecto de la libreta de Sidronio Casarrubias”, estimamos pertinente que éste se titule “Investigación respecto de información ocultada al GIEI”, pues el texto incluye no sólo lo referente a la libreta de Sidronio Casarrubias, que efectivamente se ocultó en su momento al GIEI, sino también </w:t>
      </w:r>
      <w:r w:rsidR="007E18EC" w:rsidRPr="00FC1EA6">
        <w:rPr>
          <w:rFonts w:ascii="Arial Narrow" w:eastAsiaTheme="minorEastAsia" w:hAnsi="Arial Narrow" w:cs="Arial"/>
          <w:lang w:val="es-ES_tradnl" w:eastAsia="es-MX"/>
        </w:rPr>
        <w:t xml:space="preserve">lo relacionado con la existencia del caso de Gonzalo Martín Souza Neves “El Uruguayo”, quien fue detenido poco antes de la desaparición de los estudiantes cuando preparaba un autobús para transportar heroína hacia los Estados Unidos, siendo en ese momento identificado como “Líder de Guerreros Unidos”, sin que dicho antecedente se haya puesto de conocimiento del GIEI, sin que su nombre apareciera en los organigramas del grupo delictivo que se facilitaron a las y los expertos y sin que en ningún momento el Estado aceptara que existían antecedentes sobre el trasiego de drogas en autobuses.  </w:t>
      </w:r>
      <w:r w:rsidRPr="00FC1EA6">
        <w:rPr>
          <w:rFonts w:ascii="Arial Narrow" w:eastAsiaTheme="minorEastAsia" w:hAnsi="Arial Narrow" w:cs="Arial"/>
          <w:lang w:val="es-ES_tradnl" w:eastAsia="es-MX"/>
        </w:rPr>
        <w:t xml:space="preserve">      </w:t>
      </w:r>
      <w:r w:rsidR="00395222" w:rsidRPr="00FC1EA6">
        <w:rPr>
          <w:rFonts w:ascii="Arial Narrow" w:eastAsiaTheme="minorEastAsia" w:hAnsi="Arial Narrow" w:cs="Arial"/>
          <w:lang w:val="es-ES_tradnl" w:eastAsia="es-MX"/>
        </w:rPr>
        <w:t xml:space="preserve">  </w:t>
      </w:r>
      <w:r w:rsidR="00032436" w:rsidRPr="00FC1EA6">
        <w:rPr>
          <w:rFonts w:ascii="Arial Narrow" w:eastAsiaTheme="minorEastAsia" w:hAnsi="Arial Narrow" w:cs="Arial"/>
          <w:lang w:val="es-ES_tradnl" w:eastAsia="es-MX"/>
        </w:rPr>
        <w:t xml:space="preserve">   </w:t>
      </w:r>
      <w:r w:rsidR="005A17A3" w:rsidRPr="00FC1EA6">
        <w:rPr>
          <w:rFonts w:ascii="Arial Narrow" w:eastAsiaTheme="minorEastAsia" w:hAnsi="Arial Narrow" w:cs="Arial"/>
          <w:lang w:val="es-ES_tradnl" w:eastAsia="es-MX"/>
        </w:rPr>
        <w:t xml:space="preserve"> </w:t>
      </w:r>
    </w:p>
    <w:p w14:paraId="5843852C" w14:textId="77777777" w:rsidR="004D09FC" w:rsidRPr="00FC1EA6" w:rsidRDefault="004D09FC"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3158BE41" w14:textId="7C6C4CB7" w:rsidR="00522A78" w:rsidRPr="00FC1EA6" w:rsidRDefault="007E18EC"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lastRenderedPageBreak/>
        <w:t>2.1</w:t>
      </w:r>
      <w:r w:rsidR="004772C3" w:rsidRPr="00FC1EA6">
        <w:rPr>
          <w:rFonts w:ascii="Arial Narrow" w:eastAsiaTheme="minorEastAsia" w:hAnsi="Arial Narrow" w:cs="Arial"/>
          <w:lang w:val="es-ES_tradnl" w:eastAsia="es-MX"/>
        </w:rPr>
        <w:t>6</w:t>
      </w:r>
      <w:r w:rsidRPr="00FC1EA6">
        <w:rPr>
          <w:rFonts w:ascii="Arial Narrow" w:eastAsiaTheme="minorEastAsia" w:hAnsi="Arial Narrow" w:cs="Arial"/>
          <w:lang w:val="es-ES_tradnl" w:eastAsia="es-MX"/>
        </w:rPr>
        <w:t xml:space="preserve"> </w:t>
      </w:r>
      <w:r w:rsidR="00522A78" w:rsidRPr="00FC1EA6">
        <w:rPr>
          <w:rFonts w:ascii="Arial Narrow" w:eastAsiaTheme="minorEastAsia" w:hAnsi="Arial Narrow" w:cs="Arial"/>
          <w:lang w:val="es-ES_tradnl" w:eastAsia="es-MX"/>
        </w:rPr>
        <w:t xml:space="preserve">Sobre las conclusiones, </w:t>
      </w:r>
      <w:r w:rsidRPr="00FC1EA6">
        <w:rPr>
          <w:rFonts w:ascii="Arial Narrow" w:eastAsiaTheme="minorEastAsia" w:hAnsi="Arial Narrow" w:cs="Arial"/>
          <w:lang w:val="es-ES_tradnl" w:eastAsia="es-MX"/>
        </w:rPr>
        <w:t xml:space="preserve">por las consideraciones expresadas más arriba, </w:t>
      </w:r>
      <w:r w:rsidR="00522A78" w:rsidRPr="00FC1EA6">
        <w:rPr>
          <w:rFonts w:ascii="Arial Narrow" w:eastAsiaTheme="minorEastAsia" w:hAnsi="Arial Narrow" w:cs="Arial"/>
          <w:lang w:val="es-ES_tradnl" w:eastAsia="es-MX"/>
        </w:rPr>
        <w:t>estimamos relevante que esta Ilustre CIDH traiga al apartado conclusivo afirmaciones que se vierten en el cuerpo del documento que ilustran adecuadamente el estado de cosas vigente. Nos referimos, en especial,</w:t>
      </w:r>
      <w:r w:rsidRPr="00FC1EA6">
        <w:rPr>
          <w:rFonts w:ascii="Arial Narrow" w:eastAsiaTheme="minorEastAsia" w:hAnsi="Arial Narrow" w:cs="Arial"/>
          <w:lang w:val="es-ES_tradnl" w:eastAsia="es-MX"/>
        </w:rPr>
        <w:t xml:space="preserve"> a lo siguiente: </w:t>
      </w:r>
      <w:r w:rsidR="00522A78" w:rsidRPr="00FC1EA6">
        <w:rPr>
          <w:rFonts w:ascii="Arial Narrow" w:eastAsiaTheme="minorEastAsia" w:hAnsi="Arial Narrow" w:cs="Arial"/>
          <w:lang w:val="es-ES_tradnl" w:eastAsia="es-MX"/>
        </w:rPr>
        <w:t xml:space="preserve"> </w:t>
      </w:r>
    </w:p>
    <w:p w14:paraId="34879237" w14:textId="77777777" w:rsidR="007E18EC" w:rsidRPr="00FC1EA6" w:rsidRDefault="007E18EC"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50011036" w14:textId="77777777" w:rsidR="007E18EC" w:rsidRPr="00FC1EA6" w:rsidRDefault="007E18EC" w:rsidP="006608F7">
      <w:pPr>
        <w:pStyle w:val="ListParagraph"/>
        <w:numPr>
          <w:ilvl w:val="0"/>
          <w:numId w:val="2"/>
        </w:num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La afirmación, contenida en el párrafo 38, de que “a más de 3 años de ocurridos los hechos, el paradero de los estudiantes sigue siendo desconocido”.</w:t>
      </w:r>
    </w:p>
    <w:p w14:paraId="53D7C55A" w14:textId="77777777" w:rsidR="007E18EC" w:rsidRPr="00FC1EA6" w:rsidRDefault="007E18EC" w:rsidP="006608F7">
      <w:pPr>
        <w:pStyle w:val="ListParagraph"/>
        <w:autoSpaceDE w:val="0"/>
        <w:autoSpaceDN w:val="0"/>
        <w:adjustRightInd w:val="0"/>
        <w:spacing w:after="0" w:line="240" w:lineRule="auto"/>
        <w:ind w:left="1065"/>
        <w:jc w:val="both"/>
        <w:rPr>
          <w:rFonts w:ascii="Arial Narrow" w:eastAsiaTheme="minorEastAsia" w:hAnsi="Arial Narrow" w:cs="Arial"/>
          <w:lang w:val="es-ES_tradnl" w:eastAsia="es-MX"/>
        </w:rPr>
      </w:pPr>
    </w:p>
    <w:p w14:paraId="17BAF074" w14:textId="77777777" w:rsidR="007E18EC" w:rsidRPr="00FC1EA6" w:rsidRDefault="007E18EC" w:rsidP="006608F7">
      <w:pPr>
        <w:pStyle w:val="ListParagraph"/>
        <w:numPr>
          <w:ilvl w:val="0"/>
          <w:numId w:val="2"/>
        </w:num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La afirmación, contenida en el párrafo 29 de que: “</w:t>
      </w:r>
      <w:r w:rsidR="00522A78" w:rsidRPr="00FC1EA6">
        <w:rPr>
          <w:rFonts w:ascii="Arial Narrow" w:eastAsiaTheme="minorEastAsia" w:hAnsi="Arial Narrow" w:cs="Arial"/>
          <w:lang w:val="es-ES_tradnl" w:eastAsia="es-MX"/>
        </w:rPr>
        <w:t>no hay nuevas detenciones por acción u omisión de actores estatales que podrían haber tenido algún nivel de participación en la noche de los hechos de Iguala”</w:t>
      </w:r>
    </w:p>
    <w:p w14:paraId="79A7550C" w14:textId="77777777" w:rsidR="007E18EC" w:rsidRPr="00FC1EA6" w:rsidRDefault="007E18EC" w:rsidP="006608F7">
      <w:pPr>
        <w:pStyle w:val="ListParagraph"/>
        <w:spacing w:after="0" w:line="240" w:lineRule="auto"/>
        <w:rPr>
          <w:rFonts w:ascii="Arial Narrow" w:eastAsiaTheme="minorEastAsia" w:hAnsi="Arial Narrow" w:cs="Arial"/>
          <w:lang w:val="es-ES_tradnl" w:eastAsia="es-MX"/>
        </w:rPr>
      </w:pPr>
    </w:p>
    <w:p w14:paraId="2376B56E" w14:textId="77777777" w:rsidR="00F403D9" w:rsidRPr="00FC1EA6" w:rsidRDefault="007E18EC" w:rsidP="006608F7">
      <w:pPr>
        <w:pStyle w:val="ListParagraph"/>
        <w:numPr>
          <w:ilvl w:val="0"/>
          <w:numId w:val="2"/>
        </w:num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La conclusión que se deriva de los párrafos </w:t>
      </w:r>
      <w:r w:rsidR="00032436" w:rsidRPr="00FC1EA6">
        <w:rPr>
          <w:rFonts w:ascii="Arial Narrow" w:eastAsiaTheme="minorEastAsia" w:hAnsi="Arial Narrow" w:cs="Arial"/>
          <w:lang w:val="es-ES_tradnl" w:eastAsia="es-MX"/>
        </w:rPr>
        <w:t>60 a 64 respecto de la posible participación de la Policía Federal</w:t>
      </w:r>
      <w:r w:rsidRPr="00FC1EA6">
        <w:rPr>
          <w:rFonts w:ascii="Arial Narrow" w:eastAsiaTheme="minorEastAsia" w:hAnsi="Arial Narrow" w:cs="Arial"/>
          <w:lang w:val="es-ES_tradnl" w:eastAsia="es-MX"/>
        </w:rPr>
        <w:t xml:space="preserve">; </w:t>
      </w:r>
      <w:r w:rsidR="00032436" w:rsidRPr="00FC1EA6">
        <w:rPr>
          <w:rFonts w:ascii="Arial Narrow" w:eastAsiaTheme="minorEastAsia" w:hAnsi="Arial Narrow" w:cs="Arial"/>
          <w:lang w:val="es-ES_tradnl" w:eastAsia="es-MX"/>
        </w:rPr>
        <w:t>65 a 70 sobre la necesidad de profundizar la investigación del Ejército</w:t>
      </w:r>
      <w:r w:rsidRPr="00FC1EA6">
        <w:rPr>
          <w:rFonts w:ascii="Arial Narrow" w:eastAsiaTheme="minorEastAsia" w:hAnsi="Arial Narrow" w:cs="Arial"/>
          <w:lang w:val="es-ES_tradnl" w:eastAsia="es-MX"/>
        </w:rPr>
        <w:t xml:space="preserve">; </w:t>
      </w:r>
      <w:r w:rsidR="00032436" w:rsidRPr="00FC1EA6">
        <w:rPr>
          <w:rFonts w:ascii="Arial Narrow" w:eastAsiaTheme="minorEastAsia" w:hAnsi="Arial Narrow" w:cs="Arial"/>
          <w:lang w:val="es-ES_tradnl" w:eastAsia="es-MX"/>
        </w:rPr>
        <w:t>71 a 74 sobre la participación de policías municipales</w:t>
      </w:r>
      <w:r w:rsidRPr="00FC1EA6">
        <w:rPr>
          <w:rFonts w:ascii="Arial Narrow" w:eastAsiaTheme="minorEastAsia" w:hAnsi="Arial Narrow" w:cs="Arial"/>
          <w:lang w:val="es-ES_tradnl" w:eastAsia="es-MX"/>
        </w:rPr>
        <w:t xml:space="preserve">; </w:t>
      </w:r>
      <w:r w:rsidR="00032436" w:rsidRPr="00FC1EA6">
        <w:rPr>
          <w:rFonts w:ascii="Arial Narrow" w:eastAsiaTheme="minorEastAsia" w:hAnsi="Arial Narrow" w:cs="Arial"/>
          <w:lang w:val="es-ES_tradnl" w:eastAsia="es-MX"/>
        </w:rPr>
        <w:t>75 a 77 sobre la participación de autoridades estatales de Guerrero</w:t>
      </w:r>
      <w:r w:rsidRPr="00FC1EA6">
        <w:rPr>
          <w:rFonts w:ascii="Arial Narrow" w:eastAsiaTheme="minorEastAsia" w:hAnsi="Arial Narrow" w:cs="Arial"/>
          <w:lang w:val="es-ES_tradnl" w:eastAsia="es-MX"/>
        </w:rPr>
        <w:t xml:space="preserve">; </w:t>
      </w:r>
      <w:r w:rsidR="00395222" w:rsidRPr="00FC1EA6">
        <w:rPr>
          <w:rFonts w:ascii="Arial Narrow" w:eastAsiaTheme="minorEastAsia" w:hAnsi="Arial Narrow" w:cs="Arial"/>
          <w:lang w:val="es-ES_tradnl" w:eastAsia="es-MX"/>
        </w:rPr>
        <w:t>79 en cua</w:t>
      </w:r>
      <w:r w:rsidRPr="00FC1EA6">
        <w:rPr>
          <w:rFonts w:ascii="Arial Narrow" w:eastAsiaTheme="minorEastAsia" w:hAnsi="Arial Narrow" w:cs="Arial"/>
          <w:lang w:val="es-ES_tradnl" w:eastAsia="es-MX"/>
        </w:rPr>
        <w:t>nto a actores no estatales, formulada c</w:t>
      </w:r>
      <w:r w:rsidR="00F403D9" w:rsidRPr="00FC1EA6">
        <w:rPr>
          <w:rFonts w:ascii="Arial Narrow" w:eastAsiaTheme="minorEastAsia" w:hAnsi="Arial Narrow" w:cs="Arial"/>
          <w:lang w:val="es-ES_tradnl" w:eastAsia="es-MX"/>
        </w:rPr>
        <w:t>oncretamente en términos de que</w:t>
      </w:r>
      <w:r w:rsidRPr="00FC1EA6">
        <w:rPr>
          <w:rFonts w:ascii="Arial Narrow" w:eastAsiaTheme="minorEastAsia" w:hAnsi="Arial Narrow" w:cs="Arial"/>
          <w:lang w:val="es-ES_tradnl" w:eastAsia="es-MX"/>
        </w:rPr>
        <w:t xml:space="preserve"> el cumplimiento del cronograma no ha sido uniforme, presentándose rezagos en el esclarecimiento de las posibles responsabilidades, por acción u omisión, de servidores públicos de otras policías municipales; de servidores públicos del ámbito estatal; </w:t>
      </w:r>
      <w:r w:rsidR="00F403D9" w:rsidRPr="00FC1EA6">
        <w:rPr>
          <w:rFonts w:ascii="Arial Narrow" w:eastAsiaTheme="minorEastAsia" w:hAnsi="Arial Narrow" w:cs="Arial"/>
          <w:lang w:val="es-ES_tradnl" w:eastAsia="es-MX"/>
        </w:rPr>
        <w:t>de servidores públicos del ámbito federal (incluyendo a la Policía Federal y el Ejército); y de otros actores no estatales. Lo anterior a efecto de que en sus conclusiones la CIDH enfatiza de nuevo la importancia de que todos los responsables ya identificados sean llevados ante la justicia.</w:t>
      </w:r>
    </w:p>
    <w:p w14:paraId="1C1B1168" w14:textId="77777777" w:rsidR="00F403D9" w:rsidRPr="00FC1EA6" w:rsidRDefault="00F403D9" w:rsidP="006608F7">
      <w:pPr>
        <w:pStyle w:val="ListParagraph"/>
        <w:spacing w:after="0" w:line="240" w:lineRule="auto"/>
        <w:rPr>
          <w:rFonts w:ascii="Arial Narrow" w:eastAsiaTheme="minorEastAsia" w:hAnsi="Arial Narrow" w:cs="Arial"/>
          <w:lang w:val="es-ES_tradnl" w:eastAsia="es-MX"/>
        </w:rPr>
      </w:pPr>
    </w:p>
    <w:p w14:paraId="55779174" w14:textId="77777777" w:rsidR="00F403D9" w:rsidRPr="00FC1EA6" w:rsidRDefault="00F403D9" w:rsidP="006608F7">
      <w:pPr>
        <w:pStyle w:val="ListParagraph"/>
        <w:numPr>
          <w:ilvl w:val="0"/>
          <w:numId w:val="2"/>
        </w:num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La afirmación, contenida en el párrafo 86, de que </w:t>
      </w:r>
      <w:r w:rsidR="00395222" w:rsidRPr="00FC1EA6">
        <w:rPr>
          <w:rFonts w:ascii="Arial Narrow" w:eastAsiaTheme="minorEastAsia" w:hAnsi="Arial Narrow" w:cs="Arial"/>
          <w:lang w:val="es-ES_tradnl" w:eastAsia="es-MX"/>
        </w:rPr>
        <w:t>“la resolución de tortura en este caso es crucial para la investigación”</w:t>
      </w:r>
      <w:r w:rsidRPr="00FC1EA6">
        <w:rPr>
          <w:rFonts w:ascii="Arial Narrow" w:eastAsiaTheme="minorEastAsia" w:hAnsi="Arial Narrow" w:cs="Arial"/>
          <w:lang w:val="es-ES_tradnl" w:eastAsia="es-MX"/>
        </w:rPr>
        <w:t xml:space="preserve">, considerando la respuesta del Estado al relevante informe de la OACNUDH y habida cuenta de que está pendiente la Recomendación que habrá de emitir la CNDH. </w:t>
      </w:r>
    </w:p>
    <w:p w14:paraId="671404B3" w14:textId="77777777" w:rsidR="00F403D9" w:rsidRPr="00FC1EA6" w:rsidRDefault="00F403D9" w:rsidP="006608F7">
      <w:pPr>
        <w:pStyle w:val="ListParagraph"/>
        <w:spacing w:after="0" w:line="240" w:lineRule="auto"/>
        <w:rPr>
          <w:rFonts w:ascii="Arial Narrow" w:eastAsiaTheme="minorEastAsia" w:hAnsi="Arial Narrow" w:cs="Arial"/>
          <w:lang w:val="es-ES_tradnl" w:eastAsia="es-MX"/>
        </w:rPr>
      </w:pPr>
    </w:p>
    <w:p w14:paraId="06054702" w14:textId="77777777" w:rsidR="00F403D9" w:rsidRPr="00FC1EA6" w:rsidRDefault="00F403D9" w:rsidP="006608F7">
      <w:pPr>
        <w:pStyle w:val="ListParagraph"/>
        <w:numPr>
          <w:ilvl w:val="0"/>
          <w:numId w:val="2"/>
        </w:num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La afirmación de que la CIDH “continuará dando seguimiento” a las investigaciones internas sobre posibles obstrucciones a la investigación, estimamos relevante que se insista en que a la fecha las investigaciones de control interno de cuestiones tan fundamentales como la tortura, las irregularidades, el espionaje y el ocultamiento, no han dado un resultado satisfactorio cuestión que envía un mensaje negativo para el cabal avance de la indagatoria. </w:t>
      </w:r>
    </w:p>
    <w:p w14:paraId="1381D47F" w14:textId="77777777" w:rsidR="00497507" w:rsidRPr="00FC1EA6" w:rsidRDefault="00497507"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76C1CB86" w14:textId="61C7F7D2" w:rsidR="00F403D9" w:rsidRPr="00FC1EA6" w:rsidRDefault="00F403D9"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2.1</w:t>
      </w:r>
      <w:r w:rsidR="004772C3" w:rsidRPr="00FC1EA6">
        <w:rPr>
          <w:rFonts w:ascii="Arial Narrow" w:eastAsiaTheme="minorEastAsia" w:hAnsi="Arial Narrow" w:cs="Arial"/>
          <w:lang w:val="es-ES_tradnl" w:eastAsia="es-MX"/>
        </w:rPr>
        <w:t>7</w:t>
      </w:r>
      <w:r w:rsidRPr="00FC1EA6">
        <w:rPr>
          <w:rFonts w:ascii="Arial Narrow" w:eastAsiaTheme="minorEastAsia" w:hAnsi="Arial Narrow" w:cs="Arial"/>
          <w:lang w:val="es-ES_tradnl" w:eastAsia="es-MX"/>
        </w:rPr>
        <w:t xml:space="preserve"> Finalmente, sobre el apartado de “Conclusiones” y considerando también el contenido de la difusión que en su momento hará esta Comisión, muy atentamente pedimos que se considere hacer mención de dos cuestiones fundamentales: </w:t>
      </w:r>
    </w:p>
    <w:p w14:paraId="03A9C726" w14:textId="77777777" w:rsidR="00395222" w:rsidRPr="00FC1EA6" w:rsidRDefault="00F403D9"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    </w:t>
      </w:r>
    </w:p>
    <w:p w14:paraId="2349ACD6" w14:textId="77777777" w:rsidR="00497507" w:rsidRPr="00FC1EA6" w:rsidRDefault="00497507" w:rsidP="006608F7">
      <w:pPr>
        <w:pStyle w:val="ListParagraph"/>
        <w:numPr>
          <w:ilvl w:val="0"/>
          <w:numId w:val="6"/>
        </w:num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El fallecimiento, durante la vigencia del MES, de dos familiares de los estudiantes desaparecidos. Por un lado, de doña Minerva Bello madre de Everardo Rodríguez Bello, acaecida el 4 de febrero de 2018. Por otro lado, de Irene Mora Venancio, hijo de don Ezequiel Mora Checa, ocurrida el 16 de abril de 2018. Ambas muertes alertan sobre el desgaste que enfrentan las familias y humanamente no hay que soslayar lo que representa para sus familiares, pero también para el resto del colectivo de víctimas en el presente caso. En ese sentido, sería un valioso gesto que en su Balance la Ilustre CIDH honrara la memoria de ambas personas e instara al Estado a esclarecer los hechos antes de que otras víctimas directas o indirectas fallezcan.</w:t>
      </w:r>
    </w:p>
    <w:p w14:paraId="5C7851C7" w14:textId="77777777" w:rsidR="00497507" w:rsidRPr="00FC1EA6" w:rsidRDefault="00497507" w:rsidP="006608F7">
      <w:pPr>
        <w:pStyle w:val="ListParagraph"/>
        <w:autoSpaceDE w:val="0"/>
        <w:autoSpaceDN w:val="0"/>
        <w:adjustRightInd w:val="0"/>
        <w:spacing w:after="0" w:line="240" w:lineRule="auto"/>
        <w:ind w:left="1065"/>
        <w:jc w:val="both"/>
        <w:rPr>
          <w:rFonts w:ascii="Arial Narrow" w:eastAsiaTheme="minorEastAsia" w:hAnsi="Arial Narrow" w:cs="Arial"/>
          <w:lang w:val="es-ES_tradnl" w:eastAsia="es-MX"/>
        </w:rPr>
      </w:pPr>
    </w:p>
    <w:p w14:paraId="0EE61670" w14:textId="1CF8EFF2" w:rsidR="00F403D9" w:rsidRPr="00FC1EA6" w:rsidRDefault="00497507" w:rsidP="006608F7">
      <w:pPr>
        <w:pStyle w:val="ListParagraph"/>
        <w:numPr>
          <w:ilvl w:val="0"/>
          <w:numId w:val="6"/>
        </w:num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Siendo inminente el fin de</w:t>
      </w:r>
      <w:r w:rsidR="009433C1" w:rsidRPr="00FC1EA6">
        <w:rPr>
          <w:rFonts w:ascii="Arial Narrow" w:eastAsiaTheme="minorEastAsia" w:hAnsi="Arial Narrow" w:cs="Arial"/>
          <w:lang w:val="es-ES_tradnl" w:eastAsia="es-MX"/>
        </w:rPr>
        <w:t xml:space="preserve"> la presente administración federal</w:t>
      </w:r>
      <w:r w:rsidRPr="00FC1EA6">
        <w:rPr>
          <w:rFonts w:ascii="Arial Narrow" w:eastAsiaTheme="minorEastAsia" w:hAnsi="Arial Narrow" w:cs="Arial"/>
          <w:lang w:val="es-ES_tradnl" w:eastAsia="es-MX"/>
        </w:rPr>
        <w:t xml:space="preserve">, estimamos pertinente y prudente que la Ilustre Comisión </w:t>
      </w:r>
      <w:r w:rsidR="00FC1C80" w:rsidRPr="00FC1EA6">
        <w:rPr>
          <w:rFonts w:ascii="Arial Narrow" w:eastAsiaTheme="minorEastAsia" w:hAnsi="Arial Narrow" w:cs="Arial"/>
          <w:lang w:val="es-ES_tradnl" w:eastAsia="es-MX"/>
        </w:rPr>
        <w:t>reitere al Estado que</w:t>
      </w:r>
      <w:r w:rsidR="009433C1" w:rsidRPr="00FC1EA6">
        <w:rPr>
          <w:rFonts w:ascii="Arial Narrow" w:eastAsiaTheme="minorEastAsia" w:hAnsi="Arial Narrow" w:cs="Arial"/>
          <w:lang w:val="es-ES_tradnl" w:eastAsia="es-MX"/>
        </w:rPr>
        <w:t>,</w:t>
      </w:r>
      <w:r w:rsidR="00FC1C80" w:rsidRPr="00FC1EA6">
        <w:rPr>
          <w:rFonts w:ascii="Arial Narrow" w:eastAsiaTheme="minorEastAsia" w:hAnsi="Arial Narrow" w:cs="Arial"/>
          <w:lang w:val="es-ES_tradnl" w:eastAsia="es-MX"/>
        </w:rPr>
        <w:t xml:space="preserve"> en casos de desaparición forzada la obligación última es dar con el parader</w:t>
      </w:r>
      <w:r w:rsidR="00631B0D" w:rsidRPr="00FC1EA6">
        <w:rPr>
          <w:rFonts w:ascii="Arial Narrow" w:eastAsiaTheme="minorEastAsia" w:hAnsi="Arial Narrow" w:cs="Arial"/>
          <w:lang w:val="es-ES_tradnl" w:eastAsia="es-MX"/>
        </w:rPr>
        <w:t xml:space="preserve">o de las víctimas. Esto cobra relevancia debido a las </w:t>
      </w:r>
      <w:r w:rsidR="00FC1EA6" w:rsidRPr="00FC1EA6">
        <w:rPr>
          <w:rFonts w:ascii="Arial Narrow" w:eastAsiaTheme="minorEastAsia" w:hAnsi="Arial Narrow" w:cs="Arial"/>
          <w:lang w:val="es-ES_tradnl" w:eastAsia="es-MX"/>
        </w:rPr>
        <w:t>preocupaciones</w:t>
      </w:r>
      <w:r w:rsidR="00631B0D" w:rsidRPr="00FC1EA6">
        <w:rPr>
          <w:rFonts w:ascii="Arial Narrow" w:eastAsiaTheme="minorEastAsia" w:hAnsi="Arial Narrow" w:cs="Arial"/>
          <w:lang w:val="es-ES_tradnl" w:eastAsia="es-MX"/>
        </w:rPr>
        <w:t xml:space="preserve"> reiteradamente </w:t>
      </w:r>
      <w:r w:rsidR="00FC1EA6" w:rsidRPr="00FC1EA6">
        <w:rPr>
          <w:rFonts w:ascii="Arial Narrow" w:eastAsiaTheme="minorEastAsia" w:hAnsi="Arial Narrow" w:cs="Arial"/>
          <w:lang w:val="es-ES_tradnl" w:eastAsia="es-MX"/>
        </w:rPr>
        <w:t>expresadas</w:t>
      </w:r>
      <w:r w:rsidR="00631B0D" w:rsidRPr="00FC1EA6">
        <w:rPr>
          <w:rFonts w:ascii="Arial Narrow" w:eastAsiaTheme="minorEastAsia" w:hAnsi="Arial Narrow" w:cs="Arial"/>
          <w:lang w:val="es-ES_tradnl" w:eastAsia="es-MX"/>
        </w:rPr>
        <w:t xml:space="preserve"> por las personas beneficiarias de que se busque </w:t>
      </w:r>
      <w:r w:rsidRPr="00FC1EA6">
        <w:rPr>
          <w:rFonts w:ascii="Arial Narrow" w:eastAsiaTheme="minorEastAsia" w:hAnsi="Arial Narrow" w:cs="Arial"/>
          <w:lang w:val="es-ES_tradnl" w:eastAsia="es-MX"/>
        </w:rPr>
        <w:t xml:space="preserve">realizar un cierre </w:t>
      </w:r>
      <w:r w:rsidRPr="00FC1EA6">
        <w:rPr>
          <w:rFonts w:ascii="Arial Narrow" w:eastAsiaTheme="minorEastAsia" w:hAnsi="Arial Narrow" w:cs="Arial"/>
          <w:lang w:val="es-ES_tradnl" w:eastAsia="es-MX"/>
        </w:rPr>
        <w:lastRenderedPageBreak/>
        <w:t xml:space="preserve">precipitado </w:t>
      </w:r>
      <w:r w:rsidR="00631B0D" w:rsidRPr="00FC1EA6">
        <w:rPr>
          <w:rFonts w:ascii="Arial Narrow" w:eastAsiaTheme="minorEastAsia" w:hAnsi="Arial Narrow" w:cs="Arial"/>
          <w:lang w:val="es-ES_tradnl" w:eastAsia="es-MX"/>
        </w:rPr>
        <w:t>en los próximos meses en el contexto electoral que se vive en el país</w:t>
      </w:r>
      <w:r w:rsidRPr="00FC1EA6">
        <w:rPr>
          <w:rFonts w:ascii="Arial Narrow" w:eastAsiaTheme="minorEastAsia" w:hAnsi="Arial Narrow" w:cs="Arial"/>
          <w:lang w:val="es-ES_tradnl" w:eastAsia="es-MX"/>
        </w:rPr>
        <w:t>. En este sentido, consideramos relevante que esta CIDH le señale al Estado que la actual administración tiene aún ante sí la gran oportunidad de garantizar justicia, verdad y reparaciones en este caso</w:t>
      </w:r>
      <w:r w:rsidR="00631B0D" w:rsidRPr="00FC1EA6">
        <w:rPr>
          <w:rFonts w:ascii="Arial Narrow" w:eastAsiaTheme="minorEastAsia" w:hAnsi="Arial Narrow" w:cs="Arial"/>
          <w:lang w:val="es-ES_tradnl" w:eastAsia="es-MX"/>
        </w:rPr>
        <w:t>, siempre y cuando lo haga en apego a sus obligaciones internacionales</w:t>
      </w:r>
      <w:r w:rsidRPr="00FC1EA6">
        <w:rPr>
          <w:rFonts w:ascii="Arial Narrow" w:eastAsiaTheme="minorEastAsia" w:hAnsi="Arial Narrow" w:cs="Arial"/>
          <w:lang w:val="es-ES_tradnl" w:eastAsia="es-MX"/>
        </w:rPr>
        <w:t xml:space="preserve">, lo que sin duda será determinante en el legado que deje en materia de derechos humanos. </w:t>
      </w:r>
    </w:p>
    <w:p w14:paraId="2BF783AE" w14:textId="77777777" w:rsidR="00522A78" w:rsidRPr="00FC1EA6" w:rsidRDefault="00522A78"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51837E81" w14:textId="77777777" w:rsidR="004D09FC" w:rsidRPr="00FC1EA6" w:rsidRDefault="004D09FC" w:rsidP="006608F7">
      <w:pPr>
        <w:autoSpaceDE w:val="0"/>
        <w:autoSpaceDN w:val="0"/>
        <w:adjustRightInd w:val="0"/>
        <w:spacing w:after="0" w:line="240" w:lineRule="auto"/>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3. Propuestas sobre la presentación del Informe</w:t>
      </w:r>
    </w:p>
    <w:p w14:paraId="3C9901F7" w14:textId="77777777" w:rsidR="004D09FC" w:rsidRPr="00FC1EA6" w:rsidRDefault="004D09FC"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54ED382C" w14:textId="77777777" w:rsidR="006608F7" w:rsidRPr="00FC1EA6" w:rsidRDefault="00497507"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Como señalamos en la primera de las observaciones generales, el “Informe </w:t>
      </w:r>
      <w:r w:rsidR="006608F7" w:rsidRPr="00FC1EA6">
        <w:rPr>
          <w:rFonts w:ascii="Arial Narrow" w:eastAsiaTheme="minorEastAsia" w:hAnsi="Arial Narrow" w:cs="Arial"/>
          <w:lang w:val="es-ES_tradnl" w:eastAsia="es-MX"/>
        </w:rPr>
        <w:t xml:space="preserve">de </w:t>
      </w:r>
      <w:r w:rsidRPr="00FC1EA6">
        <w:rPr>
          <w:rFonts w:ascii="Arial Narrow" w:eastAsiaTheme="minorEastAsia" w:hAnsi="Arial Narrow" w:cs="Arial"/>
          <w:lang w:val="es-ES_tradnl" w:eastAsia="es-MX"/>
        </w:rPr>
        <w:t>Balance” que ha elaborado la CIDH constituye un insumo de primera relevancia para impulsar la justicia, la verdad y las</w:t>
      </w:r>
      <w:r w:rsidR="006608F7" w:rsidRPr="00FC1EA6">
        <w:rPr>
          <w:rFonts w:ascii="Arial Narrow" w:eastAsiaTheme="minorEastAsia" w:hAnsi="Arial Narrow" w:cs="Arial"/>
          <w:lang w:val="es-ES_tradnl" w:eastAsia="es-MX"/>
        </w:rPr>
        <w:t xml:space="preserve"> reparaciones en el presente caso. </w:t>
      </w:r>
    </w:p>
    <w:p w14:paraId="2B90C8DA" w14:textId="77777777" w:rsidR="006608F7" w:rsidRPr="00FC1EA6" w:rsidRDefault="006608F7"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6C761701" w14:textId="6B421A4D" w:rsidR="00497507" w:rsidRPr="00FC1EA6" w:rsidRDefault="006608F7"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Por ello, muy respetuosamente nos permitimos señalar que las repercusiones que el mismo tendrán pueden ser a</w:t>
      </w:r>
      <w:r w:rsidR="0081321E" w:rsidRPr="00FC1EA6">
        <w:rPr>
          <w:rFonts w:ascii="Arial Narrow" w:eastAsiaTheme="minorEastAsia" w:hAnsi="Arial Narrow" w:cs="Arial"/>
          <w:lang w:val="es-ES_tradnl" w:eastAsia="es-MX"/>
        </w:rPr>
        <w:t>ú</w:t>
      </w:r>
      <w:r w:rsidRPr="00FC1EA6">
        <w:rPr>
          <w:rFonts w:ascii="Arial Narrow" w:eastAsiaTheme="minorEastAsia" w:hAnsi="Arial Narrow" w:cs="Arial"/>
          <w:lang w:val="es-ES_tradnl" w:eastAsia="es-MX"/>
        </w:rPr>
        <w:t>n más positivas si el “Informe de Balance” es presentado en fecha próxima en México</w:t>
      </w:r>
      <w:r w:rsidR="00D175AB" w:rsidRPr="00FC1EA6">
        <w:rPr>
          <w:rFonts w:ascii="Arial Narrow" w:eastAsiaTheme="minorEastAsia" w:hAnsi="Arial Narrow" w:cs="Arial"/>
          <w:lang w:val="es-ES_tradnl" w:eastAsia="es-MX"/>
        </w:rPr>
        <w:t>, con la presencia de una representación amplia de la Comisión Interamericana, incluyendo a la Relatora de país y coordinadora del Mecanismo, así como al Comisionado elegido para dar seguimiento al mismo y a la representación del Secretariado Ejecutivo</w:t>
      </w:r>
      <w:r w:rsidRPr="00FC1EA6">
        <w:rPr>
          <w:rFonts w:ascii="Arial Narrow" w:eastAsiaTheme="minorEastAsia" w:hAnsi="Arial Narrow" w:cs="Arial"/>
          <w:lang w:val="es-ES_tradnl" w:eastAsia="es-MX"/>
        </w:rPr>
        <w:t xml:space="preserve">, a efecto de que sea posible abrir un espacio de diálogo con las propias víctimas beneficiarias inmediatamente después de la publicación del documento. Ello, no dudamos, contribuirá a que las víctimas hagan suyos los contenidos del “Informe de Balance” y empujen su seguimiento, al tiempo que permitirá a la Ilustre Comisión un mejor direccionamiento de sus principales mensajes públicos.      </w:t>
      </w:r>
      <w:r w:rsidR="00497507" w:rsidRPr="00FC1EA6">
        <w:rPr>
          <w:rFonts w:ascii="Arial Narrow" w:eastAsiaTheme="minorEastAsia" w:hAnsi="Arial Narrow" w:cs="Arial"/>
          <w:lang w:val="es-ES_tradnl" w:eastAsia="es-MX"/>
        </w:rPr>
        <w:t xml:space="preserve">   </w:t>
      </w:r>
    </w:p>
    <w:p w14:paraId="095D69F8" w14:textId="77777777" w:rsidR="00497507" w:rsidRPr="00FC1EA6" w:rsidRDefault="00497507"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5FB6F215" w14:textId="77777777" w:rsidR="007B5CD8" w:rsidRPr="00FC1EA6" w:rsidRDefault="004D09FC" w:rsidP="006608F7">
      <w:pPr>
        <w:autoSpaceDE w:val="0"/>
        <w:autoSpaceDN w:val="0"/>
        <w:adjustRightInd w:val="0"/>
        <w:spacing w:after="0" w:line="240" w:lineRule="auto"/>
        <w:jc w:val="both"/>
        <w:rPr>
          <w:rFonts w:ascii="Arial Narrow" w:eastAsiaTheme="minorEastAsia" w:hAnsi="Arial Narrow" w:cs="Arial"/>
          <w:b/>
          <w:lang w:val="es-ES_tradnl" w:eastAsia="es-MX"/>
        </w:rPr>
      </w:pPr>
      <w:r w:rsidRPr="00FC1EA6">
        <w:rPr>
          <w:rFonts w:ascii="Arial Narrow" w:eastAsiaTheme="minorEastAsia" w:hAnsi="Arial Narrow" w:cs="Arial"/>
          <w:b/>
          <w:lang w:val="es-ES_tradnl" w:eastAsia="es-MX"/>
        </w:rPr>
        <w:t xml:space="preserve">4. Conclusiones </w:t>
      </w:r>
      <w:r w:rsidR="007B5CD8" w:rsidRPr="00FC1EA6">
        <w:rPr>
          <w:rFonts w:ascii="Arial Narrow" w:eastAsiaTheme="minorEastAsia" w:hAnsi="Arial Narrow" w:cs="Arial"/>
          <w:b/>
          <w:lang w:val="es-ES_tradnl" w:eastAsia="es-MX"/>
        </w:rPr>
        <w:t xml:space="preserve">        </w:t>
      </w:r>
    </w:p>
    <w:p w14:paraId="0872092B" w14:textId="77777777" w:rsidR="006608F7" w:rsidRPr="00FC1EA6" w:rsidRDefault="006608F7"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19D65B90" w14:textId="77777777" w:rsidR="006608F7" w:rsidRPr="00FC1EA6" w:rsidRDefault="006608F7" w:rsidP="006608F7">
      <w:pPr>
        <w:autoSpaceDE w:val="0"/>
        <w:autoSpaceDN w:val="0"/>
        <w:adjustRightInd w:val="0"/>
        <w:spacing w:after="0" w:line="240" w:lineRule="auto"/>
        <w:jc w:val="both"/>
        <w:rPr>
          <w:rFonts w:ascii="Arial Narrow" w:eastAsiaTheme="minorEastAsia" w:hAnsi="Arial Narrow" w:cs="Arial"/>
          <w:lang w:val="es-ES_tradnl" w:eastAsia="es-MX"/>
        </w:rPr>
      </w:pPr>
      <w:r w:rsidRPr="00FC1EA6">
        <w:rPr>
          <w:rFonts w:ascii="Arial Narrow" w:eastAsiaTheme="minorEastAsia" w:hAnsi="Arial Narrow" w:cs="Arial"/>
          <w:lang w:val="es-ES_tradnl" w:eastAsia="es-MX"/>
        </w:rPr>
        <w:t xml:space="preserve">Con base en lo expuesto anteriormente, solicitamos respetuosamente a la Ilustre Comisión que se nos tenga allegando las presentes observaciones en tiempo y forma, no sin dejar de expresar el reconocimiento de esta representación por la importante labor que ha realizado el MES durante su vigencia. </w:t>
      </w:r>
    </w:p>
    <w:p w14:paraId="4F836BD8" w14:textId="77777777" w:rsidR="006608F7" w:rsidRPr="00FC1EA6" w:rsidRDefault="006608F7" w:rsidP="006608F7">
      <w:pPr>
        <w:autoSpaceDE w:val="0"/>
        <w:autoSpaceDN w:val="0"/>
        <w:adjustRightInd w:val="0"/>
        <w:spacing w:after="0" w:line="240" w:lineRule="auto"/>
        <w:jc w:val="both"/>
        <w:rPr>
          <w:rFonts w:ascii="Arial Narrow" w:eastAsiaTheme="minorEastAsia" w:hAnsi="Arial Narrow" w:cs="Arial"/>
          <w:lang w:val="es-ES_tradnl" w:eastAsia="es-MX"/>
        </w:rPr>
      </w:pPr>
    </w:p>
    <w:p w14:paraId="7FCD10B6" w14:textId="77777777" w:rsidR="006608F7" w:rsidRPr="00FC1EA6" w:rsidRDefault="006608F7" w:rsidP="006608F7">
      <w:pPr>
        <w:autoSpaceDE w:val="0"/>
        <w:autoSpaceDN w:val="0"/>
        <w:adjustRightInd w:val="0"/>
        <w:spacing w:after="0" w:line="240" w:lineRule="auto"/>
        <w:jc w:val="both"/>
        <w:rPr>
          <w:rFonts w:ascii="Arial Narrow" w:eastAsiaTheme="minorEastAsia" w:hAnsi="Arial Narrow" w:cs="Arial"/>
          <w:b/>
          <w:lang w:val="es-ES_tradnl" w:eastAsia="es-MX"/>
        </w:rPr>
      </w:pPr>
    </w:p>
    <w:p w14:paraId="79070EC0" w14:textId="77777777" w:rsidR="006608F7" w:rsidRPr="00FC1EA6" w:rsidRDefault="006608F7" w:rsidP="006608F7">
      <w:pPr>
        <w:autoSpaceDE w:val="0"/>
        <w:autoSpaceDN w:val="0"/>
        <w:adjustRightInd w:val="0"/>
        <w:spacing w:after="0" w:line="240" w:lineRule="auto"/>
        <w:jc w:val="center"/>
        <w:rPr>
          <w:rFonts w:ascii="Arial Narrow" w:eastAsiaTheme="minorEastAsia" w:hAnsi="Arial Narrow" w:cs="Arial"/>
          <w:b/>
          <w:bCs/>
          <w:lang w:val="es-ES_tradnl" w:eastAsia="es-MX"/>
        </w:rPr>
      </w:pPr>
      <w:r w:rsidRPr="00FC1EA6">
        <w:rPr>
          <w:rFonts w:ascii="Arial Narrow" w:eastAsiaTheme="minorEastAsia" w:hAnsi="Arial Narrow" w:cs="Arial"/>
          <w:b/>
          <w:bCs/>
          <w:lang w:val="es-ES_tradnl" w:eastAsia="es-MX"/>
        </w:rPr>
        <w:t>Centro de Derechos Humanos de la Montaña Tlachinollan</w:t>
      </w:r>
    </w:p>
    <w:p w14:paraId="1ECDC6AD" w14:textId="77777777" w:rsidR="006608F7" w:rsidRPr="00FC1EA6" w:rsidRDefault="006608F7" w:rsidP="006608F7">
      <w:pPr>
        <w:autoSpaceDE w:val="0"/>
        <w:autoSpaceDN w:val="0"/>
        <w:adjustRightInd w:val="0"/>
        <w:spacing w:after="0" w:line="240" w:lineRule="auto"/>
        <w:jc w:val="center"/>
        <w:rPr>
          <w:rFonts w:ascii="Arial Narrow" w:eastAsiaTheme="minorEastAsia" w:hAnsi="Arial Narrow" w:cs="Arial"/>
          <w:b/>
          <w:bCs/>
          <w:lang w:val="es-ES_tradnl" w:eastAsia="es-MX"/>
        </w:rPr>
      </w:pPr>
    </w:p>
    <w:p w14:paraId="574B961D" w14:textId="77777777" w:rsidR="006608F7" w:rsidRPr="00FC1EA6" w:rsidRDefault="006608F7" w:rsidP="006608F7">
      <w:pPr>
        <w:autoSpaceDE w:val="0"/>
        <w:autoSpaceDN w:val="0"/>
        <w:adjustRightInd w:val="0"/>
        <w:spacing w:after="0" w:line="240" w:lineRule="auto"/>
        <w:jc w:val="center"/>
        <w:rPr>
          <w:rFonts w:ascii="Arial Narrow" w:eastAsiaTheme="minorEastAsia" w:hAnsi="Arial Narrow" w:cs="Arial"/>
          <w:b/>
          <w:bCs/>
          <w:lang w:val="es-ES_tradnl" w:eastAsia="es-MX"/>
        </w:rPr>
      </w:pPr>
      <w:r w:rsidRPr="00FC1EA6">
        <w:rPr>
          <w:rFonts w:ascii="Arial Narrow" w:eastAsiaTheme="minorEastAsia" w:hAnsi="Arial Narrow" w:cs="Arial"/>
          <w:b/>
          <w:bCs/>
          <w:lang w:val="es-ES_tradnl" w:eastAsia="es-MX"/>
        </w:rPr>
        <w:t>Centro Regional de Defensa de los Derechos Humanos José María Morelos y Pavón</w:t>
      </w:r>
    </w:p>
    <w:p w14:paraId="09CACA61" w14:textId="77777777" w:rsidR="006608F7" w:rsidRPr="00FC1EA6" w:rsidRDefault="006608F7" w:rsidP="006608F7">
      <w:pPr>
        <w:autoSpaceDE w:val="0"/>
        <w:autoSpaceDN w:val="0"/>
        <w:adjustRightInd w:val="0"/>
        <w:spacing w:after="0" w:line="240" w:lineRule="auto"/>
        <w:jc w:val="center"/>
        <w:rPr>
          <w:rFonts w:ascii="Arial Narrow" w:eastAsiaTheme="minorEastAsia" w:hAnsi="Arial Narrow" w:cs="Arial"/>
          <w:b/>
          <w:bCs/>
          <w:lang w:val="es-ES_tradnl" w:eastAsia="es-MX"/>
        </w:rPr>
      </w:pPr>
    </w:p>
    <w:p w14:paraId="43C297AC" w14:textId="77777777" w:rsidR="006608F7" w:rsidRPr="00FC1EA6" w:rsidRDefault="006608F7" w:rsidP="006608F7">
      <w:pPr>
        <w:autoSpaceDE w:val="0"/>
        <w:autoSpaceDN w:val="0"/>
        <w:adjustRightInd w:val="0"/>
        <w:spacing w:after="0" w:line="240" w:lineRule="auto"/>
        <w:jc w:val="center"/>
        <w:rPr>
          <w:rFonts w:ascii="Arial Narrow" w:eastAsiaTheme="minorEastAsia" w:hAnsi="Arial Narrow" w:cs="Arial"/>
          <w:b/>
          <w:bCs/>
          <w:lang w:val="es-ES_tradnl" w:eastAsia="es-MX"/>
        </w:rPr>
      </w:pPr>
      <w:r w:rsidRPr="00FC1EA6">
        <w:rPr>
          <w:rFonts w:ascii="Arial Narrow" w:eastAsiaTheme="minorEastAsia" w:hAnsi="Arial Narrow" w:cs="Arial"/>
          <w:b/>
          <w:bCs/>
          <w:lang w:val="es-ES_tradnl" w:eastAsia="es-MX"/>
        </w:rPr>
        <w:t>Red Guerrerense de Organismos Civiles de Derechos Humanos</w:t>
      </w:r>
    </w:p>
    <w:p w14:paraId="1B417050" w14:textId="77777777" w:rsidR="006608F7" w:rsidRPr="00FC1EA6" w:rsidRDefault="006608F7" w:rsidP="006608F7">
      <w:pPr>
        <w:autoSpaceDE w:val="0"/>
        <w:autoSpaceDN w:val="0"/>
        <w:adjustRightInd w:val="0"/>
        <w:spacing w:after="0" w:line="240" w:lineRule="auto"/>
        <w:jc w:val="center"/>
        <w:rPr>
          <w:rFonts w:ascii="Arial Narrow" w:eastAsiaTheme="minorEastAsia" w:hAnsi="Arial Narrow" w:cs="Arial"/>
          <w:b/>
          <w:bCs/>
          <w:lang w:val="es-ES_tradnl" w:eastAsia="es-MX"/>
        </w:rPr>
      </w:pPr>
    </w:p>
    <w:p w14:paraId="387E63D6" w14:textId="77777777" w:rsidR="006608F7" w:rsidRPr="00FC1EA6" w:rsidRDefault="006608F7" w:rsidP="006608F7">
      <w:pPr>
        <w:autoSpaceDE w:val="0"/>
        <w:autoSpaceDN w:val="0"/>
        <w:adjustRightInd w:val="0"/>
        <w:spacing w:after="0" w:line="240" w:lineRule="auto"/>
        <w:jc w:val="center"/>
        <w:rPr>
          <w:rFonts w:ascii="Arial Narrow" w:eastAsiaTheme="minorEastAsia" w:hAnsi="Arial Narrow" w:cs="Arial"/>
          <w:b/>
          <w:bCs/>
          <w:lang w:val="es-ES_tradnl" w:eastAsia="es-MX"/>
        </w:rPr>
      </w:pPr>
      <w:r w:rsidRPr="00FC1EA6">
        <w:rPr>
          <w:rFonts w:ascii="Arial Narrow" w:eastAsiaTheme="minorEastAsia" w:hAnsi="Arial Narrow" w:cs="Arial"/>
          <w:b/>
          <w:bCs/>
          <w:lang w:val="es-ES_tradnl" w:eastAsia="es-MX"/>
        </w:rPr>
        <w:t>Centro de Derechos Humanos Miguel Agustín Pro Juárez, A.C. (Centro Prodh)</w:t>
      </w:r>
    </w:p>
    <w:p w14:paraId="63C8DA1D" w14:textId="77777777" w:rsidR="006608F7" w:rsidRPr="00FC1EA6" w:rsidRDefault="006608F7" w:rsidP="006608F7">
      <w:pPr>
        <w:autoSpaceDE w:val="0"/>
        <w:autoSpaceDN w:val="0"/>
        <w:adjustRightInd w:val="0"/>
        <w:spacing w:after="0" w:line="240" w:lineRule="auto"/>
        <w:jc w:val="both"/>
        <w:rPr>
          <w:rFonts w:ascii="Arial Narrow" w:eastAsiaTheme="minorEastAsia" w:hAnsi="Arial Narrow" w:cs="Arial"/>
          <w:b/>
          <w:lang w:val="es-ES_tradnl" w:eastAsia="es-MX"/>
        </w:rPr>
      </w:pPr>
    </w:p>
    <w:sectPr w:rsidR="006608F7" w:rsidRPr="00FC1EA6">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34C1" w14:textId="77777777" w:rsidR="00890429" w:rsidRDefault="00890429" w:rsidP="00506059">
      <w:pPr>
        <w:spacing w:after="0" w:line="240" w:lineRule="auto"/>
      </w:pPr>
      <w:r>
        <w:separator/>
      </w:r>
    </w:p>
  </w:endnote>
  <w:endnote w:type="continuationSeparator" w:id="0">
    <w:p w14:paraId="148377BA" w14:textId="77777777" w:rsidR="00890429" w:rsidRDefault="00890429" w:rsidP="0050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88132"/>
      <w:docPartObj>
        <w:docPartGallery w:val="Page Numbers (Bottom of Page)"/>
        <w:docPartUnique/>
      </w:docPartObj>
    </w:sdtPr>
    <w:sdtEndPr/>
    <w:sdtContent>
      <w:p w14:paraId="111184EE" w14:textId="6F792B85" w:rsidR="00945BDC" w:rsidRDefault="00945BDC">
        <w:pPr>
          <w:pStyle w:val="Footer"/>
          <w:jc w:val="right"/>
        </w:pPr>
        <w:r w:rsidRPr="000B138F">
          <w:rPr>
            <w:rFonts w:ascii="Arial Narrow" w:hAnsi="Arial Narrow"/>
            <w:sz w:val="18"/>
            <w:szCs w:val="18"/>
          </w:rPr>
          <w:fldChar w:fldCharType="begin"/>
        </w:r>
        <w:r w:rsidRPr="000B138F">
          <w:rPr>
            <w:rFonts w:ascii="Arial Narrow" w:hAnsi="Arial Narrow"/>
            <w:sz w:val="18"/>
            <w:szCs w:val="18"/>
          </w:rPr>
          <w:instrText>PAGE   \* MERGEFORMAT</w:instrText>
        </w:r>
        <w:r w:rsidRPr="000B138F">
          <w:rPr>
            <w:rFonts w:ascii="Arial Narrow" w:hAnsi="Arial Narrow"/>
            <w:sz w:val="18"/>
            <w:szCs w:val="18"/>
          </w:rPr>
          <w:fldChar w:fldCharType="separate"/>
        </w:r>
        <w:r w:rsidR="00C214E8" w:rsidRPr="00C214E8">
          <w:rPr>
            <w:rFonts w:ascii="Arial Narrow" w:hAnsi="Arial Narrow"/>
            <w:noProof/>
            <w:sz w:val="18"/>
            <w:szCs w:val="18"/>
            <w:lang w:val="es-ES"/>
          </w:rPr>
          <w:t>1</w:t>
        </w:r>
        <w:r w:rsidRPr="000B138F">
          <w:rPr>
            <w:rFonts w:ascii="Arial Narrow" w:hAnsi="Arial Narrow"/>
            <w:sz w:val="18"/>
            <w:szCs w:val="18"/>
          </w:rPr>
          <w:fldChar w:fldCharType="end"/>
        </w:r>
      </w:p>
    </w:sdtContent>
  </w:sdt>
  <w:p w14:paraId="68256AA9" w14:textId="77777777" w:rsidR="00945BDC" w:rsidRDefault="0094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99BD" w14:textId="77777777" w:rsidR="00890429" w:rsidRDefault="00890429" w:rsidP="00506059">
      <w:pPr>
        <w:spacing w:after="0" w:line="240" w:lineRule="auto"/>
      </w:pPr>
      <w:r>
        <w:separator/>
      </w:r>
    </w:p>
  </w:footnote>
  <w:footnote w:type="continuationSeparator" w:id="0">
    <w:p w14:paraId="2882D071" w14:textId="77777777" w:rsidR="00890429" w:rsidRDefault="00890429" w:rsidP="00506059">
      <w:pPr>
        <w:spacing w:after="0" w:line="240" w:lineRule="auto"/>
      </w:pPr>
      <w:r>
        <w:continuationSeparator/>
      </w:r>
    </w:p>
  </w:footnote>
  <w:footnote w:id="1">
    <w:p w14:paraId="101AB847" w14:textId="61F7EBEA" w:rsidR="00945BDC" w:rsidRPr="00FC1EA6" w:rsidRDefault="00945BDC" w:rsidP="000B138F">
      <w:pPr>
        <w:pStyle w:val="FootnoteText"/>
        <w:jc w:val="both"/>
        <w:rPr>
          <w:rFonts w:ascii="Arial Narrow" w:hAnsi="Arial Narrow"/>
          <w:sz w:val="18"/>
          <w:szCs w:val="18"/>
          <w:lang w:val="es-ES_tradnl"/>
        </w:rPr>
      </w:pPr>
      <w:r w:rsidRPr="00FC1EA6">
        <w:rPr>
          <w:rStyle w:val="FootnoteReference"/>
          <w:rFonts w:ascii="Arial Narrow" w:hAnsi="Arial Narrow"/>
          <w:sz w:val="18"/>
          <w:szCs w:val="18"/>
          <w:lang w:val="es-ES_tradnl"/>
        </w:rPr>
        <w:footnoteRef/>
      </w:r>
      <w:r w:rsidRPr="00FC1EA6">
        <w:rPr>
          <w:rFonts w:ascii="Arial Narrow" w:hAnsi="Arial Narrow"/>
          <w:sz w:val="18"/>
          <w:szCs w:val="18"/>
          <w:lang w:val="es-ES_tradnl"/>
        </w:rPr>
        <w:t xml:space="preserve"> Ver. PGR. Comunicado 297/18. PGR enfatiza que ha cumplido con instrucción presidencial de atender y cumplir recomendaciones que CNDH. 1 de abril de 2018. Disponible en: </w:t>
      </w:r>
      <w:hyperlink r:id="rId1" w:history="1">
        <w:r w:rsidRPr="00FC1EA6">
          <w:rPr>
            <w:rStyle w:val="Hyperlink"/>
            <w:rFonts w:ascii="Arial Narrow" w:hAnsi="Arial Narrow"/>
            <w:sz w:val="18"/>
            <w:szCs w:val="18"/>
            <w:lang w:val="es-ES_tradnl"/>
          </w:rPr>
          <w:t>https://www.gob.mx/pgr/prensa/comunicado-297-18-pgr-enfatiza-que-ha-cumplido-con-instruccion-presidencial-de-atender-y-cumplir-recomendaciones-que-cndh</w:t>
        </w:r>
      </w:hyperlink>
      <w:r w:rsidRPr="00FC1EA6">
        <w:rPr>
          <w:rFonts w:ascii="Arial Narrow" w:hAnsi="Arial Narrow"/>
          <w:sz w:val="18"/>
          <w:szCs w:val="18"/>
          <w:lang w:val="es-ES_tradnl"/>
        </w:rPr>
        <w:t xml:space="preserve"> y PGR. Comunicado 230/18 El Gobierno de la República reafirma su determinación por esclarecer plenamente el caso Iguala. 15 de marzo de 2018. Disponible en: </w:t>
      </w:r>
      <w:hyperlink r:id="rId2" w:history="1">
        <w:r w:rsidRPr="00FC1EA6">
          <w:rPr>
            <w:rStyle w:val="Hyperlink"/>
            <w:rFonts w:ascii="Arial Narrow" w:hAnsi="Arial Narrow"/>
            <w:sz w:val="18"/>
            <w:szCs w:val="18"/>
            <w:lang w:val="es-ES_tradnl"/>
          </w:rPr>
          <w:t>https://www.gob.mx/pgr/prensa/comunicado-230-18-el-gobierno-de-la-republica-reafirma-su-determinacion-por-esclarecer-plenamente-el-caso-iguala?idiom=es</w:t>
        </w:r>
      </w:hyperlink>
      <w:r w:rsidRPr="00FC1EA6">
        <w:rPr>
          <w:rFonts w:ascii="Arial Narrow" w:hAnsi="Arial Narrow"/>
          <w:sz w:val="18"/>
          <w:szCs w:val="18"/>
          <w:lang w:val="es-ES_tradnl"/>
        </w:rPr>
        <w:t xml:space="preserve"> </w:t>
      </w:r>
    </w:p>
  </w:footnote>
  <w:footnote w:id="2">
    <w:p w14:paraId="7B8E1D99" w14:textId="7441538F" w:rsidR="00945BDC" w:rsidRPr="00FC1EA6" w:rsidRDefault="00945BDC">
      <w:pPr>
        <w:pStyle w:val="FootnoteText"/>
        <w:rPr>
          <w:rFonts w:ascii="Arial Narrow" w:hAnsi="Arial Narrow"/>
          <w:sz w:val="18"/>
          <w:szCs w:val="18"/>
          <w:lang w:val="es-ES_tradnl"/>
        </w:rPr>
      </w:pPr>
      <w:r w:rsidRPr="00FC1EA6">
        <w:rPr>
          <w:rStyle w:val="FootnoteReference"/>
          <w:rFonts w:ascii="Arial Narrow" w:hAnsi="Arial Narrow"/>
          <w:sz w:val="18"/>
          <w:szCs w:val="18"/>
          <w:lang w:val="es-ES_tradnl"/>
        </w:rPr>
        <w:footnoteRef/>
      </w:r>
      <w:r w:rsidRPr="00FC1EA6">
        <w:rPr>
          <w:rFonts w:ascii="Arial Narrow" w:hAnsi="Arial Narrow"/>
          <w:sz w:val="18"/>
          <w:szCs w:val="18"/>
          <w:lang w:val="es-ES_tradnl"/>
        </w:rPr>
        <w:t xml:space="preserve"> Ver también. Audiencia Ayotzinapa. 167 Periodo de sesiones. Disponible en: </w:t>
      </w:r>
      <w:hyperlink r:id="rId3" w:history="1">
        <w:r w:rsidRPr="00FC1EA6">
          <w:rPr>
            <w:rStyle w:val="Hyperlink"/>
            <w:rFonts w:ascii="Arial Narrow" w:hAnsi="Arial Narrow"/>
            <w:sz w:val="18"/>
            <w:szCs w:val="18"/>
            <w:lang w:val="es-ES_tradnl"/>
          </w:rPr>
          <w:t>https://youtu.be/RqE7sg2luLk?t=38m26s</w:t>
        </w:r>
      </w:hyperlink>
      <w:r w:rsidRPr="00FC1EA6">
        <w:rPr>
          <w:rFonts w:ascii="Arial Narrow" w:hAnsi="Arial Narrow"/>
          <w:sz w:val="18"/>
          <w:szCs w:val="18"/>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9BC"/>
    <w:multiLevelType w:val="hybridMultilevel"/>
    <w:tmpl w:val="8C1C8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AB2F76"/>
    <w:multiLevelType w:val="hybridMultilevel"/>
    <w:tmpl w:val="A218231A"/>
    <w:lvl w:ilvl="0" w:tplc="51080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45552028"/>
    <w:multiLevelType w:val="hybridMultilevel"/>
    <w:tmpl w:val="8A0EA8F8"/>
    <w:lvl w:ilvl="0" w:tplc="BA08419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5962445C"/>
    <w:multiLevelType w:val="hybridMultilevel"/>
    <w:tmpl w:val="5EAC55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E076D2"/>
    <w:multiLevelType w:val="multilevel"/>
    <w:tmpl w:val="37E81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9A03912"/>
    <w:multiLevelType w:val="hybridMultilevel"/>
    <w:tmpl w:val="2D50CCAC"/>
    <w:lvl w:ilvl="0" w:tplc="0A62C94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uilar">
    <w15:presenceInfo w15:providerId="None" w15:userId="MAguil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D8"/>
    <w:rsid w:val="00032436"/>
    <w:rsid w:val="00033AD5"/>
    <w:rsid w:val="000A1F50"/>
    <w:rsid w:val="000B138F"/>
    <w:rsid w:val="000B2027"/>
    <w:rsid w:val="00100ED2"/>
    <w:rsid w:val="001B4068"/>
    <w:rsid w:val="002261A0"/>
    <w:rsid w:val="002B3D3E"/>
    <w:rsid w:val="002D0B1E"/>
    <w:rsid w:val="00351A21"/>
    <w:rsid w:val="00395222"/>
    <w:rsid w:val="003E23BB"/>
    <w:rsid w:val="004772C3"/>
    <w:rsid w:val="00495101"/>
    <w:rsid w:val="00497507"/>
    <w:rsid w:val="004D09FC"/>
    <w:rsid w:val="004E6122"/>
    <w:rsid w:val="00506059"/>
    <w:rsid w:val="00522A78"/>
    <w:rsid w:val="005645A2"/>
    <w:rsid w:val="00577D4A"/>
    <w:rsid w:val="005A17A3"/>
    <w:rsid w:val="00631B0D"/>
    <w:rsid w:val="006547DA"/>
    <w:rsid w:val="006608F7"/>
    <w:rsid w:val="006D311C"/>
    <w:rsid w:val="006F5C46"/>
    <w:rsid w:val="00720503"/>
    <w:rsid w:val="007B5CD8"/>
    <w:rsid w:val="007C756A"/>
    <w:rsid w:val="007E18EC"/>
    <w:rsid w:val="0081321E"/>
    <w:rsid w:val="00857DB9"/>
    <w:rsid w:val="0086527B"/>
    <w:rsid w:val="00890429"/>
    <w:rsid w:val="008B2C73"/>
    <w:rsid w:val="00912077"/>
    <w:rsid w:val="009433C1"/>
    <w:rsid w:val="00945BDC"/>
    <w:rsid w:val="0096320E"/>
    <w:rsid w:val="00963A4E"/>
    <w:rsid w:val="009D53F8"/>
    <w:rsid w:val="00A80898"/>
    <w:rsid w:val="00AB313D"/>
    <w:rsid w:val="00B12B60"/>
    <w:rsid w:val="00BD5AC7"/>
    <w:rsid w:val="00C106DC"/>
    <w:rsid w:val="00C214E8"/>
    <w:rsid w:val="00C3650D"/>
    <w:rsid w:val="00C427E7"/>
    <w:rsid w:val="00C429FE"/>
    <w:rsid w:val="00CB7383"/>
    <w:rsid w:val="00D01639"/>
    <w:rsid w:val="00D175AB"/>
    <w:rsid w:val="00D36572"/>
    <w:rsid w:val="00D4282A"/>
    <w:rsid w:val="00DD4653"/>
    <w:rsid w:val="00DE6266"/>
    <w:rsid w:val="00E84295"/>
    <w:rsid w:val="00F03374"/>
    <w:rsid w:val="00F403D9"/>
    <w:rsid w:val="00FC1C80"/>
    <w:rsid w:val="00FC1EA6"/>
    <w:rsid w:val="00FC6C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D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D8"/>
    <w:pPr>
      <w:ind w:left="720"/>
      <w:contextualSpacing/>
    </w:pPr>
  </w:style>
  <w:style w:type="paragraph" w:styleId="FootnoteText">
    <w:name w:val="footnote text"/>
    <w:basedOn w:val="Normal"/>
    <w:link w:val="FootnoteTextChar"/>
    <w:uiPriority w:val="99"/>
    <w:semiHidden/>
    <w:unhideWhenUsed/>
    <w:rsid w:val="00506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059"/>
    <w:rPr>
      <w:sz w:val="20"/>
      <w:szCs w:val="20"/>
    </w:rPr>
  </w:style>
  <w:style w:type="character" w:styleId="FootnoteReference">
    <w:name w:val="footnote reference"/>
    <w:basedOn w:val="DefaultParagraphFont"/>
    <w:uiPriority w:val="99"/>
    <w:semiHidden/>
    <w:unhideWhenUsed/>
    <w:rsid w:val="00506059"/>
    <w:rPr>
      <w:vertAlign w:val="superscript"/>
    </w:rPr>
  </w:style>
  <w:style w:type="paragraph" w:styleId="Header">
    <w:name w:val="header"/>
    <w:basedOn w:val="Normal"/>
    <w:link w:val="HeaderChar"/>
    <w:uiPriority w:val="99"/>
    <w:unhideWhenUsed/>
    <w:rsid w:val="00497507"/>
    <w:pPr>
      <w:tabs>
        <w:tab w:val="center" w:pos="4419"/>
        <w:tab w:val="right" w:pos="8838"/>
      </w:tabs>
      <w:spacing w:after="0" w:line="240" w:lineRule="auto"/>
    </w:pPr>
  </w:style>
  <w:style w:type="character" w:customStyle="1" w:styleId="HeaderChar">
    <w:name w:val="Header Char"/>
    <w:basedOn w:val="DefaultParagraphFont"/>
    <w:link w:val="Header"/>
    <w:uiPriority w:val="99"/>
    <w:rsid w:val="00497507"/>
  </w:style>
  <w:style w:type="paragraph" w:styleId="Footer">
    <w:name w:val="footer"/>
    <w:basedOn w:val="Normal"/>
    <w:link w:val="FooterChar"/>
    <w:uiPriority w:val="99"/>
    <w:unhideWhenUsed/>
    <w:rsid w:val="004975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97507"/>
  </w:style>
  <w:style w:type="character" w:styleId="CommentReference">
    <w:name w:val="annotation reference"/>
    <w:basedOn w:val="DefaultParagraphFont"/>
    <w:uiPriority w:val="99"/>
    <w:semiHidden/>
    <w:unhideWhenUsed/>
    <w:rsid w:val="000A1F50"/>
    <w:rPr>
      <w:sz w:val="16"/>
      <w:szCs w:val="16"/>
    </w:rPr>
  </w:style>
  <w:style w:type="paragraph" w:styleId="CommentText">
    <w:name w:val="annotation text"/>
    <w:basedOn w:val="Normal"/>
    <w:link w:val="CommentTextChar"/>
    <w:uiPriority w:val="99"/>
    <w:semiHidden/>
    <w:unhideWhenUsed/>
    <w:rsid w:val="000A1F50"/>
    <w:pPr>
      <w:spacing w:line="240" w:lineRule="auto"/>
    </w:pPr>
    <w:rPr>
      <w:sz w:val="20"/>
      <w:szCs w:val="20"/>
    </w:rPr>
  </w:style>
  <w:style w:type="character" w:customStyle="1" w:styleId="CommentTextChar">
    <w:name w:val="Comment Text Char"/>
    <w:basedOn w:val="DefaultParagraphFont"/>
    <w:link w:val="CommentText"/>
    <w:uiPriority w:val="99"/>
    <w:semiHidden/>
    <w:rsid w:val="000A1F50"/>
    <w:rPr>
      <w:sz w:val="20"/>
      <w:szCs w:val="20"/>
    </w:rPr>
  </w:style>
  <w:style w:type="paragraph" w:styleId="CommentSubject">
    <w:name w:val="annotation subject"/>
    <w:basedOn w:val="CommentText"/>
    <w:next w:val="CommentText"/>
    <w:link w:val="CommentSubjectChar"/>
    <w:uiPriority w:val="99"/>
    <w:semiHidden/>
    <w:unhideWhenUsed/>
    <w:rsid w:val="000A1F50"/>
    <w:rPr>
      <w:b/>
      <w:bCs/>
    </w:rPr>
  </w:style>
  <w:style w:type="character" w:customStyle="1" w:styleId="CommentSubjectChar">
    <w:name w:val="Comment Subject Char"/>
    <w:basedOn w:val="CommentTextChar"/>
    <w:link w:val="CommentSubject"/>
    <w:uiPriority w:val="99"/>
    <w:semiHidden/>
    <w:rsid w:val="000A1F50"/>
    <w:rPr>
      <w:b/>
      <w:bCs/>
      <w:sz w:val="20"/>
      <w:szCs w:val="20"/>
    </w:rPr>
  </w:style>
  <w:style w:type="paragraph" w:styleId="BalloonText">
    <w:name w:val="Balloon Text"/>
    <w:basedOn w:val="Normal"/>
    <w:link w:val="BalloonTextChar"/>
    <w:uiPriority w:val="99"/>
    <w:semiHidden/>
    <w:unhideWhenUsed/>
    <w:rsid w:val="000A1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50"/>
    <w:rPr>
      <w:rFonts w:ascii="Segoe UI" w:hAnsi="Segoe UI" w:cs="Segoe UI"/>
      <w:sz w:val="18"/>
      <w:szCs w:val="18"/>
    </w:rPr>
  </w:style>
  <w:style w:type="character" w:styleId="Hyperlink">
    <w:name w:val="Hyperlink"/>
    <w:basedOn w:val="DefaultParagraphFont"/>
    <w:uiPriority w:val="99"/>
    <w:unhideWhenUsed/>
    <w:rsid w:val="004E61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D8"/>
    <w:pPr>
      <w:ind w:left="720"/>
      <w:contextualSpacing/>
    </w:pPr>
  </w:style>
  <w:style w:type="paragraph" w:styleId="FootnoteText">
    <w:name w:val="footnote text"/>
    <w:basedOn w:val="Normal"/>
    <w:link w:val="FootnoteTextChar"/>
    <w:uiPriority w:val="99"/>
    <w:semiHidden/>
    <w:unhideWhenUsed/>
    <w:rsid w:val="00506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059"/>
    <w:rPr>
      <w:sz w:val="20"/>
      <w:szCs w:val="20"/>
    </w:rPr>
  </w:style>
  <w:style w:type="character" w:styleId="FootnoteReference">
    <w:name w:val="footnote reference"/>
    <w:basedOn w:val="DefaultParagraphFont"/>
    <w:uiPriority w:val="99"/>
    <w:semiHidden/>
    <w:unhideWhenUsed/>
    <w:rsid w:val="00506059"/>
    <w:rPr>
      <w:vertAlign w:val="superscript"/>
    </w:rPr>
  </w:style>
  <w:style w:type="paragraph" w:styleId="Header">
    <w:name w:val="header"/>
    <w:basedOn w:val="Normal"/>
    <w:link w:val="HeaderChar"/>
    <w:uiPriority w:val="99"/>
    <w:unhideWhenUsed/>
    <w:rsid w:val="00497507"/>
    <w:pPr>
      <w:tabs>
        <w:tab w:val="center" w:pos="4419"/>
        <w:tab w:val="right" w:pos="8838"/>
      </w:tabs>
      <w:spacing w:after="0" w:line="240" w:lineRule="auto"/>
    </w:pPr>
  </w:style>
  <w:style w:type="character" w:customStyle="1" w:styleId="HeaderChar">
    <w:name w:val="Header Char"/>
    <w:basedOn w:val="DefaultParagraphFont"/>
    <w:link w:val="Header"/>
    <w:uiPriority w:val="99"/>
    <w:rsid w:val="00497507"/>
  </w:style>
  <w:style w:type="paragraph" w:styleId="Footer">
    <w:name w:val="footer"/>
    <w:basedOn w:val="Normal"/>
    <w:link w:val="FooterChar"/>
    <w:uiPriority w:val="99"/>
    <w:unhideWhenUsed/>
    <w:rsid w:val="004975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97507"/>
  </w:style>
  <w:style w:type="character" w:styleId="CommentReference">
    <w:name w:val="annotation reference"/>
    <w:basedOn w:val="DefaultParagraphFont"/>
    <w:uiPriority w:val="99"/>
    <w:semiHidden/>
    <w:unhideWhenUsed/>
    <w:rsid w:val="000A1F50"/>
    <w:rPr>
      <w:sz w:val="16"/>
      <w:szCs w:val="16"/>
    </w:rPr>
  </w:style>
  <w:style w:type="paragraph" w:styleId="CommentText">
    <w:name w:val="annotation text"/>
    <w:basedOn w:val="Normal"/>
    <w:link w:val="CommentTextChar"/>
    <w:uiPriority w:val="99"/>
    <w:semiHidden/>
    <w:unhideWhenUsed/>
    <w:rsid w:val="000A1F50"/>
    <w:pPr>
      <w:spacing w:line="240" w:lineRule="auto"/>
    </w:pPr>
    <w:rPr>
      <w:sz w:val="20"/>
      <w:szCs w:val="20"/>
    </w:rPr>
  </w:style>
  <w:style w:type="character" w:customStyle="1" w:styleId="CommentTextChar">
    <w:name w:val="Comment Text Char"/>
    <w:basedOn w:val="DefaultParagraphFont"/>
    <w:link w:val="CommentText"/>
    <w:uiPriority w:val="99"/>
    <w:semiHidden/>
    <w:rsid w:val="000A1F50"/>
    <w:rPr>
      <w:sz w:val="20"/>
      <w:szCs w:val="20"/>
    </w:rPr>
  </w:style>
  <w:style w:type="paragraph" w:styleId="CommentSubject">
    <w:name w:val="annotation subject"/>
    <w:basedOn w:val="CommentText"/>
    <w:next w:val="CommentText"/>
    <w:link w:val="CommentSubjectChar"/>
    <w:uiPriority w:val="99"/>
    <w:semiHidden/>
    <w:unhideWhenUsed/>
    <w:rsid w:val="000A1F50"/>
    <w:rPr>
      <w:b/>
      <w:bCs/>
    </w:rPr>
  </w:style>
  <w:style w:type="character" w:customStyle="1" w:styleId="CommentSubjectChar">
    <w:name w:val="Comment Subject Char"/>
    <w:basedOn w:val="CommentTextChar"/>
    <w:link w:val="CommentSubject"/>
    <w:uiPriority w:val="99"/>
    <w:semiHidden/>
    <w:rsid w:val="000A1F50"/>
    <w:rPr>
      <w:b/>
      <w:bCs/>
      <w:sz w:val="20"/>
      <w:szCs w:val="20"/>
    </w:rPr>
  </w:style>
  <w:style w:type="paragraph" w:styleId="BalloonText">
    <w:name w:val="Balloon Text"/>
    <w:basedOn w:val="Normal"/>
    <w:link w:val="BalloonTextChar"/>
    <w:uiPriority w:val="99"/>
    <w:semiHidden/>
    <w:unhideWhenUsed/>
    <w:rsid w:val="000A1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50"/>
    <w:rPr>
      <w:rFonts w:ascii="Segoe UI" w:hAnsi="Segoe UI" w:cs="Segoe UI"/>
      <w:sz w:val="18"/>
      <w:szCs w:val="18"/>
    </w:rPr>
  </w:style>
  <w:style w:type="character" w:styleId="Hyperlink">
    <w:name w:val="Hyperlink"/>
    <w:basedOn w:val="DefaultParagraphFont"/>
    <w:uiPriority w:val="99"/>
    <w:unhideWhenUsed/>
    <w:rsid w:val="004E6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RqE7sg2luLk?t=38m26s" TargetMode="External"/><Relationship Id="rId2" Type="http://schemas.openxmlformats.org/officeDocument/2006/relationships/hyperlink" Target="https://www.gob.mx/pgr/prensa/comunicado-230-18-el-gobierno-de-la-republica-reafirma-su-determinacion-por-esclarecer-plenamente-el-caso-iguala?idiom=es" TargetMode="External"/><Relationship Id="rId1" Type="http://schemas.openxmlformats.org/officeDocument/2006/relationships/hyperlink" Target="https://www.gob.mx/pgr/prensa/comunicado-297-18-pgr-enfatiza-que-ha-cumplido-con-instruccion-presidencial-de-atender-y-cumplir-recomendaciones-que-cnd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100D-2187-48DB-8702-AA647F9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3235</Words>
  <Characters>18442</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Aguirre</dc:creator>
  <cp:lastModifiedBy>%OAS%</cp:lastModifiedBy>
  <cp:revision>2</cp:revision>
  <dcterms:created xsi:type="dcterms:W3CDTF">2018-06-05T18:16:00Z</dcterms:created>
  <dcterms:modified xsi:type="dcterms:W3CDTF">2018-06-05T18:16:00Z</dcterms:modified>
</cp:coreProperties>
</file>