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4C5ED" w14:textId="77777777" w:rsidR="0062264F" w:rsidRDefault="0062264F" w:rsidP="00D51F89">
      <w:pPr>
        <w:spacing w:after="0" w:line="240" w:lineRule="auto"/>
        <w:jc w:val="center"/>
        <w:rPr>
          <w:rFonts w:ascii="Cambria" w:eastAsia="Batang" w:hAnsi="Cambria" w:cs="Times New Roman"/>
          <w:b/>
          <w:color w:val="000000"/>
          <w:szCs w:val="21"/>
          <w:lang w:val="es-ES"/>
        </w:rPr>
      </w:pPr>
    </w:p>
    <w:p w14:paraId="69BC5AF1" w14:textId="3E4349D8" w:rsidR="00C66795" w:rsidRPr="00344CD1" w:rsidRDefault="00C66795" w:rsidP="00D51F89">
      <w:pPr>
        <w:spacing w:after="0" w:line="240" w:lineRule="auto"/>
        <w:jc w:val="center"/>
        <w:rPr>
          <w:rFonts w:ascii="Cambria" w:eastAsia="Batang" w:hAnsi="Cambria" w:cs="Times New Roman"/>
          <w:b/>
          <w:color w:val="000000"/>
          <w:szCs w:val="21"/>
          <w:lang w:val="es-ES"/>
        </w:rPr>
      </w:pPr>
      <w:r w:rsidRPr="00344CD1">
        <w:rPr>
          <w:rFonts w:ascii="Cambria" w:eastAsia="Batang" w:hAnsi="Cambria" w:cs="Times New Roman"/>
          <w:b/>
          <w:color w:val="000000"/>
          <w:szCs w:val="21"/>
          <w:lang w:val="es-ES"/>
        </w:rPr>
        <w:t>COMISIÓN INTERAMERICANA DE DERECHOS HUMANOS</w:t>
      </w:r>
    </w:p>
    <w:p w14:paraId="79F9D0E0" w14:textId="6BD7A70A" w:rsidR="00C66795" w:rsidRPr="00344CD1" w:rsidRDefault="00C66795" w:rsidP="00D51F89">
      <w:pPr>
        <w:spacing w:after="0" w:line="240" w:lineRule="auto"/>
        <w:jc w:val="center"/>
        <w:rPr>
          <w:rFonts w:ascii="Cambria" w:eastAsia="Batang" w:hAnsi="Cambria" w:cs="Times New Roman"/>
          <w:b/>
          <w:color w:val="000000"/>
          <w:szCs w:val="21"/>
          <w:lang w:val="es-ES"/>
        </w:rPr>
      </w:pPr>
      <w:r w:rsidRPr="00344CD1">
        <w:rPr>
          <w:rFonts w:ascii="Cambria" w:eastAsia="Batang" w:hAnsi="Cambria" w:cs="Times New Roman"/>
          <w:b/>
          <w:color w:val="000000"/>
          <w:szCs w:val="21"/>
          <w:lang w:val="es-ES"/>
        </w:rPr>
        <w:t xml:space="preserve">RESOLUCIÓN </w:t>
      </w:r>
      <w:r w:rsidR="00A22496">
        <w:rPr>
          <w:rFonts w:ascii="Cambria" w:eastAsia="Batang" w:hAnsi="Cambria" w:cs="Times New Roman"/>
          <w:b/>
          <w:color w:val="000000"/>
          <w:szCs w:val="21"/>
          <w:lang w:val="es-ES"/>
        </w:rPr>
        <w:t>44</w:t>
      </w:r>
      <w:r w:rsidRPr="00344CD1">
        <w:rPr>
          <w:rFonts w:ascii="Cambria" w:eastAsia="Batang" w:hAnsi="Cambria" w:cs="Times New Roman"/>
          <w:b/>
          <w:color w:val="000000"/>
          <w:szCs w:val="21"/>
          <w:lang w:val="es-ES"/>
        </w:rPr>
        <w:t>/2020</w:t>
      </w:r>
    </w:p>
    <w:p w14:paraId="7FCF0ED7" w14:textId="77777777" w:rsidR="00C66795" w:rsidRPr="00A22496" w:rsidRDefault="00C66795" w:rsidP="00D51F89">
      <w:pPr>
        <w:spacing w:after="0" w:line="240" w:lineRule="auto"/>
        <w:jc w:val="center"/>
        <w:rPr>
          <w:rFonts w:ascii="Cambria" w:eastAsia="Batang" w:hAnsi="Cambria" w:cs="Times New Roman"/>
          <w:color w:val="000000"/>
          <w:szCs w:val="21"/>
          <w:lang w:val="pt-BR"/>
        </w:rPr>
      </w:pPr>
      <w:r w:rsidRPr="00A22496">
        <w:rPr>
          <w:rFonts w:ascii="Cambria" w:eastAsia="Batang" w:hAnsi="Cambria" w:cs="Times New Roman"/>
          <w:color w:val="000000"/>
          <w:szCs w:val="21"/>
          <w:lang w:val="pt-BR"/>
        </w:rPr>
        <w:t>Medida Cautelar No. 1211-19</w:t>
      </w:r>
    </w:p>
    <w:p w14:paraId="45795CD8" w14:textId="77777777" w:rsidR="00C66795" w:rsidRPr="00A22496" w:rsidRDefault="00C66795" w:rsidP="00D51F89">
      <w:pPr>
        <w:spacing w:after="0" w:line="240" w:lineRule="auto"/>
        <w:jc w:val="center"/>
        <w:rPr>
          <w:rFonts w:ascii="Cambria" w:eastAsia="Batang" w:hAnsi="Cambria" w:cs="Times New Roman"/>
          <w:color w:val="000000"/>
          <w:sz w:val="21"/>
          <w:szCs w:val="21"/>
          <w:lang w:val="pt-BR"/>
        </w:rPr>
      </w:pPr>
    </w:p>
    <w:p w14:paraId="5BEBA55B" w14:textId="14F5396A" w:rsidR="00C66795" w:rsidRPr="00A22496" w:rsidRDefault="00C66795" w:rsidP="00D51F89">
      <w:pPr>
        <w:spacing w:after="0" w:line="240" w:lineRule="auto"/>
        <w:jc w:val="center"/>
        <w:rPr>
          <w:rFonts w:ascii="Cambria" w:eastAsia="Batang" w:hAnsi="Cambria" w:cs="Times New Roman"/>
          <w:color w:val="000000"/>
          <w:sz w:val="26"/>
          <w:szCs w:val="26"/>
          <w:lang w:val="pt-BR"/>
        </w:rPr>
      </w:pPr>
      <w:r w:rsidRPr="00A22496">
        <w:rPr>
          <w:rFonts w:ascii="Cambria" w:eastAsia="Batang" w:hAnsi="Cambria" w:cs="Times New Roman"/>
          <w:color w:val="000000"/>
          <w:sz w:val="26"/>
          <w:szCs w:val="26"/>
          <w:lang w:val="pt-BR"/>
        </w:rPr>
        <w:t>Comunidad Remanente del Quilombo Rio dos Macacos respecto de Brasil</w:t>
      </w:r>
      <w:r w:rsidRPr="00344CD1">
        <w:rPr>
          <w:rFonts w:ascii="Cambria" w:eastAsia="Batang" w:hAnsi="Cambria" w:cs="Times New Roman"/>
          <w:color w:val="000000"/>
          <w:sz w:val="26"/>
          <w:szCs w:val="26"/>
          <w:vertAlign w:val="superscript"/>
          <w:lang w:val="es-ES"/>
        </w:rPr>
        <w:footnoteReference w:id="1"/>
      </w:r>
    </w:p>
    <w:p w14:paraId="7A337A8F" w14:textId="5C3AC54B" w:rsidR="00C66795" w:rsidRPr="00A22496" w:rsidRDefault="00282290" w:rsidP="00D51F89">
      <w:pPr>
        <w:spacing w:after="0" w:line="240" w:lineRule="auto"/>
        <w:jc w:val="center"/>
        <w:rPr>
          <w:rFonts w:ascii="Cambria" w:eastAsia="Batang" w:hAnsi="Cambria" w:cs="Times New Roman"/>
          <w:color w:val="000000"/>
          <w:sz w:val="20"/>
          <w:szCs w:val="21"/>
          <w:lang w:val="pt-BR"/>
        </w:rPr>
      </w:pPr>
      <w:r w:rsidRPr="00A22496">
        <w:rPr>
          <w:rFonts w:ascii="Cambria" w:eastAsia="Batang" w:hAnsi="Cambria" w:cs="Times New Roman"/>
          <w:color w:val="000000"/>
          <w:sz w:val="20"/>
          <w:szCs w:val="20"/>
          <w:lang w:val="pt-BR"/>
        </w:rPr>
        <w:t>6 de agosto</w:t>
      </w:r>
      <w:r w:rsidR="00C66795" w:rsidRPr="00A22496">
        <w:rPr>
          <w:rFonts w:ascii="Cambria" w:eastAsia="Batang" w:hAnsi="Cambria" w:cs="Times New Roman"/>
          <w:color w:val="000000"/>
          <w:sz w:val="20"/>
          <w:szCs w:val="21"/>
          <w:lang w:val="pt-BR"/>
        </w:rPr>
        <w:t xml:space="preserve"> de 2020</w:t>
      </w:r>
      <w:bookmarkStart w:id="0" w:name="_GoBack"/>
      <w:bookmarkEnd w:id="0"/>
    </w:p>
    <w:p w14:paraId="23F1AC5F" w14:textId="1627C679" w:rsidR="00C66795" w:rsidRPr="00A22496" w:rsidRDefault="00C66795" w:rsidP="00D51F89">
      <w:pPr>
        <w:spacing w:after="0" w:line="240" w:lineRule="auto"/>
        <w:jc w:val="both"/>
        <w:rPr>
          <w:rFonts w:ascii="Cambria" w:eastAsia="Batang" w:hAnsi="Cambria" w:cs="Times New Roman"/>
          <w:color w:val="000000"/>
          <w:sz w:val="21"/>
          <w:szCs w:val="21"/>
          <w:lang w:val="pt-BR"/>
        </w:rPr>
      </w:pPr>
    </w:p>
    <w:p w14:paraId="0EF5C323" w14:textId="77777777" w:rsidR="0062264F" w:rsidRPr="00A22496" w:rsidRDefault="0062264F" w:rsidP="00D51F89">
      <w:pPr>
        <w:spacing w:after="0" w:line="240" w:lineRule="auto"/>
        <w:jc w:val="both"/>
        <w:rPr>
          <w:rFonts w:ascii="Cambria" w:eastAsia="Batang" w:hAnsi="Cambria" w:cs="Times New Roman"/>
          <w:color w:val="000000"/>
          <w:sz w:val="21"/>
          <w:szCs w:val="21"/>
          <w:lang w:val="pt-BR"/>
        </w:rPr>
      </w:pPr>
    </w:p>
    <w:p w14:paraId="096E8C0F" w14:textId="77777777" w:rsidR="00C66795" w:rsidRPr="00344CD1" w:rsidRDefault="00C66795" w:rsidP="00D51F89">
      <w:pPr>
        <w:numPr>
          <w:ilvl w:val="0"/>
          <w:numId w:val="2"/>
        </w:numPr>
        <w:spacing w:after="0" w:line="240" w:lineRule="auto"/>
        <w:ind w:hanging="294"/>
        <w:jc w:val="both"/>
        <w:rPr>
          <w:rFonts w:ascii="Cambria" w:eastAsia="Batang" w:hAnsi="Cambria" w:cs="Times New Roman"/>
          <w:b/>
          <w:color w:val="000000"/>
          <w:sz w:val="21"/>
          <w:szCs w:val="21"/>
          <w:lang w:val="es-ES"/>
        </w:rPr>
      </w:pPr>
      <w:r w:rsidRPr="00344CD1">
        <w:rPr>
          <w:rFonts w:ascii="Cambria" w:eastAsia="Batang" w:hAnsi="Cambria" w:cs="Times New Roman"/>
          <w:b/>
          <w:color w:val="000000"/>
          <w:sz w:val="21"/>
          <w:szCs w:val="21"/>
          <w:lang w:val="es-ES"/>
        </w:rPr>
        <w:t>INTRODUCCIÓN</w:t>
      </w:r>
    </w:p>
    <w:p w14:paraId="70FFE33A" w14:textId="77777777" w:rsidR="00C66795" w:rsidRPr="00344CD1" w:rsidRDefault="00C66795" w:rsidP="00D51F89">
      <w:pPr>
        <w:spacing w:after="0" w:line="240" w:lineRule="auto"/>
        <w:jc w:val="both"/>
        <w:rPr>
          <w:rFonts w:ascii="Cambria" w:eastAsia="Batang" w:hAnsi="Cambria" w:cs="Times New Roman"/>
          <w:b/>
          <w:color w:val="000000"/>
          <w:sz w:val="21"/>
          <w:szCs w:val="21"/>
          <w:lang w:val="es-ES"/>
        </w:rPr>
      </w:pPr>
    </w:p>
    <w:p w14:paraId="23BD28B9" w14:textId="752852AB" w:rsidR="00C66795" w:rsidRPr="00344CD1" w:rsidRDefault="00C66795" w:rsidP="00D51F89">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El 19 de diciembre de 2019, la Comisión Interamericana de Derechos Humanos (“la Comisión Interamericana”, “la Comisión” o “la CIDH”) recibió una solicitud de medidas cautelares interpuesta por </w:t>
      </w:r>
      <w:r w:rsidR="001B3F6C" w:rsidRPr="00344CD1">
        <w:rPr>
          <w:rFonts w:ascii="Cambria" w:eastAsia="Batang" w:hAnsi="Cambria" w:cs="Times New Roman"/>
          <w:color w:val="000000"/>
          <w:sz w:val="21"/>
          <w:szCs w:val="21"/>
          <w:lang w:val="es-ES"/>
        </w:rPr>
        <w:t>la Asociación de Remanentes del Quilombo</w:t>
      </w:r>
      <w:r w:rsidR="00D00EA1" w:rsidRPr="00344CD1">
        <w:rPr>
          <w:rStyle w:val="FootnoteReference"/>
          <w:rFonts w:ascii="Cambria" w:eastAsia="Batang" w:hAnsi="Cambria" w:cs="Times New Roman"/>
          <w:color w:val="000000"/>
          <w:sz w:val="21"/>
          <w:szCs w:val="21"/>
          <w:lang w:val="es-ES"/>
        </w:rPr>
        <w:footnoteReference w:id="2"/>
      </w:r>
      <w:r w:rsidR="001B3F6C" w:rsidRPr="00344CD1">
        <w:rPr>
          <w:rFonts w:ascii="Cambria" w:eastAsia="Batang" w:hAnsi="Cambria" w:cs="Times New Roman"/>
          <w:color w:val="000000"/>
          <w:sz w:val="21"/>
          <w:szCs w:val="21"/>
          <w:lang w:val="es-ES"/>
        </w:rPr>
        <w:t xml:space="preserve"> Rio dos Macacos y otros </w:t>
      </w:r>
      <w:r w:rsidRPr="00344CD1">
        <w:rPr>
          <w:rFonts w:ascii="Cambria" w:eastAsia="Batang" w:hAnsi="Cambria" w:cs="Times New Roman"/>
          <w:color w:val="000000"/>
          <w:sz w:val="21"/>
          <w:szCs w:val="21"/>
          <w:lang w:val="es-ES"/>
        </w:rPr>
        <w:t xml:space="preserve">(“los solicitantes”) en favor de </w:t>
      </w:r>
      <w:r w:rsidR="00556B6B" w:rsidRPr="00344CD1">
        <w:rPr>
          <w:rFonts w:ascii="Cambria" w:eastAsia="Batang" w:hAnsi="Cambria" w:cs="Times New Roman"/>
          <w:color w:val="000000"/>
          <w:sz w:val="21"/>
          <w:szCs w:val="21"/>
          <w:lang w:val="es-ES"/>
        </w:rPr>
        <w:t>los miembros de la C</w:t>
      </w:r>
      <w:r w:rsidR="001B3F6C" w:rsidRPr="00344CD1">
        <w:rPr>
          <w:rFonts w:ascii="Cambria" w:eastAsia="Batang" w:hAnsi="Cambria" w:cs="Times New Roman"/>
          <w:color w:val="000000"/>
          <w:sz w:val="21"/>
          <w:szCs w:val="21"/>
          <w:lang w:val="es-ES"/>
        </w:rPr>
        <w:t xml:space="preserve">omunidad </w:t>
      </w:r>
      <w:r w:rsidR="00556B6B" w:rsidRPr="00344CD1">
        <w:rPr>
          <w:rFonts w:ascii="Cambria" w:eastAsia="Batang" w:hAnsi="Cambria" w:cs="Times New Roman"/>
          <w:color w:val="000000"/>
          <w:sz w:val="21"/>
          <w:szCs w:val="21"/>
          <w:lang w:val="es-ES"/>
        </w:rPr>
        <w:t>R</w:t>
      </w:r>
      <w:r w:rsidR="001B3F6C" w:rsidRPr="00344CD1">
        <w:rPr>
          <w:rFonts w:ascii="Cambria" w:eastAsia="Batang" w:hAnsi="Cambria" w:cs="Times New Roman"/>
          <w:color w:val="000000"/>
          <w:sz w:val="21"/>
          <w:szCs w:val="21"/>
          <w:lang w:val="es-ES"/>
        </w:rPr>
        <w:t>emanente del Quilombo Rio dos Macacos</w:t>
      </w:r>
      <w:r w:rsidR="00CA1628" w:rsidRPr="00344CD1">
        <w:rPr>
          <w:rFonts w:ascii="Cambria" w:eastAsia="Batang" w:hAnsi="Cambria" w:cs="Times New Roman"/>
          <w:color w:val="000000"/>
          <w:sz w:val="21"/>
          <w:szCs w:val="21"/>
          <w:lang w:val="es-ES"/>
        </w:rPr>
        <w:t xml:space="preserve"> (“las personas</w:t>
      </w:r>
      <w:r w:rsidRPr="00344CD1">
        <w:rPr>
          <w:rFonts w:ascii="Cambria" w:eastAsia="Batang" w:hAnsi="Cambria" w:cs="Times New Roman"/>
          <w:color w:val="000000"/>
          <w:sz w:val="21"/>
          <w:szCs w:val="21"/>
          <w:lang w:val="es-ES"/>
        </w:rPr>
        <w:t xml:space="preserve"> propuest</w:t>
      </w:r>
      <w:r w:rsidR="00CA1628" w:rsidRPr="00344CD1">
        <w:rPr>
          <w:rFonts w:ascii="Cambria" w:eastAsia="Batang" w:hAnsi="Cambria" w:cs="Times New Roman"/>
          <w:color w:val="000000"/>
          <w:sz w:val="21"/>
          <w:szCs w:val="21"/>
          <w:lang w:val="es-ES"/>
        </w:rPr>
        <w:t>a</w:t>
      </w:r>
      <w:r w:rsidRPr="00344CD1">
        <w:rPr>
          <w:rFonts w:ascii="Cambria" w:eastAsia="Batang" w:hAnsi="Cambria" w:cs="Times New Roman"/>
          <w:color w:val="000000"/>
          <w:sz w:val="21"/>
          <w:szCs w:val="21"/>
          <w:lang w:val="es-ES"/>
        </w:rPr>
        <w:t xml:space="preserve">s </w:t>
      </w:r>
      <w:r w:rsidR="00CA1628" w:rsidRPr="00344CD1">
        <w:rPr>
          <w:rFonts w:ascii="Cambria" w:eastAsia="Batang" w:hAnsi="Cambria" w:cs="Times New Roman"/>
          <w:color w:val="000000"/>
          <w:sz w:val="21"/>
          <w:szCs w:val="21"/>
          <w:lang w:val="es-ES"/>
        </w:rPr>
        <w:t xml:space="preserve">como </w:t>
      </w:r>
      <w:r w:rsidRPr="00344CD1">
        <w:rPr>
          <w:rFonts w:ascii="Cambria" w:eastAsia="Batang" w:hAnsi="Cambria" w:cs="Times New Roman"/>
          <w:color w:val="000000"/>
          <w:sz w:val="21"/>
          <w:szCs w:val="21"/>
          <w:lang w:val="es-ES"/>
        </w:rPr>
        <w:t>beneficiari</w:t>
      </w:r>
      <w:r w:rsidR="00CA1628" w:rsidRPr="00344CD1">
        <w:rPr>
          <w:rFonts w:ascii="Cambria" w:eastAsia="Batang" w:hAnsi="Cambria" w:cs="Times New Roman"/>
          <w:color w:val="000000"/>
          <w:sz w:val="21"/>
          <w:szCs w:val="21"/>
          <w:lang w:val="es-ES"/>
        </w:rPr>
        <w:t>a</w:t>
      </w:r>
      <w:r w:rsidRPr="00344CD1">
        <w:rPr>
          <w:rFonts w:ascii="Cambria" w:eastAsia="Batang" w:hAnsi="Cambria" w:cs="Times New Roman"/>
          <w:color w:val="000000"/>
          <w:sz w:val="21"/>
          <w:szCs w:val="21"/>
          <w:lang w:val="es-ES"/>
        </w:rPr>
        <w:t>s”), instando a la CIDH que requiera al Estado de Brasil (“Brasil” o “el Estado”) la adopción de las medidas necesarias para proteger sus derechos a la vida e integridad personal. Según la solicitud, l</w:t>
      </w:r>
      <w:r w:rsidR="009A42AB" w:rsidRPr="00344CD1">
        <w:rPr>
          <w:rFonts w:ascii="Cambria" w:eastAsia="Batang" w:hAnsi="Cambria" w:cs="Times New Roman"/>
          <w:color w:val="000000"/>
          <w:sz w:val="21"/>
          <w:szCs w:val="21"/>
          <w:lang w:val="es-ES"/>
        </w:rPr>
        <w:t xml:space="preserve">as personas </w:t>
      </w:r>
      <w:r w:rsidRPr="00344CD1">
        <w:rPr>
          <w:rFonts w:ascii="Cambria" w:eastAsia="Batang" w:hAnsi="Cambria" w:cs="Times New Roman"/>
          <w:color w:val="000000"/>
          <w:sz w:val="21"/>
          <w:szCs w:val="21"/>
          <w:lang w:val="es-ES"/>
        </w:rPr>
        <w:t>propuest</w:t>
      </w:r>
      <w:r w:rsidR="009A42AB" w:rsidRPr="00344CD1">
        <w:rPr>
          <w:rFonts w:ascii="Cambria" w:eastAsia="Batang" w:hAnsi="Cambria" w:cs="Times New Roman"/>
          <w:color w:val="000000"/>
          <w:sz w:val="21"/>
          <w:szCs w:val="21"/>
          <w:lang w:val="es-ES"/>
        </w:rPr>
        <w:t>as</w:t>
      </w:r>
      <w:r w:rsidR="005A24AA" w:rsidRPr="00344CD1">
        <w:rPr>
          <w:rFonts w:ascii="Cambria" w:eastAsia="Batang" w:hAnsi="Cambria" w:cs="Times New Roman"/>
          <w:color w:val="000000"/>
          <w:sz w:val="21"/>
          <w:szCs w:val="21"/>
          <w:lang w:val="es-ES"/>
        </w:rPr>
        <w:t xml:space="preserve"> como</w:t>
      </w:r>
      <w:r w:rsidR="009A42AB" w:rsidRPr="00344CD1">
        <w:rPr>
          <w:rFonts w:ascii="Cambria" w:eastAsia="Batang" w:hAnsi="Cambria" w:cs="Times New Roman"/>
          <w:color w:val="000000"/>
          <w:sz w:val="21"/>
          <w:szCs w:val="21"/>
          <w:lang w:val="es-ES"/>
        </w:rPr>
        <w:t xml:space="preserve"> beneficiaria</w:t>
      </w:r>
      <w:r w:rsidRPr="00344CD1">
        <w:rPr>
          <w:rFonts w:ascii="Cambria" w:eastAsia="Batang" w:hAnsi="Cambria" w:cs="Times New Roman"/>
          <w:color w:val="000000"/>
          <w:sz w:val="21"/>
          <w:szCs w:val="21"/>
          <w:lang w:val="es-ES"/>
        </w:rPr>
        <w:t xml:space="preserve">s se encuentran en una situación de riesgo debido a </w:t>
      </w:r>
      <w:r w:rsidR="001B3F6C" w:rsidRPr="00344CD1">
        <w:rPr>
          <w:rFonts w:ascii="Cambria" w:eastAsia="Batang" w:hAnsi="Cambria" w:cs="Times New Roman"/>
          <w:color w:val="000000"/>
          <w:sz w:val="21"/>
          <w:szCs w:val="21"/>
          <w:lang w:val="es-ES"/>
        </w:rPr>
        <w:t xml:space="preserve">amenazas, hostigamientos y actos de violencia </w:t>
      </w:r>
      <w:r w:rsidR="0052214C" w:rsidRPr="00344CD1">
        <w:rPr>
          <w:rFonts w:ascii="Cambria" w:eastAsia="Batang" w:hAnsi="Cambria" w:cs="Times New Roman"/>
          <w:color w:val="000000"/>
          <w:sz w:val="21"/>
          <w:szCs w:val="21"/>
          <w:lang w:val="es-ES"/>
        </w:rPr>
        <w:t>perpetrados en su contra</w:t>
      </w:r>
      <w:r w:rsidR="00FA6A15" w:rsidRPr="00344CD1">
        <w:rPr>
          <w:rFonts w:ascii="Cambria" w:eastAsia="Batang" w:hAnsi="Cambria" w:cs="Times New Roman"/>
          <w:color w:val="000000"/>
          <w:sz w:val="21"/>
          <w:szCs w:val="21"/>
          <w:lang w:val="es-ES"/>
        </w:rPr>
        <w:t>,</w:t>
      </w:r>
      <w:r w:rsidR="0052214C" w:rsidRPr="00344CD1">
        <w:rPr>
          <w:rFonts w:ascii="Cambria" w:eastAsia="Batang" w:hAnsi="Cambria" w:cs="Times New Roman"/>
          <w:color w:val="000000"/>
          <w:sz w:val="21"/>
          <w:szCs w:val="21"/>
          <w:lang w:val="es-ES"/>
        </w:rPr>
        <w:t xml:space="preserve"> en el contexto de su disputa por </w:t>
      </w:r>
      <w:r w:rsidR="00FA6A15" w:rsidRPr="00344CD1">
        <w:rPr>
          <w:rFonts w:ascii="Cambria" w:eastAsia="Batang" w:hAnsi="Cambria" w:cs="Times New Roman"/>
          <w:color w:val="000000"/>
          <w:sz w:val="21"/>
          <w:szCs w:val="21"/>
          <w:lang w:val="es-ES"/>
        </w:rPr>
        <w:t xml:space="preserve">el </w:t>
      </w:r>
      <w:r w:rsidR="0052214C" w:rsidRPr="00344CD1">
        <w:rPr>
          <w:rFonts w:ascii="Cambria" w:eastAsia="Batang" w:hAnsi="Cambria" w:cs="Times New Roman"/>
          <w:color w:val="000000"/>
          <w:sz w:val="21"/>
          <w:szCs w:val="21"/>
          <w:lang w:val="es-ES"/>
        </w:rPr>
        <w:t>reconocimiento del territorio</w:t>
      </w:r>
      <w:r w:rsidR="00524B9F" w:rsidRPr="00344CD1">
        <w:rPr>
          <w:rFonts w:ascii="Cambria" w:eastAsia="Batang" w:hAnsi="Cambria" w:cs="Times New Roman"/>
          <w:color w:val="000000"/>
          <w:sz w:val="21"/>
          <w:szCs w:val="21"/>
          <w:lang w:val="es-ES"/>
        </w:rPr>
        <w:t xml:space="preserve">, y ante la posibilidad de </w:t>
      </w:r>
      <w:r w:rsidR="005A24AA" w:rsidRPr="00344CD1">
        <w:rPr>
          <w:rFonts w:ascii="Cambria" w:eastAsia="Batang" w:hAnsi="Cambria" w:cs="Times New Roman"/>
          <w:color w:val="000000"/>
          <w:sz w:val="21"/>
          <w:szCs w:val="21"/>
          <w:lang w:val="es-ES"/>
        </w:rPr>
        <w:t xml:space="preserve">una </w:t>
      </w:r>
      <w:r w:rsidR="00674B22" w:rsidRPr="00344CD1">
        <w:rPr>
          <w:rFonts w:ascii="Cambria" w:eastAsia="Batang" w:hAnsi="Cambria" w:cs="Times New Roman"/>
          <w:color w:val="000000"/>
          <w:sz w:val="21"/>
          <w:szCs w:val="21"/>
          <w:lang w:val="es-ES"/>
        </w:rPr>
        <w:t>rotura</w:t>
      </w:r>
      <w:r w:rsidR="005A24AA" w:rsidRPr="00344CD1">
        <w:rPr>
          <w:rFonts w:ascii="Cambria" w:eastAsia="Batang" w:hAnsi="Cambria" w:cs="Times New Roman"/>
          <w:color w:val="000000"/>
          <w:sz w:val="21"/>
          <w:szCs w:val="21"/>
          <w:lang w:val="es-ES"/>
        </w:rPr>
        <w:t xml:space="preserve"> </w:t>
      </w:r>
      <w:r w:rsidR="00524B9F" w:rsidRPr="00344CD1">
        <w:rPr>
          <w:rFonts w:ascii="Cambria" w:eastAsia="Batang" w:hAnsi="Cambria" w:cs="Times New Roman"/>
          <w:color w:val="000000"/>
          <w:sz w:val="21"/>
          <w:szCs w:val="21"/>
          <w:lang w:val="es-ES"/>
        </w:rPr>
        <w:t xml:space="preserve">de la </w:t>
      </w:r>
      <w:r w:rsidR="00EE184E" w:rsidRPr="00344CD1">
        <w:rPr>
          <w:rFonts w:ascii="Cambria" w:eastAsia="Batang" w:hAnsi="Cambria" w:cs="Times New Roman"/>
          <w:color w:val="000000"/>
          <w:sz w:val="21"/>
          <w:szCs w:val="21"/>
          <w:lang w:val="es-ES"/>
        </w:rPr>
        <w:t>Represa</w:t>
      </w:r>
      <w:r w:rsidR="00524B9F" w:rsidRPr="00344CD1">
        <w:rPr>
          <w:rFonts w:ascii="Cambria" w:eastAsia="Batang" w:hAnsi="Cambria" w:cs="Times New Roman"/>
          <w:color w:val="000000"/>
          <w:sz w:val="21"/>
          <w:szCs w:val="21"/>
          <w:lang w:val="es-ES"/>
        </w:rPr>
        <w:t xml:space="preserve"> Rio dos Macacos en las cercanías del referido territorio</w:t>
      </w:r>
      <w:r w:rsidRPr="00344CD1">
        <w:rPr>
          <w:rFonts w:ascii="Cambria" w:eastAsia="Batang" w:hAnsi="Cambria" w:cs="Times New Roman"/>
          <w:color w:val="000000"/>
          <w:sz w:val="21"/>
          <w:szCs w:val="21"/>
          <w:lang w:val="es-ES"/>
        </w:rPr>
        <w:t>.</w:t>
      </w:r>
    </w:p>
    <w:p w14:paraId="2AD01667" w14:textId="77777777" w:rsidR="00C66795" w:rsidRPr="00344CD1" w:rsidRDefault="00C66795" w:rsidP="00D51F89">
      <w:pPr>
        <w:spacing w:after="0" w:line="240" w:lineRule="auto"/>
        <w:jc w:val="both"/>
        <w:rPr>
          <w:rFonts w:ascii="Cambria" w:eastAsia="Batang" w:hAnsi="Cambria" w:cs="Times New Roman"/>
          <w:color w:val="000000"/>
          <w:sz w:val="21"/>
          <w:szCs w:val="21"/>
          <w:lang w:val="es-ES"/>
        </w:rPr>
      </w:pPr>
    </w:p>
    <w:p w14:paraId="0BF8350E" w14:textId="45ADDD6B" w:rsidR="00C66795" w:rsidRPr="00344CD1" w:rsidRDefault="005A24AA" w:rsidP="00D51F89">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La Comisión solicitó información al Estado, conforme al artículo 25 de su Reglamento, el 14 de enero de 2020. Los solicitantes enviaron escritos adicionales el 21 de enero, recibiéndose el 30 de enero y 12 de febrero la respuesta del Estado. El 26 de mayo, los representantes enviaron sus observaciones al respecto. El 15 de junio el Estado, y el 10 y 16 los solicitantes, remitieron sus contestaciones respectivamente.</w:t>
      </w:r>
    </w:p>
    <w:p w14:paraId="4C180013" w14:textId="77777777" w:rsidR="00C66795" w:rsidRPr="00344CD1" w:rsidRDefault="00C66795" w:rsidP="00D51F89">
      <w:pPr>
        <w:spacing w:after="0" w:line="240" w:lineRule="auto"/>
        <w:jc w:val="both"/>
        <w:rPr>
          <w:rFonts w:ascii="Cambria" w:eastAsia="Batang" w:hAnsi="Cambria" w:cs="Times New Roman"/>
          <w:color w:val="000000"/>
          <w:sz w:val="21"/>
          <w:szCs w:val="21"/>
        </w:rPr>
      </w:pPr>
    </w:p>
    <w:p w14:paraId="4FC7B643" w14:textId="218AAEFF" w:rsidR="00C66795" w:rsidRPr="00344CD1" w:rsidRDefault="00C66795" w:rsidP="00D51F89">
      <w:pPr>
        <w:numPr>
          <w:ilvl w:val="0"/>
          <w:numId w:val="3"/>
        </w:numPr>
        <w:spacing w:after="0" w:line="240" w:lineRule="auto"/>
        <w:ind w:left="0" w:firstLine="360"/>
        <w:contextualSpacing/>
        <w:jc w:val="both"/>
        <w:rPr>
          <w:rFonts w:ascii="Cambria" w:eastAsia="Calibri" w:hAnsi="Cambria" w:cs="Times New Roman"/>
          <w:sz w:val="21"/>
          <w:szCs w:val="21"/>
          <w:lang w:val="es-ES"/>
        </w:rPr>
      </w:pPr>
      <w:r w:rsidRPr="00344CD1">
        <w:rPr>
          <w:rFonts w:ascii="Cambria" w:eastAsia="Batang" w:hAnsi="Cambria" w:cs="Times New Roman"/>
          <w:color w:val="000000"/>
          <w:sz w:val="21"/>
          <w:szCs w:val="21"/>
          <w:lang w:val="es-ES"/>
        </w:rPr>
        <w:t xml:space="preserve">Tras analizar las alegaciones de hecho y de derecho presentadas por las partes, la Comisión considera que la información presentada demuestra </w:t>
      </w:r>
      <w:r w:rsidRPr="00344CD1">
        <w:rPr>
          <w:rFonts w:ascii="Cambria" w:eastAsia="Batang" w:hAnsi="Cambria" w:cs="Times New Roman"/>
          <w:i/>
          <w:color w:val="000000"/>
          <w:sz w:val="21"/>
          <w:szCs w:val="21"/>
          <w:lang w:val="es-ES"/>
        </w:rPr>
        <w:t>prima facie</w:t>
      </w:r>
      <w:r w:rsidRPr="00344CD1">
        <w:rPr>
          <w:rFonts w:ascii="Cambria" w:eastAsia="Batang" w:hAnsi="Cambria" w:cs="Times New Roman"/>
          <w:color w:val="000000"/>
          <w:sz w:val="21"/>
          <w:szCs w:val="21"/>
          <w:lang w:val="es-ES"/>
        </w:rPr>
        <w:t xml:space="preserve"> que </w:t>
      </w:r>
      <w:r w:rsidR="008A7E1D" w:rsidRPr="00344CD1">
        <w:rPr>
          <w:rFonts w:ascii="Cambria" w:eastAsia="Batang" w:hAnsi="Cambria" w:cs="Times New Roman"/>
          <w:color w:val="000000"/>
          <w:sz w:val="21"/>
          <w:szCs w:val="21"/>
          <w:lang w:val="es-ES"/>
        </w:rPr>
        <w:t xml:space="preserve">los miembros de la </w:t>
      </w:r>
      <w:r w:rsidR="00556B6B" w:rsidRPr="00344CD1">
        <w:rPr>
          <w:rFonts w:ascii="Cambria" w:eastAsia="Batang" w:hAnsi="Cambria" w:cs="Times New Roman"/>
          <w:color w:val="000000"/>
          <w:sz w:val="21"/>
          <w:szCs w:val="21"/>
          <w:lang w:val="es-ES"/>
        </w:rPr>
        <w:t>C</w:t>
      </w:r>
      <w:r w:rsidR="008A7E1D" w:rsidRPr="00344CD1">
        <w:rPr>
          <w:rFonts w:ascii="Cambria" w:eastAsia="Batang" w:hAnsi="Cambria" w:cs="Times New Roman"/>
          <w:color w:val="000000"/>
          <w:sz w:val="21"/>
          <w:szCs w:val="21"/>
          <w:lang w:val="es-ES"/>
        </w:rPr>
        <w:t xml:space="preserve">omunidad </w:t>
      </w:r>
      <w:r w:rsidR="00556B6B" w:rsidRPr="00344CD1">
        <w:rPr>
          <w:rFonts w:ascii="Cambria" w:eastAsia="Batang" w:hAnsi="Cambria" w:cs="Times New Roman"/>
          <w:color w:val="000000"/>
          <w:sz w:val="21"/>
          <w:szCs w:val="21"/>
          <w:lang w:val="es-ES"/>
        </w:rPr>
        <w:t>R</w:t>
      </w:r>
      <w:r w:rsidR="008A7E1D" w:rsidRPr="00344CD1">
        <w:rPr>
          <w:rFonts w:ascii="Cambria" w:eastAsia="Batang" w:hAnsi="Cambria" w:cs="Times New Roman"/>
          <w:color w:val="000000"/>
          <w:sz w:val="21"/>
          <w:szCs w:val="21"/>
          <w:lang w:val="es-ES"/>
        </w:rPr>
        <w:t>emanente del Quilombo Rio dos Macacos</w:t>
      </w:r>
      <w:r w:rsidRPr="00344CD1">
        <w:rPr>
          <w:rFonts w:ascii="Cambria" w:eastAsia="Batang" w:hAnsi="Cambria" w:cs="Times New Roman"/>
          <w:color w:val="000000"/>
          <w:sz w:val="21"/>
          <w:szCs w:val="21"/>
          <w:lang w:val="es-ES"/>
        </w:rPr>
        <w:t xml:space="preserve"> se encuentran en una situación de gravedad y urgencia, puesto que sus derechos a la vida e integridad personal están en grave riesgo. En consecuencia, de acuerdo con el Artículo 25 de</w:t>
      </w:r>
      <w:r w:rsidR="008B3648" w:rsidRPr="00344CD1">
        <w:rPr>
          <w:rFonts w:ascii="Cambria" w:eastAsia="Batang" w:hAnsi="Cambria" w:cs="Times New Roman"/>
          <w:color w:val="000000"/>
          <w:sz w:val="21"/>
          <w:szCs w:val="21"/>
          <w:lang w:val="es-ES"/>
        </w:rPr>
        <w:t xml:space="preserve"> su</w:t>
      </w:r>
      <w:r w:rsidRPr="00344CD1">
        <w:rPr>
          <w:rFonts w:ascii="Cambria" w:eastAsia="Batang" w:hAnsi="Cambria" w:cs="Times New Roman"/>
          <w:color w:val="000000"/>
          <w:sz w:val="21"/>
          <w:szCs w:val="21"/>
          <w:lang w:val="es-ES"/>
        </w:rPr>
        <w:t xml:space="preserve"> Reglamento</w:t>
      </w:r>
      <w:r w:rsidR="008B3648" w:rsidRPr="00344CD1">
        <w:rPr>
          <w:rFonts w:ascii="Cambria" w:eastAsia="Batang" w:hAnsi="Cambria" w:cs="Times New Roman"/>
          <w:color w:val="000000"/>
          <w:sz w:val="21"/>
          <w:szCs w:val="21"/>
          <w:lang w:val="es-ES"/>
        </w:rPr>
        <w:t>,</w:t>
      </w:r>
      <w:r w:rsidRPr="00344CD1">
        <w:rPr>
          <w:rFonts w:ascii="Cambria" w:eastAsia="Batang" w:hAnsi="Cambria" w:cs="Times New Roman"/>
          <w:color w:val="000000"/>
          <w:sz w:val="21"/>
          <w:szCs w:val="21"/>
          <w:lang w:val="es-ES"/>
        </w:rPr>
        <w:t xml:space="preserve"> la CIDH solicita a Brasil que: </w:t>
      </w:r>
      <w:r w:rsidRPr="00344CD1">
        <w:rPr>
          <w:rFonts w:ascii="Cambria" w:eastAsia="Calibri" w:hAnsi="Cambria" w:cs="Times New Roman"/>
          <w:sz w:val="21"/>
          <w:szCs w:val="21"/>
        </w:rPr>
        <w:t>a) adopte las medidas necesarias</w:t>
      </w:r>
      <w:r w:rsidR="00556B6B" w:rsidRPr="00344CD1">
        <w:rPr>
          <w:rFonts w:ascii="Cambria" w:eastAsia="Calibri" w:hAnsi="Cambria" w:cs="Times New Roman"/>
          <w:sz w:val="21"/>
          <w:szCs w:val="21"/>
        </w:rPr>
        <w:t xml:space="preserve">, </w:t>
      </w:r>
      <w:r w:rsidR="00594227" w:rsidRPr="00344CD1">
        <w:rPr>
          <w:rFonts w:ascii="Cambria" w:eastAsia="Calibri" w:hAnsi="Cambria" w:cs="Times New Roman"/>
          <w:sz w:val="21"/>
          <w:szCs w:val="21"/>
        </w:rPr>
        <w:t>integrando un enfoque intercultural adecuado</w:t>
      </w:r>
      <w:r w:rsidR="00854FA5" w:rsidRPr="00344CD1">
        <w:rPr>
          <w:rFonts w:ascii="Cambria" w:eastAsia="Calibri" w:hAnsi="Cambria" w:cs="Times New Roman"/>
          <w:sz w:val="21"/>
          <w:szCs w:val="21"/>
        </w:rPr>
        <w:t>,</w:t>
      </w:r>
      <w:r w:rsidRPr="00344CD1">
        <w:rPr>
          <w:rFonts w:ascii="Cambria" w:eastAsia="Calibri" w:hAnsi="Cambria" w:cs="Times New Roman"/>
          <w:sz w:val="21"/>
          <w:szCs w:val="21"/>
        </w:rPr>
        <w:t xml:space="preserve"> para proteger</w:t>
      </w:r>
      <w:r w:rsidR="002D6AF5" w:rsidRPr="00344CD1">
        <w:rPr>
          <w:rFonts w:ascii="Cambria" w:eastAsia="Calibri" w:hAnsi="Cambria" w:cs="Times New Roman"/>
          <w:sz w:val="21"/>
          <w:szCs w:val="21"/>
        </w:rPr>
        <w:t xml:space="preserve"> los derechos a</w:t>
      </w:r>
      <w:r w:rsidRPr="00344CD1">
        <w:rPr>
          <w:rFonts w:ascii="Cambria" w:eastAsia="Calibri" w:hAnsi="Cambria" w:cs="Times New Roman"/>
          <w:sz w:val="21"/>
          <w:szCs w:val="21"/>
        </w:rPr>
        <w:t xml:space="preserve"> la vida</w:t>
      </w:r>
      <w:r w:rsidR="00FA6A15" w:rsidRPr="00344CD1">
        <w:rPr>
          <w:rFonts w:ascii="Cambria" w:eastAsia="Calibri" w:hAnsi="Cambria" w:cs="Times New Roman"/>
          <w:sz w:val="21"/>
          <w:szCs w:val="21"/>
        </w:rPr>
        <w:t xml:space="preserve"> e</w:t>
      </w:r>
      <w:r w:rsidRPr="00344CD1">
        <w:rPr>
          <w:rFonts w:ascii="Cambria" w:eastAsia="Calibri" w:hAnsi="Cambria" w:cs="Times New Roman"/>
          <w:sz w:val="21"/>
          <w:szCs w:val="21"/>
        </w:rPr>
        <w:t xml:space="preserve"> integridad personal </w:t>
      </w:r>
      <w:r w:rsidR="00FA6A15" w:rsidRPr="00344CD1">
        <w:rPr>
          <w:rFonts w:ascii="Cambria" w:eastAsia="Calibri" w:hAnsi="Cambria" w:cs="Times New Roman"/>
          <w:sz w:val="21"/>
          <w:szCs w:val="21"/>
        </w:rPr>
        <w:t xml:space="preserve">de </w:t>
      </w:r>
      <w:r w:rsidR="008A7E1D" w:rsidRPr="00344CD1">
        <w:rPr>
          <w:rFonts w:ascii="Cambria" w:eastAsia="Calibri" w:hAnsi="Cambria" w:cs="Times New Roman"/>
          <w:sz w:val="21"/>
          <w:szCs w:val="21"/>
          <w:lang w:val="es-ES"/>
        </w:rPr>
        <w:t>los miembros de la comunidad remanente del Quilombo Rio dos Macacos</w:t>
      </w:r>
      <w:r w:rsidR="002D6AF5" w:rsidRPr="00344CD1">
        <w:rPr>
          <w:rFonts w:ascii="Cambria" w:eastAsia="Calibri" w:hAnsi="Cambria" w:cs="Times New Roman"/>
          <w:sz w:val="21"/>
          <w:szCs w:val="21"/>
          <w:lang w:val="es-ES"/>
        </w:rPr>
        <w:t>. En particular, el Estado deberá protegerlos frente a las amenazas, hostigamientos y actos de violencia cometidos tanto por actores estatales como</w:t>
      </w:r>
      <w:r w:rsidR="008B3648" w:rsidRPr="00344CD1">
        <w:rPr>
          <w:rFonts w:ascii="Cambria" w:eastAsia="Calibri" w:hAnsi="Cambria" w:cs="Times New Roman"/>
          <w:sz w:val="21"/>
          <w:szCs w:val="21"/>
          <w:lang w:val="es-ES"/>
        </w:rPr>
        <w:t xml:space="preserve"> de</w:t>
      </w:r>
      <w:r w:rsidR="002D6AF5" w:rsidRPr="00344CD1">
        <w:rPr>
          <w:rFonts w:ascii="Cambria" w:eastAsia="Calibri" w:hAnsi="Cambria" w:cs="Times New Roman"/>
          <w:sz w:val="21"/>
          <w:szCs w:val="21"/>
          <w:lang w:val="es-ES"/>
        </w:rPr>
        <w:t xml:space="preserve"> terceros, de conformidad con el derecho internacional de los derechos humanos</w:t>
      </w:r>
      <w:r w:rsidR="00854FA5" w:rsidRPr="00344CD1">
        <w:rPr>
          <w:rFonts w:ascii="Cambria" w:eastAsia="Calibri" w:hAnsi="Cambria" w:cs="Times New Roman"/>
          <w:sz w:val="21"/>
          <w:szCs w:val="21"/>
          <w:lang w:val="es-ES"/>
        </w:rPr>
        <w:t xml:space="preserve">; </w:t>
      </w:r>
      <w:r w:rsidRPr="00344CD1">
        <w:rPr>
          <w:rFonts w:ascii="Cambria" w:eastAsia="Calibri" w:hAnsi="Cambria" w:cs="Times New Roman"/>
          <w:sz w:val="21"/>
          <w:szCs w:val="21"/>
          <w:lang w:val="es-ES"/>
        </w:rPr>
        <w:t xml:space="preserve">b) </w:t>
      </w:r>
      <w:r w:rsidRPr="00344CD1">
        <w:rPr>
          <w:rFonts w:ascii="Cambria" w:eastAsia="Calibri" w:hAnsi="Cambria" w:cs="Times New Roman"/>
          <w:sz w:val="21"/>
          <w:szCs w:val="21"/>
        </w:rPr>
        <w:t>concierte las medidas a adoptarse con los benefic</w:t>
      </w:r>
      <w:r w:rsidR="00854FA5" w:rsidRPr="00344CD1">
        <w:rPr>
          <w:rFonts w:ascii="Cambria" w:eastAsia="Calibri" w:hAnsi="Cambria" w:cs="Times New Roman"/>
          <w:sz w:val="21"/>
          <w:szCs w:val="21"/>
        </w:rPr>
        <w:t>iarios y sus representantes; y c</w:t>
      </w:r>
      <w:r w:rsidRPr="00344CD1">
        <w:rPr>
          <w:rFonts w:ascii="Cambria" w:eastAsia="Calibri" w:hAnsi="Cambria" w:cs="Times New Roman"/>
          <w:sz w:val="21"/>
          <w:szCs w:val="21"/>
        </w:rPr>
        <w:t>) informe sobre las acciones adoptadas a fin de investigar los hechos que dieron lugar a la adopción de la presente medida cautelar y así evitar su repetición.</w:t>
      </w:r>
    </w:p>
    <w:p w14:paraId="3BA80E9E" w14:textId="31B86567" w:rsidR="00C66795" w:rsidRPr="00344CD1" w:rsidRDefault="00C66795" w:rsidP="00D51F89">
      <w:pPr>
        <w:spacing w:after="0" w:line="240" w:lineRule="auto"/>
        <w:ind w:left="720"/>
        <w:jc w:val="both"/>
        <w:rPr>
          <w:rFonts w:ascii="Cambria" w:eastAsia="Calibri" w:hAnsi="Cambria" w:cs="Times New Roman"/>
          <w:sz w:val="21"/>
          <w:szCs w:val="21"/>
        </w:rPr>
      </w:pPr>
    </w:p>
    <w:p w14:paraId="0A16ED00" w14:textId="77777777" w:rsidR="0062264F" w:rsidRPr="00344CD1" w:rsidRDefault="0062264F" w:rsidP="00D51F89">
      <w:pPr>
        <w:spacing w:after="0" w:line="240" w:lineRule="auto"/>
        <w:ind w:left="720"/>
        <w:jc w:val="both"/>
        <w:rPr>
          <w:rFonts w:ascii="Cambria" w:eastAsia="Calibri" w:hAnsi="Cambria" w:cs="Times New Roman"/>
          <w:sz w:val="21"/>
          <w:szCs w:val="21"/>
        </w:rPr>
      </w:pPr>
    </w:p>
    <w:p w14:paraId="39459AEA" w14:textId="77777777" w:rsidR="00C66795" w:rsidRPr="00344CD1" w:rsidRDefault="00C66795" w:rsidP="00D51F89">
      <w:pPr>
        <w:spacing w:after="0" w:line="240" w:lineRule="auto"/>
        <w:ind w:left="720"/>
        <w:jc w:val="both"/>
        <w:rPr>
          <w:rFonts w:ascii="Cambria" w:eastAsia="Batang" w:hAnsi="Cambria" w:cs="Times New Roman"/>
          <w:b/>
          <w:color w:val="000000"/>
          <w:sz w:val="21"/>
          <w:szCs w:val="21"/>
          <w:lang w:val="es-ES"/>
        </w:rPr>
      </w:pPr>
      <w:r w:rsidRPr="00344CD1">
        <w:rPr>
          <w:rFonts w:ascii="Cambria" w:eastAsia="Batang" w:hAnsi="Cambria" w:cs="Times New Roman"/>
          <w:b/>
          <w:color w:val="000000"/>
          <w:sz w:val="21"/>
          <w:szCs w:val="21"/>
          <w:lang w:val="es-ES"/>
        </w:rPr>
        <w:t xml:space="preserve">RESUMEN DE HECHOS Y ARGUMENTOS </w:t>
      </w:r>
    </w:p>
    <w:p w14:paraId="3E54E2D7" w14:textId="77777777" w:rsidR="00C66795" w:rsidRPr="00344CD1" w:rsidRDefault="00C66795" w:rsidP="00D51F89">
      <w:pPr>
        <w:spacing w:after="0" w:line="240" w:lineRule="auto"/>
        <w:jc w:val="both"/>
        <w:rPr>
          <w:rFonts w:ascii="Cambria" w:eastAsia="Batang" w:hAnsi="Cambria" w:cs="Times New Roman"/>
          <w:color w:val="000000"/>
          <w:sz w:val="21"/>
          <w:szCs w:val="21"/>
          <w:lang w:val="es-ES"/>
        </w:rPr>
      </w:pPr>
    </w:p>
    <w:p w14:paraId="598F3828" w14:textId="77777777" w:rsidR="00C66795" w:rsidRPr="00344CD1" w:rsidRDefault="00C66795" w:rsidP="00D51F89">
      <w:pPr>
        <w:numPr>
          <w:ilvl w:val="0"/>
          <w:numId w:val="4"/>
        </w:numPr>
        <w:spacing w:after="0" w:line="240" w:lineRule="auto"/>
        <w:jc w:val="both"/>
        <w:rPr>
          <w:rFonts w:ascii="Cambria" w:eastAsia="Batang" w:hAnsi="Cambria" w:cs="Times New Roman"/>
          <w:b/>
          <w:color w:val="000000"/>
          <w:sz w:val="21"/>
          <w:szCs w:val="21"/>
          <w:lang w:val="es-ES"/>
        </w:rPr>
      </w:pPr>
      <w:r w:rsidRPr="00344CD1">
        <w:rPr>
          <w:rFonts w:ascii="Cambria" w:eastAsia="Batang" w:hAnsi="Cambria" w:cs="Times New Roman"/>
          <w:b/>
          <w:color w:val="000000"/>
          <w:sz w:val="21"/>
          <w:szCs w:val="21"/>
          <w:lang w:val="es-ES"/>
        </w:rPr>
        <w:t>Información alegada por los solicitantes</w:t>
      </w:r>
    </w:p>
    <w:p w14:paraId="666A3F81" w14:textId="77777777" w:rsidR="00C66795" w:rsidRPr="00344CD1" w:rsidRDefault="00C66795" w:rsidP="00D51F89">
      <w:pPr>
        <w:spacing w:after="0" w:line="240" w:lineRule="auto"/>
        <w:ind w:left="720"/>
        <w:jc w:val="both"/>
        <w:rPr>
          <w:rFonts w:ascii="Cambria" w:eastAsia="Batang" w:hAnsi="Cambria" w:cs="Times New Roman"/>
          <w:b/>
          <w:color w:val="000000"/>
          <w:sz w:val="21"/>
          <w:szCs w:val="21"/>
          <w:lang w:val="es-ES"/>
        </w:rPr>
      </w:pPr>
    </w:p>
    <w:p w14:paraId="4CC82C90" w14:textId="69A3F016" w:rsidR="00295195" w:rsidRPr="00344CD1" w:rsidRDefault="00C66795"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Los solicitantes </w:t>
      </w:r>
      <w:r w:rsidR="0017323D" w:rsidRPr="00344CD1">
        <w:rPr>
          <w:rFonts w:ascii="Cambria" w:eastAsia="Batang" w:hAnsi="Cambria" w:cs="Times New Roman"/>
          <w:color w:val="000000"/>
          <w:sz w:val="21"/>
          <w:szCs w:val="21"/>
          <w:lang w:val="es-ES"/>
        </w:rPr>
        <w:t>explicaron a modo de contexto</w:t>
      </w:r>
      <w:r w:rsidRPr="00344CD1">
        <w:rPr>
          <w:rFonts w:ascii="Cambria" w:eastAsia="Batang" w:hAnsi="Cambria" w:cs="Times New Roman"/>
          <w:color w:val="000000"/>
          <w:sz w:val="21"/>
          <w:szCs w:val="21"/>
          <w:lang w:val="es-ES"/>
        </w:rPr>
        <w:t xml:space="preserve"> que </w:t>
      </w:r>
      <w:r w:rsidR="00556B6B" w:rsidRPr="00344CD1">
        <w:rPr>
          <w:rFonts w:ascii="Cambria" w:eastAsia="Batang" w:hAnsi="Cambria" w:cs="Times New Roman"/>
          <w:color w:val="000000"/>
          <w:sz w:val="21"/>
          <w:szCs w:val="21"/>
          <w:lang w:val="es-ES"/>
        </w:rPr>
        <w:t>la C</w:t>
      </w:r>
      <w:r w:rsidR="00CC020D" w:rsidRPr="00344CD1">
        <w:rPr>
          <w:rFonts w:ascii="Cambria" w:eastAsia="Batang" w:hAnsi="Cambria" w:cs="Times New Roman"/>
          <w:color w:val="000000"/>
          <w:sz w:val="21"/>
          <w:szCs w:val="21"/>
          <w:lang w:val="es-ES"/>
        </w:rPr>
        <w:t xml:space="preserve">omunidad </w:t>
      </w:r>
      <w:r w:rsidR="00556B6B" w:rsidRPr="00344CD1">
        <w:rPr>
          <w:rFonts w:ascii="Cambria" w:eastAsia="Batang" w:hAnsi="Cambria" w:cs="Times New Roman"/>
          <w:color w:val="000000"/>
          <w:sz w:val="21"/>
          <w:szCs w:val="21"/>
          <w:lang w:val="es-ES"/>
        </w:rPr>
        <w:t>R</w:t>
      </w:r>
      <w:r w:rsidR="00CC020D" w:rsidRPr="00344CD1">
        <w:rPr>
          <w:rFonts w:ascii="Cambria" w:eastAsia="Batang" w:hAnsi="Cambria" w:cs="Times New Roman"/>
          <w:color w:val="000000"/>
          <w:sz w:val="21"/>
          <w:szCs w:val="21"/>
          <w:lang w:val="es-ES"/>
        </w:rPr>
        <w:t>emanente del Quilombo Rio dos Macacos</w:t>
      </w:r>
      <w:r w:rsidR="0017323D" w:rsidRPr="00344CD1">
        <w:rPr>
          <w:rFonts w:ascii="Cambria" w:eastAsia="Batang" w:hAnsi="Cambria" w:cs="Times New Roman"/>
          <w:color w:val="000000"/>
          <w:sz w:val="21"/>
          <w:szCs w:val="21"/>
          <w:lang w:val="es-ES"/>
        </w:rPr>
        <w:t xml:space="preserve"> (“Comunidad”)</w:t>
      </w:r>
      <w:r w:rsidR="00CC020D" w:rsidRPr="00344CD1">
        <w:rPr>
          <w:rFonts w:ascii="Cambria" w:eastAsia="Batang" w:hAnsi="Cambria" w:cs="Times New Roman"/>
          <w:color w:val="000000"/>
          <w:sz w:val="21"/>
          <w:szCs w:val="21"/>
          <w:lang w:val="es-ES"/>
        </w:rPr>
        <w:t xml:space="preserve"> </w:t>
      </w:r>
      <w:r w:rsidR="00BC2CAE" w:rsidRPr="00344CD1">
        <w:rPr>
          <w:rFonts w:ascii="Cambria" w:eastAsia="Batang" w:hAnsi="Cambria" w:cs="Times New Roman"/>
          <w:color w:val="000000"/>
          <w:sz w:val="21"/>
          <w:szCs w:val="21"/>
          <w:lang w:val="es-ES"/>
        </w:rPr>
        <w:t xml:space="preserve">existe desde </w:t>
      </w:r>
      <w:r w:rsidR="00FA6A15" w:rsidRPr="00344CD1">
        <w:rPr>
          <w:rFonts w:ascii="Cambria" w:eastAsia="Batang" w:hAnsi="Cambria" w:cs="Times New Roman"/>
          <w:color w:val="000000"/>
          <w:sz w:val="21"/>
          <w:szCs w:val="21"/>
          <w:lang w:val="es-ES"/>
        </w:rPr>
        <w:t xml:space="preserve">hace </w:t>
      </w:r>
      <w:r w:rsidR="00BC2CAE" w:rsidRPr="00344CD1">
        <w:rPr>
          <w:rFonts w:ascii="Cambria" w:eastAsia="Batang" w:hAnsi="Cambria" w:cs="Times New Roman"/>
          <w:color w:val="000000"/>
          <w:sz w:val="21"/>
          <w:szCs w:val="21"/>
          <w:lang w:val="es-ES"/>
        </w:rPr>
        <w:t>más de 200 años</w:t>
      </w:r>
      <w:r w:rsidR="009962D8" w:rsidRPr="00344CD1">
        <w:rPr>
          <w:rFonts w:ascii="Cambria" w:eastAsia="Batang" w:hAnsi="Cambria" w:cs="Times New Roman"/>
          <w:color w:val="000000"/>
          <w:sz w:val="21"/>
          <w:szCs w:val="21"/>
          <w:lang w:val="es-ES"/>
        </w:rPr>
        <w:t>,</w:t>
      </w:r>
      <w:r w:rsidR="00BC2CAE" w:rsidRPr="00344CD1">
        <w:rPr>
          <w:rFonts w:ascii="Cambria" w:eastAsia="Batang" w:hAnsi="Cambria" w:cs="Times New Roman"/>
          <w:color w:val="000000"/>
          <w:sz w:val="21"/>
          <w:szCs w:val="21"/>
          <w:lang w:val="es-ES"/>
        </w:rPr>
        <w:t xml:space="preserve"> cuya formación </w:t>
      </w:r>
      <w:r w:rsidR="00A40BEF" w:rsidRPr="00344CD1">
        <w:rPr>
          <w:rFonts w:ascii="Cambria" w:eastAsia="Batang" w:hAnsi="Cambria" w:cs="Times New Roman"/>
          <w:color w:val="000000"/>
          <w:sz w:val="21"/>
          <w:szCs w:val="21"/>
          <w:lang w:val="es-ES"/>
        </w:rPr>
        <w:t xml:space="preserve">histórica está vinculada al proceso de resistencia </w:t>
      </w:r>
      <w:r w:rsidR="00E22D0F" w:rsidRPr="00344CD1">
        <w:rPr>
          <w:rFonts w:ascii="Cambria" w:eastAsia="Batang" w:hAnsi="Cambria" w:cs="Times New Roman"/>
          <w:color w:val="000000"/>
          <w:sz w:val="21"/>
          <w:szCs w:val="21"/>
          <w:lang w:val="es-ES"/>
        </w:rPr>
        <w:t xml:space="preserve">negra </w:t>
      </w:r>
      <w:r w:rsidR="00C40590" w:rsidRPr="00344CD1">
        <w:rPr>
          <w:rFonts w:ascii="Cambria" w:eastAsia="Batang" w:hAnsi="Cambria" w:cs="Times New Roman"/>
          <w:color w:val="000000"/>
          <w:sz w:val="21"/>
          <w:szCs w:val="21"/>
          <w:lang w:val="es-ES"/>
        </w:rPr>
        <w:t>durante el periodo de la esclavitud. Actualmente</w:t>
      </w:r>
      <w:r w:rsidR="00FA6A15" w:rsidRPr="00344CD1">
        <w:rPr>
          <w:rFonts w:ascii="Cambria" w:eastAsia="Batang" w:hAnsi="Cambria" w:cs="Times New Roman"/>
          <w:color w:val="000000"/>
          <w:sz w:val="21"/>
          <w:szCs w:val="21"/>
          <w:lang w:val="es-ES"/>
        </w:rPr>
        <w:t>,</w:t>
      </w:r>
      <w:r w:rsidR="00C40590" w:rsidRPr="00344CD1">
        <w:rPr>
          <w:rFonts w:ascii="Cambria" w:eastAsia="Batang" w:hAnsi="Cambria" w:cs="Times New Roman"/>
          <w:color w:val="000000"/>
          <w:sz w:val="21"/>
          <w:szCs w:val="21"/>
          <w:lang w:val="es-ES"/>
        </w:rPr>
        <w:t xml:space="preserve"> estaría </w:t>
      </w:r>
      <w:r w:rsidR="00CC020D" w:rsidRPr="00344CD1">
        <w:rPr>
          <w:rFonts w:ascii="Cambria" w:eastAsia="Batang" w:hAnsi="Cambria" w:cs="Times New Roman"/>
          <w:color w:val="000000"/>
          <w:sz w:val="21"/>
          <w:szCs w:val="21"/>
          <w:lang w:val="es-ES"/>
        </w:rPr>
        <w:t>for</w:t>
      </w:r>
      <w:r w:rsidR="00BC2CAE" w:rsidRPr="00344CD1">
        <w:rPr>
          <w:rFonts w:ascii="Cambria" w:eastAsia="Batang" w:hAnsi="Cambria" w:cs="Times New Roman"/>
          <w:color w:val="000000"/>
          <w:sz w:val="21"/>
          <w:szCs w:val="21"/>
          <w:lang w:val="es-ES"/>
        </w:rPr>
        <w:t xml:space="preserve">mada por cerca de 87 familias, con </w:t>
      </w:r>
      <w:r w:rsidR="00FA6A15" w:rsidRPr="00344CD1">
        <w:rPr>
          <w:rFonts w:ascii="Cambria" w:eastAsia="Batang" w:hAnsi="Cambria" w:cs="Times New Roman"/>
          <w:color w:val="000000"/>
          <w:sz w:val="21"/>
          <w:szCs w:val="21"/>
          <w:lang w:val="es-ES"/>
        </w:rPr>
        <w:t>aproximadamente</w:t>
      </w:r>
      <w:r w:rsidR="00BC2CAE" w:rsidRPr="00344CD1">
        <w:rPr>
          <w:rFonts w:ascii="Cambria" w:eastAsia="Batang" w:hAnsi="Cambria" w:cs="Times New Roman"/>
          <w:color w:val="000000"/>
          <w:sz w:val="21"/>
          <w:szCs w:val="21"/>
          <w:lang w:val="es-ES"/>
        </w:rPr>
        <w:t xml:space="preserve"> 400 personas</w:t>
      </w:r>
      <w:r w:rsidR="00C40590" w:rsidRPr="00344CD1">
        <w:rPr>
          <w:rFonts w:ascii="Cambria" w:eastAsia="Batang" w:hAnsi="Cambria" w:cs="Times New Roman"/>
          <w:color w:val="000000"/>
          <w:sz w:val="21"/>
          <w:szCs w:val="21"/>
          <w:lang w:val="es-ES"/>
        </w:rPr>
        <w:t xml:space="preserve">, quienes no habrían dejado el territorio </w:t>
      </w:r>
      <w:r w:rsidR="008B3648" w:rsidRPr="00344CD1">
        <w:rPr>
          <w:rFonts w:ascii="Cambria" w:eastAsia="Batang" w:hAnsi="Cambria" w:cs="Times New Roman"/>
          <w:color w:val="000000"/>
          <w:sz w:val="21"/>
          <w:szCs w:val="21"/>
          <w:lang w:val="es-ES"/>
        </w:rPr>
        <w:t xml:space="preserve">a pesar </w:t>
      </w:r>
      <w:r w:rsidR="00C40590" w:rsidRPr="00344CD1">
        <w:rPr>
          <w:rFonts w:ascii="Cambria" w:eastAsia="Batang" w:hAnsi="Cambria" w:cs="Times New Roman"/>
          <w:color w:val="000000"/>
          <w:sz w:val="21"/>
          <w:szCs w:val="21"/>
          <w:lang w:val="es-ES"/>
        </w:rPr>
        <w:t>“del terror y violencia instalada por la Marina de Guerra de Brasil, desde 1950”.</w:t>
      </w:r>
      <w:r w:rsidR="00E053BA" w:rsidRPr="00344CD1">
        <w:rPr>
          <w:rFonts w:ascii="Cambria" w:eastAsia="Batang" w:hAnsi="Cambria" w:cs="Times New Roman"/>
          <w:color w:val="000000"/>
          <w:sz w:val="21"/>
          <w:szCs w:val="21"/>
          <w:lang w:val="es-ES"/>
        </w:rPr>
        <w:t xml:space="preserve"> </w:t>
      </w:r>
      <w:r w:rsidR="00797894" w:rsidRPr="00344CD1">
        <w:rPr>
          <w:rFonts w:ascii="Cambria" w:eastAsia="Batang" w:hAnsi="Cambria" w:cs="Times New Roman"/>
          <w:color w:val="000000"/>
          <w:sz w:val="21"/>
          <w:szCs w:val="21"/>
          <w:lang w:val="es-ES"/>
        </w:rPr>
        <w:t xml:space="preserve">Según la solicitud, desde </w:t>
      </w:r>
      <w:r w:rsidR="00140688" w:rsidRPr="00344CD1">
        <w:rPr>
          <w:rFonts w:ascii="Cambria" w:eastAsia="Batang" w:hAnsi="Cambria" w:cs="Times New Roman"/>
          <w:color w:val="000000"/>
          <w:sz w:val="21"/>
          <w:szCs w:val="21"/>
          <w:lang w:val="es-ES"/>
        </w:rPr>
        <w:t>esa fecha</w:t>
      </w:r>
      <w:r w:rsidR="00797894" w:rsidRPr="00344CD1">
        <w:rPr>
          <w:rFonts w:ascii="Cambria" w:eastAsia="Batang" w:hAnsi="Cambria" w:cs="Times New Roman"/>
          <w:color w:val="000000"/>
          <w:sz w:val="21"/>
          <w:szCs w:val="21"/>
          <w:lang w:val="es-ES"/>
        </w:rPr>
        <w:t xml:space="preserve"> la Marina de Brasil “empezó un proceso de invasión del territorio tradicional perteneciente a la Comunidad </w:t>
      </w:r>
      <w:proofErr w:type="spellStart"/>
      <w:r w:rsidR="00797894" w:rsidRPr="00344CD1">
        <w:rPr>
          <w:rFonts w:ascii="Cambria" w:eastAsia="Batang" w:hAnsi="Cambria" w:cs="Times New Roman"/>
          <w:color w:val="000000"/>
          <w:sz w:val="21"/>
          <w:szCs w:val="21"/>
          <w:lang w:val="es-ES"/>
        </w:rPr>
        <w:t>Quilombola</w:t>
      </w:r>
      <w:proofErr w:type="spellEnd"/>
      <w:r w:rsidR="00797894" w:rsidRPr="00344CD1">
        <w:rPr>
          <w:rFonts w:ascii="Cambria" w:eastAsia="Batang" w:hAnsi="Cambria" w:cs="Times New Roman"/>
          <w:color w:val="000000"/>
          <w:sz w:val="21"/>
          <w:szCs w:val="21"/>
          <w:lang w:val="es-ES"/>
        </w:rPr>
        <w:t xml:space="preserve"> Rio dos Maca</w:t>
      </w:r>
      <w:r w:rsidR="00FA6A15" w:rsidRPr="00344CD1">
        <w:rPr>
          <w:rFonts w:ascii="Cambria" w:eastAsia="Batang" w:hAnsi="Cambria" w:cs="Times New Roman"/>
          <w:color w:val="000000"/>
          <w:sz w:val="21"/>
          <w:szCs w:val="21"/>
          <w:lang w:val="es-ES"/>
        </w:rPr>
        <w:t>c</w:t>
      </w:r>
      <w:r w:rsidR="00797894" w:rsidRPr="00344CD1">
        <w:rPr>
          <w:rFonts w:ascii="Cambria" w:eastAsia="Batang" w:hAnsi="Cambria" w:cs="Times New Roman"/>
          <w:color w:val="000000"/>
          <w:sz w:val="21"/>
          <w:szCs w:val="21"/>
          <w:lang w:val="es-ES"/>
        </w:rPr>
        <w:t xml:space="preserve">os para la construcción de </w:t>
      </w:r>
      <w:r w:rsidR="001771BC" w:rsidRPr="00344CD1">
        <w:rPr>
          <w:rFonts w:ascii="Cambria" w:eastAsia="Batang" w:hAnsi="Cambria" w:cs="Times New Roman"/>
          <w:color w:val="000000"/>
          <w:sz w:val="21"/>
          <w:szCs w:val="21"/>
          <w:lang w:val="es-ES"/>
        </w:rPr>
        <w:t>l</w:t>
      </w:r>
      <w:r w:rsidR="00FA6A15" w:rsidRPr="00344CD1">
        <w:rPr>
          <w:rFonts w:ascii="Cambria" w:eastAsia="Batang" w:hAnsi="Cambria" w:cs="Times New Roman"/>
          <w:color w:val="000000"/>
          <w:sz w:val="21"/>
          <w:szCs w:val="21"/>
          <w:lang w:val="es-ES"/>
        </w:rPr>
        <w:t xml:space="preserve">a </w:t>
      </w:r>
      <w:r w:rsidR="00797894" w:rsidRPr="00344CD1">
        <w:rPr>
          <w:rFonts w:ascii="Cambria" w:eastAsia="Batang" w:hAnsi="Cambria" w:cs="Times New Roman"/>
          <w:color w:val="000000"/>
          <w:sz w:val="21"/>
          <w:szCs w:val="21"/>
          <w:lang w:val="es-ES"/>
        </w:rPr>
        <w:t xml:space="preserve">represa del Rio dos Macacos, y, en seguida, con la instalación de la Vila Naval de </w:t>
      </w:r>
      <w:proofErr w:type="spellStart"/>
      <w:r w:rsidR="00797894" w:rsidRPr="00344CD1">
        <w:rPr>
          <w:rFonts w:ascii="Cambria" w:eastAsia="Batang" w:hAnsi="Cambria" w:cs="Times New Roman"/>
          <w:color w:val="000000"/>
          <w:sz w:val="21"/>
          <w:szCs w:val="21"/>
          <w:lang w:val="es-ES"/>
        </w:rPr>
        <w:t>Aratu</w:t>
      </w:r>
      <w:proofErr w:type="spellEnd"/>
      <w:r w:rsidR="00797894" w:rsidRPr="00344CD1">
        <w:rPr>
          <w:rFonts w:ascii="Cambria" w:eastAsia="Batang" w:hAnsi="Cambria" w:cs="Times New Roman"/>
          <w:color w:val="000000"/>
          <w:sz w:val="21"/>
          <w:szCs w:val="21"/>
          <w:lang w:val="es-ES"/>
        </w:rPr>
        <w:t xml:space="preserve">, condominio residencial en donde viven los militares </w:t>
      </w:r>
      <w:r w:rsidR="00386DEB" w:rsidRPr="00344CD1">
        <w:rPr>
          <w:rFonts w:ascii="Cambria" w:eastAsia="Batang" w:hAnsi="Cambria" w:cs="Times New Roman"/>
          <w:color w:val="000000"/>
          <w:sz w:val="21"/>
          <w:szCs w:val="21"/>
          <w:lang w:val="es-ES"/>
        </w:rPr>
        <w:t>[…]”. Lo anterior</w:t>
      </w:r>
      <w:r w:rsidR="0017323D" w:rsidRPr="00344CD1">
        <w:rPr>
          <w:rFonts w:ascii="Cambria" w:eastAsia="Batang" w:hAnsi="Cambria" w:cs="Times New Roman"/>
          <w:color w:val="000000"/>
          <w:sz w:val="21"/>
          <w:szCs w:val="21"/>
          <w:lang w:val="es-ES"/>
        </w:rPr>
        <w:t xml:space="preserve"> habría generado en su conjunto una situación de conflictividad con graves eventos de riesgo</w:t>
      </w:r>
      <w:r w:rsidR="004F3E7F" w:rsidRPr="00344CD1">
        <w:rPr>
          <w:rFonts w:ascii="Cambria" w:eastAsia="Batang" w:hAnsi="Cambria" w:cs="Times New Roman"/>
          <w:color w:val="000000"/>
          <w:sz w:val="21"/>
          <w:szCs w:val="21"/>
          <w:lang w:val="es-ES"/>
        </w:rPr>
        <w:t>,</w:t>
      </w:r>
      <w:r w:rsidR="0017323D" w:rsidRPr="00344CD1">
        <w:rPr>
          <w:rFonts w:ascii="Cambria" w:eastAsia="Batang" w:hAnsi="Cambria" w:cs="Times New Roman"/>
          <w:color w:val="000000"/>
          <w:sz w:val="21"/>
          <w:szCs w:val="21"/>
          <w:lang w:val="es-ES"/>
        </w:rPr>
        <w:t xml:space="preserve"> mencionando no solo episodios de expulsiones, daños a la propiedad y violencia física y sexual, sino también una carencia sostenida de accesos a servicios públicos esenciales</w:t>
      </w:r>
      <w:r w:rsidR="00D20794" w:rsidRPr="00344CD1">
        <w:rPr>
          <w:rFonts w:ascii="Cambria" w:eastAsia="Batang" w:hAnsi="Cambria" w:cs="Times New Roman"/>
          <w:color w:val="000000"/>
          <w:sz w:val="21"/>
          <w:szCs w:val="21"/>
          <w:lang w:val="es-ES"/>
        </w:rPr>
        <w:t>.</w:t>
      </w:r>
      <w:r w:rsidR="005A24AA" w:rsidRPr="00344CD1">
        <w:rPr>
          <w:rFonts w:ascii="Cambria" w:eastAsia="Batang" w:hAnsi="Cambria" w:cs="Times New Roman"/>
          <w:color w:val="000000"/>
          <w:sz w:val="21"/>
          <w:szCs w:val="21"/>
          <w:lang w:val="es-ES"/>
        </w:rPr>
        <w:t xml:space="preserve"> </w:t>
      </w:r>
      <w:r w:rsidR="00295195" w:rsidRPr="00344CD1">
        <w:rPr>
          <w:rFonts w:ascii="Cambria" w:eastAsia="Batang" w:hAnsi="Cambria" w:cs="Times New Roman"/>
          <w:color w:val="000000"/>
          <w:sz w:val="21"/>
          <w:szCs w:val="21"/>
          <w:lang w:val="es-ES"/>
        </w:rPr>
        <w:t>A modo de ejemplo, los solicitantes aportaron información sobre hechos de violencia concretizado</w:t>
      </w:r>
      <w:r w:rsidR="00915A5F" w:rsidRPr="00344CD1">
        <w:rPr>
          <w:rFonts w:ascii="Cambria" w:eastAsia="Batang" w:hAnsi="Cambria" w:cs="Times New Roman"/>
          <w:color w:val="000000"/>
          <w:sz w:val="21"/>
          <w:szCs w:val="21"/>
          <w:lang w:val="es-ES"/>
        </w:rPr>
        <w:t>s</w:t>
      </w:r>
      <w:r w:rsidR="00295195" w:rsidRPr="00344CD1">
        <w:rPr>
          <w:rFonts w:ascii="Cambria" w:eastAsia="Batang" w:hAnsi="Cambria" w:cs="Times New Roman"/>
          <w:color w:val="000000"/>
          <w:sz w:val="21"/>
          <w:szCs w:val="21"/>
          <w:lang w:val="es-ES"/>
        </w:rPr>
        <w:t xml:space="preserve"> al largo de los años</w:t>
      </w:r>
      <w:r w:rsidR="004F3E7F" w:rsidRPr="00344CD1">
        <w:rPr>
          <w:rFonts w:ascii="Cambria" w:eastAsia="Batang" w:hAnsi="Cambria" w:cs="Times New Roman"/>
          <w:color w:val="000000"/>
          <w:sz w:val="21"/>
          <w:szCs w:val="21"/>
          <w:lang w:val="es-ES"/>
        </w:rPr>
        <w:t>,</w:t>
      </w:r>
      <w:r w:rsidR="00295195" w:rsidRPr="00344CD1">
        <w:rPr>
          <w:rFonts w:ascii="Cambria" w:eastAsia="Batang" w:hAnsi="Cambria" w:cs="Times New Roman"/>
          <w:color w:val="000000"/>
          <w:sz w:val="21"/>
          <w:szCs w:val="21"/>
          <w:lang w:val="es-ES"/>
        </w:rPr>
        <w:t xml:space="preserve"> como</w:t>
      </w:r>
      <w:r w:rsidR="004F3E7F" w:rsidRPr="00344CD1">
        <w:rPr>
          <w:rFonts w:ascii="Cambria" w:eastAsia="Batang" w:hAnsi="Cambria" w:cs="Times New Roman"/>
          <w:color w:val="000000"/>
          <w:sz w:val="21"/>
          <w:szCs w:val="21"/>
          <w:lang w:val="es-ES"/>
        </w:rPr>
        <w:t xml:space="preserve"> </w:t>
      </w:r>
      <w:r w:rsidR="00915A5F" w:rsidRPr="00344CD1">
        <w:rPr>
          <w:rFonts w:ascii="Cambria" w:eastAsia="Batang" w:hAnsi="Cambria" w:cs="Times New Roman"/>
          <w:color w:val="000000"/>
          <w:sz w:val="21"/>
          <w:szCs w:val="21"/>
          <w:lang w:val="es-ES"/>
        </w:rPr>
        <w:t>los presuntos disparos con arma de fuego por un militar en contra de un miembro de la Comunidad en 2012</w:t>
      </w:r>
      <w:r w:rsidR="00530B08" w:rsidRPr="00344CD1">
        <w:rPr>
          <w:rFonts w:ascii="Cambria" w:eastAsia="Batang" w:hAnsi="Cambria" w:cs="Times New Roman"/>
          <w:color w:val="000000"/>
          <w:sz w:val="21"/>
          <w:szCs w:val="21"/>
          <w:lang w:val="es-ES"/>
        </w:rPr>
        <w:t xml:space="preserve">; las agresiones sufridas por dos hermanos </w:t>
      </w:r>
      <w:proofErr w:type="spellStart"/>
      <w:r w:rsidR="00303796" w:rsidRPr="00344CD1">
        <w:rPr>
          <w:rFonts w:ascii="Cambria" w:eastAsia="Batang" w:hAnsi="Cambria" w:cs="Times New Roman"/>
          <w:color w:val="000000"/>
          <w:sz w:val="21"/>
          <w:szCs w:val="21"/>
          <w:lang w:val="es-ES"/>
        </w:rPr>
        <w:t>quilombolas</w:t>
      </w:r>
      <w:proofErr w:type="spellEnd"/>
      <w:r w:rsidR="00303796" w:rsidRPr="00344CD1">
        <w:rPr>
          <w:rFonts w:ascii="Cambria" w:eastAsia="Batang" w:hAnsi="Cambria" w:cs="Times New Roman"/>
          <w:color w:val="000000"/>
          <w:sz w:val="21"/>
          <w:szCs w:val="21"/>
          <w:lang w:val="es-ES"/>
        </w:rPr>
        <w:t xml:space="preserve"> </w:t>
      </w:r>
      <w:r w:rsidR="00530B08" w:rsidRPr="00344CD1">
        <w:rPr>
          <w:rFonts w:ascii="Cambria" w:eastAsia="Batang" w:hAnsi="Cambria" w:cs="Times New Roman"/>
          <w:color w:val="000000"/>
          <w:sz w:val="21"/>
          <w:szCs w:val="21"/>
          <w:lang w:val="es-ES"/>
        </w:rPr>
        <w:t xml:space="preserve">por oficiales en la entrada de la Vila Naval </w:t>
      </w:r>
      <w:r w:rsidR="00FA6A15" w:rsidRPr="00344CD1">
        <w:rPr>
          <w:rFonts w:ascii="Cambria" w:eastAsia="Batang" w:hAnsi="Cambria" w:cs="Times New Roman"/>
          <w:color w:val="000000"/>
          <w:sz w:val="21"/>
          <w:szCs w:val="21"/>
          <w:lang w:val="es-ES"/>
        </w:rPr>
        <w:t>(que</w:t>
      </w:r>
      <w:r w:rsidR="00530B08" w:rsidRPr="00344CD1">
        <w:rPr>
          <w:rFonts w:ascii="Cambria" w:eastAsia="Batang" w:hAnsi="Cambria" w:cs="Times New Roman"/>
          <w:color w:val="000000"/>
          <w:sz w:val="21"/>
          <w:szCs w:val="21"/>
          <w:lang w:val="es-ES"/>
        </w:rPr>
        <w:t xml:space="preserve"> </w:t>
      </w:r>
      <w:r w:rsidR="00FA6A15" w:rsidRPr="00344CD1">
        <w:rPr>
          <w:rFonts w:ascii="Cambria" w:eastAsia="Batang" w:hAnsi="Cambria" w:cs="Times New Roman"/>
          <w:color w:val="000000"/>
          <w:sz w:val="21"/>
          <w:szCs w:val="21"/>
          <w:lang w:val="es-ES"/>
        </w:rPr>
        <w:t>fue</w:t>
      </w:r>
      <w:r w:rsidR="00530B08" w:rsidRPr="00344CD1">
        <w:rPr>
          <w:rFonts w:ascii="Cambria" w:eastAsia="Batang" w:hAnsi="Cambria" w:cs="Times New Roman"/>
          <w:color w:val="000000"/>
          <w:sz w:val="21"/>
          <w:szCs w:val="21"/>
          <w:lang w:val="es-ES"/>
        </w:rPr>
        <w:t xml:space="preserve"> grabada por las cámaras de seguridad y diseminadas en la prensa en 2014</w:t>
      </w:r>
      <w:r w:rsidR="00FA6A15" w:rsidRPr="00344CD1">
        <w:rPr>
          <w:rFonts w:ascii="Cambria" w:eastAsia="Batang" w:hAnsi="Cambria" w:cs="Times New Roman"/>
          <w:color w:val="000000"/>
          <w:sz w:val="21"/>
          <w:szCs w:val="21"/>
          <w:lang w:val="es-ES"/>
        </w:rPr>
        <w:t>),</w:t>
      </w:r>
      <w:r w:rsidR="00915A5F" w:rsidRPr="00344CD1">
        <w:rPr>
          <w:rFonts w:ascii="Cambria" w:eastAsia="Batang" w:hAnsi="Cambria" w:cs="Times New Roman"/>
          <w:color w:val="000000"/>
          <w:sz w:val="21"/>
          <w:szCs w:val="21"/>
          <w:lang w:val="es-ES"/>
        </w:rPr>
        <w:t xml:space="preserve"> además de varios hechos de</w:t>
      </w:r>
      <w:r w:rsidR="00530B08" w:rsidRPr="00344CD1">
        <w:rPr>
          <w:rFonts w:ascii="Cambria" w:eastAsia="Batang" w:hAnsi="Cambria" w:cs="Times New Roman"/>
          <w:color w:val="000000"/>
          <w:sz w:val="21"/>
          <w:szCs w:val="21"/>
          <w:lang w:val="es-ES"/>
        </w:rPr>
        <w:t xml:space="preserve"> amenazas,</w:t>
      </w:r>
      <w:r w:rsidR="00915A5F" w:rsidRPr="00344CD1">
        <w:rPr>
          <w:rFonts w:ascii="Cambria" w:eastAsia="Batang" w:hAnsi="Cambria" w:cs="Times New Roman"/>
          <w:color w:val="000000"/>
          <w:sz w:val="21"/>
          <w:szCs w:val="21"/>
          <w:lang w:val="es-ES"/>
        </w:rPr>
        <w:t xml:space="preserve"> hostigamientos</w:t>
      </w:r>
      <w:r w:rsidR="00530B08" w:rsidRPr="00344CD1">
        <w:rPr>
          <w:rFonts w:ascii="Cambria" w:eastAsia="Batang" w:hAnsi="Cambria" w:cs="Times New Roman"/>
          <w:color w:val="000000"/>
          <w:sz w:val="21"/>
          <w:szCs w:val="21"/>
          <w:lang w:val="es-ES"/>
        </w:rPr>
        <w:t xml:space="preserve"> e incluso </w:t>
      </w:r>
      <w:r w:rsidR="00940E73" w:rsidRPr="00344CD1">
        <w:rPr>
          <w:rFonts w:ascii="Cambria" w:eastAsia="Batang" w:hAnsi="Cambria" w:cs="Times New Roman"/>
          <w:color w:val="000000"/>
          <w:sz w:val="21"/>
          <w:szCs w:val="21"/>
          <w:lang w:val="es-ES"/>
        </w:rPr>
        <w:t xml:space="preserve">otros asesinatos de miembros de la comunidad de </w:t>
      </w:r>
      <w:r w:rsidR="002165FA" w:rsidRPr="00344CD1">
        <w:rPr>
          <w:rFonts w:ascii="Cambria" w:eastAsia="Batang" w:hAnsi="Cambria" w:cs="Times New Roman"/>
          <w:color w:val="000000"/>
          <w:sz w:val="21"/>
          <w:szCs w:val="21"/>
          <w:lang w:val="es-ES"/>
        </w:rPr>
        <w:t>alegada</w:t>
      </w:r>
      <w:r w:rsidR="00303796" w:rsidRPr="00344CD1">
        <w:rPr>
          <w:rFonts w:ascii="Cambria" w:eastAsia="Batang" w:hAnsi="Cambria" w:cs="Times New Roman"/>
          <w:color w:val="000000"/>
          <w:sz w:val="21"/>
          <w:szCs w:val="21"/>
          <w:lang w:val="es-ES"/>
        </w:rPr>
        <w:t xml:space="preserve"> autoría o conexión a los militares de la Marina.</w:t>
      </w:r>
    </w:p>
    <w:p w14:paraId="7EE527E7" w14:textId="77777777" w:rsidR="00303796" w:rsidRPr="00344CD1" w:rsidRDefault="00303796" w:rsidP="00D51F89">
      <w:pPr>
        <w:spacing w:after="0" w:line="240" w:lineRule="auto"/>
        <w:ind w:left="360"/>
        <w:contextualSpacing/>
        <w:jc w:val="both"/>
        <w:rPr>
          <w:rFonts w:ascii="Cambria" w:eastAsia="Batang" w:hAnsi="Cambria" w:cs="Times New Roman"/>
          <w:color w:val="000000"/>
          <w:sz w:val="21"/>
          <w:szCs w:val="21"/>
          <w:lang w:val="es-ES"/>
        </w:rPr>
      </w:pPr>
    </w:p>
    <w:p w14:paraId="36DA3EA0" w14:textId="513E6A49" w:rsidR="00303796" w:rsidRPr="00344CD1" w:rsidRDefault="004129FD"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Con relación a la definición de la t</w:t>
      </w:r>
      <w:r w:rsidR="005C6C0E" w:rsidRPr="00344CD1">
        <w:rPr>
          <w:rFonts w:ascii="Cambria" w:eastAsia="Batang" w:hAnsi="Cambria" w:cs="Times New Roman"/>
          <w:color w:val="000000"/>
          <w:sz w:val="21"/>
          <w:szCs w:val="21"/>
          <w:lang w:val="es-ES"/>
        </w:rPr>
        <w:t xml:space="preserve">itularidad del territorio, </w:t>
      </w:r>
      <w:r w:rsidR="005A7B67" w:rsidRPr="00344CD1">
        <w:rPr>
          <w:rFonts w:ascii="Cambria" w:eastAsia="Batang" w:hAnsi="Cambria" w:cs="Times New Roman"/>
          <w:color w:val="000000"/>
          <w:sz w:val="21"/>
          <w:szCs w:val="21"/>
          <w:lang w:val="es-ES"/>
        </w:rPr>
        <w:t>e</w:t>
      </w:r>
      <w:r w:rsidR="00E66BF0" w:rsidRPr="00344CD1">
        <w:rPr>
          <w:rFonts w:ascii="Cambria" w:eastAsia="Batang" w:hAnsi="Cambria" w:cs="Times New Roman"/>
          <w:color w:val="000000"/>
          <w:sz w:val="21"/>
          <w:szCs w:val="21"/>
          <w:lang w:val="es-ES"/>
        </w:rPr>
        <w:t xml:space="preserve">n 2012, el </w:t>
      </w:r>
      <w:r w:rsidR="005A7B67" w:rsidRPr="00344CD1">
        <w:rPr>
          <w:rFonts w:ascii="Cambria" w:eastAsia="Batang" w:hAnsi="Cambria" w:cs="Times New Roman"/>
          <w:color w:val="000000"/>
          <w:sz w:val="21"/>
          <w:szCs w:val="21"/>
          <w:lang w:val="es-ES"/>
        </w:rPr>
        <w:t xml:space="preserve">Instituto Nacional de Colonización y Reforma Agraria (INCRA) </w:t>
      </w:r>
      <w:r w:rsidR="00E66BF0" w:rsidRPr="00344CD1">
        <w:rPr>
          <w:rFonts w:ascii="Cambria" w:eastAsia="Batang" w:hAnsi="Cambria" w:cs="Times New Roman"/>
          <w:color w:val="000000"/>
          <w:sz w:val="21"/>
          <w:szCs w:val="21"/>
          <w:lang w:val="es-ES"/>
        </w:rPr>
        <w:t>expid</w:t>
      </w:r>
      <w:r w:rsidR="00FA6A15" w:rsidRPr="00344CD1">
        <w:rPr>
          <w:rFonts w:ascii="Cambria" w:eastAsia="Batang" w:hAnsi="Cambria" w:cs="Times New Roman"/>
          <w:color w:val="000000"/>
          <w:sz w:val="21"/>
          <w:szCs w:val="21"/>
          <w:lang w:val="es-ES"/>
        </w:rPr>
        <w:t>ió</w:t>
      </w:r>
      <w:r w:rsidR="00E66BF0" w:rsidRPr="00344CD1">
        <w:rPr>
          <w:rFonts w:ascii="Cambria" w:eastAsia="Batang" w:hAnsi="Cambria" w:cs="Times New Roman"/>
          <w:color w:val="000000"/>
          <w:sz w:val="21"/>
          <w:szCs w:val="21"/>
          <w:lang w:val="es-ES"/>
        </w:rPr>
        <w:t xml:space="preserve"> </w:t>
      </w:r>
      <w:r w:rsidR="009962D8" w:rsidRPr="00344CD1">
        <w:rPr>
          <w:rFonts w:ascii="Cambria" w:eastAsia="Batang" w:hAnsi="Cambria" w:cs="Times New Roman"/>
          <w:color w:val="000000"/>
          <w:sz w:val="21"/>
          <w:szCs w:val="21"/>
          <w:lang w:val="es-ES"/>
        </w:rPr>
        <w:t>un i</w:t>
      </w:r>
      <w:r w:rsidR="00E66BF0" w:rsidRPr="00344CD1">
        <w:rPr>
          <w:rFonts w:ascii="Cambria" w:eastAsia="Batang" w:hAnsi="Cambria" w:cs="Times New Roman"/>
          <w:color w:val="000000"/>
          <w:sz w:val="21"/>
          <w:szCs w:val="21"/>
          <w:lang w:val="es-ES"/>
        </w:rPr>
        <w:t xml:space="preserve">nforme </w:t>
      </w:r>
      <w:r w:rsidR="009962D8" w:rsidRPr="00344CD1">
        <w:rPr>
          <w:rFonts w:ascii="Cambria" w:eastAsia="Batang" w:hAnsi="Cambria" w:cs="Times New Roman"/>
          <w:color w:val="000000"/>
          <w:sz w:val="21"/>
          <w:szCs w:val="21"/>
          <w:lang w:val="es-ES"/>
        </w:rPr>
        <w:t>a</w:t>
      </w:r>
      <w:r w:rsidR="00E66BF0" w:rsidRPr="00344CD1">
        <w:rPr>
          <w:rFonts w:ascii="Cambria" w:eastAsia="Batang" w:hAnsi="Cambria" w:cs="Times New Roman"/>
          <w:color w:val="000000"/>
          <w:sz w:val="21"/>
          <w:szCs w:val="21"/>
          <w:lang w:val="es-ES"/>
        </w:rPr>
        <w:t>ntropológico</w:t>
      </w:r>
      <w:r w:rsidR="00386DEB" w:rsidRPr="00344CD1">
        <w:rPr>
          <w:rFonts w:ascii="Cambria" w:eastAsia="Batang" w:hAnsi="Cambria" w:cs="Times New Roman"/>
          <w:color w:val="000000"/>
          <w:sz w:val="21"/>
          <w:szCs w:val="21"/>
          <w:lang w:val="es-ES"/>
        </w:rPr>
        <w:t xml:space="preserve"> </w:t>
      </w:r>
      <w:r w:rsidR="00E66BF0" w:rsidRPr="00344CD1">
        <w:rPr>
          <w:rFonts w:ascii="Cambria" w:eastAsia="Batang" w:hAnsi="Cambria" w:cs="Times New Roman"/>
          <w:color w:val="000000"/>
          <w:sz w:val="21"/>
          <w:szCs w:val="21"/>
          <w:lang w:val="es-ES"/>
        </w:rPr>
        <w:t xml:space="preserve">en donde se </w:t>
      </w:r>
      <w:r w:rsidR="005A7B67" w:rsidRPr="00344CD1">
        <w:rPr>
          <w:rFonts w:ascii="Cambria" w:eastAsia="Batang" w:hAnsi="Cambria" w:cs="Times New Roman"/>
          <w:color w:val="000000"/>
          <w:sz w:val="21"/>
          <w:szCs w:val="21"/>
          <w:lang w:val="es-ES"/>
        </w:rPr>
        <w:t xml:space="preserve">habría </w:t>
      </w:r>
      <w:r w:rsidR="00FA6A15" w:rsidRPr="00344CD1">
        <w:rPr>
          <w:rFonts w:ascii="Cambria" w:eastAsia="Batang" w:hAnsi="Cambria" w:cs="Times New Roman"/>
          <w:color w:val="000000"/>
          <w:sz w:val="21"/>
          <w:szCs w:val="21"/>
          <w:lang w:val="es-ES"/>
        </w:rPr>
        <w:t>reconoci</w:t>
      </w:r>
      <w:r w:rsidR="005A7B67" w:rsidRPr="00344CD1">
        <w:rPr>
          <w:rFonts w:ascii="Cambria" w:eastAsia="Batang" w:hAnsi="Cambria" w:cs="Times New Roman"/>
          <w:color w:val="000000"/>
          <w:sz w:val="21"/>
          <w:szCs w:val="21"/>
          <w:lang w:val="es-ES"/>
        </w:rPr>
        <w:t>do</w:t>
      </w:r>
      <w:r w:rsidR="00E66BF0" w:rsidRPr="00344CD1">
        <w:rPr>
          <w:rFonts w:ascii="Cambria" w:eastAsia="Batang" w:hAnsi="Cambria" w:cs="Times New Roman"/>
          <w:color w:val="000000"/>
          <w:sz w:val="21"/>
          <w:szCs w:val="21"/>
          <w:lang w:val="es-ES"/>
        </w:rPr>
        <w:t xml:space="preserve"> el territorio tradicional de la comunidad</w:t>
      </w:r>
      <w:r w:rsidR="00617EEA" w:rsidRPr="00344CD1">
        <w:rPr>
          <w:rFonts w:ascii="Cambria" w:eastAsia="Batang" w:hAnsi="Cambria" w:cs="Times New Roman"/>
          <w:color w:val="000000"/>
          <w:sz w:val="21"/>
          <w:szCs w:val="21"/>
          <w:lang w:val="es-ES"/>
        </w:rPr>
        <w:t>.</w:t>
      </w:r>
      <w:r w:rsidR="00E66BF0" w:rsidRPr="00344CD1">
        <w:rPr>
          <w:rFonts w:ascii="Cambria" w:eastAsia="Batang" w:hAnsi="Cambria" w:cs="Times New Roman"/>
          <w:color w:val="000000"/>
          <w:sz w:val="21"/>
          <w:szCs w:val="21"/>
          <w:lang w:val="es-ES"/>
        </w:rPr>
        <w:t xml:space="preserve"> </w:t>
      </w:r>
      <w:r w:rsidR="00942FB7" w:rsidRPr="00344CD1">
        <w:rPr>
          <w:rFonts w:ascii="Cambria" w:eastAsia="Batang" w:hAnsi="Cambria" w:cs="Times New Roman"/>
          <w:color w:val="000000"/>
          <w:sz w:val="21"/>
          <w:szCs w:val="21"/>
          <w:lang w:val="es-ES"/>
        </w:rPr>
        <w:t xml:space="preserve">En 21 de octubre de 2019 el </w:t>
      </w:r>
      <w:r w:rsidR="00D45F27" w:rsidRPr="00344CD1">
        <w:rPr>
          <w:rFonts w:ascii="Cambria" w:eastAsia="Batang" w:hAnsi="Cambria" w:cs="Times New Roman"/>
          <w:color w:val="000000"/>
          <w:sz w:val="21"/>
          <w:szCs w:val="21"/>
          <w:lang w:val="es-ES"/>
        </w:rPr>
        <w:t>INCRA</w:t>
      </w:r>
      <w:r w:rsidR="00942FB7" w:rsidRPr="00344CD1">
        <w:rPr>
          <w:rFonts w:ascii="Cambria" w:eastAsia="Batang" w:hAnsi="Cambria" w:cs="Times New Roman"/>
          <w:color w:val="000000"/>
          <w:sz w:val="21"/>
          <w:szCs w:val="21"/>
          <w:lang w:val="es-ES"/>
        </w:rPr>
        <w:t xml:space="preserve"> </w:t>
      </w:r>
      <w:r w:rsidR="005A7B67" w:rsidRPr="00344CD1">
        <w:rPr>
          <w:rFonts w:ascii="Cambria" w:eastAsia="Batang" w:hAnsi="Cambria" w:cs="Times New Roman"/>
          <w:color w:val="000000"/>
          <w:sz w:val="21"/>
          <w:szCs w:val="21"/>
          <w:lang w:val="es-ES"/>
        </w:rPr>
        <w:t xml:space="preserve">fue condenado judicialmente </w:t>
      </w:r>
      <w:r w:rsidR="00942FB7" w:rsidRPr="00344CD1">
        <w:rPr>
          <w:rFonts w:ascii="Cambria" w:eastAsia="Batang" w:hAnsi="Cambria" w:cs="Times New Roman"/>
          <w:color w:val="000000"/>
          <w:sz w:val="21"/>
          <w:szCs w:val="21"/>
          <w:lang w:val="es-ES"/>
        </w:rPr>
        <w:t>por la demora en la fase final para la expedición del título de propiedad colectiva a la Comunidad Remanentes del Quilombo Rio dos Macacos.</w:t>
      </w:r>
    </w:p>
    <w:p w14:paraId="3FECCB69" w14:textId="77777777" w:rsidR="00942FB7" w:rsidRPr="00344CD1" w:rsidRDefault="00942FB7" w:rsidP="00D51F89">
      <w:pPr>
        <w:spacing w:after="0" w:line="240" w:lineRule="auto"/>
        <w:ind w:left="360"/>
        <w:contextualSpacing/>
        <w:jc w:val="both"/>
        <w:rPr>
          <w:rFonts w:ascii="Cambria" w:eastAsia="Batang" w:hAnsi="Cambria" w:cs="Times New Roman"/>
          <w:color w:val="000000"/>
          <w:sz w:val="21"/>
          <w:szCs w:val="21"/>
          <w:lang w:val="es-ES"/>
        </w:rPr>
      </w:pPr>
    </w:p>
    <w:p w14:paraId="740994EC" w14:textId="05180CE1" w:rsidR="00942FB7" w:rsidRPr="00344CD1" w:rsidRDefault="00942FB7"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Según la solicitud, “en un </w:t>
      </w:r>
      <w:r w:rsidR="00511029" w:rsidRPr="00344CD1">
        <w:rPr>
          <w:rFonts w:ascii="Cambria" w:eastAsia="Batang" w:hAnsi="Cambria" w:cs="Times New Roman"/>
          <w:color w:val="000000"/>
          <w:sz w:val="21"/>
          <w:szCs w:val="21"/>
          <w:lang w:val="es-ES"/>
        </w:rPr>
        <w:t>escenario</w:t>
      </w:r>
      <w:r w:rsidRPr="00344CD1">
        <w:rPr>
          <w:rFonts w:ascii="Cambria" w:eastAsia="Batang" w:hAnsi="Cambria" w:cs="Times New Roman"/>
          <w:color w:val="000000"/>
          <w:sz w:val="21"/>
          <w:szCs w:val="21"/>
          <w:lang w:val="es-ES"/>
        </w:rPr>
        <w:t xml:space="preserve"> de avan</w:t>
      </w:r>
      <w:r w:rsidR="00FA6A15" w:rsidRPr="00344CD1">
        <w:rPr>
          <w:rFonts w:ascii="Cambria" w:eastAsia="Batang" w:hAnsi="Cambria" w:cs="Times New Roman"/>
          <w:color w:val="000000"/>
          <w:sz w:val="21"/>
          <w:szCs w:val="21"/>
          <w:lang w:val="es-ES"/>
        </w:rPr>
        <w:t>ce</w:t>
      </w:r>
      <w:r w:rsidRPr="00344CD1">
        <w:rPr>
          <w:rFonts w:ascii="Cambria" w:eastAsia="Batang" w:hAnsi="Cambria" w:cs="Times New Roman"/>
          <w:color w:val="000000"/>
          <w:sz w:val="21"/>
          <w:szCs w:val="21"/>
          <w:lang w:val="es-ES"/>
        </w:rPr>
        <w:t xml:space="preserve"> </w:t>
      </w:r>
      <w:r w:rsidR="00FA6A15" w:rsidRPr="00344CD1">
        <w:rPr>
          <w:rFonts w:ascii="Cambria" w:eastAsia="Batang" w:hAnsi="Cambria" w:cs="Times New Roman"/>
          <w:color w:val="000000"/>
          <w:sz w:val="21"/>
          <w:szCs w:val="21"/>
          <w:lang w:val="es-ES"/>
        </w:rPr>
        <w:t xml:space="preserve">en </w:t>
      </w:r>
      <w:r w:rsidRPr="00344CD1">
        <w:rPr>
          <w:rFonts w:ascii="Cambria" w:eastAsia="Batang" w:hAnsi="Cambria" w:cs="Times New Roman"/>
          <w:color w:val="000000"/>
          <w:sz w:val="21"/>
          <w:szCs w:val="21"/>
          <w:lang w:val="es-ES"/>
        </w:rPr>
        <w:t xml:space="preserve">el </w:t>
      </w:r>
      <w:r w:rsidR="00511029" w:rsidRPr="00344CD1">
        <w:rPr>
          <w:rFonts w:ascii="Cambria" w:eastAsia="Batang" w:hAnsi="Cambria" w:cs="Times New Roman"/>
          <w:color w:val="000000"/>
          <w:sz w:val="21"/>
          <w:szCs w:val="21"/>
          <w:lang w:val="es-ES"/>
        </w:rPr>
        <w:t>proceso</w:t>
      </w:r>
      <w:r w:rsidRPr="00344CD1">
        <w:rPr>
          <w:rFonts w:ascii="Cambria" w:eastAsia="Batang" w:hAnsi="Cambria" w:cs="Times New Roman"/>
          <w:color w:val="000000"/>
          <w:sz w:val="21"/>
          <w:szCs w:val="21"/>
          <w:lang w:val="es-ES"/>
        </w:rPr>
        <w:t xml:space="preserve"> de titulaci</w:t>
      </w:r>
      <w:r w:rsidR="00511029" w:rsidRPr="00344CD1">
        <w:rPr>
          <w:rFonts w:ascii="Cambria" w:eastAsia="Batang" w:hAnsi="Cambria" w:cs="Times New Roman"/>
          <w:color w:val="000000"/>
          <w:sz w:val="21"/>
          <w:szCs w:val="21"/>
          <w:lang w:val="es-ES"/>
        </w:rPr>
        <w:t>ón rumbo a la fase final […]</w:t>
      </w:r>
      <w:r w:rsidR="00FA6A15" w:rsidRPr="00344CD1">
        <w:rPr>
          <w:rFonts w:ascii="Cambria" w:eastAsia="Batang" w:hAnsi="Cambria" w:cs="Times New Roman"/>
          <w:color w:val="000000"/>
          <w:sz w:val="21"/>
          <w:szCs w:val="21"/>
          <w:lang w:val="es-ES"/>
        </w:rPr>
        <w:t>,</w:t>
      </w:r>
      <w:r w:rsidR="00511029" w:rsidRPr="00344CD1">
        <w:rPr>
          <w:rFonts w:ascii="Cambria" w:eastAsia="Batang" w:hAnsi="Cambria" w:cs="Times New Roman"/>
          <w:color w:val="000000"/>
          <w:sz w:val="21"/>
          <w:szCs w:val="21"/>
          <w:lang w:val="es-ES"/>
        </w:rPr>
        <w:t xml:space="preserve"> los procesos de intimidación y violencia directa en contra de miembros de la comunidad agravaron el cuadro de miedo y terror de los </w:t>
      </w:r>
      <w:proofErr w:type="spellStart"/>
      <w:r w:rsidR="00511029" w:rsidRPr="00344CD1">
        <w:rPr>
          <w:rFonts w:ascii="Cambria" w:eastAsia="Batang" w:hAnsi="Cambria" w:cs="Times New Roman"/>
          <w:color w:val="000000"/>
          <w:sz w:val="21"/>
          <w:szCs w:val="21"/>
          <w:lang w:val="es-ES"/>
        </w:rPr>
        <w:t>quilombolas</w:t>
      </w:r>
      <w:proofErr w:type="spellEnd"/>
      <w:r w:rsidR="00511029" w:rsidRPr="00344CD1">
        <w:rPr>
          <w:rFonts w:ascii="Cambria" w:eastAsia="Batang" w:hAnsi="Cambria" w:cs="Times New Roman"/>
          <w:color w:val="000000"/>
          <w:sz w:val="21"/>
          <w:szCs w:val="21"/>
          <w:lang w:val="es-ES"/>
        </w:rPr>
        <w:t xml:space="preserve"> […]”. En ese contexto, el 25 de noviembre de 2019, el señor José </w:t>
      </w:r>
      <w:proofErr w:type="spellStart"/>
      <w:r w:rsidR="00511029" w:rsidRPr="00344CD1">
        <w:rPr>
          <w:rFonts w:ascii="Cambria" w:eastAsia="Batang" w:hAnsi="Cambria" w:cs="Times New Roman"/>
          <w:color w:val="000000"/>
          <w:sz w:val="21"/>
          <w:szCs w:val="21"/>
          <w:lang w:val="es-ES"/>
        </w:rPr>
        <w:t>Isídio</w:t>
      </w:r>
      <w:proofErr w:type="spellEnd"/>
      <w:r w:rsidR="00511029" w:rsidRPr="00344CD1">
        <w:rPr>
          <w:rFonts w:ascii="Cambria" w:eastAsia="Batang" w:hAnsi="Cambria" w:cs="Times New Roman"/>
          <w:color w:val="000000"/>
          <w:sz w:val="21"/>
          <w:szCs w:val="21"/>
          <w:lang w:val="es-ES"/>
        </w:rPr>
        <w:t xml:space="preserve"> </w:t>
      </w:r>
      <w:proofErr w:type="spellStart"/>
      <w:r w:rsidR="00355F4C" w:rsidRPr="00344CD1">
        <w:rPr>
          <w:rFonts w:ascii="Cambria" w:eastAsia="Batang" w:hAnsi="Cambria" w:cs="Times New Roman"/>
          <w:color w:val="000000"/>
          <w:sz w:val="21"/>
          <w:szCs w:val="21"/>
          <w:lang w:val="es-ES"/>
        </w:rPr>
        <w:t>Di</w:t>
      </w:r>
      <w:r w:rsidR="00B667A5" w:rsidRPr="00344CD1">
        <w:rPr>
          <w:rFonts w:ascii="Cambria" w:eastAsia="Batang" w:hAnsi="Cambria" w:cs="Times New Roman"/>
          <w:color w:val="000000"/>
          <w:sz w:val="21"/>
          <w:szCs w:val="21"/>
          <w:lang w:val="es-ES"/>
        </w:rPr>
        <w:t>as</w:t>
      </w:r>
      <w:proofErr w:type="spellEnd"/>
      <w:r w:rsidR="00511029" w:rsidRPr="00344CD1">
        <w:rPr>
          <w:rFonts w:ascii="Cambria" w:eastAsia="Batang" w:hAnsi="Cambria" w:cs="Times New Roman"/>
          <w:color w:val="000000"/>
          <w:sz w:val="21"/>
          <w:szCs w:val="21"/>
          <w:lang w:val="es-ES"/>
        </w:rPr>
        <w:t>, anciano de la comunidad</w:t>
      </w:r>
      <w:r w:rsidR="00037EA2" w:rsidRPr="00344CD1">
        <w:rPr>
          <w:rFonts w:ascii="Cambria" w:eastAsia="Batang" w:hAnsi="Cambria" w:cs="Times New Roman"/>
          <w:color w:val="000000"/>
          <w:sz w:val="21"/>
          <w:szCs w:val="21"/>
          <w:lang w:val="es-ES"/>
        </w:rPr>
        <w:t xml:space="preserve"> y conocido por su participación en los procesos de reconocimiento del territorio</w:t>
      </w:r>
      <w:r w:rsidR="00511029" w:rsidRPr="00344CD1">
        <w:rPr>
          <w:rFonts w:ascii="Cambria" w:eastAsia="Batang" w:hAnsi="Cambria" w:cs="Times New Roman"/>
          <w:color w:val="000000"/>
          <w:sz w:val="21"/>
          <w:szCs w:val="21"/>
          <w:lang w:val="es-ES"/>
        </w:rPr>
        <w:t xml:space="preserve">, fue asesinado </w:t>
      </w:r>
      <w:r w:rsidR="004F3E7F" w:rsidRPr="00344CD1">
        <w:rPr>
          <w:rFonts w:ascii="Cambria" w:eastAsia="Batang" w:hAnsi="Cambria" w:cs="Times New Roman"/>
          <w:color w:val="000000"/>
          <w:sz w:val="21"/>
          <w:szCs w:val="21"/>
          <w:lang w:val="es-ES"/>
        </w:rPr>
        <w:t xml:space="preserve">presuntamente </w:t>
      </w:r>
      <w:r w:rsidR="00FA6A15" w:rsidRPr="00344CD1">
        <w:rPr>
          <w:rFonts w:ascii="Cambria" w:eastAsia="Batang" w:hAnsi="Cambria" w:cs="Times New Roman"/>
          <w:color w:val="000000"/>
          <w:sz w:val="21"/>
          <w:szCs w:val="21"/>
          <w:lang w:val="es-ES"/>
        </w:rPr>
        <w:t xml:space="preserve">a golpes con un hacha </w:t>
      </w:r>
      <w:r w:rsidR="00511029" w:rsidRPr="00344CD1">
        <w:rPr>
          <w:rFonts w:ascii="Cambria" w:eastAsia="Batang" w:hAnsi="Cambria" w:cs="Times New Roman"/>
          <w:color w:val="000000"/>
          <w:sz w:val="21"/>
          <w:szCs w:val="21"/>
          <w:lang w:val="es-ES"/>
        </w:rPr>
        <w:t>dentro del territorio</w:t>
      </w:r>
      <w:r w:rsidR="00FA6A15" w:rsidRPr="00344CD1">
        <w:rPr>
          <w:rFonts w:ascii="Cambria" w:eastAsia="Batang" w:hAnsi="Cambria" w:cs="Times New Roman"/>
          <w:color w:val="000000"/>
          <w:sz w:val="21"/>
          <w:szCs w:val="21"/>
          <w:lang w:val="es-ES"/>
        </w:rPr>
        <w:t>.</w:t>
      </w:r>
      <w:r w:rsidR="00511029" w:rsidRPr="00344CD1">
        <w:rPr>
          <w:rFonts w:ascii="Cambria" w:eastAsia="Batang" w:hAnsi="Cambria" w:cs="Times New Roman"/>
          <w:color w:val="000000"/>
          <w:sz w:val="21"/>
          <w:szCs w:val="21"/>
          <w:lang w:val="es-ES"/>
        </w:rPr>
        <w:t xml:space="preserve"> </w:t>
      </w:r>
      <w:r w:rsidR="00E427E5" w:rsidRPr="00344CD1">
        <w:rPr>
          <w:rFonts w:ascii="Cambria" w:eastAsia="Batang" w:hAnsi="Cambria" w:cs="Times New Roman"/>
          <w:color w:val="000000"/>
          <w:sz w:val="21"/>
          <w:szCs w:val="21"/>
          <w:lang w:val="es-ES"/>
        </w:rPr>
        <w:t>El delito</w:t>
      </w:r>
      <w:r w:rsidR="00944611" w:rsidRPr="00344CD1">
        <w:rPr>
          <w:rFonts w:ascii="Cambria" w:eastAsia="Batang" w:hAnsi="Cambria" w:cs="Times New Roman"/>
          <w:color w:val="000000"/>
          <w:sz w:val="21"/>
          <w:szCs w:val="21"/>
          <w:lang w:val="es-ES"/>
        </w:rPr>
        <w:t xml:space="preserve"> </w:t>
      </w:r>
      <w:r w:rsidR="00E427E5" w:rsidRPr="00344CD1">
        <w:rPr>
          <w:rFonts w:ascii="Cambria" w:eastAsia="Batang" w:hAnsi="Cambria" w:cs="Times New Roman"/>
          <w:color w:val="000000"/>
          <w:sz w:val="21"/>
          <w:szCs w:val="21"/>
          <w:lang w:val="es-ES"/>
        </w:rPr>
        <w:t>ocurrió</w:t>
      </w:r>
      <w:r w:rsidR="00944611" w:rsidRPr="00344CD1">
        <w:rPr>
          <w:rFonts w:ascii="Cambria" w:eastAsia="Batang" w:hAnsi="Cambria" w:cs="Times New Roman"/>
          <w:color w:val="000000"/>
          <w:sz w:val="21"/>
          <w:szCs w:val="21"/>
          <w:lang w:val="es-ES"/>
        </w:rPr>
        <w:t xml:space="preserve"> dos semanas después de que la representación de los solicitantes haya participado del 174</w:t>
      </w:r>
      <w:r w:rsidR="00FA6A15" w:rsidRPr="00344CD1">
        <w:rPr>
          <w:rFonts w:ascii="Cambria" w:eastAsia="Batang" w:hAnsi="Cambria" w:cs="Times New Roman"/>
          <w:color w:val="000000"/>
          <w:sz w:val="21"/>
          <w:szCs w:val="21"/>
          <w:lang w:val="es-ES"/>
        </w:rPr>
        <w:t>º</w:t>
      </w:r>
      <w:r w:rsidR="00944611" w:rsidRPr="00344CD1">
        <w:rPr>
          <w:rFonts w:ascii="Cambria" w:eastAsia="Batang" w:hAnsi="Cambria" w:cs="Times New Roman"/>
          <w:color w:val="000000"/>
          <w:sz w:val="21"/>
          <w:szCs w:val="21"/>
          <w:lang w:val="es-ES"/>
        </w:rPr>
        <w:t xml:space="preserve"> Periodo de Sesiones de la CIDH y</w:t>
      </w:r>
      <w:r w:rsidR="00FA6A15" w:rsidRPr="00344CD1">
        <w:rPr>
          <w:rFonts w:ascii="Cambria" w:eastAsia="Batang" w:hAnsi="Cambria" w:cs="Times New Roman"/>
          <w:color w:val="000000"/>
          <w:sz w:val="21"/>
          <w:szCs w:val="21"/>
          <w:lang w:val="es-ES"/>
        </w:rPr>
        <w:t>,</w:t>
      </w:r>
      <w:r w:rsidR="00944611" w:rsidRPr="00344CD1">
        <w:rPr>
          <w:rFonts w:ascii="Cambria" w:eastAsia="Batang" w:hAnsi="Cambria" w:cs="Times New Roman"/>
          <w:color w:val="000000"/>
          <w:sz w:val="21"/>
          <w:szCs w:val="21"/>
          <w:lang w:val="es-ES"/>
        </w:rPr>
        <w:t xml:space="preserve"> de acuerdo con la solicitud, </w:t>
      </w:r>
      <w:r w:rsidR="00556B6B" w:rsidRPr="00344CD1">
        <w:rPr>
          <w:rFonts w:ascii="Cambria" w:eastAsia="Batang" w:hAnsi="Cambria" w:cs="Times New Roman"/>
          <w:color w:val="000000"/>
          <w:sz w:val="21"/>
          <w:szCs w:val="21"/>
          <w:lang w:val="es-ES"/>
        </w:rPr>
        <w:t>ello</w:t>
      </w:r>
      <w:r w:rsidR="001800BE" w:rsidRPr="00344CD1">
        <w:rPr>
          <w:rFonts w:ascii="Cambria" w:eastAsia="Batang" w:hAnsi="Cambria" w:cs="Times New Roman"/>
          <w:color w:val="000000"/>
          <w:sz w:val="21"/>
          <w:szCs w:val="21"/>
          <w:lang w:val="es-ES"/>
        </w:rPr>
        <w:t xml:space="preserve"> demuestra que</w:t>
      </w:r>
      <w:r w:rsidR="00FA6A15" w:rsidRPr="00344CD1">
        <w:rPr>
          <w:rFonts w:ascii="Cambria" w:eastAsia="Batang" w:hAnsi="Cambria" w:cs="Times New Roman"/>
          <w:color w:val="000000"/>
          <w:sz w:val="21"/>
          <w:szCs w:val="21"/>
          <w:lang w:val="es-ES"/>
        </w:rPr>
        <w:t>,</w:t>
      </w:r>
      <w:r w:rsidR="001800BE" w:rsidRPr="00344CD1">
        <w:rPr>
          <w:rFonts w:ascii="Cambria" w:eastAsia="Batang" w:hAnsi="Cambria" w:cs="Times New Roman"/>
          <w:color w:val="000000"/>
          <w:sz w:val="21"/>
          <w:szCs w:val="21"/>
          <w:lang w:val="es-ES"/>
        </w:rPr>
        <w:t xml:space="preserve"> con el avance de la titularización del territorio y las acciones de incidencia de la comunidad</w:t>
      </w:r>
      <w:r w:rsidR="00FA6A15" w:rsidRPr="00344CD1">
        <w:rPr>
          <w:rFonts w:ascii="Cambria" w:eastAsia="Batang" w:hAnsi="Cambria" w:cs="Times New Roman"/>
          <w:color w:val="000000"/>
          <w:sz w:val="21"/>
          <w:szCs w:val="21"/>
          <w:lang w:val="es-ES"/>
        </w:rPr>
        <w:t>,</w:t>
      </w:r>
      <w:r w:rsidR="001800BE" w:rsidRPr="00344CD1">
        <w:rPr>
          <w:rFonts w:ascii="Cambria" w:eastAsia="Batang" w:hAnsi="Cambria" w:cs="Times New Roman"/>
          <w:color w:val="000000"/>
          <w:sz w:val="21"/>
          <w:szCs w:val="21"/>
          <w:lang w:val="es-ES"/>
        </w:rPr>
        <w:t xml:space="preserve"> </w:t>
      </w:r>
      <w:r w:rsidR="00E427E5" w:rsidRPr="00344CD1">
        <w:rPr>
          <w:rFonts w:ascii="Cambria" w:eastAsia="Batang" w:hAnsi="Cambria" w:cs="Times New Roman"/>
          <w:color w:val="000000"/>
          <w:sz w:val="21"/>
          <w:szCs w:val="21"/>
          <w:lang w:val="es-ES"/>
        </w:rPr>
        <w:t xml:space="preserve">se </w:t>
      </w:r>
      <w:r w:rsidR="000A517E" w:rsidRPr="00344CD1">
        <w:rPr>
          <w:rFonts w:ascii="Cambria" w:eastAsia="Batang" w:hAnsi="Cambria" w:cs="Times New Roman"/>
          <w:color w:val="000000"/>
          <w:sz w:val="21"/>
          <w:szCs w:val="21"/>
          <w:lang w:val="es-ES"/>
        </w:rPr>
        <w:t>estaría incrementando el riesgo a la vida e integridad física de los miembros de la comunidad.</w:t>
      </w:r>
    </w:p>
    <w:p w14:paraId="48B106BA" w14:textId="77777777" w:rsidR="000A517E" w:rsidRPr="00344CD1" w:rsidRDefault="000A517E" w:rsidP="00D51F89">
      <w:pPr>
        <w:spacing w:after="0" w:line="240" w:lineRule="auto"/>
        <w:ind w:left="360"/>
        <w:contextualSpacing/>
        <w:jc w:val="both"/>
        <w:rPr>
          <w:rFonts w:ascii="Cambria" w:eastAsia="Batang" w:hAnsi="Cambria" w:cs="Times New Roman"/>
          <w:color w:val="000000"/>
          <w:sz w:val="21"/>
          <w:szCs w:val="21"/>
          <w:lang w:val="es-ES"/>
        </w:rPr>
      </w:pPr>
    </w:p>
    <w:p w14:paraId="116BC59B" w14:textId="78A69F61" w:rsidR="000A517E" w:rsidRPr="00344CD1" w:rsidRDefault="000A517E"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Tras </w:t>
      </w:r>
      <w:r w:rsidR="008F6FB0" w:rsidRPr="00344CD1">
        <w:rPr>
          <w:rFonts w:ascii="Cambria" w:eastAsia="Batang" w:hAnsi="Cambria" w:cs="Times New Roman"/>
          <w:color w:val="000000"/>
          <w:sz w:val="21"/>
          <w:szCs w:val="21"/>
          <w:lang w:val="es-ES"/>
        </w:rPr>
        <w:t xml:space="preserve">el </w:t>
      </w:r>
      <w:r w:rsidRPr="00344CD1">
        <w:rPr>
          <w:rFonts w:ascii="Cambria" w:eastAsia="Batang" w:hAnsi="Cambria" w:cs="Times New Roman"/>
          <w:color w:val="000000"/>
          <w:sz w:val="21"/>
          <w:szCs w:val="21"/>
          <w:lang w:val="es-ES"/>
        </w:rPr>
        <w:t xml:space="preserve">asesinato del señor José </w:t>
      </w:r>
      <w:proofErr w:type="spellStart"/>
      <w:r w:rsidRPr="00344CD1">
        <w:rPr>
          <w:rFonts w:ascii="Cambria" w:eastAsia="Batang" w:hAnsi="Cambria" w:cs="Times New Roman"/>
          <w:color w:val="000000"/>
          <w:sz w:val="21"/>
          <w:szCs w:val="21"/>
          <w:lang w:val="es-ES"/>
        </w:rPr>
        <w:t>Isídio</w:t>
      </w:r>
      <w:proofErr w:type="spellEnd"/>
      <w:r w:rsidRPr="00344CD1">
        <w:rPr>
          <w:rFonts w:ascii="Cambria" w:eastAsia="Batang" w:hAnsi="Cambria" w:cs="Times New Roman"/>
          <w:color w:val="000000"/>
          <w:sz w:val="21"/>
          <w:szCs w:val="21"/>
          <w:lang w:val="es-ES"/>
        </w:rPr>
        <w:t xml:space="preserve"> </w:t>
      </w:r>
      <w:proofErr w:type="spellStart"/>
      <w:r w:rsidR="00355F4C" w:rsidRPr="00344CD1">
        <w:rPr>
          <w:rFonts w:ascii="Cambria" w:eastAsia="Batang" w:hAnsi="Cambria" w:cs="Times New Roman"/>
          <w:color w:val="000000"/>
          <w:sz w:val="21"/>
          <w:szCs w:val="21"/>
          <w:lang w:val="es-ES"/>
        </w:rPr>
        <w:t>Di</w:t>
      </w:r>
      <w:r w:rsidR="00B667A5" w:rsidRPr="00344CD1">
        <w:rPr>
          <w:rFonts w:ascii="Cambria" w:eastAsia="Batang" w:hAnsi="Cambria" w:cs="Times New Roman"/>
          <w:color w:val="000000"/>
          <w:sz w:val="21"/>
          <w:szCs w:val="21"/>
          <w:lang w:val="es-ES"/>
        </w:rPr>
        <w:t>as</w:t>
      </w:r>
      <w:proofErr w:type="spellEnd"/>
      <w:r w:rsidRPr="00344CD1">
        <w:rPr>
          <w:rFonts w:ascii="Cambria" w:eastAsia="Batang" w:hAnsi="Cambria" w:cs="Times New Roman"/>
          <w:color w:val="000000"/>
          <w:sz w:val="21"/>
          <w:szCs w:val="21"/>
          <w:lang w:val="es-ES"/>
        </w:rPr>
        <w:t xml:space="preserve">, “[…] todas las noches, hombres armados rondan, intimidan e intentan </w:t>
      </w:r>
      <w:r w:rsidR="00157630" w:rsidRPr="00344CD1">
        <w:rPr>
          <w:rFonts w:ascii="Cambria" w:eastAsia="Batang" w:hAnsi="Cambria" w:cs="Times New Roman"/>
          <w:color w:val="000000"/>
          <w:sz w:val="21"/>
          <w:szCs w:val="21"/>
          <w:lang w:val="es-ES"/>
        </w:rPr>
        <w:t>irrumpir</w:t>
      </w:r>
      <w:r w:rsidR="00E427E5" w:rsidRPr="00344CD1">
        <w:rPr>
          <w:rFonts w:ascii="Cambria" w:eastAsia="Batang" w:hAnsi="Cambria" w:cs="Times New Roman"/>
          <w:color w:val="000000"/>
          <w:sz w:val="21"/>
          <w:szCs w:val="21"/>
          <w:lang w:val="es-ES"/>
        </w:rPr>
        <w:t xml:space="preserve"> en</w:t>
      </w:r>
      <w:r w:rsidR="00157630" w:rsidRPr="00344CD1">
        <w:rPr>
          <w:rFonts w:ascii="Cambria" w:eastAsia="Batang" w:hAnsi="Cambria" w:cs="Times New Roman"/>
          <w:color w:val="000000"/>
          <w:sz w:val="21"/>
          <w:szCs w:val="21"/>
          <w:lang w:val="es-ES"/>
        </w:rPr>
        <w:t xml:space="preserve"> las casas de los otros habitantes durante la noche, causando terror y pánico en las familias </w:t>
      </w:r>
      <w:proofErr w:type="spellStart"/>
      <w:r w:rsidR="00157630" w:rsidRPr="00344CD1">
        <w:rPr>
          <w:rFonts w:ascii="Cambria" w:eastAsia="Batang" w:hAnsi="Cambria" w:cs="Times New Roman"/>
          <w:color w:val="000000"/>
          <w:sz w:val="21"/>
          <w:szCs w:val="21"/>
          <w:lang w:val="es-ES"/>
        </w:rPr>
        <w:t>quilombolas</w:t>
      </w:r>
      <w:proofErr w:type="spellEnd"/>
      <w:r w:rsidR="00157630" w:rsidRPr="00344CD1">
        <w:rPr>
          <w:rFonts w:ascii="Cambria" w:eastAsia="Batang" w:hAnsi="Cambria" w:cs="Times New Roman"/>
          <w:color w:val="000000"/>
          <w:sz w:val="21"/>
          <w:szCs w:val="21"/>
          <w:lang w:val="es-ES"/>
        </w:rPr>
        <w:t>”.</w:t>
      </w:r>
      <w:r w:rsidR="001A0E3C" w:rsidRPr="00344CD1">
        <w:rPr>
          <w:rFonts w:ascii="Cambria" w:eastAsia="Batang" w:hAnsi="Cambria" w:cs="Times New Roman"/>
          <w:color w:val="000000"/>
          <w:sz w:val="21"/>
          <w:szCs w:val="21"/>
          <w:lang w:val="es-ES"/>
        </w:rPr>
        <w:t xml:space="preserve"> </w:t>
      </w:r>
      <w:r w:rsidR="009F309C" w:rsidRPr="00344CD1">
        <w:rPr>
          <w:rFonts w:ascii="Cambria" w:eastAsia="Batang" w:hAnsi="Cambria" w:cs="Times New Roman"/>
          <w:color w:val="000000"/>
          <w:sz w:val="21"/>
          <w:szCs w:val="21"/>
          <w:lang w:val="es-ES"/>
        </w:rPr>
        <w:t xml:space="preserve">Tales personas lanzarían piedras </w:t>
      </w:r>
      <w:r w:rsidR="008F6FB0" w:rsidRPr="00344CD1">
        <w:rPr>
          <w:rFonts w:ascii="Cambria" w:eastAsia="Batang" w:hAnsi="Cambria" w:cs="Times New Roman"/>
          <w:color w:val="000000"/>
          <w:sz w:val="21"/>
          <w:szCs w:val="21"/>
          <w:lang w:val="es-ES"/>
        </w:rPr>
        <w:t xml:space="preserve">a </w:t>
      </w:r>
      <w:r w:rsidR="009F309C" w:rsidRPr="00344CD1">
        <w:rPr>
          <w:rFonts w:ascii="Cambria" w:eastAsia="Batang" w:hAnsi="Cambria" w:cs="Times New Roman"/>
          <w:color w:val="000000"/>
          <w:sz w:val="21"/>
          <w:szCs w:val="21"/>
          <w:lang w:val="es-ES"/>
        </w:rPr>
        <w:t xml:space="preserve">los residentes </w:t>
      </w:r>
      <w:r w:rsidR="00556B6B" w:rsidRPr="00344CD1">
        <w:rPr>
          <w:rFonts w:ascii="Cambria" w:eastAsia="Batang" w:hAnsi="Cambria" w:cs="Times New Roman"/>
          <w:color w:val="000000"/>
          <w:sz w:val="21"/>
          <w:szCs w:val="21"/>
          <w:lang w:val="es-ES"/>
        </w:rPr>
        <w:t>que</w:t>
      </w:r>
      <w:r w:rsidR="009F309C" w:rsidRPr="00344CD1">
        <w:rPr>
          <w:rFonts w:ascii="Cambria" w:eastAsia="Batang" w:hAnsi="Cambria" w:cs="Times New Roman"/>
          <w:color w:val="000000"/>
          <w:sz w:val="21"/>
          <w:szCs w:val="21"/>
          <w:lang w:val="es-ES"/>
        </w:rPr>
        <w:t xml:space="preserve"> </w:t>
      </w:r>
      <w:r w:rsidR="008F6FB0" w:rsidRPr="00344CD1">
        <w:rPr>
          <w:rFonts w:ascii="Cambria" w:eastAsia="Batang" w:hAnsi="Cambria" w:cs="Times New Roman"/>
          <w:color w:val="000000"/>
          <w:sz w:val="21"/>
          <w:szCs w:val="21"/>
          <w:lang w:val="es-ES"/>
        </w:rPr>
        <w:t xml:space="preserve">salen </w:t>
      </w:r>
      <w:r w:rsidR="009F309C" w:rsidRPr="00344CD1">
        <w:rPr>
          <w:rFonts w:ascii="Cambria" w:eastAsia="Batang" w:hAnsi="Cambria" w:cs="Times New Roman"/>
          <w:color w:val="000000"/>
          <w:sz w:val="21"/>
          <w:szCs w:val="21"/>
          <w:lang w:val="es-ES"/>
        </w:rPr>
        <w:t>para mirar</w:t>
      </w:r>
      <w:r w:rsidR="008F6FB0" w:rsidRPr="00344CD1">
        <w:rPr>
          <w:rFonts w:ascii="Cambria" w:eastAsia="Batang" w:hAnsi="Cambria" w:cs="Times New Roman"/>
          <w:color w:val="000000"/>
          <w:sz w:val="21"/>
          <w:szCs w:val="21"/>
          <w:lang w:val="es-ES"/>
        </w:rPr>
        <w:t xml:space="preserve"> lo que está ocurriendo, registrándose asimismo</w:t>
      </w:r>
      <w:r w:rsidR="001A0E3C" w:rsidRPr="00344CD1">
        <w:rPr>
          <w:rFonts w:ascii="Cambria" w:eastAsia="Batang" w:hAnsi="Cambria" w:cs="Times New Roman"/>
          <w:color w:val="000000"/>
          <w:sz w:val="21"/>
          <w:szCs w:val="21"/>
          <w:lang w:val="es-ES"/>
        </w:rPr>
        <w:t xml:space="preserve"> episodios de amedrentamiento por lo menos</w:t>
      </w:r>
      <w:r w:rsidR="008F6FB0" w:rsidRPr="00344CD1">
        <w:rPr>
          <w:rFonts w:ascii="Cambria" w:eastAsia="Batang" w:hAnsi="Cambria" w:cs="Times New Roman"/>
          <w:color w:val="000000"/>
          <w:sz w:val="21"/>
          <w:szCs w:val="21"/>
          <w:lang w:val="es-ES"/>
        </w:rPr>
        <w:t xml:space="preserve"> durante</w:t>
      </w:r>
      <w:r w:rsidR="001A0E3C" w:rsidRPr="00344CD1">
        <w:rPr>
          <w:rFonts w:ascii="Cambria" w:eastAsia="Batang" w:hAnsi="Cambria" w:cs="Times New Roman"/>
          <w:color w:val="000000"/>
          <w:sz w:val="21"/>
          <w:szCs w:val="21"/>
          <w:lang w:val="es-ES"/>
        </w:rPr>
        <w:t xml:space="preserve"> 11 noches</w:t>
      </w:r>
      <w:r w:rsidR="001A0E3C" w:rsidRPr="00344CD1">
        <w:rPr>
          <w:rStyle w:val="FootnoteReference"/>
          <w:rFonts w:ascii="Cambria" w:eastAsia="Batang" w:hAnsi="Cambria" w:cs="Times New Roman"/>
          <w:color w:val="000000"/>
          <w:sz w:val="21"/>
          <w:szCs w:val="21"/>
          <w:lang w:val="es-ES"/>
        </w:rPr>
        <w:footnoteReference w:id="3"/>
      </w:r>
      <w:r w:rsidR="008F6FB0" w:rsidRPr="00344CD1">
        <w:rPr>
          <w:rFonts w:ascii="Cambria" w:eastAsia="Batang" w:hAnsi="Cambria" w:cs="Times New Roman"/>
          <w:color w:val="000000"/>
          <w:sz w:val="21"/>
          <w:szCs w:val="21"/>
          <w:lang w:val="es-ES"/>
        </w:rPr>
        <w:t>. S</w:t>
      </w:r>
      <w:r w:rsidR="00477350" w:rsidRPr="00344CD1">
        <w:rPr>
          <w:rFonts w:ascii="Cambria" w:eastAsia="Batang" w:hAnsi="Cambria" w:cs="Times New Roman"/>
          <w:color w:val="000000"/>
          <w:sz w:val="21"/>
          <w:szCs w:val="21"/>
          <w:lang w:val="es-ES"/>
        </w:rPr>
        <w:t xml:space="preserve">egún los solicitantes, </w:t>
      </w:r>
      <w:r w:rsidR="00A95FA5" w:rsidRPr="00344CD1">
        <w:rPr>
          <w:rFonts w:ascii="Cambria" w:eastAsia="Batang" w:hAnsi="Cambria" w:cs="Times New Roman"/>
          <w:color w:val="000000"/>
          <w:sz w:val="21"/>
          <w:szCs w:val="21"/>
          <w:lang w:val="es-ES"/>
        </w:rPr>
        <w:t xml:space="preserve">las casas son de “frágil construcción” y </w:t>
      </w:r>
      <w:r w:rsidR="00477350" w:rsidRPr="00344CD1">
        <w:rPr>
          <w:rFonts w:ascii="Cambria" w:eastAsia="Batang" w:hAnsi="Cambria" w:cs="Times New Roman"/>
          <w:color w:val="000000"/>
          <w:sz w:val="21"/>
          <w:szCs w:val="21"/>
          <w:lang w:val="es-ES"/>
        </w:rPr>
        <w:t>el área no tiene iluminación</w:t>
      </w:r>
      <w:r w:rsidR="00A95FA5" w:rsidRPr="00344CD1">
        <w:rPr>
          <w:rFonts w:ascii="Cambria" w:eastAsia="Batang" w:hAnsi="Cambria" w:cs="Times New Roman"/>
          <w:color w:val="000000"/>
          <w:sz w:val="21"/>
          <w:szCs w:val="21"/>
          <w:lang w:val="es-ES"/>
        </w:rPr>
        <w:t xml:space="preserve">, </w:t>
      </w:r>
      <w:r w:rsidR="00477350" w:rsidRPr="00344CD1">
        <w:rPr>
          <w:rFonts w:ascii="Cambria" w:eastAsia="Batang" w:hAnsi="Cambria" w:cs="Times New Roman"/>
          <w:color w:val="000000"/>
          <w:sz w:val="21"/>
          <w:szCs w:val="21"/>
          <w:lang w:val="es-ES"/>
        </w:rPr>
        <w:t xml:space="preserve">lo que </w:t>
      </w:r>
      <w:r w:rsidR="001617EC" w:rsidRPr="00344CD1">
        <w:rPr>
          <w:rFonts w:ascii="Cambria" w:eastAsia="Batang" w:hAnsi="Cambria" w:cs="Times New Roman"/>
          <w:color w:val="000000"/>
          <w:sz w:val="21"/>
          <w:szCs w:val="21"/>
          <w:lang w:val="es-ES"/>
        </w:rPr>
        <w:t>“incrementaría la situación de riesgo e inseguridad”</w:t>
      </w:r>
      <w:r w:rsidR="00477350" w:rsidRPr="00344CD1">
        <w:rPr>
          <w:rFonts w:ascii="Cambria" w:eastAsia="Batang" w:hAnsi="Cambria" w:cs="Times New Roman"/>
          <w:color w:val="000000"/>
          <w:sz w:val="21"/>
          <w:szCs w:val="21"/>
          <w:lang w:val="es-ES"/>
        </w:rPr>
        <w:t xml:space="preserve"> </w:t>
      </w:r>
      <w:r w:rsidR="00A95FA5" w:rsidRPr="00344CD1">
        <w:rPr>
          <w:rFonts w:ascii="Cambria" w:eastAsia="Batang" w:hAnsi="Cambria" w:cs="Times New Roman"/>
          <w:color w:val="000000"/>
          <w:sz w:val="21"/>
          <w:szCs w:val="21"/>
          <w:lang w:val="es-ES"/>
        </w:rPr>
        <w:t xml:space="preserve">de los propuestos beneficiarios, </w:t>
      </w:r>
      <w:r w:rsidR="008F6FB0" w:rsidRPr="00344CD1">
        <w:rPr>
          <w:rFonts w:ascii="Cambria" w:eastAsia="Batang" w:hAnsi="Cambria" w:cs="Times New Roman"/>
          <w:color w:val="000000"/>
          <w:sz w:val="21"/>
          <w:szCs w:val="21"/>
          <w:lang w:val="es-ES"/>
        </w:rPr>
        <w:t xml:space="preserve">impidiéndoles </w:t>
      </w:r>
      <w:r w:rsidR="003A7A5C" w:rsidRPr="00344CD1">
        <w:rPr>
          <w:rFonts w:ascii="Cambria" w:eastAsia="Batang" w:hAnsi="Cambria" w:cs="Times New Roman"/>
          <w:color w:val="000000"/>
          <w:sz w:val="21"/>
          <w:szCs w:val="21"/>
          <w:lang w:val="es-ES"/>
        </w:rPr>
        <w:t>también</w:t>
      </w:r>
      <w:r w:rsidR="00477350" w:rsidRPr="00344CD1">
        <w:rPr>
          <w:rFonts w:ascii="Cambria" w:eastAsia="Batang" w:hAnsi="Cambria" w:cs="Times New Roman"/>
          <w:color w:val="000000"/>
          <w:sz w:val="21"/>
          <w:szCs w:val="21"/>
          <w:lang w:val="es-ES"/>
        </w:rPr>
        <w:t xml:space="preserve"> reconocer a los perpetradores</w:t>
      </w:r>
      <w:r w:rsidR="001A0E3C" w:rsidRPr="00344CD1">
        <w:rPr>
          <w:rFonts w:ascii="Cambria" w:eastAsia="Batang" w:hAnsi="Cambria" w:cs="Times New Roman"/>
          <w:color w:val="000000"/>
          <w:sz w:val="21"/>
          <w:szCs w:val="21"/>
          <w:lang w:val="es-ES"/>
        </w:rPr>
        <w:t>.</w:t>
      </w:r>
      <w:r w:rsidR="00157630" w:rsidRPr="00344CD1">
        <w:rPr>
          <w:rFonts w:ascii="Cambria" w:eastAsia="Batang" w:hAnsi="Cambria" w:cs="Times New Roman"/>
          <w:color w:val="000000"/>
          <w:sz w:val="21"/>
          <w:szCs w:val="21"/>
          <w:lang w:val="es-ES"/>
        </w:rPr>
        <w:t xml:space="preserve"> Los solicitantes alegaron que </w:t>
      </w:r>
      <w:r w:rsidR="008F6FB0" w:rsidRPr="00344CD1">
        <w:rPr>
          <w:rFonts w:ascii="Cambria" w:eastAsia="Batang" w:hAnsi="Cambria" w:cs="Times New Roman"/>
          <w:color w:val="000000"/>
          <w:sz w:val="21"/>
          <w:szCs w:val="21"/>
          <w:lang w:val="es-ES"/>
        </w:rPr>
        <w:t xml:space="preserve">estos </w:t>
      </w:r>
      <w:r w:rsidR="00157630" w:rsidRPr="00344CD1">
        <w:rPr>
          <w:rFonts w:ascii="Cambria" w:eastAsia="Batang" w:hAnsi="Cambria" w:cs="Times New Roman"/>
          <w:color w:val="000000"/>
          <w:sz w:val="21"/>
          <w:szCs w:val="21"/>
          <w:lang w:val="es-ES"/>
        </w:rPr>
        <w:t xml:space="preserve">hechos </w:t>
      </w:r>
      <w:r w:rsidR="008F6FB0" w:rsidRPr="00344CD1">
        <w:rPr>
          <w:rFonts w:ascii="Cambria" w:eastAsia="Batang" w:hAnsi="Cambria" w:cs="Times New Roman"/>
          <w:color w:val="000000"/>
          <w:sz w:val="21"/>
          <w:szCs w:val="21"/>
          <w:lang w:val="es-ES"/>
        </w:rPr>
        <w:t>fueron</w:t>
      </w:r>
      <w:r w:rsidR="00157630" w:rsidRPr="00344CD1">
        <w:rPr>
          <w:rFonts w:ascii="Cambria" w:eastAsia="Batang" w:hAnsi="Cambria" w:cs="Times New Roman"/>
          <w:color w:val="000000"/>
          <w:sz w:val="21"/>
          <w:szCs w:val="21"/>
          <w:lang w:val="es-ES"/>
        </w:rPr>
        <w:t xml:space="preserve"> denunciados a</w:t>
      </w:r>
      <w:r w:rsidR="008F6FB0" w:rsidRPr="00344CD1">
        <w:rPr>
          <w:rFonts w:ascii="Cambria" w:eastAsia="Batang" w:hAnsi="Cambria" w:cs="Times New Roman"/>
          <w:color w:val="000000"/>
          <w:sz w:val="21"/>
          <w:szCs w:val="21"/>
          <w:lang w:val="es-ES"/>
        </w:rPr>
        <w:t>nte</w:t>
      </w:r>
      <w:r w:rsidR="00157630" w:rsidRPr="00344CD1">
        <w:rPr>
          <w:rFonts w:ascii="Cambria" w:eastAsia="Batang" w:hAnsi="Cambria" w:cs="Times New Roman"/>
          <w:color w:val="000000"/>
          <w:sz w:val="21"/>
          <w:szCs w:val="21"/>
          <w:lang w:val="es-ES"/>
        </w:rPr>
        <w:t xml:space="preserve"> las autoridades</w:t>
      </w:r>
      <w:r w:rsidR="008F6FB0" w:rsidRPr="00344CD1">
        <w:rPr>
          <w:rFonts w:ascii="Cambria" w:eastAsia="Batang" w:hAnsi="Cambria" w:cs="Times New Roman"/>
          <w:color w:val="000000"/>
          <w:sz w:val="21"/>
          <w:szCs w:val="21"/>
          <w:lang w:val="es-ES"/>
        </w:rPr>
        <w:t>;</w:t>
      </w:r>
      <w:r w:rsidR="00157630" w:rsidRPr="00344CD1">
        <w:rPr>
          <w:rFonts w:ascii="Cambria" w:eastAsia="Batang" w:hAnsi="Cambria" w:cs="Times New Roman"/>
          <w:color w:val="000000"/>
          <w:sz w:val="21"/>
          <w:szCs w:val="21"/>
          <w:lang w:val="es-ES"/>
        </w:rPr>
        <w:t xml:space="preserve"> sin embargo, la comunidad no habría obtenido u</w:t>
      </w:r>
      <w:r w:rsidR="00580D0D" w:rsidRPr="00344CD1">
        <w:rPr>
          <w:rFonts w:ascii="Cambria" w:eastAsia="Batang" w:hAnsi="Cambria" w:cs="Times New Roman"/>
          <w:color w:val="000000"/>
          <w:sz w:val="21"/>
          <w:szCs w:val="21"/>
          <w:lang w:val="es-ES"/>
        </w:rPr>
        <w:t xml:space="preserve">na respuesta efectiva. Por ejemplo, </w:t>
      </w:r>
      <w:r w:rsidR="008F6FB0" w:rsidRPr="00344CD1">
        <w:rPr>
          <w:rFonts w:ascii="Cambria" w:eastAsia="Batang" w:hAnsi="Cambria" w:cs="Times New Roman"/>
          <w:color w:val="000000"/>
          <w:sz w:val="21"/>
          <w:szCs w:val="21"/>
          <w:lang w:val="es-ES"/>
        </w:rPr>
        <w:t>al requerimiento de contar con</w:t>
      </w:r>
      <w:r w:rsidR="00580D0D" w:rsidRPr="00344CD1">
        <w:rPr>
          <w:rFonts w:ascii="Cambria" w:eastAsia="Batang" w:hAnsi="Cambria" w:cs="Times New Roman"/>
          <w:color w:val="000000"/>
          <w:sz w:val="21"/>
          <w:szCs w:val="21"/>
          <w:lang w:val="es-ES"/>
        </w:rPr>
        <w:t xml:space="preserve"> rondines policiales, </w:t>
      </w:r>
      <w:r w:rsidR="008F6FB0" w:rsidRPr="00344CD1">
        <w:rPr>
          <w:rFonts w:ascii="Cambria" w:eastAsia="Batang" w:hAnsi="Cambria" w:cs="Times New Roman"/>
          <w:color w:val="000000"/>
          <w:sz w:val="21"/>
          <w:szCs w:val="21"/>
          <w:lang w:val="es-ES"/>
        </w:rPr>
        <w:t xml:space="preserve">estas supuestamente les </w:t>
      </w:r>
      <w:r w:rsidR="00580D0D" w:rsidRPr="00344CD1">
        <w:rPr>
          <w:rFonts w:ascii="Cambria" w:eastAsia="Batang" w:hAnsi="Cambria" w:cs="Times New Roman"/>
          <w:color w:val="000000"/>
          <w:sz w:val="21"/>
          <w:szCs w:val="21"/>
          <w:lang w:val="es-ES"/>
        </w:rPr>
        <w:t xml:space="preserve">contestaron </w:t>
      </w:r>
      <w:r w:rsidR="00E427E5" w:rsidRPr="00344CD1">
        <w:rPr>
          <w:rFonts w:ascii="Cambria" w:eastAsia="Batang" w:hAnsi="Cambria" w:cs="Times New Roman"/>
          <w:color w:val="000000"/>
          <w:sz w:val="21"/>
          <w:szCs w:val="21"/>
          <w:lang w:val="es-ES"/>
        </w:rPr>
        <w:t>que</w:t>
      </w:r>
      <w:r w:rsidR="001617EC" w:rsidRPr="00344CD1">
        <w:rPr>
          <w:rFonts w:ascii="Cambria" w:eastAsia="Batang" w:hAnsi="Cambria" w:cs="Times New Roman"/>
          <w:color w:val="000000"/>
          <w:sz w:val="21"/>
          <w:szCs w:val="21"/>
          <w:lang w:val="es-ES"/>
        </w:rPr>
        <w:t xml:space="preserve"> la M</w:t>
      </w:r>
      <w:r w:rsidR="00580D0D" w:rsidRPr="00344CD1">
        <w:rPr>
          <w:rFonts w:ascii="Cambria" w:eastAsia="Batang" w:hAnsi="Cambria" w:cs="Times New Roman"/>
          <w:color w:val="000000"/>
          <w:sz w:val="21"/>
          <w:szCs w:val="21"/>
          <w:lang w:val="es-ES"/>
        </w:rPr>
        <w:t>arina no les autorizaba el ingreso.</w:t>
      </w:r>
      <w:r w:rsidR="00563AAA" w:rsidRPr="00344CD1">
        <w:rPr>
          <w:rFonts w:ascii="Cambria" w:eastAsia="Batang" w:hAnsi="Cambria" w:cs="Times New Roman"/>
          <w:color w:val="000000"/>
          <w:sz w:val="21"/>
          <w:szCs w:val="21"/>
          <w:lang w:val="es-ES"/>
        </w:rPr>
        <w:t xml:space="preserve"> Según explica la so</w:t>
      </w:r>
      <w:r w:rsidR="00556B6B" w:rsidRPr="00344CD1">
        <w:rPr>
          <w:rFonts w:ascii="Cambria" w:eastAsia="Batang" w:hAnsi="Cambria" w:cs="Times New Roman"/>
          <w:color w:val="000000"/>
          <w:sz w:val="21"/>
          <w:szCs w:val="21"/>
          <w:lang w:val="es-ES"/>
        </w:rPr>
        <w:t xml:space="preserve">licitud, la única entrada </w:t>
      </w:r>
      <w:r w:rsidR="0021440B" w:rsidRPr="00344CD1">
        <w:rPr>
          <w:rFonts w:ascii="Cambria" w:eastAsia="Batang" w:hAnsi="Cambria" w:cs="Times New Roman"/>
          <w:color w:val="000000"/>
          <w:sz w:val="21"/>
          <w:szCs w:val="21"/>
          <w:lang w:val="es-ES"/>
        </w:rPr>
        <w:t xml:space="preserve">viable </w:t>
      </w:r>
      <w:r w:rsidR="00556B6B" w:rsidRPr="00344CD1">
        <w:rPr>
          <w:rFonts w:ascii="Cambria" w:eastAsia="Batang" w:hAnsi="Cambria" w:cs="Times New Roman"/>
          <w:color w:val="000000"/>
          <w:sz w:val="21"/>
          <w:szCs w:val="21"/>
          <w:lang w:val="es-ES"/>
        </w:rPr>
        <w:t>a la C</w:t>
      </w:r>
      <w:r w:rsidR="00563AAA" w:rsidRPr="00344CD1">
        <w:rPr>
          <w:rFonts w:ascii="Cambria" w:eastAsia="Batang" w:hAnsi="Cambria" w:cs="Times New Roman"/>
          <w:color w:val="000000"/>
          <w:sz w:val="21"/>
          <w:szCs w:val="21"/>
          <w:lang w:val="es-ES"/>
        </w:rPr>
        <w:t>omunidad es por</w:t>
      </w:r>
      <w:r w:rsidR="0021440B" w:rsidRPr="00344CD1">
        <w:rPr>
          <w:rFonts w:ascii="Cambria" w:eastAsia="Batang" w:hAnsi="Cambria" w:cs="Times New Roman"/>
          <w:color w:val="000000"/>
          <w:sz w:val="21"/>
          <w:szCs w:val="21"/>
          <w:lang w:val="es-ES"/>
        </w:rPr>
        <w:t xml:space="preserve"> arriba de la </w:t>
      </w:r>
      <w:r w:rsidR="00EE184E" w:rsidRPr="00344CD1">
        <w:rPr>
          <w:rFonts w:ascii="Cambria" w:eastAsia="Batang" w:hAnsi="Cambria" w:cs="Times New Roman"/>
          <w:color w:val="000000"/>
          <w:sz w:val="21"/>
          <w:szCs w:val="21"/>
          <w:lang w:val="es-ES"/>
        </w:rPr>
        <w:t>Represa</w:t>
      </w:r>
      <w:r w:rsidR="0021440B" w:rsidRPr="00344CD1">
        <w:rPr>
          <w:rFonts w:ascii="Cambria" w:eastAsia="Batang" w:hAnsi="Cambria" w:cs="Times New Roman"/>
          <w:color w:val="000000"/>
          <w:sz w:val="21"/>
          <w:szCs w:val="21"/>
          <w:lang w:val="es-ES"/>
        </w:rPr>
        <w:t xml:space="preserve"> Rio dos Macacos, por</w:t>
      </w:r>
      <w:r w:rsidR="00563AAA" w:rsidRPr="00344CD1">
        <w:rPr>
          <w:rFonts w:ascii="Cambria" w:eastAsia="Batang" w:hAnsi="Cambria" w:cs="Times New Roman"/>
          <w:color w:val="000000"/>
          <w:sz w:val="21"/>
          <w:szCs w:val="21"/>
          <w:lang w:val="es-ES"/>
        </w:rPr>
        <w:t xml:space="preserve"> la Vila Naval, </w:t>
      </w:r>
      <w:r w:rsidR="00556B6B" w:rsidRPr="00344CD1">
        <w:rPr>
          <w:rFonts w:ascii="Cambria" w:eastAsia="Batang" w:hAnsi="Cambria" w:cs="Times New Roman"/>
          <w:color w:val="000000"/>
          <w:sz w:val="21"/>
          <w:szCs w:val="21"/>
          <w:lang w:val="es-ES"/>
        </w:rPr>
        <w:t>o sea, la Marin</w:t>
      </w:r>
      <w:r w:rsidR="001617EC" w:rsidRPr="00344CD1">
        <w:rPr>
          <w:rFonts w:ascii="Cambria" w:eastAsia="Batang" w:hAnsi="Cambria" w:cs="Times New Roman"/>
          <w:color w:val="000000"/>
          <w:sz w:val="21"/>
          <w:szCs w:val="21"/>
          <w:lang w:val="es-ES"/>
        </w:rPr>
        <w:t xml:space="preserve">a controla quién entra y sale del territorio. </w:t>
      </w:r>
      <w:r w:rsidR="00E94C3D" w:rsidRPr="00344CD1">
        <w:rPr>
          <w:rFonts w:ascii="Cambria" w:eastAsia="Batang" w:hAnsi="Cambria" w:cs="Times New Roman"/>
          <w:color w:val="000000"/>
          <w:sz w:val="21"/>
          <w:szCs w:val="21"/>
          <w:lang w:val="es-ES"/>
        </w:rPr>
        <w:t xml:space="preserve">En ese sentido, </w:t>
      </w:r>
      <w:r w:rsidR="008F6FB0" w:rsidRPr="00344CD1">
        <w:rPr>
          <w:rFonts w:ascii="Cambria" w:eastAsia="Batang" w:hAnsi="Cambria" w:cs="Times New Roman"/>
          <w:color w:val="000000"/>
          <w:sz w:val="21"/>
          <w:szCs w:val="21"/>
          <w:lang w:val="es-ES"/>
        </w:rPr>
        <w:t xml:space="preserve">se denunció que </w:t>
      </w:r>
      <w:r w:rsidR="00E94C3D" w:rsidRPr="00344CD1">
        <w:rPr>
          <w:rFonts w:ascii="Cambria" w:eastAsia="Batang" w:hAnsi="Cambria" w:cs="Times New Roman"/>
          <w:color w:val="000000"/>
          <w:sz w:val="21"/>
          <w:szCs w:val="21"/>
          <w:lang w:val="es-ES"/>
        </w:rPr>
        <w:t xml:space="preserve">la policía no </w:t>
      </w:r>
      <w:r w:rsidR="008F6FB0" w:rsidRPr="00344CD1">
        <w:rPr>
          <w:rFonts w:ascii="Cambria" w:eastAsia="Batang" w:hAnsi="Cambria" w:cs="Times New Roman"/>
          <w:color w:val="000000"/>
          <w:sz w:val="21"/>
          <w:szCs w:val="21"/>
          <w:lang w:val="es-ES"/>
        </w:rPr>
        <w:t>compareció</w:t>
      </w:r>
      <w:r w:rsidR="00E94C3D" w:rsidRPr="00344CD1">
        <w:rPr>
          <w:rFonts w:ascii="Cambria" w:eastAsia="Batang" w:hAnsi="Cambria" w:cs="Times New Roman"/>
          <w:color w:val="000000"/>
          <w:sz w:val="21"/>
          <w:szCs w:val="21"/>
          <w:lang w:val="es-ES"/>
        </w:rPr>
        <w:t xml:space="preserve"> </w:t>
      </w:r>
      <w:r w:rsidR="00E427E5" w:rsidRPr="00344CD1">
        <w:rPr>
          <w:rFonts w:ascii="Cambria" w:eastAsia="Batang" w:hAnsi="Cambria" w:cs="Times New Roman"/>
          <w:color w:val="000000"/>
          <w:sz w:val="21"/>
          <w:szCs w:val="21"/>
          <w:lang w:val="es-ES"/>
        </w:rPr>
        <w:t xml:space="preserve">en el </w:t>
      </w:r>
      <w:r w:rsidR="008F6FB0" w:rsidRPr="00344CD1">
        <w:rPr>
          <w:rFonts w:ascii="Cambria" w:eastAsia="Batang" w:hAnsi="Cambria" w:cs="Times New Roman"/>
          <w:color w:val="000000"/>
          <w:sz w:val="21"/>
          <w:szCs w:val="21"/>
          <w:lang w:val="es-ES"/>
        </w:rPr>
        <w:t xml:space="preserve">lugar </w:t>
      </w:r>
      <w:r w:rsidR="00E94C3D" w:rsidRPr="00344CD1">
        <w:rPr>
          <w:rFonts w:ascii="Cambria" w:eastAsia="Batang" w:hAnsi="Cambria" w:cs="Times New Roman"/>
          <w:color w:val="000000"/>
          <w:sz w:val="21"/>
          <w:szCs w:val="21"/>
          <w:lang w:val="es-ES"/>
        </w:rPr>
        <w:t>“en los momentos más agudos de riesgo de vida de las familias del Quilombo de Rio dos Macacos”.</w:t>
      </w:r>
    </w:p>
    <w:p w14:paraId="158CB954" w14:textId="77777777" w:rsidR="00810511" w:rsidRPr="00344CD1" w:rsidRDefault="00810511" w:rsidP="00D51F89">
      <w:pPr>
        <w:spacing w:after="0" w:line="240" w:lineRule="auto"/>
        <w:ind w:left="360"/>
        <w:contextualSpacing/>
        <w:jc w:val="both"/>
        <w:rPr>
          <w:rFonts w:ascii="Cambria" w:eastAsia="Batang" w:hAnsi="Cambria" w:cs="Times New Roman"/>
          <w:color w:val="000000"/>
          <w:sz w:val="21"/>
          <w:szCs w:val="21"/>
          <w:lang w:val="es-ES"/>
        </w:rPr>
      </w:pPr>
    </w:p>
    <w:p w14:paraId="6B78D9DF" w14:textId="76DE069C" w:rsidR="00810511" w:rsidRPr="00344CD1" w:rsidRDefault="00810511"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Sumado a lo anterior, los solicitantes alegaron que la propuesta beneficiaria Rose </w:t>
      </w:r>
      <w:proofErr w:type="spellStart"/>
      <w:r w:rsidRPr="00344CD1">
        <w:rPr>
          <w:rFonts w:ascii="Cambria" w:eastAsia="Batang" w:hAnsi="Cambria" w:cs="Times New Roman"/>
          <w:color w:val="000000"/>
          <w:sz w:val="21"/>
          <w:szCs w:val="21"/>
          <w:lang w:val="es-ES"/>
        </w:rPr>
        <w:t>Meire</w:t>
      </w:r>
      <w:proofErr w:type="spellEnd"/>
      <w:r w:rsidRPr="00344CD1">
        <w:rPr>
          <w:rFonts w:ascii="Cambria" w:eastAsia="Batang" w:hAnsi="Cambria" w:cs="Times New Roman"/>
          <w:color w:val="000000"/>
          <w:sz w:val="21"/>
          <w:szCs w:val="21"/>
          <w:lang w:val="es-ES"/>
        </w:rPr>
        <w:t xml:space="preserve"> Santos y su núc</w:t>
      </w:r>
      <w:r w:rsidR="00556B6B" w:rsidRPr="00344CD1">
        <w:rPr>
          <w:rFonts w:ascii="Cambria" w:eastAsia="Batang" w:hAnsi="Cambria" w:cs="Times New Roman"/>
          <w:color w:val="000000"/>
          <w:sz w:val="21"/>
          <w:szCs w:val="21"/>
          <w:lang w:val="es-ES"/>
        </w:rPr>
        <w:t>leo familiar son reconocidos como</w:t>
      </w:r>
      <w:r w:rsidRPr="00344CD1">
        <w:rPr>
          <w:rFonts w:ascii="Cambria" w:eastAsia="Batang" w:hAnsi="Cambria" w:cs="Times New Roman"/>
          <w:color w:val="000000"/>
          <w:sz w:val="21"/>
          <w:szCs w:val="21"/>
          <w:lang w:val="es-ES"/>
        </w:rPr>
        <w:t xml:space="preserve"> los principales liderazgos de la comunidad, por lo que estarían recibiendo amenazas de autoría desconocida.</w:t>
      </w:r>
      <w:r w:rsidR="0041345D" w:rsidRPr="00344CD1">
        <w:rPr>
          <w:rFonts w:ascii="Cambria" w:eastAsia="Batang" w:hAnsi="Cambria" w:cs="Times New Roman"/>
          <w:color w:val="000000"/>
          <w:sz w:val="21"/>
          <w:szCs w:val="21"/>
          <w:lang w:val="es-ES"/>
        </w:rPr>
        <w:t xml:space="preserve"> </w:t>
      </w:r>
      <w:r w:rsidR="009F309C" w:rsidRPr="00344CD1">
        <w:rPr>
          <w:rFonts w:ascii="Cambria" w:eastAsia="Batang" w:hAnsi="Cambria" w:cs="Times New Roman"/>
          <w:color w:val="000000"/>
          <w:sz w:val="21"/>
          <w:szCs w:val="21"/>
          <w:lang w:val="es-ES"/>
        </w:rPr>
        <w:t xml:space="preserve">Según lo aportado, antes de </w:t>
      </w:r>
      <w:r w:rsidR="008F6FB0" w:rsidRPr="00344CD1">
        <w:rPr>
          <w:rFonts w:ascii="Cambria" w:eastAsia="Batang" w:hAnsi="Cambria" w:cs="Times New Roman"/>
          <w:color w:val="000000"/>
          <w:sz w:val="21"/>
          <w:szCs w:val="21"/>
          <w:lang w:val="es-ES"/>
        </w:rPr>
        <w:t>ser asesinado</w:t>
      </w:r>
      <w:r w:rsidR="001D362E" w:rsidRPr="00344CD1">
        <w:rPr>
          <w:rFonts w:ascii="Cambria" w:eastAsia="Batang" w:hAnsi="Cambria" w:cs="Times New Roman"/>
          <w:color w:val="000000"/>
          <w:sz w:val="21"/>
          <w:szCs w:val="21"/>
          <w:lang w:val="es-ES"/>
        </w:rPr>
        <w:t xml:space="preserve">, el señor José </w:t>
      </w:r>
      <w:proofErr w:type="spellStart"/>
      <w:r w:rsidR="001D362E" w:rsidRPr="00344CD1">
        <w:rPr>
          <w:rFonts w:ascii="Cambria" w:eastAsia="Batang" w:hAnsi="Cambria" w:cs="Times New Roman"/>
          <w:color w:val="000000"/>
          <w:sz w:val="21"/>
          <w:szCs w:val="21"/>
          <w:lang w:val="es-ES"/>
        </w:rPr>
        <w:t>Is</w:t>
      </w:r>
      <w:r w:rsidR="009F309C" w:rsidRPr="00344CD1">
        <w:rPr>
          <w:rFonts w:ascii="Cambria" w:eastAsia="Batang" w:hAnsi="Cambria" w:cs="Times New Roman"/>
          <w:color w:val="000000"/>
          <w:sz w:val="21"/>
          <w:szCs w:val="21"/>
          <w:lang w:val="es-ES"/>
        </w:rPr>
        <w:t>ídio</w:t>
      </w:r>
      <w:proofErr w:type="spellEnd"/>
      <w:r w:rsidR="009F309C" w:rsidRPr="00344CD1">
        <w:rPr>
          <w:rFonts w:ascii="Cambria" w:eastAsia="Batang" w:hAnsi="Cambria" w:cs="Times New Roman"/>
          <w:color w:val="000000"/>
          <w:sz w:val="21"/>
          <w:szCs w:val="21"/>
          <w:lang w:val="es-ES"/>
        </w:rPr>
        <w:t xml:space="preserve"> </w:t>
      </w:r>
      <w:proofErr w:type="spellStart"/>
      <w:r w:rsidR="00355F4C" w:rsidRPr="00344CD1">
        <w:rPr>
          <w:rFonts w:ascii="Cambria" w:eastAsia="Batang" w:hAnsi="Cambria" w:cs="Times New Roman"/>
          <w:color w:val="000000"/>
          <w:sz w:val="21"/>
          <w:szCs w:val="21"/>
          <w:lang w:val="es-ES"/>
        </w:rPr>
        <w:t>Di</w:t>
      </w:r>
      <w:r w:rsidR="00B667A5" w:rsidRPr="00344CD1">
        <w:rPr>
          <w:rFonts w:ascii="Cambria" w:eastAsia="Batang" w:hAnsi="Cambria" w:cs="Times New Roman"/>
          <w:color w:val="000000"/>
          <w:sz w:val="21"/>
          <w:szCs w:val="21"/>
          <w:lang w:val="es-ES"/>
        </w:rPr>
        <w:t>as</w:t>
      </w:r>
      <w:proofErr w:type="spellEnd"/>
      <w:r w:rsidR="009F309C" w:rsidRPr="00344CD1">
        <w:rPr>
          <w:rFonts w:ascii="Cambria" w:eastAsia="Batang" w:hAnsi="Cambria" w:cs="Times New Roman"/>
          <w:color w:val="000000"/>
          <w:sz w:val="21"/>
          <w:szCs w:val="21"/>
          <w:lang w:val="es-ES"/>
        </w:rPr>
        <w:t xml:space="preserve"> </w:t>
      </w:r>
      <w:r w:rsidR="008F6FB0" w:rsidRPr="00344CD1">
        <w:rPr>
          <w:rFonts w:ascii="Cambria" w:eastAsia="Batang" w:hAnsi="Cambria" w:cs="Times New Roman"/>
          <w:color w:val="000000"/>
          <w:sz w:val="21"/>
          <w:szCs w:val="21"/>
          <w:lang w:val="es-ES"/>
        </w:rPr>
        <w:t>alertó</w:t>
      </w:r>
      <w:r w:rsidR="00556B6B" w:rsidRPr="00344CD1">
        <w:rPr>
          <w:rFonts w:ascii="Cambria" w:eastAsia="Batang" w:hAnsi="Cambria" w:cs="Times New Roman"/>
          <w:color w:val="000000"/>
          <w:sz w:val="21"/>
          <w:szCs w:val="21"/>
          <w:lang w:val="es-ES"/>
        </w:rPr>
        <w:t xml:space="preserve"> a la propuesta beneficiaria</w:t>
      </w:r>
      <w:r w:rsidR="009F309C" w:rsidRPr="00344CD1">
        <w:rPr>
          <w:rFonts w:ascii="Cambria" w:eastAsia="Batang" w:hAnsi="Cambria" w:cs="Times New Roman"/>
          <w:color w:val="000000"/>
          <w:sz w:val="21"/>
          <w:szCs w:val="21"/>
          <w:lang w:val="es-ES"/>
        </w:rPr>
        <w:t xml:space="preserve"> que él estaba amen</w:t>
      </w:r>
      <w:r w:rsidR="00754790" w:rsidRPr="00344CD1">
        <w:rPr>
          <w:rFonts w:ascii="Cambria" w:eastAsia="Batang" w:hAnsi="Cambria" w:cs="Times New Roman"/>
          <w:color w:val="000000"/>
          <w:sz w:val="21"/>
          <w:szCs w:val="21"/>
          <w:lang w:val="es-ES"/>
        </w:rPr>
        <w:t>a</w:t>
      </w:r>
      <w:r w:rsidR="009F309C" w:rsidRPr="00344CD1">
        <w:rPr>
          <w:rFonts w:ascii="Cambria" w:eastAsia="Batang" w:hAnsi="Cambria" w:cs="Times New Roman"/>
          <w:color w:val="000000"/>
          <w:sz w:val="21"/>
          <w:szCs w:val="21"/>
          <w:lang w:val="es-ES"/>
        </w:rPr>
        <w:t>zado de muerte, supuestamente afirmando</w:t>
      </w:r>
      <w:r w:rsidR="008F6FB0" w:rsidRPr="00344CD1">
        <w:rPr>
          <w:rFonts w:ascii="Cambria" w:eastAsia="Batang" w:hAnsi="Cambria" w:cs="Times New Roman"/>
          <w:color w:val="000000"/>
          <w:sz w:val="21"/>
          <w:szCs w:val="21"/>
          <w:lang w:val="es-ES"/>
        </w:rPr>
        <w:t xml:space="preserve">: </w:t>
      </w:r>
      <w:r w:rsidR="009F309C" w:rsidRPr="00344CD1">
        <w:rPr>
          <w:rFonts w:ascii="Cambria" w:eastAsia="Batang" w:hAnsi="Cambria" w:cs="Times New Roman"/>
          <w:color w:val="000000"/>
          <w:sz w:val="21"/>
          <w:szCs w:val="21"/>
          <w:lang w:val="es-ES"/>
        </w:rPr>
        <w:t xml:space="preserve">“lo mismo que pasa conmigo </w:t>
      </w:r>
      <w:r w:rsidR="008F6FB0" w:rsidRPr="00344CD1">
        <w:rPr>
          <w:rFonts w:ascii="Cambria" w:eastAsia="Batang" w:hAnsi="Cambria" w:cs="Times New Roman"/>
          <w:color w:val="000000"/>
          <w:sz w:val="21"/>
          <w:szCs w:val="21"/>
          <w:lang w:val="es-ES"/>
        </w:rPr>
        <w:t xml:space="preserve">ocurrirá </w:t>
      </w:r>
      <w:r w:rsidR="009F309C" w:rsidRPr="00344CD1">
        <w:rPr>
          <w:rFonts w:ascii="Cambria" w:eastAsia="Batang" w:hAnsi="Cambria" w:cs="Times New Roman"/>
          <w:color w:val="000000"/>
          <w:sz w:val="21"/>
          <w:szCs w:val="21"/>
          <w:lang w:val="es-ES"/>
        </w:rPr>
        <w:t xml:space="preserve">con usted y sus dos hermanos”. </w:t>
      </w:r>
      <w:r w:rsidR="0041345D" w:rsidRPr="00344CD1">
        <w:rPr>
          <w:rFonts w:ascii="Cambria" w:eastAsia="Batang" w:hAnsi="Cambria" w:cs="Times New Roman"/>
          <w:color w:val="000000"/>
          <w:sz w:val="21"/>
          <w:szCs w:val="21"/>
          <w:lang w:val="es-ES"/>
        </w:rPr>
        <w:t>La solicitud indicó que la situación planteada ha sido denunciada a</w:t>
      </w:r>
      <w:r w:rsidR="008F6FB0" w:rsidRPr="00344CD1">
        <w:rPr>
          <w:rFonts w:ascii="Cambria" w:eastAsia="Batang" w:hAnsi="Cambria" w:cs="Times New Roman"/>
          <w:color w:val="000000"/>
          <w:sz w:val="21"/>
          <w:szCs w:val="21"/>
          <w:lang w:val="es-ES"/>
        </w:rPr>
        <w:t>nte</w:t>
      </w:r>
      <w:r w:rsidR="00153A8F" w:rsidRPr="00344CD1">
        <w:rPr>
          <w:rFonts w:ascii="Cambria" w:eastAsia="Batang" w:hAnsi="Cambria" w:cs="Times New Roman"/>
          <w:color w:val="000000"/>
          <w:sz w:val="21"/>
          <w:szCs w:val="21"/>
          <w:lang w:val="es-ES"/>
        </w:rPr>
        <w:t xml:space="preserve"> varias autoridades</w:t>
      </w:r>
      <w:r w:rsidR="0041345D" w:rsidRPr="00344CD1">
        <w:rPr>
          <w:rStyle w:val="FootnoteReference"/>
          <w:rFonts w:ascii="Cambria" w:eastAsia="Batang" w:hAnsi="Cambria" w:cs="Times New Roman"/>
          <w:color w:val="000000"/>
          <w:sz w:val="21"/>
          <w:szCs w:val="21"/>
          <w:lang w:val="es-ES"/>
        </w:rPr>
        <w:footnoteReference w:id="4"/>
      </w:r>
      <w:r w:rsidR="0041345D" w:rsidRPr="00344CD1">
        <w:rPr>
          <w:rFonts w:ascii="Cambria" w:eastAsia="Batang" w:hAnsi="Cambria" w:cs="Times New Roman"/>
          <w:color w:val="000000"/>
          <w:sz w:val="21"/>
          <w:szCs w:val="21"/>
          <w:lang w:val="es-ES"/>
        </w:rPr>
        <w:t xml:space="preserve">. Inclusive, los </w:t>
      </w:r>
      <w:r w:rsidR="00AE7A8B" w:rsidRPr="00344CD1">
        <w:rPr>
          <w:rFonts w:ascii="Cambria" w:eastAsia="Batang" w:hAnsi="Cambria" w:cs="Times New Roman"/>
          <w:color w:val="000000"/>
          <w:sz w:val="21"/>
          <w:szCs w:val="21"/>
          <w:lang w:val="es-ES"/>
        </w:rPr>
        <w:t>integrantes de la coordinación de la asoc</w:t>
      </w:r>
      <w:r w:rsidR="00556B6B" w:rsidRPr="00344CD1">
        <w:rPr>
          <w:rFonts w:ascii="Cambria" w:eastAsia="Batang" w:hAnsi="Cambria" w:cs="Times New Roman"/>
          <w:color w:val="000000"/>
          <w:sz w:val="21"/>
          <w:szCs w:val="21"/>
          <w:lang w:val="es-ES"/>
        </w:rPr>
        <w:t>iación civil que representa la C</w:t>
      </w:r>
      <w:r w:rsidR="00AE7A8B" w:rsidRPr="00344CD1">
        <w:rPr>
          <w:rFonts w:ascii="Cambria" w:eastAsia="Batang" w:hAnsi="Cambria" w:cs="Times New Roman"/>
          <w:color w:val="000000"/>
          <w:sz w:val="21"/>
          <w:szCs w:val="21"/>
          <w:lang w:val="es-ES"/>
        </w:rPr>
        <w:t xml:space="preserve">omunidad </w:t>
      </w:r>
      <w:proofErr w:type="spellStart"/>
      <w:r w:rsidR="00AE7A8B" w:rsidRPr="00344CD1">
        <w:rPr>
          <w:rFonts w:ascii="Cambria" w:eastAsia="Batang" w:hAnsi="Cambria" w:cs="Times New Roman"/>
          <w:color w:val="000000"/>
          <w:sz w:val="21"/>
          <w:szCs w:val="21"/>
          <w:lang w:val="es-ES"/>
        </w:rPr>
        <w:t>Qui</w:t>
      </w:r>
      <w:r w:rsidR="00153A8F" w:rsidRPr="00344CD1">
        <w:rPr>
          <w:rFonts w:ascii="Cambria" w:eastAsia="Batang" w:hAnsi="Cambria" w:cs="Times New Roman"/>
          <w:color w:val="000000"/>
          <w:sz w:val="21"/>
          <w:szCs w:val="21"/>
          <w:lang w:val="es-ES"/>
        </w:rPr>
        <w:t>lombola</w:t>
      </w:r>
      <w:proofErr w:type="spellEnd"/>
      <w:r w:rsidR="00153A8F" w:rsidRPr="00344CD1">
        <w:rPr>
          <w:rFonts w:ascii="Cambria" w:eastAsia="Batang" w:hAnsi="Cambria" w:cs="Times New Roman"/>
          <w:color w:val="000000"/>
          <w:sz w:val="21"/>
          <w:szCs w:val="21"/>
          <w:lang w:val="es-ES"/>
        </w:rPr>
        <w:t xml:space="preserve"> Rio dos Macacos integrarían</w:t>
      </w:r>
      <w:r w:rsidR="00AE7A8B" w:rsidRPr="00344CD1">
        <w:rPr>
          <w:rFonts w:ascii="Cambria" w:eastAsia="Batang" w:hAnsi="Cambria" w:cs="Times New Roman"/>
          <w:color w:val="000000"/>
          <w:sz w:val="21"/>
          <w:szCs w:val="21"/>
          <w:lang w:val="es-ES"/>
        </w:rPr>
        <w:t xml:space="preserve"> el Programa de Protección de Defensores de Derechos H</w:t>
      </w:r>
      <w:r w:rsidR="00681654" w:rsidRPr="00344CD1">
        <w:rPr>
          <w:rFonts w:ascii="Cambria" w:eastAsia="Batang" w:hAnsi="Cambria" w:cs="Times New Roman"/>
          <w:color w:val="000000"/>
          <w:sz w:val="21"/>
          <w:szCs w:val="21"/>
          <w:lang w:val="es-ES"/>
        </w:rPr>
        <w:t xml:space="preserve">umanos, el cual </w:t>
      </w:r>
      <w:r w:rsidR="008F6FB0" w:rsidRPr="00344CD1">
        <w:rPr>
          <w:rFonts w:ascii="Cambria" w:eastAsia="Batang" w:hAnsi="Cambria" w:cs="Times New Roman"/>
          <w:color w:val="000000"/>
          <w:sz w:val="21"/>
          <w:szCs w:val="21"/>
          <w:lang w:val="es-ES"/>
        </w:rPr>
        <w:t>celebró</w:t>
      </w:r>
      <w:r w:rsidR="00681654" w:rsidRPr="00344CD1">
        <w:rPr>
          <w:rFonts w:ascii="Cambria" w:eastAsia="Batang" w:hAnsi="Cambria" w:cs="Times New Roman"/>
          <w:color w:val="000000"/>
          <w:sz w:val="21"/>
          <w:szCs w:val="21"/>
          <w:lang w:val="es-ES"/>
        </w:rPr>
        <w:t xml:space="preserve"> una reunión el 6 de diciembre de 2019</w:t>
      </w:r>
      <w:r w:rsidR="008F6FB0" w:rsidRPr="00344CD1">
        <w:rPr>
          <w:rFonts w:ascii="Cambria" w:eastAsia="Batang" w:hAnsi="Cambria" w:cs="Times New Roman"/>
          <w:color w:val="000000"/>
          <w:sz w:val="21"/>
          <w:szCs w:val="21"/>
          <w:lang w:val="es-ES"/>
        </w:rPr>
        <w:t>,</w:t>
      </w:r>
      <w:r w:rsidR="00681654" w:rsidRPr="00344CD1">
        <w:rPr>
          <w:rFonts w:ascii="Cambria" w:eastAsia="Batang" w:hAnsi="Cambria" w:cs="Times New Roman"/>
          <w:color w:val="000000"/>
          <w:sz w:val="21"/>
          <w:szCs w:val="21"/>
          <w:lang w:val="es-ES"/>
        </w:rPr>
        <w:t xml:space="preserve"> con</w:t>
      </w:r>
      <w:r w:rsidR="008F6FB0" w:rsidRPr="00344CD1">
        <w:rPr>
          <w:rFonts w:ascii="Cambria" w:eastAsia="Batang" w:hAnsi="Cambria" w:cs="Times New Roman"/>
          <w:color w:val="000000"/>
          <w:sz w:val="21"/>
          <w:szCs w:val="21"/>
          <w:lang w:val="es-ES"/>
        </w:rPr>
        <w:t xml:space="preserve"> la participación</w:t>
      </w:r>
      <w:r w:rsidR="00681654" w:rsidRPr="00344CD1">
        <w:rPr>
          <w:rFonts w:ascii="Cambria" w:eastAsia="Batang" w:hAnsi="Cambria" w:cs="Times New Roman"/>
          <w:color w:val="000000"/>
          <w:sz w:val="21"/>
          <w:szCs w:val="21"/>
          <w:lang w:val="es-ES"/>
        </w:rPr>
        <w:t xml:space="preserve"> de los propuestos beneficiarios. Sin embargo, la única medida de protección asignada habría sido</w:t>
      </w:r>
      <w:r w:rsidR="008F6FB0" w:rsidRPr="00344CD1">
        <w:rPr>
          <w:rFonts w:ascii="Cambria" w:eastAsia="Batang" w:hAnsi="Cambria" w:cs="Times New Roman"/>
          <w:color w:val="000000"/>
          <w:sz w:val="21"/>
          <w:szCs w:val="21"/>
          <w:lang w:val="es-ES"/>
        </w:rPr>
        <w:t xml:space="preserve"> la conformación de</w:t>
      </w:r>
      <w:r w:rsidR="00681654" w:rsidRPr="00344CD1">
        <w:rPr>
          <w:rFonts w:ascii="Cambria" w:eastAsia="Batang" w:hAnsi="Cambria" w:cs="Times New Roman"/>
          <w:color w:val="000000"/>
          <w:sz w:val="21"/>
          <w:szCs w:val="21"/>
          <w:lang w:val="es-ES"/>
        </w:rPr>
        <w:t xml:space="preserve"> rondines policiales durante el día</w:t>
      </w:r>
      <w:r w:rsidR="00A07072" w:rsidRPr="00344CD1">
        <w:rPr>
          <w:rFonts w:ascii="Cambria" w:eastAsia="Batang" w:hAnsi="Cambria" w:cs="Times New Roman"/>
          <w:color w:val="000000"/>
          <w:sz w:val="21"/>
          <w:szCs w:val="21"/>
          <w:lang w:val="es-ES"/>
        </w:rPr>
        <w:t>, l</w:t>
      </w:r>
      <w:r w:rsidR="00E427E5" w:rsidRPr="00344CD1">
        <w:rPr>
          <w:rFonts w:ascii="Cambria" w:eastAsia="Batang" w:hAnsi="Cambria" w:cs="Times New Roman"/>
          <w:color w:val="000000"/>
          <w:sz w:val="21"/>
          <w:szCs w:val="21"/>
          <w:lang w:val="es-ES"/>
        </w:rPr>
        <w:t>o</w:t>
      </w:r>
      <w:r w:rsidR="00A07072" w:rsidRPr="00344CD1">
        <w:rPr>
          <w:rFonts w:ascii="Cambria" w:eastAsia="Batang" w:hAnsi="Cambria" w:cs="Times New Roman"/>
          <w:color w:val="000000"/>
          <w:sz w:val="21"/>
          <w:szCs w:val="21"/>
          <w:lang w:val="es-ES"/>
        </w:rPr>
        <w:t xml:space="preserve"> </w:t>
      </w:r>
      <w:r w:rsidR="008F6FB0" w:rsidRPr="00344CD1">
        <w:rPr>
          <w:rFonts w:ascii="Cambria" w:eastAsia="Batang" w:hAnsi="Cambria" w:cs="Times New Roman"/>
          <w:color w:val="000000"/>
          <w:sz w:val="21"/>
          <w:szCs w:val="21"/>
          <w:lang w:val="es-ES"/>
        </w:rPr>
        <w:t>que resultaría</w:t>
      </w:r>
      <w:r w:rsidR="00A07072" w:rsidRPr="00344CD1">
        <w:rPr>
          <w:rFonts w:ascii="Cambria" w:eastAsia="Batang" w:hAnsi="Cambria" w:cs="Times New Roman"/>
          <w:color w:val="000000"/>
          <w:sz w:val="21"/>
          <w:szCs w:val="21"/>
          <w:lang w:val="es-ES"/>
        </w:rPr>
        <w:t xml:space="preserve"> inefectiv</w:t>
      </w:r>
      <w:r w:rsidR="008F6FB0" w:rsidRPr="00344CD1">
        <w:rPr>
          <w:rFonts w:ascii="Cambria" w:eastAsia="Batang" w:hAnsi="Cambria" w:cs="Times New Roman"/>
          <w:color w:val="000000"/>
          <w:sz w:val="21"/>
          <w:szCs w:val="21"/>
          <w:lang w:val="es-ES"/>
        </w:rPr>
        <w:t>o</w:t>
      </w:r>
      <w:r w:rsidR="00A07072" w:rsidRPr="00344CD1">
        <w:rPr>
          <w:rFonts w:ascii="Cambria" w:eastAsia="Batang" w:hAnsi="Cambria" w:cs="Times New Roman"/>
          <w:color w:val="000000"/>
          <w:sz w:val="21"/>
          <w:szCs w:val="21"/>
          <w:lang w:val="es-ES"/>
        </w:rPr>
        <w:t xml:space="preserve"> toda vez que la situación denunciada “continúa a ocurrir en el periodo nocturno”.</w:t>
      </w:r>
      <w:r w:rsidR="00B06F06" w:rsidRPr="00344CD1">
        <w:rPr>
          <w:rFonts w:ascii="Cambria" w:eastAsia="Batang" w:hAnsi="Cambria" w:cs="Times New Roman"/>
          <w:color w:val="000000"/>
          <w:sz w:val="21"/>
          <w:szCs w:val="21"/>
          <w:lang w:val="es-ES"/>
        </w:rPr>
        <w:t xml:space="preserve"> La Secretaría de Promoción de la Igualdad Racial de </w:t>
      </w:r>
      <w:r w:rsidR="00B667A5" w:rsidRPr="00344CD1">
        <w:rPr>
          <w:rFonts w:ascii="Cambria" w:eastAsia="Batang" w:hAnsi="Cambria" w:cs="Times New Roman"/>
          <w:color w:val="000000"/>
          <w:sz w:val="21"/>
          <w:szCs w:val="21"/>
          <w:lang w:val="es-ES"/>
        </w:rPr>
        <w:t>Bahía</w:t>
      </w:r>
      <w:r w:rsidR="00847D3B" w:rsidRPr="00344CD1">
        <w:rPr>
          <w:rFonts w:ascii="Cambria" w:eastAsia="Batang" w:hAnsi="Cambria" w:cs="Times New Roman"/>
          <w:color w:val="000000"/>
          <w:sz w:val="21"/>
          <w:szCs w:val="21"/>
          <w:lang w:val="es-ES"/>
        </w:rPr>
        <w:t>, estado federado donde está el Quilombo,</w:t>
      </w:r>
      <w:r w:rsidR="00B06F06" w:rsidRPr="00344CD1">
        <w:rPr>
          <w:rFonts w:ascii="Cambria" w:eastAsia="Batang" w:hAnsi="Cambria" w:cs="Times New Roman"/>
          <w:color w:val="000000"/>
          <w:sz w:val="21"/>
          <w:szCs w:val="21"/>
          <w:lang w:val="es-ES"/>
        </w:rPr>
        <w:t xml:space="preserve"> también </w:t>
      </w:r>
      <w:r w:rsidR="008F6FB0" w:rsidRPr="00344CD1">
        <w:rPr>
          <w:rFonts w:ascii="Cambria" w:eastAsia="Batang" w:hAnsi="Cambria" w:cs="Times New Roman"/>
          <w:color w:val="000000"/>
          <w:sz w:val="21"/>
          <w:szCs w:val="21"/>
          <w:lang w:val="es-ES"/>
        </w:rPr>
        <w:t>condujo</w:t>
      </w:r>
      <w:r w:rsidR="003E2774" w:rsidRPr="00344CD1">
        <w:rPr>
          <w:rFonts w:ascii="Cambria" w:eastAsia="Batang" w:hAnsi="Cambria" w:cs="Times New Roman"/>
          <w:color w:val="000000"/>
          <w:sz w:val="21"/>
          <w:szCs w:val="21"/>
          <w:lang w:val="es-ES"/>
        </w:rPr>
        <w:t xml:space="preserve"> una reunión interinstitucional para tratar de la cuestión</w:t>
      </w:r>
      <w:r w:rsidR="00847D3B" w:rsidRPr="00344CD1">
        <w:rPr>
          <w:rFonts w:ascii="Cambria" w:eastAsia="Batang" w:hAnsi="Cambria" w:cs="Times New Roman"/>
          <w:color w:val="000000"/>
          <w:sz w:val="21"/>
          <w:szCs w:val="21"/>
          <w:lang w:val="es-ES"/>
        </w:rPr>
        <w:t>. N</w:t>
      </w:r>
      <w:r w:rsidR="003E2774" w:rsidRPr="00344CD1">
        <w:rPr>
          <w:rFonts w:ascii="Cambria" w:eastAsia="Batang" w:hAnsi="Cambria" w:cs="Times New Roman"/>
          <w:color w:val="000000"/>
          <w:sz w:val="21"/>
          <w:szCs w:val="21"/>
          <w:lang w:val="es-ES"/>
        </w:rPr>
        <w:t>o obstante, “ninguna diligencia fue implementada”.</w:t>
      </w:r>
    </w:p>
    <w:p w14:paraId="0AC8463E" w14:textId="77777777" w:rsidR="00A07072" w:rsidRPr="00344CD1" w:rsidRDefault="00A07072" w:rsidP="00D51F89">
      <w:pPr>
        <w:spacing w:after="0" w:line="240" w:lineRule="auto"/>
        <w:ind w:left="360"/>
        <w:contextualSpacing/>
        <w:jc w:val="both"/>
        <w:rPr>
          <w:rFonts w:ascii="Cambria" w:eastAsia="Batang" w:hAnsi="Cambria" w:cs="Times New Roman"/>
          <w:color w:val="000000"/>
          <w:sz w:val="21"/>
          <w:szCs w:val="21"/>
          <w:lang w:val="es-ES"/>
        </w:rPr>
      </w:pPr>
    </w:p>
    <w:p w14:paraId="60A20437" w14:textId="115429F2" w:rsidR="0034647F" w:rsidRPr="00344CD1" w:rsidRDefault="00DB6171"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Los propuestos beneficiarios </w:t>
      </w:r>
      <w:r w:rsidR="008F6FB0" w:rsidRPr="00344CD1">
        <w:rPr>
          <w:rFonts w:ascii="Cambria" w:eastAsia="Batang" w:hAnsi="Cambria" w:cs="Times New Roman"/>
          <w:color w:val="000000"/>
          <w:sz w:val="21"/>
          <w:szCs w:val="21"/>
          <w:lang w:val="es-ES"/>
        </w:rPr>
        <w:t>lograron obtener</w:t>
      </w:r>
      <w:r w:rsidRPr="00344CD1">
        <w:rPr>
          <w:rFonts w:ascii="Cambria" w:eastAsia="Batang" w:hAnsi="Cambria" w:cs="Times New Roman"/>
          <w:color w:val="000000"/>
          <w:sz w:val="21"/>
          <w:szCs w:val="21"/>
          <w:lang w:val="es-ES"/>
        </w:rPr>
        <w:t xml:space="preserve"> recursos con el “Fundo Brasil de </w:t>
      </w:r>
      <w:proofErr w:type="spellStart"/>
      <w:r w:rsidRPr="00344CD1">
        <w:rPr>
          <w:rFonts w:ascii="Cambria" w:eastAsia="Batang" w:hAnsi="Cambria" w:cs="Times New Roman"/>
          <w:color w:val="000000"/>
          <w:sz w:val="21"/>
          <w:szCs w:val="21"/>
          <w:lang w:val="es-ES"/>
        </w:rPr>
        <w:t>Direitos</w:t>
      </w:r>
      <w:proofErr w:type="spellEnd"/>
      <w:r w:rsidRPr="00344CD1">
        <w:rPr>
          <w:rFonts w:ascii="Cambria" w:eastAsia="Batang" w:hAnsi="Cambria" w:cs="Times New Roman"/>
          <w:color w:val="000000"/>
          <w:sz w:val="21"/>
          <w:szCs w:val="21"/>
          <w:lang w:val="es-ES"/>
        </w:rPr>
        <w:t xml:space="preserve"> Humanos” y con la </w:t>
      </w:r>
      <w:r w:rsidR="008F6FB0" w:rsidRPr="00344CD1">
        <w:rPr>
          <w:rFonts w:ascii="Cambria" w:eastAsia="Batang" w:hAnsi="Cambria" w:cs="Times New Roman"/>
          <w:color w:val="000000"/>
          <w:sz w:val="21"/>
          <w:szCs w:val="21"/>
          <w:lang w:val="es-ES"/>
        </w:rPr>
        <w:t xml:space="preserve">organización </w:t>
      </w:r>
      <w:r w:rsidR="006150D1" w:rsidRPr="00344CD1">
        <w:rPr>
          <w:rFonts w:ascii="Cambria" w:eastAsia="Batang" w:hAnsi="Cambria" w:cs="Times New Roman"/>
          <w:color w:val="000000"/>
          <w:sz w:val="21"/>
          <w:szCs w:val="21"/>
          <w:lang w:val="es-ES"/>
        </w:rPr>
        <w:t>de la sociedad civil</w:t>
      </w:r>
      <w:r w:rsidR="008F6FB0" w:rsidRPr="00344CD1">
        <w:rPr>
          <w:rFonts w:ascii="Cambria" w:eastAsia="Batang" w:hAnsi="Cambria" w:cs="Times New Roman"/>
          <w:color w:val="000000"/>
          <w:sz w:val="21"/>
          <w:szCs w:val="21"/>
          <w:lang w:val="es-ES"/>
        </w:rPr>
        <w:t xml:space="preserve"> </w:t>
      </w:r>
      <w:r w:rsidRPr="00344CD1">
        <w:rPr>
          <w:rFonts w:ascii="Cambria" w:eastAsia="Batang" w:hAnsi="Cambria" w:cs="Times New Roman"/>
          <w:color w:val="000000"/>
          <w:sz w:val="21"/>
          <w:szCs w:val="21"/>
          <w:lang w:val="es-ES"/>
        </w:rPr>
        <w:t xml:space="preserve">“Front Line </w:t>
      </w:r>
      <w:proofErr w:type="spellStart"/>
      <w:r w:rsidRPr="00344CD1">
        <w:rPr>
          <w:rFonts w:ascii="Cambria" w:eastAsia="Batang" w:hAnsi="Cambria" w:cs="Times New Roman"/>
          <w:color w:val="000000"/>
          <w:sz w:val="21"/>
          <w:szCs w:val="21"/>
          <w:lang w:val="es-ES"/>
        </w:rPr>
        <w:t>Defenders</w:t>
      </w:r>
      <w:proofErr w:type="spellEnd"/>
      <w:r w:rsidRPr="00344CD1">
        <w:rPr>
          <w:rFonts w:ascii="Cambria" w:eastAsia="Batang" w:hAnsi="Cambria" w:cs="Times New Roman"/>
          <w:color w:val="000000"/>
          <w:sz w:val="21"/>
          <w:szCs w:val="21"/>
          <w:lang w:val="es-ES"/>
        </w:rPr>
        <w:t>” para la construcción de cercas</w:t>
      </w:r>
      <w:r w:rsidR="008F6FB0" w:rsidRPr="00344CD1">
        <w:rPr>
          <w:rFonts w:ascii="Cambria" w:eastAsia="Batang" w:hAnsi="Cambria" w:cs="Times New Roman"/>
          <w:color w:val="000000"/>
          <w:sz w:val="21"/>
          <w:szCs w:val="21"/>
          <w:lang w:val="es-ES"/>
        </w:rPr>
        <w:t xml:space="preserve"> y</w:t>
      </w:r>
      <w:r w:rsidRPr="00344CD1">
        <w:rPr>
          <w:rFonts w:ascii="Cambria" w:eastAsia="Batang" w:hAnsi="Cambria" w:cs="Times New Roman"/>
          <w:color w:val="000000"/>
          <w:sz w:val="21"/>
          <w:szCs w:val="21"/>
          <w:lang w:val="es-ES"/>
        </w:rPr>
        <w:t xml:space="preserve"> </w:t>
      </w:r>
      <w:r w:rsidR="008F6FB0" w:rsidRPr="00344CD1">
        <w:rPr>
          <w:rFonts w:ascii="Cambria" w:eastAsia="Batang" w:hAnsi="Cambria" w:cs="Times New Roman"/>
          <w:color w:val="000000"/>
          <w:sz w:val="21"/>
          <w:szCs w:val="21"/>
          <w:lang w:val="es-ES"/>
        </w:rPr>
        <w:t xml:space="preserve">la </w:t>
      </w:r>
      <w:r w:rsidRPr="00344CD1">
        <w:rPr>
          <w:rFonts w:ascii="Cambria" w:eastAsia="Batang" w:hAnsi="Cambria" w:cs="Times New Roman"/>
          <w:color w:val="000000"/>
          <w:sz w:val="21"/>
          <w:szCs w:val="21"/>
          <w:lang w:val="es-ES"/>
        </w:rPr>
        <w:t xml:space="preserve">instalación de </w:t>
      </w:r>
      <w:r w:rsidR="00153A8F" w:rsidRPr="00344CD1">
        <w:rPr>
          <w:rFonts w:ascii="Cambria" w:eastAsia="Batang" w:hAnsi="Cambria" w:cs="Times New Roman"/>
          <w:color w:val="000000"/>
          <w:sz w:val="21"/>
          <w:szCs w:val="21"/>
          <w:lang w:val="es-ES"/>
        </w:rPr>
        <w:t>reji</w:t>
      </w:r>
      <w:r w:rsidR="006150D1" w:rsidRPr="00344CD1">
        <w:rPr>
          <w:rFonts w:ascii="Cambria" w:eastAsia="Batang" w:hAnsi="Cambria" w:cs="Times New Roman"/>
          <w:color w:val="000000"/>
          <w:sz w:val="21"/>
          <w:szCs w:val="21"/>
          <w:lang w:val="es-ES"/>
        </w:rPr>
        <w:t>llas</w:t>
      </w:r>
      <w:r w:rsidRPr="00344CD1">
        <w:rPr>
          <w:rFonts w:ascii="Cambria" w:eastAsia="Batang" w:hAnsi="Cambria" w:cs="Times New Roman"/>
          <w:color w:val="000000"/>
          <w:sz w:val="21"/>
          <w:szCs w:val="21"/>
          <w:lang w:val="es-ES"/>
        </w:rPr>
        <w:t>, reflectores de luz y cámaras en algunas casas.</w:t>
      </w:r>
      <w:r w:rsidR="00734BEC" w:rsidRPr="00344CD1">
        <w:rPr>
          <w:rFonts w:ascii="Cambria" w:eastAsia="Batang" w:hAnsi="Cambria" w:cs="Times New Roman"/>
          <w:color w:val="000000"/>
          <w:sz w:val="21"/>
          <w:szCs w:val="21"/>
          <w:lang w:val="es-ES"/>
        </w:rPr>
        <w:t xml:space="preserve"> Los solicitantes afirmaron</w:t>
      </w:r>
      <w:r w:rsidR="008F6FB0" w:rsidRPr="00344CD1">
        <w:rPr>
          <w:rFonts w:ascii="Cambria" w:eastAsia="Batang" w:hAnsi="Cambria" w:cs="Times New Roman"/>
          <w:color w:val="000000"/>
          <w:sz w:val="21"/>
          <w:szCs w:val="21"/>
          <w:lang w:val="es-ES"/>
        </w:rPr>
        <w:t xml:space="preserve"> que</w:t>
      </w:r>
      <w:r w:rsidRPr="00344CD1">
        <w:rPr>
          <w:rFonts w:ascii="Cambria" w:eastAsia="Batang" w:hAnsi="Cambria" w:cs="Times New Roman"/>
          <w:color w:val="000000"/>
          <w:sz w:val="21"/>
          <w:szCs w:val="21"/>
          <w:lang w:val="es-ES"/>
        </w:rPr>
        <w:t xml:space="preserve"> </w:t>
      </w:r>
      <w:r w:rsidR="00A95FA5" w:rsidRPr="00344CD1">
        <w:rPr>
          <w:rFonts w:ascii="Cambria" w:eastAsia="Batang" w:hAnsi="Cambria" w:cs="Times New Roman"/>
          <w:color w:val="000000"/>
          <w:sz w:val="21"/>
          <w:szCs w:val="21"/>
          <w:lang w:val="es-ES"/>
        </w:rPr>
        <w:t>“</w:t>
      </w:r>
      <w:r w:rsidR="00734BEC" w:rsidRPr="00344CD1">
        <w:rPr>
          <w:rFonts w:ascii="Cambria" w:eastAsia="Batang" w:hAnsi="Cambria" w:cs="Times New Roman"/>
          <w:color w:val="000000"/>
          <w:sz w:val="21"/>
          <w:szCs w:val="21"/>
          <w:lang w:val="es-ES"/>
        </w:rPr>
        <w:t>e</w:t>
      </w:r>
      <w:r w:rsidR="00A95FA5" w:rsidRPr="00344CD1">
        <w:rPr>
          <w:rFonts w:ascii="Cambria" w:eastAsia="Batang" w:hAnsi="Cambria" w:cs="Times New Roman"/>
          <w:color w:val="000000"/>
          <w:sz w:val="21"/>
          <w:szCs w:val="21"/>
          <w:lang w:val="es-ES"/>
        </w:rPr>
        <w:t xml:space="preserve">sas medidas fueron importantes para disminuir la acción violenta inmediata contra los residentes, pero son insuficientes ya que aún </w:t>
      </w:r>
      <w:r w:rsidR="00734BEC" w:rsidRPr="00344CD1">
        <w:rPr>
          <w:rFonts w:ascii="Cambria" w:eastAsia="Batang" w:hAnsi="Cambria" w:cs="Times New Roman"/>
          <w:color w:val="000000"/>
          <w:sz w:val="21"/>
          <w:szCs w:val="21"/>
          <w:lang w:val="es-ES"/>
        </w:rPr>
        <w:t>permanece</w:t>
      </w:r>
      <w:r w:rsidR="00A95FA5" w:rsidRPr="00344CD1">
        <w:rPr>
          <w:rFonts w:ascii="Cambria" w:eastAsia="Batang" w:hAnsi="Cambria" w:cs="Times New Roman"/>
          <w:color w:val="000000"/>
          <w:sz w:val="21"/>
          <w:szCs w:val="21"/>
          <w:lang w:val="es-ES"/>
        </w:rPr>
        <w:t xml:space="preserve"> la circulación de personas armadas y ajenas en el territorio y tambi</w:t>
      </w:r>
      <w:r w:rsidR="00734BEC" w:rsidRPr="00344CD1">
        <w:rPr>
          <w:rFonts w:ascii="Cambria" w:eastAsia="Batang" w:hAnsi="Cambria" w:cs="Times New Roman"/>
          <w:color w:val="000000"/>
          <w:sz w:val="21"/>
          <w:szCs w:val="21"/>
          <w:lang w:val="es-ES"/>
        </w:rPr>
        <w:t>én están presentes las amenazas de muerte a los moradores que aún permanecen en el territorio.”</w:t>
      </w:r>
    </w:p>
    <w:p w14:paraId="49734C0E" w14:textId="70D9472D" w:rsidR="00C66795" w:rsidRPr="00344CD1" w:rsidRDefault="00C66795" w:rsidP="00D51F89">
      <w:pPr>
        <w:spacing w:after="0" w:line="240" w:lineRule="auto"/>
        <w:contextualSpacing/>
        <w:jc w:val="both"/>
        <w:rPr>
          <w:rFonts w:ascii="Cambria" w:eastAsia="Batang" w:hAnsi="Cambria" w:cs="Times New Roman"/>
          <w:color w:val="000000"/>
          <w:sz w:val="21"/>
          <w:szCs w:val="21"/>
        </w:rPr>
      </w:pPr>
    </w:p>
    <w:p w14:paraId="673990B9" w14:textId="77777777" w:rsidR="00C66795" w:rsidRPr="00344CD1" w:rsidRDefault="00C66795" w:rsidP="00D51F89">
      <w:pPr>
        <w:numPr>
          <w:ilvl w:val="0"/>
          <w:numId w:val="4"/>
        </w:numPr>
        <w:spacing w:after="0" w:line="240" w:lineRule="auto"/>
        <w:jc w:val="both"/>
        <w:rPr>
          <w:rFonts w:ascii="Cambria" w:eastAsia="Times New Roman" w:hAnsi="Cambria" w:cs="Times New Roman"/>
          <w:b/>
          <w:color w:val="000000"/>
          <w:sz w:val="21"/>
          <w:szCs w:val="21"/>
          <w:lang w:val="es-ES"/>
        </w:rPr>
      </w:pPr>
      <w:r w:rsidRPr="00344CD1">
        <w:rPr>
          <w:rFonts w:ascii="Cambria" w:eastAsia="Times New Roman" w:hAnsi="Cambria" w:cs="Times New Roman"/>
          <w:b/>
          <w:color w:val="000000"/>
          <w:sz w:val="21"/>
          <w:szCs w:val="21"/>
          <w:lang w:val="es-ES"/>
        </w:rPr>
        <w:t>Respuesta del Estado</w:t>
      </w:r>
    </w:p>
    <w:p w14:paraId="2671E8AB" w14:textId="77777777" w:rsidR="00C66795" w:rsidRPr="00344CD1" w:rsidRDefault="00C66795" w:rsidP="00D51F89">
      <w:pPr>
        <w:spacing w:after="0" w:line="240" w:lineRule="auto"/>
        <w:ind w:left="720"/>
        <w:jc w:val="both"/>
        <w:rPr>
          <w:rFonts w:ascii="Cambria" w:eastAsia="Times New Roman" w:hAnsi="Cambria" w:cs="Times New Roman"/>
          <w:b/>
          <w:color w:val="000000"/>
          <w:sz w:val="21"/>
          <w:szCs w:val="21"/>
          <w:lang w:val="es-ES"/>
        </w:rPr>
      </w:pPr>
    </w:p>
    <w:p w14:paraId="11D575C9" w14:textId="730C5200" w:rsidR="0033484F" w:rsidRPr="00344CD1" w:rsidRDefault="00C66795"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El Estado</w:t>
      </w:r>
      <w:r w:rsidR="000A3134" w:rsidRPr="00344CD1">
        <w:rPr>
          <w:rFonts w:ascii="Cambria" w:eastAsia="Batang" w:hAnsi="Cambria" w:cs="Times New Roman"/>
          <w:color w:val="000000"/>
          <w:sz w:val="21"/>
          <w:szCs w:val="21"/>
          <w:lang w:val="es-ES"/>
        </w:rPr>
        <w:t xml:space="preserve"> </w:t>
      </w:r>
      <w:r w:rsidR="00253FB1" w:rsidRPr="00344CD1">
        <w:rPr>
          <w:rFonts w:ascii="Cambria" w:eastAsia="Batang" w:hAnsi="Cambria" w:cs="Times New Roman"/>
          <w:color w:val="000000"/>
          <w:sz w:val="21"/>
          <w:szCs w:val="21"/>
          <w:lang w:val="es-ES"/>
        </w:rPr>
        <w:t xml:space="preserve">inicialmente alegó que el área que ocupa </w:t>
      </w:r>
      <w:r w:rsidR="008F6FB0" w:rsidRPr="00344CD1">
        <w:rPr>
          <w:rFonts w:ascii="Cambria" w:eastAsia="Batang" w:hAnsi="Cambria" w:cs="Times New Roman"/>
          <w:color w:val="000000"/>
          <w:sz w:val="21"/>
          <w:szCs w:val="21"/>
          <w:lang w:val="es-ES"/>
        </w:rPr>
        <w:t xml:space="preserve">la </w:t>
      </w:r>
      <w:r w:rsidR="00253FB1" w:rsidRPr="00344CD1">
        <w:rPr>
          <w:rFonts w:ascii="Cambria" w:eastAsia="Batang" w:hAnsi="Cambria" w:cs="Times New Roman"/>
          <w:color w:val="000000"/>
          <w:sz w:val="21"/>
          <w:szCs w:val="21"/>
          <w:lang w:val="es-ES"/>
        </w:rPr>
        <w:t>Comunidad Remanentes del Quilombo Rio dos Macacos fue do</w:t>
      </w:r>
      <w:r w:rsidR="00513579" w:rsidRPr="00344CD1">
        <w:rPr>
          <w:rFonts w:ascii="Cambria" w:eastAsia="Batang" w:hAnsi="Cambria" w:cs="Times New Roman"/>
          <w:color w:val="000000"/>
          <w:sz w:val="21"/>
          <w:szCs w:val="21"/>
          <w:lang w:val="es-ES"/>
        </w:rPr>
        <w:t>n</w:t>
      </w:r>
      <w:r w:rsidR="00253FB1" w:rsidRPr="00344CD1">
        <w:rPr>
          <w:rFonts w:ascii="Cambria" w:eastAsia="Batang" w:hAnsi="Cambria" w:cs="Times New Roman"/>
          <w:color w:val="000000"/>
          <w:sz w:val="21"/>
          <w:szCs w:val="21"/>
          <w:lang w:val="es-ES"/>
        </w:rPr>
        <w:t xml:space="preserve">ada legalmente a </w:t>
      </w:r>
      <w:r w:rsidR="008F6FB0" w:rsidRPr="00344CD1">
        <w:rPr>
          <w:rFonts w:ascii="Cambria" w:eastAsia="Batang" w:hAnsi="Cambria" w:cs="Times New Roman"/>
          <w:color w:val="000000"/>
          <w:sz w:val="21"/>
          <w:szCs w:val="21"/>
          <w:lang w:val="es-ES"/>
        </w:rPr>
        <w:t xml:space="preserve">la </w:t>
      </w:r>
      <w:r w:rsidR="00253FB1" w:rsidRPr="00344CD1">
        <w:rPr>
          <w:rFonts w:ascii="Cambria" w:eastAsia="Batang" w:hAnsi="Cambria" w:cs="Times New Roman"/>
          <w:color w:val="000000"/>
          <w:sz w:val="21"/>
          <w:szCs w:val="21"/>
          <w:lang w:val="es-ES"/>
        </w:rPr>
        <w:t>Marina en 1954</w:t>
      </w:r>
      <w:r w:rsidR="00153A8F" w:rsidRPr="00344CD1">
        <w:rPr>
          <w:rFonts w:ascii="Cambria" w:eastAsia="Batang" w:hAnsi="Cambria" w:cs="Times New Roman"/>
          <w:color w:val="000000"/>
          <w:sz w:val="21"/>
          <w:szCs w:val="21"/>
          <w:lang w:val="es-ES"/>
        </w:rPr>
        <w:t xml:space="preserve">. </w:t>
      </w:r>
      <w:r w:rsidR="00D707F6" w:rsidRPr="00344CD1">
        <w:rPr>
          <w:rFonts w:ascii="Cambria" w:eastAsia="Batang" w:hAnsi="Cambria" w:cs="Times New Roman"/>
          <w:color w:val="000000"/>
          <w:sz w:val="21"/>
          <w:szCs w:val="21"/>
          <w:lang w:val="es-ES"/>
        </w:rPr>
        <w:t xml:space="preserve">Según </w:t>
      </w:r>
      <w:r w:rsidR="00D3089A" w:rsidRPr="00344CD1">
        <w:rPr>
          <w:rFonts w:ascii="Cambria" w:eastAsia="Batang" w:hAnsi="Cambria" w:cs="Times New Roman"/>
          <w:color w:val="000000"/>
          <w:sz w:val="21"/>
          <w:szCs w:val="21"/>
          <w:lang w:val="es-ES"/>
        </w:rPr>
        <w:t>lo aportado</w:t>
      </w:r>
      <w:r w:rsidR="00D707F6" w:rsidRPr="00344CD1">
        <w:rPr>
          <w:rFonts w:ascii="Cambria" w:eastAsia="Batang" w:hAnsi="Cambria" w:cs="Times New Roman"/>
          <w:color w:val="000000"/>
          <w:sz w:val="21"/>
          <w:szCs w:val="21"/>
          <w:lang w:val="es-ES"/>
        </w:rPr>
        <w:t>, en 2009 se inici</w:t>
      </w:r>
      <w:r w:rsidR="006444A5" w:rsidRPr="00344CD1">
        <w:rPr>
          <w:rFonts w:ascii="Cambria" w:eastAsia="Batang" w:hAnsi="Cambria" w:cs="Times New Roman"/>
          <w:color w:val="000000"/>
          <w:sz w:val="21"/>
          <w:szCs w:val="21"/>
          <w:lang w:val="es-ES"/>
        </w:rPr>
        <w:t>aron</w:t>
      </w:r>
      <w:r w:rsidR="00D707F6" w:rsidRPr="00344CD1">
        <w:rPr>
          <w:rFonts w:ascii="Cambria" w:eastAsia="Batang" w:hAnsi="Cambria" w:cs="Times New Roman"/>
          <w:color w:val="000000"/>
          <w:sz w:val="21"/>
          <w:szCs w:val="21"/>
          <w:lang w:val="es-ES"/>
        </w:rPr>
        <w:t xml:space="preserve"> procesos judiciales de </w:t>
      </w:r>
      <w:r w:rsidR="001B1B9B" w:rsidRPr="00344CD1">
        <w:rPr>
          <w:rFonts w:ascii="Cambria" w:eastAsia="Batang" w:hAnsi="Cambria" w:cs="Times New Roman"/>
          <w:color w:val="000000"/>
          <w:sz w:val="21"/>
          <w:szCs w:val="21"/>
          <w:lang w:val="es-ES"/>
        </w:rPr>
        <w:t>interdictos posesorios</w:t>
      </w:r>
      <w:r w:rsidR="005B3249" w:rsidRPr="00344CD1">
        <w:rPr>
          <w:rFonts w:ascii="Cambria" w:eastAsia="Batang" w:hAnsi="Cambria" w:cs="Times New Roman"/>
          <w:color w:val="000000"/>
          <w:sz w:val="21"/>
          <w:szCs w:val="21"/>
          <w:lang w:val="es-ES"/>
        </w:rPr>
        <w:t xml:space="preserve"> en favor de la Marina</w:t>
      </w:r>
      <w:r w:rsidR="00231953" w:rsidRPr="00344CD1">
        <w:rPr>
          <w:rFonts w:ascii="Cambria" w:eastAsia="Batang" w:hAnsi="Cambria" w:cs="Times New Roman"/>
          <w:color w:val="000000"/>
          <w:sz w:val="21"/>
          <w:szCs w:val="21"/>
          <w:lang w:val="es-ES"/>
        </w:rPr>
        <w:t>. Paralelamente a los trámites judiciales,</w:t>
      </w:r>
      <w:r w:rsidR="009F4329" w:rsidRPr="00344CD1">
        <w:rPr>
          <w:rFonts w:ascii="Cambria" w:eastAsia="Batang" w:hAnsi="Cambria" w:cs="Times New Roman"/>
          <w:color w:val="000000"/>
          <w:sz w:val="21"/>
          <w:szCs w:val="21"/>
          <w:lang w:val="es-ES"/>
        </w:rPr>
        <w:t xml:space="preserve"> en 2015</w:t>
      </w:r>
      <w:r w:rsidR="006444A5" w:rsidRPr="00344CD1">
        <w:rPr>
          <w:rFonts w:ascii="Cambria" w:eastAsia="Batang" w:hAnsi="Cambria" w:cs="Times New Roman"/>
          <w:color w:val="000000"/>
          <w:sz w:val="21"/>
          <w:szCs w:val="21"/>
          <w:lang w:val="es-ES"/>
        </w:rPr>
        <w:t>,</w:t>
      </w:r>
      <w:r w:rsidR="009F4329" w:rsidRPr="00344CD1">
        <w:rPr>
          <w:rFonts w:ascii="Cambria" w:eastAsia="Batang" w:hAnsi="Cambria" w:cs="Times New Roman"/>
          <w:color w:val="000000"/>
          <w:sz w:val="21"/>
          <w:szCs w:val="21"/>
          <w:lang w:val="es-ES"/>
        </w:rPr>
        <w:t xml:space="preserve"> el INCRA </w:t>
      </w:r>
      <w:r w:rsidR="006444A5" w:rsidRPr="00344CD1">
        <w:rPr>
          <w:rFonts w:ascii="Cambria" w:eastAsia="Batang" w:hAnsi="Cambria" w:cs="Times New Roman"/>
          <w:color w:val="000000"/>
          <w:sz w:val="21"/>
          <w:szCs w:val="21"/>
          <w:lang w:val="es-ES"/>
        </w:rPr>
        <w:t>reconoció y declaró</w:t>
      </w:r>
      <w:r w:rsidR="009F4329" w:rsidRPr="00344CD1">
        <w:rPr>
          <w:rFonts w:ascii="Cambria" w:eastAsia="Batang" w:hAnsi="Cambria" w:cs="Times New Roman"/>
          <w:color w:val="000000"/>
          <w:sz w:val="21"/>
          <w:szCs w:val="21"/>
          <w:lang w:val="es-ES"/>
        </w:rPr>
        <w:t xml:space="preserve"> como tierras de la Comunidad </w:t>
      </w:r>
      <w:r w:rsidR="006444A5" w:rsidRPr="00344CD1">
        <w:rPr>
          <w:rFonts w:ascii="Cambria" w:eastAsia="Batang" w:hAnsi="Cambria" w:cs="Times New Roman"/>
          <w:color w:val="000000"/>
          <w:sz w:val="21"/>
          <w:szCs w:val="21"/>
          <w:lang w:val="es-ES"/>
        </w:rPr>
        <w:t xml:space="preserve">un </w:t>
      </w:r>
      <w:r w:rsidR="009F4329" w:rsidRPr="00344CD1">
        <w:rPr>
          <w:rFonts w:ascii="Cambria" w:eastAsia="Batang" w:hAnsi="Cambria" w:cs="Times New Roman"/>
          <w:color w:val="000000"/>
          <w:sz w:val="21"/>
          <w:szCs w:val="21"/>
          <w:lang w:val="es-ES"/>
        </w:rPr>
        <w:t>área de 301,3695 hectáreas, iniciando el proceso de regularización de dos áreas descontinuas que suma</w:t>
      </w:r>
      <w:r w:rsidR="00556B6B" w:rsidRPr="00344CD1">
        <w:rPr>
          <w:rFonts w:ascii="Cambria" w:eastAsia="Batang" w:hAnsi="Cambria" w:cs="Times New Roman"/>
          <w:color w:val="000000"/>
          <w:sz w:val="21"/>
          <w:szCs w:val="21"/>
          <w:lang w:val="es-ES"/>
        </w:rPr>
        <w:t>n</w:t>
      </w:r>
      <w:r w:rsidR="009F4329" w:rsidRPr="00344CD1">
        <w:rPr>
          <w:rFonts w:ascii="Cambria" w:eastAsia="Batang" w:hAnsi="Cambria" w:cs="Times New Roman"/>
          <w:color w:val="000000"/>
          <w:sz w:val="21"/>
          <w:szCs w:val="21"/>
          <w:lang w:val="es-ES"/>
        </w:rPr>
        <w:t xml:space="preserve"> </w:t>
      </w:r>
      <w:r w:rsidR="006444A5" w:rsidRPr="00344CD1">
        <w:rPr>
          <w:rFonts w:ascii="Cambria" w:eastAsia="Batang" w:hAnsi="Cambria" w:cs="Times New Roman"/>
          <w:color w:val="000000"/>
          <w:sz w:val="21"/>
          <w:szCs w:val="21"/>
          <w:lang w:val="es-ES"/>
        </w:rPr>
        <w:t xml:space="preserve">en total </w:t>
      </w:r>
      <w:r w:rsidR="009F4329" w:rsidRPr="00344CD1">
        <w:rPr>
          <w:rFonts w:ascii="Cambria" w:eastAsia="Batang" w:hAnsi="Cambria" w:cs="Times New Roman"/>
          <w:color w:val="000000"/>
          <w:sz w:val="21"/>
          <w:szCs w:val="21"/>
          <w:lang w:val="es-ES"/>
        </w:rPr>
        <w:t>104,8787 hectáreas.</w:t>
      </w:r>
      <w:r w:rsidR="002F1359" w:rsidRPr="00344CD1">
        <w:rPr>
          <w:rFonts w:ascii="Cambria" w:eastAsia="Batang" w:hAnsi="Cambria" w:cs="Times New Roman"/>
          <w:color w:val="000000"/>
          <w:sz w:val="21"/>
          <w:szCs w:val="21"/>
          <w:lang w:val="es-ES"/>
        </w:rPr>
        <w:t xml:space="preserve"> </w:t>
      </w:r>
      <w:r w:rsidR="001B1B9B" w:rsidRPr="00344CD1">
        <w:rPr>
          <w:rFonts w:ascii="Cambria" w:eastAsia="Batang" w:hAnsi="Cambria" w:cs="Times New Roman"/>
          <w:color w:val="000000"/>
          <w:sz w:val="21"/>
          <w:szCs w:val="21"/>
          <w:lang w:val="es-ES"/>
        </w:rPr>
        <w:t>Por su parte, e</w:t>
      </w:r>
      <w:r w:rsidR="002F1359" w:rsidRPr="00344CD1">
        <w:rPr>
          <w:rFonts w:ascii="Cambria" w:eastAsia="Batang" w:hAnsi="Cambria" w:cs="Times New Roman"/>
          <w:color w:val="000000"/>
          <w:sz w:val="21"/>
          <w:szCs w:val="21"/>
          <w:lang w:val="es-ES"/>
        </w:rPr>
        <w:t>n octubre de 2019 el INCRA fue condenado judicialmente por la demora en la conclusión del ref</w:t>
      </w:r>
      <w:r w:rsidR="00667113" w:rsidRPr="00344CD1">
        <w:rPr>
          <w:rFonts w:ascii="Cambria" w:eastAsia="Batang" w:hAnsi="Cambria" w:cs="Times New Roman"/>
          <w:color w:val="000000"/>
          <w:sz w:val="21"/>
          <w:szCs w:val="21"/>
          <w:lang w:val="es-ES"/>
        </w:rPr>
        <w:t>erido proceso de reconocimiento, lo habiendo impulsado en diciembre de 2019</w:t>
      </w:r>
      <w:r w:rsidR="006A2FCB" w:rsidRPr="00344CD1">
        <w:rPr>
          <w:rFonts w:ascii="Cambria" w:eastAsia="Batang" w:hAnsi="Cambria" w:cs="Times New Roman"/>
          <w:color w:val="000000"/>
          <w:sz w:val="21"/>
          <w:szCs w:val="21"/>
          <w:lang w:val="es-ES"/>
        </w:rPr>
        <w:t>. Por lo anterior, el Estado alegó que no existe omisión con relación a la cuestión de la propiedad de la tierra.</w:t>
      </w:r>
    </w:p>
    <w:p w14:paraId="0E49C00B" w14:textId="77777777" w:rsidR="00A461CF" w:rsidRPr="00344CD1" w:rsidRDefault="00A461CF" w:rsidP="00D51F89">
      <w:pPr>
        <w:spacing w:after="0" w:line="240" w:lineRule="auto"/>
        <w:ind w:left="360"/>
        <w:contextualSpacing/>
        <w:jc w:val="both"/>
        <w:rPr>
          <w:rFonts w:ascii="Cambria" w:eastAsia="Batang" w:hAnsi="Cambria" w:cs="Times New Roman"/>
          <w:color w:val="000000"/>
          <w:sz w:val="21"/>
          <w:szCs w:val="21"/>
          <w:lang w:val="es-ES"/>
        </w:rPr>
      </w:pPr>
    </w:p>
    <w:p w14:paraId="5E841957" w14:textId="4D2C4169" w:rsidR="00784AB9" w:rsidRPr="00344CD1" w:rsidRDefault="00A461CF"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El Estado agregó que, desde el a</w:t>
      </w:r>
      <w:r w:rsidR="008E69B8" w:rsidRPr="00344CD1">
        <w:rPr>
          <w:rFonts w:ascii="Cambria" w:eastAsia="Batang" w:hAnsi="Cambria" w:cs="Times New Roman"/>
          <w:color w:val="000000"/>
          <w:sz w:val="21"/>
          <w:szCs w:val="21"/>
          <w:lang w:val="es-ES"/>
        </w:rPr>
        <w:t>ño 2011,</w:t>
      </w:r>
      <w:r w:rsidR="00A16C89" w:rsidRPr="00344CD1">
        <w:rPr>
          <w:rFonts w:ascii="Cambria" w:eastAsia="Batang" w:hAnsi="Cambria" w:cs="Times New Roman"/>
          <w:color w:val="000000"/>
          <w:sz w:val="21"/>
          <w:szCs w:val="21"/>
          <w:lang w:val="es-ES"/>
        </w:rPr>
        <w:t xml:space="preserve"> </w:t>
      </w:r>
      <w:r w:rsidR="006444A5" w:rsidRPr="00344CD1">
        <w:rPr>
          <w:rFonts w:ascii="Cambria" w:eastAsia="Batang" w:hAnsi="Cambria" w:cs="Times New Roman"/>
          <w:color w:val="000000"/>
          <w:sz w:val="21"/>
          <w:szCs w:val="21"/>
          <w:lang w:val="es-ES"/>
        </w:rPr>
        <w:t>se recibieron</w:t>
      </w:r>
      <w:r w:rsidR="00A16C89" w:rsidRPr="00344CD1">
        <w:rPr>
          <w:rFonts w:ascii="Cambria" w:eastAsia="Batang" w:hAnsi="Cambria" w:cs="Times New Roman"/>
          <w:color w:val="000000"/>
          <w:sz w:val="21"/>
          <w:szCs w:val="21"/>
          <w:lang w:val="es-ES"/>
        </w:rPr>
        <w:t xml:space="preserve"> denuncias sobre acciones </w:t>
      </w:r>
      <w:r w:rsidR="006444A5" w:rsidRPr="00344CD1">
        <w:rPr>
          <w:rFonts w:ascii="Cambria" w:eastAsia="Batang" w:hAnsi="Cambria" w:cs="Times New Roman"/>
          <w:color w:val="000000"/>
          <w:sz w:val="21"/>
          <w:szCs w:val="21"/>
          <w:lang w:val="es-ES"/>
        </w:rPr>
        <w:t xml:space="preserve">presuntamente </w:t>
      </w:r>
      <w:r w:rsidR="00A16C89" w:rsidRPr="00344CD1">
        <w:rPr>
          <w:rFonts w:ascii="Cambria" w:eastAsia="Batang" w:hAnsi="Cambria" w:cs="Times New Roman"/>
          <w:color w:val="000000"/>
          <w:sz w:val="21"/>
          <w:szCs w:val="21"/>
          <w:lang w:val="es-ES"/>
        </w:rPr>
        <w:t xml:space="preserve">arbitrarias y violentas atribuibles a militares de la Marina. Esas acusaciones </w:t>
      </w:r>
      <w:r w:rsidR="001B1B9B" w:rsidRPr="00344CD1">
        <w:rPr>
          <w:rFonts w:ascii="Cambria" w:eastAsia="Batang" w:hAnsi="Cambria" w:cs="Times New Roman"/>
          <w:color w:val="000000"/>
          <w:sz w:val="21"/>
          <w:szCs w:val="21"/>
          <w:lang w:val="es-ES"/>
        </w:rPr>
        <w:t>“</w:t>
      </w:r>
      <w:r w:rsidR="00A16C89" w:rsidRPr="00344CD1">
        <w:rPr>
          <w:rFonts w:ascii="Cambria" w:eastAsia="Batang" w:hAnsi="Cambria" w:cs="Times New Roman"/>
          <w:color w:val="000000"/>
          <w:sz w:val="21"/>
          <w:szCs w:val="21"/>
          <w:lang w:val="es-ES"/>
        </w:rPr>
        <w:t>fuer</w:t>
      </w:r>
      <w:r w:rsidR="006444A5" w:rsidRPr="00344CD1">
        <w:rPr>
          <w:rFonts w:ascii="Cambria" w:eastAsia="Batang" w:hAnsi="Cambria" w:cs="Times New Roman"/>
          <w:color w:val="000000"/>
          <w:sz w:val="21"/>
          <w:szCs w:val="21"/>
          <w:lang w:val="es-ES"/>
        </w:rPr>
        <w:t>o</w:t>
      </w:r>
      <w:r w:rsidR="00A16C89" w:rsidRPr="00344CD1">
        <w:rPr>
          <w:rFonts w:ascii="Cambria" w:eastAsia="Batang" w:hAnsi="Cambria" w:cs="Times New Roman"/>
          <w:color w:val="000000"/>
          <w:sz w:val="21"/>
          <w:szCs w:val="21"/>
          <w:lang w:val="es-ES"/>
        </w:rPr>
        <w:t xml:space="preserve">n </w:t>
      </w:r>
      <w:r w:rsidR="006444A5" w:rsidRPr="00344CD1">
        <w:rPr>
          <w:rFonts w:ascii="Cambria" w:eastAsia="Batang" w:hAnsi="Cambria" w:cs="Times New Roman"/>
          <w:color w:val="000000"/>
          <w:sz w:val="21"/>
          <w:szCs w:val="21"/>
          <w:lang w:val="es-ES"/>
        </w:rPr>
        <w:t xml:space="preserve">investigadas </w:t>
      </w:r>
      <w:r w:rsidR="00A16C89" w:rsidRPr="00344CD1">
        <w:rPr>
          <w:rFonts w:ascii="Cambria" w:eastAsia="Batang" w:hAnsi="Cambria" w:cs="Times New Roman"/>
          <w:color w:val="000000"/>
          <w:sz w:val="21"/>
          <w:szCs w:val="21"/>
          <w:lang w:val="es-ES"/>
        </w:rPr>
        <w:t xml:space="preserve">por medio de </w:t>
      </w:r>
      <w:r w:rsidR="006444A5" w:rsidRPr="00344CD1">
        <w:rPr>
          <w:rFonts w:ascii="Cambria" w:eastAsia="Batang" w:hAnsi="Cambria" w:cs="Times New Roman"/>
          <w:color w:val="000000"/>
          <w:sz w:val="21"/>
          <w:szCs w:val="21"/>
          <w:lang w:val="es-ES"/>
        </w:rPr>
        <w:t>una</w:t>
      </w:r>
      <w:r w:rsidR="00A16C89" w:rsidRPr="00344CD1">
        <w:rPr>
          <w:rFonts w:ascii="Cambria" w:eastAsia="Batang" w:hAnsi="Cambria" w:cs="Times New Roman"/>
          <w:color w:val="000000"/>
          <w:sz w:val="21"/>
          <w:szCs w:val="21"/>
          <w:lang w:val="es-ES"/>
        </w:rPr>
        <w:t xml:space="preserve"> Inquisición Policial Militar (IPM)</w:t>
      </w:r>
      <w:r w:rsidR="009E7B7C" w:rsidRPr="00344CD1">
        <w:rPr>
          <w:rStyle w:val="FootnoteReference"/>
          <w:rFonts w:ascii="Cambria" w:eastAsia="Batang" w:hAnsi="Cambria" w:cs="Times New Roman"/>
          <w:color w:val="000000"/>
          <w:sz w:val="21"/>
          <w:szCs w:val="21"/>
          <w:lang w:val="es-ES"/>
        </w:rPr>
        <w:footnoteReference w:id="5"/>
      </w:r>
      <w:r w:rsidR="00A16C89" w:rsidRPr="00344CD1">
        <w:rPr>
          <w:rFonts w:ascii="Cambria" w:eastAsia="Batang" w:hAnsi="Cambria" w:cs="Times New Roman"/>
          <w:color w:val="000000"/>
          <w:sz w:val="21"/>
          <w:szCs w:val="21"/>
          <w:lang w:val="es-ES"/>
        </w:rPr>
        <w:t xml:space="preserve">. </w:t>
      </w:r>
      <w:r w:rsidR="00B770A6" w:rsidRPr="00344CD1">
        <w:rPr>
          <w:rFonts w:ascii="Cambria" w:eastAsia="Batang" w:hAnsi="Cambria" w:cs="Times New Roman"/>
          <w:color w:val="000000"/>
          <w:sz w:val="21"/>
          <w:szCs w:val="21"/>
          <w:lang w:val="es-ES"/>
        </w:rPr>
        <w:t xml:space="preserve">Los respectivos procedimientos de investigación fueron remetidos a la Fiscalía de Justicia Militar en </w:t>
      </w:r>
      <w:r w:rsidR="00B667A5" w:rsidRPr="00344CD1">
        <w:rPr>
          <w:rFonts w:ascii="Cambria" w:eastAsia="Batang" w:hAnsi="Cambria" w:cs="Times New Roman"/>
          <w:color w:val="000000"/>
          <w:sz w:val="21"/>
          <w:szCs w:val="21"/>
          <w:lang w:val="es-ES"/>
        </w:rPr>
        <w:t>Bahía</w:t>
      </w:r>
      <w:r w:rsidR="00B770A6" w:rsidRPr="00344CD1">
        <w:rPr>
          <w:rFonts w:ascii="Cambria" w:eastAsia="Batang" w:hAnsi="Cambria" w:cs="Times New Roman"/>
          <w:color w:val="000000"/>
          <w:sz w:val="21"/>
          <w:szCs w:val="21"/>
          <w:lang w:val="es-ES"/>
        </w:rPr>
        <w:t xml:space="preserve"> (Ministerio Público Militar – MPM).”</w:t>
      </w:r>
      <w:r w:rsidR="007F10F2" w:rsidRPr="00344CD1">
        <w:rPr>
          <w:rFonts w:ascii="Cambria" w:eastAsia="Batang" w:hAnsi="Cambria" w:cs="Times New Roman"/>
          <w:color w:val="000000"/>
          <w:sz w:val="21"/>
          <w:szCs w:val="21"/>
          <w:lang w:val="es-ES"/>
        </w:rPr>
        <w:t xml:space="preserve"> El Estado negó que </w:t>
      </w:r>
      <w:r w:rsidR="008E69B8" w:rsidRPr="00344CD1">
        <w:rPr>
          <w:rFonts w:ascii="Cambria" w:eastAsia="Batang" w:hAnsi="Cambria" w:cs="Times New Roman"/>
          <w:color w:val="000000"/>
          <w:sz w:val="21"/>
          <w:szCs w:val="21"/>
          <w:lang w:val="es-ES"/>
        </w:rPr>
        <w:t>se produjo daños a la propiedad y violencia física y sexual,</w:t>
      </w:r>
      <w:r w:rsidR="00601157" w:rsidRPr="00344CD1">
        <w:rPr>
          <w:rFonts w:ascii="Cambria" w:eastAsia="Batang" w:hAnsi="Cambria" w:cs="Times New Roman"/>
          <w:color w:val="000000"/>
          <w:sz w:val="21"/>
          <w:szCs w:val="21"/>
          <w:lang w:val="es-ES"/>
        </w:rPr>
        <w:t xml:space="preserve"> alegando que “</w:t>
      </w:r>
      <w:r w:rsidR="009934B8" w:rsidRPr="00344CD1">
        <w:rPr>
          <w:rFonts w:ascii="Cambria" w:eastAsia="Batang" w:hAnsi="Cambria" w:cs="Times New Roman"/>
          <w:color w:val="000000"/>
          <w:sz w:val="21"/>
          <w:szCs w:val="21"/>
          <w:lang w:val="es-ES"/>
        </w:rPr>
        <w:t xml:space="preserve">se trata de declaraciones vagas e imprecisas, </w:t>
      </w:r>
      <w:r w:rsidR="006444A5" w:rsidRPr="00344CD1">
        <w:rPr>
          <w:rFonts w:ascii="Cambria" w:eastAsia="Batang" w:hAnsi="Cambria" w:cs="Times New Roman"/>
          <w:color w:val="000000"/>
          <w:sz w:val="21"/>
          <w:szCs w:val="21"/>
          <w:lang w:val="es-ES"/>
        </w:rPr>
        <w:t xml:space="preserve">carentes </w:t>
      </w:r>
      <w:r w:rsidR="009934B8" w:rsidRPr="00344CD1">
        <w:rPr>
          <w:rFonts w:ascii="Cambria" w:eastAsia="Batang" w:hAnsi="Cambria" w:cs="Times New Roman"/>
          <w:color w:val="000000"/>
          <w:sz w:val="21"/>
          <w:szCs w:val="21"/>
          <w:lang w:val="es-ES"/>
        </w:rPr>
        <w:t xml:space="preserve">de datos concretos que permitan verificar la materialidad o autoría de los supuestos delitos”. </w:t>
      </w:r>
      <w:r w:rsidR="006444A5" w:rsidRPr="00344CD1">
        <w:rPr>
          <w:rFonts w:ascii="Cambria" w:eastAsia="Batang" w:hAnsi="Cambria" w:cs="Times New Roman"/>
          <w:color w:val="000000"/>
          <w:sz w:val="21"/>
          <w:szCs w:val="21"/>
          <w:lang w:val="es-ES"/>
        </w:rPr>
        <w:t xml:space="preserve">Adicionalmente, manifestó </w:t>
      </w:r>
      <w:r w:rsidR="009934B8" w:rsidRPr="00344CD1">
        <w:rPr>
          <w:rFonts w:ascii="Cambria" w:eastAsia="Batang" w:hAnsi="Cambria" w:cs="Times New Roman"/>
          <w:color w:val="000000"/>
          <w:sz w:val="21"/>
          <w:szCs w:val="21"/>
          <w:lang w:val="es-ES"/>
        </w:rPr>
        <w:t xml:space="preserve">que no </w:t>
      </w:r>
      <w:r w:rsidR="006444A5" w:rsidRPr="00344CD1">
        <w:rPr>
          <w:rFonts w:ascii="Cambria" w:eastAsia="Batang" w:hAnsi="Cambria" w:cs="Times New Roman"/>
          <w:color w:val="000000"/>
          <w:sz w:val="21"/>
          <w:szCs w:val="21"/>
          <w:lang w:val="es-ES"/>
        </w:rPr>
        <w:t>se registró</w:t>
      </w:r>
      <w:r w:rsidR="009934B8" w:rsidRPr="00344CD1">
        <w:rPr>
          <w:rFonts w:ascii="Cambria" w:eastAsia="Batang" w:hAnsi="Cambria" w:cs="Times New Roman"/>
          <w:color w:val="000000"/>
          <w:sz w:val="21"/>
          <w:szCs w:val="21"/>
          <w:lang w:val="es-ES"/>
        </w:rPr>
        <w:t xml:space="preserve"> que las </w:t>
      </w:r>
      <w:r w:rsidR="006444A5" w:rsidRPr="00344CD1">
        <w:rPr>
          <w:rFonts w:ascii="Cambria" w:eastAsia="Batang" w:hAnsi="Cambria" w:cs="Times New Roman"/>
          <w:color w:val="000000"/>
          <w:sz w:val="21"/>
          <w:szCs w:val="21"/>
          <w:lang w:val="es-ES"/>
        </w:rPr>
        <w:t xml:space="preserve">presuntas </w:t>
      </w:r>
      <w:r w:rsidR="009934B8" w:rsidRPr="00344CD1">
        <w:rPr>
          <w:rFonts w:ascii="Cambria" w:eastAsia="Batang" w:hAnsi="Cambria" w:cs="Times New Roman"/>
          <w:color w:val="000000"/>
          <w:sz w:val="21"/>
          <w:szCs w:val="21"/>
          <w:lang w:val="es-ES"/>
        </w:rPr>
        <w:t xml:space="preserve">víctimas hayan </w:t>
      </w:r>
      <w:r w:rsidR="006444A5" w:rsidRPr="00344CD1">
        <w:rPr>
          <w:rFonts w:ascii="Cambria" w:eastAsia="Batang" w:hAnsi="Cambria" w:cs="Times New Roman"/>
          <w:color w:val="000000"/>
          <w:sz w:val="21"/>
          <w:szCs w:val="21"/>
          <w:lang w:val="es-ES"/>
        </w:rPr>
        <w:t xml:space="preserve">acudido a las </w:t>
      </w:r>
      <w:r w:rsidR="009934B8" w:rsidRPr="00344CD1">
        <w:rPr>
          <w:rFonts w:ascii="Cambria" w:eastAsia="Batang" w:hAnsi="Cambria" w:cs="Times New Roman"/>
          <w:color w:val="000000"/>
          <w:sz w:val="21"/>
          <w:szCs w:val="21"/>
          <w:lang w:val="es-ES"/>
        </w:rPr>
        <w:t>instancias estatales para investigar los hechos alegados.</w:t>
      </w:r>
    </w:p>
    <w:p w14:paraId="78511D44" w14:textId="72656F08" w:rsidR="00B60DF8" w:rsidRPr="00344CD1" w:rsidRDefault="00B60DF8" w:rsidP="00D51F89">
      <w:pPr>
        <w:spacing w:after="0" w:line="240" w:lineRule="auto"/>
        <w:ind w:left="360"/>
        <w:contextualSpacing/>
        <w:jc w:val="both"/>
        <w:rPr>
          <w:rFonts w:ascii="Cambria" w:eastAsia="Batang" w:hAnsi="Cambria" w:cs="Times New Roman"/>
          <w:color w:val="000000"/>
          <w:sz w:val="21"/>
          <w:szCs w:val="21"/>
          <w:lang w:val="es-ES"/>
        </w:rPr>
      </w:pPr>
    </w:p>
    <w:p w14:paraId="4AFD1B26" w14:textId="625FEEA4" w:rsidR="00B60DF8" w:rsidRPr="00344CD1" w:rsidRDefault="00AE19F7"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No obstante, l</w:t>
      </w:r>
      <w:r w:rsidR="00B44D32" w:rsidRPr="00344CD1">
        <w:rPr>
          <w:rFonts w:ascii="Cambria" w:eastAsia="Batang" w:hAnsi="Cambria" w:cs="Times New Roman"/>
          <w:color w:val="000000"/>
          <w:sz w:val="21"/>
          <w:szCs w:val="21"/>
          <w:lang w:val="es-ES"/>
        </w:rPr>
        <w:t>a documentación aportada por el</w:t>
      </w:r>
      <w:r w:rsidR="00B60DF8" w:rsidRPr="00344CD1">
        <w:rPr>
          <w:rFonts w:ascii="Cambria" w:eastAsia="Batang" w:hAnsi="Cambria" w:cs="Times New Roman"/>
          <w:color w:val="000000"/>
          <w:sz w:val="21"/>
          <w:szCs w:val="21"/>
          <w:lang w:val="es-ES"/>
        </w:rPr>
        <w:t xml:space="preserve"> Estado </w:t>
      </w:r>
      <w:r w:rsidR="00B44D32" w:rsidRPr="00344CD1">
        <w:rPr>
          <w:rFonts w:ascii="Cambria" w:eastAsia="Batang" w:hAnsi="Cambria" w:cs="Times New Roman"/>
          <w:color w:val="000000"/>
          <w:sz w:val="21"/>
          <w:szCs w:val="21"/>
          <w:lang w:val="es-ES"/>
        </w:rPr>
        <w:t>indica</w:t>
      </w:r>
      <w:r w:rsidR="00B60DF8" w:rsidRPr="00344CD1">
        <w:rPr>
          <w:rFonts w:ascii="Cambria" w:eastAsia="Batang" w:hAnsi="Cambria" w:cs="Times New Roman"/>
          <w:color w:val="000000"/>
          <w:sz w:val="21"/>
          <w:szCs w:val="21"/>
          <w:lang w:val="es-ES"/>
        </w:rPr>
        <w:t xml:space="preserve"> el seguimiento que los órganos estatales hicieron a la situación planteada. En 2011, en una nota técnica del estado de </w:t>
      </w:r>
      <w:r w:rsidR="00B667A5" w:rsidRPr="00344CD1">
        <w:rPr>
          <w:rFonts w:ascii="Cambria" w:eastAsia="Batang" w:hAnsi="Cambria" w:cs="Times New Roman"/>
          <w:color w:val="000000"/>
          <w:sz w:val="21"/>
          <w:szCs w:val="21"/>
          <w:lang w:val="es-ES"/>
        </w:rPr>
        <w:t>Bahía</w:t>
      </w:r>
      <w:r w:rsidR="00B60DF8" w:rsidRPr="00344CD1">
        <w:rPr>
          <w:rFonts w:ascii="Cambria" w:eastAsia="Batang" w:hAnsi="Cambria" w:cs="Times New Roman"/>
          <w:color w:val="000000"/>
          <w:sz w:val="21"/>
          <w:szCs w:val="21"/>
          <w:lang w:val="es-ES"/>
        </w:rPr>
        <w:t xml:space="preserve">, se observa </w:t>
      </w:r>
      <w:r w:rsidR="008434BE" w:rsidRPr="00344CD1">
        <w:rPr>
          <w:rFonts w:ascii="Cambria" w:eastAsia="Batang" w:hAnsi="Cambria" w:cs="Times New Roman"/>
          <w:color w:val="000000"/>
          <w:sz w:val="21"/>
          <w:szCs w:val="21"/>
          <w:lang w:val="es-ES"/>
        </w:rPr>
        <w:lastRenderedPageBreak/>
        <w:t>el registro de</w:t>
      </w:r>
      <w:r w:rsidR="00B60DF8" w:rsidRPr="00344CD1">
        <w:rPr>
          <w:rFonts w:ascii="Cambria" w:eastAsia="Batang" w:hAnsi="Cambria" w:cs="Times New Roman"/>
          <w:color w:val="000000"/>
          <w:sz w:val="21"/>
          <w:szCs w:val="21"/>
          <w:lang w:val="es-ES"/>
        </w:rPr>
        <w:t xml:space="preserve"> quejas sobre una situación de conflictividad, habiendo el Estado promovido una audiencia y una reunión sobre el asunto, incluyendo este tema también en un “Mapeo parcial de situaciones de conflicto”. Asimismo, se aportó copia de un acta de una reunión, con fecha de 23 de agosto de 2011, en la que los miembros de la Comunidad Remanentes del Quilombo Rio dos Macacos relataron “situaciones de agresión y violencia”. A modo de ejemplo, </w:t>
      </w:r>
      <w:r w:rsidR="00AA3D95" w:rsidRPr="00344CD1">
        <w:rPr>
          <w:rFonts w:ascii="Cambria" w:eastAsia="Batang" w:hAnsi="Cambria" w:cs="Times New Roman"/>
          <w:color w:val="000000"/>
          <w:sz w:val="21"/>
          <w:szCs w:val="21"/>
          <w:lang w:val="es-ES"/>
        </w:rPr>
        <w:t xml:space="preserve">se alegó </w:t>
      </w:r>
      <w:r w:rsidR="00B60DF8" w:rsidRPr="00344CD1">
        <w:rPr>
          <w:rFonts w:ascii="Cambria" w:eastAsia="Batang" w:hAnsi="Cambria" w:cs="Times New Roman"/>
          <w:color w:val="000000"/>
          <w:sz w:val="21"/>
          <w:szCs w:val="21"/>
          <w:lang w:val="es-ES"/>
        </w:rPr>
        <w:t>que “personas de la comunidad fueron presas sin justificación y golpeadas, sus derechos de ir y venir fueron cercenados, por haber sido impedidas de entrar y de salir. Niños tuvieron armas apuntadas para sus cabezas y tienen síntomas de depresión. Mujeres embarazadas fueron impedidas de salir de la comunidad para dar a luz. Un niño nació en el barro […]</w:t>
      </w:r>
      <w:r w:rsidR="0056186A" w:rsidRPr="00344CD1">
        <w:rPr>
          <w:rFonts w:ascii="Cambria" w:eastAsia="Batang" w:hAnsi="Cambria" w:cs="Times New Roman"/>
          <w:color w:val="000000"/>
          <w:sz w:val="21"/>
          <w:szCs w:val="21"/>
          <w:lang w:val="es-ES"/>
        </w:rPr>
        <w:t xml:space="preserve"> </w:t>
      </w:r>
      <w:r w:rsidR="00B60DF8" w:rsidRPr="00344CD1">
        <w:rPr>
          <w:rFonts w:ascii="Cambria" w:eastAsia="Batang" w:hAnsi="Cambria" w:cs="Times New Roman"/>
          <w:color w:val="000000"/>
          <w:sz w:val="21"/>
          <w:szCs w:val="21"/>
          <w:lang w:val="es-ES"/>
        </w:rPr>
        <w:t>otra madre perdió un bebe al golpearse la cabeza en el piso al nacer. El acceso de vehículos fue impedido, incluso las ambulancias. Una casa de Candomblé</w:t>
      </w:r>
      <w:r w:rsidR="00B60DF8" w:rsidRPr="00344CD1">
        <w:rPr>
          <w:rFonts w:ascii="Cambria" w:eastAsia="Batang" w:hAnsi="Cambria" w:cs="Times New Roman"/>
          <w:color w:val="000000"/>
          <w:sz w:val="21"/>
          <w:szCs w:val="21"/>
          <w:vertAlign w:val="superscript"/>
          <w:lang w:val="es-ES"/>
        </w:rPr>
        <w:footnoteReference w:id="6"/>
      </w:r>
      <w:r w:rsidR="00B60DF8" w:rsidRPr="00344CD1">
        <w:rPr>
          <w:rFonts w:ascii="Cambria" w:eastAsia="Batang" w:hAnsi="Cambria" w:cs="Times New Roman"/>
          <w:color w:val="000000"/>
          <w:sz w:val="21"/>
          <w:szCs w:val="21"/>
          <w:lang w:val="es-ES"/>
        </w:rPr>
        <w:t xml:space="preserve"> tuvo que cerrar porque entraban en el Terrero y golpeaban a las personas. […]. Se dispararon balazos contra de una canasta de ropa de una </w:t>
      </w:r>
      <w:proofErr w:type="spellStart"/>
      <w:r w:rsidR="00B60DF8" w:rsidRPr="00344CD1">
        <w:rPr>
          <w:rFonts w:ascii="Cambria" w:eastAsia="Batang" w:hAnsi="Cambria" w:cs="Times New Roman"/>
          <w:color w:val="000000"/>
          <w:sz w:val="21"/>
          <w:szCs w:val="21"/>
          <w:lang w:val="es-ES"/>
        </w:rPr>
        <w:t>quilombol</w:t>
      </w:r>
      <w:r w:rsidR="00BF04E6" w:rsidRPr="00344CD1">
        <w:rPr>
          <w:rFonts w:ascii="Cambria" w:eastAsia="Batang" w:hAnsi="Cambria" w:cs="Times New Roman"/>
          <w:color w:val="000000"/>
          <w:sz w:val="21"/>
          <w:szCs w:val="21"/>
          <w:lang w:val="es-ES"/>
        </w:rPr>
        <w:t>a</w:t>
      </w:r>
      <w:proofErr w:type="spellEnd"/>
      <w:r w:rsidR="00BF04E6" w:rsidRPr="00344CD1">
        <w:rPr>
          <w:rFonts w:ascii="Cambria" w:eastAsia="Batang" w:hAnsi="Cambria" w:cs="Times New Roman"/>
          <w:color w:val="000000"/>
          <w:sz w:val="21"/>
          <w:szCs w:val="21"/>
          <w:lang w:val="es-ES"/>
        </w:rPr>
        <w:t>, como forma de intimidación”.</w:t>
      </w:r>
    </w:p>
    <w:p w14:paraId="7E706BAD" w14:textId="77777777" w:rsidR="00BD018A" w:rsidRPr="00344CD1" w:rsidRDefault="00BD018A" w:rsidP="00D51F89">
      <w:pPr>
        <w:spacing w:after="0" w:line="240" w:lineRule="auto"/>
        <w:ind w:left="360"/>
        <w:contextualSpacing/>
        <w:jc w:val="both"/>
        <w:rPr>
          <w:rFonts w:ascii="Cambria" w:eastAsia="Batang" w:hAnsi="Cambria" w:cs="Times New Roman"/>
          <w:color w:val="000000"/>
          <w:sz w:val="21"/>
          <w:szCs w:val="21"/>
          <w:lang w:val="es-ES"/>
        </w:rPr>
      </w:pPr>
    </w:p>
    <w:p w14:paraId="0CBF9E5E" w14:textId="4DA21C68" w:rsidR="00BD018A" w:rsidRPr="00344CD1" w:rsidRDefault="00BF04E6"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El </w:t>
      </w:r>
      <w:r w:rsidR="00BD018A" w:rsidRPr="00344CD1">
        <w:rPr>
          <w:rFonts w:ascii="Cambria" w:eastAsia="Batang" w:hAnsi="Cambria" w:cs="Times New Roman"/>
          <w:color w:val="000000"/>
          <w:sz w:val="21"/>
          <w:szCs w:val="21"/>
          <w:lang w:val="es-ES"/>
        </w:rPr>
        <w:t>Estado añadió que</w:t>
      </w:r>
      <w:r w:rsidR="00BC6B41" w:rsidRPr="00344CD1">
        <w:rPr>
          <w:rFonts w:ascii="Cambria" w:eastAsia="Batang" w:hAnsi="Cambria" w:cs="Times New Roman"/>
          <w:color w:val="000000"/>
          <w:sz w:val="21"/>
          <w:szCs w:val="21"/>
          <w:lang w:val="es-ES"/>
        </w:rPr>
        <w:t>,</w:t>
      </w:r>
      <w:r w:rsidR="00BD018A" w:rsidRPr="00344CD1">
        <w:rPr>
          <w:rFonts w:ascii="Cambria" w:eastAsia="Batang" w:hAnsi="Cambria" w:cs="Times New Roman"/>
          <w:color w:val="000000"/>
          <w:sz w:val="21"/>
          <w:szCs w:val="21"/>
          <w:lang w:val="es-ES"/>
        </w:rPr>
        <w:t xml:space="preserve"> de hecho</w:t>
      </w:r>
      <w:r w:rsidR="00BC6B41" w:rsidRPr="00344CD1">
        <w:rPr>
          <w:rFonts w:ascii="Cambria" w:eastAsia="Batang" w:hAnsi="Cambria" w:cs="Times New Roman"/>
          <w:color w:val="000000"/>
          <w:sz w:val="21"/>
          <w:szCs w:val="21"/>
          <w:lang w:val="es-ES"/>
        </w:rPr>
        <w:t>,</w:t>
      </w:r>
      <w:r w:rsidR="00BD018A" w:rsidRPr="00344CD1">
        <w:rPr>
          <w:rFonts w:ascii="Cambria" w:eastAsia="Batang" w:hAnsi="Cambria" w:cs="Times New Roman"/>
          <w:color w:val="000000"/>
          <w:sz w:val="21"/>
          <w:szCs w:val="21"/>
          <w:lang w:val="es-ES"/>
        </w:rPr>
        <w:t xml:space="preserve"> se </w:t>
      </w:r>
      <w:r w:rsidR="00BC6B41" w:rsidRPr="00344CD1">
        <w:rPr>
          <w:rFonts w:ascii="Cambria" w:eastAsia="Batang" w:hAnsi="Cambria" w:cs="Times New Roman"/>
          <w:color w:val="000000"/>
          <w:sz w:val="21"/>
          <w:szCs w:val="21"/>
          <w:lang w:val="es-ES"/>
        </w:rPr>
        <w:t xml:space="preserve">efectúa un </w:t>
      </w:r>
      <w:r w:rsidR="00BD018A" w:rsidRPr="00344CD1">
        <w:rPr>
          <w:rFonts w:ascii="Cambria" w:eastAsia="Batang" w:hAnsi="Cambria" w:cs="Times New Roman"/>
          <w:color w:val="000000"/>
          <w:sz w:val="21"/>
          <w:szCs w:val="21"/>
          <w:lang w:val="es-ES"/>
        </w:rPr>
        <w:t xml:space="preserve">control de las vías de </w:t>
      </w:r>
      <w:r w:rsidR="00175288" w:rsidRPr="00344CD1">
        <w:rPr>
          <w:rFonts w:ascii="Cambria" w:eastAsia="Batang" w:hAnsi="Cambria" w:cs="Times New Roman"/>
          <w:color w:val="000000"/>
          <w:sz w:val="21"/>
          <w:szCs w:val="21"/>
          <w:lang w:val="es-ES"/>
        </w:rPr>
        <w:t>acceso</w:t>
      </w:r>
      <w:r w:rsidR="00BD018A" w:rsidRPr="00344CD1">
        <w:rPr>
          <w:rFonts w:ascii="Cambria" w:eastAsia="Batang" w:hAnsi="Cambria" w:cs="Times New Roman"/>
          <w:color w:val="000000"/>
          <w:sz w:val="21"/>
          <w:szCs w:val="21"/>
          <w:lang w:val="es-ES"/>
        </w:rPr>
        <w:t xml:space="preserve"> a la Comunidad, pues es necesario pasar por el portón de la Vila Naval, un área militar la cual, “por su propia naturaleza”</w:t>
      </w:r>
      <w:r w:rsidR="00BC6B41" w:rsidRPr="00344CD1">
        <w:rPr>
          <w:rFonts w:ascii="Cambria" w:eastAsia="Batang" w:hAnsi="Cambria" w:cs="Times New Roman"/>
          <w:color w:val="000000"/>
          <w:sz w:val="21"/>
          <w:szCs w:val="21"/>
          <w:lang w:val="es-ES"/>
        </w:rPr>
        <w:t>,</w:t>
      </w:r>
      <w:r w:rsidR="00BD018A" w:rsidRPr="00344CD1">
        <w:rPr>
          <w:rFonts w:ascii="Cambria" w:eastAsia="Batang" w:hAnsi="Cambria" w:cs="Times New Roman"/>
          <w:color w:val="000000"/>
          <w:sz w:val="21"/>
          <w:szCs w:val="21"/>
          <w:lang w:val="es-ES"/>
        </w:rPr>
        <w:t xml:space="preserve"> tiene</w:t>
      </w:r>
      <w:r w:rsidR="00175288" w:rsidRPr="00344CD1">
        <w:rPr>
          <w:rFonts w:ascii="Cambria" w:eastAsia="Batang" w:hAnsi="Cambria" w:cs="Times New Roman"/>
          <w:color w:val="000000"/>
          <w:sz w:val="21"/>
          <w:szCs w:val="21"/>
          <w:lang w:val="es-ES"/>
        </w:rPr>
        <w:t xml:space="preserve"> acceso </w:t>
      </w:r>
      <w:r w:rsidR="00BC6B41" w:rsidRPr="00344CD1">
        <w:rPr>
          <w:rFonts w:ascii="Cambria" w:eastAsia="Batang" w:hAnsi="Cambria" w:cs="Times New Roman"/>
          <w:color w:val="000000"/>
          <w:sz w:val="21"/>
          <w:szCs w:val="21"/>
          <w:lang w:val="es-ES"/>
        </w:rPr>
        <w:t>restringido</w:t>
      </w:r>
      <w:r w:rsidR="00175288" w:rsidRPr="00344CD1">
        <w:rPr>
          <w:rFonts w:ascii="Cambria" w:eastAsia="Batang" w:hAnsi="Cambria" w:cs="Times New Roman"/>
          <w:color w:val="000000"/>
          <w:sz w:val="21"/>
          <w:szCs w:val="21"/>
          <w:lang w:val="es-ES"/>
        </w:rPr>
        <w:t xml:space="preserve">. Sin embargo, se mantendría </w:t>
      </w:r>
      <w:r w:rsidR="00BC6B41" w:rsidRPr="00344CD1">
        <w:rPr>
          <w:rFonts w:ascii="Cambria" w:eastAsia="Batang" w:hAnsi="Cambria" w:cs="Times New Roman"/>
          <w:color w:val="000000"/>
          <w:sz w:val="21"/>
          <w:szCs w:val="21"/>
          <w:lang w:val="es-ES"/>
        </w:rPr>
        <w:t xml:space="preserve">un </w:t>
      </w:r>
      <w:r w:rsidR="00175288" w:rsidRPr="00344CD1">
        <w:rPr>
          <w:rFonts w:ascii="Cambria" w:eastAsia="Batang" w:hAnsi="Cambria" w:cs="Times New Roman"/>
          <w:color w:val="000000"/>
          <w:sz w:val="21"/>
          <w:szCs w:val="21"/>
          <w:lang w:val="es-ES"/>
        </w:rPr>
        <w:t xml:space="preserve">registro de todos los miembros de las familias habitantes </w:t>
      </w:r>
      <w:r w:rsidR="00BC6B41" w:rsidRPr="00344CD1">
        <w:rPr>
          <w:rFonts w:ascii="Cambria" w:eastAsia="Batang" w:hAnsi="Cambria" w:cs="Times New Roman"/>
          <w:color w:val="000000"/>
          <w:sz w:val="21"/>
          <w:szCs w:val="21"/>
          <w:lang w:val="es-ES"/>
        </w:rPr>
        <w:t xml:space="preserve">en </w:t>
      </w:r>
      <w:r w:rsidR="00175288" w:rsidRPr="00344CD1">
        <w:rPr>
          <w:rFonts w:ascii="Cambria" w:eastAsia="Batang" w:hAnsi="Cambria" w:cs="Times New Roman"/>
          <w:color w:val="000000"/>
          <w:sz w:val="21"/>
          <w:szCs w:val="21"/>
          <w:lang w:val="es-ES"/>
        </w:rPr>
        <w:t xml:space="preserve">la Comunidad, así como </w:t>
      </w:r>
      <w:r w:rsidR="00BC6B41" w:rsidRPr="00344CD1">
        <w:rPr>
          <w:rFonts w:ascii="Cambria" w:eastAsia="Batang" w:hAnsi="Cambria" w:cs="Times New Roman"/>
          <w:color w:val="000000"/>
          <w:sz w:val="21"/>
          <w:szCs w:val="21"/>
          <w:lang w:val="es-ES"/>
        </w:rPr>
        <w:t xml:space="preserve">de </w:t>
      </w:r>
      <w:r w:rsidR="00175288" w:rsidRPr="00344CD1">
        <w:rPr>
          <w:rFonts w:ascii="Cambria" w:eastAsia="Batang" w:hAnsi="Cambria" w:cs="Times New Roman"/>
          <w:color w:val="000000"/>
          <w:sz w:val="21"/>
          <w:szCs w:val="21"/>
          <w:lang w:val="es-ES"/>
        </w:rPr>
        <w:t xml:space="preserve">sus parientes y eventuales </w:t>
      </w:r>
      <w:r w:rsidR="00BC6B41" w:rsidRPr="00344CD1">
        <w:rPr>
          <w:rFonts w:ascii="Cambria" w:eastAsia="Batang" w:hAnsi="Cambria" w:cs="Times New Roman"/>
          <w:color w:val="000000"/>
          <w:sz w:val="21"/>
          <w:szCs w:val="21"/>
          <w:lang w:val="es-ES"/>
        </w:rPr>
        <w:t xml:space="preserve">invitados, quienes son </w:t>
      </w:r>
      <w:r w:rsidR="00175288" w:rsidRPr="00344CD1">
        <w:rPr>
          <w:rFonts w:ascii="Cambria" w:eastAsia="Batang" w:hAnsi="Cambria" w:cs="Times New Roman"/>
          <w:color w:val="000000"/>
          <w:sz w:val="21"/>
          <w:szCs w:val="21"/>
          <w:lang w:val="es-ES"/>
        </w:rPr>
        <w:t xml:space="preserve">previamente declarados como visitantes, para </w:t>
      </w:r>
      <w:r w:rsidR="00BC6B41" w:rsidRPr="00344CD1">
        <w:rPr>
          <w:rFonts w:ascii="Cambria" w:eastAsia="Batang" w:hAnsi="Cambria" w:cs="Times New Roman"/>
          <w:color w:val="000000"/>
          <w:sz w:val="21"/>
          <w:szCs w:val="21"/>
          <w:lang w:val="es-ES"/>
        </w:rPr>
        <w:t xml:space="preserve">garantizarles la </w:t>
      </w:r>
      <w:r w:rsidR="00175288" w:rsidRPr="00344CD1">
        <w:rPr>
          <w:rFonts w:ascii="Cambria" w:eastAsia="Batang" w:hAnsi="Cambria" w:cs="Times New Roman"/>
          <w:color w:val="000000"/>
          <w:sz w:val="21"/>
          <w:szCs w:val="21"/>
          <w:lang w:val="es-ES"/>
        </w:rPr>
        <w:t xml:space="preserve">entrada en el </w:t>
      </w:r>
      <w:r w:rsidR="00BC6B41" w:rsidRPr="00344CD1">
        <w:rPr>
          <w:rFonts w:ascii="Cambria" w:eastAsia="Batang" w:hAnsi="Cambria" w:cs="Times New Roman"/>
          <w:color w:val="000000"/>
          <w:sz w:val="21"/>
          <w:szCs w:val="21"/>
          <w:lang w:val="es-ES"/>
        </w:rPr>
        <w:t>lugar</w:t>
      </w:r>
      <w:r w:rsidR="00175288" w:rsidRPr="00344CD1">
        <w:rPr>
          <w:rFonts w:ascii="Cambria" w:eastAsia="Batang" w:hAnsi="Cambria" w:cs="Times New Roman"/>
          <w:color w:val="000000"/>
          <w:sz w:val="21"/>
          <w:szCs w:val="21"/>
          <w:lang w:val="es-ES"/>
        </w:rPr>
        <w:t>. Para autorizar la entrada de visitante</w:t>
      </w:r>
      <w:r w:rsidR="00BC6B41" w:rsidRPr="00344CD1">
        <w:rPr>
          <w:rFonts w:ascii="Cambria" w:eastAsia="Batang" w:hAnsi="Cambria" w:cs="Times New Roman"/>
          <w:color w:val="000000"/>
          <w:sz w:val="21"/>
          <w:szCs w:val="21"/>
          <w:lang w:val="es-ES"/>
        </w:rPr>
        <w:t>s,</w:t>
      </w:r>
      <w:r w:rsidR="00175288" w:rsidRPr="00344CD1">
        <w:rPr>
          <w:rFonts w:ascii="Cambria" w:eastAsia="Batang" w:hAnsi="Cambria" w:cs="Times New Roman"/>
          <w:color w:val="000000"/>
          <w:sz w:val="21"/>
          <w:szCs w:val="21"/>
          <w:lang w:val="es-ES"/>
        </w:rPr>
        <w:t xml:space="preserve"> </w:t>
      </w:r>
      <w:r w:rsidR="00BC6B41" w:rsidRPr="00344CD1">
        <w:rPr>
          <w:rFonts w:ascii="Cambria" w:eastAsia="Batang" w:hAnsi="Cambria" w:cs="Times New Roman"/>
          <w:color w:val="000000"/>
          <w:sz w:val="21"/>
          <w:szCs w:val="21"/>
          <w:lang w:val="es-ES"/>
        </w:rPr>
        <w:t>cabe</w:t>
      </w:r>
      <w:r w:rsidR="00175288" w:rsidRPr="00344CD1">
        <w:rPr>
          <w:rFonts w:ascii="Cambria" w:eastAsia="Batang" w:hAnsi="Cambria" w:cs="Times New Roman"/>
          <w:color w:val="000000"/>
          <w:sz w:val="21"/>
          <w:szCs w:val="21"/>
          <w:lang w:val="es-ES"/>
        </w:rPr>
        <w:t xml:space="preserve"> solicitar </w:t>
      </w:r>
      <w:r w:rsidR="00BC6B41" w:rsidRPr="00344CD1">
        <w:rPr>
          <w:rFonts w:ascii="Cambria" w:eastAsia="Batang" w:hAnsi="Cambria" w:cs="Times New Roman"/>
          <w:color w:val="000000"/>
          <w:sz w:val="21"/>
          <w:szCs w:val="21"/>
          <w:lang w:val="es-ES"/>
        </w:rPr>
        <w:t xml:space="preserve">un permiso </w:t>
      </w:r>
      <w:r w:rsidR="00175288" w:rsidRPr="00344CD1">
        <w:rPr>
          <w:rFonts w:ascii="Cambria" w:eastAsia="Batang" w:hAnsi="Cambria" w:cs="Times New Roman"/>
          <w:color w:val="000000"/>
          <w:sz w:val="21"/>
          <w:szCs w:val="21"/>
          <w:lang w:val="es-ES"/>
        </w:rPr>
        <w:t xml:space="preserve">al </w:t>
      </w:r>
      <w:r w:rsidR="00BC6B41" w:rsidRPr="00344CD1">
        <w:rPr>
          <w:rFonts w:ascii="Cambria" w:eastAsia="Batang" w:hAnsi="Cambria" w:cs="Times New Roman"/>
          <w:color w:val="000000"/>
          <w:sz w:val="21"/>
          <w:szCs w:val="21"/>
          <w:lang w:val="es-ES"/>
        </w:rPr>
        <w:t>c</w:t>
      </w:r>
      <w:r w:rsidR="00175288" w:rsidRPr="00344CD1">
        <w:rPr>
          <w:rFonts w:ascii="Cambria" w:eastAsia="Batang" w:hAnsi="Cambria" w:cs="Times New Roman"/>
          <w:color w:val="000000"/>
          <w:sz w:val="21"/>
          <w:szCs w:val="21"/>
          <w:lang w:val="es-ES"/>
        </w:rPr>
        <w:t>omandante responsable</w:t>
      </w:r>
      <w:r w:rsidR="00AB7E44" w:rsidRPr="00344CD1">
        <w:rPr>
          <w:rFonts w:ascii="Cambria" w:eastAsia="Batang" w:hAnsi="Cambria" w:cs="Times New Roman"/>
          <w:color w:val="000000"/>
          <w:sz w:val="21"/>
          <w:szCs w:val="21"/>
          <w:lang w:val="es-ES"/>
        </w:rPr>
        <w:t>, pero en situaciones de emergencia “la entrada de ambulancia y profesionales de salud del Sistema Único de Salud (SUS) es prontamente autorizada”.</w:t>
      </w:r>
    </w:p>
    <w:p w14:paraId="31435498" w14:textId="77777777" w:rsidR="00CA059E" w:rsidRPr="00344CD1" w:rsidRDefault="00CA059E" w:rsidP="00D51F89">
      <w:pPr>
        <w:spacing w:after="0" w:line="240" w:lineRule="auto"/>
        <w:ind w:left="360"/>
        <w:contextualSpacing/>
        <w:jc w:val="both"/>
        <w:rPr>
          <w:rFonts w:ascii="Cambria" w:eastAsia="Batang" w:hAnsi="Cambria" w:cs="Times New Roman"/>
          <w:color w:val="000000"/>
          <w:sz w:val="21"/>
          <w:szCs w:val="21"/>
          <w:lang w:val="es-ES"/>
        </w:rPr>
      </w:pPr>
    </w:p>
    <w:p w14:paraId="14426A8F" w14:textId="4DF152C8" w:rsidR="009D1E12" w:rsidRPr="00344CD1" w:rsidRDefault="00DB37A3"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El Estado también agregó que, el primer paso después de la identificación del área por el INCRA</w:t>
      </w:r>
      <w:r w:rsidR="00BC6B41" w:rsidRPr="00344CD1">
        <w:rPr>
          <w:rFonts w:ascii="Cambria" w:eastAsia="Batang" w:hAnsi="Cambria" w:cs="Times New Roman"/>
          <w:color w:val="000000"/>
          <w:sz w:val="21"/>
          <w:szCs w:val="21"/>
          <w:lang w:val="es-ES"/>
        </w:rPr>
        <w:t>,</w:t>
      </w:r>
      <w:r w:rsidRPr="00344CD1">
        <w:rPr>
          <w:rFonts w:ascii="Cambria" w:eastAsia="Batang" w:hAnsi="Cambria" w:cs="Times New Roman"/>
          <w:color w:val="000000"/>
          <w:sz w:val="21"/>
          <w:szCs w:val="21"/>
          <w:lang w:val="es-ES"/>
        </w:rPr>
        <w:t xml:space="preserve"> es la construcción de accesos independientes a la Comunidad</w:t>
      </w:r>
      <w:r w:rsidR="00C40BCB" w:rsidRPr="00344CD1">
        <w:rPr>
          <w:rFonts w:ascii="Cambria" w:eastAsia="Batang" w:hAnsi="Cambria" w:cs="Times New Roman"/>
          <w:color w:val="000000"/>
          <w:sz w:val="21"/>
          <w:szCs w:val="21"/>
          <w:lang w:val="es-ES"/>
        </w:rPr>
        <w:t>. N</w:t>
      </w:r>
      <w:r w:rsidRPr="00344CD1">
        <w:rPr>
          <w:rFonts w:ascii="Cambria" w:eastAsia="Batang" w:hAnsi="Cambria" w:cs="Times New Roman"/>
          <w:color w:val="000000"/>
          <w:sz w:val="21"/>
          <w:szCs w:val="21"/>
          <w:lang w:val="es-ES"/>
        </w:rPr>
        <w:t xml:space="preserve">o obstante, </w:t>
      </w:r>
      <w:r w:rsidR="001D11E1" w:rsidRPr="00344CD1">
        <w:rPr>
          <w:rFonts w:ascii="Cambria" w:eastAsia="Batang" w:hAnsi="Cambria" w:cs="Times New Roman"/>
          <w:color w:val="000000"/>
          <w:sz w:val="21"/>
          <w:szCs w:val="21"/>
          <w:lang w:val="es-ES"/>
        </w:rPr>
        <w:t>alegó</w:t>
      </w:r>
      <w:r w:rsidRPr="00344CD1">
        <w:rPr>
          <w:rFonts w:ascii="Cambria" w:eastAsia="Batang" w:hAnsi="Cambria" w:cs="Times New Roman"/>
          <w:color w:val="000000"/>
          <w:sz w:val="21"/>
          <w:szCs w:val="21"/>
          <w:lang w:val="es-ES"/>
        </w:rPr>
        <w:t xml:space="preserve"> que, para </w:t>
      </w:r>
      <w:r w:rsidR="001D11E1" w:rsidRPr="00344CD1">
        <w:rPr>
          <w:rFonts w:ascii="Cambria" w:eastAsia="Batang" w:hAnsi="Cambria" w:cs="Times New Roman"/>
          <w:color w:val="000000"/>
          <w:sz w:val="21"/>
          <w:szCs w:val="21"/>
          <w:lang w:val="es-ES"/>
        </w:rPr>
        <w:t>hacerlo viable</w:t>
      </w:r>
      <w:r w:rsidRPr="00344CD1">
        <w:rPr>
          <w:rFonts w:ascii="Cambria" w:eastAsia="Batang" w:hAnsi="Cambria" w:cs="Times New Roman"/>
          <w:color w:val="000000"/>
          <w:sz w:val="21"/>
          <w:szCs w:val="21"/>
          <w:lang w:val="es-ES"/>
        </w:rPr>
        <w:t>, es necesari</w:t>
      </w:r>
      <w:r w:rsidR="00BC6B41" w:rsidRPr="00344CD1">
        <w:rPr>
          <w:rFonts w:ascii="Cambria" w:eastAsia="Batang" w:hAnsi="Cambria" w:cs="Times New Roman"/>
          <w:color w:val="000000"/>
          <w:sz w:val="21"/>
          <w:szCs w:val="21"/>
          <w:lang w:val="es-ES"/>
        </w:rPr>
        <w:t>a</w:t>
      </w:r>
      <w:r w:rsidRPr="00344CD1">
        <w:rPr>
          <w:rFonts w:ascii="Cambria" w:eastAsia="Batang" w:hAnsi="Cambria" w:cs="Times New Roman"/>
          <w:color w:val="000000"/>
          <w:sz w:val="21"/>
          <w:szCs w:val="21"/>
          <w:lang w:val="es-ES"/>
        </w:rPr>
        <w:t xml:space="preserve"> la construcción de un muro entre la</w:t>
      </w:r>
      <w:r w:rsidR="001D11E1" w:rsidRPr="00344CD1">
        <w:rPr>
          <w:rFonts w:ascii="Cambria" w:eastAsia="Batang" w:hAnsi="Cambria" w:cs="Times New Roman"/>
          <w:color w:val="000000"/>
          <w:sz w:val="21"/>
          <w:szCs w:val="21"/>
          <w:lang w:val="es-ES"/>
        </w:rPr>
        <w:t xml:space="preserve"> Comunidad y el área del Estado, afirmando</w:t>
      </w:r>
      <w:r w:rsidR="00BC6B41" w:rsidRPr="00344CD1">
        <w:rPr>
          <w:rFonts w:ascii="Cambria" w:eastAsia="Batang" w:hAnsi="Cambria" w:cs="Times New Roman"/>
          <w:color w:val="000000"/>
          <w:sz w:val="21"/>
          <w:szCs w:val="21"/>
          <w:lang w:val="es-ES"/>
        </w:rPr>
        <w:t xml:space="preserve"> que</w:t>
      </w:r>
      <w:r w:rsidR="001D11E1" w:rsidRPr="00344CD1">
        <w:rPr>
          <w:rFonts w:ascii="Cambria" w:eastAsia="Batang" w:hAnsi="Cambria" w:cs="Times New Roman"/>
          <w:color w:val="000000"/>
          <w:sz w:val="21"/>
          <w:szCs w:val="21"/>
          <w:lang w:val="es-ES"/>
        </w:rPr>
        <w:t xml:space="preserve"> “no </w:t>
      </w:r>
      <w:r w:rsidR="00BC6B41" w:rsidRPr="00344CD1">
        <w:rPr>
          <w:rFonts w:ascii="Cambria" w:eastAsia="Batang" w:hAnsi="Cambria" w:cs="Times New Roman"/>
          <w:color w:val="000000"/>
          <w:sz w:val="21"/>
          <w:szCs w:val="21"/>
          <w:lang w:val="es-ES"/>
        </w:rPr>
        <w:t xml:space="preserve">es </w:t>
      </w:r>
      <w:r w:rsidR="001D11E1" w:rsidRPr="00344CD1">
        <w:rPr>
          <w:rFonts w:ascii="Cambria" w:eastAsia="Batang" w:hAnsi="Cambria" w:cs="Times New Roman"/>
          <w:color w:val="000000"/>
          <w:sz w:val="21"/>
          <w:szCs w:val="21"/>
          <w:lang w:val="es-ES"/>
        </w:rPr>
        <w:t xml:space="preserve">posible construir las </w:t>
      </w:r>
      <w:r w:rsidR="00EF367A" w:rsidRPr="00344CD1">
        <w:rPr>
          <w:rFonts w:ascii="Cambria" w:eastAsia="Batang" w:hAnsi="Cambria" w:cs="Times New Roman"/>
          <w:color w:val="000000"/>
          <w:sz w:val="21"/>
          <w:szCs w:val="21"/>
          <w:lang w:val="es-ES"/>
        </w:rPr>
        <w:t>carreteras</w:t>
      </w:r>
      <w:r w:rsidR="001D11E1" w:rsidRPr="00344CD1">
        <w:rPr>
          <w:rFonts w:ascii="Cambria" w:eastAsia="Batang" w:hAnsi="Cambria" w:cs="Times New Roman"/>
          <w:color w:val="000000"/>
          <w:sz w:val="21"/>
          <w:szCs w:val="21"/>
          <w:lang w:val="es-ES"/>
        </w:rPr>
        <w:t xml:space="preserve"> sin el muro”.</w:t>
      </w:r>
      <w:r w:rsidR="00B86FF0" w:rsidRPr="00344CD1">
        <w:rPr>
          <w:rFonts w:ascii="Cambria" w:eastAsia="Batang" w:hAnsi="Cambria" w:cs="Times New Roman"/>
          <w:color w:val="000000"/>
          <w:sz w:val="21"/>
          <w:szCs w:val="21"/>
          <w:lang w:val="es-ES"/>
        </w:rPr>
        <w:t xml:space="preserve"> Por otro lado, sobre el acceso a políticas públicas (educación, salud, saneamiento básico)</w:t>
      </w:r>
      <w:r w:rsidR="00BC6B41" w:rsidRPr="00344CD1">
        <w:rPr>
          <w:rFonts w:ascii="Cambria" w:eastAsia="Batang" w:hAnsi="Cambria" w:cs="Times New Roman"/>
          <w:color w:val="000000"/>
          <w:sz w:val="21"/>
          <w:szCs w:val="21"/>
          <w:lang w:val="es-ES"/>
        </w:rPr>
        <w:t>,</w:t>
      </w:r>
      <w:r w:rsidR="00075327" w:rsidRPr="00344CD1">
        <w:rPr>
          <w:rFonts w:ascii="Cambria" w:eastAsia="Batang" w:hAnsi="Cambria" w:cs="Times New Roman"/>
          <w:color w:val="000000"/>
          <w:sz w:val="21"/>
          <w:szCs w:val="21"/>
          <w:lang w:val="es-ES"/>
        </w:rPr>
        <w:t xml:space="preserve"> señaló que</w:t>
      </w:r>
      <w:r w:rsidR="00633F21" w:rsidRPr="00344CD1">
        <w:rPr>
          <w:rFonts w:ascii="Cambria" w:eastAsia="Batang" w:hAnsi="Cambria" w:cs="Times New Roman"/>
          <w:color w:val="000000"/>
          <w:sz w:val="21"/>
          <w:szCs w:val="21"/>
          <w:lang w:val="es-ES"/>
        </w:rPr>
        <w:t xml:space="preserve"> “la Comunidad </w:t>
      </w:r>
      <w:r w:rsidR="00BC6B41" w:rsidRPr="00344CD1">
        <w:rPr>
          <w:rFonts w:ascii="Cambria" w:eastAsia="Batang" w:hAnsi="Cambria" w:cs="Times New Roman"/>
          <w:color w:val="000000"/>
          <w:sz w:val="21"/>
          <w:szCs w:val="21"/>
          <w:lang w:val="es-ES"/>
        </w:rPr>
        <w:t>rechazó</w:t>
      </w:r>
      <w:r w:rsidR="00633F21" w:rsidRPr="00344CD1">
        <w:rPr>
          <w:rFonts w:ascii="Cambria" w:eastAsia="Batang" w:hAnsi="Cambria" w:cs="Times New Roman"/>
          <w:color w:val="000000"/>
          <w:sz w:val="21"/>
          <w:szCs w:val="21"/>
          <w:lang w:val="es-ES"/>
        </w:rPr>
        <w:t xml:space="preserve"> toda y cualquier implementación de política pública que buscase solucionar, por ejemplo, la cuestión del abastecimiento, como la construcción de </w:t>
      </w:r>
      <w:r w:rsidR="00B5656E" w:rsidRPr="00344CD1">
        <w:rPr>
          <w:rFonts w:ascii="Cambria" w:eastAsia="Batang" w:hAnsi="Cambria" w:cs="Times New Roman"/>
          <w:color w:val="000000"/>
          <w:sz w:val="21"/>
          <w:szCs w:val="21"/>
          <w:lang w:val="es-ES"/>
        </w:rPr>
        <w:t>embalses o pozo</w:t>
      </w:r>
      <w:r w:rsidR="00BC6B41" w:rsidRPr="00344CD1">
        <w:rPr>
          <w:rFonts w:ascii="Cambria" w:eastAsia="Batang" w:hAnsi="Cambria" w:cs="Times New Roman"/>
          <w:color w:val="000000"/>
          <w:sz w:val="21"/>
          <w:szCs w:val="21"/>
          <w:lang w:val="es-ES"/>
        </w:rPr>
        <w:t>s</w:t>
      </w:r>
      <w:r w:rsidR="00B5656E" w:rsidRPr="00344CD1">
        <w:rPr>
          <w:rFonts w:ascii="Cambria" w:eastAsia="Batang" w:hAnsi="Cambria" w:cs="Times New Roman"/>
          <w:color w:val="000000"/>
          <w:sz w:val="21"/>
          <w:szCs w:val="21"/>
          <w:lang w:val="es-ES"/>
        </w:rPr>
        <w:t xml:space="preserve"> artesanal</w:t>
      </w:r>
      <w:r w:rsidR="00BC6B41" w:rsidRPr="00344CD1">
        <w:rPr>
          <w:rFonts w:ascii="Cambria" w:eastAsia="Batang" w:hAnsi="Cambria" w:cs="Times New Roman"/>
          <w:color w:val="000000"/>
          <w:sz w:val="21"/>
          <w:szCs w:val="21"/>
          <w:lang w:val="es-ES"/>
        </w:rPr>
        <w:t>es</w:t>
      </w:r>
      <w:r w:rsidR="00B5656E" w:rsidRPr="00344CD1">
        <w:rPr>
          <w:rFonts w:ascii="Cambria" w:eastAsia="Batang" w:hAnsi="Cambria" w:cs="Times New Roman"/>
          <w:color w:val="000000"/>
          <w:sz w:val="21"/>
          <w:szCs w:val="21"/>
          <w:lang w:val="es-ES"/>
        </w:rPr>
        <w:t>”</w:t>
      </w:r>
      <w:r w:rsidR="00D01263" w:rsidRPr="00344CD1">
        <w:rPr>
          <w:rFonts w:ascii="Cambria" w:eastAsia="Batang" w:hAnsi="Cambria" w:cs="Times New Roman"/>
          <w:color w:val="000000"/>
          <w:sz w:val="21"/>
          <w:szCs w:val="21"/>
          <w:lang w:val="es-ES"/>
        </w:rPr>
        <w:t>.</w:t>
      </w:r>
      <w:r w:rsidR="009934B8" w:rsidRPr="00344CD1">
        <w:rPr>
          <w:rFonts w:ascii="Cambria" w:eastAsia="Batang" w:hAnsi="Cambria" w:cs="Times New Roman"/>
          <w:color w:val="000000"/>
          <w:sz w:val="21"/>
          <w:szCs w:val="21"/>
          <w:lang w:val="es-ES"/>
        </w:rPr>
        <w:t xml:space="preserve"> </w:t>
      </w:r>
      <w:r w:rsidR="009D1E12" w:rsidRPr="00344CD1">
        <w:rPr>
          <w:rFonts w:ascii="Cambria" w:eastAsia="Batang" w:hAnsi="Cambria" w:cs="Times New Roman"/>
          <w:color w:val="000000"/>
          <w:sz w:val="21"/>
          <w:szCs w:val="21"/>
          <w:lang w:val="es-ES"/>
        </w:rPr>
        <w:t xml:space="preserve">Con relación a las solicitudes de vigilancia policial, protección a los defensores de derechos humanos e instalación de iluminación pública, el Estado afirmó que “las solicitudes </w:t>
      </w:r>
      <w:r w:rsidR="00BC6B41" w:rsidRPr="00344CD1">
        <w:rPr>
          <w:rFonts w:ascii="Cambria" w:eastAsia="Batang" w:hAnsi="Cambria" w:cs="Times New Roman"/>
          <w:color w:val="000000"/>
          <w:sz w:val="21"/>
          <w:szCs w:val="21"/>
          <w:lang w:val="es-ES"/>
        </w:rPr>
        <w:t xml:space="preserve">ni </w:t>
      </w:r>
      <w:r w:rsidR="009D1E12" w:rsidRPr="00344CD1">
        <w:rPr>
          <w:rFonts w:ascii="Cambria" w:eastAsia="Batang" w:hAnsi="Cambria" w:cs="Times New Roman"/>
          <w:color w:val="000000"/>
          <w:sz w:val="21"/>
          <w:szCs w:val="21"/>
          <w:lang w:val="es-ES"/>
        </w:rPr>
        <w:t xml:space="preserve">siquiera han sido </w:t>
      </w:r>
      <w:r w:rsidR="00BC6B41" w:rsidRPr="00344CD1">
        <w:rPr>
          <w:rFonts w:ascii="Cambria" w:eastAsia="Batang" w:hAnsi="Cambria" w:cs="Times New Roman"/>
          <w:color w:val="000000"/>
          <w:sz w:val="21"/>
          <w:szCs w:val="21"/>
          <w:lang w:val="es-ES"/>
        </w:rPr>
        <w:t xml:space="preserve">efectuadas </w:t>
      </w:r>
      <w:r w:rsidR="009D1E12" w:rsidRPr="00344CD1">
        <w:rPr>
          <w:rFonts w:ascii="Cambria" w:eastAsia="Batang" w:hAnsi="Cambria" w:cs="Times New Roman"/>
          <w:color w:val="000000"/>
          <w:sz w:val="21"/>
          <w:szCs w:val="21"/>
          <w:lang w:val="es-ES"/>
        </w:rPr>
        <w:t>a los órganos competentes”.</w:t>
      </w:r>
    </w:p>
    <w:p w14:paraId="2F3E1180" w14:textId="77777777" w:rsidR="009934B8" w:rsidRPr="00344CD1" w:rsidRDefault="009934B8" w:rsidP="00D51F89">
      <w:pPr>
        <w:spacing w:after="0" w:line="240" w:lineRule="auto"/>
        <w:ind w:left="360"/>
        <w:contextualSpacing/>
        <w:jc w:val="both"/>
        <w:rPr>
          <w:rFonts w:ascii="Cambria" w:eastAsia="Batang" w:hAnsi="Cambria" w:cs="Times New Roman"/>
          <w:color w:val="000000"/>
          <w:sz w:val="21"/>
          <w:szCs w:val="21"/>
          <w:lang w:val="es-ES"/>
        </w:rPr>
      </w:pPr>
    </w:p>
    <w:p w14:paraId="1911A147" w14:textId="533B6861" w:rsidR="009934B8" w:rsidRPr="00344CD1" w:rsidRDefault="007F5BE7"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Sobre el asesinato del señor José </w:t>
      </w:r>
      <w:proofErr w:type="spellStart"/>
      <w:r w:rsidRPr="00344CD1">
        <w:rPr>
          <w:rFonts w:ascii="Cambria" w:eastAsia="Batang" w:hAnsi="Cambria" w:cs="Times New Roman"/>
          <w:color w:val="000000"/>
          <w:sz w:val="21"/>
          <w:szCs w:val="21"/>
          <w:lang w:val="es-ES"/>
        </w:rPr>
        <w:t>Isídio</w:t>
      </w:r>
      <w:proofErr w:type="spellEnd"/>
      <w:r w:rsidRPr="00344CD1">
        <w:rPr>
          <w:rFonts w:ascii="Cambria" w:eastAsia="Batang" w:hAnsi="Cambria" w:cs="Times New Roman"/>
          <w:color w:val="000000"/>
          <w:sz w:val="21"/>
          <w:szCs w:val="21"/>
          <w:lang w:val="es-ES"/>
        </w:rPr>
        <w:t xml:space="preserve"> </w:t>
      </w:r>
      <w:proofErr w:type="spellStart"/>
      <w:r w:rsidR="00355F4C" w:rsidRPr="00344CD1">
        <w:rPr>
          <w:rFonts w:ascii="Cambria" w:eastAsia="Batang" w:hAnsi="Cambria" w:cs="Times New Roman"/>
          <w:color w:val="000000"/>
          <w:sz w:val="21"/>
          <w:szCs w:val="21"/>
          <w:lang w:val="es-ES"/>
        </w:rPr>
        <w:t>Di</w:t>
      </w:r>
      <w:r w:rsidR="00B667A5" w:rsidRPr="00344CD1">
        <w:rPr>
          <w:rFonts w:ascii="Cambria" w:eastAsia="Batang" w:hAnsi="Cambria" w:cs="Times New Roman"/>
          <w:color w:val="000000"/>
          <w:sz w:val="21"/>
          <w:szCs w:val="21"/>
          <w:lang w:val="es-ES"/>
        </w:rPr>
        <w:t>as</w:t>
      </w:r>
      <w:proofErr w:type="spellEnd"/>
      <w:r w:rsidRPr="00344CD1">
        <w:rPr>
          <w:rFonts w:ascii="Cambria" w:eastAsia="Batang" w:hAnsi="Cambria" w:cs="Times New Roman"/>
          <w:color w:val="000000"/>
          <w:sz w:val="21"/>
          <w:szCs w:val="21"/>
          <w:lang w:val="es-ES"/>
        </w:rPr>
        <w:t xml:space="preserve">, </w:t>
      </w:r>
      <w:r w:rsidR="008E1289" w:rsidRPr="00344CD1">
        <w:rPr>
          <w:rFonts w:ascii="Cambria" w:eastAsia="Batang" w:hAnsi="Cambria" w:cs="Times New Roman"/>
          <w:color w:val="000000"/>
          <w:sz w:val="21"/>
          <w:szCs w:val="21"/>
          <w:lang w:val="es-ES"/>
        </w:rPr>
        <w:t xml:space="preserve">se alegó que la autoría del crimen habría sido identificada como responsabilidad de un adolescente de la comunidad </w:t>
      </w:r>
      <w:proofErr w:type="spellStart"/>
      <w:r w:rsidR="008E1289" w:rsidRPr="00344CD1">
        <w:rPr>
          <w:rFonts w:ascii="Cambria" w:eastAsia="Batang" w:hAnsi="Cambria" w:cs="Times New Roman"/>
          <w:color w:val="000000"/>
          <w:sz w:val="21"/>
          <w:szCs w:val="21"/>
          <w:lang w:val="es-ES"/>
        </w:rPr>
        <w:t>quilombola</w:t>
      </w:r>
      <w:proofErr w:type="spellEnd"/>
      <w:r w:rsidR="008E1289" w:rsidRPr="00344CD1">
        <w:rPr>
          <w:rFonts w:ascii="Cambria" w:eastAsia="Batang" w:hAnsi="Cambria" w:cs="Times New Roman"/>
          <w:color w:val="000000"/>
          <w:sz w:val="21"/>
          <w:szCs w:val="21"/>
          <w:lang w:val="es-ES"/>
        </w:rPr>
        <w:t xml:space="preserve">, quién anteriormente habría sido supuestamente acusado de un hurto por </w:t>
      </w:r>
      <w:r w:rsidR="00C40BCB" w:rsidRPr="00344CD1">
        <w:rPr>
          <w:rFonts w:ascii="Cambria" w:eastAsia="Batang" w:hAnsi="Cambria" w:cs="Times New Roman"/>
          <w:color w:val="000000"/>
          <w:sz w:val="21"/>
          <w:szCs w:val="21"/>
          <w:lang w:val="es-ES"/>
        </w:rPr>
        <w:t>la víctima</w:t>
      </w:r>
      <w:r w:rsidR="008E1289" w:rsidRPr="00344CD1">
        <w:rPr>
          <w:rFonts w:ascii="Cambria" w:eastAsia="Batang" w:hAnsi="Cambria" w:cs="Times New Roman"/>
          <w:color w:val="000000"/>
          <w:sz w:val="21"/>
          <w:szCs w:val="21"/>
          <w:lang w:val="es-ES"/>
        </w:rPr>
        <w:t>. En ese sentido, el Estado alegó que el asesinato fue un hecho desconectado del conflicto de tierras.</w:t>
      </w:r>
    </w:p>
    <w:p w14:paraId="3E8287A9" w14:textId="77777777" w:rsidR="007F5BE7" w:rsidRPr="00344CD1" w:rsidRDefault="007F5BE7" w:rsidP="00D51F89">
      <w:pPr>
        <w:spacing w:after="0" w:line="240" w:lineRule="auto"/>
        <w:ind w:left="360"/>
        <w:contextualSpacing/>
        <w:jc w:val="both"/>
        <w:rPr>
          <w:rFonts w:ascii="Cambria" w:eastAsia="Batang" w:hAnsi="Cambria" w:cs="Times New Roman"/>
          <w:color w:val="000000"/>
          <w:sz w:val="21"/>
          <w:szCs w:val="21"/>
          <w:lang w:val="es-ES"/>
        </w:rPr>
      </w:pPr>
    </w:p>
    <w:p w14:paraId="18A25329" w14:textId="3DF2E574" w:rsidR="00715AFE" w:rsidRPr="00344CD1" w:rsidRDefault="00CF3627" w:rsidP="00D51F89">
      <w:pPr>
        <w:numPr>
          <w:ilvl w:val="0"/>
          <w:numId w:val="3"/>
        </w:numPr>
        <w:spacing w:after="0" w:line="240" w:lineRule="auto"/>
        <w:ind w:left="0" w:firstLine="360"/>
        <w:contextualSpacing/>
        <w:jc w:val="both"/>
        <w:rPr>
          <w:rFonts w:ascii="Cambria" w:eastAsia="Batang" w:hAnsi="Cambria" w:cs="Times New Roman"/>
          <w:b/>
          <w:color w:val="000000"/>
          <w:sz w:val="21"/>
          <w:szCs w:val="21"/>
          <w:lang w:val="es-ES"/>
        </w:rPr>
      </w:pPr>
      <w:r w:rsidRPr="00344CD1">
        <w:rPr>
          <w:rFonts w:ascii="Cambria" w:eastAsia="Batang" w:hAnsi="Cambria" w:cs="Times New Roman"/>
          <w:color w:val="000000"/>
          <w:sz w:val="21"/>
          <w:szCs w:val="21"/>
          <w:lang w:val="es-ES"/>
        </w:rPr>
        <w:t>A</w:t>
      </w:r>
      <w:r w:rsidR="00E021E8" w:rsidRPr="00344CD1">
        <w:rPr>
          <w:rFonts w:ascii="Cambria" w:eastAsia="Batang" w:hAnsi="Cambria" w:cs="Times New Roman"/>
          <w:color w:val="000000"/>
          <w:sz w:val="21"/>
          <w:szCs w:val="21"/>
          <w:lang w:val="es-ES"/>
        </w:rPr>
        <w:t>simismo,</w:t>
      </w:r>
      <w:r w:rsidRPr="00344CD1">
        <w:rPr>
          <w:rFonts w:ascii="Cambria" w:eastAsia="Batang" w:hAnsi="Cambria" w:cs="Times New Roman"/>
          <w:color w:val="000000"/>
          <w:sz w:val="21"/>
          <w:szCs w:val="21"/>
          <w:lang w:val="es-ES"/>
        </w:rPr>
        <w:t xml:space="preserve"> el Estado alegó que su </w:t>
      </w:r>
      <w:r w:rsidR="007669C2" w:rsidRPr="00344CD1">
        <w:rPr>
          <w:rFonts w:ascii="Cambria" w:eastAsia="Batang" w:hAnsi="Cambria" w:cs="Times New Roman"/>
          <w:color w:val="000000"/>
          <w:sz w:val="21"/>
          <w:szCs w:val="21"/>
          <w:lang w:val="es-ES"/>
        </w:rPr>
        <w:t xml:space="preserve">legislación domestica prevé la protección de los </w:t>
      </w:r>
      <w:r w:rsidR="00581582" w:rsidRPr="00344CD1">
        <w:rPr>
          <w:rFonts w:ascii="Cambria" w:eastAsia="Batang" w:hAnsi="Cambria" w:cs="Times New Roman"/>
          <w:color w:val="000000"/>
          <w:sz w:val="21"/>
          <w:szCs w:val="21"/>
          <w:lang w:val="es-ES"/>
        </w:rPr>
        <w:t xml:space="preserve">pueblos </w:t>
      </w:r>
      <w:proofErr w:type="spellStart"/>
      <w:r w:rsidR="007669C2" w:rsidRPr="00344CD1">
        <w:rPr>
          <w:rFonts w:ascii="Cambria" w:eastAsia="Batang" w:hAnsi="Cambria" w:cs="Times New Roman"/>
          <w:color w:val="000000"/>
          <w:sz w:val="21"/>
          <w:szCs w:val="21"/>
          <w:lang w:val="es-ES"/>
        </w:rPr>
        <w:t>quilombolas</w:t>
      </w:r>
      <w:proofErr w:type="spellEnd"/>
      <w:r w:rsidR="007669C2" w:rsidRPr="00344CD1">
        <w:rPr>
          <w:rFonts w:ascii="Cambria" w:eastAsia="Batang" w:hAnsi="Cambria" w:cs="Times New Roman"/>
          <w:color w:val="000000"/>
          <w:sz w:val="21"/>
          <w:szCs w:val="21"/>
          <w:lang w:val="es-ES"/>
        </w:rPr>
        <w:t xml:space="preserve">, </w:t>
      </w:r>
      <w:r w:rsidR="00BC6B41" w:rsidRPr="00344CD1">
        <w:rPr>
          <w:rFonts w:ascii="Cambria" w:eastAsia="Batang" w:hAnsi="Cambria" w:cs="Times New Roman"/>
          <w:color w:val="000000"/>
          <w:sz w:val="21"/>
          <w:szCs w:val="21"/>
          <w:lang w:val="es-ES"/>
        </w:rPr>
        <w:t>disponiendo para tal fin</w:t>
      </w:r>
      <w:r w:rsidR="007669C2" w:rsidRPr="00344CD1">
        <w:rPr>
          <w:rFonts w:ascii="Cambria" w:eastAsia="Batang" w:hAnsi="Cambria" w:cs="Times New Roman"/>
          <w:color w:val="000000"/>
          <w:sz w:val="21"/>
          <w:szCs w:val="21"/>
          <w:lang w:val="es-ES"/>
        </w:rPr>
        <w:t xml:space="preserve"> órganos especializados en la promoción de la igualdad racial.</w:t>
      </w:r>
      <w:r w:rsidR="00F06B38" w:rsidRPr="00344CD1">
        <w:rPr>
          <w:rFonts w:ascii="Cambria" w:eastAsia="Batang" w:hAnsi="Cambria" w:cs="Times New Roman"/>
          <w:color w:val="000000"/>
          <w:sz w:val="21"/>
          <w:szCs w:val="21"/>
          <w:lang w:val="es-ES"/>
        </w:rPr>
        <w:t xml:space="preserve"> También se indicó que los miemb</w:t>
      </w:r>
      <w:r w:rsidR="0011388A" w:rsidRPr="00344CD1">
        <w:rPr>
          <w:rFonts w:ascii="Cambria" w:eastAsia="Batang" w:hAnsi="Cambria" w:cs="Times New Roman"/>
          <w:color w:val="000000"/>
          <w:sz w:val="21"/>
          <w:szCs w:val="21"/>
          <w:lang w:val="es-ES"/>
        </w:rPr>
        <w:t xml:space="preserve">ros de la referida Comunidad </w:t>
      </w:r>
      <w:r w:rsidR="00BC6B41" w:rsidRPr="00344CD1">
        <w:rPr>
          <w:rFonts w:ascii="Cambria" w:eastAsia="Batang" w:hAnsi="Cambria" w:cs="Times New Roman"/>
          <w:color w:val="000000"/>
          <w:sz w:val="21"/>
          <w:szCs w:val="21"/>
          <w:lang w:val="es-ES"/>
        </w:rPr>
        <w:t xml:space="preserve">están </w:t>
      </w:r>
      <w:r w:rsidR="00F06B38" w:rsidRPr="00344CD1">
        <w:rPr>
          <w:rFonts w:ascii="Cambria" w:eastAsia="Batang" w:hAnsi="Cambria" w:cs="Times New Roman"/>
          <w:color w:val="000000"/>
          <w:sz w:val="21"/>
          <w:szCs w:val="21"/>
          <w:lang w:val="es-ES"/>
        </w:rPr>
        <w:t xml:space="preserve">contemplados en el programa de protección a los </w:t>
      </w:r>
      <w:r w:rsidR="00295128" w:rsidRPr="00344CD1">
        <w:rPr>
          <w:rFonts w:ascii="Cambria" w:eastAsia="Batang" w:hAnsi="Cambria" w:cs="Times New Roman"/>
          <w:color w:val="000000"/>
          <w:sz w:val="21"/>
          <w:szCs w:val="21"/>
          <w:lang w:val="es-ES"/>
        </w:rPr>
        <w:t xml:space="preserve">defensores de </w:t>
      </w:r>
      <w:r w:rsidR="00F06B38" w:rsidRPr="00344CD1">
        <w:rPr>
          <w:rFonts w:ascii="Cambria" w:eastAsia="Batang" w:hAnsi="Cambria" w:cs="Times New Roman"/>
          <w:color w:val="000000"/>
          <w:sz w:val="21"/>
          <w:szCs w:val="21"/>
          <w:lang w:val="es-ES"/>
        </w:rPr>
        <w:t xml:space="preserve">derechos humanos del estado de </w:t>
      </w:r>
      <w:r w:rsidR="00B667A5" w:rsidRPr="00344CD1">
        <w:rPr>
          <w:rFonts w:ascii="Cambria" w:eastAsia="Batang" w:hAnsi="Cambria" w:cs="Times New Roman"/>
          <w:color w:val="000000"/>
          <w:sz w:val="21"/>
          <w:szCs w:val="21"/>
          <w:lang w:val="es-ES"/>
        </w:rPr>
        <w:t>Bahía</w:t>
      </w:r>
      <w:r w:rsidR="00F06B38" w:rsidRPr="00344CD1">
        <w:rPr>
          <w:rFonts w:ascii="Cambria" w:eastAsia="Batang" w:hAnsi="Cambria" w:cs="Times New Roman"/>
          <w:color w:val="000000"/>
          <w:sz w:val="21"/>
          <w:szCs w:val="21"/>
          <w:lang w:val="es-ES"/>
        </w:rPr>
        <w:t>.</w:t>
      </w:r>
      <w:r w:rsidR="007669C2" w:rsidRPr="00344CD1">
        <w:rPr>
          <w:rFonts w:ascii="Cambria" w:eastAsia="Batang" w:hAnsi="Cambria" w:cs="Times New Roman"/>
          <w:color w:val="000000"/>
          <w:sz w:val="21"/>
          <w:szCs w:val="21"/>
          <w:lang w:val="es-ES"/>
        </w:rPr>
        <w:t xml:space="preserve"> </w:t>
      </w:r>
      <w:r w:rsidR="008E1289" w:rsidRPr="00344CD1">
        <w:rPr>
          <w:rFonts w:ascii="Cambria" w:eastAsia="Batang" w:hAnsi="Cambria" w:cs="Times New Roman"/>
          <w:color w:val="000000"/>
          <w:sz w:val="21"/>
          <w:szCs w:val="21"/>
          <w:lang w:val="es-ES"/>
        </w:rPr>
        <w:t xml:space="preserve">Particularmente </w:t>
      </w:r>
      <w:r w:rsidR="00CB6F43" w:rsidRPr="00344CD1">
        <w:rPr>
          <w:rFonts w:ascii="Cambria" w:eastAsia="Batang" w:hAnsi="Cambria" w:cs="Times New Roman"/>
          <w:color w:val="000000"/>
          <w:sz w:val="21"/>
          <w:szCs w:val="21"/>
        </w:rPr>
        <w:t>con</w:t>
      </w:r>
      <w:r w:rsidR="008E1289" w:rsidRPr="00344CD1">
        <w:rPr>
          <w:rFonts w:ascii="Cambria" w:eastAsia="Batang" w:hAnsi="Cambria" w:cs="Times New Roman"/>
          <w:color w:val="000000"/>
          <w:sz w:val="21"/>
          <w:szCs w:val="21"/>
        </w:rPr>
        <w:t xml:space="preserve"> relación a los eventos de tentativa de invasión y amedrentamiento de las personas propuesta como beneficiarias en el periodo nocturno, el Estado informó que se habrían registrado quejas y que “las diligencias aún se encuentran en andamiento”. Según lo aportado, dentro de lo posible, se </w:t>
      </w:r>
      <w:r w:rsidR="008E1289" w:rsidRPr="00344CD1">
        <w:rPr>
          <w:rFonts w:ascii="Cambria" w:eastAsia="Batang" w:hAnsi="Cambria" w:cs="Times New Roman"/>
          <w:color w:val="000000"/>
          <w:sz w:val="21"/>
          <w:szCs w:val="21"/>
          <w:lang w:val="es-ES"/>
        </w:rPr>
        <w:t>habría</w:t>
      </w:r>
      <w:r w:rsidR="008E1289" w:rsidRPr="00344CD1">
        <w:rPr>
          <w:rFonts w:ascii="Cambria" w:eastAsia="Batang" w:hAnsi="Cambria" w:cs="Times New Roman"/>
          <w:color w:val="000000"/>
          <w:sz w:val="21"/>
          <w:szCs w:val="21"/>
        </w:rPr>
        <w:t xml:space="preserve"> implementado rondines policiales y brindado un contacto telefónico con la policía para facilitar la asistencia a posibles eventos. Tales rondines no podrían ser realizado en el periodo nocturno, pues “[…] no hay pavimentación, y sí muchas subidas y bajadas con muchos ‘huecos’ que dificultan y mucho el tráfico de los autos de la policía; añadido de la inexistencia de iluminación en el acceso al citado quilombo, que puede propiciar posibles accidentes en el acceso improvisado”.</w:t>
      </w:r>
    </w:p>
    <w:p w14:paraId="4C5E1C03" w14:textId="72585C24" w:rsidR="00AD6220" w:rsidRPr="00344CD1" w:rsidRDefault="00AD6220" w:rsidP="00D51F89">
      <w:pPr>
        <w:spacing w:after="0" w:line="240" w:lineRule="auto"/>
        <w:contextualSpacing/>
        <w:jc w:val="both"/>
        <w:rPr>
          <w:rFonts w:ascii="Cambria" w:eastAsia="Batang" w:hAnsi="Cambria" w:cs="Times New Roman"/>
          <w:color w:val="000000"/>
          <w:sz w:val="21"/>
          <w:szCs w:val="21"/>
          <w:lang w:val="es-ES"/>
        </w:rPr>
      </w:pPr>
    </w:p>
    <w:p w14:paraId="42D3B6E8" w14:textId="77777777" w:rsidR="0062264F" w:rsidRPr="00344CD1" w:rsidRDefault="0062264F" w:rsidP="00D51F89">
      <w:pPr>
        <w:spacing w:after="0" w:line="240" w:lineRule="auto"/>
        <w:contextualSpacing/>
        <w:jc w:val="both"/>
        <w:rPr>
          <w:rFonts w:ascii="Cambria" w:eastAsia="Batang" w:hAnsi="Cambria" w:cs="Times New Roman"/>
          <w:color w:val="000000"/>
          <w:sz w:val="21"/>
          <w:szCs w:val="21"/>
          <w:lang w:val="es-ES"/>
        </w:rPr>
      </w:pPr>
    </w:p>
    <w:p w14:paraId="243F82C1" w14:textId="28EB991A" w:rsidR="00AD6220" w:rsidRPr="00344CD1" w:rsidRDefault="00AD6220" w:rsidP="00D51F89">
      <w:pPr>
        <w:pStyle w:val="ListParagraph"/>
        <w:numPr>
          <w:ilvl w:val="0"/>
          <w:numId w:val="4"/>
        </w:numPr>
        <w:spacing w:after="0" w:line="240" w:lineRule="auto"/>
        <w:jc w:val="both"/>
        <w:rPr>
          <w:rFonts w:ascii="Cambria" w:eastAsia="Batang" w:hAnsi="Cambria" w:cs="Times New Roman"/>
          <w:b/>
          <w:color w:val="000000"/>
          <w:sz w:val="21"/>
          <w:szCs w:val="21"/>
          <w:lang w:val="es-ES"/>
        </w:rPr>
      </w:pPr>
      <w:r w:rsidRPr="00344CD1">
        <w:rPr>
          <w:rFonts w:ascii="Cambria" w:eastAsia="Batang" w:hAnsi="Cambria" w:cs="Times New Roman"/>
          <w:b/>
          <w:color w:val="000000"/>
          <w:sz w:val="21"/>
          <w:szCs w:val="21"/>
          <w:lang w:val="es-ES"/>
        </w:rPr>
        <w:t xml:space="preserve">Información </w:t>
      </w:r>
      <w:r w:rsidR="005A24AA" w:rsidRPr="00344CD1">
        <w:rPr>
          <w:rFonts w:ascii="Cambria" w:eastAsia="Batang" w:hAnsi="Cambria" w:cs="Times New Roman"/>
          <w:b/>
          <w:color w:val="000000"/>
          <w:sz w:val="21"/>
          <w:szCs w:val="21"/>
          <w:lang w:val="es-ES"/>
        </w:rPr>
        <w:t xml:space="preserve">posterior </w:t>
      </w:r>
      <w:r w:rsidRPr="00344CD1">
        <w:rPr>
          <w:rFonts w:ascii="Cambria" w:eastAsia="Batang" w:hAnsi="Cambria" w:cs="Times New Roman"/>
          <w:b/>
          <w:color w:val="000000"/>
          <w:sz w:val="21"/>
          <w:szCs w:val="21"/>
          <w:lang w:val="es-ES"/>
        </w:rPr>
        <w:t>enviada por las partes</w:t>
      </w:r>
    </w:p>
    <w:p w14:paraId="3518A52D" w14:textId="2797CA98" w:rsidR="00AD6220" w:rsidRPr="00344CD1" w:rsidRDefault="00AD6220" w:rsidP="00D51F89">
      <w:pPr>
        <w:spacing w:after="0" w:line="240" w:lineRule="auto"/>
        <w:contextualSpacing/>
        <w:jc w:val="both"/>
        <w:rPr>
          <w:rFonts w:ascii="Cambria" w:eastAsia="Batang" w:hAnsi="Cambria" w:cs="Times New Roman"/>
          <w:b/>
          <w:color w:val="000000"/>
          <w:sz w:val="21"/>
          <w:szCs w:val="21"/>
          <w:lang w:val="es-ES"/>
        </w:rPr>
      </w:pPr>
    </w:p>
    <w:p w14:paraId="0543F6C6" w14:textId="019B7FEE" w:rsidR="00AD6220" w:rsidRPr="00344CD1" w:rsidRDefault="005A24AA" w:rsidP="00D51F89">
      <w:pPr>
        <w:pStyle w:val="ListParagraph"/>
        <w:numPr>
          <w:ilvl w:val="1"/>
          <w:numId w:val="4"/>
        </w:numPr>
        <w:spacing w:after="0" w:line="240" w:lineRule="auto"/>
        <w:jc w:val="both"/>
        <w:rPr>
          <w:rFonts w:ascii="Cambria" w:eastAsia="Batang" w:hAnsi="Cambria" w:cs="Times New Roman"/>
          <w:b/>
          <w:color w:val="000000"/>
          <w:sz w:val="21"/>
          <w:szCs w:val="21"/>
          <w:lang w:val="es-ES"/>
        </w:rPr>
      </w:pPr>
      <w:r w:rsidRPr="00344CD1">
        <w:rPr>
          <w:rFonts w:ascii="Cambria" w:eastAsia="Batang" w:hAnsi="Cambria" w:cs="Times New Roman"/>
          <w:b/>
          <w:color w:val="000000"/>
          <w:sz w:val="21"/>
          <w:szCs w:val="21"/>
          <w:lang w:val="es-ES"/>
        </w:rPr>
        <w:t>S</w:t>
      </w:r>
      <w:r w:rsidR="00AD6220" w:rsidRPr="00344CD1">
        <w:rPr>
          <w:rFonts w:ascii="Cambria" w:eastAsia="Batang" w:hAnsi="Cambria" w:cs="Times New Roman"/>
          <w:b/>
          <w:color w:val="000000"/>
          <w:sz w:val="21"/>
          <w:szCs w:val="21"/>
          <w:lang w:val="es-ES"/>
        </w:rPr>
        <w:t>olicitantes</w:t>
      </w:r>
    </w:p>
    <w:p w14:paraId="3387F96F" w14:textId="77777777" w:rsidR="00AD6220" w:rsidRPr="00344CD1" w:rsidRDefault="00AD6220" w:rsidP="00D51F89">
      <w:pPr>
        <w:spacing w:after="0" w:line="240" w:lineRule="auto"/>
        <w:contextualSpacing/>
        <w:jc w:val="both"/>
        <w:rPr>
          <w:rFonts w:ascii="Cambria" w:eastAsia="Batang" w:hAnsi="Cambria" w:cs="Times New Roman"/>
          <w:color w:val="000000"/>
          <w:sz w:val="21"/>
          <w:szCs w:val="21"/>
          <w:lang w:val="es-ES"/>
        </w:rPr>
      </w:pPr>
    </w:p>
    <w:p w14:paraId="5EF899BA" w14:textId="56F3F569" w:rsidR="00AD6220" w:rsidRPr="00344CD1" w:rsidRDefault="00AD6220"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El 26 de mayo de 2020,</w:t>
      </w:r>
      <w:r w:rsidR="00856259" w:rsidRPr="00344CD1">
        <w:rPr>
          <w:rFonts w:ascii="Cambria" w:eastAsia="Batang" w:hAnsi="Cambria" w:cs="Times New Roman"/>
          <w:color w:val="000000"/>
          <w:sz w:val="21"/>
          <w:szCs w:val="21"/>
          <w:lang w:val="es-ES"/>
        </w:rPr>
        <w:t xml:space="preserve"> </w:t>
      </w:r>
      <w:r w:rsidR="008D6199" w:rsidRPr="00344CD1">
        <w:rPr>
          <w:rFonts w:ascii="Cambria" w:eastAsia="Batang" w:hAnsi="Cambria" w:cs="Times New Roman"/>
          <w:color w:val="000000"/>
          <w:sz w:val="21"/>
          <w:szCs w:val="21"/>
          <w:lang w:val="es-ES"/>
        </w:rPr>
        <w:t xml:space="preserve">los solicitantes enviaron información actualizada, </w:t>
      </w:r>
      <w:r w:rsidR="005A24AA" w:rsidRPr="00344CD1">
        <w:rPr>
          <w:rFonts w:ascii="Cambria" w:eastAsia="Batang" w:hAnsi="Cambria" w:cs="Times New Roman"/>
          <w:color w:val="000000"/>
          <w:sz w:val="21"/>
          <w:szCs w:val="21"/>
          <w:lang w:val="es-ES"/>
        </w:rPr>
        <w:t xml:space="preserve">reportando </w:t>
      </w:r>
      <w:r w:rsidR="008D6199" w:rsidRPr="00344CD1">
        <w:rPr>
          <w:rFonts w:ascii="Cambria" w:eastAsia="Batang" w:hAnsi="Cambria" w:cs="Times New Roman"/>
          <w:color w:val="000000"/>
          <w:sz w:val="21"/>
          <w:szCs w:val="21"/>
          <w:lang w:val="es-ES"/>
        </w:rPr>
        <w:t>que</w:t>
      </w:r>
      <w:r w:rsidR="0011388A" w:rsidRPr="00344CD1">
        <w:rPr>
          <w:rFonts w:ascii="Cambria" w:eastAsia="Batang" w:hAnsi="Cambria" w:cs="Times New Roman"/>
          <w:color w:val="000000"/>
          <w:sz w:val="21"/>
          <w:szCs w:val="21"/>
          <w:lang w:val="es-ES"/>
        </w:rPr>
        <w:t>, c</w:t>
      </w:r>
      <w:r w:rsidRPr="00344CD1">
        <w:rPr>
          <w:rFonts w:ascii="Cambria" w:eastAsia="Batang" w:hAnsi="Cambria" w:cs="Times New Roman"/>
          <w:color w:val="000000"/>
          <w:sz w:val="21"/>
          <w:szCs w:val="21"/>
          <w:lang w:val="es-ES"/>
        </w:rPr>
        <w:t>on relación a la situación de amenazas</w:t>
      </w:r>
      <w:r w:rsidR="005A24AA" w:rsidRPr="00344CD1">
        <w:rPr>
          <w:rFonts w:ascii="Cambria" w:eastAsia="Batang" w:hAnsi="Cambria" w:cs="Times New Roman"/>
          <w:color w:val="000000"/>
          <w:sz w:val="21"/>
          <w:szCs w:val="21"/>
          <w:lang w:val="es-ES"/>
        </w:rPr>
        <w:t xml:space="preserve"> – </w:t>
      </w:r>
      <w:r w:rsidRPr="00344CD1">
        <w:rPr>
          <w:rFonts w:ascii="Cambria" w:eastAsia="Batang" w:hAnsi="Cambria" w:cs="Times New Roman"/>
          <w:color w:val="000000"/>
          <w:sz w:val="21"/>
          <w:szCs w:val="21"/>
          <w:lang w:val="es-ES"/>
        </w:rPr>
        <w:t xml:space="preserve">principalmente después del asesinato del señor José </w:t>
      </w:r>
      <w:proofErr w:type="spellStart"/>
      <w:r w:rsidRPr="00344CD1">
        <w:rPr>
          <w:rFonts w:ascii="Cambria" w:eastAsia="Batang" w:hAnsi="Cambria" w:cs="Times New Roman"/>
          <w:color w:val="000000"/>
          <w:sz w:val="21"/>
          <w:szCs w:val="21"/>
          <w:lang w:val="es-ES"/>
        </w:rPr>
        <w:t>Isídio</w:t>
      </w:r>
      <w:proofErr w:type="spellEnd"/>
      <w:r w:rsidRPr="00344CD1">
        <w:rPr>
          <w:rFonts w:ascii="Cambria" w:eastAsia="Batang" w:hAnsi="Cambria" w:cs="Times New Roman"/>
          <w:color w:val="000000"/>
          <w:sz w:val="21"/>
          <w:szCs w:val="21"/>
          <w:lang w:val="es-ES"/>
        </w:rPr>
        <w:t xml:space="preserve"> </w:t>
      </w:r>
      <w:proofErr w:type="spellStart"/>
      <w:r w:rsidR="00B667A5" w:rsidRPr="00344CD1">
        <w:rPr>
          <w:rFonts w:ascii="Cambria" w:eastAsia="Batang" w:hAnsi="Cambria" w:cs="Times New Roman"/>
          <w:color w:val="000000"/>
          <w:sz w:val="21"/>
          <w:szCs w:val="21"/>
          <w:lang w:val="es-ES"/>
        </w:rPr>
        <w:t>D</w:t>
      </w:r>
      <w:r w:rsidR="00355F4C" w:rsidRPr="00344CD1">
        <w:rPr>
          <w:rFonts w:ascii="Cambria" w:eastAsia="Batang" w:hAnsi="Cambria" w:cs="Times New Roman"/>
          <w:color w:val="000000"/>
          <w:sz w:val="21"/>
          <w:szCs w:val="21"/>
          <w:lang w:val="es-ES"/>
        </w:rPr>
        <w:t>i</w:t>
      </w:r>
      <w:r w:rsidR="00B667A5" w:rsidRPr="00344CD1">
        <w:rPr>
          <w:rFonts w:ascii="Cambria" w:eastAsia="Batang" w:hAnsi="Cambria" w:cs="Times New Roman"/>
          <w:color w:val="000000"/>
          <w:sz w:val="21"/>
          <w:szCs w:val="21"/>
          <w:lang w:val="es-ES"/>
        </w:rPr>
        <w:t>as</w:t>
      </w:r>
      <w:proofErr w:type="spellEnd"/>
      <w:r w:rsidR="005A24AA" w:rsidRPr="00344CD1">
        <w:rPr>
          <w:rFonts w:ascii="Cambria" w:eastAsia="Batang" w:hAnsi="Cambria" w:cs="Times New Roman"/>
          <w:color w:val="000000"/>
          <w:sz w:val="21"/>
          <w:szCs w:val="21"/>
          <w:lang w:val="es-ES"/>
        </w:rPr>
        <w:t xml:space="preserve"> –, ninguna medida efectiva fue implementada a la fecha, pese a que </w:t>
      </w:r>
      <w:r w:rsidRPr="00344CD1">
        <w:rPr>
          <w:rFonts w:ascii="Cambria" w:eastAsia="Batang" w:hAnsi="Cambria" w:cs="Times New Roman"/>
          <w:color w:val="000000"/>
          <w:sz w:val="21"/>
          <w:szCs w:val="21"/>
          <w:lang w:val="es-ES"/>
        </w:rPr>
        <w:t xml:space="preserve">los representantes de la comunidad </w:t>
      </w:r>
      <w:r w:rsidR="005A24AA" w:rsidRPr="00344CD1">
        <w:rPr>
          <w:rFonts w:ascii="Cambria" w:eastAsia="Batang" w:hAnsi="Cambria" w:cs="Times New Roman"/>
          <w:color w:val="000000"/>
          <w:sz w:val="21"/>
          <w:szCs w:val="21"/>
          <w:lang w:val="es-ES"/>
        </w:rPr>
        <w:t xml:space="preserve">hayan sido </w:t>
      </w:r>
      <w:r w:rsidRPr="00344CD1">
        <w:rPr>
          <w:rFonts w:ascii="Cambria" w:eastAsia="Batang" w:hAnsi="Cambria" w:cs="Times New Roman"/>
          <w:color w:val="000000"/>
          <w:sz w:val="21"/>
          <w:szCs w:val="21"/>
          <w:lang w:val="es-ES"/>
        </w:rPr>
        <w:t>inscritos en el programa de protección a defensores de derechos humanos. La principal solicitud inicial</w:t>
      </w:r>
      <w:r w:rsidR="005A24AA" w:rsidRPr="00344CD1">
        <w:rPr>
          <w:rFonts w:ascii="Cambria" w:eastAsia="Batang" w:hAnsi="Cambria" w:cs="Times New Roman"/>
          <w:color w:val="000000"/>
          <w:sz w:val="21"/>
          <w:szCs w:val="21"/>
          <w:lang w:val="es-ES"/>
        </w:rPr>
        <w:t>mente manifestada a las autoridades por parte</w:t>
      </w:r>
      <w:r w:rsidRPr="00344CD1">
        <w:rPr>
          <w:rFonts w:ascii="Cambria" w:eastAsia="Batang" w:hAnsi="Cambria" w:cs="Times New Roman"/>
          <w:color w:val="000000"/>
          <w:sz w:val="21"/>
          <w:szCs w:val="21"/>
          <w:lang w:val="es-ES"/>
        </w:rPr>
        <w:t xml:space="preserve"> de l</w:t>
      </w:r>
      <w:r w:rsidR="00856259" w:rsidRPr="00344CD1">
        <w:rPr>
          <w:rFonts w:ascii="Cambria" w:eastAsia="Batang" w:hAnsi="Cambria" w:cs="Times New Roman"/>
          <w:color w:val="000000"/>
          <w:sz w:val="21"/>
          <w:szCs w:val="21"/>
          <w:lang w:val="es-ES"/>
        </w:rPr>
        <w:t xml:space="preserve">os propuestos beneficiarios </w:t>
      </w:r>
      <w:r w:rsidR="005A24AA" w:rsidRPr="00344CD1">
        <w:rPr>
          <w:rFonts w:ascii="Cambria" w:eastAsia="Batang" w:hAnsi="Cambria" w:cs="Times New Roman"/>
          <w:color w:val="000000"/>
          <w:sz w:val="21"/>
          <w:szCs w:val="21"/>
          <w:lang w:val="es-ES"/>
        </w:rPr>
        <w:t>en relación con e</w:t>
      </w:r>
      <w:r w:rsidR="00856259" w:rsidRPr="00344CD1">
        <w:rPr>
          <w:rFonts w:ascii="Cambria" w:eastAsia="Batang" w:hAnsi="Cambria" w:cs="Times New Roman"/>
          <w:color w:val="000000"/>
          <w:sz w:val="21"/>
          <w:szCs w:val="21"/>
          <w:lang w:val="es-ES"/>
        </w:rPr>
        <w:t>l Programa de P</w:t>
      </w:r>
      <w:r w:rsidRPr="00344CD1">
        <w:rPr>
          <w:rFonts w:ascii="Cambria" w:eastAsia="Batang" w:hAnsi="Cambria" w:cs="Times New Roman"/>
          <w:color w:val="000000"/>
          <w:sz w:val="21"/>
          <w:szCs w:val="21"/>
          <w:lang w:val="es-ES"/>
        </w:rPr>
        <w:t xml:space="preserve">rotección </w:t>
      </w:r>
      <w:r w:rsidR="005A24AA" w:rsidRPr="00344CD1">
        <w:rPr>
          <w:rFonts w:ascii="Cambria" w:eastAsia="Batang" w:hAnsi="Cambria" w:cs="Times New Roman"/>
          <w:color w:val="000000"/>
          <w:sz w:val="21"/>
          <w:szCs w:val="21"/>
          <w:lang w:val="es-ES"/>
        </w:rPr>
        <w:t>fue la necesidad de contar con</w:t>
      </w:r>
      <w:r w:rsidRPr="00344CD1">
        <w:rPr>
          <w:rFonts w:ascii="Cambria" w:eastAsia="Batang" w:hAnsi="Cambria" w:cs="Times New Roman"/>
          <w:color w:val="000000"/>
          <w:sz w:val="21"/>
          <w:szCs w:val="21"/>
          <w:lang w:val="es-ES"/>
        </w:rPr>
        <w:t xml:space="preserve"> rondines policiales en periodo nocturno</w:t>
      </w:r>
      <w:r w:rsidR="005A24AA" w:rsidRPr="00344CD1">
        <w:rPr>
          <w:rFonts w:ascii="Cambria" w:eastAsia="Batang" w:hAnsi="Cambria" w:cs="Times New Roman"/>
          <w:color w:val="000000"/>
          <w:sz w:val="21"/>
          <w:szCs w:val="21"/>
          <w:lang w:val="es-ES"/>
        </w:rPr>
        <w:t xml:space="preserve">. Sin embargo, esta medida no llegó a darse </w:t>
      </w:r>
      <w:r w:rsidRPr="00344CD1">
        <w:rPr>
          <w:rFonts w:ascii="Cambria" w:eastAsia="Batang" w:hAnsi="Cambria" w:cs="Times New Roman"/>
          <w:color w:val="000000"/>
          <w:sz w:val="21"/>
          <w:szCs w:val="21"/>
          <w:lang w:val="es-ES"/>
        </w:rPr>
        <w:t xml:space="preserve">por </w:t>
      </w:r>
      <w:r w:rsidR="005A24AA" w:rsidRPr="00344CD1">
        <w:rPr>
          <w:rFonts w:ascii="Cambria" w:eastAsia="Batang" w:hAnsi="Cambria" w:cs="Times New Roman"/>
          <w:color w:val="000000"/>
          <w:sz w:val="21"/>
          <w:szCs w:val="21"/>
          <w:lang w:val="es-ES"/>
        </w:rPr>
        <w:t xml:space="preserve">las </w:t>
      </w:r>
      <w:r w:rsidRPr="00344CD1">
        <w:rPr>
          <w:rFonts w:ascii="Cambria" w:eastAsia="Batang" w:hAnsi="Cambria" w:cs="Times New Roman"/>
          <w:color w:val="000000"/>
          <w:sz w:val="21"/>
          <w:szCs w:val="21"/>
          <w:lang w:val="es-ES"/>
        </w:rPr>
        <w:t xml:space="preserve">dificultades </w:t>
      </w:r>
      <w:r w:rsidR="005A24AA" w:rsidRPr="00344CD1">
        <w:rPr>
          <w:rFonts w:ascii="Cambria" w:eastAsia="Batang" w:hAnsi="Cambria" w:cs="Times New Roman"/>
          <w:color w:val="000000"/>
          <w:sz w:val="21"/>
          <w:szCs w:val="21"/>
          <w:lang w:val="es-ES"/>
        </w:rPr>
        <w:t xml:space="preserve">enfrentadas por los agentes para acceder </w:t>
      </w:r>
      <w:r w:rsidRPr="00344CD1">
        <w:rPr>
          <w:rFonts w:ascii="Cambria" w:eastAsia="Batang" w:hAnsi="Cambria" w:cs="Times New Roman"/>
          <w:color w:val="000000"/>
          <w:sz w:val="21"/>
          <w:szCs w:val="21"/>
          <w:lang w:val="es-ES"/>
        </w:rPr>
        <w:t>al quilombo por la noche,</w:t>
      </w:r>
      <w:r w:rsidR="005A24AA" w:rsidRPr="00344CD1">
        <w:rPr>
          <w:rFonts w:ascii="Cambria" w:eastAsia="Batang" w:hAnsi="Cambria" w:cs="Times New Roman"/>
          <w:color w:val="000000"/>
          <w:sz w:val="21"/>
          <w:szCs w:val="21"/>
          <w:lang w:val="es-ES"/>
        </w:rPr>
        <w:t xml:space="preserve"> limitándose así la implementación de</w:t>
      </w:r>
      <w:r w:rsidRPr="00344CD1">
        <w:rPr>
          <w:rFonts w:ascii="Cambria" w:eastAsia="Batang" w:hAnsi="Cambria" w:cs="Times New Roman"/>
          <w:color w:val="000000"/>
          <w:sz w:val="21"/>
          <w:szCs w:val="21"/>
          <w:lang w:val="es-ES"/>
        </w:rPr>
        <w:t xml:space="preserve"> los rondines en el periodo diurno. Los solicitantes alegaron que </w:t>
      </w:r>
      <w:r w:rsidR="005A24AA" w:rsidRPr="00344CD1">
        <w:rPr>
          <w:rFonts w:ascii="Cambria" w:eastAsia="Batang" w:hAnsi="Cambria" w:cs="Times New Roman"/>
          <w:color w:val="000000"/>
          <w:sz w:val="21"/>
          <w:szCs w:val="21"/>
          <w:lang w:val="es-ES"/>
        </w:rPr>
        <w:t>estos</w:t>
      </w:r>
      <w:r w:rsidRPr="00344CD1">
        <w:rPr>
          <w:rFonts w:ascii="Cambria" w:eastAsia="Batang" w:hAnsi="Cambria" w:cs="Times New Roman"/>
          <w:color w:val="000000"/>
          <w:sz w:val="21"/>
          <w:szCs w:val="21"/>
          <w:lang w:val="es-ES"/>
        </w:rPr>
        <w:t xml:space="preserve"> “consisten básicamente en </w:t>
      </w:r>
      <w:r w:rsidR="005A24AA" w:rsidRPr="00344CD1">
        <w:rPr>
          <w:rFonts w:ascii="Cambria" w:eastAsia="Batang" w:hAnsi="Cambria" w:cs="Times New Roman"/>
          <w:color w:val="000000"/>
          <w:sz w:val="21"/>
          <w:szCs w:val="21"/>
          <w:lang w:val="es-ES"/>
        </w:rPr>
        <w:t>transitar rápidamente</w:t>
      </w:r>
      <w:r w:rsidRPr="00344CD1">
        <w:rPr>
          <w:rFonts w:ascii="Cambria" w:eastAsia="Batang" w:hAnsi="Cambria" w:cs="Times New Roman"/>
          <w:color w:val="000000"/>
          <w:sz w:val="21"/>
          <w:szCs w:val="21"/>
          <w:lang w:val="es-ES"/>
        </w:rPr>
        <w:t xml:space="preserve"> delante de algunas casas del territorio, las cuales son fotografiadas, pero no hay circulación de los policías en todo el territorio, particularmente en las áreas de bosque, </w:t>
      </w:r>
      <w:r w:rsidR="005A24AA" w:rsidRPr="00344CD1">
        <w:rPr>
          <w:rFonts w:ascii="Cambria" w:eastAsia="Batang" w:hAnsi="Cambria" w:cs="Times New Roman"/>
          <w:color w:val="000000"/>
          <w:sz w:val="21"/>
          <w:szCs w:val="21"/>
          <w:lang w:val="es-ES"/>
        </w:rPr>
        <w:t xml:space="preserve">lugares </w:t>
      </w:r>
      <w:r w:rsidRPr="00344CD1">
        <w:rPr>
          <w:rFonts w:ascii="Cambria" w:eastAsia="Batang" w:hAnsi="Cambria" w:cs="Times New Roman"/>
          <w:color w:val="000000"/>
          <w:sz w:val="21"/>
          <w:szCs w:val="21"/>
          <w:lang w:val="es-ES"/>
        </w:rPr>
        <w:t>en donde circulan personas desconocidas y armadas. Se indica, entonces, que los rondines policiales no se constituyen medidas efectivas de seguridad.”</w:t>
      </w:r>
    </w:p>
    <w:p w14:paraId="022E56CE" w14:textId="77777777" w:rsidR="00AD6220" w:rsidRPr="00344CD1" w:rsidRDefault="00AD6220" w:rsidP="00D51F89">
      <w:pPr>
        <w:spacing w:after="0" w:line="240" w:lineRule="auto"/>
        <w:contextualSpacing/>
        <w:jc w:val="both"/>
        <w:rPr>
          <w:rFonts w:ascii="Cambria" w:eastAsia="Batang" w:hAnsi="Cambria" w:cs="Times New Roman"/>
          <w:color w:val="000000"/>
          <w:sz w:val="21"/>
          <w:szCs w:val="21"/>
          <w:lang w:val="es-ES"/>
        </w:rPr>
      </w:pPr>
    </w:p>
    <w:p w14:paraId="46C4D555" w14:textId="6224C8D3" w:rsidR="00AD6220" w:rsidRPr="00344CD1" w:rsidRDefault="00AD6220"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Agregado a lo anterior, los solicitantes alegaron que la policía, en vez de garantizar la seguridad de la comunidad </w:t>
      </w:r>
      <w:proofErr w:type="spellStart"/>
      <w:r w:rsidRPr="00344CD1">
        <w:rPr>
          <w:rFonts w:ascii="Cambria" w:eastAsia="Batang" w:hAnsi="Cambria" w:cs="Times New Roman"/>
          <w:color w:val="000000"/>
          <w:sz w:val="21"/>
          <w:szCs w:val="21"/>
          <w:lang w:val="es-ES"/>
        </w:rPr>
        <w:t>quilombola</w:t>
      </w:r>
      <w:proofErr w:type="spellEnd"/>
      <w:r w:rsidRPr="00344CD1">
        <w:rPr>
          <w:rFonts w:ascii="Cambria" w:eastAsia="Batang" w:hAnsi="Cambria" w:cs="Times New Roman"/>
          <w:color w:val="000000"/>
          <w:sz w:val="21"/>
          <w:szCs w:val="21"/>
          <w:lang w:val="es-ES"/>
        </w:rPr>
        <w:t xml:space="preserve">, </w:t>
      </w:r>
      <w:r w:rsidR="005A24AA" w:rsidRPr="00344CD1">
        <w:rPr>
          <w:rFonts w:ascii="Cambria" w:eastAsia="Batang" w:hAnsi="Cambria" w:cs="Times New Roman"/>
          <w:color w:val="000000"/>
          <w:sz w:val="21"/>
          <w:szCs w:val="21"/>
          <w:lang w:val="es-ES"/>
        </w:rPr>
        <w:t>llevó a cabo</w:t>
      </w:r>
      <w:r w:rsidRPr="00344CD1">
        <w:rPr>
          <w:rFonts w:ascii="Cambria" w:eastAsia="Batang" w:hAnsi="Cambria" w:cs="Times New Roman"/>
          <w:color w:val="000000"/>
          <w:sz w:val="21"/>
          <w:szCs w:val="21"/>
          <w:lang w:val="es-ES"/>
        </w:rPr>
        <w:t xml:space="preserve"> “acciones violentas y </w:t>
      </w:r>
      <w:proofErr w:type="spellStart"/>
      <w:r w:rsidRPr="00344CD1">
        <w:rPr>
          <w:rFonts w:ascii="Cambria" w:eastAsia="Batang" w:hAnsi="Cambria" w:cs="Times New Roman"/>
          <w:color w:val="000000"/>
          <w:sz w:val="21"/>
          <w:szCs w:val="21"/>
          <w:lang w:val="es-ES"/>
        </w:rPr>
        <w:t>criminalizadoras</w:t>
      </w:r>
      <w:proofErr w:type="spellEnd"/>
      <w:r w:rsidRPr="00344CD1">
        <w:rPr>
          <w:rFonts w:ascii="Cambria" w:eastAsia="Batang" w:hAnsi="Cambria" w:cs="Times New Roman"/>
          <w:color w:val="000000"/>
          <w:sz w:val="21"/>
          <w:szCs w:val="21"/>
          <w:lang w:val="es-ES"/>
        </w:rPr>
        <w:t xml:space="preserve">” contra los miembros de la comunidad. El 22 de diciembre de 2019, tres adolescentes, siendo uno de ellos </w:t>
      </w:r>
      <w:r w:rsidR="001F0D9D" w:rsidRPr="00344CD1">
        <w:rPr>
          <w:rFonts w:ascii="Cambria" w:eastAsia="Batang" w:hAnsi="Cambria" w:cs="Times New Roman"/>
          <w:color w:val="000000"/>
          <w:sz w:val="21"/>
          <w:szCs w:val="21"/>
          <w:lang w:val="es-ES"/>
        </w:rPr>
        <w:t>familiar</w:t>
      </w:r>
      <w:r w:rsidRPr="00344CD1">
        <w:rPr>
          <w:rFonts w:ascii="Cambria" w:eastAsia="Batang" w:hAnsi="Cambria" w:cs="Times New Roman"/>
          <w:color w:val="000000"/>
          <w:sz w:val="21"/>
          <w:szCs w:val="21"/>
          <w:lang w:val="es-ES"/>
        </w:rPr>
        <w:t xml:space="preserve"> de la lideresa la </w:t>
      </w:r>
      <w:r w:rsidR="00856259" w:rsidRPr="00344CD1">
        <w:rPr>
          <w:rFonts w:ascii="Cambria" w:eastAsia="Batang" w:hAnsi="Cambria" w:cs="Times New Roman"/>
          <w:color w:val="000000"/>
          <w:sz w:val="21"/>
          <w:szCs w:val="21"/>
          <w:lang w:val="es-ES"/>
        </w:rPr>
        <w:t xml:space="preserve">señora Rose </w:t>
      </w:r>
      <w:proofErr w:type="spellStart"/>
      <w:r w:rsidR="00856259" w:rsidRPr="00344CD1">
        <w:rPr>
          <w:rFonts w:ascii="Cambria" w:eastAsia="Batang" w:hAnsi="Cambria" w:cs="Times New Roman"/>
          <w:color w:val="000000"/>
          <w:sz w:val="21"/>
          <w:szCs w:val="21"/>
          <w:lang w:val="es-ES"/>
        </w:rPr>
        <w:t>Meire</w:t>
      </w:r>
      <w:proofErr w:type="spellEnd"/>
      <w:r w:rsidR="00856259" w:rsidRPr="00344CD1">
        <w:rPr>
          <w:rFonts w:ascii="Cambria" w:eastAsia="Batang" w:hAnsi="Cambria" w:cs="Times New Roman"/>
          <w:color w:val="000000"/>
          <w:sz w:val="21"/>
          <w:szCs w:val="21"/>
          <w:lang w:val="es-ES"/>
        </w:rPr>
        <w:t xml:space="preserve"> Santos Silva</w:t>
      </w:r>
      <w:r w:rsidRPr="00344CD1">
        <w:rPr>
          <w:rFonts w:ascii="Cambria" w:eastAsia="Batang" w:hAnsi="Cambria" w:cs="Times New Roman"/>
          <w:color w:val="000000"/>
          <w:sz w:val="21"/>
          <w:szCs w:val="21"/>
          <w:lang w:val="es-ES"/>
        </w:rPr>
        <w:t xml:space="preserve">, habrían sido </w:t>
      </w:r>
      <w:r w:rsidR="005A24AA" w:rsidRPr="00344CD1">
        <w:rPr>
          <w:rFonts w:ascii="Cambria" w:eastAsia="Batang" w:hAnsi="Cambria" w:cs="Times New Roman"/>
          <w:color w:val="000000"/>
          <w:sz w:val="21"/>
          <w:szCs w:val="21"/>
          <w:lang w:val="es-ES"/>
        </w:rPr>
        <w:t xml:space="preserve">agredidos por la policía durante una detención por </w:t>
      </w:r>
      <w:r w:rsidR="00937B81" w:rsidRPr="00344CD1">
        <w:rPr>
          <w:rFonts w:ascii="Cambria" w:eastAsia="Batang" w:hAnsi="Cambria" w:cs="Times New Roman"/>
          <w:color w:val="000000"/>
          <w:sz w:val="21"/>
          <w:szCs w:val="21"/>
          <w:lang w:val="es-ES"/>
        </w:rPr>
        <w:t xml:space="preserve">presunta </w:t>
      </w:r>
      <w:r w:rsidR="005A24AA" w:rsidRPr="00344CD1">
        <w:rPr>
          <w:rFonts w:ascii="Cambria" w:eastAsia="Batang" w:hAnsi="Cambria" w:cs="Times New Roman"/>
          <w:color w:val="000000"/>
          <w:sz w:val="21"/>
          <w:szCs w:val="21"/>
          <w:lang w:val="es-ES"/>
        </w:rPr>
        <w:t>tenencia</w:t>
      </w:r>
      <w:r w:rsidRPr="00344CD1">
        <w:rPr>
          <w:rFonts w:ascii="Cambria" w:eastAsia="Batang" w:hAnsi="Cambria" w:cs="Times New Roman"/>
          <w:color w:val="000000"/>
          <w:sz w:val="21"/>
          <w:szCs w:val="21"/>
          <w:lang w:val="es-ES"/>
        </w:rPr>
        <w:t xml:space="preserve"> de sustancias ilícitas. </w:t>
      </w:r>
      <w:r w:rsidR="005A24AA" w:rsidRPr="00344CD1">
        <w:rPr>
          <w:rFonts w:ascii="Cambria" w:eastAsia="Batang" w:hAnsi="Cambria" w:cs="Times New Roman"/>
          <w:color w:val="000000"/>
          <w:sz w:val="21"/>
          <w:szCs w:val="21"/>
          <w:lang w:val="es-ES"/>
        </w:rPr>
        <w:t>En particular, se indicó que los agentes hicieron uso de sus armas de fuego y que los llevaron de manera violenta a la comisaría, siendo posteriormente puestos en libertad tras descartarse los cargos</w:t>
      </w:r>
      <w:r w:rsidRPr="00344CD1">
        <w:rPr>
          <w:rFonts w:ascii="Cambria" w:eastAsia="Batang" w:hAnsi="Cambria" w:cs="Times New Roman"/>
          <w:color w:val="000000"/>
          <w:sz w:val="21"/>
          <w:szCs w:val="21"/>
          <w:lang w:val="es-ES"/>
        </w:rPr>
        <w:t xml:space="preserve">. El 15 de abril de 2020, otro propuesto beneficiario, también </w:t>
      </w:r>
      <w:r w:rsidR="00FF0E08" w:rsidRPr="00344CD1">
        <w:rPr>
          <w:rFonts w:ascii="Cambria" w:eastAsia="Batang" w:hAnsi="Cambria" w:cs="Times New Roman"/>
          <w:color w:val="000000"/>
          <w:sz w:val="21"/>
          <w:szCs w:val="21"/>
          <w:lang w:val="es-ES"/>
        </w:rPr>
        <w:t>familiar</w:t>
      </w:r>
      <w:r w:rsidRPr="00344CD1">
        <w:rPr>
          <w:rFonts w:ascii="Cambria" w:eastAsia="Batang" w:hAnsi="Cambria" w:cs="Times New Roman"/>
          <w:color w:val="000000"/>
          <w:sz w:val="21"/>
          <w:szCs w:val="21"/>
          <w:lang w:val="es-ES"/>
        </w:rPr>
        <w:t xml:space="preserve"> de la señora Rose </w:t>
      </w:r>
      <w:proofErr w:type="spellStart"/>
      <w:r w:rsidRPr="00344CD1">
        <w:rPr>
          <w:rFonts w:ascii="Cambria" w:eastAsia="Batang" w:hAnsi="Cambria" w:cs="Times New Roman"/>
          <w:color w:val="000000"/>
          <w:sz w:val="21"/>
          <w:szCs w:val="21"/>
          <w:lang w:val="es-ES"/>
        </w:rPr>
        <w:t>Meire</w:t>
      </w:r>
      <w:proofErr w:type="spellEnd"/>
      <w:r w:rsidRPr="00344CD1">
        <w:rPr>
          <w:rFonts w:ascii="Cambria" w:eastAsia="Batang" w:hAnsi="Cambria" w:cs="Times New Roman"/>
          <w:color w:val="000000"/>
          <w:sz w:val="21"/>
          <w:szCs w:val="21"/>
          <w:lang w:val="es-ES"/>
        </w:rPr>
        <w:t xml:space="preserve"> Santos Silva, fue </w:t>
      </w:r>
      <w:r w:rsidR="005A24AA" w:rsidRPr="00344CD1">
        <w:rPr>
          <w:rFonts w:ascii="Cambria" w:eastAsia="Batang" w:hAnsi="Cambria" w:cs="Times New Roman"/>
          <w:color w:val="000000"/>
          <w:sz w:val="21"/>
          <w:szCs w:val="21"/>
          <w:lang w:val="es-ES"/>
        </w:rPr>
        <w:t xml:space="preserve">inicialmente detenido y llevado a la comisaría, aunque tampoco se terminó por </w:t>
      </w:r>
      <w:r w:rsidR="00937B81" w:rsidRPr="00344CD1">
        <w:rPr>
          <w:rFonts w:ascii="Cambria" w:eastAsia="Batang" w:hAnsi="Cambria" w:cs="Times New Roman"/>
          <w:color w:val="000000"/>
          <w:sz w:val="21"/>
          <w:szCs w:val="21"/>
          <w:lang w:val="es-ES"/>
        </w:rPr>
        <w:t>formular cargos en su contra</w:t>
      </w:r>
      <w:r w:rsidR="005A24AA" w:rsidRPr="00344CD1">
        <w:rPr>
          <w:rFonts w:ascii="Cambria" w:eastAsia="Batang" w:hAnsi="Cambria" w:cs="Times New Roman"/>
          <w:color w:val="000000"/>
          <w:sz w:val="21"/>
          <w:szCs w:val="21"/>
          <w:lang w:val="es-ES"/>
        </w:rPr>
        <w:t xml:space="preserve"> </w:t>
      </w:r>
      <w:r w:rsidR="00A80662" w:rsidRPr="00344CD1">
        <w:rPr>
          <w:rFonts w:ascii="Cambria" w:eastAsia="Batang" w:hAnsi="Cambria" w:cs="Times New Roman"/>
          <w:color w:val="000000"/>
          <w:sz w:val="21"/>
          <w:szCs w:val="21"/>
          <w:lang w:val="es-ES"/>
        </w:rPr>
        <w:t>en razón</w:t>
      </w:r>
      <w:r w:rsidR="00937B81" w:rsidRPr="00344CD1">
        <w:rPr>
          <w:rFonts w:ascii="Cambria" w:eastAsia="Batang" w:hAnsi="Cambria" w:cs="Times New Roman"/>
          <w:color w:val="000000"/>
          <w:sz w:val="21"/>
          <w:szCs w:val="21"/>
          <w:lang w:val="es-ES"/>
        </w:rPr>
        <w:t xml:space="preserve"> </w:t>
      </w:r>
      <w:r w:rsidR="00A80662" w:rsidRPr="00344CD1">
        <w:rPr>
          <w:rFonts w:ascii="Cambria" w:eastAsia="Batang" w:hAnsi="Cambria" w:cs="Times New Roman"/>
          <w:color w:val="000000"/>
          <w:sz w:val="21"/>
          <w:szCs w:val="21"/>
          <w:lang w:val="es-ES"/>
        </w:rPr>
        <w:t>de</w:t>
      </w:r>
      <w:r w:rsidR="00937B81" w:rsidRPr="00344CD1">
        <w:rPr>
          <w:rFonts w:ascii="Cambria" w:eastAsia="Batang" w:hAnsi="Cambria" w:cs="Times New Roman"/>
          <w:color w:val="000000"/>
          <w:sz w:val="21"/>
          <w:szCs w:val="21"/>
          <w:lang w:val="es-ES"/>
        </w:rPr>
        <w:t xml:space="preserve"> </w:t>
      </w:r>
      <w:r w:rsidRPr="00344CD1">
        <w:rPr>
          <w:rFonts w:ascii="Cambria" w:eastAsia="Batang" w:hAnsi="Cambria" w:cs="Times New Roman"/>
          <w:color w:val="000000"/>
          <w:sz w:val="21"/>
          <w:szCs w:val="21"/>
          <w:lang w:val="es-ES"/>
        </w:rPr>
        <w:t xml:space="preserve">“aclaraciones realizadas”. Debido a </w:t>
      </w:r>
      <w:r w:rsidR="005A24AA" w:rsidRPr="00344CD1">
        <w:rPr>
          <w:rFonts w:ascii="Cambria" w:eastAsia="Batang" w:hAnsi="Cambria" w:cs="Times New Roman"/>
          <w:color w:val="000000"/>
          <w:sz w:val="21"/>
          <w:szCs w:val="21"/>
          <w:lang w:val="es-ES"/>
        </w:rPr>
        <w:t>estos incidentes</w:t>
      </w:r>
      <w:r w:rsidRPr="00344CD1">
        <w:rPr>
          <w:rFonts w:ascii="Cambria" w:eastAsia="Batang" w:hAnsi="Cambria" w:cs="Times New Roman"/>
          <w:color w:val="000000"/>
          <w:sz w:val="21"/>
          <w:szCs w:val="21"/>
          <w:lang w:val="es-ES"/>
        </w:rPr>
        <w:t xml:space="preserve">, </w:t>
      </w:r>
      <w:r w:rsidR="000F53B0" w:rsidRPr="00344CD1">
        <w:rPr>
          <w:rFonts w:ascii="Cambria" w:eastAsia="Batang" w:hAnsi="Cambria" w:cs="Times New Roman"/>
          <w:color w:val="000000"/>
          <w:sz w:val="21"/>
          <w:szCs w:val="21"/>
          <w:lang w:val="es-ES"/>
        </w:rPr>
        <w:t xml:space="preserve">los solicitantes afirman que </w:t>
      </w:r>
      <w:r w:rsidRPr="00344CD1">
        <w:rPr>
          <w:rFonts w:ascii="Cambria" w:eastAsia="Batang" w:hAnsi="Cambria" w:cs="Times New Roman"/>
          <w:color w:val="000000"/>
          <w:sz w:val="21"/>
          <w:szCs w:val="21"/>
          <w:lang w:val="es-ES"/>
        </w:rPr>
        <w:t xml:space="preserve">los rondines policiales </w:t>
      </w:r>
      <w:r w:rsidR="005A24AA" w:rsidRPr="00344CD1">
        <w:rPr>
          <w:rFonts w:ascii="Cambria" w:eastAsia="Batang" w:hAnsi="Cambria" w:cs="Times New Roman"/>
          <w:color w:val="000000"/>
          <w:sz w:val="21"/>
          <w:szCs w:val="21"/>
          <w:lang w:val="es-ES"/>
        </w:rPr>
        <w:t xml:space="preserve">ya </w:t>
      </w:r>
      <w:r w:rsidRPr="00344CD1">
        <w:rPr>
          <w:rFonts w:ascii="Cambria" w:eastAsia="Batang" w:hAnsi="Cambria" w:cs="Times New Roman"/>
          <w:color w:val="000000"/>
          <w:sz w:val="21"/>
          <w:szCs w:val="21"/>
          <w:lang w:val="es-ES"/>
        </w:rPr>
        <w:t xml:space="preserve">no </w:t>
      </w:r>
      <w:r w:rsidR="000F53B0" w:rsidRPr="00344CD1">
        <w:rPr>
          <w:rFonts w:ascii="Cambria" w:eastAsia="Batang" w:hAnsi="Cambria" w:cs="Times New Roman"/>
          <w:color w:val="000000"/>
          <w:sz w:val="21"/>
          <w:szCs w:val="21"/>
          <w:lang w:val="es-ES"/>
        </w:rPr>
        <w:t xml:space="preserve">son </w:t>
      </w:r>
      <w:r w:rsidRPr="00344CD1">
        <w:rPr>
          <w:rFonts w:ascii="Cambria" w:eastAsia="Batang" w:hAnsi="Cambria" w:cs="Times New Roman"/>
          <w:color w:val="000000"/>
          <w:sz w:val="21"/>
          <w:szCs w:val="21"/>
          <w:lang w:val="es-ES"/>
        </w:rPr>
        <w:t>una medida de seguridad deseada por la comunidad.</w:t>
      </w:r>
    </w:p>
    <w:p w14:paraId="0838F613" w14:textId="77777777" w:rsidR="00AD6220" w:rsidRPr="00344CD1" w:rsidRDefault="00AD6220" w:rsidP="00D51F89">
      <w:pPr>
        <w:spacing w:after="0" w:line="240" w:lineRule="auto"/>
        <w:contextualSpacing/>
        <w:jc w:val="both"/>
        <w:rPr>
          <w:rFonts w:ascii="Cambria" w:eastAsia="Batang" w:hAnsi="Cambria" w:cs="Times New Roman"/>
          <w:color w:val="000000"/>
          <w:sz w:val="21"/>
          <w:szCs w:val="21"/>
          <w:lang w:val="es-ES"/>
        </w:rPr>
      </w:pPr>
    </w:p>
    <w:p w14:paraId="0C44F95E" w14:textId="390F0B3C" w:rsidR="00AD6220" w:rsidRPr="00344CD1" w:rsidRDefault="00AD6220"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Con relación a la investigación y presunta definición de autoría del asesinato del señor José </w:t>
      </w:r>
      <w:proofErr w:type="spellStart"/>
      <w:r w:rsidRPr="00344CD1">
        <w:rPr>
          <w:rFonts w:ascii="Cambria" w:eastAsia="Batang" w:hAnsi="Cambria" w:cs="Times New Roman"/>
          <w:color w:val="000000"/>
          <w:sz w:val="21"/>
          <w:szCs w:val="21"/>
          <w:lang w:val="es-ES"/>
        </w:rPr>
        <w:t>Isídio</w:t>
      </w:r>
      <w:proofErr w:type="spellEnd"/>
      <w:r w:rsidRPr="00344CD1">
        <w:rPr>
          <w:rFonts w:ascii="Cambria" w:eastAsia="Batang" w:hAnsi="Cambria" w:cs="Times New Roman"/>
          <w:color w:val="000000"/>
          <w:sz w:val="21"/>
          <w:szCs w:val="21"/>
          <w:lang w:val="es-ES"/>
        </w:rPr>
        <w:t xml:space="preserve"> </w:t>
      </w:r>
      <w:proofErr w:type="spellStart"/>
      <w:r w:rsidR="00B667A5" w:rsidRPr="00344CD1">
        <w:rPr>
          <w:rFonts w:ascii="Cambria" w:eastAsia="Batang" w:hAnsi="Cambria" w:cs="Times New Roman"/>
          <w:color w:val="000000"/>
          <w:sz w:val="21"/>
          <w:szCs w:val="21"/>
          <w:lang w:val="es-ES"/>
        </w:rPr>
        <w:t>D</w:t>
      </w:r>
      <w:r w:rsidR="00355F4C" w:rsidRPr="00344CD1">
        <w:rPr>
          <w:rFonts w:ascii="Cambria" w:eastAsia="Batang" w:hAnsi="Cambria" w:cs="Times New Roman"/>
          <w:color w:val="000000"/>
          <w:sz w:val="21"/>
          <w:szCs w:val="21"/>
          <w:lang w:val="es-ES"/>
        </w:rPr>
        <w:t>i</w:t>
      </w:r>
      <w:r w:rsidR="00B667A5" w:rsidRPr="00344CD1">
        <w:rPr>
          <w:rFonts w:ascii="Cambria" w:eastAsia="Batang" w:hAnsi="Cambria" w:cs="Times New Roman"/>
          <w:color w:val="000000"/>
          <w:sz w:val="21"/>
          <w:szCs w:val="21"/>
          <w:lang w:val="es-ES"/>
        </w:rPr>
        <w:t>as</w:t>
      </w:r>
      <w:proofErr w:type="spellEnd"/>
      <w:r w:rsidRPr="00344CD1">
        <w:rPr>
          <w:rFonts w:ascii="Cambria" w:eastAsia="Batang" w:hAnsi="Cambria" w:cs="Times New Roman"/>
          <w:color w:val="000000"/>
          <w:sz w:val="21"/>
          <w:szCs w:val="21"/>
          <w:lang w:val="es-ES"/>
        </w:rPr>
        <w:t>, lo</w:t>
      </w:r>
      <w:r w:rsidR="00FF0E08" w:rsidRPr="00344CD1">
        <w:rPr>
          <w:rFonts w:ascii="Cambria" w:eastAsia="Batang" w:hAnsi="Cambria" w:cs="Times New Roman"/>
          <w:color w:val="000000"/>
          <w:sz w:val="21"/>
          <w:szCs w:val="21"/>
          <w:lang w:val="es-ES"/>
        </w:rPr>
        <w:t>s solicitantes resaltan que “l</w:t>
      </w:r>
      <w:r w:rsidRPr="00344CD1">
        <w:rPr>
          <w:rFonts w:ascii="Cambria" w:eastAsia="Batang" w:hAnsi="Cambria" w:cs="Times New Roman"/>
          <w:color w:val="000000"/>
          <w:sz w:val="21"/>
          <w:szCs w:val="21"/>
          <w:lang w:val="es-ES"/>
        </w:rPr>
        <w:t>os elementos f</w:t>
      </w:r>
      <w:r w:rsidR="005A24AA" w:rsidRPr="00344CD1">
        <w:rPr>
          <w:rFonts w:ascii="Cambria" w:eastAsia="Batang" w:hAnsi="Cambria" w:cs="Times New Roman"/>
          <w:color w:val="000000"/>
          <w:sz w:val="21"/>
          <w:szCs w:val="21"/>
          <w:lang w:val="es-ES"/>
        </w:rPr>
        <w:t>á</w:t>
      </w:r>
      <w:r w:rsidRPr="00344CD1">
        <w:rPr>
          <w:rFonts w:ascii="Cambria" w:eastAsia="Batang" w:hAnsi="Cambria" w:cs="Times New Roman"/>
          <w:color w:val="000000"/>
          <w:sz w:val="21"/>
          <w:szCs w:val="21"/>
          <w:lang w:val="es-ES"/>
        </w:rPr>
        <w:t>cticos del homicidio, sobre todo las condiciones de c</w:t>
      </w:r>
      <w:r w:rsidR="005A24AA" w:rsidRPr="00344CD1">
        <w:rPr>
          <w:rFonts w:ascii="Cambria" w:eastAsia="Batang" w:hAnsi="Cambria" w:cs="Times New Roman"/>
          <w:color w:val="000000"/>
          <w:sz w:val="21"/>
          <w:szCs w:val="21"/>
          <w:lang w:val="es-ES"/>
        </w:rPr>
        <w:t>ó</w:t>
      </w:r>
      <w:r w:rsidRPr="00344CD1">
        <w:rPr>
          <w:rFonts w:ascii="Cambria" w:eastAsia="Batang" w:hAnsi="Cambria" w:cs="Times New Roman"/>
          <w:color w:val="000000"/>
          <w:sz w:val="21"/>
          <w:szCs w:val="21"/>
          <w:lang w:val="es-ES"/>
        </w:rPr>
        <w:t xml:space="preserve">mo ocurrieron los golpes </w:t>
      </w:r>
      <w:r w:rsidR="005A24AA" w:rsidRPr="00344CD1">
        <w:rPr>
          <w:rFonts w:ascii="Cambria" w:eastAsia="Batang" w:hAnsi="Cambria" w:cs="Times New Roman"/>
          <w:color w:val="000000"/>
          <w:sz w:val="21"/>
          <w:szCs w:val="21"/>
          <w:lang w:val="es-ES"/>
        </w:rPr>
        <w:t>[…]</w:t>
      </w:r>
      <w:r w:rsidRPr="00344CD1">
        <w:rPr>
          <w:rFonts w:ascii="Cambria" w:eastAsia="Batang" w:hAnsi="Cambria" w:cs="Times New Roman"/>
          <w:color w:val="000000"/>
          <w:sz w:val="21"/>
          <w:szCs w:val="21"/>
          <w:lang w:val="es-ES"/>
        </w:rPr>
        <w:t>, indican que un adolescente, solo, no podría haber realizado todos los actos y, por lo tanto, las investigaciones sobre la posibilidad de coautoría deberían continuar”. En ese contexto, los solicitantes recuerdan que el proceso de amenazas y hostigamiento en las noches, por personas desconocidas y supuestamente armadas dentro del territorio de la comunidad</w:t>
      </w:r>
      <w:r w:rsidR="00E9168E" w:rsidRPr="00344CD1">
        <w:rPr>
          <w:rFonts w:ascii="Cambria" w:eastAsia="Batang" w:hAnsi="Cambria" w:cs="Times New Roman"/>
          <w:color w:val="000000"/>
          <w:sz w:val="21"/>
          <w:szCs w:val="21"/>
          <w:lang w:val="es-ES"/>
        </w:rPr>
        <w:t>,</w:t>
      </w:r>
      <w:r w:rsidRPr="00344CD1">
        <w:rPr>
          <w:rFonts w:ascii="Cambria" w:eastAsia="Batang" w:hAnsi="Cambria" w:cs="Times New Roman"/>
          <w:color w:val="000000"/>
          <w:sz w:val="21"/>
          <w:szCs w:val="21"/>
          <w:lang w:val="es-ES"/>
        </w:rPr>
        <w:t xml:space="preserve"> empezó después del asesinato del señor José </w:t>
      </w:r>
      <w:proofErr w:type="spellStart"/>
      <w:r w:rsidRPr="00344CD1">
        <w:rPr>
          <w:rFonts w:ascii="Cambria" w:eastAsia="Batang" w:hAnsi="Cambria" w:cs="Times New Roman"/>
          <w:color w:val="000000"/>
          <w:sz w:val="21"/>
          <w:szCs w:val="21"/>
          <w:lang w:val="es-ES"/>
        </w:rPr>
        <w:t>Isídio</w:t>
      </w:r>
      <w:proofErr w:type="spellEnd"/>
      <w:r w:rsidRPr="00344CD1">
        <w:rPr>
          <w:rFonts w:ascii="Cambria" w:eastAsia="Batang" w:hAnsi="Cambria" w:cs="Times New Roman"/>
          <w:color w:val="000000"/>
          <w:sz w:val="21"/>
          <w:szCs w:val="21"/>
          <w:lang w:val="es-ES"/>
        </w:rPr>
        <w:t xml:space="preserve"> </w:t>
      </w:r>
      <w:proofErr w:type="spellStart"/>
      <w:r w:rsidR="00355F4C" w:rsidRPr="00344CD1">
        <w:rPr>
          <w:rFonts w:ascii="Cambria" w:eastAsia="Batang" w:hAnsi="Cambria" w:cs="Times New Roman"/>
          <w:color w:val="000000"/>
          <w:sz w:val="21"/>
          <w:szCs w:val="21"/>
          <w:lang w:val="es-ES"/>
        </w:rPr>
        <w:t>Di</w:t>
      </w:r>
      <w:r w:rsidR="00B667A5" w:rsidRPr="00344CD1">
        <w:rPr>
          <w:rFonts w:ascii="Cambria" w:eastAsia="Batang" w:hAnsi="Cambria" w:cs="Times New Roman"/>
          <w:color w:val="000000"/>
          <w:sz w:val="21"/>
          <w:szCs w:val="21"/>
          <w:lang w:val="es-ES"/>
        </w:rPr>
        <w:t>as</w:t>
      </w:r>
      <w:proofErr w:type="spellEnd"/>
      <w:r w:rsidRPr="00344CD1">
        <w:rPr>
          <w:rFonts w:ascii="Cambria" w:eastAsia="Batang" w:hAnsi="Cambria" w:cs="Times New Roman"/>
          <w:color w:val="000000"/>
          <w:sz w:val="21"/>
          <w:szCs w:val="21"/>
          <w:lang w:val="es-ES"/>
        </w:rPr>
        <w:t xml:space="preserve">. La investigación </w:t>
      </w:r>
      <w:r w:rsidR="005A24AA" w:rsidRPr="00344CD1">
        <w:rPr>
          <w:rFonts w:ascii="Cambria" w:eastAsia="Batang" w:hAnsi="Cambria" w:cs="Times New Roman"/>
          <w:color w:val="000000"/>
          <w:sz w:val="21"/>
          <w:szCs w:val="21"/>
          <w:lang w:val="es-ES"/>
        </w:rPr>
        <w:t>de estos hechos</w:t>
      </w:r>
      <w:r w:rsidRPr="00344CD1">
        <w:rPr>
          <w:rFonts w:ascii="Cambria" w:eastAsia="Batang" w:hAnsi="Cambria" w:cs="Times New Roman"/>
          <w:color w:val="000000"/>
          <w:sz w:val="21"/>
          <w:szCs w:val="21"/>
          <w:lang w:val="es-ES"/>
        </w:rPr>
        <w:t xml:space="preserve"> no habría identificado las personas responsables ni impedido su continuidad.</w:t>
      </w:r>
    </w:p>
    <w:p w14:paraId="4D1F430B" w14:textId="77777777" w:rsidR="00AD6220" w:rsidRPr="00344CD1" w:rsidRDefault="00AD6220" w:rsidP="00D51F89">
      <w:pPr>
        <w:spacing w:after="0" w:line="240" w:lineRule="auto"/>
        <w:contextualSpacing/>
        <w:jc w:val="both"/>
        <w:rPr>
          <w:rFonts w:ascii="Cambria" w:eastAsia="Batang" w:hAnsi="Cambria" w:cs="Times New Roman"/>
          <w:color w:val="000000"/>
          <w:sz w:val="21"/>
          <w:szCs w:val="21"/>
          <w:lang w:val="es-ES"/>
        </w:rPr>
      </w:pPr>
    </w:p>
    <w:p w14:paraId="435BEA2B" w14:textId="552E8641" w:rsidR="00AD6220" w:rsidRPr="00344CD1" w:rsidRDefault="00AD6220"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Según la solicitud, el 21 de abril de 2020, “la vivienda de la señora Maria Madalena dos Santos Silva, […] madre de la señora Rose </w:t>
      </w:r>
      <w:proofErr w:type="spellStart"/>
      <w:r w:rsidRPr="00344CD1">
        <w:rPr>
          <w:rFonts w:ascii="Cambria" w:eastAsia="Batang" w:hAnsi="Cambria" w:cs="Times New Roman"/>
          <w:color w:val="000000"/>
          <w:sz w:val="21"/>
          <w:szCs w:val="21"/>
          <w:lang w:val="es-ES"/>
        </w:rPr>
        <w:t>Meire</w:t>
      </w:r>
      <w:proofErr w:type="spellEnd"/>
      <w:r w:rsidRPr="00344CD1">
        <w:rPr>
          <w:rFonts w:ascii="Cambria" w:eastAsia="Batang" w:hAnsi="Cambria" w:cs="Times New Roman"/>
          <w:color w:val="000000"/>
          <w:sz w:val="21"/>
          <w:szCs w:val="21"/>
          <w:lang w:val="es-ES"/>
        </w:rPr>
        <w:t xml:space="preserve"> Santos Silva […], fue invadida por hombres armados durante el día. A principio, según los relatos, el grupo se direccionaba a la casa de la señora Rose </w:t>
      </w:r>
      <w:proofErr w:type="spellStart"/>
      <w:r w:rsidRPr="00344CD1">
        <w:rPr>
          <w:rFonts w:ascii="Cambria" w:eastAsia="Batang" w:hAnsi="Cambria" w:cs="Times New Roman"/>
          <w:color w:val="000000"/>
          <w:sz w:val="21"/>
          <w:szCs w:val="21"/>
          <w:lang w:val="es-ES"/>
        </w:rPr>
        <w:t>Meire</w:t>
      </w:r>
      <w:proofErr w:type="spellEnd"/>
      <w:r w:rsidRPr="00344CD1">
        <w:rPr>
          <w:rFonts w:ascii="Cambria" w:eastAsia="Batang" w:hAnsi="Cambria" w:cs="Times New Roman"/>
          <w:color w:val="000000"/>
          <w:sz w:val="21"/>
          <w:szCs w:val="21"/>
          <w:lang w:val="es-ES"/>
        </w:rPr>
        <w:t xml:space="preserve"> Santos Silva […]” quién se habría refugiado al ver la llegada de las personas armadas. El 23 de mayo, personas desconocidas y armadas, algunas montadas a caballo, circularon alrededor de las casas, habiendo supuestamente verbalizado a una </w:t>
      </w:r>
      <w:r w:rsidR="001A0577" w:rsidRPr="00344CD1">
        <w:rPr>
          <w:rFonts w:ascii="Cambria" w:eastAsia="Batang" w:hAnsi="Cambria" w:cs="Times New Roman"/>
          <w:color w:val="000000"/>
          <w:sz w:val="21"/>
          <w:szCs w:val="21"/>
          <w:lang w:val="es-ES"/>
        </w:rPr>
        <w:t>persona de la Comunidad</w:t>
      </w:r>
      <w:r w:rsidRPr="00344CD1">
        <w:rPr>
          <w:rFonts w:ascii="Cambria" w:eastAsia="Batang" w:hAnsi="Cambria" w:cs="Times New Roman"/>
          <w:color w:val="000000"/>
          <w:sz w:val="21"/>
          <w:szCs w:val="21"/>
          <w:lang w:val="es-ES"/>
        </w:rPr>
        <w:t xml:space="preserve"> que “[ellos] podrían avanzar con sus intereses (sin describir cu</w:t>
      </w:r>
      <w:r w:rsidR="005A24AA" w:rsidRPr="00344CD1">
        <w:rPr>
          <w:rFonts w:ascii="Cambria" w:eastAsia="Batang" w:hAnsi="Cambria" w:cs="Times New Roman"/>
          <w:color w:val="000000"/>
          <w:sz w:val="21"/>
          <w:szCs w:val="21"/>
          <w:lang w:val="es-ES"/>
        </w:rPr>
        <w:t>á</w:t>
      </w:r>
      <w:r w:rsidRPr="00344CD1">
        <w:rPr>
          <w:rFonts w:ascii="Cambria" w:eastAsia="Batang" w:hAnsi="Cambria" w:cs="Times New Roman"/>
          <w:color w:val="000000"/>
          <w:sz w:val="21"/>
          <w:szCs w:val="21"/>
          <w:lang w:val="es-ES"/>
        </w:rPr>
        <w:t xml:space="preserve">les)”, pues el territorio no tendría medidas de seguridad. Lo anterior habría generado pánico entre las personas propuestas como beneficiarias. </w:t>
      </w:r>
      <w:r w:rsidR="000F53B0" w:rsidRPr="00344CD1">
        <w:rPr>
          <w:rFonts w:ascii="Cambria" w:eastAsia="Batang" w:hAnsi="Cambria" w:cs="Times New Roman"/>
          <w:color w:val="000000"/>
          <w:sz w:val="21"/>
          <w:szCs w:val="21"/>
          <w:lang w:val="es-ES"/>
        </w:rPr>
        <w:t>Los solicitantes</w:t>
      </w:r>
      <w:r w:rsidRPr="00344CD1">
        <w:rPr>
          <w:rFonts w:ascii="Cambria" w:eastAsia="Batang" w:hAnsi="Cambria" w:cs="Times New Roman"/>
          <w:color w:val="000000"/>
          <w:sz w:val="21"/>
          <w:szCs w:val="21"/>
          <w:lang w:val="es-ES"/>
        </w:rPr>
        <w:t xml:space="preserve"> alegaron que eses hechos</w:t>
      </w:r>
      <w:r w:rsidR="000F53B0" w:rsidRPr="00344CD1">
        <w:rPr>
          <w:rFonts w:ascii="Cambria" w:eastAsia="Batang" w:hAnsi="Cambria" w:cs="Times New Roman"/>
          <w:color w:val="000000"/>
          <w:sz w:val="21"/>
          <w:szCs w:val="21"/>
          <w:lang w:val="es-ES"/>
        </w:rPr>
        <w:t xml:space="preserve"> no fueron denunciados</w:t>
      </w:r>
      <w:r w:rsidRPr="00344CD1">
        <w:rPr>
          <w:rFonts w:ascii="Cambria" w:eastAsia="Batang" w:hAnsi="Cambria" w:cs="Times New Roman"/>
          <w:color w:val="000000"/>
          <w:sz w:val="21"/>
          <w:szCs w:val="21"/>
          <w:lang w:val="es-ES"/>
        </w:rPr>
        <w:t xml:space="preserve"> debido a </w:t>
      </w:r>
      <w:r w:rsidR="000F53B0" w:rsidRPr="00344CD1">
        <w:rPr>
          <w:rFonts w:ascii="Cambria" w:eastAsia="Batang" w:hAnsi="Cambria" w:cs="Times New Roman"/>
          <w:color w:val="000000"/>
          <w:sz w:val="21"/>
          <w:szCs w:val="21"/>
          <w:lang w:val="es-ES"/>
        </w:rPr>
        <w:t xml:space="preserve">la </w:t>
      </w:r>
      <w:r w:rsidRPr="00344CD1">
        <w:rPr>
          <w:rFonts w:ascii="Cambria" w:eastAsia="Batang" w:hAnsi="Cambria" w:cs="Times New Roman"/>
          <w:color w:val="000000"/>
          <w:sz w:val="21"/>
          <w:szCs w:val="21"/>
          <w:lang w:val="es-ES"/>
        </w:rPr>
        <w:t>falta de respuesta a las denuncias anteriores sumado al contexto de la pandemia de COVID-19, en que la comunidad evita salir del territorio.</w:t>
      </w:r>
    </w:p>
    <w:p w14:paraId="3833400C" w14:textId="77777777" w:rsidR="00AD6220" w:rsidRPr="00344CD1" w:rsidRDefault="00AD6220" w:rsidP="00D51F89">
      <w:pPr>
        <w:spacing w:after="0" w:line="240" w:lineRule="auto"/>
        <w:contextualSpacing/>
        <w:jc w:val="both"/>
        <w:rPr>
          <w:rFonts w:ascii="Cambria" w:eastAsia="Batang" w:hAnsi="Cambria" w:cs="Times New Roman"/>
          <w:color w:val="000000"/>
          <w:sz w:val="21"/>
          <w:szCs w:val="21"/>
          <w:lang w:val="es-ES"/>
        </w:rPr>
      </w:pPr>
    </w:p>
    <w:p w14:paraId="212CF0B1" w14:textId="372B8A9C" w:rsidR="00AD6220" w:rsidRPr="00344CD1" w:rsidRDefault="00462DCE"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lastRenderedPageBreak/>
        <w:t>Considerando</w:t>
      </w:r>
      <w:r w:rsidR="00AD6220" w:rsidRPr="00344CD1">
        <w:rPr>
          <w:rFonts w:ascii="Cambria" w:eastAsia="Batang" w:hAnsi="Cambria" w:cs="Times New Roman"/>
          <w:color w:val="000000"/>
          <w:sz w:val="21"/>
          <w:szCs w:val="21"/>
          <w:lang w:val="es-ES"/>
        </w:rPr>
        <w:t xml:space="preserve"> el contexto de la pandemia de COVID-19, </w:t>
      </w:r>
      <w:r w:rsidR="005A24AA" w:rsidRPr="00344CD1">
        <w:rPr>
          <w:rFonts w:ascii="Cambria" w:eastAsia="Batang" w:hAnsi="Cambria" w:cs="Times New Roman"/>
          <w:color w:val="000000"/>
          <w:sz w:val="21"/>
          <w:szCs w:val="21"/>
          <w:lang w:val="es-ES"/>
        </w:rPr>
        <w:t>los solicitantes indicaron que los propuestos beneficiarios pueden verse particularmente afectados, pues su negocio de venta de siembras – de cuyos ingresos depende su subsistencia – ha enfrentado serios obstáculos. Como consecuencia de lo anterior, habrían necesitado recibir donaciones de alimentos y productos de higiene. Sin embargo, los solicitantes denunciaron que el 9 de mayo de 2020 la Marina supuestamente impidió el acceso de estos víveres, habiendo también cortado a los pocos días la “única fuente de agua potable” de la Comunidad, hasta su restablecimiento a principios de junio. Con todo ello, los solicitantes reportaron que</w:t>
      </w:r>
      <w:r w:rsidR="00FF420C" w:rsidRPr="00344CD1">
        <w:rPr>
          <w:rFonts w:ascii="Cambria" w:eastAsia="Batang" w:hAnsi="Cambria" w:cs="Times New Roman"/>
          <w:color w:val="000000"/>
          <w:sz w:val="21"/>
          <w:szCs w:val="21"/>
          <w:lang w:val="es-ES"/>
        </w:rPr>
        <w:t>, hasta el 8 de junio,</w:t>
      </w:r>
      <w:r w:rsidR="005A24AA" w:rsidRPr="00344CD1">
        <w:rPr>
          <w:rFonts w:ascii="Cambria" w:eastAsia="Batang" w:hAnsi="Cambria" w:cs="Times New Roman"/>
          <w:color w:val="000000"/>
          <w:sz w:val="21"/>
          <w:szCs w:val="21"/>
          <w:lang w:val="es-ES"/>
        </w:rPr>
        <w:t xml:space="preserve"> 38 propuestos beneficiarios </w:t>
      </w:r>
      <w:r w:rsidR="00FF420C" w:rsidRPr="00344CD1">
        <w:rPr>
          <w:rFonts w:ascii="Cambria" w:eastAsia="Batang" w:hAnsi="Cambria" w:cs="Times New Roman"/>
          <w:color w:val="000000"/>
          <w:sz w:val="21"/>
          <w:szCs w:val="21"/>
          <w:lang w:val="es-ES"/>
        </w:rPr>
        <w:t xml:space="preserve">tendrían sospecha de </w:t>
      </w:r>
      <w:r w:rsidR="005A24AA" w:rsidRPr="00344CD1">
        <w:rPr>
          <w:rFonts w:ascii="Cambria" w:eastAsia="Batang" w:hAnsi="Cambria" w:cs="Times New Roman"/>
          <w:color w:val="000000"/>
          <w:sz w:val="21"/>
          <w:szCs w:val="21"/>
          <w:lang w:val="es-ES"/>
        </w:rPr>
        <w:t>COVID-19, hecho que ha sido puesto en c</w:t>
      </w:r>
      <w:r w:rsidR="00845D6A" w:rsidRPr="00344CD1">
        <w:rPr>
          <w:rFonts w:ascii="Cambria" w:eastAsia="Batang" w:hAnsi="Cambria" w:cs="Times New Roman"/>
          <w:color w:val="000000"/>
          <w:sz w:val="21"/>
          <w:szCs w:val="21"/>
          <w:lang w:val="es-ES"/>
        </w:rPr>
        <w:t>onocimiento de las autoridades.</w:t>
      </w:r>
    </w:p>
    <w:p w14:paraId="541A7218" w14:textId="77777777" w:rsidR="00AD6220" w:rsidRPr="00344CD1" w:rsidRDefault="00AD6220" w:rsidP="00D51F89">
      <w:pPr>
        <w:spacing w:after="0" w:line="240" w:lineRule="auto"/>
        <w:contextualSpacing/>
        <w:jc w:val="both"/>
        <w:rPr>
          <w:rFonts w:ascii="Cambria" w:eastAsia="Batang" w:hAnsi="Cambria" w:cs="Times New Roman"/>
          <w:color w:val="000000"/>
          <w:sz w:val="21"/>
          <w:szCs w:val="21"/>
          <w:lang w:val="es-ES"/>
        </w:rPr>
      </w:pPr>
    </w:p>
    <w:p w14:paraId="0E708AFF" w14:textId="694BDD37" w:rsidR="00AD6220" w:rsidRPr="00344CD1" w:rsidRDefault="00AD6220"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Los solicitantes también agregaron información sobre el riesgo derivado </w:t>
      </w:r>
      <w:r w:rsidR="005A24AA" w:rsidRPr="00344CD1">
        <w:rPr>
          <w:rFonts w:ascii="Cambria" w:eastAsia="Batang" w:hAnsi="Cambria" w:cs="Times New Roman"/>
          <w:color w:val="000000"/>
          <w:sz w:val="21"/>
          <w:szCs w:val="21"/>
          <w:lang w:val="es-ES"/>
        </w:rPr>
        <w:t xml:space="preserve">de la </w:t>
      </w:r>
      <w:r w:rsidR="00845D6A" w:rsidRPr="00344CD1">
        <w:rPr>
          <w:rFonts w:ascii="Cambria" w:eastAsia="Batang" w:hAnsi="Cambria" w:cs="Times New Roman"/>
          <w:color w:val="000000"/>
          <w:sz w:val="21"/>
          <w:szCs w:val="21"/>
          <w:lang w:val="es-ES"/>
        </w:rPr>
        <w:t xml:space="preserve">posible </w:t>
      </w:r>
      <w:r w:rsidR="00674B22" w:rsidRPr="00344CD1">
        <w:rPr>
          <w:rFonts w:ascii="Cambria" w:eastAsia="Batang" w:hAnsi="Cambria" w:cs="Times New Roman"/>
          <w:color w:val="000000"/>
          <w:sz w:val="21"/>
          <w:szCs w:val="21"/>
          <w:lang w:val="es-ES"/>
        </w:rPr>
        <w:t>rotura</w:t>
      </w:r>
      <w:r w:rsidRPr="00344CD1">
        <w:rPr>
          <w:rFonts w:ascii="Cambria" w:eastAsia="Batang" w:hAnsi="Cambria" w:cs="Times New Roman"/>
          <w:color w:val="000000"/>
          <w:sz w:val="21"/>
          <w:szCs w:val="21"/>
          <w:lang w:val="es-ES"/>
        </w:rPr>
        <w:t xml:space="preserve"> de la </w:t>
      </w:r>
      <w:r w:rsidR="003144D6" w:rsidRPr="00344CD1">
        <w:rPr>
          <w:rFonts w:ascii="Cambria" w:eastAsia="Batang" w:hAnsi="Cambria" w:cs="Times New Roman"/>
          <w:color w:val="000000"/>
          <w:sz w:val="21"/>
          <w:szCs w:val="21"/>
          <w:lang w:val="es-ES"/>
        </w:rPr>
        <w:t>re</w:t>
      </w:r>
      <w:r w:rsidRPr="00344CD1">
        <w:rPr>
          <w:rFonts w:ascii="Cambria" w:eastAsia="Batang" w:hAnsi="Cambria" w:cs="Times New Roman"/>
          <w:color w:val="000000"/>
          <w:sz w:val="21"/>
          <w:szCs w:val="21"/>
          <w:lang w:val="es-ES"/>
        </w:rPr>
        <w:t xml:space="preserve">presa del Rio dos Macacos. Según el expediente, el 7 de mayo de 2020, la Superintendencia de Protección y Defensa Civil del Estado de </w:t>
      </w:r>
      <w:r w:rsidR="00B667A5" w:rsidRPr="00344CD1">
        <w:rPr>
          <w:rFonts w:ascii="Cambria" w:eastAsia="Batang" w:hAnsi="Cambria" w:cs="Times New Roman"/>
          <w:color w:val="000000"/>
          <w:sz w:val="21"/>
          <w:szCs w:val="21"/>
          <w:lang w:val="es-ES"/>
        </w:rPr>
        <w:t>Bahía</w:t>
      </w:r>
      <w:r w:rsidRPr="00344CD1">
        <w:rPr>
          <w:rFonts w:ascii="Cambria" w:eastAsia="Batang" w:hAnsi="Cambria" w:cs="Times New Roman"/>
          <w:color w:val="000000"/>
          <w:sz w:val="21"/>
          <w:szCs w:val="21"/>
          <w:lang w:val="es-ES"/>
        </w:rPr>
        <w:t xml:space="preserve"> realizó una visita técnica a la </w:t>
      </w:r>
      <w:r w:rsidR="00860C55" w:rsidRPr="00344CD1">
        <w:rPr>
          <w:rFonts w:ascii="Cambria" w:eastAsia="Batang" w:hAnsi="Cambria" w:cs="Times New Roman"/>
          <w:color w:val="000000"/>
          <w:sz w:val="21"/>
          <w:szCs w:val="21"/>
          <w:lang w:val="es-ES"/>
        </w:rPr>
        <w:t>re</w:t>
      </w:r>
      <w:r w:rsidRPr="00344CD1">
        <w:rPr>
          <w:rFonts w:ascii="Cambria" w:eastAsia="Batang" w:hAnsi="Cambria" w:cs="Times New Roman"/>
          <w:color w:val="000000"/>
          <w:sz w:val="21"/>
          <w:szCs w:val="21"/>
          <w:lang w:val="es-ES"/>
        </w:rPr>
        <w:t xml:space="preserve">presa en la cual </w:t>
      </w:r>
      <w:r w:rsidR="005A24AA" w:rsidRPr="00344CD1">
        <w:rPr>
          <w:rFonts w:ascii="Cambria" w:eastAsia="Batang" w:hAnsi="Cambria" w:cs="Times New Roman"/>
          <w:color w:val="000000"/>
          <w:sz w:val="21"/>
          <w:szCs w:val="21"/>
          <w:lang w:val="es-ES"/>
        </w:rPr>
        <w:t>se confirmó un</w:t>
      </w:r>
      <w:r w:rsidRPr="00344CD1">
        <w:rPr>
          <w:rFonts w:ascii="Cambria" w:eastAsia="Batang" w:hAnsi="Cambria" w:cs="Times New Roman"/>
          <w:color w:val="000000"/>
          <w:sz w:val="21"/>
          <w:szCs w:val="21"/>
          <w:lang w:val="es-ES"/>
        </w:rPr>
        <w:t xml:space="preserve"> riesgo potencial de </w:t>
      </w:r>
      <w:r w:rsidR="00674B22" w:rsidRPr="00344CD1">
        <w:rPr>
          <w:rFonts w:ascii="Cambria" w:eastAsia="Batang" w:hAnsi="Cambria" w:cs="Times New Roman"/>
          <w:color w:val="000000"/>
          <w:sz w:val="21"/>
          <w:szCs w:val="21"/>
          <w:lang w:val="es-ES"/>
        </w:rPr>
        <w:t>rotura</w:t>
      </w:r>
      <w:r w:rsidR="005A24AA" w:rsidRPr="00344CD1">
        <w:rPr>
          <w:rFonts w:ascii="Cambria" w:eastAsia="Batang" w:hAnsi="Cambria" w:cs="Times New Roman"/>
          <w:color w:val="000000"/>
          <w:sz w:val="21"/>
          <w:szCs w:val="21"/>
          <w:lang w:val="es-ES"/>
        </w:rPr>
        <w:t xml:space="preserve"> </w:t>
      </w:r>
      <w:r w:rsidRPr="00344CD1">
        <w:rPr>
          <w:rFonts w:ascii="Cambria" w:eastAsia="Batang" w:hAnsi="Cambria" w:cs="Times New Roman"/>
          <w:color w:val="000000"/>
          <w:sz w:val="21"/>
          <w:szCs w:val="21"/>
          <w:lang w:val="es-ES"/>
        </w:rPr>
        <w:t xml:space="preserve">de la </w:t>
      </w:r>
      <w:r w:rsidR="00860C55" w:rsidRPr="00344CD1">
        <w:rPr>
          <w:rFonts w:ascii="Cambria" w:eastAsia="Batang" w:hAnsi="Cambria" w:cs="Times New Roman"/>
          <w:color w:val="000000"/>
          <w:sz w:val="21"/>
          <w:szCs w:val="21"/>
          <w:lang w:val="es-ES"/>
        </w:rPr>
        <w:t>re</w:t>
      </w:r>
      <w:r w:rsidRPr="00344CD1">
        <w:rPr>
          <w:rFonts w:ascii="Cambria" w:eastAsia="Batang" w:hAnsi="Cambria" w:cs="Times New Roman"/>
          <w:color w:val="000000"/>
          <w:sz w:val="21"/>
          <w:szCs w:val="21"/>
          <w:lang w:val="es-ES"/>
        </w:rPr>
        <w:t xml:space="preserve">presa debido a una grieta de 14 metros, la cual podría aumentar con la presión del agua en el embalse de la </w:t>
      </w:r>
      <w:r w:rsidR="00860C55" w:rsidRPr="00344CD1">
        <w:rPr>
          <w:rFonts w:ascii="Cambria" w:eastAsia="Batang" w:hAnsi="Cambria" w:cs="Times New Roman"/>
          <w:color w:val="000000"/>
          <w:sz w:val="21"/>
          <w:szCs w:val="21"/>
          <w:lang w:val="es-ES"/>
        </w:rPr>
        <w:t>re</w:t>
      </w:r>
      <w:r w:rsidRPr="00344CD1">
        <w:rPr>
          <w:rFonts w:ascii="Cambria" w:eastAsia="Batang" w:hAnsi="Cambria" w:cs="Times New Roman"/>
          <w:color w:val="000000"/>
          <w:sz w:val="21"/>
          <w:szCs w:val="21"/>
          <w:lang w:val="es-ES"/>
        </w:rPr>
        <w:t xml:space="preserve">presa. Se destacó que hay familias que habitan en las cercanías de la </w:t>
      </w:r>
      <w:r w:rsidR="00860C55" w:rsidRPr="00344CD1">
        <w:rPr>
          <w:rFonts w:ascii="Cambria" w:eastAsia="Batang" w:hAnsi="Cambria" w:cs="Times New Roman"/>
          <w:color w:val="000000"/>
          <w:sz w:val="21"/>
          <w:szCs w:val="21"/>
          <w:lang w:val="es-ES"/>
        </w:rPr>
        <w:t>re</w:t>
      </w:r>
      <w:r w:rsidRPr="00344CD1">
        <w:rPr>
          <w:rFonts w:ascii="Cambria" w:eastAsia="Batang" w:hAnsi="Cambria" w:cs="Times New Roman"/>
          <w:color w:val="000000"/>
          <w:sz w:val="21"/>
          <w:szCs w:val="21"/>
          <w:lang w:val="es-ES"/>
        </w:rPr>
        <w:t xml:space="preserve">presa y que la Marina de Brasil no presentó hasta la fecha un “Plan de Acción de Emergencia” en caso de </w:t>
      </w:r>
      <w:r w:rsidR="00674B22" w:rsidRPr="00344CD1">
        <w:rPr>
          <w:rFonts w:ascii="Cambria" w:eastAsia="Batang" w:hAnsi="Cambria" w:cs="Times New Roman"/>
          <w:color w:val="000000"/>
          <w:sz w:val="21"/>
          <w:szCs w:val="21"/>
          <w:lang w:val="es-ES"/>
        </w:rPr>
        <w:t>rotura</w:t>
      </w:r>
      <w:r w:rsidRPr="00344CD1">
        <w:rPr>
          <w:rFonts w:ascii="Cambria" w:eastAsia="Batang" w:hAnsi="Cambria" w:cs="Times New Roman"/>
          <w:color w:val="000000"/>
          <w:sz w:val="21"/>
          <w:szCs w:val="21"/>
          <w:lang w:val="es-ES"/>
        </w:rPr>
        <w:t>.</w:t>
      </w:r>
      <w:r w:rsidR="005A24AA" w:rsidRPr="00344CD1">
        <w:rPr>
          <w:rFonts w:ascii="Cambria" w:eastAsia="Batang" w:hAnsi="Cambria" w:cs="Times New Roman"/>
          <w:color w:val="000000"/>
          <w:sz w:val="21"/>
          <w:szCs w:val="21"/>
          <w:lang w:val="es-ES"/>
        </w:rPr>
        <w:t xml:space="preserve"> Este informe</w:t>
      </w:r>
      <w:r w:rsidRPr="00344CD1">
        <w:rPr>
          <w:rFonts w:ascii="Cambria" w:eastAsia="Batang" w:hAnsi="Cambria" w:cs="Times New Roman"/>
          <w:color w:val="000000"/>
          <w:sz w:val="21"/>
          <w:szCs w:val="21"/>
          <w:lang w:val="es-ES"/>
        </w:rPr>
        <w:t>, cuya copia ha sido enviada a la CIDH, afirma que “esa grieta aumentó su longitud y ancho significativamente” y recomienda “que sea realizada la evacuación de la comunidad ubicada en las cercanías, hasta que haya la reducción</w:t>
      </w:r>
      <w:r w:rsidR="00F72B4E" w:rsidRPr="00344CD1">
        <w:rPr>
          <w:rFonts w:ascii="Cambria" w:eastAsia="Batang" w:hAnsi="Cambria" w:cs="Times New Roman"/>
          <w:color w:val="000000"/>
          <w:sz w:val="21"/>
          <w:szCs w:val="21"/>
          <w:lang w:val="es-ES"/>
        </w:rPr>
        <w:t xml:space="preserve"> en el nivel del embalse de la Rep</w:t>
      </w:r>
      <w:r w:rsidRPr="00344CD1">
        <w:rPr>
          <w:rFonts w:ascii="Cambria" w:eastAsia="Batang" w:hAnsi="Cambria" w:cs="Times New Roman"/>
          <w:color w:val="000000"/>
          <w:sz w:val="21"/>
          <w:szCs w:val="21"/>
          <w:lang w:val="es-ES"/>
        </w:rPr>
        <w:t xml:space="preserve">resa Rio dos Macacos”. La Defensa Civil recomendó la implementación del “Plan de Acción de Emergencia”, categorizando la situación como “riesgo alto” y “daño potencial asociado alto”, “considerando que la ola de inundación rápidamente llegaría en la comunidad [cercana de la </w:t>
      </w:r>
      <w:r w:rsidR="00F72B4E" w:rsidRPr="00344CD1">
        <w:rPr>
          <w:rFonts w:ascii="Cambria" w:eastAsia="Batang" w:hAnsi="Cambria" w:cs="Times New Roman"/>
          <w:color w:val="000000"/>
          <w:sz w:val="21"/>
          <w:szCs w:val="21"/>
          <w:lang w:val="es-ES"/>
        </w:rPr>
        <w:t>re</w:t>
      </w:r>
      <w:r w:rsidRPr="00344CD1">
        <w:rPr>
          <w:rFonts w:ascii="Cambria" w:eastAsia="Batang" w:hAnsi="Cambria" w:cs="Times New Roman"/>
          <w:color w:val="000000"/>
          <w:sz w:val="21"/>
          <w:szCs w:val="21"/>
          <w:lang w:val="es-ES"/>
        </w:rPr>
        <w:t>presa] en un</w:t>
      </w:r>
      <w:r w:rsidR="005A24AA" w:rsidRPr="00344CD1">
        <w:rPr>
          <w:rFonts w:ascii="Cambria" w:eastAsia="Batang" w:hAnsi="Cambria" w:cs="Times New Roman"/>
          <w:color w:val="000000"/>
          <w:sz w:val="21"/>
          <w:szCs w:val="21"/>
          <w:lang w:val="es-ES"/>
        </w:rPr>
        <w:t>a</w:t>
      </w:r>
      <w:r w:rsidRPr="00344CD1">
        <w:rPr>
          <w:rFonts w:ascii="Cambria" w:eastAsia="Batang" w:hAnsi="Cambria" w:cs="Times New Roman"/>
          <w:color w:val="000000"/>
          <w:sz w:val="21"/>
          <w:szCs w:val="21"/>
          <w:lang w:val="es-ES"/>
        </w:rPr>
        <w:t xml:space="preserve"> eventual </w:t>
      </w:r>
      <w:r w:rsidR="00674B22" w:rsidRPr="00344CD1">
        <w:rPr>
          <w:rFonts w:ascii="Cambria" w:eastAsia="Batang" w:hAnsi="Cambria" w:cs="Times New Roman"/>
          <w:color w:val="000000"/>
          <w:sz w:val="21"/>
          <w:szCs w:val="21"/>
          <w:lang w:val="es-ES"/>
        </w:rPr>
        <w:t>rotura</w:t>
      </w:r>
      <w:r w:rsidRPr="00344CD1">
        <w:rPr>
          <w:rFonts w:ascii="Cambria" w:eastAsia="Batang" w:hAnsi="Cambria" w:cs="Times New Roman"/>
          <w:color w:val="000000"/>
          <w:sz w:val="21"/>
          <w:szCs w:val="21"/>
          <w:lang w:val="es-ES"/>
        </w:rPr>
        <w:t>”.</w:t>
      </w:r>
      <w:r w:rsidR="00224C21" w:rsidRPr="00344CD1">
        <w:rPr>
          <w:rFonts w:ascii="Cambria" w:eastAsia="Batang" w:hAnsi="Cambria" w:cs="Times New Roman"/>
          <w:color w:val="000000"/>
          <w:sz w:val="21"/>
          <w:szCs w:val="21"/>
          <w:lang w:val="es-ES"/>
        </w:rPr>
        <w:t xml:space="preserve"> Ellos indican que se denunció a las autoridades la situación de la Represa Rio dos Macacos, habiendo el Ministerio Público Federal emitido una recomendación para la adopción de medidas urgentes el 15 de mayo de 2020.</w:t>
      </w:r>
    </w:p>
    <w:p w14:paraId="0E911D33" w14:textId="77777777" w:rsidR="00AD6220" w:rsidRPr="00344CD1" w:rsidRDefault="00AD6220" w:rsidP="00D51F89">
      <w:pPr>
        <w:spacing w:after="0" w:line="240" w:lineRule="auto"/>
        <w:contextualSpacing/>
        <w:jc w:val="both"/>
        <w:rPr>
          <w:rFonts w:ascii="Cambria" w:eastAsia="Batang" w:hAnsi="Cambria" w:cs="Times New Roman"/>
          <w:color w:val="000000"/>
          <w:sz w:val="21"/>
          <w:szCs w:val="21"/>
          <w:lang w:val="es-ES"/>
        </w:rPr>
      </w:pPr>
    </w:p>
    <w:p w14:paraId="6EDF5080" w14:textId="3A853317" w:rsidR="001952E6" w:rsidRPr="00344CD1" w:rsidRDefault="006F1127"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Adicionalmente</w:t>
      </w:r>
      <w:r w:rsidR="00224C21" w:rsidRPr="00344CD1">
        <w:rPr>
          <w:rFonts w:ascii="Cambria" w:eastAsia="Batang" w:hAnsi="Cambria" w:cs="Times New Roman"/>
          <w:color w:val="000000"/>
          <w:sz w:val="21"/>
          <w:szCs w:val="21"/>
          <w:lang w:val="es-ES"/>
        </w:rPr>
        <w:t xml:space="preserve">, los solicitantes indicaron que no </w:t>
      </w:r>
      <w:r w:rsidR="005A24AA" w:rsidRPr="00344CD1">
        <w:rPr>
          <w:rFonts w:ascii="Cambria" w:eastAsia="Batang" w:hAnsi="Cambria" w:cs="Times New Roman"/>
          <w:color w:val="000000"/>
          <w:sz w:val="21"/>
          <w:szCs w:val="21"/>
          <w:lang w:val="es-ES"/>
        </w:rPr>
        <w:t>fueron</w:t>
      </w:r>
      <w:r w:rsidR="00224C21" w:rsidRPr="00344CD1">
        <w:rPr>
          <w:rFonts w:ascii="Cambria" w:eastAsia="Batang" w:hAnsi="Cambria" w:cs="Times New Roman"/>
          <w:color w:val="000000"/>
          <w:sz w:val="21"/>
          <w:szCs w:val="21"/>
          <w:lang w:val="es-ES"/>
        </w:rPr>
        <w:t xml:space="preserve"> informados directamente por la Marina de acciones </w:t>
      </w:r>
      <w:r w:rsidRPr="00344CD1">
        <w:rPr>
          <w:rFonts w:ascii="Cambria" w:eastAsia="Batang" w:hAnsi="Cambria" w:cs="Times New Roman"/>
          <w:color w:val="000000"/>
          <w:sz w:val="21"/>
          <w:szCs w:val="21"/>
          <w:lang w:val="es-ES"/>
        </w:rPr>
        <w:t xml:space="preserve">de mitigación </w:t>
      </w:r>
      <w:r w:rsidR="00224C21" w:rsidRPr="00344CD1">
        <w:rPr>
          <w:rFonts w:ascii="Cambria" w:eastAsia="Batang" w:hAnsi="Cambria" w:cs="Times New Roman"/>
          <w:color w:val="000000"/>
          <w:sz w:val="21"/>
          <w:szCs w:val="21"/>
          <w:lang w:val="es-ES"/>
        </w:rPr>
        <w:t xml:space="preserve">implementadas. En ese sentido, por medio de la Procuraduría de la República en </w:t>
      </w:r>
      <w:r w:rsidR="00B667A5" w:rsidRPr="00344CD1">
        <w:rPr>
          <w:rFonts w:ascii="Cambria" w:eastAsia="Batang" w:hAnsi="Cambria" w:cs="Times New Roman"/>
          <w:color w:val="000000"/>
          <w:sz w:val="21"/>
          <w:szCs w:val="21"/>
          <w:lang w:val="es-ES"/>
        </w:rPr>
        <w:t>Bahía</w:t>
      </w:r>
      <w:r w:rsidR="00224C21" w:rsidRPr="00344CD1">
        <w:rPr>
          <w:rFonts w:ascii="Cambria" w:eastAsia="Batang" w:hAnsi="Cambria" w:cs="Times New Roman"/>
          <w:color w:val="000000"/>
          <w:sz w:val="21"/>
          <w:szCs w:val="21"/>
          <w:lang w:val="es-ES"/>
        </w:rPr>
        <w:t xml:space="preserve">, la Marina habría </w:t>
      </w:r>
      <w:r w:rsidR="005A24AA" w:rsidRPr="00344CD1">
        <w:rPr>
          <w:rFonts w:ascii="Cambria" w:eastAsia="Batang" w:hAnsi="Cambria" w:cs="Times New Roman"/>
          <w:color w:val="000000"/>
          <w:sz w:val="21"/>
          <w:szCs w:val="21"/>
          <w:lang w:val="es-ES"/>
        </w:rPr>
        <w:t>indic</w:t>
      </w:r>
      <w:r w:rsidR="0026669B" w:rsidRPr="00344CD1">
        <w:rPr>
          <w:rFonts w:ascii="Cambria" w:eastAsia="Batang" w:hAnsi="Cambria" w:cs="Times New Roman"/>
          <w:color w:val="000000"/>
          <w:sz w:val="21"/>
          <w:szCs w:val="21"/>
          <w:lang w:val="es-ES"/>
        </w:rPr>
        <w:t>ado</w:t>
      </w:r>
      <w:r w:rsidR="005A24AA" w:rsidRPr="00344CD1">
        <w:rPr>
          <w:rFonts w:ascii="Cambria" w:eastAsia="Batang" w:hAnsi="Cambria" w:cs="Times New Roman"/>
          <w:color w:val="000000"/>
          <w:sz w:val="21"/>
          <w:szCs w:val="21"/>
          <w:lang w:val="es-ES"/>
        </w:rPr>
        <w:t xml:space="preserve"> </w:t>
      </w:r>
      <w:r w:rsidR="00224C21" w:rsidRPr="00344CD1">
        <w:rPr>
          <w:rFonts w:ascii="Cambria" w:eastAsia="Batang" w:hAnsi="Cambria" w:cs="Times New Roman"/>
          <w:color w:val="000000"/>
          <w:sz w:val="21"/>
          <w:szCs w:val="21"/>
          <w:lang w:val="es-ES"/>
        </w:rPr>
        <w:t xml:space="preserve">que, con posteridad a la evaluación </w:t>
      </w:r>
      <w:r w:rsidR="00C535A8" w:rsidRPr="00344CD1">
        <w:rPr>
          <w:rFonts w:ascii="Cambria" w:eastAsia="Batang" w:hAnsi="Cambria" w:cs="Times New Roman"/>
          <w:color w:val="000000"/>
          <w:sz w:val="21"/>
          <w:szCs w:val="21"/>
          <w:lang w:val="es-ES"/>
        </w:rPr>
        <w:t xml:space="preserve">de la </w:t>
      </w:r>
      <w:r w:rsidR="00224C21" w:rsidRPr="00344CD1">
        <w:rPr>
          <w:rFonts w:ascii="Cambria" w:eastAsia="Batang" w:hAnsi="Cambria" w:cs="Times New Roman"/>
          <w:color w:val="000000"/>
          <w:sz w:val="21"/>
          <w:szCs w:val="21"/>
          <w:lang w:val="es-ES"/>
        </w:rPr>
        <w:t xml:space="preserve">Superintendencia de Protección y Defensa Civil del Estado de </w:t>
      </w:r>
      <w:r w:rsidR="00B667A5" w:rsidRPr="00344CD1">
        <w:rPr>
          <w:rFonts w:ascii="Cambria" w:eastAsia="Batang" w:hAnsi="Cambria" w:cs="Times New Roman"/>
          <w:color w:val="000000"/>
          <w:sz w:val="21"/>
          <w:szCs w:val="21"/>
          <w:lang w:val="es-ES"/>
        </w:rPr>
        <w:t>Bahía</w:t>
      </w:r>
      <w:r w:rsidR="00224C21" w:rsidRPr="00344CD1">
        <w:rPr>
          <w:rFonts w:ascii="Cambria" w:eastAsia="Batang" w:hAnsi="Cambria" w:cs="Times New Roman"/>
          <w:color w:val="000000"/>
          <w:sz w:val="21"/>
          <w:szCs w:val="21"/>
          <w:lang w:val="es-ES"/>
        </w:rPr>
        <w:t xml:space="preserve">, nuevas inspecciones </w:t>
      </w:r>
      <w:r w:rsidR="005A24AA" w:rsidRPr="00344CD1">
        <w:rPr>
          <w:rFonts w:ascii="Cambria" w:eastAsia="Batang" w:hAnsi="Cambria" w:cs="Times New Roman"/>
          <w:color w:val="000000"/>
          <w:sz w:val="21"/>
          <w:szCs w:val="21"/>
          <w:lang w:val="es-ES"/>
        </w:rPr>
        <w:t>fueron</w:t>
      </w:r>
      <w:r w:rsidR="00224C21" w:rsidRPr="00344CD1">
        <w:rPr>
          <w:rFonts w:ascii="Cambria" w:eastAsia="Batang" w:hAnsi="Cambria" w:cs="Times New Roman"/>
          <w:color w:val="000000"/>
          <w:sz w:val="21"/>
          <w:szCs w:val="21"/>
          <w:lang w:val="es-ES"/>
        </w:rPr>
        <w:t xml:space="preserve"> realizadas</w:t>
      </w:r>
      <w:r w:rsidR="005A24AA" w:rsidRPr="00344CD1">
        <w:rPr>
          <w:rFonts w:ascii="Cambria" w:eastAsia="Batang" w:hAnsi="Cambria" w:cs="Times New Roman"/>
          <w:color w:val="000000"/>
          <w:sz w:val="21"/>
          <w:szCs w:val="21"/>
          <w:lang w:val="es-ES"/>
        </w:rPr>
        <w:t>. Debido a lo anterior, las autoridades consideraron que inminencia del riesgo habría sido despejada, si bien reconocieron que seguía siendo</w:t>
      </w:r>
      <w:r w:rsidR="00224C21" w:rsidRPr="00344CD1">
        <w:rPr>
          <w:rFonts w:ascii="Cambria" w:eastAsia="Batang" w:hAnsi="Cambria" w:cs="Times New Roman"/>
          <w:color w:val="000000"/>
          <w:sz w:val="21"/>
          <w:szCs w:val="21"/>
          <w:lang w:val="es-ES"/>
        </w:rPr>
        <w:t xml:space="preserve"> urgente</w:t>
      </w:r>
      <w:r w:rsidR="005A24AA" w:rsidRPr="00344CD1">
        <w:rPr>
          <w:rFonts w:ascii="Cambria" w:eastAsia="Batang" w:hAnsi="Cambria" w:cs="Times New Roman"/>
          <w:color w:val="000000"/>
          <w:sz w:val="21"/>
          <w:szCs w:val="21"/>
          <w:lang w:val="es-ES"/>
        </w:rPr>
        <w:t xml:space="preserve"> la adopción de medidas de protección</w:t>
      </w:r>
      <w:r w:rsidR="00224C21" w:rsidRPr="00344CD1">
        <w:rPr>
          <w:rFonts w:ascii="Cambria" w:eastAsia="Batang" w:hAnsi="Cambria" w:cs="Times New Roman"/>
          <w:color w:val="000000"/>
          <w:sz w:val="21"/>
          <w:szCs w:val="21"/>
          <w:lang w:val="es-ES"/>
        </w:rPr>
        <w:t xml:space="preserve">. Los solicitantes destacan que ninguna medida adoptada se refiere a </w:t>
      </w:r>
      <w:r w:rsidR="001952E6" w:rsidRPr="00344CD1">
        <w:rPr>
          <w:rFonts w:ascii="Cambria" w:eastAsia="Batang" w:hAnsi="Cambria" w:cs="Times New Roman"/>
          <w:color w:val="000000"/>
          <w:sz w:val="21"/>
          <w:szCs w:val="21"/>
          <w:lang w:val="es-ES"/>
        </w:rPr>
        <w:t>la</w:t>
      </w:r>
      <w:r w:rsidR="00224C21" w:rsidRPr="00344CD1">
        <w:rPr>
          <w:rFonts w:ascii="Cambria" w:eastAsia="Batang" w:hAnsi="Cambria" w:cs="Times New Roman"/>
          <w:color w:val="000000"/>
          <w:sz w:val="21"/>
          <w:szCs w:val="21"/>
          <w:lang w:val="es-ES"/>
        </w:rPr>
        <w:t xml:space="preserve"> protección a la comunidad en caso de </w:t>
      </w:r>
      <w:r w:rsidR="00674B22" w:rsidRPr="00344CD1">
        <w:rPr>
          <w:rFonts w:ascii="Cambria" w:eastAsia="Batang" w:hAnsi="Cambria" w:cs="Times New Roman"/>
          <w:color w:val="000000"/>
          <w:sz w:val="21"/>
          <w:szCs w:val="21"/>
          <w:lang w:val="es-ES"/>
        </w:rPr>
        <w:t>rotura</w:t>
      </w:r>
      <w:r w:rsidR="00224C21" w:rsidRPr="00344CD1">
        <w:rPr>
          <w:rFonts w:ascii="Cambria" w:eastAsia="Batang" w:hAnsi="Cambria" w:cs="Times New Roman"/>
          <w:color w:val="000000"/>
          <w:sz w:val="21"/>
          <w:szCs w:val="21"/>
          <w:lang w:val="es-ES"/>
        </w:rPr>
        <w:t>,</w:t>
      </w:r>
      <w:r w:rsidR="001952E6" w:rsidRPr="00344CD1">
        <w:rPr>
          <w:rFonts w:ascii="Cambria" w:eastAsia="Batang" w:hAnsi="Cambria" w:cs="Times New Roman"/>
          <w:color w:val="000000"/>
          <w:sz w:val="21"/>
          <w:szCs w:val="21"/>
          <w:lang w:val="es-ES"/>
        </w:rPr>
        <w:t xml:space="preserve"> y que no habrían </w:t>
      </w:r>
      <w:r w:rsidR="00224C21" w:rsidRPr="00344CD1">
        <w:rPr>
          <w:rFonts w:ascii="Cambria" w:eastAsia="Batang" w:hAnsi="Cambria" w:cs="Times New Roman"/>
          <w:color w:val="000000"/>
          <w:sz w:val="21"/>
          <w:szCs w:val="21"/>
          <w:lang w:val="es-ES"/>
        </w:rPr>
        <w:t>sido informad</w:t>
      </w:r>
      <w:r w:rsidR="001952E6" w:rsidRPr="00344CD1">
        <w:rPr>
          <w:rFonts w:ascii="Cambria" w:eastAsia="Batang" w:hAnsi="Cambria" w:cs="Times New Roman"/>
          <w:color w:val="000000"/>
          <w:sz w:val="21"/>
          <w:szCs w:val="21"/>
          <w:lang w:val="es-ES"/>
        </w:rPr>
        <w:t>os</w:t>
      </w:r>
      <w:r w:rsidR="00224C21" w:rsidRPr="00344CD1">
        <w:rPr>
          <w:rFonts w:ascii="Cambria" w:eastAsia="Batang" w:hAnsi="Cambria" w:cs="Times New Roman"/>
          <w:color w:val="000000"/>
          <w:sz w:val="21"/>
          <w:szCs w:val="21"/>
          <w:lang w:val="es-ES"/>
        </w:rPr>
        <w:t xml:space="preserve"> sobre el Plan de Acción de Emergencia o medid</w:t>
      </w:r>
      <w:r w:rsidR="008D0416" w:rsidRPr="00344CD1">
        <w:rPr>
          <w:rFonts w:ascii="Cambria" w:eastAsia="Batang" w:hAnsi="Cambria" w:cs="Times New Roman"/>
          <w:color w:val="000000"/>
          <w:sz w:val="21"/>
          <w:szCs w:val="21"/>
          <w:lang w:val="es-ES"/>
        </w:rPr>
        <w:t>as futuras a ser implementadas.</w:t>
      </w:r>
    </w:p>
    <w:p w14:paraId="7A066D6C" w14:textId="30A4149E" w:rsidR="001952E6" w:rsidRPr="00344CD1" w:rsidRDefault="001952E6" w:rsidP="00D51F89">
      <w:pPr>
        <w:spacing w:after="0" w:line="240" w:lineRule="auto"/>
        <w:ind w:left="360"/>
        <w:contextualSpacing/>
        <w:jc w:val="both"/>
        <w:rPr>
          <w:rFonts w:ascii="Cambria" w:eastAsia="Batang" w:hAnsi="Cambria" w:cs="Times New Roman"/>
          <w:color w:val="000000"/>
          <w:sz w:val="21"/>
          <w:szCs w:val="21"/>
          <w:lang w:val="es-ES"/>
        </w:rPr>
      </w:pPr>
    </w:p>
    <w:p w14:paraId="5B4A0AEB" w14:textId="2DEA7BC6" w:rsidR="00D25985" w:rsidRPr="00344CD1" w:rsidRDefault="00224C21"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Añadido a lo anterior, la preocupación de la comunidad con </w:t>
      </w:r>
      <w:r w:rsidR="00AD2267" w:rsidRPr="00344CD1">
        <w:rPr>
          <w:rFonts w:ascii="Cambria" w:eastAsia="Batang" w:hAnsi="Cambria" w:cs="Times New Roman"/>
          <w:color w:val="000000"/>
          <w:sz w:val="21"/>
          <w:szCs w:val="21"/>
          <w:lang w:val="es-ES"/>
        </w:rPr>
        <w:t xml:space="preserve">los </w:t>
      </w:r>
      <w:r w:rsidRPr="00344CD1">
        <w:rPr>
          <w:rFonts w:ascii="Cambria" w:eastAsia="Batang" w:hAnsi="Cambria" w:cs="Times New Roman"/>
          <w:color w:val="000000"/>
          <w:sz w:val="21"/>
          <w:szCs w:val="21"/>
          <w:lang w:val="es-ES"/>
        </w:rPr>
        <w:t xml:space="preserve">“graves problemas en </w:t>
      </w:r>
      <w:r w:rsidR="00AD2267" w:rsidRPr="00344CD1">
        <w:rPr>
          <w:rFonts w:ascii="Cambria" w:eastAsia="Batang" w:hAnsi="Cambria" w:cs="Times New Roman"/>
          <w:color w:val="000000"/>
          <w:sz w:val="21"/>
          <w:szCs w:val="21"/>
          <w:lang w:val="es-ES"/>
        </w:rPr>
        <w:t xml:space="preserve">la </w:t>
      </w:r>
      <w:r w:rsidRPr="00344CD1">
        <w:rPr>
          <w:rFonts w:ascii="Cambria" w:eastAsia="Batang" w:hAnsi="Cambria" w:cs="Times New Roman"/>
          <w:color w:val="000000"/>
          <w:sz w:val="21"/>
          <w:szCs w:val="21"/>
          <w:lang w:val="es-ES"/>
        </w:rPr>
        <w:t>estructura”</w:t>
      </w:r>
      <w:r w:rsidR="00AD2267" w:rsidRPr="00344CD1">
        <w:rPr>
          <w:rFonts w:ascii="Cambria" w:eastAsia="Batang" w:hAnsi="Cambria" w:cs="Times New Roman"/>
          <w:color w:val="000000"/>
          <w:sz w:val="21"/>
          <w:szCs w:val="21"/>
          <w:lang w:val="es-ES"/>
        </w:rPr>
        <w:t xml:space="preserve"> de la represa se agrava una vez que </w:t>
      </w:r>
      <w:r w:rsidRPr="00344CD1">
        <w:rPr>
          <w:rFonts w:ascii="Cambria" w:eastAsia="Batang" w:hAnsi="Cambria" w:cs="Times New Roman"/>
          <w:color w:val="000000"/>
          <w:sz w:val="21"/>
          <w:szCs w:val="21"/>
          <w:lang w:val="es-ES"/>
        </w:rPr>
        <w:t xml:space="preserve">la vía </w:t>
      </w:r>
      <w:r w:rsidR="001952E6" w:rsidRPr="00344CD1">
        <w:rPr>
          <w:rFonts w:ascii="Cambria" w:eastAsia="Batang" w:hAnsi="Cambria" w:cs="Times New Roman"/>
          <w:color w:val="000000"/>
          <w:sz w:val="21"/>
          <w:szCs w:val="21"/>
          <w:lang w:val="es-ES"/>
        </w:rPr>
        <w:t>de acceso</w:t>
      </w:r>
      <w:r w:rsidR="00AD2267" w:rsidRPr="00344CD1">
        <w:rPr>
          <w:rFonts w:ascii="Cambria" w:eastAsia="Batang" w:hAnsi="Cambria" w:cs="Times New Roman"/>
          <w:color w:val="000000"/>
          <w:sz w:val="21"/>
          <w:szCs w:val="21"/>
          <w:lang w:val="es-ES"/>
        </w:rPr>
        <w:t xml:space="preserve"> a la comunidad</w:t>
      </w:r>
      <w:r w:rsidR="001952E6" w:rsidRPr="00344CD1">
        <w:rPr>
          <w:rFonts w:ascii="Cambria" w:eastAsia="Batang" w:hAnsi="Cambria" w:cs="Times New Roman"/>
          <w:color w:val="000000"/>
          <w:sz w:val="21"/>
          <w:szCs w:val="21"/>
          <w:lang w:val="es-ES"/>
        </w:rPr>
        <w:t xml:space="preserve"> </w:t>
      </w:r>
      <w:r w:rsidRPr="00344CD1">
        <w:rPr>
          <w:rFonts w:ascii="Cambria" w:eastAsia="Batang" w:hAnsi="Cambria" w:cs="Times New Roman"/>
          <w:color w:val="000000"/>
          <w:sz w:val="21"/>
          <w:szCs w:val="21"/>
          <w:lang w:val="es-ES"/>
        </w:rPr>
        <w:t>por arriba es la única idónea hacia la comunidad</w:t>
      </w:r>
      <w:r w:rsidR="001952E6" w:rsidRPr="00344CD1">
        <w:rPr>
          <w:rFonts w:ascii="Cambria" w:eastAsia="Batang" w:hAnsi="Cambria" w:cs="Times New Roman"/>
          <w:color w:val="000000"/>
          <w:sz w:val="21"/>
          <w:szCs w:val="21"/>
          <w:lang w:val="es-ES"/>
        </w:rPr>
        <w:t xml:space="preserve"> y </w:t>
      </w:r>
      <w:r w:rsidRPr="00344CD1">
        <w:rPr>
          <w:rFonts w:ascii="Cambria" w:eastAsia="Batang" w:hAnsi="Cambria" w:cs="Times New Roman"/>
          <w:color w:val="000000"/>
          <w:sz w:val="21"/>
          <w:szCs w:val="21"/>
          <w:lang w:val="es-ES"/>
        </w:rPr>
        <w:t>un</w:t>
      </w:r>
      <w:r w:rsidR="005A24AA" w:rsidRPr="00344CD1">
        <w:rPr>
          <w:rFonts w:ascii="Cambria" w:eastAsia="Batang" w:hAnsi="Cambria" w:cs="Times New Roman"/>
          <w:color w:val="000000"/>
          <w:sz w:val="21"/>
          <w:szCs w:val="21"/>
          <w:lang w:val="es-ES"/>
        </w:rPr>
        <w:t>a</w:t>
      </w:r>
      <w:r w:rsidRPr="00344CD1">
        <w:rPr>
          <w:rFonts w:ascii="Cambria" w:eastAsia="Batang" w:hAnsi="Cambria" w:cs="Times New Roman"/>
          <w:color w:val="000000"/>
          <w:sz w:val="21"/>
          <w:szCs w:val="21"/>
          <w:lang w:val="es-ES"/>
        </w:rPr>
        <w:t xml:space="preserve"> potencial </w:t>
      </w:r>
      <w:r w:rsidR="00674B22" w:rsidRPr="00344CD1">
        <w:rPr>
          <w:rFonts w:ascii="Cambria" w:eastAsia="Batang" w:hAnsi="Cambria" w:cs="Times New Roman"/>
          <w:color w:val="000000"/>
          <w:sz w:val="21"/>
          <w:szCs w:val="21"/>
          <w:lang w:val="es-ES"/>
        </w:rPr>
        <w:t>rotura</w:t>
      </w:r>
      <w:r w:rsidR="005A24AA" w:rsidRPr="00344CD1">
        <w:rPr>
          <w:rFonts w:ascii="Cambria" w:eastAsia="Batang" w:hAnsi="Cambria" w:cs="Times New Roman"/>
          <w:color w:val="000000"/>
          <w:sz w:val="21"/>
          <w:szCs w:val="21"/>
          <w:lang w:val="es-ES"/>
        </w:rPr>
        <w:t xml:space="preserve"> </w:t>
      </w:r>
      <w:r w:rsidRPr="00344CD1">
        <w:rPr>
          <w:rFonts w:ascii="Cambria" w:eastAsia="Batang" w:hAnsi="Cambria" w:cs="Times New Roman"/>
          <w:color w:val="000000"/>
          <w:sz w:val="21"/>
          <w:szCs w:val="21"/>
          <w:lang w:val="es-ES"/>
        </w:rPr>
        <w:t>les dejaría aislados.</w:t>
      </w:r>
      <w:r w:rsidR="00D25985" w:rsidRPr="00344CD1">
        <w:rPr>
          <w:rFonts w:ascii="Cambria" w:eastAsia="Batang" w:hAnsi="Cambria" w:cs="Times New Roman"/>
          <w:color w:val="000000"/>
          <w:sz w:val="21"/>
          <w:szCs w:val="21"/>
          <w:lang w:val="es-ES"/>
        </w:rPr>
        <w:t xml:space="preserve"> L</w:t>
      </w:r>
      <w:r w:rsidR="0011388A" w:rsidRPr="00344CD1">
        <w:rPr>
          <w:rFonts w:ascii="Cambria" w:eastAsia="Batang" w:hAnsi="Cambria" w:cs="Times New Roman"/>
          <w:color w:val="000000"/>
          <w:sz w:val="21"/>
          <w:szCs w:val="21"/>
          <w:lang w:val="es-ES"/>
        </w:rPr>
        <w:t>os solicitantes aclara</w:t>
      </w:r>
      <w:r w:rsidR="00D25985" w:rsidRPr="00344CD1">
        <w:rPr>
          <w:rFonts w:ascii="Cambria" w:eastAsia="Batang" w:hAnsi="Cambria" w:cs="Times New Roman"/>
          <w:color w:val="000000"/>
          <w:sz w:val="21"/>
          <w:szCs w:val="21"/>
          <w:lang w:val="es-ES"/>
        </w:rPr>
        <w:t xml:space="preserve">ron </w:t>
      </w:r>
      <w:r w:rsidR="0011388A" w:rsidRPr="00344CD1">
        <w:rPr>
          <w:rFonts w:ascii="Cambria" w:eastAsia="Batang" w:hAnsi="Cambria" w:cs="Times New Roman"/>
          <w:color w:val="000000"/>
          <w:sz w:val="21"/>
          <w:szCs w:val="21"/>
          <w:lang w:val="es-ES"/>
        </w:rPr>
        <w:t xml:space="preserve">que la suspensión de la construcción de una carretera de acceso independiente al quilombo derivaría de la oposición de la comunidad a la construcción de un muro, pues este “violaría derechos territoriales” e impediría </w:t>
      </w:r>
      <w:r w:rsidR="00D25985" w:rsidRPr="00344CD1">
        <w:rPr>
          <w:rFonts w:ascii="Cambria" w:eastAsia="Batang" w:hAnsi="Cambria" w:cs="Times New Roman"/>
          <w:color w:val="000000"/>
          <w:sz w:val="21"/>
          <w:szCs w:val="21"/>
          <w:lang w:val="es-ES"/>
        </w:rPr>
        <w:t xml:space="preserve">el </w:t>
      </w:r>
      <w:r w:rsidR="0011388A" w:rsidRPr="00344CD1">
        <w:rPr>
          <w:rFonts w:ascii="Cambria" w:eastAsia="Batang" w:hAnsi="Cambria" w:cs="Times New Roman"/>
          <w:color w:val="000000"/>
          <w:sz w:val="21"/>
          <w:szCs w:val="21"/>
          <w:lang w:val="es-ES"/>
        </w:rPr>
        <w:t xml:space="preserve">acceso </w:t>
      </w:r>
      <w:r w:rsidR="00D25985" w:rsidRPr="00344CD1">
        <w:rPr>
          <w:rFonts w:ascii="Cambria" w:eastAsia="Batang" w:hAnsi="Cambria" w:cs="Times New Roman"/>
          <w:color w:val="000000"/>
          <w:sz w:val="21"/>
          <w:szCs w:val="21"/>
          <w:lang w:val="es-ES"/>
        </w:rPr>
        <w:t>a</w:t>
      </w:r>
      <w:r w:rsidR="0011388A" w:rsidRPr="00344CD1">
        <w:rPr>
          <w:rFonts w:ascii="Cambria" w:eastAsia="Batang" w:hAnsi="Cambria" w:cs="Times New Roman"/>
          <w:color w:val="000000"/>
          <w:sz w:val="21"/>
          <w:szCs w:val="21"/>
          <w:lang w:val="es-ES"/>
        </w:rPr>
        <w:t>l agua a 87 familias propuestas como beneficiarias.</w:t>
      </w:r>
    </w:p>
    <w:p w14:paraId="226BC7A7" w14:textId="77777777" w:rsidR="00D25985" w:rsidRPr="00344CD1" w:rsidRDefault="00D25985" w:rsidP="00D51F89">
      <w:pPr>
        <w:spacing w:after="0" w:line="240" w:lineRule="auto"/>
        <w:ind w:left="360"/>
        <w:contextualSpacing/>
        <w:jc w:val="both"/>
        <w:rPr>
          <w:rFonts w:ascii="Cambria" w:eastAsia="Batang" w:hAnsi="Cambria" w:cs="Times New Roman"/>
          <w:color w:val="000000"/>
          <w:sz w:val="21"/>
          <w:szCs w:val="21"/>
          <w:lang w:val="es-ES"/>
        </w:rPr>
      </w:pPr>
    </w:p>
    <w:p w14:paraId="62A9F89F" w14:textId="5DEF78D6" w:rsidR="00AD6220" w:rsidRPr="00344CD1" w:rsidRDefault="00D25985"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Finalmente, l</w:t>
      </w:r>
      <w:r w:rsidR="00AD6220" w:rsidRPr="00344CD1">
        <w:rPr>
          <w:rFonts w:ascii="Cambria" w:eastAsia="Batang" w:hAnsi="Cambria" w:cs="Times New Roman"/>
          <w:color w:val="000000"/>
          <w:sz w:val="21"/>
          <w:szCs w:val="21"/>
          <w:lang w:val="es-ES"/>
        </w:rPr>
        <w:t xml:space="preserve">os solicitantes también indicaran que el 30 de mayo de 2020 la presidencia del INCRA firmó el término de reconocimiento de 97.83 hectáreas en nombre de la Asociación </w:t>
      </w:r>
      <w:proofErr w:type="spellStart"/>
      <w:r w:rsidR="00AD6220" w:rsidRPr="00344CD1">
        <w:rPr>
          <w:rFonts w:ascii="Cambria" w:eastAsia="Batang" w:hAnsi="Cambria" w:cs="Times New Roman"/>
          <w:color w:val="000000"/>
          <w:sz w:val="21"/>
          <w:szCs w:val="21"/>
          <w:lang w:val="es-ES"/>
        </w:rPr>
        <w:t>Quilombola</w:t>
      </w:r>
      <w:proofErr w:type="spellEnd"/>
      <w:r w:rsidR="00AD6220" w:rsidRPr="00344CD1">
        <w:rPr>
          <w:rFonts w:ascii="Cambria" w:eastAsia="Batang" w:hAnsi="Cambria" w:cs="Times New Roman"/>
          <w:color w:val="000000"/>
          <w:sz w:val="21"/>
          <w:szCs w:val="21"/>
          <w:lang w:val="es-ES"/>
        </w:rPr>
        <w:t>.</w:t>
      </w:r>
    </w:p>
    <w:p w14:paraId="7FAE1181" w14:textId="163E5E19" w:rsidR="00AD6220" w:rsidRPr="00344CD1" w:rsidRDefault="00AD6220" w:rsidP="00D51F89">
      <w:pPr>
        <w:spacing w:after="0" w:line="240" w:lineRule="auto"/>
        <w:contextualSpacing/>
        <w:jc w:val="both"/>
        <w:rPr>
          <w:rFonts w:ascii="Cambria" w:eastAsia="Batang" w:hAnsi="Cambria" w:cs="Times New Roman"/>
          <w:b/>
          <w:color w:val="000000"/>
          <w:sz w:val="21"/>
          <w:szCs w:val="21"/>
          <w:lang w:val="es-ES"/>
        </w:rPr>
      </w:pPr>
    </w:p>
    <w:p w14:paraId="592C897B" w14:textId="4E888F3C" w:rsidR="004F730A" w:rsidRPr="00344CD1" w:rsidRDefault="00064CED" w:rsidP="00D51F89">
      <w:pPr>
        <w:pStyle w:val="ListParagraph"/>
        <w:numPr>
          <w:ilvl w:val="1"/>
          <w:numId w:val="4"/>
        </w:numPr>
        <w:spacing w:after="0" w:line="240" w:lineRule="auto"/>
        <w:jc w:val="both"/>
        <w:rPr>
          <w:rFonts w:ascii="Cambria" w:eastAsia="Batang" w:hAnsi="Cambria" w:cs="Times New Roman"/>
          <w:b/>
          <w:color w:val="000000"/>
          <w:sz w:val="21"/>
          <w:szCs w:val="21"/>
          <w:lang w:val="es-ES"/>
        </w:rPr>
      </w:pPr>
      <w:r w:rsidRPr="00344CD1">
        <w:rPr>
          <w:rFonts w:ascii="Cambria" w:eastAsia="Batang" w:hAnsi="Cambria" w:cs="Times New Roman"/>
          <w:b/>
          <w:color w:val="000000"/>
          <w:sz w:val="21"/>
          <w:szCs w:val="21"/>
          <w:lang w:val="es-ES"/>
        </w:rPr>
        <w:t>Estado</w:t>
      </w:r>
    </w:p>
    <w:p w14:paraId="42FAACAC" w14:textId="77777777" w:rsidR="00064CED" w:rsidRPr="00344CD1" w:rsidRDefault="00064CED" w:rsidP="00D51F89">
      <w:pPr>
        <w:spacing w:after="0" w:line="240" w:lineRule="auto"/>
        <w:contextualSpacing/>
        <w:jc w:val="both"/>
        <w:rPr>
          <w:rFonts w:ascii="Cambria" w:eastAsia="Batang" w:hAnsi="Cambria" w:cs="Times New Roman"/>
          <w:b/>
          <w:color w:val="000000"/>
          <w:sz w:val="21"/>
          <w:szCs w:val="21"/>
          <w:lang w:val="es-ES"/>
        </w:rPr>
      </w:pPr>
    </w:p>
    <w:p w14:paraId="7715F812" w14:textId="77B8FCAA" w:rsidR="004F730A" w:rsidRPr="00344CD1" w:rsidRDefault="0044587E" w:rsidP="00D51F89">
      <w:pPr>
        <w:numPr>
          <w:ilvl w:val="0"/>
          <w:numId w:val="3"/>
        </w:numPr>
        <w:spacing w:after="0" w:line="240" w:lineRule="auto"/>
        <w:ind w:left="0" w:firstLine="360"/>
        <w:contextualSpacing/>
        <w:jc w:val="both"/>
        <w:rPr>
          <w:rFonts w:ascii="Cambria" w:eastAsia="Batang" w:hAnsi="Cambria" w:cs="Times New Roman"/>
          <w:b/>
          <w:color w:val="000000"/>
          <w:sz w:val="21"/>
          <w:szCs w:val="21"/>
          <w:lang w:val="es-ES"/>
        </w:rPr>
      </w:pPr>
      <w:r w:rsidRPr="00344CD1">
        <w:rPr>
          <w:rFonts w:ascii="Cambria" w:eastAsia="Batang" w:hAnsi="Cambria" w:cs="Times New Roman"/>
          <w:color w:val="000000"/>
          <w:sz w:val="21"/>
          <w:szCs w:val="21"/>
          <w:lang w:val="es-ES"/>
        </w:rPr>
        <w:t xml:space="preserve">El 15 de junio de 2020, el Estado envió información </w:t>
      </w:r>
      <w:r w:rsidR="005A24AA" w:rsidRPr="00344CD1">
        <w:rPr>
          <w:rFonts w:ascii="Cambria" w:eastAsia="Batang" w:hAnsi="Cambria" w:cs="Times New Roman"/>
          <w:color w:val="000000"/>
          <w:sz w:val="21"/>
          <w:szCs w:val="21"/>
          <w:lang w:val="es-ES"/>
        </w:rPr>
        <w:t xml:space="preserve">adicional </w:t>
      </w:r>
      <w:r w:rsidRPr="00344CD1">
        <w:rPr>
          <w:rFonts w:ascii="Cambria" w:eastAsia="Batang" w:hAnsi="Cambria" w:cs="Times New Roman"/>
          <w:color w:val="000000"/>
          <w:sz w:val="21"/>
          <w:szCs w:val="21"/>
          <w:lang w:val="es-ES"/>
        </w:rPr>
        <w:t xml:space="preserve">indicando que, en el contexto del COVID-19, no se habría impedido la entrada de donaciones de alimentación y productos de higiene, sino que se habría solicitado a las personas responsables por la donación, </w:t>
      </w:r>
      <w:r w:rsidR="007B0D4C" w:rsidRPr="00344CD1">
        <w:rPr>
          <w:rFonts w:ascii="Cambria" w:eastAsia="Batang" w:hAnsi="Cambria" w:cs="Times New Roman"/>
          <w:color w:val="000000"/>
          <w:sz w:val="21"/>
          <w:szCs w:val="21"/>
          <w:lang w:val="es-ES"/>
        </w:rPr>
        <w:t>pedir</w:t>
      </w:r>
      <w:r w:rsidRPr="00344CD1">
        <w:rPr>
          <w:rFonts w:ascii="Cambria" w:eastAsia="Batang" w:hAnsi="Cambria" w:cs="Times New Roman"/>
          <w:color w:val="000000"/>
          <w:sz w:val="21"/>
          <w:szCs w:val="21"/>
          <w:lang w:val="es-ES"/>
        </w:rPr>
        <w:t xml:space="preserve"> permiso de entrada </w:t>
      </w:r>
      <w:r w:rsidR="00C76E7A" w:rsidRPr="00344CD1">
        <w:rPr>
          <w:rFonts w:ascii="Cambria" w:eastAsia="Batang" w:hAnsi="Cambria" w:cs="Times New Roman"/>
          <w:color w:val="000000"/>
          <w:sz w:val="21"/>
          <w:szCs w:val="21"/>
          <w:lang w:val="es-ES"/>
        </w:rPr>
        <w:t xml:space="preserve">al </w:t>
      </w:r>
      <w:r w:rsidR="00C76E7A" w:rsidRPr="00344CD1">
        <w:rPr>
          <w:rFonts w:ascii="Cambria" w:eastAsia="Batang" w:hAnsi="Cambria" w:cs="Times New Roman"/>
          <w:color w:val="000000"/>
          <w:sz w:val="21"/>
          <w:szCs w:val="21"/>
          <w:lang w:val="es-ES"/>
        </w:rPr>
        <w:lastRenderedPageBreak/>
        <w:t xml:space="preserve">comando responsable, toda vez que se trata de área militar. Específicamente el 9 de mayo, fecha en que los solicitantes alegaron que se prohibió la entrada de donaciones, </w:t>
      </w:r>
      <w:r w:rsidR="00545983" w:rsidRPr="00344CD1">
        <w:rPr>
          <w:rFonts w:ascii="Cambria" w:eastAsia="Batang" w:hAnsi="Cambria" w:cs="Times New Roman"/>
          <w:color w:val="000000"/>
          <w:sz w:val="21"/>
          <w:szCs w:val="21"/>
          <w:lang w:val="es-ES"/>
        </w:rPr>
        <w:t xml:space="preserve">el propio donante habría preferido volver el 11 de mayo a esperar formalización del permiso de entrada, la cual presuntamente le fue adelantado de forma verbal que sería concedida. Según el Estado, el 11 de mayo las donaciones fueron distribuidas, inclusive se habría </w:t>
      </w:r>
      <w:r w:rsidR="00122830" w:rsidRPr="00344CD1">
        <w:rPr>
          <w:rFonts w:ascii="Cambria" w:eastAsia="Batang" w:hAnsi="Cambria" w:cs="Times New Roman"/>
          <w:color w:val="000000"/>
          <w:sz w:val="21"/>
          <w:szCs w:val="21"/>
          <w:lang w:val="es-ES"/>
        </w:rPr>
        <w:t xml:space="preserve">puesto en </w:t>
      </w:r>
      <w:r w:rsidR="00545983" w:rsidRPr="00344CD1">
        <w:rPr>
          <w:rFonts w:ascii="Cambria" w:eastAsia="Batang" w:hAnsi="Cambria" w:cs="Times New Roman"/>
          <w:color w:val="000000"/>
          <w:sz w:val="21"/>
          <w:szCs w:val="21"/>
          <w:lang w:val="es-ES"/>
        </w:rPr>
        <w:t>disponibili</w:t>
      </w:r>
      <w:r w:rsidR="00122830" w:rsidRPr="00344CD1">
        <w:rPr>
          <w:rFonts w:ascii="Cambria" w:eastAsia="Batang" w:hAnsi="Cambria" w:cs="Times New Roman"/>
          <w:color w:val="000000"/>
          <w:sz w:val="21"/>
          <w:szCs w:val="21"/>
          <w:lang w:val="es-ES"/>
        </w:rPr>
        <w:t>dad</w:t>
      </w:r>
      <w:r w:rsidR="00545983" w:rsidRPr="00344CD1">
        <w:rPr>
          <w:rFonts w:ascii="Cambria" w:eastAsia="Batang" w:hAnsi="Cambria" w:cs="Times New Roman"/>
          <w:color w:val="000000"/>
          <w:sz w:val="21"/>
          <w:szCs w:val="21"/>
          <w:lang w:val="es-ES"/>
        </w:rPr>
        <w:t xml:space="preserve"> un correo electrónico </w:t>
      </w:r>
      <w:r w:rsidR="00122830" w:rsidRPr="00344CD1">
        <w:rPr>
          <w:rFonts w:ascii="Cambria" w:eastAsia="Batang" w:hAnsi="Cambria" w:cs="Times New Roman"/>
          <w:color w:val="000000"/>
          <w:sz w:val="21"/>
          <w:szCs w:val="21"/>
          <w:lang w:val="es-ES"/>
        </w:rPr>
        <w:t xml:space="preserve">para facilitar el proceso de permiso de entregas en casos de donaciones a la comunidad </w:t>
      </w:r>
      <w:proofErr w:type="spellStart"/>
      <w:r w:rsidR="00122830" w:rsidRPr="00344CD1">
        <w:rPr>
          <w:rFonts w:ascii="Cambria" w:eastAsia="Batang" w:hAnsi="Cambria" w:cs="Times New Roman"/>
          <w:color w:val="000000"/>
          <w:sz w:val="21"/>
          <w:szCs w:val="21"/>
          <w:lang w:val="es-ES"/>
        </w:rPr>
        <w:t>quilombola</w:t>
      </w:r>
      <w:proofErr w:type="spellEnd"/>
      <w:r w:rsidR="00C95EC5" w:rsidRPr="00344CD1">
        <w:rPr>
          <w:rStyle w:val="FootnoteReference"/>
          <w:rFonts w:ascii="Cambria" w:eastAsia="Batang" w:hAnsi="Cambria" w:cs="Times New Roman"/>
          <w:color w:val="000000"/>
          <w:sz w:val="21"/>
          <w:szCs w:val="21"/>
          <w:lang w:val="es-ES"/>
        </w:rPr>
        <w:footnoteReference w:id="7"/>
      </w:r>
      <w:r w:rsidR="00122830" w:rsidRPr="00344CD1">
        <w:rPr>
          <w:rFonts w:ascii="Cambria" w:eastAsia="Batang" w:hAnsi="Cambria" w:cs="Times New Roman"/>
          <w:color w:val="000000"/>
          <w:sz w:val="21"/>
          <w:szCs w:val="21"/>
          <w:lang w:val="es-ES"/>
        </w:rPr>
        <w:t>.</w:t>
      </w:r>
    </w:p>
    <w:p w14:paraId="56EB88C4" w14:textId="17FB6690" w:rsidR="00122830" w:rsidRPr="00344CD1" w:rsidRDefault="00122830" w:rsidP="00D51F89">
      <w:pPr>
        <w:spacing w:after="0" w:line="240" w:lineRule="auto"/>
        <w:ind w:left="360"/>
        <w:contextualSpacing/>
        <w:jc w:val="both"/>
        <w:rPr>
          <w:rFonts w:ascii="Cambria" w:eastAsia="Batang" w:hAnsi="Cambria" w:cs="Times New Roman"/>
          <w:b/>
          <w:color w:val="000000"/>
          <w:sz w:val="21"/>
          <w:szCs w:val="21"/>
          <w:lang w:val="es-ES"/>
        </w:rPr>
      </w:pPr>
    </w:p>
    <w:p w14:paraId="46E6E598" w14:textId="6C7EF4EF" w:rsidR="00122830" w:rsidRPr="00344CD1" w:rsidRDefault="00122830"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Con relación al acceso a agua potable, el Estado alegó que </w:t>
      </w:r>
      <w:r w:rsidR="009B4D44" w:rsidRPr="00344CD1">
        <w:rPr>
          <w:rFonts w:ascii="Cambria" w:eastAsia="Batang" w:hAnsi="Cambria" w:cs="Times New Roman"/>
          <w:color w:val="000000"/>
          <w:sz w:val="21"/>
          <w:szCs w:val="21"/>
          <w:lang w:val="es-ES"/>
        </w:rPr>
        <w:t xml:space="preserve">no ha sido la Marina que cortó </w:t>
      </w:r>
      <w:r w:rsidR="00D25985" w:rsidRPr="00344CD1">
        <w:rPr>
          <w:rFonts w:ascii="Cambria" w:eastAsia="Batang" w:hAnsi="Cambria" w:cs="Times New Roman"/>
          <w:color w:val="000000"/>
          <w:sz w:val="21"/>
          <w:szCs w:val="21"/>
          <w:lang w:val="es-ES"/>
        </w:rPr>
        <w:t xml:space="preserve">su </w:t>
      </w:r>
      <w:r w:rsidR="009B4D44" w:rsidRPr="00344CD1">
        <w:rPr>
          <w:rFonts w:ascii="Cambria" w:eastAsia="Batang" w:hAnsi="Cambria" w:cs="Times New Roman"/>
          <w:color w:val="000000"/>
          <w:sz w:val="21"/>
          <w:szCs w:val="21"/>
          <w:lang w:val="es-ES"/>
        </w:rPr>
        <w:t xml:space="preserve">suministro, sino que hubo problemas en la red de </w:t>
      </w:r>
      <w:r w:rsidR="00593AD0" w:rsidRPr="00344CD1">
        <w:rPr>
          <w:rFonts w:ascii="Cambria" w:eastAsia="Batang" w:hAnsi="Cambria" w:cs="Times New Roman"/>
          <w:color w:val="000000"/>
          <w:sz w:val="21"/>
          <w:szCs w:val="21"/>
          <w:lang w:val="es-ES"/>
        </w:rPr>
        <w:t>distribución</w:t>
      </w:r>
      <w:r w:rsidR="0020084A" w:rsidRPr="00344CD1">
        <w:rPr>
          <w:rFonts w:ascii="Cambria" w:eastAsia="Batang" w:hAnsi="Cambria" w:cs="Times New Roman"/>
          <w:color w:val="000000"/>
          <w:sz w:val="21"/>
          <w:szCs w:val="21"/>
          <w:lang w:val="es-ES"/>
        </w:rPr>
        <w:t xml:space="preserve">. Así que se tomó conocimiento de la situación se habría implementado las debidas diligencias. El 16 de mayo se habría confirmado la regularización del abastecimiento del agua. En ese entremedio, la Marina habría concedido otro punto de agua a la comunidad, el cual </w:t>
      </w:r>
      <w:r w:rsidR="00D25985" w:rsidRPr="00344CD1">
        <w:rPr>
          <w:rFonts w:ascii="Cambria" w:eastAsia="Batang" w:hAnsi="Cambria" w:cs="Times New Roman"/>
          <w:color w:val="000000"/>
          <w:sz w:val="21"/>
          <w:szCs w:val="21"/>
          <w:lang w:val="es-ES"/>
        </w:rPr>
        <w:t>fue rechazado por ser considerado</w:t>
      </w:r>
      <w:r w:rsidR="0020084A" w:rsidRPr="00344CD1">
        <w:rPr>
          <w:rFonts w:ascii="Cambria" w:eastAsia="Batang" w:hAnsi="Cambria" w:cs="Times New Roman"/>
          <w:color w:val="000000"/>
          <w:sz w:val="21"/>
          <w:szCs w:val="21"/>
          <w:lang w:val="es-ES"/>
        </w:rPr>
        <w:t xml:space="preserve"> lejano.</w:t>
      </w:r>
    </w:p>
    <w:p w14:paraId="5A6CC40A" w14:textId="43A3128A" w:rsidR="004F730A" w:rsidRPr="00344CD1" w:rsidRDefault="004F730A" w:rsidP="00D51F89">
      <w:pPr>
        <w:spacing w:after="0" w:line="240" w:lineRule="auto"/>
        <w:contextualSpacing/>
        <w:jc w:val="both"/>
        <w:rPr>
          <w:rFonts w:ascii="Cambria" w:eastAsia="Batang" w:hAnsi="Cambria" w:cs="Times New Roman"/>
          <w:b/>
          <w:color w:val="000000"/>
          <w:sz w:val="21"/>
          <w:szCs w:val="21"/>
          <w:lang w:val="es-ES"/>
        </w:rPr>
      </w:pPr>
    </w:p>
    <w:p w14:paraId="253658CA" w14:textId="3E8B347A" w:rsidR="004F730A" w:rsidRPr="00344CD1" w:rsidRDefault="00EF0D6C"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El Estado también envió información actualizada sobre la situación </w:t>
      </w:r>
      <w:r w:rsidR="00343EEA" w:rsidRPr="00344CD1">
        <w:rPr>
          <w:rFonts w:ascii="Cambria" w:eastAsia="Batang" w:hAnsi="Cambria" w:cs="Times New Roman"/>
          <w:color w:val="000000"/>
          <w:sz w:val="21"/>
          <w:szCs w:val="21"/>
          <w:lang w:val="es-ES"/>
        </w:rPr>
        <w:t>de la Rep</w:t>
      </w:r>
      <w:r w:rsidRPr="00344CD1">
        <w:rPr>
          <w:rFonts w:ascii="Cambria" w:eastAsia="Batang" w:hAnsi="Cambria" w:cs="Times New Roman"/>
          <w:color w:val="000000"/>
          <w:sz w:val="21"/>
          <w:szCs w:val="21"/>
          <w:lang w:val="es-ES"/>
        </w:rPr>
        <w:t xml:space="preserve">resa Rio dos Macacos, indicando que no hay riesgo inminente de </w:t>
      </w:r>
      <w:r w:rsidR="00674B22" w:rsidRPr="00344CD1">
        <w:rPr>
          <w:rFonts w:ascii="Cambria" w:eastAsia="Batang" w:hAnsi="Cambria" w:cs="Times New Roman"/>
          <w:color w:val="000000"/>
          <w:sz w:val="21"/>
          <w:szCs w:val="21"/>
          <w:lang w:val="es-ES"/>
        </w:rPr>
        <w:t>rotura</w:t>
      </w:r>
      <w:r w:rsidRPr="00344CD1">
        <w:rPr>
          <w:rFonts w:ascii="Cambria" w:eastAsia="Batang" w:hAnsi="Cambria" w:cs="Times New Roman"/>
          <w:color w:val="000000"/>
          <w:sz w:val="21"/>
          <w:szCs w:val="21"/>
          <w:lang w:val="es-ES"/>
        </w:rPr>
        <w:t xml:space="preserve">. La </w:t>
      </w:r>
      <w:r w:rsidR="00343EEA" w:rsidRPr="00344CD1">
        <w:rPr>
          <w:rFonts w:ascii="Cambria" w:eastAsia="Batang" w:hAnsi="Cambria" w:cs="Times New Roman"/>
          <w:color w:val="000000"/>
          <w:sz w:val="21"/>
          <w:szCs w:val="21"/>
          <w:lang w:val="es-ES"/>
        </w:rPr>
        <w:t>re</w:t>
      </w:r>
      <w:r w:rsidRPr="00344CD1">
        <w:rPr>
          <w:rFonts w:ascii="Cambria" w:eastAsia="Batang" w:hAnsi="Cambria" w:cs="Times New Roman"/>
          <w:color w:val="000000"/>
          <w:sz w:val="21"/>
          <w:szCs w:val="21"/>
          <w:lang w:val="es-ES"/>
        </w:rPr>
        <w:t>presa se ubica en tierras del Estado, afuera de</w:t>
      </w:r>
      <w:r w:rsidR="00055658" w:rsidRPr="00344CD1">
        <w:rPr>
          <w:rFonts w:ascii="Cambria" w:eastAsia="Batang" w:hAnsi="Cambria" w:cs="Times New Roman"/>
          <w:color w:val="000000"/>
          <w:sz w:val="21"/>
          <w:szCs w:val="21"/>
          <w:lang w:val="es-ES"/>
        </w:rPr>
        <w:t xml:space="preserve">l territorio </w:t>
      </w:r>
      <w:proofErr w:type="spellStart"/>
      <w:r w:rsidR="00055658" w:rsidRPr="00344CD1">
        <w:rPr>
          <w:rFonts w:ascii="Cambria" w:eastAsia="Batang" w:hAnsi="Cambria" w:cs="Times New Roman"/>
          <w:color w:val="000000"/>
          <w:sz w:val="21"/>
          <w:szCs w:val="21"/>
          <w:lang w:val="es-ES"/>
        </w:rPr>
        <w:t>quilombola</w:t>
      </w:r>
      <w:proofErr w:type="spellEnd"/>
      <w:r w:rsidR="00055658" w:rsidRPr="00344CD1">
        <w:rPr>
          <w:rFonts w:ascii="Cambria" w:eastAsia="Batang" w:hAnsi="Cambria" w:cs="Times New Roman"/>
          <w:color w:val="000000"/>
          <w:sz w:val="21"/>
          <w:szCs w:val="21"/>
          <w:lang w:val="es-ES"/>
        </w:rPr>
        <w:t xml:space="preserve"> y sería inspeccionada diariamente por la Marina, además de haber recibido verificación de </w:t>
      </w:r>
      <w:r w:rsidR="00F04766" w:rsidRPr="00344CD1">
        <w:rPr>
          <w:rFonts w:ascii="Cambria" w:eastAsia="Batang" w:hAnsi="Cambria" w:cs="Times New Roman"/>
          <w:color w:val="000000"/>
          <w:sz w:val="21"/>
          <w:szCs w:val="21"/>
          <w:lang w:val="es-ES"/>
        </w:rPr>
        <w:t>órganos</w:t>
      </w:r>
      <w:r w:rsidR="00055658" w:rsidRPr="00344CD1">
        <w:rPr>
          <w:rFonts w:ascii="Cambria" w:eastAsia="Batang" w:hAnsi="Cambria" w:cs="Times New Roman"/>
          <w:color w:val="000000"/>
          <w:sz w:val="21"/>
          <w:szCs w:val="21"/>
          <w:lang w:val="es-ES"/>
        </w:rPr>
        <w:t xml:space="preserve"> estatales externos el 7, 11 y 12 de mayo de 2020. El 22 de mayo de 2020 la Marina celebró una reunión con otros </w:t>
      </w:r>
      <w:r w:rsidR="00F04766" w:rsidRPr="00344CD1">
        <w:rPr>
          <w:rFonts w:ascii="Cambria" w:eastAsia="Batang" w:hAnsi="Cambria" w:cs="Times New Roman"/>
          <w:color w:val="000000"/>
          <w:sz w:val="21"/>
          <w:szCs w:val="21"/>
          <w:lang w:val="es-ES"/>
        </w:rPr>
        <w:t>órganos</w:t>
      </w:r>
      <w:r w:rsidR="00055658" w:rsidRPr="00344CD1">
        <w:rPr>
          <w:rFonts w:ascii="Cambria" w:eastAsia="Batang" w:hAnsi="Cambria" w:cs="Times New Roman"/>
          <w:color w:val="000000"/>
          <w:sz w:val="21"/>
          <w:szCs w:val="21"/>
          <w:lang w:val="es-ES"/>
        </w:rPr>
        <w:t xml:space="preserve"> </w:t>
      </w:r>
      <w:r w:rsidR="00F04766" w:rsidRPr="00344CD1">
        <w:rPr>
          <w:rFonts w:ascii="Cambria" w:eastAsia="Batang" w:hAnsi="Cambria" w:cs="Times New Roman"/>
          <w:color w:val="000000"/>
          <w:sz w:val="21"/>
          <w:szCs w:val="21"/>
          <w:lang w:val="es-ES"/>
        </w:rPr>
        <w:t xml:space="preserve">estatales, entre ellos la Defensoría Pública, supuestamente confirmando “que no hay riesgo </w:t>
      </w:r>
      <w:r w:rsidR="00A3506B" w:rsidRPr="00344CD1">
        <w:rPr>
          <w:rFonts w:ascii="Cambria" w:eastAsia="Batang" w:hAnsi="Cambria" w:cs="Times New Roman"/>
          <w:color w:val="000000"/>
          <w:sz w:val="21"/>
          <w:szCs w:val="21"/>
          <w:lang w:val="es-ES"/>
        </w:rPr>
        <w:t>de rompimiento inminente de la Rep</w:t>
      </w:r>
      <w:r w:rsidR="00F04766" w:rsidRPr="00344CD1">
        <w:rPr>
          <w:rFonts w:ascii="Cambria" w:eastAsia="Batang" w:hAnsi="Cambria" w:cs="Times New Roman"/>
          <w:color w:val="000000"/>
          <w:sz w:val="21"/>
          <w:szCs w:val="21"/>
          <w:lang w:val="es-ES"/>
        </w:rPr>
        <w:t>resa Rio dos Macacos</w:t>
      </w:r>
      <w:r w:rsidR="00D25985" w:rsidRPr="00344CD1">
        <w:rPr>
          <w:rFonts w:ascii="Cambria" w:eastAsia="Batang" w:hAnsi="Cambria" w:cs="Times New Roman"/>
          <w:color w:val="000000"/>
          <w:sz w:val="21"/>
          <w:szCs w:val="21"/>
          <w:lang w:val="es-ES"/>
        </w:rPr>
        <w:t xml:space="preserve">. Por eso, se ha </w:t>
      </w:r>
      <w:r w:rsidR="00F04766" w:rsidRPr="00344CD1">
        <w:rPr>
          <w:rFonts w:ascii="Cambria" w:eastAsia="Batang" w:hAnsi="Cambria" w:cs="Times New Roman"/>
          <w:color w:val="000000"/>
          <w:sz w:val="21"/>
          <w:szCs w:val="21"/>
          <w:lang w:val="es-ES"/>
        </w:rPr>
        <w:t xml:space="preserve">alejado la necesidad de evacuación la comunidad cercana a la </w:t>
      </w:r>
      <w:r w:rsidR="00A3506B" w:rsidRPr="00344CD1">
        <w:rPr>
          <w:rFonts w:ascii="Cambria" w:eastAsia="Batang" w:hAnsi="Cambria" w:cs="Times New Roman"/>
          <w:color w:val="000000"/>
          <w:sz w:val="21"/>
          <w:szCs w:val="21"/>
          <w:lang w:val="es-ES"/>
        </w:rPr>
        <w:t>re</w:t>
      </w:r>
      <w:r w:rsidR="00F04766" w:rsidRPr="00344CD1">
        <w:rPr>
          <w:rFonts w:ascii="Cambria" w:eastAsia="Batang" w:hAnsi="Cambria" w:cs="Times New Roman"/>
          <w:color w:val="000000"/>
          <w:sz w:val="21"/>
          <w:szCs w:val="21"/>
          <w:lang w:val="es-ES"/>
        </w:rPr>
        <w:t xml:space="preserve">presa, </w:t>
      </w:r>
      <w:r w:rsidR="00683015" w:rsidRPr="00344CD1">
        <w:rPr>
          <w:rFonts w:ascii="Cambria" w:eastAsia="Batang" w:hAnsi="Cambria" w:cs="Times New Roman"/>
          <w:color w:val="000000"/>
          <w:sz w:val="21"/>
          <w:szCs w:val="21"/>
          <w:lang w:val="es-ES"/>
        </w:rPr>
        <w:t xml:space="preserve">la cual no está instalada en el área perteneciente al Estado o demarcado para la comunidad </w:t>
      </w:r>
      <w:proofErr w:type="spellStart"/>
      <w:r w:rsidR="00683015" w:rsidRPr="00344CD1">
        <w:rPr>
          <w:rFonts w:ascii="Cambria" w:eastAsia="Batang" w:hAnsi="Cambria" w:cs="Times New Roman"/>
          <w:color w:val="000000"/>
          <w:sz w:val="21"/>
          <w:szCs w:val="21"/>
          <w:lang w:val="es-ES"/>
        </w:rPr>
        <w:t>quilombola</w:t>
      </w:r>
      <w:proofErr w:type="spellEnd"/>
      <w:r w:rsidR="00683015" w:rsidRPr="00344CD1">
        <w:rPr>
          <w:rFonts w:ascii="Cambria" w:eastAsia="Batang" w:hAnsi="Cambria" w:cs="Times New Roman"/>
          <w:color w:val="000000"/>
          <w:sz w:val="21"/>
          <w:szCs w:val="21"/>
          <w:lang w:val="es-ES"/>
        </w:rPr>
        <w:t xml:space="preserve">”. Según lo informado, la Superintendencia de Protección y Defensa Civil del Estado de </w:t>
      </w:r>
      <w:r w:rsidR="00B667A5" w:rsidRPr="00344CD1">
        <w:rPr>
          <w:rFonts w:ascii="Cambria" w:eastAsia="Batang" w:hAnsi="Cambria" w:cs="Times New Roman"/>
          <w:color w:val="000000"/>
          <w:sz w:val="21"/>
          <w:szCs w:val="21"/>
          <w:lang w:val="es-ES"/>
        </w:rPr>
        <w:t>Bahía</w:t>
      </w:r>
      <w:r w:rsidR="00D25985" w:rsidRPr="00344CD1">
        <w:rPr>
          <w:rFonts w:ascii="Cambria" w:eastAsia="Batang" w:hAnsi="Cambria" w:cs="Times New Roman"/>
          <w:color w:val="000000"/>
          <w:sz w:val="21"/>
          <w:szCs w:val="21"/>
          <w:lang w:val="es-ES"/>
        </w:rPr>
        <w:t>, que</w:t>
      </w:r>
      <w:r w:rsidR="00683015" w:rsidRPr="00344CD1">
        <w:rPr>
          <w:rFonts w:ascii="Cambria" w:eastAsia="Batang" w:hAnsi="Cambria" w:cs="Times New Roman"/>
          <w:color w:val="000000"/>
          <w:sz w:val="21"/>
          <w:szCs w:val="21"/>
          <w:lang w:val="es-ES"/>
        </w:rPr>
        <w:t xml:space="preserve"> inicialmente </w:t>
      </w:r>
      <w:r w:rsidR="00657E1E" w:rsidRPr="00344CD1">
        <w:rPr>
          <w:rFonts w:ascii="Cambria" w:eastAsia="Batang" w:hAnsi="Cambria" w:cs="Times New Roman"/>
          <w:color w:val="000000"/>
          <w:sz w:val="21"/>
          <w:szCs w:val="21"/>
          <w:lang w:val="es-ES"/>
        </w:rPr>
        <w:t xml:space="preserve">habría valorado la situación de la </w:t>
      </w:r>
      <w:r w:rsidR="00A3506B" w:rsidRPr="00344CD1">
        <w:rPr>
          <w:rFonts w:ascii="Cambria" w:eastAsia="Batang" w:hAnsi="Cambria" w:cs="Times New Roman"/>
          <w:color w:val="000000"/>
          <w:sz w:val="21"/>
          <w:szCs w:val="21"/>
          <w:lang w:val="es-ES"/>
        </w:rPr>
        <w:t>re</w:t>
      </w:r>
      <w:r w:rsidR="00657E1E" w:rsidRPr="00344CD1">
        <w:rPr>
          <w:rFonts w:ascii="Cambria" w:eastAsia="Batang" w:hAnsi="Cambria" w:cs="Times New Roman"/>
          <w:color w:val="000000"/>
          <w:sz w:val="21"/>
          <w:szCs w:val="21"/>
          <w:lang w:val="es-ES"/>
        </w:rPr>
        <w:t xml:space="preserve">presa como “emergencia”, reevaluó la situación, la re-clasificando para nivel de “alerta”. </w:t>
      </w:r>
      <w:r w:rsidR="00274389" w:rsidRPr="00344CD1">
        <w:rPr>
          <w:rFonts w:ascii="Cambria" w:eastAsia="Batang" w:hAnsi="Cambria" w:cs="Times New Roman"/>
          <w:color w:val="000000"/>
          <w:sz w:val="21"/>
          <w:szCs w:val="21"/>
          <w:lang w:val="es-ES"/>
        </w:rPr>
        <w:t xml:space="preserve">Ello significaría que, si bien hay necesidad de intervenir en la </w:t>
      </w:r>
      <w:r w:rsidR="00A3506B" w:rsidRPr="00344CD1">
        <w:rPr>
          <w:rFonts w:ascii="Cambria" w:eastAsia="Batang" w:hAnsi="Cambria" w:cs="Times New Roman"/>
          <w:color w:val="000000"/>
          <w:sz w:val="21"/>
          <w:szCs w:val="21"/>
          <w:lang w:val="es-ES"/>
        </w:rPr>
        <w:t>re</w:t>
      </w:r>
      <w:r w:rsidR="00274389" w:rsidRPr="00344CD1">
        <w:rPr>
          <w:rFonts w:ascii="Cambria" w:eastAsia="Batang" w:hAnsi="Cambria" w:cs="Times New Roman"/>
          <w:color w:val="000000"/>
          <w:sz w:val="21"/>
          <w:szCs w:val="21"/>
          <w:lang w:val="es-ES"/>
        </w:rPr>
        <w:t xml:space="preserve">presa, no hay inminencia de </w:t>
      </w:r>
      <w:r w:rsidR="00674B22" w:rsidRPr="00344CD1">
        <w:rPr>
          <w:rFonts w:ascii="Cambria" w:eastAsia="Batang" w:hAnsi="Cambria" w:cs="Times New Roman"/>
          <w:color w:val="000000"/>
          <w:sz w:val="21"/>
          <w:szCs w:val="21"/>
          <w:lang w:val="es-ES"/>
        </w:rPr>
        <w:t>rotura</w:t>
      </w:r>
      <w:r w:rsidR="00274389" w:rsidRPr="00344CD1">
        <w:rPr>
          <w:rFonts w:ascii="Cambria" w:eastAsia="Batang" w:hAnsi="Cambria" w:cs="Times New Roman"/>
          <w:color w:val="000000"/>
          <w:sz w:val="21"/>
          <w:szCs w:val="21"/>
          <w:lang w:val="es-ES"/>
        </w:rPr>
        <w:t xml:space="preserve">. Asimismo, la Marina ya habría implementado medidas para la manutención de la estabilidad y seguridad de la </w:t>
      </w:r>
      <w:r w:rsidR="00A3506B" w:rsidRPr="00344CD1">
        <w:rPr>
          <w:rFonts w:ascii="Cambria" w:eastAsia="Batang" w:hAnsi="Cambria" w:cs="Times New Roman"/>
          <w:color w:val="000000"/>
          <w:sz w:val="21"/>
          <w:szCs w:val="21"/>
          <w:lang w:val="es-ES"/>
        </w:rPr>
        <w:t>re</w:t>
      </w:r>
      <w:r w:rsidR="00274389" w:rsidRPr="00344CD1">
        <w:rPr>
          <w:rFonts w:ascii="Cambria" w:eastAsia="Batang" w:hAnsi="Cambria" w:cs="Times New Roman"/>
          <w:color w:val="000000"/>
          <w:sz w:val="21"/>
          <w:szCs w:val="21"/>
          <w:lang w:val="es-ES"/>
        </w:rPr>
        <w:t xml:space="preserve">presa “como la reducción del nivel de agua, instalación de sifones, realización de </w:t>
      </w:r>
      <w:r w:rsidR="00717D83" w:rsidRPr="00344CD1">
        <w:rPr>
          <w:rFonts w:ascii="Cambria" w:eastAsia="Batang" w:hAnsi="Cambria" w:cs="Times New Roman"/>
          <w:color w:val="000000"/>
          <w:sz w:val="21"/>
          <w:szCs w:val="21"/>
          <w:lang w:val="es-ES"/>
        </w:rPr>
        <w:t>inspecciones</w:t>
      </w:r>
      <w:r w:rsidR="00274389" w:rsidRPr="00344CD1">
        <w:rPr>
          <w:rFonts w:ascii="Cambria" w:eastAsia="Batang" w:hAnsi="Cambria" w:cs="Times New Roman"/>
          <w:color w:val="000000"/>
          <w:sz w:val="21"/>
          <w:szCs w:val="21"/>
          <w:lang w:val="es-ES"/>
        </w:rPr>
        <w:t xml:space="preserve"> que monitorean las condiciones d</w:t>
      </w:r>
      <w:r w:rsidR="00717D83" w:rsidRPr="00344CD1">
        <w:rPr>
          <w:rFonts w:ascii="Cambria" w:eastAsia="Batang" w:hAnsi="Cambria" w:cs="Times New Roman"/>
          <w:color w:val="000000"/>
          <w:sz w:val="21"/>
          <w:szCs w:val="21"/>
          <w:lang w:val="es-ES"/>
        </w:rPr>
        <w:t>el pendiente; y</w:t>
      </w:r>
      <w:r w:rsidR="00A3506B" w:rsidRPr="00344CD1">
        <w:rPr>
          <w:rFonts w:ascii="Cambria" w:eastAsia="Batang" w:hAnsi="Cambria" w:cs="Times New Roman"/>
          <w:color w:val="000000"/>
          <w:sz w:val="21"/>
          <w:szCs w:val="21"/>
          <w:lang w:val="es-ES"/>
        </w:rPr>
        <w:t xml:space="preserve"> contratación de una empresa par</w:t>
      </w:r>
      <w:r w:rsidR="00717D83" w:rsidRPr="00344CD1">
        <w:rPr>
          <w:rFonts w:ascii="Cambria" w:eastAsia="Batang" w:hAnsi="Cambria" w:cs="Times New Roman"/>
          <w:color w:val="000000"/>
          <w:sz w:val="21"/>
          <w:szCs w:val="21"/>
          <w:lang w:val="es-ES"/>
        </w:rPr>
        <w:t>a la instalación de piezómetros y marcaciones superficiales, ya instalados. Acordó, también, el compromiso de adoptar todas las medidas que efectivamente le competen y que han sido apuntadas por los órganos de fiscalización”.</w:t>
      </w:r>
    </w:p>
    <w:p w14:paraId="42EF5818" w14:textId="0329E797" w:rsidR="00BF5977" w:rsidRPr="00344CD1" w:rsidRDefault="00BF5977" w:rsidP="00D51F89">
      <w:pPr>
        <w:spacing w:after="0" w:line="240" w:lineRule="auto"/>
        <w:ind w:left="360"/>
        <w:contextualSpacing/>
        <w:jc w:val="both"/>
        <w:rPr>
          <w:rFonts w:ascii="Cambria" w:eastAsia="Batang" w:hAnsi="Cambria" w:cs="Times New Roman"/>
          <w:color w:val="000000"/>
          <w:sz w:val="21"/>
          <w:szCs w:val="21"/>
          <w:lang w:val="es-ES"/>
        </w:rPr>
      </w:pPr>
    </w:p>
    <w:p w14:paraId="7382356A" w14:textId="2E0CC240" w:rsidR="00BF5977" w:rsidRPr="00344CD1" w:rsidRDefault="00BF5977"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El Estado también destacó que, además del acceso a la comunidad </w:t>
      </w:r>
      <w:proofErr w:type="spellStart"/>
      <w:r w:rsidRPr="00344CD1">
        <w:rPr>
          <w:rFonts w:ascii="Cambria" w:eastAsia="Batang" w:hAnsi="Cambria" w:cs="Times New Roman"/>
          <w:color w:val="000000"/>
          <w:sz w:val="21"/>
          <w:szCs w:val="21"/>
          <w:lang w:val="es-ES"/>
        </w:rPr>
        <w:t>quilombola</w:t>
      </w:r>
      <w:proofErr w:type="spellEnd"/>
      <w:r w:rsidRPr="00344CD1">
        <w:rPr>
          <w:rFonts w:ascii="Cambria" w:eastAsia="Batang" w:hAnsi="Cambria" w:cs="Times New Roman"/>
          <w:color w:val="000000"/>
          <w:sz w:val="21"/>
          <w:szCs w:val="21"/>
          <w:lang w:val="es-ES"/>
        </w:rPr>
        <w:t xml:space="preserve"> por la Vila Naval, hay dos otras vías</w:t>
      </w:r>
      <w:r w:rsidR="00A9161C" w:rsidRPr="00344CD1">
        <w:rPr>
          <w:rFonts w:ascii="Cambria" w:eastAsia="Batang" w:hAnsi="Cambria" w:cs="Times New Roman"/>
          <w:color w:val="000000"/>
          <w:sz w:val="21"/>
          <w:szCs w:val="21"/>
          <w:lang w:val="es-ES"/>
        </w:rPr>
        <w:t xml:space="preserve">, </w:t>
      </w:r>
      <w:r w:rsidR="00C5109D" w:rsidRPr="00344CD1">
        <w:rPr>
          <w:rFonts w:ascii="Cambria" w:eastAsia="Batang" w:hAnsi="Cambria" w:cs="Times New Roman"/>
          <w:color w:val="000000"/>
          <w:sz w:val="21"/>
          <w:szCs w:val="21"/>
          <w:lang w:val="es-ES"/>
        </w:rPr>
        <w:t>reconociendo también que “es</w:t>
      </w:r>
      <w:r w:rsidR="005A24AA" w:rsidRPr="00344CD1">
        <w:rPr>
          <w:rFonts w:ascii="Cambria" w:eastAsia="Batang" w:hAnsi="Cambria" w:cs="Times New Roman"/>
          <w:color w:val="000000"/>
          <w:sz w:val="21"/>
          <w:szCs w:val="21"/>
          <w:lang w:val="es-ES"/>
        </w:rPr>
        <w:t>o</w:t>
      </w:r>
      <w:r w:rsidR="00C5109D" w:rsidRPr="00344CD1">
        <w:rPr>
          <w:rFonts w:ascii="Cambria" w:eastAsia="Batang" w:hAnsi="Cambria" w:cs="Times New Roman"/>
          <w:color w:val="000000"/>
          <w:sz w:val="21"/>
          <w:szCs w:val="21"/>
          <w:lang w:val="es-ES"/>
        </w:rPr>
        <w:t xml:space="preserve">s caminos alternativos tienen restricciones; son en parte, formados por pasajes estrechos semejantes a senderos, algunos de ellos con instalaciones de </w:t>
      </w:r>
      <w:r w:rsidR="0004558C" w:rsidRPr="00344CD1">
        <w:rPr>
          <w:rFonts w:ascii="Cambria" w:eastAsia="Batang" w:hAnsi="Cambria" w:cs="Times New Roman"/>
          <w:color w:val="000000"/>
          <w:sz w:val="21"/>
          <w:szCs w:val="21"/>
          <w:lang w:val="es-ES"/>
        </w:rPr>
        <w:t>electricidad</w:t>
      </w:r>
      <w:r w:rsidR="00C5109D" w:rsidRPr="00344CD1">
        <w:rPr>
          <w:rFonts w:ascii="Cambria" w:eastAsia="Batang" w:hAnsi="Cambria" w:cs="Times New Roman"/>
          <w:color w:val="000000"/>
          <w:sz w:val="21"/>
          <w:szCs w:val="21"/>
          <w:lang w:val="es-ES"/>
        </w:rPr>
        <w:t>, y necesitan de intervención del poder público</w:t>
      </w:r>
      <w:r w:rsidR="00F539A8" w:rsidRPr="00344CD1">
        <w:rPr>
          <w:rFonts w:ascii="Cambria" w:eastAsia="Batang" w:hAnsi="Cambria" w:cs="Times New Roman"/>
          <w:color w:val="000000"/>
          <w:sz w:val="21"/>
          <w:szCs w:val="21"/>
          <w:lang w:val="es-ES"/>
        </w:rPr>
        <w:t xml:space="preserve"> competente para que presenten adecuadas condiciones de </w:t>
      </w:r>
      <w:r w:rsidR="0004558C" w:rsidRPr="00344CD1">
        <w:rPr>
          <w:rFonts w:ascii="Cambria" w:eastAsia="Batang" w:hAnsi="Cambria" w:cs="Times New Roman"/>
          <w:color w:val="000000"/>
          <w:sz w:val="21"/>
          <w:szCs w:val="21"/>
          <w:lang w:val="es-ES"/>
        </w:rPr>
        <w:t>tráfico por vehículo, sobre todo en periodo de lluvias”.</w:t>
      </w:r>
      <w:r w:rsidR="00A9161C" w:rsidRPr="00344CD1">
        <w:rPr>
          <w:rFonts w:ascii="Cambria" w:eastAsia="Batang" w:hAnsi="Cambria" w:cs="Times New Roman"/>
          <w:color w:val="000000"/>
          <w:sz w:val="21"/>
          <w:szCs w:val="21"/>
          <w:lang w:val="es-ES"/>
        </w:rPr>
        <w:t xml:space="preserve"> </w:t>
      </w:r>
      <w:r w:rsidR="00D03662" w:rsidRPr="00344CD1">
        <w:rPr>
          <w:rFonts w:ascii="Cambria" w:eastAsia="Batang" w:hAnsi="Cambria" w:cs="Times New Roman"/>
          <w:color w:val="000000"/>
          <w:sz w:val="21"/>
          <w:szCs w:val="21"/>
          <w:lang w:val="es-ES"/>
        </w:rPr>
        <w:t xml:space="preserve">Debido a lo anterior, según el Estado, no sería verdad que en el evento de rompimiento de la </w:t>
      </w:r>
      <w:r w:rsidR="00A3506B" w:rsidRPr="00344CD1">
        <w:rPr>
          <w:rFonts w:ascii="Cambria" w:eastAsia="Batang" w:hAnsi="Cambria" w:cs="Times New Roman"/>
          <w:color w:val="000000"/>
          <w:sz w:val="21"/>
          <w:szCs w:val="21"/>
          <w:lang w:val="es-ES"/>
        </w:rPr>
        <w:t>re</w:t>
      </w:r>
      <w:r w:rsidR="00D03662" w:rsidRPr="00344CD1">
        <w:rPr>
          <w:rFonts w:ascii="Cambria" w:eastAsia="Batang" w:hAnsi="Cambria" w:cs="Times New Roman"/>
          <w:color w:val="000000"/>
          <w:sz w:val="21"/>
          <w:szCs w:val="21"/>
          <w:lang w:val="es-ES"/>
        </w:rPr>
        <w:t>presa las personas propuestas beneficiarias se quedarían aisladas</w:t>
      </w:r>
      <w:r w:rsidR="006D097E" w:rsidRPr="00344CD1">
        <w:rPr>
          <w:rFonts w:ascii="Cambria" w:eastAsia="Batang" w:hAnsi="Cambria" w:cs="Times New Roman"/>
          <w:color w:val="000000"/>
          <w:sz w:val="21"/>
          <w:szCs w:val="21"/>
          <w:lang w:val="es-ES"/>
        </w:rPr>
        <w:t xml:space="preserve">, tampoco se podría afirmar que </w:t>
      </w:r>
      <w:r w:rsidR="00892749" w:rsidRPr="00344CD1">
        <w:rPr>
          <w:rFonts w:ascii="Cambria" w:eastAsia="Batang" w:hAnsi="Cambria" w:cs="Times New Roman"/>
          <w:color w:val="000000"/>
          <w:sz w:val="21"/>
          <w:szCs w:val="21"/>
          <w:lang w:val="es-ES"/>
        </w:rPr>
        <w:t>la única vía de entrada para los responsables de los alegados hostigamiento y amenazas sería bajo control de la Marina.</w:t>
      </w:r>
    </w:p>
    <w:p w14:paraId="6C1DCEB8" w14:textId="5372B232" w:rsidR="00892749" w:rsidRPr="00344CD1" w:rsidRDefault="00892749" w:rsidP="00D51F89">
      <w:pPr>
        <w:spacing w:after="0" w:line="240" w:lineRule="auto"/>
        <w:ind w:left="360"/>
        <w:contextualSpacing/>
        <w:jc w:val="both"/>
        <w:rPr>
          <w:rFonts w:ascii="Cambria" w:eastAsia="Batang" w:hAnsi="Cambria" w:cs="Times New Roman"/>
          <w:color w:val="000000"/>
          <w:sz w:val="21"/>
          <w:szCs w:val="21"/>
          <w:lang w:val="es-ES"/>
        </w:rPr>
      </w:pPr>
    </w:p>
    <w:p w14:paraId="4E49C3BA" w14:textId="754B9FF1" w:rsidR="00892749" w:rsidRPr="00344CD1" w:rsidRDefault="00DA74BA"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El Estado también afirmó que la conexión alegada por los solicitantes entre el asesinato del señor José </w:t>
      </w:r>
      <w:proofErr w:type="spellStart"/>
      <w:r w:rsidRPr="00344CD1">
        <w:rPr>
          <w:rFonts w:ascii="Cambria" w:eastAsia="Batang" w:hAnsi="Cambria" w:cs="Times New Roman"/>
          <w:color w:val="000000"/>
          <w:sz w:val="21"/>
          <w:szCs w:val="21"/>
          <w:lang w:val="es-ES"/>
        </w:rPr>
        <w:t>Isídio</w:t>
      </w:r>
      <w:proofErr w:type="spellEnd"/>
      <w:r w:rsidRPr="00344CD1">
        <w:rPr>
          <w:rFonts w:ascii="Cambria" w:eastAsia="Batang" w:hAnsi="Cambria" w:cs="Times New Roman"/>
          <w:color w:val="000000"/>
          <w:sz w:val="21"/>
          <w:szCs w:val="21"/>
          <w:lang w:val="es-ES"/>
        </w:rPr>
        <w:t xml:space="preserve"> </w:t>
      </w:r>
      <w:proofErr w:type="spellStart"/>
      <w:r w:rsidRPr="00344CD1">
        <w:rPr>
          <w:rFonts w:ascii="Cambria" w:eastAsia="Batang" w:hAnsi="Cambria" w:cs="Times New Roman"/>
          <w:color w:val="000000"/>
          <w:sz w:val="21"/>
          <w:szCs w:val="21"/>
          <w:lang w:val="es-ES"/>
        </w:rPr>
        <w:t>Dias</w:t>
      </w:r>
      <w:proofErr w:type="spellEnd"/>
      <w:r w:rsidRPr="00344CD1">
        <w:rPr>
          <w:rFonts w:ascii="Cambria" w:eastAsia="Batang" w:hAnsi="Cambria" w:cs="Times New Roman"/>
          <w:color w:val="000000"/>
          <w:sz w:val="21"/>
          <w:szCs w:val="21"/>
          <w:lang w:val="es-ES"/>
        </w:rPr>
        <w:t xml:space="preserve"> y la participación de la comunidad en el </w:t>
      </w:r>
      <w:r w:rsidR="00085043" w:rsidRPr="00344CD1">
        <w:rPr>
          <w:rFonts w:ascii="Cambria" w:eastAsia="Batang" w:hAnsi="Cambria" w:cs="Times New Roman"/>
          <w:color w:val="000000"/>
          <w:sz w:val="21"/>
          <w:szCs w:val="21"/>
          <w:lang w:val="es-ES"/>
        </w:rPr>
        <w:t>174</w:t>
      </w:r>
      <w:r w:rsidR="0056186A" w:rsidRPr="00344CD1">
        <w:rPr>
          <w:rFonts w:ascii="Cambria" w:eastAsia="Batang" w:hAnsi="Cambria" w:cs="Times New Roman"/>
          <w:color w:val="000000"/>
          <w:sz w:val="21"/>
          <w:szCs w:val="21"/>
          <w:lang w:val="es-ES"/>
        </w:rPr>
        <w:t>º</w:t>
      </w:r>
      <w:r w:rsidR="00085043" w:rsidRPr="00344CD1">
        <w:rPr>
          <w:rFonts w:ascii="Cambria" w:eastAsia="Batang" w:hAnsi="Cambria" w:cs="Times New Roman"/>
          <w:color w:val="000000"/>
          <w:sz w:val="21"/>
          <w:szCs w:val="21"/>
          <w:lang w:val="es-ES"/>
        </w:rPr>
        <w:t xml:space="preserve"> Periodo d</w:t>
      </w:r>
      <w:r w:rsidR="009B6941" w:rsidRPr="00344CD1">
        <w:rPr>
          <w:rFonts w:ascii="Cambria" w:eastAsia="Batang" w:hAnsi="Cambria" w:cs="Times New Roman"/>
          <w:color w:val="000000"/>
          <w:sz w:val="21"/>
          <w:szCs w:val="21"/>
          <w:lang w:val="es-ES"/>
        </w:rPr>
        <w:t>e Sesiones de la CIDH es un “argumento que no corresponde a la realidad”</w:t>
      </w:r>
      <w:r w:rsidR="0065396C" w:rsidRPr="00344CD1">
        <w:rPr>
          <w:rFonts w:ascii="Cambria" w:eastAsia="Batang" w:hAnsi="Cambria" w:cs="Times New Roman"/>
          <w:color w:val="000000"/>
          <w:sz w:val="21"/>
          <w:szCs w:val="21"/>
          <w:lang w:val="es-ES"/>
        </w:rPr>
        <w:t>.</w:t>
      </w:r>
    </w:p>
    <w:p w14:paraId="76585DCE" w14:textId="322D39FD" w:rsidR="0065396C" w:rsidRPr="00344CD1" w:rsidRDefault="0065396C" w:rsidP="00D51F89">
      <w:pPr>
        <w:spacing w:after="0" w:line="240" w:lineRule="auto"/>
        <w:ind w:left="360"/>
        <w:contextualSpacing/>
        <w:jc w:val="both"/>
        <w:rPr>
          <w:rFonts w:ascii="Cambria" w:eastAsia="Batang" w:hAnsi="Cambria" w:cs="Times New Roman"/>
          <w:color w:val="000000"/>
          <w:sz w:val="21"/>
          <w:szCs w:val="21"/>
          <w:lang w:val="es-ES"/>
        </w:rPr>
      </w:pPr>
    </w:p>
    <w:p w14:paraId="7ADCC44C" w14:textId="36975AB6" w:rsidR="0065396C" w:rsidRPr="00344CD1" w:rsidRDefault="003B1993"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Con relación a las personas propuestas </w:t>
      </w:r>
      <w:r w:rsidR="005A24AA" w:rsidRPr="00344CD1">
        <w:rPr>
          <w:rFonts w:ascii="Cambria" w:eastAsia="Batang" w:hAnsi="Cambria" w:cs="Times New Roman"/>
          <w:color w:val="000000"/>
          <w:sz w:val="21"/>
          <w:szCs w:val="21"/>
          <w:lang w:val="es-ES"/>
        </w:rPr>
        <w:t xml:space="preserve">como </w:t>
      </w:r>
      <w:r w:rsidRPr="00344CD1">
        <w:rPr>
          <w:rFonts w:ascii="Cambria" w:eastAsia="Batang" w:hAnsi="Cambria" w:cs="Times New Roman"/>
          <w:color w:val="000000"/>
          <w:sz w:val="21"/>
          <w:szCs w:val="21"/>
          <w:lang w:val="es-ES"/>
        </w:rPr>
        <w:t>beneficiarias que estarían involucradas en el Programa de Protección a los Defensores, el Estado indicó que</w:t>
      </w:r>
      <w:r w:rsidR="00A15AA3" w:rsidRPr="00344CD1">
        <w:rPr>
          <w:rFonts w:ascii="Cambria" w:eastAsia="Batang" w:hAnsi="Cambria" w:cs="Times New Roman"/>
          <w:color w:val="000000"/>
          <w:sz w:val="21"/>
          <w:szCs w:val="21"/>
          <w:lang w:val="es-ES"/>
        </w:rPr>
        <w:t>, desde abril de</w:t>
      </w:r>
      <w:r w:rsidRPr="00344CD1">
        <w:rPr>
          <w:rFonts w:ascii="Cambria" w:eastAsia="Batang" w:hAnsi="Cambria" w:cs="Times New Roman"/>
          <w:color w:val="000000"/>
          <w:sz w:val="21"/>
          <w:szCs w:val="21"/>
          <w:lang w:val="es-ES"/>
        </w:rPr>
        <w:t xml:space="preserve"> </w:t>
      </w:r>
      <w:r w:rsidR="00A15AA3" w:rsidRPr="00344CD1">
        <w:rPr>
          <w:rFonts w:ascii="Cambria" w:eastAsia="Batang" w:hAnsi="Cambria" w:cs="Times New Roman"/>
          <w:color w:val="000000"/>
          <w:sz w:val="21"/>
          <w:szCs w:val="21"/>
          <w:lang w:val="es-ES"/>
        </w:rPr>
        <w:t>2019</w:t>
      </w:r>
      <w:r w:rsidR="00E304BF" w:rsidRPr="00344CD1">
        <w:rPr>
          <w:rFonts w:ascii="Cambria" w:eastAsia="Batang" w:hAnsi="Cambria" w:cs="Times New Roman"/>
          <w:color w:val="000000"/>
          <w:sz w:val="21"/>
          <w:szCs w:val="21"/>
          <w:lang w:val="es-ES"/>
        </w:rPr>
        <w:t xml:space="preserve"> a abril de 2020</w:t>
      </w:r>
      <w:r w:rsidR="00B5681D" w:rsidRPr="00344CD1">
        <w:rPr>
          <w:rFonts w:ascii="Cambria" w:eastAsia="Batang" w:hAnsi="Cambria" w:cs="Times New Roman"/>
          <w:color w:val="000000"/>
          <w:sz w:val="21"/>
          <w:szCs w:val="21"/>
          <w:lang w:val="es-ES"/>
        </w:rPr>
        <w:t xml:space="preserve">, </w:t>
      </w:r>
      <w:r w:rsidR="00AA667A" w:rsidRPr="00344CD1">
        <w:rPr>
          <w:rFonts w:ascii="Cambria" w:eastAsia="Batang" w:hAnsi="Cambria" w:cs="Times New Roman"/>
          <w:color w:val="000000"/>
          <w:sz w:val="21"/>
          <w:szCs w:val="21"/>
          <w:lang w:val="es-ES"/>
        </w:rPr>
        <w:t>habría realizado reuniones de concertación entre diferentes órganos y los líderes, visitas</w:t>
      </w:r>
      <w:r w:rsidR="00AA667A" w:rsidRPr="00344CD1">
        <w:rPr>
          <w:rFonts w:ascii="Cambria" w:eastAsia="Batang" w:hAnsi="Cambria" w:cs="Times New Roman"/>
          <w:i/>
          <w:color w:val="000000"/>
          <w:sz w:val="21"/>
          <w:szCs w:val="21"/>
          <w:lang w:val="es-ES"/>
        </w:rPr>
        <w:t xml:space="preserve"> in loco, </w:t>
      </w:r>
      <w:r w:rsidR="00AA667A" w:rsidRPr="00344CD1">
        <w:rPr>
          <w:rFonts w:ascii="Cambria" w:eastAsia="Batang" w:hAnsi="Cambria" w:cs="Times New Roman"/>
          <w:color w:val="000000"/>
          <w:sz w:val="21"/>
          <w:szCs w:val="21"/>
          <w:lang w:val="es-ES"/>
        </w:rPr>
        <w:t xml:space="preserve">manteniendo contacto telefónico con por lo menos 4 de </w:t>
      </w:r>
      <w:r w:rsidR="00740C70" w:rsidRPr="00344CD1">
        <w:rPr>
          <w:rFonts w:ascii="Cambria" w:eastAsia="Batang" w:hAnsi="Cambria" w:cs="Times New Roman"/>
          <w:color w:val="000000"/>
          <w:sz w:val="21"/>
          <w:szCs w:val="21"/>
          <w:lang w:val="es-ES"/>
        </w:rPr>
        <w:t>ellos</w:t>
      </w:r>
      <w:r w:rsidR="00AA667A" w:rsidRPr="00344CD1">
        <w:rPr>
          <w:rStyle w:val="FootnoteReference"/>
          <w:rFonts w:ascii="Cambria" w:eastAsia="Batang" w:hAnsi="Cambria" w:cs="Times New Roman"/>
          <w:color w:val="000000"/>
          <w:sz w:val="21"/>
          <w:szCs w:val="21"/>
          <w:lang w:val="es-ES"/>
        </w:rPr>
        <w:footnoteReference w:id="8"/>
      </w:r>
      <w:r w:rsidR="00AA667A" w:rsidRPr="00344CD1">
        <w:rPr>
          <w:rFonts w:ascii="Cambria" w:eastAsia="Batang" w:hAnsi="Cambria" w:cs="Times New Roman"/>
          <w:color w:val="000000"/>
          <w:sz w:val="21"/>
          <w:szCs w:val="21"/>
          <w:lang w:val="es-ES"/>
        </w:rPr>
        <w:t xml:space="preserve">. </w:t>
      </w:r>
      <w:r w:rsidR="00E304BF" w:rsidRPr="00344CD1">
        <w:rPr>
          <w:rFonts w:ascii="Cambria" w:eastAsia="Batang" w:hAnsi="Cambria" w:cs="Times New Roman"/>
          <w:color w:val="000000"/>
          <w:sz w:val="21"/>
          <w:szCs w:val="21"/>
          <w:lang w:val="es-ES"/>
        </w:rPr>
        <w:t xml:space="preserve">El Estado agregó que en las reuniones </w:t>
      </w:r>
      <w:r w:rsidR="00E304BF" w:rsidRPr="00344CD1">
        <w:rPr>
          <w:rFonts w:ascii="Cambria" w:eastAsia="Batang" w:hAnsi="Cambria" w:cs="Times New Roman"/>
          <w:color w:val="000000"/>
          <w:sz w:val="21"/>
          <w:szCs w:val="21"/>
          <w:lang w:val="es-ES"/>
        </w:rPr>
        <w:lastRenderedPageBreak/>
        <w:t xml:space="preserve">se destacaron importantes puntos sobre la seguridad de los líderes involucrados </w:t>
      </w:r>
      <w:r w:rsidR="001816C2" w:rsidRPr="00344CD1">
        <w:rPr>
          <w:rFonts w:ascii="Cambria" w:eastAsia="Batang" w:hAnsi="Cambria" w:cs="Times New Roman"/>
          <w:color w:val="000000"/>
          <w:sz w:val="21"/>
          <w:szCs w:val="21"/>
          <w:lang w:val="es-ES"/>
        </w:rPr>
        <w:t xml:space="preserve">como la instalación de rejas, cámaras de seguridad e internet, “[s]in embargo, existen obstáculos a esas </w:t>
      </w:r>
      <w:r w:rsidR="002551FF" w:rsidRPr="00344CD1">
        <w:rPr>
          <w:rFonts w:ascii="Cambria" w:eastAsia="Batang" w:hAnsi="Cambria" w:cs="Times New Roman"/>
          <w:color w:val="000000"/>
          <w:sz w:val="21"/>
          <w:szCs w:val="21"/>
          <w:lang w:val="es-ES"/>
        </w:rPr>
        <w:t>estrategias</w:t>
      </w:r>
      <w:r w:rsidR="001816C2" w:rsidRPr="00344CD1">
        <w:rPr>
          <w:rFonts w:ascii="Cambria" w:eastAsia="Batang" w:hAnsi="Cambria" w:cs="Times New Roman"/>
          <w:color w:val="000000"/>
          <w:sz w:val="21"/>
          <w:szCs w:val="21"/>
          <w:lang w:val="es-ES"/>
        </w:rPr>
        <w:t>, debido a la infraestructura de las casa</w:t>
      </w:r>
      <w:r w:rsidR="002551FF" w:rsidRPr="00344CD1">
        <w:rPr>
          <w:rFonts w:ascii="Cambria" w:eastAsia="Batang" w:hAnsi="Cambria" w:cs="Times New Roman"/>
          <w:color w:val="000000"/>
          <w:sz w:val="21"/>
          <w:szCs w:val="21"/>
          <w:lang w:val="es-ES"/>
        </w:rPr>
        <w:t>s</w:t>
      </w:r>
      <w:r w:rsidR="001816C2" w:rsidRPr="00344CD1">
        <w:rPr>
          <w:rFonts w:ascii="Cambria" w:eastAsia="Batang" w:hAnsi="Cambria" w:cs="Times New Roman"/>
          <w:color w:val="000000"/>
          <w:sz w:val="21"/>
          <w:szCs w:val="21"/>
          <w:lang w:val="es-ES"/>
        </w:rPr>
        <w:t xml:space="preserve"> y la dificultad de la comunidad de realizar reformas</w:t>
      </w:r>
      <w:r w:rsidR="002551FF" w:rsidRPr="00344CD1">
        <w:rPr>
          <w:rFonts w:ascii="Cambria" w:eastAsia="Batang" w:hAnsi="Cambria" w:cs="Times New Roman"/>
          <w:color w:val="000000"/>
          <w:sz w:val="21"/>
          <w:szCs w:val="21"/>
          <w:lang w:val="es-ES"/>
        </w:rPr>
        <w:t>, como la ausencia de red eléctrica”</w:t>
      </w:r>
      <w:r w:rsidR="00095263" w:rsidRPr="00344CD1">
        <w:rPr>
          <w:rFonts w:ascii="Cambria" w:eastAsia="Batang" w:hAnsi="Cambria" w:cs="Times New Roman"/>
          <w:color w:val="000000"/>
          <w:sz w:val="21"/>
          <w:szCs w:val="21"/>
          <w:lang w:val="es-ES"/>
        </w:rPr>
        <w:t xml:space="preserve">. Particularmente, con relación a la señora Rose </w:t>
      </w:r>
      <w:proofErr w:type="spellStart"/>
      <w:r w:rsidR="00095263" w:rsidRPr="00344CD1">
        <w:rPr>
          <w:rFonts w:ascii="Cambria" w:eastAsia="Batang" w:hAnsi="Cambria" w:cs="Times New Roman"/>
          <w:color w:val="000000"/>
          <w:sz w:val="21"/>
          <w:szCs w:val="21"/>
          <w:lang w:val="es-ES"/>
        </w:rPr>
        <w:t>Meire</w:t>
      </w:r>
      <w:proofErr w:type="spellEnd"/>
      <w:r w:rsidR="00095263" w:rsidRPr="00344CD1">
        <w:rPr>
          <w:rFonts w:ascii="Cambria" w:eastAsia="Batang" w:hAnsi="Cambria" w:cs="Times New Roman"/>
          <w:color w:val="000000"/>
          <w:sz w:val="21"/>
          <w:szCs w:val="21"/>
          <w:lang w:val="es-ES"/>
        </w:rPr>
        <w:t>, habría la posibilidad de reubicarla por hasta 90 días, lo que ella no habría aceptado, presuntamente porque no quiso salir del territorio.</w:t>
      </w:r>
    </w:p>
    <w:p w14:paraId="7F89366D" w14:textId="7E64B05A" w:rsidR="00095263" w:rsidRPr="00344CD1" w:rsidRDefault="00095263" w:rsidP="00D51F89">
      <w:pPr>
        <w:spacing w:after="0" w:line="240" w:lineRule="auto"/>
        <w:ind w:left="360"/>
        <w:contextualSpacing/>
        <w:jc w:val="both"/>
        <w:rPr>
          <w:rFonts w:ascii="Cambria" w:eastAsia="Batang" w:hAnsi="Cambria" w:cs="Times New Roman"/>
          <w:color w:val="000000"/>
          <w:sz w:val="21"/>
          <w:szCs w:val="21"/>
          <w:lang w:val="es-ES"/>
        </w:rPr>
      </w:pPr>
    </w:p>
    <w:p w14:paraId="28887291" w14:textId="5783AD25" w:rsidR="00095263" w:rsidRPr="00344CD1" w:rsidRDefault="00095263"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En el contexto de la pandemia de COVID-19, el Programa de Protección a los Defensores habr</w:t>
      </w:r>
      <w:r w:rsidR="00C24781" w:rsidRPr="00344CD1">
        <w:rPr>
          <w:rFonts w:ascii="Cambria" w:eastAsia="Batang" w:hAnsi="Cambria" w:cs="Times New Roman"/>
          <w:color w:val="000000"/>
          <w:sz w:val="21"/>
          <w:szCs w:val="21"/>
          <w:lang w:val="es-ES"/>
        </w:rPr>
        <w:t>ía solicitado a otros ó</w:t>
      </w:r>
      <w:r w:rsidRPr="00344CD1">
        <w:rPr>
          <w:rFonts w:ascii="Cambria" w:eastAsia="Batang" w:hAnsi="Cambria" w:cs="Times New Roman"/>
          <w:color w:val="000000"/>
          <w:sz w:val="21"/>
          <w:szCs w:val="21"/>
          <w:lang w:val="es-ES"/>
        </w:rPr>
        <w:t xml:space="preserve">rganos estatales que se acompañe de forma más cercana la comunidad para orientarlos sobre la posibilidad de inscripción en programas de </w:t>
      </w:r>
      <w:r w:rsidR="00C24781" w:rsidRPr="00344CD1">
        <w:rPr>
          <w:rFonts w:ascii="Cambria" w:eastAsia="Batang" w:hAnsi="Cambria" w:cs="Times New Roman"/>
          <w:color w:val="000000"/>
          <w:sz w:val="21"/>
          <w:szCs w:val="21"/>
          <w:lang w:val="es-ES"/>
        </w:rPr>
        <w:t>auxilio</w:t>
      </w:r>
      <w:r w:rsidRPr="00344CD1">
        <w:rPr>
          <w:rFonts w:ascii="Cambria" w:eastAsia="Batang" w:hAnsi="Cambria" w:cs="Times New Roman"/>
          <w:color w:val="000000"/>
          <w:sz w:val="21"/>
          <w:szCs w:val="21"/>
          <w:lang w:val="es-ES"/>
        </w:rPr>
        <w:t xml:space="preserve"> </w:t>
      </w:r>
      <w:r w:rsidR="00C24781" w:rsidRPr="00344CD1">
        <w:rPr>
          <w:rFonts w:ascii="Cambria" w:eastAsia="Batang" w:hAnsi="Cambria" w:cs="Times New Roman"/>
          <w:color w:val="000000"/>
          <w:sz w:val="21"/>
          <w:szCs w:val="21"/>
          <w:lang w:val="es-ES"/>
        </w:rPr>
        <w:t>de emergencia</w:t>
      </w:r>
      <w:r w:rsidRPr="00344CD1">
        <w:rPr>
          <w:rFonts w:ascii="Cambria" w:eastAsia="Batang" w:hAnsi="Cambria" w:cs="Times New Roman"/>
          <w:color w:val="000000"/>
          <w:sz w:val="21"/>
          <w:szCs w:val="21"/>
          <w:lang w:val="es-ES"/>
        </w:rPr>
        <w:t xml:space="preserve">, </w:t>
      </w:r>
      <w:r w:rsidR="0043470B" w:rsidRPr="00344CD1">
        <w:rPr>
          <w:rFonts w:ascii="Cambria" w:eastAsia="Batang" w:hAnsi="Cambria" w:cs="Times New Roman"/>
          <w:color w:val="000000"/>
          <w:sz w:val="21"/>
          <w:szCs w:val="21"/>
          <w:lang w:val="es-ES"/>
        </w:rPr>
        <w:t xml:space="preserve">siendo que </w:t>
      </w:r>
      <w:r w:rsidRPr="00344CD1">
        <w:rPr>
          <w:rFonts w:ascii="Cambria" w:eastAsia="Batang" w:hAnsi="Cambria" w:cs="Times New Roman"/>
          <w:color w:val="000000"/>
          <w:sz w:val="21"/>
          <w:szCs w:val="21"/>
          <w:lang w:val="es-ES"/>
        </w:rPr>
        <w:t xml:space="preserve">dos </w:t>
      </w:r>
      <w:r w:rsidR="00C24781" w:rsidRPr="00344CD1">
        <w:rPr>
          <w:rFonts w:ascii="Cambria" w:eastAsia="Batang" w:hAnsi="Cambria" w:cs="Times New Roman"/>
          <w:color w:val="000000"/>
          <w:sz w:val="21"/>
          <w:szCs w:val="21"/>
          <w:lang w:val="es-ES"/>
        </w:rPr>
        <w:t>líderes</w:t>
      </w:r>
      <w:r w:rsidRPr="00344CD1">
        <w:rPr>
          <w:rFonts w:ascii="Cambria" w:eastAsia="Batang" w:hAnsi="Cambria" w:cs="Times New Roman"/>
          <w:color w:val="000000"/>
          <w:sz w:val="21"/>
          <w:szCs w:val="21"/>
          <w:lang w:val="es-ES"/>
        </w:rPr>
        <w:t xml:space="preserve"> estarían recibiendo apoyo</w:t>
      </w:r>
      <w:r w:rsidR="00C24781" w:rsidRPr="00344CD1">
        <w:rPr>
          <w:rFonts w:ascii="Cambria" w:eastAsia="Batang" w:hAnsi="Cambria" w:cs="Times New Roman"/>
          <w:color w:val="000000"/>
          <w:sz w:val="21"/>
          <w:szCs w:val="21"/>
          <w:lang w:val="es-ES"/>
        </w:rPr>
        <w:t xml:space="preserve"> </w:t>
      </w:r>
      <w:r w:rsidRPr="00344CD1">
        <w:rPr>
          <w:rFonts w:ascii="Cambria" w:eastAsia="Batang" w:hAnsi="Cambria" w:cs="Times New Roman"/>
          <w:color w:val="000000"/>
          <w:sz w:val="21"/>
          <w:szCs w:val="21"/>
          <w:lang w:val="es-ES"/>
        </w:rPr>
        <w:t>financiero por tres meses del propio Programa de Protección. Ante lo expuesto, el Estado alegó que no ser</w:t>
      </w:r>
      <w:r w:rsidR="00C24781" w:rsidRPr="00344CD1">
        <w:rPr>
          <w:rFonts w:ascii="Cambria" w:eastAsia="Batang" w:hAnsi="Cambria" w:cs="Times New Roman"/>
          <w:color w:val="000000"/>
          <w:sz w:val="21"/>
          <w:szCs w:val="21"/>
          <w:lang w:val="es-ES"/>
        </w:rPr>
        <w:t>ía verdad la afirmación de los solicitantes de que las medidas adoptadas por el Programa no serían efectivas.</w:t>
      </w:r>
    </w:p>
    <w:p w14:paraId="5B61AA1C" w14:textId="6CCA08B0" w:rsidR="00542DFD" w:rsidRPr="00344CD1" w:rsidRDefault="00542DFD" w:rsidP="00D51F89">
      <w:pPr>
        <w:spacing w:after="0" w:line="240" w:lineRule="auto"/>
        <w:contextualSpacing/>
        <w:jc w:val="both"/>
        <w:rPr>
          <w:rFonts w:ascii="Cambria" w:eastAsia="Batang" w:hAnsi="Cambria" w:cs="Times New Roman"/>
          <w:color w:val="000000"/>
          <w:sz w:val="21"/>
          <w:szCs w:val="21"/>
          <w:lang w:val="es-ES"/>
        </w:rPr>
      </w:pPr>
    </w:p>
    <w:p w14:paraId="4ABDB2F3" w14:textId="7306377E" w:rsidR="00231953" w:rsidRPr="00344CD1" w:rsidRDefault="00542DFD" w:rsidP="00D51F89">
      <w:pPr>
        <w:numPr>
          <w:ilvl w:val="0"/>
          <w:numId w:val="3"/>
        </w:numPr>
        <w:spacing w:after="0" w:line="240" w:lineRule="auto"/>
        <w:ind w:left="0" w:firstLine="360"/>
        <w:contextualSpacing/>
        <w:jc w:val="both"/>
        <w:rPr>
          <w:rFonts w:ascii="Cambria" w:eastAsia="Batang" w:hAnsi="Cambria" w:cs="Times New Roman"/>
          <w:b/>
          <w:color w:val="000000"/>
          <w:sz w:val="21"/>
          <w:szCs w:val="21"/>
          <w:lang w:val="es-ES"/>
        </w:rPr>
      </w:pPr>
      <w:r w:rsidRPr="00344CD1">
        <w:rPr>
          <w:rFonts w:ascii="Cambria" w:eastAsia="Batang" w:hAnsi="Cambria" w:cs="Times New Roman"/>
          <w:color w:val="000000"/>
          <w:sz w:val="21"/>
          <w:szCs w:val="21"/>
          <w:lang w:val="es-ES"/>
        </w:rPr>
        <w:t>A</w:t>
      </w:r>
      <w:r w:rsidR="00C07CB2" w:rsidRPr="00344CD1">
        <w:rPr>
          <w:rFonts w:ascii="Cambria" w:eastAsia="Batang" w:hAnsi="Cambria" w:cs="Times New Roman"/>
          <w:color w:val="000000"/>
          <w:sz w:val="21"/>
          <w:szCs w:val="21"/>
          <w:lang w:val="es-ES"/>
        </w:rPr>
        <w:t xml:space="preserve">dicionalmente, </w:t>
      </w:r>
      <w:r w:rsidR="0043470B" w:rsidRPr="00344CD1">
        <w:rPr>
          <w:rFonts w:ascii="Cambria" w:eastAsia="Batang" w:hAnsi="Cambria" w:cs="Times New Roman"/>
          <w:color w:val="000000"/>
          <w:sz w:val="21"/>
          <w:szCs w:val="21"/>
          <w:lang w:val="es-ES"/>
        </w:rPr>
        <w:t xml:space="preserve">el </w:t>
      </w:r>
      <w:r w:rsidR="00C24781" w:rsidRPr="00344CD1">
        <w:rPr>
          <w:rFonts w:ascii="Cambria" w:eastAsia="Batang" w:hAnsi="Cambria" w:cs="Times New Roman"/>
          <w:color w:val="000000"/>
          <w:sz w:val="21"/>
          <w:szCs w:val="21"/>
          <w:lang w:val="es-ES"/>
        </w:rPr>
        <w:t xml:space="preserve">Estado </w:t>
      </w:r>
      <w:r w:rsidR="00F13D4E" w:rsidRPr="00344CD1">
        <w:rPr>
          <w:rFonts w:ascii="Cambria" w:eastAsia="Batang" w:hAnsi="Cambria" w:cs="Times New Roman"/>
          <w:color w:val="000000"/>
          <w:sz w:val="21"/>
          <w:szCs w:val="21"/>
          <w:lang w:val="es-ES"/>
        </w:rPr>
        <w:t xml:space="preserve">confirmó </w:t>
      </w:r>
      <w:r w:rsidR="00C24781" w:rsidRPr="00344CD1">
        <w:rPr>
          <w:rFonts w:ascii="Cambria" w:eastAsia="Batang" w:hAnsi="Cambria" w:cs="Times New Roman"/>
          <w:color w:val="000000"/>
          <w:sz w:val="21"/>
          <w:szCs w:val="21"/>
          <w:lang w:val="es-ES"/>
        </w:rPr>
        <w:t xml:space="preserve">la firma por el director del INCRA </w:t>
      </w:r>
      <w:r w:rsidRPr="00344CD1">
        <w:rPr>
          <w:rFonts w:ascii="Cambria" w:eastAsia="Batang" w:hAnsi="Cambria" w:cs="Times New Roman"/>
          <w:color w:val="000000"/>
          <w:sz w:val="21"/>
          <w:szCs w:val="21"/>
          <w:lang w:val="es-ES"/>
        </w:rPr>
        <w:t>del término de reconocimi</w:t>
      </w:r>
      <w:r w:rsidR="00064CED" w:rsidRPr="00344CD1">
        <w:rPr>
          <w:rFonts w:ascii="Cambria" w:eastAsia="Batang" w:hAnsi="Cambria" w:cs="Times New Roman"/>
          <w:color w:val="000000"/>
          <w:sz w:val="21"/>
          <w:szCs w:val="21"/>
          <w:lang w:val="es-ES"/>
        </w:rPr>
        <w:t xml:space="preserve">ento del territorio </w:t>
      </w:r>
      <w:proofErr w:type="spellStart"/>
      <w:r w:rsidR="00064CED" w:rsidRPr="00344CD1">
        <w:rPr>
          <w:rFonts w:ascii="Cambria" w:eastAsia="Batang" w:hAnsi="Cambria" w:cs="Times New Roman"/>
          <w:color w:val="000000"/>
          <w:sz w:val="21"/>
          <w:szCs w:val="21"/>
          <w:lang w:val="es-ES"/>
        </w:rPr>
        <w:t>quilombola</w:t>
      </w:r>
      <w:proofErr w:type="spellEnd"/>
      <w:r w:rsidR="00064CED" w:rsidRPr="00344CD1">
        <w:rPr>
          <w:rFonts w:ascii="Cambria" w:eastAsia="Batang" w:hAnsi="Cambria" w:cs="Times New Roman"/>
          <w:color w:val="000000"/>
          <w:sz w:val="21"/>
          <w:szCs w:val="21"/>
          <w:lang w:val="es-ES"/>
        </w:rPr>
        <w:t>.</w:t>
      </w:r>
    </w:p>
    <w:p w14:paraId="0F96AD71" w14:textId="77777777" w:rsidR="00231953" w:rsidRPr="00344CD1" w:rsidRDefault="00231953" w:rsidP="00D51F89">
      <w:pPr>
        <w:spacing w:after="0" w:line="240" w:lineRule="auto"/>
        <w:contextualSpacing/>
        <w:jc w:val="both"/>
        <w:rPr>
          <w:rFonts w:ascii="Cambria" w:eastAsia="Batang" w:hAnsi="Cambria" w:cs="Times New Roman"/>
          <w:b/>
          <w:color w:val="000000"/>
          <w:sz w:val="21"/>
          <w:szCs w:val="21"/>
          <w:lang w:val="es-ES"/>
        </w:rPr>
      </w:pPr>
    </w:p>
    <w:p w14:paraId="77FF2B15" w14:textId="2B819C4D" w:rsidR="001816C2" w:rsidRPr="00344CD1" w:rsidRDefault="00F13D4E"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Por fin, s</w:t>
      </w:r>
      <w:r w:rsidR="00231953" w:rsidRPr="00344CD1">
        <w:rPr>
          <w:rFonts w:ascii="Cambria" w:eastAsia="Batang" w:hAnsi="Cambria" w:cs="Times New Roman"/>
          <w:color w:val="000000"/>
          <w:sz w:val="21"/>
          <w:szCs w:val="21"/>
          <w:lang w:val="es-ES"/>
        </w:rPr>
        <w:t>egún el Estado, ante lo expuesto, la solicitud de medidas cautelares no cumple con los requisitos reglamentarios de gravedad, urgencia y daño irreparable. Adicionalmente, señaló que los solicitantes no agotaron los recursos internos antes de interponer la solicitud, destacando que estos no acudieron a las instancias internas adecuadas para averiguar los hechos relacionados con el aumento de la violencia antes de interponer la solicitud, como tampoco presentaron los debidos recursos para instaurar procedimientos administrativos que hubieran permitido obtener vigilancia policial, iluminación pública, construcción de estrada, etc.</w:t>
      </w:r>
      <w:r w:rsidR="00064CED" w:rsidRPr="00344CD1">
        <w:rPr>
          <w:rFonts w:ascii="Cambria" w:eastAsia="Batang" w:hAnsi="Cambria" w:cs="Times New Roman"/>
          <w:color w:val="000000"/>
          <w:sz w:val="21"/>
          <w:szCs w:val="21"/>
          <w:lang w:val="es-ES"/>
        </w:rPr>
        <w:t xml:space="preserve"> </w:t>
      </w:r>
      <w:r w:rsidRPr="00344CD1">
        <w:rPr>
          <w:rFonts w:ascii="Cambria" w:eastAsia="Batang" w:hAnsi="Cambria" w:cs="Times New Roman"/>
          <w:color w:val="000000"/>
          <w:sz w:val="21"/>
          <w:szCs w:val="21"/>
          <w:lang w:val="es-ES"/>
        </w:rPr>
        <w:t>S</w:t>
      </w:r>
      <w:r w:rsidR="00C07CB2" w:rsidRPr="00344CD1">
        <w:rPr>
          <w:rFonts w:ascii="Cambria" w:eastAsia="Batang" w:hAnsi="Cambria" w:cs="Times New Roman"/>
          <w:color w:val="000000"/>
          <w:sz w:val="21"/>
          <w:szCs w:val="21"/>
          <w:lang w:val="es-ES"/>
        </w:rPr>
        <w:t>e alegó que el Estado “busca una solución integral” para la situación de las personas propuestas como beneficiarias</w:t>
      </w:r>
      <w:r w:rsidR="00C10EC5" w:rsidRPr="00344CD1">
        <w:rPr>
          <w:rFonts w:ascii="Cambria" w:eastAsia="Batang" w:hAnsi="Cambria" w:cs="Times New Roman"/>
          <w:color w:val="000000"/>
          <w:sz w:val="21"/>
          <w:szCs w:val="21"/>
          <w:lang w:val="es-ES"/>
        </w:rPr>
        <w:t>.</w:t>
      </w:r>
    </w:p>
    <w:p w14:paraId="6123B33E" w14:textId="12FB813B" w:rsidR="0004635F" w:rsidRPr="00344CD1" w:rsidRDefault="0004635F" w:rsidP="00D51F89">
      <w:pPr>
        <w:spacing w:after="0" w:line="240" w:lineRule="auto"/>
        <w:contextualSpacing/>
        <w:jc w:val="both"/>
        <w:rPr>
          <w:rFonts w:ascii="Cambria" w:eastAsia="Batang" w:hAnsi="Cambria" w:cs="Times New Roman"/>
          <w:color w:val="000000"/>
          <w:sz w:val="21"/>
          <w:szCs w:val="21"/>
          <w:lang w:val="es-ES"/>
        </w:rPr>
      </w:pPr>
    </w:p>
    <w:p w14:paraId="55997027" w14:textId="77777777" w:rsidR="0062264F" w:rsidRPr="00344CD1" w:rsidRDefault="0062264F" w:rsidP="00D51F89">
      <w:pPr>
        <w:spacing w:after="0" w:line="240" w:lineRule="auto"/>
        <w:contextualSpacing/>
        <w:jc w:val="both"/>
        <w:rPr>
          <w:rFonts w:ascii="Cambria" w:eastAsia="Batang" w:hAnsi="Cambria" w:cs="Times New Roman"/>
          <w:color w:val="000000"/>
          <w:sz w:val="21"/>
          <w:szCs w:val="21"/>
          <w:lang w:val="es-ES"/>
        </w:rPr>
      </w:pPr>
    </w:p>
    <w:p w14:paraId="15F02AA0" w14:textId="5D25827F" w:rsidR="00C66795" w:rsidRPr="00344CD1" w:rsidRDefault="00C66795" w:rsidP="00D51F89">
      <w:pPr>
        <w:numPr>
          <w:ilvl w:val="0"/>
          <w:numId w:val="2"/>
        </w:numPr>
        <w:spacing w:after="0" w:line="240" w:lineRule="auto"/>
        <w:ind w:hanging="294"/>
        <w:jc w:val="both"/>
        <w:rPr>
          <w:rFonts w:ascii="Cambria" w:eastAsia="Batang" w:hAnsi="Cambria" w:cs="Times New Roman"/>
          <w:b/>
          <w:color w:val="000000"/>
          <w:sz w:val="21"/>
          <w:szCs w:val="21"/>
          <w:lang w:val="es-ES"/>
        </w:rPr>
      </w:pPr>
      <w:r w:rsidRPr="00344CD1">
        <w:rPr>
          <w:rFonts w:ascii="Cambria" w:eastAsia="Batang" w:hAnsi="Cambria" w:cs="Times New Roman"/>
          <w:b/>
          <w:color w:val="000000"/>
          <w:sz w:val="21"/>
          <w:szCs w:val="21"/>
          <w:lang w:val="es-ES"/>
        </w:rPr>
        <w:t>AN</w:t>
      </w:r>
      <w:r w:rsidR="009962D8" w:rsidRPr="00344CD1">
        <w:rPr>
          <w:rFonts w:ascii="Cambria" w:eastAsia="Batang" w:hAnsi="Cambria" w:cs="Times New Roman"/>
          <w:b/>
          <w:color w:val="000000"/>
          <w:sz w:val="21"/>
          <w:szCs w:val="21"/>
          <w:lang w:val="es-ES"/>
        </w:rPr>
        <w:t>Á</w:t>
      </w:r>
      <w:r w:rsidRPr="00344CD1">
        <w:rPr>
          <w:rFonts w:ascii="Cambria" w:eastAsia="Batang" w:hAnsi="Cambria" w:cs="Times New Roman"/>
          <w:b/>
          <w:color w:val="000000"/>
          <w:sz w:val="21"/>
          <w:szCs w:val="21"/>
          <w:lang w:val="es-ES"/>
        </w:rPr>
        <w:t>LISIS SOBRE LOS ELEMENTOS DE GRAVEDAD, URGENCIA E IRREPARABILIDAD</w:t>
      </w:r>
    </w:p>
    <w:p w14:paraId="39A001CF" w14:textId="627E0DB9" w:rsidR="00C66795" w:rsidRPr="00344CD1" w:rsidRDefault="00C66795" w:rsidP="00D51F89">
      <w:pPr>
        <w:spacing w:after="0" w:line="240" w:lineRule="auto"/>
        <w:ind w:left="720"/>
        <w:jc w:val="both"/>
        <w:rPr>
          <w:rFonts w:ascii="Cambria" w:eastAsia="Batang" w:hAnsi="Cambria" w:cs="Times New Roman"/>
          <w:b/>
          <w:color w:val="000000"/>
          <w:sz w:val="21"/>
          <w:szCs w:val="21"/>
          <w:lang w:val="es-ES"/>
        </w:rPr>
      </w:pPr>
    </w:p>
    <w:p w14:paraId="4A723931" w14:textId="75C23085" w:rsidR="00C66795" w:rsidRPr="00344CD1" w:rsidRDefault="00075327"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El mecanismo de</w:t>
      </w:r>
      <w:r w:rsidR="00C66795" w:rsidRPr="00344CD1">
        <w:rPr>
          <w:rFonts w:ascii="Cambria" w:eastAsia="Batang" w:hAnsi="Cambria" w:cs="Times New Roman"/>
          <w:color w:val="000000"/>
          <w:sz w:val="21"/>
          <w:szCs w:val="21"/>
          <w:lang w:val="es-ES"/>
        </w:rPr>
        <w:t xml:space="preserve"> medidas cautelares </w:t>
      </w:r>
      <w:r w:rsidRPr="00344CD1">
        <w:rPr>
          <w:rFonts w:ascii="Cambria" w:eastAsia="Batang" w:hAnsi="Cambria" w:cs="Times New Roman"/>
          <w:color w:val="000000"/>
          <w:sz w:val="21"/>
          <w:szCs w:val="21"/>
          <w:lang w:val="es-ES"/>
        </w:rPr>
        <w:t xml:space="preserve">es </w:t>
      </w:r>
      <w:r w:rsidR="00C66795" w:rsidRPr="00344CD1">
        <w:rPr>
          <w:rFonts w:ascii="Cambria" w:eastAsia="Batang" w:hAnsi="Cambria" w:cs="Times New Roman"/>
          <w:color w:val="000000"/>
          <w:sz w:val="21"/>
          <w:szCs w:val="21"/>
          <w:lang w:val="es-ES"/>
        </w:rPr>
        <w:t xml:space="preserve">uno de los </w:t>
      </w:r>
      <w:r w:rsidRPr="00344CD1">
        <w:rPr>
          <w:rFonts w:ascii="Cambria" w:eastAsia="Batang" w:hAnsi="Cambria" w:cs="Times New Roman"/>
          <w:color w:val="000000"/>
          <w:sz w:val="21"/>
          <w:szCs w:val="21"/>
          <w:lang w:val="es-ES"/>
        </w:rPr>
        <w:t>que dispone</w:t>
      </w:r>
      <w:r w:rsidR="00C66795" w:rsidRPr="00344CD1">
        <w:rPr>
          <w:rFonts w:ascii="Cambria" w:eastAsia="Batang" w:hAnsi="Cambria" w:cs="Times New Roman"/>
          <w:color w:val="000000"/>
          <w:sz w:val="21"/>
          <w:szCs w:val="21"/>
          <w:lang w:val="es-ES"/>
        </w:rPr>
        <w:t xml:space="preserve"> la Comisión para el ejercicio de su función de supervisar el cumplimiento con las obligaciones de derechos humanos, establecidas en el artículo 106 de la Carta de la Organización de los Estados Americanos. Las funciones generales de supervisión están establecidas en el artículo 41 (b) de la Convención Americana sobre Derechos Humanos, recogido también en el artículo 18 (b) del Estatuto de la CIDH. El mecanismo de medidas cautelares </w:t>
      </w:r>
      <w:r w:rsidRPr="00344CD1">
        <w:rPr>
          <w:rFonts w:ascii="Cambria" w:eastAsia="Batang" w:hAnsi="Cambria" w:cs="Times New Roman"/>
          <w:color w:val="000000"/>
          <w:sz w:val="21"/>
          <w:szCs w:val="21"/>
          <w:lang w:val="es-ES"/>
        </w:rPr>
        <w:t xml:space="preserve">se encuentra </w:t>
      </w:r>
      <w:r w:rsidR="00C66795" w:rsidRPr="00344CD1">
        <w:rPr>
          <w:rFonts w:ascii="Cambria" w:eastAsia="Batang" w:hAnsi="Cambria" w:cs="Times New Roman"/>
          <w:color w:val="000000"/>
          <w:sz w:val="21"/>
          <w:szCs w:val="21"/>
          <w:lang w:val="es-ES"/>
        </w:rPr>
        <w:t>descrito en el artículo 25 del Reglamento de la Comisión. De conformidad con ese artículo, la Comisión otorga medidas cautelares en situaciones que son graves y urgentes, en cuales tales medidas son necesarias para prevenir un d</w:t>
      </w:r>
      <w:r w:rsidR="00940015" w:rsidRPr="00344CD1">
        <w:rPr>
          <w:rFonts w:ascii="Cambria" w:eastAsia="Batang" w:hAnsi="Cambria" w:cs="Times New Roman"/>
          <w:color w:val="000000"/>
          <w:sz w:val="21"/>
          <w:szCs w:val="21"/>
          <w:lang w:val="es-ES"/>
        </w:rPr>
        <w:t>año irreparable a las personas.</w:t>
      </w:r>
    </w:p>
    <w:p w14:paraId="1B08E239" w14:textId="77777777" w:rsidR="00C66795" w:rsidRPr="00344CD1" w:rsidRDefault="00C66795" w:rsidP="00D51F89">
      <w:pPr>
        <w:spacing w:after="0" w:line="240" w:lineRule="auto"/>
        <w:jc w:val="both"/>
        <w:rPr>
          <w:rFonts w:ascii="Cambria" w:eastAsia="Batang" w:hAnsi="Cambria" w:cs="Times New Roman"/>
          <w:color w:val="000000"/>
          <w:sz w:val="21"/>
          <w:szCs w:val="21"/>
          <w:lang w:val="es-ES"/>
        </w:rPr>
      </w:pPr>
    </w:p>
    <w:p w14:paraId="3EDB5AE1" w14:textId="77777777" w:rsidR="00C66795" w:rsidRPr="00344CD1" w:rsidRDefault="00C66795"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La Comisión y la Corte Interamericana de Derechos Humanos (en adelante “la Corte Interamericana” o “Corte IDH”) han establecido de manera reiterada que las medidas cautelares y provisionales tienen un doble carácter, uno tutelar y otro cautelar.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344CD1">
        <w:rPr>
          <w:rFonts w:ascii="Cambria" w:eastAsia="Batang" w:hAnsi="Cambria" w:cs="Times New Roman"/>
          <w:i/>
          <w:color w:val="000000"/>
          <w:sz w:val="21"/>
          <w:szCs w:val="21"/>
          <w:lang w:val="es-ES"/>
        </w:rPr>
        <w:t>effet</w:t>
      </w:r>
      <w:proofErr w:type="spellEnd"/>
      <w:r w:rsidRPr="00344CD1">
        <w:rPr>
          <w:rFonts w:ascii="Cambria" w:eastAsia="Batang" w:hAnsi="Cambria" w:cs="Times New Roman"/>
          <w:i/>
          <w:color w:val="000000"/>
          <w:sz w:val="21"/>
          <w:szCs w:val="21"/>
          <w:lang w:val="es-ES"/>
        </w:rPr>
        <w:t xml:space="preserve"> </w:t>
      </w:r>
      <w:proofErr w:type="spellStart"/>
      <w:r w:rsidRPr="00344CD1">
        <w:rPr>
          <w:rFonts w:ascii="Cambria" w:eastAsia="Batang" w:hAnsi="Cambria" w:cs="Times New Roman"/>
          <w:i/>
          <w:color w:val="000000"/>
          <w:sz w:val="21"/>
          <w:szCs w:val="21"/>
          <w:lang w:val="es-ES"/>
        </w:rPr>
        <w:t>utile</w:t>
      </w:r>
      <w:proofErr w:type="spellEnd"/>
      <w:r w:rsidRPr="00344CD1">
        <w:rPr>
          <w:rFonts w:ascii="Cambria" w:eastAsia="Batang" w:hAnsi="Cambria" w:cs="Times New Roman"/>
          <w:color w:val="000000"/>
          <w:sz w:val="21"/>
          <w:szCs w:val="21"/>
          <w:lang w:val="es-ES"/>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si: </w:t>
      </w:r>
    </w:p>
    <w:p w14:paraId="003A5018" w14:textId="77777777" w:rsidR="00C66795" w:rsidRPr="00344CD1" w:rsidRDefault="00C66795" w:rsidP="00D51F89">
      <w:pPr>
        <w:spacing w:after="0" w:line="240" w:lineRule="auto"/>
        <w:ind w:left="360"/>
        <w:jc w:val="both"/>
        <w:rPr>
          <w:rFonts w:ascii="Cambria" w:eastAsia="Batang" w:hAnsi="Cambria" w:cs="Times New Roman"/>
          <w:color w:val="000000"/>
          <w:sz w:val="21"/>
          <w:szCs w:val="21"/>
          <w:lang w:val="es-ES"/>
        </w:rPr>
      </w:pPr>
    </w:p>
    <w:p w14:paraId="581F60D7" w14:textId="77777777" w:rsidR="00C66795" w:rsidRPr="00344CD1" w:rsidRDefault="00C66795" w:rsidP="00D51F89">
      <w:pPr>
        <w:numPr>
          <w:ilvl w:val="0"/>
          <w:numId w:val="1"/>
        </w:numPr>
        <w:spacing w:after="0" w:line="240" w:lineRule="auto"/>
        <w:ind w:right="720"/>
        <w:jc w:val="both"/>
        <w:rPr>
          <w:rFonts w:ascii="Cambria" w:eastAsia="Batang" w:hAnsi="Cambria" w:cs="Times New Roman"/>
          <w:color w:val="000000"/>
          <w:sz w:val="18"/>
          <w:szCs w:val="21"/>
          <w:lang w:val="es-ES"/>
        </w:rPr>
      </w:pPr>
      <w:r w:rsidRPr="00344CD1">
        <w:rPr>
          <w:rFonts w:ascii="Cambria" w:eastAsia="Batang" w:hAnsi="Cambria" w:cs="Times New Roman"/>
          <w:color w:val="000000"/>
          <w:sz w:val="18"/>
          <w:szCs w:val="21"/>
          <w:lang w:val="es-ES"/>
        </w:rPr>
        <w:lastRenderedPageBreak/>
        <w:t xml:space="preserve">La “gravedad de la situación” implica el serio impacto que una acción u omisión puede tener sobre un derecho protegido o sobre el efecto eventual de una decisión pendiente en un caso o petición ante los órganos del Sistema Interamericano; </w:t>
      </w:r>
    </w:p>
    <w:p w14:paraId="46D2F3D2" w14:textId="77777777" w:rsidR="00C66795" w:rsidRPr="00344CD1" w:rsidRDefault="00C66795" w:rsidP="00D51F89">
      <w:pPr>
        <w:spacing w:after="0" w:line="240" w:lineRule="auto"/>
        <w:ind w:left="720" w:right="720"/>
        <w:jc w:val="both"/>
        <w:rPr>
          <w:rFonts w:ascii="Cambria" w:eastAsia="Batang" w:hAnsi="Cambria" w:cs="Times New Roman"/>
          <w:color w:val="000000"/>
          <w:sz w:val="18"/>
          <w:szCs w:val="21"/>
          <w:lang w:val="es-ES"/>
        </w:rPr>
      </w:pPr>
    </w:p>
    <w:p w14:paraId="25E08DBE" w14:textId="77777777" w:rsidR="00C66795" w:rsidRPr="00344CD1" w:rsidRDefault="00C66795" w:rsidP="00D51F89">
      <w:pPr>
        <w:numPr>
          <w:ilvl w:val="0"/>
          <w:numId w:val="1"/>
        </w:numPr>
        <w:spacing w:after="0" w:line="240" w:lineRule="auto"/>
        <w:ind w:right="720"/>
        <w:jc w:val="both"/>
        <w:rPr>
          <w:rFonts w:ascii="Cambria" w:eastAsia="Batang" w:hAnsi="Cambria" w:cs="Times New Roman"/>
          <w:color w:val="000000"/>
          <w:sz w:val="18"/>
          <w:szCs w:val="21"/>
          <w:lang w:val="es-ES"/>
        </w:rPr>
      </w:pPr>
      <w:r w:rsidRPr="00344CD1">
        <w:rPr>
          <w:rFonts w:ascii="Cambria" w:eastAsia="Batang" w:hAnsi="Cambria" w:cs="Times New Roman"/>
          <w:color w:val="000000"/>
          <w:sz w:val="18"/>
          <w:szCs w:val="21"/>
          <w:lang w:val="es-ES"/>
        </w:rPr>
        <w:t xml:space="preserve">La “urgencia de la situación” se determina por medio de la información aportada, indicando el riesgo o la amenaza que puedan ser inminentes y materializarse, requiriendo de esa manera una acción preventiva o tutelar; y </w:t>
      </w:r>
    </w:p>
    <w:p w14:paraId="32AA6C52" w14:textId="77777777" w:rsidR="00C66795" w:rsidRPr="00344CD1" w:rsidRDefault="00C66795" w:rsidP="00D51F89">
      <w:pPr>
        <w:spacing w:after="0" w:line="240" w:lineRule="auto"/>
        <w:ind w:left="720" w:right="720"/>
        <w:jc w:val="both"/>
        <w:rPr>
          <w:rFonts w:ascii="Cambria" w:eastAsia="Batang" w:hAnsi="Cambria" w:cs="Times New Roman"/>
          <w:color w:val="000000"/>
          <w:sz w:val="18"/>
          <w:szCs w:val="21"/>
          <w:lang w:val="es-ES"/>
        </w:rPr>
      </w:pPr>
    </w:p>
    <w:p w14:paraId="4F0A4567" w14:textId="77777777" w:rsidR="00C66795" w:rsidRPr="00344CD1" w:rsidRDefault="00C66795" w:rsidP="00D51F89">
      <w:pPr>
        <w:numPr>
          <w:ilvl w:val="0"/>
          <w:numId w:val="1"/>
        </w:numPr>
        <w:spacing w:after="0" w:line="240" w:lineRule="auto"/>
        <w:ind w:right="720"/>
        <w:jc w:val="both"/>
        <w:rPr>
          <w:rFonts w:ascii="Cambria" w:eastAsia="Batang" w:hAnsi="Cambria" w:cs="Times New Roman"/>
          <w:color w:val="000000"/>
          <w:sz w:val="18"/>
          <w:szCs w:val="21"/>
          <w:lang w:val="es-ES"/>
        </w:rPr>
      </w:pPr>
      <w:r w:rsidRPr="00344CD1">
        <w:rPr>
          <w:rFonts w:ascii="Cambria" w:eastAsia="Batang" w:hAnsi="Cambria" w:cs="Times New Roman"/>
          <w:color w:val="000000"/>
          <w:sz w:val="18"/>
          <w:szCs w:val="21"/>
          <w:lang w:val="es-ES"/>
        </w:rPr>
        <w:t>El “daño irreparable” consiste en la afectación sobre derechos que, por su propia naturaleza, no son susceptibles de reparación, restauración o adecuada indemnización.</w:t>
      </w:r>
    </w:p>
    <w:p w14:paraId="5815626C" w14:textId="77777777" w:rsidR="00C66795" w:rsidRPr="00344CD1" w:rsidRDefault="00C66795" w:rsidP="00D51F89">
      <w:pPr>
        <w:spacing w:after="0" w:line="240" w:lineRule="auto"/>
        <w:ind w:left="360"/>
        <w:jc w:val="both"/>
        <w:rPr>
          <w:rFonts w:ascii="Cambria" w:eastAsia="Batang" w:hAnsi="Cambria" w:cs="Times New Roman"/>
          <w:color w:val="000000"/>
          <w:sz w:val="21"/>
          <w:szCs w:val="21"/>
          <w:lang w:val="es-ES"/>
        </w:rPr>
      </w:pPr>
    </w:p>
    <w:p w14:paraId="250BDBF6" w14:textId="179AAA46" w:rsidR="008E66D6" w:rsidRPr="00344CD1" w:rsidRDefault="00C66795"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En el análisis de los mencionados requisitos, la Comisión reitera que los hechos que motivan una solicitud de medidas cautelares no requieren estar plenamente comprobados. La información proporcionada, a efectos de identificar una situación de gravedad y urgencia, debe ser apreciada desde un estándar </w:t>
      </w:r>
      <w:r w:rsidRPr="00344CD1">
        <w:rPr>
          <w:rFonts w:ascii="Cambria" w:eastAsia="Batang" w:hAnsi="Cambria" w:cs="Times New Roman"/>
          <w:i/>
          <w:color w:val="000000"/>
          <w:sz w:val="21"/>
          <w:szCs w:val="21"/>
          <w:lang w:val="es-ES"/>
        </w:rPr>
        <w:t>prima facie</w:t>
      </w:r>
      <w:r w:rsidRPr="00344CD1">
        <w:rPr>
          <w:rFonts w:ascii="Cambria" w:eastAsia="Batang" w:hAnsi="Cambria" w:cs="Times New Roman"/>
          <w:color w:val="000000"/>
          <w:sz w:val="21"/>
          <w:szCs w:val="21"/>
          <w:vertAlign w:val="superscript"/>
          <w:lang w:val="es-ES"/>
        </w:rPr>
        <w:footnoteReference w:id="9"/>
      </w:r>
      <w:r w:rsidR="00265F19" w:rsidRPr="00344CD1">
        <w:rPr>
          <w:rFonts w:ascii="Cambria" w:eastAsia="Batang" w:hAnsi="Cambria" w:cs="Times New Roman"/>
          <w:color w:val="000000"/>
          <w:sz w:val="21"/>
          <w:szCs w:val="21"/>
          <w:lang w:val="es-ES"/>
        </w:rPr>
        <w:t>.</w:t>
      </w:r>
      <w:r w:rsidR="00165FA2" w:rsidRPr="00344CD1">
        <w:rPr>
          <w:rFonts w:ascii="Cambria" w:eastAsia="Batang" w:hAnsi="Cambria" w:cs="Times New Roman"/>
          <w:color w:val="000000"/>
          <w:sz w:val="21"/>
          <w:szCs w:val="21"/>
          <w:lang w:val="es-ES"/>
        </w:rPr>
        <w:t xml:space="preserve"> </w:t>
      </w:r>
      <w:r w:rsidR="00165FA2" w:rsidRPr="00344CD1">
        <w:rPr>
          <w:rFonts w:ascii="Cambria" w:eastAsia="Batang" w:hAnsi="Cambria" w:cs="Times New Roman"/>
          <w:iCs/>
          <w:color w:val="000000"/>
          <w:sz w:val="21"/>
          <w:szCs w:val="21"/>
          <w:lang w:val="es-ES"/>
        </w:rPr>
        <w:t xml:space="preserve">Asimismo, </w:t>
      </w:r>
      <w:r w:rsidR="00165FA2" w:rsidRPr="00344CD1">
        <w:rPr>
          <w:rFonts w:ascii="Cambria" w:eastAsia="Batang" w:hAnsi="Cambria" w:cs="Times New Roman"/>
          <w:iCs/>
          <w:color w:val="000000"/>
          <w:sz w:val="21"/>
          <w:szCs w:val="21"/>
          <w:lang w:val="es-MX"/>
        </w:rPr>
        <w:t>en relación a lo manifestado por el Estado en torno a la supuesta falta de agotamiento de recursos internos, la Comisión recuerda que ello es un supuesto de admisibilidad en el análisis de una petición, más no resulta aplicable al mecanismo de medidas cautelares, el cual se rige exclusivamente por el artículo 25 del Reglamento. En este sentido, el inciso 6.a establece únicamente que: “al considerar la solicitud, la Comisión tendrá en cuenta su contexto y los siguientes elementos: a. si se ha denunciado la situación de riesgo ante las autoridades pertinentes, o los motivos por los cuales no hubiera podido hacerse […]”.</w:t>
      </w:r>
      <w:r w:rsidR="00165FA2" w:rsidRPr="00344CD1">
        <w:rPr>
          <w:rFonts w:ascii="Cambria" w:eastAsia="Batang" w:hAnsi="Cambria" w:cs="Times New Roman"/>
          <w:iCs/>
          <w:color w:val="000000"/>
          <w:sz w:val="21"/>
          <w:szCs w:val="21"/>
          <w:vertAlign w:val="superscript"/>
          <w:lang w:val="es-MX"/>
        </w:rPr>
        <w:footnoteReference w:id="10"/>
      </w:r>
    </w:p>
    <w:p w14:paraId="3C4D9481" w14:textId="77777777" w:rsidR="00265F19" w:rsidRPr="00344CD1" w:rsidRDefault="00265F19" w:rsidP="00D51F89">
      <w:pPr>
        <w:spacing w:after="0" w:line="240" w:lineRule="auto"/>
        <w:ind w:left="360"/>
        <w:contextualSpacing/>
        <w:jc w:val="both"/>
        <w:rPr>
          <w:rFonts w:ascii="Cambria" w:eastAsia="Batang" w:hAnsi="Cambria" w:cs="Times New Roman"/>
          <w:color w:val="000000"/>
          <w:sz w:val="21"/>
          <w:szCs w:val="21"/>
          <w:lang w:val="es-ES"/>
        </w:rPr>
      </w:pPr>
    </w:p>
    <w:p w14:paraId="7477FCF6" w14:textId="75287D69" w:rsidR="006D79B8" w:rsidRPr="00344CD1" w:rsidRDefault="005A24AA"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Calibri" w:hAnsi="Cambria" w:cs="Times New Roman"/>
          <w:sz w:val="21"/>
          <w:szCs w:val="21"/>
          <w:lang w:val="es-ES"/>
        </w:rPr>
        <w:t>Como observación preliminar, en vista de los alegatos contenidos en esta solicitud y el contexto en el cual se enmarcan, l</w:t>
      </w:r>
      <w:r w:rsidR="008E66D6" w:rsidRPr="00344CD1">
        <w:rPr>
          <w:rFonts w:ascii="Cambria" w:eastAsia="Calibri" w:hAnsi="Cambria" w:cs="Times New Roman"/>
          <w:sz w:val="21"/>
          <w:szCs w:val="21"/>
        </w:rPr>
        <w:t xml:space="preserve">a Comisión considera </w:t>
      </w:r>
      <w:r w:rsidR="007B3BD1" w:rsidRPr="00344CD1">
        <w:rPr>
          <w:rFonts w:ascii="Cambria" w:eastAsia="Calibri" w:hAnsi="Cambria" w:cs="Times New Roman"/>
          <w:sz w:val="21"/>
          <w:szCs w:val="21"/>
        </w:rPr>
        <w:t>necesario</w:t>
      </w:r>
      <w:r w:rsidR="008E66D6" w:rsidRPr="00344CD1">
        <w:rPr>
          <w:rFonts w:ascii="Cambria" w:eastAsia="Calibri" w:hAnsi="Cambria" w:cs="Times New Roman"/>
          <w:sz w:val="21"/>
          <w:szCs w:val="21"/>
        </w:rPr>
        <w:t xml:space="preserve"> </w:t>
      </w:r>
      <w:r w:rsidR="007B3BD1" w:rsidRPr="00344CD1">
        <w:rPr>
          <w:rFonts w:ascii="Cambria" w:eastAsia="Calibri" w:hAnsi="Cambria" w:cs="Times New Roman"/>
          <w:sz w:val="21"/>
          <w:szCs w:val="21"/>
        </w:rPr>
        <w:t xml:space="preserve">e </w:t>
      </w:r>
      <w:r w:rsidR="00693E9C" w:rsidRPr="00344CD1">
        <w:rPr>
          <w:rFonts w:ascii="Cambria" w:eastAsia="Calibri" w:hAnsi="Cambria" w:cs="Times New Roman"/>
          <w:sz w:val="21"/>
          <w:szCs w:val="21"/>
        </w:rPr>
        <w:t>recordar</w:t>
      </w:r>
      <w:r w:rsidR="008E66D6" w:rsidRPr="00344CD1">
        <w:rPr>
          <w:rFonts w:ascii="Cambria" w:eastAsia="Calibri" w:hAnsi="Cambria" w:cs="Times New Roman"/>
          <w:sz w:val="21"/>
          <w:szCs w:val="21"/>
        </w:rPr>
        <w:t xml:space="preserve"> </w:t>
      </w:r>
      <w:r w:rsidR="00351D32" w:rsidRPr="00344CD1">
        <w:rPr>
          <w:rFonts w:ascii="Cambria" w:eastAsia="Calibri" w:hAnsi="Cambria" w:cs="Times New Roman"/>
          <w:sz w:val="21"/>
          <w:szCs w:val="21"/>
        </w:rPr>
        <w:t xml:space="preserve">que </w:t>
      </w:r>
      <w:r w:rsidR="007B38BC" w:rsidRPr="00344CD1">
        <w:rPr>
          <w:rFonts w:ascii="Cambria" w:eastAsia="Calibri" w:hAnsi="Cambria" w:cs="Times New Roman"/>
          <w:sz w:val="21"/>
          <w:szCs w:val="21"/>
        </w:rPr>
        <w:t xml:space="preserve">en el presente trámite no está llamada a pronunciarse sobre la </w:t>
      </w:r>
      <w:r w:rsidR="00351D32" w:rsidRPr="00344CD1">
        <w:rPr>
          <w:rFonts w:ascii="Cambria" w:eastAsia="Calibri" w:hAnsi="Cambria" w:cs="Times New Roman"/>
          <w:sz w:val="21"/>
          <w:szCs w:val="21"/>
          <w:lang w:val="es-ES"/>
        </w:rPr>
        <w:t>responsabilidad</w:t>
      </w:r>
      <w:r w:rsidR="00351D32" w:rsidRPr="00344CD1">
        <w:rPr>
          <w:rFonts w:ascii="Cambria" w:eastAsia="Calibri" w:hAnsi="Cambria" w:cs="Times New Roman"/>
          <w:sz w:val="21"/>
          <w:szCs w:val="21"/>
        </w:rPr>
        <w:t xml:space="preserve"> estatal ante alegadas violaciones </w:t>
      </w:r>
      <w:r w:rsidR="008B4B40" w:rsidRPr="00344CD1">
        <w:rPr>
          <w:rFonts w:ascii="Cambria" w:eastAsia="Calibri" w:hAnsi="Cambria" w:cs="Times New Roman"/>
          <w:sz w:val="21"/>
          <w:szCs w:val="21"/>
        </w:rPr>
        <w:t xml:space="preserve">de la </w:t>
      </w:r>
      <w:r w:rsidR="007B38BC" w:rsidRPr="00344CD1">
        <w:rPr>
          <w:rFonts w:ascii="Cambria" w:eastAsia="Calibri" w:hAnsi="Cambria" w:cs="Times New Roman"/>
          <w:sz w:val="21"/>
          <w:szCs w:val="21"/>
        </w:rPr>
        <w:t xml:space="preserve">Convención Americana sobre Derechos Humanos u otros instrumentos aplicables </w:t>
      </w:r>
      <w:r w:rsidR="00351D32" w:rsidRPr="00344CD1">
        <w:rPr>
          <w:rFonts w:ascii="Cambria" w:eastAsia="Calibri" w:hAnsi="Cambria" w:cs="Times New Roman"/>
          <w:sz w:val="21"/>
          <w:szCs w:val="21"/>
        </w:rPr>
        <w:t>de derechos humanos</w:t>
      </w:r>
      <w:r w:rsidR="007B38BC" w:rsidRPr="00344CD1">
        <w:rPr>
          <w:rFonts w:ascii="Cambria" w:eastAsia="Calibri" w:hAnsi="Cambria" w:cs="Times New Roman"/>
          <w:sz w:val="21"/>
          <w:szCs w:val="21"/>
        </w:rPr>
        <w:t xml:space="preserve">. </w:t>
      </w:r>
      <w:r w:rsidR="007B38BC" w:rsidRPr="00344CD1">
        <w:rPr>
          <w:rFonts w:ascii="Cambria" w:eastAsia="Calibri" w:hAnsi="Cambria" w:cs="Times New Roman"/>
          <w:sz w:val="21"/>
          <w:szCs w:val="21"/>
          <w:lang w:val="es-ES"/>
        </w:rPr>
        <w:t xml:space="preserve">Tales </w:t>
      </w:r>
      <w:r w:rsidR="007B38BC" w:rsidRPr="00344CD1">
        <w:rPr>
          <w:rFonts w:ascii="Cambria" w:eastAsia="Calibri" w:hAnsi="Cambria" w:cs="Times New Roman"/>
          <w:sz w:val="21"/>
          <w:szCs w:val="21"/>
        </w:rPr>
        <w:t xml:space="preserve">pretensiones requieren de </w:t>
      </w:r>
      <w:r w:rsidR="007B38BC" w:rsidRPr="00344CD1">
        <w:rPr>
          <w:rFonts w:ascii="Cambria" w:eastAsia="Calibri" w:hAnsi="Cambria" w:cs="Times New Roman"/>
          <w:iCs/>
          <w:sz w:val="21"/>
          <w:szCs w:val="21"/>
          <w:lang w:val="es-ES"/>
        </w:rPr>
        <w:t>determinaciones de fondo que deben ser analizadas en u</w:t>
      </w:r>
      <w:r w:rsidR="00200F9C" w:rsidRPr="00344CD1">
        <w:rPr>
          <w:rFonts w:ascii="Cambria" w:eastAsia="Calibri" w:hAnsi="Cambria" w:cs="Times New Roman"/>
          <w:iCs/>
          <w:sz w:val="21"/>
          <w:szCs w:val="21"/>
          <w:lang w:val="es-ES"/>
        </w:rPr>
        <w:t xml:space="preserve">na petición o caso. </w:t>
      </w:r>
      <w:r w:rsidR="00080DA3" w:rsidRPr="00344CD1">
        <w:rPr>
          <w:rFonts w:ascii="Cambria" w:eastAsia="Calibri" w:hAnsi="Cambria" w:cs="Times New Roman"/>
          <w:iCs/>
          <w:sz w:val="21"/>
          <w:szCs w:val="21"/>
          <w:lang w:val="es-ES"/>
        </w:rPr>
        <w:t>A continuación,</w:t>
      </w:r>
      <w:r w:rsidR="008E66D6" w:rsidRPr="00344CD1">
        <w:rPr>
          <w:rFonts w:ascii="Cambria" w:eastAsia="Calibri" w:hAnsi="Cambria" w:cs="Times New Roman"/>
          <w:iCs/>
          <w:sz w:val="21"/>
          <w:szCs w:val="21"/>
          <w:lang w:val="es-ES"/>
        </w:rPr>
        <w:t xml:space="preserve"> el análisis que se efectúa </w:t>
      </w:r>
      <w:r w:rsidR="00080DA3" w:rsidRPr="00344CD1">
        <w:rPr>
          <w:rFonts w:ascii="Cambria" w:eastAsia="Calibri" w:hAnsi="Cambria" w:cs="Times New Roman"/>
          <w:iCs/>
          <w:sz w:val="21"/>
          <w:szCs w:val="21"/>
          <w:lang w:val="es-ES"/>
        </w:rPr>
        <w:t xml:space="preserve">se limita </w:t>
      </w:r>
      <w:r w:rsidR="008E66D6" w:rsidRPr="00344CD1">
        <w:rPr>
          <w:rFonts w:ascii="Cambria" w:eastAsia="Calibri" w:hAnsi="Cambria" w:cs="Times New Roman"/>
          <w:iCs/>
          <w:sz w:val="21"/>
          <w:szCs w:val="21"/>
          <w:lang w:val="es-ES"/>
        </w:rPr>
        <w:t>exclusivamente con los requisitos de gravedad, urgencia y riesgo de daño irreparable establecidos en el artículo 25 de su Reglamento</w:t>
      </w:r>
      <w:r w:rsidR="00BC4CB7" w:rsidRPr="00344CD1">
        <w:rPr>
          <w:rStyle w:val="FootnoteReference"/>
          <w:rFonts w:ascii="Cambria" w:eastAsia="Calibri" w:hAnsi="Cambria" w:cs="Times New Roman"/>
          <w:iCs/>
          <w:sz w:val="21"/>
          <w:szCs w:val="21"/>
          <w:lang w:val="es-ES"/>
        </w:rPr>
        <w:footnoteReference w:id="11"/>
      </w:r>
      <w:r w:rsidR="008E66D6" w:rsidRPr="00344CD1">
        <w:rPr>
          <w:rFonts w:ascii="Cambria" w:eastAsia="Calibri" w:hAnsi="Cambria" w:cs="Times New Roman"/>
          <w:iCs/>
          <w:sz w:val="21"/>
          <w:szCs w:val="21"/>
          <w:lang w:val="es-ES"/>
        </w:rPr>
        <w:t>.</w:t>
      </w:r>
    </w:p>
    <w:p w14:paraId="1B70B745" w14:textId="6AAE4C39" w:rsidR="00086858" w:rsidRPr="00344CD1" w:rsidRDefault="00086858" w:rsidP="00D51F89">
      <w:pPr>
        <w:spacing w:after="0" w:line="240" w:lineRule="auto"/>
        <w:contextualSpacing/>
        <w:jc w:val="both"/>
        <w:rPr>
          <w:rFonts w:ascii="Cambria" w:eastAsia="Batang" w:hAnsi="Cambria" w:cs="Times New Roman"/>
          <w:color w:val="000000"/>
          <w:sz w:val="21"/>
          <w:szCs w:val="21"/>
          <w:lang w:val="es-ES"/>
        </w:rPr>
      </w:pPr>
    </w:p>
    <w:p w14:paraId="174E1E45" w14:textId="1ECFF023" w:rsidR="007E3281" w:rsidRPr="00344CD1" w:rsidRDefault="00086858"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Al momento de </w:t>
      </w:r>
      <w:r w:rsidR="00536B60" w:rsidRPr="00344CD1">
        <w:rPr>
          <w:rFonts w:ascii="Cambria" w:eastAsia="Batang" w:hAnsi="Cambria" w:cs="Times New Roman"/>
          <w:color w:val="000000"/>
          <w:sz w:val="21"/>
          <w:szCs w:val="21"/>
          <w:lang w:val="es-ES"/>
        </w:rPr>
        <w:t>valorar el requisito</w:t>
      </w:r>
      <w:r w:rsidRPr="00344CD1">
        <w:rPr>
          <w:rFonts w:ascii="Cambria" w:eastAsia="Batang" w:hAnsi="Cambria" w:cs="Times New Roman"/>
          <w:color w:val="000000"/>
          <w:sz w:val="21"/>
          <w:szCs w:val="21"/>
          <w:lang w:val="es-ES"/>
        </w:rPr>
        <w:t xml:space="preserve"> de gravedad, la Comisión </w:t>
      </w:r>
      <w:r w:rsidR="00536B60" w:rsidRPr="00344CD1">
        <w:rPr>
          <w:rFonts w:ascii="Cambria" w:eastAsia="Batang" w:hAnsi="Cambria" w:cs="Times New Roman"/>
          <w:color w:val="000000"/>
          <w:sz w:val="21"/>
          <w:szCs w:val="21"/>
          <w:lang w:val="es-ES"/>
        </w:rPr>
        <w:t>estima necesario tomar en cuenta el contexto en el cual se enmarca la solicitud</w:t>
      </w:r>
      <w:r w:rsidR="009E4023" w:rsidRPr="00344CD1">
        <w:rPr>
          <w:rFonts w:ascii="Cambria" w:eastAsia="Batang" w:hAnsi="Cambria" w:cs="Times New Roman"/>
          <w:color w:val="000000"/>
          <w:sz w:val="21"/>
          <w:szCs w:val="21"/>
          <w:lang w:val="es-ES"/>
        </w:rPr>
        <w:t xml:space="preserve">, </w:t>
      </w:r>
      <w:r w:rsidR="00536B60" w:rsidRPr="00344CD1">
        <w:rPr>
          <w:rFonts w:ascii="Cambria" w:eastAsia="Batang" w:hAnsi="Cambria" w:cs="Times New Roman"/>
          <w:color w:val="000000"/>
          <w:sz w:val="21"/>
          <w:szCs w:val="21"/>
          <w:lang w:val="es-ES"/>
        </w:rPr>
        <w:t xml:space="preserve">el cual ha podido ser </w:t>
      </w:r>
      <w:r w:rsidR="009E4023" w:rsidRPr="00344CD1">
        <w:rPr>
          <w:rFonts w:ascii="Cambria" w:eastAsia="Batang" w:hAnsi="Cambria" w:cs="Times New Roman"/>
          <w:color w:val="000000"/>
          <w:sz w:val="21"/>
          <w:szCs w:val="21"/>
          <w:lang w:val="es-ES"/>
        </w:rPr>
        <w:t xml:space="preserve">directamente </w:t>
      </w:r>
      <w:r w:rsidR="00536B60" w:rsidRPr="00344CD1">
        <w:rPr>
          <w:rFonts w:ascii="Cambria" w:eastAsia="Batang" w:hAnsi="Cambria" w:cs="Times New Roman"/>
          <w:color w:val="000000"/>
          <w:sz w:val="21"/>
          <w:szCs w:val="21"/>
          <w:lang w:val="es-ES"/>
        </w:rPr>
        <w:t xml:space="preserve">constatado durante su visita </w:t>
      </w:r>
      <w:r w:rsidR="00536B60" w:rsidRPr="00344CD1">
        <w:rPr>
          <w:rFonts w:ascii="Cambria" w:eastAsia="Batang" w:hAnsi="Cambria" w:cs="Times New Roman"/>
          <w:i/>
          <w:color w:val="000000"/>
          <w:sz w:val="21"/>
          <w:szCs w:val="21"/>
          <w:lang w:val="es-ES"/>
        </w:rPr>
        <w:t>in loco</w:t>
      </w:r>
      <w:r w:rsidR="00536B60" w:rsidRPr="00344CD1">
        <w:rPr>
          <w:rFonts w:ascii="Cambria" w:eastAsia="Batang" w:hAnsi="Cambria" w:cs="Times New Roman"/>
          <w:color w:val="000000"/>
          <w:sz w:val="21"/>
          <w:szCs w:val="21"/>
          <w:lang w:val="es-ES"/>
        </w:rPr>
        <w:t xml:space="preserve"> de noviembre de 2018</w:t>
      </w:r>
      <w:r w:rsidR="009E4023" w:rsidRPr="00344CD1">
        <w:rPr>
          <w:rFonts w:ascii="Cambria" w:eastAsia="Batang" w:hAnsi="Cambria" w:cs="Times New Roman"/>
          <w:color w:val="000000"/>
          <w:sz w:val="21"/>
          <w:szCs w:val="21"/>
          <w:lang w:val="es-ES"/>
        </w:rPr>
        <w:t xml:space="preserve">. Los testimonios recogidos en </w:t>
      </w:r>
      <w:r w:rsidR="00AE7DFE" w:rsidRPr="00344CD1">
        <w:rPr>
          <w:rFonts w:ascii="Cambria" w:eastAsia="Batang" w:hAnsi="Cambria" w:cs="Times New Roman"/>
          <w:color w:val="000000"/>
          <w:sz w:val="21"/>
          <w:szCs w:val="21"/>
          <w:lang w:val="es-ES"/>
        </w:rPr>
        <w:t xml:space="preserve">el Quilombo </w:t>
      </w:r>
      <w:r w:rsidR="00E14E39" w:rsidRPr="00344CD1">
        <w:rPr>
          <w:rFonts w:ascii="Cambria" w:eastAsia="Batang" w:hAnsi="Cambria" w:cs="Times New Roman"/>
          <w:color w:val="000000"/>
          <w:sz w:val="21"/>
          <w:szCs w:val="21"/>
          <w:lang w:val="es-ES"/>
        </w:rPr>
        <w:t xml:space="preserve">Rio </w:t>
      </w:r>
      <w:r w:rsidR="00AE7DFE" w:rsidRPr="00344CD1">
        <w:rPr>
          <w:rFonts w:ascii="Cambria" w:eastAsia="Batang" w:hAnsi="Cambria" w:cs="Times New Roman"/>
          <w:color w:val="000000"/>
          <w:sz w:val="21"/>
          <w:szCs w:val="21"/>
          <w:lang w:val="es-ES"/>
        </w:rPr>
        <w:t xml:space="preserve">dos Macacos en </w:t>
      </w:r>
      <w:r w:rsidR="009E4023" w:rsidRPr="00344CD1">
        <w:rPr>
          <w:rFonts w:ascii="Cambria" w:eastAsia="Batang" w:hAnsi="Cambria" w:cs="Times New Roman"/>
          <w:color w:val="000000"/>
          <w:sz w:val="21"/>
          <w:szCs w:val="21"/>
          <w:lang w:val="es-ES"/>
        </w:rPr>
        <w:t xml:space="preserve">esa oportunidad dan muestra </w:t>
      </w:r>
      <w:r w:rsidR="007E3281" w:rsidRPr="00344CD1">
        <w:rPr>
          <w:rFonts w:ascii="Cambria" w:eastAsia="Batang" w:hAnsi="Cambria" w:cs="Times New Roman"/>
          <w:color w:val="000000"/>
          <w:sz w:val="21"/>
          <w:szCs w:val="21"/>
          <w:lang w:val="es-ES"/>
        </w:rPr>
        <w:t xml:space="preserve">en efecto </w:t>
      </w:r>
      <w:r w:rsidR="009E4023" w:rsidRPr="00344CD1">
        <w:rPr>
          <w:rFonts w:ascii="Cambria" w:eastAsia="Batang" w:hAnsi="Cambria" w:cs="Times New Roman"/>
          <w:color w:val="000000"/>
          <w:sz w:val="21"/>
          <w:szCs w:val="21"/>
          <w:lang w:val="es-ES"/>
        </w:rPr>
        <w:t xml:space="preserve">de “[…] </w:t>
      </w:r>
      <w:r w:rsidR="00536B60" w:rsidRPr="00344CD1">
        <w:rPr>
          <w:rFonts w:ascii="Cambria" w:eastAsia="Batang" w:hAnsi="Cambria" w:cs="Times New Roman"/>
          <w:color w:val="000000"/>
          <w:sz w:val="21"/>
          <w:szCs w:val="21"/>
          <w:lang w:val="es-ES"/>
        </w:rPr>
        <w:t>un cuadro de violación de derechos sistemático que incluye homicidios, violencia sexual, asesinatos de mujeres en razón de su género, violencia doméstica, así como amenazas, agresiones y criminalización de lideresas y líderes de estas comunidades. A este contexto de violencia, se suma una situación de preocupante impunidad ante estos hechos, marcada por la ausencia de investigaciones diligentes, serias e imparciales</w:t>
      </w:r>
      <w:r w:rsidR="009E4023" w:rsidRPr="00344CD1">
        <w:rPr>
          <w:rFonts w:ascii="Cambria" w:eastAsia="Batang" w:hAnsi="Cambria" w:cs="Times New Roman"/>
          <w:color w:val="000000"/>
          <w:sz w:val="21"/>
          <w:szCs w:val="21"/>
          <w:lang w:val="es-ES"/>
        </w:rPr>
        <w:t>”</w:t>
      </w:r>
      <w:r w:rsidR="00536B60" w:rsidRPr="00344CD1">
        <w:rPr>
          <w:rStyle w:val="FootnoteReference"/>
          <w:rFonts w:ascii="Cambria" w:eastAsia="Batang" w:hAnsi="Cambria" w:cs="Times New Roman"/>
          <w:color w:val="000000"/>
          <w:sz w:val="21"/>
          <w:szCs w:val="21"/>
        </w:rPr>
        <w:footnoteReference w:id="12"/>
      </w:r>
      <w:r w:rsidR="00536B60" w:rsidRPr="00344CD1">
        <w:rPr>
          <w:rFonts w:ascii="Cambria" w:eastAsia="Batang" w:hAnsi="Cambria" w:cs="Times New Roman"/>
          <w:color w:val="000000"/>
          <w:sz w:val="21"/>
          <w:szCs w:val="21"/>
          <w:lang w:val="es-ES"/>
        </w:rPr>
        <w:t>.</w:t>
      </w:r>
      <w:r w:rsidR="009E4023" w:rsidRPr="00344CD1">
        <w:rPr>
          <w:rFonts w:ascii="Cambria" w:eastAsia="Batang" w:hAnsi="Cambria" w:cs="Times New Roman"/>
          <w:color w:val="000000"/>
          <w:sz w:val="21"/>
          <w:szCs w:val="21"/>
          <w:lang w:val="es-ES"/>
        </w:rPr>
        <w:t xml:space="preserve"> En estas circunstancias, </w:t>
      </w:r>
      <w:r w:rsidR="007E3281" w:rsidRPr="00344CD1">
        <w:rPr>
          <w:rFonts w:ascii="Cambria" w:eastAsia="Batang" w:hAnsi="Cambria" w:cs="Times New Roman"/>
          <w:color w:val="000000"/>
          <w:sz w:val="21"/>
          <w:szCs w:val="21"/>
          <w:lang w:val="es-ES"/>
        </w:rPr>
        <w:t xml:space="preserve">los alegatos de los solicitantes en torno a la existencia de una situación de riesgo y su intensidad </w:t>
      </w:r>
      <w:r w:rsidR="00AE76D6" w:rsidRPr="00344CD1">
        <w:rPr>
          <w:rFonts w:ascii="Cambria" w:eastAsia="Batang" w:hAnsi="Cambria" w:cs="Times New Roman"/>
          <w:color w:val="000000"/>
          <w:sz w:val="21"/>
          <w:szCs w:val="21"/>
          <w:lang w:val="es-ES"/>
        </w:rPr>
        <w:t>son consistentes con la información recibida por la Comisión</w:t>
      </w:r>
      <w:r w:rsidR="007E3281" w:rsidRPr="00344CD1">
        <w:rPr>
          <w:rFonts w:ascii="Cambria" w:eastAsia="Batang" w:hAnsi="Cambria" w:cs="Times New Roman"/>
          <w:color w:val="000000"/>
          <w:sz w:val="21"/>
          <w:szCs w:val="21"/>
          <w:lang w:val="es-ES"/>
        </w:rPr>
        <w:t xml:space="preserve">, incluyendo aquellos </w:t>
      </w:r>
      <w:r w:rsidR="007E3281" w:rsidRPr="00344CD1">
        <w:rPr>
          <w:rFonts w:ascii="Cambria" w:eastAsia="Batang" w:hAnsi="Cambria" w:cs="Times New Roman"/>
          <w:color w:val="000000"/>
          <w:sz w:val="21"/>
          <w:szCs w:val="21"/>
          <w:lang w:val="es-ES"/>
        </w:rPr>
        <w:lastRenderedPageBreak/>
        <w:t>relacionados con la duración del enfrentamiento a lo largo de varios decenios y el empleo de armas de fuego con resultados fatales</w:t>
      </w:r>
      <w:r w:rsidR="005F2A7D" w:rsidRPr="00344CD1">
        <w:rPr>
          <w:rFonts w:ascii="Cambria" w:eastAsia="Batang" w:hAnsi="Cambria" w:cs="Times New Roman"/>
          <w:color w:val="000000"/>
          <w:sz w:val="21"/>
          <w:szCs w:val="21"/>
          <w:lang w:val="es-ES"/>
        </w:rPr>
        <w:t xml:space="preserve"> (ver </w:t>
      </w:r>
      <w:r w:rsidR="005F2A7D" w:rsidRPr="00344CD1">
        <w:rPr>
          <w:rFonts w:ascii="Cambria" w:eastAsia="Batang" w:hAnsi="Cambria" w:cs="Times New Roman"/>
          <w:i/>
          <w:color w:val="000000"/>
          <w:sz w:val="21"/>
          <w:szCs w:val="21"/>
          <w:lang w:val="es-ES"/>
        </w:rPr>
        <w:t xml:space="preserve">supra </w:t>
      </w:r>
      <w:r w:rsidR="005F2A7D" w:rsidRPr="00344CD1">
        <w:rPr>
          <w:rFonts w:ascii="Cambria" w:eastAsia="Batang" w:hAnsi="Cambria" w:cs="Times New Roman"/>
          <w:color w:val="000000"/>
          <w:sz w:val="21"/>
          <w:szCs w:val="21"/>
          <w:lang w:val="es-ES"/>
        </w:rPr>
        <w:t xml:space="preserve">párr. </w:t>
      </w:r>
      <w:r w:rsidR="009D781A" w:rsidRPr="00344CD1">
        <w:rPr>
          <w:rFonts w:ascii="Cambria" w:eastAsia="Batang" w:hAnsi="Cambria" w:cs="Times New Roman"/>
          <w:color w:val="000000"/>
          <w:sz w:val="21"/>
          <w:szCs w:val="21"/>
          <w:lang w:val="es-ES"/>
        </w:rPr>
        <w:t>4,</w:t>
      </w:r>
      <w:r w:rsidR="000B31F2" w:rsidRPr="00344CD1">
        <w:rPr>
          <w:rFonts w:ascii="Cambria" w:eastAsia="Batang" w:hAnsi="Cambria" w:cs="Times New Roman"/>
          <w:color w:val="000000"/>
          <w:sz w:val="21"/>
          <w:szCs w:val="21"/>
          <w:lang w:val="es-ES"/>
        </w:rPr>
        <w:t xml:space="preserve"> </w:t>
      </w:r>
      <w:r w:rsidR="009D781A" w:rsidRPr="00344CD1">
        <w:rPr>
          <w:rFonts w:ascii="Cambria" w:eastAsia="Batang" w:hAnsi="Cambria" w:cs="Times New Roman"/>
          <w:color w:val="000000"/>
          <w:sz w:val="21"/>
          <w:szCs w:val="21"/>
          <w:lang w:val="es-ES"/>
        </w:rPr>
        <w:t>6,12 y 20</w:t>
      </w:r>
      <w:r w:rsidR="000635BA" w:rsidRPr="00344CD1">
        <w:rPr>
          <w:rFonts w:ascii="Cambria" w:eastAsia="Batang" w:hAnsi="Cambria" w:cs="Times New Roman"/>
          <w:color w:val="000000"/>
          <w:sz w:val="21"/>
          <w:szCs w:val="21"/>
          <w:lang w:val="es-ES"/>
        </w:rPr>
        <w:t>).</w:t>
      </w:r>
    </w:p>
    <w:p w14:paraId="18A08C82" w14:textId="77777777" w:rsidR="007E3281" w:rsidRPr="00344CD1" w:rsidRDefault="007E3281" w:rsidP="00D51F89">
      <w:pPr>
        <w:spacing w:after="0" w:line="240" w:lineRule="auto"/>
        <w:ind w:left="360"/>
        <w:contextualSpacing/>
        <w:jc w:val="both"/>
        <w:rPr>
          <w:rFonts w:ascii="Cambria" w:eastAsia="Batang" w:hAnsi="Cambria" w:cs="Times New Roman"/>
          <w:color w:val="000000"/>
          <w:sz w:val="21"/>
          <w:szCs w:val="21"/>
          <w:lang w:val="es-ES"/>
        </w:rPr>
      </w:pPr>
    </w:p>
    <w:p w14:paraId="10D67902" w14:textId="2382F30F" w:rsidR="0061619D" w:rsidRPr="00344CD1" w:rsidRDefault="007E3281"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Sentado lo anterior, en el examen del presente asunto la Comisión observa que </w:t>
      </w:r>
      <w:r w:rsidR="000635BA" w:rsidRPr="00344CD1">
        <w:rPr>
          <w:rFonts w:ascii="Cambria" w:eastAsia="Batang" w:hAnsi="Cambria" w:cs="Times New Roman"/>
          <w:color w:val="000000"/>
          <w:sz w:val="21"/>
          <w:szCs w:val="21"/>
          <w:lang w:val="es-ES"/>
        </w:rPr>
        <w:t xml:space="preserve">los solicitantes alegaron dos principales fuentes de riesgo pertinentes al análisis bajo el </w:t>
      </w:r>
      <w:r w:rsidR="00A176E1" w:rsidRPr="00344CD1">
        <w:rPr>
          <w:rFonts w:ascii="Cambria" w:eastAsia="Batang" w:hAnsi="Cambria" w:cs="Times New Roman"/>
          <w:color w:val="000000"/>
          <w:sz w:val="21"/>
          <w:szCs w:val="21"/>
          <w:lang w:val="es-ES"/>
        </w:rPr>
        <w:t>artículo 25 del Reglamento de la CIDH</w:t>
      </w:r>
      <w:r w:rsidR="000B31F2" w:rsidRPr="00344CD1">
        <w:rPr>
          <w:rFonts w:ascii="Cambria" w:eastAsia="Batang" w:hAnsi="Cambria" w:cs="Times New Roman"/>
          <w:color w:val="000000"/>
          <w:sz w:val="21"/>
          <w:szCs w:val="21"/>
          <w:lang w:val="es-ES"/>
        </w:rPr>
        <w:t>. L</w:t>
      </w:r>
      <w:r w:rsidR="00A176E1" w:rsidRPr="00344CD1">
        <w:rPr>
          <w:rFonts w:ascii="Cambria" w:eastAsia="Batang" w:hAnsi="Cambria" w:cs="Times New Roman"/>
          <w:color w:val="000000"/>
          <w:sz w:val="21"/>
          <w:szCs w:val="21"/>
          <w:lang w:val="es-ES"/>
        </w:rPr>
        <w:t>a primera relacionada a amenazas a la vida y la integridad de los propuestos beneficiarios ante hechos de hostigamiento y actos de violencia; y la segunda conectada a</w:t>
      </w:r>
      <w:r w:rsidR="0061619D" w:rsidRPr="00344CD1">
        <w:rPr>
          <w:rFonts w:ascii="Cambria" w:eastAsia="Batang" w:hAnsi="Cambria" w:cs="Times New Roman"/>
          <w:color w:val="000000"/>
          <w:sz w:val="21"/>
          <w:szCs w:val="21"/>
          <w:lang w:val="es-ES"/>
        </w:rPr>
        <w:t xml:space="preserve"> las consecuencias de un</w:t>
      </w:r>
      <w:r w:rsidR="005A24AA" w:rsidRPr="00344CD1">
        <w:rPr>
          <w:rFonts w:ascii="Cambria" w:eastAsia="Batang" w:hAnsi="Cambria" w:cs="Times New Roman"/>
          <w:color w:val="000000"/>
          <w:sz w:val="21"/>
          <w:szCs w:val="21"/>
          <w:lang w:val="es-ES"/>
        </w:rPr>
        <w:t>a</w:t>
      </w:r>
      <w:r w:rsidR="0061619D" w:rsidRPr="00344CD1">
        <w:rPr>
          <w:rFonts w:ascii="Cambria" w:eastAsia="Batang" w:hAnsi="Cambria" w:cs="Times New Roman"/>
          <w:color w:val="000000"/>
          <w:sz w:val="21"/>
          <w:szCs w:val="21"/>
          <w:lang w:val="es-ES"/>
        </w:rPr>
        <w:t xml:space="preserve"> posible </w:t>
      </w:r>
      <w:r w:rsidR="00674B22" w:rsidRPr="00344CD1">
        <w:rPr>
          <w:rFonts w:ascii="Cambria" w:eastAsia="Batang" w:hAnsi="Cambria" w:cs="Times New Roman"/>
          <w:color w:val="000000"/>
          <w:sz w:val="21"/>
          <w:szCs w:val="21"/>
          <w:lang w:val="es-ES"/>
        </w:rPr>
        <w:t>rotura</w:t>
      </w:r>
      <w:r w:rsidR="005A24AA" w:rsidRPr="00344CD1">
        <w:rPr>
          <w:rFonts w:ascii="Cambria" w:eastAsia="Batang" w:hAnsi="Cambria" w:cs="Times New Roman"/>
          <w:color w:val="000000"/>
          <w:sz w:val="21"/>
          <w:szCs w:val="21"/>
          <w:lang w:val="es-ES"/>
        </w:rPr>
        <w:t xml:space="preserve"> </w:t>
      </w:r>
      <w:r w:rsidR="0061619D" w:rsidRPr="00344CD1">
        <w:rPr>
          <w:rFonts w:ascii="Cambria" w:eastAsia="Batang" w:hAnsi="Cambria" w:cs="Times New Roman"/>
          <w:color w:val="000000"/>
          <w:sz w:val="21"/>
          <w:szCs w:val="21"/>
          <w:lang w:val="es-ES"/>
        </w:rPr>
        <w:t>de la</w:t>
      </w:r>
      <w:r w:rsidR="00DB396A" w:rsidRPr="00344CD1">
        <w:rPr>
          <w:rFonts w:ascii="Cambria" w:eastAsia="Batang" w:hAnsi="Cambria" w:cs="Times New Roman"/>
          <w:color w:val="000000"/>
          <w:sz w:val="21"/>
          <w:szCs w:val="21"/>
          <w:lang w:val="es-ES"/>
        </w:rPr>
        <w:t xml:space="preserve"> Rep</w:t>
      </w:r>
      <w:r w:rsidR="00280770" w:rsidRPr="00344CD1">
        <w:rPr>
          <w:rFonts w:ascii="Cambria" w:eastAsia="Batang" w:hAnsi="Cambria" w:cs="Times New Roman"/>
          <w:color w:val="000000"/>
          <w:sz w:val="21"/>
          <w:szCs w:val="21"/>
          <w:lang w:val="es-ES"/>
        </w:rPr>
        <w:t>resa Rio dos Macacos.</w:t>
      </w:r>
    </w:p>
    <w:p w14:paraId="45478703" w14:textId="77777777" w:rsidR="00280770" w:rsidRPr="00344CD1" w:rsidRDefault="00280770" w:rsidP="00D51F89">
      <w:pPr>
        <w:spacing w:after="0" w:line="240" w:lineRule="auto"/>
        <w:ind w:left="360"/>
        <w:contextualSpacing/>
        <w:jc w:val="both"/>
        <w:rPr>
          <w:rFonts w:ascii="Cambria" w:eastAsia="Batang" w:hAnsi="Cambria" w:cs="Times New Roman"/>
          <w:color w:val="000000"/>
          <w:sz w:val="21"/>
          <w:szCs w:val="21"/>
          <w:lang w:val="es-ES"/>
        </w:rPr>
      </w:pPr>
    </w:p>
    <w:p w14:paraId="558A3364" w14:textId="117E9FF0" w:rsidR="005A24AA" w:rsidRPr="00344CD1" w:rsidRDefault="007B19C8"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Con relación a la primera fuente de riesgo, l</w:t>
      </w:r>
      <w:r w:rsidR="00BF470F" w:rsidRPr="00344CD1">
        <w:rPr>
          <w:rFonts w:ascii="Cambria" w:eastAsia="Batang" w:hAnsi="Cambria" w:cs="Times New Roman"/>
          <w:color w:val="000000"/>
          <w:sz w:val="21"/>
          <w:szCs w:val="21"/>
          <w:lang w:val="es-ES"/>
        </w:rPr>
        <w:t xml:space="preserve">a Comisión observa </w:t>
      </w:r>
      <w:r w:rsidR="007B712A" w:rsidRPr="00344CD1">
        <w:rPr>
          <w:rFonts w:ascii="Cambria" w:eastAsia="Batang" w:hAnsi="Cambria" w:cs="Times New Roman"/>
          <w:color w:val="000000"/>
          <w:sz w:val="21"/>
          <w:szCs w:val="21"/>
          <w:lang w:val="es-ES"/>
        </w:rPr>
        <w:t xml:space="preserve">que </w:t>
      </w:r>
      <w:r w:rsidR="007C53EE" w:rsidRPr="00344CD1">
        <w:rPr>
          <w:rFonts w:ascii="Cambria" w:eastAsia="Batang" w:hAnsi="Cambria" w:cs="Times New Roman"/>
          <w:color w:val="000000"/>
          <w:sz w:val="21"/>
          <w:szCs w:val="21"/>
          <w:lang w:val="es-ES"/>
        </w:rPr>
        <w:t xml:space="preserve">las personas propuestas como beneficiarias habrían reportado hechos de violencia y amenazas </w:t>
      </w:r>
      <w:r w:rsidR="005A24AA" w:rsidRPr="00344CD1">
        <w:rPr>
          <w:rFonts w:ascii="Cambria" w:eastAsia="Batang" w:hAnsi="Cambria" w:cs="Times New Roman"/>
          <w:color w:val="000000"/>
          <w:sz w:val="21"/>
          <w:szCs w:val="21"/>
          <w:lang w:val="es-ES"/>
        </w:rPr>
        <w:t xml:space="preserve">de manera reiterada a lo largo de estos años </w:t>
      </w:r>
      <w:r w:rsidR="007C53EE" w:rsidRPr="00344CD1">
        <w:rPr>
          <w:rFonts w:ascii="Cambria" w:eastAsia="Batang" w:hAnsi="Cambria" w:cs="Times New Roman"/>
          <w:color w:val="000000"/>
          <w:sz w:val="21"/>
          <w:szCs w:val="21"/>
          <w:lang w:val="es-ES"/>
        </w:rPr>
        <w:t xml:space="preserve">(ver </w:t>
      </w:r>
      <w:r w:rsidR="007C53EE" w:rsidRPr="00344CD1">
        <w:rPr>
          <w:rFonts w:ascii="Cambria" w:eastAsia="Batang" w:hAnsi="Cambria" w:cs="Times New Roman"/>
          <w:i/>
          <w:color w:val="000000"/>
          <w:sz w:val="21"/>
          <w:szCs w:val="21"/>
          <w:lang w:val="es-ES"/>
        </w:rPr>
        <w:t xml:space="preserve">supra </w:t>
      </w:r>
      <w:r w:rsidR="007C53EE" w:rsidRPr="00344CD1">
        <w:rPr>
          <w:rFonts w:ascii="Cambria" w:eastAsia="Batang" w:hAnsi="Cambria" w:cs="Times New Roman"/>
          <w:color w:val="000000"/>
          <w:sz w:val="21"/>
          <w:szCs w:val="21"/>
          <w:lang w:val="es-ES"/>
        </w:rPr>
        <w:t xml:space="preserve">párr. </w:t>
      </w:r>
      <w:r w:rsidR="009D781A" w:rsidRPr="00344CD1">
        <w:rPr>
          <w:rFonts w:ascii="Cambria" w:eastAsia="Batang" w:hAnsi="Cambria" w:cs="Times New Roman"/>
          <w:color w:val="000000"/>
          <w:sz w:val="21"/>
          <w:szCs w:val="21"/>
          <w:lang w:val="es-ES"/>
        </w:rPr>
        <w:t>4</w:t>
      </w:r>
      <w:r w:rsidR="00657FF5" w:rsidRPr="00344CD1">
        <w:rPr>
          <w:rFonts w:ascii="Cambria" w:eastAsia="Batang" w:hAnsi="Cambria" w:cs="Times New Roman"/>
          <w:color w:val="000000"/>
          <w:sz w:val="21"/>
          <w:szCs w:val="21"/>
          <w:lang w:val="es-ES"/>
        </w:rPr>
        <w:t xml:space="preserve">), </w:t>
      </w:r>
      <w:r w:rsidR="005A24AA" w:rsidRPr="00344CD1">
        <w:rPr>
          <w:rFonts w:ascii="Cambria" w:eastAsia="Batang" w:hAnsi="Cambria" w:cs="Times New Roman"/>
          <w:color w:val="000000"/>
          <w:sz w:val="21"/>
          <w:szCs w:val="21"/>
          <w:lang w:val="es-ES"/>
        </w:rPr>
        <w:t>indica</w:t>
      </w:r>
      <w:r w:rsidR="007B712A" w:rsidRPr="00344CD1">
        <w:rPr>
          <w:rFonts w:ascii="Cambria" w:eastAsia="Batang" w:hAnsi="Cambria" w:cs="Times New Roman"/>
          <w:color w:val="000000"/>
          <w:sz w:val="21"/>
          <w:szCs w:val="21"/>
          <w:lang w:val="es-ES"/>
        </w:rPr>
        <w:t>do</w:t>
      </w:r>
      <w:r w:rsidR="00545E86" w:rsidRPr="00344CD1">
        <w:rPr>
          <w:rFonts w:ascii="Cambria" w:eastAsia="Batang" w:hAnsi="Cambria" w:cs="Times New Roman"/>
          <w:color w:val="000000"/>
          <w:sz w:val="21"/>
          <w:szCs w:val="21"/>
          <w:lang w:val="es-ES"/>
        </w:rPr>
        <w:t xml:space="preserve"> </w:t>
      </w:r>
      <w:r w:rsidR="00BF470F" w:rsidRPr="00344CD1">
        <w:rPr>
          <w:rFonts w:ascii="Cambria" w:eastAsia="Batang" w:hAnsi="Cambria" w:cs="Times New Roman"/>
          <w:color w:val="000000"/>
          <w:sz w:val="21"/>
          <w:szCs w:val="21"/>
          <w:lang w:val="es-ES"/>
        </w:rPr>
        <w:t xml:space="preserve">que </w:t>
      </w:r>
      <w:r w:rsidR="007E3281" w:rsidRPr="00344CD1">
        <w:rPr>
          <w:rFonts w:ascii="Cambria" w:eastAsia="Batang" w:hAnsi="Cambria" w:cs="Times New Roman"/>
          <w:color w:val="000000"/>
          <w:sz w:val="21"/>
          <w:szCs w:val="21"/>
          <w:lang w:val="es-ES"/>
        </w:rPr>
        <w:t xml:space="preserve">el riesgo padecido </w:t>
      </w:r>
      <w:r w:rsidR="007B712A" w:rsidRPr="00344CD1">
        <w:rPr>
          <w:rFonts w:ascii="Cambria" w:eastAsia="Batang" w:hAnsi="Cambria" w:cs="Times New Roman"/>
          <w:color w:val="000000"/>
          <w:sz w:val="21"/>
          <w:szCs w:val="21"/>
          <w:lang w:val="es-ES"/>
        </w:rPr>
        <w:t>incrementaría</w:t>
      </w:r>
      <w:r w:rsidR="00083CA3" w:rsidRPr="00344CD1">
        <w:rPr>
          <w:rFonts w:ascii="Cambria" w:eastAsia="Batang" w:hAnsi="Cambria" w:cs="Times New Roman"/>
          <w:color w:val="000000"/>
          <w:sz w:val="21"/>
          <w:szCs w:val="21"/>
          <w:lang w:val="es-ES"/>
        </w:rPr>
        <w:t xml:space="preserve">, </w:t>
      </w:r>
      <w:r w:rsidR="005A24AA" w:rsidRPr="00344CD1">
        <w:rPr>
          <w:rFonts w:ascii="Cambria" w:eastAsia="Batang" w:hAnsi="Cambria" w:cs="Times New Roman"/>
          <w:color w:val="000000"/>
          <w:sz w:val="21"/>
          <w:szCs w:val="21"/>
          <w:lang w:val="es-ES"/>
        </w:rPr>
        <w:t>según sostienen</w:t>
      </w:r>
      <w:r w:rsidR="00083CA3" w:rsidRPr="00344CD1">
        <w:rPr>
          <w:rFonts w:ascii="Cambria" w:eastAsia="Batang" w:hAnsi="Cambria" w:cs="Times New Roman"/>
          <w:color w:val="000000"/>
          <w:sz w:val="21"/>
          <w:szCs w:val="21"/>
          <w:lang w:val="es-ES"/>
        </w:rPr>
        <w:t>,</w:t>
      </w:r>
      <w:r w:rsidR="00545E86" w:rsidRPr="00344CD1">
        <w:rPr>
          <w:rFonts w:ascii="Cambria" w:eastAsia="Batang" w:hAnsi="Cambria" w:cs="Times New Roman"/>
          <w:color w:val="000000"/>
          <w:sz w:val="21"/>
          <w:szCs w:val="21"/>
          <w:lang w:val="es-ES"/>
        </w:rPr>
        <w:t xml:space="preserve"> </w:t>
      </w:r>
      <w:r w:rsidR="007B712A" w:rsidRPr="00344CD1">
        <w:rPr>
          <w:rFonts w:ascii="Cambria" w:eastAsia="Batang" w:hAnsi="Cambria" w:cs="Times New Roman"/>
          <w:color w:val="000000"/>
          <w:sz w:val="21"/>
          <w:szCs w:val="21"/>
          <w:lang w:val="es-ES"/>
        </w:rPr>
        <w:t xml:space="preserve">en </w:t>
      </w:r>
      <w:r w:rsidR="007E3281" w:rsidRPr="00344CD1">
        <w:rPr>
          <w:rFonts w:ascii="Cambria" w:eastAsia="Batang" w:hAnsi="Cambria" w:cs="Times New Roman"/>
          <w:color w:val="000000"/>
          <w:sz w:val="21"/>
          <w:szCs w:val="21"/>
          <w:lang w:val="es-ES"/>
        </w:rPr>
        <w:t xml:space="preserve">conexión con el avance del procedimiento de titulación del territorio a favor de </w:t>
      </w:r>
      <w:r w:rsidR="007E3281" w:rsidRPr="00344CD1">
        <w:rPr>
          <w:rFonts w:ascii="Cambria" w:eastAsia="Batang" w:hAnsi="Cambria" w:cs="Times New Roman"/>
          <w:color w:val="000000"/>
          <w:sz w:val="21"/>
          <w:szCs w:val="21"/>
        </w:rPr>
        <w:t>la Comunidad</w:t>
      </w:r>
      <w:r w:rsidR="005A24AA" w:rsidRPr="00344CD1">
        <w:rPr>
          <w:rFonts w:ascii="Cambria" w:eastAsia="Batang" w:hAnsi="Cambria" w:cs="Times New Roman"/>
          <w:color w:val="000000"/>
          <w:sz w:val="21"/>
          <w:szCs w:val="21"/>
          <w:lang w:val="es-ES"/>
        </w:rPr>
        <w:t xml:space="preserve"> – </w:t>
      </w:r>
      <w:r w:rsidR="007B712A" w:rsidRPr="00344CD1">
        <w:rPr>
          <w:rFonts w:ascii="Cambria" w:eastAsia="Batang" w:hAnsi="Cambria" w:cs="Times New Roman"/>
          <w:color w:val="000000"/>
          <w:sz w:val="21"/>
          <w:szCs w:val="21"/>
          <w:lang w:val="es-ES"/>
        </w:rPr>
        <w:t xml:space="preserve">reconociéndose </w:t>
      </w:r>
      <w:r w:rsidR="005A24AA" w:rsidRPr="00344CD1">
        <w:rPr>
          <w:rFonts w:ascii="Cambria" w:eastAsia="Batang" w:hAnsi="Cambria" w:cs="Times New Roman"/>
          <w:color w:val="000000"/>
          <w:sz w:val="21"/>
          <w:szCs w:val="21"/>
          <w:lang w:val="es-ES"/>
        </w:rPr>
        <w:t>formalmente</w:t>
      </w:r>
      <w:r w:rsidR="007B712A" w:rsidRPr="00344CD1">
        <w:rPr>
          <w:rFonts w:ascii="Cambria" w:eastAsia="Batang" w:hAnsi="Cambria" w:cs="Times New Roman"/>
          <w:color w:val="000000"/>
          <w:sz w:val="21"/>
          <w:szCs w:val="21"/>
          <w:lang w:val="es-ES"/>
        </w:rPr>
        <w:t xml:space="preserve"> el 30 de mayo de 2020 (</w:t>
      </w:r>
      <w:r w:rsidR="007B712A" w:rsidRPr="00344CD1">
        <w:rPr>
          <w:rFonts w:ascii="Cambria" w:eastAsia="Batang" w:hAnsi="Cambria" w:cs="Times New Roman"/>
          <w:i/>
          <w:color w:val="000000"/>
          <w:sz w:val="21"/>
          <w:szCs w:val="21"/>
          <w:lang w:val="es-ES"/>
        </w:rPr>
        <w:t>vid</w:t>
      </w:r>
      <w:r w:rsidR="007B712A" w:rsidRPr="00344CD1">
        <w:rPr>
          <w:rFonts w:ascii="Cambria" w:eastAsia="Batang" w:hAnsi="Cambria" w:cs="Times New Roman"/>
          <w:color w:val="000000"/>
          <w:sz w:val="21"/>
          <w:szCs w:val="21"/>
          <w:lang w:val="es-ES"/>
        </w:rPr>
        <w:t xml:space="preserve">. </w:t>
      </w:r>
      <w:r w:rsidR="007B712A" w:rsidRPr="00344CD1">
        <w:rPr>
          <w:rFonts w:ascii="Cambria" w:eastAsia="Batang" w:hAnsi="Cambria" w:cs="Times New Roman"/>
          <w:i/>
          <w:color w:val="000000"/>
          <w:sz w:val="21"/>
          <w:szCs w:val="21"/>
          <w:lang w:val="es-ES"/>
        </w:rPr>
        <w:t>supra</w:t>
      </w:r>
      <w:r w:rsidR="007B712A" w:rsidRPr="00344CD1">
        <w:rPr>
          <w:rFonts w:ascii="Cambria" w:eastAsia="Batang" w:hAnsi="Cambria" w:cs="Times New Roman"/>
          <w:color w:val="000000"/>
          <w:sz w:val="21"/>
          <w:szCs w:val="21"/>
          <w:lang w:val="es-ES"/>
        </w:rPr>
        <w:t xml:space="preserve"> párr. </w:t>
      </w:r>
      <w:r w:rsidR="009D781A" w:rsidRPr="00344CD1">
        <w:rPr>
          <w:rFonts w:ascii="Cambria" w:eastAsia="Batang" w:hAnsi="Cambria" w:cs="Times New Roman"/>
          <w:color w:val="000000"/>
          <w:sz w:val="21"/>
          <w:szCs w:val="21"/>
          <w:lang w:val="es-ES"/>
        </w:rPr>
        <w:t>2</w:t>
      </w:r>
      <w:r w:rsidR="000B31F2" w:rsidRPr="00344CD1">
        <w:rPr>
          <w:rFonts w:ascii="Cambria" w:eastAsia="Batang" w:hAnsi="Cambria" w:cs="Times New Roman"/>
          <w:color w:val="000000"/>
          <w:sz w:val="21"/>
          <w:szCs w:val="21"/>
          <w:lang w:val="es-ES"/>
        </w:rPr>
        <w:t>5</w:t>
      </w:r>
      <w:r w:rsidR="000F6A1C" w:rsidRPr="00344CD1">
        <w:rPr>
          <w:rFonts w:ascii="Cambria" w:eastAsia="Batang" w:hAnsi="Cambria" w:cs="Times New Roman"/>
          <w:color w:val="000000"/>
          <w:sz w:val="21"/>
          <w:szCs w:val="21"/>
          <w:lang w:val="es-ES"/>
        </w:rPr>
        <w:t xml:space="preserve"> y </w:t>
      </w:r>
      <w:r w:rsidR="009D781A" w:rsidRPr="00344CD1">
        <w:rPr>
          <w:rFonts w:ascii="Cambria" w:eastAsia="Batang" w:hAnsi="Cambria" w:cs="Times New Roman"/>
          <w:color w:val="000000"/>
          <w:sz w:val="21"/>
          <w:szCs w:val="21"/>
          <w:lang w:val="es-ES"/>
        </w:rPr>
        <w:t>3</w:t>
      </w:r>
      <w:r w:rsidR="000B31F2" w:rsidRPr="00344CD1">
        <w:rPr>
          <w:rFonts w:ascii="Cambria" w:eastAsia="Batang" w:hAnsi="Cambria" w:cs="Times New Roman"/>
          <w:color w:val="000000"/>
          <w:sz w:val="21"/>
          <w:szCs w:val="21"/>
          <w:lang w:val="es-ES"/>
        </w:rPr>
        <w:t>3</w:t>
      </w:r>
      <w:r w:rsidR="007B712A" w:rsidRPr="00344CD1">
        <w:rPr>
          <w:rFonts w:ascii="Cambria" w:eastAsia="Batang" w:hAnsi="Cambria" w:cs="Times New Roman"/>
          <w:color w:val="000000"/>
          <w:sz w:val="21"/>
          <w:szCs w:val="21"/>
          <w:lang w:val="es-ES"/>
        </w:rPr>
        <w:t>)</w:t>
      </w:r>
      <w:r w:rsidR="006D6B2F" w:rsidRPr="00344CD1">
        <w:rPr>
          <w:rStyle w:val="FootnoteReference"/>
          <w:rFonts w:ascii="Cambria" w:eastAsia="Batang" w:hAnsi="Cambria" w:cs="Times New Roman"/>
          <w:color w:val="000000"/>
          <w:sz w:val="21"/>
          <w:szCs w:val="21"/>
          <w:lang w:val="es-ES"/>
        </w:rPr>
        <w:footnoteReference w:id="13"/>
      </w:r>
      <w:r w:rsidR="007B712A" w:rsidRPr="00344CD1">
        <w:rPr>
          <w:rFonts w:ascii="Cambria" w:eastAsia="Batang" w:hAnsi="Cambria" w:cs="Times New Roman"/>
          <w:color w:val="000000"/>
          <w:sz w:val="21"/>
          <w:szCs w:val="21"/>
          <w:lang w:val="es-ES"/>
        </w:rPr>
        <w:t xml:space="preserve"> – y </w:t>
      </w:r>
      <w:r w:rsidR="005A24AA" w:rsidRPr="00344CD1">
        <w:rPr>
          <w:rFonts w:ascii="Cambria" w:eastAsia="Batang" w:hAnsi="Cambria" w:cs="Times New Roman"/>
          <w:color w:val="000000"/>
          <w:sz w:val="21"/>
          <w:szCs w:val="21"/>
          <w:lang w:val="es-ES"/>
        </w:rPr>
        <w:t>por</w:t>
      </w:r>
      <w:r w:rsidR="007B712A" w:rsidRPr="00344CD1">
        <w:rPr>
          <w:rFonts w:ascii="Cambria" w:eastAsia="Batang" w:hAnsi="Cambria" w:cs="Times New Roman"/>
          <w:color w:val="000000"/>
          <w:sz w:val="21"/>
          <w:szCs w:val="21"/>
          <w:lang w:val="es-ES"/>
        </w:rPr>
        <w:t xml:space="preserve"> </w:t>
      </w:r>
      <w:r w:rsidR="005A24AA" w:rsidRPr="00344CD1">
        <w:rPr>
          <w:rFonts w:ascii="Cambria" w:eastAsia="Batang" w:hAnsi="Cambria" w:cs="Times New Roman"/>
          <w:color w:val="000000"/>
          <w:sz w:val="21"/>
          <w:szCs w:val="21"/>
          <w:lang w:val="es-ES"/>
        </w:rPr>
        <w:t xml:space="preserve">la continuidad en la reclamación de </w:t>
      </w:r>
      <w:r w:rsidR="007B712A" w:rsidRPr="00344CD1">
        <w:rPr>
          <w:rFonts w:ascii="Cambria" w:eastAsia="Batang" w:hAnsi="Cambria" w:cs="Times New Roman"/>
          <w:color w:val="000000"/>
          <w:sz w:val="21"/>
          <w:szCs w:val="21"/>
          <w:lang w:val="es-ES"/>
        </w:rPr>
        <w:t>derechos</w:t>
      </w:r>
      <w:r w:rsidR="007E3281" w:rsidRPr="00344CD1">
        <w:rPr>
          <w:rFonts w:ascii="Cambria" w:eastAsia="Batang" w:hAnsi="Cambria" w:cs="Times New Roman"/>
          <w:color w:val="000000"/>
          <w:sz w:val="21"/>
          <w:szCs w:val="21"/>
          <w:lang w:val="es-ES"/>
        </w:rPr>
        <w:t>.</w:t>
      </w:r>
      <w:r w:rsidR="00BA1171" w:rsidRPr="00344CD1">
        <w:rPr>
          <w:rFonts w:ascii="Cambria" w:eastAsia="Batang" w:hAnsi="Cambria" w:cs="Times New Roman"/>
          <w:color w:val="000000"/>
          <w:sz w:val="21"/>
          <w:szCs w:val="21"/>
          <w:lang w:val="es-ES"/>
        </w:rPr>
        <w:t xml:space="preserve"> </w:t>
      </w:r>
      <w:r w:rsidR="005A24AA" w:rsidRPr="00344CD1">
        <w:rPr>
          <w:rFonts w:ascii="Cambria" w:eastAsia="Batang" w:hAnsi="Cambria" w:cs="Times New Roman"/>
          <w:color w:val="000000"/>
          <w:sz w:val="21"/>
          <w:szCs w:val="21"/>
          <w:lang w:val="es-ES"/>
        </w:rPr>
        <w:t>Como muestra de lo anterior,</w:t>
      </w:r>
      <w:r w:rsidR="006E091B" w:rsidRPr="00344CD1">
        <w:rPr>
          <w:rFonts w:ascii="Cambria" w:eastAsia="Batang" w:hAnsi="Cambria" w:cs="Times New Roman"/>
          <w:color w:val="000000"/>
          <w:sz w:val="21"/>
          <w:szCs w:val="21"/>
          <w:lang w:val="es-ES"/>
        </w:rPr>
        <w:t xml:space="preserve"> </w:t>
      </w:r>
      <w:r w:rsidR="005A24AA" w:rsidRPr="00344CD1">
        <w:rPr>
          <w:rFonts w:ascii="Cambria" w:eastAsia="Batang" w:hAnsi="Cambria" w:cs="Times New Roman"/>
          <w:color w:val="000000"/>
          <w:sz w:val="21"/>
          <w:szCs w:val="21"/>
          <w:lang w:val="es-ES"/>
        </w:rPr>
        <w:t>recientemente</w:t>
      </w:r>
      <w:r w:rsidR="00FB128F" w:rsidRPr="00344CD1">
        <w:rPr>
          <w:rFonts w:ascii="Cambria" w:eastAsia="Batang" w:hAnsi="Cambria" w:cs="Times New Roman"/>
          <w:color w:val="000000"/>
          <w:sz w:val="21"/>
          <w:szCs w:val="21"/>
          <w:lang w:val="es-ES"/>
        </w:rPr>
        <w:t xml:space="preserve"> </w:t>
      </w:r>
      <w:r w:rsidR="0068262D" w:rsidRPr="00344CD1">
        <w:rPr>
          <w:rFonts w:ascii="Cambria" w:eastAsia="Batang" w:hAnsi="Cambria" w:cs="Times New Roman"/>
          <w:color w:val="000000"/>
          <w:sz w:val="21"/>
          <w:szCs w:val="21"/>
          <w:lang w:val="es-ES"/>
        </w:rPr>
        <w:t>se denunció un asesinato, las amenazas a los voceros del quilombo y la presencia de hombres armados</w:t>
      </w:r>
      <w:r w:rsidR="00657FF5" w:rsidRPr="00344CD1">
        <w:rPr>
          <w:rFonts w:ascii="Cambria" w:eastAsia="Batang" w:hAnsi="Cambria" w:cs="Times New Roman"/>
          <w:color w:val="000000"/>
          <w:sz w:val="21"/>
          <w:szCs w:val="21"/>
          <w:lang w:val="es-ES"/>
        </w:rPr>
        <w:t>, incluso</w:t>
      </w:r>
      <w:r w:rsidR="0068262D" w:rsidRPr="00344CD1">
        <w:rPr>
          <w:rFonts w:ascii="Cambria" w:eastAsia="Batang" w:hAnsi="Cambria" w:cs="Times New Roman"/>
          <w:color w:val="000000"/>
          <w:sz w:val="21"/>
          <w:szCs w:val="21"/>
          <w:lang w:val="es-ES"/>
        </w:rPr>
        <w:t xml:space="preserve"> al interior de algunos hogares</w:t>
      </w:r>
      <w:r w:rsidR="001D569F" w:rsidRPr="00344CD1">
        <w:rPr>
          <w:rFonts w:ascii="Cambria" w:eastAsia="Batang" w:hAnsi="Cambria" w:cs="Times New Roman"/>
          <w:color w:val="000000"/>
          <w:sz w:val="21"/>
          <w:szCs w:val="21"/>
          <w:lang w:val="es-ES"/>
        </w:rPr>
        <w:t>.</w:t>
      </w:r>
    </w:p>
    <w:p w14:paraId="3FCB2E13" w14:textId="7B4C607B" w:rsidR="005A24AA" w:rsidRPr="00344CD1" w:rsidRDefault="005A24AA" w:rsidP="00D51F89">
      <w:pPr>
        <w:spacing w:after="0" w:line="240" w:lineRule="auto"/>
        <w:contextualSpacing/>
        <w:jc w:val="both"/>
        <w:rPr>
          <w:rFonts w:ascii="Cambria" w:eastAsia="Batang" w:hAnsi="Cambria" w:cs="Times New Roman"/>
          <w:color w:val="000000"/>
          <w:sz w:val="21"/>
          <w:szCs w:val="21"/>
          <w:lang w:val="es-ES"/>
        </w:rPr>
      </w:pPr>
    </w:p>
    <w:p w14:paraId="2E212F63" w14:textId="3435C167" w:rsidR="007E3281" w:rsidRPr="00344CD1" w:rsidRDefault="00591B9B"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La Comisión </w:t>
      </w:r>
      <w:r w:rsidR="005A24AA" w:rsidRPr="00344CD1">
        <w:rPr>
          <w:rFonts w:ascii="Cambria" w:eastAsia="Batang" w:hAnsi="Cambria" w:cs="Times New Roman"/>
          <w:color w:val="000000"/>
          <w:sz w:val="21"/>
          <w:szCs w:val="21"/>
          <w:lang w:val="es-ES"/>
        </w:rPr>
        <w:t>considera que los hechos</w:t>
      </w:r>
      <w:r w:rsidRPr="00344CD1">
        <w:rPr>
          <w:rFonts w:ascii="Cambria" w:eastAsia="Batang" w:hAnsi="Cambria" w:cs="Times New Roman"/>
          <w:color w:val="000000"/>
          <w:sz w:val="21"/>
          <w:szCs w:val="21"/>
          <w:lang w:val="es-ES"/>
        </w:rPr>
        <w:t xml:space="preserve"> citados</w:t>
      </w:r>
      <w:r w:rsidR="005A24AA" w:rsidRPr="00344CD1">
        <w:rPr>
          <w:rFonts w:ascii="Cambria" w:eastAsia="Batang" w:hAnsi="Cambria" w:cs="Times New Roman"/>
          <w:color w:val="000000"/>
          <w:sz w:val="21"/>
          <w:szCs w:val="21"/>
          <w:lang w:val="es-ES"/>
        </w:rPr>
        <w:t xml:space="preserve"> ilustran el nivel de riesgo enfrentado por los propuestos beneficiarios y el tipo de afectaciones cuyos derechos a la vida e integridad personal son susceptibles de sufrir. De la misma manera, la comisión de un asesinato y la presencia de hombres armados constituyen indicios adicionales sobre la intensidad de la violencia ejercida, </w:t>
      </w:r>
      <w:r w:rsidR="00D71092" w:rsidRPr="00344CD1">
        <w:rPr>
          <w:rFonts w:ascii="Cambria" w:eastAsia="Batang" w:hAnsi="Cambria" w:cs="Times New Roman"/>
          <w:color w:val="000000"/>
          <w:sz w:val="21"/>
          <w:szCs w:val="21"/>
          <w:lang w:val="es-ES"/>
        </w:rPr>
        <w:t>indicando</w:t>
      </w:r>
      <w:r w:rsidR="005A24AA" w:rsidRPr="00344CD1">
        <w:rPr>
          <w:rFonts w:ascii="Cambria" w:eastAsia="Batang" w:hAnsi="Cambria" w:cs="Times New Roman"/>
          <w:color w:val="000000"/>
          <w:sz w:val="21"/>
          <w:szCs w:val="21"/>
          <w:lang w:val="es-ES"/>
        </w:rPr>
        <w:t xml:space="preserve"> la posibilidad de que otras personas resulten igualmente agredidas. A todo ello debe sumarse la continuidad de los eventos de riesgo, pues debe apreciarse que, lejos de haber disminuido en el tiempo, estos actos se habrían vuelto a repetir de manera reciente, en tanto las medidas adoptadas por el Estado no resultarían suficientes o adecuadas</w:t>
      </w:r>
      <w:r w:rsidR="00D71092" w:rsidRPr="00344CD1">
        <w:rPr>
          <w:rFonts w:ascii="Cambria" w:eastAsia="Batang" w:hAnsi="Cambria" w:cs="Times New Roman"/>
          <w:color w:val="000000"/>
          <w:sz w:val="21"/>
          <w:szCs w:val="21"/>
          <w:lang w:val="es-ES"/>
        </w:rPr>
        <w:t xml:space="preserve"> para evitarlos</w:t>
      </w:r>
      <w:r w:rsidR="005A24AA" w:rsidRPr="00344CD1">
        <w:rPr>
          <w:rFonts w:ascii="Cambria" w:eastAsia="Batang" w:hAnsi="Cambria" w:cs="Times New Roman"/>
          <w:color w:val="000000"/>
          <w:sz w:val="21"/>
          <w:szCs w:val="21"/>
          <w:lang w:val="es-ES"/>
        </w:rPr>
        <w:t>.</w:t>
      </w:r>
    </w:p>
    <w:p w14:paraId="17C7297A" w14:textId="5CA496DD" w:rsidR="00F370E7" w:rsidRPr="00344CD1" w:rsidRDefault="00F370E7" w:rsidP="00D51F89">
      <w:pPr>
        <w:spacing w:after="0" w:line="240" w:lineRule="auto"/>
        <w:contextualSpacing/>
        <w:jc w:val="both"/>
        <w:rPr>
          <w:rFonts w:ascii="Cambria" w:eastAsia="Batang" w:hAnsi="Cambria" w:cs="Times New Roman"/>
          <w:color w:val="000000"/>
          <w:sz w:val="21"/>
          <w:szCs w:val="21"/>
          <w:lang w:val="es-ES"/>
        </w:rPr>
      </w:pPr>
    </w:p>
    <w:p w14:paraId="661D2CD0" w14:textId="52B1FCE9" w:rsidR="005A24AA" w:rsidRPr="00344CD1" w:rsidRDefault="00725F23"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La Comisión toma nota de la información aportada por e</w:t>
      </w:r>
      <w:r w:rsidR="00DF4C67" w:rsidRPr="00344CD1">
        <w:rPr>
          <w:rFonts w:ascii="Cambria" w:eastAsia="Batang" w:hAnsi="Cambria" w:cs="Times New Roman"/>
          <w:color w:val="000000"/>
          <w:sz w:val="21"/>
          <w:szCs w:val="21"/>
          <w:lang w:val="es-ES"/>
        </w:rPr>
        <w:t>l Estado</w:t>
      </w:r>
      <w:r w:rsidR="00F01FB9" w:rsidRPr="00344CD1">
        <w:rPr>
          <w:rFonts w:ascii="Cambria" w:eastAsia="Batang" w:hAnsi="Cambria" w:cs="Times New Roman"/>
          <w:color w:val="000000"/>
          <w:sz w:val="21"/>
          <w:szCs w:val="21"/>
          <w:lang w:val="es-ES"/>
        </w:rPr>
        <w:t xml:space="preserve"> y</w:t>
      </w:r>
      <w:r w:rsidRPr="00344CD1">
        <w:rPr>
          <w:rFonts w:ascii="Cambria" w:eastAsia="Batang" w:hAnsi="Cambria" w:cs="Times New Roman"/>
          <w:color w:val="000000"/>
          <w:sz w:val="21"/>
          <w:szCs w:val="21"/>
          <w:lang w:val="es-ES"/>
        </w:rPr>
        <w:t xml:space="preserve"> </w:t>
      </w:r>
      <w:r w:rsidR="00F01FB9" w:rsidRPr="00344CD1">
        <w:rPr>
          <w:rFonts w:ascii="Cambria" w:eastAsia="Batang" w:hAnsi="Cambria" w:cs="Times New Roman"/>
          <w:color w:val="000000"/>
          <w:sz w:val="21"/>
          <w:szCs w:val="21"/>
          <w:lang w:val="es-ES"/>
        </w:rPr>
        <w:t>valora el hecho de qu</w:t>
      </w:r>
      <w:r w:rsidR="001D569F" w:rsidRPr="00344CD1">
        <w:rPr>
          <w:rFonts w:ascii="Cambria" w:eastAsia="Batang" w:hAnsi="Cambria" w:cs="Times New Roman"/>
          <w:color w:val="000000"/>
          <w:sz w:val="21"/>
          <w:szCs w:val="21"/>
          <w:lang w:val="es-ES"/>
        </w:rPr>
        <w:t>e los líderes de la Comunidad</w:t>
      </w:r>
      <w:r w:rsidR="00F01FB9" w:rsidRPr="00344CD1">
        <w:rPr>
          <w:rFonts w:ascii="Cambria" w:eastAsia="Batang" w:hAnsi="Cambria" w:cs="Times New Roman"/>
          <w:color w:val="000000"/>
          <w:sz w:val="21"/>
          <w:szCs w:val="21"/>
          <w:lang w:val="es-ES"/>
        </w:rPr>
        <w:t xml:space="preserve"> formarían parte del Programa de Protección</w:t>
      </w:r>
      <w:r w:rsidR="00D71092" w:rsidRPr="00344CD1">
        <w:rPr>
          <w:rFonts w:ascii="Cambria" w:eastAsia="Batang" w:hAnsi="Cambria" w:cs="Times New Roman"/>
          <w:color w:val="000000"/>
          <w:sz w:val="21"/>
          <w:szCs w:val="21"/>
          <w:lang w:val="es-ES"/>
        </w:rPr>
        <w:t xml:space="preserve"> a Defensores</w:t>
      </w:r>
      <w:r w:rsidR="00F01FB9" w:rsidRPr="00344CD1">
        <w:rPr>
          <w:rFonts w:ascii="Cambria" w:eastAsia="Batang" w:hAnsi="Cambria" w:cs="Times New Roman"/>
          <w:color w:val="000000"/>
          <w:sz w:val="21"/>
          <w:szCs w:val="21"/>
          <w:lang w:val="es-ES"/>
        </w:rPr>
        <w:t>, así como las diferentes reuniones o contactos sostenidos entre las partes</w:t>
      </w:r>
      <w:r w:rsidR="00685828" w:rsidRPr="00344CD1">
        <w:rPr>
          <w:rFonts w:ascii="Cambria" w:eastAsia="Batang" w:hAnsi="Cambria" w:cs="Times New Roman"/>
          <w:color w:val="000000"/>
          <w:sz w:val="21"/>
          <w:szCs w:val="21"/>
        </w:rPr>
        <w:t xml:space="preserve">. </w:t>
      </w:r>
      <w:r w:rsidR="00F01FB9" w:rsidRPr="00344CD1">
        <w:rPr>
          <w:rFonts w:ascii="Cambria" w:eastAsia="Batang" w:hAnsi="Cambria" w:cs="Times New Roman"/>
          <w:color w:val="000000"/>
          <w:sz w:val="21"/>
          <w:szCs w:val="21"/>
          <w:lang w:val="es-ES"/>
        </w:rPr>
        <w:t xml:space="preserve">No obstante, la Comisión advierte que lo anterior no habría resultado suficiente para mitigar la fuente de riesgo alegada, en vista de la continuidad de los actos de hostigamiento y violencia que incluso habrían conocido un incremento en su intensidad durante determinados periodos de tiempo. </w:t>
      </w:r>
      <w:r w:rsidR="005A24AA" w:rsidRPr="00344CD1">
        <w:rPr>
          <w:rFonts w:ascii="Cambria" w:eastAsia="Batang" w:hAnsi="Cambria" w:cs="Times New Roman"/>
          <w:color w:val="000000"/>
          <w:sz w:val="21"/>
          <w:szCs w:val="21"/>
          <w:lang w:val="es-ES"/>
        </w:rPr>
        <w:t>En particular, se advierte la dificultad para implementar las medidas de protección indicadas</w:t>
      </w:r>
      <w:r w:rsidR="005A24AA" w:rsidRPr="00344CD1">
        <w:rPr>
          <w:rStyle w:val="FootnoteReference"/>
          <w:rFonts w:ascii="Cambria" w:eastAsia="Batang" w:hAnsi="Cambria" w:cs="Times New Roman"/>
          <w:color w:val="000000"/>
          <w:sz w:val="21"/>
          <w:szCs w:val="21"/>
          <w:lang w:val="es-ES"/>
        </w:rPr>
        <w:footnoteReference w:id="14"/>
      </w:r>
      <w:r w:rsidR="005A24AA" w:rsidRPr="00344CD1">
        <w:rPr>
          <w:rFonts w:ascii="Cambria" w:eastAsia="Batang" w:hAnsi="Cambria" w:cs="Times New Roman"/>
          <w:color w:val="000000"/>
          <w:sz w:val="21"/>
          <w:szCs w:val="21"/>
          <w:lang w:val="es-ES"/>
        </w:rPr>
        <w:t xml:space="preserve">, como rondines policiales efectivos, reconocida por el Estado (ver </w:t>
      </w:r>
      <w:r w:rsidR="005A24AA" w:rsidRPr="00344CD1">
        <w:rPr>
          <w:rFonts w:ascii="Cambria" w:eastAsia="Batang" w:hAnsi="Cambria" w:cs="Times New Roman"/>
          <w:i/>
          <w:color w:val="000000"/>
          <w:sz w:val="21"/>
          <w:szCs w:val="21"/>
          <w:lang w:val="es-ES"/>
        </w:rPr>
        <w:t>supra</w:t>
      </w:r>
      <w:r w:rsidR="005A24AA" w:rsidRPr="00344CD1">
        <w:rPr>
          <w:rFonts w:ascii="Cambria" w:eastAsia="Batang" w:hAnsi="Cambria" w:cs="Times New Roman"/>
          <w:color w:val="000000"/>
          <w:sz w:val="21"/>
          <w:szCs w:val="21"/>
          <w:lang w:val="es-ES"/>
        </w:rPr>
        <w:t xml:space="preserve"> párr. 1</w:t>
      </w:r>
      <w:r w:rsidR="009D781A" w:rsidRPr="00344CD1">
        <w:rPr>
          <w:rFonts w:ascii="Cambria" w:eastAsia="Batang" w:hAnsi="Cambria" w:cs="Times New Roman"/>
          <w:color w:val="000000"/>
          <w:sz w:val="21"/>
          <w:szCs w:val="21"/>
          <w:lang w:val="es-ES"/>
        </w:rPr>
        <w:t>6</w:t>
      </w:r>
      <w:r w:rsidR="00685147" w:rsidRPr="00344CD1">
        <w:rPr>
          <w:rFonts w:ascii="Cambria" w:eastAsia="Batang" w:hAnsi="Cambria" w:cs="Times New Roman"/>
          <w:color w:val="000000"/>
          <w:sz w:val="21"/>
          <w:szCs w:val="21"/>
          <w:lang w:val="es-ES"/>
        </w:rPr>
        <w:t>)</w:t>
      </w:r>
      <w:r w:rsidR="005A24AA" w:rsidRPr="00344CD1">
        <w:rPr>
          <w:rFonts w:ascii="Cambria" w:eastAsia="Batang" w:hAnsi="Cambria" w:cs="Times New Roman"/>
          <w:color w:val="000000"/>
          <w:sz w:val="21"/>
          <w:szCs w:val="21"/>
        </w:rPr>
        <w:t xml:space="preserve">. </w:t>
      </w:r>
      <w:r w:rsidR="00677E7E" w:rsidRPr="00344CD1">
        <w:rPr>
          <w:rFonts w:ascii="Cambria" w:eastAsia="Batang" w:hAnsi="Cambria" w:cs="Times New Roman"/>
          <w:color w:val="000000"/>
          <w:sz w:val="21"/>
          <w:szCs w:val="21"/>
        </w:rPr>
        <w:t xml:space="preserve">La Comisión recuerda que, para que las medidas de protección sean ser idóneas e efectivas, por su naturaleza, deben producir </w:t>
      </w:r>
      <w:r w:rsidR="00442D19" w:rsidRPr="00344CD1">
        <w:rPr>
          <w:rFonts w:ascii="Cambria" w:eastAsia="Batang" w:hAnsi="Cambria" w:cs="Times New Roman"/>
          <w:color w:val="000000"/>
          <w:sz w:val="21"/>
          <w:szCs w:val="21"/>
        </w:rPr>
        <w:t xml:space="preserve">el </w:t>
      </w:r>
      <w:r w:rsidR="00677E7E" w:rsidRPr="00344CD1">
        <w:rPr>
          <w:rFonts w:ascii="Cambria" w:eastAsia="Batang" w:hAnsi="Cambria" w:cs="Times New Roman"/>
          <w:color w:val="000000"/>
          <w:sz w:val="21"/>
          <w:szCs w:val="21"/>
        </w:rPr>
        <w:t xml:space="preserve">cese </w:t>
      </w:r>
      <w:r w:rsidR="00442D19" w:rsidRPr="00344CD1">
        <w:rPr>
          <w:rFonts w:ascii="Cambria" w:eastAsia="Batang" w:hAnsi="Cambria" w:cs="Times New Roman"/>
          <w:color w:val="000000"/>
          <w:sz w:val="21"/>
          <w:szCs w:val="21"/>
        </w:rPr>
        <w:t>d</w:t>
      </w:r>
      <w:r w:rsidR="00677E7E" w:rsidRPr="00344CD1">
        <w:rPr>
          <w:rFonts w:ascii="Cambria" w:eastAsia="Batang" w:hAnsi="Cambria" w:cs="Times New Roman"/>
          <w:color w:val="000000"/>
          <w:sz w:val="21"/>
          <w:szCs w:val="21"/>
        </w:rPr>
        <w:t>el riesgo</w:t>
      </w:r>
      <w:r w:rsidR="00442D19" w:rsidRPr="00344CD1">
        <w:rPr>
          <w:rFonts w:ascii="Cambria" w:eastAsia="Batang" w:hAnsi="Cambria" w:cs="Times New Roman"/>
          <w:color w:val="000000"/>
          <w:sz w:val="21"/>
          <w:szCs w:val="21"/>
        </w:rPr>
        <w:t xml:space="preserve"> enfrentado</w:t>
      </w:r>
      <w:r w:rsidR="00677E7E" w:rsidRPr="00344CD1">
        <w:rPr>
          <w:rFonts w:ascii="Cambria" w:eastAsia="Batang" w:hAnsi="Cambria" w:cs="Times New Roman"/>
          <w:color w:val="000000"/>
          <w:sz w:val="21"/>
          <w:szCs w:val="21"/>
          <w:vertAlign w:val="superscript"/>
        </w:rPr>
        <w:footnoteReference w:id="15"/>
      </w:r>
      <w:r w:rsidR="00677E7E" w:rsidRPr="00344CD1">
        <w:rPr>
          <w:rFonts w:ascii="Cambria" w:eastAsia="Batang" w:hAnsi="Cambria" w:cs="Times New Roman"/>
          <w:color w:val="000000"/>
          <w:sz w:val="21"/>
          <w:szCs w:val="21"/>
        </w:rPr>
        <w:t>.</w:t>
      </w:r>
    </w:p>
    <w:p w14:paraId="55C7F1BE" w14:textId="77777777" w:rsidR="005A24AA" w:rsidRPr="00344CD1" w:rsidRDefault="005A24AA" w:rsidP="00D51F89">
      <w:pPr>
        <w:spacing w:after="0" w:line="240" w:lineRule="auto"/>
        <w:contextualSpacing/>
        <w:jc w:val="both"/>
        <w:rPr>
          <w:rFonts w:ascii="Cambria" w:eastAsia="Batang" w:hAnsi="Cambria" w:cs="Times New Roman"/>
          <w:color w:val="000000"/>
          <w:sz w:val="21"/>
          <w:szCs w:val="21"/>
          <w:lang w:val="es-ES"/>
        </w:rPr>
      </w:pPr>
    </w:p>
    <w:p w14:paraId="48C62F3E" w14:textId="41F3974E" w:rsidR="00F370E7" w:rsidRPr="00344CD1" w:rsidRDefault="008F320C"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rPr>
        <w:t xml:space="preserve">Sumado a lo anterior, </w:t>
      </w:r>
      <w:r w:rsidR="005A24AA" w:rsidRPr="00344CD1">
        <w:rPr>
          <w:rFonts w:ascii="Cambria" w:eastAsia="Batang" w:hAnsi="Cambria" w:cs="Times New Roman"/>
          <w:color w:val="000000"/>
          <w:sz w:val="21"/>
          <w:szCs w:val="21"/>
        </w:rPr>
        <w:t xml:space="preserve">otro </w:t>
      </w:r>
      <w:r w:rsidR="005A24AA" w:rsidRPr="00344CD1">
        <w:rPr>
          <w:rFonts w:ascii="Cambria" w:eastAsia="Batang" w:hAnsi="Cambria" w:cs="Times New Roman"/>
          <w:color w:val="000000"/>
          <w:sz w:val="21"/>
          <w:szCs w:val="21"/>
          <w:lang w:val="es-ES"/>
        </w:rPr>
        <w:t>indicio de que las medidas implementadas pudieron carecer de idoneidad consiste en la posible participación de agentes policiales en actos de criminalización u hostilidad en contra de las personas a quienes les corresponde proteger</w:t>
      </w:r>
      <w:r w:rsidR="0083679E" w:rsidRPr="00344CD1">
        <w:rPr>
          <w:rFonts w:ascii="Cambria" w:eastAsia="Batang" w:hAnsi="Cambria" w:cs="Times New Roman"/>
          <w:color w:val="000000"/>
          <w:sz w:val="21"/>
          <w:szCs w:val="21"/>
          <w:lang w:val="es-ES"/>
        </w:rPr>
        <w:t xml:space="preserve"> (incluyendo adolescentes)</w:t>
      </w:r>
      <w:r w:rsidR="005D74E1" w:rsidRPr="00344CD1">
        <w:rPr>
          <w:rStyle w:val="FootnoteReference"/>
          <w:rFonts w:ascii="Cambria" w:eastAsia="Batang" w:hAnsi="Cambria" w:cs="Times New Roman"/>
          <w:color w:val="000000"/>
          <w:sz w:val="21"/>
          <w:szCs w:val="21"/>
          <w:lang w:val="es-ES"/>
        </w:rPr>
        <w:footnoteReference w:id="16"/>
      </w:r>
      <w:r w:rsidR="005A24AA" w:rsidRPr="00344CD1">
        <w:rPr>
          <w:rFonts w:ascii="Cambria" w:eastAsia="Batang" w:hAnsi="Cambria" w:cs="Times New Roman"/>
          <w:color w:val="000000"/>
          <w:sz w:val="21"/>
          <w:szCs w:val="21"/>
          <w:lang w:val="es-ES"/>
        </w:rPr>
        <w:t>, lo que en sí mismo influye de manera especial al momento de valorar la gravedad de la situación.</w:t>
      </w:r>
      <w:r w:rsidR="00B80F1D" w:rsidRPr="00344CD1">
        <w:rPr>
          <w:rFonts w:ascii="Cambria" w:eastAsia="Batang" w:hAnsi="Cambria" w:cs="Times New Roman"/>
          <w:color w:val="000000"/>
          <w:sz w:val="21"/>
          <w:szCs w:val="21"/>
          <w:lang w:val="es-ES"/>
        </w:rPr>
        <w:t xml:space="preserve"> Así, </w:t>
      </w:r>
      <w:r w:rsidR="00B80F1D" w:rsidRPr="00344CD1">
        <w:rPr>
          <w:rFonts w:ascii="Cambria" w:eastAsia="Batang" w:hAnsi="Cambria" w:cs="Times New Roman"/>
          <w:color w:val="000000"/>
          <w:sz w:val="21"/>
          <w:szCs w:val="21"/>
        </w:rPr>
        <w:lastRenderedPageBreak/>
        <w:t>l</w:t>
      </w:r>
      <w:r w:rsidRPr="00344CD1">
        <w:rPr>
          <w:rFonts w:ascii="Cambria" w:eastAsia="Batang" w:hAnsi="Cambria" w:cs="Times New Roman"/>
          <w:color w:val="000000"/>
          <w:sz w:val="21"/>
          <w:szCs w:val="21"/>
        </w:rPr>
        <w:t xml:space="preserve">a Comisión toma nota del alegato de los solicitantes de que tales abordajes policiales buscarían afectar a la vocera </w:t>
      </w:r>
      <w:r w:rsidRPr="00344CD1">
        <w:rPr>
          <w:rFonts w:ascii="Cambria" w:eastAsia="Batang" w:hAnsi="Cambria" w:cs="Times New Roman"/>
          <w:color w:val="000000"/>
          <w:sz w:val="21"/>
          <w:szCs w:val="21"/>
          <w:lang w:val="es-ES"/>
        </w:rPr>
        <w:t xml:space="preserve">Rose </w:t>
      </w:r>
      <w:proofErr w:type="spellStart"/>
      <w:r w:rsidRPr="00344CD1">
        <w:rPr>
          <w:rFonts w:ascii="Cambria" w:eastAsia="Batang" w:hAnsi="Cambria" w:cs="Times New Roman"/>
          <w:color w:val="000000"/>
          <w:sz w:val="21"/>
          <w:szCs w:val="21"/>
          <w:lang w:val="es-ES"/>
        </w:rPr>
        <w:t>Meire</w:t>
      </w:r>
      <w:proofErr w:type="spellEnd"/>
      <w:r w:rsidRPr="00344CD1">
        <w:rPr>
          <w:rFonts w:ascii="Cambria" w:eastAsia="Batang" w:hAnsi="Cambria" w:cs="Times New Roman"/>
          <w:color w:val="000000"/>
          <w:sz w:val="21"/>
          <w:szCs w:val="21"/>
          <w:lang w:val="es-ES"/>
        </w:rPr>
        <w:t xml:space="preserve"> Santos Silva, pues involucraría a sus familiares, y advierte su seriedad en vista de la atribución de los hechos a agentes estatales.</w:t>
      </w:r>
      <w:r w:rsidR="009E7B7C" w:rsidRPr="00344CD1">
        <w:rPr>
          <w:rFonts w:ascii="Cambria" w:eastAsia="Batang" w:hAnsi="Cambria" w:cs="Times New Roman"/>
          <w:color w:val="000000"/>
          <w:sz w:val="21"/>
          <w:szCs w:val="21"/>
          <w:lang w:val="es-ES"/>
        </w:rPr>
        <w:t xml:space="preserve"> D</w:t>
      </w:r>
      <w:r w:rsidR="005A24AA" w:rsidRPr="00344CD1">
        <w:rPr>
          <w:rFonts w:ascii="Cambria" w:eastAsia="Batang" w:hAnsi="Cambria" w:cs="Times New Roman"/>
          <w:color w:val="000000"/>
          <w:sz w:val="21"/>
          <w:szCs w:val="21"/>
          <w:lang w:val="es-ES"/>
        </w:rPr>
        <w:t>e ahí que resulta pertinente recordar el deber del Estado en proteger a las personas bajo su jurisdicción, incluso frente a actos que hubieran podido ser cometidos por sus agentes.</w:t>
      </w:r>
    </w:p>
    <w:p w14:paraId="4B338390" w14:textId="2AD6222B" w:rsidR="002047B2" w:rsidRPr="00344CD1" w:rsidRDefault="002047B2" w:rsidP="00D51F89">
      <w:pPr>
        <w:spacing w:after="0" w:line="240" w:lineRule="auto"/>
        <w:contextualSpacing/>
        <w:jc w:val="both"/>
        <w:rPr>
          <w:rFonts w:ascii="Cambria" w:eastAsia="Batang" w:hAnsi="Cambria" w:cs="Times New Roman"/>
          <w:color w:val="000000"/>
          <w:sz w:val="21"/>
          <w:szCs w:val="21"/>
          <w:lang w:val="es-ES"/>
        </w:rPr>
      </w:pPr>
    </w:p>
    <w:p w14:paraId="112A2FDA" w14:textId="05C4367D" w:rsidR="005A24AA" w:rsidRPr="00344CD1" w:rsidRDefault="005A24AA"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En lo que se refiere a la investigación de estos hechos, la Comisión observa que existe una aparente controversia en torno a la autoría del asesinato del señor José </w:t>
      </w:r>
      <w:proofErr w:type="spellStart"/>
      <w:r w:rsidRPr="00344CD1">
        <w:rPr>
          <w:rFonts w:ascii="Cambria" w:eastAsia="Batang" w:hAnsi="Cambria" w:cs="Times New Roman"/>
          <w:color w:val="000000"/>
          <w:sz w:val="21"/>
          <w:szCs w:val="21"/>
          <w:lang w:val="es-ES"/>
        </w:rPr>
        <w:t>Isídio</w:t>
      </w:r>
      <w:proofErr w:type="spellEnd"/>
      <w:r w:rsidRPr="00344CD1">
        <w:rPr>
          <w:rFonts w:ascii="Cambria" w:eastAsia="Batang" w:hAnsi="Cambria" w:cs="Times New Roman"/>
          <w:color w:val="000000"/>
          <w:sz w:val="21"/>
          <w:szCs w:val="21"/>
          <w:lang w:val="es-ES"/>
        </w:rPr>
        <w:t xml:space="preserve"> </w:t>
      </w:r>
      <w:proofErr w:type="spellStart"/>
      <w:r w:rsidRPr="00344CD1">
        <w:rPr>
          <w:rFonts w:ascii="Cambria" w:eastAsia="Batang" w:hAnsi="Cambria" w:cs="Times New Roman"/>
          <w:color w:val="000000"/>
          <w:sz w:val="21"/>
          <w:szCs w:val="21"/>
          <w:lang w:val="es-ES"/>
        </w:rPr>
        <w:t>Dias</w:t>
      </w:r>
      <w:proofErr w:type="spellEnd"/>
      <w:r w:rsidRPr="00344CD1">
        <w:rPr>
          <w:rFonts w:ascii="Cambria" w:eastAsia="Batang" w:hAnsi="Cambria" w:cs="Times New Roman"/>
          <w:color w:val="000000"/>
          <w:sz w:val="21"/>
          <w:szCs w:val="21"/>
          <w:lang w:val="es-ES"/>
        </w:rPr>
        <w:t>, cuya relevancia se relaciona directamente con la definición de las fuentes de riesgo</w:t>
      </w:r>
      <w:r w:rsidR="008A34AB" w:rsidRPr="00344CD1">
        <w:rPr>
          <w:rFonts w:ascii="Cambria" w:eastAsia="Batang" w:hAnsi="Cambria" w:cs="Times New Roman"/>
          <w:color w:val="000000"/>
          <w:sz w:val="21"/>
          <w:szCs w:val="21"/>
          <w:lang w:val="es-ES"/>
        </w:rPr>
        <w:t>. La</w:t>
      </w:r>
      <w:r w:rsidRPr="00344CD1">
        <w:rPr>
          <w:rFonts w:ascii="Cambria" w:eastAsia="Batang" w:hAnsi="Cambria" w:cs="Times New Roman"/>
          <w:color w:val="000000"/>
          <w:sz w:val="21"/>
          <w:szCs w:val="21"/>
          <w:lang w:val="es-ES"/>
        </w:rPr>
        <w:t xml:space="preserve"> determinación de la autoría </w:t>
      </w:r>
      <w:r w:rsidR="008A34AB" w:rsidRPr="00344CD1">
        <w:rPr>
          <w:rFonts w:ascii="Cambria" w:eastAsia="Batang" w:hAnsi="Cambria" w:cs="Times New Roman"/>
          <w:color w:val="000000"/>
          <w:sz w:val="21"/>
          <w:szCs w:val="21"/>
          <w:lang w:val="es-ES"/>
        </w:rPr>
        <w:t xml:space="preserve">del crimen </w:t>
      </w:r>
      <w:r w:rsidRPr="00344CD1">
        <w:rPr>
          <w:rFonts w:ascii="Cambria" w:eastAsia="Batang" w:hAnsi="Cambria" w:cs="Times New Roman"/>
          <w:color w:val="000000"/>
          <w:sz w:val="21"/>
          <w:szCs w:val="21"/>
          <w:lang w:val="es-ES"/>
        </w:rPr>
        <w:t xml:space="preserve">puede arrojar más luces sobre la intensidad de la persecución </w:t>
      </w:r>
      <w:r w:rsidR="008A34AB" w:rsidRPr="00344CD1">
        <w:rPr>
          <w:rFonts w:ascii="Cambria" w:eastAsia="Batang" w:hAnsi="Cambria" w:cs="Times New Roman"/>
          <w:color w:val="000000"/>
          <w:sz w:val="21"/>
          <w:szCs w:val="21"/>
          <w:lang w:val="es-ES"/>
        </w:rPr>
        <w:t>alegada</w:t>
      </w:r>
      <w:r w:rsidRPr="00344CD1">
        <w:rPr>
          <w:rFonts w:ascii="Cambria" w:eastAsia="Batang" w:hAnsi="Cambria" w:cs="Times New Roman"/>
          <w:color w:val="000000"/>
          <w:sz w:val="21"/>
          <w:szCs w:val="21"/>
          <w:lang w:val="es-ES"/>
        </w:rPr>
        <w:t xml:space="preserve"> por los propuestos beneficiarios, en la medida que los solicitantes la vincularon con el rol ejercido en calidad de líder comunitario</w:t>
      </w:r>
      <w:r w:rsidR="00D43277" w:rsidRPr="00344CD1">
        <w:rPr>
          <w:rFonts w:ascii="Cambria" w:eastAsia="Batang" w:hAnsi="Cambria" w:cs="Times New Roman"/>
          <w:color w:val="000000"/>
          <w:sz w:val="21"/>
          <w:szCs w:val="21"/>
          <w:lang w:val="es-ES"/>
        </w:rPr>
        <w:t xml:space="preserve"> del señor </w:t>
      </w:r>
      <w:proofErr w:type="spellStart"/>
      <w:r w:rsidR="00D43277" w:rsidRPr="00344CD1">
        <w:rPr>
          <w:rFonts w:ascii="Cambria" w:eastAsia="Batang" w:hAnsi="Cambria" w:cs="Times New Roman"/>
          <w:color w:val="000000"/>
          <w:sz w:val="21"/>
          <w:szCs w:val="21"/>
          <w:lang w:val="es-ES"/>
        </w:rPr>
        <w:t>Dias</w:t>
      </w:r>
      <w:proofErr w:type="spellEnd"/>
      <w:r w:rsidRPr="00344CD1">
        <w:rPr>
          <w:rFonts w:ascii="Cambria" w:eastAsia="Batang" w:hAnsi="Cambria" w:cs="Times New Roman"/>
          <w:color w:val="000000"/>
          <w:sz w:val="21"/>
          <w:szCs w:val="21"/>
          <w:lang w:val="es-ES"/>
        </w:rPr>
        <w:t xml:space="preserve">, mientras que el Estado apuntaría hacia un acto de violencia </w:t>
      </w:r>
      <w:r w:rsidR="00D43277" w:rsidRPr="00344CD1">
        <w:rPr>
          <w:rFonts w:ascii="Cambria" w:eastAsia="Batang" w:hAnsi="Cambria" w:cs="Times New Roman"/>
          <w:color w:val="000000"/>
          <w:sz w:val="21"/>
          <w:szCs w:val="21"/>
          <w:lang w:val="es-ES"/>
        </w:rPr>
        <w:t>común</w:t>
      </w:r>
      <w:r w:rsidRPr="00344CD1">
        <w:rPr>
          <w:rFonts w:ascii="Cambria" w:eastAsia="Batang" w:hAnsi="Cambria" w:cs="Times New Roman"/>
          <w:color w:val="000000"/>
          <w:sz w:val="21"/>
          <w:szCs w:val="21"/>
          <w:lang w:val="es-ES"/>
        </w:rPr>
        <w:t xml:space="preserve">. En relación con este punto, la Comisión recuerda que no le corresponde en esta oportunidad efectuar valoraciones sobre la debida diligencia en las investigaciones, pues ello requiere de un pronunciamiento de fondo proprio de una petición o caso. Sin perjuicio de lo anterior, recuerda </w:t>
      </w:r>
      <w:r w:rsidR="003770A4" w:rsidRPr="00344CD1">
        <w:rPr>
          <w:rFonts w:ascii="Cambria" w:eastAsia="Batang" w:hAnsi="Cambria" w:cs="Times New Roman"/>
          <w:color w:val="000000"/>
          <w:sz w:val="21"/>
          <w:szCs w:val="21"/>
          <w:lang w:val="es-ES"/>
        </w:rPr>
        <w:t xml:space="preserve">la relevancia </w:t>
      </w:r>
      <w:r w:rsidRPr="00344CD1">
        <w:rPr>
          <w:rFonts w:ascii="Cambria" w:eastAsia="Batang" w:hAnsi="Cambria" w:cs="Times New Roman"/>
          <w:color w:val="000000"/>
          <w:sz w:val="21"/>
          <w:szCs w:val="21"/>
          <w:lang w:val="es-ES"/>
        </w:rPr>
        <w:t xml:space="preserve">que tienen los procesos </w:t>
      </w:r>
      <w:r w:rsidR="003770A4" w:rsidRPr="00344CD1">
        <w:rPr>
          <w:rFonts w:ascii="Cambria" w:eastAsia="Batang" w:hAnsi="Cambria" w:cs="Times New Roman"/>
          <w:color w:val="000000"/>
          <w:sz w:val="21"/>
          <w:szCs w:val="21"/>
          <w:lang w:val="es-ES"/>
        </w:rPr>
        <w:t xml:space="preserve">investigación y determinación de responsabilidad para </w:t>
      </w:r>
      <w:r w:rsidRPr="00344CD1">
        <w:rPr>
          <w:rFonts w:ascii="Cambria" w:eastAsia="Batang" w:hAnsi="Cambria" w:cs="Times New Roman"/>
          <w:color w:val="000000"/>
          <w:sz w:val="21"/>
          <w:szCs w:val="21"/>
          <w:lang w:val="es-ES"/>
        </w:rPr>
        <w:t xml:space="preserve">la </w:t>
      </w:r>
      <w:r w:rsidR="003770A4" w:rsidRPr="00344CD1">
        <w:rPr>
          <w:rFonts w:ascii="Cambria" w:eastAsia="Batang" w:hAnsi="Cambria" w:cs="Times New Roman"/>
          <w:color w:val="000000"/>
          <w:sz w:val="21"/>
          <w:szCs w:val="21"/>
          <w:lang w:val="es-ES"/>
        </w:rPr>
        <w:t>mitigación de</w:t>
      </w:r>
      <w:r w:rsidRPr="00344CD1">
        <w:rPr>
          <w:rFonts w:ascii="Cambria" w:eastAsia="Batang" w:hAnsi="Cambria" w:cs="Times New Roman"/>
          <w:color w:val="000000"/>
          <w:sz w:val="21"/>
          <w:szCs w:val="21"/>
          <w:lang w:val="es-ES"/>
        </w:rPr>
        <w:t xml:space="preserve"> las fuentes de</w:t>
      </w:r>
      <w:r w:rsidR="003770A4" w:rsidRPr="00344CD1">
        <w:rPr>
          <w:rFonts w:ascii="Cambria" w:eastAsia="Batang" w:hAnsi="Cambria" w:cs="Times New Roman"/>
          <w:color w:val="000000"/>
          <w:sz w:val="21"/>
          <w:szCs w:val="21"/>
          <w:lang w:val="es-ES"/>
        </w:rPr>
        <w:t xml:space="preserve"> riesgo</w:t>
      </w:r>
      <w:r w:rsidRPr="00344CD1">
        <w:rPr>
          <w:vertAlign w:val="superscript"/>
          <w:lang w:val="es-ES"/>
        </w:rPr>
        <w:footnoteReference w:id="17"/>
      </w:r>
      <w:r w:rsidR="006C01D6" w:rsidRPr="00344CD1">
        <w:rPr>
          <w:rFonts w:ascii="Cambria" w:eastAsia="Batang" w:hAnsi="Cambria" w:cs="Times New Roman"/>
          <w:color w:val="000000"/>
          <w:sz w:val="21"/>
          <w:szCs w:val="21"/>
          <w:lang w:val="es-ES"/>
        </w:rPr>
        <w:t>,</w:t>
      </w:r>
      <w:r w:rsidR="002C0821" w:rsidRPr="00344CD1">
        <w:rPr>
          <w:rFonts w:ascii="Cambria" w:eastAsia="Batang" w:hAnsi="Cambria" w:cs="Times New Roman"/>
          <w:color w:val="000000"/>
          <w:sz w:val="21"/>
          <w:szCs w:val="21"/>
          <w:lang w:val="es-ES"/>
        </w:rPr>
        <w:t xml:space="preserve"> </w:t>
      </w:r>
      <w:r w:rsidR="006C01D6" w:rsidRPr="00344CD1">
        <w:rPr>
          <w:rFonts w:ascii="Cambria" w:eastAsia="Batang" w:hAnsi="Cambria" w:cs="Times New Roman"/>
          <w:color w:val="000000"/>
          <w:sz w:val="21"/>
          <w:szCs w:val="21"/>
          <w:lang w:val="es-ES"/>
        </w:rPr>
        <w:t xml:space="preserve">así como el deber del Estado de </w:t>
      </w:r>
      <w:r w:rsidR="006C01D6" w:rsidRPr="00344CD1">
        <w:rPr>
          <w:rFonts w:ascii="Cambria" w:eastAsia="Batang" w:hAnsi="Cambria" w:cs="Times New Roman"/>
          <w:color w:val="000000"/>
          <w:sz w:val="21"/>
          <w:szCs w:val="21"/>
        </w:rPr>
        <w:t>evitar omisiones en la recaudación de prueba y en el seguimiento de líneas lógicas de investigación</w:t>
      </w:r>
      <w:r w:rsidR="00F44291" w:rsidRPr="00344CD1">
        <w:rPr>
          <w:rFonts w:ascii="Cambria" w:eastAsia="Batang" w:hAnsi="Cambria" w:cs="Times New Roman"/>
          <w:color w:val="000000"/>
          <w:sz w:val="21"/>
          <w:szCs w:val="21"/>
        </w:rPr>
        <w:t xml:space="preserve">, particularmente en el contexto histórico de conflicto territorial y racismo estructural (ver </w:t>
      </w:r>
      <w:r w:rsidR="00F44291" w:rsidRPr="00344CD1">
        <w:rPr>
          <w:rFonts w:ascii="Cambria" w:eastAsia="Batang" w:hAnsi="Cambria" w:cs="Times New Roman"/>
          <w:i/>
          <w:color w:val="000000"/>
          <w:sz w:val="21"/>
          <w:szCs w:val="21"/>
        </w:rPr>
        <w:t>infra</w:t>
      </w:r>
      <w:r w:rsidR="00F44291" w:rsidRPr="00344CD1">
        <w:rPr>
          <w:rFonts w:ascii="Cambria" w:eastAsia="Batang" w:hAnsi="Cambria" w:cs="Times New Roman"/>
          <w:color w:val="000000"/>
          <w:sz w:val="21"/>
          <w:szCs w:val="21"/>
        </w:rPr>
        <w:t xml:space="preserve"> párr. 5</w:t>
      </w:r>
      <w:r w:rsidR="00F9627C" w:rsidRPr="00344CD1">
        <w:rPr>
          <w:rFonts w:ascii="Cambria" w:eastAsia="Batang" w:hAnsi="Cambria" w:cs="Times New Roman"/>
          <w:color w:val="000000"/>
          <w:sz w:val="21"/>
          <w:szCs w:val="21"/>
        </w:rPr>
        <w:t>5</w:t>
      </w:r>
      <w:r w:rsidR="00F44291" w:rsidRPr="00344CD1">
        <w:rPr>
          <w:rFonts w:ascii="Cambria" w:eastAsia="Batang" w:hAnsi="Cambria" w:cs="Times New Roman"/>
          <w:color w:val="000000"/>
          <w:sz w:val="21"/>
          <w:szCs w:val="21"/>
        </w:rPr>
        <w:t>)</w:t>
      </w:r>
      <w:r w:rsidR="00F44291" w:rsidRPr="00344CD1">
        <w:rPr>
          <w:rStyle w:val="FootnoteReference"/>
          <w:rFonts w:ascii="Cambria" w:eastAsia="Batang" w:hAnsi="Cambria" w:cs="Times New Roman"/>
          <w:color w:val="000000"/>
          <w:sz w:val="21"/>
          <w:szCs w:val="21"/>
        </w:rPr>
        <w:footnoteReference w:id="18"/>
      </w:r>
      <w:r w:rsidR="00F44291" w:rsidRPr="00344CD1">
        <w:rPr>
          <w:rFonts w:ascii="Cambria" w:eastAsia="Batang" w:hAnsi="Cambria" w:cs="Times New Roman"/>
          <w:color w:val="000000"/>
          <w:sz w:val="21"/>
          <w:szCs w:val="21"/>
        </w:rPr>
        <w:t>.</w:t>
      </w:r>
    </w:p>
    <w:p w14:paraId="0131B0F5" w14:textId="77777777" w:rsidR="00512CB0" w:rsidRPr="00344CD1" w:rsidRDefault="00512CB0" w:rsidP="00D51F89">
      <w:pPr>
        <w:spacing w:after="0" w:line="240" w:lineRule="auto"/>
        <w:ind w:left="360"/>
        <w:contextualSpacing/>
        <w:jc w:val="both"/>
        <w:rPr>
          <w:rFonts w:ascii="Cambria" w:eastAsia="Batang" w:hAnsi="Cambria" w:cs="Times New Roman"/>
          <w:color w:val="000000"/>
          <w:sz w:val="21"/>
          <w:szCs w:val="21"/>
          <w:lang w:val="es-ES"/>
        </w:rPr>
      </w:pPr>
    </w:p>
    <w:p w14:paraId="4E2B28BE" w14:textId="5EB20701" w:rsidR="00495619" w:rsidRPr="00344CD1" w:rsidRDefault="005A24AA"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En estas circunstancias, la Comisión advierte que, </w:t>
      </w:r>
      <w:r w:rsidR="00A86D51" w:rsidRPr="00344CD1">
        <w:rPr>
          <w:rFonts w:ascii="Cambria" w:eastAsia="Batang" w:hAnsi="Cambria" w:cs="Times New Roman"/>
          <w:color w:val="000000"/>
          <w:sz w:val="21"/>
          <w:szCs w:val="21"/>
        </w:rPr>
        <w:t xml:space="preserve">con relación a las investigaciones de los </w:t>
      </w:r>
      <w:r w:rsidR="00A86D51" w:rsidRPr="00344CD1">
        <w:rPr>
          <w:rFonts w:ascii="Cambria" w:eastAsia="Batang" w:hAnsi="Cambria" w:cs="Times New Roman"/>
          <w:color w:val="000000"/>
          <w:sz w:val="21"/>
          <w:szCs w:val="21"/>
          <w:lang w:val="es-ES"/>
        </w:rPr>
        <w:t>recientes</w:t>
      </w:r>
      <w:r w:rsidR="00A86D51" w:rsidRPr="00344CD1">
        <w:rPr>
          <w:rFonts w:ascii="Cambria" w:eastAsia="Batang" w:hAnsi="Cambria" w:cs="Times New Roman"/>
          <w:color w:val="000000"/>
          <w:sz w:val="21"/>
          <w:szCs w:val="21"/>
        </w:rPr>
        <w:t xml:space="preserve"> eventos de riesgo alegados, el Estado se restringió a indicar que “las diligencias aún se </w:t>
      </w:r>
      <w:r w:rsidR="00A86D51" w:rsidRPr="00344CD1">
        <w:rPr>
          <w:rFonts w:ascii="Cambria" w:eastAsia="Batang" w:hAnsi="Cambria" w:cs="Times New Roman"/>
          <w:color w:val="000000"/>
          <w:sz w:val="21"/>
          <w:szCs w:val="21"/>
          <w:lang w:val="es-ES"/>
        </w:rPr>
        <w:t>encuentran</w:t>
      </w:r>
      <w:r w:rsidR="00A86D51" w:rsidRPr="00344CD1">
        <w:rPr>
          <w:rFonts w:ascii="Cambria" w:eastAsia="Batang" w:hAnsi="Cambria" w:cs="Times New Roman"/>
          <w:color w:val="000000"/>
          <w:sz w:val="21"/>
          <w:szCs w:val="21"/>
        </w:rPr>
        <w:t xml:space="preserve"> en </w:t>
      </w:r>
      <w:r w:rsidR="002C0821" w:rsidRPr="00344CD1">
        <w:rPr>
          <w:rFonts w:ascii="Cambria" w:eastAsia="Batang" w:hAnsi="Cambria" w:cs="Times New Roman"/>
          <w:color w:val="000000"/>
          <w:sz w:val="21"/>
          <w:szCs w:val="21"/>
        </w:rPr>
        <w:t>andamiento”</w:t>
      </w:r>
      <w:r w:rsidR="00D65163" w:rsidRPr="00344CD1">
        <w:rPr>
          <w:rFonts w:ascii="Cambria" w:eastAsia="Batang" w:hAnsi="Cambria" w:cs="Times New Roman"/>
          <w:color w:val="000000"/>
          <w:sz w:val="21"/>
          <w:szCs w:val="21"/>
        </w:rPr>
        <w:t xml:space="preserve">. </w:t>
      </w:r>
      <w:r w:rsidRPr="00344CD1">
        <w:rPr>
          <w:rFonts w:ascii="Cambria" w:eastAsia="Batang" w:hAnsi="Cambria" w:cs="Times New Roman"/>
          <w:color w:val="000000"/>
          <w:sz w:val="21"/>
          <w:szCs w:val="21"/>
          <w:lang w:val="es-ES"/>
        </w:rPr>
        <w:t>De la misma forma,</w:t>
      </w:r>
      <w:r w:rsidR="00531FEB" w:rsidRPr="00344CD1">
        <w:rPr>
          <w:rFonts w:ascii="Cambria" w:eastAsia="Batang" w:hAnsi="Cambria" w:cs="Times New Roman"/>
          <w:color w:val="000000"/>
          <w:sz w:val="21"/>
          <w:szCs w:val="21"/>
          <w:lang w:val="es-ES"/>
        </w:rPr>
        <w:t xml:space="preserve"> </w:t>
      </w:r>
      <w:r w:rsidRPr="00344CD1">
        <w:rPr>
          <w:rFonts w:ascii="Cambria" w:eastAsia="Batang" w:hAnsi="Cambria" w:cs="Times New Roman"/>
          <w:color w:val="000000"/>
          <w:sz w:val="21"/>
          <w:szCs w:val="21"/>
          <w:lang w:val="es-ES"/>
        </w:rPr>
        <w:t>t</w:t>
      </w:r>
      <w:r w:rsidR="00531FEB" w:rsidRPr="00344CD1">
        <w:rPr>
          <w:rFonts w:ascii="Cambria" w:eastAsia="Batang" w:hAnsi="Cambria" w:cs="Times New Roman"/>
          <w:color w:val="000000"/>
          <w:sz w:val="21"/>
          <w:szCs w:val="21"/>
          <w:lang w:val="es-ES"/>
        </w:rPr>
        <w:t>ampoco se aportó información detallada, como</w:t>
      </w:r>
      <w:r w:rsidRPr="00344CD1">
        <w:rPr>
          <w:rFonts w:ascii="Cambria" w:eastAsia="Batang" w:hAnsi="Cambria" w:cs="Times New Roman"/>
          <w:color w:val="000000"/>
          <w:sz w:val="21"/>
          <w:szCs w:val="21"/>
          <w:lang w:val="es-ES"/>
        </w:rPr>
        <w:t xml:space="preserve"> los </w:t>
      </w:r>
      <w:r w:rsidR="00531FEB" w:rsidRPr="00344CD1">
        <w:rPr>
          <w:rFonts w:ascii="Cambria" w:eastAsia="Batang" w:hAnsi="Cambria" w:cs="Times New Roman"/>
          <w:color w:val="000000"/>
          <w:sz w:val="21"/>
          <w:szCs w:val="21"/>
          <w:lang w:val="es-ES"/>
        </w:rPr>
        <w:t>resultado</w:t>
      </w:r>
      <w:r w:rsidR="00840933" w:rsidRPr="00344CD1">
        <w:rPr>
          <w:rFonts w:ascii="Cambria" w:eastAsia="Batang" w:hAnsi="Cambria" w:cs="Times New Roman"/>
          <w:color w:val="000000"/>
          <w:sz w:val="21"/>
          <w:szCs w:val="21"/>
          <w:lang w:val="es-ES"/>
        </w:rPr>
        <w:t>s</w:t>
      </w:r>
      <w:r w:rsidR="00531FEB" w:rsidRPr="00344CD1">
        <w:rPr>
          <w:rFonts w:ascii="Cambria" w:eastAsia="Batang" w:hAnsi="Cambria" w:cs="Times New Roman"/>
          <w:color w:val="000000"/>
          <w:sz w:val="21"/>
          <w:szCs w:val="21"/>
          <w:lang w:val="es-ES"/>
        </w:rPr>
        <w:t xml:space="preserve"> d</w:t>
      </w:r>
      <w:r w:rsidR="003B36F9" w:rsidRPr="00344CD1">
        <w:rPr>
          <w:rFonts w:ascii="Cambria" w:eastAsia="Batang" w:hAnsi="Cambria" w:cs="Times New Roman"/>
          <w:color w:val="000000"/>
          <w:sz w:val="21"/>
          <w:szCs w:val="21"/>
          <w:lang w:val="es-ES"/>
        </w:rPr>
        <w:t>e</w:t>
      </w:r>
      <w:r w:rsidR="00531FEB" w:rsidRPr="00344CD1">
        <w:rPr>
          <w:rFonts w:ascii="Cambria" w:eastAsia="Batang" w:hAnsi="Cambria" w:cs="Times New Roman"/>
          <w:color w:val="000000"/>
          <w:sz w:val="21"/>
          <w:szCs w:val="21"/>
          <w:lang w:val="es-ES"/>
        </w:rPr>
        <w:t xml:space="preserve"> investigaciones </w:t>
      </w:r>
      <w:r w:rsidR="00892B97" w:rsidRPr="00344CD1">
        <w:rPr>
          <w:rFonts w:ascii="Cambria" w:eastAsia="Batang" w:hAnsi="Cambria" w:cs="Times New Roman"/>
          <w:color w:val="000000"/>
          <w:sz w:val="21"/>
          <w:szCs w:val="21"/>
          <w:lang w:val="es-ES"/>
        </w:rPr>
        <w:t>o</w:t>
      </w:r>
      <w:r w:rsidRPr="00344CD1">
        <w:rPr>
          <w:rFonts w:ascii="Cambria" w:eastAsia="Batang" w:hAnsi="Cambria" w:cs="Times New Roman"/>
          <w:color w:val="000000"/>
          <w:sz w:val="21"/>
          <w:szCs w:val="21"/>
          <w:lang w:val="es-ES"/>
        </w:rPr>
        <w:t xml:space="preserve"> posible </w:t>
      </w:r>
      <w:r w:rsidR="00892B97" w:rsidRPr="00344CD1">
        <w:rPr>
          <w:rFonts w:ascii="Cambria" w:eastAsia="Batang" w:hAnsi="Cambria" w:cs="Times New Roman"/>
          <w:color w:val="000000"/>
          <w:sz w:val="21"/>
          <w:szCs w:val="21"/>
          <w:lang w:val="es-ES"/>
        </w:rPr>
        <w:t>proceso judicial</w:t>
      </w:r>
      <w:r w:rsidRPr="00344CD1">
        <w:rPr>
          <w:rFonts w:ascii="Cambria" w:eastAsia="Batang" w:hAnsi="Cambria" w:cs="Times New Roman"/>
          <w:color w:val="000000"/>
          <w:sz w:val="21"/>
          <w:szCs w:val="21"/>
          <w:lang w:val="es-ES"/>
        </w:rPr>
        <w:t xml:space="preserve"> </w:t>
      </w:r>
      <w:r w:rsidR="001846F5" w:rsidRPr="00344CD1">
        <w:rPr>
          <w:rFonts w:ascii="Cambria" w:eastAsia="Batang" w:hAnsi="Cambria" w:cs="Times New Roman"/>
          <w:color w:val="000000"/>
          <w:sz w:val="21"/>
          <w:szCs w:val="21"/>
          <w:lang w:val="es-ES"/>
        </w:rPr>
        <w:t xml:space="preserve">(ver </w:t>
      </w:r>
      <w:r w:rsidR="001846F5" w:rsidRPr="00344CD1">
        <w:rPr>
          <w:rFonts w:ascii="Cambria" w:eastAsia="Batang" w:hAnsi="Cambria" w:cs="Times New Roman"/>
          <w:i/>
          <w:color w:val="000000"/>
          <w:sz w:val="21"/>
          <w:szCs w:val="21"/>
          <w:lang w:val="es-ES"/>
        </w:rPr>
        <w:t>supra</w:t>
      </w:r>
      <w:r w:rsidR="001846F5" w:rsidRPr="00344CD1">
        <w:rPr>
          <w:rFonts w:ascii="Cambria" w:eastAsia="Batang" w:hAnsi="Cambria" w:cs="Times New Roman"/>
          <w:color w:val="000000"/>
          <w:sz w:val="21"/>
          <w:szCs w:val="21"/>
          <w:lang w:val="es-ES"/>
        </w:rPr>
        <w:t xml:space="preserve"> </w:t>
      </w:r>
      <w:r w:rsidR="003B36F9" w:rsidRPr="00344CD1">
        <w:rPr>
          <w:rFonts w:ascii="Cambria" w:eastAsia="Batang" w:hAnsi="Cambria" w:cs="Times New Roman"/>
          <w:color w:val="000000"/>
          <w:sz w:val="21"/>
          <w:szCs w:val="21"/>
          <w:lang w:val="es-ES"/>
        </w:rPr>
        <w:t>párr.</w:t>
      </w:r>
      <w:r w:rsidR="001846F5" w:rsidRPr="00344CD1">
        <w:rPr>
          <w:rFonts w:ascii="Cambria" w:eastAsia="Batang" w:hAnsi="Cambria" w:cs="Times New Roman"/>
          <w:color w:val="000000"/>
          <w:sz w:val="21"/>
          <w:szCs w:val="21"/>
          <w:lang w:val="es-ES"/>
        </w:rPr>
        <w:t xml:space="preserve"> </w:t>
      </w:r>
      <w:r w:rsidR="00BC3ED9" w:rsidRPr="00344CD1">
        <w:rPr>
          <w:rFonts w:ascii="Cambria" w:eastAsia="Batang" w:hAnsi="Cambria" w:cs="Times New Roman"/>
          <w:color w:val="000000"/>
          <w:sz w:val="21"/>
          <w:szCs w:val="21"/>
          <w:lang w:val="es-ES"/>
        </w:rPr>
        <w:t>1</w:t>
      </w:r>
      <w:r w:rsidR="009D781A" w:rsidRPr="00344CD1">
        <w:rPr>
          <w:rFonts w:ascii="Cambria" w:eastAsia="Batang" w:hAnsi="Cambria" w:cs="Times New Roman"/>
          <w:color w:val="000000"/>
          <w:sz w:val="21"/>
          <w:szCs w:val="21"/>
          <w:lang w:val="es-ES"/>
        </w:rPr>
        <w:t>1</w:t>
      </w:r>
      <w:r w:rsidR="001846F5" w:rsidRPr="00344CD1">
        <w:rPr>
          <w:rFonts w:ascii="Cambria" w:eastAsia="Batang" w:hAnsi="Cambria" w:cs="Times New Roman"/>
          <w:color w:val="000000"/>
          <w:sz w:val="21"/>
          <w:szCs w:val="21"/>
          <w:lang w:val="es-ES"/>
        </w:rPr>
        <w:t xml:space="preserve">), </w:t>
      </w:r>
      <w:r w:rsidRPr="00344CD1">
        <w:rPr>
          <w:rFonts w:ascii="Cambria" w:eastAsia="Batang" w:hAnsi="Cambria" w:cs="Times New Roman"/>
          <w:color w:val="000000"/>
          <w:sz w:val="21"/>
          <w:szCs w:val="21"/>
          <w:lang w:val="es-ES"/>
        </w:rPr>
        <w:t xml:space="preserve">limitándose a afirmar </w:t>
      </w:r>
      <w:r w:rsidR="001846F5" w:rsidRPr="00344CD1">
        <w:rPr>
          <w:rFonts w:ascii="Cambria" w:eastAsia="Batang" w:hAnsi="Cambria" w:cs="Times New Roman"/>
          <w:color w:val="000000"/>
          <w:sz w:val="21"/>
          <w:szCs w:val="21"/>
          <w:lang w:val="es-ES"/>
        </w:rPr>
        <w:t xml:space="preserve">que </w:t>
      </w:r>
      <w:r w:rsidR="009D6E9A" w:rsidRPr="00344CD1">
        <w:rPr>
          <w:rFonts w:ascii="Cambria" w:eastAsia="Batang" w:hAnsi="Cambria" w:cs="Times New Roman"/>
          <w:color w:val="000000"/>
          <w:sz w:val="21"/>
          <w:szCs w:val="21"/>
          <w:lang w:val="es-ES"/>
        </w:rPr>
        <w:t>ciertos</w:t>
      </w:r>
      <w:r w:rsidR="001846F5" w:rsidRPr="00344CD1">
        <w:rPr>
          <w:rFonts w:ascii="Cambria" w:eastAsia="Batang" w:hAnsi="Cambria" w:cs="Times New Roman"/>
          <w:color w:val="000000"/>
          <w:sz w:val="21"/>
          <w:szCs w:val="21"/>
          <w:lang w:val="es-ES"/>
        </w:rPr>
        <w:t xml:space="preserve"> alegatos</w:t>
      </w:r>
      <w:r w:rsidR="009D6E9A" w:rsidRPr="00344CD1">
        <w:rPr>
          <w:rFonts w:ascii="Cambria" w:eastAsia="Batang" w:hAnsi="Cambria" w:cs="Times New Roman"/>
          <w:color w:val="000000"/>
          <w:sz w:val="21"/>
          <w:szCs w:val="21"/>
          <w:lang w:val="es-ES"/>
        </w:rPr>
        <w:t xml:space="preserve"> de los solicitantes</w:t>
      </w:r>
      <w:r w:rsidR="001846F5" w:rsidRPr="00344CD1">
        <w:rPr>
          <w:rFonts w:ascii="Cambria" w:eastAsia="Batang" w:hAnsi="Cambria" w:cs="Times New Roman"/>
          <w:color w:val="000000"/>
          <w:sz w:val="21"/>
          <w:szCs w:val="21"/>
          <w:lang w:val="es-ES"/>
        </w:rPr>
        <w:t xml:space="preserve"> </w:t>
      </w:r>
      <w:r w:rsidRPr="00344CD1">
        <w:rPr>
          <w:rFonts w:ascii="Cambria" w:eastAsia="Batang" w:hAnsi="Cambria" w:cs="Times New Roman"/>
          <w:color w:val="000000"/>
          <w:sz w:val="21"/>
          <w:szCs w:val="21"/>
          <w:lang w:val="es-ES"/>
        </w:rPr>
        <w:t xml:space="preserve">eran </w:t>
      </w:r>
      <w:r w:rsidR="001846F5" w:rsidRPr="00344CD1">
        <w:rPr>
          <w:rFonts w:ascii="Cambria" w:eastAsia="Batang" w:hAnsi="Cambria" w:cs="Times New Roman"/>
          <w:color w:val="000000"/>
          <w:sz w:val="21"/>
          <w:szCs w:val="21"/>
          <w:lang w:val="es-ES"/>
        </w:rPr>
        <w:t>“falsos”</w:t>
      </w:r>
      <w:r w:rsidR="002C0821" w:rsidRPr="00344CD1">
        <w:rPr>
          <w:rFonts w:ascii="Cambria" w:eastAsia="Batang" w:hAnsi="Cambria" w:cs="Times New Roman"/>
          <w:color w:val="000000"/>
          <w:sz w:val="21"/>
          <w:szCs w:val="21"/>
          <w:lang w:val="es-ES"/>
        </w:rPr>
        <w:t xml:space="preserve">, a pesar de que los eventos de riesgo habrían tenido lugar de manera continuada a lo largo de </w:t>
      </w:r>
      <w:r w:rsidR="00892B97" w:rsidRPr="00344CD1">
        <w:rPr>
          <w:rFonts w:ascii="Cambria" w:eastAsia="Batang" w:hAnsi="Cambria" w:cs="Times New Roman"/>
          <w:color w:val="000000"/>
          <w:sz w:val="21"/>
          <w:szCs w:val="21"/>
          <w:lang w:val="es-ES"/>
        </w:rPr>
        <w:t>los</w:t>
      </w:r>
      <w:r w:rsidR="002C0821" w:rsidRPr="00344CD1">
        <w:rPr>
          <w:rFonts w:ascii="Cambria" w:eastAsia="Batang" w:hAnsi="Cambria" w:cs="Times New Roman"/>
          <w:color w:val="000000"/>
          <w:sz w:val="21"/>
          <w:szCs w:val="21"/>
          <w:lang w:val="es-ES"/>
        </w:rPr>
        <w:t xml:space="preserve"> años</w:t>
      </w:r>
      <w:r w:rsidR="001846F5" w:rsidRPr="00344CD1">
        <w:rPr>
          <w:rFonts w:ascii="Cambria" w:eastAsia="Batang" w:hAnsi="Cambria" w:cs="Times New Roman"/>
          <w:color w:val="000000"/>
          <w:sz w:val="21"/>
          <w:szCs w:val="21"/>
          <w:lang w:val="es-ES"/>
        </w:rPr>
        <w:t>.</w:t>
      </w:r>
      <w:r w:rsidR="00531FEB" w:rsidRPr="00344CD1">
        <w:rPr>
          <w:rFonts w:ascii="Cambria" w:eastAsia="Batang" w:hAnsi="Cambria" w:cs="Times New Roman"/>
          <w:color w:val="000000"/>
          <w:sz w:val="21"/>
          <w:szCs w:val="21"/>
          <w:lang w:val="es-ES"/>
        </w:rPr>
        <w:t xml:space="preserve"> </w:t>
      </w:r>
    </w:p>
    <w:p w14:paraId="6C434248" w14:textId="77777777" w:rsidR="005A24AA" w:rsidRPr="00344CD1" w:rsidRDefault="005A24AA" w:rsidP="00D51F89">
      <w:pPr>
        <w:spacing w:after="0" w:line="240" w:lineRule="auto"/>
        <w:ind w:left="360"/>
        <w:contextualSpacing/>
        <w:jc w:val="both"/>
        <w:rPr>
          <w:rFonts w:ascii="Cambria" w:eastAsia="Batang" w:hAnsi="Cambria" w:cs="Times New Roman"/>
          <w:color w:val="000000"/>
          <w:sz w:val="21"/>
          <w:szCs w:val="21"/>
          <w:lang w:val="es-ES"/>
        </w:rPr>
      </w:pPr>
    </w:p>
    <w:p w14:paraId="2F7E851A" w14:textId="3FD196D4" w:rsidR="005A24AA" w:rsidRPr="00344CD1" w:rsidRDefault="00674B22"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En línea con lo anterior, p</w:t>
      </w:r>
      <w:r w:rsidR="005A24AA" w:rsidRPr="00344CD1">
        <w:rPr>
          <w:rFonts w:ascii="Cambria" w:eastAsia="Batang" w:hAnsi="Cambria" w:cs="Times New Roman"/>
          <w:color w:val="000000"/>
          <w:sz w:val="21"/>
          <w:szCs w:val="21"/>
          <w:lang w:val="es-ES"/>
        </w:rPr>
        <w:t>articular relevancia adquiere lo manifestado por el Estado, en el sentido de que los propuestos beneficiarios no habrían acudido a las instancias internas pertinentes para denunciar los hechos o requerir medidas de protección correspondientes. En relación con este punto, la Comisión recuerda que, de conformidad con lo establecido por la Corte Interamericana</w:t>
      </w:r>
      <w:r w:rsidRPr="00344CD1">
        <w:rPr>
          <w:rFonts w:ascii="Cambria" w:eastAsia="Batang" w:hAnsi="Cambria" w:cs="Times New Roman"/>
          <w:color w:val="000000"/>
          <w:sz w:val="21"/>
          <w:szCs w:val="21"/>
          <w:lang w:val="es-ES"/>
        </w:rPr>
        <w:t>,</w:t>
      </w:r>
    </w:p>
    <w:p w14:paraId="12F0EAFE" w14:textId="27BD82B0" w:rsidR="005A24AA" w:rsidRPr="00344CD1" w:rsidRDefault="005A24AA" w:rsidP="00D51F89">
      <w:pPr>
        <w:spacing w:after="0" w:line="240" w:lineRule="auto"/>
        <w:contextualSpacing/>
        <w:jc w:val="both"/>
        <w:rPr>
          <w:rFonts w:ascii="Cambria" w:eastAsia="Batang" w:hAnsi="Cambria" w:cs="Times New Roman"/>
          <w:color w:val="000000"/>
          <w:sz w:val="21"/>
          <w:szCs w:val="21"/>
          <w:lang w:val="es-ES"/>
        </w:rPr>
      </w:pPr>
    </w:p>
    <w:p w14:paraId="0A7A3811" w14:textId="39DD9140" w:rsidR="005A24AA" w:rsidRPr="00344CD1" w:rsidRDefault="005A24AA" w:rsidP="00D51F89">
      <w:pPr>
        <w:spacing w:after="0" w:line="240" w:lineRule="auto"/>
        <w:ind w:left="720" w:right="720"/>
        <w:contextualSpacing/>
        <w:jc w:val="both"/>
        <w:rPr>
          <w:rFonts w:ascii="Cambria" w:eastAsia="Batang" w:hAnsi="Cambria" w:cs="Times New Roman"/>
          <w:color w:val="000000"/>
          <w:szCs w:val="21"/>
          <w:lang w:val="es-ES"/>
        </w:rPr>
      </w:pPr>
      <w:r w:rsidRPr="00344CD1">
        <w:rPr>
          <w:rFonts w:ascii="Cambria" w:hAnsi="Cambria" w:cstheme="majorHAnsi"/>
          <w:sz w:val="18"/>
          <w:szCs w:val="16"/>
        </w:rPr>
        <w:t>[…] corresponde a las autoridades estatales que toman conocimiento de una situación de riesgo especial identificar o valorar si la persona objeto de amenazas y hostigamientos requiere de medidas de protección o remitir el asunto a la autoridad competente para hacerlo, así como ofrecer a la persona en riesgo información oportuna sobre las medidas disponibles. La valoración sobre si una persona requiere medidas de protección y cuáles son las medidas adecuadas es una obligación que corresponde al Estado y no puede restringirse a que la propia víctima lo solicite a ‘las autoridades competentes’, ni que conozca con exactitud cuál es la autoridad en mejor capacidad de atender su situación, ya que corresponde al Estado establecer medidas de coordinación entre sus entidades y funcionarios para tal fin</w:t>
      </w:r>
      <w:r w:rsidRPr="00344CD1">
        <w:rPr>
          <w:rStyle w:val="FootnoteReference"/>
          <w:rFonts w:ascii="Cambria" w:hAnsi="Cambria" w:cstheme="majorHAnsi"/>
          <w:sz w:val="18"/>
          <w:szCs w:val="16"/>
        </w:rPr>
        <w:footnoteReference w:id="19"/>
      </w:r>
      <w:r w:rsidRPr="00344CD1">
        <w:rPr>
          <w:rFonts w:ascii="Cambria" w:hAnsi="Cambria" w:cstheme="majorHAnsi"/>
          <w:sz w:val="18"/>
          <w:szCs w:val="16"/>
        </w:rPr>
        <w:t>.</w:t>
      </w:r>
    </w:p>
    <w:p w14:paraId="0AD62829" w14:textId="1E5D6FDF" w:rsidR="00495619" w:rsidRPr="00344CD1" w:rsidRDefault="00495619" w:rsidP="00D51F89">
      <w:pPr>
        <w:spacing w:after="0" w:line="240" w:lineRule="auto"/>
        <w:contextualSpacing/>
        <w:jc w:val="both"/>
        <w:rPr>
          <w:rFonts w:ascii="Cambria" w:eastAsia="Batang" w:hAnsi="Cambria" w:cs="Times New Roman"/>
          <w:color w:val="000000"/>
          <w:sz w:val="21"/>
          <w:szCs w:val="21"/>
          <w:lang w:val="es-ES"/>
        </w:rPr>
      </w:pPr>
    </w:p>
    <w:p w14:paraId="173BEDB8" w14:textId="7A84C0D4" w:rsidR="00674B22" w:rsidRPr="00344CD1" w:rsidRDefault="00B96C2B"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rPr>
        <w:t xml:space="preserve">Considerando lo expuesto, </w:t>
      </w:r>
      <w:r w:rsidR="00B41221" w:rsidRPr="00344CD1">
        <w:rPr>
          <w:rFonts w:ascii="Cambria" w:eastAsia="Batang" w:hAnsi="Cambria" w:cs="Times New Roman"/>
          <w:color w:val="000000"/>
          <w:sz w:val="21"/>
          <w:szCs w:val="21"/>
          <w:lang w:val="es-ES"/>
        </w:rPr>
        <w:t>la Comisión advierte que la respuesta del Estado no resulta en principio suficiente para desvirtuar el alegato de que l</w:t>
      </w:r>
      <w:r w:rsidRPr="00344CD1">
        <w:rPr>
          <w:rFonts w:ascii="Cambria" w:eastAsia="Batang" w:hAnsi="Cambria" w:cs="Times New Roman"/>
          <w:color w:val="000000"/>
          <w:sz w:val="21"/>
          <w:szCs w:val="21"/>
          <w:lang w:val="es-ES"/>
        </w:rPr>
        <w:t>as personas propuesta</w:t>
      </w:r>
      <w:r w:rsidR="00B41221" w:rsidRPr="00344CD1">
        <w:rPr>
          <w:rFonts w:ascii="Cambria" w:eastAsia="Batang" w:hAnsi="Cambria" w:cs="Times New Roman"/>
          <w:color w:val="000000"/>
          <w:sz w:val="21"/>
          <w:szCs w:val="21"/>
          <w:lang w:val="es-ES"/>
        </w:rPr>
        <w:t xml:space="preserve">s </w:t>
      </w:r>
      <w:r w:rsidRPr="00344CD1">
        <w:rPr>
          <w:rFonts w:ascii="Cambria" w:eastAsia="Batang" w:hAnsi="Cambria" w:cs="Times New Roman"/>
          <w:color w:val="000000"/>
          <w:sz w:val="21"/>
          <w:szCs w:val="21"/>
          <w:lang w:val="es-ES"/>
        </w:rPr>
        <w:t>como beneficiarias se hallan ante una situación de gravedad.</w:t>
      </w:r>
    </w:p>
    <w:p w14:paraId="51E68777" w14:textId="31036ECF" w:rsidR="0001572C" w:rsidRPr="00344CD1" w:rsidRDefault="0001572C" w:rsidP="00D51F89">
      <w:pPr>
        <w:spacing w:after="0" w:line="240" w:lineRule="auto"/>
        <w:contextualSpacing/>
        <w:jc w:val="both"/>
        <w:rPr>
          <w:rFonts w:ascii="Cambria" w:eastAsia="Batang" w:hAnsi="Cambria" w:cs="Times New Roman"/>
          <w:color w:val="000000"/>
          <w:sz w:val="21"/>
          <w:szCs w:val="21"/>
          <w:lang w:val="es-ES"/>
        </w:rPr>
      </w:pPr>
    </w:p>
    <w:p w14:paraId="6BBECA19" w14:textId="6DC7F6E4" w:rsidR="0001572C" w:rsidRPr="00344CD1" w:rsidRDefault="0001572C"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En vista de lo anterior, la Comisión concluye que, desde el estándar </w:t>
      </w:r>
      <w:r w:rsidRPr="00344CD1">
        <w:rPr>
          <w:rFonts w:ascii="Cambria" w:eastAsia="Batang" w:hAnsi="Cambria" w:cs="Times New Roman"/>
          <w:i/>
          <w:color w:val="000000"/>
          <w:sz w:val="21"/>
          <w:szCs w:val="21"/>
          <w:lang w:val="es-ES"/>
        </w:rPr>
        <w:t>prima facie</w:t>
      </w:r>
      <w:r w:rsidRPr="00344CD1">
        <w:rPr>
          <w:rFonts w:ascii="Cambria" w:eastAsia="Batang" w:hAnsi="Cambria" w:cs="Times New Roman"/>
          <w:color w:val="000000"/>
          <w:sz w:val="21"/>
          <w:szCs w:val="21"/>
          <w:lang w:val="es-ES"/>
        </w:rPr>
        <w:t>, los derechos a la vida e integridad personal de los miembros de la Comunidad Remanentes del Quilombo Rio dos Macacos se encuentran en una situación de grave riesgo.</w:t>
      </w:r>
    </w:p>
    <w:p w14:paraId="2561EADC" w14:textId="150F9E6F" w:rsidR="00FC206A" w:rsidRPr="00344CD1" w:rsidRDefault="00FC206A" w:rsidP="00D51F89">
      <w:pPr>
        <w:spacing w:after="0" w:line="240" w:lineRule="auto"/>
        <w:contextualSpacing/>
        <w:jc w:val="both"/>
        <w:rPr>
          <w:rFonts w:ascii="Cambria" w:eastAsia="Batang" w:hAnsi="Cambria" w:cs="Times New Roman"/>
          <w:color w:val="000000"/>
          <w:sz w:val="21"/>
          <w:szCs w:val="21"/>
          <w:lang w:val="es-ES"/>
        </w:rPr>
      </w:pPr>
    </w:p>
    <w:p w14:paraId="12B78273" w14:textId="418685B0" w:rsidR="00F9627C" w:rsidRPr="00344CD1" w:rsidRDefault="00A75759"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Por otra parte, sobre</w:t>
      </w:r>
      <w:r w:rsidR="00E14F50" w:rsidRPr="00344CD1">
        <w:rPr>
          <w:rFonts w:ascii="Cambria" w:eastAsia="Batang" w:hAnsi="Cambria" w:cs="Times New Roman"/>
          <w:color w:val="000000"/>
          <w:sz w:val="21"/>
          <w:szCs w:val="21"/>
          <w:lang w:val="es-ES"/>
        </w:rPr>
        <w:t xml:space="preserve"> a la segunda fuente de riesgo, </w:t>
      </w:r>
      <w:r w:rsidR="00086DEB" w:rsidRPr="00344CD1">
        <w:rPr>
          <w:rFonts w:ascii="Cambria" w:eastAsia="Batang" w:hAnsi="Cambria" w:cs="Times New Roman"/>
          <w:color w:val="000000"/>
          <w:sz w:val="21"/>
          <w:szCs w:val="21"/>
          <w:lang w:val="es-ES"/>
        </w:rPr>
        <w:t xml:space="preserve">la CIDH observa que los solicitantes alegaron que la represa tendría </w:t>
      </w:r>
      <w:r w:rsidR="00086DEB" w:rsidRPr="00344CD1">
        <w:rPr>
          <w:rFonts w:ascii="Cambria" w:eastAsia="Batang" w:hAnsi="Cambria" w:cs="Times New Roman"/>
          <w:color w:val="000000"/>
          <w:sz w:val="21"/>
          <w:szCs w:val="21"/>
        </w:rPr>
        <w:t xml:space="preserve">“graves problemas en su estructura”, aportando copia de informe técnico categorizando la situación como “riesgo alto”. </w:t>
      </w:r>
      <w:r w:rsidR="005F7086" w:rsidRPr="00344CD1">
        <w:rPr>
          <w:rFonts w:ascii="Cambria" w:eastAsia="Batang" w:hAnsi="Cambria" w:cs="Times New Roman"/>
          <w:color w:val="000000"/>
          <w:sz w:val="21"/>
          <w:szCs w:val="21"/>
        </w:rPr>
        <w:t>La Comisión observa que</w:t>
      </w:r>
      <w:r w:rsidR="003F48DD" w:rsidRPr="00344CD1">
        <w:rPr>
          <w:rFonts w:ascii="Cambria" w:eastAsia="Batang" w:hAnsi="Cambria" w:cs="Times New Roman"/>
          <w:color w:val="000000"/>
          <w:sz w:val="21"/>
          <w:szCs w:val="21"/>
        </w:rPr>
        <w:t xml:space="preserve"> </w:t>
      </w:r>
      <w:r w:rsidR="003F48DD" w:rsidRPr="00344CD1">
        <w:rPr>
          <w:rFonts w:ascii="Cambria" w:eastAsia="Batang" w:hAnsi="Cambria" w:cs="Times New Roman"/>
          <w:color w:val="000000"/>
          <w:sz w:val="21"/>
          <w:szCs w:val="21"/>
          <w:lang w:val="es-ES"/>
        </w:rPr>
        <w:t>no dispone de información suficiente para arribar a una misma determinación</w:t>
      </w:r>
      <w:r w:rsidR="005F7086" w:rsidRPr="00344CD1">
        <w:rPr>
          <w:rFonts w:ascii="Cambria" w:eastAsia="Batang" w:hAnsi="Cambria" w:cs="Times New Roman"/>
          <w:color w:val="000000"/>
          <w:sz w:val="21"/>
          <w:szCs w:val="21"/>
        </w:rPr>
        <w:t xml:space="preserve">, </w:t>
      </w:r>
      <w:r w:rsidR="003F48DD" w:rsidRPr="00344CD1">
        <w:rPr>
          <w:rFonts w:ascii="Cambria" w:eastAsia="Batang" w:hAnsi="Cambria" w:cs="Times New Roman"/>
          <w:color w:val="000000"/>
          <w:sz w:val="21"/>
          <w:szCs w:val="21"/>
        </w:rPr>
        <w:t xml:space="preserve">particularmente considerando que el Estado habría adoptado </w:t>
      </w:r>
      <w:r w:rsidR="003F48DD" w:rsidRPr="00344CD1">
        <w:rPr>
          <w:rFonts w:ascii="Cambria" w:eastAsia="Batang" w:hAnsi="Cambria" w:cs="Times New Roman"/>
          <w:color w:val="000000"/>
          <w:sz w:val="21"/>
          <w:szCs w:val="21"/>
          <w:lang w:val="es-ES"/>
        </w:rPr>
        <w:t xml:space="preserve">medidas de mitigación suficientes para alejar un riesgo “inmediato” de </w:t>
      </w:r>
      <w:r w:rsidR="00674B22" w:rsidRPr="00344CD1">
        <w:rPr>
          <w:rFonts w:ascii="Cambria" w:eastAsia="Batang" w:hAnsi="Cambria" w:cs="Times New Roman"/>
          <w:color w:val="000000"/>
          <w:sz w:val="21"/>
          <w:szCs w:val="21"/>
          <w:lang w:val="es-ES"/>
        </w:rPr>
        <w:t>rotura</w:t>
      </w:r>
      <w:r w:rsidR="00751754" w:rsidRPr="00344CD1">
        <w:rPr>
          <w:rStyle w:val="FootnoteReference"/>
          <w:rFonts w:ascii="Cambria" w:eastAsia="Batang" w:hAnsi="Cambria" w:cs="Times New Roman"/>
          <w:color w:val="000000"/>
          <w:sz w:val="21"/>
          <w:szCs w:val="21"/>
          <w:lang w:val="es-ES"/>
        </w:rPr>
        <w:footnoteReference w:id="20"/>
      </w:r>
      <w:r w:rsidR="003F48DD" w:rsidRPr="00344CD1">
        <w:rPr>
          <w:rFonts w:ascii="Cambria" w:eastAsia="Batang" w:hAnsi="Cambria" w:cs="Times New Roman"/>
          <w:color w:val="000000"/>
          <w:sz w:val="21"/>
          <w:szCs w:val="21"/>
        </w:rPr>
        <w:t xml:space="preserve">. </w:t>
      </w:r>
    </w:p>
    <w:p w14:paraId="2AA4322E" w14:textId="77777777" w:rsidR="00F9627C" w:rsidRPr="00344CD1" w:rsidRDefault="00F9627C" w:rsidP="00D51F89">
      <w:pPr>
        <w:spacing w:after="0" w:line="240" w:lineRule="auto"/>
        <w:ind w:left="360"/>
        <w:contextualSpacing/>
        <w:jc w:val="both"/>
        <w:rPr>
          <w:rFonts w:ascii="Cambria" w:eastAsia="Batang" w:hAnsi="Cambria" w:cs="Times New Roman"/>
          <w:color w:val="000000"/>
          <w:sz w:val="21"/>
          <w:szCs w:val="21"/>
          <w:lang w:val="es-ES"/>
        </w:rPr>
      </w:pPr>
    </w:p>
    <w:p w14:paraId="1EAA432A" w14:textId="2237D8D5" w:rsidR="00086DEB" w:rsidRPr="00344CD1" w:rsidRDefault="00580992"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Asimismo</w:t>
      </w:r>
      <w:r w:rsidR="00086DEB" w:rsidRPr="00344CD1">
        <w:rPr>
          <w:rFonts w:ascii="Cambria" w:eastAsia="Batang" w:hAnsi="Cambria" w:cs="Times New Roman"/>
          <w:color w:val="000000"/>
          <w:sz w:val="21"/>
          <w:szCs w:val="21"/>
          <w:lang w:val="es-ES"/>
        </w:rPr>
        <w:t>, la Comisión recuerda el Estado la importancia de mantener dialogo con las comunidades posiblemente afectadas por la situación, particularmente ante posibles cambios en la actual situación</w:t>
      </w:r>
      <w:r w:rsidR="00425C95" w:rsidRPr="00344CD1">
        <w:rPr>
          <w:rFonts w:ascii="Cambria" w:eastAsia="Batang" w:hAnsi="Cambria" w:cs="Times New Roman"/>
          <w:color w:val="000000"/>
          <w:sz w:val="21"/>
          <w:szCs w:val="21"/>
          <w:lang w:val="es-ES"/>
        </w:rPr>
        <w:t>, en los términos establecidos en el Convenio 169 de la OIT</w:t>
      </w:r>
      <w:r w:rsidR="00086DEB" w:rsidRPr="00344CD1">
        <w:rPr>
          <w:rFonts w:ascii="Cambria" w:eastAsia="Batang" w:hAnsi="Cambria" w:cs="Times New Roman"/>
          <w:color w:val="000000"/>
          <w:sz w:val="21"/>
          <w:szCs w:val="21"/>
          <w:lang w:val="es-ES"/>
        </w:rPr>
        <w:t>.</w:t>
      </w:r>
    </w:p>
    <w:p w14:paraId="099977F1" w14:textId="3154C84E" w:rsidR="00086DEB" w:rsidRPr="00344CD1" w:rsidRDefault="00086DEB" w:rsidP="00D51F89">
      <w:pPr>
        <w:spacing w:after="0" w:line="240" w:lineRule="auto"/>
        <w:ind w:left="360"/>
        <w:contextualSpacing/>
        <w:jc w:val="both"/>
        <w:rPr>
          <w:rFonts w:ascii="Cambria" w:eastAsia="Batang" w:hAnsi="Cambria" w:cs="Times New Roman"/>
          <w:color w:val="000000"/>
          <w:sz w:val="21"/>
          <w:szCs w:val="21"/>
          <w:lang w:val="es-ES"/>
        </w:rPr>
      </w:pPr>
    </w:p>
    <w:p w14:paraId="3DA08DB6" w14:textId="086269D4" w:rsidR="0001572C" w:rsidRPr="00344CD1" w:rsidRDefault="0001572C"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Igualmente, la CIDH toma nota del actual contexto de pandemia de COVID-19 y el impacto diferenciado que puede tener en la comunidad </w:t>
      </w:r>
      <w:proofErr w:type="spellStart"/>
      <w:r w:rsidRPr="00344CD1">
        <w:rPr>
          <w:rFonts w:ascii="Cambria" w:eastAsia="Batang" w:hAnsi="Cambria" w:cs="Times New Roman"/>
          <w:color w:val="000000"/>
          <w:sz w:val="21"/>
          <w:szCs w:val="21"/>
          <w:lang w:val="es-ES"/>
        </w:rPr>
        <w:t>quilombola</w:t>
      </w:r>
      <w:proofErr w:type="spellEnd"/>
      <w:r w:rsidRPr="00344CD1">
        <w:rPr>
          <w:rFonts w:ascii="Cambria" w:eastAsia="Batang" w:hAnsi="Cambria" w:cs="Times New Roman"/>
          <w:color w:val="000000"/>
          <w:sz w:val="21"/>
          <w:szCs w:val="21"/>
          <w:lang w:val="es-ES"/>
        </w:rPr>
        <w:t>, principalmente ante la recurrente presencia de tercero</w:t>
      </w:r>
      <w:r w:rsidR="00965647" w:rsidRPr="00344CD1">
        <w:rPr>
          <w:rFonts w:ascii="Cambria" w:eastAsia="Batang" w:hAnsi="Cambria" w:cs="Times New Roman"/>
          <w:color w:val="000000"/>
          <w:sz w:val="21"/>
          <w:szCs w:val="21"/>
          <w:lang w:val="es-ES"/>
        </w:rPr>
        <w:t>s desconocidos en su territorio</w:t>
      </w:r>
      <w:r w:rsidRPr="00344CD1">
        <w:rPr>
          <w:rFonts w:ascii="Cambria" w:eastAsia="Batang" w:hAnsi="Cambria" w:cs="Times New Roman"/>
          <w:color w:val="000000"/>
          <w:sz w:val="21"/>
          <w:szCs w:val="21"/>
          <w:lang w:val="es-ES"/>
        </w:rPr>
        <w:t>. En ese sentido, la Comisión Interamericana ha afirmado, en su Resolución 1/2020 “Pandemia y Derechos Humanos en las Américas”</w:t>
      </w:r>
      <w:r w:rsidR="00965647" w:rsidRPr="00344CD1">
        <w:rPr>
          <w:rStyle w:val="FootnoteReference"/>
          <w:rFonts w:ascii="Cambria" w:eastAsia="Batang" w:hAnsi="Cambria" w:cs="Times New Roman"/>
          <w:color w:val="000000"/>
          <w:sz w:val="21"/>
          <w:szCs w:val="21"/>
          <w:lang w:val="es-ES"/>
        </w:rPr>
        <w:footnoteReference w:id="21"/>
      </w:r>
      <w:r w:rsidRPr="00344CD1">
        <w:rPr>
          <w:rFonts w:ascii="Cambria" w:eastAsia="Batang" w:hAnsi="Cambria" w:cs="Times New Roman"/>
          <w:color w:val="000000"/>
          <w:sz w:val="21"/>
          <w:szCs w:val="21"/>
          <w:lang w:val="es-ES"/>
        </w:rPr>
        <w:t>, que los Estados deben buscar:</w:t>
      </w:r>
    </w:p>
    <w:p w14:paraId="53694792" w14:textId="77777777" w:rsidR="0001572C" w:rsidRPr="00344CD1" w:rsidRDefault="0001572C" w:rsidP="00D51F89">
      <w:pPr>
        <w:spacing w:after="0" w:line="240" w:lineRule="auto"/>
        <w:contextualSpacing/>
        <w:jc w:val="both"/>
        <w:rPr>
          <w:rFonts w:ascii="Cambria" w:eastAsia="Batang" w:hAnsi="Cambria" w:cs="Times New Roman"/>
          <w:color w:val="000000"/>
          <w:sz w:val="21"/>
          <w:szCs w:val="21"/>
          <w:lang w:val="es-ES"/>
        </w:rPr>
      </w:pPr>
    </w:p>
    <w:p w14:paraId="08EB9EAF" w14:textId="608E95A9" w:rsidR="0001572C" w:rsidRPr="00344CD1" w:rsidRDefault="0001572C" w:rsidP="00D51F89">
      <w:pPr>
        <w:spacing w:after="0" w:line="240" w:lineRule="auto"/>
        <w:ind w:left="567" w:right="567"/>
        <w:contextualSpacing/>
        <w:jc w:val="both"/>
        <w:rPr>
          <w:rFonts w:ascii="Cambria" w:eastAsia="Batang" w:hAnsi="Cambria" w:cs="Times New Roman"/>
          <w:color w:val="000000"/>
          <w:sz w:val="18"/>
          <w:szCs w:val="21"/>
          <w:lang w:val="es-ES"/>
        </w:rPr>
      </w:pPr>
      <w:r w:rsidRPr="00344CD1">
        <w:rPr>
          <w:rFonts w:ascii="Cambria" w:eastAsia="Batang" w:hAnsi="Cambria" w:cs="Times New Roman"/>
          <w:color w:val="000000"/>
          <w:sz w:val="18"/>
          <w:szCs w:val="21"/>
          <w:lang w:val="es-ES"/>
        </w:rPr>
        <w:t>Adoptar de forma inmediata, urgente y con la debida diligencia, todas las medidas que sean adecuadas para proteger los derechos a la vida, salud e integridad personal de las personas que se encuentren en sus jurisdicciones frente al riesgo que representa la presente pandemia. [… Particularmente</w:t>
      </w:r>
      <w:r w:rsidR="0045174A" w:rsidRPr="00344CD1">
        <w:rPr>
          <w:rFonts w:ascii="Cambria" w:eastAsia="Batang" w:hAnsi="Cambria" w:cs="Times New Roman"/>
          <w:color w:val="000000"/>
          <w:sz w:val="18"/>
          <w:szCs w:val="21"/>
          <w:lang w:val="es-ES"/>
        </w:rPr>
        <w:t>]</w:t>
      </w:r>
      <w:r w:rsidRPr="00344CD1">
        <w:rPr>
          <w:rFonts w:ascii="Cambria" w:eastAsia="Batang" w:hAnsi="Cambria" w:cs="Times New Roman"/>
          <w:color w:val="000000"/>
          <w:sz w:val="18"/>
          <w:szCs w:val="21"/>
          <w:lang w:val="es-ES"/>
        </w:rPr>
        <w:t>, garantizar el acceso a servicios de salud pública integral de forma oportuna a personas afrodescendientes y comunidades tribales, incorporando un enfoque intercultural y garantizando a esta población información clara, accesible e inclusiva sobre los procedimientos médicos que se les practiquen.</w:t>
      </w:r>
    </w:p>
    <w:p w14:paraId="621B3CB8" w14:textId="6D4B1A6B" w:rsidR="00980931" w:rsidRPr="00344CD1" w:rsidRDefault="00980931" w:rsidP="00D51F89">
      <w:pPr>
        <w:spacing w:after="0" w:line="240" w:lineRule="auto"/>
        <w:contextualSpacing/>
        <w:jc w:val="both"/>
        <w:rPr>
          <w:rFonts w:ascii="Cambria" w:eastAsia="Batang" w:hAnsi="Cambria" w:cs="Times New Roman"/>
          <w:color w:val="000000"/>
          <w:sz w:val="21"/>
          <w:szCs w:val="21"/>
          <w:lang w:val="es-ES"/>
        </w:rPr>
      </w:pPr>
    </w:p>
    <w:p w14:paraId="7141A6D8" w14:textId="4CC5F2A2" w:rsidR="000A3CB5" w:rsidRPr="00344CD1" w:rsidRDefault="00840933"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En cuanto al requisito de urgencia, la Comisión considera que se encuentra igualmente cumplido, en vista de la proximidad en el tiempo de los eventos de riesgo y de las amenazas, cuyo tenor y recurrencia sugieren que su materialización es susceptible de producirse en cualquier momento, particularmente ante la aparente falta de medidas de protección suficientes y efectivas, requiriendo así una intervención de carácter inmediata.</w:t>
      </w:r>
    </w:p>
    <w:p w14:paraId="796A6DCF" w14:textId="77777777" w:rsidR="00840933" w:rsidRPr="00344CD1" w:rsidRDefault="00840933" w:rsidP="00D51F89">
      <w:pPr>
        <w:spacing w:after="0" w:line="240" w:lineRule="auto"/>
        <w:contextualSpacing/>
        <w:jc w:val="both"/>
        <w:rPr>
          <w:rFonts w:ascii="Cambria" w:eastAsia="Batang" w:hAnsi="Cambria" w:cs="Times New Roman"/>
          <w:color w:val="000000"/>
          <w:sz w:val="21"/>
          <w:szCs w:val="21"/>
          <w:lang w:val="es-ES"/>
        </w:rPr>
      </w:pPr>
    </w:p>
    <w:p w14:paraId="45C86990" w14:textId="0EC39614" w:rsidR="00980931" w:rsidRPr="00344CD1" w:rsidRDefault="00980931"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En lo que </w:t>
      </w:r>
      <w:r w:rsidRPr="00344CD1">
        <w:rPr>
          <w:rFonts w:ascii="Cambria" w:eastAsia="Calibri" w:hAnsi="Cambria" w:cs="Times New Roman"/>
          <w:sz w:val="21"/>
          <w:szCs w:val="21"/>
        </w:rPr>
        <w:t>respecta</w:t>
      </w:r>
      <w:r w:rsidRPr="00344CD1">
        <w:rPr>
          <w:rFonts w:ascii="Cambria" w:eastAsia="Batang" w:hAnsi="Cambria" w:cs="Times New Roman"/>
          <w:color w:val="000000"/>
          <w:sz w:val="21"/>
          <w:szCs w:val="21"/>
          <w:lang w:val="es-ES"/>
        </w:rPr>
        <w:t xml:space="preserve"> al requisito de </w:t>
      </w:r>
      <w:proofErr w:type="spellStart"/>
      <w:r w:rsidRPr="00344CD1">
        <w:rPr>
          <w:rFonts w:ascii="Cambria" w:eastAsia="Batang" w:hAnsi="Cambria" w:cs="Times New Roman"/>
          <w:color w:val="000000"/>
          <w:sz w:val="21"/>
          <w:szCs w:val="21"/>
          <w:lang w:val="es-ES"/>
        </w:rPr>
        <w:t>irreparabilidad</w:t>
      </w:r>
      <w:proofErr w:type="spellEnd"/>
      <w:r w:rsidRPr="00344CD1">
        <w:rPr>
          <w:rFonts w:ascii="Cambria" w:eastAsia="Batang" w:hAnsi="Cambria" w:cs="Times New Roman"/>
          <w:color w:val="000000"/>
          <w:sz w:val="21"/>
          <w:szCs w:val="21"/>
          <w:lang w:val="es-ES"/>
        </w:rPr>
        <w:t>, la Comisión estima que se encuentra cumplido, ya que la posible afectación a los derechos a la vida e integridad personal,</w:t>
      </w:r>
      <w:r w:rsidRPr="00344CD1">
        <w:rPr>
          <w:rFonts w:ascii="Cambria" w:eastAsia="Calibri" w:hAnsi="Cambria" w:cs="Calibri"/>
          <w:color w:val="000000"/>
          <w:sz w:val="21"/>
          <w:szCs w:val="21"/>
          <w:lang w:val="es-PE"/>
        </w:rPr>
        <w:t xml:space="preserve"> por su propia naturaleza,</w:t>
      </w:r>
      <w:r w:rsidRPr="00344CD1">
        <w:rPr>
          <w:rFonts w:ascii="Cambria" w:eastAsia="Batang" w:hAnsi="Cambria" w:cs="Times New Roman"/>
          <w:color w:val="000000"/>
          <w:sz w:val="21"/>
          <w:szCs w:val="21"/>
          <w:lang w:val="es-ES"/>
        </w:rPr>
        <w:t xml:space="preserve"> constituyen la máxima situación de </w:t>
      </w:r>
      <w:proofErr w:type="spellStart"/>
      <w:r w:rsidRPr="00344CD1">
        <w:rPr>
          <w:rFonts w:ascii="Cambria" w:eastAsia="Batang" w:hAnsi="Cambria" w:cs="Times New Roman"/>
          <w:color w:val="000000"/>
          <w:sz w:val="21"/>
          <w:szCs w:val="21"/>
          <w:lang w:val="es-ES"/>
        </w:rPr>
        <w:t>irreparabilidad</w:t>
      </w:r>
      <w:proofErr w:type="spellEnd"/>
      <w:r w:rsidRPr="00344CD1">
        <w:rPr>
          <w:rFonts w:ascii="Cambria" w:eastAsia="Batang" w:hAnsi="Cambria" w:cs="Times New Roman"/>
          <w:color w:val="000000"/>
          <w:sz w:val="21"/>
          <w:szCs w:val="21"/>
          <w:lang w:val="es-ES"/>
        </w:rPr>
        <w:t>.</w:t>
      </w:r>
    </w:p>
    <w:p w14:paraId="5DA480B1" w14:textId="77777777" w:rsidR="00790C64" w:rsidRPr="00344CD1" w:rsidRDefault="00790C64" w:rsidP="00D51F89">
      <w:pPr>
        <w:spacing w:after="0" w:line="240" w:lineRule="auto"/>
        <w:ind w:left="360"/>
        <w:contextualSpacing/>
        <w:jc w:val="both"/>
        <w:rPr>
          <w:rFonts w:ascii="Cambria" w:eastAsia="Calibri" w:hAnsi="Cambria" w:cs="Times New Roman"/>
          <w:sz w:val="21"/>
          <w:szCs w:val="21"/>
        </w:rPr>
      </w:pPr>
    </w:p>
    <w:p w14:paraId="6418E947" w14:textId="0CE33B46" w:rsidR="00C66795" w:rsidRPr="00344CD1" w:rsidRDefault="0035013A" w:rsidP="00D51F89">
      <w:pPr>
        <w:numPr>
          <w:ilvl w:val="0"/>
          <w:numId w:val="3"/>
        </w:numPr>
        <w:spacing w:after="0" w:line="240" w:lineRule="auto"/>
        <w:ind w:left="0" w:firstLine="360"/>
        <w:contextualSpacing/>
        <w:jc w:val="both"/>
        <w:rPr>
          <w:rFonts w:ascii="Cambria" w:eastAsia="Batang" w:hAnsi="Cambria" w:cs="Times New Roman"/>
          <w:color w:val="000000"/>
          <w:sz w:val="21"/>
          <w:szCs w:val="21"/>
        </w:rPr>
      </w:pPr>
      <w:r w:rsidRPr="00344CD1">
        <w:rPr>
          <w:rFonts w:ascii="Cambria" w:eastAsia="Batang" w:hAnsi="Cambria" w:cs="Times New Roman"/>
          <w:color w:val="000000"/>
          <w:sz w:val="21"/>
          <w:szCs w:val="21"/>
          <w:lang w:val="es-ES"/>
        </w:rPr>
        <w:t>Por fin, a</w:t>
      </w:r>
      <w:r w:rsidR="001605CA" w:rsidRPr="00344CD1">
        <w:rPr>
          <w:rFonts w:ascii="Cambria" w:eastAsia="Batang" w:hAnsi="Cambria" w:cs="Times New Roman"/>
          <w:color w:val="000000"/>
          <w:sz w:val="21"/>
          <w:szCs w:val="21"/>
          <w:lang w:val="es-ES"/>
        </w:rPr>
        <w:t>nte</w:t>
      </w:r>
      <w:r w:rsidR="00326E87" w:rsidRPr="00344CD1">
        <w:rPr>
          <w:rFonts w:ascii="Cambria" w:eastAsia="Batang" w:hAnsi="Cambria" w:cs="Times New Roman"/>
          <w:color w:val="000000"/>
          <w:sz w:val="21"/>
          <w:szCs w:val="21"/>
          <w:lang w:val="es-ES"/>
        </w:rPr>
        <w:t xml:space="preserve"> l</w:t>
      </w:r>
      <w:r w:rsidR="00980931" w:rsidRPr="00344CD1">
        <w:rPr>
          <w:rFonts w:ascii="Cambria" w:eastAsia="Batang" w:hAnsi="Cambria" w:cs="Times New Roman"/>
          <w:color w:val="000000"/>
          <w:sz w:val="21"/>
          <w:szCs w:val="21"/>
          <w:lang w:val="es-ES"/>
        </w:rPr>
        <w:t xml:space="preserve">a naturaleza de este asunto y sus implicaciones, la Comisión considera importante reiterar </w:t>
      </w:r>
      <w:r w:rsidR="00425C95" w:rsidRPr="00344CD1">
        <w:rPr>
          <w:rFonts w:ascii="Cambria" w:eastAsia="Batang" w:hAnsi="Cambria" w:cs="Times New Roman"/>
          <w:color w:val="000000"/>
          <w:sz w:val="21"/>
          <w:szCs w:val="21"/>
          <w:lang w:val="es-ES"/>
        </w:rPr>
        <w:t>que</w:t>
      </w:r>
      <w:r w:rsidR="00980931" w:rsidRPr="00344CD1">
        <w:rPr>
          <w:rFonts w:ascii="Cambria" w:eastAsia="Batang" w:hAnsi="Cambria" w:cs="Times New Roman"/>
          <w:color w:val="000000"/>
          <w:sz w:val="21"/>
          <w:szCs w:val="21"/>
          <w:lang w:val="es-ES"/>
        </w:rPr>
        <w:t xml:space="preserve"> </w:t>
      </w:r>
      <w:r w:rsidR="00D77B2C" w:rsidRPr="00344CD1">
        <w:rPr>
          <w:rFonts w:ascii="Cambria" w:eastAsia="Batang" w:hAnsi="Cambria" w:cs="Times New Roman"/>
          <w:color w:val="000000"/>
          <w:sz w:val="21"/>
          <w:szCs w:val="21"/>
          <w:lang w:val="es-ES"/>
        </w:rPr>
        <w:t xml:space="preserve">las comunidades </w:t>
      </w:r>
      <w:proofErr w:type="spellStart"/>
      <w:r w:rsidR="00D77B2C" w:rsidRPr="00344CD1">
        <w:rPr>
          <w:rFonts w:ascii="Cambria" w:eastAsia="Batang" w:hAnsi="Cambria" w:cs="Times New Roman"/>
          <w:color w:val="000000"/>
          <w:sz w:val="21"/>
          <w:szCs w:val="21"/>
          <w:lang w:val="es-ES"/>
        </w:rPr>
        <w:t>quilombolas</w:t>
      </w:r>
      <w:proofErr w:type="spellEnd"/>
      <w:r w:rsidR="00425C95" w:rsidRPr="00344CD1">
        <w:rPr>
          <w:rFonts w:ascii="Cambria" w:eastAsia="Batang" w:hAnsi="Cambria" w:cs="Times New Roman"/>
          <w:color w:val="000000"/>
          <w:sz w:val="21"/>
          <w:szCs w:val="21"/>
          <w:lang w:val="es-ES"/>
        </w:rPr>
        <w:t xml:space="preserve"> fueron</w:t>
      </w:r>
      <w:r w:rsidR="00D77B2C" w:rsidRPr="00344CD1">
        <w:rPr>
          <w:rFonts w:ascii="Cambria" w:eastAsia="Batang" w:hAnsi="Cambria" w:cs="Times New Roman"/>
          <w:color w:val="000000"/>
          <w:sz w:val="21"/>
          <w:szCs w:val="21"/>
          <w:lang w:val="es-ES"/>
        </w:rPr>
        <w:t xml:space="preserve"> </w:t>
      </w:r>
      <w:r w:rsidR="00980931" w:rsidRPr="00344CD1">
        <w:rPr>
          <w:rFonts w:ascii="Cambria" w:eastAsia="Batang" w:hAnsi="Cambria" w:cs="Times New Roman"/>
          <w:color w:val="000000"/>
          <w:sz w:val="21"/>
          <w:szCs w:val="21"/>
          <w:lang w:val="es-ES"/>
        </w:rPr>
        <w:t>establecidas en el marco d</w:t>
      </w:r>
      <w:r w:rsidR="00D77B2C" w:rsidRPr="00344CD1">
        <w:rPr>
          <w:rFonts w:ascii="Cambria" w:eastAsia="Batang" w:hAnsi="Cambria" w:cs="Times New Roman"/>
          <w:color w:val="000000"/>
          <w:sz w:val="21"/>
          <w:szCs w:val="21"/>
          <w:lang w:val="es-ES"/>
        </w:rPr>
        <w:t xml:space="preserve">e la </w:t>
      </w:r>
      <w:r w:rsidR="000B3DAC" w:rsidRPr="00344CD1">
        <w:rPr>
          <w:rFonts w:ascii="Cambria" w:eastAsia="Batang" w:hAnsi="Cambria" w:cs="Times New Roman"/>
          <w:color w:val="000000"/>
          <w:sz w:val="21"/>
          <w:szCs w:val="21"/>
          <w:lang w:val="es-ES"/>
        </w:rPr>
        <w:t>resistencia</w:t>
      </w:r>
      <w:r w:rsidR="00D77B2C" w:rsidRPr="00344CD1">
        <w:rPr>
          <w:rFonts w:ascii="Cambria" w:eastAsia="Batang" w:hAnsi="Cambria" w:cs="Times New Roman"/>
          <w:color w:val="000000"/>
          <w:sz w:val="21"/>
          <w:szCs w:val="21"/>
          <w:lang w:val="es-ES"/>
        </w:rPr>
        <w:t xml:space="preserve"> a la esclavitud impuesta a los pueblos de origen african</w:t>
      </w:r>
      <w:r w:rsidR="00980931" w:rsidRPr="00344CD1">
        <w:rPr>
          <w:rFonts w:ascii="Cambria" w:eastAsia="Batang" w:hAnsi="Cambria" w:cs="Times New Roman"/>
          <w:color w:val="000000"/>
          <w:sz w:val="21"/>
          <w:szCs w:val="21"/>
          <w:lang w:val="es-ES"/>
        </w:rPr>
        <w:t>o</w:t>
      </w:r>
      <w:r w:rsidR="00D77B2C" w:rsidRPr="00344CD1">
        <w:rPr>
          <w:rFonts w:ascii="Cambria" w:eastAsia="Batang" w:hAnsi="Cambria" w:cs="Times New Roman"/>
          <w:color w:val="000000"/>
          <w:sz w:val="21"/>
          <w:szCs w:val="21"/>
          <w:lang w:val="es-ES"/>
        </w:rPr>
        <w:t xml:space="preserve"> en Brasil</w:t>
      </w:r>
      <w:r w:rsidR="00425C95" w:rsidRPr="00344CD1">
        <w:rPr>
          <w:rFonts w:ascii="Cambria" w:eastAsia="Batang" w:hAnsi="Cambria" w:cs="Times New Roman"/>
          <w:color w:val="000000"/>
          <w:sz w:val="21"/>
          <w:szCs w:val="21"/>
          <w:lang w:val="es-ES"/>
        </w:rPr>
        <w:t>. L</w:t>
      </w:r>
      <w:r w:rsidR="00D77B2C" w:rsidRPr="00344CD1">
        <w:rPr>
          <w:rFonts w:ascii="Cambria" w:eastAsia="Batang" w:hAnsi="Cambria" w:cs="Times New Roman"/>
          <w:color w:val="000000"/>
          <w:sz w:val="21"/>
          <w:szCs w:val="21"/>
          <w:lang w:val="es-ES"/>
        </w:rPr>
        <w:t xml:space="preserve">as reparaciones por la </w:t>
      </w:r>
      <w:r w:rsidR="00D77B2C" w:rsidRPr="00344CD1">
        <w:rPr>
          <w:rFonts w:ascii="Cambria" w:eastAsia="Batang" w:hAnsi="Cambria" w:cs="Times New Roman"/>
          <w:color w:val="000000"/>
          <w:sz w:val="21"/>
          <w:szCs w:val="21"/>
          <w:lang w:val="es-ES"/>
        </w:rPr>
        <w:lastRenderedPageBreak/>
        <w:t xml:space="preserve">esclavitud y el </w:t>
      </w:r>
      <w:r w:rsidR="001605CA" w:rsidRPr="00344CD1">
        <w:rPr>
          <w:rFonts w:ascii="Cambria" w:eastAsia="Batang" w:hAnsi="Cambria" w:cs="Times New Roman"/>
          <w:color w:val="000000"/>
          <w:sz w:val="21"/>
          <w:szCs w:val="21"/>
          <w:lang w:val="es-ES"/>
        </w:rPr>
        <w:t>colonialismo no</w:t>
      </w:r>
      <w:r w:rsidR="00D77B2C" w:rsidRPr="00344CD1">
        <w:rPr>
          <w:rFonts w:ascii="Cambria" w:eastAsia="Batang" w:hAnsi="Cambria" w:cs="Times New Roman"/>
          <w:color w:val="000000"/>
          <w:sz w:val="21"/>
          <w:szCs w:val="21"/>
          <w:lang w:val="es-ES"/>
        </w:rPr>
        <w:t xml:space="preserve"> </w:t>
      </w:r>
      <w:r w:rsidR="00D77B2C" w:rsidRPr="00344CD1">
        <w:rPr>
          <w:rFonts w:ascii="Cambria" w:eastAsia="Batang" w:hAnsi="Cambria" w:cs="Times New Roman"/>
          <w:color w:val="000000"/>
          <w:sz w:val="21"/>
          <w:szCs w:val="21"/>
          <w:lang w:val="es-ES_tradnl"/>
        </w:rPr>
        <w:t>solo</w:t>
      </w:r>
      <w:r w:rsidR="00D77B2C" w:rsidRPr="00344CD1">
        <w:rPr>
          <w:rFonts w:ascii="Cambria" w:eastAsia="Batang" w:hAnsi="Cambria" w:cs="Times New Roman"/>
          <w:color w:val="000000"/>
          <w:sz w:val="21"/>
          <w:szCs w:val="21"/>
          <w:lang w:val="es-ES"/>
        </w:rPr>
        <w:t xml:space="preserve"> comprenden la justicia y la responsabilidad por los males históricos, sino también la erradicación de las estructuras </w:t>
      </w:r>
      <w:r w:rsidR="002D6AF5" w:rsidRPr="00344CD1">
        <w:rPr>
          <w:rFonts w:ascii="Cambria" w:eastAsia="Batang" w:hAnsi="Cambria" w:cs="Times New Roman"/>
          <w:color w:val="000000"/>
          <w:sz w:val="21"/>
          <w:szCs w:val="21"/>
          <w:lang w:val="es-ES"/>
        </w:rPr>
        <w:t xml:space="preserve">persistentes </w:t>
      </w:r>
      <w:r w:rsidR="00D77B2C" w:rsidRPr="00344CD1">
        <w:rPr>
          <w:rFonts w:ascii="Cambria" w:eastAsia="Batang" w:hAnsi="Cambria" w:cs="Times New Roman"/>
          <w:color w:val="000000"/>
          <w:sz w:val="21"/>
          <w:szCs w:val="21"/>
          <w:lang w:val="es-ES"/>
        </w:rPr>
        <w:t>de desigualdad racial, subordinación y discriminación</w:t>
      </w:r>
      <w:r w:rsidR="00D77B2C" w:rsidRPr="00344CD1">
        <w:rPr>
          <w:rStyle w:val="FootnoteReference"/>
          <w:rFonts w:ascii="Cambria" w:eastAsia="Batang" w:hAnsi="Cambria" w:cs="Times New Roman"/>
          <w:color w:val="000000"/>
          <w:sz w:val="21"/>
          <w:szCs w:val="21"/>
          <w:lang w:val="es-ES"/>
        </w:rPr>
        <w:footnoteReference w:id="22"/>
      </w:r>
      <w:r w:rsidR="00D77B2C" w:rsidRPr="00344CD1">
        <w:rPr>
          <w:rFonts w:ascii="Cambria" w:eastAsia="Batang" w:hAnsi="Cambria" w:cs="Times New Roman"/>
          <w:color w:val="000000"/>
          <w:sz w:val="21"/>
          <w:szCs w:val="21"/>
          <w:lang w:val="es-ES"/>
        </w:rPr>
        <w:t>.</w:t>
      </w:r>
      <w:r w:rsidR="000F5FA8" w:rsidRPr="00344CD1">
        <w:rPr>
          <w:rFonts w:ascii="Cambria" w:eastAsia="Batang" w:hAnsi="Cambria" w:cs="Times New Roman"/>
          <w:color w:val="000000"/>
          <w:sz w:val="21"/>
          <w:szCs w:val="21"/>
          <w:lang w:val="es-ES"/>
        </w:rPr>
        <w:t xml:space="preserve"> Según la</w:t>
      </w:r>
      <w:r w:rsidR="000F5FA8" w:rsidRPr="00344CD1">
        <w:rPr>
          <w:rFonts w:ascii="Cambria" w:eastAsia="Batang" w:hAnsi="Cambria" w:cs="Times New Roman"/>
          <w:color w:val="000000"/>
          <w:sz w:val="21"/>
          <w:szCs w:val="21"/>
        </w:rPr>
        <w:t xml:space="preserve"> Relatora Especial </w:t>
      </w:r>
      <w:r w:rsidR="00C441D3" w:rsidRPr="00344CD1">
        <w:rPr>
          <w:rFonts w:ascii="Cambria" w:eastAsia="Batang" w:hAnsi="Cambria" w:cs="Times New Roman"/>
          <w:color w:val="000000"/>
          <w:sz w:val="21"/>
          <w:szCs w:val="21"/>
        </w:rPr>
        <w:t xml:space="preserve">de las Naciones Unidas </w:t>
      </w:r>
      <w:r w:rsidR="000F5FA8" w:rsidRPr="00344CD1">
        <w:rPr>
          <w:rFonts w:ascii="Cambria" w:eastAsia="Batang" w:hAnsi="Cambria" w:cs="Times New Roman"/>
          <w:color w:val="000000"/>
          <w:sz w:val="21"/>
          <w:szCs w:val="21"/>
        </w:rPr>
        <w:t xml:space="preserve">sobre las formas contemporáneas de racismo, discriminación racial, xenofobia y formas conexas </w:t>
      </w:r>
      <w:r w:rsidR="00052559" w:rsidRPr="00344CD1">
        <w:rPr>
          <w:rFonts w:ascii="Cambria" w:eastAsia="Batang" w:hAnsi="Cambria" w:cs="Times New Roman"/>
          <w:color w:val="000000"/>
          <w:sz w:val="21"/>
          <w:szCs w:val="21"/>
        </w:rPr>
        <w:t>de intolerancia, la s</w:t>
      </w:r>
      <w:r w:rsidR="0060295C" w:rsidRPr="00344CD1">
        <w:rPr>
          <w:rFonts w:ascii="Cambria" w:eastAsia="Batang" w:hAnsi="Cambria" w:cs="Times New Roman"/>
          <w:color w:val="000000"/>
          <w:sz w:val="21"/>
          <w:szCs w:val="21"/>
        </w:rPr>
        <w:t>eñora</w:t>
      </w:r>
      <w:r w:rsidR="000F5FA8" w:rsidRPr="00344CD1">
        <w:rPr>
          <w:rFonts w:ascii="Cambria" w:eastAsia="Batang" w:hAnsi="Cambria" w:cs="Times New Roman"/>
          <w:color w:val="000000"/>
          <w:sz w:val="21"/>
          <w:szCs w:val="21"/>
        </w:rPr>
        <w:t xml:space="preserve"> </w:t>
      </w:r>
      <w:proofErr w:type="spellStart"/>
      <w:r w:rsidR="000F5FA8" w:rsidRPr="00344CD1">
        <w:rPr>
          <w:rFonts w:ascii="Cambria" w:eastAsia="Batang" w:hAnsi="Cambria" w:cs="Times New Roman"/>
          <w:color w:val="000000"/>
          <w:sz w:val="21"/>
          <w:szCs w:val="21"/>
        </w:rPr>
        <w:t>Tendayi</w:t>
      </w:r>
      <w:proofErr w:type="spellEnd"/>
      <w:r w:rsidR="000F5FA8" w:rsidRPr="00344CD1">
        <w:rPr>
          <w:rFonts w:ascii="Cambria" w:eastAsia="Batang" w:hAnsi="Cambria" w:cs="Times New Roman"/>
          <w:color w:val="000000"/>
          <w:sz w:val="21"/>
          <w:szCs w:val="21"/>
        </w:rPr>
        <w:t xml:space="preserve"> </w:t>
      </w:r>
      <w:proofErr w:type="spellStart"/>
      <w:r w:rsidR="000F5FA8" w:rsidRPr="00344CD1">
        <w:rPr>
          <w:rFonts w:ascii="Cambria" w:eastAsia="Batang" w:hAnsi="Cambria" w:cs="Times New Roman"/>
          <w:color w:val="000000"/>
          <w:sz w:val="21"/>
          <w:szCs w:val="21"/>
        </w:rPr>
        <w:t>Achiume</w:t>
      </w:r>
      <w:proofErr w:type="spellEnd"/>
      <w:r w:rsidR="000F5FA8" w:rsidRPr="00344CD1">
        <w:rPr>
          <w:rFonts w:ascii="Cambria" w:eastAsia="Batang" w:hAnsi="Cambria" w:cs="Times New Roman"/>
          <w:color w:val="000000"/>
          <w:sz w:val="21"/>
          <w:szCs w:val="21"/>
          <w:lang w:val="es-ES"/>
        </w:rPr>
        <w:t>:</w:t>
      </w:r>
    </w:p>
    <w:p w14:paraId="02157851" w14:textId="0D64B1A1" w:rsidR="000F5FA8" w:rsidRPr="00344CD1" w:rsidRDefault="000F5FA8" w:rsidP="00D51F89">
      <w:pPr>
        <w:spacing w:after="0" w:line="240" w:lineRule="auto"/>
        <w:ind w:left="360"/>
        <w:contextualSpacing/>
        <w:jc w:val="both"/>
        <w:rPr>
          <w:rFonts w:ascii="Cambria" w:eastAsia="Batang" w:hAnsi="Cambria" w:cs="Times New Roman"/>
          <w:color w:val="000000"/>
          <w:sz w:val="21"/>
          <w:szCs w:val="21"/>
          <w:lang w:val="es-ES"/>
        </w:rPr>
      </w:pPr>
    </w:p>
    <w:p w14:paraId="6AFF34E5" w14:textId="4B9D02F8" w:rsidR="000F5FA8" w:rsidRPr="00344CD1" w:rsidRDefault="000F5FA8" w:rsidP="00D51F89">
      <w:pPr>
        <w:spacing w:after="0" w:line="240" w:lineRule="auto"/>
        <w:ind w:left="360"/>
        <w:contextualSpacing/>
        <w:jc w:val="both"/>
        <w:rPr>
          <w:rFonts w:ascii="Cambria" w:eastAsia="Batang" w:hAnsi="Cambria" w:cs="Times New Roman"/>
          <w:color w:val="000000"/>
          <w:sz w:val="18"/>
          <w:szCs w:val="21"/>
          <w:lang w:val="es-ES"/>
        </w:rPr>
      </w:pPr>
      <w:r w:rsidRPr="00344CD1">
        <w:rPr>
          <w:rFonts w:ascii="Cambria" w:eastAsia="Batang" w:hAnsi="Cambria" w:cs="Times New Roman"/>
          <w:color w:val="000000"/>
          <w:sz w:val="18"/>
          <w:szCs w:val="21"/>
          <w:lang w:val="es-ES"/>
        </w:rPr>
        <w:t>aunque el Gobierno del Brasil ha intentado abordar el tema del racismo estructural contra los brasileños de ascendencia africana, los efectos persistentes e irremediables de la esclavitud y la colonización siguen impregnando la sociedad brasileña. […] Los brasileños afrodescendientes se enfrentan a la discriminación racial y a la exclusión institucional, y permanecen en el último lugar de la escala socioeconómica. En comparación con los brasileños de ascendencia europea, los de ascendencia africana sobrellevan condiciones sociales y económicas más pobres, entre las que se incluye un menor ingreso medio, una esperanza de vida más baja, una educación y una vivienda inadecuadas, tasas de desempleo más elevadas y una mayor inseguridad alimentaria. Además, como resultado de una discriminación arraigada y patrocinada por el Estado, este continúa criminalizando y sometiendo a los brasileños afrodescendientes a prisión y a una violencia brutal de manera desproporcionada, que incluye l</w:t>
      </w:r>
      <w:r w:rsidR="00D740EA" w:rsidRPr="00344CD1">
        <w:rPr>
          <w:rFonts w:ascii="Cambria" w:eastAsia="Batang" w:hAnsi="Cambria" w:cs="Times New Roman"/>
          <w:color w:val="000000"/>
          <w:sz w:val="18"/>
          <w:szCs w:val="21"/>
          <w:lang w:val="es-ES"/>
        </w:rPr>
        <w:t>as ejecuciones extrajudiciales.</w:t>
      </w:r>
    </w:p>
    <w:p w14:paraId="046F66B0" w14:textId="77777777" w:rsidR="0056186A" w:rsidRPr="00344CD1" w:rsidRDefault="0056186A" w:rsidP="00D51F89">
      <w:pPr>
        <w:spacing w:after="0" w:line="240" w:lineRule="auto"/>
        <w:ind w:left="360"/>
        <w:contextualSpacing/>
        <w:jc w:val="both"/>
        <w:rPr>
          <w:rFonts w:ascii="Cambria" w:eastAsia="Batang" w:hAnsi="Cambria" w:cs="Times New Roman"/>
          <w:color w:val="000000"/>
          <w:sz w:val="21"/>
          <w:szCs w:val="21"/>
          <w:lang w:val="es-ES"/>
        </w:rPr>
      </w:pPr>
    </w:p>
    <w:p w14:paraId="214FF19A" w14:textId="7E8DD201" w:rsidR="0056186A" w:rsidRPr="00344CD1" w:rsidRDefault="0056186A"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En ese sentido, la Comisión comprende que las condiciones de vulnerabilidad a las que han sido expuestas las comunidades afrodescendientes tribales</w:t>
      </w:r>
      <w:r w:rsidR="00425C95" w:rsidRPr="00344CD1">
        <w:rPr>
          <w:rFonts w:ascii="Cambria" w:eastAsia="Batang" w:hAnsi="Cambria" w:cs="Times New Roman"/>
          <w:color w:val="000000"/>
          <w:sz w:val="21"/>
          <w:szCs w:val="21"/>
          <w:lang w:val="es-ES"/>
        </w:rPr>
        <w:t>,</w:t>
      </w:r>
      <w:r w:rsidRPr="00344CD1">
        <w:rPr>
          <w:rFonts w:ascii="Cambria" w:eastAsia="Batang" w:hAnsi="Cambria" w:cs="Times New Roman"/>
          <w:color w:val="000000"/>
          <w:sz w:val="21"/>
          <w:szCs w:val="21"/>
          <w:lang w:val="es-ES"/>
        </w:rPr>
        <w:t xml:space="preserve"> debido a la discriminación racial estructural e histórica, afecta el acceso</w:t>
      </w:r>
      <w:r w:rsidR="00E81368" w:rsidRPr="00344CD1">
        <w:rPr>
          <w:rFonts w:ascii="Cambria" w:eastAsia="Batang" w:hAnsi="Cambria" w:cs="Times New Roman"/>
          <w:color w:val="000000"/>
          <w:sz w:val="21"/>
          <w:szCs w:val="21"/>
          <w:lang w:val="es-ES"/>
        </w:rPr>
        <w:t xml:space="preserve"> y realización de sus derechos.</w:t>
      </w:r>
      <w:r w:rsidRPr="00344CD1">
        <w:rPr>
          <w:rFonts w:ascii="Cambria" w:eastAsia="Batang" w:hAnsi="Cambria" w:cs="Times New Roman"/>
          <w:color w:val="000000"/>
          <w:sz w:val="21"/>
          <w:szCs w:val="21"/>
          <w:lang w:val="es-ES"/>
        </w:rPr>
        <w:t xml:space="preserve"> </w:t>
      </w:r>
      <w:r w:rsidR="00425C95" w:rsidRPr="00344CD1">
        <w:rPr>
          <w:rFonts w:ascii="Cambria" w:eastAsia="Batang" w:hAnsi="Cambria" w:cs="Times New Roman"/>
          <w:color w:val="000000"/>
          <w:sz w:val="21"/>
          <w:szCs w:val="21"/>
          <w:lang w:val="es-ES"/>
        </w:rPr>
        <w:t>Asimismo, la CIDH entiende que para las comunidades remanentes de quilombos el territorio es el espacio geográfico en donde se construyen las tradiciones culturales y respectivas formas de vida.</w:t>
      </w:r>
    </w:p>
    <w:p w14:paraId="46F3FEE7" w14:textId="1FEC4E53" w:rsidR="0062264F" w:rsidRPr="00344CD1" w:rsidRDefault="0062264F" w:rsidP="00D51F89">
      <w:pPr>
        <w:spacing w:after="0" w:line="240" w:lineRule="auto"/>
        <w:contextualSpacing/>
        <w:jc w:val="both"/>
        <w:rPr>
          <w:rFonts w:ascii="Cambria" w:eastAsia="Calibri" w:hAnsi="Cambria" w:cs="Times New Roman"/>
          <w:sz w:val="21"/>
          <w:szCs w:val="21"/>
        </w:rPr>
      </w:pPr>
    </w:p>
    <w:p w14:paraId="2ABA2209" w14:textId="203D3262" w:rsidR="00C66795" w:rsidRPr="00344CD1" w:rsidRDefault="0060295C" w:rsidP="00D51F89">
      <w:pPr>
        <w:numPr>
          <w:ilvl w:val="0"/>
          <w:numId w:val="2"/>
        </w:numPr>
        <w:spacing w:after="0" w:line="240" w:lineRule="auto"/>
        <w:ind w:hanging="294"/>
        <w:jc w:val="both"/>
        <w:rPr>
          <w:rFonts w:ascii="Cambria" w:eastAsia="Batang" w:hAnsi="Cambria" w:cs="Times New Roman"/>
          <w:b/>
          <w:color w:val="000000"/>
          <w:sz w:val="21"/>
          <w:szCs w:val="21"/>
          <w:lang w:val="es-ES"/>
        </w:rPr>
      </w:pPr>
      <w:r w:rsidRPr="00344CD1">
        <w:rPr>
          <w:rFonts w:ascii="Cambria" w:eastAsia="Batang" w:hAnsi="Cambria" w:cs="Times New Roman"/>
          <w:b/>
          <w:color w:val="000000"/>
          <w:sz w:val="21"/>
          <w:szCs w:val="21"/>
          <w:lang w:val="es-ES"/>
        </w:rPr>
        <w:t xml:space="preserve">PERSONAS </w:t>
      </w:r>
      <w:r w:rsidR="00C66795" w:rsidRPr="00344CD1">
        <w:rPr>
          <w:rFonts w:ascii="Cambria" w:eastAsia="Batang" w:hAnsi="Cambria" w:cs="Times New Roman"/>
          <w:b/>
          <w:color w:val="000000"/>
          <w:sz w:val="21"/>
          <w:szCs w:val="21"/>
          <w:lang w:val="es-ES"/>
        </w:rPr>
        <w:t>BE</w:t>
      </w:r>
      <w:r w:rsidRPr="00344CD1">
        <w:rPr>
          <w:rFonts w:ascii="Cambria" w:eastAsia="Batang" w:hAnsi="Cambria" w:cs="Times New Roman"/>
          <w:b/>
          <w:color w:val="000000"/>
          <w:sz w:val="21"/>
          <w:szCs w:val="21"/>
          <w:lang w:val="es-ES"/>
        </w:rPr>
        <w:t>NEFICIARIA</w:t>
      </w:r>
      <w:r w:rsidR="00C66795" w:rsidRPr="00344CD1">
        <w:rPr>
          <w:rFonts w:ascii="Cambria" w:eastAsia="Batang" w:hAnsi="Cambria" w:cs="Times New Roman"/>
          <w:b/>
          <w:color w:val="000000"/>
          <w:sz w:val="21"/>
          <w:szCs w:val="21"/>
          <w:lang w:val="es-ES"/>
        </w:rPr>
        <w:t>S</w:t>
      </w:r>
    </w:p>
    <w:p w14:paraId="41B8738F" w14:textId="77777777" w:rsidR="00C66795" w:rsidRPr="00344CD1" w:rsidRDefault="00C66795" w:rsidP="00D51F89">
      <w:pPr>
        <w:spacing w:after="0" w:line="240" w:lineRule="auto"/>
        <w:jc w:val="both"/>
        <w:rPr>
          <w:rFonts w:ascii="Cambria" w:eastAsia="Batang" w:hAnsi="Cambria" w:cs="Times New Roman"/>
          <w:b/>
          <w:color w:val="000000"/>
          <w:sz w:val="21"/>
          <w:szCs w:val="21"/>
          <w:lang w:val="es-ES"/>
        </w:rPr>
      </w:pPr>
    </w:p>
    <w:p w14:paraId="5C3608F1" w14:textId="7482BE0D" w:rsidR="00C66795" w:rsidRPr="00344CD1" w:rsidRDefault="00C66795"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La Comisión declara que </w:t>
      </w:r>
      <w:r w:rsidR="0060295C" w:rsidRPr="00344CD1">
        <w:rPr>
          <w:rFonts w:ascii="Cambria" w:eastAsia="Batang" w:hAnsi="Cambria" w:cs="Times New Roman"/>
          <w:color w:val="000000"/>
          <w:sz w:val="21"/>
          <w:szCs w:val="21"/>
          <w:lang w:val="es-ES"/>
        </w:rPr>
        <w:t>las personas beneficiaria</w:t>
      </w:r>
      <w:r w:rsidRPr="00344CD1">
        <w:rPr>
          <w:rFonts w:ascii="Cambria" w:eastAsia="Batang" w:hAnsi="Cambria" w:cs="Times New Roman"/>
          <w:color w:val="000000"/>
          <w:sz w:val="21"/>
          <w:szCs w:val="21"/>
          <w:lang w:val="es-ES"/>
        </w:rPr>
        <w:t>s de la presente medida cautelar son</w:t>
      </w:r>
      <w:r w:rsidR="00634510" w:rsidRPr="00344CD1">
        <w:rPr>
          <w:rFonts w:ascii="Cambria" w:eastAsia="Batang" w:hAnsi="Cambria" w:cs="Times New Roman"/>
          <w:color w:val="000000"/>
          <w:sz w:val="21"/>
          <w:szCs w:val="21"/>
          <w:lang w:val="es-ES"/>
        </w:rPr>
        <w:t xml:space="preserve"> los miembros de la C</w:t>
      </w:r>
      <w:r w:rsidR="00A91EC1" w:rsidRPr="00344CD1">
        <w:rPr>
          <w:rFonts w:ascii="Cambria" w:eastAsia="Batang" w:hAnsi="Cambria" w:cs="Times New Roman"/>
          <w:color w:val="000000"/>
          <w:sz w:val="21"/>
          <w:szCs w:val="21"/>
          <w:lang w:val="es-ES"/>
        </w:rPr>
        <w:t xml:space="preserve">omunidad </w:t>
      </w:r>
      <w:r w:rsidR="00634510" w:rsidRPr="00344CD1">
        <w:rPr>
          <w:rFonts w:ascii="Cambria" w:eastAsia="Batang" w:hAnsi="Cambria" w:cs="Times New Roman"/>
          <w:color w:val="000000"/>
          <w:sz w:val="21"/>
          <w:szCs w:val="21"/>
          <w:lang w:val="es-ES"/>
        </w:rPr>
        <w:t>R</w:t>
      </w:r>
      <w:r w:rsidR="00A91EC1" w:rsidRPr="00344CD1">
        <w:rPr>
          <w:rFonts w:ascii="Cambria" w:eastAsia="Batang" w:hAnsi="Cambria" w:cs="Times New Roman"/>
          <w:color w:val="000000"/>
          <w:sz w:val="21"/>
          <w:szCs w:val="21"/>
          <w:lang w:val="es-ES"/>
        </w:rPr>
        <w:t>emanente del Quilombo Rio dos Macacos</w:t>
      </w:r>
      <w:r w:rsidRPr="00344CD1">
        <w:rPr>
          <w:rFonts w:ascii="Cambria" w:eastAsia="Batang" w:hAnsi="Cambria" w:cs="Times New Roman"/>
          <w:color w:val="000000"/>
          <w:sz w:val="21"/>
          <w:szCs w:val="21"/>
          <w:lang w:val="es-ES"/>
        </w:rPr>
        <w:t>, quienes resultan</w:t>
      </w:r>
      <w:r w:rsidR="005A24AA" w:rsidRPr="00344CD1">
        <w:rPr>
          <w:rFonts w:ascii="Cambria" w:eastAsia="Batang" w:hAnsi="Cambria" w:cs="Times New Roman"/>
          <w:color w:val="000000"/>
          <w:sz w:val="21"/>
          <w:szCs w:val="21"/>
          <w:lang w:val="es-ES"/>
        </w:rPr>
        <w:t xml:space="preserve"> suficientemente</w:t>
      </w:r>
      <w:r w:rsidRPr="00344CD1">
        <w:rPr>
          <w:rFonts w:ascii="Cambria" w:eastAsia="Batang" w:hAnsi="Cambria" w:cs="Times New Roman"/>
          <w:color w:val="000000"/>
          <w:sz w:val="21"/>
          <w:szCs w:val="21"/>
          <w:lang w:val="es-ES"/>
        </w:rPr>
        <w:t xml:space="preserve"> identificables en los términos del artículo 25.6.b del Reglamento.</w:t>
      </w:r>
    </w:p>
    <w:p w14:paraId="371CEB20" w14:textId="0924BF83" w:rsidR="0062264F" w:rsidRPr="00344CD1" w:rsidRDefault="0062264F" w:rsidP="00D51F89">
      <w:pPr>
        <w:spacing w:after="0" w:line="240" w:lineRule="auto"/>
        <w:jc w:val="both"/>
        <w:rPr>
          <w:rFonts w:ascii="Cambria" w:eastAsia="Batang" w:hAnsi="Cambria" w:cs="Times New Roman"/>
          <w:color w:val="000000"/>
          <w:sz w:val="21"/>
          <w:szCs w:val="21"/>
          <w:lang w:val="es-ES"/>
        </w:rPr>
      </w:pPr>
    </w:p>
    <w:p w14:paraId="06730802" w14:textId="77777777" w:rsidR="00C66795" w:rsidRPr="00344CD1" w:rsidRDefault="00C66795" w:rsidP="00D51F89">
      <w:pPr>
        <w:numPr>
          <w:ilvl w:val="0"/>
          <w:numId w:val="2"/>
        </w:numPr>
        <w:spacing w:after="0" w:line="240" w:lineRule="auto"/>
        <w:ind w:hanging="294"/>
        <w:jc w:val="both"/>
        <w:rPr>
          <w:rFonts w:ascii="Cambria" w:eastAsia="Batang" w:hAnsi="Cambria" w:cs="Times New Roman"/>
          <w:b/>
          <w:color w:val="000000"/>
          <w:sz w:val="21"/>
          <w:szCs w:val="21"/>
          <w:lang w:val="es-ES"/>
        </w:rPr>
      </w:pPr>
      <w:r w:rsidRPr="00344CD1">
        <w:rPr>
          <w:rFonts w:ascii="Cambria" w:eastAsia="Batang" w:hAnsi="Cambria" w:cs="Times New Roman"/>
          <w:b/>
          <w:color w:val="000000"/>
          <w:sz w:val="21"/>
          <w:szCs w:val="21"/>
          <w:lang w:val="es-ES"/>
        </w:rPr>
        <w:t xml:space="preserve">DECISIÓN </w:t>
      </w:r>
    </w:p>
    <w:p w14:paraId="0606E5BC" w14:textId="77777777" w:rsidR="00C66795" w:rsidRPr="00344CD1" w:rsidRDefault="00C66795" w:rsidP="00D51F89">
      <w:pPr>
        <w:spacing w:after="0" w:line="240" w:lineRule="auto"/>
        <w:jc w:val="both"/>
        <w:rPr>
          <w:rFonts w:ascii="Cambria" w:eastAsia="Batang" w:hAnsi="Cambria" w:cs="Times New Roman"/>
          <w:b/>
          <w:color w:val="000000"/>
          <w:sz w:val="21"/>
          <w:szCs w:val="21"/>
          <w:lang w:val="es-ES"/>
        </w:rPr>
      </w:pPr>
    </w:p>
    <w:p w14:paraId="51A808D4" w14:textId="77777777" w:rsidR="00C66795" w:rsidRPr="00344CD1" w:rsidRDefault="00C66795"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En vista de los antecedentes señalados, la CIDH considera que el presente asunto reúne </w:t>
      </w:r>
      <w:r w:rsidRPr="00344CD1">
        <w:rPr>
          <w:rFonts w:ascii="Cambria" w:eastAsia="Batang" w:hAnsi="Cambria" w:cs="Times New Roman"/>
          <w:i/>
          <w:color w:val="000000"/>
          <w:sz w:val="21"/>
          <w:szCs w:val="21"/>
          <w:lang w:val="es-ES"/>
        </w:rPr>
        <w:t>prima facie</w:t>
      </w:r>
      <w:r w:rsidRPr="00344CD1">
        <w:rPr>
          <w:rFonts w:ascii="Cambria" w:eastAsia="Batang" w:hAnsi="Cambria" w:cs="Times New Roman"/>
          <w:color w:val="000000"/>
          <w:sz w:val="21"/>
          <w:szCs w:val="21"/>
          <w:lang w:val="es-ES"/>
        </w:rPr>
        <w:t xml:space="preserve"> los requisitos de gravedad, urgencia e </w:t>
      </w:r>
      <w:proofErr w:type="spellStart"/>
      <w:r w:rsidRPr="00344CD1">
        <w:rPr>
          <w:rFonts w:ascii="Cambria" w:eastAsia="Batang" w:hAnsi="Cambria" w:cs="Times New Roman"/>
          <w:color w:val="000000"/>
          <w:sz w:val="21"/>
          <w:szCs w:val="21"/>
          <w:lang w:val="es-ES"/>
        </w:rPr>
        <w:t>irreparabilidad</w:t>
      </w:r>
      <w:proofErr w:type="spellEnd"/>
      <w:r w:rsidRPr="00344CD1">
        <w:rPr>
          <w:rFonts w:ascii="Cambria" w:eastAsia="Batang" w:hAnsi="Cambria" w:cs="Times New Roman"/>
          <w:color w:val="000000"/>
          <w:sz w:val="21"/>
          <w:szCs w:val="21"/>
          <w:lang w:val="es-ES"/>
        </w:rPr>
        <w:t xml:space="preserve"> contenidos en el artículo 25 de su Reglamento. En consecuencia, esta solicita a Brasil que:</w:t>
      </w:r>
    </w:p>
    <w:p w14:paraId="36679B50" w14:textId="77777777" w:rsidR="00C66795" w:rsidRPr="00344CD1" w:rsidRDefault="00C66795" w:rsidP="00D51F89">
      <w:pPr>
        <w:spacing w:before="120" w:after="0" w:line="240" w:lineRule="auto"/>
        <w:jc w:val="both"/>
        <w:rPr>
          <w:rFonts w:ascii="Cambria" w:eastAsia="Batang" w:hAnsi="Cambria" w:cs="Times New Roman"/>
          <w:color w:val="000000"/>
          <w:sz w:val="21"/>
          <w:szCs w:val="21"/>
          <w:lang w:val="es-ES"/>
        </w:rPr>
      </w:pPr>
    </w:p>
    <w:p w14:paraId="3FBE0DED" w14:textId="6187B371" w:rsidR="00A91EC1" w:rsidRPr="00344CD1" w:rsidRDefault="00A91EC1" w:rsidP="0094666C">
      <w:pPr>
        <w:pStyle w:val="ListParagraph"/>
        <w:numPr>
          <w:ilvl w:val="1"/>
          <w:numId w:val="8"/>
        </w:numPr>
        <w:spacing w:after="120" w:line="276" w:lineRule="auto"/>
        <w:ind w:left="850" w:hanging="357"/>
        <w:contextualSpacing w:val="0"/>
        <w:jc w:val="both"/>
        <w:rPr>
          <w:rFonts w:ascii="Cambria" w:eastAsia="Calibri" w:hAnsi="Cambria" w:cs="Times New Roman"/>
          <w:sz w:val="21"/>
          <w:szCs w:val="21"/>
          <w:lang w:val="es-ES"/>
        </w:rPr>
      </w:pPr>
      <w:r w:rsidRPr="00344CD1">
        <w:rPr>
          <w:rFonts w:ascii="Cambria" w:eastAsia="Calibri" w:hAnsi="Cambria" w:cs="Times New Roman"/>
          <w:sz w:val="21"/>
          <w:szCs w:val="21"/>
        </w:rPr>
        <w:t>adopte l</w:t>
      </w:r>
      <w:r w:rsidR="00634510" w:rsidRPr="00344CD1">
        <w:rPr>
          <w:rFonts w:ascii="Cambria" w:eastAsia="Calibri" w:hAnsi="Cambria" w:cs="Times New Roman"/>
          <w:sz w:val="21"/>
          <w:szCs w:val="21"/>
        </w:rPr>
        <w:t xml:space="preserve">as medidas necesarias, </w:t>
      </w:r>
      <w:r w:rsidR="00823AB8" w:rsidRPr="00344CD1">
        <w:rPr>
          <w:rFonts w:ascii="Cambria" w:eastAsia="Calibri" w:hAnsi="Cambria" w:cs="Times New Roman"/>
          <w:sz w:val="21"/>
          <w:szCs w:val="21"/>
        </w:rPr>
        <w:t>integrando un enfoque intercultural adecuado</w:t>
      </w:r>
      <w:r w:rsidRPr="00344CD1">
        <w:rPr>
          <w:rFonts w:ascii="Cambria" w:eastAsia="Calibri" w:hAnsi="Cambria" w:cs="Times New Roman"/>
          <w:sz w:val="21"/>
          <w:szCs w:val="21"/>
        </w:rPr>
        <w:t>, para proteger la vida</w:t>
      </w:r>
      <w:r w:rsidR="00383A97" w:rsidRPr="00344CD1">
        <w:rPr>
          <w:rFonts w:ascii="Cambria" w:eastAsia="Calibri" w:hAnsi="Cambria" w:cs="Times New Roman"/>
          <w:sz w:val="21"/>
          <w:szCs w:val="21"/>
        </w:rPr>
        <w:t xml:space="preserve"> e</w:t>
      </w:r>
      <w:r w:rsidRPr="00344CD1">
        <w:rPr>
          <w:rFonts w:ascii="Cambria" w:eastAsia="Calibri" w:hAnsi="Cambria" w:cs="Times New Roman"/>
          <w:sz w:val="21"/>
          <w:szCs w:val="21"/>
        </w:rPr>
        <w:t xml:space="preserve"> integridad personal </w:t>
      </w:r>
      <w:r w:rsidRPr="00344CD1">
        <w:rPr>
          <w:rFonts w:ascii="Cambria" w:eastAsia="Calibri" w:hAnsi="Cambria" w:cs="Times New Roman"/>
          <w:sz w:val="21"/>
          <w:szCs w:val="21"/>
          <w:lang w:val="es-ES"/>
        </w:rPr>
        <w:t xml:space="preserve">los miembros de la </w:t>
      </w:r>
      <w:r w:rsidR="00634510" w:rsidRPr="00344CD1">
        <w:rPr>
          <w:rFonts w:ascii="Cambria" w:eastAsia="Calibri" w:hAnsi="Cambria" w:cs="Times New Roman"/>
          <w:sz w:val="21"/>
          <w:szCs w:val="21"/>
          <w:lang w:val="es-ES"/>
        </w:rPr>
        <w:t>C</w:t>
      </w:r>
      <w:r w:rsidRPr="00344CD1">
        <w:rPr>
          <w:rFonts w:ascii="Cambria" w:eastAsia="Calibri" w:hAnsi="Cambria" w:cs="Times New Roman"/>
          <w:sz w:val="21"/>
          <w:szCs w:val="21"/>
          <w:lang w:val="es-ES"/>
        </w:rPr>
        <w:t xml:space="preserve">omunidad </w:t>
      </w:r>
      <w:r w:rsidR="00634510" w:rsidRPr="00344CD1">
        <w:rPr>
          <w:rFonts w:ascii="Cambria" w:eastAsia="Calibri" w:hAnsi="Cambria" w:cs="Times New Roman"/>
          <w:sz w:val="21"/>
          <w:szCs w:val="21"/>
          <w:lang w:val="es-ES"/>
        </w:rPr>
        <w:t>R</w:t>
      </w:r>
      <w:r w:rsidRPr="00344CD1">
        <w:rPr>
          <w:rFonts w:ascii="Cambria" w:eastAsia="Calibri" w:hAnsi="Cambria" w:cs="Times New Roman"/>
          <w:sz w:val="21"/>
          <w:szCs w:val="21"/>
          <w:lang w:val="es-ES"/>
        </w:rPr>
        <w:t>emanente del Quilombo Rio dos Macacos</w:t>
      </w:r>
      <w:r w:rsidR="002D6AF5" w:rsidRPr="00344CD1">
        <w:rPr>
          <w:rFonts w:ascii="Cambria" w:eastAsia="Calibri" w:hAnsi="Cambria" w:cs="Times New Roman"/>
          <w:sz w:val="21"/>
          <w:szCs w:val="21"/>
          <w:lang w:val="es-ES"/>
        </w:rPr>
        <w:t>. En particular, el Estado deberá protegerlos frente a las amenazas, hostigamientos y actos de violencia cometidos tanto por actores estatales como terceros, de conformidad con el derecho internacional de los derechos humanos</w:t>
      </w:r>
      <w:r w:rsidRPr="00344CD1">
        <w:rPr>
          <w:rFonts w:ascii="Cambria" w:eastAsia="Calibri" w:hAnsi="Cambria" w:cs="Times New Roman"/>
          <w:sz w:val="21"/>
          <w:szCs w:val="21"/>
          <w:lang w:val="es-ES"/>
        </w:rPr>
        <w:t xml:space="preserve">; </w:t>
      </w:r>
    </w:p>
    <w:p w14:paraId="792909F9" w14:textId="12BCFF38" w:rsidR="00A91EC1" w:rsidRPr="00344CD1" w:rsidRDefault="00A91EC1" w:rsidP="0094666C">
      <w:pPr>
        <w:pStyle w:val="ListParagraph"/>
        <w:numPr>
          <w:ilvl w:val="1"/>
          <w:numId w:val="8"/>
        </w:numPr>
        <w:spacing w:after="120" w:line="276" w:lineRule="auto"/>
        <w:ind w:left="850" w:hanging="357"/>
        <w:contextualSpacing w:val="0"/>
        <w:jc w:val="both"/>
        <w:rPr>
          <w:rFonts w:ascii="Cambria" w:eastAsia="Calibri" w:hAnsi="Cambria" w:cs="Times New Roman"/>
          <w:sz w:val="21"/>
          <w:szCs w:val="21"/>
        </w:rPr>
      </w:pPr>
      <w:r w:rsidRPr="00344CD1">
        <w:rPr>
          <w:rFonts w:ascii="Cambria" w:eastAsia="Calibri" w:hAnsi="Cambria" w:cs="Times New Roman"/>
          <w:sz w:val="21"/>
          <w:szCs w:val="21"/>
        </w:rPr>
        <w:t xml:space="preserve">concierte las medidas a adoptarse con los beneficiarios y sus representantes; y </w:t>
      </w:r>
    </w:p>
    <w:p w14:paraId="36707D3C" w14:textId="36DD9E7B" w:rsidR="00C66795" w:rsidRPr="00344CD1" w:rsidRDefault="00A91EC1" w:rsidP="0094666C">
      <w:pPr>
        <w:pStyle w:val="ListParagraph"/>
        <w:numPr>
          <w:ilvl w:val="1"/>
          <w:numId w:val="8"/>
        </w:numPr>
        <w:spacing w:after="120" w:line="276" w:lineRule="auto"/>
        <w:ind w:left="850" w:hanging="357"/>
        <w:contextualSpacing w:val="0"/>
        <w:jc w:val="both"/>
        <w:rPr>
          <w:rFonts w:ascii="Cambria" w:eastAsia="Calibri" w:hAnsi="Cambria" w:cs="Times New Roman"/>
          <w:sz w:val="21"/>
          <w:szCs w:val="21"/>
        </w:rPr>
      </w:pPr>
      <w:r w:rsidRPr="00344CD1">
        <w:rPr>
          <w:rFonts w:ascii="Cambria" w:eastAsia="Calibri" w:hAnsi="Cambria" w:cs="Times New Roman"/>
          <w:sz w:val="21"/>
          <w:szCs w:val="21"/>
        </w:rPr>
        <w:t>informe sobre las acciones adoptadas a fin de investigar los hechos que dieron lugar a la adopción de la presente medida cautelar y así evitar su repetición.</w:t>
      </w:r>
    </w:p>
    <w:p w14:paraId="1481304E" w14:textId="77777777" w:rsidR="00A91EC1" w:rsidRPr="00344CD1" w:rsidRDefault="00A91EC1" w:rsidP="00D51F89">
      <w:pPr>
        <w:contextualSpacing/>
        <w:jc w:val="both"/>
        <w:rPr>
          <w:rFonts w:ascii="Cambria" w:eastAsia="Batang" w:hAnsi="Cambria" w:cs="Times New Roman"/>
          <w:color w:val="000000"/>
          <w:sz w:val="21"/>
          <w:szCs w:val="21"/>
        </w:rPr>
      </w:pPr>
    </w:p>
    <w:p w14:paraId="3B26DB15" w14:textId="47260644" w:rsidR="00C66795" w:rsidRPr="00344CD1" w:rsidRDefault="00C66795"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 xml:space="preserve">La Comisión solicita al Gobierno de Su Excelencia que tenga a bien informar a la Comisión, dentro del plazo de </w:t>
      </w:r>
      <w:r w:rsidR="00634510" w:rsidRPr="00344CD1">
        <w:rPr>
          <w:rFonts w:ascii="Cambria" w:eastAsia="Batang" w:hAnsi="Cambria" w:cs="Times New Roman"/>
          <w:color w:val="000000"/>
          <w:sz w:val="21"/>
          <w:szCs w:val="21"/>
          <w:lang w:val="es-ES"/>
        </w:rPr>
        <w:t>20</w:t>
      </w:r>
      <w:r w:rsidRPr="00344CD1">
        <w:rPr>
          <w:rFonts w:ascii="Cambria" w:eastAsia="Batang" w:hAnsi="Cambria" w:cs="Times New Roman"/>
          <w:color w:val="000000"/>
          <w:sz w:val="21"/>
          <w:szCs w:val="21"/>
          <w:lang w:val="es-ES"/>
        </w:rPr>
        <w:t xml:space="preserve"> días contados a partir de la fecha de la presente comunicación, sobre la adopción de las medidas cautelares acordadas y actualizar dicha </w:t>
      </w:r>
      <w:r w:rsidR="001616E7" w:rsidRPr="00344CD1">
        <w:rPr>
          <w:rFonts w:ascii="Cambria" w:eastAsia="Batang" w:hAnsi="Cambria" w:cs="Times New Roman"/>
          <w:color w:val="000000"/>
          <w:sz w:val="21"/>
          <w:szCs w:val="21"/>
          <w:lang w:val="es-ES"/>
        </w:rPr>
        <w:t>información en forma periódica.</w:t>
      </w:r>
    </w:p>
    <w:p w14:paraId="5CAF77B0" w14:textId="77777777" w:rsidR="00C66795" w:rsidRPr="00344CD1" w:rsidRDefault="00C66795" w:rsidP="00D51F89">
      <w:pPr>
        <w:spacing w:after="0" w:line="240" w:lineRule="auto"/>
        <w:ind w:left="360"/>
        <w:contextualSpacing/>
        <w:jc w:val="both"/>
        <w:rPr>
          <w:rFonts w:ascii="Cambria" w:eastAsia="Batang" w:hAnsi="Cambria" w:cs="Times New Roman"/>
          <w:color w:val="000000"/>
          <w:sz w:val="21"/>
          <w:szCs w:val="21"/>
          <w:lang w:val="es-ES"/>
        </w:rPr>
      </w:pPr>
    </w:p>
    <w:p w14:paraId="528F8A94" w14:textId="77777777" w:rsidR="00C66795" w:rsidRPr="00344CD1" w:rsidRDefault="00C66795"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La Comisión resalta que, de conformidad con el artículo 25.8 del Reglamento de la Comisión, el otorgamiento de medidas cautelares y su adopción por el Estado no constituyen prejuzgamiento sobre la posible violación de los derechos protegidos en la Convención Americana y otros instrumentos aplicables.</w:t>
      </w:r>
    </w:p>
    <w:p w14:paraId="67C44254" w14:textId="77777777" w:rsidR="00C66795" w:rsidRPr="00344CD1" w:rsidRDefault="00C66795" w:rsidP="00D51F89">
      <w:pPr>
        <w:spacing w:line="240" w:lineRule="auto"/>
        <w:ind w:left="720"/>
        <w:contextualSpacing/>
        <w:rPr>
          <w:rFonts w:ascii="Cambria" w:eastAsia="Batang" w:hAnsi="Cambria" w:cs="Times New Roman"/>
          <w:color w:val="000000"/>
          <w:sz w:val="21"/>
          <w:szCs w:val="21"/>
          <w:lang w:val="es-ES"/>
        </w:rPr>
      </w:pPr>
    </w:p>
    <w:p w14:paraId="6F31864D" w14:textId="77777777" w:rsidR="00C66795" w:rsidRPr="00344CD1" w:rsidRDefault="00C66795"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ES"/>
        </w:rPr>
      </w:pPr>
      <w:r w:rsidRPr="00344CD1">
        <w:rPr>
          <w:rFonts w:ascii="Cambria" w:eastAsia="Batang" w:hAnsi="Cambria" w:cs="Times New Roman"/>
          <w:color w:val="000000"/>
          <w:sz w:val="21"/>
          <w:szCs w:val="21"/>
          <w:lang w:val="es-ES"/>
        </w:rPr>
        <w:t>La Comisión instruye a su Secretaría Ejecutiva que notifique la presente Resolución al Estado de Brasil y a los solicitantes.</w:t>
      </w:r>
    </w:p>
    <w:p w14:paraId="59FA267E" w14:textId="77777777" w:rsidR="00C66795" w:rsidRPr="00344CD1" w:rsidRDefault="00C66795" w:rsidP="00D51F89">
      <w:pPr>
        <w:spacing w:after="0" w:line="240" w:lineRule="auto"/>
        <w:ind w:left="360"/>
        <w:jc w:val="both"/>
        <w:rPr>
          <w:rFonts w:ascii="Cambria" w:eastAsia="Batang" w:hAnsi="Cambria" w:cs="Times New Roman"/>
          <w:color w:val="000000"/>
          <w:sz w:val="21"/>
          <w:szCs w:val="21"/>
          <w:lang w:val="es-ES"/>
        </w:rPr>
      </w:pPr>
    </w:p>
    <w:p w14:paraId="6CA3869D" w14:textId="106BED93" w:rsidR="00C66795" w:rsidRPr="00344CD1" w:rsidRDefault="00C66795" w:rsidP="00D51F89">
      <w:pPr>
        <w:numPr>
          <w:ilvl w:val="0"/>
          <w:numId w:val="3"/>
        </w:numPr>
        <w:spacing w:after="0" w:line="240" w:lineRule="auto"/>
        <w:ind w:left="0" w:firstLine="360"/>
        <w:contextualSpacing/>
        <w:jc w:val="both"/>
        <w:rPr>
          <w:rFonts w:ascii="Cambria" w:eastAsia="Batang" w:hAnsi="Cambria" w:cs="Times New Roman"/>
          <w:color w:val="000000"/>
          <w:sz w:val="21"/>
          <w:szCs w:val="21"/>
          <w:lang w:val="es-PE"/>
        </w:rPr>
      </w:pPr>
      <w:r w:rsidRPr="00344CD1">
        <w:rPr>
          <w:rFonts w:ascii="Cambria" w:eastAsia="Batang" w:hAnsi="Cambria" w:cs="Times New Roman"/>
          <w:color w:val="000000"/>
          <w:sz w:val="21"/>
          <w:szCs w:val="21"/>
          <w:lang w:val="es-ES"/>
        </w:rPr>
        <w:t xml:space="preserve">Aprobado el </w:t>
      </w:r>
      <w:r w:rsidR="00282290">
        <w:rPr>
          <w:rFonts w:ascii="Cambria" w:eastAsia="Batang" w:hAnsi="Cambria" w:cs="Times New Roman"/>
          <w:color w:val="000000"/>
          <w:sz w:val="21"/>
          <w:szCs w:val="21"/>
          <w:lang w:val="es-ES"/>
        </w:rPr>
        <w:t>6 de agosto</w:t>
      </w:r>
      <w:r w:rsidRPr="00344CD1">
        <w:rPr>
          <w:rFonts w:ascii="Cambria" w:eastAsia="Batang" w:hAnsi="Cambria" w:cs="Times New Roman"/>
          <w:color w:val="000000"/>
          <w:sz w:val="21"/>
          <w:szCs w:val="21"/>
          <w:lang w:val="es-ES"/>
        </w:rPr>
        <w:t xml:space="preserve"> de 2020 por: </w:t>
      </w:r>
      <w:r w:rsidR="0062264F" w:rsidRPr="00344CD1">
        <w:rPr>
          <w:rFonts w:ascii="Cambria" w:hAnsi="Cambria"/>
          <w:sz w:val="21"/>
          <w:szCs w:val="21"/>
        </w:rPr>
        <w:t>Joel Hernández García, Presidente; Antonia Urrejola Noguera, Primera Vicep</w:t>
      </w:r>
      <w:r w:rsidR="00FF3302" w:rsidRPr="00344CD1">
        <w:rPr>
          <w:rFonts w:ascii="Cambria" w:hAnsi="Cambria"/>
          <w:sz w:val="21"/>
          <w:szCs w:val="21"/>
        </w:rPr>
        <w:t>residenta</w:t>
      </w:r>
      <w:r w:rsidR="0062264F" w:rsidRPr="00344CD1">
        <w:rPr>
          <w:rFonts w:ascii="Cambria" w:hAnsi="Cambria"/>
          <w:sz w:val="21"/>
          <w:szCs w:val="21"/>
        </w:rPr>
        <w:t xml:space="preserve">; </w:t>
      </w:r>
      <w:r w:rsidR="005C3E8F">
        <w:rPr>
          <w:rFonts w:ascii="Cambria" w:hAnsi="Cambria"/>
          <w:sz w:val="21"/>
          <w:szCs w:val="21"/>
        </w:rPr>
        <w:t xml:space="preserve">Margarette May Macaulay; </w:t>
      </w:r>
      <w:r w:rsidR="0062264F" w:rsidRPr="00344CD1">
        <w:rPr>
          <w:rFonts w:ascii="Cambria" w:hAnsi="Cambria"/>
          <w:sz w:val="21"/>
          <w:szCs w:val="21"/>
        </w:rPr>
        <w:t xml:space="preserve">Esmeralda Arosemena de </w:t>
      </w:r>
      <w:proofErr w:type="spellStart"/>
      <w:r w:rsidR="0062264F" w:rsidRPr="00344CD1">
        <w:rPr>
          <w:rFonts w:ascii="Cambria" w:hAnsi="Cambria"/>
          <w:sz w:val="21"/>
          <w:szCs w:val="21"/>
        </w:rPr>
        <w:t>Troitiño</w:t>
      </w:r>
      <w:proofErr w:type="spellEnd"/>
      <w:r w:rsidR="0062264F" w:rsidRPr="00344CD1">
        <w:rPr>
          <w:rFonts w:ascii="Cambria" w:hAnsi="Cambria"/>
          <w:sz w:val="21"/>
          <w:szCs w:val="21"/>
        </w:rPr>
        <w:t xml:space="preserve">, </w:t>
      </w:r>
      <w:r w:rsidR="00FF3302" w:rsidRPr="00344CD1">
        <w:rPr>
          <w:rFonts w:ascii="Cambria" w:hAnsi="Cambria"/>
          <w:sz w:val="21"/>
          <w:szCs w:val="21"/>
        </w:rPr>
        <w:t xml:space="preserve">Edgar Stuardo </w:t>
      </w:r>
      <w:proofErr w:type="spellStart"/>
      <w:r w:rsidR="00FF3302" w:rsidRPr="00344CD1">
        <w:rPr>
          <w:rFonts w:ascii="Cambria" w:hAnsi="Cambria"/>
          <w:sz w:val="21"/>
          <w:szCs w:val="21"/>
        </w:rPr>
        <w:t>Ralón</w:t>
      </w:r>
      <w:proofErr w:type="spellEnd"/>
      <w:r w:rsidR="00FF3302" w:rsidRPr="00344CD1">
        <w:rPr>
          <w:rFonts w:ascii="Cambria" w:hAnsi="Cambria"/>
          <w:sz w:val="21"/>
          <w:szCs w:val="21"/>
        </w:rPr>
        <w:t xml:space="preserve"> Orellana y Julissa Mantilla Falcón, </w:t>
      </w:r>
      <w:r w:rsidR="0062264F" w:rsidRPr="00344CD1">
        <w:rPr>
          <w:rFonts w:ascii="Cambria" w:hAnsi="Cambria"/>
          <w:sz w:val="21"/>
          <w:szCs w:val="21"/>
        </w:rPr>
        <w:t>miembros de la CIDH.</w:t>
      </w:r>
    </w:p>
    <w:p w14:paraId="587022E1" w14:textId="77777777" w:rsidR="00C66795" w:rsidRPr="00C66795" w:rsidRDefault="00C66795" w:rsidP="00D51F89">
      <w:pPr>
        <w:spacing w:after="0" w:line="240" w:lineRule="auto"/>
        <w:jc w:val="both"/>
        <w:rPr>
          <w:rFonts w:ascii="Cambria" w:eastAsia="Calibri" w:hAnsi="Cambria" w:cs="Times New Roman"/>
          <w:sz w:val="21"/>
          <w:szCs w:val="21"/>
          <w:lang w:val="es-PE"/>
        </w:rPr>
      </w:pPr>
    </w:p>
    <w:p w14:paraId="60F6F6AA" w14:textId="77777777" w:rsidR="00C66795" w:rsidRPr="00C66795" w:rsidRDefault="00C66795" w:rsidP="00D51F89">
      <w:pPr>
        <w:spacing w:after="0" w:line="240" w:lineRule="auto"/>
        <w:jc w:val="both"/>
        <w:rPr>
          <w:rFonts w:ascii="Cambria" w:eastAsia="Calibri" w:hAnsi="Cambria" w:cs="Times New Roman"/>
          <w:sz w:val="21"/>
          <w:szCs w:val="21"/>
          <w:lang w:val="es-PE"/>
        </w:rPr>
      </w:pPr>
    </w:p>
    <w:p w14:paraId="7D61CB4B" w14:textId="77777777" w:rsidR="00C66795" w:rsidRPr="00C66795" w:rsidRDefault="00C66795" w:rsidP="00D51F89">
      <w:pPr>
        <w:rPr>
          <w:lang w:val="es-PE"/>
        </w:rPr>
      </w:pPr>
    </w:p>
    <w:p w14:paraId="5F341752" w14:textId="77777777" w:rsidR="00E876D4" w:rsidRPr="00E876D4" w:rsidRDefault="00E876D4" w:rsidP="00E876D4">
      <w:pPr>
        <w:tabs>
          <w:tab w:val="left" w:pos="0"/>
        </w:tabs>
        <w:spacing w:after="0" w:line="240" w:lineRule="auto"/>
        <w:jc w:val="center"/>
        <w:rPr>
          <w:rFonts w:ascii="Cambria" w:eastAsia="Calibri" w:hAnsi="Cambria" w:cs="Times New Roman"/>
          <w:sz w:val="21"/>
          <w:szCs w:val="21"/>
          <w:lang w:val="es-CO"/>
        </w:rPr>
      </w:pPr>
      <w:r w:rsidRPr="00E876D4">
        <w:rPr>
          <w:rFonts w:ascii="Cambria" w:eastAsia="Calibri" w:hAnsi="Cambria" w:cs="Times New Roman"/>
          <w:sz w:val="21"/>
          <w:szCs w:val="21"/>
          <w:lang w:val="es-CO"/>
        </w:rPr>
        <w:t>María Claudia Pulido</w:t>
      </w:r>
    </w:p>
    <w:p w14:paraId="6C6F92EE" w14:textId="77777777" w:rsidR="00E876D4" w:rsidRPr="00E876D4" w:rsidRDefault="00E876D4" w:rsidP="00E876D4">
      <w:pPr>
        <w:tabs>
          <w:tab w:val="left" w:pos="0"/>
        </w:tabs>
        <w:spacing w:after="0" w:line="240" w:lineRule="auto"/>
        <w:jc w:val="center"/>
        <w:rPr>
          <w:rFonts w:ascii="Cambria" w:eastAsia="Calibri" w:hAnsi="Cambria" w:cs="Times New Roman"/>
          <w:color w:val="FF0000"/>
          <w:sz w:val="21"/>
          <w:szCs w:val="21"/>
          <w:lang w:val="es-CO"/>
        </w:rPr>
      </w:pPr>
      <w:r w:rsidRPr="00E876D4">
        <w:rPr>
          <w:rFonts w:ascii="Cambria" w:eastAsia="Calibri" w:hAnsi="Cambria" w:cs="Times New Roman"/>
          <w:sz w:val="21"/>
          <w:szCs w:val="21"/>
          <w:lang w:val="es-CO"/>
        </w:rPr>
        <w:t>Secretaria Ejecutiva Adjunta</w:t>
      </w:r>
    </w:p>
    <w:p w14:paraId="2BC0FFE6" w14:textId="77777777" w:rsidR="00C66795" w:rsidRPr="00E876D4" w:rsidRDefault="00C66795" w:rsidP="00D51F89">
      <w:pPr>
        <w:rPr>
          <w:lang w:val="es-CO"/>
        </w:rPr>
      </w:pPr>
    </w:p>
    <w:p w14:paraId="2625D394" w14:textId="77777777" w:rsidR="00681654" w:rsidRPr="00C66795" w:rsidRDefault="00681654" w:rsidP="00D51F89">
      <w:pPr>
        <w:rPr>
          <w:lang w:val="es-PE"/>
        </w:rPr>
      </w:pPr>
    </w:p>
    <w:sectPr w:rsidR="00681654" w:rsidRPr="00C66795" w:rsidSect="00681654">
      <w:headerReference w:type="default" r:id="rId8"/>
      <w:footerReference w:type="default" r:id="rId9"/>
      <w:pgSz w:w="11906" w:h="16838"/>
      <w:pgMar w:top="1440" w:right="1440" w:bottom="1440" w:left="1440" w:header="720" w:footer="720" w:gutter="0"/>
      <w:pgNumType w:fmt="numberInDash"/>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E4F79F" w16cid:durableId="21F4F79C"/>
  <w16cid:commentId w16cid:paraId="76D71B57" w16cid:durableId="21F4F79D"/>
  <w16cid:commentId w16cid:paraId="3D39B58D" w16cid:durableId="21F4F79E"/>
  <w16cid:commentId w16cid:paraId="1506E710" w16cid:durableId="21F4F79F"/>
  <w16cid:commentId w16cid:paraId="0D13CF38" w16cid:durableId="21F4F7A0"/>
  <w16cid:commentId w16cid:paraId="1BCE5E8F" w16cid:durableId="21F4F7A1"/>
  <w16cid:commentId w16cid:paraId="70910F7C" w16cid:durableId="21F4F7A2"/>
  <w16cid:commentId w16cid:paraId="42D93916" w16cid:durableId="21F4F7A3"/>
  <w16cid:commentId w16cid:paraId="3B844537" w16cid:durableId="21F4F7A4"/>
  <w16cid:commentId w16cid:paraId="191C03DF" w16cid:durableId="21F4F7A5"/>
  <w16cid:commentId w16cid:paraId="72A65038" w16cid:durableId="21F4F7A6"/>
  <w16cid:commentId w16cid:paraId="3DF97F86" w16cid:durableId="21F4F7A7"/>
  <w16cid:commentId w16cid:paraId="0128B721" w16cid:durableId="21F4F7A8"/>
  <w16cid:commentId w16cid:paraId="50ADE529" w16cid:durableId="21F4F7A9"/>
  <w16cid:commentId w16cid:paraId="66B01B98" w16cid:durableId="21F4F7AA"/>
  <w16cid:commentId w16cid:paraId="488DB33A" w16cid:durableId="21F4F7AB"/>
  <w16cid:commentId w16cid:paraId="40C05398" w16cid:durableId="21F4F7AC"/>
  <w16cid:commentId w16cid:paraId="7C8D8DA9" w16cid:durableId="21F4F7AD"/>
  <w16cid:commentId w16cid:paraId="31691E61" w16cid:durableId="21F4F7AE"/>
  <w16cid:commentId w16cid:paraId="45FBA080" w16cid:durableId="21F4F7AF"/>
  <w16cid:commentId w16cid:paraId="44E7FF38" w16cid:durableId="21F57384"/>
  <w16cid:commentId w16cid:paraId="7C794DD1" w16cid:durableId="21F5435F"/>
  <w16cid:commentId w16cid:paraId="0FE36BC7" w16cid:durableId="21F546B7"/>
  <w16cid:commentId w16cid:paraId="25102684" w16cid:durableId="21F589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640D4" w14:textId="77777777" w:rsidR="00EA2E26" w:rsidRDefault="00EA2E26" w:rsidP="00C66795">
      <w:pPr>
        <w:spacing w:after="0" w:line="240" w:lineRule="auto"/>
      </w:pPr>
      <w:r>
        <w:separator/>
      </w:r>
    </w:p>
  </w:endnote>
  <w:endnote w:type="continuationSeparator" w:id="0">
    <w:p w14:paraId="14E755C3" w14:textId="77777777" w:rsidR="00EA2E26" w:rsidRDefault="00EA2E26" w:rsidP="00C6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sz w:val="16"/>
      </w:rPr>
      <w:id w:val="-954479824"/>
      <w:docPartObj>
        <w:docPartGallery w:val="Page Numbers (Bottom of Page)"/>
        <w:docPartUnique/>
      </w:docPartObj>
    </w:sdtPr>
    <w:sdtEndPr>
      <w:rPr>
        <w:noProof/>
      </w:rPr>
    </w:sdtEndPr>
    <w:sdtContent>
      <w:p w14:paraId="17C367C2" w14:textId="70EFC8A1" w:rsidR="001846F5" w:rsidRDefault="001846F5" w:rsidP="001952E6">
        <w:pPr>
          <w:pStyle w:val="Footer"/>
          <w:jc w:val="center"/>
        </w:pPr>
        <w:r w:rsidRPr="00D961A4">
          <w:rPr>
            <w:rFonts w:ascii="Calibri Light" w:hAnsi="Calibri Light"/>
            <w:sz w:val="16"/>
          </w:rPr>
          <w:fldChar w:fldCharType="begin"/>
        </w:r>
        <w:r w:rsidRPr="00D961A4">
          <w:rPr>
            <w:rFonts w:ascii="Calibri Light" w:hAnsi="Calibri Light"/>
            <w:sz w:val="16"/>
          </w:rPr>
          <w:instrText xml:space="preserve"> PAGE   \* MERGEFORMAT </w:instrText>
        </w:r>
        <w:r w:rsidRPr="00D961A4">
          <w:rPr>
            <w:rFonts w:ascii="Calibri Light" w:hAnsi="Calibri Light"/>
            <w:sz w:val="16"/>
          </w:rPr>
          <w:fldChar w:fldCharType="separate"/>
        </w:r>
        <w:r w:rsidR="00A22496">
          <w:rPr>
            <w:rFonts w:ascii="Calibri Light" w:hAnsi="Calibri Light"/>
            <w:noProof/>
            <w:sz w:val="16"/>
          </w:rPr>
          <w:t>- 14 -</w:t>
        </w:r>
        <w:r w:rsidRPr="00D961A4">
          <w:rPr>
            <w:rFonts w:ascii="Calibri Light" w:hAnsi="Calibri Light"/>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61044" w14:textId="77777777" w:rsidR="00EA2E26" w:rsidRDefault="00EA2E26" w:rsidP="00C66795">
      <w:pPr>
        <w:spacing w:after="0" w:line="240" w:lineRule="auto"/>
      </w:pPr>
      <w:r>
        <w:separator/>
      </w:r>
    </w:p>
  </w:footnote>
  <w:footnote w:type="continuationSeparator" w:id="0">
    <w:p w14:paraId="3EA792BD" w14:textId="77777777" w:rsidR="00EA2E26" w:rsidRDefault="00EA2E26" w:rsidP="00C66795">
      <w:pPr>
        <w:spacing w:after="0" w:line="240" w:lineRule="auto"/>
      </w:pPr>
      <w:r>
        <w:continuationSeparator/>
      </w:r>
    </w:p>
  </w:footnote>
  <w:footnote w:id="1">
    <w:p w14:paraId="5ABDB528" w14:textId="77777777" w:rsidR="001846F5" w:rsidRPr="00D51F89" w:rsidRDefault="001846F5" w:rsidP="00B82CF0">
      <w:pPr>
        <w:pStyle w:val="FootnoteText1"/>
        <w:jc w:val="both"/>
        <w:rPr>
          <w:rFonts w:ascii="Cambria" w:hAnsi="Cambria" w:cstheme="majorHAnsi"/>
          <w:sz w:val="16"/>
          <w:szCs w:val="16"/>
          <w:lang w:val="es-CO"/>
        </w:rPr>
      </w:pPr>
      <w:r w:rsidRPr="00D51F89">
        <w:rPr>
          <w:rStyle w:val="FootnoteReference"/>
          <w:rFonts w:ascii="Cambria" w:hAnsi="Cambria" w:cstheme="majorHAnsi"/>
          <w:sz w:val="16"/>
          <w:szCs w:val="16"/>
        </w:rPr>
        <w:footnoteRef/>
      </w:r>
      <w:r w:rsidRPr="00D51F89">
        <w:rPr>
          <w:rFonts w:ascii="Cambria" w:hAnsi="Cambria" w:cstheme="majorHAnsi"/>
          <w:sz w:val="16"/>
          <w:szCs w:val="16"/>
        </w:rPr>
        <w:t xml:space="preserve"> </w:t>
      </w:r>
      <w:r w:rsidRPr="00D51F89">
        <w:rPr>
          <w:rFonts w:ascii="Cambria" w:hAnsi="Cambria" w:cstheme="majorHAnsi"/>
          <w:sz w:val="16"/>
          <w:szCs w:val="16"/>
          <w:lang w:val="es-CO"/>
        </w:rPr>
        <w:t xml:space="preserve">De conformidad con el artículo 17.2.a del Reglamento de la CIDH, la Comisionada </w:t>
      </w:r>
      <w:proofErr w:type="spellStart"/>
      <w:r w:rsidRPr="00D51F89">
        <w:rPr>
          <w:rFonts w:ascii="Cambria" w:hAnsi="Cambria" w:cstheme="majorHAnsi"/>
          <w:sz w:val="16"/>
          <w:szCs w:val="16"/>
          <w:lang w:val="es-CO"/>
        </w:rPr>
        <w:t>Flávia</w:t>
      </w:r>
      <w:proofErr w:type="spellEnd"/>
      <w:r w:rsidRPr="00D51F89">
        <w:rPr>
          <w:rFonts w:ascii="Cambria" w:hAnsi="Cambria" w:cstheme="majorHAnsi"/>
          <w:sz w:val="16"/>
          <w:szCs w:val="16"/>
          <w:lang w:val="es-CO"/>
        </w:rPr>
        <w:t xml:space="preserve"> Piovesan, de nacionalidad brasileña, no participó en el debate ni en la deliberación del presente asunto.</w:t>
      </w:r>
    </w:p>
  </w:footnote>
  <w:footnote w:id="2">
    <w:p w14:paraId="777A6112" w14:textId="7AC5AC6B" w:rsidR="00D00EA1" w:rsidRPr="00D51F89" w:rsidRDefault="00D00EA1" w:rsidP="00B82CF0">
      <w:pPr>
        <w:pStyle w:val="FootnoteText"/>
        <w:jc w:val="both"/>
        <w:rPr>
          <w:rFonts w:ascii="Cambria" w:hAnsi="Cambria" w:cstheme="majorHAnsi"/>
          <w:sz w:val="16"/>
          <w:szCs w:val="16"/>
        </w:rPr>
      </w:pPr>
      <w:r w:rsidRPr="00D51F89">
        <w:rPr>
          <w:rStyle w:val="FootnoteReference"/>
          <w:rFonts w:ascii="Cambria" w:hAnsi="Cambria" w:cstheme="majorHAnsi"/>
          <w:sz w:val="16"/>
          <w:szCs w:val="16"/>
        </w:rPr>
        <w:footnoteRef/>
      </w:r>
      <w:r w:rsidRPr="00D51F89">
        <w:rPr>
          <w:rFonts w:ascii="Cambria" w:hAnsi="Cambria" w:cstheme="majorHAnsi"/>
          <w:sz w:val="16"/>
          <w:szCs w:val="16"/>
        </w:rPr>
        <w:t xml:space="preserve"> </w:t>
      </w:r>
      <w:r w:rsidR="00BE37C4" w:rsidRPr="00D51F89">
        <w:rPr>
          <w:rFonts w:ascii="Cambria" w:hAnsi="Cambria" w:cstheme="majorHAnsi"/>
          <w:sz w:val="16"/>
          <w:szCs w:val="16"/>
        </w:rPr>
        <w:t xml:space="preserve">El origen de las comunidades </w:t>
      </w:r>
      <w:proofErr w:type="spellStart"/>
      <w:r w:rsidR="00BE37C4" w:rsidRPr="00D51F89">
        <w:rPr>
          <w:rFonts w:ascii="Cambria" w:hAnsi="Cambria" w:cstheme="majorHAnsi"/>
          <w:sz w:val="16"/>
          <w:szCs w:val="16"/>
        </w:rPr>
        <w:t>quilombolas</w:t>
      </w:r>
      <w:proofErr w:type="spellEnd"/>
      <w:r w:rsidR="00BE37C4" w:rsidRPr="00D51F89">
        <w:rPr>
          <w:rFonts w:ascii="Cambria" w:hAnsi="Cambria" w:cstheme="majorHAnsi"/>
          <w:sz w:val="16"/>
          <w:szCs w:val="16"/>
        </w:rPr>
        <w:t xml:space="preserve"> atiende a un proceso histórico de resistencia étnico-cultural y de liberación, donde personas de origen africano sometidas a esclavización, escaparon del dominio colonial y construyeron asentamientos comunitarios libres donde preservaron sus tradiciones africanas. Estas comunidades primero fueron llamados “</w:t>
      </w:r>
      <w:proofErr w:type="spellStart"/>
      <w:r w:rsidR="00BE37C4" w:rsidRPr="00D51F89">
        <w:rPr>
          <w:rFonts w:ascii="Cambria" w:hAnsi="Cambria" w:cstheme="majorHAnsi"/>
          <w:sz w:val="16"/>
          <w:szCs w:val="16"/>
        </w:rPr>
        <w:t>m</w:t>
      </w:r>
      <w:r w:rsidR="00594227" w:rsidRPr="00D51F89">
        <w:rPr>
          <w:rFonts w:ascii="Cambria" w:hAnsi="Cambria" w:cstheme="majorHAnsi"/>
          <w:sz w:val="16"/>
          <w:szCs w:val="16"/>
        </w:rPr>
        <w:t>ocambos</w:t>
      </w:r>
      <w:proofErr w:type="spellEnd"/>
      <w:r w:rsidR="00594227" w:rsidRPr="00D51F89">
        <w:rPr>
          <w:rFonts w:ascii="Cambria" w:hAnsi="Cambria" w:cstheme="majorHAnsi"/>
          <w:sz w:val="16"/>
          <w:szCs w:val="16"/>
        </w:rPr>
        <w:t xml:space="preserve">” y, luego “quilombos”. </w:t>
      </w:r>
      <w:r w:rsidR="00BE37C4" w:rsidRPr="00D51F89">
        <w:rPr>
          <w:rFonts w:ascii="Cambria" w:hAnsi="Cambria" w:cstheme="majorHAnsi"/>
          <w:sz w:val="16"/>
          <w:szCs w:val="16"/>
        </w:rPr>
        <w:t xml:space="preserve">Tomado de Quilombos brasileiros: </w:t>
      </w:r>
      <w:proofErr w:type="spellStart"/>
      <w:r w:rsidR="00BE37C4" w:rsidRPr="00D51F89">
        <w:rPr>
          <w:rFonts w:ascii="Cambria" w:hAnsi="Cambria" w:cstheme="majorHAnsi"/>
          <w:sz w:val="16"/>
          <w:szCs w:val="16"/>
        </w:rPr>
        <w:t>alguns</w:t>
      </w:r>
      <w:proofErr w:type="spellEnd"/>
      <w:r w:rsidR="00BE37C4" w:rsidRPr="00D51F89">
        <w:rPr>
          <w:rFonts w:ascii="Cambria" w:hAnsi="Cambria" w:cstheme="majorHAnsi"/>
          <w:sz w:val="16"/>
          <w:szCs w:val="16"/>
        </w:rPr>
        <w:t xml:space="preserve"> aspectos da </w:t>
      </w:r>
      <w:proofErr w:type="spellStart"/>
      <w:r w:rsidR="00BE37C4" w:rsidRPr="00D51F89">
        <w:rPr>
          <w:rFonts w:ascii="Cambria" w:hAnsi="Cambria" w:cstheme="majorHAnsi"/>
          <w:sz w:val="16"/>
          <w:szCs w:val="16"/>
        </w:rPr>
        <w:t>trajetória</w:t>
      </w:r>
      <w:proofErr w:type="spellEnd"/>
      <w:r w:rsidR="00BE37C4" w:rsidRPr="00D51F89">
        <w:rPr>
          <w:rFonts w:ascii="Cambria" w:hAnsi="Cambria" w:cstheme="majorHAnsi"/>
          <w:sz w:val="16"/>
          <w:szCs w:val="16"/>
        </w:rPr>
        <w:t xml:space="preserve"> do negro no Brasil. Revista Mosaico, v. 7, n. 2, p. 191-200, jul./</w:t>
      </w:r>
      <w:proofErr w:type="spellStart"/>
      <w:r w:rsidR="00BE37C4" w:rsidRPr="00D51F89">
        <w:rPr>
          <w:rFonts w:ascii="Cambria" w:hAnsi="Cambria" w:cstheme="majorHAnsi"/>
          <w:sz w:val="16"/>
          <w:szCs w:val="16"/>
        </w:rPr>
        <w:t>dez</w:t>
      </w:r>
      <w:proofErr w:type="spellEnd"/>
      <w:r w:rsidR="00BE37C4" w:rsidRPr="00D51F89">
        <w:rPr>
          <w:rFonts w:ascii="Cambria" w:hAnsi="Cambria" w:cstheme="majorHAnsi"/>
          <w:sz w:val="16"/>
          <w:szCs w:val="16"/>
        </w:rPr>
        <w:t>. 2014.</w:t>
      </w:r>
    </w:p>
  </w:footnote>
  <w:footnote w:id="3">
    <w:p w14:paraId="080BF7D8" w14:textId="77777777" w:rsidR="001846F5" w:rsidRPr="00D51F89" w:rsidRDefault="001846F5" w:rsidP="00B82CF0">
      <w:pPr>
        <w:pStyle w:val="FootnoteText"/>
        <w:jc w:val="both"/>
        <w:rPr>
          <w:rFonts w:ascii="Cambria" w:hAnsi="Cambria" w:cstheme="majorHAnsi"/>
          <w:sz w:val="16"/>
          <w:szCs w:val="16"/>
        </w:rPr>
      </w:pPr>
      <w:r w:rsidRPr="00D51F89">
        <w:rPr>
          <w:rStyle w:val="FootnoteReference"/>
          <w:rFonts w:ascii="Cambria" w:hAnsi="Cambria" w:cstheme="majorHAnsi"/>
          <w:sz w:val="16"/>
          <w:szCs w:val="16"/>
        </w:rPr>
        <w:footnoteRef/>
      </w:r>
      <w:r w:rsidRPr="00D51F89">
        <w:rPr>
          <w:rFonts w:ascii="Cambria" w:hAnsi="Cambria" w:cstheme="majorHAnsi"/>
          <w:sz w:val="16"/>
          <w:szCs w:val="16"/>
        </w:rPr>
        <w:t xml:space="preserve"> 26, 27 y 30 de noviembre, 7, 9, 10,13,16,22 de diciembre de 2019.</w:t>
      </w:r>
    </w:p>
  </w:footnote>
  <w:footnote w:id="4">
    <w:p w14:paraId="69AE9C10" w14:textId="241E0C8E" w:rsidR="001846F5" w:rsidRPr="00D51F89" w:rsidRDefault="001846F5" w:rsidP="00B82CF0">
      <w:pPr>
        <w:pStyle w:val="FootnoteText"/>
        <w:jc w:val="both"/>
        <w:rPr>
          <w:rFonts w:ascii="Cambria" w:hAnsi="Cambria" w:cstheme="majorHAnsi"/>
          <w:sz w:val="16"/>
          <w:szCs w:val="16"/>
        </w:rPr>
      </w:pPr>
      <w:r w:rsidRPr="00D51F89">
        <w:rPr>
          <w:rStyle w:val="FootnoteReference"/>
          <w:rFonts w:ascii="Cambria" w:hAnsi="Cambria" w:cstheme="majorHAnsi"/>
          <w:sz w:val="16"/>
          <w:szCs w:val="16"/>
        </w:rPr>
        <w:footnoteRef/>
      </w:r>
      <w:r w:rsidRPr="00D51F89">
        <w:rPr>
          <w:rFonts w:ascii="Cambria" w:hAnsi="Cambria" w:cstheme="majorHAnsi"/>
          <w:sz w:val="16"/>
          <w:szCs w:val="16"/>
        </w:rPr>
        <w:t xml:space="preserve"> Policía Civil, Policía Federal, Ministerio Público Federal, Secretaría de Promoción de la Igualdad Racial, Grupo de Mediación de Conflictos Urbanos y de Tierra, Comisión de Derechos Humanos de la Cámara de Diputados, Consejo Nacional de Derechos Humanos, así como denuncias individuales interpuestas ante la policía (se aportó copia de las comunicaciones).</w:t>
      </w:r>
    </w:p>
  </w:footnote>
  <w:footnote w:id="5">
    <w:p w14:paraId="25688DE9" w14:textId="53069FC5" w:rsidR="009E7B7C" w:rsidRPr="00D51F89" w:rsidRDefault="009E7B7C" w:rsidP="00B82CF0">
      <w:pPr>
        <w:pStyle w:val="FootnoteText"/>
        <w:jc w:val="both"/>
        <w:rPr>
          <w:rFonts w:ascii="Cambria" w:hAnsi="Cambria"/>
          <w:sz w:val="16"/>
          <w:szCs w:val="16"/>
        </w:rPr>
      </w:pPr>
      <w:r w:rsidRPr="00D51F89">
        <w:rPr>
          <w:rStyle w:val="FootnoteReference"/>
          <w:rFonts w:ascii="Cambria" w:hAnsi="Cambria"/>
          <w:sz w:val="16"/>
          <w:szCs w:val="16"/>
        </w:rPr>
        <w:footnoteRef/>
      </w:r>
      <w:r w:rsidRPr="00D51F89">
        <w:rPr>
          <w:rFonts w:ascii="Cambria" w:hAnsi="Cambria"/>
          <w:sz w:val="16"/>
          <w:szCs w:val="16"/>
        </w:rPr>
        <w:t xml:space="preserve"> Proceso de investigación de hecho que configure crimen militar. Ver: </w:t>
      </w:r>
      <w:r w:rsidR="00B82CF0" w:rsidRPr="00D51F89">
        <w:rPr>
          <w:rFonts w:ascii="Cambria" w:hAnsi="Cambria"/>
          <w:sz w:val="16"/>
          <w:szCs w:val="16"/>
        </w:rPr>
        <w:t>Código de Proceso Penal Militar, Lay 1002, 21 de octubre de 1969, artículo 9. Disponible en: http://www.planalto.gov.br/ccivil_03/decreto-lei/del1002.htm.</w:t>
      </w:r>
    </w:p>
  </w:footnote>
  <w:footnote w:id="6">
    <w:p w14:paraId="3EBF3D02" w14:textId="77777777" w:rsidR="00B60DF8" w:rsidRPr="00D51F89" w:rsidRDefault="00B60DF8" w:rsidP="00B82CF0">
      <w:pPr>
        <w:pStyle w:val="FootnoteText"/>
        <w:jc w:val="both"/>
        <w:rPr>
          <w:rFonts w:ascii="Cambria" w:hAnsi="Cambria" w:cstheme="majorHAnsi"/>
          <w:sz w:val="16"/>
          <w:szCs w:val="16"/>
        </w:rPr>
      </w:pPr>
      <w:r w:rsidRPr="00D51F89">
        <w:rPr>
          <w:rStyle w:val="FootnoteReference"/>
          <w:rFonts w:ascii="Cambria" w:hAnsi="Cambria" w:cstheme="majorHAnsi"/>
          <w:sz w:val="16"/>
          <w:szCs w:val="16"/>
        </w:rPr>
        <w:footnoteRef/>
      </w:r>
      <w:r w:rsidRPr="00D51F89">
        <w:rPr>
          <w:rFonts w:ascii="Cambria" w:hAnsi="Cambria" w:cstheme="majorHAnsi"/>
          <w:sz w:val="16"/>
          <w:szCs w:val="16"/>
        </w:rPr>
        <w:t xml:space="preserve"> Religión de raíz africana.</w:t>
      </w:r>
    </w:p>
  </w:footnote>
  <w:footnote w:id="7">
    <w:p w14:paraId="71354414" w14:textId="64EF029A" w:rsidR="00C95EC5" w:rsidRPr="00D51F89" w:rsidRDefault="00C95EC5" w:rsidP="00B82CF0">
      <w:pPr>
        <w:pStyle w:val="FootnoteText"/>
        <w:jc w:val="both"/>
        <w:rPr>
          <w:rFonts w:ascii="Cambria" w:hAnsi="Cambria" w:cstheme="majorHAnsi"/>
          <w:sz w:val="16"/>
          <w:szCs w:val="16"/>
        </w:rPr>
      </w:pPr>
      <w:r w:rsidRPr="00D51F89">
        <w:rPr>
          <w:rStyle w:val="FootnoteReference"/>
          <w:rFonts w:ascii="Cambria" w:hAnsi="Cambria" w:cstheme="majorHAnsi"/>
          <w:sz w:val="16"/>
          <w:szCs w:val="16"/>
        </w:rPr>
        <w:footnoteRef/>
      </w:r>
      <w:r w:rsidRPr="00D51F89">
        <w:rPr>
          <w:rFonts w:ascii="Cambria" w:hAnsi="Cambria" w:cstheme="majorHAnsi"/>
          <w:sz w:val="16"/>
          <w:szCs w:val="16"/>
        </w:rPr>
        <w:t xml:space="preserve"> El Estado alegó que se autorizó la entrada de donaciones en 5 fechas entre mayo y abril de 2020.</w:t>
      </w:r>
    </w:p>
  </w:footnote>
  <w:footnote w:id="8">
    <w:p w14:paraId="7314AEF0" w14:textId="2CFB0F51" w:rsidR="001846F5" w:rsidRPr="00D51F89" w:rsidRDefault="001846F5" w:rsidP="00B82CF0">
      <w:pPr>
        <w:pStyle w:val="FootnoteText"/>
        <w:jc w:val="both"/>
        <w:rPr>
          <w:rFonts w:ascii="Cambria" w:hAnsi="Cambria" w:cstheme="majorHAnsi"/>
          <w:sz w:val="16"/>
          <w:szCs w:val="16"/>
        </w:rPr>
      </w:pPr>
      <w:r w:rsidRPr="00D51F89">
        <w:rPr>
          <w:rStyle w:val="FootnoteReference"/>
          <w:rFonts w:ascii="Cambria" w:hAnsi="Cambria" w:cstheme="majorHAnsi"/>
          <w:sz w:val="16"/>
          <w:szCs w:val="16"/>
        </w:rPr>
        <w:footnoteRef/>
      </w:r>
      <w:r w:rsidRPr="00D51F89">
        <w:rPr>
          <w:rFonts w:ascii="Cambria" w:hAnsi="Cambria" w:cstheme="majorHAnsi"/>
          <w:sz w:val="16"/>
          <w:szCs w:val="16"/>
        </w:rPr>
        <w:t xml:space="preserve"> Las otras personas no tendrían contacto telefónico y no estuvieron presentes en las reuniones celebradas en la comunidad.</w:t>
      </w:r>
    </w:p>
  </w:footnote>
  <w:footnote w:id="9">
    <w:p w14:paraId="3ADBB159" w14:textId="77777777" w:rsidR="001846F5" w:rsidRPr="00D51F89" w:rsidRDefault="001846F5" w:rsidP="00B82CF0">
      <w:pPr>
        <w:pStyle w:val="FootnoteText1"/>
        <w:jc w:val="both"/>
        <w:rPr>
          <w:rFonts w:ascii="Cambria" w:hAnsi="Cambria" w:cstheme="majorHAnsi"/>
          <w:sz w:val="16"/>
          <w:szCs w:val="16"/>
          <w:lang w:val="es-MX"/>
        </w:rPr>
      </w:pPr>
      <w:r w:rsidRPr="00D51F89">
        <w:rPr>
          <w:rStyle w:val="FootnoteReference"/>
          <w:rFonts w:ascii="Cambria" w:hAnsi="Cambria" w:cstheme="majorHAnsi"/>
          <w:sz w:val="16"/>
          <w:szCs w:val="16"/>
        </w:rPr>
        <w:footnoteRef/>
      </w:r>
      <w:r w:rsidRPr="00D51F89">
        <w:rPr>
          <w:rFonts w:ascii="Cambria" w:hAnsi="Cambria" w:cstheme="majorHAnsi"/>
          <w:sz w:val="16"/>
          <w:szCs w:val="16"/>
          <w:lang w:val="es-MX"/>
        </w:rPr>
        <w:t xml:space="preserve"> Al respecto, por ejemplo, refiriéndose a las medidas provisionales, la Corte Interamericana ha considerado que tal estándar requiere un mínimo de detalle e información que permitan apreciar </w:t>
      </w:r>
      <w:r w:rsidRPr="00D51F89">
        <w:rPr>
          <w:rFonts w:ascii="Cambria" w:hAnsi="Cambria" w:cstheme="majorHAnsi"/>
          <w:i/>
          <w:sz w:val="16"/>
          <w:szCs w:val="16"/>
          <w:lang w:val="es-MX"/>
        </w:rPr>
        <w:t xml:space="preserve">prima facie </w:t>
      </w:r>
      <w:r w:rsidRPr="00D51F89">
        <w:rPr>
          <w:rFonts w:ascii="Cambria" w:hAnsi="Cambria" w:cstheme="majorHAnsi"/>
          <w:sz w:val="16"/>
          <w:szCs w:val="16"/>
          <w:lang w:val="es-MX"/>
        </w:rPr>
        <w:t xml:space="preserve">la situación de riesgo y urgencia. Corte IDH, </w:t>
      </w:r>
      <w:r w:rsidRPr="00D51F89">
        <w:rPr>
          <w:rFonts w:ascii="Cambria" w:hAnsi="Cambria" w:cstheme="majorHAnsi"/>
          <w:i/>
          <w:sz w:val="16"/>
          <w:szCs w:val="16"/>
          <w:lang w:val="es-MX"/>
        </w:rPr>
        <w:t xml:space="preserve">Asunto de los niños y adolescentes privados de libertad en el “Complexo do </w:t>
      </w:r>
      <w:proofErr w:type="spellStart"/>
      <w:r w:rsidRPr="00D51F89">
        <w:rPr>
          <w:rFonts w:ascii="Cambria" w:hAnsi="Cambria" w:cstheme="majorHAnsi"/>
          <w:i/>
          <w:sz w:val="16"/>
          <w:szCs w:val="16"/>
          <w:lang w:val="es-MX"/>
        </w:rPr>
        <w:t>Tatuapé</w:t>
      </w:r>
      <w:proofErr w:type="spellEnd"/>
      <w:r w:rsidRPr="00D51F89">
        <w:rPr>
          <w:rFonts w:ascii="Cambria" w:hAnsi="Cambria" w:cstheme="majorHAnsi"/>
          <w:i/>
          <w:sz w:val="16"/>
          <w:szCs w:val="16"/>
          <w:lang w:val="es-MX"/>
        </w:rPr>
        <w:t xml:space="preserve">” de la </w:t>
      </w:r>
      <w:proofErr w:type="spellStart"/>
      <w:r w:rsidRPr="00D51F89">
        <w:rPr>
          <w:rFonts w:ascii="Cambria" w:hAnsi="Cambria" w:cstheme="majorHAnsi"/>
          <w:i/>
          <w:sz w:val="16"/>
          <w:szCs w:val="16"/>
          <w:lang w:val="es-MX"/>
        </w:rPr>
        <w:t>Fundação</w:t>
      </w:r>
      <w:proofErr w:type="spellEnd"/>
      <w:r w:rsidRPr="00D51F89">
        <w:rPr>
          <w:rFonts w:ascii="Cambria" w:hAnsi="Cambria" w:cstheme="majorHAnsi"/>
          <w:i/>
          <w:sz w:val="16"/>
          <w:szCs w:val="16"/>
          <w:lang w:val="es-MX"/>
        </w:rPr>
        <w:t xml:space="preserve"> CASA</w:t>
      </w:r>
      <w:r w:rsidRPr="00D51F89">
        <w:rPr>
          <w:rFonts w:ascii="Cambria" w:hAnsi="Cambria" w:cstheme="majorHAnsi"/>
          <w:sz w:val="16"/>
          <w:szCs w:val="16"/>
          <w:lang w:val="es-MX"/>
        </w:rPr>
        <w:t xml:space="preserve">. Solicitud de ampliación de medidas provisionales. Medidas Provisionales respecto de Brasil. Resolución de la Corte Interamericana de Derechos Humanos de 4 de julio de 2006. Considerando 23. Disponible en: http://www.corteidh.or.cr/docs/medidas/febem_se_03.pdf </w:t>
      </w:r>
    </w:p>
  </w:footnote>
  <w:footnote w:id="10">
    <w:p w14:paraId="78FA6320" w14:textId="77777777" w:rsidR="00165FA2" w:rsidRPr="00D51F89" w:rsidRDefault="00165FA2" w:rsidP="00B82CF0">
      <w:pPr>
        <w:pStyle w:val="FootnoteText"/>
        <w:jc w:val="both"/>
        <w:rPr>
          <w:rFonts w:ascii="Cambria" w:hAnsi="Cambria" w:cstheme="majorHAnsi"/>
          <w:sz w:val="16"/>
          <w:szCs w:val="16"/>
        </w:rPr>
      </w:pPr>
      <w:r w:rsidRPr="00D51F89">
        <w:rPr>
          <w:rStyle w:val="FootnoteReference"/>
          <w:rFonts w:ascii="Cambria" w:hAnsi="Cambria" w:cstheme="majorHAnsi"/>
          <w:sz w:val="16"/>
          <w:szCs w:val="16"/>
        </w:rPr>
        <w:footnoteRef/>
      </w:r>
      <w:r w:rsidRPr="00D51F89">
        <w:rPr>
          <w:rFonts w:ascii="Cambria" w:hAnsi="Cambria" w:cstheme="majorHAnsi"/>
          <w:sz w:val="16"/>
          <w:szCs w:val="16"/>
        </w:rPr>
        <w:t xml:space="preserve"> El artículo 46 de la Convención Americana, citado por el Estado, se refiere a una “petición o comunicación presentada conforme a los artículos 44 </w:t>
      </w:r>
      <w:proofErr w:type="spellStart"/>
      <w:r w:rsidRPr="00D51F89">
        <w:rPr>
          <w:rFonts w:ascii="Cambria" w:hAnsi="Cambria" w:cstheme="majorHAnsi"/>
          <w:sz w:val="16"/>
          <w:szCs w:val="16"/>
        </w:rPr>
        <w:t>ó</w:t>
      </w:r>
      <w:proofErr w:type="spellEnd"/>
      <w:r w:rsidRPr="00D51F89">
        <w:rPr>
          <w:rFonts w:ascii="Cambria" w:hAnsi="Cambria" w:cstheme="majorHAnsi"/>
          <w:sz w:val="16"/>
          <w:szCs w:val="16"/>
        </w:rPr>
        <w:t xml:space="preserve"> 45 […]”, los cuales se refieren exclusivamente al sistema de peticiones y casos. Se nota que los artículos 44 y 45 de la Convención Americana se refieren a “denuncias o quejas de violación” de la Convención. El mecanismo de medidas cautelares no tiene como función establecer la existencia o no de una o más violaciones (véase artículo 25.8 del Reglamento de la Comisión) y la consecuente responsabilidad internacional del Estado sino que, conforme quedó establecido en el artículo 25 del Reglamento, las medidas cautelares “[…] se relacionarán con situaciones de gravedad y urgencia que presenten un riesgo de daño irreparable a las personas o al objeto de una petición o caso pendiente ante los órganos del Sistema Interamericano”.</w:t>
      </w:r>
    </w:p>
  </w:footnote>
  <w:footnote w:id="11">
    <w:p w14:paraId="464A8B1F" w14:textId="26E49EC4" w:rsidR="00BC4CB7" w:rsidRPr="00D51F89" w:rsidRDefault="00BC4CB7" w:rsidP="00B82CF0">
      <w:pPr>
        <w:pStyle w:val="FootnoteText"/>
        <w:jc w:val="both"/>
        <w:rPr>
          <w:rFonts w:ascii="Cambria" w:hAnsi="Cambria"/>
          <w:sz w:val="16"/>
          <w:szCs w:val="16"/>
        </w:rPr>
      </w:pPr>
      <w:r w:rsidRPr="00D51F89">
        <w:rPr>
          <w:rStyle w:val="FootnoteReference"/>
          <w:rFonts w:ascii="Cambria" w:hAnsi="Cambria"/>
          <w:sz w:val="16"/>
          <w:szCs w:val="16"/>
        </w:rPr>
        <w:footnoteRef/>
      </w:r>
      <w:r w:rsidRPr="00D51F89">
        <w:rPr>
          <w:rFonts w:ascii="Cambria" w:hAnsi="Cambria"/>
          <w:sz w:val="16"/>
          <w:szCs w:val="16"/>
        </w:rPr>
        <w:t xml:space="preserve"> De esa manera, no cabe al mecanismo de medidas cautelares determinar la pertinencia de la construcción de un muro o la mejor forma de concretizar vías independientes de entrada y salida del territorio </w:t>
      </w:r>
      <w:proofErr w:type="spellStart"/>
      <w:r w:rsidRPr="00D51F89">
        <w:rPr>
          <w:rFonts w:ascii="Cambria" w:hAnsi="Cambria"/>
          <w:sz w:val="16"/>
          <w:szCs w:val="16"/>
        </w:rPr>
        <w:t>quilombola</w:t>
      </w:r>
      <w:proofErr w:type="spellEnd"/>
      <w:r w:rsidR="0029328A" w:rsidRPr="00D51F89">
        <w:rPr>
          <w:rFonts w:ascii="Cambria" w:hAnsi="Cambria"/>
          <w:sz w:val="16"/>
          <w:szCs w:val="16"/>
        </w:rPr>
        <w:t>.</w:t>
      </w:r>
    </w:p>
  </w:footnote>
  <w:footnote w:id="12">
    <w:p w14:paraId="31A258FB" w14:textId="77777777" w:rsidR="001846F5" w:rsidRPr="00D51F89" w:rsidRDefault="001846F5" w:rsidP="00B82CF0">
      <w:pPr>
        <w:pStyle w:val="FootnoteText"/>
        <w:jc w:val="both"/>
        <w:rPr>
          <w:rFonts w:ascii="Cambria" w:hAnsi="Cambria" w:cstheme="majorHAnsi"/>
          <w:sz w:val="16"/>
          <w:szCs w:val="16"/>
        </w:rPr>
      </w:pPr>
      <w:r w:rsidRPr="00D51F89">
        <w:rPr>
          <w:rStyle w:val="FootnoteReference"/>
          <w:rFonts w:ascii="Cambria" w:hAnsi="Cambria" w:cstheme="majorHAnsi"/>
          <w:sz w:val="16"/>
          <w:szCs w:val="16"/>
        </w:rPr>
        <w:footnoteRef/>
      </w:r>
      <w:r w:rsidRPr="00D51F89">
        <w:rPr>
          <w:rFonts w:ascii="Cambria" w:hAnsi="Cambria" w:cstheme="majorHAnsi"/>
          <w:sz w:val="16"/>
          <w:szCs w:val="16"/>
        </w:rPr>
        <w:t xml:space="preserve"> CIDH, Observaciones Preliminares de la Visita in loco de la CIDH a Brasil, 2018. Disponible en: http://www.oas.org/es/cidh/prensa/comunicados/2018/238OPesp.pdf.</w:t>
      </w:r>
    </w:p>
  </w:footnote>
  <w:footnote w:id="13">
    <w:p w14:paraId="7230C2DD" w14:textId="435BE31B" w:rsidR="006D6B2F" w:rsidRPr="00A22496" w:rsidRDefault="006D6B2F" w:rsidP="00E6470D">
      <w:pPr>
        <w:pStyle w:val="FootnoteText"/>
        <w:jc w:val="both"/>
        <w:rPr>
          <w:rFonts w:ascii="Cambria" w:hAnsi="Cambria"/>
          <w:lang w:val="pt-BR"/>
        </w:rPr>
      </w:pPr>
      <w:r w:rsidRPr="00E6470D">
        <w:rPr>
          <w:rStyle w:val="FootnoteReference"/>
          <w:rFonts w:ascii="Cambria" w:hAnsi="Cambria"/>
          <w:sz w:val="16"/>
        </w:rPr>
        <w:footnoteRef/>
      </w:r>
      <w:r w:rsidRPr="00E6470D">
        <w:rPr>
          <w:rFonts w:ascii="Cambria" w:hAnsi="Cambria"/>
          <w:sz w:val="16"/>
        </w:rPr>
        <w:t xml:space="preserve"> Información pública indica que el 28 de julio de 2020</w:t>
      </w:r>
      <w:r w:rsidR="000B5717" w:rsidRPr="00E6470D">
        <w:rPr>
          <w:rFonts w:ascii="Cambria" w:hAnsi="Cambria"/>
          <w:sz w:val="16"/>
        </w:rPr>
        <w:t xml:space="preserve"> las personas propuestas beneficiarias firmaron y recibieron el título de propiedad del territorio en proceso de reconocimiento. </w:t>
      </w:r>
      <w:r w:rsidR="000B5717" w:rsidRPr="00E6470D">
        <w:rPr>
          <w:rFonts w:ascii="Cambria" w:hAnsi="Cambria"/>
          <w:sz w:val="16"/>
          <w:lang w:val="pt-BR"/>
        </w:rPr>
        <w:t xml:space="preserve">Ver: GI, Após mais de 40 anos de disputa territorial na Bahia, quilombolas do Rio dos Macacos recebem titulação de terras, 28 de julio de 2020. </w:t>
      </w:r>
      <w:r w:rsidR="000B5717" w:rsidRPr="00A22496">
        <w:rPr>
          <w:rFonts w:ascii="Cambria" w:hAnsi="Cambria"/>
          <w:sz w:val="16"/>
          <w:lang w:val="pt-BR"/>
        </w:rPr>
        <w:t xml:space="preserve">Disponible </w:t>
      </w:r>
      <w:r w:rsidR="00E6470D" w:rsidRPr="00A22496">
        <w:rPr>
          <w:rFonts w:ascii="Cambria" w:hAnsi="Cambria"/>
          <w:sz w:val="16"/>
          <w:lang w:val="pt-BR"/>
        </w:rPr>
        <w:t>en</w:t>
      </w:r>
      <w:r w:rsidR="000B5717" w:rsidRPr="00A22496">
        <w:rPr>
          <w:rFonts w:ascii="Cambria" w:hAnsi="Cambria"/>
          <w:sz w:val="16"/>
          <w:lang w:val="pt-BR"/>
        </w:rPr>
        <w:t xml:space="preserve">: </w:t>
      </w:r>
      <w:r w:rsidR="00E6470D" w:rsidRPr="00A22496">
        <w:rPr>
          <w:rFonts w:ascii="Cambria" w:hAnsi="Cambria"/>
          <w:sz w:val="16"/>
          <w:lang w:val="pt-BR"/>
        </w:rPr>
        <w:t>https://g1.globo.com/ba/bahia/noticia/2020/07/28/apos-mais-de-40-anos-de-disputa-territorial-na-bahia-quilombolas-do-rio-dos-macacos-recebem-titulacao-de-terras.ghtml.</w:t>
      </w:r>
    </w:p>
  </w:footnote>
  <w:footnote w:id="14">
    <w:p w14:paraId="1E26B88B" w14:textId="2DFBDD9A" w:rsidR="005A24AA" w:rsidRPr="00D51F89" w:rsidRDefault="005A24AA" w:rsidP="00B82CF0">
      <w:pPr>
        <w:pStyle w:val="FootnoteText"/>
        <w:jc w:val="both"/>
        <w:rPr>
          <w:rFonts w:ascii="Cambria" w:hAnsi="Cambria"/>
          <w:sz w:val="16"/>
          <w:szCs w:val="16"/>
        </w:rPr>
      </w:pPr>
      <w:r w:rsidRPr="00D51F89">
        <w:rPr>
          <w:rStyle w:val="FootnoteReference"/>
          <w:rFonts w:ascii="Cambria" w:hAnsi="Cambria"/>
          <w:sz w:val="16"/>
          <w:szCs w:val="16"/>
        </w:rPr>
        <w:footnoteRef/>
      </w:r>
      <w:r w:rsidRPr="00D51F89">
        <w:rPr>
          <w:rFonts w:ascii="Cambria" w:hAnsi="Cambria"/>
          <w:sz w:val="16"/>
          <w:szCs w:val="16"/>
        </w:rPr>
        <w:t xml:space="preserve"> El Estado reconoció que “existen obstáculos a [la adopción de medidas de seguridad como instalación de rejas, cámaras de seguridad e internet], debido a la infraestructura de las casas y la dificultad de la comunidad de realizar reformas, como la ausencia de red eléctrica” (ver </w:t>
      </w:r>
      <w:r w:rsidRPr="00D51F89">
        <w:rPr>
          <w:rFonts w:ascii="Cambria" w:hAnsi="Cambria"/>
          <w:i/>
          <w:sz w:val="16"/>
          <w:szCs w:val="16"/>
        </w:rPr>
        <w:t xml:space="preserve">supra </w:t>
      </w:r>
      <w:r w:rsidRPr="00D51F89">
        <w:rPr>
          <w:rFonts w:ascii="Cambria" w:hAnsi="Cambria"/>
          <w:sz w:val="16"/>
          <w:szCs w:val="16"/>
        </w:rPr>
        <w:t xml:space="preserve">párr. </w:t>
      </w:r>
      <w:r w:rsidR="009D781A" w:rsidRPr="00D51F89">
        <w:rPr>
          <w:rFonts w:ascii="Cambria" w:hAnsi="Cambria"/>
          <w:sz w:val="16"/>
          <w:szCs w:val="16"/>
        </w:rPr>
        <w:t>3</w:t>
      </w:r>
      <w:r w:rsidR="0045174A" w:rsidRPr="00D51F89">
        <w:rPr>
          <w:rFonts w:ascii="Cambria" w:hAnsi="Cambria"/>
          <w:sz w:val="16"/>
          <w:szCs w:val="16"/>
        </w:rPr>
        <w:t>1</w:t>
      </w:r>
      <w:r w:rsidRPr="00D51F89">
        <w:rPr>
          <w:rFonts w:ascii="Cambria" w:hAnsi="Cambria"/>
          <w:sz w:val="16"/>
          <w:szCs w:val="16"/>
        </w:rPr>
        <w:t>).</w:t>
      </w:r>
    </w:p>
  </w:footnote>
  <w:footnote w:id="15">
    <w:p w14:paraId="4AC368C1" w14:textId="77777777" w:rsidR="00677E7E" w:rsidRPr="00D51F89" w:rsidRDefault="00677E7E" w:rsidP="00B82CF0">
      <w:pPr>
        <w:pStyle w:val="FootnoteText"/>
        <w:jc w:val="both"/>
        <w:rPr>
          <w:rFonts w:ascii="Cambria" w:hAnsi="Cambria" w:cstheme="majorHAnsi"/>
          <w:sz w:val="16"/>
          <w:szCs w:val="16"/>
        </w:rPr>
      </w:pPr>
      <w:r w:rsidRPr="00D51F89">
        <w:rPr>
          <w:rStyle w:val="FootnoteReference"/>
          <w:rFonts w:ascii="Cambria" w:hAnsi="Cambria" w:cstheme="majorHAnsi"/>
          <w:sz w:val="16"/>
          <w:szCs w:val="16"/>
        </w:rPr>
        <w:footnoteRef/>
      </w:r>
      <w:r w:rsidRPr="00D51F89">
        <w:rPr>
          <w:rFonts w:ascii="Cambria" w:hAnsi="Cambria" w:cstheme="majorHAnsi"/>
          <w:sz w:val="16"/>
          <w:szCs w:val="16"/>
        </w:rPr>
        <w:t xml:space="preserve"> CIDH, Comunidad mapuche </w:t>
      </w:r>
      <w:proofErr w:type="spellStart"/>
      <w:r w:rsidRPr="00D51F89">
        <w:rPr>
          <w:rFonts w:ascii="Cambria" w:hAnsi="Cambria" w:cstheme="majorHAnsi"/>
          <w:sz w:val="16"/>
          <w:szCs w:val="16"/>
        </w:rPr>
        <w:t>Lof</w:t>
      </w:r>
      <w:proofErr w:type="spellEnd"/>
      <w:r w:rsidRPr="00D51F89">
        <w:rPr>
          <w:rFonts w:ascii="Cambria" w:hAnsi="Cambria" w:cstheme="majorHAnsi"/>
          <w:sz w:val="16"/>
          <w:szCs w:val="16"/>
        </w:rPr>
        <w:t xml:space="preserve"> </w:t>
      </w:r>
      <w:proofErr w:type="spellStart"/>
      <w:r w:rsidRPr="00D51F89">
        <w:rPr>
          <w:rFonts w:ascii="Cambria" w:hAnsi="Cambria" w:cstheme="majorHAnsi"/>
          <w:sz w:val="16"/>
          <w:szCs w:val="16"/>
        </w:rPr>
        <w:t>Buenuleo</w:t>
      </w:r>
      <w:proofErr w:type="spellEnd"/>
      <w:r w:rsidRPr="00D51F89">
        <w:rPr>
          <w:rFonts w:ascii="Cambria" w:hAnsi="Cambria" w:cstheme="majorHAnsi"/>
          <w:sz w:val="16"/>
          <w:szCs w:val="16"/>
        </w:rPr>
        <w:t xml:space="preserve"> respecto de Argentina (MC 954-19), Resolución 23/2020, 14 de mayo de 2020, párr. 24; CIDH, Miembros de la Organización JOPRODEH respecto de Honduras (MC 1151-18), Resolución 31/2019, 14 de junio de 2019, párr. 23. Ver más: CIDH, Segundo Informe sobre la Situación de las defensoras y los defensores de derechos humanos en las Américas, 2011. Disponible en: http://www.oas.org/es/cidh/defensores/docs/pdf/defensores2011.pdf.</w:t>
      </w:r>
    </w:p>
  </w:footnote>
  <w:footnote w:id="16">
    <w:p w14:paraId="49D4991C" w14:textId="3ACA3B1D" w:rsidR="005D74E1" w:rsidRPr="00D51F89" w:rsidRDefault="005D74E1" w:rsidP="00B82CF0">
      <w:pPr>
        <w:pStyle w:val="FootnoteText"/>
        <w:jc w:val="both"/>
        <w:rPr>
          <w:rFonts w:ascii="Cambria" w:hAnsi="Cambria"/>
          <w:sz w:val="16"/>
          <w:szCs w:val="16"/>
        </w:rPr>
      </w:pPr>
      <w:r w:rsidRPr="00D51F89">
        <w:rPr>
          <w:rStyle w:val="FootnoteReference"/>
          <w:rFonts w:ascii="Cambria" w:hAnsi="Cambria"/>
          <w:sz w:val="16"/>
          <w:szCs w:val="16"/>
        </w:rPr>
        <w:footnoteRef/>
      </w:r>
      <w:r w:rsidRPr="00D51F89">
        <w:rPr>
          <w:rFonts w:ascii="Cambria" w:hAnsi="Cambria"/>
          <w:sz w:val="16"/>
          <w:szCs w:val="16"/>
        </w:rPr>
        <w:t xml:space="preserve"> Recordase el especial deber de protección de los Estados con relación a los/as niños/as.</w:t>
      </w:r>
    </w:p>
  </w:footnote>
  <w:footnote w:id="17">
    <w:p w14:paraId="471C5614" w14:textId="77777777" w:rsidR="005A24AA" w:rsidRPr="00D51F89" w:rsidRDefault="005A24AA" w:rsidP="00B82CF0">
      <w:pPr>
        <w:autoSpaceDE w:val="0"/>
        <w:autoSpaceDN w:val="0"/>
        <w:adjustRightInd w:val="0"/>
        <w:spacing w:after="0" w:line="240" w:lineRule="auto"/>
        <w:jc w:val="both"/>
        <w:rPr>
          <w:rFonts w:ascii="Cambria" w:hAnsi="Cambria" w:cs="Cambria"/>
          <w:sz w:val="16"/>
          <w:szCs w:val="16"/>
          <w:lang w:val="es-ES"/>
        </w:rPr>
      </w:pPr>
      <w:r w:rsidRPr="00D51F89">
        <w:rPr>
          <w:rStyle w:val="FootnoteReference"/>
          <w:rFonts w:ascii="Cambria" w:hAnsi="Cambria"/>
          <w:sz w:val="16"/>
          <w:szCs w:val="16"/>
        </w:rPr>
        <w:footnoteRef/>
      </w:r>
      <w:r w:rsidRPr="00D51F89">
        <w:rPr>
          <w:rFonts w:ascii="Cambria" w:hAnsi="Cambria"/>
          <w:sz w:val="16"/>
          <w:szCs w:val="16"/>
          <w:lang w:val="es-ES"/>
        </w:rPr>
        <w:t xml:space="preserve"> CIDH, Políticas Integrales de Protección a Personas Defensoras, </w:t>
      </w:r>
      <w:r w:rsidRPr="00D51F89">
        <w:rPr>
          <w:rFonts w:ascii="Cambria" w:hAnsi="Cambria" w:cs="Cambria"/>
          <w:sz w:val="16"/>
          <w:szCs w:val="16"/>
          <w:lang w:val="es-ES"/>
        </w:rPr>
        <w:t>OEA/</w:t>
      </w:r>
      <w:proofErr w:type="spellStart"/>
      <w:r w:rsidRPr="00D51F89">
        <w:rPr>
          <w:rFonts w:ascii="Cambria" w:hAnsi="Cambria" w:cs="Cambria"/>
          <w:sz w:val="16"/>
          <w:szCs w:val="16"/>
          <w:lang w:val="es-ES"/>
        </w:rPr>
        <w:t>Ser.L</w:t>
      </w:r>
      <w:proofErr w:type="spellEnd"/>
      <w:r w:rsidRPr="00D51F89">
        <w:rPr>
          <w:rFonts w:ascii="Cambria" w:hAnsi="Cambria" w:cs="Cambria"/>
          <w:sz w:val="16"/>
          <w:szCs w:val="16"/>
          <w:lang w:val="es-ES"/>
        </w:rPr>
        <w:t>/V/II.</w:t>
      </w:r>
    </w:p>
    <w:p w14:paraId="22502182" w14:textId="5F22C5AA" w:rsidR="005A24AA" w:rsidRPr="00D51F89" w:rsidRDefault="005A24AA" w:rsidP="00B82CF0">
      <w:pPr>
        <w:autoSpaceDE w:val="0"/>
        <w:autoSpaceDN w:val="0"/>
        <w:adjustRightInd w:val="0"/>
        <w:spacing w:after="0" w:line="240" w:lineRule="auto"/>
        <w:jc w:val="both"/>
        <w:rPr>
          <w:rFonts w:ascii="Cambria" w:hAnsi="Cambria" w:cs="Cambria"/>
          <w:sz w:val="16"/>
          <w:szCs w:val="16"/>
          <w:lang w:val="es-ES"/>
        </w:rPr>
      </w:pPr>
      <w:r w:rsidRPr="00D51F89">
        <w:rPr>
          <w:rFonts w:ascii="Cambria" w:hAnsi="Cambria" w:cs="Cambria"/>
          <w:sz w:val="16"/>
          <w:szCs w:val="16"/>
          <w:lang w:val="es-ES"/>
        </w:rPr>
        <w:t xml:space="preserve">Doc. 207/17, 29 diciembre 2017, </w:t>
      </w:r>
      <w:proofErr w:type="spellStart"/>
      <w:r w:rsidRPr="00D51F89">
        <w:rPr>
          <w:rFonts w:ascii="Cambria" w:hAnsi="Cambria" w:cs="Cambria"/>
          <w:sz w:val="16"/>
          <w:szCs w:val="16"/>
          <w:lang w:val="es-ES"/>
        </w:rPr>
        <w:t>párr</w:t>
      </w:r>
      <w:proofErr w:type="spellEnd"/>
      <w:r w:rsidRPr="00D51F89">
        <w:rPr>
          <w:rFonts w:ascii="Cambria" w:hAnsi="Cambria" w:cs="Cambria"/>
          <w:sz w:val="16"/>
          <w:szCs w:val="16"/>
          <w:lang w:val="es-ES"/>
        </w:rPr>
        <w:t xml:space="preserve"> 335. Original: </w:t>
      </w:r>
      <w:r w:rsidR="00B667A5" w:rsidRPr="00D51F89">
        <w:rPr>
          <w:rFonts w:ascii="Cambria" w:hAnsi="Cambria" w:cs="Cambria"/>
          <w:sz w:val="16"/>
          <w:szCs w:val="16"/>
          <w:lang w:val="es-ES"/>
        </w:rPr>
        <w:t>inglés</w:t>
      </w:r>
      <w:r w:rsidRPr="00D51F89">
        <w:rPr>
          <w:rFonts w:ascii="Cambria" w:hAnsi="Cambria"/>
          <w:sz w:val="16"/>
          <w:szCs w:val="16"/>
          <w:lang w:val="es-ES"/>
        </w:rPr>
        <w:t>. Disponible en: http://www.oas.org/es/cidh/informes/pdfs/Proteccion-Personas-Defensoras.pdf</w:t>
      </w:r>
    </w:p>
  </w:footnote>
  <w:footnote w:id="18">
    <w:p w14:paraId="23B14A2C" w14:textId="323AFCB8" w:rsidR="00F44291" w:rsidRPr="00D51F89" w:rsidRDefault="00F44291" w:rsidP="00B82CF0">
      <w:pPr>
        <w:pStyle w:val="FootnoteText"/>
        <w:jc w:val="both"/>
        <w:rPr>
          <w:rFonts w:ascii="Cambria" w:hAnsi="Cambria"/>
          <w:sz w:val="16"/>
          <w:szCs w:val="16"/>
        </w:rPr>
      </w:pPr>
      <w:r w:rsidRPr="00D51F89">
        <w:rPr>
          <w:rStyle w:val="FootnoteReference"/>
          <w:rFonts w:ascii="Cambria" w:hAnsi="Cambria"/>
          <w:sz w:val="16"/>
          <w:szCs w:val="16"/>
        </w:rPr>
        <w:footnoteRef/>
      </w:r>
      <w:r w:rsidRPr="00D51F89">
        <w:rPr>
          <w:rFonts w:ascii="Cambria" w:hAnsi="Cambria"/>
          <w:sz w:val="16"/>
          <w:szCs w:val="16"/>
        </w:rPr>
        <w:t xml:space="preserve"> Según la Corte Interamericana: “[l]a Corte ha establecido que, en aras de garantizar su efectividad, en la investigación de violaciones a los derechos humanos se debe evitar omisiones en la recaudación de prueba y en el seguimiento de líneas lógicas de investigación. Al respecto, la Corte ha precisado que, cuando los hechos se refieren a la muerte violenta de una persona, la investigación iniciada debe ser conducida de tal forma que pudiese garantizar el debido análisis de las hipótesis de autoría surgidas a raíz de la misma”</w:t>
      </w:r>
      <w:r w:rsidR="0018472F" w:rsidRPr="00D51F89">
        <w:rPr>
          <w:rFonts w:ascii="Cambria" w:hAnsi="Cambria"/>
          <w:sz w:val="16"/>
          <w:szCs w:val="16"/>
        </w:rPr>
        <w:t>. Corte IDH. Caso Defensor de Derechos Humanos y otros Vs. Guatemala. Excepciones Preliminares, Fondo, Reparaciones y Costas. Sentencia de 28 de agosto de 2014. Serie C No. 283, párr. 214. Ver también: Corte IDH. Caso Alvarado Espinoza y otros Vs. México. Fondo, Reparaciones y Costas. Sentencia de 28 de noviembre de 2018. Serie C No. 370, párr. 301.</w:t>
      </w:r>
    </w:p>
  </w:footnote>
  <w:footnote w:id="19">
    <w:p w14:paraId="041A0BBC" w14:textId="3176EE55" w:rsidR="005A24AA" w:rsidRPr="00D51F89" w:rsidRDefault="005A24AA" w:rsidP="00B82CF0">
      <w:pPr>
        <w:pStyle w:val="FootnoteText"/>
        <w:jc w:val="both"/>
        <w:rPr>
          <w:rFonts w:ascii="Cambria" w:hAnsi="Cambria"/>
          <w:sz w:val="16"/>
          <w:szCs w:val="16"/>
        </w:rPr>
      </w:pPr>
      <w:r w:rsidRPr="00D51F89">
        <w:rPr>
          <w:rStyle w:val="FootnoteReference"/>
          <w:rFonts w:ascii="Cambria" w:hAnsi="Cambria"/>
          <w:sz w:val="16"/>
          <w:szCs w:val="16"/>
        </w:rPr>
        <w:footnoteRef/>
      </w:r>
      <w:r w:rsidRPr="00D51F89">
        <w:rPr>
          <w:rFonts w:ascii="Cambria" w:hAnsi="Cambria"/>
          <w:sz w:val="16"/>
          <w:szCs w:val="16"/>
        </w:rPr>
        <w:t xml:space="preserve"> </w:t>
      </w:r>
      <w:r w:rsidRPr="00D51F89">
        <w:rPr>
          <w:rFonts w:ascii="Cambria" w:hAnsi="Cambria" w:cstheme="majorHAnsi"/>
          <w:sz w:val="16"/>
          <w:szCs w:val="16"/>
        </w:rPr>
        <w:t xml:space="preserve">Ver: Corte IDH. Caso Luna López vs. Honduras. Fondo, Reparaciones y Costas. Sentencia del 10 de octubre de 2013. Serie C. No. 269, párr. 127. Disponible en: http://www.corteidh.or.cr/docs/casos/articulos/seriec_269_esp.pdf; CIDH, M. I. F. M. y familia respecto de Colombia (MC 1212-19), Resolución 9/2020, 5 de febrero de 2020. Disponible en: http://www.oas.org/es/cidh/decisiones/pdf/2020/9-20MC1212-19-CO.pdf. Véase </w:t>
      </w:r>
      <w:r w:rsidRPr="00D51F89">
        <w:rPr>
          <w:rFonts w:ascii="Cambria" w:hAnsi="Cambria" w:cstheme="majorHAnsi"/>
          <w:i/>
          <w:sz w:val="16"/>
          <w:szCs w:val="16"/>
        </w:rPr>
        <w:t xml:space="preserve">inter </w:t>
      </w:r>
      <w:proofErr w:type="spellStart"/>
      <w:r w:rsidRPr="00D51F89">
        <w:rPr>
          <w:rFonts w:ascii="Cambria" w:hAnsi="Cambria" w:cstheme="majorHAnsi"/>
          <w:i/>
          <w:sz w:val="16"/>
          <w:szCs w:val="16"/>
        </w:rPr>
        <w:t>alia</w:t>
      </w:r>
      <w:proofErr w:type="spellEnd"/>
      <w:r w:rsidRPr="00D51F89">
        <w:rPr>
          <w:rFonts w:ascii="Cambria" w:hAnsi="Cambria" w:cstheme="majorHAnsi"/>
          <w:sz w:val="16"/>
          <w:szCs w:val="16"/>
        </w:rPr>
        <w:t xml:space="preserve">: CIDH, Maria Patricia Arce Guzmán e hijos respecto de Bolivia (MC-1123-19), Resolución 68/2019 de 25 de diciembre de 2019, párr. 32, disponible enhttp://www.oas.org/es/cidh/decisiones/pdf/2019/68-19MC1123-19-BO.pdf; </w:t>
      </w:r>
      <w:proofErr w:type="spellStart"/>
      <w:r w:rsidRPr="00D51F89">
        <w:rPr>
          <w:rFonts w:ascii="Cambria" w:hAnsi="Cambria" w:cstheme="majorHAnsi"/>
          <w:sz w:val="16"/>
          <w:szCs w:val="16"/>
        </w:rPr>
        <w:t>Yaku</w:t>
      </w:r>
      <w:proofErr w:type="spellEnd"/>
      <w:r w:rsidRPr="00D51F89">
        <w:rPr>
          <w:rFonts w:ascii="Cambria" w:hAnsi="Cambria" w:cstheme="majorHAnsi"/>
          <w:sz w:val="16"/>
          <w:szCs w:val="16"/>
        </w:rPr>
        <w:t xml:space="preserve"> Pérez </w:t>
      </w:r>
      <w:proofErr w:type="spellStart"/>
      <w:r w:rsidRPr="00D51F89">
        <w:rPr>
          <w:rFonts w:ascii="Cambria" w:hAnsi="Cambria" w:cstheme="majorHAnsi"/>
          <w:sz w:val="16"/>
          <w:szCs w:val="16"/>
        </w:rPr>
        <w:t>Guartambel</w:t>
      </w:r>
      <w:proofErr w:type="spellEnd"/>
      <w:r w:rsidRPr="00D51F89">
        <w:rPr>
          <w:rFonts w:ascii="Cambria" w:hAnsi="Cambria" w:cstheme="majorHAnsi"/>
          <w:sz w:val="16"/>
          <w:szCs w:val="16"/>
        </w:rPr>
        <w:t xml:space="preserve"> (MC 807/18), Ecuador, Resolución 67/18 de 27 de agosto de 2019, párr. 30. Disponible en: http://www.oas.org/es/cidh/decisiones/pdf/2018/67-18MC807-18- EC.pdf.</w:t>
      </w:r>
    </w:p>
  </w:footnote>
  <w:footnote w:id="20">
    <w:p w14:paraId="08C819DD" w14:textId="1F687359" w:rsidR="00751754" w:rsidRPr="00D51F89" w:rsidRDefault="00751754" w:rsidP="00751754">
      <w:pPr>
        <w:pStyle w:val="FootnoteText"/>
        <w:jc w:val="both"/>
        <w:rPr>
          <w:rFonts w:ascii="Cambria" w:hAnsi="Cambria"/>
          <w:sz w:val="16"/>
          <w:szCs w:val="16"/>
        </w:rPr>
      </w:pPr>
      <w:r w:rsidRPr="00D51F89">
        <w:rPr>
          <w:rStyle w:val="FootnoteReference"/>
          <w:rFonts w:ascii="Cambria" w:hAnsi="Cambria"/>
          <w:sz w:val="16"/>
          <w:szCs w:val="16"/>
        </w:rPr>
        <w:footnoteRef/>
      </w:r>
      <w:r w:rsidRPr="00D51F89">
        <w:rPr>
          <w:rFonts w:ascii="Cambria" w:hAnsi="Cambria"/>
          <w:sz w:val="16"/>
          <w:szCs w:val="16"/>
        </w:rPr>
        <w:t xml:space="preserve"> En esa misma línea, la CIDH comprende que los hechos que atentan contra la seguridad de los territorios colectivos étnico-raciales generando despojo territorial y desplazamiento forzado no sólo quebrantan el tejido social de las mismas, sino que tienen un impacto diferencial y desproporcionado en comparación al resto de la sociedad.</w:t>
      </w:r>
    </w:p>
  </w:footnote>
  <w:footnote w:id="21">
    <w:p w14:paraId="42829FE4" w14:textId="039A4305" w:rsidR="00965647" w:rsidRPr="0062264F" w:rsidRDefault="00965647">
      <w:pPr>
        <w:pStyle w:val="FootnoteText"/>
        <w:rPr>
          <w:rFonts w:ascii="Cambria" w:hAnsi="Cambria"/>
          <w:sz w:val="16"/>
          <w:szCs w:val="16"/>
        </w:rPr>
      </w:pPr>
      <w:r w:rsidRPr="00D51F89">
        <w:rPr>
          <w:rStyle w:val="FootnoteReference"/>
          <w:rFonts w:ascii="Cambria" w:hAnsi="Cambria"/>
          <w:sz w:val="16"/>
          <w:szCs w:val="16"/>
        </w:rPr>
        <w:footnoteRef/>
      </w:r>
      <w:r w:rsidRPr="0062264F">
        <w:rPr>
          <w:rFonts w:ascii="Cambria" w:hAnsi="Cambria"/>
          <w:sz w:val="16"/>
          <w:szCs w:val="16"/>
        </w:rPr>
        <w:t xml:space="preserve"> Disponible en: https://www.oas.org/es/cidh/decisiones/pdf/Resolucion-1-20-es.pdf.</w:t>
      </w:r>
    </w:p>
  </w:footnote>
  <w:footnote w:id="22">
    <w:p w14:paraId="3573C51E" w14:textId="037E364A" w:rsidR="001846F5" w:rsidRPr="00B82CF0" w:rsidRDefault="001846F5" w:rsidP="00B82CF0">
      <w:pPr>
        <w:pStyle w:val="FootnoteText"/>
        <w:jc w:val="both"/>
        <w:rPr>
          <w:rFonts w:ascii="Cambria" w:hAnsi="Cambria" w:cstheme="majorHAnsi"/>
          <w:sz w:val="16"/>
          <w:szCs w:val="16"/>
        </w:rPr>
      </w:pPr>
      <w:r w:rsidRPr="00D51F89">
        <w:rPr>
          <w:rStyle w:val="FootnoteReference"/>
          <w:rFonts w:ascii="Cambria" w:hAnsi="Cambria" w:cstheme="majorHAnsi"/>
          <w:sz w:val="16"/>
          <w:szCs w:val="16"/>
        </w:rPr>
        <w:footnoteRef/>
      </w:r>
      <w:r w:rsidRPr="00D51F89">
        <w:rPr>
          <w:rFonts w:ascii="Cambria" w:hAnsi="Cambria" w:cstheme="majorHAnsi"/>
          <w:sz w:val="16"/>
          <w:szCs w:val="16"/>
        </w:rPr>
        <w:t xml:space="preserve"> </w:t>
      </w:r>
      <w:r w:rsidRPr="00D51F89">
        <w:rPr>
          <w:rFonts w:ascii="Cambria" w:hAnsi="Cambria" w:cstheme="majorHAnsi"/>
          <w:sz w:val="16"/>
          <w:szCs w:val="16"/>
          <w:lang w:val="es-ES"/>
        </w:rPr>
        <w:t>Naciones Unidas,</w:t>
      </w:r>
      <w:r w:rsidRPr="00D51F89">
        <w:rPr>
          <w:rFonts w:ascii="Cambria" w:hAnsi="Cambria" w:cstheme="majorHAnsi"/>
          <w:sz w:val="16"/>
          <w:szCs w:val="16"/>
        </w:rPr>
        <w:t xml:space="preserve"> Formas contemporáneas de racismo, discriminación racial, xenofobia y formas conexas de intolerancia, 2019, A/74/321. Disponible en: </w:t>
      </w:r>
      <w:hyperlink r:id="rId1" w:history="1">
        <w:r w:rsidRPr="00D51F89">
          <w:rPr>
            <w:rStyle w:val="Hyperlink"/>
            <w:rFonts w:ascii="Cambria" w:hAnsi="Cambria" w:cstheme="majorHAnsi"/>
            <w:color w:val="auto"/>
            <w:sz w:val="16"/>
            <w:szCs w:val="16"/>
            <w:u w:val="none"/>
          </w:rPr>
          <w:t>https://undocs.org/es/A/74/321</w:t>
        </w:r>
      </w:hyperlink>
      <w:r w:rsidR="00D740EA" w:rsidRPr="00D51F89">
        <w:rPr>
          <w:rFonts w:ascii="Cambria" w:hAnsi="Cambria" w:cs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63EF" w14:textId="16BBCE70" w:rsidR="001846F5" w:rsidRPr="00E876D4" w:rsidRDefault="001846F5" w:rsidP="00E876D4">
    <w:pPr>
      <w:tabs>
        <w:tab w:val="left" w:pos="4040"/>
        <w:tab w:val="left" w:pos="4333"/>
        <w:tab w:val="center" w:pos="4680"/>
        <w:tab w:val="right" w:pos="9360"/>
      </w:tabs>
      <w:spacing w:after="0"/>
      <w:rPr>
        <w:rFonts w:eastAsia="Calibri"/>
        <w:lang w:val="en-US"/>
      </w:rPr>
    </w:pPr>
    <w:r>
      <w:rPr>
        <w:rFonts w:eastAsia="Calibri"/>
        <w:noProof/>
        <w:lang w:val="en-US"/>
      </w:rPr>
      <w:drawing>
        <wp:inline distT="0" distB="0" distL="0" distR="0" wp14:anchorId="7DE8E894" wp14:editId="6B2F5F0A">
          <wp:extent cx="2353310" cy="453390"/>
          <wp:effectExtent l="0" t="0" r="8890" b="381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117C14">
      <w:rPr>
        <w:rFonts w:eastAsia="Calibri"/>
        <w:lang w:val="en-US"/>
      </w:rPr>
      <w:tab/>
    </w:r>
    <w:r>
      <w:rPr>
        <w:rFonts w:eastAsia="Calibri"/>
        <w:lang w:val="en-US"/>
      </w:rPr>
      <w:tab/>
    </w:r>
    <w:r w:rsidRPr="00436700">
      <w:rPr>
        <w:rFonts w:eastAsia="Calibri"/>
        <w:lang w:val="en-US"/>
      </w:rPr>
      <w:tab/>
    </w:r>
    <w:r w:rsidRPr="00436700">
      <w:rPr>
        <w:rFonts w:eastAsia="Calibri"/>
        <w:lang w:val="en-US"/>
      </w:rPr>
      <w:tab/>
    </w:r>
    <w:r>
      <w:rPr>
        <w:rFonts w:eastAsia="Calibri"/>
        <w:noProof/>
        <w:lang w:val="en-US"/>
      </w:rPr>
      <w:drawing>
        <wp:inline distT="0" distB="0" distL="0" distR="0" wp14:anchorId="135DE46B" wp14:editId="14109200">
          <wp:extent cx="2106930" cy="540385"/>
          <wp:effectExtent l="0" t="0" r="762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14:paraId="02ED001E" w14:textId="77777777" w:rsidR="005C3E8F" w:rsidRPr="00436700" w:rsidRDefault="005C3E8F" w:rsidP="00681654">
    <w:pPr>
      <w:pBdr>
        <w:bottom w:val="single" w:sz="6" w:space="1" w:color="auto"/>
      </w:pBdr>
      <w:tabs>
        <w:tab w:val="center" w:pos="4680"/>
        <w:tab w:val="right" w:pos="9360"/>
      </w:tabs>
      <w:spacing w:after="0"/>
    </w:pPr>
  </w:p>
  <w:p w14:paraId="1ECF9D2B" w14:textId="79209708" w:rsidR="001846F5" w:rsidRDefault="001846F5" w:rsidP="00681654">
    <w:pPr>
      <w:tabs>
        <w:tab w:val="left" w:pos="4040"/>
        <w:tab w:val="left" w:pos="4333"/>
        <w:tab w:val="center" w:pos="4680"/>
        <w:tab w:val="right" w:pos="9360"/>
      </w:tabs>
      <w:spacing w:after="0"/>
      <w:rPr>
        <w:rFonts w:eastAsia="Calibri"/>
        <w:lang w:val="en-US"/>
      </w:rPr>
    </w:pPr>
    <w:r w:rsidRPr="00117C14">
      <w:rPr>
        <w:rFonts w:eastAsia="Calibri"/>
        <w:lang w:val="en-US"/>
      </w:rPr>
      <w:tab/>
    </w:r>
    <w:r w:rsidRPr="00117C14">
      <w:rPr>
        <w:rFonts w:eastAsia="Calibri"/>
        <w:lang w:val="en-US"/>
      </w:rPr>
      <w:tab/>
    </w:r>
  </w:p>
  <w:p w14:paraId="724F14ED" w14:textId="77777777" w:rsidR="00E876D4" w:rsidRPr="00E24662" w:rsidRDefault="00E876D4" w:rsidP="00681654">
    <w:pPr>
      <w:tabs>
        <w:tab w:val="left" w:pos="4040"/>
        <w:tab w:val="left" w:pos="4333"/>
        <w:tab w:val="center" w:pos="4680"/>
        <w:tab w:val="right" w:pos="9360"/>
      </w:tabs>
      <w:spacing w:after="0"/>
      <w:rPr>
        <w:rFonts w:eastAsia="Calibr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20"/>
    <w:multiLevelType w:val="hybridMultilevel"/>
    <w:tmpl w:val="8CD2E3E2"/>
    <w:lvl w:ilvl="0" w:tplc="540A000F">
      <w:start w:val="1"/>
      <w:numFmt w:val="decimal"/>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 w15:restartNumberingAfterBreak="0">
    <w:nsid w:val="1035011B"/>
    <w:multiLevelType w:val="hybridMultilevel"/>
    <w:tmpl w:val="ED488F48"/>
    <w:lvl w:ilvl="0" w:tplc="2AC6410E">
      <w:start w:val="1"/>
      <w:numFmt w:val="decimal"/>
      <w:lvlText w:val="%1."/>
      <w:lvlJc w:val="center"/>
      <w:pPr>
        <w:ind w:left="928" w:hanging="360"/>
      </w:pPr>
      <w:rPr>
        <w:rFonts w:ascii="Cambria" w:hAnsi="Cambria" w:hint="default"/>
        <w:b w:val="0"/>
        <w:color w:val="auto"/>
        <w:sz w:val="21"/>
        <w:szCs w:val="21"/>
      </w:rPr>
    </w:lvl>
    <w:lvl w:ilvl="1" w:tplc="C5CE00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36B7E"/>
    <w:multiLevelType w:val="hybridMultilevel"/>
    <w:tmpl w:val="ED488F48"/>
    <w:lvl w:ilvl="0" w:tplc="2AC6410E">
      <w:start w:val="1"/>
      <w:numFmt w:val="decimal"/>
      <w:lvlText w:val="%1."/>
      <w:lvlJc w:val="center"/>
      <w:pPr>
        <w:ind w:left="928" w:hanging="360"/>
      </w:pPr>
      <w:rPr>
        <w:rFonts w:ascii="Cambria" w:hAnsi="Cambria" w:hint="default"/>
        <w:b w:val="0"/>
        <w:color w:val="auto"/>
        <w:sz w:val="21"/>
        <w:szCs w:val="21"/>
      </w:rPr>
    </w:lvl>
    <w:lvl w:ilvl="1" w:tplc="C5CE00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C3A76"/>
    <w:multiLevelType w:val="hybridMultilevel"/>
    <w:tmpl w:val="ED488F48"/>
    <w:lvl w:ilvl="0" w:tplc="2AC6410E">
      <w:start w:val="1"/>
      <w:numFmt w:val="decimal"/>
      <w:lvlText w:val="%1."/>
      <w:lvlJc w:val="center"/>
      <w:pPr>
        <w:ind w:left="928" w:hanging="360"/>
      </w:pPr>
      <w:rPr>
        <w:rFonts w:ascii="Cambria" w:hAnsi="Cambria" w:hint="default"/>
        <w:b w:val="0"/>
        <w:color w:val="auto"/>
        <w:sz w:val="21"/>
        <w:szCs w:val="21"/>
      </w:rPr>
    </w:lvl>
    <w:lvl w:ilvl="1" w:tplc="C5CE00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47440"/>
    <w:multiLevelType w:val="multilevel"/>
    <w:tmpl w:val="0DCA3F5C"/>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531038"/>
    <w:multiLevelType w:val="hybridMultilevel"/>
    <w:tmpl w:val="0BBC8840"/>
    <w:lvl w:ilvl="0" w:tplc="EAFEC8A6">
      <w:start w:val="3"/>
      <w:numFmt w:val="bullet"/>
      <w:lvlText w:val="-"/>
      <w:lvlJc w:val="left"/>
      <w:pPr>
        <w:ind w:left="1080" w:hanging="360"/>
      </w:pPr>
      <w:rPr>
        <w:rFonts w:ascii="Cambria" w:eastAsia="Batang" w:hAnsi="Cambria" w:cs="Times New Roman"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7" w15:restartNumberingAfterBreak="0">
    <w:nsid w:val="20E77E93"/>
    <w:multiLevelType w:val="hybridMultilevel"/>
    <w:tmpl w:val="ED488F48"/>
    <w:lvl w:ilvl="0" w:tplc="2AC6410E">
      <w:start w:val="1"/>
      <w:numFmt w:val="decimal"/>
      <w:lvlText w:val="%1."/>
      <w:lvlJc w:val="center"/>
      <w:pPr>
        <w:ind w:left="928" w:hanging="360"/>
      </w:pPr>
      <w:rPr>
        <w:rFonts w:ascii="Cambria" w:hAnsi="Cambria" w:hint="default"/>
        <w:b w:val="0"/>
        <w:color w:val="auto"/>
        <w:sz w:val="21"/>
        <w:szCs w:val="21"/>
      </w:rPr>
    </w:lvl>
    <w:lvl w:ilvl="1" w:tplc="C5CE00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94192"/>
    <w:multiLevelType w:val="multilevel"/>
    <w:tmpl w:val="0DCA3F5C"/>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7A26CF"/>
    <w:multiLevelType w:val="hybridMultilevel"/>
    <w:tmpl w:val="ED488F48"/>
    <w:lvl w:ilvl="0" w:tplc="2AC6410E">
      <w:start w:val="1"/>
      <w:numFmt w:val="decimal"/>
      <w:lvlText w:val="%1."/>
      <w:lvlJc w:val="center"/>
      <w:pPr>
        <w:ind w:left="6314" w:hanging="360"/>
      </w:pPr>
      <w:rPr>
        <w:rFonts w:ascii="Cambria" w:hAnsi="Cambria" w:hint="default"/>
        <w:b w:val="0"/>
        <w:color w:val="auto"/>
        <w:sz w:val="21"/>
        <w:szCs w:val="21"/>
      </w:rPr>
    </w:lvl>
    <w:lvl w:ilvl="1" w:tplc="C5CE00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852AC"/>
    <w:multiLevelType w:val="hybridMultilevel"/>
    <w:tmpl w:val="ED488F48"/>
    <w:lvl w:ilvl="0" w:tplc="2AC6410E">
      <w:start w:val="1"/>
      <w:numFmt w:val="decimal"/>
      <w:lvlText w:val="%1."/>
      <w:lvlJc w:val="center"/>
      <w:pPr>
        <w:ind w:left="928" w:hanging="360"/>
      </w:pPr>
      <w:rPr>
        <w:rFonts w:ascii="Cambria" w:hAnsi="Cambria" w:hint="default"/>
        <w:b w:val="0"/>
        <w:color w:val="auto"/>
        <w:sz w:val="21"/>
        <w:szCs w:val="21"/>
      </w:rPr>
    </w:lvl>
    <w:lvl w:ilvl="1" w:tplc="C5CE00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97D16"/>
    <w:multiLevelType w:val="hybridMultilevel"/>
    <w:tmpl w:val="05480F94"/>
    <w:lvl w:ilvl="0" w:tplc="540A000F">
      <w:start w:val="1"/>
      <w:numFmt w:val="decimal"/>
      <w:lvlText w:val="%1."/>
      <w:lvlJc w:val="left"/>
      <w:pPr>
        <w:ind w:left="1146" w:hanging="360"/>
      </w:pPr>
    </w:lvl>
    <w:lvl w:ilvl="1" w:tplc="540A0019" w:tentative="1">
      <w:start w:val="1"/>
      <w:numFmt w:val="lowerLetter"/>
      <w:lvlText w:val="%2."/>
      <w:lvlJc w:val="left"/>
      <w:pPr>
        <w:ind w:left="1866" w:hanging="360"/>
      </w:pPr>
    </w:lvl>
    <w:lvl w:ilvl="2" w:tplc="540A001B" w:tentative="1">
      <w:start w:val="1"/>
      <w:numFmt w:val="lowerRoman"/>
      <w:lvlText w:val="%3."/>
      <w:lvlJc w:val="right"/>
      <w:pPr>
        <w:ind w:left="2586" w:hanging="180"/>
      </w:pPr>
    </w:lvl>
    <w:lvl w:ilvl="3" w:tplc="540A000F" w:tentative="1">
      <w:start w:val="1"/>
      <w:numFmt w:val="decimal"/>
      <w:lvlText w:val="%4."/>
      <w:lvlJc w:val="left"/>
      <w:pPr>
        <w:ind w:left="3306" w:hanging="360"/>
      </w:pPr>
    </w:lvl>
    <w:lvl w:ilvl="4" w:tplc="540A0019" w:tentative="1">
      <w:start w:val="1"/>
      <w:numFmt w:val="lowerLetter"/>
      <w:lvlText w:val="%5."/>
      <w:lvlJc w:val="left"/>
      <w:pPr>
        <w:ind w:left="4026" w:hanging="360"/>
      </w:pPr>
    </w:lvl>
    <w:lvl w:ilvl="5" w:tplc="540A001B" w:tentative="1">
      <w:start w:val="1"/>
      <w:numFmt w:val="lowerRoman"/>
      <w:lvlText w:val="%6."/>
      <w:lvlJc w:val="right"/>
      <w:pPr>
        <w:ind w:left="4746" w:hanging="180"/>
      </w:pPr>
    </w:lvl>
    <w:lvl w:ilvl="6" w:tplc="540A000F" w:tentative="1">
      <w:start w:val="1"/>
      <w:numFmt w:val="decimal"/>
      <w:lvlText w:val="%7."/>
      <w:lvlJc w:val="left"/>
      <w:pPr>
        <w:ind w:left="5466" w:hanging="360"/>
      </w:pPr>
    </w:lvl>
    <w:lvl w:ilvl="7" w:tplc="540A0019" w:tentative="1">
      <w:start w:val="1"/>
      <w:numFmt w:val="lowerLetter"/>
      <w:lvlText w:val="%8."/>
      <w:lvlJc w:val="left"/>
      <w:pPr>
        <w:ind w:left="6186" w:hanging="360"/>
      </w:pPr>
    </w:lvl>
    <w:lvl w:ilvl="8" w:tplc="540A001B" w:tentative="1">
      <w:start w:val="1"/>
      <w:numFmt w:val="lowerRoman"/>
      <w:lvlText w:val="%9."/>
      <w:lvlJc w:val="right"/>
      <w:pPr>
        <w:ind w:left="6906" w:hanging="180"/>
      </w:pPr>
    </w:lvl>
  </w:abstractNum>
  <w:abstractNum w:abstractNumId="12" w15:restartNumberingAfterBreak="0">
    <w:nsid w:val="3F7351F6"/>
    <w:multiLevelType w:val="hybridMultilevel"/>
    <w:tmpl w:val="ED488F48"/>
    <w:lvl w:ilvl="0" w:tplc="2AC6410E">
      <w:start w:val="1"/>
      <w:numFmt w:val="decimal"/>
      <w:lvlText w:val="%1."/>
      <w:lvlJc w:val="center"/>
      <w:pPr>
        <w:ind w:left="6314" w:hanging="360"/>
      </w:pPr>
      <w:rPr>
        <w:rFonts w:ascii="Cambria" w:hAnsi="Cambria" w:hint="default"/>
        <w:b w:val="0"/>
        <w:color w:val="auto"/>
        <w:sz w:val="21"/>
        <w:szCs w:val="21"/>
      </w:rPr>
    </w:lvl>
    <w:lvl w:ilvl="1" w:tplc="C5CE00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30594"/>
    <w:multiLevelType w:val="multilevel"/>
    <w:tmpl w:val="9AFC5F32"/>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2F5DC0"/>
    <w:multiLevelType w:val="hybridMultilevel"/>
    <w:tmpl w:val="B5A2960E"/>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597946C5"/>
    <w:multiLevelType w:val="hybridMultilevel"/>
    <w:tmpl w:val="ED488F48"/>
    <w:lvl w:ilvl="0" w:tplc="2AC6410E">
      <w:start w:val="1"/>
      <w:numFmt w:val="decimal"/>
      <w:lvlText w:val="%1."/>
      <w:lvlJc w:val="center"/>
      <w:pPr>
        <w:ind w:left="928" w:hanging="360"/>
      </w:pPr>
      <w:rPr>
        <w:rFonts w:ascii="Cambria" w:hAnsi="Cambria" w:hint="default"/>
        <w:b w:val="0"/>
        <w:color w:val="auto"/>
        <w:sz w:val="21"/>
        <w:szCs w:val="21"/>
      </w:rPr>
    </w:lvl>
    <w:lvl w:ilvl="1" w:tplc="C5CE00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E538B2"/>
    <w:multiLevelType w:val="hybridMultilevel"/>
    <w:tmpl w:val="7D34A2C0"/>
    <w:lvl w:ilvl="0" w:tplc="04090017">
      <w:start w:val="1"/>
      <w:numFmt w:val="lowerLetter"/>
      <w:lvlText w:val="%1)"/>
      <w:lvlJc w:val="left"/>
      <w:pPr>
        <w:ind w:left="1080" w:hanging="360"/>
      </w:pPr>
    </w:lvl>
    <w:lvl w:ilvl="1" w:tplc="540A0019">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7" w15:restartNumberingAfterBreak="0">
    <w:nsid w:val="5EB62FBE"/>
    <w:multiLevelType w:val="hybridMultilevel"/>
    <w:tmpl w:val="ED488F48"/>
    <w:lvl w:ilvl="0" w:tplc="2AC6410E">
      <w:start w:val="1"/>
      <w:numFmt w:val="decimal"/>
      <w:lvlText w:val="%1."/>
      <w:lvlJc w:val="center"/>
      <w:pPr>
        <w:ind w:left="928" w:hanging="360"/>
      </w:pPr>
      <w:rPr>
        <w:rFonts w:ascii="Cambria" w:hAnsi="Cambria" w:hint="default"/>
        <w:b w:val="0"/>
        <w:color w:val="auto"/>
        <w:sz w:val="21"/>
        <w:szCs w:val="21"/>
      </w:rPr>
    </w:lvl>
    <w:lvl w:ilvl="1" w:tplc="C5CE00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2A2861"/>
    <w:multiLevelType w:val="hybridMultilevel"/>
    <w:tmpl w:val="ED488F48"/>
    <w:lvl w:ilvl="0" w:tplc="2AC6410E">
      <w:start w:val="1"/>
      <w:numFmt w:val="decimal"/>
      <w:lvlText w:val="%1."/>
      <w:lvlJc w:val="center"/>
      <w:pPr>
        <w:ind w:left="928" w:hanging="360"/>
      </w:pPr>
      <w:rPr>
        <w:rFonts w:ascii="Cambria" w:hAnsi="Cambria" w:hint="default"/>
        <w:b w:val="0"/>
        <w:color w:val="auto"/>
        <w:sz w:val="21"/>
        <w:szCs w:val="21"/>
      </w:rPr>
    </w:lvl>
    <w:lvl w:ilvl="1" w:tplc="C5CE00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A01A9"/>
    <w:multiLevelType w:val="hybridMultilevel"/>
    <w:tmpl w:val="ED488F48"/>
    <w:lvl w:ilvl="0" w:tplc="2AC6410E">
      <w:start w:val="1"/>
      <w:numFmt w:val="decimal"/>
      <w:lvlText w:val="%1."/>
      <w:lvlJc w:val="center"/>
      <w:pPr>
        <w:ind w:left="928" w:hanging="360"/>
      </w:pPr>
      <w:rPr>
        <w:rFonts w:ascii="Cambria" w:hAnsi="Cambria" w:hint="default"/>
        <w:b w:val="0"/>
        <w:color w:val="auto"/>
        <w:sz w:val="21"/>
        <w:szCs w:val="21"/>
      </w:rPr>
    </w:lvl>
    <w:lvl w:ilvl="1" w:tplc="C5CE00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8"/>
  </w:num>
  <w:num w:numId="5">
    <w:abstractNumId w:val="6"/>
  </w:num>
  <w:num w:numId="6">
    <w:abstractNumId w:val="16"/>
  </w:num>
  <w:num w:numId="7">
    <w:abstractNumId w:val="11"/>
  </w:num>
  <w:num w:numId="8">
    <w:abstractNumId w:val="15"/>
  </w:num>
  <w:num w:numId="9">
    <w:abstractNumId w:val="0"/>
  </w:num>
  <w:num w:numId="10">
    <w:abstractNumId w:val="4"/>
  </w:num>
  <w:num w:numId="11">
    <w:abstractNumId w:val="10"/>
  </w:num>
  <w:num w:numId="12">
    <w:abstractNumId w:val="17"/>
  </w:num>
  <w:num w:numId="13">
    <w:abstractNumId w:val="2"/>
  </w:num>
  <w:num w:numId="14">
    <w:abstractNumId w:val="18"/>
  </w:num>
  <w:num w:numId="15">
    <w:abstractNumId w:val="3"/>
  </w:num>
  <w:num w:numId="16">
    <w:abstractNumId w:val="14"/>
  </w:num>
  <w:num w:numId="17">
    <w:abstractNumId w:val="1"/>
  </w:num>
  <w:num w:numId="18">
    <w:abstractNumId w:val="7"/>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95"/>
    <w:rsid w:val="000059F9"/>
    <w:rsid w:val="00006FF8"/>
    <w:rsid w:val="0001572C"/>
    <w:rsid w:val="00017753"/>
    <w:rsid w:val="000200A8"/>
    <w:rsid w:val="000305BE"/>
    <w:rsid w:val="00031D25"/>
    <w:rsid w:val="0003287D"/>
    <w:rsid w:val="00037EA2"/>
    <w:rsid w:val="00037EAC"/>
    <w:rsid w:val="00042AA7"/>
    <w:rsid w:val="00043815"/>
    <w:rsid w:val="0004558C"/>
    <w:rsid w:val="00045912"/>
    <w:rsid w:val="0004635F"/>
    <w:rsid w:val="00052559"/>
    <w:rsid w:val="00052639"/>
    <w:rsid w:val="00055658"/>
    <w:rsid w:val="00062408"/>
    <w:rsid w:val="000635BA"/>
    <w:rsid w:val="00064CED"/>
    <w:rsid w:val="000656BE"/>
    <w:rsid w:val="00072E2D"/>
    <w:rsid w:val="00075327"/>
    <w:rsid w:val="00080DA3"/>
    <w:rsid w:val="00083CA3"/>
    <w:rsid w:val="00085043"/>
    <w:rsid w:val="000866EE"/>
    <w:rsid w:val="00086858"/>
    <w:rsid w:val="00086DEB"/>
    <w:rsid w:val="00087500"/>
    <w:rsid w:val="00090E40"/>
    <w:rsid w:val="00095263"/>
    <w:rsid w:val="000A2FCF"/>
    <w:rsid w:val="000A3134"/>
    <w:rsid w:val="000A3433"/>
    <w:rsid w:val="000A3CB5"/>
    <w:rsid w:val="000A517E"/>
    <w:rsid w:val="000B31F2"/>
    <w:rsid w:val="000B3DAC"/>
    <w:rsid w:val="000B4BE9"/>
    <w:rsid w:val="000B5717"/>
    <w:rsid w:val="000E03DC"/>
    <w:rsid w:val="000E1DE1"/>
    <w:rsid w:val="000F53B0"/>
    <w:rsid w:val="000F5FA8"/>
    <w:rsid w:val="000F6470"/>
    <w:rsid w:val="000F6A1C"/>
    <w:rsid w:val="001003E1"/>
    <w:rsid w:val="00101FB6"/>
    <w:rsid w:val="00103668"/>
    <w:rsid w:val="00105636"/>
    <w:rsid w:val="0011388A"/>
    <w:rsid w:val="00120EC2"/>
    <w:rsid w:val="001225CF"/>
    <w:rsid w:val="00122830"/>
    <w:rsid w:val="00123728"/>
    <w:rsid w:val="00126E61"/>
    <w:rsid w:val="00131B33"/>
    <w:rsid w:val="00134A8A"/>
    <w:rsid w:val="001378F0"/>
    <w:rsid w:val="00140688"/>
    <w:rsid w:val="00145EE4"/>
    <w:rsid w:val="00153635"/>
    <w:rsid w:val="00153A8F"/>
    <w:rsid w:val="00157630"/>
    <w:rsid w:val="001605CA"/>
    <w:rsid w:val="001616E7"/>
    <w:rsid w:val="001617EC"/>
    <w:rsid w:val="00162D09"/>
    <w:rsid w:val="00165FA2"/>
    <w:rsid w:val="00170A4C"/>
    <w:rsid w:val="0017323D"/>
    <w:rsid w:val="00175288"/>
    <w:rsid w:val="001771BC"/>
    <w:rsid w:val="00177713"/>
    <w:rsid w:val="001800BE"/>
    <w:rsid w:val="001816C2"/>
    <w:rsid w:val="00181CA0"/>
    <w:rsid w:val="001846F5"/>
    <w:rsid w:val="0018472F"/>
    <w:rsid w:val="001952E6"/>
    <w:rsid w:val="001963ED"/>
    <w:rsid w:val="001A0577"/>
    <w:rsid w:val="001A0E3C"/>
    <w:rsid w:val="001A0FB5"/>
    <w:rsid w:val="001A7649"/>
    <w:rsid w:val="001B025D"/>
    <w:rsid w:val="001B1B9B"/>
    <w:rsid w:val="001B3C9B"/>
    <w:rsid w:val="001B3F6C"/>
    <w:rsid w:val="001B7DAA"/>
    <w:rsid w:val="001C34D9"/>
    <w:rsid w:val="001C3A38"/>
    <w:rsid w:val="001C4B73"/>
    <w:rsid w:val="001C5C18"/>
    <w:rsid w:val="001D0D29"/>
    <w:rsid w:val="001D11E1"/>
    <w:rsid w:val="001D362E"/>
    <w:rsid w:val="001D569F"/>
    <w:rsid w:val="001D7A03"/>
    <w:rsid w:val="001E2C46"/>
    <w:rsid w:val="001F0D9D"/>
    <w:rsid w:val="001F143A"/>
    <w:rsid w:val="0020084A"/>
    <w:rsid w:val="00200F9C"/>
    <w:rsid w:val="002047B2"/>
    <w:rsid w:val="00206295"/>
    <w:rsid w:val="00207FFA"/>
    <w:rsid w:val="0021440B"/>
    <w:rsid w:val="002165FA"/>
    <w:rsid w:val="00220B56"/>
    <w:rsid w:val="00224C21"/>
    <w:rsid w:val="00231953"/>
    <w:rsid w:val="0023195A"/>
    <w:rsid w:val="00233196"/>
    <w:rsid w:val="002368FA"/>
    <w:rsid w:val="00240FC9"/>
    <w:rsid w:val="0024419F"/>
    <w:rsid w:val="00253FB1"/>
    <w:rsid w:val="00254517"/>
    <w:rsid w:val="002551FF"/>
    <w:rsid w:val="00255F52"/>
    <w:rsid w:val="002638A1"/>
    <w:rsid w:val="00265F19"/>
    <w:rsid w:val="0026669B"/>
    <w:rsid w:val="00272409"/>
    <w:rsid w:val="00273602"/>
    <w:rsid w:val="002742CC"/>
    <w:rsid w:val="00274389"/>
    <w:rsid w:val="00277C38"/>
    <w:rsid w:val="00280770"/>
    <w:rsid w:val="00282290"/>
    <w:rsid w:val="002843B5"/>
    <w:rsid w:val="002857C7"/>
    <w:rsid w:val="00290A24"/>
    <w:rsid w:val="0029328A"/>
    <w:rsid w:val="00294C8B"/>
    <w:rsid w:val="00295128"/>
    <w:rsid w:val="00295195"/>
    <w:rsid w:val="002A1A9D"/>
    <w:rsid w:val="002B71B8"/>
    <w:rsid w:val="002C0821"/>
    <w:rsid w:val="002C21D9"/>
    <w:rsid w:val="002C6360"/>
    <w:rsid w:val="002D228C"/>
    <w:rsid w:val="002D2967"/>
    <w:rsid w:val="002D4405"/>
    <w:rsid w:val="002D6AF5"/>
    <w:rsid w:val="002E28B0"/>
    <w:rsid w:val="002F1359"/>
    <w:rsid w:val="002F1AB6"/>
    <w:rsid w:val="002F69FC"/>
    <w:rsid w:val="002F74F5"/>
    <w:rsid w:val="00301900"/>
    <w:rsid w:val="00303796"/>
    <w:rsid w:val="00306D92"/>
    <w:rsid w:val="003132A3"/>
    <w:rsid w:val="00313EDB"/>
    <w:rsid w:val="003144D6"/>
    <w:rsid w:val="00316E8A"/>
    <w:rsid w:val="003210B5"/>
    <w:rsid w:val="00321C18"/>
    <w:rsid w:val="00326E87"/>
    <w:rsid w:val="00332B43"/>
    <w:rsid w:val="00333C53"/>
    <w:rsid w:val="0033484F"/>
    <w:rsid w:val="0034369A"/>
    <w:rsid w:val="00343760"/>
    <w:rsid w:val="00343EEA"/>
    <w:rsid w:val="00344CD1"/>
    <w:rsid w:val="0034647F"/>
    <w:rsid w:val="0035013A"/>
    <w:rsid w:val="00351D32"/>
    <w:rsid w:val="00352106"/>
    <w:rsid w:val="00355F4C"/>
    <w:rsid w:val="00363B47"/>
    <w:rsid w:val="00365BCD"/>
    <w:rsid w:val="00365C04"/>
    <w:rsid w:val="003707F7"/>
    <w:rsid w:val="00371FDB"/>
    <w:rsid w:val="00376481"/>
    <w:rsid w:val="003770A4"/>
    <w:rsid w:val="003826D7"/>
    <w:rsid w:val="00383A97"/>
    <w:rsid w:val="00386DEB"/>
    <w:rsid w:val="00386E82"/>
    <w:rsid w:val="0039125A"/>
    <w:rsid w:val="003925FC"/>
    <w:rsid w:val="00393F09"/>
    <w:rsid w:val="00396569"/>
    <w:rsid w:val="00397ECC"/>
    <w:rsid w:val="003A7A5C"/>
    <w:rsid w:val="003B1993"/>
    <w:rsid w:val="003B36F9"/>
    <w:rsid w:val="003B569C"/>
    <w:rsid w:val="003B77FE"/>
    <w:rsid w:val="003B7E2D"/>
    <w:rsid w:val="003C1CA4"/>
    <w:rsid w:val="003C5EA8"/>
    <w:rsid w:val="003C6F0C"/>
    <w:rsid w:val="003D391B"/>
    <w:rsid w:val="003D5C42"/>
    <w:rsid w:val="003D7658"/>
    <w:rsid w:val="003E141D"/>
    <w:rsid w:val="003E2774"/>
    <w:rsid w:val="003E5086"/>
    <w:rsid w:val="003E57B7"/>
    <w:rsid w:val="003F383C"/>
    <w:rsid w:val="003F3EB9"/>
    <w:rsid w:val="003F48DD"/>
    <w:rsid w:val="004012F5"/>
    <w:rsid w:val="00405596"/>
    <w:rsid w:val="004129FD"/>
    <w:rsid w:val="0041345D"/>
    <w:rsid w:val="004236B5"/>
    <w:rsid w:val="00425C95"/>
    <w:rsid w:val="00425E39"/>
    <w:rsid w:val="00426BBE"/>
    <w:rsid w:val="00432ABE"/>
    <w:rsid w:val="0043470B"/>
    <w:rsid w:val="00441AE4"/>
    <w:rsid w:val="00442D19"/>
    <w:rsid w:val="00444655"/>
    <w:rsid w:val="0044587E"/>
    <w:rsid w:val="0045174A"/>
    <w:rsid w:val="00455BC2"/>
    <w:rsid w:val="00462DCE"/>
    <w:rsid w:val="00463E34"/>
    <w:rsid w:val="00467EC8"/>
    <w:rsid w:val="0047019C"/>
    <w:rsid w:val="00471BB9"/>
    <w:rsid w:val="00477350"/>
    <w:rsid w:val="00480A61"/>
    <w:rsid w:val="00483802"/>
    <w:rsid w:val="00490F44"/>
    <w:rsid w:val="00495619"/>
    <w:rsid w:val="004963CA"/>
    <w:rsid w:val="004A3980"/>
    <w:rsid w:val="004B1E4F"/>
    <w:rsid w:val="004B6B11"/>
    <w:rsid w:val="004C7727"/>
    <w:rsid w:val="004D07A6"/>
    <w:rsid w:val="004E1CAD"/>
    <w:rsid w:val="004E661D"/>
    <w:rsid w:val="004F3E7F"/>
    <w:rsid w:val="004F5E94"/>
    <w:rsid w:val="004F730A"/>
    <w:rsid w:val="004F774C"/>
    <w:rsid w:val="0050283E"/>
    <w:rsid w:val="00511029"/>
    <w:rsid w:val="00512CB0"/>
    <w:rsid w:val="00513579"/>
    <w:rsid w:val="0051592E"/>
    <w:rsid w:val="0052214C"/>
    <w:rsid w:val="00522A82"/>
    <w:rsid w:val="00523D6D"/>
    <w:rsid w:val="00524B9F"/>
    <w:rsid w:val="00525AF3"/>
    <w:rsid w:val="00530B08"/>
    <w:rsid w:val="00531FEB"/>
    <w:rsid w:val="00535194"/>
    <w:rsid w:val="00536B60"/>
    <w:rsid w:val="00537EDD"/>
    <w:rsid w:val="00537F1B"/>
    <w:rsid w:val="00542DFD"/>
    <w:rsid w:val="00545983"/>
    <w:rsid w:val="00545E86"/>
    <w:rsid w:val="00551506"/>
    <w:rsid w:val="0055499E"/>
    <w:rsid w:val="00554CD4"/>
    <w:rsid w:val="0055636A"/>
    <w:rsid w:val="00556B6B"/>
    <w:rsid w:val="005577E9"/>
    <w:rsid w:val="005579D3"/>
    <w:rsid w:val="00560CB4"/>
    <w:rsid w:val="0056186A"/>
    <w:rsid w:val="00563AAA"/>
    <w:rsid w:val="00580992"/>
    <w:rsid w:val="00580D0D"/>
    <w:rsid w:val="00581582"/>
    <w:rsid w:val="005851B0"/>
    <w:rsid w:val="00591B9B"/>
    <w:rsid w:val="00593AD0"/>
    <w:rsid w:val="00594227"/>
    <w:rsid w:val="005A09F1"/>
    <w:rsid w:val="005A0D16"/>
    <w:rsid w:val="005A24AA"/>
    <w:rsid w:val="005A2579"/>
    <w:rsid w:val="005A4A5F"/>
    <w:rsid w:val="005A72E7"/>
    <w:rsid w:val="005A72F8"/>
    <w:rsid w:val="005A799F"/>
    <w:rsid w:val="005A7B67"/>
    <w:rsid w:val="005B3249"/>
    <w:rsid w:val="005B554F"/>
    <w:rsid w:val="005B6573"/>
    <w:rsid w:val="005B7F33"/>
    <w:rsid w:val="005C36A8"/>
    <w:rsid w:val="005C3E8F"/>
    <w:rsid w:val="005C6C0E"/>
    <w:rsid w:val="005D01BB"/>
    <w:rsid w:val="005D4F10"/>
    <w:rsid w:val="005D74E1"/>
    <w:rsid w:val="005F11A2"/>
    <w:rsid w:val="005F2A7D"/>
    <w:rsid w:val="005F66E0"/>
    <w:rsid w:val="005F6954"/>
    <w:rsid w:val="005F7086"/>
    <w:rsid w:val="00601157"/>
    <w:rsid w:val="006025E3"/>
    <w:rsid w:val="0060295C"/>
    <w:rsid w:val="00604C78"/>
    <w:rsid w:val="006150D1"/>
    <w:rsid w:val="0061619D"/>
    <w:rsid w:val="00617EEA"/>
    <w:rsid w:val="0062039B"/>
    <w:rsid w:val="00620401"/>
    <w:rsid w:val="00620906"/>
    <w:rsid w:val="006218D3"/>
    <w:rsid w:val="0062264F"/>
    <w:rsid w:val="00624076"/>
    <w:rsid w:val="00633F21"/>
    <w:rsid w:val="00634510"/>
    <w:rsid w:val="006373BC"/>
    <w:rsid w:val="0064028E"/>
    <w:rsid w:val="006444A5"/>
    <w:rsid w:val="00646015"/>
    <w:rsid w:val="006460B2"/>
    <w:rsid w:val="0065396C"/>
    <w:rsid w:val="00655A13"/>
    <w:rsid w:val="00657E1E"/>
    <w:rsid w:val="00657FF5"/>
    <w:rsid w:val="006608FC"/>
    <w:rsid w:val="0066180C"/>
    <w:rsid w:val="006629D9"/>
    <w:rsid w:val="00667113"/>
    <w:rsid w:val="00673985"/>
    <w:rsid w:val="00673E1E"/>
    <w:rsid w:val="00674B22"/>
    <w:rsid w:val="006768D3"/>
    <w:rsid w:val="00677E7E"/>
    <w:rsid w:val="00681654"/>
    <w:rsid w:val="0068262D"/>
    <w:rsid w:val="00683015"/>
    <w:rsid w:val="00683AA3"/>
    <w:rsid w:val="00683B6B"/>
    <w:rsid w:val="00685147"/>
    <w:rsid w:val="00685828"/>
    <w:rsid w:val="00691D89"/>
    <w:rsid w:val="00693C9A"/>
    <w:rsid w:val="00693E9C"/>
    <w:rsid w:val="006A174A"/>
    <w:rsid w:val="006A2FCB"/>
    <w:rsid w:val="006A6881"/>
    <w:rsid w:val="006A6F6B"/>
    <w:rsid w:val="006B26E5"/>
    <w:rsid w:val="006C01D6"/>
    <w:rsid w:val="006D097E"/>
    <w:rsid w:val="006D45AD"/>
    <w:rsid w:val="006D6B2F"/>
    <w:rsid w:val="006D79B8"/>
    <w:rsid w:val="006E091B"/>
    <w:rsid w:val="006F0138"/>
    <w:rsid w:val="006F1127"/>
    <w:rsid w:val="0070472F"/>
    <w:rsid w:val="0071029A"/>
    <w:rsid w:val="007117F3"/>
    <w:rsid w:val="00715AFE"/>
    <w:rsid w:val="00717D83"/>
    <w:rsid w:val="007253FA"/>
    <w:rsid w:val="00725F23"/>
    <w:rsid w:val="00725FF1"/>
    <w:rsid w:val="00726914"/>
    <w:rsid w:val="00732B1C"/>
    <w:rsid w:val="00734BEC"/>
    <w:rsid w:val="0073586B"/>
    <w:rsid w:val="00740C70"/>
    <w:rsid w:val="00746E35"/>
    <w:rsid w:val="00746E64"/>
    <w:rsid w:val="00750D11"/>
    <w:rsid w:val="00750F64"/>
    <w:rsid w:val="00751754"/>
    <w:rsid w:val="00754790"/>
    <w:rsid w:val="007567C8"/>
    <w:rsid w:val="00757B29"/>
    <w:rsid w:val="00757E45"/>
    <w:rsid w:val="00760750"/>
    <w:rsid w:val="007669C2"/>
    <w:rsid w:val="00767988"/>
    <w:rsid w:val="00775044"/>
    <w:rsid w:val="0078085A"/>
    <w:rsid w:val="00781276"/>
    <w:rsid w:val="007830D9"/>
    <w:rsid w:val="0078341D"/>
    <w:rsid w:val="007834F9"/>
    <w:rsid w:val="00784AB9"/>
    <w:rsid w:val="00790C64"/>
    <w:rsid w:val="00791410"/>
    <w:rsid w:val="00795C7B"/>
    <w:rsid w:val="00797894"/>
    <w:rsid w:val="007A2CCE"/>
    <w:rsid w:val="007B0524"/>
    <w:rsid w:val="007B0D4C"/>
    <w:rsid w:val="007B19C8"/>
    <w:rsid w:val="007B259C"/>
    <w:rsid w:val="007B38BC"/>
    <w:rsid w:val="007B3BD1"/>
    <w:rsid w:val="007B712A"/>
    <w:rsid w:val="007C0DF7"/>
    <w:rsid w:val="007C4EE0"/>
    <w:rsid w:val="007C53EE"/>
    <w:rsid w:val="007D0A61"/>
    <w:rsid w:val="007E0EB4"/>
    <w:rsid w:val="007E3281"/>
    <w:rsid w:val="007F0121"/>
    <w:rsid w:val="007F10F2"/>
    <w:rsid w:val="007F42E1"/>
    <w:rsid w:val="007F46B9"/>
    <w:rsid w:val="007F4FC0"/>
    <w:rsid w:val="007F5BE7"/>
    <w:rsid w:val="007F7A55"/>
    <w:rsid w:val="00804DCF"/>
    <w:rsid w:val="008054D8"/>
    <w:rsid w:val="00807140"/>
    <w:rsid w:val="00810511"/>
    <w:rsid w:val="008108A2"/>
    <w:rsid w:val="00811BF6"/>
    <w:rsid w:val="0081490B"/>
    <w:rsid w:val="008201A0"/>
    <w:rsid w:val="00822FA7"/>
    <w:rsid w:val="00823A51"/>
    <w:rsid w:val="00823AB8"/>
    <w:rsid w:val="008300D0"/>
    <w:rsid w:val="00830A89"/>
    <w:rsid w:val="008319CD"/>
    <w:rsid w:val="0083679E"/>
    <w:rsid w:val="00840933"/>
    <w:rsid w:val="0084256A"/>
    <w:rsid w:val="008434BE"/>
    <w:rsid w:val="00845D6A"/>
    <w:rsid w:val="00847D3B"/>
    <w:rsid w:val="00854FA5"/>
    <w:rsid w:val="00856259"/>
    <w:rsid w:val="00860C55"/>
    <w:rsid w:val="00861D34"/>
    <w:rsid w:val="008646A4"/>
    <w:rsid w:val="00880368"/>
    <w:rsid w:val="008910C3"/>
    <w:rsid w:val="00892749"/>
    <w:rsid w:val="00892B97"/>
    <w:rsid w:val="00896530"/>
    <w:rsid w:val="008A34AB"/>
    <w:rsid w:val="008A671D"/>
    <w:rsid w:val="008A6AA5"/>
    <w:rsid w:val="008A7E1D"/>
    <w:rsid w:val="008B005C"/>
    <w:rsid w:val="008B1985"/>
    <w:rsid w:val="008B3648"/>
    <w:rsid w:val="008B4B40"/>
    <w:rsid w:val="008B70BC"/>
    <w:rsid w:val="008C2DBE"/>
    <w:rsid w:val="008D0416"/>
    <w:rsid w:val="008D10BD"/>
    <w:rsid w:val="008D209A"/>
    <w:rsid w:val="008D6199"/>
    <w:rsid w:val="008E1289"/>
    <w:rsid w:val="008E5C2F"/>
    <w:rsid w:val="008E66D6"/>
    <w:rsid w:val="008E69B8"/>
    <w:rsid w:val="008F320C"/>
    <w:rsid w:val="008F3752"/>
    <w:rsid w:val="008F548B"/>
    <w:rsid w:val="008F6195"/>
    <w:rsid w:val="008F6FB0"/>
    <w:rsid w:val="00900316"/>
    <w:rsid w:val="009110EE"/>
    <w:rsid w:val="009157A4"/>
    <w:rsid w:val="00915A5F"/>
    <w:rsid w:val="00917F5F"/>
    <w:rsid w:val="00920245"/>
    <w:rsid w:val="00924FAD"/>
    <w:rsid w:val="00937B81"/>
    <w:rsid w:val="00940015"/>
    <w:rsid w:val="00940E73"/>
    <w:rsid w:val="00942FAA"/>
    <w:rsid w:val="00942FB7"/>
    <w:rsid w:val="00944611"/>
    <w:rsid w:val="0094666C"/>
    <w:rsid w:val="00954EE0"/>
    <w:rsid w:val="00961004"/>
    <w:rsid w:val="00965647"/>
    <w:rsid w:val="00975D44"/>
    <w:rsid w:val="00980931"/>
    <w:rsid w:val="0098497D"/>
    <w:rsid w:val="00985AAF"/>
    <w:rsid w:val="0098645F"/>
    <w:rsid w:val="00987601"/>
    <w:rsid w:val="009934B8"/>
    <w:rsid w:val="009962D8"/>
    <w:rsid w:val="00997A54"/>
    <w:rsid w:val="009A262B"/>
    <w:rsid w:val="009A42AB"/>
    <w:rsid w:val="009A535E"/>
    <w:rsid w:val="009B4D44"/>
    <w:rsid w:val="009B6941"/>
    <w:rsid w:val="009C06A9"/>
    <w:rsid w:val="009C19BE"/>
    <w:rsid w:val="009D15C3"/>
    <w:rsid w:val="009D1E12"/>
    <w:rsid w:val="009D48B9"/>
    <w:rsid w:val="009D5CEF"/>
    <w:rsid w:val="009D6E9A"/>
    <w:rsid w:val="009D77C8"/>
    <w:rsid w:val="009D781A"/>
    <w:rsid w:val="009E4023"/>
    <w:rsid w:val="009E7B7C"/>
    <w:rsid w:val="009F309C"/>
    <w:rsid w:val="009F4329"/>
    <w:rsid w:val="00A00A82"/>
    <w:rsid w:val="00A00E60"/>
    <w:rsid w:val="00A07072"/>
    <w:rsid w:val="00A0782D"/>
    <w:rsid w:val="00A1249C"/>
    <w:rsid w:val="00A142F4"/>
    <w:rsid w:val="00A15AA3"/>
    <w:rsid w:val="00A16C89"/>
    <w:rsid w:val="00A17321"/>
    <w:rsid w:val="00A176E1"/>
    <w:rsid w:val="00A22496"/>
    <w:rsid w:val="00A247B9"/>
    <w:rsid w:val="00A30BFA"/>
    <w:rsid w:val="00A3506B"/>
    <w:rsid w:val="00A40BEF"/>
    <w:rsid w:val="00A43A9B"/>
    <w:rsid w:val="00A44B0D"/>
    <w:rsid w:val="00A461CF"/>
    <w:rsid w:val="00A470CD"/>
    <w:rsid w:val="00A569BB"/>
    <w:rsid w:val="00A57C37"/>
    <w:rsid w:val="00A709E3"/>
    <w:rsid w:val="00A70C7A"/>
    <w:rsid w:val="00A73785"/>
    <w:rsid w:val="00A75759"/>
    <w:rsid w:val="00A75783"/>
    <w:rsid w:val="00A803FF"/>
    <w:rsid w:val="00A80662"/>
    <w:rsid w:val="00A82FB2"/>
    <w:rsid w:val="00A86D51"/>
    <w:rsid w:val="00A900D3"/>
    <w:rsid w:val="00A9161C"/>
    <w:rsid w:val="00A91EC1"/>
    <w:rsid w:val="00A9428F"/>
    <w:rsid w:val="00A95FA5"/>
    <w:rsid w:val="00AA3D95"/>
    <w:rsid w:val="00AA667A"/>
    <w:rsid w:val="00AA6946"/>
    <w:rsid w:val="00AB7E44"/>
    <w:rsid w:val="00AC129E"/>
    <w:rsid w:val="00AC3C44"/>
    <w:rsid w:val="00AC76E9"/>
    <w:rsid w:val="00AD11A3"/>
    <w:rsid w:val="00AD2267"/>
    <w:rsid w:val="00AD2A53"/>
    <w:rsid w:val="00AD3116"/>
    <w:rsid w:val="00AD6220"/>
    <w:rsid w:val="00AE19F7"/>
    <w:rsid w:val="00AE3F66"/>
    <w:rsid w:val="00AE76D6"/>
    <w:rsid w:val="00AE7A8B"/>
    <w:rsid w:val="00AE7DFE"/>
    <w:rsid w:val="00AF0E25"/>
    <w:rsid w:val="00AF1E59"/>
    <w:rsid w:val="00AF2491"/>
    <w:rsid w:val="00AF7349"/>
    <w:rsid w:val="00B01017"/>
    <w:rsid w:val="00B02A9E"/>
    <w:rsid w:val="00B06F06"/>
    <w:rsid w:val="00B07E23"/>
    <w:rsid w:val="00B114CE"/>
    <w:rsid w:val="00B20304"/>
    <w:rsid w:val="00B2221A"/>
    <w:rsid w:val="00B26568"/>
    <w:rsid w:val="00B41221"/>
    <w:rsid w:val="00B43314"/>
    <w:rsid w:val="00B44D32"/>
    <w:rsid w:val="00B550A7"/>
    <w:rsid w:val="00B5656E"/>
    <w:rsid w:val="00B5681D"/>
    <w:rsid w:val="00B60DF8"/>
    <w:rsid w:val="00B62005"/>
    <w:rsid w:val="00B661D4"/>
    <w:rsid w:val="00B667A5"/>
    <w:rsid w:val="00B74286"/>
    <w:rsid w:val="00B75947"/>
    <w:rsid w:val="00B770A6"/>
    <w:rsid w:val="00B80F1D"/>
    <w:rsid w:val="00B82CF0"/>
    <w:rsid w:val="00B86FF0"/>
    <w:rsid w:val="00B96C2B"/>
    <w:rsid w:val="00BA1171"/>
    <w:rsid w:val="00BA35A9"/>
    <w:rsid w:val="00BB3DC0"/>
    <w:rsid w:val="00BC1812"/>
    <w:rsid w:val="00BC23D6"/>
    <w:rsid w:val="00BC2CAE"/>
    <w:rsid w:val="00BC3ED9"/>
    <w:rsid w:val="00BC3F8E"/>
    <w:rsid w:val="00BC4CB7"/>
    <w:rsid w:val="00BC6B41"/>
    <w:rsid w:val="00BD018A"/>
    <w:rsid w:val="00BD7EA1"/>
    <w:rsid w:val="00BE1C0B"/>
    <w:rsid w:val="00BE37C4"/>
    <w:rsid w:val="00BE3C65"/>
    <w:rsid w:val="00BE4768"/>
    <w:rsid w:val="00BF04E6"/>
    <w:rsid w:val="00BF327F"/>
    <w:rsid w:val="00BF470F"/>
    <w:rsid w:val="00BF5977"/>
    <w:rsid w:val="00C00098"/>
    <w:rsid w:val="00C04217"/>
    <w:rsid w:val="00C07CB2"/>
    <w:rsid w:val="00C10EC5"/>
    <w:rsid w:val="00C22D3F"/>
    <w:rsid w:val="00C230DC"/>
    <w:rsid w:val="00C24781"/>
    <w:rsid w:val="00C25F66"/>
    <w:rsid w:val="00C336FC"/>
    <w:rsid w:val="00C346FA"/>
    <w:rsid w:val="00C35158"/>
    <w:rsid w:val="00C40590"/>
    <w:rsid w:val="00C40BCB"/>
    <w:rsid w:val="00C40D47"/>
    <w:rsid w:val="00C441D3"/>
    <w:rsid w:val="00C458B1"/>
    <w:rsid w:val="00C5109D"/>
    <w:rsid w:val="00C535A8"/>
    <w:rsid w:val="00C64857"/>
    <w:rsid w:val="00C66795"/>
    <w:rsid w:val="00C66D47"/>
    <w:rsid w:val="00C67BAE"/>
    <w:rsid w:val="00C70527"/>
    <w:rsid w:val="00C72C9D"/>
    <w:rsid w:val="00C72D90"/>
    <w:rsid w:val="00C76E7A"/>
    <w:rsid w:val="00C80358"/>
    <w:rsid w:val="00C81F37"/>
    <w:rsid w:val="00C84504"/>
    <w:rsid w:val="00C95EC5"/>
    <w:rsid w:val="00C9773E"/>
    <w:rsid w:val="00CA00B9"/>
    <w:rsid w:val="00CA059E"/>
    <w:rsid w:val="00CA1628"/>
    <w:rsid w:val="00CA3D55"/>
    <w:rsid w:val="00CA4B5A"/>
    <w:rsid w:val="00CB19F3"/>
    <w:rsid w:val="00CB6F43"/>
    <w:rsid w:val="00CC020D"/>
    <w:rsid w:val="00CC34AB"/>
    <w:rsid w:val="00CC37EB"/>
    <w:rsid w:val="00CC38D6"/>
    <w:rsid w:val="00CD0589"/>
    <w:rsid w:val="00CD1840"/>
    <w:rsid w:val="00CE0BF4"/>
    <w:rsid w:val="00CE7CCC"/>
    <w:rsid w:val="00CF001B"/>
    <w:rsid w:val="00CF1D2C"/>
    <w:rsid w:val="00CF20C2"/>
    <w:rsid w:val="00CF3627"/>
    <w:rsid w:val="00CF497D"/>
    <w:rsid w:val="00CF5EE4"/>
    <w:rsid w:val="00D00EA1"/>
    <w:rsid w:val="00D01263"/>
    <w:rsid w:val="00D03662"/>
    <w:rsid w:val="00D07DF7"/>
    <w:rsid w:val="00D1321C"/>
    <w:rsid w:val="00D14F72"/>
    <w:rsid w:val="00D20794"/>
    <w:rsid w:val="00D246FE"/>
    <w:rsid w:val="00D2583D"/>
    <w:rsid w:val="00D25985"/>
    <w:rsid w:val="00D26B3E"/>
    <w:rsid w:val="00D3089A"/>
    <w:rsid w:val="00D30C7C"/>
    <w:rsid w:val="00D31646"/>
    <w:rsid w:val="00D43277"/>
    <w:rsid w:val="00D45F27"/>
    <w:rsid w:val="00D479AD"/>
    <w:rsid w:val="00D5022B"/>
    <w:rsid w:val="00D51F89"/>
    <w:rsid w:val="00D5562D"/>
    <w:rsid w:val="00D56071"/>
    <w:rsid w:val="00D57028"/>
    <w:rsid w:val="00D603F1"/>
    <w:rsid w:val="00D634AB"/>
    <w:rsid w:val="00D65163"/>
    <w:rsid w:val="00D707F6"/>
    <w:rsid w:val="00D71092"/>
    <w:rsid w:val="00D72174"/>
    <w:rsid w:val="00D740EA"/>
    <w:rsid w:val="00D741D5"/>
    <w:rsid w:val="00D77B2C"/>
    <w:rsid w:val="00D83AA3"/>
    <w:rsid w:val="00D96EC7"/>
    <w:rsid w:val="00DA74BA"/>
    <w:rsid w:val="00DB37A3"/>
    <w:rsid w:val="00DB396A"/>
    <w:rsid w:val="00DB6171"/>
    <w:rsid w:val="00DD434C"/>
    <w:rsid w:val="00DE0DD6"/>
    <w:rsid w:val="00DE2779"/>
    <w:rsid w:val="00DF1EBB"/>
    <w:rsid w:val="00DF4C67"/>
    <w:rsid w:val="00DF7496"/>
    <w:rsid w:val="00E021E8"/>
    <w:rsid w:val="00E04B7A"/>
    <w:rsid w:val="00E053BA"/>
    <w:rsid w:val="00E14E39"/>
    <w:rsid w:val="00E14F50"/>
    <w:rsid w:val="00E2114B"/>
    <w:rsid w:val="00E22D0F"/>
    <w:rsid w:val="00E23140"/>
    <w:rsid w:val="00E304BF"/>
    <w:rsid w:val="00E33DB2"/>
    <w:rsid w:val="00E375CD"/>
    <w:rsid w:val="00E4102F"/>
    <w:rsid w:val="00E427E5"/>
    <w:rsid w:val="00E45CF0"/>
    <w:rsid w:val="00E6148A"/>
    <w:rsid w:val="00E63079"/>
    <w:rsid w:val="00E63E0B"/>
    <w:rsid w:val="00E6470D"/>
    <w:rsid w:val="00E66BF0"/>
    <w:rsid w:val="00E700FA"/>
    <w:rsid w:val="00E70A5D"/>
    <w:rsid w:val="00E718FC"/>
    <w:rsid w:val="00E7556A"/>
    <w:rsid w:val="00E76E79"/>
    <w:rsid w:val="00E77693"/>
    <w:rsid w:val="00E81368"/>
    <w:rsid w:val="00E848A4"/>
    <w:rsid w:val="00E86417"/>
    <w:rsid w:val="00E872B9"/>
    <w:rsid w:val="00E876D4"/>
    <w:rsid w:val="00E87E26"/>
    <w:rsid w:val="00E91098"/>
    <w:rsid w:val="00E9168E"/>
    <w:rsid w:val="00E91F40"/>
    <w:rsid w:val="00E93FA5"/>
    <w:rsid w:val="00E94C3D"/>
    <w:rsid w:val="00EA2716"/>
    <w:rsid w:val="00EA2E26"/>
    <w:rsid w:val="00EA66C6"/>
    <w:rsid w:val="00EA7DB5"/>
    <w:rsid w:val="00EE184E"/>
    <w:rsid w:val="00EE46C9"/>
    <w:rsid w:val="00EE4E64"/>
    <w:rsid w:val="00EF0D6C"/>
    <w:rsid w:val="00EF367A"/>
    <w:rsid w:val="00F01FB9"/>
    <w:rsid w:val="00F02090"/>
    <w:rsid w:val="00F04766"/>
    <w:rsid w:val="00F06B38"/>
    <w:rsid w:val="00F13D4E"/>
    <w:rsid w:val="00F23561"/>
    <w:rsid w:val="00F2394B"/>
    <w:rsid w:val="00F26E38"/>
    <w:rsid w:val="00F26EEB"/>
    <w:rsid w:val="00F274B9"/>
    <w:rsid w:val="00F3126D"/>
    <w:rsid w:val="00F31C0B"/>
    <w:rsid w:val="00F370E7"/>
    <w:rsid w:val="00F44291"/>
    <w:rsid w:val="00F539A8"/>
    <w:rsid w:val="00F54F6A"/>
    <w:rsid w:val="00F56A8E"/>
    <w:rsid w:val="00F56C3F"/>
    <w:rsid w:val="00F56DE1"/>
    <w:rsid w:val="00F61303"/>
    <w:rsid w:val="00F6215C"/>
    <w:rsid w:val="00F62C98"/>
    <w:rsid w:val="00F72B4E"/>
    <w:rsid w:val="00F77BDD"/>
    <w:rsid w:val="00F9627C"/>
    <w:rsid w:val="00FA6A15"/>
    <w:rsid w:val="00FA796F"/>
    <w:rsid w:val="00FB0219"/>
    <w:rsid w:val="00FB0C6B"/>
    <w:rsid w:val="00FB128F"/>
    <w:rsid w:val="00FB2149"/>
    <w:rsid w:val="00FB6E42"/>
    <w:rsid w:val="00FB769B"/>
    <w:rsid w:val="00FC0938"/>
    <w:rsid w:val="00FC0E62"/>
    <w:rsid w:val="00FC1D99"/>
    <w:rsid w:val="00FC206A"/>
    <w:rsid w:val="00FD082F"/>
    <w:rsid w:val="00FD4BE4"/>
    <w:rsid w:val="00FD53A9"/>
    <w:rsid w:val="00FD5BC2"/>
    <w:rsid w:val="00FE1F25"/>
    <w:rsid w:val="00FE21C3"/>
    <w:rsid w:val="00FE2C8F"/>
    <w:rsid w:val="00FE44B9"/>
    <w:rsid w:val="00FF09ED"/>
    <w:rsid w:val="00FF0E08"/>
    <w:rsid w:val="00FF1206"/>
    <w:rsid w:val="00FF169C"/>
    <w:rsid w:val="00FF17B2"/>
    <w:rsid w:val="00FF3302"/>
    <w:rsid w:val="00FF420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4DCA"/>
  <w15:chartTrackingRefBased/>
  <w15:docId w15:val="{D91C1F58-0DC1-4D7F-9632-7E1186A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6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795"/>
  </w:style>
  <w:style w:type="paragraph" w:customStyle="1" w:styleId="FootnoteText1">
    <w:name w:val="Footnote Text1"/>
    <w:basedOn w:val="Normal"/>
    <w:next w:val="FootnoteText"/>
    <w:link w:val="FootnoteTextChar"/>
    <w:unhideWhenUsed/>
    <w:rsid w:val="00C6679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1"/>
    <w:uiPriority w:val="99"/>
    <w:qFormat/>
    <w:rsid w:val="00C66795"/>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C66795"/>
    <w:rPr>
      <w:vertAlign w:val="superscript"/>
    </w:rPr>
  </w:style>
  <w:style w:type="paragraph" w:customStyle="1" w:styleId="Appelnotedebasde">
    <w:name w:val="Appel note de bas de..."/>
    <w:basedOn w:val="Normal"/>
    <w:link w:val="FootnoteReference"/>
    <w:rsid w:val="00C66795"/>
    <w:pPr>
      <w:spacing w:line="240" w:lineRule="exact"/>
    </w:pPr>
    <w:rPr>
      <w:vertAlign w:val="superscript"/>
    </w:rPr>
  </w:style>
  <w:style w:type="character" w:customStyle="1" w:styleId="Hyperlink1">
    <w:name w:val="Hyperlink1"/>
    <w:basedOn w:val="DefaultParagraphFont"/>
    <w:uiPriority w:val="99"/>
    <w:unhideWhenUsed/>
    <w:rsid w:val="00C66795"/>
    <w:rPr>
      <w:color w:val="0563C1"/>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1"/>
    <w:uiPriority w:val="99"/>
    <w:unhideWhenUsed/>
    <w:qFormat/>
    <w:rsid w:val="00C66795"/>
    <w:pPr>
      <w:spacing w:after="0" w:line="240" w:lineRule="auto"/>
    </w:pPr>
    <w:rPr>
      <w:sz w:val="20"/>
      <w:szCs w:val="20"/>
    </w:rPr>
  </w:style>
  <w:style w:type="character" w:customStyle="1" w:styleId="FootnoteTextChar1">
    <w:name w:val="Footnote Text Char1"/>
    <w:aliases w:val="Footnote Text Char Char Char Char Char Char1,Footnote Text Char Char Char Char Char2,Footnote reference Char1,FA Fu Char1,Footnote Text Char Char Char Char2,fn Char1,single space Char1,Footnote Text Char Char Char Car Char1,ft Char"/>
    <w:basedOn w:val="DefaultParagraphFont"/>
    <w:link w:val="FootnoteText"/>
    <w:uiPriority w:val="99"/>
    <w:rsid w:val="00C66795"/>
    <w:rPr>
      <w:sz w:val="20"/>
      <w:szCs w:val="20"/>
    </w:rPr>
  </w:style>
  <w:style w:type="character" w:styleId="Hyperlink">
    <w:name w:val="Hyperlink"/>
    <w:basedOn w:val="DefaultParagraphFont"/>
    <w:uiPriority w:val="99"/>
    <w:unhideWhenUsed/>
    <w:rsid w:val="00C66795"/>
    <w:rPr>
      <w:color w:val="0563C1" w:themeColor="hyperlink"/>
      <w:u w:val="single"/>
    </w:rPr>
  </w:style>
  <w:style w:type="paragraph" w:styleId="ListParagraph">
    <w:name w:val="List Paragraph"/>
    <w:basedOn w:val="Normal"/>
    <w:uiPriority w:val="34"/>
    <w:qFormat/>
    <w:rsid w:val="00A91EC1"/>
    <w:pPr>
      <w:ind w:left="720"/>
      <w:contextualSpacing/>
    </w:pPr>
  </w:style>
  <w:style w:type="character" w:styleId="CommentReference">
    <w:name w:val="annotation reference"/>
    <w:basedOn w:val="DefaultParagraphFont"/>
    <w:uiPriority w:val="99"/>
    <w:semiHidden/>
    <w:unhideWhenUsed/>
    <w:rsid w:val="00BC2CAE"/>
    <w:rPr>
      <w:sz w:val="16"/>
      <w:szCs w:val="16"/>
    </w:rPr>
  </w:style>
  <w:style w:type="paragraph" w:styleId="CommentText">
    <w:name w:val="annotation text"/>
    <w:basedOn w:val="Normal"/>
    <w:link w:val="CommentTextChar"/>
    <w:uiPriority w:val="99"/>
    <w:unhideWhenUsed/>
    <w:rsid w:val="00BC2CAE"/>
    <w:pPr>
      <w:spacing w:line="240" w:lineRule="auto"/>
    </w:pPr>
    <w:rPr>
      <w:sz w:val="20"/>
      <w:szCs w:val="20"/>
    </w:rPr>
  </w:style>
  <w:style w:type="character" w:customStyle="1" w:styleId="CommentTextChar">
    <w:name w:val="Comment Text Char"/>
    <w:basedOn w:val="DefaultParagraphFont"/>
    <w:link w:val="CommentText"/>
    <w:uiPriority w:val="99"/>
    <w:rsid w:val="00BC2CAE"/>
    <w:rPr>
      <w:sz w:val="20"/>
      <w:szCs w:val="20"/>
    </w:rPr>
  </w:style>
  <w:style w:type="paragraph" w:styleId="CommentSubject">
    <w:name w:val="annotation subject"/>
    <w:basedOn w:val="CommentText"/>
    <w:next w:val="CommentText"/>
    <w:link w:val="CommentSubjectChar"/>
    <w:uiPriority w:val="99"/>
    <w:semiHidden/>
    <w:unhideWhenUsed/>
    <w:rsid w:val="00BC2CAE"/>
    <w:rPr>
      <w:b/>
      <w:bCs/>
    </w:rPr>
  </w:style>
  <w:style w:type="character" w:customStyle="1" w:styleId="CommentSubjectChar">
    <w:name w:val="Comment Subject Char"/>
    <w:basedOn w:val="CommentTextChar"/>
    <w:link w:val="CommentSubject"/>
    <w:uiPriority w:val="99"/>
    <w:semiHidden/>
    <w:rsid w:val="00BC2CAE"/>
    <w:rPr>
      <w:b/>
      <w:bCs/>
      <w:sz w:val="20"/>
      <w:szCs w:val="20"/>
    </w:rPr>
  </w:style>
  <w:style w:type="paragraph" w:styleId="BalloonText">
    <w:name w:val="Balloon Text"/>
    <w:basedOn w:val="Normal"/>
    <w:link w:val="BalloonTextChar"/>
    <w:uiPriority w:val="99"/>
    <w:semiHidden/>
    <w:unhideWhenUsed/>
    <w:rsid w:val="00BC2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CAE"/>
    <w:rPr>
      <w:rFonts w:ascii="Segoe UI" w:hAnsi="Segoe UI" w:cs="Segoe UI"/>
      <w:sz w:val="18"/>
      <w:szCs w:val="18"/>
    </w:rPr>
  </w:style>
  <w:style w:type="paragraph" w:customStyle="1" w:styleId="Default">
    <w:name w:val="Default"/>
    <w:rsid w:val="003132A3"/>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UnresolvedMention">
    <w:name w:val="Unresolved Mention"/>
    <w:basedOn w:val="DefaultParagraphFont"/>
    <w:uiPriority w:val="99"/>
    <w:semiHidden/>
    <w:unhideWhenUsed/>
    <w:rsid w:val="00F02090"/>
    <w:rPr>
      <w:color w:val="605E5C"/>
      <w:shd w:val="clear" w:color="auto" w:fill="E1DFDD"/>
    </w:rPr>
  </w:style>
  <w:style w:type="paragraph" w:styleId="Revision">
    <w:name w:val="Revision"/>
    <w:hidden/>
    <w:uiPriority w:val="99"/>
    <w:semiHidden/>
    <w:rsid w:val="007830D9"/>
    <w:pPr>
      <w:spacing w:after="0" w:line="240" w:lineRule="auto"/>
    </w:pPr>
  </w:style>
  <w:style w:type="paragraph" w:styleId="Header">
    <w:name w:val="header"/>
    <w:basedOn w:val="Normal"/>
    <w:link w:val="HeaderChar"/>
    <w:uiPriority w:val="99"/>
    <w:unhideWhenUsed/>
    <w:rsid w:val="00195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2E6"/>
  </w:style>
  <w:style w:type="character" w:styleId="FollowedHyperlink">
    <w:name w:val="FollowedHyperlink"/>
    <w:basedOn w:val="DefaultParagraphFont"/>
    <w:uiPriority w:val="99"/>
    <w:semiHidden/>
    <w:unhideWhenUsed/>
    <w:rsid w:val="00E33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docs.org/es/A/74/3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44626-3D91-4AA1-BBC5-1C3BE5B6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7285</Words>
  <Characters>41528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Luisa</dc:creator>
  <cp:keywords/>
  <dc:description/>
  <cp:lastModifiedBy>Maldonado, Stephanie</cp:lastModifiedBy>
  <cp:revision>17</cp:revision>
  <cp:lastPrinted>2020-02-18T17:25:00Z</cp:lastPrinted>
  <dcterms:created xsi:type="dcterms:W3CDTF">2020-08-05T13:17:00Z</dcterms:created>
  <dcterms:modified xsi:type="dcterms:W3CDTF">2020-08-31T17:40:00Z</dcterms:modified>
</cp:coreProperties>
</file>