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141F18" w:rsidRDefault="00E254C2" w:rsidP="00A94D9B">
      <w:pPr>
        <w:jc w:val="center"/>
        <w:rPr>
          <w:rFonts w:ascii="Cambria" w:hAnsi="Cambria"/>
          <w:b/>
          <w:sz w:val="22"/>
          <w:szCs w:val="21"/>
          <w:lang w:val="es-ES_tradnl"/>
        </w:rPr>
      </w:pPr>
      <w:r w:rsidRPr="00141F18">
        <w:rPr>
          <w:rFonts w:ascii="Cambria" w:hAnsi="Cambria"/>
          <w:b/>
          <w:sz w:val="22"/>
          <w:szCs w:val="21"/>
          <w:lang w:val="es-ES_tradnl"/>
        </w:rPr>
        <w:t>COMISIÓN INTERAMERICANA DE DERECHOS HUMANOS</w:t>
      </w:r>
    </w:p>
    <w:p w:rsidR="00E254C2" w:rsidRPr="00141F18" w:rsidRDefault="00E254C2" w:rsidP="00A94D9B">
      <w:pPr>
        <w:jc w:val="center"/>
        <w:rPr>
          <w:rFonts w:ascii="Cambria" w:hAnsi="Cambria"/>
          <w:sz w:val="22"/>
          <w:szCs w:val="21"/>
          <w:lang w:val="es-ES_tradnl"/>
        </w:rPr>
      </w:pPr>
      <w:r w:rsidRPr="00141F18">
        <w:rPr>
          <w:rFonts w:ascii="Cambria" w:hAnsi="Cambria"/>
          <w:b/>
          <w:sz w:val="22"/>
          <w:szCs w:val="21"/>
          <w:lang w:val="es-ES_tradnl"/>
        </w:rPr>
        <w:t xml:space="preserve">RESOLUCIÓN </w:t>
      </w:r>
      <w:r w:rsidR="00760F68">
        <w:rPr>
          <w:rFonts w:ascii="Cambria" w:hAnsi="Cambria"/>
          <w:b/>
          <w:sz w:val="22"/>
          <w:szCs w:val="21"/>
          <w:lang w:val="es-ES_tradnl"/>
        </w:rPr>
        <w:t>13</w:t>
      </w:r>
      <w:r w:rsidR="008B43F0" w:rsidRPr="00141F18">
        <w:rPr>
          <w:rFonts w:ascii="Cambria" w:hAnsi="Cambria"/>
          <w:b/>
          <w:sz w:val="22"/>
          <w:szCs w:val="21"/>
          <w:lang w:val="es-ES_tradnl"/>
        </w:rPr>
        <w:t>/2019</w:t>
      </w:r>
    </w:p>
    <w:p w:rsidR="00AE6014" w:rsidRPr="00141F18" w:rsidRDefault="004E33D0" w:rsidP="009075BC">
      <w:pPr>
        <w:jc w:val="center"/>
        <w:rPr>
          <w:rFonts w:ascii="Cambria" w:hAnsi="Cambria"/>
          <w:sz w:val="21"/>
          <w:szCs w:val="21"/>
          <w:lang w:val="es-ES_tradnl"/>
        </w:rPr>
      </w:pPr>
      <w:r w:rsidRPr="00141F18">
        <w:rPr>
          <w:rFonts w:ascii="Cambria" w:hAnsi="Cambria"/>
          <w:sz w:val="22"/>
          <w:szCs w:val="21"/>
          <w:lang w:val="es-ES_tradnl"/>
        </w:rPr>
        <w:t xml:space="preserve">Medida cautelar No. </w:t>
      </w:r>
      <w:r w:rsidR="008B43F0" w:rsidRPr="00141F18">
        <w:rPr>
          <w:rFonts w:ascii="Cambria" w:hAnsi="Cambria"/>
          <w:sz w:val="22"/>
          <w:szCs w:val="21"/>
          <w:lang w:val="es-ES_tradnl"/>
        </w:rPr>
        <w:t>150-19</w:t>
      </w:r>
    </w:p>
    <w:p w:rsidR="00760F68" w:rsidRDefault="00760F68" w:rsidP="00A94D9B">
      <w:pPr>
        <w:jc w:val="center"/>
        <w:rPr>
          <w:rFonts w:ascii="Cambria" w:hAnsi="Cambria"/>
          <w:sz w:val="26"/>
          <w:szCs w:val="26"/>
          <w:lang w:val="es-CO"/>
        </w:rPr>
      </w:pPr>
    </w:p>
    <w:p w:rsidR="00E254C2" w:rsidRPr="00141F18" w:rsidRDefault="008B43F0" w:rsidP="00A94D9B">
      <w:pPr>
        <w:jc w:val="center"/>
        <w:rPr>
          <w:rFonts w:ascii="Cambria" w:hAnsi="Cambria"/>
          <w:sz w:val="26"/>
          <w:szCs w:val="26"/>
          <w:lang w:val="es-CO"/>
        </w:rPr>
      </w:pPr>
      <w:r w:rsidRPr="00141F18">
        <w:rPr>
          <w:rFonts w:ascii="Cambria" w:hAnsi="Cambria"/>
          <w:sz w:val="26"/>
          <w:szCs w:val="26"/>
          <w:lang w:val="es-CO"/>
        </w:rPr>
        <w:t xml:space="preserve">Hospital Maternidad Concepción Palacios </w:t>
      </w:r>
      <w:r w:rsidR="00E254C2" w:rsidRPr="00141F18">
        <w:rPr>
          <w:rFonts w:ascii="Cambria" w:hAnsi="Cambria"/>
          <w:sz w:val="26"/>
          <w:szCs w:val="26"/>
          <w:lang w:val="es-CO"/>
        </w:rPr>
        <w:t>respecto de Venezuela</w:t>
      </w:r>
    </w:p>
    <w:p w:rsidR="00377C04" w:rsidRPr="00CD2262" w:rsidRDefault="00760F68" w:rsidP="00A94D9B">
      <w:pPr>
        <w:jc w:val="center"/>
        <w:rPr>
          <w:rFonts w:ascii="Cambria" w:hAnsi="Cambria"/>
          <w:sz w:val="20"/>
          <w:szCs w:val="18"/>
          <w:lang w:val="es-ES_tradnl"/>
        </w:rPr>
      </w:pPr>
      <w:r w:rsidRPr="00CD2262">
        <w:rPr>
          <w:rFonts w:ascii="Cambria" w:hAnsi="Cambria"/>
          <w:sz w:val="20"/>
          <w:szCs w:val="18"/>
          <w:lang w:val="es-ES_tradnl"/>
        </w:rPr>
        <w:t>18</w:t>
      </w:r>
      <w:r w:rsidR="00377C04" w:rsidRPr="00CD2262">
        <w:rPr>
          <w:rFonts w:ascii="Cambria" w:hAnsi="Cambria"/>
          <w:sz w:val="20"/>
          <w:szCs w:val="18"/>
          <w:lang w:val="es-ES_tradnl"/>
        </w:rPr>
        <w:t xml:space="preserve"> de </w:t>
      </w:r>
      <w:r w:rsidR="008B43F0" w:rsidRPr="00CD2262">
        <w:rPr>
          <w:rFonts w:ascii="Cambria" w:hAnsi="Cambria"/>
          <w:sz w:val="20"/>
          <w:szCs w:val="18"/>
          <w:lang w:val="es-ES_tradnl"/>
        </w:rPr>
        <w:t>marzo</w:t>
      </w:r>
      <w:r w:rsidR="00377C04" w:rsidRPr="00CD2262">
        <w:rPr>
          <w:rFonts w:ascii="Cambria" w:hAnsi="Cambria"/>
          <w:sz w:val="20"/>
          <w:szCs w:val="18"/>
          <w:lang w:val="es-ES_tradnl"/>
        </w:rPr>
        <w:t xml:space="preserve"> de 201</w:t>
      </w:r>
      <w:r w:rsidR="008B43F0" w:rsidRPr="00CD2262">
        <w:rPr>
          <w:rFonts w:ascii="Cambria" w:hAnsi="Cambria"/>
          <w:sz w:val="20"/>
          <w:szCs w:val="18"/>
          <w:lang w:val="es-ES_tradnl"/>
        </w:rPr>
        <w:t>9</w:t>
      </w:r>
      <w:r w:rsidR="00377C04" w:rsidRPr="00CD2262">
        <w:rPr>
          <w:rFonts w:ascii="Cambria" w:hAnsi="Cambria"/>
          <w:sz w:val="20"/>
          <w:szCs w:val="18"/>
          <w:lang w:val="es-ES_tradnl"/>
        </w:rPr>
        <w:t xml:space="preserve"> </w:t>
      </w:r>
    </w:p>
    <w:p w:rsidR="00377C04" w:rsidRPr="00141F18" w:rsidRDefault="00377C04" w:rsidP="00A94D9B">
      <w:pPr>
        <w:jc w:val="center"/>
        <w:rPr>
          <w:rFonts w:ascii="Cambria" w:hAnsi="Cambria"/>
          <w:sz w:val="21"/>
          <w:szCs w:val="21"/>
          <w:lang w:val="es-ES_tradnl"/>
        </w:rPr>
      </w:pPr>
    </w:p>
    <w:p w:rsidR="00377C04" w:rsidRPr="00141F18" w:rsidRDefault="00377C04" w:rsidP="00A94D9B">
      <w:pPr>
        <w:pStyle w:val="ListParagraph"/>
        <w:numPr>
          <w:ilvl w:val="0"/>
          <w:numId w:val="2"/>
        </w:numPr>
        <w:ind w:left="0" w:firstLine="360"/>
        <w:jc w:val="both"/>
        <w:rPr>
          <w:rFonts w:ascii="Cambria" w:hAnsi="Cambria"/>
          <w:b/>
          <w:sz w:val="21"/>
          <w:szCs w:val="21"/>
          <w:lang w:val="es-ES_tradnl"/>
        </w:rPr>
      </w:pPr>
      <w:r w:rsidRPr="00141F18">
        <w:rPr>
          <w:rFonts w:ascii="Cambria" w:hAnsi="Cambria"/>
          <w:b/>
          <w:sz w:val="21"/>
          <w:szCs w:val="21"/>
          <w:lang w:val="es-ES_tradnl"/>
        </w:rPr>
        <w:t>INTRODUCCIÓN</w:t>
      </w:r>
    </w:p>
    <w:p w:rsidR="00377C04" w:rsidRPr="00141F18" w:rsidRDefault="00377C04" w:rsidP="00A94D9B">
      <w:pPr>
        <w:jc w:val="both"/>
        <w:rPr>
          <w:rFonts w:ascii="Cambria" w:hAnsi="Cambria"/>
          <w:sz w:val="21"/>
          <w:szCs w:val="21"/>
          <w:lang w:val="es-ES_tradnl"/>
        </w:rPr>
      </w:pPr>
    </w:p>
    <w:p w:rsidR="004B63CB" w:rsidRPr="00141F18" w:rsidRDefault="00377C04" w:rsidP="00A94D9B">
      <w:pPr>
        <w:pStyle w:val="ListParagraph"/>
        <w:numPr>
          <w:ilvl w:val="0"/>
          <w:numId w:val="1"/>
        </w:numPr>
        <w:ind w:left="0" w:firstLine="360"/>
        <w:jc w:val="both"/>
        <w:rPr>
          <w:rFonts w:ascii="Cambria" w:hAnsi="Cambria"/>
          <w:sz w:val="21"/>
          <w:szCs w:val="21"/>
          <w:lang w:val="es-ES_tradnl"/>
        </w:rPr>
      </w:pPr>
      <w:r w:rsidRPr="00141F18">
        <w:rPr>
          <w:rFonts w:ascii="Cambria" w:hAnsi="Cambria"/>
          <w:sz w:val="21"/>
          <w:szCs w:val="21"/>
          <w:lang w:val="es-ES_tradnl"/>
        </w:rPr>
        <w:t xml:space="preserve">El </w:t>
      </w:r>
      <w:r w:rsidR="00B55CAD" w:rsidRPr="00141F18">
        <w:rPr>
          <w:rFonts w:ascii="Cambria" w:hAnsi="Cambria"/>
          <w:sz w:val="21"/>
          <w:szCs w:val="21"/>
          <w:lang w:val="es-ES_tradnl"/>
        </w:rPr>
        <w:t>18</w:t>
      </w:r>
      <w:r w:rsidRPr="00141F18">
        <w:rPr>
          <w:rFonts w:ascii="Cambria" w:hAnsi="Cambria"/>
          <w:sz w:val="21"/>
          <w:szCs w:val="21"/>
          <w:lang w:val="es-ES_tradnl"/>
        </w:rPr>
        <w:t xml:space="preserve"> de </w:t>
      </w:r>
      <w:r w:rsidR="00B55CAD" w:rsidRPr="00141F18">
        <w:rPr>
          <w:rFonts w:ascii="Cambria" w:hAnsi="Cambria"/>
          <w:sz w:val="21"/>
          <w:szCs w:val="21"/>
          <w:lang w:val="es-ES_tradnl"/>
        </w:rPr>
        <w:t>febrero de 2019</w:t>
      </w:r>
      <w:r w:rsidRPr="00141F18">
        <w:rPr>
          <w:rFonts w:ascii="Cambria" w:hAnsi="Cambria"/>
          <w:sz w:val="21"/>
          <w:szCs w:val="21"/>
          <w:lang w:val="es-ES_tradnl"/>
        </w:rPr>
        <w:t>, la Comisión Interamericana de Derechos Humanos (“la Comisión Interamericana”, “la Comisión” o “la CIDH”) recibió una solicitud de me</w:t>
      </w:r>
      <w:r w:rsidR="00DD696A" w:rsidRPr="00141F18">
        <w:rPr>
          <w:rFonts w:ascii="Cambria" w:hAnsi="Cambria"/>
          <w:sz w:val="21"/>
          <w:szCs w:val="21"/>
          <w:lang w:val="es-ES_tradnl"/>
        </w:rPr>
        <w:t xml:space="preserve">didas cautelares presentada por </w:t>
      </w:r>
      <w:r w:rsidR="00A01D5F" w:rsidRPr="00141F18">
        <w:rPr>
          <w:rFonts w:ascii="Cambria" w:hAnsi="Cambria"/>
          <w:sz w:val="21"/>
          <w:szCs w:val="21"/>
          <w:lang w:val="es-ES_tradnl"/>
        </w:rPr>
        <w:t>la</w:t>
      </w:r>
      <w:r w:rsidR="00CA7927" w:rsidRPr="00141F18">
        <w:rPr>
          <w:rFonts w:ascii="Cambria" w:hAnsi="Cambria"/>
          <w:sz w:val="21"/>
          <w:szCs w:val="21"/>
          <w:lang w:val="es-ES_tradnl"/>
        </w:rPr>
        <w:t>s organizacio</w:t>
      </w:r>
      <w:r w:rsidR="002225ED" w:rsidRPr="00141F18">
        <w:rPr>
          <w:rFonts w:ascii="Cambria" w:hAnsi="Cambria"/>
          <w:sz w:val="21"/>
          <w:szCs w:val="21"/>
          <w:lang w:val="es-ES_tradnl"/>
        </w:rPr>
        <w:t>n</w:t>
      </w:r>
      <w:r w:rsidR="00CA7927" w:rsidRPr="00141F18">
        <w:rPr>
          <w:rFonts w:ascii="Cambria" w:hAnsi="Cambria"/>
          <w:sz w:val="21"/>
          <w:szCs w:val="21"/>
          <w:lang w:val="es-ES_tradnl"/>
        </w:rPr>
        <w:t>es</w:t>
      </w:r>
      <w:r w:rsidR="00A01D5F" w:rsidRPr="00141F18">
        <w:rPr>
          <w:rFonts w:ascii="Cambria" w:hAnsi="Cambria"/>
          <w:sz w:val="21"/>
          <w:szCs w:val="21"/>
          <w:lang w:val="es-ES_tradnl"/>
        </w:rPr>
        <w:t xml:space="preserve"> no gubernamental</w:t>
      </w:r>
      <w:r w:rsidR="00CA7927" w:rsidRPr="00141F18">
        <w:rPr>
          <w:rFonts w:ascii="Cambria" w:hAnsi="Cambria"/>
          <w:sz w:val="21"/>
          <w:szCs w:val="21"/>
          <w:lang w:val="es-ES_tradnl"/>
        </w:rPr>
        <w:t>es</w:t>
      </w:r>
      <w:r w:rsidR="00B55CAD" w:rsidRPr="00141F18">
        <w:rPr>
          <w:rFonts w:ascii="Cambria" w:hAnsi="Cambria"/>
          <w:sz w:val="21"/>
          <w:szCs w:val="21"/>
          <w:lang w:val="es-ES_tradnl"/>
        </w:rPr>
        <w:t xml:space="preserve"> </w:t>
      </w:r>
      <w:r w:rsidR="002225ED" w:rsidRPr="00141F18">
        <w:rPr>
          <w:rFonts w:ascii="Cambria" w:hAnsi="Cambria"/>
          <w:sz w:val="21"/>
          <w:szCs w:val="21"/>
          <w:lang w:val="es-ES_tradnl"/>
        </w:rPr>
        <w:t>“</w:t>
      </w:r>
      <w:r w:rsidR="00B55CAD" w:rsidRPr="00141F18">
        <w:rPr>
          <w:rFonts w:ascii="Cambria" w:hAnsi="Cambria"/>
          <w:sz w:val="21"/>
          <w:szCs w:val="21"/>
          <w:lang w:val="es-ES_tradnl"/>
        </w:rPr>
        <w:t xml:space="preserve">Women’s Link Worldwide”, la “Red de </w:t>
      </w:r>
      <w:r w:rsidR="00FB4EF7" w:rsidRPr="00141F18">
        <w:rPr>
          <w:rFonts w:ascii="Cambria" w:hAnsi="Cambria"/>
          <w:sz w:val="21"/>
          <w:szCs w:val="21"/>
          <w:lang w:val="es-ES_tradnl"/>
        </w:rPr>
        <w:t>Mujeres</w:t>
      </w:r>
      <w:r w:rsidR="00B55CAD" w:rsidRPr="00141F18">
        <w:rPr>
          <w:rFonts w:ascii="Cambria" w:hAnsi="Cambria"/>
          <w:sz w:val="21"/>
          <w:szCs w:val="21"/>
          <w:lang w:val="es-ES_tradnl"/>
        </w:rPr>
        <w:t xml:space="preserve"> Equivalencias en Acción”, el “Centro de Justicia y Paz”, el “Centro Hispanoamericano para la Mujer FREYA”, y “Mujeres en Línea” </w:t>
      </w:r>
      <w:r w:rsidRPr="00141F18">
        <w:rPr>
          <w:rFonts w:ascii="Cambria" w:hAnsi="Cambria"/>
          <w:sz w:val="21"/>
          <w:szCs w:val="21"/>
          <w:lang w:val="es-ES_tradnl"/>
        </w:rPr>
        <w:t>(“</w:t>
      </w:r>
      <w:r w:rsidR="00E348AF" w:rsidRPr="00141F18">
        <w:rPr>
          <w:rFonts w:ascii="Cambria" w:hAnsi="Cambria"/>
          <w:sz w:val="21"/>
          <w:szCs w:val="21"/>
          <w:lang w:val="es-ES_tradnl"/>
        </w:rPr>
        <w:t>las</w:t>
      </w:r>
      <w:r w:rsidRPr="00141F18">
        <w:rPr>
          <w:rFonts w:ascii="Cambria" w:hAnsi="Cambria"/>
          <w:sz w:val="21"/>
          <w:szCs w:val="21"/>
          <w:lang w:val="es-ES_tradnl"/>
        </w:rPr>
        <w:t xml:space="preserve"> solicitantes”), instando a la Comisión que requiera a la República Bolivariana de Venezuela (“el Estado” o “Venezuela”) la adopción de las medidas necesarias para </w:t>
      </w:r>
      <w:r w:rsidR="00DD696A" w:rsidRPr="00141F18">
        <w:rPr>
          <w:rFonts w:ascii="Cambria" w:hAnsi="Cambria"/>
          <w:sz w:val="21"/>
          <w:szCs w:val="21"/>
          <w:lang w:val="es-ES_tradnl"/>
        </w:rPr>
        <w:t xml:space="preserve">proteger los derechos </w:t>
      </w:r>
      <w:r w:rsidR="00EE4E3D" w:rsidRPr="00141F18">
        <w:rPr>
          <w:rFonts w:ascii="Cambria" w:hAnsi="Cambria"/>
          <w:sz w:val="21"/>
          <w:szCs w:val="21"/>
          <w:lang w:val="es-ES_tradnl"/>
        </w:rPr>
        <w:t xml:space="preserve">de las </w:t>
      </w:r>
      <w:r w:rsidR="00286DE7" w:rsidRPr="00141F18">
        <w:rPr>
          <w:rFonts w:ascii="Cambria" w:hAnsi="Cambria"/>
          <w:sz w:val="21"/>
          <w:szCs w:val="21"/>
          <w:lang w:val="es-ES_tradnl"/>
        </w:rPr>
        <w:t xml:space="preserve">mujeres </w:t>
      </w:r>
      <w:r w:rsidR="00EE4E3D" w:rsidRPr="00141F18">
        <w:rPr>
          <w:rFonts w:ascii="Cambria" w:hAnsi="Cambria"/>
          <w:sz w:val="21"/>
          <w:szCs w:val="21"/>
          <w:lang w:val="es-ES_tradnl"/>
        </w:rPr>
        <w:t>pacientes y recién nacidos q</w:t>
      </w:r>
      <w:r w:rsidR="002225ED" w:rsidRPr="00141F18">
        <w:rPr>
          <w:rFonts w:ascii="Cambria" w:hAnsi="Cambria"/>
          <w:sz w:val="21"/>
          <w:szCs w:val="21"/>
          <w:lang w:val="es-ES_tradnl"/>
        </w:rPr>
        <w:t xml:space="preserve">ue se encuentran en el </w:t>
      </w:r>
      <w:r w:rsidR="00EE4E3D" w:rsidRPr="00141F18">
        <w:rPr>
          <w:rFonts w:ascii="Cambria" w:hAnsi="Cambria"/>
          <w:sz w:val="21"/>
          <w:szCs w:val="21"/>
          <w:lang w:val="es-ES_tradnl"/>
        </w:rPr>
        <w:t>Hospital Maternidad Concepción Palacios (“Hospital” o “Maternidad”)</w:t>
      </w:r>
      <w:r w:rsidR="00FB4EF7" w:rsidRPr="00141F18">
        <w:rPr>
          <w:rFonts w:ascii="Cambria" w:hAnsi="Cambria"/>
          <w:sz w:val="21"/>
          <w:szCs w:val="21"/>
          <w:lang w:val="es-ES_tradnl"/>
        </w:rPr>
        <w:t>. Según la</w:t>
      </w:r>
      <w:r w:rsidRPr="00141F18">
        <w:rPr>
          <w:rFonts w:ascii="Cambria" w:hAnsi="Cambria"/>
          <w:sz w:val="21"/>
          <w:szCs w:val="21"/>
          <w:lang w:val="es-ES_tradnl"/>
        </w:rPr>
        <w:t xml:space="preserve">s solicitantes, </w:t>
      </w:r>
      <w:r w:rsidR="002058C7" w:rsidRPr="00141F18">
        <w:rPr>
          <w:rFonts w:ascii="Cambria" w:hAnsi="Cambria"/>
          <w:sz w:val="21"/>
          <w:szCs w:val="21"/>
          <w:lang w:val="es-ES_tradnl"/>
        </w:rPr>
        <w:t>los propuestos beneficiarios se encuentran e</w:t>
      </w:r>
      <w:r w:rsidR="00415C62" w:rsidRPr="00141F18">
        <w:rPr>
          <w:rFonts w:ascii="Cambria" w:hAnsi="Cambria"/>
          <w:sz w:val="21"/>
          <w:szCs w:val="21"/>
          <w:lang w:val="es-ES_tradnl"/>
        </w:rPr>
        <w:t>n una situación de grave riesgo</w:t>
      </w:r>
      <w:r w:rsidR="00FB4EF7" w:rsidRPr="00141F18">
        <w:rPr>
          <w:rFonts w:ascii="Cambria" w:hAnsi="Cambria"/>
          <w:sz w:val="21"/>
          <w:szCs w:val="21"/>
          <w:lang w:val="es-ES_tradnl"/>
        </w:rPr>
        <w:t xml:space="preserve"> con motivo de las complicaciones médicas derivadas de la falta de acceso a un tratamiento médico adecuado, como consecuencia de una alegada crisis de desabastecimiento y otras deficiencias estructurales, así como la exposición a otras fuentes de riesgo, como condiciones de insalubridad e insuficiencia de insumos nutricionales, entre otros. </w:t>
      </w:r>
    </w:p>
    <w:p w:rsidR="004B63CB" w:rsidRPr="00141F18" w:rsidRDefault="004B63CB" w:rsidP="00A94D9B">
      <w:pPr>
        <w:pStyle w:val="ListParagraph"/>
        <w:ind w:left="360"/>
        <w:jc w:val="both"/>
        <w:rPr>
          <w:rFonts w:ascii="Cambria" w:hAnsi="Cambria"/>
          <w:sz w:val="21"/>
          <w:szCs w:val="21"/>
          <w:lang w:val="es-ES_tradnl"/>
        </w:rPr>
      </w:pPr>
    </w:p>
    <w:p w:rsidR="0009264D" w:rsidRPr="00141F18" w:rsidRDefault="00F43BE4" w:rsidP="00A9210E">
      <w:pPr>
        <w:pStyle w:val="ListParagraph"/>
        <w:numPr>
          <w:ilvl w:val="0"/>
          <w:numId w:val="1"/>
        </w:numPr>
        <w:ind w:left="0" w:firstLine="360"/>
        <w:jc w:val="both"/>
        <w:rPr>
          <w:rFonts w:ascii="Cambria" w:hAnsi="Cambria"/>
          <w:sz w:val="21"/>
          <w:szCs w:val="21"/>
          <w:lang w:val="es-MX"/>
        </w:rPr>
      </w:pPr>
      <w:r w:rsidRPr="00141F18">
        <w:rPr>
          <w:rFonts w:ascii="Cambria" w:hAnsi="Cambria"/>
          <w:sz w:val="21"/>
          <w:szCs w:val="21"/>
          <w:lang w:val="es-ES_tradnl"/>
        </w:rPr>
        <w:t xml:space="preserve">La CIDH solicitó información a ambas partes el 4 de marzo de 2019, de conformidad con el artículo 25.5 del Reglamento, con un plazo de siete días. Las solicitantes contestaron el 12 de marzo. Al día de la fecha, la Comisión no ha recibido comunicación alguna de parte del Estado. </w:t>
      </w:r>
    </w:p>
    <w:p w:rsidR="00A9210E" w:rsidRPr="00141F18" w:rsidRDefault="00A9210E" w:rsidP="00A9210E">
      <w:pPr>
        <w:pStyle w:val="ListParagraph"/>
        <w:ind w:left="360"/>
        <w:jc w:val="both"/>
        <w:rPr>
          <w:rFonts w:ascii="Cambria" w:hAnsi="Cambria"/>
          <w:sz w:val="21"/>
          <w:szCs w:val="21"/>
          <w:lang w:val="es-MX"/>
        </w:rPr>
      </w:pPr>
    </w:p>
    <w:p w:rsidR="00A735DE" w:rsidRPr="00A735DE" w:rsidRDefault="004B63CB" w:rsidP="00A735DE">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hAnsi="Cambria"/>
          <w:sz w:val="21"/>
          <w:szCs w:val="21"/>
          <w:lang w:val="es-ES_tradnl"/>
        </w:rPr>
        <w:t xml:space="preserve">Tras analizar las alegaciones de hecho y de derecho efectuadas por </w:t>
      </w:r>
      <w:r w:rsidR="00A021A5" w:rsidRPr="00141F18">
        <w:rPr>
          <w:rFonts w:ascii="Cambria" w:hAnsi="Cambria"/>
          <w:sz w:val="21"/>
          <w:szCs w:val="21"/>
          <w:lang w:val="es-ES_tradnl"/>
        </w:rPr>
        <w:t>la</w:t>
      </w:r>
      <w:r w:rsidR="00B24178" w:rsidRPr="00141F18">
        <w:rPr>
          <w:rFonts w:ascii="Cambria" w:hAnsi="Cambria"/>
          <w:sz w:val="21"/>
          <w:szCs w:val="21"/>
          <w:lang w:val="es-ES_tradnl"/>
        </w:rPr>
        <w:t>s solicitantes</w:t>
      </w:r>
      <w:r w:rsidRPr="00141F18">
        <w:rPr>
          <w:rFonts w:ascii="Cambria" w:hAnsi="Cambria"/>
          <w:sz w:val="21"/>
          <w:szCs w:val="21"/>
          <w:lang w:val="es-ES_tradnl"/>
        </w:rPr>
        <w:t xml:space="preserve">, la Comisión considera que </w:t>
      </w:r>
      <w:r w:rsidR="0063422A" w:rsidRPr="00141F18">
        <w:rPr>
          <w:rFonts w:ascii="Cambria" w:hAnsi="Cambria"/>
          <w:sz w:val="21"/>
          <w:szCs w:val="21"/>
          <w:lang w:val="es-ES_tradnl"/>
        </w:rPr>
        <w:t>las</w:t>
      </w:r>
      <w:r w:rsidR="00286DE7" w:rsidRPr="00141F18">
        <w:rPr>
          <w:rFonts w:ascii="Cambria" w:hAnsi="Cambria"/>
          <w:sz w:val="21"/>
          <w:szCs w:val="21"/>
          <w:lang w:val="es-ES_tradnl"/>
        </w:rPr>
        <w:t xml:space="preserve"> mujeres</w:t>
      </w:r>
      <w:r w:rsidR="0063422A" w:rsidRPr="00141F18">
        <w:rPr>
          <w:rFonts w:ascii="Cambria" w:hAnsi="Cambria"/>
          <w:sz w:val="21"/>
          <w:szCs w:val="21"/>
          <w:lang w:val="es-ES_tradnl"/>
        </w:rPr>
        <w:t xml:space="preserve"> </w:t>
      </w:r>
      <w:r w:rsidR="00A021A5" w:rsidRPr="00141F18">
        <w:rPr>
          <w:rFonts w:ascii="Cambria" w:hAnsi="Cambria"/>
          <w:sz w:val="21"/>
          <w:szCs w:val="21"/>
          <w:lang w:val="es-ES_tradnl"/>
        </w:rPr>
        <w:t xml:space="preserve">pacientes que se encuentran en las salas de parto y área de emergencia, así como los recién nacidos del área de neonatología del Hospital Maternidad Concepción Palacios, </w:t>
      </w:r>
      <w:r w:rsidR="00E6656D" w:rsidRPr="00141F18">
        <w:rPr>
          <w:rFonts w:ascii="Cambria" w:hAnsi="Cambria"/>
          <w:sz w:val="21"/>
          <w:szCs w:val="21"/>
          <w:lang w:val="es-ES_tradnl"/>
        </w:rPr>
        <w:t>se encuentra</w:t>
      </w:r>
      <w:r w:rsidR="0009264D" w:rsidRPr="00141F18">
        <w:rPr>
          <w:rFonts w:ascii="Cambria" w:hAnsi="Cambria"/>
          <w:sz w:val="21"/>
          <w:szCs w:val="21"/>
          <w:lang w:val="es-ES_tradnl"/>
        </w:rPr>
        <w:t>n</w:t>
      </w:r>
      <w:r w:rsidRPr="00141F18">
        <w:rPr>
          <w:rFonts w:ascii="Cambria" w:hAnsi="Cambria"/>
          <w:sz w:val="21"/>
          <w:szCs w:val="21"/>
          <w:lang w:val="es-ES_tradnl"/>
        </w:rPr>
        <w:t xml:space="preserve"> </w:t>
      </w:r>
      <w:r w:rsidR="009D0447" w:rsidRPr="00141F18">
        <w:rPr>
          <w:rFonts w:ascii="Cambria" w:hAnsi="Cambria"/>
          <w:sz w:val="21"/>
          <w:szCs w:val="21"/>
          <w:lang w:val="es-ES_tradnl"/>
        </w:rPr>
        <w:t>e</w:t>
      </w:r>
      <w:r w:rsidRPr="00141F18">
        <w:rPr>
          <w:rFonts w:ascii="Cambria" w:hAnsi="Cambria"/>
          <w:sz w:val="21"/>
          <w:szCs w:val="21"/>
          <w:lang w:val="es-ES_tradnl"/>
        </w:rPr>
        <w:t>n una situación de gravedad y urgencia, toda vez que sus derechos enfrentan un riesgo de daño irreparable. Po</w:t>
      </w:r>
      <w:r w:rsidR="00005259" w:rsidRPr="00141F18">
        <w:rPr>
          <w:rFonts w:ascii="Cambria" w:hAnsi="Cambria"/>
          <w:sz w:val="21"/>
          <w:szCs w:val="21"/>
          <w:lang w:val="es-ES_tradnl"/>
        </w:rPr>
        <w:t>r consiguiente, con base en el a</w:t>
      </w:r>
      <w:r w:rsidRPr="00141F18">
        <w:rPr>
          <w:rFonts w:ascii="Cambria" w:hAnsi="Cambria"/>
          <w:sz w:val="21"/>
          <w:szCs w:val="21"/>
          <w:lang w:val="es-ES_tradnl"/>
        </w:rPr>
        <w:t xml:space="preserve">rtículo 25 de su Reglamento, la Comisión requiere a Venezuela que: </w:t>
      </w:r>
    </w:p>
    <w:p w:rsidR="00A735DE" w:rsidRDefault="00A735DE" w:rsidP="00A735DE">
      <w:pPr>
        <w:jc w:val="both"/>
        <w:rPr>
          <w:rFonts w:ascii="Cambria" w:hAnsi="Cambria"/>
          <w:sz w:val="21"/>
          <w:szCs w:val="21"/>
          <w:lang w:val="es-MX"/>
        </w:rPr>
      </w:pPr>
    </w:p>
    <w:p w:rsidR="00A735DE" w:rsidRPr="00141F18" w:rsidRDefault="00A735DE" w:rsidP="00A735DE">
      <w:pPr>
        <w:pStyle w:val="ListParagraph"/>
        <w:numPr>
          <w:ilvl w:val="0"/>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adopte las medidas necesarias para garantizar la vida, integridad personal y salud de las </w:t>
      </w:r>
      <w:r w:rsidRPr="00141F18">
        <w:rPr>
          <w:rFonts w:ascii="Cambria" w:eastAsia="Calibri" w:hAnsi="Cambria" w:cs="Times New Roman"/>
          <w:sz w:val="21"/>
          <w:szCs w:val="21"/>
          <w:lang w:val="es-CO"/>
        </w:rPr>
        <w:t xml:space="preserve">personas beneficiarias. </w:t>
      </w:r>
      <w:r w:rsidRPr="00141F18">
        <w:rPr>
          <w:rFonts w:ascii="Cambria" w:eastAsia="Calibri" w:hAnsi="Cambria" w:cs="Times New Roman"/>
          <w:sz w:val="21"/>
          <w:szCs w:val="21"/>
          <w:lang w:val="es-ES_tradnl"/>
        </w:rPr>
        <w:t>En particular, a través de la provisión de</w:t>
      </w:r>
      <w:r w:rsidRPr="00141F18">
        <w:rPr>
          <w:rFonts w:ascii="Cambria" w:eastAsia="Calibri" w:hAnsi="Cambria" w:cs="Times New Roman"/>
          <w:sz w:val="21"/>
          <w:szCs w:val="21"/>
          <w:lang w:val="es-MX"/>
        </w:rPr>
        <w:t xml:space="preserve"> los insumos, medicamentos, materiales y atenciones necesarias para la salud materna y de las y los recién nacidos, de conformidad con los estándares aplicables. Entre otras medidas, la Comisión considera que el Estado debe:</w:t>
      </w:r>
    </w:p>
    <w:p w:rsidR="00A735DE" w:rsidRPr="00141F18" w:rsidRDefault="00A735DE" w:rsidP="00A735DE">
      <w:pPr>
        <w:pStyle w:val="ListParagraph"/>
        <w:ind w:left="1440"/>
        <w:jc w:val="both"/>
        <w:rPr>
          <w:rFonts w:ascii="Cambria" w:eastAsia="Calibri" w:hAnsi="Cambria" w:cs="Times New Roman"/>
          <w:sz w:val="21"/>
          <w:szCs w:val="21"/>
          <w:lang w:val="es-MX"/>
        </w:rPr>
      </w:pPr>
    </w:p>
    <w:p w:rsidR="00A735DE" w:rsidRPr="00141F18" w:rsidRDefault="00A735DE" w:rsidP="00A735DE">
      <w:pPr>
        <w:pStyle w:val="ListParagraph"/>
        <w:numPr>
          <w:ilvl w:val="1"/>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garantizar la provisión de insumos, medicamentos y servicios médicos adecuados para dar una atención efectiva a las emergencias, dentro del ámbito de la salud sexual y reproductiva de las mujeres, inclusive coordinando mecanismos de referencia adecuados entre establecimientos de salud;</w:t>
      </w:r>
    </w:p>
    <w:p w:rsidR="00A735DE" w:rsidRPr="00141F18" w:rsidRDefault="00A735DE" w:rsidP="00A735DE">
      <w:pPr>
        <w:pStyle w:val="ListParagraph"/>
        <w:numPr>
          <w:ilvl w:val="1"/>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asegurar que la perspectiva de género se encuentre incorporada en la protección y el acceso a la salud materna y servicios dirigidos a las necesidades médicas propias de las beneficiarias;</w:t>
      </w:r>
    </w:p>
    <w:p w:rsidR="00A735DE" w:rsidRPr="00141F18" w:rsidRDefault="00A735DE" w:rsidP="00A735DE">
      <w:pPr>
        <w:pStyle w:val="ListParagraph"/>
        <w:numPr>
          <w:ilvl w:val="1"/>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garantizar la provisión de programas de nutrición y controles médicos adecuados previos al embarazo, durante el embarazo y en el periodo posterior al parto; tanto para las pacientes mujeres como para las y los recién nacidos;</w:t>
      </w:r>
    </w:p>
    <w:p w:rsidR="00A735DE" w:rsidRPr="00141F18" w:rsidRDefault="00A735DE" w:rsidP="00A735DE">
      <w:pPr>
        <w:pStyle w:val="ListParagraph"/>
        <w:numPr>
          <w:ilvl w:val="1"/>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lastRenderedPageBreak/>
        <w:t>a</w:t>
      </w:r>
      <w:proofErr w:type="spellStart"/>
      <w:r w:rsidRPr="00141F18">
        <w:rPr>
          <w:rFonts w:ascii="Cambria" w:eastAsia="Calibri" w:hAnsi="Cambria" w:cs="Times New Roman"/>
          <w:sz w:val="21"/>
          <w:szCs w:val="21"/>
          <w:lang w:val="es-ES_tradnl"/>
        </w:rPr>
        <w:t>segurar</w:t>
      </w:r>
      <w:proofErr w:type="spellEnd"/>
      <w:r w:rsidRPr="00141F18">
        <w:rPr>
          <w:rFonts w:ascii="Cambria" w:eastAsia="Calibri" w:hAnsi="Cambria" w:cs="Times New Roman"/>
          <w:sz w:val="21"/>
          <w:szCs w:val="21"/>
          <w:lang w:val="es-ES_tradnl"/>
        </w:rPr>
        <w:t xml:space="preserve"> que las personas beneficiarias se encuentren en condiciones de salubridad adecuadas y que se cuente con los medios suficientes, incluyendo personal médico, para atender estas situaciones, incluyendo servicios de infraestructuras, electricidad y agua necesarios para tales servicios, conforme a los estándares aplicables;</w:t>
      </w:r>
    </w:p>
    <w:p w:rsidR="00A735DE" w:rsidRPr="00141F18" w:rsidRDefault="00A735DE" w:rsidP="00A735DE">
      <w:pPr>
        <w:pStyle w:val="ListParagraph"/>
        <w:ind w:left="1440"/>
        <w:jc w:val="both"/>
        <w:rPr>
          <w:rFonts w:ascii="Cambria" w:eastAsia="Calibri" w:hAnsi="Cambria" w:cs="Times New Roman"/>
          <w:sz w:val="21"/>
          <w:szCs w:val="21"/>
          <w:lang w:val="es-MX"/>
        </w:rPr>
      </w:pPr>
    </w:p>
    <w:p w:rsidR="00A735DE" w:rsidRDefault="00A735DE" w:rsidP="00A735DE">
      <w:pPr>
        <w:pStyle w:val="ListParagraph"/>
        <w:numPr>
          <w:ilvl w:val="0"/>
          <w:numId w:val="32"/>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concierte las medidas a adoptar con las beneficiarias y sus representantes. En relación con este aspecto, la Comisión considera necesario que sea tomada en cuenta la opinión de especialistas, profesionales y personal que prestan sus servicios en el Hospital, respecto de quienes el Estado, como parte de sus obligaciones de respeto y garantía de los derechos humanos, debe garantizar condiciones para que tengan una participación libre y adecuada,</w:t>
      </w:r>
      <w:r>
        <w:rPr>
          <w:rFonts w:ascii="Cambria" w:eastAsia="Calibri" w:hAnsi="Cambria" w:cs="Times New Roman"/>
          <w:sz w:val="21"/>
          <w:szCs w:val="21"/>
          <w:lang w:val="es-MX"/>
        </w:rPr>
        <w:t xml:space="preserve"> sin ser objetos de represalias; y</w:t>
      </w:r>
    </w:p>
    <w:p w:rsidR="00A735DE" w:rsidRDefault="00A735DE" w:rsidP="00A735DE">
      <w:pPr>
        <w:pStyle w:val="ListParagraph"/>
        <w:jc w:val="both"/>
        <w:rPr>
          <w:rFonts w:ascii="Cambria" w:eastAsia="Calibri" w:hAnsi="Cambria" w:cs="Times New Roman"/>
          <w:sz w:val="21"/>
          <w:szCs w:val="21"/>
          <w:lang w:val="es-MX"/>
        </w:rPr>
      </w:pPr>
    </w:p>
    <w:p w:rsidR="00A735DE" w:rsidRPr="00A735DE" w:rsidRDefault="00A735DE" w:rsidP="00A735DE">
      <w:pPr>
        <w:pStyle w:val="ListParagraph"/>
        <w:numPr>
          <w:ilvl w:val="0"/>
          <w:numId w:val="32"/>
        </w:numPr>
        <w:jc w:val="both"/>
        <w:rPr>
          <w:rFonts w:ascii="Cambria" w:eastAsia="Calibri" w:hAnsi="Cambria" w:cs="Times New Roman"/>
          <w:sz w:val="21"/>
          <w:szCs w:val="21"/>
          <w:lang w:val="es-MX"/>
        </w:rPr>
      </w:pPr>
      <w:r w:rsidRPr="00A735DE">
        <w:rPr>
          <w:rFonts w:ascii="Cambria" w:eastAsia="Calibri" w:hAnsi="Cambria" w:cs="Times New Roman"/>
          <w:sz w:val="21"/>
          <w:szCs w:val="21"/>
          <w:lang w:val="es-MX"/>
        </w:rPr>
        <w:t>informe sobre las medidas adoptadas tendentes a investigar los presuntos hechos que dieron lugar a la adopción de esta resolución y así evitar su repetición; en particular, respecto del alegado fallecimiento de recién nacidos en el Hospital.</w:t>
      </w:r>
    </w:p>
    <w:p w:rsidR="00717A3A" w:rsidRPr="00141F18" w:rsidRDefault="00717A3A" w:rsidP="00A94D9B">
      <w:pPr>
        <w:jc w:val="both"/>
        <w:rPr>
          <w:rFonts w:ascii="Cambria" w:hAnsi="Cambria"/>
          <w:sz w:val="21"/>
          <w:szCs w:val="21"/>
          <w:lang w:val="es-ES_tradnl"/>
        </w:rPr>
      </w:pPr>
    </w:p>
    <w:p w:rsidR="00A46838" w:rsidRPr="00141F18" w:rsidRDefault="00A46838" w:rsidP="00A94D9B">
      <w:pPr>
        <w:pStyle w:val="ListParagraph"/>
        <w:numPr>
          <w:ilvl w:val="0"/>
          <w:numId w:val="2"/>
        </w:numPr>
        <w:ind w:left="0" w:firstLine="360"/>
        <w:jc w:val="both"/>
        <w:rPr>
          <w:rFonts w:ascii="Cambria" w:hAnsi="Cambria"/>
          <w:b/>
          <w:sz w:val="21"/>
          <w:szCs w:val="21"/>
          <w:lang w:val="es-ES_tradnl"/>
        </w:rPr>
      </w:pPr>
      <w:r w:rsidRPr="00141F18">
        <w:rPr>
          <w:rFonts w:ascii="Cambria" w:hAnsi="Cambria"/>
          <w:b/>
          <w:sz w:val="21"/>
          <w:szCs w:val="21"/>
          <w:lang w:val="es-ES_tradnl"/>
        </w:rPr>
        <w:t xml:space="preserve">RESUMEN DE HECHOS Y ARGUMENTOS </w:t>
      </w:r>
    </w:p>
    <w:p w:rsidR="00A46838" w:rsidRPr="00141F18" w:rsidRDefault="00A46838" w:rsidP="00A94D9B">
      <w:pPr>
        <w:jc w:val="both"/>
        <w:rPr>
          <w:rFonts w:ascii="Cambria" w:hAnsi="Cambria"/>
          <w:sz w:val="21"/>
          <w:szCs w:val="21"/>
          <w:lang w:val="es-ES_tradnl"/>
        </w:rPr>
      </w:pPr>
    </w:p>
    <w:p w:rsidR="00A46838" w:rsidRPr="00141F18" w:rsidRDefault="00F43BE4" w:rsidP="00A94D9B">
      <w:pPr>
        <w:pStyle w:val="ListParagraph"/>
        <w:numPr>
          <w:ilvl w:val="0"/>
          <w:numId w:val="3"/>
        </w:numPr>
        <w:ind w:left="0" w:firstLine="360"/>
        <w:jc w:val="both"/>
        <w:rPr>
          <w:rFonts w:ascii="Cambria" w:hAnsi="Cambria"/>
          <w:b/>
          <w:sz w:val="21"/>
          <w:szCs w:val="21"/>
          <w:lang w:val="es-ES_tradnl"/>
        </w:rPr>
      </w:pPr>
      <w:r w:rsidRPr="00141F18">
        <w:rPr>
          <w:rFonts w:ascii="Cambria" w:hAnsi="Cambria"/>
          <w:b/>
          <w:sz w:val="21"/>
          <w:szCs w:val="21"/>
          <w:lang w:val="es-ES_tradnl"/>
        </w:rPr>
        <w:t>Información aportada por la</w:t>
      </w:r>
      <w:r w:rsidR="00BF7D6A" w:rsidRPr="00141F18">
        <w:rPr>
          <w:rFonts w:ascii="Cambria" w:hAnsi="Cambria"/>
          <w:b/>
          <w:sz w:val="21"/>
          <w:szCs w:val="21"/>
          <w:lang w:val="es-ES_tradnl"/>
        </w:rPr>
        <w:t>s solicitantes</w:t>
      </w:r>
    </w:p>
    <w:p w:rsidR="00057A18" w:rsidRPr="00141F18" w:rsidRDefault="00057A18" w:rsidP="00057A18">
      <w:pPr>
        <w:rPr>
          <w:rFonts w:ascii="Cambria" w:hAnsi="Cambria"/>
          <w:sz w:val="21"/>
          <w:szCs w:val="21"/>
          <w:lang w:val="es-ES_tradnl"/>
        </w:rPr>
      </w:pPr>
    </w:p>
    <w:p w:rsidR="00F43BE4" w:rsidRPr="00141F18"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La Maternidad Concepción Palacios es un hospital público ubicado en Caracas y especializado en </w:t>
      </w:r>
      <w:r w:rsidRPr="00141F18">
        <w:rPr>
          <w:rFonts w:ascii="Cambria" w:hAnsi="Cambria"/>
          <w:sz w:val="21"/>
          <w:szCs w:val="21"/>
          <w:lang w:val="es-ES_tradnl"/>
        </w:rPr>
        <w:t>atención</w:t>
      </w:r>
      <w:r w:rsidRPr="00141F18">
        <w:rPr>
          <w:rFonts w:ascii="Cambria" w:eastAsia="Calibri" w:hAnsi="Cambria" w:cs="Times New Roman"/>
          <w:sz w:val="21"/>
          <w:szCs w:val="21"/>
          <w:lang w:val="es-MX"/>
        </w:rPr>
        <w:t xml:space="preserve"> gineco-obstétrica. Las solicitantes explicaron que por ser de tipo IV (el más alto), tiene una capacidad de atención y cobertura mayor al resto, derivándose ahí a los pacientes con complicaciones médicas – tales como abortos inseguros, riesgo de muertes maternas</w:t>
      </w:r>
      <w:r w:rsidRPr="00141F18">
        <w:rPr>
          <w:rFonts w:ascii="Cambria" w:eastAsia="Calibri" w:hAnsi="Cambria" w:cs="Times New Roman"/>
          <w:sz w:val="21"/>
          <w:szCs w:val="21"/>
          <w:vertAlign w:val="superscript"/>
          <w:lang w:val="es-MX"/>
        </w:rPr>
        <w:footnoteReference w:id="1"/>
      </w:r>
      <w:r w:rsidRPr="00141F18">
        <w:rPr>
          <w:rFonts w:ascii="Cambria" w:eastAsia="Calibri" w:hAnsi="Cambria" w:cs="Times New Roman"/>
          <w:sz w:val="21"/>
          <w:szCs w:val="21"/>
          <w:lang w:val="es-MX"/>
        </w:rPr>
        <w:t xml:space="preserve">, etc. –, llegando a alcanzar hasta un 40% de la atención a nivel nacional. Según las solicitantes, los dos tipos de mayor demanda en la actualidad son las consultas prenatales y las de ginecología. Tras aportar información contextual sobre la “[…] grave crisis del sistema de salud en Venezuela […]”, la situación humanitaria en general (caracterizada por numerosas restricciones) y su impacto diferenciado </w:t>
      </w:r>
      <w:r w:rsidR="00C70293" w:rsidRPr="00141F18">
        <w:rPr>
          <w:rFonts w:ascii="Cambria" w:eastAsia="Calibri" w:hAnsi="Cambria" w:cs="Times New Roman"/>
          <w:sz w:val="21"/>
          <w:szCs w:val="21"/>
          <w:lang w:val="es-MX"/>
        </w:rPr>
        <w:t>en las mujeres</w:t>
      </w:r>
      <w:r w:rsidRPr="00141F18">
        <w:rPr>
          <w:rFonts w:ascii="Cambria" w:eastAsia="Calibri" w:hAnsi="Cambria" w:cs="Times New Roman"/>
          <w:sz w:val="21"/>
          <w:szCs w:val="21"/>
          <w:lang w:val="es-MX"/>
        </w:rPr>
        <w:t>, las solicitantes alegaron que la situación de la Maternidad se ha agravado durante el año 2018 hasta la actualidad, si bien los problemas estructurales serían de larga data</w:t>
      </w:r>
      <w:r w:rsidRPr="00141F18">
        <w:rPr>
          <w:rFonts w:ascii="Cambria" w:eastAsia="Calibri" w:hAnsi="Cambria" w:cs="Times New Roman"/>
          <w:sz w:val="21"/>
          <w:szCs w:val="21"/>
          <w:vertAlign w:val="superscript"/>
          <w:lang w:val="es-MX"/>
        </w:rPr>
        <w:footnoteReference w:id="2"/>
      </w:r>
      <w:r w:rsidRPr="00141F18">
        <w:rPr>
          <w:rFonts w:ascii="Cambria" w:eastAsia="Calibri" w:hAnsi="Cambria" w:cs="Times New Roman"/>
          <w:sz w:val="21"/>
          <w:szCs w:val="21"/>
          <w:lang w:val="es-MX"/>
        </w:rPr>
        <w:t xml:space="preserve">. </w:t>
      </w:r>
    </w:p>
    <w:p w:rsidR="00F43BE4" w:rsidRPr="00141F18" w:rsidRDefault="00F43BE4" w:rsidP="00F43BE4">
      <w:pPr>
        <w:ind w:left="360"/>
        <w:jc w:val="both"/>
        <w:rPr>
          <w:rFonts w:ascii="Cambria" w:eastAsia="Calibri" w:hAnsi="Cambria" w:cs="Times New Roman"/>
          <w:sz w:val="21"/>
          <w:szCs w:val="21"/>
          <w:lang w:val="es-MX"/>
        </w:rPr>
      </w:pPr>
    </w:p>
    <w:p w:rsidR="00F43BE4" w:rsidRPr="00141F18"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En virtud de lo anterior, pidieron la adopción de medidas cautelares para “[…] las mujeres pacientes que acuden o se encuentran en la Maternidad […]”, </w:t>
      </w:r>
      <w:r w:rsidR="00717A3A" w:rsidRPr="00141F18">
        <w:rPr>
          <w:rFonts w:ascii="Cambria" w:eastAsia="Calibri" w:hAnsi="Cambria" w:cs="Times New Roman"/>
          <w:sz w:val="21"/>
          <w:szCs w:val="21"/>
          <w:lang w:val="es-MX"/>
        </w:rPr>
        <w:t xml:space="preserve">siendo determinables </w:t>
      </w:r>
      <w:r w:rsidRPr="00141F18">
        <w:rPr>
          <w:rFonts w:ascii="Cambria" w:eastAsia="Calibri" w:hAnsi="Cambria" w:cs="Times New Roman"/>
          <w:sz w:val="21"/>
          <w:szCs w:val="21"/>
          <w:lang w:val="es-MX"/>
        </w:rPr>
        <w:t>conforme el artículo 25.6.b) del Reglamento</w:t>
      </w:r>
      <w:r w:rsidRPr="00141F18">
        <w:rPr>
          <w:rFonts w:ascii="Cambria" w:eastAsia="Calibri" w:hAnsi="Cambria" w:cs="Times New Roman"/>
          <w:sz w:val="21"/>
          <w:szCs w:val="21"/>
          <w:vertAlign w:val="superscript"/>
          <w:lang w:val="es-MX"/>
        </w:rPr>
        <w:footnoteReference w:id="3"/>
      </w:r>
      <w:r w:rsidR="00717A3A" w:rsidRPr="00141F18">
        <w:rPr>
          <w:rFonts w:ascii="Cambria" w:eastAsia="Calibri" w:hAnsi="Cambria" w:cs="Times New Roman"/>
          <w:sz w:val="21"/>
          <w:szCs w:val="21"/>
          <w:lang w:val="es-MX"/>
        </w:rPr>
        <w:t>,</w:t>
      </w:r>
      <w:r w:rsidR="004A3F68" w:rsidRPr="00141F18">
        <w:rPr>
          <w:rFonts w:ascii="Cambria" w:eastAsia="Calibri" w:hAnsi="Cambria" w:cs="Times New Roman"/>
          <w:sz w:val="21"/>
          <w:szCs w:val="21"/>
          <w:lang w:val="es-MX"/>
        </w:rPr>
        <w:t xml:space="preserve"> y </w:t>
      </w:r>
      <w:r w:rsidR="00717A3A" w:rsidRPr="00141F18">
        <w:rPr>
          <w:rFonts w:ascii="Cambria" w:eastAsia="Calibri" w:hAnsi="Cambria" w:cs="Times New Roman"/>
          <w:sz w:val="21"/>
          <w:szCs w:val="21"/>
          <w:lang w:val="es-MX"/>
        </w:rPr>
        <w:t xml:space="preserve">con base también en </w:t>
      </w:r>
      <w:r w:rsidR="004A3F68" w:rsidRPr="00141F18">
        <w:rPr>
          <w:rFonts w:ascii="Cambria" w:eastAsia="Calibri" w:hAnsi="Cambria" w:cs="Times New Roman"/>
          <w:sz w:val="21"/>
          <w:szCs w:val="21"/>
          <w:lang w:val="es-MX"/>
        </w:rPr>
        <w:t xml:space="preserve">el artículo 7 de la Convención </w:t>
      </w:r>
      <w:r w:rsidR="004A3F68" w:rsidRPr="00141F18">
        <w:rPr>
          <w:rFonts w:ascii="Cambria" w:eastAsia="Calibri" w:hAnsi="Cambria" w:cs="Times New Roman"/>
          <w:sz w:val="21"/>
          <w:szCs w:val="21"/>
          <w:lang w:val="es-ES_tradnl"/>
        </w:rPr>
        <w:t>Interamericana para Prevenir, Sancionar y Erradicar la Violencia contra la Mujer (Convención de Belém do Pará)</w:t>
      </w:r>
      <w:r w:rsidRPr="00141F18">
        <w:rPr>
          <w:rFonts w:ascii="Cambria" w:eastAsia="Calibri" w:hAnsi="Cambria" w:cs="Times New Roman"/>
          <w:sz w:val="21"/>
          <w:szCs w:val="21"/>
          <w:lang w:val="es-MX"/>
        </w:rPr>
        <w:t xml:space="preserve">. Respecto al universo de propuestos beneficiarios, las solicitantes indicaron que en un solo mes la Maternidad atiende aproximadamente a mil trescientas mujeres en promedio, lo que equivaldría a unos trescientos </w:t>
      </w:r>
      <w:r w:rsidRPr="00141F18">
        <w:rPr>
          <w:rFonts w:ascii="Cambria" w:eastAsia="Calibri" w:hAnsi="Cambria" w:cs="Times New Roman"/>
          <w:sz w:val="21"/>
          <w:szCs w:val="21"/>
          <w:lang w:val="es-MX"/>
        </w:rPr>
        <w:lastRenderedPageBreak/>
        <w:t xml:space="preserve">partos. Por otra parte, se resaltó </w:t>
      </w:r>
      <w:r w:rsidRPr="00141F18">
        <w:rPr>
          <w:rFonts w:ascii="Cambria" w:eastAsia="Calibri" w:hAnsi="Cambria" w:cs="Times New Roman"/>
          <w:sz w:val="21"/>
          <w:szCs w:val="21"/>
          <w:lang w:val="es-ES_tradnl"/>
        </w:rPr>
        <w:t>que la mayor parte de la información contenida en la solicitud proviene de testimonios de varios trabajadores y empleados de la Maternidad, habiéndose aportado en efecto varios ejemplos de transcripciones.</w:t>
      </w:r>
    </w:p>
    <w:p w:rsidR="00F43BE4" w:rsidRPr="00141F18" w:rsidRDefault="00F43BE4" w:rsidP="00F43BE4">
      <w:pPr>
        <w:ind w:left="360"/>
        <w:jc w:val="both"/>
        <w:rPr>
          <w:rFonts w:ascii="Cambria" w:eastAsia="Calibri" w:hAnsi="Cambria" w:cs="Times New Roman"/>
          <w:sz w:val="21"/>
          <w:szCs w:val="21"/>
          <w:lang w:val="es-MX"/>
        </w:rPr>
      </w:pPr>
    </w:p>
    <w:p w:rsidR="00F43BE4" w:rsidRPr="00141F18"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    De manera general, las solicitantes señalaron que, según el personal cualificado de la Maternidad, las pacientes se enfrentan a tres principales fuentes de riesgo: infecciones, hipertensión arterial y hemorragias. En los dos primeros supuestos, ello se debe a que los centros hospitalarios no garantizarían el acceso a antibióticos o remedios por falta de existencias debido a su elevado coste, mientras que en el caso de las hemorragias, las pacientes con desnutrición o anemia presentarían complicaciones hasta tal punto que un simple sangrado es susceptible de ser fatal en cuestión de momentos. </w:t>
      </w:r>
      <w:r w:rsidR="00C228D9" w:rsidRPr="00141F18">
        <w:rPr>
          <w:rFonts w:ascii="Cambria" w:eastAsia="Calibri" w:hAnsi="Cambria" w:cs="Times New Roman"/>
          <w:sz w:val="21"/>
          <w:szCs w:val="21"/>
          <w:lang w:val="es-MX"/>
        </w:rPr>
        <w:t>Según las solicitantes, en el perío</w:t>
      </w:r>
      <w:r w:rsidR="00317928" w:rsidRPr="00141F18">
        <w:rPr>
          <w:rFonts w:ascii="Cambria" w:eastAsia="Calibri" w:hAnsi="Cambria" w:cs="Times New Roman"/>
          <w:sz w:val="21"/>
          <w:szCs w:val="21"/>
          <w:lang w:val="es-MX"/>
        </w:rPr>
        <w:t>do de agosto a diciembre de 2018</w:t>
      </w:r>
      <w:r w:rsidR="00C228D9" w:rsidRPr="00141F18">
        <w:rPr>
          <w:rFonts w:ascii="Cambria" w:eastAsia="Calibri" w:hAnsi="Cambria" w:cs="Times New Roman"/>
          <w:sz w:val="21"/>
          <w:szCs w:val="21"/>
          <w:lang w:val="es-MX"/>
        </w:rPr>
        <w:t>, fallecieron quince pacientes y doscientos sesenta y cinco recién nacidos</w:t>
      </w:r>
      <w:r w:rsidR="00B474FE" w:rsidRPr="00141F18">
        <w:rPr>
          <w:rStyle w:val="FootnoteReference"/>
          <w:rFonts w:ascii="Cambria" w:eastAsia="Calibri" w:hAnsi="Cambria" w:cs="Times New Roman"/>
          <w:sz w:val="21"/>
          <w:szCs w:val="21"/>
          <w:lang w:val="es-MX"/>
        </w:rPr>
        <w:footnoteReference w:id="4"/>
      </w:r>
      <w:r w:rsidR="00C228D9" w:rsidRPr="00141F18">
        <w:rPr>
          <w:rFonts w:ascii="Cambria" w:eastAsia="Calibri" w:hAnsi="Cambria" w:cs="Times New Roman"/>
          <w:sz w:val="21"/>
          <w:szCs w:val="21"/>
          <w:lang w:val="es-MX"/>
        </w:rPr>
        <w:t xml:space="preserve">. Si bien </w:t>
      </w:r>
      <w:r w:rsidR="00B474FE" w:rsidRPr="00141F18">
        <w:rPr>
          <w:rFonts w:ascii="Cambria" w:eastAsia="Calibri" w:hAnsi="Cambria" w:cs="Times New Roman"/>
          <w:sz w:val="21"/>
          <w:szCs w:val="21"/>
          <w:lang w:val="es-MX"/>
        </w:rPr>
        <w:t>no se pudieron detallar las circunstancias de su fallecimiento y determinar las causas directas, explicaron que al menos cinco de ellas fueron calificadas como “muertes maternas” y específicamente relacionadas con casos de hipertensión arterial.</w:t>
      </w:r>
      <w:r w:rsidRPr="00141F18">
        <w:rPr>
          <w:rFonts w:ascii="Cambria" w:eastAsia="Calibri" w:hAnsi="Cambria" w:cs="Times New Roman"/>
          <w:sz w:val="21"/>
          <w:szCs w:val="21"/>
          <w:lang w:val="es-MX"/>
        </w:rPr>
        <w:t xml:space="preserve"> </w:t>
      </w:r>
      <w:r w:rsidR="00B474FE" w:rsidRPr="00141F18">
        <w:rPr>
          <w:rFonts w:ascii="Cambria" w:eastAsia="Calibri" w:hAnsi="Cambria" w:cs="Times New Roman"/>
          <w:sz w:val="21"/>
          <w:szCs w:val="21"/>
          <w:lang w:val="es-MX"/>
        </w:rPr>
        <w:t>Asimismo, de acuerdo con</w:t>
      </w:r>
      <w:r w:rsidRPr="00141F18">
        <w:rPr>
          <w:rFonts w:ascii="Cambria" w:eastAsia="Calibri" w:hAnsi="Cambria" w:cs="Times New Roman"/>
          <w:sz w:val="21"/>
          <w:szCs w:val="21"/>
          <w:lang w:val="es-MX"/>
        </w:rPr>
        <w:t xml:space="preserve"> el personal</w:t>
      </w:r>
      <w:r w:rsidR="00B474FE" w:rsidRPr="00141F18">
        <w:rPr>
          <w:rFonts w:ascii="Cambria" w:eastAsia="Calibri" w:hAnsi="Cambria" w:cs="Times New Roman"/>
          <w:sz w:val="21"/>
          <w:szCs w:val="21"/>
          <w:lang w:val="es-MX"/>
        </w:rPr>
        <w:t xml:space="preserve"> del Hospital</w:t>
      </w:r>
      <w:r w:rsidRPr="00141F18">
        <w:rPr>
          <w:rFonts w:ascii="Cambria" w:eastAsia="Calibri" w:hAnsi="Cambria" w:cs="Times New Roman"/>
          <w:sz w:val="21"/>
          <w:szCs w:val="21"/>
          <w:lang w:val="es-MX"/>
        </w:rPr>
        <w:t xml:space="preserve">, estas muertes se precipitaron como consecuencia de la atención institucional deficiente y las serias condiciones de precariedad. En estas circunstancias, las solicitantes identificaron hasta dieciocho temas de preocupación al interior de la Maternidad y que en su conjunto reflejarían la grave crisis que atraviesa el hospital, los cuales pueden agruparse en tres categorías: funcionamiento de los servicios, estado de las instalaciones y recursos disponibles, si bien todas </w:t>
      </w:r>
      <w:proofErr w:type="gramStart"/>
      <w:r w:rsidRPr="00141F18">
        <w:rPr>
          <w:rFonts w:ascii="Cambria" w:eastAsia="Calibri" w:hAnsi="Cambria" w:cs="Times New Roman"/>
          <w:sz w:val="21"/>
          <w:szCs w:val="21"/>
          <w:lang w:val="es-MX"/>
        </w:rPr>
        <w:t>éstas</w:t>
      </w:r>
      <w:proofErr w:type="gramEnd"/>
      <w:r w:rsidRPr="00141F18">
        <w:rPr>
          <w:rFonts w:ascii="Cambria" w:eastAsia="Calibri" w:hAnsi="Cambria" w:cs="Times New Roman"/>
          <w:sz w:val="21"/>
          <w:szCs w:val="21"/>
          <w:lang w:val="es-MX"/>
        </w:rPr>
        <w:t xml:space="preserve"> guardarían una relación intrínseca entre sí. </w:t>
      </w:r>
    </w:p>
    <w:p w:rsidR="00F43BE4" w:rsidRPr="00141F18" w:rsidRDefault="00F43BE4" w:rsidP="00F43BE4">
      <w:pPr>
        <w:ind w:left="360"/>
        <w:jc w:val="both"/>
        <w:rPr>
          <w:rFonts w:ascii="Cambria" w:eastAsia="Calibri" w:hAnsi="Cambria" w:cs="Times New Roman"/>
          <w:sz w:val="21"/>
          <w:szCs w:val="21"/>
          <w:lang w:val="es-MX"/>
        </w:rPr>
      </w:pPr>
    </w:p>
    <w:p w:rsidR="00F43BE4" w:rsidRPr="00141F18"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En relación con los servicios brindados, las solicitantes mencionaron los siguientes: laboratorio clínico, banco de sangre, anatomía patológica, radiología, anestesiología, pediatría y neonatología, terapia intensiva, salas de parto, quirófanos, emergencia y alimentación. Común a todos estos servicios sería la insuficiencia de insumos, materiales o equipos médicos, incluyendo personal y espacio, lo cual expondría a las propuestas beneficiarias a varias fuentes de riesgo. Por ejemplo: i) demoras prolongadas y obstáculos para obtener un diagnóstico a tiempo</w:t>
      </w:r>
      <w:r w:rsidRPr="00141F18">
        <w:rPr>
          <w:rFonts w:ascii="Cambria" w:eastAsia="Calibri" w:hAnsi="Cambria" w:cs="Times New Roman"/>
          <w:sz w:val="21"/>
          <w:szCs w:val="21"/>
          <w:vertAlign w:val="superscript"/>
          <w:lang w:val="es-MX"/>
        </w:rPr>
        <w:footnoteReference w:id="5"/>
      </w:r>
      <w:r w:rsidRPr="00141F18">
        <w:rPr>
          <w:rFonts w:ascii="Cambria" w:eastAsia="Calibri" w:hAnsi="Cambria" w:cs="Times New Roman"/>
          <w:sz w:val="21"/>
          <w:szCs w:val="21"/>
          <w:lang w:val="es-MX"/>
        </w:rPr>
        <w:t>; ii) dificultad para obtener y preservar plasma</w:t>
      </w:r>
      <w:r w:rsidRPr="00141F18">
        <w:rPr>
          <w:rFonts w:ascii="Cambria" w:eastAsia="Calibri" w:hAnsi="Cambria" w:cs="Times New Roman"/>
          <w:sz w:val="21"/>
          <w:szCs w:val="21"/>
          <w:vertAlign w:val="superscript"/>
          <w:lang w:val="es-MX"/>
        </w:rPr>
        <w:footnoteReference w:id="6"/>
      </w:r>
      <w:r w:rsidRPr="00141F18">
        <w:rPr>
          <w:rFonts w:ascii="Cambria" w:eastAsia="Calibri" w:hAnsi="Cambria" w:cs="Times New Roman"/>
          <w:sz w:val="21"/>
          <w:szCs w:val="21"/>
          <w:lang w:val="es-MX"/>
        </w:rPr>
        <w:t>; iii) ausencia de equipo necesario para realizar biopsias y otras tomas, lo cual resultaría de gran importancia para la detección temprana de cáncer de cuello uterino y otros controles prenatales; iv) falta de gel para servicios de radiografía; v) insuficiencia de anestesiólogos, quienes como máximo estarían presentes tres días a la semana</w:t>
      </w:r>
      <w:r w:rsidRPr="00141F18">
        <w:rPr>
          <w:rFonts w:ascii="Cambria" w:eastAsia="Calibri" w:hAnsi="Cambria" w:cs="Times New Roman"/>
          <w:sz w:val="21"/>
          <w:szCs w:val="21"/>
          <w:vertAlign w:val="superscript"/>
          <w:lang w:val="es-MX"/>
        </w:rPr>
        <w:footnoteReference w:id="7"/>
      </w:r>
      <w:r w:rsidRPr="00141F18">
        <w:rPr>
          <w:rFonts w:ascii="Cambria" w:eastAsia="Calibri" w:hAnsi="Cambria" w:cs="Times New Roman"/>
          <w:sz w:val="21"/>
          <w:szCs w:val="21"/>
          <w:lang w:val="es-MX"/>
        </w:rPr>
        <w:t xml:space="preserve">; vi) insuficiente capacidad para atender el alto número de partos, entre otras consultas como ginecología general; vii) fallas en los servicios neonatales, relatando un trabajador que aquellos que requieren alguna atención especial al nacer “fallecen rápido” por la insuficiencia de la </w:t>
      </w:r>
      <w:r w:rsidRPr="00141F18">
        <w:rPr>
          <w:rFonts w:ascii="Cambria" w:eastAsia="Calibri" w:hAnsi="Cambria" w:cs="Times New Roman"/>
          <w:sz w:val="21"/>
          <w:szCs w:val="21"/>
          <w:lang w:val="es-MX"/>
        </w:rPr>
        <w:lastRenderedPageBreak/>
        <w:t>misma</w:t>
      </w:r>
      <w:r w:rsidRPr="00141F18">
        <w:rPr>
          <w:rFonts w:ascii="Cambria" w:eastAsia="Calibri" w:hAnsi="Cambria" w:cs="Times New Roman"/>
          <w:sz w:val="21"/>
          <w:szCs w:val="21"/>
          <w:vertAlign w:val="superscript"/>
          <w:lang w:val="es-MX"/>
        </w:rPr>
        <w:footnoteReference w:id="8"/>
      </w:r>
      <w:r w:rsidRPr="00141F18">
        <w:rPr>
          <w:rFonts w:ascii="Cambria" w:eastAsia="Calibri" w:hAnsi="Cambria" w:cs="Times New Roman"/>
          <w:sz w:val="21"/>
          <w:szCs w:val="21"/>
          <w:lang w:val="es-MX"/>
        </w:rPr>
        <w:t>; viii) número escaso de camas en salas de parto</w:t>
      </w:r>
      <w:r w:rsidRPr="00141F18">
        <w:rPr>
          <w:rFonts w:ascii="Cambria" w:eastAsia="Calibri" w:hAnsi="Cambria" w:cs="Times New Roman"/>
          <w:sz w:val="21"/>
          <w:szCs w:val="21"/>
          <w:vertAlign w:val="superscript"/>
          <w:lang w:val="es-MX"/>
        </w:rPr>
        <w:footnoteReference w:id="9"/>
      </w:r>
      <w:r w:rsidRPr="00141F18">
        <w:rPr>
          <w:rFonts w:ascii="Cambria" w:eastAsia="Calibri" w:hAnsi="Cambria" w:cs="Times New Roman"/>
          <w:sz w:val="21"/>
          <w:szCs w:val="21"/>
          <w:lang w:val="es-MX"/>
        </w:rPr>
        <w:t xml:space="preserve">; ix) inoperatividad de la sala de quirófano durante todo el mes de diciembre de 2018; x) largas horas de espera para que las madres sean atendidas, terminando algunas dando a luz incluso en la sala de espera o en las afueras del hospital; xi) irregularidades en el funcionamiento del servicio de terapia intensiva, sobre todo respecto a neonatología, donde solo la mitad de las camas funcionarían; xii) intermitencia del servicio de alimentación, no pudiéndose garantizar las veinticuatro horas del día y toda la semana – lo cual resulta especialmente preocupante para los recién nacidos –, lo anterior aunado a su insuficiencia nutricional. </w:t>
      </w:r>
    </w:p>
    <w:p w:rsidR="00F43BE4" w:rsidRPr="00141F18" w:rsidRDefault="00F43BE4" w:rsidP="00F43BE4">
      <w:pPr>
        <w:ind w:left="360"/>
        <w:jc w:val="both"/>
        <w:rPr>
          <w:rFonts w:ascii="Cambria" w:eastAsia="Calibri" w:hAnsi="Cambria" w:cs="Times New Roman"/>
          <w:sz w:val="21"/>
          <w:szCs w:val="21"/>
          <w:lang w:val="es-MX"/>
        </w:rPr>
      </w:pPr>
    </w:p>
    <w:p w:rsidR="00F43BE4" w:rsidRPr="00141F18"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En cuanto al estado de las instalaciones y recursos disponibles, las solicitantes indicaron por ejemplo que la Maternidad no tiene la posibilidad de ofrecer servicios de consulta prenatal para mujeres con VIH, así como otorgar un “kit de bioseguridad”</w:t>
      </w:r>
      <w:r w:rsidRPr="00141F18">
        <w:rPr>
          <w:rFonts w:ascii="Cambria" w:eastAsia="Calibri" w:hAnsi="Cambria" w:cs="Times New Roman"/>
          <w:sz w:val="21"/>
          <w:szCs w:val="21"/>
          <w:vertAlign w:val="superscript"/>
          <w:lang w:val="es-MX"/>
        </w:rPr>
        <w:footnoteReference w:id="10"/>
      </w:r>
      <w:r w:rsidRPr="00141F18">
        <w:rPr>
          <w:rFonts w:ascii="Cambria" w:eastAsia="Calibri" w:hAnsi="Cambria" w:cs="Times New Roman"/>
          <w:sz w:val="21"/>
          <w:szCs w:val="21"/>
          <w:lang w:val="es-MX"/>
        </w:rPr>
        <w:t xml:space="preserve"> necesario para realizar cesáreas (sin el cual las pacientes no tendrían garantías de seguridad durante la intervención) o tratamientos antirretrovirales. En cuanto a las salas de parto, según la solicitud se detectaron hasta gusanos y moscas en una de las camas, al igual que en otras camas ubicadas en otras áreas, donde además se acumularía el material biológico; las camas se llenarían de sangre y secreciones, no disponiendo prácticamente de material de limpieza, insertándose los tubos con sangre y líquido amniótico a través de costuras en las camas. Los quirófanos, por su parte, tendrían filtraciones y carecerían de aire acondicionado, mientras que las áreas de espera no garantizarían una limpieza previa y adecuada de las pacientes. Igualmente, la Maternidad no tendría ninguna ambulancia, pues la única está “totalmente destrozada y desvalijada”. El servicio de emergencia solo contaría con tres cubículos operativos, los desechos no se procesarían adecuadamente por insuficiencia de material y se carecería de equipo quirúrgico y de desinfección, compresas, tensiómetros, monitores, etc., lo cual resultaría preocupante sobre todo respecto de las emergencias postaborto. Respecto a los recursos humanos y equipamiento, las solicitantes señalaron que ninguna de las áreas de la Maternidad está completa, mientras que en lo que se refiere a medicamentos</w:t>
      </w:r>
      <w:r w:rsidRPr="00141F18">
        <w:rPr>
          <w:rFonts w:ascii="Cambria" w:eastAsia="Calibri" w:hAnsi="Cambria" w:cs="Times New Roman"/>
          <w:sz w:val="21"/>
          <w:szCs w:val="21"/>
          <w:vertAlign w:val="superscript"/>
          <w:lang w:val="es-MX"/>
        </w:rPr>
        <w:footnoteReference w:id="11"/>
      </w:r>
      <w:r w:rsidRPr="00141F18">
        <w:rPr>
          <w:rFonts w:ascii="Cambria" w:eastAsia="Calibri" w:hAnsi="Cambria" w:cs="Times New Roman"/>
          <w:sz w:val="21"/>
          <w:szCs w:val="21"/>
          <w:lang w:val="es-MX"/>
        </w:rPr>
        <w:t xml:space="preserve"> e insumos</w:t>
      </w:r>
      <w:r w:rsidRPr="00141F18">
        <w:rPr>
          <w:rFonts w:ascii="Cambria" w:eastAsia="Calibri" w:hAnsi="Cambria" w:cs="Times New Roman"/>
          <w:sz w:val="21"/>
          <w:szCs w:val="21"/>
          <w:vertAlign w:val="superscript"/>
          <w:lang w:val="es-MX"/>
        </w:rPr>
        <w:footnoteReference w:id="12"/>
      </w:r>
      <w:r w:rsidRPr="00141F18">
        <w:rPr>
          <w:rFonts w:ascii="Cambria" w:eastAsia="Calibri" w:hAnsi="Cambria" w:cs="Times New Roman"/>
          <w:sz w:val="21"/>
          <w:szCs w:val="21"/>
          <w:lang w:val="es-MX"/>
        </w:rPr>
        <w:t xml:space="preserve">, la farmacia no funciona adecuadamente por la escasez generalizada, además de la insuficiencia de vacunas. Asimismo, el hospital no contaría con máquinas para esterilizar los biberones de los neonatos, al igual que otros utensilios, y escasearía tanto el suministro de agua como de electricidad, mencionándose por ejemplo que durante todo septiembre de 2018 la red eléctrica falló de manera absoluta.  </w:t>
      </w:r>
    </w:p>
    <w:p w:rsidR="00153FAE" w:rsidRPr="00141F18" w:rsidRDefault="00153FAE" w:rsidP="00153FAE">
      <w:pPr>
        <w:pStyle w:val="ListParagraph"/>
        <w:ind w:left="360"/>
        <w:jc w:val="both"/>
        <w:rPr>
          <w:rFonts w:ascii="Cambria" w:eastAsia="Calibri" w:hAnsi="Cambria" w:cs="Times New Roman"/>
          <w:sz w:val="21"/>
          <w:szCs w:val="21"/>
          <w:lang w:val="es-MX"/>
        </w:rPr>
      </w:pPr>
    </w:p>
    <w:p w:rsidR="00153FAE" w:rsidRPr="00141F18" w:rsidRDefault="00153FAE"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Con todo ello, las solicitantes alegaron que si bien la situación de riesgo en la Maternidad era estructural y que la atención en salud debía analizarse en su conjunto, las áreas más preocupantes son las de salas de parto, el área de emergencias y el área de neonatología. En particular, explicaron que “[…] se trata de tres servicios directamente conectados y cuya falta de operatividad limita severamente la atención a las pacientes que requieren atención urgente así como a los/as recién nacidos”, puesto que la falta de funcionamiento de las salas de parto, por ejemplo, repercutiría directamente en la limitación de aquella de emergencia y la determinación de los ingresos al área de neonatología. </w:t>
      </w:r>
      <w:r w:rsidR="00317928" w:rsidRPr="00141F18">
        <w:rPr>
          <w:rFonts w:ascii="Cambria" w:eastAsia="Calibri" w:hAnsi="Cambria" w:cs="Times New Roman"/>
          <w:sz w:val="21"/>
          <w:szCs w:val="21"/>
          <w:lang w:val="es-MX"/>
        </w:rPr>
        <w:t xml:space="preserve">Según las solicitantes, en el mes de enero de 2019, fallecieron quince recién nacidos por causas asociadas a un “shock séptico”, “[…] es decir, infección y ‘prematuridad extrema’ […]”, señalando que según la Organización Mundial de </w:t>
      </w:r>
      <w:r w:rsidR="00317928" w:rsidRPr="00141F18">
        <w:rPr>
          <w:rFonts w:ascii="Cambria" w:eastAsia="Calibri" w:hAnsi="Cambria" w:cs="Times New Roman"/>
          <w:sz w:val="21"/>
          <w:szCs w:val="21"/>
          <w:lang w:val="es-MX"/>
        </w:rPr>
        <w:lastRenderedPageBreak/>
        <w:t xml:space="preserve">la Salud, “[…] una alta proporción de los bebés que nacen prematuros ‘pueden salvarse con una atención sencilla y costo-eficaz consistente, por ejemplo, en ofrecer una serie de servicios sanitarios esenciales durante el parto y el período postnatal, para todas las madres y todos los lactantes’ […]”. </w:t>
      </w:r>
    </w:p>
    <w:p w:rsidR="00F43BE4" w:rsidRPr="00141F18" w:rsidRDefault="00F43BE4" w:rsidP="00F43BE4">
      <w:pPr>
        <w:ind w:left="360"/>
        <w:jc w:val="both"/>
        <w:rPr>
          <w:rFonts w:ascii="Cambria" w:eastAsia="Calibri" w:hAnsi="Cambria" w:cs="Times New Roman"/>
          <w:sz w:val="21"/>
          <w:szCs w:val="21"/>
          <w:lang w:val="es-MX"/>
        </w:rPr>
      </w:pPr>
    </w:p>
    <w:p w:rsidR="00F43BE4" w:rsidRPr="00A735DE" w:rsidRDefault="00F43BE4" w:rsidP="00F43BE4">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Por último, las solicitantes alegaron que los trabajadores de la Maternidad habrían sido hostigados por el Director del hospital, quien supuestamente manifestó de manera pública su afinidad con el partido oficialista. Según éstas, el Director habría presionado a sus empleados para que no denuncien la situación de la Maternidad, amenazándoles incluso con “[…] llamar a la [Guardia Nacional Bolivariana] […]”. Adicionalmente, las solicitantes señalaron que bandas de “colectivos” operarían bajo su aquiescencia, sobre todo durante manifestaciones, para intimidar a los trabajadores, como habría ocurrido en febrero de 2019. </w:t>
      </w:r>
    </w:p>
    <w:p w:rsidR="00717A3A" w:rsidRPr="00141F18" w:rsidRDefault="00717A3A" w:rsidP="00F43BE4">
      <w:pPr>
        <w:jc w:val="both"/>
        <w:rPr>
          <w:rFonts w:ascii="Cambria" w:eastAsia="Calibri" w:hAnsi="Cambria"/>
          <w:sz w:val="21"/>
          <w:szCs w:val="21"/>
          <w:lang w:val="es-ES_tradnl"/>
        </w:rPr>
      </w:pPr>
    </w:p>
    <w:p w:rsidR="00591283" w:rsidRPr="00141F18" w:rsidRDefault="004B6843" w:rsidP="00F43BE4">
      <w:pPr>
        <w:pStyle w:val="ListParagraph"/>
        <w:numPr>
          <w:ilvl w:val="0"/>
          <w:numId w:val="3"/>
        </w:numPr>
        <w:ind w:left="0" w:firstLine="360"/>
        <w:jc w:val="both"/>
        <w:rPr>
          <w:rFonts w:ascii="Cambria" w:eastAsia="Calibri" w:hAnsi="Cambria"/>
          <w:b/>
          <w:sz w:val="21"/>
          <w:szCs w:val="21"/>
          <w:lang w:val="es-ES_tradnl"/>
        </w:rPr>
      </w:pPr>
      <w:r w:rsidRPr="00141F18">
        <w:rPr>
          <w:rFonts w:ascii="Cambria" w:eastAsia="Calibri" w:hAnsi="Cambria"/>
          <w:b/>
          <w:sz w:val="21"/>
          <w:szCs w:val="21"/>
          <w:lang w:val="es-ES_tradnl"/>
        </w:rPr>
        <w:t>Respuesta del Estado</w:t>
      </w:r>
    </w:p>
    <w:p w:rsidR="00937B2A" w:rsidRPr="00141F18" w:rsidRDefault="00937B2A" w:rsidP="00F43BE4">
      <w:pPr>
        <w:pStyle w:val="ListParagraph"/>
        <w:ind w:left="360"/>
        <w:jc w:val="both"/>
        <w:rPr>
          <w:rFonts w:ascii="Cambria" w:eastAsia="Calibri" w:hAnsi="Cambria"/>
          <w:b/>
          <w:sz w:val="21"/>
          <w:szCs w:val="21"/>
          <w:lang w:val="es-ES_tradnl"/>
        </w:rPr>
      </w:pPr>
    </w:p>
    <w:p w:rsidR="00937B2A" w:rsidRPr="00141F18" w:rsidRDefault="00937B2A" w:rsidP="00F43BE4">
      <w:pPr>
        <w:pStyle w:val="ListParagraph"/>
        <w:numPr>
          <w:ilvl w:val="0"/>
          <w:numId w:val="1"/>
        </w:numPr>
        <w:ind w:left="0" w:firstLine="360"/>
        <w:jc w:val="both"/>
        <w:rPr>
          <w:rFonts w:ascii="Cambria" w:eastAsia="Calibri" w:hAnsi="Cambria"/>
          <w:sz w:val="21"/>
          <w:szCs w:val="21"/>
          <w:lang w:val="es-ES_tradnl"/>
        </w:rPr>
      </w:pPr>
      <w:r w:rsidRPr="00141F18">
        <w:rPr>
          <w:rFonts w:ascii="Cambria" w:eastAsia="Calibri" w:hAnsi="Cambria"/>
          <w:sz w:val="21"/>
          <w:szCs w:val="21"/>
          <w:lang w:val="es-ES_tradnl"/>
        </w:rPr>
        <w:t xml:space="preserve">El </w:t>
      </w:r>
      <w:r w:rsidR="00F43BE4" w:rsidRPr="00141F18">
        <w:rPr>
          <w:rFonts w:ascii="Cambria" w:eastAsia="Calibri" w:hAnsi="Cambria"/>
          <w:sz w:val="21"/>
          <w:szCs w:val="21"/>
          <w:lang w:val="es-ES_tradnl"/>
        </w:rPr>
        <w:t>4</w:t>
      </w:r>
      <w:r w:rsidRPr="00141F18">
        <w:rPr>
          <w:rFonts w:ascii="Cambria" w:eastAsia="Calibri" w:hAnsi="Cambria"/>
          <w:sz w:val="21"/>
          <w:szCs w:val="21"/>
          <w:lang w:val="es-ES_tradnl"/>
        </w:rPr>
        <w:t xml:space="preserve"> de </w:t>
      </w:r>
      <w:r w:rsidR="00F43BE4" w:rsidRPr="00141F18">
        <w:rPr>
          <w:rFonts w:ascii="Cambria" w:eastAsia="Calibri" w:hAnsi="Cambria"/>
          <w:sz w:val="21"/>
          <w:szCs w:val="21"/>
          <w:lang w:val="es-ES_tradnl"/>
        </w:rPr>
        <w:t>marzo de 2019</w:t>
      </w:r>
      <w:r w:rsidRPr="00141F18">
        <w:rPr>
          <w:rFonts w:ascii="Cambria" w:eastAsia="Calibri" w:hAnsi="Cambria"/>
          <w:sz w:val="21"/>
          <w:szCs w:val="21"/>
          <w:lang w:val="es-ES_tradnl"/>
        </w:rPr>
        <w:t xml:space="preserve">, la CIDH solicitó información al Estado a fin de que aporte sus observaciones en un plazo de siete días. </w:t>
      </w:r>
      <w:r w:rsidR="00F43BE4" w:rsidRPr="00141F18">
        <w:rPr>
          <w:rFonts w:ascii="Cambria" w:eastAsia="Calibri" w:hAnsi="Cambria"/>
          <w:sz w:val="21"/>
          <w:szCs w:val="21"/>
          <w:lang w:val="es-ES_tradnl"/>
        </w:rPr>
        <w:t xml:space="preserve">Al día de la fecha, no se ha recibido comunicación alguna de su parte. </w:t>
      </w:r>
      <w:r w:rsidR="009A0093" w:rsidRPr="00141F18">
        <w:rPr>
          <w:rFonts w:ascii="Cambria" w:eastAsia="Calibri" w:hAnsi="Cambria"/>
          <w:sz w:val="21"/>
          <w:szCs w:val="21"/>
          <w:lang w:val="es-ES_tradnl"/>
        </w:rPr>
        <w:t xml:space="preserve"> </w:t>
      </w:r>
    </w:p>
    <w:p w:rsidR="009A2D5F" w:rsidRPr="00141F18" w:rsidRDefault="009A2D5F" w:rsidP="00937B2A">
      <w:pPr>
        <w:pStyle w:val="ListParagraph"/>
        <w:ind w:left="360"/>
        <w:jc w:val="both"/>
        <w:rPr>
          <w:rFonts w:ascii="Cambria" w:eastAsia="Calibri" w:hAnsi="Cambria"/>
          <w:b/>
          <w:sz w:val="21"/>
          <w:szCs w:val="21"/>
          <w:lang w:val="es-ES_tradnl"/>
        </w:rPr>
      </w:pPr>
    </w:p>
    <w:p w:rsidR="00D13ED9" w:rsidRPr="00141F18" w:rsidRDefault="00D13ED9" w:rsidP="00A94D9B">
      <w:pPr>
        <w:pStyle w:val="ListParagraph"/>
        <w:numPr>
          <w:ilvl w:val="0"/>
          <w:numId w:val="2"/>
        </w:numPr>
        <w:ind w:left="0" w:firstLine="360"/>
        <w:jc w:val="both"/>
        <w:rPr>
          <w:rFonts w:ascii="Cambria" w:eastAsia="Calibri" w:hAnsi="Cambria"/>
          <w:b/>
          <w:sz w:val="21"/>
          <w:szCs w:val="21"/>
          <w:lang w:val="es-ES_tradnl"/>
        </w:rPr>
      </w:pPr>
      <w:r w:rsidRPr="00141F18">
        <w:rPr>
          <w:rFonts w:ascii="Cambria" w:eastAsia="Calibri" w:hAnsi="Cambria"/>
          <w:b/>
          <w:sz w:val="21"/>
          <w:szCs w:val="21"/>
          <w:lang w:val="es-ES_tradnl"/>
        </w:rPr>
        <w:t>ÁNALISIS DE LOS ELEMENTOS DE GRAVEDAD, URGENCIA E IRREPARABILIDAD</w:t>
      </w:r>
    </w:p>
    <w:p w:rsidR="00D13ED9" w:rsidRPr="00141F18" w:rsidRDefault="00D13ED9" w:rsidP="00A94D9B">
      <w:pPr>
        <w:jc w:val="both"/>
        <w:rPr>
          <w:rFonts w:ascii="Cambria" w:eastAsia="Calibri" w:hAnsi="Cambria"/>
          <w:sz w:val="21"/>
          <w:szCs w:val="21"/>
          <w:lang w:val="es-ES_tradnl"/>
        </w:rPr>
      </w:pPr>
    </w:p>
    <w:p w:rsidR="00733FAD" w:rsidRPr="00141F18" w:rsidRDefault="00733FAD" w:rsidP="00733FAD">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El mecanismo de medidas cautelares forma parte de la función de la Comisión de supervisar el cumplimiento </w:t>
      </w:r>
      <w:r w:rsidRPr="00141F18">
        <w:rPr>
          <w:rFonts w:ascii="Cambria" w:eastAsia="Calibri" w:hAnsi="Cambria" w:cs="Times New Roman"/>
          <w:sz w:val="21"/>
          <w:szCs w:val="21"/>
          <w:lang w:val="es-CO"/>
        </w:rPr>
        <w:t>con</w:t>
      </w:r>
      <w:r w:rsidRPr="00141F18">
        <w:rPr>
          <w:rFonts w:ascii="Cambria" w:eastAsia="Calibri" w:hAnsi="Cambria" w:cs="Times New Roman"/>
          <w:sz w:val="21"/>
          <w:szCs w:val="21"/>
          <w:lang w:val="es-MX"/>
        </w:rPr>
        <w:t xml:space="preserve"> las </w:t>
      </w:r>
      <w:r w:rsidRPr="00141F18">
        <w:rPr>
          <w:rFonts w:ascii="Cambria" w:eastAsia="Calibri" w:hAnsi="Cambria" w:cs="Times New Roman"/>
          <w:sz w:val="21"/>
          <w:szCs w:val="21"/>
          <w:lang w:val="es-CO"/>
        </w:rPr>
        <w:t>obligaciones</w:t>
      </w:r>
      <w:r w:rsidRPr="00141F18">
        <w:rPr>
          <w:rFonts w:ascii="Cambria" w:eastAsia="Calibri" w:hAnsi="Cambria" w:cs="Times New Roman"/>
          <w:sz w:val="21"/>
          <w:szCs w:val="21"/>
          <w:lang w:val="es-MX"/>
        </w:rPr>
        <w:t xml:space="preserve"> de derechos humanos establecidas en el artículo 106 de la Carta de la Organización de Estados Americanos. Estas funciones generales de supervisión están a su vez </w:t>
      </w:r>
      <w:r w:rsidRPr="00141F18">
        <w:rPr>
          <w:rFonts w:ascii="Cambria" w:eastAsia="Calibri" w:hAnsi="Cambria" w:cs="Times New Roman"/>
          <w:sz w:val="21"/>
          <w:szCs w:val="21"/>
          <w:lang w:val="es-ES_tradnl"/>
        </w:rPr>
        <w:t>establecidas</w:t>
      </w:r>
      <w:r w:rsidRPr="00141F18">
        <w:rPr>
          <w:rFonts w:ascii="Cambria" w:eastAsia="Calibri" w:hAnsi="Cambria" w:cs="Times New Roman"/>
          <w:sz w:val="21"/>
          <w:szCs w:val="21"/>
          <w:lang w:val="es-MX"/>
        </w:rPr>
        <w:t xml:space="preserve"> en el artículo 41 (b) de la Convención Americana sobre Derechos Humanos, recogido también en el artículo 18 (b) del Estatuto de la CIDH, mientras que el </w:t>
      </w:r>
      <w:r w:rsidRPr="00141F18">
        <w:rPr>
          <w:rFonts w:ascii="Cambria" w:eastAsia="Calibri" w:hAnsi="Cambria" w:cs="Times New Roman"/>
          <w:sz w:val="21"/>
          <w:szCs w:val="21"/>
          <w:lang w:val="es-US"/>
        </w:rPr>
        <w:t>mecanismo</w:t>
      </w:r>
      <w:r w:rsidRPr="00141F18">
        <w:rPr>
          <w:rFonts w:ascii="Cambria" w:eastAsia="Calibri" w:hAnsi="Cambria" w:cs="Times New Roman"/>
          <w:sz w:val="21"/>
          <w:szCs w:val="21"/>
          <w:lang w:val="es-MX"/>
        </w:rPr>
        <w:t xml:space="preserve"> de medidas cautelares se encuentra descrito en el artículo 25 del Reglamento de la Comisión. De conformidad con ese artículo, la Comisión otorga medidas cautelares en situaciones que son graves y urgentes, y en cuales tales medidas son necesarias para prevenir un daño irreparable. </w:t>
      </w:r>
    </w:p>
    <w:p w:rsidR="00733FAD" w:rsidRPr="00141F18" w:rsidRDefault="00733FAD" w:rsidP="00733FAD">
      <w:pPr>
        <w:jc w:val="both"/>
        <w:rPr>
          <w:rFonts w:ascii="Cambria" w:eastAsia="Calibri" w:hAnsi="Cambria" w:cs="Times New Roman"/>
          <w:sz w:val="21"/>
          <w:szCs w:val="21"/>
          <w:lang w:val="es-MX"/>
        </w:rPr>
      </w:pPr>
    </w:p>
    <w:p w:rsidR="00733FAD" w:rsidRPr="00141F18" w:rsidRDefault="00733FAD" w:rsidP="00733FAD">
      <w:pPr>
        <w:pStyle w:val="ListParagraph"/>
        <w:numPr>
          <w:ilvl w:val="0"/>
          <w:numId w:val="1"/>
        </w:numPr>
        <w:ind w:left="0" w:firstLine="360"/>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La Comisión Interamericana y la Corte Interamericana de Derechos Humanos (“la Corte </w:t>
      </w:r>
      <w:r w:rsidRPr="00141F18">
        <w:rPr>
          <w:rFonts w:ascii="Cambria" w:eastAsia="Times New Roman" w:hAnsi="Cambria" w:cs="Times New Roman"/>
          <w:sz w:val="21"/>
          <w:szCs w:val="21"/>
          <w:lang w:val="es-CO"/>
        </w:rPr>
        <w:t>Interamericana</w:t>
      </w:r>
      <w:r w:rsidRPr="00141F18">
        <w:rPr>
          <w:rFonts w:ascii="Cambria" w:eastAsia="Calibri" w:hAnsi="Cambria" w:cs="Times New Roman"/>
          <w:sz w:val="21"/>
          <w:szCs w:val="21"/>
          <w:lang w:val="es-MX"/>
        </w:rPr>
        <w:t>” o “Corte IDH”) han establecido de manera reiterada que las medidas cautelares y provisionales tienen un doble carácter, uno cautelar y otro tutelar. Respecto del carácter tutelar, las medidas buscan evitar un daño irreparable y preservar el ejercicio de los derechos humanos</w:t>
      </w:r>
      <w:r w:rsidR="00CE6AD9" w:rsidRPr="00141F18">
        <w:rPr>
          <w:rFonts w:ascii="Cambria" w:eastAsia="Calibri" w:hAnsi="Cambria" w:cs="Times New Roman"/>
          <w:sz w:val="21"/>
          <w:szCs w:val="21"/>
          <w:lang w:val="es-MX"/>
        </w:rPr>
        <w:t xml:space="preserve"> consagrados en los diferentes instrumentos que forman parte del sistema interamericano de protección a los derechos humanos</w:t>
      </w:r>
      <w:r w:rsidRPr="00141F18">
        <w:rPr>
          <w:rFonts w:ascii="Cambria" w:eastAsia="Calibri" w:hAnsi="Cambria" w:cs="Times New Roman"/>
          <w:sz w:val="21"/>
          <w:szCs w:val="21"/>
          <w:lang w:val="es-MX"/>
        </w:rPr>
        <w:t xml:space="preserve">. Con respecto al carácter </w:t>
      </w:r>
      <w:r w:rsidRPr="00141F18">
        <w:rPr>
          <w:rFonts w:ascii="Cambria" w:eastAsia="Times New Roman" w:hAnsi="Cambria" w:cs="Times New Roman"/>
          <w:sz w:val="21"/>
          <w:szCs w:val="21"/>
          <w:lang w:val="es-CO"/>
        </w:rPr>
        <w:t>cautelar</w:t>
      </w:r>
      <w:r w:rsidRPr="00141F18">
        <w:rPr>
          <w:rFonts w:ascii="Cambria" w:eastAsia="Calibri" w:hAnsi="Cambria" w:cs="Times New Roman"/>
          <w:sz w:val="21"/>
          <w:szCs w:val="21"/>
          <w:lang w:val="es-MX"/>
        </w:rPr>
        <w:t>,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141F18">
        <w:rPr>
          <w:rFonts w:ascii="Cambria" w:eastAsia="Calibri" w:hAnsi="Cambria" w:cs="Times New Roman"/>
          <w:i/>
          <w:sz w:val="21"/>
          <w:szCs w:val="21"/>
          <w:lang w:val="es-MX"/>
        </w:rPr>
        <w:t>effet utile</w:t>
      </w:r>
      <w:r w:rsidRPr="00141F18">
        <w:rPr>
          <w:rFonts w:ascii="Cambria" w:eastAsia="Calibri" w:hAnsi="Cambria" w:cs="Times New Roman"/>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141F18" w:rsidRDefault="00817419" w:rsidP="00A94D9B">
      <w:pPr>
        <w:ind w:left="360"/>
        <w:jc w:val="both"/>
        <w:rPr>
          <w:rFonts w:ascii="Cambria" w:hAnsi="Cambria"/>
          <w:sz w:val="21"/>
          <w:szCs w:val="21"/>
          <w:lang w:val="es-MX"/>
        </w:rPr>
      </w:pPr>
    </w:p>
    <w:p w:rsidR="00817419" w:rsidRPr="00141F18" w:rsidRDefault="00817419" w:rsidP="00A94D9B">
      <w:pPr>
        <w:numPr>
          <w:ilvl w:val="0"/>
          <w:numId w:val="8"/>
        </w:numPr>
        <w:ind w:right="713"/>
        <w:jc w:val="both"/>
        <w:rPr>
          <w:rFonts w:ascii="Cambria" w:hAnsi="Cambria"/>
          <w:sz w:val="18"/>
          <w:szCs w:val="21"/>
          <w:lang w:val="es-MX"/>
        </w:rPr>
      </w:pPr>
      <w:r w:rsidRPr="00141F18">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141F18" w:rsidRDefault="00817419" w:rsidP="00A94D9B">
      <w:pPr>
        <w:ind w:right="713"/>
        <w:jc w:val="both"/>
        <w:rPr>
          <w:rFonts w:ascii="Cambria" w:hAnsi="Cambria"/>
          <w:sz w:val="18"/>
          <w:szCs w:val="21"/>
          <w:lang w:val="es-MX"/>
        </w:rPr>
      </w:pPr>
    </w:p>
    <w:p w:rsidR="00817419" w:rsidRPr="00141F18" w:rsidRDefault="00817419" w:rsidP="00A94D9B">
      <w:pPr>
        <w:numPr>
          <w:ilvl w:val="0"/>
          <w:numId w:val="8"/>
        </w:numPr>
        <w:ind w:right="713"/>
        <w:jc w:val="both"/>
        <w:rPr>
          <w:rFonts w:ascii="Cambria" w:hAnsi="Cambria"/>
          <w:sz w:val="18"/>
          <w:szCs w:val="21"/>
          <w:lang w:val="es-MX"/>
        </w:rPr>
      </w:pPr>
      <w:r w:rsidRPr="00141F18">
        <w:rPr>
          <w:rFonts w:ascii="Cambria" w:hAnsi="Cambria"/>
          <w:sz w:val="18"/>
          <w:szCs w:val="21"/>
          <w:lang w:val="es-MX"/>
        </w:rPr>
        <w:lastRenderedPageBreak/>
        <w:t xml:space="preserve">La “urgencia de la situación” se determina por medio de la información aportada, indicando el riesgo o la amenaza que puedan ser inminentes y materializarse, requiriendo de esa manera una acción preventiva o tutelar; y </w:t>
      </w:r>
    </w:p>
    <w:p w:rsidR="00817419" w:rsidRPr="00141F18" w:rsidRDefault="00817419" w:rsidP="00A94D9B">
      <w:pPr>
        <w:ind w:right="713"/>
        <w:jc w:val="both"/>
        <w:rPr>
          <w:rFonts w:ascii="Cambria" w:hAnsi="Cambria"/>
          <w:sz w:val="18"/>
          <w:szCs w:val="21"/>
          <w:lang w:val="es-MX"/>
        </w:rPr>
      </w:pPr>
    </w:p>
    <w:p w:rsidR="00817419" w:rsidRPr="00141F18" w:rsidRDefault="00817419" w:rsidP="00A94D9B">
      <w:pPr>
        <w:numPr>
          <w:ilvl w:val="0"/>
          <w:numId w:val="8"/>
        </w:numPr>
        <w:ind w:right="713"/>
        <w:jc w:val="both"/>
        <w:rPr>
          <w:rFonts w:ascii="Cambria" w:hAnsi="Cambria"/>
          <w:sz w:val="18"/>
          <w:szCs w:val="21"/>
          <w:lang w:val="es-MX"/>
        </w:rPr>
      </w:pPr>
      <w:r w:rsidRPr="00141F18">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141F18" w:rsidRDefault="00817419" w:rsidP="00A94D9B">
      <w:pPr>
        <w:jc w:val="both"/>
        <w:rPr>
          <w:rFonts w:ascii="Cambria" w:hAnsi="Cambria"/>
          <w:sz w:val="21"/>
          <w:szCs w:val="21"/>
          <w:lang w:val="es-MX"/>
        </w:rPr>
      </w:pPr>
    </w:p>
    <w:p w:rsidR="004C0B76" w:rsidRPr="00A735DE" w:rsidRDefault="00733FAD" w:rsidP="00717A3A">
      <w:pPr>
        <w:pStyle w:val="ListParagraph"/>
        <w:numPr>
          <w:ilvl w:val="0"/>
          <w:numId w:val="1"/>
        </w:numPr>
        <w:ind w:left="0" w:firstLine="360"/>
        <w:jc w:val="both"/>
        <w:rPr>
          <w:rFonts w:ascii="Cambria" w:eastAsia="Calibri" w:hAnsi="Cambria" w:cs="Times New Roman"/>
          <w:sz w:val="21"/>
          <w:szCs w:val="21"/>
          <w:lang w:val="es-CO"/>
        </w:rPr>
      </w:pPr>
      <w:r w:rsidRPr="00141F18">
        <w:rPr>
          <w:rFonts w:ascii="Cambria" w:eastAsia="Calibri" w:hAnsi="Cambria" w:cs="Times New Roman"/>
          <w:sz w:val="21"/>
          <w:szCs w:val="21"/>
          <w:lang w:val="es-MX"/>
        </w:rPr>
        <w:t xml:space="preserve">En el análisis de los mencionados requisitos, la Comisión reitera que los hechos que motivan una solicitud de medidas cautelares no requieren estar plenamente comprobados. </w:t>
      </w:r>
      <w:r w:rsidRPr="00141F18">
        <w:rPr>
          <w:rFonts w:ascii="Cambria" w:eastAsia="Calibri" w:hAnsi="Cambria" w:cs="Times New Roman"/>
          <w:sz w:val="21"/>
          <w:szCs w:val="21"/>
          <w:lang w:val="es-CO"/>
        </w:rPr>
        <w:t xml:space="preserve">Sin embargo, </w:t>
      </w:r>
      <w:r w:rsidRPr="00141F18">
        <w:rPr>
          <w:rFonts w:ascii="Cambria" w:eastAsia="Calibri" w:hAnsi="Cambria" w:cs="Times New Roman"/>
          <w:sz w:val="21"/>
          <w:szCs w:val="21"/>
          <w:lang w:val="es-ES_tradnl"/>
        </w:rPr>
        <w:t>se requiere un mínimo de detalle e información que permitan apreciar</w:t>
      </w:r>
      <w:r w:rsidR="00622F99" w:rsidRPr="00141F18">
        <w:rPr>
          <w:rFonts w:ascii="Cambria" w:eastAsia="Calibri" w:hAnsi="Cambria" w:cs="Times New Roman"/>
          <w:sz w:val="21"/>
          <w:szCs w:val="21"/>
          <w:lang w:val="es-ES_tradnl"/>
        </w:rPr>
        <w:t xml:space="preserve"> desde el estándar</w:t>
      </w:r>
      <w:r w:rsidRPr="00141F18">
        <w:rPr>
          <w:rFonts w:ascii="Cambria" w:eastAsia="Calibri" w:hAnsi="Cambria" w:cs="Times New Roman"/>
          <w:sz w:val="21"/>
          <w:szCs w:val="21"/>
          <w:lang w:val="es-ES_tradnl"/>
        </w:rPr>
        <w:t xml:space="preserve"> </w:t>
      </w:r>
      <w:r w:rsidRPr="00141F18">
        <w:rPr>
          <w:rFonts w:ascii="Cambria" w:eastAsia="Calibri" w:hAnsi="Cambria" w:cs="Times New Roman"/>
          <w:i/>
          <w:sz w:val="21"/>
          <w:szCs w:val="21"/>
          <w:lang w:val="es-ES_tradnl"/>
        </w:rPr>
        <w:t>prima facie</w:t>
      </w:r>
      <w:r w:rsidRPr="00141F18">
        <w:rPr>
          <w:rFonts w:ascii="Cambria" w:eastAsia="Calibri" w:hAnsi="Cambria" w:cs="Times New Roman"/>
          <w:sz w:val="21"/>
          <w:szCs w:val="21"/>
          <w:lang w:val="es-ES_tradnl"/>
        </w:rPr>
        <w:t xml:space="preserve"> una situación de gravedad y urgencia</w:t>
      </w:r>
      <w:r w:rsidRPr="00141F18">
        <w:rPr>
          <w:rFonts w:ascii="Cambria" w:eastAsia="Calibri" w:hAnsi="Cambria" w:cs="Times New Roman"/>
          <w:sz w:val="21"/>
          <w:szCs w:val="21"/>
          <w:vertAlign w:val="superscript"/>
        </w:rPr>
        <w:footnoteReference w:id="13"/>
      </w:r>
      <w:r w:rsidRPr="00141F18">
        <w:rPr>
          <w:rFonts w:ascii="Cambria" w:eastAsia="Calibri" w:hAnsi="Cambria" w:cs="Times New Roman"/>
          <w:sz w:val="21"/>
          <w:szCs w:val="21"/>
          <w:lang w:val="es-ES_tradnl"/>
        </w:rPr>
        <w:t>.</w:t>
      </w:r>
    </w:p>
    <w:p w:rsidR="00A735DE" w:rsidRPr="00141F18" w:rsidRDefault="00A735DE" w:rsidP="00A735DE">
      <w:pPr>
        <w:pStyle w:val="ListParagraph"/>
        <w:ind w:left="360"/>
        <w:jc w:val="both"/>
        <w:rPr>
          <w:rFonts w:ascii="Cambria" w:eastAsia="Calibri" w:hAnsi="Cambria" w:cs="Times New Roman"/>
          <w:sz w:val="21"/>
          <w:szCs w:val="21"/>
          <w:lang w:val="es-CO"/>
        </w:rPr>
      </w:pPr>
    </w:p>
    <w:p w:rsidR="00AE30C2" w:rsidRPr="00141F18" w:rsidRDefault="004C0B76" w:rsidP="00AE30C2">
      <w:pPr>
        <w:pStyle w:val="ListParagraph"/>
        <w:numPr>
          <w:ilvl w:val="0"/>
          <w:numId w:val="1"/>
        </w:numPr>
        <w:ind w:left="0" w:firstLine="360"/>
        <w:jc w:val="both"/>
        <w:rPr>
          <w:rFonts w:ascii="Cambria" w:eastAsia="Calibri" w:hAnsi="Cambria" w:cs="Times New Roman"/>
          <w:sz w:val="21"/>
          <w:szCs w:val="21"/>
          <w:lang w:val="es-ES_tradnl"/>
        </w:rPr>
      </w:pPr>
      <w:r w:rsidRPr="00141F18">
        <w:rPr>
          <w:rFonts w:ascii="Cambria" w:eastAsia="Calibri" w:hAnsi="Cambria" w:cs="Times New Roman"/>
          <w:sz w:val="21"/>
          <w:szCs w:val="21"/>
          <w:lang w:val="es-CO"/>
        </w:rPr>
        <w:t xml:space="preserve">En relación con el requisito de gravedad, la Comisión </w:t>
      </w:r>
      <w:r w:rsidR="00AE30C2" w:rsidRPr="00141F18">
        <w:rPr>
          <w:rFonts w:ascii="Cambria" w:eastAsia="Calibri" w:hAnsi="Cambria" w:cs="Times New Roman"/>
          <w:sz w:val="21"/>
          <w:szCs w:val="21"/>
          <w:lang w:val="es-ES_tradnl"/>
        </w:rPr>
        <w:t>reitera que, a los efectos de analizar los requisitos reglamentarios para el otorgamiento de una medida cautelar, uno de los elementos al cual deberá prestarse atención es el serio impacto que una acción u omisión puede tener sobre un derecho protegido</w:t>
      </w:r>
      <w:r w:rsidR="00AE30C2" w:rsidRPr="00141F18">
        <w:rPr>
          <w:rStyle w:val="FootnoteReference"/>
          <w:rFonts w:ascii="Cambria" w:eastAsia="Calibri" w:hAnsi="Cambria" w:cs="Times New Roman"/>
          <w:sz w:val="21"/>
          <w:szCs w:val="21"/>
          <w:lang w:val="es-ES_tradnl"/>
        </w:rPr>
        <w:footnoteReference w:id="14"/>
      </w:r>
      <w:r w:rsidR="00717A3A" w:rsidRPr="00141F18">
        <w:rPr>
          <w:rFonts w:ascii="Cambria" w:eastAsia="Calibri" w:hAnsi="Cambria" w:cs="Times New Roman"/>
          <w:sz w:val="21"/>
          <w:szCs w:val="21"/>
          <w:lang w:val="es-ES_tradnl"/>
        </w:rPr>
        <w:t>.</w:t>
      </w:r>
    </w:p>
    <w:p w:rsidR="00AE30C2" w:rsidRPr="00141F18" w:rsidRDefault="00AE30C2" w:rsidP="005D777E">
      <w:pPr>
        <w:pStyle w:val="ListParagraph"/>
        <w:rPr>
          <w:rFonts w:ascii="Cambria" w:eastAsia="Calibri" w:hAnsi="Cambria" w:cs="Times New Roman"/>
          <w:sz w:val="21"/>
          <w:szCs w:val="21"/>
          <w:lang w:val="es-CO"/>
        </w:rPr>
      </w:pPr>
    </w:p>
    <w:p w:rsidR="00141FD3" w:rsidRPr="00141F18" w:rsidRDefault="00AE30C2" w:rsidP="00141FD3">
      <w:pPr>
        <w:pStyle w:val="ListParagraph"/>
        <w:numPr>
          <w:ilvl w:val="0"/>
          <w:numId w:val="1"/>
        </w:numPr>
        <w:ind w:left="0" w:firstLine="360"/>
        <w:jc w:val="both"/>
        <w:rPr>
          <w:rFonts w:ascii="Cambria" w:eastAsia="Calibri" w:hAnsi="Cambria" w:cs="Times New Roman"/>
          <w:sz w:val="21"/>
          <w:szCs w:val="21"/>
          <w:lang w:val="es-ES_tradnl"/>
        </w:rPr>
      </w:pPr>
      <w:r w:rsidRPr="00141F18">
        <w:rPr>
          <w:rFonts w:ascii="Cambria" w:eastAsia="Calibri" w:hAnsi="Cambria" w:cs="Times New Roman"/>
          <w:sz w:val="21"/>
          <w:szCs w:val="21"/>
          <w:lang w:val="es-CO"/>
        </w:rPr>
        <w:t xml:space="preserve">En el presente asunto, la Comisión </w:t>
      </w:r>
      <w:r w:rsidR="004C0B76" w:rsidRPr="00141F18">
        <w:rPr>
          <w:rFonts w:ascii="Cambria" w:eastAsia="Calibri" w:hAnsi="Cambria" w:cs="Times New Roman"/>
          <w:sz w:val="21"/>
          <w:szCs w:val="21"/>
          <w:lang w:val="es-CO"/>
        </w:rPr>
        <w:t xml:space="preserve">observa que </w:t>
      </w:r>
      <w:r w:rsidR="00161E9B" w:rsidRPr="00141F18">
        <w:rPr>
          <w:rFonts w:ascii="Cambria" w:eastAsia="Calibri" w:hAnsi="Cambria" w:cs="Times New Roman"/>
          <w:sz w:val="21"/>
          <w:szCs w:val="21"/>
          <w:lang w:val="es-CO"/>
        </w:rPr>
        <w:t>la alegada situación de riesgo de las</w:t>
      </w:r>
      <w:r w:rsidR="00AA7351" w:rsidRPr="00141F18">
        <w:rPr>
          <w:rFonts w:ascii="Cambria" w:eastAsia="Calibri" w:hAnsi="Cambria" w:cs="Times New Roman"/>
          <w:sz w:val="21"/>
          <w:szCs w:val="21"/>
          <w:lang w:val="es-CO"/>
        </w:rPr>
        <w:t xml:space="preserve"> mujeres</w:t>
      </w:r>
      <w:r w:rsidR="00161E9B" w:rsidRPr="00141F18">
        <w:rPr>
          <w:rFonts w:ascii="Cambria" w:eastAsia="Calibri" w:hAnsi="Cambria" w:cs="Times New Roman"/>
          <w:sz w:val="21"/>
          <w:szCs w:val="21"/>
          <w:lang w:val="es-CO"/>
        </w:rPr>
        <w:t xml:space="preserve"> pacientes en el Hospital se enmarca dentro de un contexto específico, relacionado con una falta de acceso a tratamientos médicos </w:t>
      </w:r>
      <w:r w:rsidR="00935C65" w:rsidRPr="00141F18">
        <w:rPr>
          <w:rFonts w:ascii="Cambria" w:eastAsia="Calibri" w:hAnsi="Cambria" w:cs="Times New Roman"/>
          <w:sz w:val="21"/>
          <w:szCs w:val="21"/>
          <w:lang w:val="es-CO"/>
        </w:rPr>
        <w:t xml:space="preserve">que sólo las mujeres requieren, </w:t>
      </w:r>
      <w:r w:rsidR="00161E9B" w:rsidRPr="00141F18">
        <w:rPr>
          <w:rFonts w:ascii="Cambria" w:eastAsia="Calibri" w:hAnsi="Cambria" w:cs="Times New Roman"/>
          <w:sz w:val="21"/>
          <w:szCs w:val="21"/>
          <w:lang w:val="es-CO"/>
        </w:rPr>
        <w:t>por los motivos que fueron señalados en la solicitud. Aunado a lo anterior, los factores de riesgo enfrentados por las pacientes adquieren una dimensión particular, en cuanto se trata de mujeres embarazadas, parturientas o puérperas, que requieren por ende de una</w:t>
      </w:r>
      <w:r w:rsidR="00AA7351" w:rsidRPr="00141F18">
        <w:rPr>
          <w:rFonts w:ascii="Cambria" w:eastAsia="Calibri" w:hAnsi="Cambria" w:cs="Times New Roman"/>
          <w:sz w:val="21"/>
          <w:szCs w:val="21"/>
          <w:lang w:val="es-CO"/>
        </w:rPr>
        <w:t xml:space="preserve"> protección reforzada y de una</w:t>
      </w:r>
      <w:r w:rsidR="00161E9B" w:rsidRPr="00141F18">
        <w:rPr>
          <w:rFonts w:ascii="Cambria" w:eastAsia="Calibri" w:hAnsi="Cambria" w:cs="Times New Roman"/>
          <w:sz w:val="21"/>
          <w:szCs w:val="21"/>
          <w:lang w:val="es-CO"/>
        </w:rPr>
        <w:t xml:space="preserve"> atención más especializada. </w:t>
      </w:r>
      <w:r w:rsidR="00041F59" w:rsidRPr="00141F18">
        <w:rPr>
          <w:rFonts w:ascii="Cambria" w:eastAsia="Calibri" w:hAnsi="Cambria" w:cs="Times New Roman"/>
          <w:sz w:val="21"/>
          <w:szCs w:val="21"/>
          <w:lang w:val="es-CO"/>
        </w:rPr>
        <w:t xml:space="preserve">En </w:t>
      </w:r>
      <w:r w:rsidR="001928C5" w:rsidRPr="00141F18">
        <w:rPr>
          <w:rFonts w:ascii="Cambria" w:eastAsia="Calibri" w:hAnsi="Cambria" w:cs="Times New Roman"/>
          <w:sz w:val="21"/>
          <w:szCs w:val="21"/>
          <w:lang w:val="es-CO"/>
        </w:rPr>
        <w:t xml:space="preserve">efecto, </w:t>
      </w:r>
      <w:r w:rsidRPr="00141F18">
        <w:rPr>
          <w:rFonts w:ascii="Cambria" w:eastAsia="Calibri" w:hAnsi="Cambria" w:cs="Times New Roman"/>
          <w:sz w:val="21"/>
          <w:szCs w:val="21"/>
          <w:lang w:val="es-CO"/>
        </w:rPr>
        <w:t xml:space="preserve">tal y como lo ha señalado la </w:t>
      </w:r>
      <w:r w:rsidR="001928C5" w:rsidRPr="00141F18">
        <w:rPr>
          <w:rFonts w:ascii="Cambria" w:eastAsia="Calibri" w:hAnsi="Cambria" w:cs="Times New Roman"/>
          <w:sz w:val="21"/>
          <w:szCs w:val="21"/>
          <w:lang w:val="es-CO"/>
        </w:rPr>
        <w:t>Corte Interamericana</w:t>
      </w:r>
      <w:r w:rsidRPr="00141F18">
        <w:rPr>
          <w:rFonts w:ascii="Cambria" w:eastAsia="Calibri" w:hAnsi="Cambria" w:cs="Times New Roman"/>
          <w:sz w:val="21"/>
          <w:szCs w:val="21"/>
          <w:lang w:val="es-CO"/>
        </w:rPr>
        <w:t xml:space="preserve">, la Comisión entiende </w:t>
      </w:r>
      <w:r w:rsidR="001928C5" w:rsidRPr="00141F18">
        <w:rPr>
          <w:rFonts w:ascii="Cambria" w:eastAsia="Calibri" w:hAnsi="Cambria" w:cs="Times New Roman"/>
          <w:sz w:val="21"/>
          <w:szCs w:val="21"/>
          <w:lang w:val="es-CO"/>
        </w:rPr>
        <w:t>que “[…] la salud sexual y reproductiva constituye ciertamente una expresión de la salud que tiene particulares implicancias para las mujeres debido a su capacidad biológica de embarazo y parto”</w:t>
      </w:r>
      <w:r w:rsidR="001928C5" w:rsidRPr="00141F18">
        <w:rPr>
          <w:rStyle w:val="FootnoteReference"/>
          <w:rFonts w:ascii="Cambria" w:eastAsia="Calibri" w:hAnsi="Cambria" w:cs="Times New Roman"/>
          <w:sz w:val="21"/>
          <w:szCs w:val="21"/>
          <w:lang w:val="es-CO"/>
        </w:rPr>
        <w:footnoteReference w:id="15"/>
      </w:r>
      <w:r w:rsidR="001928C5" w:rsidRPr="00141F18">
        <w:rPr>
          <w:rFonts w:ascii="Cambria" w:eastAsia="Calibri" w:hAnsi="Cambria" w:cs="Times New Roman"/>
          <w:sz w:val="21"/>
          <w:szCs w:val="21"/>
          <w:lang w:val="es-CO"/>
        </w:rPr>
        <w:t>.</w:t>
      </w:r>
      <w:r w:rsidR="00041F59" w:rsidRPr="00141F18">
        <w:rPr>
          <w:rFonts w:ascii="Cambria" w:eastAsia="Calibri" w:hAnsi="Cambria" w:cs="Times New Roman"/>
          <w:sz w:val="21"/>
          <w:szCs w:val="21"/>
          <w:lang w:val="es-CO"/>
        </w:rPr>
        <w:t xml:space="preserve"> </w:t>
      </w:r>
      <w:r w:rsidR="005712D5" w:rsidRPr="00141F18">
        <w:rPr>
          <w:rFonts w:ascii="Cambria" w:eastAsia="Calibri" w:hAnsi="Cambria" w:cs="Times New Roman"/>
          <w:sz w:val="21"/>
          <w:szCs w:val="21"/>
          <w:lang w:val="es-CO"/>
        </w:rPr>
        <w:t>Ello requiere</w:t>
      </w:r>
      <w:r w:rsidR="00FE04E2" w:rsidRPr="00141F18">
        <w:rPr>
          <w:rFonts w:ascii="Cambria" w:eastAsia="Calibri" w:hAnsi="Cambria" w:cs="Times New Roman"/>
          <w:sz w:val="21"/>
          <w:szCs w:val="21"/>
          <w:lang w:val="es-CO"/>
        </w:rPr>
        <w:t>,</w:t>
      </w:r>
      <w:r w:rsidR="005712D5" w:rsidRPr="00141F18">
        <w:rPr>
          <w:rFonts w:ascii="Cambria" w:eastAsia="Calibri" w:hAnsi="Cambria" w:cs="Times New Roman"/>
          <w:sz w:val="21"/>
          <w:szCs w:val="21"/>
          <w:lang w:val="es-CO"/>
        </w:rPr>
        <w:t xml:space="preserve"> por lo tanto</w:t>
      </w:r>
      <w:r w:rsidR="00FE04E2" w:rsidRPr="00141F18">
        <w:rPr>
          <w:rFonts w:ascii="Cambria" w:eastAsia="Calibri" w:hAnsi="Cambria" w:cs="Times New Roman"/>
          <w:sz w:val="21"/>
          <w:szCs w:val="21"/>
          <w:lang w:val="es-CO"/>
        </w:rPr>
        <w:t>,</w:t>
      </w:r>
      <w:r w:rsidR="005712D5" w:rsidRPr="00141F18">
        <w:rPr>
          <w:rFonts w:ascii="Cambria" w:eastAsia="Calibri" w:hAnsi="Cambria" w:cs="Times New Roman"/>
          <w:sz w:val="21"/>
          <w:szCs w:val="21"/>
          <w:lang w:val="es-CO"/>
        </w:rPr>
        <w:t xml:space="preserve"> abordar la situación de las propuestas beneficiarias desde una perspectiva que se ajuste a su condición, así como de cara al impacto diferenciado que tendrían sobre ellas los factores de riesgo enfrentados, valoración que la Comisión de hecho ya ha efectuado en el marco de otras situaciones </w:t>
      </w:r>
      <w:r w:rsidR="00FE04E2" w:rsidRPr="00141F18">
        <w:rPr>
          <w:rFonts w:ascii="Cambria" w:eastAsia="Calibri" w:hAnsi="Cambria" w:cs="Times New Roman"/>
          <w:sz w:val="21"/>
          <w:szCs w:val="21"/>
          <w:lang w:val="es-CO"/>
        </w:rPr>
        <w:t>que requieren un análisis diferenciado en vista de las circunstancias</w:t>
      </w:r>
      <w:r w:rsidR="005712D5" w:rsidRPr="00141F18">
        <w:rPr>
          <w:rStyle w:val="FootnoteReference"/>
          <w:rFonts w:ascii="Cambria" w:eastAsia="Calibri" w:hAnsi="Cambria" w:cs="Times New Roman"/>
          <w:sz w:val="21"/>
          <w:szCs w:val="21"/>
          <w:lang w:val="es-CO"/>
        </w:rPr>
        <w:footnoteReference w:id="16"/>
      </w:r>
      <w:r w:rsidR="005712D5" w:rsidRPr="00141F18">
        <w:rPr>
          <w:rFonts w:ascii="Cambria" w:eastAsia="Calibri" w:hAnsi="Cambria" w:cs="Times New Roman"/>
          <w:sz w:val="21"/>
          <w:szCs w:val="21"/>
          <w:lang w:val="es-CO"/>
        </w:rPr>
        <w:t>.</w:t>
      </w:r>
    </w:p>
    <w:p w:rsidR="00141FD3" w:rsidRPr="00141F18" w:rsidRDefault="00141FD3" w:rsidP="00141FD3">
      <w:pPr>
        <w:pStyle w:val="ListParagraph"/>
        <w:ind w:left="360"/>
        <w:jc w:val="both"/>
        <w:rPr>
          <w:rFonts w:ascii="Cambria" w:eastAsia="Calibri" w:hAnsi="Cambria" w:cs="Times New Roman"/>
          <w:sz w:val="21"/>
          <w:szCs w:val="21"/>
          <w:lang w:val="es-ES_tradnl"/>
        </w:rPr>
      </w:pPr>
    </w:p>
    <w:p w:rsidR="00141FD3" w:rsidRPr="00141F18" w:rsidRDefault="00A420D9" w:rsidP="00141FD3">
      <w:pPr>
        <w:pStyle w:val="ListParagraph"/>
        <w:numPr>
          <w:ilvl w:val="0"/>
          <w:numId w:val="1"/>
        </w:numPr>
        <w:ind w:left="0" w:firstLine="360"/>
        <w:jc w:val="both"/>
        <w:rPr>
          <w:rFonts w:ascii="Cambria" w:eastAsia="Calibri" w:hAnsi="Cambria" w:cs="Times New Roman"/>
          <w:sz w:val="21"/>
          <w:szCs w:val="21"/>
          <w:lang w:val="es-ES_tradnl"/>
        </w:rPr>
      </w:pPr>
      <w:r w:rsidRPr="00141F18">
        <w:rPr>
          <w:rFonts w:ascii="Cambria" w:eastAsia="Calibri" w:hAnsi="Cambria" w:cs="Times New Roman"/>
          <w:sz w:val="21"/>
          <w:szCs w:val="21"/>
          <w:lang w:val="es-ES_tradnl"/>
        </w:rPr>
        <w:t xml:space="preserve">Partiendo de estas </w:t>
      </w:r>
      <w:r w:rsidR="005D0F3D" w:rsidRPr="00141F18">
        <w:rPr>
          <w:rFonts w:ascii="Cambria" w:eastAsia="Calibri" w:hAnsi="Cambria" w:cs="Times New Roman"/>
          <w:sz w:val="21"/>
          <w:szCs w:val="21"/>
          <w:lang w:val="es-ES_tradnl"/>
        </w:rPr>
        <w:t>premisas</w:t>
      </w:r>
      <w:r w:rsidRPr="00141F18">
        <w:rPr>
          <w:rFonts w:ascii="Cambria" w:eastAsia="Calibri" w:hAnsi="Cambria" w:cs="Times New Roman"/>
          <w:sz w:val="21"/>
          <w:szCs w:val="21"/>
          <w:lang w:val="es-ES_tradnl"/>
        </w:rPr>
        <w:t xml:space="preserve">, la Comisión </w:t>
      </w:r>
      <w:r w:rsidR="005D0F3D" w:rsidRPr="00141F18">
        <w:rPr>
          <w:rFonts w:ascii="Cambria" w:eastAsia="Calibri" w:hAnsi="Cambria" w:cs="Times New Roman"/>
          <w:sz w:val="21"/>
          <w:szCs w:val="21"/>
          <w:lang w:val="es-ES_tradnl"/>
        </w:rPr>
        <w:t>considera</w:t>
      </w:r>
      <w:r w:rsidRPr="00141F18">
        <w:rPr>
          <w:rFonts w:ascii="Cambria" w:eastAsia="Calibri" w:hAnsi="Cambria" w:cs="Times New Roman"/>
          <w:sz w:val="21"/>
          <w:szCs w:val="21"/>
          <w:lang w:val="es-ES_tradnl"/>
        </w:rPr>
        <w:t xml:space="preserve"> oportuno recordar que</w:t>
      </w:r>
      <w:r w:rsidR="005D0F3D" w:rsidRPr="00141F18">
        <w:rPr>
          <w:rFonts w:ascii="Cambria" w:eastAsia="Calibri" w:hAnsi="Cambria" w:cs="Times New Roman"/>
          <w:sz w:val="21"/>
          <w:szCs w:val="21"/>
          <w:lang w:val="es-ES_tradnl"/>
        </w:rPr>
        <w:t>, bajo</w:t>
      </w:r>
      <w:r w:rsidRPr="00141F18">
        <w:rPr>
          <w:rFonts w:ascii="Cambria" w:eastAsia="Calibri" w:hAnsi="Cambria" w:cs="Times New Roman"/>
          <w:sz w:val="21"/>
          <w:szCs w:val="21"/>
          <w:lang w:val="es-ES_tradnl"/>
        </w:rPr>
        <w:t xml:space="preserve"> Convención de Belém do Pará</w:t>
      </w:r>
      <w:r w:rsidR="005D0F3D" w:rsidRPr="00141F18">
        <w:rPr>
          <w:rFonts w:ascii="Cambria" w:eastAsia="Calibri" w:hAnsi="Cambria" w:cs="Times New Roman"/>
          <w:sz w:val="21"/>
          <w:szCs w:val="21"/>
          <w:lang w:val="es-ES_tradnl"/>
        </w:rPr>
        <w:t>,</w:t>
      </w:r>
      <w:r w:rsidR="00FF3201" w:rsidRPr="00141F18">
        <w:rPr>
          <w:rFonts w:ascii="Cambria" w:eastAsia="Calibri" w:hAnsi="Cambria" w:cs="Times New Roman"/>
          <w:sz w:val="21"/>
          <w:szCs w:val="21"/>
          <w:lang w:val="es-ES_tradnl"/>
        </w:rPr>
        <w:t xml:space="preserve"> invocada por las solicitantes</w:t>
      </w:r>
      <w:r w:rsidR="00CE6AD9" w:rsidRPr="00141F18">
        <w:rPr>
          <w:rFonts w:ascii="Cambria" w:eastAsia="Calibri" w:hAnsi="Cambria" w:cs="Times New Roman"/>
          <w:sz w:val="21"/>
          <w:szCs w:val="21"/>
          <w:lang w:val="es-ES_tradnl"/>
        </w:rPr>
        <w:t xml:space="preserve"> y de la cual el Estado de Venezuela es parte</w:t>
      </w:r>
      <w:r w:rsidR="00FF3201" w:rsidRPr="00141F18">
        <w:rPr>
          <w:rFonts w:ascii="Cambria" w:eastAsia="Calibri" w:hAnsi="Cambria" w:cs="Times New Roman"/>
          <w:sz w:val="21"/>
          <w:szCs w:val="21"/>
          <w:lang w:val="es-ES_tradnl"/>
        </w:rPr>
        <w:t>,</w:t>
      </w:r>
      <w:r w:rsidR="005D0F3D" w:rsidRPr="00141F18">
        <w:rPr>
          <w:rFonts w:ascii="Cambria" w:eastAsia="Calibri" w:hAnsi="Cambria" w:cs="Times New Roman"/>
          <w:sz w:val="21"/>
          <w:szCs w:val="21"/>
          <w:lang w:val="es-ES_tradnl"/>
        </w:rPr>
        <w:t xml:space="preserve"> “[…] debe entenderse por violencia contra la mujer cualquier acción o conducta, basada en su género, que cause muerte, daño o sufrimiento físico, sexual o psicológico a la mujer, tanto en el ámbito público como en el privado”</w:t>
      </w:r>
      <w:r w:rsidR="005D0F3D" w:rsidRPr="00141F18">
        <w:rPr>
          <w:rStyle w:val="FootnoteReference"/>
          <w:rFonts w:ascii="Cambria" w:eastAsia="Calibri" w:hAnsi="Cambria" w:cs="Times New Roman"/>
          <w:sz w:val="21"/>
          <w:szCs w:val="21"/>
          <w:lang w:val="es-ES_tradnl"/>
        </w:rPr>
        <w:footnoteReference w:id="17"/>
      </w:r>
      <w:r w:rsidR="005D0F3D" w:rsidRPr="00141F18">
        <w:rPr>
          <w:rFonts w:ascii="Cambria" w:eastAsia="Calibri" w:hAnsi="Cambria" w:cs="Times New Roman"/>
          <w:sz w:val="21"/>
          <w:szCs w:val="21"/>
          <w:lang w:val="es-ES_tradnl"/>
        </w:rPr>
        <w:t xml:space="preserve">, incluyendo </w:t>
      </w:r>
      <w:r w:rsidR="00F47C21" w:rsidRPr="00141F18">
        <w:rPr>
          <w:rFonts w:ascii="Cambria" w:eastAsia="Calibri" w:hAnsi="Cambria" w:cs="Times New Roman"/>
          <w:sz w:val="21"/>
          <w:szCs w:val="21"/>
          <w:lang w:val="es-ES_tradnl"/>
        </w:rPr>
        <w:t xml:space="preserve">en </w:t>
      </w:r>
      <w:r w:rsidR="005D0F3D" w:rsidRPr="00141F18">
        <w:rPr>
          <w:rFonts w:ascii="Cambria" w:eastAsia="Calibri" w:hAnsi="Cambria" w:cs="Times New Roman"/>
          <w:sz w:val="21"/>
          <w:szCs w:val="21"/>
          <w:lang w:val="es-ES_tradnl"/>
        </w:rPr>
        <w:t xml:space="preserve">aquellas situaciones en las que la violencia </w:t>
      </w:r>
      <w:r w:rsidR="00F47C21" w:rsidRPr="00141F18">
        <w:rPr>
          <w:rFonts w:ascii="Cambria" w:eastAsia="Calibri" w:hAnsi="Cambria" w:cs="Times New Roman"/>
          <w:sz w:val="21"/>
          <w:szCs w:val="21"/>
          <w:lang w:val="es-ES_tradnl"/>
        </w:rPr>
        <w:t>sea perpetra</w:t>
      </w:r>
      <w:r w:rsidR="00AA7351" w:rsidRPr="00141F18">
        <w:rPr>
          <w:rFonts w:ascii="Cambria" w:eastAsia="Calibri" w:hAnsi="Cambria" w:cs="Times New Roman"/>
          <w:sz w:val="21"/>
          <w:szCs w:val="21"/>
          <w:lang w:val="es-ES_tradnl"/>
        </w:rPr>
        <w:t>d</w:t>
      </w:r>
      <w:r w:rsidR="00F47C21" w:rsidRPr="00141F18">
        <w:rPr>
          <w:rFonts w:ascii="Cambria" w:eastAsia="Calibri" w:hAnsi="Cambria" w:cs="Times New Roman"/>
          <w:sz w:val="21"/>
          <w:szCs w:val="21"/>
          <w:lang w:val="es-ES_tradnl"/>
        </w:rPr>
        <w:t xml:space="preserve">a por cualquier persona y </w:t>
      </w:r>
      <w:r w:rsidR="005D0F3D" w:rsidRPr="00141F18">
        <w:rPr>
          <w:rFonts w:ascii="Cambria" w:eastAsia="Calibri" w:hAnsi="Cambria" w:cs="Times New Roman"/>
          <w:sz w:val="21"/>
          <w:szCs w:val="21"/>
          <w:lang w:val="es-ES_tradnl"/>
        </w:rPr>
        <w:t>se dé en un establecimiento de salud</w:t>
      </w:r>
      <w:r w:rsidR="005D0F3D" w:rsidRPr="00141F18">
        <w:rPr>
          <w:rStyle w:val="FootnoteReference"/>
          <w:rFonts w:ascii="Cambria" w:eastAsia="Calibri" w:hAnsi="Cambria" w:cs="Times New Roman"/>
          <w:sz w:val="21"/>
          <w:szCs w:val="21"/>
          <w:lang w:val="es-ES_tradnl"/>
        </w:rPr>
        <w:footnoteReference w:id="18"/>
      </w:r>
      <w:r w:rsidR="005D0F3D" w:rsidRPr="00141F18">
        <w:rPr>
          <w:rFonts w:ascii="Cambria" w:eastAsia="Calibri" w:hAnsi="Cambria" w:cs="Times New Roman"/>
          <w:sz w:val="21"/>
          <w:szCs w:val="21"/>
          <w:lang w:val="es-ES_tradnl"/>
        </w:rPr>
        <w:t>.</w:t>
      </w:r>
      <w:r w:rsidR="00141FD3" w:rsidRPr="00141F18">
        <w:rPr>
          <w:rFonts w:ascii="Cambria" w:eastAsia="Calibri" w:hAnsi="Cambria" w:cs="Times New Roman"/>
          <w:sz w:val="21"/>
          <w:szCs w:val="21"/>
          <w:lang w:val="es-ES_tradnl"/>
        </w:rPr>
        <w:t xml:space="preserve"> </w:t>
      </w:r>
      <w:r w:rsidR="00CE6AD9" w:rsidRPr="00141F18">
        <w:rPr>
          <w:rFonts w:ascii="Cambria" w:eastAsia="Calibri" w:hAnsi="Cambria" w:cs="Times New Roman"/>
          <w:sz w:val="21"/>
          <w:szCs w:val="21"/>
          <w:lang w:val="es-ES_tradnl"/>
        </w:rPr>
        <w:t>De conformidad con la citada Convención,</w:t>
      </w:r>
      <w:r w:rsidR="00141FD3" w:rsidRPr="00141F18">
        <w:rPr>
          <w:rFonts w:ascii="Cambria" w:eastAsia="Calibri" w:hAnsi="Cambria" w:cs="Times New Roman"/>
          <w:sz w:val="21"/>
          <w:szCs w:val="21"/>
          <w:lang w:val="es-ES_tradnl"/>
        </w:rPr>
        <w:t xml:space="preserve"> los Estados tienen el deber de adoptar, por todos los medios apropiados y sin dilaciones, políticas orientadas a </w:t>
      </w:r>
      <w:r w:rsidR="00141FD3" w:rsidRPr="00141F18">
        <w:rPr>
          <w:rFonts w:ascii="Cambria" w:eastAsia="Calibri" w:hAnsi="Cambria" w:cs="Times New Roman"/>
          <w:sz w:val="21"/>
          <w:szCs w:val="21"/>
          <w:lang w:val="es-ES_tradnl"/>
        </w:rPr>
        <w:lastRenderedPageBreak/>
        <w:t>prevenir, sancionar y erradicar dicha violencia</w:t>
      </w:r>
      <w:r w:rsidR="00141FD3" w:rsidRPr="00141F18">
        <w:rPr>
          <w:rStyle w:val="FootnoteReference"/>
          <w:rFonts w:ascii="Cambria" w:eastAsia="Calibri" w:hAnsi="Cambria" w:cs="Times New Roman"/>
          <w:sz w:val="21"/>
          <w:szCs w:val="21"/>
          <w:lang w:val="es-ES_tradnl"/>
        </w:rPr>
        <w:footnoteReference w:id="19"/>
      </w:r>
      <w:r w:rsidR="00141FD3" w:rsidRPr="00141F18">
        <w:rPr>
          <w:rFonts w:ascii="Cambria" w:eastAsia="Calibri" w:hAnsi="Cambria" w:cs="Times New Roman"/>
          <w:sz w:val="21"/>
          <w:szCs w:val="21"/>
          <w:lang w:val="es-ES_tradnl"/>
        </w:rPr>
        <w:t>, teniendo especialmente en cuenta situaciones de vulnerabilidad, como en el caso de una mujer embarazada</w:t>
      </w:r>
      <w:r w:rsidR="00141FD3" w:rsidRPr="00141F18">
        <w:rPr>
          <w:rStyle w:val="FootnoteReference"/>
          <w:rFonts w:ascii="Cambria" w:eastAsia="Calibri" w:hAnsi="Cambria" w:cs="Times New Roman"/>
          <w:sz w:val="21"/>
          <w:szCs w:val="21"/>
          <w:lang w:val="es-ES_tradnl"/>
        </w:rPr>
        <w:footnoteReference w:id="20"/>
      </w:r>
      <w:r w:rsidR="00141FD3" w:rsidRPr="00141F18">
        <w:rPr>
          <w:rFonts w:ascii="Cambria" w:eastAsia="Calibri" w:hAnsi="Cambria" w:cs="Times New Roman"/>
          <w:sz w:val="21"/>
          <w:szCs w:val="21"/>
          <w:lang w:val="es-ES_tradnl"/>
        </w:rPr>
        <w:t xml:space="preserve">. </w:t>
      </w:r>
      <w:r w:rsidR="005D0F3D" w:rsidRPr="00141F18">
        <w:rPr>
          <w:rFonts w:ascii="Cambria" w:eastAsia="Calibri" w:hAnsi="Cambria" w:cs="Times New Roman"/>
          <w:sz w:val="21"/>
          <w:szCs w:val="21"/>
          <w:lang w:val="es-ES_tradnl"/>
        </w:rPr>
        <w:t xml:space="preserve"> </w:t>
      </w:r>
    </w:p>
    <w:p w:rsidR="00CE6AD9" w:rsidRPr="00141F18" w:rsidRDefault="00CE6AD9" w:rsidP="005D777E">
      <w:pPr>
        <w:pStyle w:val="ListParagraph"/>
        <w:rPr>
          <w:rFonts w:ascii="Cambria" w:eastAsia="Calibri" w:hAnsi="Cambria" w:cs="Times New Roman"/>
          <w:sz w:val="21"/>
          <w:szCs w:val="21"/>
          <w:lang w:val="es-ES_tradnl"/>
        </w:rPr>
      </w:pPr>
    </w:p>
    <w:p w:rsidR="00CE6AD9" w:rsidRPr="00141F18" w:rsidRDefault="00CE6AD9" w:rsidP="00141FD3">
      <w:pPr>
        <w:pStyle w:val="ListParagraph"/>
        <w:numPr>
          <w:ilvl w:val="0"/>
          <w:numId w:val="1"/>
        </w:numPr>
        <w:ind w:left="0" w:firstLine="360"/>
        <w:jc w:val="both"/>
        <w:rPr>
          <w:rFonts w:ascii="Cambria" w:eastAsia="Calibri" w:hAnsi="Cambria" w:cs="Times New Roman"/>
          <w:sz w:val="21"/>
          <w:szCs w:val="21"/>
          <w:lang w:val="es-ES_tradnl"/>
        </w:rPr>
      </w:pPr>
      <w:r w:rsidRPr="00141F18">
        <w:rPr>
          <w:rFonts w:ascii="Cambria" w:eastAsia="Calibri" w:hAnsi="Cambria" w:cs="Times New Roman"/>
          <w:sz w:val="21"/>
          <w:szCs w:val="21"/>
          <w:lang w:val="es-CO"/>
        </w:rPr>
        <w:t xml:space="preserve">Según lo ha señalado la Comisión, “[e]l </w:t>
      </w:r>
      <w:r w:rsidRPr="00141F18">
        <w:rPr>
          <w:rFonts w:ascii="Cambria" w:eastAsia="Calibri" w:hAnsi="Cambria" w:cs="Times New Roman"/>
          <w:sz w:val="21"/>
          <w:szCs w:val="21"/>
          <w:lang w:val="es-ES_tradnl"/>
        </w:rPr>
        <w:t>derecho a la integridad personal en el ámbito de la salud guarda una estrecha relación con el derecho a la salud dado que la provisión de servicios adecuados y oportunos de salud materna es una de las medidas principales para garantizar el derecho a la integridad personal de las mujeres”</w:t>
      </w:r>
      <w:r w:rsidRPr="00141F18">
        <w:rPr>
          <w:rStyle w:val="FootnoteReference"/>
          <w:rFonts w:ascii="Cambria" w:eastAsia="Calibri" w:hAnsi="Cambria" w:cs="Times New Roman"/>
          <w:sz w:val="21"/>
          <w:szCs w:val="21"/>
          <w:lang w:val="es-ES_tradnl"/>
        </w:rPr>
        <w:footnoteReference w:id="21"/>
      </w:r>
      <w:r w:rsidRPr="00141F18">
        <w:rPr>
          <w:rFonts w:ascii="Cambria" w:eastAsia="Calibri" w:hAnsi="Cambria" w:cs="Times New Roman"/>
          <w:sz w:val="21"/>
          <w:szCs w:val="21"/>
          <w:lang w:val="es-ES_tradnl"/>
        </w:rPr>
        <w:t>.  En esta línea, señaló que “[b]ajo el sistema interamericano, las barreras en el acceso a servicios de salud materna se pueden traducir en la afectación al derecho a la integridad física, psíquica, y moral de las mujeres”</w:t>
      </w:r>
      <w:r w:rsidRPr="00141F18">
        <w:rPr>
          <w:rStyle w:val="FootnoteReference"/>
          <w:rFonts w:ascii="Cambria" w:eastAsia="Calibri" w:hAnsi="Cambria" w:cs="Times New Roman"/>
          <w:sz w:val="21"/>
          <w:szCs w:val="21"/>
          <w:lang w:val="es-ES_tradnl"/>
        </w:rPr>
        <w:footnoteReference w:id="22"/>
      </w:r>
      <w:r w:rsidRPr="00141F18">
        <w:rPr>
          <w:rFonts w:ascii="Cambria" w:eastAsia="Calibri" w:hAnsi="Cambria" w:cs="Times New Roman"/>
          <w:sz w:val="21"/>
          <w:szCs w:val="21"/>
          <w:lang w:val="es-ES_tradnl"/>
        </w:rPr>
        <w:t>.</w:t>
      </w:r>
    </w:p>
    <w:p w:rsidR="00141FD3" w:rsidRPr="00141F18" w:rsidRDefault="00141FD3" w:rsidP="00141FD3">
      <w:pPr>
        <w:pStyle w:val="ListParagraph"/>
        <w:ind w:left="360"/>
        <w:jc w:val="both"/>
        <w:rPr>
          <w:rFonts w:ascii="Cambria" w:eastAsia="Calibri" w:hAnsi="Cambria" w:cs="Times New Roman"/>
          <w:sz w:val="21"/>
          <w:szCs w:val="21"/>
          <w:lang w:val="es-ES_tradnl"/>
        </w:rPr>
      </w:pPr>
    </w:p>
    <w:p w:rsidR="00F6199E" w:rsidRPr="00141F18" w:rsidRDefault="00AE30C2" w:rsidP="005D777E">
      <w:pPr>
        <w:pStyle w:val="ListParagraph"/>
        <w:numPr>
          <w:ilvl w:val="0"/>
          <w:numId w:val="1"/>
        </w:numPr>
        <w:ind w:left="0" w:firstLine="360"/>
        <w:jc w:val="both"/>
        <w:rPr>
          <w:rFonts w:ascii="Cambria" w:eastAsia="Calibri" w:hAnsi="Cambria" w:cs="Times New Roman"/>
          <w:sz w:val="21"/>
          <w:szCs w:val="21"/>
          <w:lang w:val="es-ES_tradnl"/>
        </w:rPr>
      </w:pPr>
      <w:r w:rsidRPr="00141F18">
        <w:rPr>
          <w:rFonts w:ascii="Cambria" w:eastAsia="Calibri" w:hAnsi="Cambria" w:cs="Times New Roman"/>
          <w:sz w:val="21"/>
          <w:szCs w:val="21"/>
          <w:lang w:val="es-ES_tradnl"/>
        </w:rPr>
        <w:t xml:space="preserve">Tomando en cuenta estos elementos en su conjunto, </w:t>
      </w:r>
      <w:r w:rsidR="00CD26ED" w:rsidRPr="00141F18">
        <w:rPr>
          <w:rFonts w:ascii="Cambria" w:eastAsia="Calibri" w:hAnsi="Cambria" w:cs="Times New Roman"/>
          <w:sz w:val="21"/>
          <w:szCs w:val="21"/>
          <w:lang w:val="es-ES_tradnl"/>
        </w:rPr>
        <w:t xml:space="preserve">la Comisión estima necesario señalar que, </w:t>
      </w:r>
      <w:r w:rsidRPr="00141F18">
        <w:rPr>
          <w:rFonts w:ascii="Cambria" w:eastAsia="Calibri" w:hAnsi="Cambria" w:cs="Times New Roman"/>
          <w:sz w:val="21"/>
          <w:szCs w:val="21"/>
          <w:lang w:val="es-ES_tradnl"/>
        </w:rPr>
        <w:t>al</w:t>
      </w:r>
      <w:r w:rsidR="00CD26ED" w:rsidRPr="00141F18">
        <w:rPr>
          <w:rFonts w:ascii="Cambria" w:eastAsia="Calibri" w:hAnsi="Cambria" w:cs="Times New Roman"/>
          <w:sz w:val="21"/>
          <w:szCs w:val="21"/>
          <w:lang w:val="es-ES_tradnl"/>
        </w:rPr>
        <w:t xml:space="preserve"> momento de</w:t>
      </w:r>
      <w:r w:rsidRPr="00141F18">
        <w:rPr>
          <w:rFonts w:ascii="Cambria" w:eastAsia="Calibri" w:hAnsi="Cambria" w:cs="Times New Roman"/>
          <w:sz w:val="21"/>
          <w:szCs w:val="21"/>
          <w:lang w:val="es-ES_tradnl"/>
        </w:rPr>
        <w:t xml:space="preserve"> determinar la situación de riesgo </w:t>
      </w:r>
      <w:r w:rsidR="003E0DC8" w:rsidRPr="00141F18">
        <w:rPr>
          <w:rFonts w:ascii="Cambria" w:eastAsia="Calibri" w:hAnsi="Cambria" w:cs="Times New Roman"/>
          <w:sz w:val="21"/>
          <w:szCs w:val="21"/>
          <w:lang w:val="es-ES_tradnl"/>
        </w:rPr>
        <w:t xml:space="preserve">para la salud, vida e integridad personal </w:t>
      </w:r>
      <w:r w:rsidRPr="00141F18">
        <w:rPr>
          <w:rFonts w:ascii="Cambria" w:eastAsia="Calibri" w:hAnsi="Cambria" w:cs="Times New Roman"/>
          <w:sz w:val="21"/>
          <w:szCs w:val="21"/>
          <w:lang w:val="es-ES_tradnl"/>
        </w:rPr>
        <w:t xml:space="preserve">de las mujeres propuestas </w:t>
      </w:r>
      <w:r w:rsidR="00DE5A4D" w:rsidRPr="00141F18">
        <w:rPr>
          <w:rFonts w:ascii="Cambria" w:eastAsia="Calibri" w:hAnsi="Cambria" w:cs="Times New Roman"/>
          <w:sz w:val="21"/>
          <w:szCs w:val="21"/>
          <w:lang w:val="es-ES_tradnl"/>
        </w:rPr>
        <w:t xml:space="preserve">como </w:t>
      </w:r>
      <w:r w:rsidR="00CD26ED" w:rsidRPr="00141F18">
        <w:rPr>
          <w:rFonts w:ascii="Cambria" w:eastAsia="Calibri" w:hAnsi="Cambria" w:cs="Times New Roman"/>
          <w:sz w:val="21"/>
          <w:szCs w:val="21"/>
          <w:lang w:val="es-ES_tradnl"/>
        </w:rPr>
        <w:t xml:space="preserve">beneficiarias, </w:t>
      </w:r>
      <w:r w:rsidR="003E0DC8" w:rsidRPr="00141F18">
        <w:rPr>
          <w:rFonts w:ascii="Cambria" w:eastAsia="Calibri" w:hAnsi="Cambria" w:cs="Times New Roman"/>
          <w:sz w:val="21"/>
          <w:szCs w:val="21"/>
          <w:lang w:val="es-ES_tradnl"/>
        </w:rPr>
        <w:t xml:space="preserve">ésta </w:t>
      </w:r>
      <w:r w:rsidR="00CD26ED" w:rsidRPr="00141F18">
        <w:rPr>
          <w:rFonts w:ascii="Cambria" w:eastAsia="Calibri" w:hAnsi="Cambria" w:cs="Times New Roman"/>
          <w:sz w:val="21"/>
          <w:szCs w:val="21"/>
          <w:lang w:val="es-ES_tradnl"/>
        </w:rPr>
        <w:t xml:space="preserve">no solo debe </w:t>
      </w:r>
      <w:r w:rsidR="00DE5A4D" w:rsidRPr="00141F18">
        <w:rPr>
          <w:rFonts w:ascii="Cambria" w:eastAsia="Calibri" w:hAnsi="Cambria" w:cs="Times New Roman"/>
          <w:sz w:val="21"/>
          <w:szCs w:val="21"/>
          <w:lang w:val="es-ES_tradnl"/>
        </w:rPr>
        <w:t>analiza</w:t>
      </w:r>
      <w:r w:rsidR="00CD26ED" w:rsidRPr="00141F18">
        <w:rPr>
          <w:rFonts w:ascii="Cambria" w:eastAsia="Calibri" w:hAnsi="Cambria" w:cs="Times New Roman"/>
          <w:sz w:val="21"/>
          <w:szCs w:val="21"/>
          <w:lang w:val="es-ES_tradnl"/>
        </w:rPr>
        <w:t>rse</w:t>
      </w:r>
      <w:r w:rsidR="00F6199E" w:rsidRPr="00141F18">
        <w:rPr>
          <w:rFonts w:ascii="Cambria" w:eastAsia="Calibri" w:hAnsi="Cambria" w:cs="Times New Roman"/>
          <w:sz w:val="21"/>
          <w:szCs w:val="21"/>
          <w:lang w:val="es-ES_tradnl"/>
        </w:rPr>
        <w:t xml:space="preserve"> </w:t>
      </w:r>
      <w:r w:rsidR="00CD26ED" w:rsidRPr="00141F18">
        <w:rPr>
          <w:rFonts w:ascii="Cambria" w:eastAsia="Calibri" w:hAnsi="Cambria" w:cs="Times New Roman"/>
          <w:sz w:val="21"/>
          <w:szCs w:val="21"/>
          <w:lang w:val="es-ES_tradnl"/>
        </w:rPr>
        <w:t>en s</w:t>
      </w:r>
      <w:r w:rsidR="003E0DC8" w:rsidRPr="00141F18">
        <w:rPr>
          <w:rFonts w:ascii="Cambria" w:eastAsia="Calibri" w:hAnsi="Cambria" w:cs="Times New Roman"/>
          <w:sz w:val="21"/>
          <w:szCs w:val="21"/>
          <w:lang w:val="es-ES_tradnl"/>
        </w:rPr>
        <w:t>í misma</w:t>
      </w:r>
      <w:r w:rsidR="00CD26ED" w:rsidRPr="00141F18">
        <w:rPr>
          <w:rFonts w:ascii="Cambria" w:eastAsia="Calibri" w:hAnsi="Cambria" w:cs="Times New Roman"/>
          <w:sz w:val="21"/>
          <w:szCs w:val="21"/>
          <w:lang w:val="es-ES_tradnl"/>
        </w:rPr>
        <w:t xml:space="preserve">, sino también </w:t>
      </w:r>
      <w:r w:rsidR="003E0DC8" w:rsidRPr="00141F18">
        <w:rPr>
          <w:rFonts w:ascii="Cambria" w:eastAsia="Calibri" w:hAnsi="Cambria" w:cs="Times New Roman"/>
          <w:sz w:val="21"/>
          <w:szCs w:val="21"/>
          <w:lang w:val="es-ES_tradnl"/>
        </w:rPr>
        <w:t xml:space="preserve">sumando </w:t>
      </w:r>
      <w:r w:rsidR="00CD26ED" w:rsidRPr="00141F18">
        <w:rPr>
          <w:rFonts w:ascii="Cambria" w:eastAsia="Calibri" w:hAnsi="Cambria" w:cs="Times New Roman"/>
          <w:sz w:val="21"/>
          <w:szCs w:val="21"/>
          <w:lang w:val="es-ES_tradnl"/>
        </w:rPr>
        <w:t>l</w:t>
      </w:r>
      <w:r w:rsidR="003E0DC8" w:rsidRPr="00141F18">
        <w:rPr>
          <w:rFonts w:ascii="Cambria" w:eastAsia="Calibri" w:hAnsi="Cambria" w:cs="Times New Roman"/>
          <w:sz w:val="21"/>
          <w:szCs w:val="21"/>
          <w:lang w:val="es-ES_tradnl"/>
        </w:rPr>
        <w:t>a dimensión del</w:t>
      </w:r>
      <w:r w:rsidR="00CD26ED" w:rsidRPr="00141F18">
        <w:rPr>
          <w:rFonts w:ascii="Cambria" w:eastAsia="Calibri" w:hAnsi="Cambria" w:cs="Times New Roman"/>
          <w:sz w:val="21"/>
          <w:szCs w:val="21"/>
          <w:lang w:val="es-ES_tradnl"/>
        </w:rPr>
        <w:t xml:space="preserve"> impacto diferenciado</w:t>
      </w:r>
      <w:r w:rsidR="003E0DC8" w:rsidRPr="00141F18">
        <w:rPr>
          <w:rFonts w:ascii="Cambria" w:eastAsia="Calibri" w:hAnsi="Cambria" w:cs="Times New Roman"/>
          <w:sz w:val="21"/>
          <w:szCs w:val="21"/>
          <w:lang w:val="es-ES_tradnl"/>
        </w:rPr>
        <w:t>, permitiendo así una valoración integral</w:t>
      </w:r>
      <w:r w:rsidR="00B23C1F" w:rsidRPr="00141F18">
        <w:rPr>
          <w:rFonts w:ascii="Cambria" w:eastAsia="Calibri" w:hAnsi="Cambria" w:cs="Times New Roman"/>
          <w:sz w:val="21"/>
          <w:szCs w:val="21"/>
          <w:lang w:val="es-ES_tradnl"/>
        </w:rPr>
        <w:t xml:space="preserve">. </w:t>
      </w:r>
      <w:r w:rsidR="00CD26ED" w:rsidRPr="00141F18">
        <w:rPr>
          <w:rFonts w:ascii="Cambria" w:eastAsia="Calibri" w:hAnsi="Cambria" w:cs="Times New Roman"/>
          <w:sz w:val="21"/>
          <w:szCs w:val="21"/>
          <w:lang w:val="es-ES_tradnl"/>
        </w:rPr>
        <w:t xml:space="preserve">En efecto, de conformidad con la referida Convención de Belém do Pará, </w:t>
      </w:r>
      <w:r w:rsidR="003E0DC8" w:rsidRPr="00141F18">
        <w:rPr>
          <w:rFonts w:ascii="Cambria" w:eastAsia="Calibri" w:hAnsi="Cambria" w:cs="Times New Roman"/>
          <w:sz w:val="21"/>
          <w:szCs w:val="21"/>
          <w:lang w:val="es-ES_tradnl"/>
        </w:rPr>
        <w:t xml:space="preserve">ello implica reconocer que </w:t>
      </w:r>
      <w:r w:rsidR="00B816DC" w:rsidRPr="00141F18">
        <w:rPr>
          <w:rFonts w:ascii="Cambria" w:eastAsia="Calibri" w:hAnsi="Cambria" w:cs="Times New Roman"/>
          <w:sz w:val="21"/>
          <w:szCs w:val="21"/>
          <w:lang w:val="es-ES_tradnl"/>
        </w:rPr>
        <w:t>las graves barreras para acceder a un tratamiento médico adecuado y oportuno supone una forma más de violencia contra la mujer, caracterizada por el impacto diferenciado que precisamente se produce con base en su género o por su sola condición de mujer, reflejo de la discriminación a la cual ha sido históricamente sometida.</w:t>
      </w:r>
      <w:r w:rsidR="003E0DC8" w:rsidRPr="00141F18">
        <w:rPr>
          <w:rFonts w:ascii="Cambria" w:eastAsia="Calibri" w:hAnsi="Cambria" w:cs="Times New Roman"/>
          <w:sz w:val="21"/>
          <w:szCs w:val="21"/>
          <w:lang w:val="es-ES_tradnl"/>
        </w:rPr>
        <w:t xml:space="preserve"> </w:t>
      </w:r>
      <w:r w:rsidR="00F6199E" w:rsidRPr="00141F18">
        <w:rPr>
          <w:rFonts w:ascii="Cambria" w:eastAsia="Calibri" w:hAnsi="Cambria" w:cs="Times New Roman"/>
          <w:sz w:val="21"/>
          <w:szCs w:val="21"/>
          <w:lang w:val="es-ES_tradnl"/>
        </w:rPr>
        <w:t>En efecto, la CIDH ha considerado a</w:t>
      </w:r>
      <w:r w:rsidR="00FF3201" w:rsidRPr="00141F18">
        <w:rPr>
          <w:rFonts w:ascii="Cambria" w:eastAsia="Calibri" w:hAnsi="Cambria" w:cs="Times New Roman"/>
          <w:sz w:val="21"/>
          <w:szCs w:val="21"/>
          <w:lang w:val="es-ES_tradnl"/>
        </w:rPr>
        <w:t xml:space="preserve"> su vez</w:t>
      </w:r>
      <w:r w:rsidR="00F6199E" w:rsidRPr="00141F18">
        <w:rPr>
          <w:rFonts w:ascii="Cambria" w:eastAsia="Calibri" w:hAnsi="Cambria" w:cs="Times New Roman"/>
          <w:sz w:val="21"/>
          <w:szCs w:val="21"/>
          <w:lang w:val="es-ES_tradnl"/>
        </w:rPr>
        <w:t xml:space="preserve"> que la falta de medidas positivas para garantizar tanto la accesibilidad a los servicios de salud materna, así como para garantizar todas las características del derecho a la salud</w:t>
      </w:r>
      <w:r w:rsidR="00B816DC" w:rsidRPr="00141F18">
        <w:rPr>
          <w:rFonts w:ascii="Cambria" w:eastAsia="Calibri" w:hAnsi="Cambria" w:cs="Times New Roman"/>
          <w:sz w:val="21"/>
          <w:szCs w:val="21"/>
          <w:lang w:val="es-ES_tradnl"/>
        </w:rPr>
        <w:t>,</w:t>
      </w:r>
      <w:r w:rsidR="00F6199E" w:rsidRPr="00141F18">
        <w:rPr>
          <w:rFonts w:ascii="Cambria" w:eastAsia="Calibri" w:hAnsi="Cambria" w:cs="Times New Roman"/>
          <w:sz w:val="21"/>
          <w:szCs w:val="21"/>
          <w:lang w:val="es-ES_tradnl"/>
        </w:rPr>
        <w:t xml:space="preserve"> </w:t>
      </w:r>
      <w:r w:rsidR="00B816DC" w:rsidRPr="00141F18">
        <w:rPr>
          <w:rFonts w:ascii="Cambria" w:eastAsia="Calibri" w:hAnsi="Cambria" w:cs="Times New Roman"/>
          <w:sz w:val="21"/>
          <w:szCs w:val="21"/>
          <w:lang w:val="es-ES_tradnl"/>
        </w:rPr>
        <w:t xml:space="preserve">pueden </w:t>
      </w:r>
      <w:r w:rsidR="00FF3201" w:rsidRPr="00141F18">
        <w:rPr>
          <w:rFonts w:ascii="Cambria" w:eastAsia="Calibri" w:hAnsi="Cambria" w:cs="Times New Roman"/>
          <w:sz w:val="21"/>
          <w:szCs w:val="21"/>
          <w:lang w:val="es-ES_tradnl"/>
        </w:rPr>
        <w:t xml:space="preserve">además </w:t>
      </w:r>
      <w:r w:rsidR="00B816DC" w:rsidRPr="00141F18">
        <w:rPr>
          <w:rFonts w:ascii="Cambria" w:eastAsia="Calibri" w:hAnsi="Cambria" w:cs="Times New Roman"/>
          <w:sz w:val="21"/>
          <w:szCs w:val="21"/>
          <w:lang w:val="es-ES_tradnl"/>
        </w:rPr>
        <w:t xml:space="preserve">repercutir en una afectación al </w:t>
      </w:r>
      <w:r w:rsidR="00F6199E" w:rsidRPr="00141F18">
        <w:rPr>
          <w:rFonts w:ascii="Cambria" w:eastAsia="Calibri" w:hAnsi="Cambria" w:cs="Times New Roman"/>
          <w:sz w:val="21"/>
          <w:szCs w:val="21"/>
          <w:lang w:val="es-ES_tradnl"/>
        </w:rPr>
        <w:t>principio de igualdad y no discriminación</w:t>
      </w:r>
      <w:r w:rsidR="00B816DC" w:rsidRPr="00141F18">
        <w:rPr>
          <w:rFonts w:ascii="Cambria" w:eastAsia="Calibri" w:hAnsi="Cambria" w:cs="Times New Roman"/>
          <w:sz w:val="21"/>
          <w:szCs w:val="21"/>
          <w:lang w:val="es-ES_tradnl"/>
        </w:rPr>
        <w:t>,</w:t>
      </w:r>
      <w:r w:rsidR="00F6199E" w:rsidRPr="00141F18">
        <w:rPr>
          <w:rFonts w:ascii="Cambria" w:eastAsia="Calibri" w:hAnsi="Cambria" w:cs="Times New Roman"/>
          <w:sz w:val="21"/>
          <w:szCs w:val="21"/>
          <w:lang w:val="es-ES_tradnl"/>
        </w:rPr>
        <w:t xml:space="preserve"> que permean el sistema interamericano</w:t>
      </w:r>
      <w:r w:rsidR="00FF3201" w:rsidRPr="00141F18">
        <w:rPr>
          <w:rStyle w:val="FootnoteReference"/>
          <w:rFonts w:ascii="Cambria" w:eastAsia="Calibri" w:hAnsi="Cambria" w:cs="Times New Roman"/>
          <w:sz w:val="21"/>
          <w:szCs w:val="21"/>
          <w:lang w:val="es-ES_tradnl"/>
        </w:rPr>
        <w:footnoteReference w:id="23"/>
      </w:r>
      <w:r w:rsidR="00F6199E" w:rsidRPr="00141F18">
        <w:rPr>
          <w:rFonts w:ascii="Cambria" w:eastAsia="Calibri" w:hAnsi="Cambria" w:cs="Times New Roman"/>
          <w:sz w:val="21"/>
          <w:szCs w:val="21"/>
          <w:lang w:val="es-ES_tradnl"/>
        </w:rPr>
        <w:t>.</w:t>
      </w:r>
    </w:p>
    <w:p w:rsidR="006E4E8C" w:rsidRPr="00141F18" w:rsidRDefault="006E4E8C" w:rsidP="005D777E">
      <w:pPr>
        <w:jc w:val="both"/>
        <w:rPr>
          <w:rFonts w:ascii="Cambria" w:eastAsia="Calibri" w:hAnsi="Cambria" w:cs="Times New Roman"/>
          <w:sz w:val="21"/>
          <w:szCs w:val="21"/>
          <w:lang w:val="es-ES_tradnl"/>
        </w:rPr>
      </w:pPr>
    </w:p>
    <w:p w:rsidR="00292855" w:rsidRPr="00141F18" w:rsidRDefault="00ED2402" w:rsidP="00292855">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E</w:t>
      </w:r>
      <w:r w:rsidR="00654B98" w:rsidRPr="00141F18">
        <w:rPr>
          <w:rFonts w:ascii="Cambria" w:eastAsia="Calibri" w:hAnsi="Cambria" w:cs="Times New Roman"/>
          <w:sz w:val="21"/>
          <w:szCs w:val="21"/>
          <w:lang w:val="es-ES_tradnl"/>
        </w:rPr>
        <w:t>n el presente asunto</w:t>
      </w:r>
      <w:r w:rsidR="00B00BFB" w:rsidRPr="00141F18">
        <w:rPr>
          <w:rFonts w:ascii="Cambria" w:eastAsia="Calibri" w:hAnsi="Cambria" w:cs="Times New Roman"/>
          <w:sz w:val="21"/>
          <w:szCs w:val="21"/>
          <w:lang w:val="es-ES_tradnl"/>
        </w:rPr>
        <w:t>,</w:t>
      </w:r>
      <w:r w:rsidR="00654B98" w:rsidRPr="00141F18">
        <w:rPr>
          <w:rFonts w:ascii="Cambria" w:eastAsia="Calibri" w:hAnsi="Cambria" w:cs="Times New Roman"/>
          <w:sz w:val="21"/>
          <w:szCs w:val="21"/>
          <w:lang w:val="es-ES_tradnl"/>
        </w:rPr>
        <w:t xml:space="preserve"> la Comisión</w:t>
      </w:r>
      <w:r w:rsidR="00F9398A" w:rsidRPr="00141F18">
        <w:rPr>
          <w:rFonts w:ascii="Cambria" w:eastAsia="Calibri" w:hAnsi="Cambria" w:cs="Times New Roman"/>
          <w:sz w:val="21"/>
          <w:szCs w:val="21"/>
          <w:lang w:val="es-ES_tradnl"/>
        </w:rPr>
        <w:t xml:space="preserve"> </w:t>
      </w:r>
      <w:r w:rsidR="00357978" w:rsidRPr="00141F18">
        <w:rPr>
          <w:rFonts w:ascii="Cambria" w:eastAsia="Calibri" w:hAnsi="Cambria" w:cs="Times New Roman"/>
          <w:sz w:val="21"/>
          <w:szCs w:val="21"/>
          <w:lang w:val="es-ES_tradnl"/>
        </w:rPr>
        <w:t>nota que</w:t>
      </w:r>
      <w:r w:rsidR="000C69CD" w:rsidRPr="00141F18">
        <w:rPr>
          <w:rFonts w:ascii="Cambria" w:eastAsia="Calibri" w:hAnsi="Cambria" w:cs="Times New Roman"/>
          <w:sz w:val="21"/>
          <w:szCs w:val="21"/>
          <w:lang w:val="es-ES_tradnl"/>
        </w:rPr>
        <w:t xml:space="preserve"> de acuerdo con la información aportada por las solicitantes,</w:t>
      </w:r>
      <w:r w:rsidR="00357978" w:rsidRPr="00141F18">
        <w:rPr>
          <w:rFonts w:ascii="Cambria" w:eastAsia="Calibri" w:hAnsi="Cambria" w:cs="Times New Roman"/>
          <w:sz w:val="21"/>
          <w:szCs w:val="21"/>
          <w:lang w:val="es-ES_tradnl"/>
        </w:rPr>
        <w:t xml:space="preserve"> </w:t>
      </w:r>
      <w:r w:rsidR="00A751DD" w:rsidRPr="00141F18">
        <w:rPr>
          <w:rFonts w:ascii="Cambria" w:eastAsia="Calibri" w:hAnsi="Cambria" w:cs="Times New Roman"/>
          <w:sz w:val="21"/>
          <w:szCs w:val="21"/>
          <w:lang w:val="es-ES_tradnl"/>
        </w:rPr>
        <w:t xml:space="preserve">el Hospital en su conjunto adolece de </w:t>
      </w:r>
      <w:r w:rsidR="00357978" w:rsidRPr="00141F18">
        <w:rPr>
          <w:rFonts w:ascii="Cambria" w:eastAsia="Calibri" w:hAnsi="Cambria" w:cs="Times New Roman"/>
          <w:sz w:val="21"/>
          <w:szCs w:val="21"/>
          <w:lang w:val="es-ES_tradnl"/>
        </w:rPr>
        <w:t xml:space="preserve">diversas </w:t>
      </w:r>
      <w:r w:rsidR="00A751DD" w:rsidRPr="00141F18">
        <w:rPr>
          <w:rFonts w:ascii="Cambria" w:eastAsia="Calibri" w:hAnsi="Cambria" w:cs="Times New Roman"/>
          <w:sz w:val="21"/>
          <w:szCs w:val="21"/>
          <w:lang w:val="es-ES_tradnl"/>
        </w:rPr>
        <w:t>carencias y</w:t>
      </w:r>
      <w:r w:rsidR="000C69CD" w:rsidRPr="00141F18">
        <w:rPr>
          <w:rFonts w:ascii="Cambria" w:eastAsia="Calibri" w:hAnsi="Cambria" w:cs="Times New Roman"/>
          <w:sz w:val="21"/>
          <w:szCs w:val="21"/>
          <w:lang w:val="es-ES_tradnl"/>
        </w:rPr>
        <w:t xml:space="preserve"> de graves </w:t>
      </w:r>
      <w:r w:rsidR="00A751DD" w:rsidRPr="00141F18">
        <w:rPr>
          <w:rFonts w:ascii="Cambria" w:eastAsia="Calibri" w:hAnsi="Cambria" w:cs="Times New Roman"/>
          <w:sz w:val="21"/>
          <w:szCs w:val="21"/>
          <w:lang w:val="es-ES_tradnl"/>
        </w:rPr>
        <w:t>condiciones de insalubridad</w:t>
      </w:r>
      <w:r w:rsidR="00357978" w:rsidRPr="00141F18">
        <w:rPr>
          <w:rFonts w:ascii="Cambria" w:eastAsia="Calibri" w:hAnsi="Cambria" w:cs="Times New Roman"/>
          <w:sz w:val="21"/>
          <w:szCs w:val="21"/>
          <w:lang w:val="es-ES_tradnl"/>
        </w:rPr>
        <w:t>. En este sentido, la Comisión entiende que las pacientes que ingresen al mismo en búsqueda de un tratamiento médico pueden no recibir los servicios que correspondan a</w:t>
      </w:r>
      <w:r w:rsidR="000C69CD" w:rsidRPr="00141F18">
        <w:rPr>
          <w:rFonts w:ascii="Cambria" w:eastAsia="Calibri" w:hAnsi="Cambria" w:cs="Times New Roman"/>
          <w:sz w:val="21"/>
          <w:szCs w:val="21"/>
          <w:lang w:val="es-ES_tradnl"/>
        </w:rPr>
        <w:t xml:space="preserve"> los estándares aplicables para </w:t>
      </w:r>
      <w:r w:rsidR="00B816DC" w:rsidRPr="00141F18">
        <w:rPr>
          <w:rFonts w:ascii="Cambria" w:eastAsia="Calibri" w:hAnsi="Cambria" w:cs="Times New Roman"/>
          <w:sz w:val="21"/>
          <w:szCs w:val="21"/>
          <w:lang w:val="es-ES_tradnl"/>
        </w:rPr>
        <w:t>su</w:t>
      </w:r>
      <w:r w:rsidR="000C69CD" w:rsidRPr="00141F18">
        <w:rPr>
          <w:rFonts w:ascii="Cambria" w:eastAsia="Calibri" w:hAnsi="Cambria" w:cs="Times New Roman"/>
          <w:sz w:val="21"/>
          <w:szCs w:val="21"/>
          <w:lang w:val="es-ES_tradnl"/>
        </w:rPr>
        <w:t xml:space="preserve"> prestación los cuales</w:t>
      </w:r>
      <w:r w:rsidR="00CC2879" w:rsidRPr="00141F18">
        <w:rPr>
          <w:rFonts w:ascii="Cambria" w:eastAsia="Calibri" w:hAnsi="Cambria" w:cs="Times New Roman"/>
          <w:sz w:val="21"/>
          <w:szCs w:val="21"/>
          <w:lang w:val="es-ES_tradnl"/>
        </w:rPr>
        <w:t>, conforme a los</w:t>
      </w:r>
      <w:r w:rsidR="0069465A" w:rsidRPr="00141F18">
        <w:rPr>
          <w:rFonts w:ascii="Cambria" w:eastAsia="Calibri" w:hAnsi="Cambria" w:cs="Times New Roman"/>
          <w:sz w:val="21"/>
          <w:szCs w:val="21"/>
          <w:lang w:val="es-ES_tradnl"/>
        </w:rPr>
        <w:t xml:space="preserve"> principio</w:t>
      </w:r>
      <w:r w:rsidR="00CC2879" w:rsidRPr="00141F18">
        <w:rPr>
          <w:rFonts w:ascii="Cambria" w:eastAsia="Calibri" w:hAnsi="Cambria" w:cs="Times New Roman"/>
          <w:sz w:val="21"/>
          <w:szCs w:val="21"/>
          <w:lang w:val="es-ES_tradnl"/>
        </w:rPr>
        <w:t>s</w:t>
      </w:r>
      <w:r w:rsidR="0069465A" w:rsidRPr="00141F18">
        <w:rPr>
          <w:rFonts w:ascii="Cambria" w:eastAsia="Calibri" w:hAnsi="Cambria" w:cs="Times New Roman"/>
          <w:sz w:val="21"/>
          <w:szCs w:val="21"/>
          <w:lang w:val="es-ES_tradnl"/>
        </w:rPr>
        <w:t xml:space="preserve"> de</w:t>
      </w:r>
      <w:r w:rsidR="000C69CD" w:rsidRPr="00141F18">
        <w:rPr>
          <w:rFonts w:ascii="Cambria" w:eastAsia="Calibri" w:hAnsi="Cambria" w:cs="Times New Roman"/>
          <w:sz w:val="21"/>
          <w:szCs w:val="21"/>
          <w:lang w:val="es-ES_tradnl"/>
        </w:rPr>
        <w:t xml:space="preserve"> aceptabilidad </w:t>
      </w:r>
      <w:r w:rsidR="00CC2879" w:rsidRPr="00141F18">
        <w:rPr>
          <w:rFonts w:ascii="Cambria" w:eastAsia="Calibri" w:hAnsi="Cambria" w:cs="Times New Roman"/>
          <w:sz w:val="21"/>
          <w:szCs w:val="21"/>
          <w:lang w:val="es-ES_tradnl"/>
        </w:rPr>
        <w:t xml:space="preserve">y calidad </w:t>
      </w:r>
      <w:r w:rsidR="000C69CD" w:rsidRPr="00141F18">
        <w:rPr>
          <w:rFonts w:ascii="Cambria" w:eastAsia="Calibri" w:hAnsi="Cambria" w:cs="Times New Roman"/>
          <w:sz w:val="21"/>
          <w:szCs w:val="21"/>
          <w:lang w:val="es-ES_tradnl"/>
        </w:rPr>
        <w:t>de establecimientos, bienes y servicios de salud</w:t>
      </w:r>
      <w:r w:rsidR="0069465A" w:rsidRPr="00141F18">
        <w:rPr>
          <w:rFonts w:ascii="Cambria" w:eastAsia="Calibri" w:hAnsi="Cambria" w:cs="Times New Roman"/>
          <w:sz w:val="21"/>
          <w:szCs w:val="21"/>
          <w:lang w:val="es-ES_tradnl"/>
        </w:rPr>
        <w:t xml:space="preserve">, </w:t>
      </w:r>
      <w:r w:rsidR="00CC2879" w:rsidRPr="00141F18">
        <w:rPr>
          <w:rFonts w:ascii="Cambria" w:eastAsia="Calibri" w:hAnsi="Cambria" w:cs="Times New Roman"/>
          <w:sz w:val="21"/>
          <w:szCs w:val="21"/>
          <w:lang w:val="es-ES_tradnl"/>
        </w:rPr>
        <w:t xml:space="preserve">no solo </w:t>
      </w:r>
      <w:r w:rsidR="0069465A" w:rsidRPr="00141F18">
        <w:rPr>
          <w:rFonts w:ascii="Cambria" w:eastAsia="Calibri" w:hAnsi="Cambria" w:cs="Times New Roman"/>
          <w:sz w:val="21"/>
          <w:szCs w:val="21"/>
          <w:lang w:val="es-ES_tradnl"/>
        </w:rPr>
        <w:t>deben ser</w:t>
      </w:r>
      <w:r w:rsidR="000C69CD" w:rsidRPr="00141F18">
        <w:rPr>
          <w:rFonts w:ascii="Cambria" w:eastAsia="Calibri" w:hAnsi="Cambria" w:cs="Times New Roman"/>
          <w:sz w:val="21"/>
          <w:szCs w:val="21"/>
          <w:lang w:val="es-ES_tradnl"/>
        </w:rPr>
        <w:t xml:space="preserve"> respetuosos de la ética médica y culturalmente apropiados</w:t>
      </w:r>
      <w:r w:rsidR="00CC2879" w:rsidRPr="00141F18">
        <w:rPr>
          <w:rFonts w:ascii="Cambria" w:eastAsia="Calibri" w:hAnsi="Cambria" w:cs="Times New Roman"/>
          <w:sz w:val="21"/>
          <w:szCs w:val="21"/>
          <w:lang w:val="es-ES_tradnl"/>
        </w:rPr>
        <w:t>, sino también</w:t>
      </w:r>
      <w:r w:rsidR="000C69CD" w:rsidRPr="00141F18">
        <w:rPr>
          <w:rFonts w:ascii="Cambria" w:eastAsia="Calibri" w:hAnsi="Cambria" w:cs="Times New Roman"/>
          <w:sz w:val="21"/>
          <w:szCs w:val="21"/>
          <w:lang w:val="es-ES_tradnl"/>
        </w:rPr>
        <w:t xml:space="preserve"> apropiados desde el punto</w:t>
      </w:r>
      <w:r w:rsidR="00B00BFB" w:rsidRPr="00141F18">
        <w:rPr>
          <w:rFonts w:ascii="Cambria" w:eastAsia="Calibri" w:hAnsi="Cambria" w:cs="Times New Roman"/>
          <w:sz w:val="21"/>
          <w:szCs w:val="21"/>
          <w:lang w:val="es-ES_tradnl"/>
        </w:rPr>
        <w:t xml:space="preserve"> </w:t>
      </w:r>
      <w:r w:rsidR="000C69CD" w:rsidRPr="00141F18">
        <w:rPr>
          <w:rFonts w:ascii="Cambria" w:eastAsia="Calibri" w:hAnsi="Cambria" w:cs="Times New Roman"/>
          <w:sz w:val="21"/>
          <w:szCs w:val="21"/>
          <w:lang w:val="es-ES_tradnl"/>
        </w:rPr>
        <w:t>de vista científico y médico</w:t>
      </w:r>
      <w:r w:rsidR="00B00BFB" w:rsidRPr="00141F18">
        <w:rPr>
          <w:rStyle w:val="FootnoteReference"/>
          <w:rFonts w:ascii="Cambria" w:eastAsia="Calibri" w:hAnsi="Cambria" w:cs="Times New Roman"/>
          <w:sz w:val="21"/>
          <w:szCs w:val="21"/>
          <w:lang w:val="es-ES_tradnl"/>
        </w:rPr>
        <w:footnoteReference w:id="24"/>
      </w:r>
      <w:r w:rsidR="00B00BFB" w:rsidRPr="00141F18">
        <w:rPr>
          <w:rFonts w:ascii="Cambria" w:eastAsia="Calibri" w:hAnsi="Cambria" w:cs="Times New Roman"/>
          <w:sz w:val="21"/>
          <w:szCs w:val="21"/>
          <w:lang w:val="es-ES_tradnl"/>
        </w:rPr>
        <w:t>.</w:t>
      </w:r>
      <w:r w:rsidR="00874D02" w:rsidRPr="00141F18">
        <w:rPr>
          <w:rFonts w:ascii="Cambria" w:eastAsia="Calibri" w:hAnsi="Cambria" w:cs="Times New Roman"/>
          <w:sz w:val="21"/>
          <w:szCs w:val="21"/>
          <w:lang w:val="es-ES_tradnl"/>
        </w:rPr>
        <w:t xml:space="preserve"> </w:t>
      </w:r>
    </w:p>
    <w:p w:rsidR="00292855" w:rsidRPr="00141F18" w:rsidRDefault="00292855" w:rsidP="0014102D">
      <w:pPr>
        <w:pStyle w:val="ListParagraph"/>
        <w:ind w:left="360"/>
        <w:jc w:val="both"/>
        <w:rPr>
          <w:rFonts w:ascii="Cambria" w:eastAsia="Calibri" w:hAnsi="Cambria" w:cs="Times New Roman"/>
          <w:sz w:val="21"/>
          <w:szCs w:val="20"/>
          <w:lang w:val="es-ES_tradnl"/>
        </w:rPr>
      </w:pPr>
    </w:p>
    <w:p w:rsidR="00292855" w:rsidRPr="00141F18" w:rsidRDefault="00874D02" w:rsidP="00292855">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hAnsi="Cambria"/>
          <w:sz w:val="21"/>
          <w:szCs w:val="20"/>
          <w:lang w:val="es-ES_tradnl"/>
        </w:rPr>
        <w:t xml:space="preserve">A </w:t>
      </w:r>
      <w:r w:rsidRPr="00141F18">
        <w:rPr>
          <w:rFonts w:ascii="Cambria" w:hAnsi="Cambria"/>
          <w:sz w:val="21"/>
          <w:szCs w:val="21"/>
          <w:lang w:val="es-ES_tradnl"/>
        </w:rPr>
        <w:t>ese respecto, la Comisión</w:t>
      </w:r>
      <w:r w:rsidR="00EE7007" w:rsidRPr="00141F18">
        <w:rPr>
          <w:rFonts w:ascii="Cambria" w:hAnsi="Cambria"/>
          <w:sz w:val="21"/>
          <w:szCs w:val="21"/>
          <w:lang w:val="es-ES_tradnl"/>
        </w:rPr>
        <w:t xml:space="preserve"> recuerda, que junto con</w:t>
      </w:r>
      <w:r w:rsidRPr="00141F18">
        <w:rPr>
          <w:rFonts w:ascii="Cambria" w:hAnsi="Cambria"/>
          <w:sz w:val="21"/>
          <w:szCs w:val="21"/>
          <w:lang w:val="es-ES_tradnl"/>
        </w:rPr>
        <w:t xml:space="preserve"> su </w:t>
      </w:r>
      <w:r w:rsidR="00EE7007" w:rsidRPr="00141F18">
        <w:rPr>
          <w:rFonts w:ascii="Cambria" w:hAnsi="Cambria"/>
          <w:sz w:val="21"/>
          <w:szCs w:val="21"/>
          <w:lang w:val="es-ES_tradnl"/>
        </w:rPr>
        <w:t>Relatoría Especial sobre Derechos Económicos, Sociales, Culturales y Ambientales (REDESCA) se ha pronunciado respecto de la escasez y desabastecimiento de medicamentos, insumos, material y tratamiento médico en Venezuela que se viene agravando desde el 2014, lo cual ha llevado a escasez de medicinas e insumos a nivel nacional</w:t>
      </w:r>
      <w:r w:rsidR="000B2903" w:rsidRPr="00141F18">
        <w:rPr>
          <w:rFonts w:ascii="Cambria" w:hAnsi="Cambria"/>
          <w:sz w:val="21"/>
          <w:szCs w:val="21"/>
          <w:lang w:val="es-ES_tradnl"/>
        </w:rPr>
        <w:t xml:space="preserve">, </w:t>
      </w:r>
      <w:r w:rsidR="000B2903" w:rsidRPr="00141F18">
        <w:rPr>
          <w:rFonts w:ascii="Cambria" w:eastAsia="Times New Roman" w:hAnsi="Cambria"/>
          <w:sz w:val="21"/>
          <w:szCs w:val="21"/>
          <w:lang w:val="es-SV" w:eastAsia="es-ES_tradnl"/>
        </w:rPr>
        <w:t>con un impacto mayor sobre grupos en situación de exclusión y discriminación histórica, incluyendo las mujeres y en particular, las mujeres embarazadas</w:t>
      </w:r>
      <w:r w:rsidR="000B2903" w:rsidRPr="00141F18">
        <w:rPr>
          <w:rStyle w:val="FootnoteReference"/>
          <w:rFonts w:ascii="Cambria" w:eastAsia="Times New Roman" w:hAnsi="Cambria" w:cs="Times New Roman"/>
          <w:sz w:val="21"/>
          <w:szCs w:val="21"/>
          <w:lang w:val="es-SV" w:eastAsia="es-ES_tradnl"/>
        </w:rPr>
        <w:footnoteReference w:id="25"/>
      </w:r>
      <w:r w:rsidR="000B2903" w:rsidRPr="00141F18">
        <w:rPr>
          <w:rFonts w:ascii="Cambria" w:eastAsia="Times New Roman" w:hAnsi="Cambria"/>
          <w:sz w:val="21"/>
          <w:szCs w:val="21"/>
          <w:lang w:val="es-SV" w:eastAsia="es-ES_tradnl"/>
        </w:rPr>
        <w:t xml:space="preserve">. </w:t>
      </w:r>
      <w:r w:rsidR="00192943" w:rsidRPr="00141F18">
        <w:rPr>
          <w:rFonts w:ascii="Cambria" w:eastAsia="Times New Roman" w:hAnsi="Cambria"/>
          <w:sz w:val="21"/>
          <w:szCs w:val="21"/>
          <w:lang w:val="es-SV" w:eastAsia="es-ES_tradnl"/>
        </w:rPr>
        <w:t xml:space="preserve">Así, la CIDH ha señalado como </w:t>
      </w:r>
      <w:r w:rsidR="00192943" w:rsidRPr="00141F18">
        <w:rPr>
          <w:rFonts w:ascii="Cambria" w:eastAsia="Times New Roman" w:hAnsi="Cambria" w:cs="Times New Roman"/>
          <w:sz w:val="21"/>
          <w:szCs w:val="21"/>
          <w:lang w:val="es-SV" w:eastAsia="es-ES_tradnl"/>
        </w:rPr>
        <w:t>especialmente preocupante la situación de las mujeres embarazadas en cuanto</w:t>
      </w:r>
      <w:r w:rsidR="0014102D" w:rsidRPr="00141F18">
        <w:rPr>
          <w:rFonts w:ascii="Cambria" w:eastAsia="Times New Roman" w:hAnsi="Cambria" w:cs="Times New Roman"/>
          <w:sz w:val="21"/>
          <w:szCs w:val="21"/>
          <w:lang w:val="es-SV" w:eastAsia="es-ES_tradnl"/>
        </w:rPr>
        <w:t xml:space="preserve"> a</w:t>
      </w:r>
      <w:r w:rsidR="00292855" w:rsidRPr="00141F18">
        <w:rPr>
          <w:rFonts w:ascii="Cambria" w:eastAsia="Times New Roman" w:hAnsi="Cambria" w:cs="Times New Roman"/>
          <w:sz w:val="21"/>
          <w:szCs w:val="21"/>
          <w:lang w:val="es-SV" w:eastAsia="es-ES_tradnl"/>
        </w:rPr>
        <w:t xml:space="preserve"> la falta de tratamientos para mujeres embarazadas seropositivas para reducir el riesgo de la transmisión infantil</w:t>
      </w:r>
      <w:r w:rsidR="00292855" w:rsidRPr="00141F18">
        <w:rPr>
          <w:rStyle w:val="FootnoteReference"/>
          <w:rFonts w:ascii="Cambria" w:eastAsia="Times New Roman" w:hAnsi="Cambria" w:cs="Times New Roman"/>
          <w:sz w:val="21"/>
          <w:szCs w:val="21"/>
          <w:lang w:val="es-SV" w:eastAsia="es-ES_tradnl"/>
        </w:rPr>
        <w:footnoteReference w:id="26"/>
      </w:r>
      <w:r w:rsidR="00292855" w:rsidRPr="00141F18">
        <w:rPr>
          <w:rFonts w:ascii="Cambria" w:eastAsia="Times New Roman" w:hAnsi="Cambria" w:cs="Times New Roman"/>
          <w:sz w:val="21"/>
          <w:szCs w:val="21"/>
          <w:lang w:val="es-SV" w:eastAsia="es-ES_tradnl"/>
        </w:rPr>
        <w:t xml:space="preserve"> así como que</w:t>
      </w:r>
      <w:r w:rsidR="00192943" w:rsidRPr="00141F18">
        <w:rPr>
          <w:rFonts w:ascii="Cambria" w:eastAsia="Times New Roman" w:hAnsi="Cambria" w:cs="Times New Roman"/>
          <w:sz w:val="21"/>
          <w:szCs w:val="21"/>
          <w:lang w:val="es-SV" w:eastAsia="es-ES_tradnl"/>
        </w:rPr>
        <w:t xml:space="preserve"> </w:t>
      </w:r>
      <w:r w:rsidR="00192943" w:rsidRPr="00141F18">
        <w:rPr>
          <w:rFonts w:ascii="Cambria" w:hAnsi="Cambria"/>
          <w:sz w:val="21"/>
          <w:szCs w:val="21"/>
          <w:lang w:val="es-ES_tradnl"/>
        </w:rPr>
        <w:t>en el marco</w:t>
      </w:r>
      <w:r w:rsidR="00182822" w:rsidRPr="00141F18">
        <w:rPr>
          <w:rFonts w:ascii="Cambria" w:hAnsi="Cambria"/>
          <w:sz w:val="21"/>
          <w:szCs w:val="21"/>
          <w:lang w:val="es-ES_tradnl"/>
        </w:rPr>
        <w:t xml:space="preserve"> </w:t>
      </w:r>
      <w:r w:rsidR="00182822" w:rsidRPr="00141F18">
        <w:rPr>
          <w:rFonts w:ascii="Cambria" w:hAnsi="Cambria"/>
          <w:sz w:val="21"/>
          <w:szCs w:val="21"/>
          <w:lang w:val="es-ES_tradnl"/>
        </w:rPr>
        <w:lastRenderedPageBreak/>
        <w:t>de</w:t>
      </w:r>
      <w:r w:rsidR="00192943" w:rsidRPr="00141F18">
        <w:rPr>
          <w:rFonts w:ascii="Cambria" w:hAnsi="Cambria"/>
          <w:sz w:val="21"/>
          <w:szCs w:val="21"/>
          <w:lang w:val="es-ES_tradnl"/>
        </w:rPr>
        <w:t xml:space="preserve"> </w:t>
      </w:r>
      <w:r w:rsidR="00192943" w:rsidRPr="00141F18">
        <w:rPr>
          <w:rFonts w:ascii="Cambria" w:eastAsia="Times New Roman" w:hAnsi="Cambria" w:cs="Times New Roman"/>
          <w:sz w:val="21"/>
          <w:szCs w:val="21"/>
          <w:lang w:val="es-SV" w:eastAsia="es-ES_tradnl"/>
        </w:rPr>
        <w:t>la crisis alimentaria que atraviesa el país la malnutrición les afecta especialmente durante el embarazo y la lactancia, momentos cruciales para la vida saludable de la mujer y el feto</w:t>
      </w:r>
      <w:r w:rsidR="00192943" w:rsidRPr="00141F18">
        <w:rPr>
          <w:rStyle w:val="FootnoteReference"/>
          <w:rFonts w:ascii="Cambria" w:eastAsia="Times New Roman" w:hAnsi="Cambria" w:cs="Times New Roman"/>
          <w:sz w:val="21"/>
          <w:szCs w:val="21"/>
          <w:lang w:val="es-SV" w:eastAsia="es-ES_tradnl"/>
        </w:rPr>
        <w:footnoteReference w:id="27"/>
      </w:r>
      <w:r w:rsidR="00292855" w:rsidRPr="00141F18">
        <w:rPr>
          <w:rFonts w:ascii="Cambria" w:eastAsia="Times New Roman" w:hAnsi="Cambria" w:cs="Times New Roman"/>
          <w:sz w:val="21"/>
          <w:szCs w:val="21"/>
          <w:lang w:val="es-SV" w:eastAsia="es-ES_tradnl"/>
        </w:rPr>
        <w:t>.</w:t>
      </w:r>
      <w:r w:rsidR="00192943" w:rsidRPr="00141F18">
        <w:rPr>
          <w:rFonts w:ascii="Cambria" w:eastAsia="Times New Roman" w:hAnsi="Cambria" w:cs="Times New Roman"/>
          <w:sz w:val="21"/>
          <w:szCs w:val="21"/>
          <w:lang w:val="es-SV" w:eastAsia="es-ES_tradnl"/>
        </w:rPr>
        <w:t xml:space="preserve"> </w:t>
      </w:r>
      <w:r w:rsidR="00292855" w:rsidRPr="00141F18">
        <w:rPr>
          <w:rFonts w:ascii="Cambria" w:eastAsia="Times New Roman" w:hAnsi="Cambria" w:cs="Times New Roman"/>
          <w:sz w:val="21"/>
          <w:szCs w:val="21"/>
          <w:lang w:val="es-SV" w:eastAsia="es-ES_tradnl"/>
        </w:rPr>
        <w:t xml:space="preserve">De igual forma, la Comisión ha advertido con preocupación los </w:t>
      </w:r>
      <w:r w:rsidR="00D746A5" w:rsidRPr="00141F18">
        <w:rPr>
          <w:rFonts w:ascii="Cambria" w:eastAsia="Times New Roman" w:hAnsi="Cambria" w:cs="Times New Roman"/>
          <w:sz w:val="21"/>
          <w:szCs w:val="21"/>
          <w:lang w:val="es-SV" w:eastAsia="es-ES_tradnl"/>
        </w:rPr>
        <w:t>índices</w:t>
      </w:r>
      <w:r w:rsidR="00292855" w:rsidRPr="00141F18">
        <w:rPr>
          <w:rFonts w:ascii="Cambria" w:eastAsia="Times New Roman" w:hAnsi="Cambria" w:cs="Times New Roman"/>
          <w:sz w:val="21"/>
          <w:szCs w:val="21"/>
          <w:lang w:val="es-SV" w:eastAsia="es-ES_tradnl"/>
        </w:rPr>
        <w:t xml:space="preserve"> de mortalidad infantil y en particular, la preocupante la situación de los neonatos</w:t>
      </w:r>
      <w:r w:rsidR="00292855" w:rsidRPr="00141F18">
        <w:rPr>
          <w:rStyle w:val="FootnoteReference"/>
          <w:rFonts w:ascii="Cambria" w:eastAsia="Times New Roman" w:hAnsi="Cambria" w:cs="Times New Roman"/>
          <w:sz w:val="21"/>
          <w:szCs w:val="21"/>
          <w:lang w:val="es-SV" w:eastAsia="es-ES_tradnl"/>
        </w:rPr>
        <w:footnoteReference w:id="28"/>
      </w:r>
      <w:r w:rsidR="00292855" w:rsidRPr="00141F18">
        <w:rPr>
          <w:rFonts w:ascii="Cambria" w:eastAsia="Times New Roman" w:hAnsi="Cambria" w:cs="Times New Roman"/>
          <w:sz w:val="21"/>
          <w:szCs w:val="21"/>
          <w:lang w:val="es-SV" w:eastAsia="es-ES_tradnl"/>
        </w:rPr>
        <w:t xml:space="preserve">. En este contexto, la Comisión ha </w:t>
      </w:r>
      <w:r w:rsidR="00182822" w:rsidRPr="00141F18">
        <w:rPr>
          <w:rFonts w:ascii="Cambria" w:eastAsia="Times New Roman" w:hAnsi="Cambria" w:cs="Times New Roman"/>
          <w:sz w:val="21"/>
          <w:szCs w:val="21"/>
          <w:lang w:val="es-SV" w:eastAsia="es-ES_tradnl"/>
        </w:rPr>
        <w:t>sido informada</w:t>
      </w:r>
      <w:r w:rsidR="00292855" w:rsidRPr="00141F18">
        <w:rPr>
          <w:rFonts w:ascii="Cambria" w:eastAsia="Times New Roman" w:hAnsi="Cambria" w:cs="Times New Roman"/>
          <w:sz w:val="21"/>
          <w:szCs w:val="21"/>
          <w:lang w:val="es-SV" w:eastAsia="es-ES_tradnl"/>
        </w:rPr>
        <w:t xml:space="preserve"> que como consecuencia </w:t>
      </w:r>
      <w:r w:rsidR="00182822" w:rsidRPr="00141F18">
        <w:rPr>
          <w:rFonts w:ascii="Cambria" w:eastAsia="Times New Roman" w:hAnsi="Cambria" w:cs="Times New Roman"/>
          <w:sz w:val="21"/>
          <w:szCs w:val="21"/>
          <w:lang w:val="es-SV" w:eastAsia="es-ES_tradnl"/>
        </w:rPr>
        <w:t xml:space="preserve">del </w:t>
      </w:r>
      <w:r w:rsidR="00292855" w:rsidRPr="00141F18">
        <w:rPr>
          <w:rFonts w:ascii="Cambria" w:eastAsia="Times New Roman" w:hAnsi="Cambria" w:cs="Times New Roman"/>
          <w:sz w:val="21"/>
          <w:szCs w:val="21"/>
          <w:lang w:val="es-SV" w:eastAsia="es-ES_tradnl"/>
        </w:rPr>
        <w:t>desabastecimiento de medicamentos, insumos, material y tratamiento médico, miles de mujeres se han visto obligadas a migrar para dar a luz, la mayoría en estado avanzado de embarazo y con cuadros médicos críticos</w:t>
      </w:r>
      <w:r w:rsidR="00292855" w:rsidRPr="00141F18">
        <w:rPr>
          <w:rStyle w:val="FootnoteReference"/>
          <w:rFonts w:ascii="Cambria" w:eastAsia="Times New Roman" w:hAnsi="Cambria" w:cs="Times New Roman"/>
          <w:sz w:val="21"/>
          <w:szCs w:val="21"/>
          <w:lang w:val="es-SV" w:eastAsia="es-ES_tradnl"/>
        </w:rPr>
        <w:footnoteReference w:id="29"/>
      </w:r>
      <w:r w:rsidR="00292855" w:rsidRPr="00141F18">
        <w:rPr>
          <w:rFonts w:ascii="Cambria" w:eastAsia="Times New Roman" w:hAnsi="Cambria" w:cs="Times New Roman"/>
          <w:sz w:val="21"/>
          <w:szCs w:val="21"/>
          <w:lang w:val="es-SV" w:eastAsia="es-ES_tradnl"/>
        </w:rPr>
        <w:t>.</w:t>
      </w:r>
    </w:p>
    <w:p w:rsidR="00292855" w:rsidRPr="00141F18" w:rsidRDefault="00292855" w:rsidP="0014102D">
      <w:pPr>
        <w:pStyle w:val="ListParagraph"/>
        <w:ind w:left="360"/>
        <w:jc w:val="both"/>
        <w:rPr>
          <w:rFonts w:ascii="Cambria" w:eastAsia="Calibri" w:hAnsi="Cambria" w:cs="Times New Roman"/>
          <w:sz w:val="21"/>
          <w:szCs w:val="20"/>
          <w:lang w:val="es-ES_tradnl"/>
        </w:rPr>
      </w:pPr>
    </w:p>
    <w:p w:rsidR="004A3F68" w:rsidRPr="00141F18" w:rsidRDefault="00EE7007"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hAnsi="Cambria"/>
          <w:sz w:val="21"/>
          <w:szCs w:val="20"/>
          <w:lang w:val="es-ES_tradnl"/>
        </w:rPr>
        <w:t>En este sentido, la CIDH y su REDESCA han considerado que habría un colapso de la infraestructura hospitalaria a nivel nacional, que estaría afectando especialmente a personas que sufren enfermedades crónicas. Asimismo, según lo ha determinado la REDESCA, “entre los hospitales especialmente afectados por la crisis del sector salud están el JM de los Ríos (Caracas), la Maternidad Concepción Palacios (Caracas) y el Hospital Universitario de los Andes (</w:t>
      </w:r>
      <w:proofErr w:type="spellStart"/>
      <w:r w:rsidRPr="00141F18">
        <w:rPr>
          <w:rFonts w:ascii="Cambria" w:hAnsi="Cambria"/>
          <w:sz w:val="21"/>
          <w:szCs w:val="20"/>
          <w:lang w:val="es-ES_tradnl"/>
        </w:rPr>
        <w:t>Iahula</w:t>
      </w:r>
      <w:proofErr w:type="spellEnd"/>
      <w:r w:rsidRPr="00141F18">
        <w:rPr>
          <w:rFonts w:ascii="Cambria" w:hAnsi="Cambria"/>
          <w:sz w:val="21"/>
          <w:szCs w:val="20"/>
          <w:lang w:val="es-ES_tradnl"/>
        </w:rPr>
        <w:t>)”</w:t>
      </w:r>
      <w:r w:rsidRPr="00141F18">
        <w:rPr>
          <w:rStyle w:val="FootnoteReference"/>
          <w:rFonts w:ascii="Cambria" w:eastAsia="Calibri" w:hAnsi="Cambria" w:cs="Times New Roman"/>
          <w:sz w:val="21"/>
          <w:szCs w:val="20"/>
          <w:lang w:val="es-ES_tradnl"/>
        </w:rPr>
        <w:footnoteReference w:id="30"/>
      </w:r>
      <w:r w:rsidRPr="00141F18">
        <w:rPr>
          <w:rFonts w:ascii="Cambria" w:hAnsi="Cambria"/>
          <w:sz w:val="21"/>
          <w:szCs w:val="20"/>
          <w:lang w:val="es-ES_tradnl"/>
        </w:rPr>
        <w:t>.</w:t>
      </w:r>
      <w:r w:rsidR="000B2903" w:rsidRPr="00141F18">
        <w:rPr>
          <w:rFonts w:ascii="Cambria" w:hAnsi="Cambria"/>
          <w:sz w:val="21"/>
          <w:szCs w:val="20"/>
          <w:lang w:val="es-ES_tradnl"/>
        </w:rPr>
        <w:t xml:space="preserve"> </w:t>
      </w:r>
      <w:r w:rsidR="004A3F68" w:rsidRPr="00141F18">
        <w:rPr>
          <w:rFonts w:ascii="Cambria" w:eastAsia="Calibri" w:hAnsi="Cambria" w:cs="Times New Roman"/>
          <w:sz w:val="21"/>
          <w:szCs w:val="21"/>
          <w:lang w:val="es-ES_tradnl"/>
        </w:rPr>
        <w:t>La Comisión también toma en cuenta la información de público conocimiento sobre el corte de electricidad prolongado en el país desde el 7 de marzo último y las preocupantes consecuencias que de ello se derivan sobre los derechos a la salud, integridad personal y la vida</w:t>
      </w:r>
      <w:r w:rsidR="00F87BD7" w:rsidRPr="00141F18">
        <w:rPr>
          <w:rFonts w:ascii="Cambria" w:eastAsia="Calibri" w:hAnsi="Cambria" w:cs="Times New Roman"/>
          <w:sz w:val="21"/>
          <w:szCs w:val="21"/>
          <w:lang w:val="es-ES_tradnl"/>
        </w:rPr>
        <w:t xml:space="preserve"> de las propuestas beneficiarias</w:t>
      </w:r>
      <w:r w:rsidR="004A3F68" w:rsidRPr="00141F18">
        <w:rPr>
          <w:rFonts w:ascii="Cambria" w:eastAsia="Calibri" w:hAnsi="Cambria" w:cs="Times New Roman"/>
          <w:sz w:val="21"/>
          <w:szCs w:val="21"/>
          <w:lang w:val="es-ES_tradnl"/>
        </w:rPr>
        <w:t>.</w:t>
      </w:r>
    </w:p>
    <w:p w:rsidR="004A3F68" w:rsidRPr="00141F18" w:rsidRDefault="004A3F68" w:rsidP="004A3F68">
      <w:pPr>
        <w:pStyle w:val="ListParagraph"/>
        <w:rPr>
          <w:rFonts w:ascii="Cambria" w:eastAsia="Calibri" w:hAnsi="Cambria" w:cs="Times New Roman"/>
          <w:sz w:val="21"/>
          <w:szCs w:val="21"/>
          <w:lang w:val="es-ES_tradnl"/>
        </w:rPr>
      </w:pPr>
    </w:p>
    <w:p w:rsidR="00C37827" w:rsidRPr="00141F18" w:rsidRDefault="00C87C12" w:rsidP="00C37827">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 xml:space="preserve">En este escenario de emergencia nacional, respecto de la cual el Estado debe adoptar medidas en sus políticas públicas </w:t>
      </w:r>
      <w:r w:rsidR="00C8226E" w:rsidRPr="00141F18">
        <w:rPr>
          <w:rFonts w:ascii="Cambria" w:eastAsia="Calibri" w:hAnsi="Cambria" w:cs="Times New Roman"/>
          <w:sz w:val="21"/>
          <w:szCs w:val="21"/>
          <w:lang w:val="es-ES_tradnl"/>
        </w:rPr>
        <w:t xml:space="preserve">y </w:t>
      </w:r>
      <w:r w:rsidR="004A3F68" w:rsidRPr="00141F18">
        <w:rPr>
          <w:rFonts w:ascii="Cambria" w:eastAsia="Calibri" w:hAnsi="Cambria" w:cs="Times New Roman"/>
          <w:sz w:val="21"/>
          <w:szCs w:val="21"/>
          <w:lang w:val="es-ES_tradnl"/>
        </w:rPr>
        <w:t>buscar la c</w:t>
      </w:r>
      <w:r w:rsidR="00C8226E" w:rsidRPr="00141F18">
        <w:rPr>
          <w:rFonts w:ascii="Cambria" w:eastAsia="Calibri" w:hAnsi="Cambria" w:cs="Times New Roman"/>
          <w:sz w:val="21"/>
          <w:szCs w:val="21"/>
          <w:lang w:val="es-ES_tradnl"/>
        </w:rPr>
        <w:t xml:space="preserve">ooperación internacional </w:t>
      </w:r>
      <w:r w:rsidRPr="00141F18">
        <w:rPr>
          <w:rFonts w:ascii="Cambria" w:eastAsia="Calibri" w:hAnsi="Cambria" w:cs="Times New Roman"/>
          <w:sz w:val="21"/>
          <w:szCs w:val="21"/>
          <w:lang w:val="es-ES_tradnl"/>
        </w:rPr>
        <w:t>que permita</w:t>
      </w:r>
      <w:r w:rsidR="00C8226E" w:rsidRPr="00141F18">
        <w:rPr>
          <w:rFonts w:ascii="Cambria" w:eastAsia="Calibri" w:hAnsi="Cambria" w:cs="Times New Roman"/>
          <w:sz w:val="21"/>
          <w:szCs w:val="21"/>
          <w:lang w:val="es-ES_tradnl"/>
        </w:rPr>
        <w:t>n</w:t>
      </w:r>
      <w:r w:rsidRPr="00141F18">
        <w:rPr>
          <w:rFonts w:ascii="Cambria" w:eastAsia="Calibri" w:hAnsi="Cambria" w:cs="Times New Roman"/>
          <w:sz w:val="21"/>
          <w:szCs w:val="21"/>
          <w:lang w:val="es-ES_tradnl"/>
        </w:rPr>
        <w:t xml:space="preserve"> garantizar el derecho a la salud de las y los venezolanos, entre otras medidas, mediante proceso</w:t>
      </w:r>
      <w:r w:rsidR="00D746A5" w:rsidRPr="00141F18">
        <w:rPr>
          <w:rFonts w:ascii="Cambria" w:eastAsia="Calibri" w:hAnsi="Cambria" w:cs="Times New Roman"/>
          <w:sz w:val="21"/>
          <w:szCs w:val="21"/>
          <w:lang w:val="es-ES_tradnl"/>
        </w:rPr>
        <w:t>s</w:t>
      </w:r>
      <w:r w:rsidRPr="00141F18">
        <w:rPr>
          <w:rFonts w:ascii="Cambria" w:eastAsia="Calibri" w:hAnsi="Cambria" w:cs="Times New Roman"/>
          <w:sz w:val="21"/>
          <w:szCs w:val="21"/>
          <w:lang w:val="es-ES_tradnl"/>
        </w:rPr>
        <w:t xml:space="preserve"> de selección de medicamentos y priorización de </w:t>
      </w:r>
      <w:r w:rsidR="00481216" w:rsidRPr="00141F18">
        <w:rPr>
          <w:rFonts w:ascii="Cambria" w:eastAsia="Calibri" w:hAnsi="Cambria" w:cs="Times New Roman"/>
          <w:sz w:val="21"/>
          <w:szCs w:val="21"/>
          <w:lang w:val="es-ES_tradnl"/>
        </w:rPr>
        <w:t xml:space="preserve">tratamiento de </w:t>
      </w:r>
      <w:r w:rsidRPr="00141F18">
        <w:rPr>
          <w:rFonts w:ascii="Cambria" w:eastAsia="Calibri" w:hAnsi="Cambria" w:cs="Times New Roman"/>
          <w:sz w:val="21"/>
          <w:szCs w:val="21"/>
          <w:lang w:val="es-ES_tradnl"/>
        </w:rPr>
        <w:t xml:space="preserve">enfermedades basado en evidencia, </w:t>
      </w:r>
      <w:r w:rsidR="00D746A5" w:rsidRPr="00141F18">
        <w:rPr>
          <w:rFonts w:ascii="Cambria" w:eastAsia="Calibri" w:hAnsi="Cambria" w:cs="Times New Roman"/>
          <w:sz w:val="21"/>
          <w:szCs w:val="21"/>
          <w:lang w:val="es-ES_tradnl"/>
        </w:rPr>
        <w:t>que sean</w:t>
      </w:r>
      <w:r w:rsidR="004A3F68" w:rsidRPr="00141F18">
        <w:rPr>
          <w:rFonts w:ascii="Cambria" w:eastAsia="Calibri" w:hAnsi="Cambria" w:cs="Times New Roman"/>
          <w:sz w:val="21"/>
          <w:szCs w:val="21"/>
          <w:lang w:val="es-ES_tradnl"/>
        </w:rPr>
        <w:t xml:space="preserve"> </w:t>
      </w:r>
      <w:r w:rsidRPr="00141F18">
        <w:rPr>
          <w:rFonts w:ascii="Cambria" w:eastAsia="Calibri" w:hAnsi="Cambria" w:cs="Times New Roman"/>
          <w:sz w:val="21"/>
          <w:szCs w:val="21"/>
          <w:lang w:val="es-ES_tradnl"/>
        </w:rPr>
        <w:t>transparente</w:t>
      </w:r>
      <w:r w:rsidR="004A3F68" w:rsidRPr="00141F18">
        <w:rPr>
          <w:rFonts w:ascii="Cambria" w:eastAsia="Calibri" w:hAnsi="Cambria" w:cs="Times New Roman"/>
          <w:sz w:val="21"/>
          <w:szCs w:val="21"/>
          <w:lang w:val="es-ES_tradnl"/>
        </w:rPr>
        <w:t>s</w:t>
      </w:r>
      <w:r w:rsidRPr="00141F18">
        <w:rPr>
          <w:rFonts w:ascii="Cambria" w:eastAsia="Calibri" w:hAnsi="Cambria" w:cs="Times New Roman"/>
          <w:sz w:val="21"/>
          <w:szCs w:val="21"/>
          <w:lang w:val="es-ES_tradnl"/>
        </w:rPr>
        <w:t xml:space="preserve"> y participativo</w:t>
      </w:r>
      <w:r w:rsidR="004A3F68" w:rsidRPr="00141F18">
        <w:rPr>
          <w:rFonts w:ascii="Cambria" w:eastAsia="Calibri" w:hAnsi="Cambria" w:cs="Times New Roman"/>
          <w:sz w:val="21"/>
          <w:szCs w:val="21"/>
          <w:lang w:val="es-ES_tradnl"/>
        </w:rPr>
        <w:t>s</w:t>
      </w:r>
      <w:r w:rsidR="00B23C1F" w:rsidRPr="00141F18">
        <w:rPr>
          <w:rFonts w:ascii="Cambria" w:eastAsia="Calibri" w:hAnsi="Cambria" w:cs="Times New Roman"/>
          <w:sz w:val="21"/>
          <w:szCs w:val="21"/>
          <w:lang w:val="es-ES_tradnl"/>
        </w:rPr>
        <w:t xml:space="preserve"> y </w:t>
      </w:r>
      <w:r w:rsidR="00D746A5" w:rsidRPr="00141F18">
        <w:rPr>
          <w:rFonts w:ascii="Cambria" w:eastAsia="Calibri" w:hAnsi="Cambria" w:cs="Times New Roman"/>
          <w:sz w:val="21"/>
          <w:szCs w:val="21"/>
          <w:lang w:val="es-ES_tradnl"/>
        </w:rPr>
        <w:t>dando prioridad a</w:t>
      </w:r>
      <w:r w:rsidR="00B23C1F" w:rsidRPr="00141F18">
        <w:rPr>
          <w:rFonts w:ascii="Cambria" w:eastAsia="Calibri" w:hAnsi="Cambria" w:cs="Times New Roman"/>
          <w:sz w:val="21"/>
          <w:szCs w:val="21"/>
          <w:lang w:val="es-ES_tradnl"/>
        </w:rPr>
        <w:t xml:space="preserve"> los sectores en especial situación de vulnerabilidad</w:t>
      </w:r>
      <w:r w:rsidRPr="00141F18">
        <w:rPr>
          <w:rStyle w:val="FootnoteReference"/>
          <w:rFonts w:ascii="Cambria" w:eastAsia="Calibri" w:hAnsi="Cambria" w:cs="Times New Roman"/>
          <w:sz w:val="21"/>
          <w:szCs w:val="21"/>
          <w:lang w:val="es-ES_tradnl"/>
        </w:rPr>
        <w:footnoteReference w:id="31"/>
      </w:r>
      <w:r w:rsidRPr="00141F18">
        <w:rPr>
          <w:rFonts w:ascii="Cambria" w:eastAsia="Calibri" w:hAnsi="Cambria" w:cs="Times New Roman"/>
          <w:sz w:val="21"/>
          <w:szCs w:val="21"/>
          <w:lang w:val="es-ES_tradnl"/>
        </w:rPr>
        <w:t xml:space="preserve">,  </w:t>
      </w:r>
      <w:r w:rsidR="000C69CD" w:rsidRPr="00141F18">
        <w:rPr>
          <w:rFonts w:ascii="Cambria" w:eastAsia="Calibri" w:hAnsi="Cambria" w:cs="Times New Roman"/>
          <w:sz w:val="21"/>
          <w:szCs w:val="21"/>
          <w:lang w:val="es-ES_tradnl"/>
        </w:rPr>
        <w:t xml:space="preserve">la </w:t>
      </w:r>
      <w:r w:rsidRPr="00141F18">
        <w:rPr>
          <w:rFonts w:ascii="Cambria" w:eastAsia="Calibri" w:hAnsi="Cambria" w:cs="Times New Roman"/>
          <w:sz w:val="21"/>
          <w:szCs w:val="21"/>
          <w:lang w:val="es-ES_tradnl"/>
        </w:rPr>
        <w:t>Comisión estima pertinente</w:t>
      </w:r>
      <w:r w:rsidR="00B23C1F" w:rsidRPr="00141F18">
        <w:rPr>
          <w:rFonts w:ascii="Cambria" w:eastAsia="Calibri" w:hAnsi="Cambria" w:cs="Times New Roman"/>
          <w:sz w:val="21"/>
          <w:szCs w:val="21"/>
          <w:lang w:val="es-ES_tradnl"/>
        </w:rPr>
        <w:t xml:space="preserve"> a través del mecanismo de medidas cautelares,</w:t>
      </w:r>
      <w:r w:rsidRPr="00141F18">
        <w:rPr>
          <w:rFonts w:ascii="Cambria" w:eastAsia="Calibri" w:hAnsi="Cambria" w:cs="Times New Roman"/>
          <w:sz w:val="21"/>
          <w:szCs w:val="21"/>
          <w:lang w:val="es-ES_tradnl"/>
        </w:rPr>
        <w:t xml:space="preserve"> identificar aquellas situaciones que serían más prioritarias y que </w:t>
      </w:r>
      <w:r w:rsidR="00C8226E" w:rsidRPr="00141F18">
        <w:rPr>
          <w:rFonts w:ascii="Cambria" w:eastAsia="Calibri" w:hAnsi="Cambria" w:cs="Times New Roman"/>
          <w:sz w:val="21"/>
          <w:szCs w:val="21"/>
          <w:lang w:val="es-ES_tradnl"/>
        </w:rPr>
        <w:t xml:space="preserve">por su severidad </w:t>
      </w:r>
      <w:r w:rsidR="004A3F68" w:rsidRPr="00141F18">
        <w:rPr>
          <w:rFonts w:ascii="Cambria" w:eastAsia="Calibri" w:hAnsi="Cambria" w:cs="Times New Roman"/>
          <w:sz w:val="21"/>
          <w:szCs w:val="21"/>
          <w:lang w:val="es-ES_tradnl"/>
        </w:rPr>
        <w:t xml:space="preserve">y urgencia </w:t>
      </w:r>
      <w:r w:rsidR="00C8226E" w:rsidRPr="00141F18">
        <w:rPr>
          <w:rFonts w:ascii="Cambria" w:eastAsia="Calibri" w:hAnsi="Cambria" w:cs="Times New Roman"/>
          <w:sz w:val="21"/>
          <w:szCs w:val="21"/>
          <w:lang w:val="es-ES_tradnl"/>
        </w:rPr>
        <w:t>pueden</w:t>
      </w:r>
      <w:r w:rsidRPr="00141F18">
        <w:rPr>
          <w:rFonts w:ascii="Cambria" w:eastAsia="Calibri" w:hAnsi="Cambria" w:cs="Times New Roman"/>
          <w:sz w:val="21"/>
          <w:szCs w:val="21"/>
          <w:lang w:val="es-ES_tradnl"/>
        </w:rPr>
        <w:t xml:space="preserve"> afectar de manera </w:t>
      </w:r>
      <w:r w:rsidR="00C8226E" w:rsidRPr="00141F18">
        <w:rPr>
          <w:rFonts w:ascii="Cambria" w:eastAsia="Calibri" w:hAnsi="Cambria" w:cs="Times New Roman"/>
          <w:sz w:val="21"/>
          <w:szCs w:val="21"/>
          <w:lang w:val="es-ES_tradnl"/>
        </w:rPr>
        <w:t>irreparable</w:t>
      </w:r>
      <w:r w:rsidR="004A3F68" w:rsidRPr="00141F18">
        <w:rPr>
          <w:rFonts w:ascii="Cambria" w:eastAsia="Calibri" w:hAnsi="Cambria" w:cs="Times New Roman"/>
          <w:sz w:val="21"/>
          <w:szCs w:val="21"/>
          <w:lang w:val="es-ES_tradnl"/>
        </w:rPr>
        <w:t xml:space="preserve"> y más inmediata</w:t>
      </w:r>
      <w:r w:rsidR="00C8226E" w:rsidRPr="00141F18">
        <w:rPr>
          <w:rFonts w:ascii="Cambria" w:eastAsia="Calibri" w:hAnsi="Cambria" w:cs="Times New Roman"/>
          <w:sz w:val="21"/>
          <w:szCs w:val="21"/>
          <w:lang w:val="es-ES_tradnl"/>
        </w:rPr>
        <w:t xml:space="preserve"> los derechos en juego.</w:t>
      </w:r>
      <w:r w:rsidR="004A3F68" w:rsidRPr="00141F18">
        <w:rPr>
          <w:rFonts w:ascii="Cambria" w:eastAsia="Calibri" w:hAnsi="Cambria" w:cs="Times New Roman"/>
          <w:sz w:val="21"/>
          <w:szCs w:val="21"/>
          <w:lang w:val="es-ES_tradnl"/>
        </w:rPr>
        <w:t xml:space="preserve"> </w:t>
      </w:r>
      <w:r w:rsidR="00470537" w:rsidRPr="00141F18">
        <w:rPr>
          <w:rFonts w:ascii="Cambria" w:eastAsia="Calibri" w:hAnsi="Cambria" w:cs="Times New Roman"/>
          <w:sz w:val="21"/>
          <w:szCs w:val="21"/>
          <w:lang w:val="es-ES_tradnl"/>
        </w:rPr>
        <w:t>Sin perjuicio de lo anterior</w:t>
      </w:r>
      <w:r w:rsidR="004A3F68" w:rsidRPr="00141F18">
        <w:rPr>
          <w:rFonts w:ascii="Cambria" w:eastAsia="Calibri" w:hAnsi="Cambria" w:cs="Times New Roman"/>
          <w:sz w:val="21"/>
          <w:szCs w:val="21"/>
          <w:lang w:val="es-ES_tradnl"/>
        </w:rPr>
        <w:t xml:space="preserve">, la </w:t>
      </w:r>
      <w:r w:rsidR="00D746A5" w:rsidRPr="00141F18">
        <w:rPr>
          <w:rFonts w:ascii="Cambria" w:eastAsia="Calibri" w:hAnsi="Cambria" w:cs="Times New Roman"/>
          <w:sz w:val="21"/>
          <w:szCs w:val="21"/>
          <w:lang w:val="es-ES_tradnl"/>
        </w:rPr>
        <w:t xml:space="preserve">Comisión también subraya que </w:t>
      </w:r>
      <w:r w:rsidR="00C37827" w:rsidRPr="00141F18">
        <w:rPr>
          <w:rFonts w:ascii="Cambria" w:eastAsia="Calibri" w:hAnsi="Cambria" w:cs="Times New Roman"/>
          <w:sz w:val="21"/>
          <w:szCs w:val="21"/>
          <w:lang w:val="es-ES_tradnl"/>
        </w:rPr>
        <w:t>superar el grave deterioro y socavamiento a los diversos servicios sanitarios enfocados en las mujeres en sus distintos niveles y áreas del mencionado Hospital configuran un presupuesto elemental para dar continuidad a una atención médica adecuada</w:t>
      </w:r>
      <w:r w:rsidR="00126520" w:rsidRPr="00141F18">
        <w:rPr>
          <w:rFonts w:ascii="Cambria" w:eastAsia="Calibri" w:hAnsi="Cambria" w:cs="Times New Roman"/>
          <w:sz w:val="21"/>
          <w:szCs w:val="21"/>
          <w:lang w:val="es-ES_tradnl"/>
        </w:rPr>
        <w:t xml:space="preserve"> para la protección del derecho a la salud sexual y reproductiva</w:t>
      </w:r>
      <w:r w:rsidR="00C37827" w:rsidRPr="00141F18">
        <w:rPr>
          <w:rFonts w:ascii="Cambria" w:eastAsia="Calibri" w:hAnsi="Cambria" w:cs="Times New Roman"/>
          <w:sz w:val="21"/>
          <w:szCs w:val="21"/>
          <w:lang w:val="es-ES_tradnl"/>
        </w:rPr>
        <w:t xml:space="preserve">. Por consiguiente, si bien el Estado debe determinar prioridades para </w:t>
      </w:r>
      <w:r w:rsidR="00126520" w:rsidRPr="00141F18">
        <w:rPr>
          <w:rFonts w:ascii="Cambria" w:eastAsia="Calibri" w:hAnsi="Cambria" w:cs="Times New Roman"/>
          <w:sz w:val="21"/>
          <w:szCs w:val="21"/>
          <w:lang w:val="es-ES_tradnl"/>
        </w:rPr>
        <w:t xml:space="preserve">ciertas </w:t>
      </w:r>
      <w:r w:rsidR="00C37827" w:rsidRPr="00141F18">
        <w:rPr>
          <w:rFonts w:ascii="Cambria" w:eastAsia="Calibri" w:hAnsi="Cambria" w:cs="Times New Roman"/>
          <w:sz w:val="21"/>
          <w:szCs w:val="21"/>
          <w:lang w:val="es-ES_tradnl"/>
        </w:rPr>
        <w:t xml:space="preserve">áreas o situaciones, la CIDH enfatiza la importancia de manejar el problema de forma integral, para no dejar de desatender a todas las mujeres que acudan al Hospital y así </w:t>
      </w:r>
      <w:r w:rsidR="00126520" w:rsidRPr="00141F18">
        <w:rPr>
          <w:rFonts w:ascii="Cambria" w:eastAsia="Calibri" w:hAnsi="Cambria" w:cs="Times New Roman"/>
          <w:sz w:val="21"/>
          <w:szCs w:val="21"/>
          <w:lang w:val="es-ES_tradnl"/>
        </w:rPr>
        <w:t xml:space="preserve">no incrementar </w:t>
      </w:r>
      <w:r w:rsidR="00C37827" w:rsidRPr="00141F18">
        <w:rPr>
          <w:rFonts w:ascii="Cambria" w:eastAsia="Calibri" w:hAnsi="Cambria" w:cs="Times New Roman"/>
          <w:sz w:val="21"/>
          <w:szCs w:val="21"/>
          <w:lang w:val="es-ES_tradnl"/>
        </w:rPr>
        <w:t>situaciones de riesgo</w:t>
      </w:r>
      <w:r w:rsidR="00126520" w:rsidRPr="00141F18">
        <w:rPr>
          <w:rFonts w:ascii="Cambria" w:eastAsia="Calibri" w:hAnsi="Cambria" w:cs="Times New Roman"/>
          <w:sz w:val="21"/>
          <w:szCs w:val="21"/>
          <w:lang w:val="es-ES_tradnl"/>
        </w:rPr>
        <w:t xml:space="preserve"> claramente evitables</w:t>
      </w:r>
      <w:r w:rsidR="00C37827" w:rsidRPr="00141F18">
        <w:rPr>
          <w:rFonts w:ascii="Cambria" w:eastAsia="Calibri" w:hAnsi="Cambria" w:cs="Times New Roman"/>
          <w:sz w:val="21"/>
          <w:szCs w:val="21"/>
          <w:lang w:val="es-ES_tradnl"/>
        </w:rPr>
        <w:t xml:space="preserve">. </w:t>
      </w:r>
    </w:p>
    <w:p w:rsidR="00C37827" w:rsidRPr="00141F18" w:rsidRDefault="00C37827" w:rsidP="00C37827">
      <w:pPr>
        <w:rPr>
          <w:rFonts w:ascii="Cambria" w:eastAsia="Calibri" w:hAnsi="Cambria" w:cs="Times New Roman"/>
          <w:sz w:val="21"/>
          <w:szCs w:val="21"/>
          <w:lang w:val="es-ES_tradnl"/>
        </w:rPr>
      </w:pPr>
    </w:p>
    <w:p w:rsidR="004A3F68" w:rsidRPr="00141F18" w:rsidRDefault="0064110B"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Al respecto</w:t>
      </w:r>
      <w:r w:rsidR="00C8226E" w:rsidRPr="00141F18">
        <w:rPr>
          <w:rFonts w:ascii="Cambria" w:eastAsia="Calibri" w:hAnsi="Cambria" w:cs="Times New Roman"/>
          <w:sz w:val="21"/>
          <w:szCs w:val="21"/>
          <w:lang w:val="es-ES_tradnl"/>
        </w:rPr>
        <w:t xml:space="preserve">, de acuerdo con </w:t>
      </w:r>
      <w:r w:rsidR="00A751DD" w:rsidRPr="00141F18">
        <w:rPr>
          <w:rFonts w:ascii="Cambria" w:eastAsia="Calibri" w:hAnsi="Cambria" w:cs="Times New Roman"/>
          <w:sz w:val="21"/>
          <w:szCs w:val="21"/>
          <w:lang w:val="es-ES_tradnl"/>
        </w:rPr>
        <w:t>la información proporcionada por las solicitantes</w:t>
      </w:r>
      <w:r w:rsidR="00C8226E" w:rsidRPr="00141F18">
        <w:rPr>
          <w:rFonts w:ascii="Cambria" w:eastAsia="Calibri" w:hAnsi="Cambria" w:cs="Times New Roman"/>
          <w:sz w:val="21"/>
          <w:szCs w:val="21"/>
          <w:lang w:val="es-ES_tradnl"/>
        </w:rPr>
        <w:t xml:space="preserve"> y teniendo en cuenta las </w:t>
      </w:r>
      <w:r w:rsidRPr="00141F18">
        <w:rPr>
          <w:rFonts w:ascii="Cambria" w:eastAsia="Calibri" w:hAnsi="Cambria" w:cs="Times New Roman"/>
          <w:sz w:val="21"/>
          <w:szCs w:val="21"/>
          <w:lang w:val="es-ES_tradnl"/>
        </w:rPr>
        <w:t>funciones propias</w:t>
      </w:r>
      <w:r w:rsidR="00C8226E" w:rsidRPr="00141F18">
        <w:rPr>
          <w:rFonts w:ascii="Cambria" w:eastAsia="Calibri" w:hAnsi="Cambria" w:cs="Times New Roman"/>
          <w:sz w:val="21"/>
          <w:szCs w:val="21"/>
          <w:lang w:val="es-ES_tradnl"/>
        </w:rPr>
        <w:t xml:space="preserve"> del hospital</w:t>
      </w:r>
      <w:r w:rsidR="00A751DD" w:rsidRPr="00141F18">
        <w:rPr>
          <w:rFonts w:ascii="Cambria" w:eastAsia="Calibri" w:hAnsi="Cambria" w:cs="Times New Roman"/>
          <w:sz w:val="21"/>
          <w:szCs w:val="21"/>
          <w:lang w:val="es-ES_tradnl"/>
        </w:rPr>
        <w:t xml:space="preserve">, </w:t>
      </w:r>
      <w:r w:rsidR="00C8226E" w:rsidRPr="00141F18">
        <w:rPr>
          <w:rFonts w:ascii="Cambria" w:eastAsia="Calibri" w:hAnsi="Cambria" w:cs="Times New Roman"/>
          <w:sz w:val="21"/>
          <w:szCs w:val="21"/>
          <w:lang w:val="es-ES_tradnl"/>
        </w:rPr>
        <w:t>la Comisión estima que</w:t>
      </w:r>
      <w:r w:rsidR="00A751DD" w:rsidRPr="00141F18">
        <w:rPr>
          <w:rFonts w:ascii="Cambria" w:eastAsia="Calibri" w:hAnsi="Cambria" w:cs="Times New Roman"/>
          <w:sz w:val="21"/>
          <w:szCs w:val="21"/>
          <w:lang w:val="es-ES_tradnl"/>
        </w:rPr>
        <w:t xml:space="preserve"> una falta o insuficiencia en la atención </w:t>
      </w:r>
      <w:r w:rsidR="00C8226E" w:rsidRPr="00141F18">
        <w:rPr>
          <w:rFonts w:ascii="Cambria" w:eastAsia="Calibri" w:hAnsi="Cambria" w:cs="Times New Roman"/>
          <w:sz w:val="21"/>
          <w:szCs w:val="21"/>
          <w:lang w:val="es-ES_tradnl"/>
        </w:rPr>
        <w:t xml:space="preserve">en condiciones urgencias </w:t>
      </w:r>
      <w:r w:rsidR="00A751DD" w:rsidRPr="00141F18">
        <w:rPr>
          <w:rFonts w:ascii="Cambria" w:eastAsia="Calibri" w:hAnsi="Cambria" w:cs="Times New Roman"/>
          <w:sz w:val="21"/>
          <w:szCs w:val="21"/>
          <w:lang w:val="es-ES_tradnl"/>
        </w:rPr>
        <w:t>médica</w:t>
      </w:r>
      <w:r w:rsidR="00C8226E" w:rsidRPr="00141F18">
        <w:rPr>
          <w:rFonts w:ascii="Cambria" w:eastAsia="Calibri" w:hAnsi="Cambria" w:cs="Times New Roman"/>
          <w:sz w:val="21"/>
          <w:szCs w:val="21"/>
          <w:lang w:val="es-ES_tradnl"/>
        </w:rPr>
        <w:t>s</w:t>
      </w:r>
      <w:r w:rsidR="00A751DD" w:rsidRPr="00141F18">
        <w:rPr>
          <w:rFonts w:ascii="Cambria" w:eastAsia="Calibri" w:hAnsi="Cambria" w:cs="Times New Roman"/>
          <w:sz w:val="21"/>
          <w:szCs w:val="21"/>
          <w:lang w:val="es-ES_tradnl"/>
        </w:rPr>
        <w:t xml:space="preserve"> </w:t>
      </w:r>
      <w:r w:rsidR="00C8226E" w:rsidRPr="00141F18">
        <w:rPr>
          <w:rFonts w:ascii="Cambria" w:eastAsia="Calibri" w:hAnsi="Cambria" w:cs="Times New Roman"/>
          <w:sz w:val="21"/>
          <w:szCs w:val="21"/>
          <w:lang w:val="es-ES_tradnl"/>
        </w:rPr>
        <w:t xml:space="preserve">de las mujeres, así como de los </w:t>
      </w:r>
      <w:r w:rsidR="00CA52B9" w:rsidRPr="00141F18">
        <w:rPr>
          <w:rFonts w:ascii="Cambria" w:eastAsia="Calibri" w:hAnsi="Cambria" w:cs="Times New Roman"/>
          <w:sz w:val="21"/>
          <w:szCs w:val="21"/>
          <w:lang w:val="es-ES_tradnl"/>
        </w:rPr>
        <w:t>recién nacidos</w:t>
      </w:r>
      <w:r w:rsidR="00C8226E" w:rsidRPr="00141F18">
        <w:rPr>
          <w:rFonts w:ascii="Cambria" w:eastAsia="Calibri" w:hAnsi="Cambria" w:cs="Times New Roman"/>
          <w:sz w:val="21"/>
          <w:szCs w:val="21"/>
          <w:lang w:val="es-ES_tradnl"/>
        </w:rPr>
        <w:t xml:space="preserve"> </w:t>
      </w:r>
      <w:r w:rsidR="00A751DD" w:rsidRPr="00141F18">
        <w:rPr>
          <w:rFonts w:ascii="Cambria" w:eastAsia="Calibri" w:hAnsi="Cambria" w:cs="Times New Roman"/>
          <w:sz w:val="21"/>
          <w:szCs w:val="21"/>
          <w:lang w:val="es-ES_tradnl"/>
        </w:rPr>
        <w:t xml:space="preserve">en </w:t>
      </w:r>
      <w:r w:rsidR="00C8226E" w:rsidRPr="00141F18">
        <w:rPr>
          <w:rFonts w:ascii="Cambria" w:eastAsia="Calibri" w:hAnsi="Cambria" w:cs="Times New Roman"/>
          <w:sz w:val="21"/>
          <w:szCs w:val="21"/>
          <w:lang w:val="es-ES_tradnl"/>
        </w:rPr>
        <w:t xml:space="preserve">las </w:t>
      </w:r>
      <w:r w:rsidR="00A751DD" w:rsidRPr="00141F18">
        <w:rPr>
          <w:rFonts w:ascii="Cambria" w:eastAsia="Calibri" w:hAnsi="Cambria" w:cs="Times New Roman"/>
          <w:sz w:val="21"/>
          <w:szCs w:val="21"/>
          <w:lang w:val="es-ES_tradnl"/>
        </w:rPr>
        <w:t xml:space="preserve">etapas más tempranas </w:t>
      </w:r>
      <w:r w:rsidR="00C8226E" w:rsidRPr="00141F18">
        <w:rPr>
          <w:rFonts w:ascii="Cambria" w:eastAsia="Calibri" w:hAnsi="Cambria" w:cs="Times New Roman"/>
          <w:sz w:val="21"/>
          <w:szCs w:val="21"/>
          <w:lang w:val="es-ES_tradnl"/>
        </w:rPr>
        <w:t>de sus vidas</w:t>
      </w:r>
      <w:r w:rsidR="006C7F40" w:rsidRPr="00141F18">
        <w:rPr>
          <w:rFonts w:ascii="Cambria" w:eastAsia="Calibri" w:hAnsi="Cambria" w:cs="Times New Roman"/>
          <w:sz w:val="21"/>
          <w:szCs w:val="21"/>
          <w:lang w:val="es-ES_tradnl"/>
        </w:rPr>
        <w:t>,</w:t>
      </w:r>
      <w:r w:rsidR="00C8226E" w:rsidRPr="00141F18">
        <w:rPr>
          <w:rFonts w:ascii="Cambria" w:eastAsia="Calibri" w:hAnsi="Cambria" w:cs="Times New Roman"/>
          <w:sz w:val="21"/>
          <w:szCs w:val="21"/>
          <w:lang w:val="es-ES_tradnl"/>
        </w:rPr>
        <w:t xml:space="preserve"> </w:t>
      </w:r>
      <w:r w:rsidR="006C7F40" w:rsidRPr="00141F18">
        <w:rPr>
          <w:rFonts w:ascii="Cambria" w:eastAsia="Calibri" w:hAnsi="Cambria" w:cs="Times New Roman"/>
          <w:sz w:val="21"/>
          <w:szCs w:val="21"/>
          <w:lang w:val="es-ES_tradnl"/>
        </w:rPr>
        <w:t>podría</w:t>
      </w:r>
      <w:r w:rsidR="00A751DD" w:rsidRPr="00141F18">
        <w:rPr>
          <w:rFonts w:ascii="Cambria" w:eastAsia="Calibri" w:hAnsi="Cambria" w:cs="Times New Roman"/>
          <w:sz w:val="21"/>
          <w:szCs w:val="21"/>
          <w:lang w:val="es-ES_tradnl"/>
        </w:rPr>
        <w:t xml:space="preserve"> llegar a ocasionar un daño de naturaleza irreparable</w:t>
      </w:r>
      <w:r w:rsidR="00C8226E" w:rsidRPr="00141F18">
        <w:rPr>
          <w:rFonts w:ascii="Cambria" w:eastAsia="Calibri" w:hAnsi="Cambria" w:cs="Times New Roman"/>
          <w:sz w:val="21"/>
          <w:szCs w:val="21"/>
          <w:lang w:val="es-ES_tradnl"/>
        </w:rPr>
        <w:t>, en el marco de la situación descrita</w:t>
      </w:r>
      <w:r w:rsidR="006A12E5" w:rsidRPr="00141F18">
        <w:rPr>
          <w:rFonts w:ascii="Cambria" w:eastAsia="Calibri" w:hAnsi="Cambria" w:cs="Times New Roman"/>
          <w:sz w:val="21"/>
          <w:szCs w:val="21"/>
          <w:lang w:val="es-ES_tradnl"/>
        </w:rPr>
        <w:t xml:space="preserve">. </w:t>
      </w:r>
      <w:r w:rsidRPr="00141F18">
        <w:rPr>
          <w:rFonts w:ascii="Cambria" w:eastAsia="Calibri" w:hAnsi="Cambria" w:cs="Times New Roman"/>
          <w:sz w:val="21"/>
          <w:szCs w:val="21"/>
          <w:lang w:val="es-ES_tradnl"/>
        </w:rPr>
        <w:t>En efecto, la Comisión se ha pronunciado indicando que el deber de los Estados de garantizar el derecho a la integridad física, psíquica y moral de las mujeres en el acceso a servicios de salud materna en condiciones de igualdad, “</w:t>
      </w:r>
      <w:r w:rsidR="006C7F40" w:rsidRPr="00141F18">
        <w:rPr>
          <w:rFonts w:ascii="Cambria" w:eastAsia="Calibri" w:hAnsi="Cambria" w:cs="Times New Roman"/>
          <w:sz w:val="21"/>
          <w:szCs w:val="21"/>
          <w:lang w:val="es-ES_tradnl"/>
        </w:rPr>
        <w:t xml:space="preserve">[…] </w:t>
      </w:r>
      <w:r w:rsidRPr="00141F18">
        <w:rPr>
          <w:rFonts w:ascii="Cambria" w:eastAsia="Calibri" w:hAnsi="Cambria" w:cs="Times New Roman"/>
          <w:sz w:val="21"/>
          <w:szCs w:val="21"/>
          <w:lang w:val="es-ES_tradnl"/>
        </w:rPr>
        <w:t xml:space="preserve">implica la priorización de recursos para atender las necesidades particulares de las mujeres en cuanto al embarazo, parto y periodo posterior al parto, </w:t>
      </w:r>
      <w:r w:rsidRPr="00141F18">
        <w:rPr>
          <w:rFonts w:ascii="Cambria" w:eastAsia="Calibri" w:hAnsi="Cambria" w:cs="Times New Roman"/>
          <w:sz w:val="21"/>
          <w:szCs w:val="21"/>
          <w:lang w:val="es-ES_tradnl"/>
        </w:rPr>
        <w:lastRenderedPageBreak/>
        <w:t>particularmente en la implementación de intervenciones claves que contribuyan a garantizar la salud materna, como la atención de las emergencias obstétricas”</w:t>
      </w:r>
      <w:r w:rsidRPr="00141F18">
        <w:rPr>
          <w:rStyle w:val="FootnoteReference"/>
          <w:rFonts w:ascii="Cambria" w:eastAsia="Calibri" w:hAnsi="Cambria" w:cs="Times New Roman"/>
          <w:sz w:val="21"/>
          <w:szCs w:val="21"/>
          <w:lang w:val="es-ES_tradnl"/>
        </w:rPr>
        <w:footnoteReference w:id="32"/>
      </w:r>
      <w:r w:rsidRPr="00141F18">
        <w:rPr>
          <w:rFonts w:ascii="Cambria" w:eastAsia="Calibri" w:hAnsi="Cambria" w:cs="Times New Roman"/>
          <w:sz w:val="21"/>
          <w:szCs w:val="21"/>
          <w:lang w:val="es-ES_tradnl"/>
        </w:rPr>
        <w:t>.</w:t>
      </w:r>
    </w:p>
    <w:p w:rsidR="004A3F68" w:rsidRPr="00141F18" w:rsidRDefault="004A3F68" w:rsidP="004A3F68">
      <w:pPr>
        <w:pStyle w:val="ListParagraph"/>
        <w:rPr>
          <w:rFonts w:ascii="Cambria" w:eastAsia="Calibri" w:hAnsi="Cambria" w:cs="Times New Roman"/>
          <w:sz w:val="21"/>
          <w:szCs w:val="21"/>
          <w:lang w:val="es-ES_tradnl"/>
        </w:rPr>
      </w:pPr>
    </w:p>
    <w:p w:rsidR="004A3F68" w:rsidRPr="00141F18" w:rsidRDefault="00D036BC"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 xml:space="preserve">En relación con este punto, la Comisión en efecto se muestra alarmada ante el elevado número de fallecimientos, </w:t>
      </w:r>
      <w:r w:rsidR="00401FAC" w:rsidRPr="00141F18">
        <w:rPr>
          <w:rFonts w:ascii="Cambria" w:eastAsia="Calibri" w:hAnsi="Cambria" w:cs="Times New Roman"/>
          <w:sz w:val="21"/>
          <w:szCs w:val="21"/>
          <w:lang w:val="es-ES_tradnl"/>
        </w:rPr>
        <w:t xml:space="preserve">reportándose hasta quince casos de pacientes y doscientos sesenta y cinco recién nacidos, de los cuales quince se habrían producido en el mes de enero de 2019. </w:t>
      </w:r>
      <w:r w:rsidR="00E94BD8" w:rsidRPr="00141F18">
        <w:rPr>
          <w:rFonts w:ascii="Cambria" w:eastAsia="Calibri" w:hAnsi="Cambria" w:cs="Times New Roman"/>
          <w:sz w:val="21"/>
          <w:szCs w:val="21"/>
          <w:lang w:val="es-ES_tradnl"/>
        </w:rPr>
        <w:t>A pesar de no contar con información más detallada sobre las circunstancias de los fallecimientos para determinar sus causas directas, la Comisión toma en cuenta los alegatos de las solicitantes</w:t>
      </w:r>
      <w:r w:rsidR="00CA52B9" w:rsidRPr="00141F18">
        <w:rPr>
          <w:rFonts w:ascii="Cambria" w:eastAsia="Calibri" w:hAnsi="Cambria" w:cs="Times New Roman"/>
          <w:sz w:val="21"/>
          <w:szCs w:val="21"/>
          <w:lang w:val="es-ES_tradnl"/>
        </w:rPr>
        <w:t>,</w:t>
      </w:r>
      <w:r w:rsidR="00E94BD8" w:rsidRPr="00141F18">
        <w:rPr>
          <w:rFonts w:ascii="Cambria" w:eastAsia="Calibri" w:hAnsi="Cambria" w:cs="Times New Roman"/>
          <w:sz w:val="21"/>
          <w:szCs w:val="21"/>
          <w:lang w:val="es-ES_tradnl"/>
        </w:rPr>
        <w:t xml:space="preserve"> según </w:t>
      </w:r>
      <w:r w:rsidR="00A24F68" w:rsidRPr="00141F18">
        <w:rPr>
          <w:rFonts w:ascii="Cambria" w:eastAsia="Calibri" w:hAnsi="Cambria" w:cs="Times New Roman"/>
          <w:sz w:val="21"/>
          <w:szCs w:val="21"/>
          <w:lang w:val="es-ES_tradnl"/>
        </w:rPr>
        <w:t xml:space="preserve">los cuales </w:t>
      </w:r>
      <w:r w:rsidR="00E94BD8" w:rsidRPr="00141F18">
        <w:rPr>
          <w:rFonts w:ascii="Cambria" w:eastAsia="Calibri" w:hAnsi="Cambria" w:cs="Times New Roman"/>
          <w:sz w:val="21"/>
          <w:szCs w:val="21"/>
          <w:lang w:val="es-ES_tradnl"/>
        </w:rPr>
        <w:t xml:space="preserve">algunas de estas defunciones, como mínimo, </w:t>
      </w:r>
      <w:r w:rsidR="00305C64" w:rsidRPr="00141F18">
        <w:rPr>
          <w:rFonts w:ascii="Cambria" w:eastAsia="Calibri" w:hAnsi="Cambria" w:cs="Times New Roman"/>
          <w:sz w:val="21"/>
          <w:szCs w:val="21"/>
          <w:lang w:val="es-ES_tradnl"/>
        </w:rPr>
        <w:t xml:space="preserve">se precipitaron </w:t>
      </w:r>
      <w:r w:rsidR="002F4C88" w:rsidRPr="00141F18">
        <w:rPr>
          <w:rFonts w:ascii="Cambria" w:eastAsia="Calibri" w:hAnsi="Cambria" w:cs="Times New Roman"/>
          <w:sz w:val="21"/>
          <w:szCs w:val="21"/>
          <w:lang w:val="es-ES_tradnl"/>
        </w:rPr>
        <w:t>debido a</w:t>
      </w:r>
      <w:r w:rsidR="00305C64" w:rsidRPr="00141F18">
        <w:rPr>
          <w:rFonts w:ascii="Cambria" w:eastAsia="Calibri" w:hAnsi="Cambria" w:cs="Times New Roman"/>
          <w:sz w:val="21"/>
          <w:szCs w:val="21"/>
          <w:lang w:val="es-ES_tradnl"/>
        </w:rPr>
        <w:t xml:space="preserve"> la falta de acceso a un tratamiento oportuno y adecuado, </w:t>
      </w:r>
      <w:r w:rsidR="004A3F68" w:rsidRPr="00141F18">
        <w:rPr>
          <w:rFonts w:ascii="Cambria" w:eastAsia="Calibri" w:hAnsi="Cambria" w:cs="Times New Roman"/>
          <w:sz w:val="21"/>
          <w:szCs w:val="21"/>
          <w:lang w:val="es-ES_tradnl"/>
        </w:rPr>
        <w:t xml:space="preserve">incluyendo la escasez de insumos médicos y personal especializado, </w:t>
      </w:r>
      <w:r w:rsidR="00305C64" w:rsidRPr="00141F18">
        <w:rPr>
          <w:rFonts w:ascii="Cambria" w:eastAsia="Calibri" w:hAnsi="Cambria" w:cs="Times New Roman"/>
          <w:sz w:val="21"/>
          <w:szCs w:val="21"/>
          <w:lang w:val="es-ES_tradnl"/>
        </w:rPr>
        <w:t xml:space="preserve">así como </w:t>
      </w:r>
      <w:r w:rsidR="002F4C88" w:rsidRPr="00141F18">
        <w:rPr>
          <w:rFonts w:ascii="Cambria" w:eastAsia="Calibri" w:hAnsi="Cambria" w:cs="Times New Roman"/>
          <w:sz w:val="21"/>
          <w:szCs w:val="21"/>
          <w:lang w:val="es-ES_tradnl"/>
        </w:rPr>
        <w:t>a</w:t>
      </w:r>
      <w:r w:rsidR="00305C64" w:rsidRPr="00141F18">
        <w:rPr>
          <w:rFonts w:ascii="Cambria" w:eastAsia="Calibri" w:hAnsi="Cambria" w:cs="Times New Roman"/>
          <w:sz w:val="21"/>
          <w:szCs w:val="21"/>
          <w:lang w:val="es-ES_tradnl"/>
        </w:rPr>
        <w:t xml:space="preserve"> las graves condiciones de insalubridad </w:t>
      </w:r>
      <w:r w:rsidR="004A3F68" w:rsidRPr="00141F18">
        <w:rPr>
          <w:rFonts w:ascii="Cambria" w:eastAsia="Calibri" w:hAnsi="Cambria" w:cs="Times New Roman"/>
          <w:sz w:val="21"/>
          <w:szCs w:val="21"/>
          <w:lang w:val="es-ES_tradnl"/>
        </w:rPr>
        <w:t xml:space="preserve">que afectarían al Hospital </w:t>
      </w:r>
      <w:r w:rsidR="00305C64" w:rsidRPr="00141F18">
        <w:rPr>
          <w:rFonts w:ascii="Cambria" w:eastAsia="Calibri" w:hAnsi="Cambria" w:cs="Times New Roman"/>
          <w:sz w:val="21"/>
          <w:szCs w:val="21"/>
          <w:lang w:val="es-ES_tradnl"/>
        </w:rPr>
        <w:t>en general.</w:t>
      </w:r>
      <w:r w:rsidR="002F4C88" w:rsidRPr="00141F18">
        <w:rPr>
          <w:rFonts w:ascii="Cambria" w:eastAsia="Calibri" w:hAnsi="Cambria" w:cs="Times New Roman"/>
          <w:sz w:val="21"/>
          <w:szCs w:val="21"/>
          <w:lang w:val="es-ES_tradnl"/>
        </w:rPr>
        <w:t xml:space="preserve"> </w:t>
      </w:r>
      <w:r w:rsidR="00FF3201" w:rsidRPr="00141F18">
        <w:rPr>
          <w:rFonts w:ascii="Cambria" w:eastAsia="Calibri" w:hAnsi="Cambria" w:cs="Times New Roman"/>
          <w:sz w:val="21"/>
          <w:szCs w:val="21"/>
          <w:lang w:val="es-ES_tradnl"/>
        </w:rPr>
        <w:t>En tal escenario, la Comisión estima razonable considerar que varias de las muertes o afectaciones que se han producido pueden derivar de la falta de tratamiento adecuado ante emergencias obstétricas, o bien</w:t>
      </w:r>
      <w:r w:rsidR="000129C9" w:rsidRPr="00141F18">
        <w:rPr>
          <w:rFonts w:ascii="Cambria" w:eastAsia="Calibri" w:hAnsi="Cambria" w:cs="Times New Roman"/>
          <w:sz w:val="21"/>
          <w:szCs w:val="21"/>
          <w:lang w:val="es-ES_tradnl"/>
        </w:rPr>
        <w:t>,</w:t>
      </w:r>
      <w:r w:rsidR="00FF3201" w:rsidRPr="00141F18">
        <w:rPr>
          <w:rFonts w:ascii="Cambria" w:eastAsia="Calibri" w:hAnsi="Cambria" w:cs="Times New Roman"/>
          <w:sz w:val="21"/>
          <w:szCs w:val="21"/>
          <w:lang w:val="es-ES_tradnl"/>
        </w:rPr>
        <w:t xml:space="preserve"> de situaciones médicas que requieren especiales cuidados </w:t>
      </w:r>
      <w:r w:rsidR="00BF23B1" w:rsidRPr="00141F18">
        <w:rPr>
          <w:rFonts w:ascii="Cambria" w:eastAsia="Calibri" w:hAnsi="Cambria" w:cs="Times New Roman"/>
          <w:sz w:val="21"/>
          <w:szCs w:val="21"/>
          <w:lang w:val="es-ES_tradnl"/>
        </w:rPr>
        <w:t>atendiendo a las particularidades de los servicios de salud materna. En este sentido, la Comisión observa que</w:t>
      </w:r>
      <w:r w:rsidR="000129C9" w:rsidRPr="00141F18">
        <w:rPr>
          <w:rFonts w:ascii="Cambria" w:eastAsia="Calibri" w:hAnsi="Cambria" w:cs="Times New Roman"/>
          <w:sz w:val="21"/>
          <w:szCs w:val="21"/>
          <w:lang w:val="es-ES_tradnl"/>
        </w:rPr>
        <w:t xml:space="preserve"> </w:t>
      </w:r>
      <w:r w:rsidR="00BF23B1" w:rsidRPr="00141F18">
        <w:rPr>
          <w:rFonts w:ascii="Cambria" w:eastAsia="Calibri" w:hAnsi="Cambria" w:cs="Times New Roman"/>
          <w:sz w:val="21"/>
          <w:szCs w:val="21"/>
          <w:lang w:val="es-ES_tradnl"/>
        </w:rPr>
        <w:t xml:space="preserve">en el presente asunto los factores de riesgo descritos </w:t>
      </w:r>
      <w:r w:rsidR="00126520" w:rsidRPr="00141F18">
        <w:rPr>
          <w:rFonts w:ascii="Cambria" w:eastAsia="Calibri" w:hAnsi="Cambria" w:cs="Times New Roman"/>
          <w:sz w:val="21"/>
          <w:szCs w:val="21"/>
          <w:lang w:val="es-ES_tradnl"/>
        </w:rPr>
        <w:t xml:space="preserve">tendrían </w:t>
      </w:r>
      <w:r w:rsidR="00BF23B1" w:rsidRPr="00141F18">
        <w:rPr>
          <w:rFonts w:ascii="Cambria" w:eastAsia="Calibri" w:hAnsi="Cambria" w:cs="Times New Roman"/>
          <w:sz w:val="21"/>
          <w:szCs w:val="21"/>
          <w:lang w:val="es-ES_tradnl"/>
        </w:rPr>
        <w:t>serias consecuencias diferenciadas en la salud de las beneficiarias, por su sola condición de mujer</w:t>
      </w:r>
      <w:r w:rsidR="00B47FBB" w:rsidRPr="00141F18">
        <w:rPr>
          <w:rFonts w:ascii="Cambria" w:eastAsia="Calibri" w:hAnsi="Cambria" w:cs="Times New Roman"/>
          <w:sz w:val="21"/>
          <w:szCs w:val="21"/>
          <w:lang w:val="es-ES_tradnl"/>
        </w:rPr>
        <w:t xml:space="preserve">, ya que éstas suponen </w:t>
      </w:r>
      <w:r w:rsidR="00B23C1F" w:rsidRPr="00141F18">
        <w:rPr>
          <w:rFonts w:ascii="Cambria" w:eastAsia="Calibri" w:hAnsi="Cambria" w:cs="Times New Roman"/>
          <w:sz w:val="21"/>
          <w:szCs w:val="21"/>
          <w:lang w:val="es-ES_tradnl"/>
        </w:rPr>
        <w:t xml:space="preserve">una forma adicional de </w:t>
      </w:r>
      <w:r w:rsidR="00BF23B1" w:rsidRPr="00141F18">
        <w:rPr>
          <w:rFonts w:ascii="Cambria" w:eastAsia="Calibri" w:hAnsi="Cambria" w:cs="Times New Roman"/>
          <w:sz w:val="21"/>
          <w:szCs w:val="21"/>
          <w:lang w:val="es-ES_tradnl"/>
        </w:rPr>
        <w:t>violencia en su contra.</w:t>
      </w:r>
    </w:p>
    <w:p w:rsidR="004A3F68" w:rsidRPr="00141F18" w:rsidRDefault="004A3F68" w:rsidP="004A3F68">
      <w:pPr>
        <w:pStyle w:val="ListParagraph"/>
        <w:ind w:left="360"/>
        <w:jc w:val="both"/>
        <w:rPr>
          <w:rFonts w:ascii="Cambria" w:eastAsia="Calibri" w:hAnsi="Cambria" w:cs="Times New Roman"/>
          <w:sz w:val="21"/>
          <w:szCs w:val="20"/>
          <w:lang w:val="es-ES_tradnl"/>
        </w:rPr>
      </w:pPr>
    </w:p>
    <w:p w:rsidR="004A3F68" w:rsidRPr="00141F18" w:rsidRDefault="001470ED"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En estas circunstancias, la Comisión lamenta la falta de respuesta del Estado, máxime frente a la na</w:t>
      </w:r>
      <w:r w:rsidR="00CD1A04" w:rsidRPr="00141F18">
        <w:rPr>
          <w:rFonts w:ascii="Cambria" w:eastAsia="Calibri" w:hAnsi="Cambria" w:cs="Times New Roman"/>
          <w:sz w:val="21"/>
          <w:szCs w:val="21"/>
          <w:lang w:val="es-ES_tradnl"/>
        </w:rPr>
        <w:t xml:space="preserve">turaleza de los hechos alegados, cuyo silencio contrasta con la gravedad de la situación. Si bien ello no justifica </w:t>
      </w:r>
      <w:r w:rsidR="00CD1A04" w:rsidRPr="00141F18">
        <w:rPr>
          <w:rFonts w:ascii="Cambria" w:eastAsia="Calibri" w:hAnsi="Cambria" w:cs="Times New Roman"/>
          <w:i/>
          <w:sz w:val="21"/>
          <w:szCs w:val="21"/>
          <w:lang w:val="es-ES_tradnl"/>
        </w:rPr>
        <w:t>per se</w:t>
      </w:r>
      <w:r w:rsidR="00CD1A04" w:rsidRPr="00141F18">
        <w:rPr>
          <w:rFonts w:ascii="Cambria" w:eastAsia="Calibri" w:hAnsi="Cambria" w:cs="Times New Roman"/>
          <w:sz w:val="21"/>
          <w:szCs w:val="21"/>
          <w:lang w:val="es-ES_tradnl"/>
        </w:rPr>
        <w:t xml:space="preserve"> el otorgamiento de una medida cautelar, sí impide a la Comisión conocer sus observaciones acerca de la presente solicitud</w:t>
      </w:r>
      <w:r w:rsidR="00B47FBB" w:rsidRPr="00141F18">
        <w:rPr>
          <w:rFonts w:ascii="Cambria" w:eastAsia="Calibri" w:hAnsi="Cambria" w:cs="Times New Roman"/>
          <w:sz w:val="21"/>
          <w:szCs w:val="21"/>
          <w:lang w:val="es-ES_tradnl"/>
        </w:rPr>
        <w:t xml:space="preserve"> incluyendo, por ejemplo, diagnósticos o cifras oficiales que respondan a</w:t>
      </w:r>
      <w:r w:rsidR="00CD1A04" w:rsidRPr="00141F18">
        <w:rPr>
          <w:rFonts w:ascii="Cambria" w:eastAsia="Calibri" w:hAnsi="Cambria" w:cs="Times New Roman"/>
          <w:sz w:val="21"/>
          <w:szCs w:val="21"/>
          <w:lang w:val="es-ES_tradnl"/>
        </w:rPr>
        <w:t xml:space="preserve"> los </w:t>
      </w:r>
      <w:r w:rsidR="00CA52B9" w:rsidRPr="00141F18">
        <w:rPr>
          <w:rFonts w:ascii="Cambria" w:eastAsia="Calibri" w:hAnsi="Cambria" w:cs="Times New Roman"/>
          <w:sz w:val="21"/>
          <w:szCs w:val="21"/>
          <w:lang w:val="es-ES_tradnl"/>
        </w:rPr>
        <w:t xml:space="preserve">cuestionamientos </w:t>
      </w:r>
      <w:r w:rsidR="00CD1A04" w:rsidRPr="00141F18">
        <w:rPr>
          <w:rFonts w:ascii="Cambria" w:eastAsia="Calibri" w:hAnsi="Cambria" w:cs="Times New Roman"/>
          <w:sz w:val="21"/>
          <w:szCs w:val="21"/>
          <w:lang w:val="es-ES_tradnl"/>
        </w:rPr>
        <w:t>planteados</w:t>
      </w:r>
      <w:r w:rsidR="00B47FBB" w:rsidRPr="00141F18">
        <w:rPr>
          <w:rFonts w:ascii="Cambria" w:eastAsia="Calibri" w:hAnsi="Cambria" w:cs="Times New Roman"/>
          <w:sz w:val="21"/>
          <w:szCs w:val="21"/>
          <w:lang w:val="es-ES_tradnl"/>
        </w:rPr>
        <w:t>,</w:t>
      </w:r>
      <w:r w:rsidR="009075BC" w:rsidRPr="00141F18">
        <w:rPr>
          <w:rFonts w:ascii="Cambria" w:eastAsia="Calibri" w:hAnsi="Cambria" w:cs="Times New Roman"/>
          <w:sz w:val="21"/>
          <w:szCs w:val="21"/>
          <w:lang w:val="es-ES_tradnl"/>
        </w:rPr>
        <w:t xml:space="preserve"> </w:t>
      </w:r>
      <w:r w:rsidR="00B47FBB" w:rsidRPr="00141F18">
        <w:rPr>
          <w:rFonts w:ascii="Cambria" w:eastAsia="Calibri" w:hAnsi="Cambria" w:cs="Times New Roman"/>
          <w:sz w:val="21"/>
          <w:szCs w:val="21"/>
          <w:lang w:val="es-ES_tradnl"/>
        </w:rPr>
        <w:t>en vista de su</w:t>
      </w:r>
      <w:r w:rsidR="009075BC" w:rsidRPr="00141F18">
        <w:rPr>
          <w:rFonts w:ascii="Cambria" w:eastAsia="Calibri" w:hAnsi="Cambria" w:cs="Times New Roman"/>
          <w:sz w:val="21"/>
          <w:szCs w:val="21"/>
          <w:lang w:val="es-ES_tradnl"/>
        </w:rPr>
        <w:t xml:space="preserve"> gran alcance. En</w:t>
      </w:r>
      <w:r w:rsidR="00CD1A04" w:rsidRPr="00141F18">
        <w:rPr>
          <w:rFonts w:ascii="Cambria" w:eastAsia="Calibri" w:hAnsi="Cambria" w:cs="Times New Roman"/>
          <w:sz w:val="21"/>
          <w:szCs w:val="21"/>
          <w:lang w:val="es-ES_tradnl"/>
        </w:rPr>
        <w:t xml:space="preserve"> estas condiciones, </w:t>
      </w:r>
      <w:r w:rsidR="009075BC" w:rsidRPr="00141F18">
        <w:rPr>
          <w:rFonts w:ascii="Cambria" w:eastAsia="Calibri" w:hAnsi="Cambria" w:cs="Times New Roman"/>
          <w:sz w:val="21"/>
          <w:szCs w:val="21"/>
          <w:lang w:val="es-ES_tradnl"/>
        </w:rPr>
        <w:t xml:space="preserve">la Comisión considera que el Estado </w:t>
      </w:r>
      <w:r w:rsidR="00CD1A04" w:rsidRPr="00141F18">
        <w:rPr>
          <w:rFonts w:ascii="Cambria" w:eastAsia="Calibri" w:hAnsi="Cambria" w:cs="Times New Roman"/>
          <w:sz w:val="21"/>
          <w:szCs w:val="21"/>
          <w:lang w:val="es-ES_tradnl"/>
        </w:rPr>
        <w:t xml:space="preserve">no </w:t>
      </w:r>
      <w:r w:rsidR="009075BC" w:rsidRPr="00141F18">
        <w:rPr>
          <w:rFonts w:ascii="Cambria" w:eastAsia="Calibri" w:hAnsi="Cambria" w:cs="Times New Roman"/>
          <w:sz w:val="21"/>
          <w:szCs w:val="21"/>
          <w:lang w:val="es-ES_tradnl"/>
        </w:rPr>
        <w:t>ha</w:t>
      </w:r>
      <w:r w:rsidR="00CD1A04" w:rsidRPr="00141F18">
        <w:rPr>
          <w:rFonts w:ascii="Cambria" w:eastAsia="Calibri" w:hAnsi="Cambria" w:cs="Times New Roman"/>
          <w:sz w:val="21"/>
          <w:szCs w:val="21"/>
          <w:lang w:val="es-ES_tradnl"/>
        </w:rPr>
        <w:t xml:space="preserve"> desvirtua</w:t>
      </w:r>
      <w:r w:rsidR="009075BC" w:rsidRPr="00141F18">
        <w:rPr>
          <w:rFonts w:ascii="Cambria" w:eastAsia="Calibri" w:hAnsi="Cambria" w:cs="Times New Roman"/>
          <w:sz w:val="21"/>
          <w:szCs w:val="21"/>
          <w:lang w:val="es-ES_tradnl"/>
        </w:rPr>
        <w:t xml:space="preserve">do </w:t>
      </w:r>
      <w:r w:rsidR="00CD1A04" w:rsidRPr="00141F18">
        <w:rPr>
          <w:rFonts w:ascii="Cambria" w:eastAsia="Calibri" w:hAnsi="Cambria" w:cs="Times New Roman"/>
          <w:sz w:val="21"/>
          <w:szCs w:val="21"/>
          <w:lang w:val="es-ES_tradnl"/>
        </w:rPr>
        <w:t xml:space="preserve">la </w:t>
      </w:r>
      <w:r w:rsidR="00CA52B9" w:rsidRPr="00141F18">
        <w:rPr>
          <w:rFonts w:ascii="Cambria" w:eastAsia="Calibri" w:hAnsi="Cambria" w:cs="Times New Roman"/>
          <w:sz w:val="21"/>
          <w:szCs w:val="21"/>
          <w:lang w:val="es-ES_tradnl"/>
        </w:rPr>
        <w:t xml:space="preserve">preocupante </w:t>
      </w:r>
      <w:r w:rsidR="00CD1A04" w:rsidRPr="00141F18">
        <w:rPr>
          <w:rFonts w:ascii="Cambria" w:eastAsia="Calibri" w:hAnsi="Cambria" w:cs="Times New Roman"/>
          <w:sz w:val="21"/>
          <w:szCs w:val="21"/>
          <w:lang w:val="es-ES_tradnl"/>
        </w:rPr>
        <w:t xml:space="preserve">situación de riesgo </w:t>
      </w:r>
      <w:r w:rsidR="009075BC" w:rsidRPr="00141F18">
        <w:rPr>
          <w:rFonts w:ascii="Cambria" w:eastAsia="Calibri" w:hAnsi="Cambria" w:cs="Times New Roman"/>
          <w:sz w:val="21"/>
          <w:szCs w:val="21"/>
          <w:lang w:val="es-ES_tradnl"/>
        </w:rPr>
        <w:t>alegada</w:t>
      </w:r>
      <w:r w:rsidR="00CD1A04" w:rsidRPr="00141F18">
        <w:rPr>
          <w:rFonts w:ascii="Cambria" w:eastAsia="Calibri" w:hAnsi="Cambria" w:cs="Times New Roman"/>
          <w:sz w:val="21"/>
          <w:szCs w:val="21"/>
          <w:lang w:val="es-ES_tradnl"/>
        </w:rPr>
        <w:t xml:space="preserve"> por las solicitantes. </w:t>
      </w:r>
    </w:p>
    <w:p w:rsidR="004A3F68" w:rsidRPr="00141F18" w:rsidRDefault="004A3F68" w:rsidP="004A3F68">
      <w:pPr>
        <w:pStyle w:val="ListParagraph"/>
        <w:rPr>
          <w:rFonts w:ascii="Cambria" w:eastAsia="Calibri" w:hAnsi="Cambria" w:cs="Times New Roman"/>
          <w:sz w:val="21"/>
          <w:szCs w:val="21"/>
          <w:lang w:val="es-ES_tradnl"/>
        </w:rPr>
      </w:pPr>
    </w:p>
    <w:p w:rsidR="004A3F68" w:rsidRPr="00141F18" w:rsidRDefault="00CD1A04"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cs="Times New Roman"/>
          <w:sz w:val="21"/>
          <w:szCs w:val="21"/>
          <w:lang w:val="es-ES_tradnl"/>
        </w:rPr>
        <w:t xml:space="preserve">Por consiguiente, </w:t>
      </w:r>
      <w:r w:rsidR="00B47FBB" w:rsidRPr="00141F18">
        <w:rPr>
          <w:rFonts w:ascii="Cambria" w:eastAsia="Calibri" w:hAnsi="Cambria" w:cs="Times New Roman"/>
          <w:sz w:val="21"/>
          <w:szCs w:val="21"/>
          <w:lang w:val="es-ES_tradnl"/>
        </w:rPr>
        <w:t>con base en</w:t>
      </w:r>
      <w:r w:rsidRPr="00141F18">
        <w:rPr>
          <w:rFonts w:ascii="Cambria" w:eastAsia="Calibri" w:hAnsi="Cambria" w:cs="Times New Roman"/>
          <w:sz w:val="21"/>
          <w:szCs w:val="21"/>
          <w:lang w:val="es-ES_tradnl"/>
        </w:rPr>
        <w:t xml:space="preserve"> las determinaciones previas, la Comisión concluye que se encuentra suficientemente establecida, desde el estándar </w:t>
      </w:r>
      <w:r w:rsidRPr="00141F18">
        <w:rPr>
          <w:rFonts w:ascii="Cambria" w:eastAsia="Calibri" w:hAnsi="Cambria" w:cs="Times New Roman"/>
          <w:i/>
          <w:sz w:val="21"/>
          <w:szCs w:val="21"/>
          <w:lang w:val="es-ES_tradnl"/>
        </w:rPr>
        <w:t>prima facie</w:t>
      </w:r>
      <w:r w:rsidRPr="00141F18">
        <w:rPr>
          <w:rFonts w:ascii="Cambria" w:eastAsia="Calibri" w:hAnsi="Cambria" w:cs="Times New Roman"/>
          <w:sz w:val="21"/>
          <w:szCs w:val="21"/>
          <w:lang w:val="es-ES_tradnl"/>
        </w:rPr>
        <w:t xml:space="preserve"> aplicable, la existencia de una situación de grave riesgo </w:t>
      </w:r>
      <w:r w:rsidR="00A24F68" w:rsidRPr="00141F18">
        <w:rPr>
          <w:rFonts w:ascii="Cambria" w:eastAsia="Calibri" w:hAnsi="Cambria" w:cs="Times New Roman"/>
          <w:sz w:val="21"/>
          <w:szCs w:val="21"/>
          <w:lang w:val="es-ES_tradnl"/>
        </w:rPr>
        <w:t xml:space="preserve">a los derechos a la vida, integridad personal y salud </w:t>
      </w:r>
      <w:r w:rsidRPr="00141F18">
        <w:rPr>
          <w:rFonts w:ascii="Cambria" w:eastAsia="Calibri" w:hAnsi="Cambria" w:cs="Times New Roman"/>
          <w:sz w:val="21"/>
          <w:szCs w:val="21"/>
          <w:lang w:val="es-ES_tradnl"/>
        </w:rPr>
        <w:t>de las pacientes que se hallan en las salas de parto y área de emergencia</w:t>
      </w:r>
      <w:r w:rsidR="00470537" w:rsidRPr="00141F18">
        <w:rPr>
          <w:rFonts w:ascii="Cambria" w:eastAsia="Calibri" w:hAnsi="Cambria" w:cs="Times New Roman"/>
          <w:sz w:val="21"/>
          <w:szCs w:val="21"/>
          <w:lang w:val="es-ES_tradnl"/>
        </w:rPr>
        <w:t xml:space="preserve"> del Hospital mencionado</w:t>
      </w:r>
      <w:r w:rsidRPr="00141F18">
        <w:rPr>
          <w:rFonts w:ascii="Cambria" w:eastAsia="Calibri" w:hAnsi="Cambria" w:cs="Times New Roman"/>
          <w:sz w:val="21"/>
          <w:szCs w:val="21"/>
          <w:lang w:val="es-ES_tradnl"/>
        </w:rPr>
        <w:t xml:space="preserve">, </w:t>
      </w:r>
      <w:r w:rsidR="00E348AF" w:rsidRPr="00141F18">
        <w:rPr>
          <w:rFonts w:ascii="Cambria" w:eastAsia="Calibri" w:hAnsi="Cambria" w:cs="Times New Roman"/>
          <w:sz w:val="21"/>
          <w:szCs w:val="21"/>
          <w:lang w:val="es-ES_tradnl"/>
        </w:rPr>
        <w:t>incluyendo a</w:t>
      </w:r>
      <w:r w:rsidR="004A3F68" w:rsidRPr="00141F18">
        <w:rPr>
          <w:rFonts w:ascii="Cambria" w:eastAsia="Calibri" w:hAnsi="Cambria" w:cs="Times New Roman"/>
          <w:sz w:val="21"/>
          <w:szCs w:val="21"/>
          <w:lang w:val="es-ES_tradnl"/>
        </w:rPr>
        <w:t xml:space="preserve"> todas las necesidades médicas</w:t>
      </w:r>
      <w:r w:rsidR="00470537" w:rsidRPr="00141F18">
        <w:rPr>
          <w:rFonts w:ascii="Cambria" w:eastAsia="Calibri" w:hAnsi="Cambria" w:cs="Times New Roman"/>
          <w:sz w:val="21"/>
          <w:szCs w:val="21"/>
          <w:lang w:val="es-ES_tradnl"/>
        </w:rPr>
        <w:t xml:space="preserve"> prioritarias</w:t>
      </w:r>
      <w:r w:rsidR="004A3F68" w:rsidRPr="00141F18">
        <w:rPr>
          <w:rFonts w:ascii="Cambria" w:eastAsia="Calibri" w:hAnsi="Cambria" w:cs="Times New Roman"/>
          <w:sz w:val="21"/>
          <w:szCs w:val="21"/>
          <w:lang w:val="es-ES_tradnl"/>
        </w:rPr>
        <w:t xml:space="preserve"> </w:t>
      </w:r>
      <w:r w:rsidR="00470537" w:rsidRPr="00141F18">
        <w:rPr>
          <w:rFonts w:ascii="Cambria" w:eastAsia="Calibri" w:hAnsi="Cambria" w:cs="Times New Roman"/>
          <w:sz w:val="21"/>
          <w:szCs w:val="21"/>
          <w:lang w:val="es-ES_tradnl"/>
        </w:rPr>
        <w:t xml:space="preserve">de salud sexual y reproductiva </w:t>
      </w:r>
      <w:r w:rsidR="004A3F68" w:rsidRPr="00141F18">
        <w:rPr>
          <w:rFonts w:ascii="Cambria" w:eastAsia="Calibri" w:hAnsi="Cambria" w:cs="Times New Roman"/>
          <w:sz w:val="21"/>
          <w:szCs w:val="21"/>
          <w:lang w:val="es-ES_tradnl"/>
        </w:rPr>
        <w:t xml:space="preserve">que requieran por su condición de mujer, </w:t>
      </w:r>
      <w:r w:rsidRPr="00141F18">
        <w:rPr>
          <w:rFonts w:ascii="Cambria" w:eastAsia="Calibri" w:hAnsi="Cambria" w:cs="Times New Roman"/>
          <w:sz w:val="21"/>
          <w:szCs w:val="21"/>
          <w:lang w:val="es-ES_tradnl"/>
        </w:rPr>
        <w:t xml:space="preserve">así como respecto de los recién nacidos en las áreas de neonatología. </w:t>
      </w:r>
      <w:r w:rsidR="004A3F68" w:rsidRPr="00141F18">
        <w:rPr>
          <w:rFonts w:ascii="Cambria" w:eastAsia="Calibri" w:hAnsi="Cambria" w:cs="Times New Roman"/>
          <w:sz w:val="21"/>
          <w:szCs w:val="21"/>
          <w:lang w:val="es-ES_tradnl"/>
        </w:rPr>
        <w:t xml:space="preserve">Teniendo en cuenta la estrecha relación de las posibles situaciones de riesgo grave durante el embarazo y el puerperio, la CIDH </w:t>
      </w:r>
      <w:r w:rsidR="00504157" w:rsidRPr="00141F18">
        <w:rPr>
          <w:rFonts w:ascii="Cambria" w:eastAsia="Calibri" w:hAnsi="Cambria" w:cs="Times New Roman"/>
          <w:sz w:val="21"/>
          <w:szCs w:val="21"/>
          <w:lang w:val="es-ES_tradnl"/>
        </w:rPr>
        <w:t xml:space="preserve">recuerda </w:t>
      </w:r>
      <w:r w:rsidR="004A3F68" w:rsidRPr="00141F18">
        <w:rPr>
          <w:rFonts w:ascii="Cambria" w:eastAsia="Calibri" w:hAnsi="Cambria" w:cs="Times New Roman"/>
          <w:sz w:val="21"/>
          <w:szCs w:val="21"/>
          <w:lang w:val="es-ES_tradnl"/>
        </w:rPr>
        <w:t xml:space="preserve">al Estado </w:t>
      </w:r>
      <w:r w:rsidR="00504157" w:rsidRPr="00141F18">
        <w:rPr>
          <w:rFonts w:ascii="Cambria" w:eastAsia="Calibri" w:hAnsi="Cambria" w:cs="Times New Roman"/>
          <w:sz w:val="21"/>
          <w:szCs w:val="21"/>
          <w:lang w:val="es-ES_tradnl"/>
        </w:rPr>
        <w:t xml:space="preserve">la importancia de tomar </w:t>
      </w:r>
      <w:r w:rsidR="004A3F68" w:rsidRPr="00141F18">
        <w:rPr>
          <w:rFonts w:ascii="Cambria" w:eastAsia="Calibri" w:hAnsi="Cambria" w:cs="Times New Roman"/>
          <w:sz w:val="21"/>
          <w:szCs w:val="21"/>
          <w:lang w:val="es-ES_tradnl"/>
        </w:rPr>
        <w:t>debidamente en cuenta los periodos anteriores y posteriores más cercanos al parto desde los estándares médicos aplicables</w:t>
      </w:r>
      <w:r w:rsidR="00E348AF" w:rsidRPr="00141F18">
        <w:rPr>
          <w:rFonts w:ascii="Cambria" w:eastAsia="Calibri" w:hAnsi="Cambria" w:cs="Times New Roman"/>
          <w:sz w:val="21"/>
          <w:szCs w:val="21"/>
          <w:lang w:val="es-ES_tradnl"/>
        </w:rPr>
        <w:t>,</w:t>
      </w:r>
      <w:r w:rsidR="00470537" w:rsidRPr="00141F18">
        <w:rPr>
          <w:rFonts w:ascii="Cambria" w:eastAsia="Calibri" w:hAnsi="Cambria" w:cs="Times New Roman"/>
          <w:sz w:val="21"/>
          <w:szCs w:val="21"/>
          <w:lang w:val="es-ES_tradnl"/>
        </w:rPr>
        <w:t xml:space="preserve"> para proteger </w:t>
      </w:r>
      <w:r w:rsidR="00E348AF" w:rsidRPr="00141F18">
        <w:rPr>
          <w:rFonts w:ascii="Cambria" w:eastAsia="Calibri" w:hAnsi="Cambria" w:cs="Times New Roman"/>
          <w:sz w:val="21"/>
          <w:szCs w:val="21"/>
          <w:lang w:val="es-ES_tradnl"/>
        </w:rPr>
        <w:t xml:space="preserve">así </w:t>
      </w:r>
      <w:r w:rsidR="00470537" w:rsidRPr="00141F18">
        <w:rPr>
          <w:rFonts w:ascii="Cambria" w:eastAsia="Calibri" w:hAnsi="Cambria" w:cs="Times New Roman"/>
          <w:sz w:val="21"/>
          <w:szCs w:val="21"/>
          <w:lang w:val="es-ES_tradnl"/>
        </w:rPr>
        <w:t>a las mujeres</w:t>
      </w:r>
      <w:r w:rsidR="004A3F68" w:rsidRPr="00141F18">
        <w:rPr>
          <w:rFonts w:ascii="Cambria" w:eastAsia="Calibri" w:hAnsi="Cambria" w:cs="Times New Roman"/>
          <w:sz w:val="21"/>
          <w:szCs w:val="21"/>
          <w:lang w:val="es-ES_tradnl"/>
        </w:rPr>
        <w:t xml:space="preserve"> </w:t>
      </w:r>
      <w:r w:rsidR="00470537" w:rsidRPr="00141F18">
        <w:rPr>
          <w:rFonts w:ascii="Cambria" w:eastAsia="Calibri" w:hAnsi="Cambria" w:cs="Times New Roman"/>
          <w:sz w:val="21"/>
          <w:szCs w:val="21"/>
          <w:lang w:val="es-ES_tradnl"/>
        </w:rPr>
        <w:t xml:space="preserve">y recién nacidos </w:t>
      </w:r>
      <w:r w:rsidR="004A3F68" w:rsidRPr="00141F18">
        <w:rPr>
          <w:rFonts w:ascii="Cambria" w:eastAsia="Calibri" w:hAnsi="Cambria" w:cs="Times New Roman"/>
          <w:sz w:val="21"/>
          <w:szCs w:val="21"/>
          <w:lang w:val="es-ES_tradnl"/>
        </w:rPr>
        <w:t>que requieran protección en dichas circunstancias.</w:t>
      </w:r>
    </w:p>
    <w:p w:rsidR="004A3F68" w:rsidRPr="00141F18" w:rsidRDefault="004A3F68" w:rsidP="004A3F68">
      <w:pPr>
        <w:pStyle w:val="ListParagraph"/>
        <w:rPr>
          <w:rFonts w:ascii="Cambria" w:eastAsia="Calibri" w:hAnsi="Cambria"/>
          <w:sz w:val="21"/>
          <w:szCs w:val="21"/>
          <w:lang w:val="es-ES_tradnl"/>
        </w:rPr>
      </w:pPr>
    </w:p>
    <w:p w:rsidR="004A3F68" w:rsidRPr="00141F18" w:rsidRDefault="00A24F68"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sz w:val="21"/>
          <w:szCs w:val="21"/>
          <w:lang w:val="es-ES_tradnl"/>
        </w:rPr>
        <w:t>L</w:t>
      </w:r>
      <w:r w:rsidR="005A00E9" w:rsidRPr="00141F18">
        <w:rPr>
          <w:rFonts w:ascii="Cambria" w:eastAsia="Calibri" w:hAnsi="Cambria"/>
          <w:sz w:val="21"/>
          <w:szCs w:val="21"/>
          <w:lang w:val="es-ES_tradnl"/>
        </w:rPr>
        <w:t xml:space="preserve">a Comisión </w:t>
      </w:r>
      <w:r w:rsidR="00CA52B9" w:rsidRPr="00141F18">
        <w:rPr>
          <w:rFonts w:ascii="Cambria" w:eastAsia="Calibri" w:hAnsi="Cambria"/>
          <w:sz w:val="21"/>
          <w:szCs w:val="21"/>
          <w:lang w:val="es-ES_tradnl"/>
        </w:rPr>
        <w:t xml:space="preserve">estima </w:t>
      </w:r>
      <w:r w:rsidR="005A00E9" w:rsidRPr="00141F18">
        <w:rPr>
          <w:rFonts w:ascii="Cambria" w:eastAsia="Calibri" w:hAnsi="Cambria"/>
          <w:sz w:val="21"/>
          <w:szCs w:val="21"/>
          <w:lang w:val="es-ES_tradnl"/>
        </w:rPr>
        <w:t>que se encuentra igua</w:t>
      </w:r>
      <w:r w:rsidR="00301F51" w:rsidRPr="00141F18">
        <w:rPr>
          <w:rFonts w:ascii="Cambria" w:eastAsia="Calibri" w:hAnsi="Cambria"/>
          <w:sz w:val="21"/>
          <w:szCs w:val="21"/>
          <w:lang w:val="es-ES_tradnl"/>
        </w:rPr>
        <w:t>lment</w:t>
      </w:r>
      <w:r w:rsidR="006439CA" w:rsidRPr="00141F18">
        <w:rPr>
          <w:rFonts w:ascii="Cambria" w:eastAsia="Calibri" w:hAnsi="Cambria"/>
          <w:sz w:val="21"/>
          <w:szCs w:val="21"/>
          <w:lang w:val="es-ES_tradnl"/>
        </w:rPr>
        <w:t>e cumplido</w:t>
      </w:r>
      <w:r w:rsidRPr="00141F18">
        <w:rPr>
          <w:rFonts w:ascii="Cambria" w:eastAsia="Calibri" w:hAnsi="Cambria"/>
          <w:sz w:val="21"/>
          <w:szCs w:val="21"/>
          <w:lang w:val="es-ES_tradnl"/>
        </w:rPr>
        <w:t xml:space="preserve"> el requisito de urgencia, e</w:t>
      </w:r>
      <w:r w:rsidR="006439CA" w:rsidRPr="00141F18">
        <w:rPr>
          <w:rFonts w:ascii="Cambria" w:eastAsia="Calibri" w:hAnsi="Cambria"/>
          <w:sz w:val="21"/>
          <w:szCs w:val="21"/>
          <w:lang w:val="es-ES_tradnl"/>
        </w:rPr>
        <w:t>n vista del alegado deterioro progresivo de las condiciones en las que operaría el Hospital, y en particular las áreas o servicios previamente mencionados</w:t>
      </w:r>
      <w:r w:rsidRPr="00141F18">
        <w:rPr>
          <w:rFonts w:ascii="Cambria" w:eastAsia="Calibri" w:hAnsi="Cambria"/>
          <w:sz w:val="21"/>
          <w:szCs w:val="21"/>
          <w:lang w:val="es-ES_tradnl"/>
        </w:rPr>
        <w:t>. E</w:t>
      </w:r>
      <w:r w:rsidR="006439CA" w:rsidRPr="00141F18">
        <w:rPr>
          <w:rFonts w:ascii="Cambria" w:eastAsia="Calibri" w:hAnsi="Cambria"/>
          <w:sz w:val="21"/>
          <w:szCs w:val="21"/>
          <w:lang w:val="es-ES_tradnl"/>
        </w:rPr>
        <w:t xml:space="preserve">l Estado debe adoptar de manera inmediata las medidas que resulten necesarias para </w:t>
      </w:r>
      <w:r w:rsidR="00AF7C9B" w:rsidRPr="00141F18">
        <w:rPr>
          <w:rFonts w:ascii="Cambria" w:eastAsia="Calibri" w:hAnsi="Cambria"/>
          <w:sz w:val="21"/>
          <w:szCs w:val="21"/>
          <w:lang w:val="es-ES_tradnl"/>
        </w:rPr>
        <w:t>atajar las fuentes de riesgo que directamente coloquen a las propuestas beneficiarias y sus hijos</w:t>
      </w:r>
      <w:r w:rsidR="006867BD" w:rsidRPr="00141F18">
        <w:rPr>
          <w:rFonts w:ascii="Cambria" w:eastAsia="Calibri" w:hAnsi="Cambria"/>
          <w:sz w:val="21"/>
          <w:szCs w:val="21"/>
          <w:lang w:val="es-ES_tradnl"/>
        </w:rPr>
        <w:t xml:space="preserve"> e hijas</w:t>
      </w:r>
      <w:r w:rsidR="00AF7C9B" w:rsidRPr="00141F18">
        <w:rPr>
          <w:rFonts w:ascii="Cambria" w:eastAsia="Calibri" w:hAnsi="Cambria"/>
          <w:sz w:val="21"/>
          <w:szCs w:val="21"/>
          <w:lang w:val="es-ES_tradnl"/>
        </w:rPr>
        <w:t xml:space="preserve"> en una situación de riesgo inminente, especialmente teniendo en cuenta que dicho riesgo ya se estaría materializando</w:t>
      </w:r>
      <w:r w:rsidR="006867BD" w:rsidRPr="00141F18">
        <w:rPr>
          <w:rFonts w:ascii="Cambria" w:eastAsia="Calibri" w:hAnsi="Cambria"/>
          <w:sz w:val="21"/>
          <w:szCs w:val="21"/>
          <w:lang w:val="es-ES_tradnl"/>
        </w:rPr>
        <w:t xml:space="preserve"> y habría tenido ya consecuencias mortales</w:t>
      </w:r>
      <w:r w:rsidR="00AF7C9B" w:rsidRPr="00141F18">
        <w:rPr>
          <w:rFonts w:ascii="Cambria" w:eastAsia="Calibri" w:hAnsi="Cambria"/>
          <w:sz w:val="21"/>
          <w:szCs w:val="21"/>
          <w:lang w:val="es-ES_tradnl"/>
        </w:rPr>
        <w:t xml:space="preserve">. </w:t>
      </w:r>
    </w:p>
    <w:p w:rsidR="004A3F68" w:rsidRPr="00141F18" w:rsidRDefault="004A3F68" w:rsidP="004A3F68">
      <w:pPr>
        <w:pStyle w:val="ListParagraph"/>
        <w:rPr>
          <w:rFonts w:ascii="Cambria" w:eastAsia="Calibri" w:hAnsi="Cambria"/>
          <w:sz w:val="21"/>
          <w:szCs w:val="21"/>
          <w:lang w:val="es-ES_tradnl"/>
        </w:rPr>
      </w:pPr>
    </w:p>
    <w:p w:rsidR="005A00E9" w:rsidRPr="00141F18" w:rsidRDefault="001E1C4A" w:rsidP="004A3F68">
      <w:pPr>
        <w:pStyle w:val="ListParagraph"/>
        <w:numPr>
          <w:ilvl w:val="0"/>
          <w:numId w:val="1"/>
        </w:numPr>
        <w:ind w:left="0" w:firstLine="360"/>
        <w:jc w:val="both"/>
        <w:rPr>
          <w:rFonts w:ascii="Cambria" w:eastAsia="Calibri" w:hAnsi="Cambria" w:cs="Times New Roman"/>
          <w:sz w:val="21"/>
          <w:szCs w:val="20"/>
          <w:lang w:val="es-ES_tradnl"/>
        </w:rPr>
      </w:pPr>
      <w:r w:rsidRPr="00141F18">
        <w:rPr>
          <w:rFonts w:ascii="Cambria" w:eastAsia="Calibri" w:hAnsi="Cambria"/>
          <w:sz w:val="21"/>
          <w:szCs w:val="21"/>
          <w:lang w:val="es-ES_tradnl"/>
        </w:rPr>
        <w:t>En cuanto al requisito de irreparabilidad, la Comisión considera que se encuentra cumplido, en la medida que la potencial afecta</w:t>
      </w:r>
      <w:r w:rsidR="00AF7C9B" w:rsidRPr="00141F18">
        <w:rPr>
          <w:rFonts w:ascii="Cambria" w:eastAsia="Calibri" w:hAnsi="Cambria"/>
          <w:sz w:val="21"/>
          <w:szCs w:val="21"/>
          <w:lang w:val="es-ES_tradnl"/>
        </w:rPr>
        <w:t xml:space="preserve">ción a los derechos a la vida, </w:t>
      </w:r>
      <w:r w:rsidRPr="00141F18">
        <w:rPr>
          <w:rFonts w:ascii="Cambria" w:eastAsia="Calibri" w:hAnsi="Cambria"/>
          <w:sz w:val="21"/>
          <w:szCs w:val="21"/>
          <w:lang w:val="es-ES_tradnl"/>
        </w:rPr>
        <w:t xml:space="preserve">integridad personal </w:t>
      </w:r>
      <w:r w:rsidR="00AF7C9B" w:rsidRPr="00141F18">
        <w:rPr>
          <w:rFonts w:ascii="Cambria" w:eastAsia="Calibri" w:hAnsi="Cambria"/>
          <w:sz w:val="21"/>
          <w:szCs w:val="21"/>
          <w:lang w:val="es-ES_tradnl"/>
        </w:rPr>
        <w:t xml:space="preserve">y salud </w:t>
      </w:r>
      <w:r w:rsidRPr="00141F18">
        <w:rPr>
          <w:rFonts w:ascii="Cambria" w:eastAsia="Calibri" w:hAnsi="Cambria"/>
          <w:sz w:val="21"/>
          <w:szCs w:val="21"/>
          <w:lang w:val="es-ES_tradnl"/>
        </w:rPr>
        <w:t>constituye la máxima situación de irreparabilidad.</w:t>
      </w:r>
      <w:r w:rsidR="00A24F68" w:rsidRPr="00141F18">
        <w:rPr>
          <w:rFonts w:ascii="Cambria" w:eastAsia="Calibri" w:hAnsi="Cambria"/>
          <w:sz w:val="21"/>
          <w:szCs w:val="21"/>
          <w:lang w:val="es-ES_tradnl"/>
        </w:rPr>
        <w:t xml:space="preserve"> Al tomar esta determinación, como se ha indicado, la Comisión</w:t>
      </w:r>
      <w:r w:rsidR="00B23C1F" w:rsidRPr="00141F18">
        <w:rPr>
          <w:rFonts w:ascii="Cambria" w:eastAsia="Calibri" w:hAnsi="Cambria"/>
          <w:sz w:val="21"/>
          <w:szCs w:val="21"/>
          <w:lang w:val="es-ES_tradnl"/>
        </w:rPr>
        <w:t xml:space="preserve"> ha </w:t>
      </w:r>
      <w:r w:rsidR="00B23C1F" w:rsidRPr="00141F18">
        <w:rPr>
          <w:rFonts w:ascii="Cambria" w:eastAsia="Calibri" w:hAnsi="Cambria"/>
          <w:sz w:val="21"/>
          <w:szCs w:val="21"/>
          <w:lang w:val="es-ES_tradnl"/>
        </w:rPr>
        <w:lastRenderedPageBreak/>
        <w:t>considerado a su vez el impacto diferenciado que tiene la situación presentada en las beneficiarias</w:t>
      </w:r>
      <w:r w:rsidR="006867BD" w:rsidRPr="00141F18">
        <w:rPr>
          <w:rFonts w:ascii="Cambria" w:eastAsia="Calibri" w:hAnsi="Cambria"/>
          <w:sz w:val="21"/>
          <w:szCs w:val="21"/>
          <w:lang w:val="es-ES_tradnl"/>
        </w:rPr>
        <w:t xml:space="preserve"> en el ámbito de la salud materna</w:t>
      </w:r>
      <w:r w:rsidR="00B23C1F" w:rsidRPr="00141F18">
        <w:rPr>
          <w:rFonts w:ascii="Cambria" w:eastAsia="Calibri" w:hAnsi="Cambria"/>
          <w:sz w:val="21"/>
          <w:szCs w:val="21"/>
          <w:lang w:val="es-ES_tradnl"/>
        </w:rPr>
        <w:t>.</w:t>
      </w:r>
    </w:p>
    <w:p w:rsidR="001E1C4A" w:rsidRPr="00141F18" w:rsidRDefault="001E1C4A" w:rsidP="001E1C4A">
      <w:pPr>
        <w:jc w:val="both"/>
        <w:rPr>
          <w:rFonts w:ascii="Cambria" w:eastAsia="Calibri" w:hAnsi="Cambria"/>
          <w:sz w:val="21"/>
          <w:szCs w:val="21"/>
          <w:lang w:val="es-ES_tradnl"/>
        </w:rPr>
      </w:pPr>
    </w:p>
    <w:p w:rsidR="001E1C4A" w:rsidRPr="00141F18" w:rsidRDefault="00340B0B" w:rsidP="001E1C4A">
      <w:pPr>
        <w:numPr>
          <w:ilvl w:val="0"/>
          <w:numId w:val="11"/>
        </w:numPr>
        <w:jc w:val="both"/>
        <w:rPr>
          <w:rFonts w:ascii="Cambria" w:eastAsia="Calibri" w:hAnsi="Cambria" w:cs="Times New Roman"/>
          <w:b/>
          <w:bCs/>
          <w:sz w:val="21"/>
          <w:szCs w:val="21"/>
          <w:lang w:val="es-AR"/>
        </w:rPr>
      </w:pPr>
      <w:r w:rsidRPr="00141F18">
        <w:rPr>
          <w:rFonts w:ascii="Cambria" w:eastAsia="Calibri" w:hAnsi="Cambria" w:cs="Times New Roman"/>
          <w:b/>
          <w:bCs/>
          <w:sz w:val="21"/>
          <w:szCs w:val="21"/>
          <w:lang w:val="es-AR"/>
        </w:rPr>
        <w:t>PERSONAS BENEFICIARIA</w:t>
      </w:r>
      <w:r w:rsidR="001E1C4A" w:rsidRPr="00141F18">
        <w:rPr>
          <w:rFonts w:ascii="Cambria" w:eastAsia="Calibri" w:hAnsi="Cambria" w:cs="Times New Roman"/>
          <w:b/>
          <w:bCs/>
          <w:sz w:val="21"/>
          <w:szCs w:val="21"/>
          <w:lang w:val="es-AR"/>
        </w:rPr>
        <w:t>S</w:t>
      </w:r>
    </w:p>
    <w:p w:rsidR="001E1C4A" w:rsidRPr="00141F18" w:rsidRDefault="001E1C4A" w:rsidP="001E1C4A">
      <w:pPr>
        <w:jc w:val="both"/>
        <w:rPr>
          <w:rFonts w:ascii="Cambria" w:eastAsia="Calibri" w:hAnsi="Cambria" w:cs="Times New Roman"/>
          <w:sz w:val="21"/>
          <w:szCs w:val="21"/>
          <w:lang w:val="es-AR"/>
        </w:rPr>
      </w:pPr>
    </w:p>
    <w:p w:rsidR="001E1C4A" w:rsidRPr="00141F18" w:rsidRDefault="001E1C4A" w:rsidP="004A3F68">
      <w:pPr>
        <w:pStyle w:val="ListParagraph"/>
        <w:numPr>
          <w:ilvl w:val="0"/>
          <w:numId w:val="1"/>
        </w:numPr>
        <w:ind w:left="0" w:firstLine="360"/>
        <w:jc w:val="both"/>
        <w:rPr>
          <w:rFonts w:ascii="Cambria" w:eastAsia="Calibri" w:hAnsi="Cambria"/>
          <w:sz w:val="21"/>
          <w:szCs w:val="21"/>
          <w:lang w:val="es-ES_tradnl"/>
        </w:rPr>
      </w:pPr>
      <w:r w:rsidRPr="00141F18">
        <w:rPr>
          <w:rFonts w:ascii="Cambria" w:eastAsia="Calibri" w:hAnsi="Cambria"/>
          <w:sz w:val="21"/>
          <w:szCs w:val="21"/>
          <w:lang w:val="es-ES_tradnl"/>
        </w:rPr>
        <w:t>La Comisión declara que l</w:t>
      </w:r>
      <w:r w:rsidR="006867BD" w:rsidRPr="00141F18">
        <w:rPr>
          <w:rFonts w:ascii="Cambria" w:eastAsia="Calibri" w:hAnsi="Cambria"/>
          <w:sz w:val="21"/>
          <w:szCs w:val="21"/>
          <w:lang w:val="es-ES_tradnl"/>
        </w:rPr>
        <w:t>a</w:t>
      </w:r>
      <w:r w:rsidRPr="00141F18">
        <w:rPr>
          <w:rFonts w:ascii="Cambria" w:eastAsia="Calibri" w:hAnsi="Cambria"/>
          <w:sz w:val="21"/>
          <w:szCs w:val="21"/>
          <w:lang w:val="es-ES_tradnl"/>
        </w:rPr>
        <w:t xml:space="preserve">s </w:t>
      </w:r>
      <w:r w:rsidR="00340B0B" w:rsidRPr="00141F18">
        <w:rPr>
          <w:rFonts w:ascii="Cambria" w:eastAsia="Calibri" w:hAnsi="Cambria"/>
          <w:sz w:val="21"/>
          <w:szCs w:val="21"/>
          <w:lang w:val="es-ES_tradnl"/>
        </w:rPr>
        <w:t xml:space="preserve">personas </w:t>
      </w:r>
      <w:r w:rsidRPr="00141F18">
        <w:rPr>
          <w:rFonts w:ascii="Cambria" w:eastAsia="Calibri" w:hAnsi="Cambria"/>
          <w:sz w:val="21"/>
          <w:szCs w:val="21"/>
          <w:lang w:val="es-ES_tradnl"/>
        </w:rPr>
        <w:t>beneficiari</w:t>
      </w:r>
      <w:r w:rsidR="006867BD" w:rsidRPr="00141F18">
        <w:rPr>
          <w:rFonts w:ascii="Cambria" w:eastAsia="Calibri" w:hAnsi="Cambria"/>
          <w:sz w:val="21"/>
          <w:szCs w:val="21"/>
          <w:lang w:val="es-ES_tradnl"/>
        </w:rPr>
        <w:t>a</w:t>
      </w:r>
      <w:r w:rsidRPr="00141F18">
        <w:rPr>
          <w:rFonts w:ascii="Cambria" w:eastAsia="Calibri" w:hAnsi="Cambria"/>
          <w:sz w:val="21"/>
          <w:szCs w:val="21"/>
          <w:lang w:val="es-ES_tradnl"/>
        </w:rPr>
        <w:t xml:space="preserve">s de la presente medida cautelar son </w:t>
      </w:r>
      <w:r w:rsidR="00AF7C9B" w:rsidRPr="00141F18">
        <w:rPr>
          <w:rFonts w:ascii="Cambria" w:eastAsia="Calibri" w:hAnsi="Cambria"/>
          <w:sz w:val="21"/>
          <w:szCs w:val="21"/>
          <w:lang w:val="es-ES_tradnl"/>
        </w:rPr>
        <w:t xml:space="preserve">las </w:t>
      </w:r>
      <w:r w:rsidR="00D17F10" w:rsidRPr="00141F18">
        <w:rPr>
          <w:rFonts w:ascii="Cambria" w:eastAsia="Calibri" w:hAnsi="Cambria"/>
          <w:sz w:val="21"/>
          <w:szCs w:val="21"/>
          <w:lang w:val="es-ES_tradnl"/>
        </w:rPr>
        <w:t xml:space="preserve">mujeres </w:t>
      </w:r>
      <w:r w:rsidR="00AF7C9B" w:rsidRPr="00141F18">
        <w:rPr>
          <w:rFonts w:ascii="Cambria" w:eastAsia="Calibri" w:hAnsi="Cambria"/>
          <w:sz w:val="21"/>
          <w:szCs w:val="21"/>
          <w:lang w:val="es-ES_tradnl"/>
        </w:rPr>
        <w:t xml:space="preserve">pacientes que se encuentran en las salas de parto y área de emergencias, así como </w:t>
      </w:r>
      <w:r w:rsidR="00512C39" w:rsidRPr="00141F18">
        <w:rPr>
          <w:rFonts w:ascii="Cambria" w:eastAsia="Calibri" w:hAnsi="Cambria"/>
          <w:sz w:val="21"/>
          <w:szCs w:val="21"/>
          <w:lang w:val="es-ES_tradnl"/>
        </w:rPr>
        <w:t xml:space="preserve">las y </w:t>
      </w:r>
      <w:r w:rsidR="00AF7C9B" w:rsidRPr="00141F18">
        <w:rPr>
          <w:rFonts w:ascii="Cambria" w:eastAsia="Calibri" w:hAnsi="Cambria"/>
          <w:sz w:val="21"/>
          <w:szCs w:val="21"/>
          <w:lang w:val="es-ES_tradnl"/>
        </w:rPr>
        <w:t>los recién nacidos que están en el área de neonatología</w:t>
      </w:r>
      <w:r w:rsidR="00A021A5" w:rsidRPr="00141F18">
        <w:rPr>
          <w:rFonts w:ascii="Cambria" w:eastAsia="Calibri" w:hAnsi="Cambria"/>
          <w:sz w:val="21"/>
          <w:szCs w:val="21"/>
          <w:lang w:val="es-ES_tradnl"/>
        </w:rPr>
        <w:t xml:space="preserve"> del Hospital Maternidad Concepción Palacios</w:t>
      </w:r>
      <w:r w:rsidR="00D17F10" w:rsidRPr="00141F18">
        <w:rPr>
          <w:rFonts w:ascii="Cambria" w:eastAsia="Calibri" w:hAnsi="Cambria"/>
          <w:sz w:val="21"/>
          <w:szCs w:val="21"/>
          <w:lang w:val="es-ES_tradnl"/>
        </w:rPr>
        <w:t>,</w:t>
      </w:r>
      <w:r w:rsidR="00A021A5" w:rsidRPr="00141F18">
        <w:rPr>
          <w:rFonts w:ascii="Cambria" w:eastAsia="Calibri" w:hAnsi="Cambria"/>
          <w:sz w:val="21"/>
          <w:szCs w:val="21"/>
          <w:lang w:val="es-ES_tradnl"/>
        </w:rPr>
        <w:t xml:space="preserve"> </w:t>
      </w:r>
      <w:r w:rsidR="007D5A7A" w:rsidRPr="00141F18">
        <w:rPr>
          <w:rFonts w:ascii="Cambria" w:eastAsia="Calibri" w:hAnsi="Cambria"/>
          <w:sz w:val="21"/>
          <w:szCs w:val="21"/>
          <w:lang w:val="es-ES_tradnl"/>
        </w:rPr>
        <w:t>quienes</w:t>
      </w:r>
      <w:r w:rsidR="00AF7C9B" w:rsidRPr="00141F18">
        <w:rPr>
          <w:rFonts w:ascii="Cambria" w:eastAsia="Calibri" w:hAnsi="Cambria"/>
          <w:sz w:val="21"/>
          <w:szCs w:val="21"/>
          <w:lang w:val="es-ES_tradnl"/>
        </w:rPr>
        <w:t xml:space="preserve"> </w:t>
      </w:r>
      <w:r w:rsidRPr="00141F18">
        <w:rPr>
          <w:rFonts w:ascii="Cambria" w:eastAsia="Calibri" w:hAnsi="Cambria"/>
          <w:sz w:val="21"/>
          <w:szCs w:val="21"/>
          <w:lang w:val="es-ES_tradnl"/>
        </w:rPr>
        <w:t>son determinables según el artículo 25.3 del Reglamento.</w:t>
      </w:r>
    </w:p>
    <w:p w:rsidR="00E348AF" w:rsidRPr="00141F18" w:rsidRDefault="00E348AF" w:rsidP="001E1C4A">
      <w:pPr>
        <w:contextualSpacing/>
        <w:jc w:val="both"/>
        <w:rPr>
          <w:rFonts w:ascii="Cambria" w:eastAsia="Calibri" w:hAnsi="Cambria" w:cs="Times New Roman"/>
          <w:sz w:val="21"/>
          <w:szCs w:val="21"/>
          <w:lang w:val="es-MX"/>
        </w:rPr>
      </w:pPr>
    </w:p>
    <w:p w:rsidR="001E1C4A" w:rsidRPr="00141F18" w:rsidRDefault="001E1C4A" w:rsidP="001E1C4A">
      <w:pPr>
        <w:numPr>
          <w:ilvl w:val="0"/>
          <w:numId w:val="11"/>
        </w:numPr>
        <w:jc w:val="both"/>
        <w:rPr>
          <w:rFonts w:ascii="Cambria" w:eastAsia="Calibri" w:hAnsi="Cambria" w:cs="Times New Roman"/>
          <w:b/>
          <w:bCs/>
          <w:sz w:val="21"/>
          <w:szCs w:val="21"/>
          <w:lang w:val="es-AR"/>
        </w:rPr>
      </w:pPr>
      <w:r w:rsidRPr="00141F18">
        <w:rPr>
          <w:rFonts w:ascii="Cambria" w:eastAsia="Calibri" w:hAnsi="Cambria" w:cs="Times New Roman"/>
          <w:b/>
          <w:bCs/>
          <w:sz w:val="21"/>
          <w:szCs w:val="21"/>
          <w:lang w:val="es-AR"/>
        </w:rPr>
        <w:t>DECISIÓN</w:t>
      </w:r>
    </w:p>
    <w:p w:rsidR="001E1C4A" w:rsidRPr="00141F18" w:rsidRDefault="001E1C4A" w:rsidP="001E1C4A">
      <w:pPr>
        <w:jc w:val="both"/>
        <w:rPr>
          <w:rFonts w:ascii="Cambria" w:eastAsia="Calibri" w:hAnsi="Cambria" w:cs="Times New Roman"/>
          <w:sz w:val="21"/>
          <w:szCs w:val="21"/>
          <w:lang w:val="es-AR"/>
        </w:rPr>
      </w:pPr>
    </w:p>
    <w:p w:rsidR="001E1C4A" w:rsidRPr="00141F18" w:rsidRDefault="001E1C4A" w:rsidP="004A3F68">
      <w:pPr>
        <w:numPr>
          <w:ilvl w:val="0"/>
          <w:numId w:val="1"/>
        </w:numPr>
        <w:ind w:left="0" w:firstLine="360"/>
        <w:contextualSpacing/>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La Comisión considera que el presente asunto reúne </w:t>
      </w:r>
      <w:r w:rsidRPr="00141F18">
        <w:rPr>
          <w:rFonts w:ascii="Cambria" w:eastAsia="Calibri" w:hAnsi="Cambria" w:cs="Times New Roman"/>
          <w:i/>
          <w:sz w:val="21"/>
          <w:szCs w:val="21"/>
          <w:lang w:val="es-MX"/>
        </w:rPr>
        <w:t>prima facie</w:t>
      </w:r>
      <w:r w:rsidRPr="00141F18">
        <w:rPr>
          <w:rFonts w:ascii="Cambria" w:eastAsia="Calibri" w:hAnsi="Cambria" w:cs="Times New Roman"/>
          <w:sz w:val="21"/>
          <w:szCs w:val="21"/>
          <w:lang w:val="es-MX"/>
        </w:rPr>
        <w:t xml:space="preserve"> los requisitos de gravedad, urgencia e irreparabilidad contenidos en el artículo 25 de su Reglamento. En consecuencia, la Comisión solicita a Venezuela que:</w:t>
      </w:r>
    </w:p>
    <w:p w:rsidR="0064110B" w:rsidRPr="00141F18" w:rsidRDefault="0064110B" w:rsidP="005D777E">
      <w:pPr>
        <w:ind w:left="360"/>
        <w:contextualSpacing/>
        <w:jc w:val="both"/>
        <w:rPr>
          <w:rFonts w:ascii="Cambria" w:eastAsia="Calibri" w:hAnsi="Cambria" w:cs="Times New Roman"/>
          <w:sz w:val="21"/>
          <w:szCs w:val="21"/>
          <w:lang w:val="es-MX"/>
        </w:rPr>
      </w:pPr>
    </w:p>
    <w:p w:rsidR="003A6991" w:rsidRPr="00141F18" w:rsidRDefault="004F5C03" w:rsidP="004251C9">
      <w:pPr>
        <w:pStyle w:val="ListParagraph"/>
        <w:numPr>
          <w:ilvl w:val="0"/>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 xml:space="preserve">adopte las medidas necesarias para garantizar la vida, integridad personal y salud de las </w:t>
      </w:r>
      <w:r w:rsidR="00A010CF" w:rsidRPr="00141F18">
        <w:rPr>
          <w:rFonts w:ascii="Cambria" w:eastAsia="Calibri" w:hAnsi="Cambria" w:cs="Times New Roman"/>
          <w:sz w:val="21"/>
          <w:szCs w:val="21"/>
          <w:lang w:val="es-CO"/>
        </w:rPr>
        <w:t>personas beneficiarias</w:t>
      </w:r>
      <w:r w:rsidR="007D5A7A" w:rsidRPr="00141F18">
        <w:rPr>
          <w:rFonts w:ascii="Cambria" w:eastAsia="Calibri" w:hAnsi="Cambria" w:cs="Times New Roman"/>
          <w:sz w:val="21"/>
          <w:szCs w:val="21"/>
          <w:lang w:val="es-CO"/>
        </w:rPr>
        <w:t xml:space="preserve">. </w:t>
      </w:r>
      <w:r w:rsidRPr="00141F18">
        <w:rPr>
          <w:rFonts w:ascii="Cambria" w:eastAsia="Calibri" w:hAnsi="Cambria" w:cs="Times New Roman"/>
          <w:sz w:val="21"/>
          <w:szCs w:val="21"/>
          <w:lang w:val="es-ES_tradnl"/>
        </w:rPr>
        <w:t>E</w:t>
      </w:r>
      <w:r w:rsidR="000701AE" w:rsidRPr="00141F18">
        <w:rPr>
          <w:rFonts w:ascii="Cambria" w:eastAsia="Calibri" w:hAnsi="Cambria" w:cs="Times New Roman"/>
          <w:sz w:val="21"/>
          <w:szCs w:val="21"/>
          <w:lang w:val="es-ES_tradnl"/>
        </w:rPr>
        <w:t xml:space="preserve">n particular, </w:t>
      </w:r>
      <w:r w:rsidR="007F72F2" w:rsidRPr="00141F18">
        <w:rPr>
          <w:rFonts w:ascii="Cambria" w:eastAsia="Calibri" w:hAnsi="Cambria" w:cs="Times New Roman"/>
          <w:sz w:val="21"/>
          <w:szCs w:val="21"/>
          <w:lang w:val="es-ES_tradnl"/>
        </w:rPr>
        <w:t>a través de la provisión de</w:t>
      </w:r>
      <w:r w:rsidR="003A6991" w:rsidRPr="00141F18">
        <w:rPr>
          <w:rFonts w:ascii="Cambria" w:eastAsia="Calibri" w:hAnsi="Cambria" w:cs="Times New Roman"/>
          <w:sz w:val="21"/>
          <w:szCs w:val="21"/>
          <w:lang w:val="es-MX"/>
        </w:rPr>
        <w:t xml:space="preserve"> los insumos, medicamentos</w:t>
      </w:r>
      <w:r w:rsidR="007F72F2" w:rsidRPr="00141F18">
        <w:rPr>
          <w:rFonts w:ascii="Cambria" w:eastAsia="Calibri" w:hAnsi="Cambria" w:cs="Times New Roman"/>
          <w:sz w:val="21"/>
          <w:szCs w:val="21"/>
          <w:lang w:val="es-MX"/>
        </w:rPr>
        <w:t xml:space="preserve">, </w:t>
      </w:r>
      <w:r w:rsidR="003A6991" w:rsidRPr="00141F18">
        <w:rPr>
          <w:rFonts w:ascii="Cambria" w:eastAsia="Calibri" w:hAnsi="Cambria" w:cs="Times New Roman"/>
          <w:sz w:val="21"/>
          <w:szCs w:val="21"/>
          <w:lang w:val="es-MX"/>
        </w:rPr>
        <w:t xml:space="preserve">materiales </w:t>
      </w:r>
      <w:r w:rsidR="007F72F2" w:rsidRPr="00141F18">
        <w:rPr>
          <w:rFonts w:ascii="Cambria" w:eastAsia="Calibri" w:hAnsi="Cambria" w:cs="Times New Roman"/>
          <w:sz w:val="21"/>
          <w:szCs w:val="21"/>
          <w:lang w:val="es-MX"/>
        </w:rPr>
        <w:t>y atenciones necesaria</w:t>
      </w:r>
      <w:r w:rsidR="003A6991" w:rsidRPr="00141F18">
        <w:rPr>
          <w:rFonts w:ascii="Cambria" w:eastAsia="Calibri" w:hAnsi="Cambria" w:cs="Times New Roman"/>
          <w:sz w:val="21"/>
          <w:szCs w:val="21"/>
          <w:lang w:val="es-MX"/>
        </w:rPr>
        <w:t>s para la salud materna</w:t>
      </w:r>
      <w:r w:rsidR="007F72F2" w:rsidRPr="00141F18">
        <w:rPr>
          <w:rFonts w:ascii="Cambria" w:eastAsia="Calibri" w:hAnsi="Cambria" w:cs="Times New Roman"/>
          <w:sz w:val="21"/>
          <w:szCs w:val="21"/>
          <w:lang w:val="es-MX"/>
        </w:rPr>
        <w:t xml:space="preserve"> y de </w:t>
      </w:r>
      <w:r w:rsidR="009E1DE2" w:rsidRPr="00141F18">
        <w:rPr>
          <w:rFonts w:ascii="Cambria" w:eastAsia="Calibri" w:hAnsi="Cambria" w:cs="Times New Roman"/>
          <w:sz w:val="21"/>
          <w:szCs w:val="21"/>
          <w:lang w:val="es-MX"/>
        </w:rPr>
        <w:t xml:space="preserve">las y </w:t>
      </w:r>
      <w:r w:rsidR="007F72F2" w:rsidRPr="00141F18">
        <w:rPr>
          <w:rFonts w:ascii="Cambria" w:eastAsia="Calibri" w:hAnsi="Cambria" w:cs="Times New Roman"/>
          <w:sz w:val="21"/>
          <w:szCs w:val="21"/>
          <w:lang w:val="es-MX"/>
        </w:rPr>
        <w:t xml:space="preserve">los </w:t>
      </w:r>
      <w:r w:rsidR="00B23C1F" w:rsidRPr="00141F18">
        <w:rPr>
          <w:rFonts w:ascii="Cambria" w:eastAsia="Calibri" w:hAnsi="Cambria" w:cs="Times New Roman"/>
          <w:sz w:val="21"/>
          <w:szCs w:val="21"/>
          <w:lang w:val="es-MX"/>
        </w:rPr>
        <w:t>recién nacidos</w:t>
      </w:r>
      <w:r w:rsidR="007F72F2" w:rsidRPr="00141F18">
        <w:rPr>
          <w:rFonts w:ascii="Cambria" w:eastAsia="Calibri" w:hAnsi="Cambria" w:cs="Times New Roman"/>
          <w:sz w:val="21"/>
          <w:szCs w:val="21"/>
          <w:lang w:val="es-MX"/>
        </w:rPr>
        <w:t>,</w:t>
      </w:r>
      <w:r w:rsidR="003A6991" w:rsidRPr="00141F18">
        <w:rPr>
          <w:rFonts w:ascii="Cambria" w:eastAsia="Calibri" w:hAnsi="Cambria" w:cs="Times New Roman"/>
          <w:sz w:val="21"/>
          <w:szCs w:val="21"/>
          <w:lang w:val="es-MX"/>
        </w:rPr>
        <w:t xml:space="preserve"> de conformidad con los estándares aplicables</w:t>
      </w:r>
      <w:r w:rsidR="007F72F2" w:rsidRPr="00141F18">
        <w:rPr>
          <w:rFonts w:ascii="Cambria" w:eastAsia="Calibri" w:hAnsi="Cambria" w:cs="Times New Roman"/>
          <w:sz w:val="21"/>
          <w:szCs w:val="21"/>
          <w:lang w:val="es-MX"/>
        </w:rPr>
        <w:t>. Entre otras medidas, la Comisión considera que el Estado debe:</w:t>
      </w:r>
    </w:p>
    <w:p w:rsidR="005D777E" w:rsidRPr="00141F18" w:rsidRDefault="005D777E" w:rsidP="004602EE">
      <w:pPr>
        <w:pStyle w:val="ListParagraph"/>
        <w:ind w:left="1440"/>
        <w:jc w:val="both"/>
        <w:rPr>
          <w:rFonts w:ascii="Cambria" w:eastAsia="Calibri" w:hAnsi="Cambria" w:cs="Times New Roman"/>
          <w:sz w:val="21"/>
          <w:szCs w:val="21"/>
          <w:lang w:val="es-MX"/>
        </w:rPr>
      </w:pPr>
    </w:p>
    <w:p w:rsidR="00253F6C" w:rsidRPr="00141F18" w:rsidRDefault="00E348AF" w:rsidP="004251C9">
      <w:pPr>
        <w:pStyle w:val="ListParagraph"/>
        <w:numPr>
          <w:ilvl w:val="1"/>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g</w:t>
      </w:r>
      <w:r w:rsidR="00253F6C" w:rsidRPr="00141F18">
        <w:rPr>
          <w:rFonts w:ascii="Cambria" w:eastAsia="Calibri" w:hAnsi="Cambria" w:cs="Times New Roman"/>
          <w:sz w:val="21"/>
          <w:szCs w:val="21"/>
          <w:lang w:val="es-MX"/>
        </w:rPr>
        <w:t xml:space="preserve">arantizar la provisión </w:t>
      </w:r>
      <w:r w:rsidR="007F72F2" w:rsidRPr="00141F18">
        <w:rPr>
          <w:rFonts w:ascii="Cambria" w:eastAsia="Calibri" w:hAnsi="Cambria" w:cs="Times New Roman"/>
          <w:sz w:val="21"/>
          <w:szCs w:val="21"/>
          <w:lang w:val="es-MX"/>
        </w:rPr>
        <w:t>de insumos, medicamentos</w:t>
      </w:r>
      <w:r w:rsidR="00253F6C" w:rsidRPr="00141F18">
        <w:rPr>
          <w:rFonts w:ascii="Cambria" w:eastAsia="Calibri" w:hAnsi="Cambria" w:cs="Times New Roman"/>
          <w:sz w:val="21"/>
          <w:szCs w:val="21"/>
          <w:lang w:val="es-MX"/>
        </w:rPr>
        <w:t xml:space="preserve"> y</w:t>
      </w:r>
      <w:r w:rsidR="007F72F2" w:rsidRPr="00141F18">
        <w:rPr>
          <w:rFonts w:ascii="Cambria" w:eastAsia="Calibri" w:hAnsi="Cambria" w:cs="Times New Roman"/>
          <w:sz w:val="21"/>
          <w:szCs w:val="21"/>
          <w:lang w:val="es-MX"/>
        </w:rPr>
        <w:t xml:space="preserve"> </w:t>
      </w:r>
      <w:r w:rsidR="004A3F68" w:rsidRPr="00141F18">
        <w:rPr>
          <w:rFonts w:ascii="Cambria" w:eastAsia="Calibri" w:hAnsi="Cambria" w:cs="Times New Roman"/>
          <w:sz w:val="21"/>
          <w:szCs w:val="21"/>
          <w:lang w:val="es-MX"/>
        </w:rPr>
        <w:t xml:space="preserve">servicios médicos </w:t>
      </w:r>
      <w:r w:rsidR="007F72F2" w:rsidRPr="00141F18">
        <w:rPr>
          <w:rFonts w:ascii="Cambria" w:eastAsia="Calibri" w:hAnsi="Cambria" w:cs="Times New Roman"/>
          <w:sz w:val="21"/>
          <w:szCs w:val="21"/>
          <w:lang w:val="es-MX"/>
        </w:rPr>
        <w:t>adecuad</w:t>
      </w:r>
      <w:r w:rsidR="004A3F68" w:rsidRPr="00141F18">
        <w:rPr>
          <w:rFonts w:ascii="Cambria" w:eastAsia="Calibri" w:hAnsi="Cambria" w:cs="Times New Roman"/>
          <w:sz w:val="21"/>
          <w:szCs w:val="21"/>
          <w:lang w:val="es-MX"/>
        </w:rPr>
        <w:t>o</w:t>
      </w:r>
      <w:r w:rsidR="00253F6C" w:rsidRPr="00141F18">
        <w:rPr>
          <w:rFonts w:ascii="Cambria" w:eastAsia="Calibri" w:hAnsi="Cambria" w:cs="Times New Roman"/>
          <w:sz w:val="21"/>
          <w:szCs w:val="21"/>
          <w:lang w:val="es-MX"/>
        </w:rPr>
        <w:t xml:space="preserve">s para dar una atención </w:t>
      </w:r>
      <w:r w:rsidR="004A3F68" w:rsidRPr="00141F18">
        <w:rPr>
          <w:rFonts w:ascii="Cambria" w:eastAsia="Calibri" w:hAnsi="Cambria" w:cs="Times New Roman"/>
          <w:sz w:val="21"/>
          <w:szCs w:val="21"/>
          <w:lang w:val="es-MX"/>
        </w:rPr>
        <w:t>efectiva</w:t>
      </w:r>
      <w:r w:rsidRPr="00141F18">
        <w:rPr>
          <w:rFonts w:ascii="Cambria" w:eastAsia="Calibri" w:hAnsi="Cambria" w:cs="Times New Roman"/>
          <w:sz w:val="21"/>
          <w:szCs w:val="21"/>
          <w:lang w:val="es-MX"/>
        </w:rPr>
        <w:t xml:space="preserve"> </w:t>
      </w:r>
      <w:r w:rsidR="00253F6C" w:rsidRPr="00141F18">
        <w:rPr>
          <w:rFonts w:ascii="Cambria" w:eastAsia="Calibri" w:hAnsi="Cambria" w:cs="Times New Roman"/>
          <w:sz w:val="21"/>
          <w:szCs w:val="21"/>
          <w:lang w:val="es-MX"/>
        </w:rPr>
        <w:t>a las emergencias</w:t>
      </w:r>
      <w:r w:rsidRPr="00141F18">
        <w:rPr>
          <w:rFonts w:ascii="Cambria" w:eastAsia="Calibri" w:hAnsi="Cambria" w:cs="Times New Roman"/>
          <w:sz w:val="21"/>
          <w:szCs w:val="21"/>
          <w:lang w:val="es-MX"/>
        </w:rPr>
        <w:t xml:space="preserve">, </w:t>
      </w:r>
      <w:r w:rsidR="004A3F68" w:rsidRPr="00141F18">
        <w:rPr>
          <w:rFonts w:ascii="Cambria" w:eastAsia="Calibri" w:hAnsi="Cambria" w:cs="Times New Roman"/>
          <w:sz w:val="21"/>
          <w:szCs w:val="21"/>
          <w:lang w:val="es-MX"/>
        </w:rPr>
        <w:t>dentro del ámbito de la salud sexual y reproductiva de las mujeres</w:t>
      </w:r>
      <w:r w:rsidR="00253F6C" w:rsidRPr="00141F18">
        <w:rPr>
          <w:rFonts w:ascii="Cambria" w:eastAsia="Calibri" w:hAnsi="Cambria" w:cs="Times New Roman"/>
          <w:sz w:val="21"/>
          <w:szCs w:val="21"/>
          <w:lang w:val="es-MX"/>
        </w:rPr>
        <w:t>, inclusive coordinando mecanismos de referencia adecuados entre establecimientos de salud;</w:t>
      </w:r>
    </w:p>
    <w:p w:rsidR="0064110B" w:rsidRPr="00141F18" w:rsidRDefault="00E348AF" w:rsidP="004251C9">
      <w:pPr>
        <w:pStyle w:val="ListParagraph"/>
        <w:numPr>
          <w:ilvl w:val="1"/>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a</w:t>
      </w:r>
      <w:r w:rsidR="0064110B" w:rsidRPr="00141F18">
        <w:rPr>
          <w:rFonts w:ascii="Cambria" w:eastAsia="Calibri" w:hAnsi="Cambria" w:cs="Times New Roman"/>
          <w:sz w:val="21"/>
          <w:szCs w:val="21"/>
          <w:lang w:val="es-MX"/>
        </w:rPr>
        <w:t xml:space="preserve">segurar que la perspectiva de género se encuentre incorporada en la protección y el acceso a la salud materna </w:t>
      </w:r>
      <w:r w:rsidR="00EB4A40" w:rsidRPr="00141F18">
        <w:rPr>
          <w:rFonts w:ascii="Cambria" w:eastAsia="Calibri" w:hAnsi="Cambria" w:cs="Times New Roman"/>
          <w:sz w:val="21"/>
          <w:szCs w:val="21"/>
          <w:lang w:val="es-MX"/>
        </w:rPr>
        <w:t xml:space="preserve">y servicios dirigidos a las necesidades médicas propias </w:t>
      </w:r>
      <w:r w:rsidR="0064110B" w:rsidRPr="00141F18">
        <w:rPr>
          <w:rFonts w:ascii="Cambria" w:eastAsia="Calibri" w:hAnsi="Cambria" w:cs="Times New Roman"/>
          <w:sz w:val="21"/>
          <w:szCs w:val="21"/>
          <w:lang w:val="es-MX"/>
        </w:rPr>
        <w:t>de las beneficiarias;</w:t>
      </w:r>
    </w:p>
    <w:p w:rsidR="00A010CF" w:rsidRPr="00141F18" w:rsidRDefault="00E348AF" w:rsidP="004251C9">
      <w:pPr>
        <w:pStyle w:val="ListParagraph"/>
        <w:numPr>
          <w:ilvl w:val="1"/>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g</w:t>
      </w:r>
      <w:r w:rsidR="0064110B" w:rsidRPr="00141F18">
        <w:rPr>
          <w:rFonts w:ascii="Cambria" w:eastAsia="Calibri" w:hAnsi="Cambria" w:cs="Times New Roman"/>
          <w:sz w:val="21"/>
          <w:szCs w:val="21"/>
          <w:lang w:val="es-MX"/>
        </w:rPr>
        <w:t xml:space="preserve">arantizar la provisión de programas de nutrición </w:t>
      </w:r>
      <w:r w:rsidR="00EB4A40" w:rsidRPr="00141F18">
        <w:rPr>
          <w:rFonts w:ascii="Cambria" w:eastAsia="Calibri" w:hAnsi="Cambria" w:cs="Times New Roman"/>
          <w:sz w:val="21"/>
          <w:szCs w:val="21"/>
          <w:lang w:val="es-MX"/>
        </w:rPr>
        <w:t xml:space="preserve">y controles médicos </w:t>
      </w:r>
      <w:r w:rsidR="003A6991" w:rsidRPr="00141F18">
        <w:rPr>
          <w:rFonts w:ascii="Cambria" w:eastAsia="Calibri" w:hAnsi="Cambria" w:cs="Times New Roman"/>
          <w:sz w:val="21"/>
          <w:szCs w:val="21"/>
          <w:lang w:val="es-MX"/>
        </w:rPr>
        <w:t xml:space="preserve">adecuados </w:t>
      </w:r>
      <w:r w:rsidR="0064110B" w:rsidRPr="00141F18">
        <w:rPr>
          <w:rFonts w:ascii="Cambria" w:eastAsia="Calibri" w:hAnsi="Cambria" w:cs="Times New Roman"/>
          <w:sz w:val="21"/>
          <w:szCs w:val="21"/>
          <w:lang w:val="es-MX"/>
        </w:rPr>
        <w:t>previos al embarazo, durante el embarazo y en el periodo posterior al parto;</w:t>
      </w:r>
      <w:r w:rsidR="00EB4A40" w:rsidRPr="00141F18">
        <w:rPr>
          <w:rFonts w:ascii="Cambria" w:eastAsia="Calibri" w:hAnsi="Cambria" w:cs="Times New Roman"/>
          <w:sz w:val="21"/>
          <w:szCs w:val="21"/>
          <w:lang w:val="es-MX"/>
        </w:rPr>
        <w:t xml:space="preserve"> tanto para las pacientes mujeres como para </w:t>
      </w:r>
      <w:r w:rsidRPr="00141F18">
        <w:rPr>
          <w:rFonts w:ascii="Cambria" w:eastAsia="Calibri" w:hAnsi="Cambria" w:cs="Times New Roman"/>
          <w:sz w:val="21"/>
          <w:szCs w:val="21"/>
          <w:lang w:val="es-MX"/>
        </w:rPr>
        <w:t>las y los</w:t>
      </w:r>
      <w:r w:rsidR="00EB4A40" w:rsidRPr="00141F18">
        <w:rPr>
          <w:rFonts w:ascii="Cambria" w:eastAsia="Calibri" w:hAnsi="Cambria" w:cs="Times New Roman"/>
          <w:sz w:val="21"/>
          <w:szCs w:val="21"/>
          <w:lang w:val="es-MX"/>
        </w:rPr>
        <w:t xml:space="preserve"> recién nacid</w:t>
      </w:r>
      <w:r w:rsidRPr="00141F18">
        <w:rPr>
          <w:rFonts w:ascii="Cambria" w:eastAsia="Calibri" w:hAnsi="Cambria" w:cs="Times New Roman"/>
          <w:sz w:val="21"/>
          <w:szCs w:val="21"/>
          <w:lang w:val="es-MX"/>
        </w:rPr>
        <w:t>o</w:t>
      </w:r>
      <w:r w:rsidR="00EB4A40" w:rsidRPr="00141F18">
        <w:rPr>
          <w:rFonts w:ascii="Cambria" w:eastAsia="Calibri" w:hAnsi="Cambria" w:cs="Times New Roman"/>
          <w:sz w:val="21"/>
          <w:szCs w:val="21"/>
          <w:lang w:val="es-MX"/>
        </w:rPr>
        <w:t>s;</w:t>
      </w:r>
    </w:p>
    <w:p w:rsidR="007F72F2" w:rsidRPr="00141F18" w:rsidRDefault="00E348AF" w:rsidP="004251C9">
      <w:pPr>
        <w:pStyle w:val="ListParagraph"/>
        <w:numPr>
          <w:ilvl w:val="1"/>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a</w:t>
      </w:r>
      <w:proofErr w:type="spellStart"/>
      <w:r w:rsidR="007F72F2" w:rsidRPr="00141F18">
        <w:rPr>
          <w:rFonts w:ascii="Cambria" w:eastAsia="Calibri" w:hAnsi="Cambria" w:cs="Times New Roman"/>
          <w:sz w:val="21"/>
          <w:szCs w:val="21"/>
          <w:lang w:val="es-ES_tradnl"/>
        </w:rPr>
        <w:t>segurar</w:t>
      </w:r>
      <w:proofErr w:type="spellEnd"/>
      <w:r w:rsidR="007F72F2" w:rsidRPr="00141F18">
        <w:rPr>
          <w:rFonts w:ascii="Cambria" w:eastAsia="Calibri" w:hAnsi="Cambria" w:cs="Times New Roman"/>
          <w:sz w:val="21"/>
          <w:szCs w:val="21"/>
          <w:lang w:val="es-ES_tradnl"/>
        </w:rPr>
        <w:t xml:space="preserve"> que las personas beneficiarias se encuentren en condiciones de salubridad adecuadas y que se cuente con </w:t>
      </w:r>
      <w:r w:rsidRPr="00141F18">
        <w:rPr>
          <w:rFonts w:ascii="Cambria" w:eastAsia="Calibri" w:hAnsi="Cambria" w:cs="Times New Roman"/>
          <w:sz w:val="21"/>
          <w:szCs w:val="21"/>
          <w:lang w:val="es-ES_tradnl"/>
        </w:rPr>
        <w:t>los medios</w:t>
      </w:r>
      <w:r w:rsidR="00EB4A40" w:rsidRPr="00141F18">
        <w:rPr>
          <w:rFonts w:ascii="Cambria" w:eastAsia="Calibri" w:hAnsi="Cambria" w:cs="Times New Roman"/>
          <w:sz w:val="21"/>
          <w:szCs w:val="21"/>
          <w:lang w:val="es-ES_tradnl"/>
        </w:rPr>
        <w:t xml:space="preserve"> suficiente</w:t>
      </w:r>
      <w:r w:rsidRPr="00141F18">
        <w:rPr>
          <w:rFonts w:ascii="Cambria" w:eastAsia="Calibri" w:hAnsi="Cambria" w:cs="Times New Roman"/>
          <w:sz w:val="21"/>
          <w:szCs w:val="21"/>
          <w:lang w:val="es-ES_tradnl"/>
        </w:rPr>
        <w:t>s</w:t>
      </w:r>
      <w:r w:rsidR="009B6002" w:rsidRPr="00141F18">
        <w:rPr>
          <w:rFonts w:ascii="Cambria" w:eastAsia="Calibri" w:hAnsi="Cambria" w:cs="Times New Roman"/>
          <w:sz w:val="21"/>
          <w:szCs w:val="21"/>
          <w:lang w:val="es-ES_tradnl"/>
        </w:rPr>
        <w:t>, incluyendo personal médico,</w:t>
      </w:r>
      <w:r w:rsidR="00EB4A40" w:rsidRPr="00141F18">
        <w:rPr>
          <w:rFonts w:ascii="Cambria" w:eastAsia="Calibri" w:hAnsi="Cambria" w:cs="Times New Roman"/>
          <w:sz w:val="21"/>
          <w:szCs w:val="21"/>
          <w:lang w:val="es-ES_tradnl"/>
        </w:rPr>
        <w:t xml:space="preserve"> para atender estas situa</w:t>
      </w:r>
      <w:r w:rsidR="002826B9" w:rsidRPr="00141F18">
        <w:rPr>
          <w:rFonts w:ascii="Cambria" w:eastAsia="Calibri" w:hAnsi="Cambria" w:cs="Times New Roman"/>
          <w:sz w:val="21"/>
          <w:szCs w:val="21"/>
          <w:lang w:val="es-ES_tradnl"/>
        </w:rPr>
        <w:t>ci</w:t>
      </w:r>
      <w:r w:rsidR="00EB4A40" w:rsidRPr="00141F18">
        <w:rPr>
          <w:rFonts w:ascii="Cambria" w:eastAsia="Calibri" w:hAnsi="Cambria" w:cs="Times New Roman"/>
          <w:sz w:val="21"/>
          <w:szCs w:val="21"/>
          <w:lang w:val="es-ES_tradnl"/>
        </w:rPr>
        <w:t>ones</w:t>
      </w:r>
      <w:r w:rsidRPr="00141F18">
        <w:rPr>
          <w:rFonts w:ascii="Cambria" w:eastAsia="Calibri" w:hAnsi="Cambria" w:cs="Times New Roman"/>
          <w:sz w:val="21"/>
          <w:szCs w:val="21"/>
          <w:lang w:val="es-ES_tradnl"/>
        </w:rPr>
        <w:t>,</w:t>
      </w:r>
      <w:r w:rsidR="00EB4A40" w:rsidRPr="00141F18">
        <w:rPr>
          <w:rFonts w:ascii="Cambria" w:eastAsia="Calibri" w:hAnsi="Cambria" w:cs="Times New Roman"/>
          <w:sz w:val="21"/>
          <w:szCs w:val="21"/>
          <w:lang w:val="es-ES_tradnl"/>
        </w:rPr>
        <w:t xml:space="preserve"> </w:t>
      </w:r>
      <w:r w:rsidRPr="00141F18">
        <w:rPr>
          <w:rFonts w:ascii="Cambria" w:eastAsia="Calibri" w:hAnsi="Cambria" w:cs="Times New Roman"/>
          <w:sz w:val="21"/>
          <w:szCs w:val="21"/>
          <w:lang w:val="es-ES_tradnl"/>
        </w:rPr>
        <w:t>incluyendo</w:t>
      </w:r>
      <w:r w:rsidR="007F72F2" w:rsidRPr="00141F18">
        <w:rPr>
          <w:rFonts w:ascii="Cambria" w:eastAsia="Calibri" w:hAnsi="Cambria" w:cs="Times New Roman"/>
          <w:sz w:val="21"/>
          <w:szCs w:val="21"/>
          <w:lang w:val="es-ES_tradnl"/>
        </w:rPr>
        <w:t xml:space="preserve"> servicios de infraestructuras, electricidad y agua necesarios para tales servicios, conforme a los estándares aplicables</w:t>
      </w:r>
      <w:r w:rsidRPr="00141F18">
        <w:rPr>
          <w:rFonts w:ascii="Cambria" w:eastAsia="Calibri" w:hAnsi="Cambria" w:cs="Times New Roman"/>
          <w:sz w:val="21"/>
          <w:szCs w:val="21"/>
          <w:lang w:val="es-ES_tradnl"/>
        </w:rPr>
        <w:t>;</w:t>
      </w:r>
    </w:p>
    <w:p w:rsidR="007444D4" w:rsidRPr="00141F18" w:rsidRDefault="007444D4" w:rsidP="005D777E">
      <w:pPr>
        <w:pStyle w:val="ListParagraph"/>
        <w:ind w:left="1440"/>
        <w:jc w:val="both"/>
        <w:rPr>
          <w:rFonts w:ascii="Cambria" w:eastAsia="Calibri" w:hAnsi="Cambria" w:cs="Times New Roman"/>
          <w:sz w:val="21"/>
          <w:szCs w:val="21"/>
          <w:lang w:val="es-MX"/>
        </w:rPr>
      </w:pPr>
    </w:p>
    <w:p w:rsidR="001E1C4A" w:rsidRDefault="00E348AF" w:rsidP="004251C9">
      <w:pPr>
        <w:pStyle w:val="ListParagraph"/>
        <w:numPr>
          <w:ilvl w:val="0"/>
          <w:numId w:val="37"/>
        </w:numPr>
        <w:jc w:val="both"/>
        <w:rPr>
          <w:rFonts w:ascii="Cambria" w:eastAsia="Calibri" w:hAnsi="Cambria" w:cs="Times New Roman"/>
          <w:sz w:val="21"/>
          <w:szCs w:val="21"/>
          <w:lang w:val="es-MX"/>
        </w:rPr>
      </w:pPr>
      <w:r w:rsidRPr="00141F18">
        <w:rPr>
          <w:rFonts w:ascii="Cambria" w:eastAsia="Calibri" w:hAnsi="Cambria" w:cs="Times New Roman"/>
          <w:sz w:val="21"/>
          <w:szCs w:val="21"/>
          <w:lang w:val="es-MX"/>
        </w:rPr>
        <w:t>c</w:t>
      </w:r>
      <w:r w:rsidR="007F72F2" w:rsidRPr="00141F18">
        <w:rPr>
          <w:rFonts w:ascii="Cambria" w:eastAsia="Calibri" w:hAnsi="Cambria" w:cs="Times New Roman"/>
          <w:sz w:val="21"/>
          <w:szCs w:val="21"/>
          <w:lang w:val="es-MX"/>
        </w:rPr>
        <w:t xml:space="preserve">oncierte las medidas a adoptar con las beneficiarias y </w:t>
      </w:r>
      <w:r w:rsidRPr="00141F18">
        <w:rPr>
          <w:rFonts w:ascii="Cambria" w:eastAsia="Calibri" w:hAnsi="Cambria" w:cs="Times New Roman"/>
          <w:sz w:val="21"/>
          <w:szCs w:val="21"/>
          <w:lang w:val="es-MX"/>
        </w:rPr>
        <w:t>sus</w:t>
      </w:r>
      <w:r w:rsidR="007F72F2" w:rsidRPr="00141F18">
        <w:rPr>
          <w:rFonts w:ascii="Cambria" w:eastAsia="Calibri" w:hAnsi="Cambria" w:cs="Times New Roman"/>
          <w:sz w:val="21"/>
          <w:szCs w:val="21"/>
          <w:lang w:val="es-MX"/>
        </w:rPr>
        <w:t xml:space="preserve"> representantes. En relación con este aspecto, la Comisión considera </w:t>
      </w:r>
      <w:r w:rsidR="006867BD" w:rsidRPr="00141F18">
        <w:rPr>
          <w:rFonts w:ascii="Cambria" w:eastAsia="Calibri" w:hAnsi="Cambria" w:cs="Times New Roman"/>
          <w:sz w:val="21"/>
          <w:szCs w:val="21"/>
          <w:lang w:val="es-MX"/>
        </w:rPr>
        <w:t>necesario que</w:t>
      </w:r>
      <w:r w:rsidR="007F72F2" w:rsidRPr="00141F18">
        <w:rPr>
          <w:rFonts w:ascii="Cambria" w:eastAsia="Calibri" w:hAnsi="Cambria" w:cs="Times New Roman"/>
          <w:sz w:val="21"/>
          <w:szCs w:val="21"/>
          <w:lang w:val="es-MX"/>
        </w:rPr>
        <w:t xml:space="preserve"> sea tomada en cuenta la opini</w:t>
      </w:r>
      <w:r w:rsidR="006867BD" w:rsidRPr="00141F18">
        <w:rPr>
          <w:rFonts w:ascii="Cambria" w:eastAsia="Calibri" w:hAnsi="Cambria" w:cs="Times New Roman"/>
          <w:sz w:val="21"/>
          <w:szCs w:val="21"/>
          <w:lang w:val="es-MX"/>
        </w:rPr>
        <w:t xml:space="preserve">ón de especialistas, </w:t>
      </w:r>
      <w:r w:rsidR="007F72F2" w:rsidRPr="00141F18">
        <w:rPr>
          <w:rFonts w:ascii="Cambria" w:eastAsia="Calibri" w:hAnsi="Cambria" w:cs="Times New Roman"/>
          <w:sz w:val="21"/>
          <w:szCs w:val="21"/>
          <w:lang w:val="es-MX"/>
        </w:rPr>
        <w:t xml:space="preserve">profesionales </w:t>
      </w:r>
      <w:r w:rsidR="006867BD" w:rsidRPr="00141F18">
        <w:rPr>
          <w:rFonts w:ascii="Cambria" w:eastAsia="Calibri" w:hAnsi="Cambria" w:cs="Times New Roman"/>
          <w:sz w:val="21"/>
          <w:szCs w:val="21"/>
          <w:lang w:val="es-MX"/>
        </w:rPr>
        <w:t xml:space="preserve">y personal </w:t>
      </w:r>
      <w:r w:rsidR="007F72F2" w:rsidRPr="00141F18">
        <w:rPr>
          <w:rFonts w:ascii="Cambria" w:eastAsia="Calibri" w:hAnsi="Cambria" w:cs="Times New Roman"/>
          <w:sz w:val="21"/>
          <w:szCs w:val="21"/>
          <w:lang w:val="es-MX"/>
        </w:rPr>
        <w:t>que prestan sus servicios en el Hospital, respecto de quienes el Estado, como parte de sus obligaciones de respeto y garantía de los derechos humanos, debe garantizar condiciones para que tengan una participación libre y adecuada</w:t>
      </w:r>
      <w:r w:rsidR="00CE6AD9" w:rsidRPr="00141F18">
        <w:rPr>
          <w:rFonts w:ascii="Cambria" w:eastAsia="Calibri" w:hAnsi="Cambria" w:cs="Times New Roman"/>
          <w:sz w:val="21"/>
          <w:szCs w:val="21"/>
          <w:lang w:val="es-MX"/>
        </w:rPr>
        <w:t>,</w:t>
      </w:r>
      <w:r w:rsidR="00A735DE">
        <w:rPr>
          <w:rFonts w:ascii="Cambria" w:eastAsia="Calibri" w:hAnsi="Cambria" w:cs="Times New Roman"/>
          <w:sz w:val="21"/>
          <w:szCs w:val="21"/>
          <w:lang w:val="es-MX"/>
        </w:rPr>
        <w:t xml:space="preserve"> sin ser objetos de represalias; y</w:t>
      </w:r>
    </w:p>
    <w:p w:rsidR="00A735DE" w:rsidRDefault="00A735DE" w:rsidP="00A735DE">
      <w:pPr>
        <w:pStyle w:val="ListParagraph"/>
        <w:jc w:val="both"/>
        <w:rPr>
          <w:rFonts w:ascii="Cambria" w:eastAsia="Calibri" w:hAnsi="Cambria" w:cs="Times New Roman"/>
          <w:sz w:val="21"/>
          <w:szCs w:val="21"/>
          <w:lang w:val="es-MX"/>
        </w:rPr>
      </w:pPr>
    </w:p>
    <w:p w:rsidR="00A735DE" w:rsidRPr="00A735DE" w:rsidRDefault="00A735DE" w:rsidP="004251C9">
      <w:pPr>
        <w:pStyle w:val="ListParagraph"/>
        <w:numPr>
          <w:ilvl w:val="0"/>
          <w:numId w:val="37"/>
        </w:numPr>
        <w:jc w:val="both"/>
        <w:rPr>
          <w:rFonts w:ascii="Cambria" w:eastAsia="Calibri" w:hAnsi="Cambria" w:cs="Times New Roman"/>
          <w:sz w:val="21"/>
          <w:szCs w:val="21"/>
          <w:lang w:val="es-MX"/>
        </w:rPr>
      </w:pPr>
      <w:r w:rsidRPr="00A735DE">
        <w:rPr>
          <w:rFonts w:ascii="Cambria" w:eastAsia="Calibri" w:hAnsi="Cambria" w:cs="Times New Roman"/>
          <w:sz w:val="21"/>
          <w:szCs w:val="21"/>
          <w:lang w:val="es-MX"/>
        </w:rPr>
        <w:t>informe sobre las medidas adoptadas tendentes a investigar los presuntos hechos que dieron lugar a la adopción de esta resolución y así evitar su repetición; en particular, respecto del alegado fallecimiento de recién nacidos en el Hospital.</w:t>
      </w:r>
    </w:p>
    <w:p w:rsidR="00A735DE" w:rsidRPr="00A735DE" w:rsidRDefault="00A735DE" w:rsidP="00A735DE">
      <w:pPr>
        <w:ind w:left="360"/>
        <w:jc w:val="both"/>
        <w:rPr>
          <w:rFonts w:ascii="Cambria" w:eastAsia="Calibri" w:hAnsi="Cambria" w:cs="Times New Roman"/>
          <w:sz w:val="21"/>
          <w:szCs w:val="21"/>
          <w:lang w:val="es-MX"/>
        </w:rPr>
      </w:pPr>
    </w:p>
    <w:p w:rsidR="001E1C4A" w:rsidRPr="00141F18" w:rsidRDefault="001E1C4A" w:rsidP="007444D4">
      <w:pPr>
        <w:jc w:val="both"/>
        <w:rPr>
          <w:rFonts w:ascii="Cambria" w:eastAsia="Calibri" w:hAnsi="Cambria" w:cs="Times New Roman"/>
          <w:sz w:val="21"/>
          <w:szCs w:val="21"/>
          <w:lang w:val="es-MX"/>
        </w:rPr>
      </w:pPr>
    </w:p>
    <w:p w:rsidR="001E1C4A" w:rsidRPr="00141F18" w:rsidRDefault="001E1C4A" w:rsidP="004A3F68">
      <w:pPr>
        <w:numPr>
          <w:ilvl w:val="0"/>
          <w:numId w:val="1"/>
        </w:numPr>
        <w:ind w:left="0" w:firstLine="360"/>
        <w:contextualSpacing/>
        <w:jc w:val="both"/>
        <w:rPr>
          <w:rFonts w:ascii="Cambria" w:eastAsia="Calibri" w:hAnsi="Cambria" w:cs="Times New Roman"/>
          <w:sz w:val="21"/>
          <w:szCs w:val="21"/>
          <w:lang w:val="es-AR"/>
        </w:rPr>
      </w:pPr>
      <w:r w:rsidRPr="00141F18">
        <w:rPr>
          <w:rFonts w:ascii="Cambria" w:eastAsia="Calibri" w:hAnsi="Cambria" w:cs="Times New Roman"/>
          <w:sz w:val="21"/>
          <w:szCs w:val="21"/>
          <w:lang w:val="es-ES"/>
        </w:rPr>
        <w:lastRenderedPageBreak/>
        <w:t>La Comisión solicita al Gobierno de Venezuela que infor</w:t>
      </w:r>
      <w:r w:rsidR="00E673D5" w:rsidRPr="00141F18">
        <w:rPr>
          <w:rFonts w:ascii="Cambria" w:eastAsia="Calibri" w:hAnsi="Cambria" w:cs="Times New Roman"/>
          <w:sz w:val="21"/>
          <w:szCs w:val="21"/>
          <w:lang w:val="es-ES"/>
        </w:rPr>
        <w:t>me, dentro del plazo de 15</w:t>
      </w:r>
      <w:r w:rsidR="0040044E" w:rsidRPr="00141F18">
        <w:rPr>
          <w:rFonts w:ascii="Cambria" w:eastAsia="Calibri" w:hAnsi="Cambria" w:cs="Times New Roman"/>
          <w:sz w:val="21"/>
          <w:szCs w:val="21"/>
          <w:lang w:val="es-ES"/>
        </w:rPr>
        <w:t xml:space="preserve"> días</w:t>
      </w:r>
      <w:r w:rsidRPr="00141F18">
        <w:rPr>
          <w:rFonts w:ascii="Cambria" w:eastAsia="Calibri" w:hAnsi="Cambria" w:cs="Times New Roman"/>
          <w:sz w:val="21"/>
          <w:szCs w:val="21"/>
          <w:lang w:val="es-ES"/>
        </w:rPr>
        <w:t xml:space="preserve"> contados a partir de la fecha de la presente resolución, sobre la adopción de las medidas cautelares requeridas y actualizar dicha información en forma periódica. </w:t>
      </w:r>
    </w:p>
    <w:p w:rsidR="001E1C4A" w:rsidRPr="00141F18" w:rsidRDefault="001E1C4A" w:rsidP="001E1C4A">
      <w:pPr>
        <w:ind w:left="360"/>
        <w:jc w:val="both"/>
        <w:rPr>
          <w:rFonts w:ascii="Cambria" w:eastAsia="Calibri" w:hAnsi="Cambria" w:cs="Times New Roman"/>
          <w:sz w:val="21"/>
          <w:szCs w:val="21"/>
          <w:lang w:val="es-AR"/>
        </w:rPr>
      </w:pPr>
    </w:p>
    <w:p w:rsidR="001E1C4A" w:rsidRPr="00141F18" w:rsidRDefault="001E1C4A" w:rsidP="004A3F68">
      <w:pPr>
        <w:numPr>
          <w:ilvl w:val="0"/>
          <w:numId w:val="1"/>
        </w:numPr>
        <w:ind w:left="0" w:firstLine="360"/>
        <w:contextualSpacing/>
        <w:jc w:val="both"/>
        <w:rPr>
          <w:rFonts w:ascii="Cambria" w:eastAsia="Calibri" w:hAnsi="Cambria" w:cs="Times New Roman"/>
          <w:sz w:val="21"/>
          <w:szCs w:val="21"/>
          <w:lang w:val="es-AR"/>
        </w:rPr>
      </w:pPr>
      <w:r w:rsidRPr="00141F18">
        <w:rPr>
          <w:rFonts w:ascii="Cambria" w:eastAsia="Calibri" w:hAnsi="Cambria" w:cs="Times New Roman"/>
          <w:sz w:val="21"/>
          <w:szCs w:val="21"/>
          <w:lang w:val="es-ES"/>
        </w:rPr>
        <w:t xml:space="preserve">La Comisión resalta que, de acuerdo con el artículo 25 (8) de su Reglamento, el otorgamiento de la presente medida cautelar y su adopción por el Estado no constituyen prejuzgamiento sobre violación alguna a los derechos protegidos en la Declaración Americana de los Derechos y Deberes del Hombre y otros instrumentos aplicables. </w:t>
      </w:r>
    </w:p>
    <w:p w:rsidR="001E1C4A" w:rsidRPr="00141F18" w:rsidRDefault="001E1C4A" w:rsidP="001E1C4A">
      <w:pPr>
        <w:ind w:left="360"/>
        <w:jc w:val="both"/>
        <w:rPr>
          <w:rFonts w:ascii="Cambria" w:eastAsia="Calibri" w:hAnsi="Cambria" w:cs="Times New Roman"/>
          <w:sz w:val="21"/>
          <w:szCs w:val="21"/>
          <w:lang w:val="es-AR"/>
        </w:rPr>
      </w:pPr>
    </w:p>
    <w:p w:rsidR="001E1C4A" w:rsidRPr="00141F18" w:rsidRDefault="001E1C4A" w:rsidP="004A3F68">
      <w:pPr>
        <w:numPr>
          <w:ilvl w:val="0"/>
          <w:numId w:val="1"/>
        </w:numPr>
        <w:ind w:left="0" w:firstLine="360"/>
        <w:contextualSpacing/>
        <w:jc w:val="both"/>
        <w:rPr>
          <w:rFonts w:ascii="Cambria" w:eastAsia="Calibri" w:hAnsi="Cambria" w:cs="Times New Roman"/>
          <w:sz w:val="21"/>
          <w:szCs w:val="21"/>
          <w:lang w:val="es-AR"/>
        </w:rPr>
      </w:pPr>
      <w:r w:rsidRPr="00141F18">
        <w:rPr>
          <w:rFonts w:ascii="Cambria" w:eastAsia="Calibri" w:hAnsi="Cambria" w:cs="Times New Roman"/>
          <w:sz w:val="21"/>
          <w:szCs w:val="21"/>
          <w:lang w:val="es-AR"/>
        </w:rPr>
        <w:t xml:space="preserve">La Comisión </w:t>
      </w:r>
      <w:r w:rsidR="007444D4" w:rsidRPr="00141F18">
        <w:rPr>
          <w:rFonts w:ascii="Cambria" w:eastAsia="Calibri" w:hAnsi="Cambria" w:cs="Times New Roman"/>
          <w:sz w:val="21"/>
          <w:szCs w:val="21"/>
          <w:lang w:val="es-AR"/>
        </w:rPr>
        <w:t xml:space="preserve">instruye a su </w:t>
      </w:r>
      <w:r w:rsidRPr="00141F18">
        <w:rPr>
          <w:rFonts w:ascii="Cambria" w:eastAsia="Calibri" w:hAnsi="Cambria" w:cs="Times New Roman"/>
          <w:sz w:val="21"/>
          <w:szCs w:val="21"/>
          <w:lang w:val="es-AR"/>
        </w:rPr>
        <w:t xml:space="preserve">Secretaría Ejecutiva </w:t>
      </w:r>
      <w:r w:rsidR="007444D4" w:rsidRPr="00141F18">
        <w:rPr>
          <w:rFonts w:ascii="Cambria" w:eastAsia="Calibri" w:hAnsi="Cambria" w:cs="Times New Roman"/>
          <w:sz w:val="21"/>
          <w:szCs w:val="21"/>
          <w:lang w:val="es-AR"/>
        </w:rPr>
        <w:t>que</w:t>
      </w:r>
      <w:r w:rsidRPr="00141F18">
        <w:rPr>
          <w:rFonts w:ascii="Cambria" w:eastAsia="Calibri" w:hAnsi="Cambria" w:cs="Times New Roman"/>
          <w:sz w:val="21"/>
          <w:szCs w:val="21"/>
          <w:lang w:val="es-AR"/>
        </w:rPr>
        <w:t xml:space="preserve"> notifique la presente resolución a </w:t>
      </w:r>
      <w:r w:rsidRPr="00141F18">
        <w:rPr>
          <w:rFonts w:ascii="Cambria" w:eastAsia="Calibri" w:hAnsi="Cambria" w:cs="Times New Roman"/>
          <w:sz w:val="21"/>
          <w:szCs w:val="21"/>
          <w:lang w:val="es-ES"/>
        </w:rPr>
        <w:t>Venezuela</w:t>
      </w:r>
      <w:r w:rsidR="007444D4" w:rsidRPr="00141F18">
        <w:rPr>
          <w:rFonts w:ascii="Cambria" w:eastAsia="Calibri" w:hAnsi="Cambria" w:cs="Times New Roman"/>
          <w:sz w:val="21"/>
          <w:szCs w:val="21"/>
          <w:lang w:val="es-AR"/>
        </w:rPr>
        <w:t xml:space="preserve"> y a la</w:t>
      </w:r>
      <w:r w:rsidRPr="00141F18">
        <w:rPr>
          <w:rFonts w:ascii="Cambria" w:eastAsia="Calibri" w:hAnsi="Cambria" w:cs="Times New Roman"/>
          <w:sz w:val="21"/>
          <w:szCs w:val="21"/>
          <w:lang w:val="es-AR"/>
        </w:rPr>
        <w:t>s solicitantes.</w:t>
      </w:r>
    </w:p>
    <w:p w:rsidR="001E1C4A" w:rsidRPr="00141F18" w:rsidRDefault="001E1C4A" w:rsidP="001E1C4A">
      <w:pPr>
        <w:ind w:left="360"/>
        <w:jc w:val="both"/>
        <w:rPr>
          <w:rFonts w:ascii="Cambria" w:eastAsia="Calibri" w:hAnsi="Cambria" w:cs="Times New Roman"/>
          <w:sz w:val="21"/>
          <w:szCs w:val="21"/>
          <w:lang w:val="es-AR"/>
        </w:rPr>
      </w:pPr>
    </w:p>
    <w:p w:rsidR="00817419" w:rsidRPr="00CD2262" w:rsidRDefault="001E1C4A" w:rsidP="005D777E">
      <w:pPr>
        <w:numPr>
          <w:ilvl w:val="0"/>
          <w:numId w:val="1"/>
        </w:numPr>
        <w:ind w:left="0" w:firstLine="360"/>
        <w:contextualSpacing/>
        <w:jc w:val="both"/>
        <w:rPr>
          <w:rFonts w:ascii="Cambria" w:eastAsia="Calibri" w:hAnsi="Cambria"/>
          <w:sz w:val="21"/>
          <w:szCs w:val="21"/>
          <w:lang w:val="es-ES_tradnl"/>
        </w:rPr>
      </w:pPr>
      <w:r w:rsidRPr="00A51937">
        <w:rPr>
          <w:rFonts w:ascii="Cambria" w:eastAsia="Calibri" w:hAnsi="Cambria" w:cs="Times New Roman"/>
          <w:sz w:val="21"/>
          <w:szCs w:val="21"/>
          <w:lang w:val="es-ES"/>
        </w:rPr>
        <w:t>Aprobado</w:t>
      </w:r>
      <w:r w:rsidRPr="00A51937">
        <w:rPr>
          <w:rFonts w:ascii="Cambria" w:eastAsia="Calibri" w:hAnsi="Cambria" w:cs="Times New Roman"/>
          <w:sz w:val="21"/>
          <w:szCs w:val="21"/>
          <w:lang w:val="es-AR"/>
        </w:rPr>
        <w:t xml:space="preserve"> el </w:t>
      </w:r>
      <w:r w:rsidR="00CD2262">
        <w:rPr>
          <w:rFonts w:ascii="Cambria" w:eastAsia="Calibri" w:hAnsi="Cambria" w:cs="Times New Roman"/>
          <w:sz w:val="21"/>
          <w:szCs w:val="21"/>
          <w:lang w:val="es-AR"/>
        </w:rPr>
        <w:t>18</w:t>
      </w:r>
      <w:r w:rsidRPr="00A51937">
        <w:rPr>
          <w:rFonts w:ascii="Cambria" w:eastAsia="Calibri" w:hAnsi="Cambria" w:cs="Times New Roman"/>
          <w:sz w:val="21"/>
          <w:szCs w:val="21"/>
          <w:lang w:val="es-AR"/>
        </w:rPr>
        <w:t xml:space="preserve"> de </w:t>
      </w:r>
      <w:r w:rsidR="007444D4" w:rsidRPr="00A51937">
        <w:rPr>
          <w:rFonts w:ascii="Cambria" w:eastAsia="Calibri" w:hAnsi="Cambria" w:cs="Times New Roman"/>
          <w:sz w:val="21"/>
          <w:szCs w:val="21"/>
          <w:lang w:val="es-AR"/>
        </w:rPr>
        <w:t>marzo de 2019</w:t>
      </w:r>
      <w:r w:rsidR="00A021A5" w:rsidRPr="00A51937">
        <w:rPr>
          <w:rFonts w:ascii="Cambria" w:eastAsia="Calibri" w:hAnsi="Cambria" w:cs="Times New Roman"/>
          <w:sz w:val="21"/>
          <w:szCs w:val="21"/>
          <w:lang w:val="es-AR"/>
        </w:rPr>
        <w:t xml:space="preserve"> por: </w:t>
      </w:r>
      <w:r w:rsidR="00CD2262">
        <w:rPr>
          <w:rFonts w:ascii="Cambria" w:eastAsia="Calibri" w:hAnsi="Cambria" w:cs="Times New Roman"/>
          <w:sz w:val="21"/>
          <w:szCs w:val="21"/>
          <w:lang w:val="es-AR"/>
        </w:rPr>
        <w:t>Esmeralda Arosemena de Troitiño, Presidenta; Joel Hernández García, Primer Vicepresidente; Antonia Urrejola Noguera, Segunda Vicepresidenta; Margarette May Macaulay; Francisco José Eguiguren Praeli; Luis Ernesto Vargas Silva; Flávia Piovesan, miembros de la CIDH.</w:t>
      </w: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both"/>
        <w:rPr>
          <w:rFonts w:ascii="Cambria" w:eastAsia="Calibri" w:hAnsi="Cambria" w:cs="Times New Roman"/>
          <w:sz w:val="21"/>
          <w:szCs w:val="21"/>
          <w:lang w:val="es-AR"/>
        </w:rPr>
      </w:pPr>
    </w:p>
    <w:p w:rsidR="00CD2262" w:rsidRDefault="00CD2262" w:rsidP="00CD2262">
      <w:pPr>
        <w:contextualSpacing/>
        <w:jc w:val="center"/>
        <w:rPr>
          <w:rFonts w:ascii="Cambria" w:eastAsia="Calibri" w:hAnsi="Cambria" w:cs="Times New Roman"/>
          <w:sz w:val="21"/>
          <w:szCs w:val="21"/>
          <w:lang w:val="es-AR"/>
        </w:rPr>
      </w:pPr>
      <w:r>
        <w:rPr>
          <w:rFonts w:ascii="Cambria" w:eastAsia="Calibri" w:hAnsi="Cambria" w:cs="Times New Roman"/>
          <w:sz w:val="21"/>
          <w:szCs w:val="21"/>
          <w:lang w:val="es-AR"/>
        </w:rPr>
        <w:t>Paulo Abrão</w:t>
      </w:r>
    </w:p>
    <w:p w:rsidR="00CD2262" w:rsidRPr="00A51937" w:rsidRDefault="00CD2262" w:rsidP="00CD2262">
      <w:pPr>
        <w:contextualSpacing/>
        <w:jc w:val="center"/>
        <w:rPr>
          <w:rFonts w:ascii="Cambria" w:eastAsia="Calibri" w:hAnsi="Cambria"/>
          <w:sz w:val="21"/>
          <w:szCs w:val="21"/>
          <w:lang w:val="es-ES_tradnl"/>
        </w:rPr>
      </w:pPr>
      <w:r>
        <w:rPr>
          <w:rFonts w:ascii="Cambria" w:eastAsia="Calibri" w:hAnsi="Cambria" w:cs="Times New Roman"/>
          <w:sz w:val="21"/>
          <w:szCs w:val="21"/>
          <w:lang w:val="es-AR"/>
        </w:rPr>
        <w:t>Secretario Ejecutivo</w:t>
      </w:r>
    </w:p>
    <w:sectPr w:rsidR="00CD2262" w:rsidRPr="00A51937"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67" w:rsidRDefault="00FA0467" w:rsidP="00BF7D6A">
      <w:r>
        <w:separator/>
      </w:r>
    </w:p>
  </w:endnote>
  <w:endnote w:type="continuationSeparator" w:id="0">
    <w:p w:rsidR="00FA0467" w:rsidRDefault="00FA0467"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D4" w:rsidRDefault="007444D4"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44D4" w:rsidRDefault="00744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D4" w:rsidRPr="00C522EB" w:rsidRDefault="007444D4" w:rsidP="00F43BE4">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4251C9">
      <w:rPr>
        <w:rStyle w:val="PageNumber"/>
        <w:rFonts w:asciiTheme="majorHAnsi" w:hAnsiTheme="majorHAnsi"/>
        <w:noProof/>
        <w:sz w:val="16"/>
      </w:rPr>
      <w:t>- 11 -</w:t>
    </w:r>
    <w:r w:rsidRPr="00C522EB">
      <w:rPr>
        <w:rStyle w:val="PageNumber"/>
        <w:rFonts w:asciiTheme="majorHAnsi" w:hAnsiTheme="majorHAnsi"/>
        <w:sz w:val="16"/>
      </w:rPr>
      <w:fldChar w:fldCharType="end"/>
    </w:r>
  </w:p>
  <w:p w:rsidR="007444D4" w:rsidRDefault="00744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67" w:rsidRDefault="00FA0467" w:rsidP="00BF7D6A">
      <w:r>
        <w:separator/>
      </w:r>
    </w:p>
  </w:footnote>
  <w:footnote w:type="continuationSeparator" w:id="0">
    <w:p w:rsidR="00FA0467" w:rsidRDefault="00FA0467" w:rsidP="00BF7D6A">
      <w:r>
        <w:continuationSeparator/>
      </w:r>
    </w:p>
  </w:footnote>
  <w:footnote w:id="1">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Definidas como aquellos fallecimientos que se producen durante el parto o a los cuarenta y dos días siguientes. </w:t>
      </w:r>
    </w:p>
  </w:footnote>
  <w:footnote w:id="2">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Las solicitantes mencionaron que el “[…] deterioro sostenido en la calidad de atención […]” se remonta desde aproximadamente el año 2010, registrándose varios eventos de riesgo similares a los que se señalan a continuación, los cuales fueron puestos en conocimiento de la CIDH durante una audiencia temática en el año 2015.   </w:t>
      </w:r>
    </w:p>
  </w:footnote>
  <w:footnote w:id="3">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Las solicitantes consideran que, como mínimo, las medidas cautelares deberían incluir lo siguiente: i) la atención a mujeres embarazadas, en trabajo de parto, puérperas, así como a sus hijos/as recién nacidos/as que deban permanecer en el Hospital; ii) a mujeres que necesiten controles médicos urgentes para prevenir danos irreparables a su vida e integridad personal, y iii) aquellas que requieren servicios urgentes de atención posaborto. Asimismo, el Estado debe adoptar las medidas urgentes que sean necesarias para garantizar la capacidad operativa de la Maternidad Concepción Palacios, en condiciones de salubridad y abarcando el funcionamiento de servicios básicos como de alimentación, agua, electricidad, dotación de insumos, medicamentos en general y también a métodos de planificación familiar, equipamiento, entre otros”.</w:t>
      </w:r>
    </w:p>
    <w:p w:rsidR="00717A3A" w:rsidRPr="00A51937" w:rsidRDefault="00717A3A" w:rsidP="00717A3A">
      <w:pPr>
        <w:pStyle w:val="FootnoteText"/>
        <w:spacing w:after="0" w:line="240" w:lineRule="auto"/>
        <w:rPr>
          <w:rFonts w:asciiTheme="majorHAnsi" w:hAnsiTheme="majorHAnsi"/>
          <w:sz w:val="16"/>
          <w:szCs w:val="16"/>
          <w:lang w:val="es-ES_tradnl"/>
        </w:rPr>
      </w:pPr>
    </w:p>
    <w:p w:rsidR="00717A3A" w:rsidRPr="00A51937" w:rsidRDefault="00717A3A" w:rsidP="00717A3A">
      <w:pPr>
        <w:pStyle w:val="FootnoteText"/>
        <w:spacing w:after="0" w:line="240" w:lineRule="auto"/>
        <w:rPr>
          <w:rFonts w:asciiTheme="majorHAnsi" w:hAnsiTheme="majorHAnsi"/>
          <w:sz w:val="16"/>
          <w:szCs w:val="16"/>
          <w:lang w:val="es-ES_tradnl"/>
        </w:rPr>
      </w:pPr>
    </w:p>
    <w:p w:rsidR="00717A3A" w:rsidRPr="00A51937" w:rsidRDefault="00717A3A" w:rsidP="00717A3A">
      <w:pPr>
        <w:pStyle w:val="FootnoteText"/>
        <w:spacing w:after="0" w:line="240" w:lineRule="auto"/>
        <w:rPr>
          <w:rFonts w:asciiTheme="majorHAnsi" w:hAnsiTheme="majorHAnsi"/>
          <w:sz w:val="16"/>
          <w:szCs w:val="16"/>
          <w:lang w:val="es-ES_tradnl"/>
        </w:rPr>
      </w:pPr>
    </w:p>
    <w:p w:rsidR="00717A3A" w:rsidRPr="00A51937" w:rsidRDefault="00717A3A" w:rsidP="00717A3A">
      <w:pPr>
        <w:pStyle w:val="FootnoteText"/>
        <w:spacing w:after="0" w:line="240" w:lineRule="auto"/>
        <w:rPr>
          <w:rFonts w:asciiTheme="majorHAnsi" w:hAnsiTheme="majorHAnsi"/>
          <w:sz w:val="16"/>
          <w:szCs w:val="16"/>
          <w:lang w:val="es-ES_tradnl"/>
        </w:rPr>
      </w:pPr>
    </w:p>
    <w:p w:rsidR="00717A3A" w:rsidRPr="00A51937" w:rsidRDefault="00717A3A" w:rsidP="00717A3A">
      <w:pPr>
        <w:pStyle w:val="FootnoteText"/>
        <w:spacing w:after="0" w:line="240" w:lineRule="auto"/>
        <w:rPr>
          <w:rFonts w:asciiTheme="majorHAnsi" w:hAnsiTheme="majorHAnsi"/>
          <w:sz w:val="16"/>
          <w:szCs w:val="16"/>
          <w:lang w:val="es-ES_tradnl"/>
        </w:rPr>
      </w:pPr>
    </w:p>
  </w:footnote>
  <w:footnote w:id="4">
    <w:p w:rsidR="00717A3A"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Conforme a la información aportada por las solicitantes, los fallecimientos se produjeron en el siguiente orden:</w:t>
      </w:r>
    </w:p>
    <w:p w:rsidR="00717A3A" w:rsidRPr="00A51937" w:rsidRDefault="00717A3A" w:rsidP="00717A3A">
      <w:pPr>
        <w:pStyle w:val="FootnoteText"/>
        <w:spacing w:after="0" w:line="240" w:lineRule="auto"/>
        <w:rPr>
          <w:rFonts w:asciiTheme="majorHAnsi" w:hAnsiTheme="majorHAnsi"/>
          <w:sz w:val="16"/>
          <w:szCs w:val="16"/>
          <w:lang w:val="es-ES_tradnl"/>
        </w:rPr>
      </w:pPr>
    </w:p>
    <w:tbl>
      <w:tblPr>
        <w:tblStyle w:val="TableGrid"/>
        <w:tblW w:w="0" w:type="auto"/>
        <w:tblLook w:val="04A0" w:firstRow="1" w:lastRow="0" w:firstColumn="1" w:lastColumn="0" w:noHBand="0" w:noVBand="1"/>
      </w:tblPr>
      <w:tblGrid>
        <w:gridCol w:w="3192"/>
        <w:gridCol w:w="3192"/>
        <w:gridCol w:w="3192"/>
      </w:tblGrid>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b/>
                <w:sz w:val="16"/>
                <w:szCs w:val="16"/>
                <w:lang w:val="es-ES_tradnl"/>
              </w:rPr>
            </w:pPr>
            <w:r w:rsidRPr="00A51937">
              <w:rPr>
                <w:rFonts w:asciiTheme="majorHAnsi" w:hAnsiTheme="majorHAnsi"/>
                <w:b/>
                <w:sz w:val="16"/>
                <w:szCs w:val="16"/>
                <w:lang w:val="es-ES_tradnl"/>
              </w:rPr>
              <w:t>Mes (2018)</w:t>
            </w:r>
          </w:p>
        </w:tc>
        <w:tc>
          <w:tcPr>
            <w:tcW w:w="3192" w:type="dxa"/>
          </w:tcPr>
          <w:p w:rsidR="007444D4" w:rsidRPr="00A51937" w:rsidRDefault="007444D4" w:rsidP="00717A3A">
            <w:pPr>
              <w:pStyle w:val="FootnoteText"/>
              <w:spacing w:after="0" w:line="240" w:lineRule="auto"/>
              <w:rPr>
                <w:rFonts w:asciiTheme="majorHAnsi" w:hAnsiTheme="majorHAnsi"/>
                <w:b/>
                <w:sz w:val="16"/>
                <w:szCs w:val="16"/>
                <w:lang w:val="es-ES_tradnl"/>
              </w:rPr>
            </w:pPr>
            <w:r w:rsidRPr="00A51937">
              <w:rPr>
                <w:rFonts w:asciiTheme="majorHAnsi" w:hAnsiTheme="majorHAnsi"/>
                <w:b/>
                <w:sz w:val="16"/>
                <w:szCs w:val="16"/>
                <w:lang w:val="es-ES_tradnl"/>
              </w:rPr>
              <w:t>Muertes maternas</w:t>
            </w:r>
          </w:p>
        </w:tc>
        <w:tc>
          <w:tcPr>
            <w:tcW w:w="3192" w:type="dxa"/>
          </w:tcPr>
          <w:p w:rsidR="007444D4" w:rsidRPr="00A51937" w:rsidRDefault="007444D4" w:rsidP="00717A3A">
            <w:pPr>
              <w:pStyle w:val="FootnoteText"/>
              <w:spacing w:after="0" w:line="240" w:lineRule="auto"/>
              <w:rPr>
                <w:rFonts w:asciiTheme="majorHAnsi" w:hAnsiTheme="majorHAnsi"/>
                <w:b/>
                <w:sz w:val="16"/>
                <w:szCs w:val="16"/>
                <w:lang w:val="es-ES_tradnl"/>
              </w:rPr>
            </w:pPr>
            <w:r w:rsidRPr="00A51937">
              <w:rPr>
                <w:rFonts w:asciiTheme="majorHAnsi" w:hAnsiTheme="majorHAnsi"/>
                <w:b/>
                <w:sz w:val="16"/>
                <w:szCs w:val="16"/>
                <w:lang w:val="es-ES_tradnl"/>
              </w:rPr>
              <w:t>Fallecimientos de recién nacidos</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Enero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28</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Febrero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42</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Marzo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35</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Abril</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38</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Mayo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25</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Junio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0</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28</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Julio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3</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18</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Agosto</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2</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16</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Septiembre</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18</w:t>
            </w:r>
          </w:p>
        </w:tc>
      </w:tr>
      <w:tr w:rsidR="007444D4" w:rsidRPr="00A51937" w:rsidTr="00B474FE">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Octubre</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w:t>
            </w:r>
          </w:p>
        </w:tc>
        <w:tc>
          <w:tcPr>
            <w:tcW w:w="3192" w:type="dxa"/>
          </w:tcPr>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Fonts w:asciiTheme="majorHAnsi" w:hAnsiTheme="majorHAnsi"/>
                <w:sz w:val="16"/>
                <w:szCs w:val="16"/>
                <w:lang w:val="es-ES_tradnl"/>
              </w:rPr>
              <w:t>17</w:t>
            </w:r>
          </w:p>
        </w:tc>
      </w:tr>
    </w:tbl>
    <w:p w:rsidR="007444D4" w:rsidRPr="00A51937" w:rsidRDefault="007444D4" w:rsidP="00717A3A">
      <w:pPr>
        <w:pStyle w:val="FootnoteText"/>
        <w:spacing w:after="0" w:line="240" w:lineRule="auto"/>
        <w:rPr>
          <w:rFonts w:asciiTheme="majorHAnsi" w:hAnsiTheme="majorHAnsi"/>
          <w:sz w:val="16"/>
          <w:szCs w:val="16"/>
          <w:lang w:val="es-ES_tradnl"/>
        </w:rPr>
      </w:pPr>
    </w:p>
  </w:footnote>
  <w:footnote w:id="5">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En diciembre de 2018, por ejemplo, el servicio de laboratorio clínico habría estado “totalmente inoperativo”. </w:t>
      </w:r>
    </w:p>
  </w:footnote>
  <w:footnote w:id="6">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En agosto de 2018, una paciente habría fallecido por no recibir a tiempo sangre durante una hemorragia posterior a una cesárea. </w:t>
      </w:r>
    </w:p>
  </w:footnote>
  <w:footnote w:id="7">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Las solicitantes mencionaron que la Maternidad se quedó sin anestesiólogos durante un mes entero, sin especificar. </w:t>
      </w:r>
    </w:p>
  </w:footnote>
  <w:footnote w:id="8">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Si bien no se cuenta con cifras oficiales, las solicitantes manifestaron que según el último boletín epidemiológico de 2017, la mayoría de los casos son muertes por causas infecciosas “[…] que tienen que ver con las condiciones en que se encuentran las instalaciones de la Maternidad”. </w:t>
      </w:r>
    </w:p>
  </w:footnote>
  <w:footnote w:id="9">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Según la solicitud, se registraron seis camas operativas en septiembre y octubre, cuatro en noviembre y seis en diciembre de 2018. </w:t>
      </w:r>
    </w:p>
  </w:footnote>
  <w:footnote w:id="10">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Vestimenta médico-quirúrgica, lentes y guantes. </w:t>
      </w:r>
    </w:p>
  </w:footnote>
  <w:footnote w:id="11">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Las solicitantes indicaron que entre agosto y diciembre de 2018, se detectó una “falta absoluta” de medicamentos hasta por un mes entero de: Methergin 0,2 Mg/ml, la Clindamicina; ampicilina parenteral, Metronidazol parenteral, Paracetamol, Dipirona o Metamizol, y Nifedipina oral. Otros medicamentos, como la Ceftriaxona parenteral, Furosemida parenteral, Gentamicina parenteral, Metronidazol parenteral, Ranitidina parenteral, y el Misoprostol, habrían presentado una dotación irregular o intermitente.</w:t>
      </w:r>
    </w:p>
  </w:footnote>
  <w:footnote w:id="12">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Según las solicitantes: “[…] durante los últimos seis meses muestra que insumos básicos para la atención como son sutura, tubos de ensayo, gasas y guantes poseen una dotación irregular o en algunos casos, como compresas, no hay dotación alguna. En el mes de diciembre, ya no había tubos de ensayo”.</w:t>
      </w:r>
    </w:p>
  </w:footnote>
  <w:footnote w:id="13">
    <w:p w:rsidR="007444D4" w:rsidRPr="00A51937" w:rsidRDefault="007444D4" w:rsidP="00717A3A">
      <w:pPr>
        <w:pStyle w:val="FootnoteText"/>
        <w:spacing w:after="0" w:line="240" w:lineRule="auto"/>
        <w:rPr>
          <w:rFonts w:asciiTheme="majorHAnsi" w:hAnsiTheme="majorHAnsi"/>
          <w:sz w:val="16"/>
          <w:szCs w:val="16"/>
          <w:lang w:val="es-MX"/>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Ver al respecto, Corte IDH. Asu</w:t>
      </w:r>
      <w:r w:rsidRPr="00A51937">
        <w:rPr>
          <w:rFonts w:asciiTheme="majorHAnsi" w:hAnsiTheme="majorHAnsi"/>
          <w:i/>
          <w:sz w:val="16"/>
          <w:szCs w:val="16"/>
          <w:lang w:val="es-MX"/>
        </w:rPr>
        <w:t>nto Pobladores de las Comunidades del Pueblo Indígena Miskitu de la Región Costa Caribe Norte respecto de Nicaragua</w:t>
      </w:r>
      <w:r w:rsidRPr="00A51937">
        <w:rPr>
          <w:rFonts w:asciiTheme="majorHAnsi" w:hAnsiTheme="majorHAnsi"/>
          <w:sz w:val="16"/>
          <w:szCs w:val="16"/>
          <w:lang w:val="es-MX"/>
        </w:rPr>
        <w:t xml:space="preserve">. Ampliación de Medidas Provisionales. Resolución de la Corte Interamericana de Derechos Humanos de 23 de agosto de 2018, considerando 13; Corte IDH, </w:t>
      </w:r>
      <w:r w:rsidRPr="00A51937">
        <w:rPr>
          <w:rFonts w:asciiTheme="majorHAnsi" w:hAnsiTheme="majorHAnsi"/>
          <w:i/>
          <w:sz w:val="16"/>
          <w:szCs w:val="16"/>
          <w:lang w:val="es-MX"/>
        </w:rPr>
        <w:t xml:space="preserve">Asunto de los niños y adolescentes privados de libertad en el “Complexo do </w:t>
      </w:r>
      <w:proofErr w:type="spellStart"/>
      <w:r w:rsidRPr="00A51937">
        <w:rPr>
          <w:rFonts w:asciiTheme="majorHAnsi" w:hAnsiTheme="majorHAnsi"/>
          <w:i/>
          <w:sz w:val="16"/>
          <w:szCs w:val="16"/>
          <w:lang w:val="es-MX"/>
        </w:rPr>
        <w:t>Tatuapé</w:t>
      </w:r>
      <w:proofErr w:type="spellEnd"/>
      <w:r w:rsidRPr="00A51937">
        <w:rPr>
          <w:rFonts w:asciiTheme="majorHAnsi" w:hAnsiTheme="majorHAnsi"/>
          <w:i/>
          <w:sz w:val="16"/>
          <w:szCs w:val="16"/>
          <w:lang w:val="es-MX"/>
        </w:rPr>
        <w:t xml:space="preserve">” de la </w:t>
      </w:r>
      <w:proofErr w:type="spellStart"/>
      <w:r w:rsidRPr="00A51937">
        <w:rPr>
          <w:rFonts w:asciiTheme="majorHAnsi" w:hAnsiTheme="majorHAnsi"/>
          <w:i/>
          <w:sz w:val="16"/>
          <w:szCs w:val="16"/>
          <w:lang w:val="es-MX"/>
        </w:rPr>
        <w:t>Fundação</w:t>
      </w:r>
      <w:proofErr w:type="spellEnd"/>
      <w:r w:rsidRPr="00A51937">
        <w:rPr>
          <w:rFonts w:asciiTheme="majorHAnsi" w:hAnsiTheme="majorHAnsi"/>
          <w:i/>
          <w:sz w:val="16"/>
          <w:szCs w:val="16"/>
          <w:lang w:val="es-MX"/>
        </w:rPr>
        <w:t xml:space="preserve"> CASA</w:t>
      </w:r>
      <w:r w:rsidRPr="00A51937">
        <w:rPr>
          <w:rFonts w:asciiTheme="majorHAnsi" w:hAnsiTheme="majorHAnsi"/>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14">
    <w:p w:rsidR="00AE30C2" w:rsidRPr="00A51937" w:rsidRDefault="00AE30C2"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Reglamento de la CIDH, art. 25.2.a. </w:t>
      </w:r>
    </w:p>
  </w:footnote>
  <w:footnote w:id="15">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760F68">
        <w:rPr>
          <w:rFonts w:asciiTheme="majorHAnsi" w:hAnsiTheme="majorHAnsi"/>
          <w:sz w:val="16"/>
          <w:szCs w:val="16"/>
          <w:lang w:val="es-ES_tradnl"/>
        </w:rPr>
        <w:t xml:space="preserve"> Corte IDH. </w:t>
      </w:r>
      <w:r w:rsidRPr="00760F68">
        <w:rPr>
          <w:rFonts w:asciiTheme="majorHAnsi" w:hAnsiTheme="majorHAnsi"/>
          <w:i/>
          <w:iCs/>
          <w:sz w:val="16"/>
          <w:szCs w:val="16"/>
          <w:lang w:val="es-ES_tradnl"/>
        </w:rPr>
        <w:t>Caso I.V. vs. Bolivia</w:t>
      </w:r>
      <w:r w:rsidRPr="00760F68">
        <w:rPr>
          <w:rFonts w:asciiTheme="majorHAnsi" w:hAnsiTheme="majorHAnsi"/>
          <w:sz w:val="16"/>
          <w:szCs w:val="16"/>
          <w:lang w:val="es-ES_tradnl"/>
        </w:rPr>
        <w:t xml:space="preserve">. </w:t>
      </w:r>
      <w:r w:rsidRPr="00A51937">
        <w:rPr>
          <w:rFonts w:asciiTheme="majorHAnsi" w:hAnsiTheme="majorHAnsi"/>
          <w:sz w:val="16"/>
          <w:szCs w:val="16"/>
          <w:lang w:val="es-ES_tradnl"/>
        </w:rPr>
        <w:t>Excepciones preliminares, Fondo, Reparaciones y Costas. Sentencia de 30 de noviembre de 2016. Serie C No. 329, párr. 157, disponible en: http://www.corteidh.or.cr/docs/casos/articulos/seriec_329_esp.pdf</w:t>
      </w:r>
    </w:p>
  </w:footnote>
  <w:footnote w:id="16">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A modo de ejemplo, la Comisión ha considerado el riesgo diferenciado que enfrentarían niños, niñas y adolescentes en el marco de su interés superior como tales, así como la población migrante o desplazada, y las personas con discapacidad. </w:t>
      </w:r>
    </w:p>
  </w:footnote>
  <w:footnote w:id="17">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Convención </w:t>
      </w:r>
      <w:r w:rsidR="004251C9">
        <w:rPr>
          <w:rFonts w:asciiTheme="majorHAnsi" w:hAnsiTheme="majorHAnsi"/>
          <w:sz w:val="16"/>
          <w:szCs w:val="16"/>
          <w:lang w:val="es-ES_tradnl"/>
        </w:rPr>
        <w:t xml:space="preserve">Interamericana para Prevenir, Sancionar y Erradicar la Violencia contra la Mujer “Convención </w:t>
      </w:r>
      <w:r w:rsidRPr="00A51937">
        <w:rPr>
          <w:rFonts w:asciiTheme="majorHAnsi" w:hAnsiTheme="majorHAnsi"/>
          <w:sz w:val="16"/>
          <w:szCs w:val="16"/>
          <w:lang w:val="es-ES_tradnl"/>
        </w:rPr>
        <w:t>de Belém do Pará</w:t>
      </w:r>
      <w:r w:rsidR="004251C9">
        <w:rPr>
          <w:rFonts w:asciiTheme="majorHAnsi" w:hAnsiTheme="majorHAnsi"/>
          <w:sz w:val="16"/>
          <w:szCs w:val="16"/>
          <w:lang w:val="es-ES_tradnl"/>
        </w:rPr>
        <w:t>”</w:t>
      </w:r>
      <w:r w:rsidRPr="00A51937">
        <w:rPr>
          <w:rFonts w:asciiTheme="majorHAnsi" w:hAnsiTheme="majorHAnsi"/>
          <w:sz w:val="16"/>
          <w:szCs w:val="16"/>
          <w:lang w:val="es-ES_tradnl"/>
        </w:rPr>
        <w:t xml:space="preserve">, </w:t>
      </w:r>
      <w:r w:rsidR="004251C9">
        <w:rPr>
          <w:rFonts w:asciiTheme="majorHAnsi" w:hAnsiTheme="majorHAnsi"/>
          <w:sz w:val="16"/>
          <w:szCs w:val="16"/>
          <w:lang w:val="es-ES_tradnl"/>
        </w:rPr>
        <w:t xml:space="preserve">hecha en la Ciudad de Belém do Pará, Brasil, el 9 de junio de 1994, </w:t>
      </w:r>
      <w:r w:rsidRPr="00A51937">
        <w:rPr>
          <w:rFonts w:asciiTheme="majorHAnsi" w:hAnsiTheme="majorHAnsi"/>
          <w:sz w:val="16"/>
          <w:szCs w:val="16"/>
          <w:lang w:val="es-ES_tradnl"/>
        </w:rPr>
        <w:t>art. 1.</w:t>
      </w:r>
      <w:r w:rsidR="004251C9">
        <w:rPr>
          <w:rFonts w:asciiTheme="majorHAnsi" w:hAnsiTheme="majorHAnsi"/>
          <w:sz w:val="16"/>
          <w:szCs w:val="16"/>
          <w:lang w:val="es-ES_tradnl"/>
        </w:rPr>
        <w:t xml:space="preserve"> Disponible en: </w:t>
      </w:r>
      <w:r w:rsidR="004251C9" w:rsidRPr="004251C9">
        <w:rPr>
          <w:rFonts w:asciiTheme="majorHAnsi" w:hAnsiTheme="majorHAnsi"/>
          <w:sz w:val="16"/>
          <w:szCs w:val="16"/>
          <w:lang w:val="es-ES_tradnl"/>
        </w:rPr>
        <w:t>http://www.oas.org/juridico/spanish/tratados/a-61.html</w:t>
      </w:r>
    </w:p>
  </w:footnote>
  <w:footnote w:id="18">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Convención de Belém do Pará, art. 2. </w:t>
      </w:r>
      <w:bookmarkStart w:id="0" w:name="_GoBack"/>
      <w:bookmarkEnd w:id="0"/>
    </w:p>
  </w:footnote>
  <w:footnote w:id="19">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Convención de Belém do Pará, art. 7.</w:t>
      </w:r>
    </w:p>
  </w:footnote>
  <w:footnote w:id="20">
    <w:p w:rsidR="007444D4" w:rsidRPr="00A51937" w:rsidRDefault="007444D4"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Convención de Belém do Pará, art. 9. </w:t>
      </w:r>
    </w:p>
  </w:footnote>
  <w:footnote w:id="21">
    <w:p w:rsidR="00CE6AD9" w:rsidRPr="00A51937" w:rsidRDefault="00CE6AD9"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CIDH, </w:t>
      </w:r>
      <w:r w:rsidRPr="00A51937">
        <w:rPr>
          <w:rFonts w:asciiTheme="majorHAnsi" w:hAnsiTheme="majorHAnsi"/>
          <w:i/>
          <w:sz w:val="16"/>
          <w:szCs w:val="16"/>
          <w:lang w:val="es-ES_tradnl"/>
        </w:rPr>
        <w:t>Acceso a servicios de salud materna desde una perspectiva de derechos humanos</w:t>
      </w:r>
      <w:r w:rsidRPr="00A51937">
        <w:rPr>
          <w:rFonts w:asciiTheme="majorHAnsi" w:hAnsiTheme="majorHAnsi"/>
          <w:sz w:val="16"/>
          <w:szCs w:val="16"/>
          <w:lang w:val="es-ES_tradnl"/>
        </w:rPr>
        <w:t>, OEA/</w:t>
      </w:r>
      <w:proofErr w:type="spellStart"/>
      <w:r w:rsidRPr="00A51937">
        <w:rPr>
          <w:rFonts w:asciiTheme="majorHAnsi" w:hAnsiTheme="majorHAnsi"/>
          <w:sz w:val="16"/>
          <w:szCs w:val="16"/>
          <w:lang w:val="es-ES_tradnl"/>
        </w:rPr>
        <w:t>Ser.L</w:t>
      </w:r>
      <w:proofErr w:type="spellEnd"/>
      <w:r w:rsidRPr="00A51937">
        <w:rPr>
          <w:rFonts w:asciiTheme="majorHAnsi" w:hAnsiTheme="majorHAnsi"/>
          <w:sz w:val="16"/>
          <w:szCs w:val="16"/>
          <w:lang w:val="es-ES_tradnl"/>
        </w:rPr>
        <w:t>/V/II. Doc. 69, 7 de junio de 2010, párr. 23, disponible en: http://www.oas.org/es/cidh/mujeres/docs/pdf/SaludMaterna2010.pdf</w:t>
      </w:r>
    </w:p>
  </w:footnote>
  <w:footnote w:id="22">
    <w:p w:rsidR="00CE6AD9" w:rsidRPr="00A51937" w:rsidRDefault="00CE6AD9"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ES_tradnl"/>
        </w:rPr>
        <w:t xml:space="preserve"> CIDH, </w:t>
      </w:r>
      <w:r w:rsidRPr="00A51937">
        <w:rPr>
          <w:rFonts w:asciiTheme="majorHAnsi" w:hAnsiTheme="majorHAnsi"/>
          <w:i/>
          <w:sz w:val="16"/>
          <w:szCs w:val="16"/>
          <w:lang w:val="es-ES_tradnl"/>
        </w:rPr>
        <w:t>Acceso a servicios de salud materna desde una perspectiva de derechos humanos</w:t>
      </w:r>
      <w:r w:rsidRPr="00A51937">
        <w:rPr>
          <w:rFonts w:asciiTheme="majorHAnsi" w:hAnsiTheme="majorHAnsi"/>
          <w:sz w:val="16"/>
          <w:szCs w:val="16"/>
          <w:lang w:val="es-ES_tradnl"/>
        </w:rPr>
        <w:t xml:space="preserve">, párr. 39. </w:t>
      </w:r>
    </w:p>
  </w:footnote>
  <w:footnote w:id="23">
    <w:p w:rsidR="00FF3201" w:rsidRPr="00A51937" w:rsidRDefault="00FF3201" w:rsidP="00717A3A">
      <w:pPr>
        <w:pStyle w:val="FootnoteText"/>
        <w:spacing w:after="0" w:line="240" w:lineRule="auto"/>
        <w:rPr>
          <w:rFonts w:asciiTheme="majorHAnsi" w:hAnsiTheme="majorHAnsi"/>
          <w:sz w:val="16"/>
          <w:szCs w:val="16"/>
          <w:lang w:val="es-MX"/>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Convención de Belém do Pará, art. 76. </w:t>
      </w:r>
    </w:p>
  </w:footnote>
  <w:footnote w:id="24">
    <w:p w:rsidR="00B00BFB" w:rsidRPr="00A51937" w:rsidRDefault="00B00BFB" w:rsidP="00717A3A">
      <w:pPr>
        <w:pStyle w:val="FootnoteText"/>
        <w:spacing w:after="0" w:line="240" w:lineRule="auto"/>
        <w:rPr>
          <w:rFonts w:asciiTheme="majorHAnsi" w:hAnsiTheme="majorHAnsi"/>
          <w:sz w:val="16"/>
          <w:szCs w:val="16"/>
          <w:lang w:val="es-ES_tradnl"/>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Corte IDH. </w:t>
      </w:r>
      <w:r w:rsidRPr="00A51937">
        <w:rPr>
          <w:rFonts w:asciiTheme="majorHAnsi" w:hAnsiTheme="majorHAnsi"/>
          <w:i/>
          <w:sz w:val="16"/>
          <w:szCs w:val="16"/>
          <w:lang w:val="es-ES_tradnl"/>
        </w:rPr>
        <w:t xml:space="preserve">Caso Gonzales </w:t>
      </w:r>
      <w:proofErr w:type="spellStart"/>
      <w:r w:rsidRPr="00A51937">
        <w:rPr>
          <w:rFonts w:asciiTheme="majorHAnsi" w:hAnsiTheme="majorHAnsi"/>
          <w:i/>
          <w:sz w:val="16"/>
          <w:szCs w:val="16"/>
          <w:lang w:val="es-ES_tradnl"/>
        </w:rPr>
        <w:t>Lluy</w:t>
      </w:r>
      <w:proofErr w:type="spellEnd"/>
      <w:r w:rsidRPr="00A51937">
        <w:rPr>
          <w:rFonts w:asciiTheme="majorHAnsi" w:hAnsiTheme="majorHAnsi"/>
          <w:i/>
          <w:sz w:val="16"/>
          <w:szCs w:val="16"/>
          <w:lang w:val="es-ES_tradnl"/>
        </w:rPr>
        <w:t xml:space="preserve"> y otros Vs. Ecuador</w:t>
      </w:r>
      <w:r w:rsidRPr="00A51937">
        <w:rPr>
          <w:rFonts w:asciiTheme="majorHAnsi" w:hAnsiTheme="majorHAnsi"/>
          <w:sz w:val="16"/>
          <w:szCs w:val="16"/>
          <w:lang w:val="es-ES_tradnl"/>
        </w:rPr>
        <w:t>. Excepciones Preliminares, Fondo, Reparaciones y Costas. Sentencia de 1 de septiembre de 2015. Serie C No. 298. Párr. 176.</w:t>
      </w:r>
    </w:p>
  </w:footnote>
  <w:footnote w:id="25">
    <w:p w:rsidR="000B2903" w:rsidRPr="00A51937" w:rsidRDefault="000B2903" w:rsidP="00717A3A">
      <w:pPr>
        <w:pStyle w:val="FootnoteText"/>
        <w:spacing w:after="0" w:line="240" w:lineRule="auto"/>
        <w:rPr>
          <w:rFonts w:asciiTheme="majorHAnsi" w:hAnsiTheme="majorHAnsi"/>
          <w:sz w:val="16"/>
          <w:szCs w:val="16"/>
          <w:lang w:val="es-SV"/>
        </w:rPr>
      </w:pPr>
      <w:r w:rsidRPr="00A51937">
        <w:rPr>
          <w:rFonts w:asciiTheme="majorHAnsi" w:hAnsiTheme="majorHAnsi"/>
          <w:sz w:val="16"/>
          <w:szCs w:val="16"/>
          <w:lang w:val="es-ES_tradnl"/>
        </w:rPr>
        <w:footnoteRef/>
      </w:r>
      <w:r w:rsidRPr="00A51937">
        <w:rPr>
          <w:rFonts w:asciiTheme="majorHAnsi" w:hAnsiTheme="majorHAnsi"/>
          <w:sz w:val="16"/>
          <w:szCs w:val="16"/>
          <w:lang w:val="es-ES_tradnl"/>
        </w:rPr>
        <w:t xml:space="preserve"> CIDH, Informe Anual 2017, Capítulo IV-B relativo a Venezuela, </w:t>
      </w:r>
      <w:proofErr w:type="spellStart"/>
      <w:r w:rsidRPr="00A51937">
        <w:rPr>
          <w:rFonts w:asciiTheme="majorHAnsi" w:hAnsiTheme="majorHAnsi"/>
          <w:sz w:val="16"/>
          <w:szCs w:val="16"/>
          <w:lang w:val="es-ES_tradnl"/>
        </w:rPr>
        <w:t>párrs</w:t>
      </w:r>
      <w:proofErr w:type="spellEnd"/>
      <w:r w:rsidRPr="00A51937">
        <w:rPr>
          <w:rFonts w:asciiTheme="majorHAnsi" w:hAnsiTheme="majorHAnsi"/>
          <w:sz w:val="16"/>
          <w:szCs w:val="16"/>
          <w:lang w:val="es-ES_tradnl"/>
        </w:rPr>
        <w:t>. 31 y 33. Marzo de 2018.</w:t>
      </w:r>
    </w:p>
  </w:footnote>
  <w:footnote w:id="26">
    <w:p w:rsidR="00292855" w:rsidRPr="00A51937" w:rsidRDefault="00292855" w:rsidP="00717A3A">
      <w:pPr>
        <w:rPr>
          <w:rFonts w:asciiTheme="majorHAnsi" w:eastAsia="Times New Roman" w:hAnsiTheme="majorHAnsi" w:cstheme="majorHAnsi"/>
          <w:sz w:val="16"/>
          <w:szCs w:val="16"/>
          <w:lang w:val="es-SV" w:eastAsia="es-ES_tradnl"/>
        </w:rPr>
      </w:pPr>
      <w:r w:rsidRPr="00A51937">
        <w:rPr>
          <w:rStyle w:val="FootnoteReference"/>
          <w:rFonts w:asciiTheme="majorHAnsi" w:hAnsiTheme="majorHAnsi" w:cstheme="majorHAnsi"/>
          <w:sz w:val="16"/>
          <w:szCs w:val="16"/>
        </w:rPr>
        <w:footnoteRef/>
      </w:r>
      <w:r w:rsidRPr="00A51937">
        <w:rPr>
          <w:rFonts w:asciiTheme="majorHAnsi" w:hAnsiTheme="majorHAnsi" w:cstheme="majorHAnsi"/>
          <w:sz w:val="16"/>
          <w:szCs w:val="16"/>
          <w:lang w:val="es-SV"/>
        </w:rPr>
        <w:t xml:space="preserve"> </w:t>
      </w:r>
      <w:r w:rsidR="00182822" w:rsidRPr="00A51937">
        <w:rPr>
          <w:rFonts w:asciiTheme="majorHAnsi" w:hAnsiTheme="majorHAnsi" w:cstheme="majorHAnsi"/>
          <w:sz w:val="16"/>
          <w:szCs w:val="16"/>
          <w:lang w:val="es-SV"/>
        </w:rPr>
        <w:t xml:space="preserve">CIDH, </w:t>
      </w:r>
      <w:r w:rsidR="00182822" w:rsidRPr="00A51937">
        <w:rPr>
          <w:rFonts w:asciiTheme="majorHAnsi" w:eastAsia="Times New Roman" w:hAnsiTheme="majorHAnsi" w:cstheme="majorHAnsi"/>
          <w:i/>
          <w:sz w:val="16"/>
          <w:szCs w:val="16"/>
          <w:lang w:val="es-SV" w:eastAsia="es-ES_tradnl"/>
        </w:rPr>
        <w:t>Institucionalidad democrática, estado de derecho y derechos humanos en Venezuela: Informe de país</w:t>
      </w:r>
      <w:r w:rsidR="00182822" w:rsidRPr="00A51937">
        <w:rPr>
          <w:rFonts w:asciiTheme="majorHAnsi" w:eastAsia="Times New Roman" w:hAnsiTheme="majorHAnsi" w:cstheme="majorHAnsi"/>
          <w:sz w:val="16"/>
          <w:szCs w:val="16"/>
          <w:lang w:val="es-SV" w:eastAsia="es-ES_tradnl"/>
        </w:rPr>
        <w:t>. OEA/</w:t>
      </w:r>
      <w:proofErr w:type="spellStart"/>
      <w:r w:rsidR="00182822" w:rsidRPr="00A51937">
        <w:rPr>
          <w:rFonts w:asciiTheme="majorHAnsi" w:eastAsia="Times New Roman" w:hAnsiTheme="majorHAnsi" w:cstheme="majorHAnsi"/>
          <w:sz w:val="16"/>
          <w:szCs w:val="16"/>
          <w:lang w:val="es-SV" w:eastAsia="es-ES_tradnl"/>
        </w:rPr>
        <w:t>Ser.L</w:t>
      </w:r>
      <w:proofErr w:type="spellEnd"/>
      <w:r w:rsidR="00182822" w:rsidRPr="00A51937">
        <w:rPr>
          <w:rFonts w:asciiTheme="majorHAnsi" w:eastAsia="Times New Roman" w:hAnsiTheme="majorHAnsi" w:cstheme="majorHAnsi"/>
          <w:sz w:val="16"/>
          <w:szCs w:val="16"/>
          <w:lang w:val="es-SV" w:eastAsia="es-ES_tradnl"/>
        </w:rPr>
        <w:t xml:space="preserve">/V/II. Doc.209/17. 31 de diciembre de 2017. Párr. </w:t>
      </w:r>
      <w:r w:rsidRPr="00A51937">
        <w:rPr>
          <w:rFonts w:asciiTheme="majorHAnsi" w:hAnsiTheme="majorHAnsi" w:cstheme="majorHAnsi"/>
          <w:sz w:val="16"/>
          <w:szCs w:val="16"/>
          <w:lang w:val="es-SV"/>
        </w:rPr>
        <w:t>436</w:t>
      </w:r>
      <w:r w:rsidR="00182822" w:rsidRPr="00A51937">
        <w:rPr>
          <w:rFonts w:asciiTheme="majorHAnsi" w:hAnsiTheme="majorHAnsi" w:cstheme="majorHAnsi"/>
          <w:sz w:val="16"/>
          <w:szCs w:val="16"/>
          <w:lang w:val="es-SV"/>
        </w:rPr>
        <w:t>.</w:t>
      </w:r>
    </w:p>
  </w:footnote>
  <w:footnote w:id="27">
    <w:p w:rsidR="00192943" w:rsidRPr="00A51937" w:rsidRDefault="00192943" w:rsidP="00717A3A">
      <w:pPr>
        <w:pStyle w:val="FootnoteText"/>
        <w:spacing w:after="0" w:line="240" w:lineRule="auto"/>
        <w:rPr>
          <w:rFonts w:asciiTheme="majorHAnsi" w:hAnsiTheme="majorHAnsi" w:cstheme="majorHAnsi"/>
          <w:sz w:val="16"/>
          <w:szCs w:val="16"/>
          <w:lang w:val="es-SV"/>
        </w:rPr>
      </w:pPr>
      <w:r w:rsidRPr="00A51937">
        <w:rPr>
          <w:rStyle w:val="FootnoteReference"/>
          <w:rFonts w:asciiTheme="majorHAnsi" w:hAnsiTheme="majorHAnsi" w:cstheme="majorHAnsi"/>
          <w:sz w:val="16"/>
          <w:szCs w:val="16"/>
        </w:rPr>
        <w:footnoteRef/>
      </w:r>
      <w:r w:rsidRPr="00A51937">
        <w:rPr>
          <w:rFonts w:asciiTheme="majorHAnsi" w:hAnsiTheme="majorHAnsi" w:cstheme="majorHAnsi"/>
          <w:sz w:val="16"/>
          <w:szCs w:val="16"/>
          <w:lang w:val="es-SV"/>
        </w:rPr>
        <w:t xml:space="preserve"> </w:t>
      </w:r>
      <w:r w:rsidR="00182822" w:rsidRPr="00A51937">
        <w:rPr>
          <w:rFonts w:asciiTheme="majorHAnsi" w:hAnsiTheme="majorHAnsi" w:cstheme="majorHAnsi"/>
          <w:sz w:val="16"/>
          <w:szCs w:val="16"/>
          <w:lang w:val="es-SV"/>
        </w:rPr>
        <w:t xml:space="preserve">CIDH, </w:t>
      </w:r>
      <w:r w:rsidR="00182822" w:rsidRPr="00A51937">
        <w:rPr>
          <w:rFonts w:asciiTheme="majorHAnsi" w:eastAsia="Times New Roman" w:hAnsiTheme="majorHAnsi" w:cstheme="majorHAnsi"/>
          <w:i/>
          <w:sz w:val="16"/>
          <w:szCs w:val="16"/>
          <w:lang w:val="es-SV" w:eastAsia="es-ES_tradnl"/>
        </w:rPr>
        <w:t xml:space="preserve">Institucionalidad democrática, estado de derecho y derechos </w:t>
      </w:r>
      <w:r w:rsidR="0069465A" w:rsidRPr="00A51937">
        <w:rPr>
          <w:rFonts w:asciiTheme="majorHAnsi" w:eastAsia="Times New Roman" w:hAnsiTheme="majorHAnsi" w:cstheme="majorHAnsi"/>
          <w:i/>
          <w:sz w:val="16"/>
          <w:szCs w:val="16"/>
          <w:lang w:val="es-SV" w:eastAsia="es-ES_tradnl"/>
        </w:rPr>
        <w:t>humanos en Venezuela</w:t>
      </w:r>
      <w:r w:rsidR="0069465A" w:rsidRPr="00A51937">
        <w:rPr>
          <w:rFonts w:asciiTheme="majorHAnsi" w:eastAsia="Times New Roman" w:hAnsiTheme="majorHAnsi" w:cstheme="majorHAnsi"/>
          <w:sz w:val="16"/>
          <w:szCs w:val="16"/>
          <w:lang w:val="es-SV" w:eastAsia="es-ES_tradnl"/>
        </w:rPr>
        <w:t>, p</w:t>
      </w:r>
      <w:r w:rsidR="00182822" w:rsidRPr="00A51937">
        <w:rPr>
          <w:rFonts w:asciiTheme="majorHAnsi" w:eastAsia="Times New Roman" w:hAnsiTheme="majorHAnsi" w:cstheme="majorHAnsi"/>
          <w:sz w:val="16"/>
          <w:szCs w:val="16"/>
          <w:lang w:val="es-SV" w:eastAsia="es-ES_tradnl"/>
        </w:rPr>
        <w:t xml:space="preserve">árr. </w:t>
      </w:r>
      <w:r w:rsidRPr="00A51937">
        <w:rPr>
          <w:rFonts w:asciiTheme="majorHAnsi" w:hAnsiTheme="majorHAnsi" w:cstheme="majorHAnsi"/>
          <w:sz w:val="16"/>
          <w:szCs w:val="16"/>
          <w:lang w:val="es-SV"/>
        </w:rPr>
        <w:t>426</w:t>
      </w:r>
      <w:r w:rsidR="00182822" w:rsidRPr="00A51937">
        <w:rPr>
          <w:rFonts w:asciiTheme="majorHAnsi" w:hAnsiTheme="majorHAnsi" w:cstheme="majorHAnsi"/>
          <w:sz w:val="16"/>
          <w:szCs w:val="16"/>
          <w:lang w:val="es-SV"/>
        </w:rPr>
        <w:t>,</w:t>
      </w:r>
    </w:p>
  </w:footnote>
  <w:footnote w:id="28">
    <w:p w:rsidR="00292855" w:rsidRPr="00A51937" w:rsidRDefault="00292855" w:rsidP="00717A3A">
      <w:pPr>
        <w:pStyle w:val="FootnoteText"/>
        <w:spacing w:after="0" w:line="240" w:lineRule="auto"/>
        <w:rPr>
          <w:rFonts w:asciiTheme="majorHAnsi" w:hAnsiTheme="majorHAnsi" w:cstheme="majorHAnsi"/>
          <w:sz w:val="16"/>
          <w:szCs w:val="16"/>
          <w:lang w:val="es-SV"/>
        </w:rPr>
      </w:pPr>
      <w:r w:rsidRPr="00A51937">
        <w:rPr>
          <w:rStyle w:val="FootnoteReference"/>
          <w:rFonts w:asciiTheme="majorHAnsi" w:hAnsiTheme="majorHAnsi" w:cstheme="majorHAnsi"/>
          <w:sz w:val="16"/>
          <w:szCs w:val="16"/>
        </w:rPr>
        <w:footnoteRef/>
      </w:r>
      <w:r w:rsidRPr="00A51937">
        <w:rPr>
          <w:rFonts w:asciiTheme="majorHAnsi" w:hAnsiTheme="majorHAnsi" w:cstheme="majorHAnsi"/>
          <w:sz w:val="16"/>
          <w:szCs w:val="16"/>
          <w:lang w:val="es-SV"/>
        </w:rPr>
        <w:t xml:space="preserve"> </w:t>
      </w:r>
      <w:r w:rsidR="00182822" w:rsidRPr="00A51937">
        <w:rPr>
          <w:rFonts w:asciiTheme="majorHAnsi" w:hAnsiTheme="majorHAnsi" w:cstheme="majorHAnsi"/>
          <w:sz w:val="16"/>
          <w:szCs w:val="16"/>
          <w:lang w:val="es-SV"/>
        </w:rPr>
        <w:t xml:space="preserve">CIDH, </w:t>
      </w:r>
      <w:r w:rsidR="00182822" w:rsidRPr="00A51937">
        <w:rPr>
          <w:rFonts w:asciiTheme="majorHAnsi" w:eastAsia="Times New Roman" w:hAnsiTheme="majorHAnsi" w:cstheme="majorHAnsi"/>
          <w:i/>
          <w:sz w:val="16"/>
          <w:szCs w:val="16"/>
          <w:lang w:val="es-SV" w:eastAsia="es-ES_tradnl"/>
        </w:rPr>
        <w:t>Institucionalidad democrática, estado de derecho y</w:t>
      </w:r>
      <w:r w:rsidR="0069465A" w:rsidRPr="00A51937">
        <w:rPr>
          <w:rFonts w:asciiTheme="majorHAnsi" w:eastAsia="Times New Roman" w:hAnsiTheme="majorHAnsi" w:cstheme="majorHAnsi"/>
          <w:i/>
          <w:sz w:val="16"/>
          <w:szCs w:val="16"/>
          <w:lang w:val="es-SV" w:eastAsia="es-ES_tradnl"/>
        </w:rPr>
        <w:t xml:space="preserve"> derechos humanos en Venezuela</w:t>
      </w:r>
      <w:r w:rsidR="0069465A" w:rsidRPr="00A51937">
        <w:rPr>
          <w:rFonts w:asciiTheme="majorHAnsi" w:eastAsia="Times New Roman" w:hAnsiTheme="majorHAnsi" w:cstheme="majorHAnsi"/>
          <w:sz w:val="16"/>
          <w:szCs w:val="16"/>
          <w:lang w:val="es-SV" w:eastAsia="es-ES_tradnl"/>
        </w:rPr>
        <w:t>, p</w:t>
      </w:r>
      <w:r w:rsidR="00182822" w:rsidRPr="00A51937">
        <w:rPr>
          <w:rFonts w:asciiTheme="majorHAnsi" w:eastAsia="Times New Roman" w:hAnsiTheme="majorHAnsi" w:cstheme="majorHAnsi"/>
          <w:sz w:val="16"/>
          <w:szCs w:val="16"/>
          <w:lang w:val="es-SV" w:eastAsia="es-ES_tradnl"/>
        </w:rPr>
        <w:t xml:space="preserve">árr. </w:t>
      </w:r>
      <w:r w:rsidRPr="00A51937">
        <w:rPr>
          <w:rFonts w:asciiTheme="majorHAnsi" w:hAnsiTheme="majorHAnsi" w:cstheme="majorHAnsi"/>
          <w:sz w:val="16"/>
          <w:szCs w:val="16"/>
          <w:lang w:val="es-SV"/>
        </w:rPr>
        <w:t>438</w:t>
      </w:r>
      <w:r w:rsidR="00182822" w:rsidRPr="00A51937">
        <w:rPr>
          <w:rFonts w:asciiTheme="majorHAnsi" w:hAnsiTheme="majorHAnsi" w:cstheme="majorHAnsi"/>
          <w:sz w:val="16"/>
          <w:szCs w:val="16"/>
          <w:lang w:val="es-SV"/>
        </w:rPr>
        <w:t>.</w:t>
      </w:r>
    </w:p>
  </w:footnote>
  <w:footnote w:id="29">
    <w:p w:rsidR="00292855" w:rsidRPr="00A51937" w:rsidRDefault="00292855" w:rsidP="00717A3A">
      <w:pPr>
        <w:rPr>
          <w:rFonts w:asciiTheme="majorHAnsi" w:eastAsia="Times New Roman" w:hAnsiTheme="majorHAnsi"/>
          <w:sz w:val="16"/>
          <w:szCs w:val="16"/>
          <w:lang w:val="es-SV" w:eastAsia="es-ES_tradnl"/>
        </w:rPr>
      </w:pPr>
      <w:r w:rsidRPr="00A51937">
        <w:rPr>
          <w:rStyle w:val="FootnoteReference"/>
          <w:rFonts w:asciiTheme="majorHAnsi" w:hAnsiTheme="majorHAnsi" w:cstheme="majorHAnsi"/>
          <w:sz w:val="16"/>
          <w:szCs w:val="16"/>
        </w:rPr>
        <w:footnoteRef/>
      </w:r>
      <w:r w:rsidRPr="00A51937">
        <w:rPr>
          <w:rFonts w:asciiTheme="majorHAnsi" w:hAnsiTheme="majorHAnsi" w:cstheme="majorHAnsi"/>
          <w:sz w:val="16"/>
          <w:szCs w:val="16"/>
          <w:lang w:val="es-SV"/>
        </w:rPr>
        <w:t xml:space="preserve"> </w:t>
      </w:r>
      <w:r w:rsidR="00182822" w:rsidRPr="00A51937">
        <w:rPr>
          <w:rFonts w:asciiTheme="majorHAnsi" w:eastAsia="Times New Roman" w:hAnsiTheme="majorHAnsi" w:cstheme="majorHAnsi"/>
          <w:sz w:val="16"/>
          <w:szCs w:val="16"/>
          <w:lang w:val="es-SV" w:eastAsia="es-ES_tradnl"/>
        </w:rPr>
        <w:t xml:space="preserve">Por ejemplo, el Hospital Universitario Erasmo </w:t>
      </w:r>
      <w:proofErr w:type="spellStart"/>
      <w:r w:rsidR="00182822" w:rsidRPr="00A51937">
        <w:rPr>
          <w:rFonts w:asciiTheme="majorHAnsi" w:eastAsia="Times New Roman" w:hAnsiTheme="majorHAnsi" w:cstheme="majorHAnsi"/>
          <w:sz w:val="16"/>
          <w:szCs w:val="16"/>
          <w:lang w:val="es-SV" w:eastAsia="es-ES_tradnl"/>
        </w:rPr>
        <w:t>Meoz</w:t>
      </w:r>
      <w:proofErr w:type="spellEnd"/>
      <w:r w:rsidR="00182822" w:rsidRPr="00A51937">
        <w:rPr>
          <w:rFonts w:asciiTheme="majorHAnsi" w:eastAsia="Times New Roman" w:hAnsiTheme="majorHAnsi" w:cstheme="majorHAnsi"/>
          <w:sz w:val="16"/>
          <w:szCs w:val="16"/>
          <w:lang w:val="es-SV" w:eastAsia="es-ES_tradnl"/>
        </w:rPr>
        <w:t xml:space="preserve"> de Cúcuta (Colombia) atendió a más de 1.400 mujeres embarazadas entre enero y julio de 2017 provenientes de Venezuela. </w:t>
      </w:r>
      <w:r w:rsidR="00182822" w:rsidRPr="00A51937">
        <w:rPr>
          <w:rFonts w:asciiTheme="majorHAnsi" w:hAnsiTheme="majorHAnsi" w:cstheme="majorHAnsi"/>
          <w:sz w:val="16"/>
          <w:szCs w:val="16"/>
          <w:lang w:val="es-SV"/>
        </w:rPr>
        <w:t xml:space="preserve">CIDH, </w:t>
      </w:r>
      <w:r w:rsidR="00182822" w:rsidRPr="00A51937">
        <w:rPr>
          <w:rFonts w:asciiTheme="majorHAnsi" w:eastAsia="Times New Roman" w:hAnsiTheme="majorHAnsi" w:cstheme="majorHAnsi"/>
          <w:sz w:val="16"/>
          <w:szCs w:val="16"/>
          <w:lang w:val="es-SV" w:eastAsia="es-ES_tradnl"/>
        </w:rPr>
        <w:t>Institucionalidad democrática, estado de derecho y derechos humanos</w:t>
      </w:r>
      <w:r w:rsidR="0069465A" w:rsidRPr="00A51937">
        <w:rPr>
          <w:rFonts w:asciiTheme="majorHAnsi" w:eastAsia="Times New Roman" w:hAnsiTheme="majorHAnsi" w:cstheme="majorHAnsi"/>
          <w:sz w:val="16"/>
          <w:szCs w:val="16"/>
          <w:lang w:val="es-SV" w:eastAsia="es-ES_tradnl"/>
        </w:rPr>
        <w:t xml:space="preserve"> en Venezuela: Informe de país, p</w:t>
      </w:r>
      <w:r w:rsidR="00182822" w:rsidRPr="00A51937">
        <w:rPr>
          <w:rFonts w:asciiTheme="majorHAnsi" w:eastAsia="Times New Roman" w:hAnsiTheme="majorHAnsi" w:cstheme="majorHAnsi"/>
          <w:sz w:val="16"/>
          <w:szCs w:val="16"/>
          <w:lang w:val="es-SV" w:eastAsia="es-ES_tradnl"/>
        </w:rPr>
        <w:t xml:space="preserve">árr. </w:t>
      </w:r>
      <w:r w:rsidRPr="00A51937">
        <w:rPr>
          <w:rFonts w:asciiTheme="majorHAnsi" w:hAnsiTheme="majorHAnsi" w:cstheme="majorHAnsi"/>
          <w:sz w:val="16"/>
          <w:szCs w:val="16"/>
          <w:lang w:val="es-SV"/>
        </w:rPr>
        <w:t>440</w:t>
      </w:r>
      <w:r w:rsidR="00182822" w:rsidRPr="00A51937">
        <w:rPr>
          <w:rFonts w:asciiTheme="majorHAnsi" w:hAnsiTheme="majorHAnsi" w:cstheme="majorHAnsi"/>
          <w:sz w:val="16"/>
          <w:szCs w:val="16"/>
          <w:lang w:val="es-SV"/>
        </w:rPr>
        <w:t>.</w:t>
      </w:r>
    </w:p>
  </w:footnote>
  <w:footnote w:id="30">
    <w:p w:rsidR="00EE7007" w:rsidRPr="00A51937" w:rsidRDefault="00EE7007" w:rsidP="00717A3A">
      <w:pPr>
        <w:pStyle w:val="FootnoteText"/>
        <w:spacing w:after="0" w:line="240" w:lineRule="auto"/>
        <w:rPr>
          <w:rFonts w:asciiTheme="majorHAnsi" w:hAnsiTheme="majorHAnsi"/>
          <w:sz w:val="16"/>
          <w:szCs w:val="16"/>
          <w:lang w:val="es-MX"/>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CIDH, CIDH y REDESCA condenan hechos de represión violenta en Venezuela y urgen al Estado venezolano a garantizar los derechos humanos de la población frente a la crisis política, económica y social, 1 de marzo de 2019. </w:t>
      </w:r>
    </w:p>
  </w:footnote>
  <w:footnote w:id="31">
    <w:p w:rsidR="00C87C12" w:rsidRPr="00A51937" w:rsidRDefault="00C87C12" w:rsidP="00717A3A">
      <w:pPr>
        <w:pStyle w:val="FootnoteText"/>
        <w:spacing w:after="0" w:line="240" w:lineRule="auto"/>
        <w:rPr>
          <w:rFonts w:asciiTheme="majorHAnsi" w:hAnsiTheme="majorHAnsi"/>
          <w:sz w:val="16"/>
          <w:szCs w:val="16"/>
          <w:lang w:val="es-MX"/>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CIDH, CIDH y REDESCA condenan hechos de represión violenta en Venezuela y urgen al Estado venezolano a garantizar los derechos humanos de la población frente a la crisis política, económica y social, 1 de marzo de 2019. </w:t>
      </w:r>
    </w:p>
  </w:footnote>
  <w:footnote w:id="32">
    <w:p w:rsidR="0064110B" w:rsidRPr="00717A3A" w:rsidRDefault="0064110B" w:rsidP="00717A3A">
      <w:pPr>
        <w:pStyle w:val="FootnoteText"/>
        <w:spacing w:after="0" w:line="240" w:lineRule="auto"/>
        <w:rPr>
          <w:rFonts w:asciiTheme="majorHAnsi" w:hAnsiTheme="majorHAnsi"/>
          <w:sz w:val="16"/>
          <w:szCs w:val="16"/>
          <w:lang w:val="es-MX"/>
        </w:rPr>
      </w:pPr>
      <w:r w:rsidRPr="00A51937">
        <w:rPr>
          <w:rStyle w:val="FootnoteReference"/>
          <w:rFonts w:asciiTheme="majorHAnsi" w:hAnsiTheme="majorHAnsi"/>
          <w:sz w:val="16"/>
          <w:szCs w:val="16"/>
        </w:rPr>
        <w:footnoteRef/>
      </w:r>
      <w:r w:rsidRPr="00A51937">
        <w:rPr>
          <w:rFonts w:asciiTheme="majorHAnsi" w:hAnsiTheme="majorHAnsi"/>
          <w:sz w:val="16"/>
          <w:szCs w:val="16"/>
          <w:lang w:val="es-MX"/>
        </w:rPr>
        <w:t xml:space="preserve"> </w:t>
      </w:r>
      <w:r w:rsidRPr="00A51937">
        <w:rPr>
          <w:rFonts w:asciiTheme="majorHAnsi" w:hAnsiTheme="majorHAnsi"/>
          <w:sz w:val="16"/>
          <w:szCs w:val="16"/>
          <w:lang w:val="es-ES_tradnl"/>
        </w:rPr>
        <w:t xml:space="preserve">CIDH, </w:t>
      </w:r>
      <w:r w:rsidRPr="00A51937">
        <w:rPr>
          <w:rFonts w:asciiTheme="majorHAnsi" w:hAnsiTheme="majorHAnsi"/>
          <w:i/>
          <w:sz w:val="16"/>
          <w:szCs w:val="16"/>
          <w:lang w:val="es-ES_tradnl"/>
        </w:rPr>
        <w:t>Acceso a servicios de salud materna desde una perspectiva de derechos humanos</w:t>
      </w:r>
      <w:r w:rsidRPr="00A51937">
        <w:rPr>
          <w:rFonts w:asciiTheme="majorHAnsi" w:hAnsiTheme="majorHAnsi"/>
          <w:sz w:val="16"/>
          <w:szCs w:val="16"/>
          <w:lang w:val="es-ES_tradnl"/>
        </w:rPr>
        <w:t>, OEA/</w:t>
      </w:r>
      <w:proofErr w:type="spellStart"/>
      <w:r w:rsidRPr="00A51937">
        <w:rPr>
          <w:rFonts w:asciiTheme="majorHAnsi" w:hAnsiTheme="majorHAnsi"/>
          <w:sz w:val="16"/>
          <w:szCs w:val="16"/>
          <w:lang w:val="es-ES_tradnl"/>
        </w:rPr>
        <w:t>Ser.L</w:t>
      </w:r>
      <w:proofErr w:type="spellEnd"/>
      <w:r w:rsidRPr="00A51937">
        <w:rPr>
          <w:rFonts w:asciiTheme="majorHAnsi" w:hAnsiTheme="majorHAnsi"/>
          <w:sz w:val="16"/>
          <w:szCs w:val="16"/>
          <w:lang w:val="es-ES_tradnl"/>
        </w:rPr>
        <w:t>/V/II. Doc. 69, 7 de junio de 2010, párr.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D4" w:rsidRPr="006A2671" w:rsidRDefault="007444D4"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553EBEEA" wp14:editId="632F0287">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1D80E7FC" wp14:editId="75507A72">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7444D4" w:rsidRPr="006A2671" w:rsidRDefault="007444D4" w:rsidP="006A2671">
    <w:pPr>
      <w:pBdr>
        <w:bottom w:val="single" w:sz="6" w:space="1" w:color="auto"/>
      </w:pBdr>
      <w:tabs>
        <w:tab w:val="center" w:pos="4680"/>
        <w:tab w:val="right" w:pos="9360"/>
      </w:tabs>
      <w:rPr>
        <w:rFonts w:ascii="Calibri" w:eastAsia="Batang" w:hAnsi="Calibri" w:cs="Times New Roman"/>
        <w:sz w:val="22"/>
        <w:szCs w:val="22"/>
        <w:lang w:val="es-ES"/>
      </w:rPr>
    </w:pPr>
  </w:p>
  <w:p w:rsidR="007444D4" w:rsidRDefault="0074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FC18DFD4"/>
    <w:lvl w:ilvl="0" w:tplc="6C706F72">
      <w:start w:val="1"/>
      <w:numFmt w:val="decimal"/>
      <w:lvlText w:val="%1."/>
      <w:lvlJc w:val="left"/>
      <w:pPr>
        <w:ind w:left="720" w:hanging="360"/>
      </w:pPr>
      <w:rPr>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176EE"/>
    <w:multiLevelType w:val="hybridMultilevel"/>
    <w:tmpl w:val="AC888A2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92ABC"/>
    <w:multiLevelType w:val="hybridMultilevel"/>
    <w:tmpl w:val="3154B1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A0529"/>
    <w:multiLevelType w:val="hybridMultilevel"/>
    <w:tmpl w:val="2EE2EEB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A47DC"/>
    <w:multiLevelType w:val="hybridMultilevel"/>
    <w:tmpl w:val="3E546AA6"/>
    <w:lvl w:ilvl="0" w:tplc="04090017">
      <w:start w:val="1"/>
      <w:numFmt w:val="lowerLetter"/>
      <w:lvlText w:val="%1)"/>
      <w:lvlJc w:val="left"/>
      <w:pPr>
        <w:ind w:left="720" w:hanging="360"/>
      </w:pPr>
    </w:lvl>
    <w:lvl w:ilvl="1" w:tplc="8592A776">
      <w:start w:val="1"/>
      <w:numFmt w:val="lowerRoman"/>
      <w:lvlText w:val="%2."/>
      <w:lvlJc w:val="left"/>
      <w:pPr>
        <w:ind w:left="1440" w:hanging="360"/>
      </w:pPr>
      <w:rPr>
        <w:rFonts w:ascii="Cambria" w:eastAsia="Calibri"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4707B"/>
    <w:multiLevelType w:val="hybridMultilevel"/>
    <w:tmpl w:val="EFE4B5F4"/>
    <w:lvl w:ilvl="0" w:tplc="D7C645B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87F31"/>
    <w:multiLevelType w:val="hybridMultilevel"/>
    <w:tmpl w:val="95788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63319E"/>
    <w:multiLevelType w:val="hybridMultilevel"/>
    <w:tmpl w:val="FC18DFD4"/>
    <w:lvl w:ilvl="0" w:tplc="6C706F72">
      <w:start w:val="1"/>
      <w:numFmt w:val="decimal"/>
      <w:lvlText w:val="%1."/>
      <w:lvlJc w:val="left"/>
      <w:pPr>
        <w:ind w:left="720" w:hanging="360"/>
      </w:pPr>
      <w:rPr>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59598E"/>
    <w:multiLevelType w:val="hybridMultilevel"/>
    <w:tmpl w:val="A9CEB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A56B4"/>
    <w:multiLevelType w:val="hybridMultilevel"/>
    <w:tmpl w:val="3E546AA6"/>
    <w:lvl w:ilvl="0" w:tplc="04090017">
      <w:start w:val="1"/>
      <w:numFmt w:val="lowerLetter"/>
      <w:lvlText w:val="%1)"/>
      <w:lvlJc w:val="left"/>
      <w:pPr>
        <w:ind w:left="720" w:hanging="360"/>
      </w:pPr>
    </w:lvl>
    <w:lvl w:ilvl="1" w:tplc="8592A776">
      <w:start w:val="1"/>
      <w:numFmt w:val="lowerRoman"/>
      <w:lvlText w:val="%2."/>
      <w:lvlJc w:val="left"/>
      <w:pPr>
        <w:ind w:left="1440" w:hanging="360"/>
      </w:pPr>
      <w:rPr>
        <w:rFonts w:ascii="Cambria" w:eastAsia="Calibri"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5">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31"/>
  </w:num>
  <w:num w:numId="4">
    <w:abstractNumId w:val="11"/>
  </w:num>
  <w:num w:numId="5">
    <w:abstractNumId w:val="1"/>
  </w:num>
  <w:num w:numId="6">
    <w:abstractNumId w:val="5"/>
  </w:num>
  <w:num w:numId="7">
    <w:abstractNumId w:val="32"/>
  </w:num>
  <w:num w:numId="8">
    <w:abstractNumId w:val="26"/>
  </w:num>
  <w:num w:numId="9">
    <w:abstractNumId w:val="16"/>
  </w:num>
  <w:num w:numId="10">
    <w:abstractNumId w:val="14"/>
  </w:num>
  <w:num w:numId="11">
    <w:abstractNumId w:val="27"/>
  </w:num>
  <w:num w:numId="12">
    <w:abstractNumId w:val="33"/>
  </w:num>
  <w:num w:numId="13">
    <w:abstractNumId w:val="36"/>
  </w:num>
  <w:num w:numId="14">
    <w:abstractNumId w:val="35"/>
  </w:num>
  <w:num w:numId="15">
    <w:abstractNumId w:val="21"/>
  </w:num>
  <w:num w:numId="16">
    <w:abstractNumId w:val="0"/>
  </w:num>
  <w:num w:numId="17">
    <w:abstractNumId w:val="22"/>
  </w:num>
  <w:num w:numId="18">
    <w:abstractNumId w:val="25"/>
  </w:num>
  <w:num w:numId="19">
    <w:abstractNumId w:val="17"/>
  </w:num>
  <w:num w:numId="20">
    <w:abstractNumId w:val="13"/>
  </w:num>
  <w:num w:numId="21">
    <w:abstractNumId w:val="18"/>
  </w:num>
  <w:num w:numId="22">
    <w:abstractNumId w:val="4"/>
  </w:num>
  <w:num w:numId="23">
    <w:abstractNumId w:val="10"/>
  </w:num>
  <w:num w:numId="24">
    <w:abstractNumId w:val="23"/>
  </w:num>
  <w:num w:numId="25">
    <w:abstractNumId w:val="3"/>
  </w:num>
  <w:num w:numId="26">
    <w:abstractNumId w:val="34"/>
  </w:num>
  <w:num w:numId="27">
    <w:abstractNumId w:val="20"/>
  </w:num>
  <w:num w:numId="28">
    <w:abstractNumId w:val="8"/>
  </w:num>
  <w:num w:numId="29">
    <w:abstractNumId w:val="6"/>
  </w:num>
  <w:num w:numId="30">
    <w:abstractNumId w:val="12"/>
  </w:num>
  <w:num w:numId="31">
    <w:abstractNumId w:val="15"/>
  </w:num>
  <w:num w:numId="32">
    <w:abstractNumId w:val="30"/>
  </w:num>
  <w:num w:numId="33">
    <w:abstractNumId w:val="7"/>
  </w:num>
  <w:num w:numId="34">
    <w:abstractNumId w:val="24"/>
  </w:num>
  <w:num w:numId="35">
    <w:abstractNumId w:val="28"/>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009A"/>
    <w:rsid w:val="00005259"/>
    <w:rsid w:val="00005852"/>
    <w:rsid w:val="000070E1"/>
    <w:rsid w:val="00007FC4"/>
    <w:rsid w:val="00010DD1"/>
    <w:rsid w:val="000129C9"/>
    <w:rsid w:val="000137CF"/>
    <w:rsid w:val="0002059F"/>
    <w:rsid w:val="00037B2A"/>
    <w:rsid w:val="00041F59"/>
    <w:rsid w:val="00042AC4"/>
    <w:rsid w:val="00043DB8"/>
    <w:rsid w:val="000505C9"/>
    <w:rsid w:val="000551C7"/>
    <w:rsid w:val="00055745"/>
    <w:rsid w:val="000562F8"/>
    <w:rsid w:val="00057A18"/>
    <w:rsid w:val="00066234"/>
    <w:rsid w:val="000701AE"/>
    <w:rsid w:val="0007123C"/>
    <w:rsid w:val="000837BC"/>
    <w:rsid w:val="00087D28"/>
    <w:rsid w:val="0009264D"/>
    <w:rsid w:val="000A1D59"/>
    <w:rsid w:val="000A21A7"/>
    <w:rsid w:val="000B0FA1"/>
    <w:rsid w:val="000B1542"/>
    <w:rsid w:val="000B2903"/>
    <w:rsid w:val="000C23F7"/>
    <w:rsid w:val="000C526A"/>
    <w:rsid w:val="000C69CD"/>
    <w:rsid w:val="000D138E"/>
    <w:rsid w:val="000D43FA"/>
    <w:rsid w:val="000E485A"/>
    <w:rsid w:val="000E64B6"/>
    <w:rsid w:val="000E6B95"/>
    <w:rsid w:val="00105321"/>
    <w:rsid w:val="00113371"/>
    <w:rsid w:val="00126520"/>
    <w:rsid w:val="0013479C"/>
    <w:rsid w:val="0014102D"/>
    <w:rsid w:val="001410E6"/>
    <w:rsid w:val="00141F18"/>
    <w:rsid w:val="00141FD3"/>
    <w:rsid w:val="001443A5"/>
    <w:rsid w:val="001467A1"/>
    <w:rsid w:val="001470ED"/>
    <w:rsid w:val="00153D59"/>
    <w:rsid w:val="00153FAE"/>
    <w:rsid w:val="00161E9B"/>
    <w:rsid w:val="00162C89"/>
    <w:rsid w:val="00182822"/>
    <w:rsid w:val="001900C4"/>
    <w:rsid w:val="001928C5"/>
    <w:rsid w:val="00192943"/>
    <w:rsid w:val="00193DD5"/>
    <w:rsid w:val="00194C32"/>
    <w:rsid w:val="001A2B2B"/>
    <w:rsid w:val="001A69BC"/>
    <w:rsid w:val="001B1F5F"/>
    <w:rsid w:val="001B7BAB"/>
    <w:rsid w:val="001D08C6"/>
    <w:rsid w:val="001D57AA"/>
    <w:rsid w:val="001E116A"/>
    <w:rsid w:val="001E1C4A"/>
    <w:rsid w:val="002058C7"/>
    <w:rsid w:val="00215E2E"/>
    <w:rsid w:val="002225ED"/>
    <w:rsid w:val="00222851"/>
    <w:rsid w:val="002321FB"/>
    <w:rsid w:val="002326E3"/>
    <w:rsid w:val="00232B64"/>
    <w:rsid w:val="002474E4"/>
    <w:rsid w:val="00253F6C"/>
    <w:rsid w:val="002678B2"/>
    <w:rsid w:val="002776A1"/>
    <w:rsid w:val="00281EB6"/>
    <w:rsid w:val="002826B9"/>
    <w:rsid w:val="002840D0"/>
    <w:rsid w:val="002855E4"/>
    <w:rsid w:val="00286DE7"/>
    <w:rsid w:val="00292855"/>
    <w:rsid w:val="002A02D7"/>
    <w:rsid w:val="002A2043"/>
    <w:rsid w:val="002A2528"/>
    <w:rsid w:val="002C1B38"/>
    <w:rsid w:val="002C6DA8"/>
    <w:rsid w:val="002D4ADD"/>
    <w:rsid w:val="002F2562"/>
    <w:rsid w:val="002F4C88"/>
    <w:rsid w:val="00301F51"/>
    <w:rsid w:val="00305C64"/>
    <w:rsid w:val="00306BB2"/>
    <w:rsid w:val="00306CB0"/>
    <w:rsid w:val="00317928"/>
    <w:rsid w:val="00327E7C"/>
    <w:rsid w:val="003370BB"/>
    <w:rsid w:val="0034042E"/>
    <w:rsid w:val="00340B0B"/>
    <w:rsid w:val="003412A1"/>
    <w:rsid w:val="00345077"/>
    <w:rsid w:val="00357978"/>
    <w:rsid w:val="00377C04"/>
    <w:rsid w:val="00380A6F"/>
    <w:rsid w:val="003970C5"/>
    <w:rsid w:val="003A067C"/>
    <w:rsid w:val="003A310C"/>
    <w:rsid w:val="003A6991"/>
    <w:rsid w:val="003A7BA9"/>
    <w:rsid w:val="003B2B56"/>
    <w:rsid w:val="003B525E"/>
    <w:rsid w:val="003C12D8"/>
    <w:rsid w:val="003C1453"/>
    <w:rsid w:val="003C2E2F"/>
    <w:rsid w:val="003C7353"/>
    <w:rsid w:val="003D6B59"/>
    <w:rsid w:val="003E0DC8"/>
    <w:rsid w:val="0040044E"/>
    <w:rsid w:val="00401FAC"/>
    <w:rsid w:val="00410484"/>
    <w:rsid w:val="0041473A"/>
    <w:rsid w:val="00415C62"/>
    <w:rsid w:val="0042393D"/>
    <w:rsid w:val="004251C9"/>
    <w:rsid w:val="004321BC"/>
    <w:rsid w:val="00434E4F"/>
    <w:rsid w:val="00440145"/>
    <w:rsid w:val="00446C42"/>
    <w:rsid w:val="004602EE"/>
    <w:rsid w:val="00467FE5"/>
    <w:rsid w:val="00470537"/>
    <w:rsid w:val="00470F1B"/>
    <w:rsid w:val="00473238"/>
    <w:rsid w:val="0047459E"/>
    <w:rsid w:val="00481216"/>
    <w:rsid w:val="00482F11"/>
    <w:rsid w:val="00492CBA"/>
    <w:rsid w:val="004A1671"/>
    <w:rsid w:val="004A3B1F"/>
    <w:rsid w:val="004A3F68"/>
    <w:rsid w:val="004A61F7"/>
    <w:rsid w:val="004B33AC"/>
    <w:rsid w:val="004B63CB"/>
    <w:rsid w:val="004B6843"/>
    <w:rsid w:val="004C0B76"/>
    <w:rsid w:val="004C241A"/>
    <w:rsid w:val="004E33D0"/>
    <w:rsid w:val="004F1386"/>
    <w:rsid w:val="004F1DED"/>
    <w:rsid w:val="004F5C03"/>
    <w:rsid w:val="004F70DD"/>
    <w:rsid w:val="00501573"/>
    <w:rsid w:val="00504157"/>
    <w:rsid w:val="00506A08"/>
    <w:rsid w:val="00512C39"/>
    <w:rsid w:val="005206DD"/>
    <w:rsid w:val="005300D7"/>
    <w:rsid w:val="00534DE7"/>
    <w:rsid w:val="0055086A"/>
    <w:rsid w:val="005544F0"/>
    <w:rsid w:val="00564F1B"/>
    <w:rsid w:val="005712D5"/>
    <w:rsid w:val="00586786"/>
    <w:rsid w:val="00586A87"/>
    <w:rsid w:val="00591283"/>
    <w:rsid w:val="005A00E9"/>
    <w:rsid w:val="005A153B"/>
    <w:rsid w:val="005A2F4F"/>
    <w:rsid w:val="005A3193"/>
    <w:rsid w:val="005B5BBA"/>
    <w:rsid w:val="005D0B6E"/>
    <w:rsid w:val="005D0F3D"/>
    <w:rsid w:val="005D777E"/>
    <w:rsid w:val="005E295E"/>
    <w:rsid w:val="005E34E2"/>
    <w:rsid w:val="005E3B58"/>
    <w:rsid w:val="00603D9D"/>
    <w:rsid w:val="006047B1"/>
    <w:rsid w:val="00604BD0"/>
    <w:rsid w:val="006069E0"/>
    <w:rsid w:val="006151BF"/>
    <w:rsid w:val="00622F99"/>
    <w:rsid w:val="00625EB3"/>
    <w:rsid w:val="0063422A"/>
    <w:rsid w:val="0064110B"/>
    <w:rsid w:val="006415E6"/>
    <w:rsid w:val="006439CA"/>
    <w:rsid w:val="006512ED"/>
    <w:rsid w:val="00654B98"/>
    <w:rsid w:val="0066116C"/>
    <w:rsid w:val="00677953"/>
    <w:rsid w:val="006867BD"/>
    <w:rsid w:val="00687341"/>
    <w:rsid w:val="00692B74"/>
    <w:rsid w:val="00693D8D"/>
    <w:rsid w:val="0069465A"/>
    <w:rsid w:val="006A12E5"/>
    <w:rsid w:val="006A2671"/>
    <w:rsid w:val="006A3BEB"/>
    <w:rsid w:val="006A6F8F"/>
    <w:rsid w:val="006A76DB"/>
    <w:rsid w:val="006B6DF8"/>
    <w:rsid w:val="006C08C0"/>
    <w:rsid w:val="006C7F40"/>
    <w:rsid w:val="006E4E8C"/>
    <w:rsid w:val="00701D7F"/>
    <w:rsid w:val="007037E7"/>
    <w:rsid w:val="007074DB"/>
    <w:rsid w:val="00717A3A"/>
    <w:rsid w:val="00717EB0"/>
    <w:rsid w:val="007212FE"/>
    <w:rsid w:val="00723E9B"/>
    <w:rsid w:val="007242C5"/>
    <w:rsid w:val="00726782"/>
    <w:rsid w:val="0073061A"/>
    <w:rsid w:val="007319C8"/>
    <w:rsid w:val="00731F0C"/>
    <w:rsid w:val="00732085"/>
    <w:rsid w:val="00733FAD"/>
    <w:rsid w:val="007368DB"/>
    <w:rsid w:val="00741876"/>
    <w:rsid w:val="007442C9"/>
    <w:rsid w:val="007444D4"/>
    <w:rsid w:val="00747AF6"/>
    <w:rsid w:val="00760F68"/>
    <w:rsid w:val="00762197"/>
    <w:rsid w:val="007642F9"/>
    <w:rsid w:val="007807D0"/>
    <w:rsid w:val="007908F0"/>
    <w:rsid w:val="007B5B97"/>
    <w:rsid w:val="007B6CD5"/>
    <w:rsid w:val="007B74E9"/>
    <w:rsid w:val="007D0F45"/>
    <w:rsid w:val="007D1FE8"/>
    <w:rsid w:val="007D20D8"/>
    <w:rsid w:val="007D5A7A"/>
    <w:rsid w:val="007E26A9"/>
    <w:rsid w:val="007E3013"/>
    <w:rsid w:val="007F72F2"/>
    <w:rsid w:val="0080042B"/>
    <w:rsid w:val="00806491"/>
    <w:rsid w:val="00810658"/>
    <w:rsid w:val="00817419"/>
    <w:rsid w:val="008359C1"/>
    <w:rsid w:val="00840C90"/>
    <w:rsid w:val="00842915"/>
    <w:rsid w:val="00845008"/>
    <w:rsid w:val="00845537"/>
    <w:rsid w:val="00864549"/>
    <w:rsid w:val="00872A42"/>
    <w:rsid w:val="00874D02"/>
    <w:rsid w:val="00890526"/>
    <w:rsid w:val="008A42CC"/>
    <w:rsid w:val="008B43F0"/>
    <w:rsid w:val="008B59B3"/>
    <w:rsid w:val="008B5EAC"/>
    <w:rsid w:val="008B6783"/>
    <w:rsid w:val="008C393C"/>
    <w:rsid w:val="008E1700"/>
    <w:rsid w:val="008E2BB1"/>
    <w:rsid w:val="008F10CE"/>
    <w:rsid w:val="008F2F4A"/>
    <w:rsid w:val="009026C8"/>
    <w:rsid w:val="009075BC"/>
    <w:rsid w:val="00915463"/>
    <w:rsid w:val="00935C65"/>
    <w:rsid w:val="00937B2A"/>
    <w:rsid w:val="00940832"/>
    <w:rsid w:val="009525AF"/>
    <w:rsid w:val="00953AF5"/>
    <w:rsid w:val="009575E3"/>
    <w:rsid w:val="00960222"/>
    <w:rsid w:val="009617D9"/>
    <w:rsid w:val="009621A7"/>
    <w:rsid w:val="00967023"/>
    <w:rsid w:val="0097190F"/>
    <w:rsid w:val="00972F95"/>
    <w:rsid w:val="00991C71"/>
    <w:rsid w:val="009926FE"/>
    <w:rsid w:val="009A0093"/>
    <w:rsid w:val="009A2D5F"/>
    <w:rsid w:val="009A2EF0"/>
    <w:rsid w:val="009A5571"/>
    <w:rsid w:val="009B6002"/>
    <w:rsid w:val="009C1FEF"/>
    <w:rsid w:val="009D0447"/>
    <w:rsid w:val="009D0EB7"/>
    <w:rsid w:val="009D533D"/>
    <w:rsid w:val="009E1DE2"/>
    <w:rsid w:val="00A010CF"/>
    <w:rsid w:val="00A01D5F"/>
    <w:rsid w:val="00A021A5"/>
    <w:rsid w:val="00A127A8"/>
    <w:rsid w:val="00A22C9A"/>
    <w:rsid w:val="00A24F68"/>
    <w:rsid w:val="00A27B73"/>
    <w:rsid w:val="00A4102C"/>
    <w:rsid w:val="00A420D9"/>
    <w:rsid w:val="00A46838"/>
    <w:rsid w:val="00A51937"/>
    <w:rsid w:val="00A53FC6"/>
    <w:rsid w:val="00A620B6"/>
    <w:rsid w:val="00A735DE"/>
    <w:rsid w:val="00A751DD"/>
    <w:rsid w:val="00A762CE"/>
    <w:rsid w:val="00A858AE"/>
    <w:rsid w:val="00A8691F"/>
    <w:rsid w:val="00A8742E"/>
    <w:rsid w:val="00A8746F"/>
    <w:rsid w:val="00A910DA"/>
    <w:rsid w:val="00A9210E"/>
    <w:rsid w:val="00A93915"/>
    <w:rsid w:val="00A94D9B"/>
    <w:rsid w:val="00A9768A"/>
    <w:rsid w:val="00AA7351"/>
    <w:rsid w:val="00AD765E"/>
    <w:rsid w:val="00AE13B0"/>
    <w:rsid w:val="00AE30C2"/>
    <w:rsid w:val="00AE40EE"/>
    <w:rsid w:val="00AE6014"/>
    <w:rsid w:val="00AE7EAC"/>
    <w:rsid w:val="00AF7C9B"/>
    <w:rsid w:val="00B00BFB"/>
    <w:rsid w:val="00B079E8"/>
    <w:rsid w:val="00B14EFA"/>
    <w:rsid w:val="00B2177F"/>
    <w:rsid w:val="00B23C1F"/>
    <w:rsid w:val="00B24178"/>
    <w:rsid w:val="00B264AD"/>
    <w:rsid w:val="00B41F82"/>
    <w:rsid w:val="00B44B4A"/>
    <w:rsid w:val="00B474FE"/>
    <w:rsid w:val="00B47FBB"/>
    <w:rsid w:val="00B52225"/>
    <w:rsid w:val="00B55CAD"/>
    <w:rsid w:val="00B7113F"/>
    <w:rsid w:val="00B816DC"/>
    <w:rsid w:val="00B8428A"/>
    <w:rsid w:val="00B927E1"/>
    <w:rsid w:val="00B94D0D"/>
    <w:rsid w:val="00BB308E"/>
    <w:rsid w:val="00BB3BA6"/>
    <w:rsid w:val="00BB3E11"/>
    <w:rsid w:val="00BB7B00"/>
    <w:rsid w:val="00BC169F"/>
    <w:rsid w:val="00BC6B3D"/>
    <w:rsid w:val="00BD11D8"/>
    <w:rsid w:val="00BD6EC1"/>
    <w:rsid w:val="00BD7EC9"/>
    <w:rsid w:val="00BF23B1"/>
    <w:rsid w:val="00BF7D6A"/>
    <w:rsid w:val="00C2177E"/>
    <w:rsid w:val="00C228D9"/>
    <w:rsid w:val="00C37827"/>
    <w:rsid w:val="00C428DB"/>
    <w:rsid w:val="00C42D65"/>
    <w:rsid w:val="00C511D5"/>
    <w:rsid w:val="00C522EB"/>
    <w:rsid w:val="00C5449B"/>
    <w:rsid w:val="00C57327"/>
    <w:rsid w:val="00C61CED"/>
    <w:rsid w:val="00C67D8E"/>
    <w:rsid w:val="00C70293"/>
    <w:rsid w:val="00C777B0"/>
    <w:rsid w:val="00C80267"/>
    <w:rsid w:val="00C8226E"/>
    <w:rsid w:val="00C87C12"/>
    <w:rsid w:val="00CA3DCB"/>
    <w:rsid w:val="00CA52B9"/>
    <w:rsid w:val="00CA7927"/>
    <w:rsid w:val="00CB094E"/>
    <w:rsid w:val="00CB62D1"/>
    <w:rsid w:val="00CC05FC"/>
    <w:rsid w:val="00CC2879"/>
    <w:rsid w:val="00CC56E0"/>
    <w:rsid w:val="00CD1171"/>
    <w:rsid w:val="00CD1A04"/>
    <w:rsid w:val="00CD2262"/>
    <w:rsid w:val="00CD26ED"/>
    <w:rsid w:val="00CE0F9A"/>
    <w:rsid w:val="00CE4CD2"/>
    <w:rsid w:val="00CE6A0A"/>
    <w:rsid w:val="00CE6AD9"/>
    <w:rsid w:val="00D036BC"/>
    <w:rsid w:val="00D05E31"/>
    <w:rsid w:val="00D13940"/>
    <w:rsid w:val="00D13ED9"/>
    <w:rsid w:val="00D1693B"/>
    <w:rsid w:val="00D17F10"/>
    <w:rsid w:val="00D2293A"/>
    <w:rsid w:val="00D26047"/>
    <w:rsid w:val="00D30A9F"/>
    <w:rsid w:val="00D44B24"/>
    <w:rsid w:val="00D4569C"/>
    <w:rsid w:val="00D51AA6"/>
    <w:rsid w:val="00D746A5"/>
    <w:rsid w:val="00D800B7"/>
    <w:rsid w:val="00D85F12"/>
    <w:rsid w:val="00D91611"/>
    <w:rsid w:val="00D93AD1"/>
    <w:rsid w:val="00DA162B"/>
    <w:rsid w:val="00DA649C"/>
    <w:rsid w:val="00DC525F"/>
    <w:rsid w:val="00DD696A"/>
    <w:rsid w:val="00DE0DFA"/>
    <w:rsid w:val="00DE3B8C"/>
    <w:rsid w:val="00DE5A4D"/>
    <w:rsid w:val="00DF3769"/>
    <w:rsid w:val="00DF49D9"/>
    <w:rsid w:val="00DF73E9"/>
    <w:rsid w:val="00E1467B"/>
    <w:rsid w:val="00E216C9"/>
    <w:rsid w:val="00E23FC3"/>
    <w:rsid w:val="00E254C2"/>
    <w:rsid w:val="00E348AF"/>
    <w:rsid w:val="00E4632D"/>
    <w:rsid w:val="00E52109"/>
    <w:rsid w:val="00E61013"/>
    <w:rsid w:val="00E62C87"/>
    <w:rsid w:val="00E631E8"/>
    <w:rsid w:val="00E66237"/>
    <w:rsid w:val="00E6656D"/>
    <w:rsid w:val="00E673D5"/>
    <w:rsid w:val="00E80805"/>
    <w:rsid w:val="00E83BEC"/>
    <w:rsid w:val="00E84EA0"/>
    <w:rsid w:val="00E85C4B"/>
    <w:rsid w:val="00E87006"/>
    <w:rsid w:val="00E90A12"/>
    <w:rsid w:val="00E94BD8"/>
    <w:rsid w:val="00E94CE8"/>
    <w:rsid w:val="00E95D6D"/>
    <w:rsid w:val="00E96471"/>
    <w:rsid w:val="00E96C80"/>
    <w:rsid w:val="00EA3DE7"/>
    <w:rsid w:val="00EA56E0"/>
    <w:rsid w:val="00EB4A40"/>
    <w:rsid w:val="00EC645A"/>
    <w:rsid w:val="00EC664D"/>
    <w:rsid w:val="00EC710B"/>
    <w:rsid w:val="00ED2402"/>
    <w:rsid w:val="00ED30DE"/>
    <w:rsid w:val="00ED6093"/>
    <w:rsid w:val="00EE4E3D"/>
    <w:rsid w:val="00EE6EB9"/>
    <w:rsid w:val="00EE7007"/>
    <w:rsid w:val="00EF12F9"/>
    <w:rsid w:val="00EF1422"/>
    <w:rsid w:val="00EF6427"/>
    <w:rsid w:val="00F02E11"/>
    <w:rsid w:val="00F22460"/>
    <w:rsid w:val="00F23290"/>
    <w:rsid w:val="00F238A7"/>
    <w:rsid w:val="00F2752D"/>
    <w:rsid w:val="00F43BE4"/>
    <w:rsid w:val="00F45074"/>
    <w:rsid w:val="00F47C21"/>
    <w:rsid w:val="00F6199E"/>
    <w:rsid w:val="00F720AC"/>
    <w:rsid w:val="00F720EF"/>
    <w:rsid w:val="00F8242B"/>
    <w:rsid w:val="00F87BD7"/>
    <w:rsid w:val="00F900B3"/>
    <w:rsid w:val="00F9398A"/>
    <w:rsid w:val="00F95796"/>
    <w:rsid w:val="00FA0242"/>
    <w:rsid w:val="00FA0467"/>
    <w:rsid w:val="00FA4302"/>
    <w:rsid w:val="00FB0AEB"/>
    <w:rsid w:val="00FB4EF7"/>
    <w:rsid w:val="00FC23F3"/>
    <w:rsid w:val="00FE04E2"/>
    <w:rsid w:val="00FF0391"/>
    <w:rsid w:val="00FF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 w:type="table" w:styleId="TableGrid">
    <w:name w:val="Table Grid"/>
    <w:basedOn w:val="TableNormal"/>
    <w:uiPriority w:val="39"/>
    <w:unhideWhenUsed/>
    <w:rsid w:val="00B4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 w:type="table" w:styleId="TableGrid">
    <w:name w:val="Table Grid"/>
    <w:basedOn w:val="TableNormal"/>
    <w:uiPriority w:val="39"/>
    <w:unhideWhenUsed/>
    <w:rsid w:val="00B4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316153301">
      <w:bodyDiv w:val="1"/>
      <w:marLeft w:val="0"/>
      <w:marRight w:val="0"/>
      <w:marTop w:val="0"/>
      <w:marBottom w:val="0"/>
      <w:divBdr>
        <w:top w:val="none" w:sz="0" w:space="0" w:color="auto"/>
        <w:left w:val="none" w:sz="0" w:space="0" w:color="auto"/>
        <w:bottom w:val="none" w:sz="0" w:space="0" w:color="auto"/>
        <w:right w:val="none" w:sz="0" w:space="0" w:color="auto"/>
      </w:divBdr>
    </w:div>
    <w:div w:id="318657221">
      <w:bodyDiv w:val="1"/>
      <w:marLeft w:val="0"/>
      <w:marRight w:val="0"/>
      <w:marTop w:val="0"/>
      <w:marBottom w:val="0"/>
      <w:divBdr>
        <w:top w:val="none" w:sz="0" w:space="0" w:color="auto"/>
        <w:left w:val="none" w:sz="0" w:space="0" w:color="auto"/>
        <w:bottom w:val="none" w:sz="0" w:space="0" w:color="auto"/>
        <w:right w:val="none" w:sz="0" w:space="0" w:color="auto"/>
      </w:divBdr>
    </w:div>
    <w:div w:id="353270773">
      <w:bodyDiv w:val="1"/>
      <w:marLeft w:val="0"/>
      <w:marRight w:val="0"/>
      <w:marTop w:val="0"/>
      <w:marBottom w:val="0"/>
      <w:divBdr>
        <w:top w:val="none" w:sz="0" w:space="0" w:color="auto"/>
        <w:left w:val="none" w:sz="0" w:space="0" w:color="auto"/>
        <w:bottom w:val="none" w:sz="0" w:space="0" w:color="auto"/>
        <w:right w:val="none" w:sz="0" w:space="0" w:color="auto"/>
      </w:divBdr>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3656387">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315111470">
      <w:bodyDiv w:val="1"/>
      <w:marLeft w:val="0"/>
      <w:marRight w:val="0"/>
      <w:marTop w:val="0"/>
      <w:marBottom w:val="0"/>
      <w:divBdr>
        <w:top w:val="none" w:sz="0" w:space="0" w:color="auto"/>
        <w:left w:val="none" w:sz="0" w:space="0" w:color="auto"/>
        <w:bottom w:val="none" w:sz="0" w:space="0" w:color="auto"/>
        <w:right w:val="none" w:sz="0" w:space="0" w:color="auto"/>
      </w:divBdr>
    </w:div>
    <w:div w:id="1396004871">
      <w:bodyDiv w:val="1"/>
      <w:marLeft w:val="0"/>
      <w:marRight w:val="0"/>
      <w:marTop w:val="0"/>
      <w:marBottom w:val="0"/>
      <w:divBdr>
        <w:top w:val="none" w:sz="0" w:space="0" w:color="auto"/>
        <w:left w:val="none" w:sz="0" w:space="0" w:color="auto"/>
        <w:bottom w:val="none" w:sz="0" w:space="0" w:color="auto"/>
        <w:right w:val="none" w:sz="0" w:space="0" w:color="auto"/>
      </w:divBdr>
    </w:div>
    <w:div w:id="151638226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750468065">
      <w:bodyDiv w:val="1"/>
      <w:marLeft w:val="0"/>
      <w:marRight w:val="0"/>
      <w:marTop w:val="0"/>
      <w:marBottom w:val="0"/>
      <w:divBdr>
        <w:top w:val="none" w:sz="0" w:space="0" w:color="auto"/>
        <w:left w:val="none" w:sz="0" w:space="0" w:color="auto"/>
        <w:bottom w:val="none" w:sz="0" w:space="0" w:color="auto"/>
        <w:right w:val="none" w:sz="0" w:space="0" w:color="auto"/>
      </w:divBdr>
    </w:div>
    <w:div w:id="1757433394">
      <w:bodyDiv w:val="1"/>
      <w:marLeft w:val="0"/>
      <w:marRight w:val="0"/>
      <w:marTop w:val="0"/>
      <w:marBottom w:val="0"/>
      <w:divBdr>
        <w:top w:val="none" w:sz="0" w:space="0" w:color="auto"/>
        <w:left w:val="none" w:sz="0" w:space="0" w:color="auto"/>
        <w:bottom w:val="none" w:sz="0" w:space="0" w:color="auto"/>
        <w:right w:val="none" w:sz="0" w:space="0" w:color="auto"/>
      </w:divBdr>
    </w:div>
    <w:div w:id="1798178787">
      <w:bodyDiv w:val="1"/>
      <w:marLeft w:val="0"/>
      <w:marRight w:val="0"/>
      <w:marTop w:val="0"/>
      <w:marBottom w:val="0"/>
      <w:divBdr>
        <w:top w:val="none" w:sz="0" w:space="0" w:color="auto"/>
        <w:left w:val="none" w:sz="0" w:space="0" w:color="auto"/>
        <w:bottom w:val="none" w:sz="0" w:space="0" w:color="auto"/>
        <w:right w:val="none" w:sz="0" w:space="0" w:color="auto"/>
      </w:divBdr>
    </w:div>
    <w:div w:id="192999730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FF6346-9865-4BC2-9B8D-75A1F5F1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5098</Words>
  <Characters>29061</Characters>
  <Application>Microsoft Office Word</Application>
  <DocSecurity>0</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3</cp:revision>
  <cp:lastPrinted>2018-02-17T01:42:00Z</cp:lastPrinted>
  <dcterms:created xsi:type="dcterms:W3CDTF">2019-03-18T20:10:00Z</dcterms:created>
  <dcterms:modified xsi:type="dcterms:W3CDTF">2019-03-18T20:22:00Z</dcterms:modified>
</cp:coreProperties>
</file>