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80" w:rsidRPr="00217726" w:rsidRDefault="004F5680" w:rsidP="004F5680">
      <w:pPr>
        <w:spacing w:after="0" w:line="240" w:lineRule="auto"/>
        <w:jc w:val="center"/>
        <w:rPr>
          <w:rFonts w:ascii="Cambria" w:hAnsi="Cambria"/>
          <w:b/>
          <w:color w:val="000000"/>
          <w:szCs w:val="21"/>
          <w:lang w:val="es-ES"/>
        </w:rPr>
      </w:pPr>
      <w:bookmarkStart w:id="0" w:name="_GoBack"/>
      <w:bookmarkEnd w:id="0"/>
      <w:r w:rsidRPr="00217726">
        <w:rPr>
          <w:rFonts w:ascii="Cambria" w:hAnsi="Cambria"/>
          <w:b/>
          <w:color w:val="000000"/>
          <w:szCs w:val="21"/>
          <w:lang w:val="es-ES"/>
        </w:rPr>
        <w:t>COMISIÓN INTERAMERICANA DE DERECHOS HUMANOS</w:t>
      </w:r>
    </w:p>
    <w:p w:rsidR="004F5680" w:rsidRPr="00217726" w:rsidRDefault="006035B6" w:rsidP="004F5680">
      <w:pPr>
        <w:spacing w:after="0" w:line="240" w:lineRule="auto"/>
        <w:jc w:val="center"/>
        <w:rPr>
          <w:rFonts w:ascii="Cambria" w:hAnsi="Cambria"/>
          <w:color w:val="000000"/>
          <w:szCs w:val="21"/>
          <w:lang w:val="es-ES"/>
        </w:rPr>
      </w:pPr>
      <w:r w:rsidRPr="00217726">
        <w:rPr>
          <w:rFonts w:ascii="Cambria" w:hAnsi="Cambria"/>
          <w:b/>
          <w:color w:val="000000"/>
          <w:szCs w:val="21"/>
          <w:lang w:val="es-ES"/>
        </w:rPr>
        <w:t xml:space="preserve">RESOLUCIÓN </w:t>
      </w:r>
      <w:r w:rsidR="005F1139">
        <w:rPr>
          <w:rFonts w:ascii="Cambria" w:hAnsi="Cambria"/>
          <w:b/>
          <w:color w:val="000000"/>
          <w:szCs w:val="21"/>
          <w:lang w:val="es-ES"/>
        </w:rPr>
        <w:t>4</w:t>
      </w:r>
      <w:r w:rsidR="004F5680" w:rsidRPr="00217726">
        <w:rPr>
          <w:rFonts w:ascii="Cambria" w:hAnsi="Cambria"/>
          <w:b/>
          <w:color w:val="000000"/>
          <w:szCs w:val="21"/>
          <w:lang w:val="es-ES"/>
        </w:rPr>
        <w:t>/201</w:t>
      </w:r>
      <w:r w:rsidR="00977878">
        <w:rPr>
          <w:rFonts w:ascii="Cambria" w:hAnsi="Cambria"/>
          <w:b/>
          <w:color w:val="000000"/>
          <w:szCs w:val="21"/>
          <w:lang w:val="es-ES"/>
        </w:rPr>
        <w:t>8</w:t>
      </w:r>
    </w:p>
    <w:p w:rsidR="004F5680" w:rsidRPr="00217726" w:rsidRDefault="00F84D34" w:rsidP="004F5680">
      <w:pPr>
        <w:spacing w:after="0" w:line="240" w:lineRule="auto"/>
        <w:jc w:val="center"/>
        <w:rPr>
          <w:rFonts w:ascii="Cambria" w:hAnsi="Cambria"/>
          <w:color w:val="000000"/>
          <w:szCs w:val="21"/>
          <w:lang w:val="es-ES"/>
        </w:rPr>
      </w:pPr>
      <w:r w:rsidRPr="00217726">
        <w:rPr>
          <w:rFonts w:ascii="Cambria" w:hAnsi="Cambria"/>
          <w:color w:val="000000"/>
          <w:szCs w:val="21"/>
          <w:lang w:val="es-ES"/>
        </w:rPr>
        <w:t xml:space="preserve">Medida cautelar </w:t>
      </w:r>
      <w:r w:rsidR="006035B6" w:rsidRPr="00217726">
        <w:rPr>
          <w:rFonts w:ascii="Cambria" w:hAnsi="Cambria"/>
          <w:color w:val="000000"/>
          <w:szCs w:val="21"/>
          <w:lang w:val="es-ES"/>
        </w:rPr>
        <w:t xml:space="preserve">No. </w:t>
      </w:r>
      <w:r w:rsidR="00977878">
        <w:rPr>
          <w:rFonts w:ascii="Cambria" w:hAnsi="Cambria"/>
          <w:color w:val="000000"/>
          <w:szCs w:val="21"/>
          <w:lang w:val="es-ES"/>
        </w:rPr>
        <w:t>1018</w:t>
      </w:r>
      <w:r w:rsidR="004F5680" w:rsidRPr="00217726">
        <w:rPr>
          <w:rFonts w:ascii="Cambria" w:hAnsi="Cambria"/>
          <w:color w:val="000000"/>
          <w:szCs w:val="21"/>
          <w:lang w:val="es-ES"/>
        </w:rPr>
        <w:t>-1</w:t>
      </w:r>
      <w:r w:rsidRPr="00217726">
        <w:rPr>
          <w:rFonts w:ascii="Cambria" w:hAnsi="Cambria"/>
          <w:color w:val="000000"/>
          <w:szCs w:val="21"/>
          <w:lang w:val="es-ES"/>
        </w:rPr>
        <w:t>7</w:t>
      </w:r>
    </w:p>
    <w:p w:rsidR="004F5680" w:rsidRPr="00217726" w:rsidRDefault="004F5680" w:rsidP="004F5680">
      <w:pPr>
        <w:spacing w:after="0" w:line="240" w:lineRule="auto"/>
        <w:jc w:val="center"/>
        <w:rPr>
          <w:rFonts w:ascii="Cambria" w:hAnsi="Cambria"/>
          <w:color w:val="000000"/>
          <w:sz w:val="21"/>
          <w:szCs w:val="21"/>
          <w:lang w:val="es-ES"/>
        </w:rPr>
      </w:pPr>
    </w:p>
    <w:p w:rsidR="004F5680" w:rsidRPr="00217726" w:rsidRDefault="00977878" w:rsidP="004F5680">
      <w:pPr>
        <w:spacing w:after="0" w:line="240" w:lineRule="auto"/>
        <w:jc w:val="center"/>
        <w:rPr>
          <w:rFonts w:ascii="Cambria" w:hAnsi="Cambria"/>
          <w:color w:val="000000"/>
          <w:sz w:val="26"/>
          <w:szCs w:val="26"/>
          <w:lang w:val="es-ES"/>
        </w:rPr>
      </w:pPr>
      <w:r>
        <w:rPr>
          <w:rFonts w:ascii="Cambria" w:hAnsi="Cambria"/>
          <w:color w:val="000000"/>
          <w:sz w:val="26"/>
          <w:szCs w:val="26"/>
          <w:lang w:val="es-ES"/>
        </w:rPr>
        <w:t>Joaquín Mejía Rivera</w:t>
      </w:r>
      <w:r w:rsidR="006035B6" w:rsidRPr="00217726">
        <w:rPr>
          <w:rFonts w:ascii="Cambria" w:hAnsi="Cambria"/>
          <w:color w:val="000000"/>
          <w:sz w:val="26"/>
          <w:szCs w:val="26"/>
          <w:lang w:val="es-ES"/>
        </w:rPr>
        <w:t xml:space="preserve"> y familia</w:t>
      </w:r>
      <w:r w:rsidR="004F5680" w:rsidRPr="00217726">
        <w:rPr>
          <w:rFonts w:ascii="Cambria" w:hAnsi="Cambria"/>
          <w:color w:val="000000"/>
          <w:sz w:val="26"/>
          <w:szCs w:val="26"/>
          <w:lang w:val="es-ES"/>
        </w:rPr>
        <w:t xml:space="preserve"> respecto de Honduras</w:t>
      </w:r>
    </w:p>
    <w:p w:rsidR="004F5680" w:rsidRPr="00217726" w:rsidRDefault="005F1139" w:rsidP="004F5680">
      <w:pPr>
        <w:spacing w:after="0" w:line="240" w:lineRule="auto"/>
        <w:jc w:val="center"/>
        <w:rPr>
          <w:rFonts w:ascii="Cambria" w:hAnsi="Cambria"/>
          <w:color w:val="000000"/>
          <w:sz w:val="20"/>
          <w:szCs w:val="21"/>
          <w:lang w:val="es-ES"/>
        </w:rPr>
      </w:pPr>
      <w:r>
        <w:rPr>
          <w:rFonts w:ascii="Cambria" w:hAnsi="Cambria"/>
          <w:color w:val="000000"/>
          <w:sz w:val="20"/>
          <w:szCs w:val="21"/>
          <w:lang w:val="es-ES"/>
        </w:rPr>
        <w:t>28</w:t>
      </w:r>
      <w:r w:rsidR="004F5680" w:rsidRPr="00217726">
        <w:rPr>
          <w:rFonts w:ascii="Cambria" w:hAnsi="Cambria"/>
          <w:color w:val="000000"/>
          <w:sz w:val="20"/>
          <w:szCs w:val="21"/>
          <w:lang w:val="es-ES"/>
        </w:rPr>
        <w:t xml:space="preserve"> de </w:t>
      </w:r>
      <w:r w:rsidR="00977878">
        <w:rPr>
          <w:rFonts w:ascii="Cambria" w:hAnsi="Cambria"/>
          <w:color w:val="000000"/>
          <w:sz w:val="20"/>
          <w:szCs w:val="21"/>
          <w:lang w:val="es-ES"/>
        </w:rPr>
        <w:t>enero</w:t>
      </w:r>
      <w:r w:rsidR="00F84D34" w:rsidRPr="00217726">
        <w:rPr>
          <w:rFonts w:ascii="Cambria" w:hAnsi="Cambria"/>
          <w:color w:val="000000"/>
          <w:sz w:val="20"/>
          <w:szCs w:val="21"/>
          <w:lang w:val="es-ES"/>
        </w:rPr>
        <w:t xml:space="preserve"> de 201</w:t>
      </w:r>
      <w:r w:rsidR="00977878">
        <w:rPr>
          <w:rFonts w:ascii="Cambria" w:hAnsi="Cambria"/>
          <w:color w:val="000000"/>
          <w:sz w:val="20"/>
          <w:szCs w:val="21"/>
          <w:lang w:val="es-ES"/>
        </w:rPr>
        <w:t>8</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F84D34">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INTRODUCCIÓN</w:t>
      </w:r>
    </w:p>
    <w:p w:rsidR="00F84D34" w:rsidRPr="00217726" w:rsidRDefault="00F84D34" w:rsidP="00F84D34">
      <w:pPr>
        <w:spacing w:after="0" w:line="240" w:lineRule="auto"/>
        <w:ind w:left="720"/>
        <w:jc w:val="both"/>
        <w:rPr>
          <w:rFonts w:ascii="Cambria" w:hAnsi="Cambria"/>
          <w:b/>
          <w:color w:val="000000"/>
          <w:sz w:val="21"/>
          <w:szCs w:val="21"/>
          <w:lang w:val="es-ES"/>
        </w:rPr>
      </w:pPr>
    </w:p>
    <w:p w:rsidR="00E17DB4" w:rsidRPr="00217726" w:rsidRDefault="006035B6" w:rsidP="00F84D34">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El </w:t>
      </w:r>
      <w:r w:rsidR="00F84D34" w:rsidRPr="00217726">
        <w:rPr>
          <w:rFonts w:ascii="Cambria" w:hAnsi="Cambria"/>
          <w:color w:val="000000"/>
          <w:sz w:val="21"/>
          <w:szCs w:val="21"/>
          <w:lang w:val="es-ES"/>
        </w:rPr>
        <w:t>2</w:t>
      </w:r>
      <w:r w:rsidR="00977878">
        <w:rPr>
          <w:rFonts w:ascii="Cambria" w:hAnsi="Cambria"/>
          <w:color w:val="000000"/>
          <w:sz w:val="21"/>
          <w:szCs w:val="21"/>
          <w:lang w:val="es-ES"/>
        </w:rPr>
        <w:t>9</w:t>
      </w:r>
      <w:r w:rsidRPr="00217726">
        <w:rPr>
          <w:rFonts w:ascii="Cambria" w:hAnsi="Cambria"/>
          <w:color w:val="000000"/>
          <w:sz w:val="21"/>
          <w:szCs w:val="21"/>
          <w:lang w:val="es-ES"/>
        </w:rPr>
        <w:t xml:space="preserve"> de </w:t>
      </w:r>
      <w:r w:rsidR="00271E22">
        <w:rPr>
          <w:rFonts w:ascii="Cambria" w:hAnsi="Cambria"/>
          <w:color w:val="000000"/>
          <w:sz w:val="21"/>
          <w:szCs w:val="21"/>
          <w:lang w:val="es-ES"/>
        </w:rPr>
        <w:t>diciembre</w:t>
      </w:r>
      <w:r w:rsidR="00F84D34" w:rsidRPr="00217726">
        <w:rPr>
          <w:rFonts w:ascii="Cambria" w:hAnsi="Cambria"/>
          <w:color w:val="000000"/>
          <w:sz w:val="21"/>
          <w:szCs w:val="21"/>
          <w:lang w:val="es-ES"/>
        </w:rPr>
        <w:t xml:space="preserve"> de 2017</w:t>
      </w:r>
      <w:r w:rsidR="004F5680" w:rsidRPr="00217726">
        <w:rPr>
          <w:rFonts w:ascii="Cambria" w:hAnsi="Cambria"/>
          <w:color w:val="000000"/>
          <w:sz w:val="21"/>
          <w:szCs w:val="21"/>
          <w:lang w:val="es-ES"/>
        </w:rPr>
        <w:t>, la Comisión Interamericana de Derechos Humanos (en lo sucesivo “la Comisión Interamericana”, “la Comisión” o “la CIDH”) recibió una solicitud de medid</w:t>
      </w:r>
      <w:r w:rsidR="00F84D34" w:rsidRPr="00217726">
        <w:rPr>
          <w:rFonts w:ascii="Cambria" w:hAnsi="Cambria"/>
          <w:color w:val="000000"/>
          <w:sz w:val="21"/>
          <w:szCs w:val="21"/>
          <w:lang w:val="es-ES"/>
        </w:rPr>
        <w:t>as cautelares presentada por las or</w:t>
      </w:r>
      <w:r w:rsidR="00136590">
        <w:rPr>
          <w:rFonts w:ascii="Cambria" w:hAnsi="Cambria"/>
          <w:color w:val="000000"/>
          <w:sz w:val="21"/>
          <w:szCs w:val="21"/>
          <w:lang w:val="es-ES"/>
        </w:rPr>
        <w:t xml:space="preserve">ganizaciones no gubernamentales </w:t>
      </w:r>
      <w:r w:rsidR="00F84D34" w:rsidRPr="00217726">
        <w:rPr>
          <w:rFonts w:ascii="Cambria" w:hAnsi="Cambria"/>
          <w:color w:val="000000"/>
          <w:sz w:val="21"/>
          <w:szCs w:val="21"/>
          <w:lang w:val="es-ES"/>
        </w:rPr>
        <w:t>“</w:t>
      </w:r>
      <w:r w:rsidR="00136590" w:rsidRPr="00136590">
        <w:rPr>
          <w:rFonts w:ascii="Cambria" w:hAnsi="Cambria"/>
          <w:color w:val="000000"/>
          <w:sz w:val="21"/>
          <w:szCs w:val="21"/>
          <w:lang w:val="es-CO"/>
        </w:rPr>
        <w:t>Equipo de Reflexión Investigación y Comunicación de la Compañía de Jesús</w:t>
      </w:r>
      <w:r w:rsidR="00136590">
        <w:rPr>
          <w:rFonts w:ascii="Cambria" w:hAnsi="Cambria"/>
          <w:color w:val="000000"/>
          <w:sz w:val="21"/>
          <w:szCs w:val="21"/>
          <w:lang w:val="es-CO"/>
        </w:rPr>
        <w:t>”</w:t>
      </w:r>
      <w:r w:rsidR="00136590" w:rsidRPr="00136590">
        <w:rPr>
          <w:rFonts w:ascii="Cambria" w:hAnsi="Cambria"/>
          <w:color w:val="000000"/>
          <w:sz w:val="21"/>
          <w:szCs w:val="21"/>
          <w:lang w:val="es-CO"/>
        </w:rPr>
        <w:t xml:space="preserve"> (ERIC-SJ)</w:t>
      </w:r>
      <w:r w:rsidR="00E17DB4" w:rsidRPr="00217726">
        <w:rPr>
          <w:rFonts w:ascii="Cambria" w:hAnsi="Cambria"/>
          <w:color w:val="000000"/>
          <w:sz w:val="21"/>
          <w:szCs w:val="21"/>
          <w:lang w:val="es-ES"/>
        </w:rPr>
        <w:t xml:space="preserve"> </w:t>
      </w:r>
      <w:r w:rsidR="00136590">
        <w:rPr>
          <w:rFonts w:ascii="Cambria" w:hAnsi="Cambria"/>
          <w:color w:val="000000"/>
          <w:sz w:val="21"/>
          <w:szCs w:val="21"/>
          <w:lang w:val="es-ES"/>
        </w:rPr>
        <w:t>y “</w:t>
      </w:r>
      <w:r w:rsidR="00136590" w:rsidRPr="00136590">
        <w:rPr>
          <w:rFonts w:ascii="Cambria" w:hAnsi="Cambria"/>
          <w:color w:val="000000"/>
          <w:sz w:val="21"/>
          <w:szCs w:val="21"/>
          <w:lang w:val="es-CO"/>
        </w:rPr>
        <w:t>Centro por la Just</w:t>
      </w:r>
      <w:r w:rsidR="00136590">
        <w:rPr>
          <w:rFonts w:ascii="Cambria" w:hAnsi="Cambria"/>
          <w:color w:val="000000"/>
          <w:sz w:val="21"/>
          <w:szCs w:val="21"/>
          <w:lang w:val="es-CO"/>
        </w:rPr>
        <w:t xml:space="preserve">icia y el Derecho Internacional” (CEJIL) </w:t>
      </w:r>
      <w:r w:rsidR="004F5680" w:rsidRPr="00217726">
        <w:rPr>
          <w:rFonts w:ascii="Cambria" w:hAnsi="Cambria"/>
          <w:color w:val="000000"/>
          <w:sz w:val="21"/>
          <w:szCs w:val="21"/>
          <w:lang w:val="es-ES"/>
        </w:rPr>
        <w:t xml:space="preserve">(en adelante “los solicitantes”), </w:t>
      </w:r>
      <w:r w:rsidR="00E17DB4" w:rsidRPr="00217726">
        <w:rPr>
          <w:rFonts w:ascii="Cambria" w:hAnsi="Cambria"/>
          <w:color w:val="000000"/>
          <w:sz w:val="21"/>
          <w:szCs w:val="21"/>
          <w:lang w:val="es-ES"/>
        </w:rPr>
        <w:t>instando a la Comisión que requiera</w:t>
      </w:r>
      <w:r w:rsidR="004F5680" w:rsidRPr="00217726">
        <w:rPr>
          <w:rFonts w:ascii="Cambria" w:hAnsi="Cambria"/>
          <w:color w:val="000000"/>
          <w:sz w:val="21"/>
          <w:szCs w:val="21"/>
          <w:lang w:val="es-ES"/>
        </w:rPr>
        <w:t xml:space="preserve"> al Estado de Honduras (en adelante “Honduras” o “el Estado”) </w:t>
      </w:r>
      <w:r w:rsidR="00E17DB4" w:rsidRPr="00217726">
        <w:rPr>
          <w:rFonts w:ascii="Cambria" w:hAnsi="Cambria"/>
          <w:color w:val="000000"/>
          <w:sz w:val="21"/>
          <w:szCs w:val="21"/>
          <w:lang w:val="es-ES"/>
        </w:rPr>
        <w:t>la adopción de</w:t>
      </w:r>
      <w:r w:rsidR="004F5680" w:rsidRPr="00217726">
        <w:rPr>
          <w:rFonts w:ascii="Cambria" w:hAnsi="Cambria"/>
          <w:color w:val="000000"/>
          <w:sz w:val="21"/>
          <w:szCs w:val="21"/>
          <w:lang w:val="es-ES"/>
        </w:rPr>
        <w:t xml:space="preserve"> las medidas de protección necesarias para garantizar l</w:t>
      </w:r>
      <w:r w:rsidRPr="00217726">
        <w:rPr>
          <w:rFonts w:ascii="Cambria" w:hAnsi="Cambria"/>
          <w:color w:val="000000"/>
          <w:sz w:val="21"/>
          <w:szCs w:val="21"/>
          <w:lang w:val="es-ES"/>
        </w:rPr>
        <w:t xml:space="preserve">a vida e integridad personal </w:t>
      </w:r>
      <w:r w:rsidR="00136590">
        <w:rPr>
          <w:rFonts w:ascii="Cambria" w:hAnsi="Cambria"/>
          <w:color w:val="000000"/>
          <w:sz w:val="21"/>
          <w:szCs w:val="21"/>
          <w:lang w:val="es-ES"/>
        </w:rPr>
        <w:t>del señor Joaquín Mejía Rivera y los miembros de su núcleo fa</w:t>
      </w:r>
      <w:r w:rsidR="00E17DB4" w:rsidRPr="00217726">
        <w:rPr>
          <w:rFonts w:ascii="Cambria" w:hAnsi="Cambria"/>
          <w:color w:val="000000"/>
          <w:sz w:val="21"/>
          <w:szCs w:val="21"/>
          <w:lang w:val="es-ES"/>
        </w:rPr>
        <w:t>miliar</w:t>
      </w:r>
      <w:r w:rsidR="00F3394E" w:rsidRPr="00217726">
        <w:rPr>
          <w:rStyle w:val="FootnoteReference"/>
          <w:rFonts w:ascii="Cambria" w:hAnsi="Cambria"/>
          <w:color w:val="000000"/>
          <w:sz w:val="21"/>
          <w:szCs w:val="21"/>
          <w:lang w:val="es-ES"/>
        </w:rPr>
        <w:footnoteReference w:id="1"/>
      </w:r>
      <w:r w:rsidRPr="00217726">
        <w:rPr>
          <w:rFonts w:ascii="Cambria" w:hAnsi="Cambria"/>
          <w:color w:val="000000"/>
          <w:sz w:val="21"/>
          <w:szCs w:val="21"/>
          <w:lang w:val="es-ES"/>
        </w:rPr>
        <w:t xml:space="preserve"> </w:t>
      </w:r>
      <w:r w:rsidR="004F5680" w:rsidRPr="00217726">
        <w:rPr>
          <w:rFonts w:ascii="Cambria" w:hAnsi="Cambria"/>
          <w:color w:val="000000"/>
          <w:sz w:val="21"/>
          <w:szCs w:val="21"/>
          <w:lang w:val="es-ES"/>
        </w:rPr>
        <w:t>(en adelante “los propuestos beneficiarios”)</w:t>
      </w:r>
      <w:r w:rsidR="00E17DB4" w:rsidRPr="00217726">
        <w:rPr>
          <w:rFonts w:ascii="Cambria" w:hAnsi="Cambria"/>
          <w:color w:val="000000"/>
          <w:sz w:val="21"/>
          <w:szCs w:val="21"/>
          <w:lang w:val="es-ES"/>
        </w:rPr>
        <w:t xml:space="preserve"> en Honduras</w:t>
      </w:r>
      <w:r w:rsidR="004F5680" w:rsidRPr="00217726">
        <w:rPr>
          <w:rFonts w:ascii="Cambria" w:hAnsi="Cambria"/>
          <w:color w:val="000000"/>
          <w:sz w:val="21"/>
          <w:szCs w:val="21"/>
          <w:lang w:val="es-ES"/>
        </w:rPr>
        <w:t>. Según la solicitud</w:t>
      </w:r>
      <w:r w:rsidR="00E17DB4" w:rsidRPr="00217726">
        <w:rPr>
          <w:rFonts w:ascii="Cambria" w:hAnsi="Cambria"/>
          <w:color w:val="000000"/>
          <w:sz w:val="21"/>
          <w:szCs w:val="21"/>
          <w:lang w:val="es-ES"/>
        </w:rPr>
        <w:t xml:space="preserve">, </w:t>
      </w:r>
      <w:r w:rsidR="00AC0602">
        <w:rPr>
          <w:rFonts w:ascii="Cambria" w:hAnsi="Cambria"/>
          <w:color w:val="000000"/>
          <w:sz w:val="21"/>
          <w:szCs w:val="21"/>
          <w:lang w:val="es-ES"/>
        </w:rPr>
        <w:t>el señor Mejía</w:t>
      </w:r>
      <w:r w:rsidR="00E17DB4" w:rsidRPr="00217726">
        <w:rPr>
          <w:rFonts w:ascii="Cambria" w:hAnsi="Cambria"/>
          <w:color w:val="000000"/>
          <w:sz w:val="21"/>
          <w:szCs w:val="21"/>
          <w:lang w:val="es-ES"/>
        </w:rPr>
        <w:t xml:space="preserve"> se encuentra en una situación de grave riesgo con motivo de su calidad de </w:t>
      </w:r>
      <w:r w:rsidR="00AC0602">
        <w:rPr>
          <w:rFonts w:ascii="Cambria" w:hAnsi="Cambria"/>
          <w:color w:val="000000"/>
          <w:sz w:val="21"/>
          <w:szCs w:val="21"/>
          <w:lang w:val="es-ES"/>
        </w:rPr>
        <w:t xml:space="preserve">defensor de derechos humanos, especialmente por haber sido una de las voces más críticas </w:t>
      </w:r>
      <w:r w:rsidR="00012766">
        <w:rPr>
          <w:rFonts w:ascii="Cambria" w:hAnsi="Cambria"/>
          <w:color w:val="000000"/>
          <w:sz w:val="21"/>
          <w:szCs w:val="21"/>
          <w:lang w:val="es-ES"/>
        </w:rPr>
        <w:t>en relación con el reciente proceso electoral que resultó en la reelección del Presidente Orlando Hernández</w:t>
      </w:r>
      <w:r w:rsidR="00AC0602">
        <w:rPr>
          <w:rFonts w:ascii="Cambria" w:hAnsi="Cambria"/>
          <w:color w:val="000000"/>
          <w:sz w:val="21"/>
          <w:szCs w:val="21"/>
          <w:lang w:val="es-ES"/>
        </w:rPr>
        <w:t>.</w:t>
      </w:r>
      <w:r w:rsidR="00E17DB4" w:rsidRPr="00217726">
        <w:rPr>
          <w:rFonts w:ascii="Cambria" w:hAnsi="Cambria"/>
          <w:color w:val="000000"/>
          <w:sz w:val="21"/>
          <w:szCs w:val="21"/>
          <w:lang w:val="es-ES"/>
        </w:rPr>
        <w:t xml:space="preserve"> </w:t>
      </w:r>
    </w:p>
    <w:p w:rsidR="00E17DB4" w:rsidRPr="00217726" w:rsidRDefault="00E17DB4" w:rsidP="00E17DB4">
      <w:pPr>
        <w:spacing w:after="0" w:line="240" w:lineRule="auto"/>
        <w:ind w:left="360"/>
        <w:jc w:val="both"/>
        <w:rPr>
          <w:rFonts w:ascii="Cambria" w:hAnsi="Cambria"/>
          <w:color w:val="000000"/>
          <w:sz w:val="21"/>
          <w:szCs w:val="21"/>
          <w:lang w:val="es-ES"/>
        </w:rPr>
      </w:pPr>
    </w:p>
    <w:p w:rsidR="004F5680" w:rsidRPr="00217726" w:rsidRDefault="006035B6" w:rsidP="00F84D34">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 </w:t>
      </w:r>
      <w:r w:rsidR="00E17DB4" w:rsidRPr="00217726">
        <w:rPr>
          <w:rFonts w:ascii="Cambria" w:hAnsi="Cambria"/>
          <w:color w:val="000000"/>
          <w:sz w:val="21"/>
          <w:szCs w:val="21"/>
          <w:lang w:val="es-ES"/>
        </w:rPr>
        <w:t xml:space="preserve">El </w:t>
      </w:r>
      <w:r w:rsidR="00AC0602">
        <w:rPr>
          <w:rFonts w:ascii="Cambria" w:hAnsi="Cambria"/>
          <w:color w:val="000000"/>
          <w:sz w:val="21"/>
          <w:szCs w:val="21"/>
          <w:lang w:val="es-ES"/>
        </w:rPr>
        <w:t>5</w:t>
      </w:r>
      <w:r w:rsidR="00E17DB4" w:rsidRPr="00217726">
        <w:rPr>
          <w:rFonts w:ascii="Cambria" w:hAnsi="Cambria"/>
          <w:color w:val="000000"/>
          <w:sz w:val="21"/>
          <w:szCs w:val="21"/>
          <w:lang w:val="es-ES"/>
        </w:rPr>
        <w:t xml:space="preserve"> de </w:t>
      </w:r>
      <w:r w:rsidR="00AC0602">
        <w:rPr>
          <w:rFonts w:ascii="Cambria" w:hAnsi="Cambria"/>
          <w:color w:val="000000"/>
          <w:sz w:val="21"/>
          <w:szCs w:val="21"/>
          <w:lang w:val="es-ES"/>
        </w:rPr>
        <w:t>enero</w:t>
      </w:r>
      <w:r w:rsidR="00E17DB4" w:rsidRPr="00217726">
        <w:rPr>
          <w:rFonts w:ascii="Cambria" w:hAnsi="Cambria"/>
          <w:color w:val="000000"/>
          <w:sz w:val="21"/>
          <w:szCs w:val="21"/>
          <w:lang w:val="es-ES"/>
        </w:rPr>
        <w:t xml:space="preserve"> de 201</w:t>
      </w:r>
      <w:r w:rsidR="00AC0602">
        <w:rPr>
          <w:rFonts w:ascii="Cambria" w:hAnsi="Cambria"/>
          <w:color w:val="000000"/>
          <w:sz w:val="21"/>
          <w:szCs w:val="21"/>
          <w:lang w:val="es-ES"/>
        </w:rPr>
        <w:t>8</w:t>
      </w:r>
      <w:r w:rsidR="00E17DB4" w:rsidRPr="00217726">
        <w:rPr>
          <w:rFonts w:ascii="Cambria" w:hAnsi="Cambria"/>
          <w:color w:val="000000"/>
          <w:sz w:val="21"/>
          <w:szCs w:val="21"/>
          <w:lang w:val="es-ES"/>
        </w:rPr>
        <w:t xml:space="preserve">, la CIDH solicitó información al Estado para que aporte sus observaciones dentro de un plazo de </w:t>
      </w:r>
      <w:r w:rsidR="00AC0602">
        <w:rPr>
          <w:rFonts w:ascii="Cambria" w:hAnsi="Cambria"/>
          <w:color w:val="000000"/>
          <w:sz w:val="21"/>
          <w:szCs w:val="21"/>
          <w:lang w:val="es-ES"/>
        </w:rPr>
        <w:t>cinco</w:t>
      </w:r>
      <w:r w:rsidR="00E17DB4" w:rsidRPr="00217726">
        <w:rPr>
          <w:rFonts w:ascii="Cambria" w:hAnsi="Cambria"/>
          <w:color w:val="000000"/>
          <w:sz w:val="21"/>
          <w:szCs w:val="21"/>
          <w:lang w:val="es-ES"/>
        </w:rPr>
        <w:t xml:space="preserve"> días. El </w:t>
      </w:r>
      <w:r w:rsidR="00AC0602">
        <w:rPr>
          <w:rFonts w:ascii="Cambria" w:hAnsi="Cambria"/>
          <w:color w:val="000000"/>
          <w:sz w:val="21"/>
          <w:szCs w:val="21"/>
          <w:lang w:val="es-ES"/>
        </w:rPr>
        <w:t>11</w:t>
      </w:r>
      <w:r w:rsidR="00E17DB4" w:rsidRPr="00217726">
        <w:rPr>
          <w:rFonts w:ascii="Cambria" w:hAnsi="Cambria"/>
          <w:color w:val="000000"/>
          <w:sz w:val="21"/>
          <w:szCs w:val="21"/>
          <w:lang w:val="es-ES"/>
        </w:rPr>
        <w:t xml:space="preserve"> de </w:t>
      </w:r>
      <w:r w:rsidR="00AC0602">
        <w:rPr>
          <w:rFonts w:ascii="Cambria" w:hAnsi="Cambria"/>
          <w:color w:val="000000"/>
          <w:sz w:val="21"/>
          <w:szCs w:val="21"/>
          <w:lang w:val="es-ES"/>
        </w:rPr>
        <w:t>enero</w:t>
      </w:r>
      <w:r w:rsidR="00E17DB4" w:rsidRPr="00217726">
        <w:rPr>
          <w:rFonts w:ascii="Cambria" w:hAnsi="Cambria"/>
          <w:color w:val="000000"/>
          <w:sz w:val="21"/>
          <w:szCs w:val="21"/>
          <w:lang w:val="es-ES"/>
        </w:rPr>
        <w:t xml:space="preserve"> de 201</w:t>
      </w:r>
      <w:r w:rsidR="00AC0602">
        <w:rPr>
          <w:rFonts w:ascii="Cambria" w:hAnsi="Cambria"/>
          <w:color w:val="000000"/>
          <w:sz w:val="21"/>
          <w:szCs w:val="21"/>
          <w:lang w:val="es-ES"/>
        </w:rPr>
        <w:t>8</w:t>
      </w:r>
      <w:r w:rsidR="00E17DB4" w:rsidRPr="00217726">
        <w:rPr>
          <w:rFonts w:ascii="Cambria" w:hAnsi="Cambria"/>
          <w:color w:val="000000"/>
          <w:sz w:val="21"/>
          <w:szCs w:val="21"/>
          <w:lang w:val="es-ES"/>
        </w:rPr>
        <w:t xml:space="preserve">, el Estado </w:t>
      </w:r>
      <w:r w:rsidR="00AC0602">
        <w:rPr>
          <w:rFonts w:ascii="Cambria" w:hAnsi="Cambria"/>
          <w:color w:val="000000"/>
          <w:sz w:val="21"/>
          <w:szCs w:val="21"/>
          <w:lang w:val="es-ES"/>
        </w:rPr>
        <w:t xml:space="preserve">contestó a la solicitud, habiendo los solicitantes aportado sus observaciones sobre dicho informe el 18 de enero. </w:t>
      </w:r>
    </w:p>
    <w:p w:rsidR="004F5680" w:rsidRPr="00217726" w:rsidRDefault="004F5680" w:rsidP="004F5680">
      <w:pPr>
        <w:spacing w:after="0" w:line="240" w:lineRule="auto"/>
        <w:jc w:val="both"/>
        <w:rPr>
          <w:rFonts w:ascii="Cambria" w:hAnsi="Cambria"/>
          <w:color w:val="000000"/>
          <w:sz w:val="21"/>
          <w:szCs w:val="21"/>
          <w:lang w:val="es-ES"/>
        </w:rPr>
      </w:pPr>
    </w:p>
    <w:p w:rsidR="004F5680" w:rsidRPr="00B53D6E" w:rsidRDefault="004F5680" w:rsidP="00424BC7">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Tras analizar las alegaciones de hecho y de derecho presentadas por </w:t>
      </w:r>
      <w:r w:rsidR="005E70F4" w:rsidRPr="00217726">
        <w:rPr>
          <w:rFonts w:ascii="Cambria" w:hAnsi="Cambria"/>
          <w:color w:val="000000"/>
          <w:sz w:val="21"/>
          <w:szCs w:val="21"/>
          <w:lang w:val="es-ES"/>
        </w:rPr>
        <w:t>las partes</w:t>
      </w:r>
      <w:r w:rsidRPr="00217726">
        <w:rPr>
          <w:rFonts w:ascii="Cambria" w:hAnsi="Cambria"/>
          <w:color w:val="000000"/>
          <w:sz w:val="21"/>
          <w:szCs w:val="21"/>
          <w:lang w:val="es-ES"/>
        </w:rPr>
        <w:t xml:space="preserve">, la Comisión considera que la información presentada demuestra </w:t>
      </w:r>
      <w:r w:rsidRPr="00217726">
        <w:rPr>
          <w:rFonts w:ascii="Cambria" w:hAnsi="Cambria"/>
          <w:i/>
          <w:color w:val="000000"/>
          <w:sz w:val="21"/>
          <w:szCs w:val="21"/>
          <w:lang w:val="es-ES"/>
        </w:rPr>
        <w:t>prima facie</w:t>
      </w:r>
      <w:r w:rsidRPr="00217726">
        <w:rPr>
          <w:rFonts w:ascii="Cambria" w:hAnsi="Cambria"/>
          <w:color w:val="000000"/>
          <w:sz w:val="21"/>
          <w:szCs w:val="21"/>
          <w:lang w:val="es-ES"/>
        </w:rPr>
        <w:t xml:space="preserve"> que </w:t>
      </w:r>
      <w:r w:rsidR="00AC0602">
        <w:rPr>
          <w:rFonts w:ascii="Cambria" w:hAnsi="Cambria"/>
          <w:color w:val="000000"/>
          <w:sz w:val="21"/>
          <w:szCs w:val="21"/>
          <w:lang w:val="es-ES"/>
        </w:rPr>
        <w:t xml:space="preserve">el señor </w:t>
      </w:r>
      <w:r w:rsidR="00AC0602" w:rsidRPr="00AC0602">
        <w:rPr>
          <w:rFonts w:ascii="Cambria" w:hAnsi="Cambria"/>
          <w:color w:val="000000"/>
          <w:sz w:val="21"/>
          <w:szCs w:val="21"/>
          <w:lang w:val="es-ES"/>
        </w:rPr>
        <w:t xml:space="preserve">Joaquín Mejía Rivera y los miembros </w:t>
      </w:r>
      <w:r w:rsidR="00AC0602">
        <w:rPr>
          <w:rFonts w:ascii="Cambria" w:hAnsi="Cambria"/>
          <w:color w:val="000000"/>
          <w:sz w:val="21"/>
          <w:szCs w:val="21"/>
          <w:lang w:val="es-ES"/>
        </w:rPr>
        <w:t xml:space="preserve">identificados </w:t>
      </w:r>
      <w:r w:rsidR="00AC0602" w:rsidRPr="00AC0602">
        <w:rPr>
          <w:rFonts w:ascii="Cambria" w:hAnsi="Cambria"/>
          <w:color w:val="000000"/>
          <w:sz w:val="21"/>
          <w:szCs w:val="21"/>
          <w:lang w:val="es-ES"/>
        </w:rPr>
        <w:t>de su núcleo familiar</w:t>
      </w:r>
      <w:r w:rsidR="005E70F4" w:rsidRPr="00217726">
        <w:rPr>
          <w:rFonts w:ascii="Cambria" w:hAnsi="Cambria"/>
          <w:color w:val="000000"/>
          <w:sz w:val="21"/>
          <w:szCs w:val="21"/>
          <w:lang w:val="es-ES"/>
        </w:rPr>
        <w:t xml:space="preserve"> </w:t>
      </w:r>
      <w:r w:rsidRPr="00217726">
        <w:rPr>
          <w:rFonts w:ascii="Cambria" w:hAnsi="Cambria"/>
          <w:color w:val="000000"/>
          <w:sz w:val="21"/>
          <w:szCs w:val="21"/>
          <w:lang w:val="es-ES"/>
        </w:rPr>
        <w:t>se encuent</w:t>
      </w:r>
      <w:r w:rsidR="005E70F4" w:rsidRPr="00217726">
        <w:rPr>
          <w:rFonts w:ascii="Cambria" w:hAnsi="Cambria"/>
          <w:color w:val="000000"/>
          <w:sz w:val="21"/>
          <w:szCs w:val="21"/>
          <w:lang w:val="es-ES"/>
        </w:rPr>
        <w:t>ran en una situación de gravedad y urgencia</w:t>
      </w:r>
      <w:r w:rsidRPr="00217726">
        <w:rPr>
          <w:rFonts w:ascii="Cambria" w:hAnsi="Cambria"/>
          <w:color w:val="000000"/>
          <w:sz w:val="21"/>
          <w:szCs w:val="21"/>
          <w:lang w:val="es-ES"/>
        </w:rPr>
        <w:t xml:space="preserve">, </w:t>
      </w:r>
      <w:r w:rsidR="005E70F4" w:rsidRPr="00217726">
        <w:rPr>
          <w:rFonts w:ascii="Cambria" w:hAnsi="Cambria"/>
          <w:color w:val="000000"/>
          <w:sz w:val="21"/>
          <w:szCs w:val="21"/>
          <w:lang w:val="es-ES"/>
        </w:rPr>
        <w:t>toda vez que</w:t>
      </w:r>
      <w:r w:rsidRPr="00217726">
        <w:rPr>
          <w:rFonts w:ascii="Cambria" w:hAnsi="Cambria"/>
          <w:color w:val="000000"/>
          <w:sz w:val="21"/>
          <w:szCs w:val="21"/>
          <w:lang w:val="es-ES"/>
        </w:rPr>
        <w:t xml:space="preserve"> sus</w:t>
      </w:r>
      <w:r w:rsidR="005E70F4" w:rsidRPr="00217726">
        <w:rPr>
          <w:rFonts w:ascii="Cambria" w:hAnsi="Cambria"/>
          <w:color w:val="000000"/>
          <w:sz w:val="21"/>
          <w:szCs w:val="21"/>
          <w:lang w:val="es-ES"/>
        </w:rPr>
        <w:t xml:space="preserve"> derechos a la vida</w:t>
      </w:r>
      <w:r w:rsidRPr="00217726">
        <w:rPr>
          <w:rFonts w:ascii="Cambria" w:hAnsi="Cambria"/>
          <w:color w:val="000000"/>
          <w:sz w:val="21"/>
          <w:szCs w:val="21"/>
          <w:lang w:val="es-ES"/>
        </w:rPr>
        <w:t xml:space="preserve"> e integridad personal </w:t>
      </w:r>
      <w:r w:rsidR="005E70F4" w:rsidRPr="00217726">
        <w:rPr>
          <w:rFonts w:ascii="Cambria" w:hAnsi="Cambria"/>
          <w:color w:val="000000"/>
          <w:sz w:val="21"/>
          <w:szCs w:val="21"/>
          <w:lang w:val="es-ES"/>
        </w:rPr>
        <w:t>enfrentan un</w:t>
      </w:r>
      <w:r w:rsidRPr="00217726">
        <w:rPr>
          <w:rFonts w:ascii="Cambria" w:hAnsi="Cambria"/>
          <w:color w:val="000000"/>
          <w:sz w:val="21"/>
          <w:szCs w:val="21"/>
          <w:lang w:val="es-ES"/>
        </w:rPr>
        <w:t xml:space="preserve"> riesgo</w:t>
      </w:r>
      <w:r w:rsidR="005E70F4" w:rsidRPr="00217726">
        <w:rPr>
          <w:rFonts w:ascii="Cambria" w:hAnsi="Cambria"/>
          <w:color w:val="000000"/>
          <w:sz w:val="21"/>
          <w:szCs w:val="21"/>
          <w:lang w:val="es-ES"/>
        </w:rPr>
        <w:t xml:space="preserve"> de daño irreparable</w:t>
      </w:r>
      <w:r w:rsidRPr="00217726">
        <w:rPr>
          <w:rFonts w:ascii="Cambria" w:hAnsi="Cambria"/>
          <w:color w:val="000000"/>
          <w:sz w:val="21"/>
          <w:szCs w:val="21"/>
          <w:lang w:val="es-ES"/>
        </w:rPr>
        <w:t xml:space="preserve">. En consecuencia, de acuerdo con el Artículo 25 del Reglamento de la CIDH, la Comisión solicita a Honduras que: a) </w:t>
      </w:r>
      <w:r w:rsidR="005E70F4" w:rsidRPr="00217726">
        <w:rPr>
          <w:rFonts w:ascii="Cambria" w:hAnsi="Cambria"/>
          <w:color w:val="000000"/>
          <w:sz w:val="21"/>
          <w:szCs w:val="21"/>
          <w:lang w:val="es-ES"/>
        </w:rPr>
        <w:t>a</w:t>
      </w:r>
      <w:r w:rsidRPr="00217726">
        <w:rPr>
          <w:rFonts w:ascii="Cambria" w:hAnsi="Cambria"/>
          <w:color w:val="000000"/>
          <w:sz w:val="21"/>
          <w:szCs w:val="21"/>
          <w:lang w:val="es-ES"/>
        </w:rPr>
        <w:t xml:space="preserve">dopte las medidas necesarias para preservar la vida y la integridad personal </w:t>
      </w:r>
      <w:r w:rsidR="005E70F4" w:rsidRPr="00217726">
        <w:rPr>
          <w:rFonts w:ascii="Cambria" w:hAnsi="Cambria"/>
          <w:color w:val="000000"/>
          <w:sz w:val="21"/>
          <w:szCs w:val="21"/>
          <w:lang w:val="es-ES"/>
        </w:rPr>
        <w:t>de</w:t>
      </w:r>
      <w:r w:rsidR="00AC0602">
        <w:rPr>
          <w:rFonts w:ascii="Cambria" w:hAnsi="Cambria"/>
          <w:color w:val="000000"/>
          <w:sz w:val="21"/>
          <w:szCs w:val="21"/>
          <w:lang w:val="es-ES"/>
        </w:rPr>
        <w:t>l</w:t>
      </w:r>
      <w:r w:rsidR="005E70F4" w:rsidRPr="00217726">
        <w:rPr>
          <w:rFonts w:ascii="Cambria" w:hAnsi="Cambria"/>
          <w:color w:val="000000"/>
          <w:sz w:val="21"/>
          <w:szCs w:val="21"/>
          <w:lang w:val="es-ES"/>
        </w:rPr>
        <w:t xml:space="preserve"> </w:t>
      </w:r>
      <w:r w:rsidR="00AC0602" w:rsidRPr="00AC0602">
        <w:rPr>
          <w:rFonts w:ascii="Cambria" w:hAnsi="Cambria"/>
          <w:color w:val="000000"/>
          <w:sz w:val="21"/>
          <w:szCs w:val="21"/>
          <w:lang w:val="es-ES"/>
        </w:rPr>
        <w:t>señor Joaquín Mejía Rivera y los miembros identificados de su núcleo familiar</w:t>
      </w:r>
      <w:r w:rsidRPr="00217726">
        <w:rPr>
          <w:rFonts w:ascii="Cambria" w:hAnsi="Cambria"/>
          <w:color w:val="000000"/>
          <w:sz w:val="21"/>
          <w:szCs w:val="21"/>
          <w:lang w:val="es-ES"/>
        </w:rPr>
        <w:t>;</w:t>
      </w:r>
      <w:r w:rsidR="00960706" w:rsidRPr="00217726">
        <w:rPr>
          <w:rFonts w:ascii="Cambria" w:hAnsi="Cambria"/>
          <w:color w:val="000000"/>
          <w:sz w:val="21"/>
          <w:szCs w:val="21"/>
          <w:lang w:val="es-ES"/>
        </w:rPr>
        <w:t xml:space="preserve"> b</w:t>
      </w:r>
      <w:r w:rsidR="005E70F4" w:rsidRPr="00217726">
        <w:rPr>
          <w:rFonts w:ascii="Cambria" w:hAnsi="Cambria"/>
          <w:color w:val="000000"/>
          <w:sz w:val="21"/>
          <w:szCs w:val="21"/>
          <w:lang w:val="es-ES"/>
        </w:rPr>
        <w:t xml:space="preserve">) </w:t>
      </w:r>
      <w:r w:rsidR="00424BC7" w:rsidRPr="00424BC7">
        <w:rPr>
          <w:rFonts w:ascii="Cambria" w:hAnsi="Cambria"/>
          <w:color w:val="000000"/>
          <w:sz w:val="21"/>
          <w:szCs w:val="21"/>
          <w:lang w:val="es-ES"/>
        </w:rPr>
        <w:t>adopte las medidas necesarias para asegurar que el señor Joaqu</w:t>
      </w:r>
      <w:r w:rsidR="00424BC7" w:rsidRPr="00A83501">
        <w:rPr>
          <w:rFonts w:ascii="Cambria" w:hAnsi="Cambria"/>
          <w:color w:val="000000"/>
          <w:sz w:val="21"/>
          <w:szCs w:val="21"/>
          <w:lang w:val="es-ES"/>
        </w:rPr>
        <w:t>ín Mej</w:t>
      </w:r>
      <w:r w:rsidR="00424BC7" w:rsidRPr="00B53D6E">
        <w:rPr>
          <w:rFonts w:ascii="Cambria" w:hAnsi="Cambria"/>
          <w:color w:val="000000"/>
          <w:sz w:val="21"/>
          <w:szCs w:val="21"/>
          <w:lang w:val="es-ES"/>
        </w:rPr>
        <w:t>ía Rivera pueda desarrollar sus actividades como defensor de derechos humanos sin ser objeto de amenazas, hostigamiento o actos de violencia en el ejercicio de sus funciones;</w:t>
      </w:r>
      <w:r w:rsidR="00424BC7">
        <w:rPr>
          <w:rFonts w:ascii="Cambria" w:hAnsi="Cambria"/>
          <w:color w:val="000000"/>
          <w:sz w:val="21"/>
          <w:szCs w:val="21"/>
          <w:lang w:val="es-ES"/>
        </w:rPr>
        <w:t xml:space="preserve"> c) </w:t>
      </w:r>
      <w:r w:rsidR="005E70F4" w:rsidRPr="00424BC7">
        <w:rPr>
          <w:rFonts w:ascii="Cambria" w:hAnsi="Cambria"/>
          <w:color w:val="000000"/>
          <w:sz w:val="21"/>
          <w:szCs w:val="21"/>
          <w:lang w:val="es-ES"/>
        </w:rPr>
        <w:t>c</w:t>
      </w:r>
      <w:r w:rsidRPr="00424BC7">
        <w:rPr>
          <w:rFonts w:ascii="Cambria" w:hAnsi="Cambria"/>
          <w:color w:val="000000"/>
          <w:sz w:val="21"/>
          <w:szCs w:val="21"/>
          <w:lang w:val="es-ES"/>
        </w:rPr>
        <w:t xml:space="preserve">oncierte las medidas a adoptarse con los beneficiarios y sus representantes; </w:t>
      </w:r>
      <w:r w:rsidR="005E70F4" w:rsidRPr="00A83501">
        <w:rPr>
          <w:rFonts w:ascii="Cambria" w:hAnsi="Cambria"/>
          <w:color w:val="000000"/>
          <w:sz w:val="21"/>
          <w:szCs w:val="21"/>
          <w:lang w:val="es-ES"/>
        </w:rPr>
        <w:t xml:space="preserve">y </w:t>
      </w:r>
      <w:r w:rsidR="00424BC7">
        <w:rPr>
          <w:rFonts w:ascii="Cambria" w:hAnsi="Cambria"/>
          <w:color w:val="000000"/>
          <w:sz w:val="21"/>
          <w:szCs w:val="21"/>
          <w:lang w:val="es-ES"/>
        </w:rPr>
        <w:t>d</w:t>
      </w:r>
      <w:r w:rsidR="005E70F4" w:rsidRPr="00424BC7">
        <w:rPr>
          <w:rFonts w:ascii="Cambria" w:hAnsi="Cambria"/>
          <w:color w:val="000000"/>
          <w:sz w:val="21"/>
          <w:szCs w:val="21"/>
          <w:lang w:val="es-ES"/>
        </w:rPr>
        <w:t>) i</w:t>
      </w:r>
      <w:r w:rsidRPr="00424BC7">
        <w:rPr>
          <w:rFonts w:ascii="Cambria" w:hAnsi="Cambria"/>
          <w:color w:val="000000"/>
          <w:sz w:val="21"/>
          <w:szCs w:val="21"/>
          <w:lang w:val="es-ES"/>
        </w:rPr>
        <w:t xml:space="preserve">nforme sobre las acciones </w:t>
      </w:r>
      <w:r w:rsidR="002878E3" w:rsidRPr="00A83501">
        <w:rPr>
          <w:rFonts w:ascii="Cambria" w:hAnsi="Cambria"/>
          <w:color w:val="000000"/>
          <w:sz w:val="21"/>
          <w:szCs w:val="21"/>
          <w:lang w:val="es-ES"/>
        </w:rPr>
        <w:t>tendentes</w:t>
      </w:r>
      <w:r w:rsidRPr="00B53D6E">
        <w:rPr>
          <w:rFonts w:ascii="Cambria" w:hAnsi="Cambria"/>
          <w:color w:val="000000"/>
          <w:sz w:val="21"/>
          <w:szCs w:val="21"/>
          <w:lang w:val="es-ES"/>
        </w:rPr>
        <w:t xml:space="preserve"> a investigar los hechos que dieron lugar a la adopción de la presente medida cautelar y así evitar su repetición.</w:t>
      </w:r>
      <w:r w:rsidR="00435A07" w:rsidRPr="00B53D6E">
        <w:rPr>
          <w:rFonts w:ascii="Cambria" w:hAnsi="Cambria"/>
          <w:color w:val="000000"/>
          <w:sz w:val="21"/>
          <w:szCs w:val="21"/>
          <w:lang w:val="es-ES"/>
        </w:rPr>
        <w:t xml:space="preserve">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2878E3">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 xml:space="preserve">RESUMEN DE HECHOS Y ARGUMENTOS APORTADOS POR </w:t>
      </w:r>
      <w:r w:rsidR="002878E3" w:rsidRPr="00217726">
        <w:rPr>
          <w:rFonts w:ascii="Cambria" w:hAnsi="Cambria"/>
          <w:b/>
          <w:color w:val="000000"/>
          <w:sz w:val="21"/>
          <w:szCs w:val="21"/>
          <w:lang w:val="es-ES"/>
        </w:rPr>
        <w:t>LAS PARTES</w:t>
      </w:r>
    </w:p>
    <w:p w:rsidR="00F43F00" w:rsidRPr="00217726" w:rsidRDefault="00F43F00" w:rsidP="00F43F00">
      <w:pPr>
        <w:spacing w:after="0" w:line="240" w:lineRule="auto"/>
        <w:jc w:val="both"/>
        <w:rPr>
          <w:rFonts w:ascii="Cambria" w:hAnsi="Cambria"/>
          <w:b/>
          <w:color w:val="000000"/>
          <w:sz w:val="21"/>
          <w:szCs w:val="21"/>
          <w:lang w:val="es-ES"/>
        </w:rPr>
      </w:pPr>
    </w:p>
    <w:p w:rsidR="00F43F00" w:rsidRPr="00217726" w:rsidRDefault="00F43F00" w:rsidP="00F43F00">
      <w:pPr>
        <w:numPr>
          <w:ilvl w:val="0"/>
          <w:numId w:val="11"/>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Información alegada por los solicitantes</w:t>
      </w:r>
    </w:p>
    <w:p w:rsidR="002878E3" w:rsidRPr="00217726" w:rsidRDefault="002878E3" w:rsidP="002878E3">
      <w:pPr>
        <w:spacing w:after="0" w:line="240" w:lineRule="auto"/>
        <w:ind w:left="720"/>
        <w:jc w:val="both"/>
        <w:rPr>
          <w:rFonts w:ascii="Cambria" w:hAnsi="Cambria"/>
          <w:b/>
          <w:color w:val="000000"/>
          <w:sz w:val="21"/>
          <w:szCs w:val="21"/>
          <w:lang w:val="es-ES"/>
        </w:rPr>
      </w:pPr>
    </w:p>
    <w:p w:rsidR="009D1B2C" w:rsidRPr="009D1B2C" w:rsidRDefault="009D1B2C" w:rsidP="009D1B2C">
      <w:pPr>
        <w:numPr>
          <w:ilvl w:val="0"/>
          <w:numId w:val="9"/>
        </w:numPr>
        <w:spacing w:after="0" w:line="240" w:lineRule="auto"/>
        <w:ind w:left="0" w:firstLine="360"/>
        <w:jc w:val="both"/>
        <w:rPr>
          <w:rFonts w:ascii="Cambria" w:hAnsi="Cambria"/>
          <w:sz w:val="21"/>
          <w:szCs w:val="21"/>
          <w:lang w:val="es-CO"/>
        </w:rPr>
      </w:pPr>
      <w:r w:rsidRPr="009D1B2C">
        <w:rPr>
          <w:rFonts w:ascii="Cambria" w:hAnsi="Cambria"/>
          <w:sz w:val="21"/>
          <w:szCs w:val="21"/>
          <w:lang w:val="es-CO"/>
        </w:rPr>
        <w:t xml:space="preserve">El propuesto beneficiario sería un reconocido defensor de derechos humanos vinculado profesionalmente con el “Equipo de Reflexión, Investigación y Comunicación de la Compañía de Jesús” (ERIC-SJ) y “Radio Progreso”, quien últimamente se habría convertido en una de las voces más críticas </w:t>
      </w:r>
      <w:r w:rsidR="00012766">
        <w:rPr>
          <w:rFonts w:ascii="Cambria" w:hAnsi="Cambria"/>
          <w:sz w:val="21"/>
          <w:szCs w:val="21"/>
          <w:lang w:val="es-CO"/>
        </w:rPr>
        <w:lastRenderedPageBreak/>
        <w:t xml:space="preserve">en relación con el proceso electoral que resultó en la </w:t>
      </w:r>
      <w:r w:rsidRPr="009D1B2C">
        <w:rPr>
          <w:rFonts w:ascii="Cambria" w:hAnsi="Cambria"/>
          <w:sz w:val="21"/>
          <w:szCs w:val="21"/>
          <w:lang w:val="es-CO"/>
        </w:rPr>
        <w:t>reelección del Presidente Hernández</w:t>
      </w:r>
      <w:r w:rsidRPr="009D1B2C">
        <w:rPr>
          <w:rFonts w:ascii="Cambria" w:hAnsi="Cambria"/>
          <w:sz w:val="21"/>
          <w:szCs w:val="21"/>
          <w:vertAlign w:val="superscript"/>
          <w:lang w:val="es-CO"/>
        </w:rPr>
        <w:footnoteReference w:id="2"/>
      </w:r>
      <w:r w:rsidRPr="009D1B2C">
        <w:rPr>
          <w:rFonts w:ascii="Cambria" w:hAnsi="Cambria"/>
          <w:sz w:val="21"/>
          <w:szCs w:val="21"/>
          <w:lang w:val="es-CO"/>
        </w:rPr>
        <w:t>. A raíz de ello, habría sido objeto de una alegada campaña de estigmatización en redes sociales, siendo “[…] insultado constantemente por las opiniones que externa”</w:t>
      </w:r>
      <w:r w:rsidRPr="009D1B2C">
        <w:rPr>
          <w:rFonts w:ascii="Cambria" w:hAnsi="Cambria"/>
          <w:sz w:val="21"/>
          <w:szCs w:val="21"/>
          <w:vertAlign w:val="superscript"/>
          <w:lang w:val="es-CO"/>
        </w:rPr>
        <w:footnoteReference w:id="3"/>
      </w:r>
      <w:r w:rsidRPr="009D1B2C">
        <w:rPr>
          <w:rFonts w:ascii="Cambria" w:hAnsi="Cambria"/>
          <w:sz w:val="21"/>
          <w:szCs w:val="21"/>
          <w:lang w:val="es-CO"/>
        </w:rPr>
        <w:t xml:space="preserve">. </w:t>
      </w:r>
    </w:p>
    <w:p w:rsidR="009D1B2C" w:rsidRPr="009D1B2C" w:rsidRDefault="009D1B2C" w:rsidP="009D1B2C">
      <w:pPr>
        <w:spacing w:after="0" w:line="240" w:lineRule="auto"/>
        <w:ind w:left="360"/>
        <w:jc w:val="both"/>
        <w:rPr>
          <w:rFonts w:ascii="Cambria" w:hAnsi="Cambria"/>
          <w:sz w:val="21"/>
          <w:szCs w:val="21"/>
          <w:lang w:val="es-CO"/>
        </w:rPr>
      </w:pPr>
    </w:p>
    <w:p w:rsidR="009D1B2C" w:rsidRPr="009D1B2C" w:rsidRDefault="009D1B2C" w:rsidP="009D1B2C">
      <w:pPr>
        <w:numPr>
          <w:ilvl w:val="0"/>
          <w:numId w:val="9"/>
        </w:numPr>
        <w:spacing w:after="0" w:line="240" w:lineRule="auto"/>
        <w:ind w:left="0" w:firstLine="360"/>
        <w:jc w:val="both"/>
        <w:rPr>
          <w:rFonts w:ascii="Cambria" w:hAnsi="Cambria"/>
          <w:sz w:val="21"/>
          <w:szCs w:val="21"/>
          <w:lang w:val="es-CO"/>
        </w:rPr>
      </w:pPr>
      <w:r w:rsidRPr="009D1B2C">
        <w:rPr>
          <w:rFonts w:ascii="Cambria" w:hAnsi="Cambria"/>
          <w:sz w:val="21"/>
          <w:szCs w:val="21"/>
          <w:lang w:val="es-CO"/>
        </w:rPr>
        <w:t xml:space="preserve">El 8 de diciembre de 2017, la madre del propuesto beneficiario habría recibido una llamada a su teléfono celular de parte de un hombre quien preguntó por su hija, expresando “[…] en tono amenazante que debía entregar cincuenta mil lempiras [2,000 USD aprox.] para ese día bajo la amenaza de </w:t>
      </w:r>
      <w:proofErr w:type="gramStart"/>
      <w:r w:rsidRPr="009D1B2C">
        <w:rPr>
          <w:rFonts w:ascii="Cambria" w:hAnsi="Cambria"/>
          <w:sz w:val="21"/>
          <w:szCs w:val="21"/>
          <w:lang w:val="es-CO"/>
        </w:rPr>
        <w:t>asesinar[</w:t>
      </w:r>
      <w:proofErr w:type="gramEnd"/>
      <w:r w:rsidRPr="009D1B2C">
        <w:rPr>
          <w:rFonts w:ascii="Cambria" w:hAnsi="Cambria"/>
          <w:sz w:val="21"/>
          <w:szCs w:val="21"/>
          <w:lang w:val="es-CO"/>
        </w:rPr>
        <w:t>la]”. Horas más tarde, la misma persona habría llamado al cuñado del propuesto beneficiario, dejando una nota de voz indicando que si la madre no contestaba las llamadas, los presuntos agresores asesinarían a toda la familia, especialmente al propuesto beneficiario y a su padre. Al día siguiente, los propuestos beneficiarios habrían interpuesto una denuncia ante la Fuerza Nacional Antiextorsión (FNA)</w:t>
      </w:r>
      <w:r w:rsidRPr="009D1B2C">
        <w:rPr>
          <w:rFonts w:ascii="Cambria" w:hAnsi="Cambria"/>
          <w:sz w:val="21"/>
          <w:szCs w:val="21"/>
          <w:vertAlign w:val="superscript"/>
          <w:lang w:val="es-CO"/>
        </w:rPr>
        <w:footnoteReference w:id="4"/>
      </w:r>
      <w:r w:rsidRPr="009D1B2C">
        <w:rPr>
          <w:rFonts w:ascii="Cambria" w:hAnsi="Cambria"/>
          <w:sz w:val="21"/>
          <w:szCs w:val="21"/>
          <w:lang w:val="es-CO"/>
        </w:rPr>
        <w:t>.</w:t>
      </w:r>
    </w:p>
    <w:p w:rsidR="009D1B2C" w:rsidRPr="009D1B2C" w:rsidRDefault="009D1B2C" w:rsidP="009D1B2C">
      <w:pPr>
        <w:spacing w:after="0" w:line="240" w:lineRule="auto"/>
        <w:ind w:left="360"/>
        <w:jc w:val="both"/>
        <w:rPr>
          <w:rFonts w:ascii="Cambria" w:hAnsi="Cambria"/>
          <w:sz w:val="21"/>
          <w:szCs w:val="21"/>
          <w:lang w:val="es-CO"/>
        </w:rPr>
      </w:pPr>
    </w:p>
    <w:p w:rsidR="009D1B2C" w:rsidRDefault="00012766" w:rsidP="009D1B2C">
      <w:pPr>
        <w:numPr>
          <w:ilvl w:val="0"/>
          <w:numId w:val="9"/>
        </w:numPr>
        <w:spacing w:after="0" w:line="240" w:lineRule="auto"/>
        <w:ind w:left="0" w:firstLine="360"/>
        <w:jc w:val="both"/>
        <w:rPr>
          <w:rFonts w:ascii="Cambria" w:hAnsi="Cambria"/>
          <w:sz w:val="21"/>
          <w:szCs w:val="21"/>
          <w:lang w:val="es-CO"/>
        </w:rPr>
      </w:pPr>
      <w:r>
        <w:rPr>
          <w:rFonts w:ascii="Cambria" w:hAnsi="Cambria"/>
          <w:sz w:val="21"/>
          <w:szCs w:val="21"/>
          <w:lang w:val="es-CO"/>
        </w:rPr>
        <w:t>E</w:t>
      </w:r>
      <w:r w:rsidR="009D1B2C" w:rsidRPr="009D1B2C">
        <w:rPr>
          <w:rFonts w:ascii="Cambria" w:hAnsi="Cambria"/>
          <w:sz w:val="21"/>
          <w:szCs w:val="21"/>
          <w:lang w:val="es-CO"/>
        </w:rPr>
        <w:t>l 13 de diciembre – según la descripción de los vecinos – un hombre joven en una moto habría tirado una nota en papel en frente de la residencia de los propuestos beneficiarios</w:t>
      </w:r>
      <w:r w:rsidR="009D1B2C" w:rsidRPr="009D1B2C">
        <w:rPr>
          <w:rFonts w:ascii="Cambria" w:hAnsi="Cambria"/>
          <w:sz w:val="21"/>
          <w:szCs w:val="21"/>
          <w:vertAlign w:val="superscript"/>
          <w:lang w:val="es-CO"/>
        </w:rPr>
        <w:footnoteReference w:id="5"/>
      </w:r>
      <w:r w:rsidR="009D1B2C" w:rsidRPr="009D1B2C">
        <w:rPr>
          <w:rFonts w:ascii="Cambria" w:hAnsi="Cambria"/>
          <w:sz w:val="21"/>
          <w:szCs w:val="21"/>
          <w:lang w:val="es-CO"/>
        </w:rPr>
        <w:t>, la cual contenía una amenaza explícita</w:t>
      </w:r>
      <w:r w:rsidR="009D1B2C" w:rsidRPr="009D1B2C">
        <w:rPr>
          <w:rFonts w:ascii="Cambria" w:hAnsi="Cambria"/>
          <w:sz w:val="21"/>
          <w:szCs w:val="21"/>
          <w:vertAlign w:val="superscript"/>
          <w:lang w:val="es-CO"/>
        </w:rPr>
        <w:footnoteReference w:id="6"/>
      </w:r>
      <w:r w:rsidR="009D1B2C" w:rsidRPr="009D1B2C">
        <w:rPr>
          <w:rFonts w:ascii="Cambria" w:hAnsi="Cambria"/>
          <w:sz w:val="21"/>
          <w:szCs w:val="21"/>
          <w:lang w:val="es-CO"/>
        </w:rPr>
        <w:t xml:space="preserve">. Debido a lo anterior, </w:t>
      </w:r>
      <w:r>
        <w:rPr>
          <w:rFonts w:ascii="Cambria" w:hAnsi="Cambria"/>
          <w:sz w:val="21"/>
          <w:szCs w:val="21"/>
          <w:lang w:val="es-CO"/>
        </w:rPr>
        <w:t xml:space="preserve">los propuestos beneficiarios </w:t>
      </w:r>
      <w:r w:rsidR="009D1B2C" w:rsidRPr="009D1B2C">
        <w:rPr>
          <w:rFonts w:ascii="Cambria" w:hAnsi="Cambria"/>
          <w:sz w:val="21"/>
          <w:szCs w:val="21"/>
          <w:lang w:val="es-CO"/>
        </w:rPr>
        <w:t xml:space="preserve">habrían vuelto a las oficinas de la FNA, quienes </w:t>
      </w:r>
      <w:r>
        <w:rPr>
          <w:rFonts w:ascii="Cambria" w:hAnsi="Cambria"/>
          <w:sz w:val="21"/>
          <w:szCs w:val="21"/>
          <w:lang w:val="es-CO"/>
        </w:rPr>
        <w:t xml:space="preserve">les </w:t>
      </w:r>
      <w:r w:rsidR="009D1B2C" w:rsidRPr="009D1B2C">
        <w:rPr>
          <w:rFonts w:ascii="Cambria" w:hAnsi="Cambria"/>
          <w:sz w:val="21"/>
          <w:szCs w:val="21"/>
          <w:lang w:val="es-CO"/>
        </w:rPr>
        <w:t xml:space="preserve">informaron verbalmente que, por el </w:t>
      </w:r>
      <w:r w:rsidR="009D1B2C" w:rsidRPr="009D1B2C">
        <w:rPr>
          <w:rFonts w:ascii="Cambria" w:hAnsi="Cambria"/>
          <w:i/>
          <w:sz w:val="21"/>
          <w:szCs w:val="21"/>
          <w:lang w:val="es-CO"/>
        </w:rPr>
        <w:t>modus operandi</w:t>
      </w:r>
      <w:r w:rsidR="009D1B2C" w:rsidRPr="009D1B2C">
        <w:rPr>
          <w:rFonts w:ascii="Cambria" w:hAnsi="Cambria"/>
          <w:sz w:val="21"/>
          <w:szCs w:val="21"/>
          <w:lang w:val="es-CO"/>
        </w:rPr>
        <w:t xml:space="preserve">, es posible que los presuntos responsables no sean miembros de maras ni formen parte de una estructura organizada dedicada a la extorsión, sino que obedecerían a otra motivación. Mientras se encontraban en las instalaciones, la madre habría recibido dos nuevas llamadas procedentes de un número diferente, pero las autoridades aconsejaron no responder por considerar que son las mismas personas. </w:t>
      </w:r>
    </w:p>
    <w:p w:rsidR="00041486" w:rsidRDefault="00041486" w:rsidP="00041486">
      <w:pPr>
        <w:spacing w:after="0" w:line="240" w:lineRule="auto"/>
        <w:ind w:left="360"/>
        <w:jc w:val="both"/>
        <w:rPr>
          <w:rFonts w:ascii="Cambria" w:hAnsi="Cambria"/>
          <w:sz w:val="21"/>
          <w:szCs w:val="21"/>
          <w:lang w:val="es-CO"/>
        </w:rPr>
      </w:pPr>
    </w:p>
    <w:p w:rsidR="00012766" w:rsidRPr="00DD68BE" w:rsidRDefault="00012766" w:rsidP="00084268">
      <w:pPr>
        <w:numPr>
          <w:ilvl w:val="0"/>
          <w:numId w:val="9"/>
        </w:numPr>
        <w:spacing w:after="0" w:line="240" w:lineRule="auto"/>
        <w:ind w:left="0" w:firstLine="360"/>
        <w:jc w:val="both"/>
        <w:rPr>
          <w:rFonts w:ascii="Cambria" w:hAnsi="Cambria"/>
          <w:sz w:val="21"/>
          <w:szCs w:val="21"/>
          <w:lang w:val="es-CO"/>
        </w:rPr>
      </w:pPr>
      <w:r w:rsidRPr="00084268">
        <w:rPr>
          <w:rFonts w:ascii="Cambria" w:hAnsi="Cambria"/>
          <w:sz w:val="21"/>
          <w:szCs w:val="21"/>
          <w:lang w:val="es-CO"/>
        </w:rPr>
        <w:t xml:space="preserve">Los solicitantes indicaron asimismo, a modo de contexto, que en días recientes </w:t>
      </w:r>
      <w:r w:rsidR="00B53D6E">
        <w:rPr>
          <w:rFonts w:ascii="Cambria" w:hAnsi="Cambria"/>
          <w:sz w:val="21"/>
          <w:szCs w:val="21"/>
          <w:lang w:val="es-CO"/>
        </w:rPr>
        <w:t>s</w:t>
      </w:r>
      <w:r w:rsidRPr="00084268">
        <w:rPr>
          <w:rFonts w:ascii="Cambria" w:hAnsi="Cambria"/>
          <w:sz w:val="21"/>
          <w:szCs w:val="21"/>
          <w:lang w:val="es-CO"/>
        </w:rPr>
        <w:t>e denunció al menos dos presuntos asesinatos de personas que mostraron su oposición a los resultados electorales, reflejados por algunos medios de prensa locales como</w:t>
      </w:r>
      <w:r w:rsidRPr="00DD68BE">
        <w:rPr>
          <w:rFonts w:ascii="Cambria" w:hAnsi="Cambria"/>
          <w:sz w:val="21"/>
          <w:szCs w:val="21"/>
          <w:lang w:val="es-CO"/>
        </w:rPr>
        <w:t xml:space="preserve"> “cacería sistemática” u objeti</w:t>
      </w:r>
      <w:r>
        <w:rPr>
          <w:rFonts w:ascii="Cambria" w:hAnsi="Cambria"/>
          <w:sz w:val="21"/>
          <w:szCs w:val="21"/>
          <w:lang w:val="es-CO"/>
        </w:rPr>
        <w:t>v</w:t>
      </w:r>
      <w:r w:rsidRPr="00084268">
        <w:rPr>
          <w:rFonts w:ascii="Cambria" w:hAnsi="Cambria"/>
          <w:sz w:val="21"/>
          <w:szCs w:val="21"/>
          <w:lang w:val="es-CO"/>
        </w:rPr>
        <w:t>os selectivos.</w:t>
      </w:r>
    </w:p>
    <w:p w:rsidR="00012766" w:rsidRPr="009D1B2C" w:rsidRDefault="00012766" w:rsidP="009D1B2C">
      <w:pPr>
        <w:spacing w:after="0" w:line="240" w:lineRule="auto"/>
        <w:ind w:left="360"/>
        <w:jc w:val="both"/>
        <w:rPr>
          <w:rFonts w:ascii="Cambria" w:hAnsi="Cambria"/>
          <w:sz w:val="21"/>
          <w:szCs w:val="21"/>
          <w:lang w:val="es-CO"/>
        </w:rPr>
      </w:pPr>
    </w:p>
    <w:p w:rsidR="009D1B2C" w:rsidRPr="009D1B2C" w:rsidRDefault="009D1B2C" w:rsidP="009D1B2C">
      <w:pPr>
        <w:numPr>
          <w:ilvl w:val="0"/>
          <w:numId w:val="9"/>
        </w:numPr>
        <w:spacing w:after="0" w:line="240" w:lineRule="auto"/>
        <w:ind w:left="0" w:firstLine="360"/>
        <w:jc w:val="both"/>
        <w:rPr>
          <w:rFonts w:ascii="Cambria" w:hAnsi="Cambria"/>
          <w:sz w:val="21"/>
          <w:szCs w:val="21"/>
          <w:lang w:val="es-CO"/>
        </w:rPr>
      </w:pPr>
      <w:r w:rsidRPr="009D1B2C">
        <w:rPr>
          <w:rFonts w:ascii="Cambria" w:hAnsi="Cambria"/>
          <w:sz w:val="21"/>
          <w:szCs w:val="21"/>
          <w:lang w:val="es-CO"/>
        </w:rPr>
        <w:t>Los solicitantes informaron que hasta el momento</w:t>
      </w:r>
      <w:r w:rsidR="00012766">
        <w:rPr>
          <w:rFonts w:ascii="Cambria" w:hAnsi="Cambria"/>
          <w:sz w:val="21"/>
          <w:szCs w:val="21"/>
          <w:lang w:val="es-CO"/>
        </w:rPr>
        <w:t>,</w:t>
      </w:r>
      <w:r w:rsidRPr="009D1B2C">
        <w:rPr>
          <w:rFonts w:ascii="Cambria" w:hAnsi="Cambria"/>
          <w:sz w:val="21"/>
          <w:szCs w:val="21"/>
          <w:lang w:val="es-CO"/>
        </w:rPr>
        <w:t xml:space="preserve"> las diligencias de investigación se han centrado en detectar la actividad del teléfono celular desde donde se hicieron las llamadas y enviar fotos de posibles personas sospechosas. Adicionalmente, indicaron que el 21 de diciembre de 2017 las autoridades inadmitieron una solicitud para incluir al propuesto beneficiario en el Sistema Nacional de Protección a Defensores de Derechos Humanos, bajo el argumento – según los solicitantes, insuficientemente motivado – de que “[…] no se encontraron suficientes elementos para determinar que existe nexo causal entre la situación de riesgo del peticionario y su actividad como defensor de derechos humanos”</w:t>
      </w:r>
      <w:r w:rsidRPr="009D1B2C">
        <w:rPr>
          <w:rFonts w:ascii="Cambria" w:hAnsi="Cambria"/>
          <w:sz w:val="21"/>
          <w:szCs w:val="21"/>
          <w:vertAlign w:val="superscript"/>
          <w:lang w:val="es-CO"/>
        </w:rPr>
        <w:footnoteReference w:id="7"/>
      </w:r>
      <w:r w:rsidRPr="009D1B2C">
        <w:rPr>
          <w:rFonts w:ascii="Cambria" w:hAnsi="Cambria"/>
          <w:sz w:val="21"/>
          <w:szCs w:val="21"/>
          <w:lang w:val="es-CO"/>
        </w:rPr>
        <w:t xml:space="preserve">. No obstante, habría dirigido un oficio al Comisionado Nacional de los Derechos Humanos y a la FNA para que valoren si, de ser necesario, proceda su inclusión en el programa de testigos protegidos. </w:t>
      </w:r>
    </w:p>
    <w:p w:rsidR="009D1B2C" w:rsidRPr="009D1B2C" w:rsidRDefault="009D1B2C" w:rsidP="009D1B2C">
      <w:pPr>
        <w:spacing w:after="0" w:line="240" w:lineRule="auto"/>
        <w:ind w:left="360"/>
        <w:jc w:val="both"/>
        <w:rPr>
          <w:rFonts w:ascii="Cambria" w:hAnsi="Cambria"/>
          <w:sz w:val="21"/>
          <w:szCs w:val="21"/>
          <w:lang w:val="es-CO"/>
        </w:rPr>
      </w:pPr>
    </w:p>
    <w:p w:rsidR="00F43F00" w:rsidRDefault="009D1B2C" w:rsidP="009D1B2C">
      <w:pPr>
        <w:numPr>
          <w:ilvl w:val="0"/>
          <w:numId w:val="9"/>
        </w:numPr>
        <w:spacing w:after="0" w:line="240" w:lineRule="auto"/>
        <w:ind w:left="0" w:firstLine="360"/>
        <w:jc w:val="both"/>
        <w:rPr>
          <w:rFonts w:ascii="Cambria" w:eastAsia="Times New Roman" w:hAnsi="Cambria"/>
          <w:color w:val="000000"/>
          <w:sz w:val="21"/>
          <w:szCs w:val="21"/>
          <w:lang w:val="es-CO"/>
        </w:rPr>
      </w:pPr>
      <w:r w:rsidRPr="009D1B2C">
        <w:rPr>
          <w:rFonts w:ascii="Cambria" w:hAnsi="Cambria"/>
          <w:sz w:val="21"/>
          <w:szCs w:val="21"/>
          <w:lang w:val="es-CO"/>
        </w:rPr>
        <w:t>Mientras tanto, el propuesto beneficiario y su familia habrían decidido abandonar su hogar, hasta el día de la fecha.</w:t>
      </w:r>
    </w:p>
    <w:p w:rsidR="00AC0602" w:rsidRPr="00217726" w:rsidRDefault="00AC0602" w:rsidP="00AC0602">
      <w:pPr>
        <w:spacing w:after="0" w:line="240" w:lineRule="auto"/>
        <w:jc w:val="both"/>
        <w:rPr>
          <w:rFonts w:ascii="Cambria" w:eastAsia="Times New Roman" w:hAnsi="Cambria"/>
          <w:color w:val="000000"/>
          <w:sz w:val="21"/>
          <w:szCs w:val="21"/>
          <w:lang w:val="es-CO"/>
        </w:rPr>
      </w:pPr>
    </w:p>
    <w:p w:rsidR="00F43F00" w:rsidRPr="00217726" w:rsidRDefault="00F43F00" w:rsidP="00F43F00">
      <w:pPr>
        <w:numPr>
          <w:ilvl w:val="0"/>
          <w:numId w:val="11"/>
        </w:numPr>
        <w:spacing w:after="0" w:line="240" w:lineRule="auto"/>
        <w:jc w:val="both"/>
        <w:rPr>
          <w:rFonts w:ascii="Cambria" w:eastAsia="Times New Roman" w:hAnsi="Cambria"/>
          <w:b/>
          <w:color w:val="000000"/>
          <w:sz w:val="21"/>
          <w:szCs w:val="21"/>
          <w:lang w:val="es-CO"/>
        </w:rPr>
      </w:pPr>
      <w:r w:rsidRPr="00217726">
        <w:rPr>
          <w:rFonts w:ascii="Cambria" w:eastAsia="Times New Roman" w:hAnsi="Cambria"/>
          <w:b/>
          <w:color w:val="000000"/>
          <w:sz w:val="21"/>
          <w:szCs w:val="21"/>
          <w:lang w:val="es-CO"/>
        </w:rPr>
        <w:t>Respuesta del Estado</w:t>
      </w:r>
    </w:p>
    <w:p w:rsidR="00F43F00" w:rsidRDefault="00F43F00" w:rsidP="00F43F00">
      <w:pPr>
        <w:spacing w:after="0" w:line="240" w:lineRule="auto"/>
        <w:jc w:val="both"/>
        <w:rPr>
          <w:rFonts w:ascii="Cambria" w:eastAsia="Times New Roman" w:hAnsi="Cambria"/>
          <w:sz w:val="21"/>
          <w:szCs w:val="21"/>
          <w:lang w:val="es-CO"/>
        </w:rPr>
      </w:pPr>
    </w:p>
    <w:p w:rsidR="0016708C" w:rsidRPr="00217726" w:rsidRDefault="0016708C" w:rsidP="00F43F00">
      <w:pPr>
        <w:spacing w:after="0" w:line="240" w:lineRule="auto"/>
        <w:jc w:val="both"/>
        <w:rPr>
          <w:rFonts w:ascii="Cambria" w:eastAsia="Times New Roman" w:hAnsi="Cambria"/>
          <w:sz w:val="21"/>
          <w:szCs w:val="21"/>
          <w:lang w:val="es-CO"/>
        </w:rPr>
      </w:pPr>
    </w:p>
    <w:p w:rsidR="0054794B" w:rsidRDefault="00920B90" w:rsidP="00A5207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lastRenderedPageBreak/>
        <w:t>El Estado indicó que el 17 de diciembre de 2017 personal de la Dirección General del Sistema de Protección se trasladó a la ciudad de El Progreso, a fin de entrevistarse con el propuesto beneficiario, quien relató los presuntos incidentes de riesgo. Al respecto, se informó que éste interpuso una denuncia ante la Fuerza Nacional Antiextorsión, registrada bajo el número SPS-332-2017.</w:t>
      </w:r>
    </w:p>
    <w:p w:rsidR="00920B90" w:rsidRDefault="00920B90" w:rsidP="00920B90">
      <w:pPr>
        <w:spacing w:after="0" w:line="240" w:lineRule="auto"/>
        <w:ind w:left="360"/>
        <w:jc w:val="both"/>
        <w:rPr>
          <w:rFonts w:ascii="Cambria" w:eastAsia="Times New Roman" w:hAnsi="Cambria"/>
          <w:color w:val="000000"/>
          <w:sz w:val="21"/>
          <w:szCs w:val="21"/>
          <w:lang w:val="es-CO"/>
        </w:rPr>
      </w:pPr>
    </w:p>
    <w:p w:rsidR="00920B90" w:rsidRDefault="00920B90" w:rsidP="00A5207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Luego de llevar a cabo </w:t>
      </w:r>
      <w:r w:rsidR="00D16763">
        <w:rPr>
          <w:rFonts w:ascii="Cambria" w:eastAsia="Times New Roman" w:hAnsi="Cambria"/>
          <w:color w:val="000000"/>
          <w:sz w:val="21"/>
          <w:szCs w:val="21"/>
          <w:lang w:val="es-CO"/>
        </w:rPr>
        <w:t>diversas diligencias</w:t>
      </w:r>
      <w:r>
        <w:rPr>
          <w:rFonts w:ascii="Cambria" w:eastAsia="Times New Roman" w:hAnsi="Cambria"/>
          <w:color w:val="000000"/>
          <w:sz w:val="21"/>
          <w:szCs w:val="21"/>
          <w:lang w:val="es-CO"/>
        </w:rPr>
        <w:t xml:space="preserve">, las autoridades habrían tenido conocimiento de que el entorno domiciliario en el que habita el propuesto beneficiario es una zona con presencia de la Mara MS-13, la cual realiza diversas acciones delictivas entre las que se encuentran la extorsión. </w:t>
      </w:r>
      <w:r w:rsidR="00EE65C0">
        <w:rPr>
          <w:rFonts w:ascii="Cambria" w:eastAsia="Times New Roman" w:hAnsi="Cambria"/>
          <w:color w:val="000000"/>
          <w:sz w:val="21"/>
          <w:szCs w:val="21"/>
          <w:lang w:val="es-CO"/>
        </w:rPr>
        <w:t xml:space="preserve">Según manifestó uno de los agentes, “[a]ctualmente se encuentra en proceso de investigación por supuesto delito de extorsión, el cual han observado que es la típica de extorsión mediante llamadas y nota extorsiva donde amenazan a muerte si no pagan la cantidad que solicitan” (sic.). </w:t>
      </w:r>
    </w:p>
    <w:p w:rsidR="00EE65C0" w:rsidRDefault="00EE65C0" w:rsidP="00EE65C0">
      <w:pPr>
        <w:spacing w:after="0" w:line="240" w:lineRule="auto"/>
        <w:ind w:left="360"/>
        <w:jc w:val="both"/>
        <w:rPr>
          <w:rFonts w:ascii="Cambria" w:eastAsia="Times New Roman" w:hAnsi="Cambria"/>
          <w:color w:val="000000"/>
          <w:sz w:val="21"/>
          <w:szCs w:val="21"/>
          <w:lang w:val="es-CO"/>
        </w:rPr>
      </w:pPr>
    </w:p>
    <w:p w:rsidR="00EE65C0" w:rsidRDefault="009E2B84" w:rsidP="00A5207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Con base en lo anterior, la Unidad de Recepción de Casos y Reacción Inmediata, en fecha 21 de diciembre de 2017, habría emitido una resolución denegando la inscripción del propuesto beneficiario al Sistema de Protección si bien, “[…] con fundamento en el principio pro-persona y a manera de priorizar la protección del [propuesto beneficiario] […]”, habría remitido el oficio al Comisionado Nacional de los Derechos Humanos para que preste la atención debida al caso conforme sus competencias</w:t>
      </w:r>
      <w:r w:rsidR="00D16763">
        <w:rPr>
          <w:rFonts w:ascii="Cambria" w:eastAsia="Times New Roman" w:hAnsi="Cambria"/>
          <w:color w:val="000000"/>
          <w:sz w:val="21"/>
          <w:szCs w:val="21"/>
          <w:lang w:val="es-CO"/>
        </w:rPr>
        <w:t>. A</w:t>
      </w:r>
      <w:r>
        <w:rPr>
          <w:rFonts w:ascii="Cambria" w:eastAsia="Times New Roman" w:hAnsi="Cambria"/>
          <w:color w:val="000000"/>
          <w:sz w:val="21"/>
          <w:szCs w:val="21"/>
          <w:lang w:val="es-CO"/>
        </w:rPr>
        <w:t xml:space="preserve">simismo, se habría girado oficio a la Fuerza Nacional Antiextorsión, solicitando una pronta y eficaz investigación de la denuncia. </w:t>
      </w:r>
    </w:p>
    <w:p w:rsidR="009E2B84" w:rsidRDefault="009E2B84" w:rsidP="009E2B84">
      <w:pPr>
        <w:spacing w:after="0" w:line="240" w:lineRule="auto"/>
        <w:ind w:left="360"/>
        <w:jc w:val="both"/>
        <w:rPr>
          <w:rFonts w:ascii="Cambria" w:eastAsia="Times New Roman" w:hAnsi="Cambria"/>
          <w:color w:val="000000"/>
          <w:sz w:val="21"/>
          <w:szCs w:val="21"/>
          <w:lang w:val="es-CO"/>
        </w:rPr>
      </w:pPr>
    </w:p>
    <w:p w:rsidR="009E2B84" w:rsidRDefault="009A3951" w:rsidP="00A5207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El 9 de enero del 2018, el Comisionado Nacional de los Derechos Humanos habría enviado una comunicación a las autoridades competentes, señalando que el día 27 de diciembre de 2017, personal de la oficina se comunicó con el propuesto beneficiario, a fin de informarle sobre el estado de su solicitud y consultarle si deseaba que dicha institución requiriera medidas de protección ante la Secretaría de Seguridad; no obstante, éste habría manifestado que “[…] no deseaba que se realizara ninguna gestión por parte de este Comisionado Nacional […] y que presentaría su caso a la [CIDH]”. </w:t>
      </w:r>
    </w:p>
    <w:p w:rsidR="009A3951" w:rsidRDefault="009A3951" w:rsidP="009A3951">
      <w:pPr>
        <w:spacing w:after="0" w:line="240" w:lineRule="auto"/>
        <w:ind w:left="360"/>
        <w:jc w:val="both"/>
        <w:rPr>
          <w:rFonts w:ascii="Cambria" w:eastAsia="Times New Roman" w:hAnsi="Cambria"/>
          <w:color w:val="000000"/>
          <w:sz w:val="21"/>
          <w:szCs w:val="21"/>
          <w:lang w:val="es-CO"/>
        </w:rPr>
      </w:pPr>
    </w:p>
    <w:p w:rsidR="009A3951" w:rsidRDefault="001D28E6" w:rsidP="00A52077">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En relación con lo anterior</w:t>
      </w:r>
      <w:r w:rsidR="00752E06">
        <w:rPr>
          <w:rFonts w:ascii="Cambria" w:eastAsia="Times New Roman" w:hAnsi="Cambria"/>
          <w:color w:val="000000"/>
          <w:sz w:val="21"/>
          <w:szCs w:val="21"/>
          <w:lang w:val="es-CO"/>
        </w:rPr>
        <w:t>, el Estado aludió al artículo 43 de la Ley de Proteccion para Defensores de Derechos Humanos, Periodistas, Comunicadores Sociales y Operadores de Justicia, el cual establece ciertos criterios para el ingreso al Sistema de Protección, siendo éstos:</w:t>
      </w:r>
    </w:p>
    <w:p w:rsidR="00752E06" w:rsidRDefault="00752E06" w:rsidP="00752E06">
      <w:pPr>
        <w:spacing w:after="0" w:line="240" w:lineRule="auto"/>
        <w:jc w:val="both"/>
        <w:rPr>
          <w:rFonts w:ascii="Cambria" w:eastAsia="Times New Roman" w:hAnsi="Cambria"/>
          <w:color w:val="000000"/>
          <w:sz w:val="21"/>
          <w:szCs w:val="21"/>
          <w:lang w:val="es-CO"/>
        </w:rPr>
      </w:pPr>
    </w:p>
    <w:p w:rsidR="00752E06" w:rsidRPr="003D7263" w:rsidRDefault="00752E06" w:rsidP="00752E06">
      <w:pPr>
        <w:numPr>
          <w:ilvl w:val="0"/>
          <w:numId w:val="16"/>
        </w:numPr>
        <w:spacing w:after="0" w:line="240" w:lineRule="auto"/>
        <w:jc w:val="both"/>
        <w:rPr>
          <w:rFonts w:ascii="Cambria" w:eastAsia="Times New Roman" w:hAnsi="Cambria"/>
          <w:color w:val="000000"/>
          <w:sz w:val="18"/>
          <w:szCs w:val="21"/>
          <w:lang w:val="es-CO"/>
        </w:rPr>
      </w:pPr>
      <w:r w:rsidRPr="003D7263">
        <w:rPr>
          <w:rFonts w:ascii="Cambria" w:eastAsia="Times New Roman" w:hAnsi="Cambria"/>
          <w:color w:val="000000"/>
          <w:sz w:val="18"/>
          <w:szCs w:val="21"/>
          <w:lang w:val="es-CO"/>
        </w:rPr>
        <w:t>Que la persona solicitante o la persona a cuyo nombre se le solicite la protección esté dentro de la población beneficiaria de la presente Ley;</w:t>
      </w:r>
    </w:p>
    <w:p w:rsidR="00752E06" w:rsidRPr="003D7263" w:rsidRDefault="00752E06" w:rsidP="00752E06">
      <w:pPr>
        <w:numPr>
          <w:ilvl w:val="0"/>
          <w:numId w:val="16"/>
        </w:numPr>
        <w:spacing w:after="0" w:line="240" w:lineRule="auto"/>
        <w:jc w:val="both"/>
        <w:rPr>
          <w:rFonts w:ascii="Cambria" w:eastAsia="Times New Roman" w:hAnsi="Cambria"/>
          <w:color w:val="000000"/>
          <w:sz w:val="18"/>
          <w:szCs w:val="21"/>
          <w:lang w:val="es-CO"/>
        </w:rPr>
      </w:pPr>
      <w:r w:rsidRPr="003D7263">
        <w:rPr>
          <w:rFonts w:ascii="Cambria" w:eastAsia="Times New Roman" w:hAnsi="Cambria"/>
          <w:color w:val="000000"/>
          <w:sz w:val="18"/>
          <w:szCs w:val="21"/>
          <w:lang w:val="es-CO"/>
        </w:rPr>
        <w:t>Que exista el consentimiento de la potencial persona beneficiaria, salvo causa grave y/o excepcional;</w:t>
      </w:r>
    </w:p>
    <w:p w:rsidR="00752E06" w:rsidRPr="003D7263" w:rsidRDefault="00752E06" w:rsidP="00752E06">
      <w:pPr>
        <w:numPr>
          <w:ilvl w:val="0"/>
          <w:numId w:val="16"/>
        </w:numPr>
        <w:spacing w:after="0" w:line="240" w:lineRule="auto"/>
        <w:jc w:val="both"/>
        <w:rPr>
          <w:rFonts w:ascii="Cambria" w:eastAsia="Times New Roman" w:hAnsi="Cambria"/>
          <w:color w:val="000000"/>
          <w:sz w:val="18"/>
          <w:szCs w:val="21"/>
          <w:lang w:val="es-CO"/>
        </w:rPr>
      </w:pPr>
      <w:r w:rsidRPr="003D7263">
        <w:rPr>
          <w:rFonts w:ascii="Cambria" w:eastAsia="Times New Roman" w:hAnsi="Cambria"/>
          <w:color w:val="000000"/>
          <w:sz w:val="18"/>
          <w:szCs w:val="21"/>
          <w:lang w:val="es-CO"/>
        </w:rPr>
        <w:t>Que exista un nexo causal entre la situación de riesgo y su actividad de defensoría de derechos humanos o laboral en el caso de los periodistas, comunicadores sociales y operadores de justicia; y,</w:t>
      </w:r>
    </w:p>
    <w:p w:rsidR="00752E06" w:rsidRPr="003D7263" w:rsidRDefault="00752E06" w:rsidP="00752E06">
      <w:pPr>
        <w:numPr>
          <w:ilvl w:val="0"/>
          <w:numId w:val="16"/>
        </w:numPr>
        <w:spacing w:after="0" w:line="240" w:lineRule="auto"/>
        <w:jc w:val="both"/>
        <w:rPr>
          <w:rFonts w:ascii="Cambria" w:eastAsia="Times New Roman" w:hAnsi="Cambria"/>
          <w:color w:val="000000"/>
          <w:sz w:val="18"/>
          <w:szCs w:val="21"/>
          <w:lang w:val="es-CO"/>
        </w:rPr>
      </w:pPr>
      <w:r w:rsidRPr="003D7263">
        <w:rPr>
          <w:rFonts w:ascii="Cambria" w:eastAsia="Times New Roman" w:hAnsi="Cambria"/>
          <w:color w:val="000000"/>
          <w:sz w:val="18"/>
          <w:szCs w:val="21"/>
          <w:lang w:val="es-CO"/>
        </w:rPr>
        <w:t>Que existan indicios sobre la situación de riesgo.</w:t>
      </w:r>
    </w:p>
    <w:p w:rsidR="00752E06" w:rsidRDefault="00752E06" w:rsidP="00752E06">
      <w:pPr>
        <w:spacing w:after="0" w:line="240" w:lineRule="auto"/>
        <w:jc w:val="both"/>
        <w:rPr>
          <w:rFonts w:ascii="Cambria" w:eastAsia="Times New Roman" w:hAnsi="Cambria"/>
          <w:color w:val="000000"/>
          <w:sz w:val="21"/>
          <w:szCs w:val="21"/>
          <w:lang w:val="es-CO"/>
        </w:rPr>
      </w:pPr>
    </w:p>
    <w:p w:rsidR="00752E06" w:rsidRDefault="001D28E6" w:rsidP="00752E06">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Al respecto, el Estado indicó que la no inclusión de una persona al Mecanismo de Protección “[…] no significa que </w:t>
      </w:r>
      <w:proofErr w:type="spellStart"/>
      <w:r>
        <w:rPr>
          <w:rFonts w:ascii="Cambria" w:eastAsia="Times New Roman" w:hAnsi="Cambria"/>
          <w:color w:val="000000"/>
          <w:sz w:val="21"/>
          <w:szCs w:val="21"/>
          <w:lang w:val="es-CO"/>
        </w:rPr>
        <w:t>qued</w:t>
      </w:r>
      <w:proofErr w:type="spellEnd"/>
      <w:r>
        <w:rPr>
          <w:rFonts w:ascii="Cambria" w:eastAsia="Times New Roman" w:hAnsi="Cambria"/>
          <w:color w:val="000000"/>
          <w:sz w:val="21"/>
          <w:szCs w:val="21"/>
          <w:lang w:val="es-CO"/>
        </w:rPr>
        <w:t xml:space="preserve">[e] </w:t>
      </w:r>
      <w:proofErr w:type="spellStart"/>
      <w:r>
        <w:rPr>
          <w:rFonts w:ascii="Cambria" w:eastAsia="Times New Roman" w:hAnsi="Cambria"/>
          <w:color w:val="000000"/>
          <w:sz w:val="21"/>
          <w:szCs w:val="21"/>
          <w:lang w:val="es-CO"/>
        </w:rPr>
        <w:t>desprotegid</w:t>
      </w:r>
      <w:proofErr w:type="spellEnd"/>
      <w:r>
        <w:rPr>
          <w:rFonts w:ascii="Cambria" w:eastAsia="Times New Roman" w:hAnsi="Cambria"/>
          <w:color w:val="000000"/>
          <w:sz w:val="21"/>
          <w:szCs w:val="21"/>
          <w:lang w:val="es-CO"/>
        </w:rPr>
        <w:t>[a]</w:t>
      </w:r>
      <w:r w:rsidR="001E084C">
        <w:rPr>
          <w:rFonts w:ascii="Cambria" w:eastAsia="Times New Roman" w:hAnsi="Cambria"/>
          <w:color w:val="000000"/>
          <w:sz w:val="21"/>
          <w:szCs w:val="21"/>
          <w:lang w:val="es-CO"/>
        </w:rPr>
        <w:t>, ya que otras instituciones estatales según su rol institucional y competencias establecidas en [la] ley deben garantizar sus derechos fundamentales”. Asimismo, señaló que las decisiones adoptadas por la Dirección General pueden ser revisadas por medio de una impugnación ante una comisión ad hoc nombrada por el Consejo Nacional de Protección, la cual actualmente está conformada por representantes de la sociedad civil, quienes emitirán una opinión de carácter vinculante para la Dirección General.</w:t>
      </w:r>
    </w:p>
    <w:p w:rsidR="001E084C" w:rsidRDefault="001E084C" w:rsidP="001E084C">
      <w:pPr>
        <w:spacing w:after="0" w:line="240" w:lineRule="auto"/>
        <w:ind w:left="360"/>
        <w:jc w:val="both"/>
        <w:rPr>
          <w:rFonts w:ascii="Cambria" w:eastAsia="Times New Roman" w:hAnsi="Cambria"/>
          <w:color w:val="000000"/>
          <w:sz w:val="21"/>
          <w:szCs w:val="21"/>
          <w:lang w:val="es-CO"/>
        </w:rPr>
      </w:pPr>
    </w:p>
    <w:p w:rsidR="001E084C" w:rsidRDefault="00484926" w:rsidP="00752E06">
      <w:pPr>
        <w:numPr>
          <w:ilvl w:val="0"/>
          <w:numId w:val="9"/>
        </w:numPr>
        <w:spacing w:after="0" w:line="240" w:lineRule="auto"/>
        <w:ind w:left="0" w:firstLine="360"/>
        <w:jc w:val="both"/>
        <w:rPr>
          <w:rFonts w:ascii="Cambria" w:eastAsia="Times New Roman" w:hAnsi="Cambria"/>
          <w:color w:val="000000"/>
          <w:sz w:val="21"/>
          <w:szCs w:val="21"/>
          <w:lang w:val="es-CO"/>
        </w:rPr>
      </w:pPr>
      <w:r>
        <w:rPr>
          <w:rFonts w:ascii="Cambria" w:eastAsia="Times New Roman" w:hAnsi="Cambria"/>
          <w:color w:val="000000"/>
          <w:sz w:val="21"/>
          <w:szCs w:val="21"/>
          <w:lang w:val="es-CO"/>
        </w:rPr>
        <w:t xml:space="preserve">En virtud de lo anterior el Estado manifestó que la solicitud de medidas cautelares no reunía ni los requisitos internos ni </w:t>
      </w:r>
      <w:r w:rsidR="00B53D6E">
        <w:rPr>
          <w:rFonts w:ascii="Cambria" w:eastAsia="Times New Roman" w:hAnsi="Cambria"/>
          <w:color w:val="000000"/>
          <w:sz w:val="21"/>
          <w:szCs w:val="21"/>
          <w:lang w:val="es-CO"/>
        </w:rPr>
        <w:t xml:space="preserve">los que están establecidos en </w:t>
      </w:r>
      <w:r>
        <w:rPr>
          <w:rFonts w:ascii="Cambria" w:eastAsia="Times New Roman" w:hAnsi="Cambria"/>
          <w:color w:val="000000"/>
          <w:sz w:val="21"/>
          <w:szCs w:val="21"/>
          <w:lang w:val="es-CO"/>
        </w:rPr>
        <w:t>el artículo 25 del Reglamento</w:t>
      </w:r>
      <w:r w:rsidR="00D16763">
        <w:rPr>
          <w:rFonts w:ascii="Cambria" w:eastAsia="Times New Roman" w:hAnsi="Cambria"/>
          <w:color w:val="000000"/>
          <w:sz w:val="21"/>
          <w:szCs w:val="21"/>
          <w:lang w:val="es-CO"/>
        </w:rPr>
        <w:t>. S</w:t>
      </w:r>
      <w:r>
        <w:rPr>
          <w:rFonts w:ascii="Cambria" w:eastAsia="Times New Roman" w:hAnsi="Cambria"/>
          <w:color w:val="000000"/>
          <w:sz w:val="21"/>
          <w:szCs w:val="21"/>
          <w:lang w:val="es-CO"/>
        </w:rPr>
        <w:t xml:space="preserve">in embargo, “[…] por los nuevos hechos informados por esa CIDH, se instruirá a las instituciones competentes que se comuniquen con el señor Joaquín Mejía Rivera, a fin de escuchar sus observaciones y realizar si es procedente un análisis de riesgo […], por lo que consideramos que no es necesario que esa [CIDH] decrete las medidas cautelares solicitadas”. </w:t>
      </w:r>
    </w:p>
    <w:p w:rsidR="00A52077" w:rsidRPr="00217726" w:rsidRDefault="00A52077" w:rsidP="00A52077">
      <w:pPr>
        <w:spacing w:after="0" w:line="240" w:lineRule="auto"/>
        <w:ind w:left="360"/>
        <w:jc w:val="both"/>
        <w:rPr>
          <w:rFonts w:ascii="Cambria" w:eastAsia="Times New Roman" w:hAnsi="Cambria"/>
          <w:color w:val="000000"/>
          <w:sz w:val="21"/>
          <w:szCs w:val="21"/>
          <w:lang w:val="es-CO"/>
        </w:rPr>
      </w:pPr>
    </w:p>
    <w:p w:rsidR="0054794B" w:rsidRPr="00217726" w:rsidRDefault="0054794B" w:rsidP="0054794B">
      <w:pPr>
        <w:numPr>
          <w:ilvl w:val="0"/>
          <w:numId w:val="11"/>
        </w:numPr>
        <w:spacing w:after="0" w:line="240" w:lineRule="auto"/>
        <w:jc w:val="both"/>
        <w:rPr>
          <w:rFonts w:ascii="Cambria" w:eastAsia="Times New Roman" w:hAnsi="Cambria"/>
          <w:b/>
          <w:color w:val="000000"/>
          <w:sz w:val="21"/>
          <w:szCs w:val="21"/>
          <w:lang w:val="es-CO"/>
        </w:rPr>
      </w:pPr>
      <w:r w:rsidRPr="00217726">
        <w:rPr>
          <w:rFonts w:ascii="Cambria" w:eastAsia="Times New Roman" w:hAnsi="Cambria"/>
          <w:b/>
          <w:color w:val="000000"/>
          <w:sz w:val="21"/>
          <w:szCs w:val="21"/>
          <w:lang w:val="es-CO"/>
        </w:rPr>
        <w:lastRenderedPageBreak/>
        <w:t xml:space="preserve">Última </w:t>
      </w:r>
      <w:r w:rsidR="007F6DA8" w:rsidRPr="00217726">
        <w:rPr>
          <w:rFonts w:ascii="Cambria" w:eastAsia="Times New Roman" w:hAnsi="Cambria"/>
          <w:b/>
          <w:color w:val="000000"/>
          <w:sz w:val="21"/>
          <w:szCs w:val="21"/>
          <w:lang w:val="es-CO"/>
        </w:rPr>
        <w:t>información aportada por los solicitantes</w:t>
      </w:r>
    </w:p>
    <w:p w:rsidR="007F6DA8" w:rsidRPr="00217726" w:rsidRDefault="007F6DA8" w:rsidP="007F6DA8">
      <w:pPr>
        <w:spacing w:after="0" w:line="240" w:lineRule="auto"/>
        <w:jc w:val="both"/>
        <w:rPr>
          <w:rFonts w:ascii="Cambria" w:eastAsia="Times New Roman" w:hAnsi="Cambria"/>
          <w:color w:val="000000"/>
          <w:sz w:val="21"/>
          <w:szCs w:val="21"/>
          <w:lang w:val="es-CO"/>
        </w:rPr>
      </w:pPr>
    </w:p>
    <w:p w:rsidR="00EA6CB4" w:rsidRDefault="00F361CB" w:rsidP="00DD68BE">
      <w:pPr>
        <w:numPr>
          <w:ilvl w:val="0"/>
          <w:numId w:val="9"/>
        </w:numPr>
        <w:spacing w:after="0" w:line="240" w:lineRule="auto"/>
        <w:ind w:left="0" w:firstLine="360"/>
        <w:jc w:val="both"/>
        <w:rPr>
          <w:rFonts w:ascii="Cambria" w:hAnsi="Cambria"/>
          <w:color w:val="000000"/>
          <w:sz w:val="21"/>
          <w:szCs w:val="21"/>
          <w:lang w:val="es-ES"/>
        </w:rPr>
      </w:pPr>
      <w:r>
        <w:rPr>
          <w:rFonts w:ascii="Cambria" w:hAnsi="Cambria"/>
          <w:color w:val="000000"/>
          <w:sz w:val="21"/>
          <w:szCs w:val="21"/>
          <w:lang w:val="es-ES"/>
        </w:rPr>
        <w:t xml:space="preserve">En su escrito de 18 de enero de 2018, los solicitantes </w:t>
      </w:r>
      <w:r w:rsidR="00EA6CB4">
        <w:rPr>
          <w:rFonts w:ascii="Cambria" w:hAnsi="Cambria"/>
          <w:color w:val="000000"/>
          <w:sz w:val="21"/>
          <w:szCs w:val="21"/>
          <w:lang w:val="es-ES"/>
        </w:rPr>
        <w:t xml:space="preserve">cuestionaron las afirmaciones y conclusiones contenidas en el informe del Estado. En primer lugar, </w:t>
      </w:r>
      <w:r w:rsidR="00D16763">
        <w:rPr>
          <w:rFonts w:ascii="Cambria" w:hAnsi="Cambria"/>
          <w:color w:val="000000"/>
          <w:sz w:val="21"/>
          <w:szCs w:val="21"/>
          <w:lang w:val="es-ES"/>
        </w:rPr>
        <w:t xml:space="preserve">los solicitantes indicaron que las autoridades competentes asumieron “sin razonar el motivo ni explorar otras hipótesis” que las amenazas están vinculadas a la Mara MS13, la cual supuestamente opera en la zona de residencia de los propuestos beneficiarios. En relación con este punto, </w:t>
      </w:r>
      <w:r w:rsidR="00EA6CB4">
        <w:rPr>
          <w:rFonts w:ascii="Cambria" w:hAnsi="Cambria"/>
          <w:color w:val="000000"/>
          <w:sz w:val="21"/>
          <w:szCs w:val="21"/>
          <w:lang w:val="es-ES"/>
        </w:rPr>
        <w:t xml:space="preserve">señalaron que la colonia en la que residen los propuestos beneficiarios </w:t>
      </w:r>
      <w:r w:rsidR="00D16763">
        <w:rPr>
          <w:rFonts w:ascii="Cambria" w:hAnsi="Cambria"/>
          <w:color w:val="000000"/>
          <w:sz w:val="21"/>
          <w:szCs w:val="21"/>
          <w:lang w:val="es-ES"/>
        </w:rPr>
        <w:t xml:space="preserve">sería </w:t>
      </w:r>
      <w:r w:rsidR="00EA6CB4">
        <w:rPr>
          <w:rFonts w:ascii="Cambria" w:hAnsi="Cambria"/>
          <w:color w:val="000000"/>
          <w:sz w:val="21"/>
          <w:szCs w:val="21"/>
          <w:lang w:val="es-ES"/>
        </w:rPr>
        <w:t xml:space="preserve">una de las más seguras de El Progreso, basándose en cifras del Observatorio de la Violencia de la Universidad Nacional Autónoma de Honduras. De hecho, conforme al testimonio del propuesto beneficiario, “[…] en todos los años que llevan viviendo en la </w:t>
      </w:r>
      <w:r w:rsidR="00D16763">
        <w:rPr>
          <w:rFonts w:ascii="Cambria" w:hAnsi="Cambria"/>
          <w:color w:val="000000"/>
          <w:sz w:val="21"/>
          <w:szCs w:val="21"/>
          <w:lang w:val="es-ES"/>
        </w:rPr>
        <w:t>[misma]</w:t>
      </w:r>
      <w:r w:rsidR="00B53D6E">
        <w:rPr>
          <w:rFonts w:ascii="Cambria" w:hAnsi="Cambria"/>
          <w:color w:val="000000"/>
          <w:sz w:val="21"/>
          <w:szCs w:val="21"/>
          <w:lang w:val="es-ES"/>
        </w:rPr>
        <w:t xml:space="preserve"> </w:t>
      </w:r>
      <w:r w:rsidR="00EA6CB4">
        <w:rPr>
          <w:rFonts w:ascii="Cambria" w:hAnsi="Cambria"/>
          <w:color w:val="000000"/>
          <w:sz w:val="21"/>
          <w:szCs w:val="21"/>
          <w:lang w:val="es-ES"/>
        </w:rPr>
        <w:t xml:space="preserve">colonia </w:t>
      </w:r>
      <w:r w:rsidR="00D16763">
        <w:rPr>
          <w:rFonts w:ascii="Cambria" w:hAnsi="Cambria"/>
          <w:color w:val="000000"/>
          <w:sz w:val="21"/>
          <w:szCs w:val="21"/>
          <w:lang w:val="es-ES"/>
        </w:rPr>
        <w:t>[…]</w:t>
      </w:r>
      <w:r w:rsidR="00EA6CB4">
        <w:rPr>
          <w:rFonts w:ascii="Cambria" w:hAnsi="Cambria"/>
          <w:color w:val="000000"/>
          <w:sz w:val="21"/>
          <w:szCs w:val="21"/>
          <w:lang w:val="es-ES"/>
        </w:rPr>
        <w:t>, ni él ni su familia habían tenido incidente de seguridad alguno, antes de que ocurrieran los hechos que dieron lugar a la solicitud de las presentes medidas cautelares”.</w:t>
      </w:r>
      <w:r w:rsidR="00D16763">
        <w:rPr>
          <w:rFonts w:ascii="Cambria" w:hAnsi="Cambria"/>
          <w:color w:val="000000"/>
          <w:sz w:val="21"/>
          <w:szCs w:val="21"/>
          <w:lang w:val="es-ES"/>
        </w:rPr>
        <w:t xml:space="preserve"> Según los solicitantes</w:t>
      </w:r>
      <w:r w:rsidR="00201F9C">
        <w:rPr>
          <w:rFonts w:ascii="Cambria" w:hAnsi="Cambria"/>
          <w:color w:val="000000"/>
          <w:sz w:val="21"/>
          <w:szCs w:val="21"/>
          <w:lang w:val="es-ES"/>
        </w:rPr>
        <w:t xml:space="preserve">, los acontecimientos narrados no reflejan el </w:t>
      </w:r>
      <w:r w:rsidR="00201F9C" w:rsidRPr="00201F9C">
        <w:rPr>
          <w:rFonts w:ascii="Cambria" w:hAnsi="Cambria"/>
          <w:i/>
          <w:color w:val="000000"/>
          <w:sz w:val="21"/>
          <w:szCs w:val="21"/>
          <w:lang w:val="es-ES"/>
        </w:rPr>
        <w:t>modus operandi</w:t>
      </w:r>
      <w:r w:rsidR="00201F9C">
        <w:rPr>
          <w:rFonts w:ascii="Cambria" w:hAnsi="Cambria"/>
          <w:color w:val="000000"/>
          <w:sz w:val="21"/>
          <w:szCs w:val="21"/>
          <w:lang w:val="es-ES"/>
        </w:rPr>
        <w:t xml:space="preserve"> de las maras o pandillas</w:t>
      </w:r>
      <w:r w:rsidR="00D16763">
        <w:rPr>
          <w:rFonts w:ascii="Cambria" w:hAnsi="Cambria"/>
          <w:color w:val="000000"/>
          <w:sz w:val="21"/>
          <w:szCs w:val="21"/>
          <w:lang w:val="es-ES"/>
        </w:rPr>
        <w:t xml:space="preserve"> puesto que, </w:t>
      </w:r>
      <w:r w:rsidR="00201F9C">
        <w:rPr>
          <w:rFonts w:ascii="Cambria" w:hAnsi="Cambria"/>
          <w:color w:val="000000"/>
          <w:sz w:val="21"/>
          <w:szCs w:val="21"/>
          <w:lang w:val="es-ES"/>
        </w:rPr>
        <w:t>según especialistas en el tema, si dicha pandilla hubiera estado detrás de las amenazas, ya se habrían producido acciones violentas en contra de los propuestos beneficiarios tras su negativa a entregar la cantidad de dinero exigida</w:t>
      </w:r>
      <w:r w:rsidR="002714AA">
        <w:rPr>
          <w:rFonts w:ascii="Cambria" w:hAnsi="Cambria"/>
          <w:color w:val="000000"/>
          <w:sz w:val="21"/>
          <w:szCs w:val="21"/>
          <w:lang w:val="es-ES"/>
        </w:rPr>
        <w:t>, de tal manera que resulta razonable considerar que la finalidad sería distinta a la extorción</w:t>
      </w:r>
      <w:r w:rsidR="00201F9C">
        <w:rPr>
          <w:rStyle w:val="FootnoteReference"/>
          <w:rFonts w:ascii="Cambria" w:hAnsi="Cambria"/>
          <w:color w:val="000000"/>
          <w:sz w:val="21"/>
          <w:szCs w:val="21"/>
          <w:lang w:val="es-ES"/>
        </w:rPr>
        <w:footnoteReference w:id="8"/>
      </w:r>
      <w:r w:rsidR="00201F9C">
        <w:rPr>
          <w:rFonts w:ascii="Cambria" w:hAnsi="Cambria"/>
          <w:color w:val="000000"/>
          <w:sz w:val="21"/>
          <w:szCs w:val="21"/>
          <w:lang w:val="es-ES"/>
        </w:rPr>
        <w:t>.</w:t>
      </w:r>
    </w:p>
    <w:p w:rsidR="001C1908" w:rsidRDefault="001C1908" w:rsidP="001C1908">
      <w:pPr>
        <w:spacing w:after="0" w:line="240" w:lineRule="auto"/>
        <w:ind w:left="360"/>
        <w:jc w:val="both"/>
        <w:rPr>
          <w:rFonts w:ascii="Cambria" w:hAnsi="Cambria"/>
          <w:color w:val="000000"/>
          <w:sz w:val="21"/>
          <w:szCs w:val="21"/>
          <w:lang w:val="es-ES"/>
        </w:rPr>
      </w:pPr>
    </w:p>
    <w:p w:rsidR="001C1908" w:rsidRDefault="002714AA" w:rsidP="00120371">
      <w:pPr>
        <w:numPr>
          <w:ilvl w:val="0"/>
          <w:numId w:val="9"/>
        </w:numPr>
        <w:spacing w:after="0" w:line="240" w:lineRule="auto"/>
        <w:ind w:left="0" w:firstLine="360"/>
        <w:jc w:val="both"/>
        <w:rPr>
          <w:rFonts w:ascii="Cambria" w:hAnsi="Cambria"/>
          <w:color w:val="000000"/>
          <w:sz w:val="21"/>
          <w:szCs w:val="21"/>
          <w:lang w:val="es-ES"/>
        </w:rPr>
      </w:pPr>
      <w:r>
        <w:rPr>
          <w:rFonts w:ascii="Cambria" w:hAnsi="Cambria"/>
          <w:color w:val="000000"/>
          <w:sz w:val="21"/>
          <w:szCs w:val="21"/>
          <w:lang w:val="es-ES"/>
        </w:rPr>
        <w:t>En segundo lugar</w:t>
      </w:r>
      <w:r w:rsidR="001C1908">
        <w:rPr>
          <w:rFonts w:ascii="Cambria" w:hAnsi="Cambria"/>
          <w:color w:val="000000"/>
          <w:sz w:val="21"/>
          <w:szCs w:val="21"/>
          <w:lang w:val="es-ES"/>
        </w:rPr>
        <w:t xml:space="preserve">, según los solicitantes, el hecho de que la situación se investigue por parte del Estado como un delito común “[…] refleja la falta de voluntad del Estado para establecer otras líneas de investigación vinculadas al rol de defensor de derechos humanos […]”, particularmente en relación con las denuncias de presunto fraude electoral que efectuó tras la victoria del Presidente Hernández. </w:t>
      </w:r>
      <w:r w:rsidR="00970ACA">
        <w:rPr>
          <w:rFonts w:ascii="Cambria" w:hAnsi="Cambria"/>
          <w:color w:val="000000"/>
          <w:sz w:val="21"/>
          <w:szCs w:val="21"/>
          <w:lang w:val="es-ES"/>
        </w:rPr>
        <w:t xml:space="preserve">Tras recordar los estándares aplicables del Sistema Interamericano respecto de defensores de derechos humanos, los solicitantes insistieron en que la voz del propuesto beneficiario ha sido una de las más activas y visibles desde </w:t>
      </w:r>
      <w:r>
        <w:rPr>
          <w:rFonts w:ascii="Cambria" w:hAnsi="Cambria"/>
          <w:color w:val="000000"/>
          <w:sz w:val="21"/>
          <w:szCs w:val="21"/>
          <w:lang w:val="es-ES"/>
        </w:rPr>
        <w:t>“</w:t>
      </w:r>
      <w:r w:rsidR="00970ACA">
        <w:rPr>
          <w:rFonts w:ascii="Cambria" w:hAnsi="Cambria"/>
          <w:color w:val="000000"/>
          <w:sz w:val="21"/>
          <w:szCs w:val="21"/>
          <w:lang w:val="es-ES"/>
        </w:rPr>
        <w:t>Radio Progreso</w:t>
      </w:r>
      <w:r>
        <w:rPr>
          <w:rFonts w:ascii="Cambria" w:hAnsi="Cambria"/>
          <w:color w:val="000000"/>
          <w:sz w:val="21"/>
          <w:szCs w:val="21"/>
          <w:lang w:val="es-ES"/>
        </w:rPr>
        <w:t>”</w:t>
      </w:r>
      <w:r w:rsidR="00970ACA">
        <w:rPr>
          <w:rFonts w:ascii="Cambria" w:hAnsi="Cambria"/>
          <w:color w:val="000000"/>
          <w:sz w:val="21"/>
          <w:szCs w:val="21"/>
          <w:lang w:val="es-ES"/>
        </w:rPr>
        <w:t xml:space="preserve">, señalando que durante el año 2017 se han incrementado los actos de violencia, amenazas y campañas de difamación contra el referido medio de comunicación y sus integrantes, precisamente por cubrir e informar acerca de los abusos de fuerzas policiales durante protestas pacíficas. </w:t>
      </w:r>
    </w:p>
    <w:p w:rsidR="00970ACA" w:rsidRDefault="00970ACA" w:rsidP="00970ACA">
      <w:pPr>
        <w:spacing w:after="0" w:line="240" w:lineRule="auto"/>
        <w:ind w:left="360"/>
        <w:jc w:val="both"/>
        <w:rPr>
          <w:rFonts w:ascii="Cambria" w:hAnsi="Cambria"/>
          <w:color w:val="000000"/>
          <w:sz w:val="21"/>
          <w:szCs w:val="21"/>
          <w:lang w:val="es-ES"/>
        </w:rPr>
      </w:pPr>
    </w:p>
    <w:p w:rsidR="00970ACA" w:rsidRDefault="00970ACA" w:rsidP="00120371">
      <w:pPr>
        <w:numPr>
          <w:ilvl w:val="0"/>
          <w:numId w:val="9"/>
        </w:numPr>
        <w:spacing w:after="0" w:line="240" w:lineRule="auto"/>
        <w:ind w:left="0" w:firstLine="360"/>
        <w:jc w:val="both"/>
        <w:rPr>
          <w:rFonts w:ascii="Cambria" w:hAnsi="Cambria"/>
          <w:color w:val="000000"/>
          <w:sz w:val="21"/>
          <w:szCs w:val="21"/>
          <w:lang w:val="es-ES"/>
        </w:rPr>
      </w:pPr>
      <w:r>
        <w:rPr>
          <w:rFonts w:ascii="Cambria" w:hAnsi="Cambria"/>
          <w:color w:val="000000"/>
          <w:sz w:val="21"/>
          <w:szCs w:val="21"/>
          <w:lang w:val="es-ES"/>
        </w:rPr>
        <w:t xml:space="preserve">En relación con lo anterior, los solicitantes manifestaron que no tuvieron acceso al análisis efectuado por la Dirección General, a fin de valorar su rigurosidad, si bien afirman que no consideró de manera adecuada el nexo causal. </w:t>
      </w:r>
      <w:r w:rsidR="00CC1577">
        <w:rPr>
          <w:rFonts w:ascii="Cambria" w:hAnsi="Cambria"/>
          <w:color w:val="000000"/>
          <w:sz w:val="21"/>
          <w:szCs w:val="21"/>
          <w:lang w:val="es-ES"/>
        </w:rPr>
        <w:t>En esta línea, denunciaron que al propuesto beneficiario le fue denegad</w:t>
      </w:r>
      <w:r w:rsidR="002714AA">
        <w:rPr>
          <w:rFonts w:ascii="Cambria" w:hAnsi="Cambria"/>
          <w:color w:val="000000"/>
          <w:sz w:val="21"/>
          <w:szCs w:val="21"/>
          <w:lang w:val="es-ES"/>
        </w:rPr>
        <w:t>o</w:t>
      </w:r>
      <w:r w:rsidR="00CC1577">
        <w:rPr>
          <w:rFonts w:ascii="Cambria" w:hAnsi="Cambria"/>
          <w:color w:val="000000"/>
          <w:sz w:val="21"/>
          <w:szCs w:val="21"/>
          <w:lang w:val="es-ES"/>
        </w:rPr>
        <w:t xml:space="preserve"> el ingreso al Mecanismo de Protección sobre la base del artículo 43 de la ley en cuestión, “[…] sin ofrecer una explicación de cómo se arribó a tal conclusión”. </w:t>
      </w:r>
    </w:p>
    <w:p w:rsidR="007178DA" w:rsidRDefault="007178DA" w:rsidP="007178DA">
      <w:pPr>
        <w:spacing w:after="0" w:line="240" w:lineRule="auto"/>
        <w:ind w:left="360"/>
        <w:jc w:val="both"/>
        <w:rPr>
          <w:rFonts w:ascii="Cambria" w:hAnsi="Cambria"/>
          <w:color w:val="000000"/>
          <w:sz w:val="21"/>
          <w:szCs w:val="21"/>
          <w:lang w:val="es-ES"/>
        </w:rPr>
      </w:pPr>
    </w:p>
    <w:p w:rsidR="007178DA" w:rsidRDefault="007178DA" w:rsidP="00120371">
      <w:pPr>
        <w:numPr>
          <w:ilvl w:val="0"/>
          <w:numId w:val="9"/>
        </w:numPr>
        <w:spacing w:after="0" w:line="240" w:lineRule="auto"/>
        <w:ind w:left="0" w:firstLine="360"/>
        <w:jc w:val="both"/>
        <w:rPr>
          <w:rFonts w:ascii="Cambria" w:hAnsi="Cambria"/>
          <w:color w:val="000000"/>
          <w:sz w:val="21"/>
          <w:szCs w:val="21"/>
          <w:lang w:val="es-ES"/>
        </w:rPr>
      </w:pPr>
      <w:r>
        <w:rPr>
          <w:rFonts w:ascii="Cambria" w:hAnsi="Cambria"/>
          <w:color w:val="000000"/>
          <w:sz w:val="21"/>
          <w:szCs w:val="21"/>
          <w:lang w:val="es-ES"/>
        </w:rPr>
        <w:t xml:space="preserve">En </w:t>
      </w:r>
      <w:r w:rsidR="002714AA">
        <w:rPr>
          <w:rFonts w:ascii="Cambria" w:hAnsi="Cambria"/>
          <w:color w:val="000000"/>
          <w:sz w:val="21"/>
          <w:szCs w:val="21"/>
          <w:lang w:val="es-ES"/>
        </w:rPr>
        <w:t xml:space="preserve">tercer lugar, y en relación con su situación de seguridad, los solicitantes indicaron que el </w:t>
      </w:r>
      <w:r>
        <w:rPr>
          <w:rFonts w:ascii="Cambria" w:hAnsi="Cambria"/>
          <w:color w:val="000000"/>
          <w:sz w:val="21"/>
          <w:szCs w:val="21"/>
          <w:lang w:val="es-ES"/>
        </w:rPr>
        <w:t>ofrecimiento de medidas de protección por parte del CO</w:t>
      </w:r>
      <w:r w:rsidR="00213B3E">
        <w:rPr>
          <w:rFonts w:ascii="Cambria" w:hAnsi="Cambria"/>
          <w:color w:val="000000"/>
          <w:sz w:val="21"/>
          <w:szCs w:val="21"/>
          <w:lang w:val="es-ES"/>
        </w:rPr>
        <w:t>NADEH al propuesto beneficiario</w:t>
      </w:r>
      <w:r>
        <w:rPr>
          <w:rFonts w:ascii="Cambria" w:hAnsi="Cambria"/>
          <w:color w:val="000000"/>
          <w:sz w:val="21"/>
          <w:szCs w:val="21"/>
          <w:lang w:val="es-ES"/>
        </w:rPr>
        <w:t xml:space="preserve"> consistió únicamente en la posibilidad de tomar una queja contra la FNA, lo cual no constituye “en absoluto” una medida oficial para reducir el riesgo, motivo por el cual se habría rechazado la propuesta. </w:t>
      </w:r>
    </w:p>
    <w:p w:rsidR="00521950" w:rsidRDefault="00521950" w:rsidP="00521950">
      <w:pPr>
        <w:spacing w:after="0" w:line="240" w:lineRule="auto"/>
        <w:ind w:left="360"/>
        <w:jc w:val="both"/>
        <w:rPr>
          <w:rFonts w:ascii="Cambria" w:hAnsi="Cambria"/>
          <w:color w:val="000000"/>
          <w:sz w:val="21"/>
          <w:szCs w:val="21"/>
          <w:lang w:val="es-ES"/>
        </w:rPr>
      </w:pPr>
    </w:p>
    <w:p w:rsidR="002714AA" w:rsidRDefault="002714AA" w:rsidP="00120371">
      <w:pPr>
        <w:numPr>
          <w:ilvl w:val="0"/>
          <w:numId w:val="9"/>
        </w:numPr>
        <w:spacing w:after="0" w:line="240" w:lineRule="auto"/>
        <w:ind w:left="0" w:firstLine="360"/>
        <w:jc w:val="both"/>
        <w:rPr>
          <w:rFonts w:ascii="Cambria" w:hAnsi="Cambria"/>
          <w:color w:val="000000"/>
          <w:sz w:val="21"/>
          <w:szCs w:val="21"/>
          <w:lang w:val="es-ES"/>
        </w:rPr>
      </w:pPr>
      <w:r>
        <w:rPr>
          <w:rFonts w:ascii="Cambria" w:hAnsi="Cambria"/>
          <w:color w:val="000000"/>
          <w:sz w:val="21"/>
          <w:szCs w:val="21"/>
          <w:lang w:val="es-ES"/>
        </w:rPr>
        <w:t>L</w:t>
      </w:r>
      <w:r w:rsidR="00521950">
        <w:rPr>
          <w:rFonts w:ascii="Cambria" w:hAnsi="Cambria"/>
          <w:color w:val="000000"/>
          <w:sz w:val="21"/>
          <w:szCs w:val="21"/>
          <w:lang w:val="es-ES"/>
        </w:rPr>
        <w:t>os solicitantes señalaron que los padres del propuesto beneficiario decidieron regresar a su casa en días recientes, debido a la angustia generada por no saber cuándo se resolvería la situación, pese al riesgo existente. El propuesto beneficiario los habría acompañado</w:t>
      </w:r>
      <w:r w:rsidR="00DF6805">
        <w:rPr>
          <w:rFonts w:ascii="Cambria" w:hAnsi="Cambria"/>
          <w:color w:val="000000"/>
          <w:sz w:val="21"/>
          <w:szCs w:val="21"/>
          <w:lang w:val="es-ES"/>
        </w:rPr>
        <w:t xml:space="preserve">, si bien su hermana, cuñado, sobrino e hija aún no habrían regresado por temor. Desde entonces, se habrían visto obligados a tomar medidas de autoprotección, al no contar con ninguna medida por parte del Estado. Por ello, vivirían </w:t>
      </w:r>
      <w:r w:rsidR="00DF6805">
        <w:rPr>
          <w:rFonts w:ascii="Cambria" w:hAnsi="Cambria"/>
          <w:color w:val="000000"/>
          <w:sz w:val="21"/>
          <w:szCs w:val="21"/>
          <w:lang w:val="es-ES"/>
        </w:rPr>
        <w:lastRenderedPageBreak/>
        <w:t xml:space="preserve">prácticamente encerrados en su residencia, tomando rutas alternativas para llegar a su casa y realizando varias vueltas por la cuadra antes de entrar a su vivienda. </w:t>
      </w:r>
    </w:p>
    <w:p w:rsidR="002714AA" w:rsidRDefault="002714AA" w:rsidP="00084268">
      <w:pPr>
        <w:pStyle w:val="ListParagraph"/>
        <w:rPr>
          <w:sz w:val="21"/>
          <w:szCs w:val="21"/>
          <w:lang w:val="es-ES"/>
        </w:rPr>
      </w:pPr>
    </w:p>
    <w:p w:rsidR="00521950" w:rsidRDefault="002714AA" w:rsidP="00120371">
      <w:pPr>
        <w:numPr>
          <w:ilvl w:val="0"/>
          <w:numId w:val="9"/>
        </w:numPr>
        <w:spacing w:after="0" w:line="240" w:lineRule="auto"/>
        <w:ind w:left="0" w:firstLine="360"/>
        <w:jc w:val="both"/>
        <w:rPr>
          <w:rFonts w:ascii="Cambria" w:hAnsi="Cambria"/>
          <w:color w:val="000000"/>
          <w:sz w:val="21"/>
          <w:szCs w:val="21"/>
          <w:lang w:val="es-ES"/>
        </w:rPr>
      </w:pPr>
      <w:r>
        <w:rPr>
          <w:rFonts w:ascii="Cambria" w:hAnsi="Cambria"/>
          <w:color w:val="000000"/>
          <w:sz w:val="21"/>
          <w:szCs w:val="21"/>
          <w:lang w:val="es-ES"/>
        </w:rPr>
        <w:t>Finalmente, los solicitantes señalaron que e</w:t>
      </w:r>
      <w:r w:rsidR="00DF6805">
        <w:rPr>
          <w:rFonts w:ascii="Cambria" w:hAnsi="Cambria"/>
          <w:color w:val="000000"/>
          <w:sz w:val="21"/>
          <w:szCs w:val="21"/>
          <w:lang w:val="es-ES"/>
        </w:rPr>
        <w:t xml:space="preserve">l 12, 13 y 14 de enero de 2018, los propuestos beneficiarios habrían notado, entre las 17:30 y 18:30, que un hombre en motocicleta se estacionaba en una de las esquinas de la cuadra, aparentando hablar por teléfono; al ser avistado por el señor Mejía, el individuo se habría ido inmediatamente del lugar. </w:t>
      </w:r>
    </w:p>
    <w:p w:rsidR="00120371" w:rsidRPr="00120371" w:rsidRDefault="00120371" w:rsidP="00120371">
      <w:pPr>
        <w:spacing w:after="0" w:line="240" w:lineRule="auto"/>
        <w:ind w:left="360"/>
        <w:jc w:val="both"/>
        <w:rPr>
          <w:rFonts w:ascii="Cambria" w:hAnsi="Cambria"/>
          <w:color w:val="000000"/>
          <w:sz w:val="21"/>
          <w:szCs w:val="21"/>
          <w:lang w:val="es-ES"/>
        </w:rPr>
      </w:pPr>
    </w:p>
    <w:p w:rsidR="004F5680" w:rsidRPr="00217726" w:rsidRDefault="004F5680" w:rsidP="001F2B90">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ANALISIS SOBRE LOS ELEMENTOS DE GRAVEDAD, URGENCIA E IRREPARABILIDAD</w:t>
      </w:r>
    </w:p>
    <w:p w:rsidR="001F2B90" w:rsidRPr="00217726" w:rsidRDefault="001F2B90" w:rsidP="001F2B90">
      <w:pPr>
        <w:spacing w:after="0" w:line="240" w:lineRule="auto"/>
        <w:ind w:left="720"/>
        <w:jc w:val="both"/>
        <w:rPr>
          <w:rFonts w:ascii="Cambria" w:hAnsi="Cambria"/>
          <w:b/>
          <w:color w:val="000000"/>
          <w:sz w:val="21"/>
          <w:szCs w:val="21"/>
          <w:lang w:val="es-ES"/>
        </w:rPr>
      </w:pPr>
    </w:p>
    <w:p w:rsidR="004F5680" w:rsidRPr="00217726" w:rsidRDefault="004F5680" w:rsidP="001F2B90">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El mecanismo de medidas cautelares es parte de la función de la Comisión de supervisar el cumplimiento con las </w:t>
      </w:r>
      <w:r w:rsidRPr="00217726">
        <w:rPr>
          <w:rFonts w:ascii="Cambria" w:eastAsia="Times New Roman" w:hAnsi="Cambria"/>
          <w:color w:val="000000"/>
          <w:sz w:val="21"/>
          <w:szCs w:val="21"/>
          <w:lang w:val="es-CO"/>
        </w:rPr>
        <w:t>obligaciones</w:t>
      </w:r>
      <w:r w:rsidRPr="00217726">
        <w:rPr>
          <w:rFonts w:ascii="Cambria" w:hAnsi="Cambria"/>
          <w:color w:val="000000"/>
          <w:sz w:val="21"/>
          <w:szCs w:val="21"/>
          <w:lang w:val="es-ES"/>
        </w:rPr>
        <w:t xml:space="preserve"> de derechos humanos establecidas en el artículo 106 de la Carta de la Organización de Estados Americanos. Estas funciones generales de supervisión están establecidas en el artículo 41 (b) de la Convención Americana sobre Derechos Humanos, recogido también en el artículo 1</w:t>
      </w:r>
      <w:r w:rsidR="001F2B90" w:rsidRPr="00217726">
        <w:rPr>
          <w:rFonts w:ascii="Cambria" w:hAnsi="Cambria"/>
          <w:color w:val="000000"/>
          <w:sz w:val="21"/>
          <w:szCs w:val="21"/>
          <w:lang w:val="es-ES"/>
        </w:rPr>
        <w:t>8 (b) del Estatuto de la CIDH. E</w:t>
      </w:r>
      <w:r w:rsidRPr="00217726">
        <w:rPr>
          <w:rFonts w:ascii="Cambria" w:hAnsi="Cambria"/>
          <w:color w:val="000000"/>
          <w:sz w:val="21"/>
          <w:szCs w:val="21"/>
          <w:lang w:val="es-ES"/>
        </w:rPr>
        <w:t>l mecanismo de medidas cautelares es</w:t>
      </w:r>
      <w:r w:rsidR="001F2B90" w:rsidRPr="00217726">
        <w:rPr>
          <w:rFonts w:ascii="Cambria" w:hAnsi="Cambria"/>
          <w:color w:val="000000"/>
          <w:sz w:val="21"/>
          <w:szCs w:val="21"/>
          <w:lang w:val="es-ES"/>
        </w:rPr>
        <w:t>tá</w:t>
      </w:r>
      <w:r w:rsidRPr="00217726">
        <w:rPr>
          <w:rFonts w:ascii="Cambria" w:hAnsi="Cambria"/>
          <w:color w:val="000000"/>
          <w:sz w:val="21"/>
          <w:szCs w:val="21"/>
          <w:lang w:val="es-ES"/>
        </w:rPr>
        <w:t xml:space="preserve">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1F2B90">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La Comisión Interamericana y la Corte Interamericana de Derechos Humanos (en adelante “la Corte Interamericana” o “</w:t>
      </w:r>
      <w:r w:rsidRPr="00217726">
        <w:rPr>
          <w:rFonts w:ascii="Cambria" w:eastAsia="Times New Roman" w:hAnsi="Cambria"/>
          <w:color w:val="000000"/>
          <w:sz w:val="21"/>
          <w:szCs w:val="21"/>
          <w:lang w:val="es-CO"/>
        </w:rPr>
        <w:t>Corte</w:t>
      </w:r>
      <w:r w:rsidRPr="00217726">
        <w:rPr>
          <w:rFonts w:ascii="Cambria" w:hAnsi="Cambria"/>
          <w:color w:val="000000"/>
          <w:sz w:val="21"/>
          <w:szCs w:val="21"/>
          <w:lang w:val="es-ES"/>
        </w:rPr>
        <w:t xml:space="preserv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217726">
        <w:rPr>
          <w:rFonts w:ascii="Cambria" w:hAnsi="Cambria"/>
          <w:i/>
          <w:color w:val="000000"/>
          <w:sz w:val="21"/>
          <w:szCs w:val="21"/>
          <w:lang w:val="es-ES"/>
        </w:rPr>
        <w:t>effet utile</w:t>
      </w:r>
      <w:r w:rsidRPr="00217726">
        <w:rPr>
          <w:rFonts w:ascii="Cambria" w:hAnsi="Cambria"/>
          <w:color w:val="000000"/>
          <w:sz w:val="21"/>
          <w:szCs w:val="21"/>
          <w:lang w:val="es-ES"/>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B705C5">
      <w:pPr>
        <w:numPr>
          <w:ilvl w:val="0"/>
          <w:numId w:val="4"/>
        </w:numPr>
        <w:spacing w:after="0" w:line="240" w:lineRule="auto"/>
        <w:jc w:val="both"/>
        <w:rPr>
          <w:rFonts w:ascii="Cambria" w:hAnsi="Cambria"/>
          <w:color w:val="000000"/>
          <w:sz w:val="18"/>
          <w:szCs w:val="21"/>
          <w:lang w:val="es-ES"/>
        </w:rPr>
      </w:pPr>
      <w:r w:rsidRPr="00217726">
        <w:rPr>
          <w:rFonts w:ascii="Cambria" w:hAnsi="Cambria"/>
          <w:color w:val="000000"/>
          <w:sz w:val="18"/>
          <w:szCs w:val="21"/>
          <w:lang w:val="es-ES"/>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B705C5" w:rsidRPr="00217726" w:rsidRDefault="00B705C5" w:rsidP="00B705C5">
      <w:pPr>
        <w:spacing w:after="0" w:line="240" w:lineRule="auto"/>
        <w:ind w:left="720"/>
        <w:jc w:val="both"/>
        <w:rPr>
          <w:rFonts w:ascii="Cambria" w:hAnsi="Cambria"/>
          <w:color w:val="000000"/>
          <w:sz w:val="18"/>
          <w:szCs w:val="21"/>
          <w:lang w:val="es-ES"/>
        </w:rPr>
      </w:pPr>
    </w:p>
    <w:p w:rsidR="004F5680" w:rsidRPr="00217726" w:rsidRDefault="004F5680" w:rsidP="004F5680">
      <w:pPr>
        <w:numPr>
          <w:ilvl w:val="0"/>
          <w:numId w:val="4"/>
        </w:numPr>
        <w:spacing w:after="0" w:line="240" w:lineRule="auto"/>
        <w:jc w:val="both"/>
        <w:rPr>
          <w:rFonts w:ascii="Cambria" w:hAnsi="Cambria"/>
          <w:color w:val="000000"/>
          <w:sz w:val="18"/>
          <w:szCs w:val="21"/>
          <w:lang w:val="es-ES"/>
        </w:rPr>
      </w:pPr>
      <w:r w:rsidRPr="00217726">
        <w:rPr>
          <w:rFonts w:ascii="Cambria" w:hAnsi="Cambria"/>
          <w:color w:val="000000"/>
          <w:sz w:val="18"/>
          <w:szCs w:val="21"/>
          <w:lang w:val="es-ES"/>
        </w:rPr>
        <w:t xml:space="preserve">La “urgencia de la situación” se determina por medio de la información aportada, indicando el riesgo o la amenaza que puedan ser inminentes y materializarse, requiriendo de esa manera una acción preventiva o tutelar; y </w:t>
      </w:r>
    </w:p>
    <w:p w:rsidR="00B705C5" w:rsidRPr="00217726" w:rsidRDefault="00B705C5" w:rsidP="00B705C5">
      <w:pPr>
        <w:spacing w:after="0" w:line="240" w:lineRule="auto"/>
        <w:ind w:left="720"/>
        <w:jc w:val="both"/>
        <w:rPr>
          <w:rFonts w:ascii="Cambria" w:hAnsi="Cambria"/>
          <w:color w:val="000000"/>
          <w:sz w:val="18"/>
          <w:szCs w:val="21"/>
          <w:lang w:val="es-ES"/>
        </w:rPr>
      </w:pPr>
    </w:p>
    <w:p w:rsidR="004F5680" w:rsidRPr="00217726" w:rsidRDefault="004F5680" w:rsidP="004F5680">
      <w:pPr>
        <w:numPr>
          <w:ilvl w:val="0"/>
          <w:numId w:val="4"/>
        </w:numPr>
        <w:spacing w:after="0" w:line="240" w:lineRule="auto"/>
        <w:jc w:val="both"/>
        <w:rPr>
          <w:rFonts w:ascii="Cambria" w:hAnsi="Cambria"/>
          <w:color w:val="000000"/>
          <w:sz w:val="18"/>
          <w:szCs w:val="21"/>
          <w:lang w:val="es-ES"/>
        </w:rPr>
      </w:pPr>
      <w:r w:rsidRPr="00217726">
        <w:rPr>
          <w:rFonts w:ascii="Cambria" w:hAnsi="Cambria"/>
          <w:color w:val="000000"/>
          <w:sz w:val="18"/>
          <w:szCs w:val="21"/>
          <w:lang w:val="es-ES"/>
        </w:rPr>
        <w:t>El “daño irreparable” consiste en la afectación sobre derechos que, por su propia naturaleza, no son susceptibles de reparación, restauración o adecuada indemnización.</w:t>
      </w:r>
    </w:p>
    <w:p w:rsidR="004F5680" w:rsidRPr="00217726" w:rsidRDefault="004F5680" w:rsidP="004F5680">
      <w:pPr>
        <w:spacing w:after="0" w:line="240" w:lineRule="auto"/>
        <w:jc w:val="both"/>
        <w:rPr>
          <w:rFonts w:ascii="Cambria" w:hAnsi="Cambria"/>
          <w:color w:val="000000"/>
          <w:sz w:val="21"/>
          <w:szCs w:val="21"/>
          <w:lang w:val="es-ES"/>
        </w:rPr>
      </w:pPr>
    </w:p>
    <w:p w:rsidR="00BD07BD" w:rsidRPr="004B08B4" w:rsidRDefault="00BD07BD" w:rsidP="004E1C1E">
      <w:pPr>
        <w:numPr>
          <w:ilvl w:val="0"/>
          <w:numId w:val="9"/>
        </w:numPr>
        <w:spacing w:after="0" w:line="240" w:lineRule="auto"/>
        <w:ind w:left="0" w:firstLine="360"/>
        <w:jc w:val="both"/>
        <w:rPr>
          <w:rFonts w:ascii="Cambria" w:hAnsi="Cambria"/>
          <w:color w:val="000000"/>
          <w:sz w:val="21"/>
          <w:szCs w:val="21"/>
          <w:lang w:val="es-ES_tradnl"/>
        </w:rPr>
      </w:pPr>
      <w:r w:rsidRPr="004B08B4">
        <w:rPr>
          <w:rFonts w:ascii="Cambria" w:hAnsi="Cambria"/>
          <w:color w:val="000000"/>
          <w:sz w:val="21"/>
          <w:szCs w:val="21"/>
          <w:lang w:val="es-MX"/>
        </w:rPr>
        <w:t xml:space="preserve">En el análisis de los mencionados requisitos, la Comisión reitera que los hechos que motivan una solicitud de medidas de cautelares no requieren estar plenamente comprobados, sino que la </w:t>
      </w:r>
      <w:r w:rsidRPr="004B08B4">
        <w:rPr>
          <w:rFonts w:ascii="Cambria" w:hAnsi="Cambria"/>
          <w:color w:val="000000"/>
          <w:sz w:val="21"/>
          <w:szCs w:val="21"/>
          <w:lang w:val="es-ES"/>
        </w:rPr>
        <w:t>información</w:t>
      </w:r>
      <w:r w:rsidRPr="004B08B4">
        <w:rPr>
          <w:rFonts w:ascii="Cambria" w:hAnsi="Cambria"/>
          <w:color w:val="000000"/>
          <w:sz w:val="21"/>
          <w:szCs w:val="21"/>
          <w:lang w:val="es-MX"/>
        </w:rPr>
        <w:t xml:space="preserve"> proporcionada debe ser apreciada desde una perspectiva </w:t>
      </w:r>
      <w:r w:rsidRPr="004B08B4">
        <w:rPr>
          <w:rFonts w:ascii="Cambria" w:hAnsi="Cambria"/>
          <w:i/>
          <w:color w:val="000000"/>
          <w:sz w:val="21"/>
          <w:szCs w:val="21"/>
          <w:lang w:val="es-MX"/>
        </w:rPr>
        <w:t>prima facie</w:t>
      </w:r>
      <w:r w:rsidRPr="004B08B4">
        <w:rPr>
          <w:rFonts w:ascii="Cambria" w:hAnsi="Cambria"/>
          <w:color w:val="000000"/>
          <w:sz w:val="21"/>
          <w:szCs w:val="21"/>
          <w:lang w:val="es-MX"/>
        </w:rPr>
        <w:t xml:space="preserve"> que permita identificar una situación de gravedad y urgencia de daño irreparable a los derechos</w:t>
      </w:r>
      <w:r w:rsidRPr="004B08B4">
        <w:rPr>
          <w:rFonts w:ascii="Cambria" w:hAnsi="Cambria"/>
          <w:color w:val="000000"/>
          <w:sz w:val="21"/>
          <w:szCs w:val="21"/>
          <w:vertAlign w:val="superscript"/>
        </w:rPr>
        <w:footnoteReference w:id="9"/>
      </w:r>
      <w:r w:rsidRPr="004B08B4">
        <w:rPr>
          <w:rFonts w:ascii="Cambria" w:hAnsi="Cambria"/>
          <w:color w:val="000000"/>
          <w:sz w:val="21"/>
          <w:szCs w:val="21"/>
          <w:lang w:val="es-MX"/>
        </w:rPr>
        <w:t xml:space="preserve">. </w:t>
      </w:r>
    </w:p>
    <w:p w:rsidR="00BD07BD" w:rsidRPr="004B08B4" w:rsidRDefault="00BD07BD" w:rsidP="004E1C1E">
      <w:pPr>
        <w:spacing w:after="0" w:line="240" w:lineRule="auto"/>
        <w:ind w:left="360"/>
        <w:jc w:val="both"/>
        <w:rPr>
          <w:rFonts w:ascii="Cambria" w:hAnsi="Cambria"/>
          <w:color w:val="000000"/>
          <w:sz w:val="21"/>
          <w:szCs w:val="21"/>
          <w:lang w:val="es-ES_tradnl"/>
        </w:rPr>
      </w:pPr>
    </w:p>
    <w:p w:rsidR="009A0504" w:rsidRDefault="004E1C1E" w:rsidP="00DD68BE">
      <w:pPr>
        <w:numPr>
          <w:ilvl w:val="0"/>
          <w:numId w:val="9"/>
        </w:numPr>
        <w:spacing w:after="0" w:line="240" w:lineRule="auto"/>
        <w:ind w:left="0" w:firstLine="360"/>
        <w:jc w:val="both"/>
        <w:rPr>
          <w:rFonts w:ascii="Cambria" w:hAnsi="Cambria"/>
          <w:sz w:val="21"/>
          <w:szCs w:val="21"/>
          <w:lang w:val="es-ES_tradnl"/>
        </w:rPr>
      </w:pPr>
      <w:r w:rsidRPr="004B08B4">
        <w:rPr>
          <w:rFonts w:ascii="Cambria" w:hAnsi="Cambria"/>
          <w:sz w:val="21"/>
          <w:szCs w:val="21"/>
          <w:lang w:val="es-ES_tradnl"/>
        </w:rPr>
        <w:lastRenderedPageBreak/>
        <w:t xml:space="preserve">En relación con el requisito de gravedad, </w:t>
      </w:r>
      <w:r w:rsidR="00E60391" w:rsidRPr="004B08B4">
        <w:rPr>
          <w:rFonts w:ascii="Cambria" w:hAnsi="Cambria"/>
          <w:sz w:val="21"/>
          <w:szCs w:val="21"/>
          <w:lang w:val="es-ES_tradnl"/>
        </w:rPr>
        <w:t>la Comisión observa</w:t>
      </w:r>
      <w:r w:rsidR="00D267A3">
        <w:rPr>
          <w:rFonts w:ascii="Cambria" w:hAnsi="Cambria"/>
          <w:sz w:val="21"/>
          <w:szCs w:val="21"/>
          <w:lang w:val="es-ES_tradnl"/>
        </w:rPr>
        <w:t xml:space="preserve"> a nivel contextual</w:t>
      </w:r>
      <w:r w:rsidR="00E60391" w:rsidRPr="004B08B4">
        <w:rPr>
          <w:rFonts w:ascii="Cambria" w:hAnsi="Cambria"/>
          <w:sz w:val="21"/>
          <w:szCs w:val="21"/>
          <w:lang w:val="es-ES_tradnl"/>
        </w:rPr>
        <w:t xml:space="preserve"> </w:t>
      </w:r>
      <w:r w:rsidR="00424BC7">
        <w:rPr>
          <w:rFonts w:ascii="Cambria" w:hAnsi="Cambria"/>
          <w:sz w:val="21"/>
          <w:szCs w:val="21"/>
          <w:lang w:val="es-ES_tradnl"/>
        </w:rPr>
        <w:t xml:space="preserve">que recientemente emitió </w:t>
      </w:r>
      <w:r w:rsidR="00424BC7" w:rsidRPr="00424BC7">
        <w:rPr>
          <w:rFonts w:ascii="Cambria" w:hAnsi="Cambria"/>
          <w:sz w:val="21"/>
          <w:szCs w:val="21"/>
          <w:lang w:val="es-ES_tradnl"/>
        </w:rPr>
        <w:t xml:space="preserve">un pronunciamiento conjunto </w:t>
      </w:r>
      <w:r w:rsidR="00424BC7">
        <w:rPr>
          <w:rFonts w:ascii="Cambria" w:hAnsi="Cambria"/>
          <w:sz w:val="21"/>
          <w:szCs w:val="21"/>
          <w:lang w:val="es-ES_tradnl"/>
        </w:rPr>
        <w:t xml:space="preserve">con </w:t>
      </w:r>
      <w:r w:rsidR="00424BC7" w:rsidRPr="00DD68BE">
        <w:rPr>
          <w:rFonts w:ascii="Cambria" w:hAnsi="Cambria"/>
          <w:sz w:val="21"/>
          <w:szCs w:val="21"/>
          <w:lang w:val="es-ES_tradnl"/>
        </w:rPr>
        <w:t xml:space="preserve">la Oficina del Alto Comisionado de las Naciones Unidas para los </w:t>
      </w:r>
      <w:r w:rsidR="00424BC7">
        <w:rPr>
          <w:rFonts w:ascii="Cambria" w:hAnsi="Cambria"/>
          <w:sz w:val="21"/>
          <w:szCs w:val="21"/>
          <w:lang w:val="es-ES_tradnl"/>
        </w:rPr>
        <w:t>D</w:t>
      </w:r>
      <w:r w:rsidR="00424BC7" w:rsidRPr="00DD68BE">
        <w:rPr>
          <w:rFonts w:ascii="Cambria" w:hAnsi="Cambria"/>
          <w:sz w:val="21"/>
          <w:szCs w:val="21"/>
          <w:lang w:val="es-ES_tradnl"/>
        </w:rPr>
        <w:t xml:space="preserve">erechos </w:t>
      </w:r>
      <w:r w:rsidR="00356DF2">
        <w:rPr>
          <w:rFonts w:ascii="Cambria" w:hAnsi="Cambria"/>
          <w:sz w:val="21"/>
          <w:szCs w:val="21"/>
          <w:lang w:val="es-ES_tradnl"/>
        </w:rPr>
        <w:t>Humanos en Honduras (OACNUDH)</w:t>
      </w:r>
      <w:r w:rsidR="00424BC7" w:rsidRPr="00DD68BE">
        <w:rPr>
          <w:rFonts w:ascii="Cambria" w:hAnsi="Cambria"/>
          <w:sz w:val="21"/>
          <w:szCs w:val="21"/>
          <w:lang w:val="es-ES_tradnl"/>
        </w:rPr>
        <w:t xml:space="preserve"> el 19 de enero de 2018</w:t>
      </w:r>
      <w:r w:rsidR="00424BC7" w:rsidRPr="004B08B4">
        <w:rPr>
          <w:rStyle w:val="FootnoteReference"/>
          <w:rFonts w:ascii="Cambria" w:hAnsi="Cambria"/>
          <w:sz w:val="21"/>
          <w:szCs w:val="21"/>
          <w:lang w:val="es-ES_tradnl"/>
        </w:rPr>
        <w:footnoteReference w:id="10"/>
      </w:r>
      <w:r w:rsidR="00356DF2">
        <w:rPr>
          <w:rFonts w:ascii="Cambria" w:hAnsi="Cambria"/>
          <w:sz w:val="21"/>
          <w:szCs w:val="21"/>
          <w:lang w:val="es-ES_tradnl"/>
        </w:rPr>
        <w:t>,</w:t>
      </w:r>
      <w:r w:rsidR="00424BC7">
        <w:rPr>
          <w:rFonts w:ascii="Cambria" w:hAnsi="Cambria"/>
          <w:sz w:val="21"/>
          <w:szCs w:val="21"/>
          <w:lang w:val="es-ES_tradnl"/>
        </w:rPr>
        <w:t xml:space="preserve"> expresando su preocupación por las </w:t>
      </w:r>
      <w:r w:rsidR="002714AA">
        <w:rPr>
          <w:rFonts w:ascii="Cambria" w:hAnsi="Cambria"/>
          <w:sz w:val="21"/>
          <w:szCs w:val="21"/>
          <w:lang w:val="es-ES_tradnl"/>
        </w:rPr>
        <w:t>“amenazas y hostigamientos contra defensoras y defensores de derechos humanos, periodistas y medios de comunicación, en el contexto post-electoral”</w:t>
      </w:r>
      <w:r w:rsidR="00424BC7">
        <w:rPr>
          <w:rFonts w:ascii="Cambria" w:hAnsi="Cambria"/>
          <w:sz w:val="21"/>
          <w:szCs w:val="21"/>
          <w:lang w:val="es-ES_tradnl"/>
        </w:rPr>
        <w:t xml:space="preserve"> en el Estado de Honduras</w:t>
      </w:r>
      <w:r w:rsidR="002714AA">
        <w:rPr>
          <w:rFonts w:ascii="Cambria" w:hAnsi="Cambria"/>
          <w:sz w:val="21"/>
          <w:szCs w:val="21"/>
          <w:lang w:val="es-ES_tradnl"/>
        </w:rPr>
        <w:t xml:space="preserve">. </w:t>
      </w:r>
    </w:p>
    <w:p w:rsidR="00084268" w:rsidRPr="00DD68BE" w:rsidRDefault="00084268" w:rsidP="00084268">
      <w:pPr>
        <w:spacing w:after="0" w:line="240" w:lineRule="auto"/>
        <w:ind w:left="360"/>
        <w:jc w:val="both"/>
        <w:rPr>
          <w:rFonts w:ascii="Cambria" w:hAnsi="Cambria"/>
          <w:sz w:val="21"/>
          <w:szCs w:val="21"/>
          <w:lang w:val="es-ES_tradnl"/>
        </w:rPr>
      </w:pPr>
    </w:p>
    <w:p w:rsidR="00473AD9" w:rsidRPr="004B08B4" w:rsidRDefault="009A0504" w:rsidP="004E1C1E">
      <w:pPr>
        <w:numPr>
          <w:ilvl w:val="0"/>
          <w:numId w:val="9"/>
        </w:numPr>
        <w:spacing w:after="0" w:line="240" w:lineRule="auto"/>
        <w:ind w:left="0" w:firstLine="360"/>
        <w:jc w:val="both"/>
        <w:rPr>
          <w:rFonts w:ascii="Cambria" w:hAnsi="Cambria"/>
          <w:sz w:val="21"/>
          <w:szCs w:val="21"/>
          <w:lang w:val="es-ES_tradnl"/>
        </w:rPr>
      </w:pPr>
      <w:r w:rsidRPr="004B08B4">
        <w:rPr>
          <w:rFonts w:ascii="Cambria" w:hAnsi="Cambria"/>
          <w:sz w:val="21"/>
          <w:szCs w:val="21"/>
          <w:lang w:val="es-ES_tradnl"/>
        </w:rPr>
        <w:t>Conforme a la información recibida, “[l]a OACNUDH ha podido documentar durante la crisis post electoral un número creciente de denuncias de actos de intimidación y hostigamiento contra personas defensoras de derechos humanos, líderes sociales, que habría afectado a más de 50 personas en los departamentos de Atlántida, Yoro, Cortes y Choluteca”</w:t>
      </w:r>
      <w:r w:rsidRPr="004B08B4">
        <w:rPr>
          <w:rStyle w:val="FootnoteReference"/>
          <w:rFonts w:ascii="Cambria" w:hAnsi="Cambria"/>
          <w:sz w:val="21"/>
          <w:szCs w:val="21"/>
          <w:lang w:val="es-ES_tradnl"/>
        </w:rPr>
        <w:footnoteReference w:id="11"/>
      </w:r>
      <w:r w:rsidRPr="004B08B4">
        <w:rPr>
          <w:rFonts w:ascii="Cambria" w:hAnsi="Cambria"/>
          <w:sz w:val="21"/>
          <w:szCs w:val="21"/>
          <w:lang w:val="es-ES_tradnl"/>
        </w:rPr>
        <w:t xml:space="preserve">. En particular, </w:t>
      </w:r>
      <w:r w:rsidR="00424BC7">
        <w:rPr>
          <w:rFonts w:ascii="Cambria" w:hAnsi="Cambria"/>
          <w:sz w:val="21"/>
          <w:szCs w:val="21"/>
          <w:lang w:val="es-ES_tradnl"/>
        </w:rPr>
        <w:t xml:space="preserve">se constató que </w:t>
      </w:r>
      <w:r w:rsidRPr="004B08B4">
        <w:rPr>
          <w:rFonts w:ascii="Cambria" w:hAnsi="Cambria"/>
          <w:sz w:val="21"/>
          <w:szCs w:val="21"/>
          <w:lang w:val="es-ES_tradnl"/>
        </w:rPr>
        <w:t>“[…] algunos periodistas habrían recibido amenazas y llamadas intimidatorias tras difundir información sobre el contexto político del país</w:t>
      </w:r>
      <w:r w:rsidR="00424BC7">
        <w:rPr>
          <w:rFonts w:ascii="Cambria" w:hAnsi="Cambria"/>
          <w:sz w:val="21"/>
          <w:szCs w:val="21"/>
          <w:lang w:val="es-ES_tradnl"/>
        </w:rPr>
        <w:t>”</w:t>
      </w:r>
      <w:r w:rsidR="00424BC7" w:rsidRPr="004B08B4">
        <w:rPr>
          <w:rStyle w:val="FootnoteReference"/>
          <w:rFonts w:ascii="Cambria" w:hAnsi="Cambria"/>
          <w:sz w:val="21"/>
          <w:szCs w:val="21"/>
          <w:lang w:val="es-ES_tradnl"/>
        </w:rPr>
        <w:footnoteReference w:id="12"/>
      </w:r>
      <w:r w:rsidRPr="004B08B4">
        <w:rPr>
          <w:rFonts w:ascii="Cambria" w:hAnsi="Cambria"/>
          <w:sz w:val="21"/>
          <w:szCs w:val="21"/>
          <w:lang w:val="es-ES_tradnl"/>
        </w:rPr>
        <w:t>.</w:t>
      </w:r>
    </w:p>
    <w:p w:rsidR="009A0504" w:rsidRPr="004B08B4" w:rsidRDefault="009A0504" w:rsidP="009A0504">
      <w:pPr>
        <w:spacing w:after="0" w:line="240" w:lineRule="auto"/>
        <w:ind w:left="360"/>
        <w:jc w:val="both"/>
        <w:rPr>
          <w:rFonts w:ascii="Cambria" w:hAnsi="Cambria"/>
          <w:sz w:val="21"/>
          <w:szCs w:val="21"/>
          <w:lang w:val="es-ES_tradnl"/>
        </w:rPr>
      </w:pPr>
    </w:p>
    <w:p w:rsidR="00D267A3" w:rsidRDefault="000218FB" w:rsidP="00DD68BE">
      <w:pPr>
        <w:numPr>
          <w:ilvl w:val="0"/>
          <w:numId w:val="9"/>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L</w:t>
      </w:r>
      <w:r w:rsidR="00424BC7">
        <w:rPr>
          <w:rFonts w:ascii="Cambria" w:hAnsi="Cambria"/>
          <w:sz w:val="21"/>
          <w:szCs w:val="21"/>
          <w:lang w:val="es-ES_tradnl"/>
        </w:rPr>
        <w:t xml:space="preserve">a Comisión </w:t>
      </w:r>
      <w:r w:rsidR="004665F0">
        <w:rPr>
          <w:rFonts w:ascii="Cambria" w:hAnsi="Cambria"/>
          <w:sz w:val="21"/>
          <w:szCs w:val="21"/>
          <w:lang w:val="es-ES_tradnl"/>
        </w:rPr>
        <w:t xml:space="preserve">considera </w:t>
      </w:r>
      <w:r w:rsidR="009A0504" w:rsidRPr="004B08B4">
        <w:rPr>
          <w:rFonts w:ascii="Cambria" w:hAnsi="Cambria"/>
          <w:sz w:val="21"/>
          <w:szCs w:val="21"/>
          <w:lang w:val="es-ES_tradnl"/>
        </w:rPr>
        <w:t xml:space="preserve">que </w:t>
      </w:r>
      <w:r w:rsidR="00D267A3">
        <w:rPr>
          <w:rFonts w:ascii="Cambria" w:hAnsi="Cambria"/>
          <w:sz w:val="21"/>
          <w:szCs w:val="21"/>
          <w:lang w:val="es-ES_tradnl"/>
        </w:rPr>
        <w:t xml:space="preserve">los anteriores </w:t>
      </w:r>
      <w:r w:rsidR="00AC2AD6" w:rsidRPr="004B08B4">
        <w:rPr>
          <w:rFonts w:ascii="Cambria" w:hAnsi="Cambria"/>
          <w:sz w:val="21"/>
          <w:szCs w:val="21"/>
          <w:lang w:val="es-ES_tradnl"/>
        </w:rPr>
        <w:t xml:space="preserve">elementos son </w:t>
      </w:r>
      <w:r w:rsidR="00E42FF6">
        <w:rPr>
          <w:rFonts w:ascii="Cambria" w:hAnsi="Cambria"/>
          <w:sz w:val="21"/>
          <w:szCs w:val="21"/>
          <w:lang w:val="es-ES_tradnl"/>
        </w:rPr>
        <w:t xml:space="preserve">relevantes al momento de valorar </w:t>
      </w:r>
      <w:r w:rsidR="00D267A3">
        <w:rPr>
          <w:rFonts w:ascii="Cambria" w:hAnsi="Cambria"/>
          <w:sz w:val="21"/>
          <w:szCs w:val="21"/>
          <w:lang w:val="es-ES_tradnl"/>
        </w:rPr>
        <w:t xml:space="preserve">la situación de riesgo planteada, </w:t>
      </w:r>
      <w:r w:rsidR="009B3F86">
        <w:rPr>
          <w:rFonts w:ascii="Cambria" w:hAnsi="Cambria"/>
          <w:sz w:val="21"/>
          <w:szCs w:val="21"/>
          <w:lang w:val="es-ES_tradnl"/>
        </w:rPr>
        <w:t>sobre todo</w:t>
      </w:r>
      <w:r w:rsidR="00BA6C4B">
        <w:rPr>
          <w:rFonts w:ascii="Cambria" w:hAnsi="Cambria"/>
          <w:sz w:val="21"/>
          <w:szCs w:val="21"/>
          <w:lang w:val="es-ES_tradnl"/>
        </w:rPr>
        <w:t>, teniendo en cuenta que</w:t>
      </w:r>
      <w:r w:rsidR="00344607">
        <w:rPr>
          <w:rFonts w:ascii="Cambria" w:hAnsi="Cambria"/>
          <w:sz w:val="21"/>
          <w:szCs w:val="21"/>
          <w:lang w:val="es-ES_tradnl"/>
        </w:rPr>
        <w:t>, según los solicitantes, la misma</w:t>
      </w:r>
      <w:r w:rsidR="00AB68BE">
        <w:rPr>
          <w:rFonts w:ascii="Cambria" w:hAnsi="Cambria"/>
          <w:sz w:val="21"/>
          <w:szCs w:val="21"/>
          <w:lang w:val="es-ES_tradnl"/>
        </w:rPr>
        <w:t xml:space="preserve"> </w:t>
      </w:r>
      <w:r w:rsidR="00AC2AD6" w:rsidRPr="004B08B4">
        <w:rPr>
          <w:rFonts w:ascii="Cambria" w:hAnsi="Cambria"/>
          <w:sz w:val="21"/>
          <w:szCs w:val="21"/>
          <w:lang w:val="es-ES_tradnl"/>
        </w:rPr>
        <w:t>estar</w:t>
      </w:r>
      <w:r w:rsidR="00F142AC" w:rsidRPr="004B08B4">
        <w:rPr>
          <w:rFonts w:ascii="Cambria" w:hAnsi="Cambria"/>
          <w:sz w:val="21"/>
          <w:szCs w:val="21"/>
          <w:lang w:val="es-ES_tradnl"/>
        </w:rPr>
        <w:t xml:space="preserve">ía relacionada con </w:t>
      </w:r>
      <w:r w:rsidR="00BA6C4B">
        <w:rPr>
          <w:rFonts w:ascii="Cambria" w:hAnsi="Cambria"/>
          <w:sz w:val="21"/>
          <w:szCs w:val="21"/>
          <w:lang w:val="es-ES_tradnl"/>
        </w:rPr>
        <w:t>el</w:t>
      </w:r>
      <w:r w:rsidR="00BA6C4B" w:rsidRPr="004B08B4">
        <w:rPr>
          <w:rFonts w:ascii="Cambria" w:hAnsi="Cambria"/>
          <w:sz w:val="21"/>
          <w:szCs w:val="21"/>
          <w:lang w:val="es-ES_tradnl"/>
        </w:rPr>
        <w:t xml:space="preserve"> </w:t>
      </w:r>
      <w:r w:rsidR="00F142AC" w:rsidRPr="004B08B4">
        <w:rPr>
          <w:rFonts w:ascii="Cambria" w:hAnsi="Cambria"/>
          <w:sz w:val="21"/>
          <w:szCs w:val="21"/>
          <w:lang w:val="es-ES_tradnl"/>
        </w:rPr>
        <w:t xml:space="preserve">papel </w:t>
      </w:r>
      <w:r w:rsidR="00BA6C4B">
        <w:rPr>
          <w:rFonts w:ascii="Cambria" w:hAnsi="Cambria"/>
          <w:sz w:val="21"/>
          <w:szCs w:val="21"/>
          <w:lang w:val="es-ES_tradnl"/>
        </w:rPr>
        <w:t xml:space="preserve">del señor Mejía </w:t>
      </w:r>
      <w:r w:rsidR="00F142AC" w:rsidRPr="004B08B4">
        <w:rPr>
          <w:rFonts w:ascii="Cambria" w:hAnsi="Cambria"/>
          <w:sz w:val="21"/>
          <w:szCs w:val="21"/>
          <w:lang w:val="es-ES_tradnl"/>
        </w:rPr>
        <w:t>como defensor de derechos humanos en Honduras y las denuncias de presunto fraude electoral que habría manifestado en repetidas oportunidades</w:t>
      </w:r>
      <w:r w:rsidR="00D267A3">
        <w:rPr>
          <w:rFonts w:ascii="Cambria" w:hAnsi="Cambria"/>
          <w:sz w:val="21"/>
          <w:szCs w:val="21"/>
          <w:lang w:val="es-ES_tradnl"/>
        </w:rPr>
        <w:t xml:space="preserve"> de manera reciente</w:t>
      </w:r>
      <w:r w:rsidR="00F142AC" w:rsidRPr="004B08B4">
        <w:rPr>
          <w:rFonts w:ascii="Cambria" w:hAnsi="Cambria"/>
          <w:sz w:val="21"/>
          <w:szCs w:val="21"/>
          <w:lang w:val="es-ES_tradnl"/>
        </w:rPr>
        <w:t xml:space="preserve">. </w:t>
      </w:r>
      <w:r w:rsidR="00E42FF6">
        <w:rPr>
          <w:rFonts w:ascii="Cambria" w:hAnsi="Cambria"/>
          <w:sz w:val="21"/>
          <w:szCs w:val="21"/>
          <w:lang w:val="es-ES_tradnl"/>
        </w:rPr>
        <w:t xml:space="preserve"> </w:t>
      </w:r>
    </w:p>
    <w:p w:rsidR="00D267A3" w:rsidRDefault="00D267A3" w:rsidP="00813886">
      <w:pPr>
        <w:pStyle w:val="ListParagraph"/>
        <w:rPr>
          <w:sz w:val="21"/>
          <w:szCs w:val="21"/>
          <w:lang w:val="es-ES_tradnl"/>
        </w:rPr>
      </w:pPr>
    </w:p>
    <w:p w:rsidR="00E42FF6" w:rsidRDefault="000218FB" w:rsidP="00DD68BE">
      <w:pPr>
        <w:numPr>
          <w:ilvl w:val="0"/>
          <w:numId w:val="9"/>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En el presente asunto, l</w:t>
      </w:r>
      <w:r w:rsidR="00D267A3">
        <w:rPr>
          <w:rFonts w:ascii="Cambria" w:hAnsi="Cambria"/>
          <w:sz w:val="21"/>
          <w:szCs w:val="21"/>
          <w:lang w:val="es-ES_tradnl"/>
        </w:rPr>
        <w:t xml:space="preserve">a Comisión observa </w:t>
      </w:r>
      <w:r>
        <w:rPr>
          <w:rFonts w:ascii="Cambria" w:hAnsi="Cambria"/>
          <w:sz w:val="21"/>
          <w:szCs w:val="21"/>
          <w:lang w:val="es-ES_tradnl"/>
        </w:rPr>
        <w:t>que según la información aportada</w:t>
      </w:r>
      <w:r w:rsidR="006457D3">
        <w:rPr>
          <w:rFonts w:ascii="Cambria" w:hAnsi="Cambria"/>
          <w:sz w:val="21"/>
          <w:szCs w:val="21"/>
          <w:lang w:val="es-ES_tradnl"/>
        </w:rPr>
        <w:t>,</w:t>
      </w:r>
      <w:r>
        <w:rPr>
          <w:rFonts w:ascii="Cambria" w:hAnsi="Cambria"/>
          <w:sz w:val="21"/>
          <w:szCs w:val="21"/>
          <w:lang w:val="es-ES_tradnl"/>
        </w:rPr>
        <w:t xml:space="preserve"> en al menos dos </w:t>
      </w:r>
      <w:r w:rsidR="00D267A3" w:rsidRPr="00B53D6E">
        <w:rPr>
          <w:rFonts w:ascii="Cambria" w:hAnsi="Cambria"/>
          <w:sz w:val="21"/>
          <w:szCs w:val="21"/>
          <w:lang w:val="es-ES_tradnl"/>
        </w:rPr>
        <w:t xml:space="preserve">ocasiones </w:t>
      </w:r>
      <w:r>
        <w:rPr>
          <w:rFonts w:ascii="Cambria" w:hAnsi="Cambria"/>
          <w:sz w:val="21"/>
          <w:szCs w:val="21"/>
          <w:lang w:val="es-ES_tradnl"/>
        </w:rPr>
        <w:t>las perso</w:t>
      </w:r>
      <w:r w:rsidR="006457D3">
        <w:rPr>
          <w:rFonts w:ascii="Cambria" w:hAnsi="Cambria"/>
          <w:sz w:val="21"/>
          <w:szCs w:val="21"/>
          <w:lang w:val="es-ES_tradnl"/>
        </w:rPr>
        <w:t xml:space="preserve">nas </w:t>
      </w:r>
      <w:r w:rsidR="00C17612">
        <w:rPr>
          <w:rFonts w:ascii="Cambria" w:hAnsi="Cambria"/>
          <w:sz w:val="21"/>
          <w:szCs w:val="21"/>
          <w:lang w:val="es-ES_tradnl"/>
        </w:rPr>
        <w:t>nombradas</w:t>
      </w:r>
      <w:r w:rsidR="00786119">
        <w:rPr>
          <w:rFonts w:ascii="Cambria" w:hAnsi="Cambria"/>
          <w:sz w:val="21"/>
          <w:szCs w:val="21"/>
          <w:lang w:val="es-ES_tradnl"/>
        </w:rPr>
        <w:t xml:space="preserve"> </w:t>
      </w:r>
      <w:r w:rsidR="00C17612">
        <w:rPr>
          <w:rFonts w:ascii="Cambria" w:hAnsi="Cambria"/>
          <w:sz w:val="21"/>
          <w:szCs w:val="21"/>
          <w:lang w:val="es-ES_tradnl"/>
        </w:rPr>
        <w:t xml:space="preserve">como </w:t>
      </w:r>
      <w:r w:rsidR="006457D3">
        <w:rPr>
          <w:rFonts w:ascii="Cambria" w:hAnsi="Cambria"/>
          <w:sz w:val="21"/>
          <w:szCs w:val="21"/>
          <w:lang w:val="es-ES_tradnl"/>
        </w:rPr>
        <w:t>propuestas beneficiarias habrían</w:t>
      </w:r>
      <w:r>
        <w:rPr>
          <w:rFonts w:ascii="Cambria" w:hAnsi="Cambria"/>
          <w:sz w:val="21"/>
          <w:szCs w:val="21"/>
          <w:lang w:val="es-ES_tradnl"/>
        </w:rPr>
        <w:t xml:space="preserve"> recibido </w:t>
      </w:r>
      <w:r w:rsidR="00AF408D">
        <w:rPr>
          <w:rFonts w:ascii="Cambria" w:hAnsi="Cambria"/>
          <w:sz w:val="21"/>
          <w:szCs w:val="21"/>
          <w:lang w:val="es-ES_tradnl"/>
        </w:rPr>
        <w:t xml:space="preserve">recientemente </w:t>
      </w:r>
      <w:r>
        <w:rPr>
          <w:rFonts w:ascii="Cambria" w:hAnsi="Cambria"/>
          <w:sz w:val="21"/>
          <w:szCs w:val="21"/>
          <w:lang w:val="es-ES_tradnl"/>
        </w:rPr>
        <w:t xml:space="preserve">amenazas </w:t>
      </w:r>
      <w:r w:rsidR="006457D3">
        <w:rPr>
          <w:rFonts w:ascii="Cambria" w:hAnsi="Cambria"/>
          <w:sz w:val="21"/>
          <w:szCs w:val="21"/>
          <w:lang w:val="es-ES_tradnl"/>
        </w:rPr>
        <w:t xml:space="preserve">que </w:t>
      </w:r>
      <w:r>
        <w:rPr>
          <w:rFonts w:ascii="Cambria" w:hAnsi="Cambria"/>
          <w:sz w:val="21"/>
          <w:szCs w:val="21"/>
          <w:lang w:val="es-ES_tradnl"/>
        </w:rPr>
        <w:t xml:space="preserve">han aludido </w:t>
      </w:r>
      <w:r w:rsidR="00D267A3" w:rsidRPr="00B53D6E">
        <w:rPr>
          <w:rFonts w:ascii="Cambria" w:hAnsi="Cambria"/>
          <w:sz w:val="21"/>
          <w:szCs w:val="21"/>
          <w:lang w:val="es-ES_tradnl"/>
        </w:rPr>
        <w:t>expresamente a la posibilidad de que la familia entera sea asesinada</w:t>
      </w:r>
      <w:r w:rsidR="00D267A3" w:rsidRPr="00FF1EA8">
        <w:rPr>
          <w:rFonts w:ascii="Cambria" w:hAnsi="Cambria"/>
          <w:sz w:val="21"/>
          <w:szCs w:val="21"/>
          <w:lang w:val="es-ES_tradnl"/>
        </w:rPr>
        <w:t>.</w:t>
      </w:r>
      <w:r w:rsidR="00D267A3">
        <w:rPr>
          <w:rFonts w:ascii="Cambria" w:hAnsi="Cambria"/>
          <w:sz w:val="21"/>
          <w:szCs w:val="21"/>
          <w:lang w:val="es-ES_tradnl"/>
        </w:rPr>
        <w:t xml:space="preserve"> D</w:t>
      </w:r>
      <w:r w:rsidR="00D267A3" w:rsidRPr="00A83501">
        <w:rPr>
          <w:rFonts w:ascii="Cambria" w:hAnsi="Cambria"/>
          <w:sz w:val="21"/>
          <w:szCs w:val="21"/>
          <w:lang w:val="es-ES_tradnl"/>
        </w:rPr>
        <w:t>ebido a lo anterior, el señor Mejía y su familia habrían tenido qu</w:t>
      </w:r>
      <w:r w:rsidR="00D267A3" w:rsidRPr="00B53D6E">
        <w:rPr>
          <w:rFonts w:ascii="Cambria" w:hAnsi="Cambria"/>
          <w:sz w:val="21"/>
          <w:szCs w:val="21"/>
          <w:lang w:val="es-ES_tradnl"/>
        </w:rPr>
        <w:t xml:space="preserve">e abandonar su domicilio por temor a un posible atentado, algunos de ellos permaneciendo </w:t>
      </w:r>
      <w:r w:rsidR="00D267A3">
        <w:rPr>
          <w:rFonts w:ascii="Cambria" w:hAnsi="Cambria"/>
          <w:sz w:val="21"/>
          <w:szCs w:val="21"/>
          <w:lang w:val="es-ES_tradnl"/>
        </w:rPr>
        <w:t xml:space="preserve">aún en la clandestinidad. </w:t>
      </w:r>
      <w:r w:rsidR="009F5DBF">
        <w:rPr>
          <w:rFonts w:ascii="Cambria" w:hAnsi="Cambria"/>
          <w:sz w:val="21"/>
          <w:szCs w:val="21"/>
          <w:lang w:val="es-ES_tradnl"/>
        </w:rPr>
        <w:t>Asimismo, s</w:t>
      </w:r>
      <w:r w:rsidR="00D267A3">
        <w:rPr>
          <w:rFonts w:ascii="Cambria" w:hAnsi="Cambria"/>
          <w:sz w:val="21"/>
          <w:szCs w:val="21"/>
          <w:lang w:val="es-ES_tradnl"/>
        </w:rPr>
        <w:t xml:space="preserve">egún los solicitantes, </w:t>
      </w:r>
      <w:r w:rsidR="003D7786">
        <w:rPr>
          <w:rFonts w:ascii="Cambria" w:hAnsi="Cambria"/>
          <w:sz w:val="21"/>
          <w:szCs w:val="21"/>
          <w:lang w:val="es-ES_tradnl"/>
        </w:rPr>
        <w:t xml:space="preserve">tales hostigamientos persistirían y </w:t>
      </w:r>
      <w:r w:rsidR="00D267A3">
        <w:rPr>
          <w:rFonts w:ascii="Cambria" w:hAnsi="Cambria"/>
          <w:sz w:val="21"/>
          <w:szCs w:val="21"/>
          <w:lang w:val="es-ES_tradnl"/>
        </w:rPr>
        <w:t>en fechas recientes, personas desconocidas en motocicleta continúan siendo observadas cerca del lugar donde se encuentra el domicilio de los propuestos beneficiarios.</w:t>
      </w:r>
    </w:p>
    <w:p w:rsidR="00E42FF6" w:rsidRDefault="00E42FF6" w:rsidP="00084268">
      <w:pPr>
        <w:pStyle w:val="ListParagraph"/>
        <w:rPr>
          <w:sz w:val="21"/>
          <w:szCs w:val="21"/>
          <w:lang w:val="es-ES_tradnl"/>
        </w:rPr>
      </w:pPr>
    </w:p>
    <w:p w:rsidR="00FD01B3" w:rsidRDefault="00D267A3" w:rsidP="000218FB">
      <w:pPr>
        <w:numPr>
          <w:ilvl w:val="0"/>
          <w:numId w:val="9"/>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L</w:t>
      </w:r>
      <w:r w:rsidR="00F142AC" w:rsidRPr="004B08B4">
        <w:rPr>
          <w:rFonts w:ascii="Cambria" w:hAnsi="Cambria"/>
          <w:sz w:val="21"/>
          <w:szCs w:val="21"/>
          <w:lang w:val="es-ES_tradnl"/>
        </w:rPr>
        <w:t xml:space="preserve">a Comisión </w:t>
      </w:r>
      <w:r w:rsidR="00AB68BE">
        <w:rPr>
          <w:rFonts w:ascii="Cambria" w:hAnsi="Cambria"/>
          <w:sz w:val="21"/>
          <w:szCs w:val="21"/>
          <w:lang w:val="es-ES_tradnl"/>
        </w:rPr>
        <w:t>nota que</w:t>
      </w:r>
      <w:r w:rsidR="007040C4">
        <w:rPr>
          <w:rFonts w:ascii="Cambria" w:hAnsi="Cambria"/>
          <w:sz w:val="21"/>
          <w:szCs w:val="21"/>
          <w:lang w:val="es-ES_tradnl"/>
        </w:rPr>
        <w:t>,</w:t>
      </w:r>
      <w:r w:rsidR="00AB68BE">
        <w:rPr>
          <w:rFonts w:ascii="Cambria" w:hAnsi="Cambria"/>
          <w:sz w:val="21"/>
          <w:szCs w:val="21"/>
          <w:lang w:val="es-ES_tradnl"/>
        </w:rPr>
        <w:t xml:space="preserve"> </w:t>
      </w:r>
      <w:r w:rsidR="00F142AC" w:rsidRPr="004B08B4">
        <w:rPr>
          <w:rFonts w:ascii="Cambria" w:hAnsi="Cambria"/>
          <w:sz w:val="21"/>
          <w:szCs w:val="21"/>
          <w:lang w:val="es-ES_tradnl"/>
        </w:rPr>
        <w:t xml:space="preserve">conforme al escrito de los solicitantes, </w:t>
      </w:r>
      <w:r w:rsidR="003D7786">
        <w:rPr>
          <w:rFonts w:ascii="Cambria" w:hAnsi="Cambria"/>
          <w:sz w:val="21"/>
          <w:szCs w:val="21"/>
          <w:lang w:val="es-ES_tradnl"/>
        </w:rPr>
        <w:t xml:space="preserve">las </w:t>
      </w:r>
      <w:r w:rsidR="00F142AC" w:rsidRPr="004B08B4">
        <w:rPr>
          <w:rFonts w:ascii="Cambria" w:hAnsi="Cambria"/>
          <w:sz w:val="21"/>
          <w:szCs w:val="21"/>
          <w:lang w:val="es-ES_tradnl"/>
        </w:rPr>
        <w:t>amenazas y actos de hostigamiento</w:t>
      </w:r>
      <w:r>
        <w:rPr>
          <w:rFonts w:ascii="Cambria" w:hAnsi="Cambria"/>
          <w:sz w:val="21"/>
          <w:szCs w:val="21"/>
          <w:lang w:val="es-ES_tradnl"/>
        </w:rPr>
        <w:t xml:space="preserve">, </w:t>
      </w:r>
      <w:r w:rsidR="007040C4">
        <w:rPr>
          <w:rFonts w:ascii="Cambria" w:hAnsi="Cambria"/>
          <w:sz w:val="21"/>
          <w:szCs w:val="21"/>
          <w:lang w:val="es-ES_tradnl"/>
        </w:rPr>
        <w:t xml:space="preserve">habrían empezado </w:t>
      </w:r>
      <w:r w:rsidR="00F142AC" w:rsidRPr="004B08B4">
        <w:rPr>
          <w:rFonts w:ascii="Cambria" w:hAnsi="Cambria"/>
          <w:sz w:val="21"/>
          <w:szCs w:val="21"/>
          <w:lang w:val="es-ES_tradnl"/>
        </w:rPr>
        <w:t xml:space="preserve">a registrarse luego de que </w:t>
      </w:r>
      <w:r w:rsidR="004665F0">
        <w:rPr>
          <w:rFonts w:ascii="Cambria" w:hAnsi="Cambria"/>
          <w:sz w:val="21"/>
          <w:szCs w:val="21"/>
          <w:lang w:val="es-ES_tradnl"/>
        </w:rPr>
        <w:t>el señor Mejía realizara diversos pronunciamientos, especialmente a través del medio “Radio Progreso”</w:t>
      </w:r>
      <w:r w:rsidR="00386472">
        <w:rPr>
          <w:rStyle w:val="FootnoteReference"/>
          <w:rFonts w:ascii="Cambria" w:hAnsi="Cambria"/>
          <w:sz w:val="21"/>
          <w:szCs w:val="21"/>
          <w:lang w:val="es-ES_tradnl"/>
        </w:rPr>
        <w:footnoteReference w:id="13"/>
      </w:r>
      <w:r w:rsidR="0013767C">
        <w:rPr>
          <w:rFonts w:ascii="Cambria" w:hAnsi="Cambria"/>
          <w:sz w:val="21"/>
          <w:szCs w:val="21"/>
          <w:lang w:val="es-ES_tradnl"/>
        </w:rPr>
        <w:t xml:space="preserve"> </w:t>
      </w:r>
      <w:r w:rsidR="0012536B">
        <w:rPr>
          <w:rFonts w:ascii="Cambria" w:hAnsi="Cambria"/>
          <w:sz w:val="21"/>
          <w:szCs w:val="21"/>
          <w:lang w:val="es-ES_tradnl"/>
        </w:rPr>
        <w:t>en</w:t>
      </w:r>
      <w:r w:rsidR="004665F0">
        <w:rPr>
          <w:rFonts w:ascii="Cambria" w:hAnsi="Cambria"/>
          <w:sz w:val="21"/>
          <w:szCs w:val="21"/>
          <w:lang w:val="es-ES_tradnl"/>
        </w:rPr>
        <w:t xml:space="preserve"> relación con el reciente proceso electoral. Asimismo, </w:t>
      </w:r>
      <w:r w:rsidR="00FF1EA8">
        <w:rPr>
          <w:rFonts w:ascii="Cambria" w:hAnsi="Cambria"/>
          <w:sz w:val="21"/>
          <w:szCs w:val="21"/>
          <w:lang w:val="es-ES_tradnl"/>
        </w:rPr>
        <w:t>los presuntos eventos de riesgo</w:t>
      </w:r>
      <w:r w:rsidR="004665F0">
        <w:rPr>
          <w:rFonts w:ascii="Cambria" w:hAnsi="Cambria"/>
          <w:sz w:val="21"/>
          <w:szCs w:val="21"/>
          <w:lang w:val="es-ES_tradnl"/>
        </w:rPr>
        <w:t xml:space="preserve"> habrían </w:t>
      </w:r>
      <w:r w:rsidR="00F142AC" w:rsidRPr="004B08B4">
        <w:rPr>
          <w:rFonts w:ascii="Cambria" w:hAnsi="Cambria"/>
          <w:sz w:val="21"/>
          <w:szCs w:val="21"/>
          <w:lang w:val="es-ES_tradnl"/>
        </w:rPr>
        <w:t xml:space="preserve">cobrado fuerza </w:t>
      </w:r>
      <w:r w:rsidR="004665F0">
        <w:rPr>
          <w:rFonts w:ascii="Cambria" w:hAnsi="Cambria"/>
          <w:sz w:val="21"/>
          <w:szCs w:val="21"/>
          <w:lang w:val="es-ES_tradnl"/>
        </w:rPr>
        <w:t xml:space="preserve">tras </w:t>
      </w:r>
      <w:r w:rsidR="00F142AC" w:rsidRPr="004B08B4">
        <w:rPr>
          <w:rFonts w:ascii="Cambria" w:hAnsi="Cambria"/>
          <w:sz w:val="21"/>
          <w:szCs w:val="21"/>
          <w:lang w:val="es-ES_tradnl"/>
        </w:rPr>
        <w:t xml:space="preserve">una supuesta campaña de desprestigio y difamación </w:t>
      </w:r>
      <w:r w:rsidR="00356DF2">
        <w:rPr>
          <w:rFonts w:ascii="Cambria" w:hAnsi="Cambria"/>
          <w:sz w:val="21"/>
          <w:szCs w:val="21"/>
          <w:lang w:val="es-ES_tradnl"/>
        </w:rPr>
        <w:t xml:space="preserve">realizada </w:t>
      </w:r>
      <w:r w:rsidR="00F142AC" w:rsidRPr="004B08B4">
        <w:rPr>
          <w:rFonts w:ascii="Cambria" w:hAnsi="Cambria"/>
          <w:sz w:val="21"/>
          <w:szCs w:val="21"/>
          <w:lang w:val="es-ES_tradnl"/>
        </w:rPr>
        <w:t xml:space="preserve">por medio de redes sociales, </w:t>
      </w:r>
      <w:r w:rsidR="00FF1EA8">
        <w:rPr>
          <w:rFonts w:ascii="Cambria" w:hAnsi="Cambria"/>
          <w:sz w:val="21"/>
          <w:szCs w:val="21"/>
          <w:lang w:val="es-ES_tradnl"/>
        </w:rPr>
        <w:t>creándose</w:t>
      </w:r>
      <w:r w:rsidR="00F142AC" w:rsidRPr="004B08B4">
        <w:rPr>
          <w:rFonts w:ascii="Cambria" w:hAnsi="Cambria"/>
          <w:sz w:val="21"/>
          <w:szCs w:val="21"/>
          <w:lang w:val="es-ES_tradnl"/>
        </w:rPr>
        <w:t xml:space="preserve"> así un clima de animadversión en su contra</w:t>
      </w:r>
      <w:r w:rsidR="00A561C8" w:rsidRPr="004B08B4">
        <w:rPr>
          <w:rStyle w:val="FootnoteReference"/>
          <w:rFonts w:ascii="Cambria" w:hAnsi="Cambria"/>
          <w:sz w:val="21"/>
          <w:szCs w:val="21"/>
          <w:lang w:val="es-ES_tradnl"/>
        </w:rPr>
        <w:footnoteReference w:id="14"/>
      </w:r>
      <w:r w:rsidR="00C0379C" w:rsidRPr="004B08B4">
        <w:rPr>
          <w:rFonts w:ascii="Cambria" w:hAnsi="Cambria"/>
          <w:sz w:val="21"/>
          <w:szCs w:val="21"/>
          <w:lang w:val="es-ES_tradnl"/>
        </w:rPr>
        <w:t xml:space="preserve">. </w:t>
      </w:r>
    </w:p>
    <w:p w:rsidR="00FD01B3" w:rsidRPr="004B08B4" w:rsidRDefault="00FD01B3" w:rsidP="00813886">
      <w:pPr>
        <w:spacing w:after="0" w:line="240" w:lineRule="auto"/>
        <w:jc w:val="both"/>
        <w:rPr>
          <w:rFonts w:ascii="Cambria" w:hAnsi="Cambria"/>
          <w:sz w:val="21"/>
          <w:szCs w:val="21"/>
          <w:lang w:val="es-ES_tradnl"/>
        </w:rPr>
      </w:pPr>
    </w:p>
    <w:p w:rsidR="009E25B4" w:rsidRDefault="009F5DBF" w:rsidP="00786119">
      <w:pPr>
        <w:numPr>
          <w:ilvl w:val="0"/>
          <w:numId w:val="9"/>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S</w:t>
      </w:r>
      <w:r w:rsidR="00564542" w:rsidRPr="00A760AC">
        <w:rPr>
          <w:rFonts w:ascii="Cambria" w:hAnsi="Cambria"/>
          <w:sz w:val="21"/>
          <w:szCs w:val="21"/>
          <w:lang w:val="es-ES_tradnl"/>
        </w:rPr>
        <w:t xml:space="preserve">i bien la información el Estado </w:t>
      </w:r>
      <w:r w:rsidR="006E25E4">
        <w:rPr>
          <w:rFonts w:ascii="Cambria" w:hAnsi="Cambria"/>
          <w:sz w:val="21"/>
          <w:szCs w:val="21"/>
          <w:lang w:val="es-ES_tradnl"/>
        </w:rPr>
        <w:t xml:space="preserve">ha indicado que las </w:t>
      </w:r>
      <w:r w:rsidR="006E25E4" w:rsidRPr="006E25E4">
        <w:rPr>
          <w:rFonts w:ascii="Cambria" w:eastAsia="Times New Roman" w:hAnsi="Cambria"/>
          <w:color w:val="000000"/>
          <w:sz w:val="21"/>
          <w:szCs w:val="21"/>
          <w:lang w:val="es-CO"/>
        </w:rPr>
        <w:t xml:space="preserve">autoridades habrían tenido conocimiento de que el entorno domiciliario en el que habita el propuesto beneficiario es una zona con presencia de la Mara MS-13, </w:t>
      </w:r>
      <w:r w:rsidR="006E25E4">
        <w:rPr>
          <w:rFonts w:ascii="Cambria" w:hAnsi="Cambria"/>
          <w:sz w:val="21"/>
          <w:szCs w:val="21"/>
          <w:lang w:val="es-ES_tradnl"/>
        </w:rPr>
        <w:t>la Comisión advierte con preocupación que</w:t>
      </w:r>
      <w:r w:rsidR="00564542">
        <w:rPr>
          <w:rFonts w:ascii="Cambria" w:hAnsi="Cambria"/>
          <w:sz w:val="21"/>
          <w:szCs w:val="21"/>
          <w:lang w:val="es-ES_tradnl"/>
        </w:rPr>
        <w:t xml:space="preserve"> </w:t>
      </w:r>
      <w:r w:rsidR="00564542" w:rsidRPr="00DD68BE">
        <w:rPr>
          <w:rFonts w:ascii="Cambria" w:hAnsi="Cambria"/>
          <w:sz w:val="21"/>
          <w:szCs w:val="21"/>
          <w:lang w:val="es-CO"/>
        </w:rPr>
        <w:t xml:space="preserve">los </w:t>
      </w:r>
      <w:r w:rsidR="00564542">
        <w:rPr>
          <w:rFonts w:ascii="Cambria" w:hAnsi="Cambria"/>
          <w:sz w:val="21"/>
          <w:szCs w:val="21"/>
          <w:lang w:val="es-CO"/>
        </w:rPr>
        <w:t>solicitantes indica</w:t>
      </w:r>
      <w:r w:rsidR="00356DF2">
        <w:rPr>
          <w:rFonts w:ascii="Cambria" w:hAnsi="Cambria"/>
          <w:sz w:val="21"/>
          <w:szCs w:val="21"/>
          <w:lang w:val="es-CO"/>
        </w:rPr>
        <w:t>ro</w:t>
      </w:r>
      <w:r w:rsidR="00564542">
        <w:rPr>
          <w:rFonts w:ascii="Cambria" w:hAnsi="Cambria"/>
          <w:sz w:val="21"/>
          <w:szCs w:val="21"/>
          <w:lang w:val="es-CO"/>
        </w:rPr>
        <w:t xml:space="preserve">n que personal </w:t>
      </w:r>
      <w:r w:rsidR="00564542" w:rsidRPr="00DD68BE">
        <w:rPr>
          <w:rFonts w:ascii="Cambria" w:hAnsi="Cambria"/>
          <w:sz w:val="21"/>
          <w:szCs w:val="21"/>
          <w:lang w:val="es-CO"/>
        </w:rPr>
        <w:t xml:space="preserve">de la FNA les </w:t>
      </w:r>
      <w:r w:rsidR="00356DF2">
        <w:rPr>
          <w:rFonts w:ascii="Cambria" w:hAnsi="Cambria"/>
          <w:sz w:val="21"/>
          <w:szCs w:val="21"/>
          <w:lang w:val="es-CO"/>
        </w:rPr>
        <w:t>habrían</w:t>
      </w:r>
      <w:r w:rsidR="00564542">
        <w:rPr>
          <w:rFonts w:ascii="Cambria" w:hAnsi="Cambria"/>
          <w:sz w:val="21"/>
          <w:szCs w:val="21"/>
          <w:lang w:val="es-CO"/>
        </w:rPr>
        <w:t xml:space="preserve"> informado </w:t>
      </w:r>
      <w:r w:rsidR="00564542" w:rsidRPr="00DD68BE">
        <w:rPr>
          <w:rFonts w:ascii="Cambria" w:hAnsi="Cambria"/>
          <w:sz w:val="21"/>
          <w:szCs w:val="21"/>
          <w:lang w:val="es-CO"/>
        </w:rPr>
        <w:t xml:space="preserve">verbalmente que, por el </w:t>
      </w:r>
      <w:r w:rsidR="00564542" w:rsidRPr="00DD68BE">
        <w:rPr>
          <w:rFonts w:ascii="Cambria" w:hAnsi="Cambria"/>
          <w:i/>
          <w:sz w:val="21"/>
          <w:szCs w:val="21"/>
          <w:lang w:val="es-CO"/>
        </w:rPr>
        <w:t>modus operandi</w:t>
      </w:r>
      <w:r w:rsidR="00564542" w:rsidRPr="00DD68BE">
        <w:rPr>
          <w:rFonts w:ascii="Cambria" w:hAnsi="Cambria"/>
          <w:sz w:val="21"/>
          <w:szCs w:val="21"/>
          <w:lang w:val="es-CO"/>
        </w:rPr>
        <w:t xml:space="preserve">, es posible que los presuntos responsables no sean miembros de maras ni formen parte de una estructura organizada dedicada a la extorsión, sino que </w:t>
      </w:r>
      <w:r w:rsidR="00564542">
        <w:rPr>
          <w:rFonts w:ascii="Cambria" w:hAnsi="Cambria"/>
          <w:sz w:val="21"/>
          <w:szCs w:val="21"/>
          <w:lang w:val="es-CO"/>
        </w:rPr>
        <w:t xml:space="preserve">podrían </w:t>
      </w:r>
      <w:r w:rsidR="0013767C">
        <w:rPr>
          <w:rFonts w:ascii="Cambria" w:hAnsi="Cambria"/>
          <w:sz w:val="21"/>
          <w:szCs w:val="21"/>
          <w:lang w:val="es-CO"/>
        </w:rPr>
        <w:t xml:space="preserve">inclusive </w:t>
      </w:r>
      <w:r w:rsidR="00564542" w:rsidRPr="00DD68BE">
        <w:rPr>
          <w:rFonts w:ascii="Cambria" w:hAnsi="Cambria"/>
          <w:sz w:val="21"/>
          <w:szCs w:val="21"/>
          <w:lang w:val="es-CO"/>
        </w:rPr>
        <w:t>obedecer a otra motivación</w:t>
      </w:r>
      <w:r w:rsidR="00564542" w:rsidRPr="00A760AC">
        <w:rPr>
          <w:rFonts w:ascii="Cambria" w:hAnsi="Cambria"/>
          <w:sz w:val="21"/>
          <w:szCs w:val="21"/>
          <w:lang w:val="es-ES_tradnl"/>
        </w:rPr>
        <w:t>.</w:t>
      </w:r>
      <w:r w:rsidR="009B3F86">
        <w:rPr>
          <w:rFonts w:ascii="Cambria" w:hAnsi="Cambria"/>
          <w:sz w:val="21"/>
          <w:szCs w:val="21"/>
          <w:lang w:val="es-ES_tradnl"/>
        </w:rPr>
        <w:t xml:space="preserve"> </w:t>
      </w:r>
    </w:p>
    <w:p w:rsidR="009E25B4" w:rsidRDefault="009E25B4" w:rsidP="00084268">
      <w:pPr>
        <w:spacing w:after="0" w:line="240" w:lineRule="auto"/>
        <w:ind w:left="360"/>
        <w:jc w:val="both"/>
        <w:rPr>
          <w:rFonts w:ascii="Cambria" w:hAnsi="Cambria"/>
          <w:sz w:val="21"/>
          <w:szCs w:val="21"/>
          <w:lang w:val="es-ES_tradnl"/>
        </w:rPr>
      </w:pPr>
    </w:p>
    <w:p w:rsidR="009B3F86" w:rsidRDefault="000218FB" w:rsidP="009B3F86">
      <w:pPr>
        <w:numPr>
          <w:ilvl w:val="0"/>
          <w:numId w:val="9"/>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lastRenderedPageBreak/>
        <w:t>Por otra parte</w:t>
      </w:r>
      <w:r w:rsidR="009F5DBF">
        <w:rPr>
          <w:rFonts w:ascii="Cambria" w:hAnsi="Cambria"/>
          <w:sz w:val="21"/>
          <w:szCs w:val="21"/>
          <w:lang w:val="es-ES_tradnl"/>
        </w:rPr>
        <w:t xml:space="preserve">, </w:t>
      </w:r>
      <w:r w:rsidR="00AB68BE">
        <w:rPr>
          <w:rFonts w:ascii="Cambria" w:hAnsi="Cambria"/>
          <w:sz w:val="21"/>
          <w:szCs w:val="21"/>
          <w:lang w:val="es-ES_tradnl"/>
        </w:rPr>
        <w:t>l</w:t>
      </w:r>
      <w:r w:rsidR="00A9460B">
        <w:rPr>
          <w:rFonts w:ascii="Cambria" w:hAnsi="Cambria"/>
          <w:sz w:val="21"/>
          <w:szCs w:val="21"/>
          <w:lang w:val="es-ES_tradnl"/>
        </w:rPr>
        <w:t xml:space="preserve">a Comisión considera </w:t>
      </w:r>
      <w:r w:rsidR="003B6972" w:rsidRPr="004B08B4">
        <w:rPr>
          <w:rFonts w:ascii="Cambria" w:hAnsi="Cambria"/>
          <w:sz w:val="21"/>
          <w:szCs w:val="21"/>
          <w:lang w:val="es-ES_tradnl"/>
        </w:rPr>
        <w:t xml:space="preserve">que </w:t>
      </w:r>
      <w:r w:rsidR="008267AE" w:rsidRPr="004B08B4">
        <w:rPr>
          <w:rFonts w:ascii="Cambria" w:hAnsi="Cambria"/>
          <w:sz w:val="21"/>
          <w:szCs w:val="21"/>
          <w:lang w:val="es-ES_tradnl"/>
        </w:rPr>
        <w:t xml:space="preserve">otro elemento central </w:t>
      </w:r>
      <w:r w:rsidR="00A9460B">
        <w:rPr>
          <w:rFonts w:ascii="Cambria" w:hAnsi="Cambria"/>
          <w:sz w:val="21"/>
          <w:szCs w:val="21"/>
          <w:lang w:val="es-ES_tradnl"/>
        </w:rPr>
        <w:t xml:space="preserve">al momento de analizar la </w:t>
      </w:r>
      <w:r w:rsidR="009F5DBF">
        <w:rPr>
          <w:rFonts w:ascii="Cambria" w:hAnsi="Cambria"/>
          <w:sz w:val="21"/>
          <w:szCs w:val="21"/>
          <w:lang w:val="es-ES_tradnl"/>
        </w:rPr>
        <w:t xml:space="preserve">gravedad de la </w:t>
      </w:r>
      <w:r w:rsidR="00A9460B">
        <w:rPr>
          <w:rFonts w:ascii="Cambria" w:hAnsi="Cambria"/>
          <w:sz w:val="21"/>
          <w:szCs w:val="21"/>
          <w:lang w:val="es-ES_tradnl"/>
        </w:rPr>
        <w:t xml:space="preserve">situación planteada es </w:t>
      </w:r>
      <w:r w:rsidR="008267AE" w:rsidRPr="004B08B4">
        <w:rPr>
          <w:rFonts w:ascii="Cambria" w:hAnsi="Cambria"/>
          <w:sz w:val="21"/>
          <w:szCs w:val="21"/>
          <w:lang w:val="es-ES_tradnl"/>
        </w:rPr>
        <w:t xml:space="preserve">la ausencia de medidas de protección a favor del señor Mejía y su familia. </w:t>
      </w:r>
      <w:r w:rsidR="003E59D9">
        <w:rPr>
          <w:rFonts w:ascii="Cambria" w:hAnsi="Cambria"/>
          <w:sz w:val="21"/>
          <w:szCs w:val="21"/>
          <w:lang w:val="es-ES_tradnl"/>
        </w:rPr>
        <w:t>E</w:t>
      </w:r>
      <w:r w:rsidR="008267E2" w:rsidRPr="004B08B4">
        <w:rPr>
          <w:rFonts w:ascii="Cambria" w:hAnsi="Cambria"/>
          <w:sz w:val="21"/>
          <w:szCs w:val="21"/>
          <w:lang w:val="es-ES_tradnl"/>
        </w:rPr>
        <w:t xml:space="preserve">n </w:t>
      </w:r>
      <w:r w:rsidR="008267AE" w:rsidRPr="004B08B4">
        <w:rPr>
          <w:rFonts w:ascii="Cambria" w:hAnsi="Cambria"/>
          <w:sz w:val="21"/>
          <w:szCs w:val="21"/>
          <w:lang w:val="es-ES_tradnl"/>
        </w:rPr>
        <w:t>su respuesta, el Estado indicó que</w:t>
      </w:r>
      <w:r w:rsidR="00A9460B">
        <w:rPr>
          <w:rFonts w:ascii="Cambria" w:hAnsi="Cambria"/>
          <w:sz w:val="21"/>
          <w:szCs w:val="21"/>
          <w:lang w:val="es-ES_tradnl"/>
        </w:rPr>
        <w:t xml:space="preserve"> el propuesto beneficiario no fue acogid</w:t>
      </w:r>
      <w:r w:rsidR="008267E2">
        <w:rPr>
          <w:rFonts w:ascii="Cambria" w:hAnsi="Cambria"/>
          <w:sz w:val="21"/>
          <w:szCs w:val="21"/>
          <w:lang w:val="es-ES_tradnl"/>
        </w:rPr>
        <w:t>o</w:t>
      </w:r>
      <w:r w:rsidR="00A9460B">
        <w:rPr>
          <w:rFonts w:ascii="Cambria" w:hAnsi="Cambria"/>
          <w:sz w:val="21"/>
          <w:szCs w:val="21"/>
          <w:lang w:val="es-ES_tradnl"/>
        </w:rPr>
        <w:t xml:space="preserve"> por el mecanismo de protección interno para personas defensoras de derechos humanos debido a que</w:t>
      </w:r>
      <w:r w:rsidR="00564542">
        <w:rPr>
          <w:rFonts w:ascii="Cambria" w:hAnsi="Cambria"/>
          <w:sz w:val="21"/>
          <w:szCs w:val="21"/>
          <w:lang w:val="es-ES_tradnl"/>
        </w:rPr>
        <w:t xml:space="preserve"> </w:t>
      </w:r>
      <w:r w:rsidR="008267AE" w:rsidRPr="004B08B4">
        <w:rPr>
          <w:rFonts w:ascii="Cambria" w:hAnsi="Cambria"/>
          <w:sz w:val="21"/>
          <w:szCs w:val="21"/>
          <w:lang w:val="es-ES_tradnl"/>
        </w:rPr>
        <w:t>no se habría acreditado un nexo causal entre las presuntas amenazas y actos de hostigamiento y las actividades que llevaría a cabo el propuesto beneficiario en la defensa de los derechos humanos.</w:t>
      </w:r>
      <w:r w:rsidR="00587768">
        <w:rPr>
          <w:rFonts w:ascii="Cambria" w:hAnsi="Cambria"/>
          <w:sz w:val="21"/>
          <w:szCs w:val="21"/>
          <w:lang w:val="es-ES_tradnl"/>
        </w:rPr>
        <w:t xml:space="preserve"> </w:t>
      </w:r>
    </w:p>
    <w:p w:rsidR="004E3490" w:rsidRPr="009F5DBF" w:rsidRDefault="004E3490" w:rsidP="00813886">
      <w:pPr>
        <w:spacing w:after="0" w:line="240" w:lineRule="auto"/>
        <w:ind w:left="360"/>
        <w:jc w:val="both"/>
        <w:rPr>
          <w:rFonts w:ascii="Cambria" w:hAnsi="Cambria"/>
          <w:sz w:val="21"/>
          <w:szCs w:val="21"/>
          <w:lang w:val="es-ES_tradnl"/>
        </w:rPr>
      </w:pPr>
    </w:p>
    <w:p w:rsidR="00344607" w:rsidRPr="000218FB" w:rsidRDefault="004E3490" w:rsidP="00813886">
      <w:pPr>
        <w:numPr>
          <w:ilvl w:val="0"/>
          <w:numId w:val="9"/>
        </w:numPr>
        <w:spacing w:after="0" w:line="240" w:lineRule="auto"/>
        <w:ind w:left="0" w:firstLine="360"/>
        <w:jc w:val="both"/>
        <w:rPr>
          <w:rFonts w:ascii="Cambria" w:hAnsi="Cambria"/>
          <w:sz w:val="21"/>
          <w:szCs w:val="21"/>
          <w:lang w:val="es-ES_tradnl"/>
        </w:rPr>
      </w:pPr>
      <w:r w:rsidRPr="000218FB">
        <w:rPr>
          <w:rFonts w:ascii="Cambria" w:hAnsi="Cambria"/>
          <w:sz w:val="21"/>
          <w:szCs w:val="21"/>
          <w:lang w:val="es-ES_tradnl"/>
        </w:rPr>
        <w:t xml:space="preserve">En relación con este aspecto, </w:t>
      </w:r>
      <w:r w:rsidRPr="00813886">
        <w:rPr>
          <w:rFonts w:ascii="Cambria" w:hAnsi="Cambria"/>
          <w:sz w:val="21"/>
          <w:szCs w:val="21"/>
          <w:lang w:val="es-ES_tradnl"/>
        </w:rPr>
        <w:t xml:space="preserve">la Comisión </w:t>
      </w:r>
      <w:r w:rsidR="00344607" w:rsidRPr="00813886">
        <w:rPr>
          <w:rFonts w:ascii="Cambria" w:hAnsi="Cambria"/>
          <w:sz w:val="21"/>
          <w:szCs w:val="21"/>
          <w:lang w:val="es-ES_tradnl"/>
        </w:rPr>
        <w:t>recuerda que la identificación de la calidad de una persona como defensora de derechos humanos</w:t>
      </w:r>
      <w:r w:rsidR="0027361A" w:rsidRPr="000218FB">
        <w:rPr>
          <w:rFonts w:ascii="Cambria" w:hAnsi="Cambria"/>
          <w:sz w:val="21"/>
          <w:szCs w:val="21"/>
          <w:lang w:val="es-ES_tradnl"/>
        </w:rPr>
        <w:t xml:space="preserve"> se debe determinar de acuerdo </w:t>
      </w:r>
      <w:r w:rsidR="0027361A">
        <w:rPr>
          <w:rFonts w:ascii="Cambria" w:hAnsi="Cambria"/>
          <w:sz w:val="21"/>
          <w:szCs w:val="21"/>
          <w:lang w:val="es-ES_tradnl"/>
        </w:rPr>
        <w:t>con</w:t>
      </w:r>
      <w:r w:rsidR="00344607" w:rsidRPr="00813886">
        <w:rPr>
          <w:rFonts w:ascii="Cambria" w:hAnsi="Cambria"/>
          <w:sz w:val="21"/>
          <w:szCs w:val="21"/>
          <w:lang w:val="es-ES_tradnl"/>
        </w:rPr>
        <w:t xml:space="preserve"> las acciones realizadas por la misma y no en función de otros aspectos</w:t>
      </w:r>
      <w:r w:rsidR="00344607" w:rsidRPr="009F5DBF">
        <w:rPr>
          <w:rStyle w:val="FootnoteReference"/>
          <w:rFonts w:ascii="Cambria" w:hAnsi="Cambria"/>
          <w:sz w:val="21"/>
          <w:szCs w:val="21"/>
          <w:lang w:val="es-ES_tradnl"/>
        </w:rPr>
        <w:footnoteReference w:id="15"/>
      </w:r>
      <w:r w:rsidR="00344607" w:rsidRPr="00813886">
        <w:rPr>
          <w:rFonts w:ascii="Cambria" w:hAnsi="Cambria"/>
          <w:sz w:val="21"/>
          <w:szCs w:val="21"/>
          <w:lang w:val="es-ES_tradnl"/>
        </w:rPr>
        <w:t>.</w:t>
      </w:r>
      <w:r w:rsidRPr="009F5DBF">
        <w:rPr>
          <w:rFonts w:ascii="Cambria" w:hAnsi="Cambria"/>
          <w:sz w:val="21"/>
          <w:szCs w:val="21"/>
          <w:lang w:val="es-ES_tradnl"/>
        </w:rPr>
        <w:t xml:space="preserve"> </w:t>
      </w:r>
      <w:r w:rsidR="00447B4B" w:rsidRPr="009F5DBF">
        <w:rPr>
          <w:rFonts w:ascii="Cambria" w:hAnsi="Cambria"/>
          <w:sz w:val="21"/>
          <w:szCs w:val="21"/>
          <w:lang w:val="es-ES_tradnl"/>
        </w:rPr>
        <w:t xml:space="preserve">En </w:t>
      </w:r>
      <w:r w:rsidR="00AB68BE" w:rsidRPr="000218FB">
        <w:rPr>
          <w:rFonts w:ascii="Cambria" w:hAnsi="Cambria"/>
          <w:sz w:val="21"/>
          <w:szCs w:val="21"/>
          <w:lang w:val="es-ES_tradnl"/>
        </w:rPr>
        <w:t>consecuencia</w:t>
      </w:r>
      <w:r w:rsidR="00447B4B" w:rsidRPr="000218FB">
        <w:rPr>
          <w:rFonts w:ascii="Cambria" w:hAnsi="Cambria"/>
          <w:sz w:val="21"/>
          <w:szCs w:val="21"/>
          <w:lang w:val="es-ES_tradnl"/>
        </w:rPr>
        <w:t xml:space="preserve">, </w:t>
      </w:r>
      <w:r w:rsidR="00AB68BE" w:rsidRPr="000218FB">
        <w:rPr>
          <w:rFonts w:ascii="Cambria" w:hAnsi="Cambria"/>
          <w:sz w:val="21"/>
          <w:szCs w:val="21"/>
          <w:lang w:val="es-ES_tradnl"/>
        </w:rPr>
        <w:t xml:space="preserve">tal y como lo indicó </w:t>
      </w:r>
      <w:r w:rsidR="00447B4B" w:rsidRPr="000218FB">
        <w:rPr>
          <w:rFonts w:ascii="Cambria" w:hAnsi="Cambria"/>
          <w:sz w:val="21"/>
          <w:szCs w:val="21"/>
          <w:lang w:val="es-ES_tradnl"/>
        </w:rPr>
        <w:t>la Corte Interamericana – específicamente en un caso contra Honduras –</w:t>
      </w:r>
      <w:r w:rsidR="00447B4B" w:rsidRPr="00813886">
        <w:rPr>
          <w:rFonts w:ascii="Cambria" w:hAnsi="Cambria"/>
          <w:sz w:val="21"/>
          <w:szCs w:val="21"/>
          <w:lang w:val="es-ES_tradnl"/>
        </w:rPr>
        <w:t>cualquiera de las autoridades estatales que tome conocimiento de una situación de riesgo</w:t>
      </w:r>
      <w:r w:rsidR="00447B4B" w:rsidRPr="00084268">
        <w:rPr>
          <w:rFonts w:ascii="Cambria" w:hAnsi="Cambria"/>
          <w:sz w:val="21"/>
          <w:szCs w:val="21"/>
          <w:lang w:val="es-ES_tradnl"/>
        </w:rPr>
        <w:t xml:space="preserve"> </w:t>
      </w:r>
      <w:r w:rsidR="00447B4B">
        <w:rPr>
          <w:rFonts w:ascii="Cambria" w:hAnsi="Cambria"/>
          <w:sz w:val="21"/>
          <w:szCs w:val="21"/>
          <w:lang w:val="es-ES_tradnl"/>
        </w:rPr>
        <w:t>en relación con una persona defensora debe</w:t>
      </w:r>
      <w:r w:rsidR="00447B4B" w:rsidRPr="00084268">
        <w:rPr>
          <w:rFonts w:ascii="Cambria" w:hAnsi="Cambria"/>
          <w:sz w:val="21"/>
          <w:szCs w:val="21"/>
          <w:lang w:val="es-ES_tradnl"/>
        </w:rPr>
        <w:t xml:space="preserve"> identificar y valorar si la persona objeto de las amenazas y hostigamientos requiere de medidas de protección</w:t>
      </w:r>
      <w:r w:rsidR="00447B4B">
        <w:rPr>
          <w:rStyle w:val="FootnoteReference"/>
          <w:rFonts w:ascii="Cambria" w:hAnsi="Cambria"/>
          <w:sz w:val="21"/>
          <w:szCs w:val="21"/>
          <w:lang w:val="es-ES_tradnl"/>
        </w:rPr>
        <w:footnoteReference w:id="16"/>
      </w:r>
      <w:r w:rsidR="00447B4B" w:rsidRPr="00084268">
        <w:rPr>
          <w:rFonts w:ascii="Cambria" w:hAnsi="Cambria"/>
          <w:sz w:val="21"/>
          <w:szCs w:val="21"/>
          <w:lang w:val="es-ES_tradnl"/>
        </w:rPr>
        <w:t xml:space="preserve">. </w:t>
      </w:r>
      <w:r w:rsidR="009F5DBF">
        <w:rPr>
          <w:rFonts w:ascii="Cambria" w:hAnsi="Cambria"/>
          <w:sz w:val="21"/>
          <w:szCs w:val="21"/>
          <w:lang w:val="es-ES_tradnl"/>
        </w:rPr>
        <w:t xml:space="preserve">La Comisión ha </w:t>
      </w:r>
      <w:r w:rsidR="00C07DFB">
        <w:rPr>
          <w:rFonts w:ascii="Cambria" w:hAnsi="Cambria"/>
          <w:sz w:val="21"/>
          <w:szCs w:val="21"/>
          <w:lang w:val="es-ES_tradnl"/>
        </w:rPr>
        <w:t xml:space="preserve">resaltado la importancia de </w:t>
      </w:r>
      <w:r w:rsidR="009F5DBF">
        <w:rPr>
          <w:rFonts w:ascii="Cambria" w:hAnsi="Cambria"/>
          <w:sz w:val="21"/>
          <w:szCs w:val="21"/>
          <w:lang w:val="es-ES_tradnl"/>
        </w:rPr>
        <w:t xml:space="preserve">los mecanismos o programas </w:t>
      </w:r>
      <w:r w:rsidR="00FD01B3">
        <w:rPr>
          <w:rFonts w:ascii="Cambria" w:hAnsi="Cambria"/>
          <w:sz w:val="21"/>
          <w:szCs w:val="21"/>
          <w:lang w:val="es-ES_tradnl"/>
        </w:rPr>
        <w:t xml:space="preserve">nacionales </w:t>
      </w:r>
      <w:r w:rsidR="009F5DBF">
        <w:rPr>
          <w:rFonts w:ascii="Cambria" w:hAnsi="Cambria"/>
          <w:sz w:val="21"/>
          <w:szCs w:val="21"/>
          <w:lang w:val="es-ES_tradnl"/>
        </w:rPr>
        <w:t xml:space="preserve">de protección </w:t>
      </w:r>
      <w:r w:rsidR="00C07DFB">
        <w:rPr>
          <w:rFonts w:ascii="Cambria" w:hAnsi="Cambria"/>
          <w:sz w:val="21"/>
          <w:szCs w:val="21"/>
          <w:lang w:val="es-ES_tradnl"/>
        </w:rPr>
        <w:t xml:space="preserve">en vista de que pueden </w:t>
      </w:r>
      <w:r w:rsidR="00C07DFB" w:rsidRPr="000218FB">
        <w:rPr>
          <w:rFonts w:ascii="Cambria" w:hAnsi="Cambria"/>
          <w:sz w:val="21"/>
          <w:szCs w:val="21"/>
          <w:lang w:val="es-ES_tradnl"/>
        </w:rPr>
        <w:t xml:space="preserve">favorecer </w:t>
      </w:r>
      <w:r w:rsidR="009F5DBF" w:rsidRPr="000218FB">
        <w:rPr>
          <w:rFonts w:ascii="Cambria" w:hAnsi="Cambria"/>
          <w:sz w:val="21"/>
          <w:szCs w:val="21"/>
          <w:lang w:val="es-ES_tradnl"/>
        </w:rPr>
        <w:t>una intervención oportuna</w:t>
      </w:r>
      <w:r w:rsidR="006457D3">
        <w:rPr>
          <w:rFonts w:ascii="Cambria" w:hAnsi="Cambria"/>
          <w:sz w:val="21"/>
          <w:szCs w:val="21"/>
          <w:lang w:val="es-ES_tradnl"/>
        </w:rPr>
        <w:t xml:space="preserve"> y especializada</w:t>
      </w:r>
      <w:r w:rsidR="009F5DBF" w:rsidRPr="000218FB">
        <w:rPr>
          <w:rFonts w:ascii="Cambria" w:hAnsi="Cambria"/>
          <w:sz w:val="21"/>
          <w:szCs w:val="21"/>
          <w:lang w:val="es-ES_tradnl"/>
        </w:rPr>
        <w:t xml:space="preserve">, teniendo </w:t>
      </w:r>
      <w:r w:rsidR="00837F90">
        <w:rPr>
          <w:rFonts w:ascii="Cambria" w:hAnsi="Cambria"/>
          <w:sz w:val="21"/>
          <w:szCs w:val="21"/>
          <w:lang w:val="es-ES_tradnl"/>
        </w:rPr>
        <w:t xml:space="preserve">en cuenta </w:t>
      </w:r>
      <w:r w:rsidR="009F5DBF" w:rsidRPr="00FD01B3">
        <w:rPr>
          <w:rFonts w:ascii="Cambria" w:hAnsi="Cambria"/>
          <w:sz w:val="21"/>
          <w:szCs w:val="21"/>
          <w:lang w:val="es-ES_tradnl"/>
        </w:rPr>
        <w:t xml:space="preserve">el conjunto de aspectos </w:t>
      </w:r>
      <w:r w:rsidR="006457D3">
        <w:rPr>
          <w:rFonts w:ascii="Cambria" w:hAnsi="Cambria"/>
          <w:sz w:val="21"/>
          <w:szCs w:val="21"/>
          <w:lang w:val="es-ES_tradnl"/>
        </w:rPr>
        <w:t xml:space="preserve">tanto </w:t>
      </w:r>
      <w:r w:rsidR="009F5DBF" w:rsidRPr="00FD01B3">
        <w:rPr>
          <w:rFonts w:ascii="Cambria" w:hAnsi="Cambria"/>
          <w:sz w:val="21"/>
          <w:szCs w:val="21"/>
          <w:lang w:val="es-ES_tradnl"/>
        </w:rPr>
        <w:t xml:space="preserve">contextuales </w:t>
      </w:r>
      <w:r w:rsidR="000218FB">
        <w:rPr>
          <w:rFonts w:ascii="Cambria" w:hAnsi="Cambria"/>
          <w:sz w:val="21"/>
          <w:szCs w:val="21"/>
          <w:lang w:val="es-ES_tradnl"/>
        </w:rPr>
        <w:t>como específicos</w:t>
      </w:r>
      <w:r w:rsidR="006457D3" w:rsidRPr="006457D3">
        <w:rPr>
          <w:rFonts w:ascii="Cambria" w:hAnsi="Cambria"/>
          <w:sz w:val="21"/>
          <w:szCs w:val="21"/>
          <w:lang w:val="es-ES_tradnl"/>
        </w:rPr>
        <w:t xml:space="preserve"> </w:t>
      </w:r>
      <w:r w:rsidR="006457D3">
        <w:rPr>
          <w:rFonts w:ascii="Cambria" w:hAnsi="Cambria"/>
          <w:sz w:val="21"/>
          <w:szCs w:val="21"/>
          <w:lang w:val="es-ES_tradnl"/>
        </w:rPr>
        <w:t>al momento de analizar la situación de riesgo de una persona defensora</w:t>
      </w:r>
      <w:r w:rsidR="00C07DFB">
        <w:rPr>
          <w:rStyle w:val="FootnoteReference"/>
          <w:rFonts w:ascii="Cambria" w:hAnsi="Cambria"/>
          <w:sz w:val="21"/>
          <w:szCs w:val="21"/>
          <w:lang w:val="es-ES_tradnl"/>
        </w:rPr>
        <w:footnoteReference w:id="17"/>
      </w:r>
      <w:r w:rsidR="00C07DFB">
        <w:rPr>
          <w:rFonts w:ascii="Cambria" w:hAnsi="Cambria"/>
          <w:sz w:val="21"/>
          <w:szCs w:val="21"/>
          <w:lang w:val="es-ES_tradnl"/>
        </w:rPr>
        <w:t>.</w:t>
      </w:r>
    </w:p>
    <w:p w:rsidR="008267AE" w:rsidRPr="004B08B4" w:rsidRDefault="008267AE" w:rsidP="008267AE">
      <w:pPr>
        <w:spacing w:after="0" w:line="240" w:lineRule="auto"/>
        <w:ind w:left="360"/>
        <w:jc w:val="both"/>
        <w:rPr>
          <w:rFonts w:ascii="Cambria" w:hAnsi="Cambria"/>
          <w:sz w:val="21"/>
          <w:szCs w:val="21"/>
          <w:lang w:val="es-ES_tradnl"/>
        </w:rPr>
      </w:pPr>
    </w:p>
    <w:p w:rsidR="00813886" w:rsidRPr="00813886" w:rsidRDefault="008267E2" w:rsidP="00813886">
      <w:pPr>
        <w:numPr>
          <w:ilvl w:val="0"/>
          <w:numId w:val="9"/>
        </w:numPr>
        <w:spacing w:after="0" w:line="240" w:lineRule="auto"/>
        <w:ind w:left="0" w:firstLine="360"/>
        <w:jc w:val="both"/>
        <w:rPr>
          <w:rFonts w:ascii="Cambria" w:hAnsi="Cambria"/>
          <w:sz w:val="21"/>
          <w:szCs w:val="21"/>
          <w:lang w:val="es-ES_tradnl"/>
        </w:rPr>
      </w:pPr>
      <w:r>
        <w:rPr>
          <w:rFonts w:ascii="Cambria" w:hAnsi="Cambria"/>
          <w:sz w:val="21"/>
          <w:szCs w:val="21"/>
          <w:lang w:val="es-ES_tradnl"/>
        </w:rPr>
        <w:t xml:space="preserve">En </w:t>
      </w:r>
      <w:r w:rsidR="009B7D7E">
        <w:rPr>
          <w:rFonts w:ascii="Cambria" w:hAnsi="Cambria"/>
          <w:sz w:val="21"/>
          <w:szCs w:val="21"/>
          <w:lang w:val="es-ES_tradnl"/>
        </w:rPr>
        <w:t>el presente asunto</w:t>
      </w:r>
      <w:r>
        <w:rPr>
          <w:rFonts w:ascii="Cambria" w:hAnsi="Cambria"/>
          <w:sz w:val="21"/>
          <w:szCs w:val="21"/>
          <w:lang w:val="es-ES_tradnl"/>
        </w:rPr>
        <w:t>,</w:t>
      </w:r>
      <w:r w:rsidR="00813886">
        <w:rPr>
          <w:rFonts w:ascii="Cambria" w:hAnsi="Cambria"/>
          <w:sz w:val="21"/>
          <w:szCs w:val="21"/>
          <w:lang w:val="es-ES_tradnl"/>
        </w:rPr>
        <w:t xml:space="preserve"> </w:t>
      </w:r>
      <w:r w:rsidR="00813886" w:rsidRPr="00813886">
        <w:rPr>
          <w:rFonts w:ascii="Cambria" w:hAnsi="Cambria"/>
          <w:sz w:val="21"/>
          <w:szCs w:val="21"/>
          <w:lang w:val="es-ES_tradnl"/>
        </w:rPr>
        <w:t>la Comisión observa con preocupación que, al día de la fecha, no se tiene conocimiento de que el Estado haya adoptado medidas de protección a favor del señor Mejía y su núcleo familiar. Lo anterior, a pesar de que las autoridades – incluyendo las del mecanismo de protección – habrían sido informadas sobre la situación de riesgo del propuesto beneficiario, la cual se enmarcaría en un contexto señalado tanto por la Comisión como la OACNUDH en un reciente pronunciamiento</w:t>
      </w:r>
      <w:r w:rsidR="006C079D" w:rsidRPr="00084268">
        <w:rPr>
          <w:vertAlign w:val="superscript"/>
        </w:rPr>
        <w:footnoteReference w:id="18"/>
      </w:r>
      <w:r w:rsidR="00813886" w:rsidRPr="00813886">
        <w:rPr>
          <w:rFonts w:ascii="Cambria" w:hAnsi="Cambria"/>
          <w:sz w:val="21"/>
          <w:szCs w:val="21"/>
          <w:lang w:val="es-ES_tradnl"/>
        </w:rPr>
        <w:t>. Adicionalmente, en el marco del procedimiento, el Estado no ha controvertido que el propuesto beneficiario desempeñase labores de defensa de derechos humanos</w:t>
      </w:r>
      <w:r w:rsidR="00813886">
        <w:rPr>
          <w:rFonts w:ascii="Cambria" w:hAnsi="Cambria"/>
          <w:sz w:val="21"/>
          <w:szCs w:val="21"/>
          <w:lang w:val="es-ES_tradnl"/>
        </w:rPr>
        <w:t>.</w:t>
      </w:r>
    </w:p>
    <w:p w:rsidR="00813886" w:rsidRDefault="00813886" w:rsidP="00813886">
      <w:pPr>
        <w:spacing w:after="0" w:line="240" w:lineRule="auto"/>
        <w:ind w:left="360"/>
        <w:jc w:val="both"/>
        <w:rPr>
          <w:rFonts w:ascii="Cambria" w:hAnsi="Cambria"/>
          <w:color w:val="000000"/>
          <w:sz w:val="21"/>
          <w:szCs w:val="21"/>
          <w:lang w:val="es-ES_tradnl"/>
        </w:rPr>
      </w:pPr>
    </w:p>
    <w:p w:rsidR="00F006D8" w:rsidRPr="00217726" w:rsidRDefault="006816A0" w:rsidP="00BD07BD">
      <w:pPr>
        <w:numPr>
          <w:ilvl w:val="0"/>
          <w:numId w:val="9"/>
        </w:numPr>
        <w:spacing w:after="0" w:line="240" w:lineRule="auto"/>
        <w:ind w:left="0" w:firstLine="360"/>
        <w:jc w:val="both"/>
        <w:rPr>
          <w:rFonts w:ascii="Cambria" w:hAnsi="Cambria"/>
          <w:color w:val="000000"/>
          <w:sz w:val="21"/>
          <w:szCs w:val="21"/>
          <w:lang w:val="es-ES_tradnl"/>
        </w:rPr>
      </w:pPr>
      <w:r w:rsidRPr="00217726">
        <w:rPr>
          <w:rFonts w:ascii="Cambria" w:hAnsi="Cambria"/>
          <w:color w:val="000000"/>
          <w:sz w:val="21"/>
          <w:szCs w:val="21"/>
          <w:lang w:val="es-ES_tradnl"/>
        </w:rPr>
        <w:t xml:space="preserve">En vista de lo indicado, la Comisión considera que </w:t>
      </w:r>
      <w:r w:rsidR="009B7D7E">
        <w:rPr>
          <w:rFonts w:ascii="Cambria" w:hAnsi="Cambria"/>
          <w:color w:val="000000"/>
          <w:sz w:val="21"/>
          <w:szCs w:val="21"/>
          <w:lang w:val="es-ES_tradnl"/>
        </w:rPr>
        <w:t>una valoración de los aspectos concretos de riesgo alegados</w:t>
      </w:r>
      <w:r w:rsidR="000218FB">
        <w:rPr>
          <w:rFonts w:ascii="Cambria" w:hAnsi="Cambria"/>
          <w:color w:val="000000"/>
          <w:sz w:val="21"/>
          <w:szCs w:val="21"/>
          <w:lang w:val="es-ES_tradnl"/>
        </w:rPr>
        <w:t xml:space="preserve"> a la luz </w:t>
      </w:r>
      <w:r w:rsidR="009B7D7E">
        <w:rPr>
          <w:rFonts w:ascii="Cambria" w:hAnsi="Cambria"/>
          <w:color w:val="000000"/>
          <w:sz w:val="21"/>
          <w:szCs w:val="21"/>
          <w:lang w:val="es-ES_tradnl"/>
        </w:rPr>
        <w:t>del contexto en que tendrían lugar</w:t>
      </w:r>
      <w:r w:rsidR="000218FB">
        <w:rPr>
          <w:rFonts w:ascii="Cambria" w:hAnsi="Cambria"/>
          <w:color w:val="000000"/>
          <w:sz w:val="21"/>
          <w:szCs w:val="21"/>
          <w:lang w:val="es-ES_tradnl"/>
        </w:rPr>
        <w:t xml:space="preserve"> y</w:t>
      </w:r>
      <w:r w:rsidR="009B7D7E">
        <w:rPr>
          <w:rFonts w:ascii="Cambria" w:hAnsi="Cambria"/>
          <w:color w:val="000000"/>
          <w:sz w:val="21"/>
          <w:szCs w:val="21"/>
          <w:lang w:val="es-ES_tradnl"/>
        </w:rPr>
        <w:t xml:space="preserve"> en ausencia de medidas </w:t>
      </w:r>
      <w:r w:rsidR="00FD01B3">
        <w:rPr>
          <w:rFonts w:ascii="Cambria" w:hAnsi="Cambria"/>
          <w:color w:val="000000"/>
          <w:sz w:val="21"/>
          <w:szCs w:val="21"/>
          <w:lang w:val="es-ES_tradnl"/>
        </w:rPr>
        <w:t xml:space="preserve">estatales </w:t>
      </w:r>
      <w:r w:rsidR="009B7D7E">
        <w:rPr>
          <w:rFonts w:ascii="Cambria" w:hAnsi="Cambria"/>
          <w:color w:val="000000"/>
          <w:sz w:val="21"/>
          <w:szCs w:val="21"/>
          <w:lang w:val="es-ES_tradnl"/>
        </w:rPr>
        <w:t xml:space="preserve">de protección, permiten considerar desde el estándar </w:t>
      </w:r>
      <w:r w:rsidR="009B7D7E" w:rsidRPr="00084268">
        <w:rPr>
          <w:rFonts w:ascii="Cambria" w:hAnsi="Cambria"/>
          <w:i/>
          <w:color w:val="000000"/>
          <w:sz w:val="21"/>
          <w:szCs w:val="21"/>
          <w:lang w:val="es-ES_tradnl"/>
        </w:rPr>
        <w:t>prima</w:t>
      </w:r>
      <w:r w:rsidR="009B7D7E">
        <w:rPr>
          <w:rFonts w:ascii="Cambria" w:hAnsi="Cambria"/>
          <w:color w:val="000000"/>
          <w:sz w:val="21"/>
          <w:szCs w:val="21"/>
          <w:lang w:val="es-ES_tradnl"/>
        </w:rPr>
        <w:t xml:space="preserve"> </w:t>
      </w:r>
      <w:r w:rsidR="009B7D7E" w:rsidRPr="00084268">
        <w:rPr>
          <w:rFonts w:ascii="Cambria" w:hAnsi="Cambria"/>
          <w:i/>
          <w:color w:val="000000"/>
          <w:sz w:val="21"/>
          <w:szCs w:val="21"/>
          <w:lang w:val="es-ES_tradnl"/>
        </w:rPr>
        <w:t>facie</w:t>
      </w:r>
      <w:r w:rsidR="009B7D7E">
        <w:rPr>
          <w:rFonts w:ascii="Cambria" w:hAnsi="Cambria"/>
          <w:color w:val="000000"/>
          <w:sz w:val="21"/>
          <w:szCs w:val="21"/>
          <w:lang w:val="es-ES_tradnl"/>
        </w:rPr>
        <w:t xml:space="preserve"> aplicable, que </w:t>
      </w:r>
      <w:r w:rsidRPr="00217726">
        <w:rPr>
          <w:rFonts w:ascii="Cambria" w:hAnsi="Cambria"/>
          <w:color w:val="000000"/>
          <w:sz w:val="21"/>
          <w:szCs w:val="21"/>
          <w:lang w:val="es-ES_tradnl"/>
        </w:rPr>
        <w:t>sus derechos a la vida e integridad personal</w:t>
      </w:r>
      <w:r w:rsidR="009B7D7E">
        <w:rPr>
          <w:rFonts w:ascii="Cambria" w:hAnsi="Cambria"/>
          <w:color w:val="000000"/>
          <w:sz w:val="21"/>
          <w:szCs w:val="21"/>
          <w:lang w:val="es-ES_tradnl"/>
        </w:rPr>
        <w:t xml:space="preserve"> </w:t>
      </w:r>
      <w:r w:rsidR="009B7D7E" w:rsidRPr="00217726">
        <w:rPr>
          <w:rFonts w:ascii="Cambria" w:hAnsi="Cambria"/>
          <w:color w:val="000000"/>
          <w:sz w:val="21"/>
          <w:szCs w:val="21"/>
          <w:lang w:val="es-ES_tradnl"/>
        </w:rPr>
        <w:t>se encuentran en una situación de grave riesgo</w:t>
      </w:r>
      <w:r w:rsidR="009B7D7E">
        <w:rPr>
          <w:rFonts w:ascii="Cambria" w:hAnsi="Cambria"/>
          <w:color w:val="000000"/>
          <w:sz w:val="21"/>
          <w:szCs w:val="21"/>
          <w:lang w:val="es-ES_tradnl"/>
        </w:rPr>
        <w:t>.</w:t>
      </w:r>
    </w:p>
    <w:p w:rsidR="006816A0" w:rsidRPr="00217726" w:rsidRDefault="006816A0" w:rsidP="006816A0">
      <w:pPr>
        <w:spacing w:after="0" w:line="240" w:lineRule="auto"/>
        <w:ind w:left="360"/>
        <w:jc w:val="both"/>
        <w:rPr>
          <w:rFonts w:ascii="Cambria" w:hAnsi="Cambria"/>
          <w:color w:val="000000"/>
          <w:sz w:val="21"/>
          <w:szCs w:val="21"/>
          <w:lang w:val="es-ES_tradnl"/>
        </w:rPr>
      </w:pPr>
    </w:p>
    <w:p w:rsidR="006816A0" w:rsidRPr="00217726" w:rsidRDefault="006816A0" w:rsidP="00BD07BD">
      <w:pPr>
        <w:numPr>
          <w:ilvl w:val="0"/>
          <w:numId w:val="9"/>
        </w:numPr>
        <w:spacing w:after="0" w:line="240" w:lineRule="auto"/>
        <w:ind w:left="0" w:firstLine="360"/>
        <w:jc w:val="both"/>
        <w:rPr>
          <w:rFonts w:ascii="Cambria" w:hAnsi="Cambria"/>
          <w:color w:val="000000"/>
          <w:sz w:val="21"/>
          <w:szCs w:val="21"/>
          <w:lang w:val="es-ES_tradnl"/>
        </w:rPr>
      </w:pPr>
      <w:r w:rsidRPr="00217726">
        <w:rPr>
          <w:rFonts w:ascii="Cambria" w:hAnsi="Cambria"/>
          <w:color w:val="000000"/>
          <w:sz w:val="21"/>
          <w:szCs w:val="21"/>
          <w:lang w:val="es-ES_tradnl"/>
        </w:rPr>
        <w:t xml:space="preserve">En cuanto al requisito de urgencia, la Comisión </w:t>
      </w:r>
      <w:r w:rsidR="00670004" w:rsidRPr="00217726">
        <w:rPr>
          <w:rFonts w:ascii="Cambria" w:hAnsi="Cambria"/>
          <w:color w:val="000000"/>
          <w:sz w:val="21"/>
          <w:szCs w:val="21"/>
          <w:lang w:val="es-ES_tradnl"/>
        </w:rPr>
        <w:t xml:space="preserve">considera </w:t>
      </w:r>
      <w:r w:rsidR="00B45611" w:rsidRPr="00217726">
        <w:rPr>
          <w:rFonts w:ascii="Cambria" w:hAnsi="Cambria"/>
          <w:color w:val="000000"/>
          <w:sz w:val="21"/>
          <w:szCs w:val="21"/>
          <w:lang w:val="es-ES_tradnl"/>
        </w:rPr>
        <w:t>que la situación de riesgo de</w:t>
      </w:r>
      <w:r w:rsidR="00796594">
        <w:rPr>
          <w:rFonts w:ascii="Cambria" w:hAnsi="Cambria"/>
          <w:color w:val="000000"/>
          <w:sz w:val="21"/>
          <w:szCs w:val="21"/>
          <w:lang w:val="es-ES_tradnl"/>
        </w:rPr>
        <w:t xml:space="preserve"> los propuestos beneficiarios</w:t>
      </w:r>
      <w:r w:rsidR="00B45611" w:rsidRPr="00217726">
        <w:rPr>
          <w:rFonts w:ascii="Cambria" w:hAnsi="Cambria"/>
          <w:color w:val="000000"/>
          <w:sz w:val="21"/>
          <w:szCs w:val="21"/>
          <w:lang w:val="es-ES_tradnl"/>
        </w:rPr>
        <w:t xml:space="preserve"> es susceptible de </w:t>
      </w:r>
      <w:r w:rsidR="00587768">
        <w:rPr>
          <w:rFonts w:ascii="Cambria" w:hAnsi="Cambria"/>
          <w:color w:val="000000"/>
          <w:sz w:val="21"/>
          <w:szCs w:val="21"/>
          <w:lang w:val="es-ES_tradnl"/>
        </w:rPr>
        <w:t>materializarse</w:t>
      </w:r>
      <w:r w:rsidR="007040C4">
        <w:rPr>
          <w:rFonts w:ascii="Cambria" w:hAnsi="Cambria"/>
          <w:color w:val="000000"/>
          <w:sz w:val="21"/>
          <w:szCs w:val="21"/>
          <w:lang w:val="es-ES_tradnl"/>
        </w:rPr>
        <w:t>,</w:t>
      </w:r>
      <w:r w:rsidR="00587768">
        <w:rPr>
          <w:rFonts w:ascii="Cambria" w:hAnsi="Cambria"/>
          <w:color w:val="000000"/>
          <w:sz w:val="21"/>
          <w:szCs w:val="21"/>
          <w:lang w:val="es-ES_tradnl"/>
        </w:rPr>
        <w:t xml:space="preserve"> en vista de la </w:t>
      </w:r>
      <w:r w:rsidR="007040C4">
        <w:rPr>
          <w:rFonts w:ascii="Cambria" w:hAnsi="Cambria"/>
          <w:color w:val="000000"/>
          <w:sz w:val="21"/>
          <w:szCs w:val="21"/>
          <w:lang w:val="es-ES_tradnl"/>
        </w:rPr>
        <w:t xml:space="preserve">ausencia </w:t>
      </w:r>
      <w:r w:rsidR="00587768">
        <w:rPr>
          <w:rFonts w:ascii="Cambria" w:hAnsi="Cambria"/>
          <w:color w:val="000000"/>
          <w:sz w:val="21"/>
          <w:szCs w:val="21"/>
          <w:lang w:val="es-ES_tradnl"/>
        </w:rPr>
        <w:t xml:space="preserve">de medidas de protección. </w:t>
      </w:r>
      <w:r w:rsidR="007040C4">
        <w:rPr>
          <w:rFonts w:ascii="Cambria" w:hAnsi="Cambria"/>
          <w:color w:val="000000"/>
          <w:sz w:val="21"/>
          <w:szCs w:val="21"/>
          <w:lang w:val="es-ES_tradnl"/>
        </w:rPr>
        <w:t>T</w:t>
      </w:r>
      <w:r w:rsidR="00587768">
        <w:rPr>
          <w:rFonts w:ascii="Cambria" w:hAnsi="Cambria"/>
          <w:color w:val="000000"/>
          <w:sz w:val="21"/>
          <w:szCs w:val="21"/>
          <w:lang w:val="es-ES_tradnl"/>
        </w:rPr>
        <w:t xml:space="preserve">al situación podría </w:t>
      </w:r>
      <w:r w:rsidR="00B45611" w:rsidRPr="00217726">
        <w:rPr>
          <w:rFonts w:ascii="Cambria" w:hAnsi="Cambria"/>
          <w:color w:val="000000"/>
          <w:sz w:val="21"/>
          <w:szCs w:val="21"/>
          <w:lang w:val="es-ES_tradnl"/>
        </w:rPr>
        <w:t>perdurar en el futuro inmediato</w:t>
      </w:r>
      <w:r w:rsidR="00960706" w:rsidRPr="00217726">
        <w:rPr>
          <w:rFonts w:ascii="Cambria" w:hAnsi="Cambria"/>
          <w:color w:val="000000"/>
          <w:sz w:val="21"/>
          <w:szCs w:val="21"/>
          <w:lang w:val="es-ES_tradnl"/>
        </w:rPr>
        <w:t>,</w:t>
      </w:r>
      <w:r w:rsidR="00B45611" w:rsidRPr="00217726">
        <w:rPr>
          <w:rFonts w:ascii="Cambria" w:hAnsi="Cambria"/>
          <w:color w:val="000000"/>
          <w:sz w:val="21"/>
          <w:szCs w:val="21"/>
          <w:lang w:val="es-ES_tradnl"/>
        </w:rPr>
        <w:t xml:space="preserve"> conforme </w:t>
      </w:r>
      <w:r w:rsidR="00796594">
        <w:rPr>
          <w:rFonts w:ascii="Cambria" w:hAnsi="Cambria"/>
          <w:color w:val="000000"/>
          <w:sz w:val="21"/>
          <w:szCs w:val="21"/>
          <w:lang w:val="es-ES_tradnl"/>
        </w:rPr>
        <w:t>prosiga el señor Mejía en sus actividades co</w:t>
      </w:r>
      <w:r w:rsidR="001B6755">
        <w:rPr>
          <w:rFonts w:ascii="Cambria" w:hAnsi="Cambria"/>
          <w:color w:val="000000"/>
          <w:sz w:val="21"/>
          <w:szCs w:val="21"/>
          <w:lang w:val="es-ES_tradnl"/>
        </w:rPr>
        <w:t>mo defensor de derechos humanos</w:t>
      </w:r>
      <w:r w:rsidR="00796594">
        <w:rPr>
          <w:rFonts w:ascii="Cambria" w:hAnsi="Cambria"/>
          <w:color w:val="000000"/>
          <w:sz w:val="21"/>
          <w:szCs w:val="21"/>
          <w:lang w:val="es-ES_tradnl"/>
        </w:rPr>
        <w:t>.</w:t>
      </w:r>
      <w:r w:rsidR="00B45611" w:rsidRPr="00217726">
        <w:rPr>
          <w:rFonts w:ascii="Cambria" w:hAnsi="Cambria"/>
          <w:color w:val="000000"/>
          <w:sz w:val="21"/>
          <w:szCs w:val="21"/>
          <w:lang w:val="es-ES_tradnl"/>
        </w:rPr>
        <w:t xml:space="preserve"> </w:t>
      </w:r>
      <w:r w:rsidR="00587768">
        <w:rPr>
          <w:rFonts w:ascii="Cambria" w:hAnsi="Cambria"/>
          <w:color w:val="000000"/>
          <w:sz w:val="21"/>
          <w:szCs w:val="21"/>
          <w:lang w:val="es-ES_tradnl"/>
        </w:rPr>
        <w:t xml:space="preserve">La Comisión toma en cuenta al momento de considerar cumplido este requisito </w:t>
      </w:r>
      <w:r w:rsidR="00796594">
        <w:rPr>
          <w:rFonts w:ascii="Cambria" w:hAnsi="Cambria"/>
          <w:color w:val="000000"/>
          <w:sz w:val="21"/>
          <w:szCs w:val="21"/>
          <w:lang w:val="es-ES_tradnl"/>
        </w:rPr>
        <w:t xml:space="preserve">la existencia de </w:t>
      </w:r>
      <w:r w:rsidR="00AC090E">
        <w:rPr>
          <w:rFonts w:ascii="Cambria" w:hAnsi="Cambria"/>
          <w:color w:val="000000"/>
          <w:sz w:val="21"/>
          <w:szCs w:val="21"/>
          <w:lang w:val="es-ES_tradnl"/>
        </w:rPr>
        <w:t xml:space="preserve">graves </w:t>
      </w:r>
      <w:r w:rsidR="00796594">
        <w:rPr>
          <w:rFonts w:ascii="Cambria" w:hAnsi="Cambria"/>
          <w:color w:val="000000"/>
          <w:sz w:val="21"/>
          <w:szCs w:val="21"/>
          <w:lang w:val="es-ES_tradnl"/>
        </w:rPr>
        <w:t xml:space="preserve">amenazas recientes bajo la forma de ultimátums y su carácter cercano en el tiempo. </w:t>
      </w:r>
    </w:p>
    <w:p w:rsidR="00960706" w:rsidRPr="00217726" w:rsidRDefault="00960706" w:rsidP="00960706">
      <w:pPr>
        <w:spacing w:after="0" w:line="240" w:lineRule="auto"/>
        <w:ind w:left="360"/>
        <w:jc w:val="both"/>
        <w:rPr>
          <w:rFonts w:ascii="Cambria" w:hAnsi="Cambria"/>
          <w:color w:val="000000"/>
          <w:sz w:val="21"/>
          <w:szCs w:val="21"/>
          <w:lang w:val="es-ES_tradnl"/>
        </w:rPr>
      </w:pPr>
    </w:p>
    <w:p w:rsidR="00DD287F" w:rsidRDefault="00960706" w:rsidP="00DD287F">
      <w:pPr>
        <w:numPr>
          <w:ilvl w:val="0"/>
          <w:numId w:val="9"/>
        </w:numPr>
        <w:spacing w:after="0" w:line="240" w:lineRule="auto"/>
        <w:ind w:left="0" w:firstLine="360"/>
        <w:jc w:val="both"/>
        <w:rPr>
          <w:rFonts w:ascii="Cambria" w:hAnsi="Cambria"/>
          <w:color w:val="000000"/>
          <w:sz w:val="21"/>
          <w:szCs w:val="21"/>
          <w:lang w:val="es-ES_tradnl"/>
        </w:rPr>
      </w:pPr>
      <w:r w:rsidRPr="00217726">
        <w:rPr>
          <w:rFonts w:ascii="Cambria" w:hAnsi="Cambria"/>
          <w:color w:val="000000"/>
          <w:sz w:val="21"/>
          <w:szCs w:val="21"/>
          <w:lang w:val="es-ES_tradnl"/>
        </w:rPr>
        <w:t xml:space="preserve">En cuanto al requisito de irreparabilidad, la Comisión considera que se encuentra cumplido, en la medida que la posible afectación de los derechos a la vida e integridad personal constituye la máxima situación de irreparabilidad. </w:t>
      </w:r>
    </w:p>
    <w:p w:rsidR="00796594" w:rsidRDefault="00796594" w:rsidP="00796594">
      <w:pPr>
        <w:spacing w:after="0" w:line="240" w:lineRule="auto"/>
        <w:jc w:val="both"/>
        <w:rPr>
          <w:rFonts w:ascii="Cambria" w:hAnsi="Cambria"/>
          <w:color w:val="000000"/>
          <w:sz w:val="21"/>
          <w:szCs w:val="21"/>
          <w:lang w:val="es-ES_tradnl"/>
        </w:rPr>
      </w:pPr>
    </w:p>
    <w:p w:rsidR="00796594" w:rsidRPr="00796594" w:rsidRDefault="00796594" w:rsidP="00796594">
      <w:pPr>
        <w:numPr>
          <w:ilvl w:val="0"/>
          <w:numId w:val="9"/>
        </w:numPr>
        <w:spacing w:after="0" w:line="240" w:lineRule="auto"/>
        <w:ind w:left="0" w:firstLine="360"/>
        <w:jc w:val="both"/>
        <w:rPr>
          <w:rFonts w:ascii="Cambria" w:hAnsi="Cambria"/>
          <w:color w:val="000000"/>
          <w:sz w:val="21"/>
          <w:szCs w:val="21"/>
          <w:lang w:val="es-ES"/>
        </w:rPr>
      </w:pPr>
      <w:r w:rsidRPr="00796594">
        <w:rPr>
          <w:rFonts w:ascii="Cambria" w:hAnsi="Cambria"/>
          <w:color w:val="000000"/>
          <w:sz w:val="21"/>
          <w:szCs w:val="21"/>
          <w:lang w:val="es-ES"/>
        </w:rPr>
        <w:t xml:space="preserve">La Comisión desea reiterar la importancia de la labor de los defensores humanos en la región, </w:t>
      </w:r>
      <w:r w:rsidRPr="00796594">
        <w:rPr>
          <w:rFonts w:ascii="Cambria" w:hAnsi="Cambria"/>
          <w:color w:val="000000"/>
          <w:sz w:val="21"/>
          <w:szCs w:val="21"/>
          <w:lang w:val="es-ES_tradnl"/>
        </w:rPr>
        <w:t>haciendo</w:t>
      </w:r>
      <w:r w:rsidRPr="00796594">
        <w:rPr>
          <w:rFonts w:ascii="Cambria" w:hAnsi="Cambria"/>
          <w:color w:val="000000"/>
          <w:sz w:val="21"/>
          <w:szCs w:val="21"/>
          <w:lang w:val="es-ES"/>
        </w:rPr>
        <w:t xml:space="preserve"> especial énfasis en que los actos de violencia y otros ataques contra las y los defensores de </w:t>
      </w:r>
      <w:r w:rsidRPr="00796594">
        <w:rPr>
          <w:rFonts w:ascii="Cambria" w:hAnsi="Cambria"/>
          <w:color w:val="000000"/>
          <w:sz w:val="21"/>
          <w:szCs w:val="21"/>
          <w:lang w:val="es-ES"/>
        </w:rPr>
        <w:lastRenderedPageBreak/>
        <w:t>derechos humanos no solo afectan las garan</w:t>
      </w:r>
      <w:r w:rsidR="004927E0">
        <w:rPr>
          <w:rFonts w:ascii="Cambria" w:hAnsi="Cambria"/>
          <w:color w:val="000000"/>
          <w:sz w:val="21"/>
          <w:szCs w:val="21"/>
          <w:lang w:val="es-ES"/>
        </w:rPr>
        <w:t>tías propias de todo ser humano</w:t>
      </w:r>
      <w:r w:rsidRPr="00796594">
        <w:rPr>
          <w:rFonts w:ascii="Cambria" w:hAnsi="Cambria"/>
          <w:color w:val="000000"/>
          <w:sz w:val="21"/>
          <w:szCs w:val="21"/>
          <w:lang w:val="es-ES"/>
        </w:rPr>
        <w:t xml:space="preserve">, sino que atenta contra el papel fundamental que juegan en la sociedad y sume en la indefensión a todas aquellas personas para quienes trabajan. La Comisión recuerda asimismo que la labor de defensores y defensoras es esencial para la construcción de una sociedad democrática sólida y duradera, y tienen un papel protagónico en el proceso para el logro pleno del Estado de Derecho y el fortalecimiento de la democracia.  </w:t>
      </w:r>
      <w:r w:rsidRPr="00796594">
        <w:rPr>
          <w:rFonts w:ascii="Cambria" w:hAnsi="Cambria"/>
          <w:color w:val="000000"/>
          <w:sz w:val="21"/>
          <w:szCs w:val="21"/>
          <w:lang w:val="es-AR"/>
        </w:rPr>
        <w:t xml:space="preserve"> </w:t>
      </w:r>
    </w:p>
    <w:p w:rsidR="00DD287F" w:rsidRPr="00217726" w:rsidRDefault="00DD287F" w:rsidP="004927E0">
      <w:pPr>
        <w:spacing w:after="0" w:line="240" w:lineRule="auto"/>
        <w:jc w:val="both"/>
        <w:rPr>
          <w:rFonts w:ascii="Cambria" w:hAnsi="Cambria"/>
          <w:color w:val="000000"/>
          <w:sz w:val="21"/>
          <w:szCs w:val="21"/>
          <w:lang w:val="es-ES_tradnl"/>
        </w:rPr>
      </w:pPr>
    </w:p>
    <w:p w:rsidR="004F5680" w:rsidRPr="00217726" w:rsidRDefault="004F5680" w:rsidP="00960706">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BENEFICIARIOS</w:t>
      </w:r>
    </w:p>
    <w:p w:rsidR="00960706" w:rsidRPr="00217726" w:rsidRDefault="00960706" w:rsidP="00960706">
      <w:pPr>
        <w:spacing w:after="0" w:line="240" w:lineRule="auto"/>
        <w:ind w:left="720"/>
        <w:jc w:val="both"/>
        <w:rPr>
          <w:rFonts w:ascii="Cambria" w:hAnsi="Cambria"/>
          <w:b/>
          <w:color w:val="000000"/>
          <w:sz w:val="21"/>
          <w:szCs w:val="21"/>
          <w:lang w:val="es-ES"/>
        </w:rPr>
      </w:pPr>
    </w:p>
    <w:p w:rsidR="00C10692"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w:t>
      </w:r>
      <w:r w:rsidR="00960706" w:rsidRPr="00217726">
        <w:rPr>
          <w:rFonts w:ascii="Cambria" w:hAnsi="Cambria"/>
          <w:color w:val="000000"/>
          <w:sz w:val="21"/>
          <w:szCs w:val="21"/>
          <w:lang w:val="es-ES"/>
        </w:rPr>
        <w:t xml:space="preserve">Comisión declara que los beneficiarios de esta medida cautelar son </w:t>
      </w:r>
      <w:r w:rsidR="004927E0">
        <w:rPr>
          <w:rFonts w:ascii="Cambria" w:hAnsi="Cambria"/>
          <w:color w:val="000000"/>
          <w:sz w:val="21"/>
          <w:szCs w:val="21"/>
          <w:lang w:val="es-ES"/>
        </w:rPr>
        <w:t xml:space="preserve">el señor Joaquín Mejía Rivera y los miembros </w:t>
      </w:r>
      <w:r w:rsidR="00960706" w:rsidRPr="00217726">
        <w:rPr>
          <w:rFonts w:ascii="Cambria" w:hAnsi="Cambria"/>
          <w:color w:val="000000"/>
          <w:sz w:val="21"/>
          <w:szCs w:val="21"/>
          <w:lang w:val="es-ES"/>
        </w:rPr>
        <w:t>de su núcleo familiar, quienes han sido debidamente identificados en el marco de este procedimiento</w:t>
      </w:r>
      <w:r w:rsidR="00C10692" w:rsidRPr="00217726">
        <w:rPr>
          <w:rFonts w:ascii="Cambria" w:hAnsi="Cambria"/>
          <w:color w:val="000000"/>
          <w:sz w:val="21"/>
          <w:szCs w:val="21"/>
          <w:lang w:val="es-ES"/>
        </w:rPr>
        <w:t>.</w:t>
      </w:r>
    </w:p>
    <w:p w:rsidR="00C10692" w:rsidRPr="00217726" w:rsidRDefault="00C10692" w:rsidP="004F5680">
      <w:pPr>
        <w:spacing w:after="0" w:line="240" w:lineRule="auto"/>
        <w:jc w:val="both"/>
        <w:rPr>
          <w:rFonts w:ascii="Cambria" w:hAnsi="Cambria"/>
          <w:color w:val="000000"/>
          <w:sz w:val="21"/>
          <w:szCs w:val="21"/>
          <w:lang w:val="es-ES"/>
        </w:rPr>
      </w:pPr>
    </w:p>
    <w:p w:rsidR="004F5680" w:rsidRPr="00217726" w:rsidRDefault="00960706" w:rsidP="00960706">
      <w:pPr>
        <w:numPr>
          <w:ilvl w:val="0"/>
          <w:numId w:val="8"/>
        </w:numPr>
        <w:spacing w:after="0" w:line="240" w:lineRule="auto"/>
        <w:jc w:val="both"/>
        <w:rPr>
          <w:rFonts w:ascii="Cambria" w:hAnsi="Cambria"/>
          <w:b/>
          <w:color w:val="000000"/>
          <w:sz w:val="21"/>
          <w:szCs w:val="21"/>
          <w:lang w:val="es-ES"/>
        </w:rPr>
      </w:pPr>
      <w:r w:rsidRPr="00217726">
        <w:rPr>
          <w:rFonts w:ascii="Cambria" w:hAnsi="Cambria"/>
          <w:b/>
          <w:color w:val="000000"/>
          <w:sz w:val="21"/>
          <w:szCs w:val="21"/>
          <w:lang w:val="es-ES"/>
        </w:rPr>
        <w:t>DECISIÓ</w:t>
      </w:r>
      <w:r w:rsidR="004F5680" w:rsidRPr="00217726">
        <w:rPr>
          <w:rFonts w:ascii="Cambria" w:hAnsi="Cambria"/>
          <w:b/>
          <w:color w:val="000000"/>
          <w:sz w:val="21"/>
          <w:szCs w:val="21"/>
          <w:lang w:val="es-ES"/>
        </w:rPr>
        <w:t xml:space="preserve">N </w:t>
      </w:r>
    </w:p>
    <w:p w:rsidR="00960706" w:rsidRPr="00217726" w:rsidRDefault="00960706" w:rsidP="00960706">
      <w:pPr>
        <w:spacing w:after="0" w:line="240" w:lineRule="auto"/>
        <w:ind w:left="720"/>
        <w:jc w:val="both"/>
        <w:rPr>
          <w:rFonts w:ascii="Cambria" w:hAnsi="Cambria"/>
          <w:b/>
          <w:color w:val="000000"/>
          <w:sz w:val="21"/>
          <w:szCs w:val="21"/>
          <w:lang w:val="es-ES"/>
        </w:rPr>
      </w:pPr>
    </w:p>
    <w:p w:rsidR="00960706" w:rsidRPr="00217726" w:rsidRDefault="00960706"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Comisión Interamericana de Derechos Humanos considera que el presente asunto reúne </w:t>
      </w:r>
      <w:r w:rsidRPr="00217726">
        <w:rPr>
          <w:rFonts w:ascii="Cambria" w:hAnsi="Cambria"/>
          <w:i/>
          <w:color w:val="000000"/>
          <w:sz w:val="21"/>
          <w:szCs w:val="21"/>
          <w:lang w:val="es-ES"/>
        </w:rPr>
        <w:t>prima facie</w:t>
      </w:r>
      <w:r w:rsidRPr="00217726">
        <w:rPr>
          <w:rFonts w:ascii="Cambria" w:hAnsi="Cambria"/>
          <w:color w:val="000000"/>
          <w:sz w:val="21"/>
          <w:szCs w:val="21"/>
          <w:lang w:val="es-ES"/>
        </w:rPr>
        <w:t xml:space="preserve"> los requisitos de gravedad, urgencia e irreparabilidad contenidos en el artículo 25 de su Reglamento. En consecuencia, la Comisión solicita a Honduras que: </w:t>
      </w:r>
    </w:p>
    <w:p w:rsidR="00960706" w:rsidRDefault="00960706" w:rsidP="004F5680">
      <w:pPr>
        <w:spacing w:after="0" w:line="240" w:lineRule="auto"/>
        <w:jc w:val="both"/>
        <w:rPr>
          <w:rFonts w:ascii="Cambria" w:hAnsi="Cambria"/>
          <w:color w:val="000000"/>
          <w:sz w:val="21"/>
          <w:szCs w:val="21"/>
          <w:lang w:val="es-ES"/>
        </w:rPr>
      </w:pPr>
    </w:p>
    <w:p w:rsidR="004927E0" w:rsidRDefault="004927E0" w:rsidP="004927E0">
      <w:pPr>
        <w:numPr>
          <w:ilvl w:val="0"/>
          <w:numId w:val="18"/>
        </w:numPr>
        <w:spacing w:after="0" w:line="240" w:lineRule="auto"/>
        <w:jc w:val="both"/>
        <w:rPr>
          <w:rFonts w:ascii="Cambria" w:hAnsi="Cambria"/>
          <w:color w:val="000000"/>
          <w:sz w:val="21"/>
          <w:szCs w:val="21"/>
          <w:lang w:val="es-ES"/>
        </w:rPr>
      </w:pPr>
      <w:r w:rsidRPr="004927E0">
        <w:rPr>
          <w:rFonts w:ascii="Cambria" w:hAnsi="Cambria"/>
          <w:color w:val="000000"/>
          <w:sz w:val="21"/>
          <w:szCs w:val="21"/>
          <w:lang w:val="es-ES"/>
        </w:rPr>
        <w:t>adopte las medidas necesarias para preservar la vida y la integridad personal del señor Joaquín Mejía Rivera y los miembros identificados de su núcleo familiar;</w:t>
      </w:r>
    </w:p>
    <w:p w:rsidR="00587768" w:rsidRDefault="00587768" w:rsidP="00084268">
      <w:pPr>
        <w:spacing w:after="0" w:line="240" w:lineRule="auto"/>
        <w:ind w:left="720"/>
        <w:jc w:val="both"/>
        <w:rPr>
          <w:rFonts w:ascii="Cambria" w:hAnsi="Cambria"/>
          <w:color w:val="000000"/>
          <w:sz w:val="21"/>
          <w:szCs w:val="21"/>
          <w:lang w:val="es-ES"/>
        </w:rPr>
      </w:pPr>
    </w:p>
    <w:p w:rsidR="00587768" w:rsidRDefault="00587768" w:rsidP="004927E0">
      <w:pPr>
        <w:numPr>
          <w:ilvl w:val="0"/>
          <w:numId w:val="18"/>
        </w:numPr>
        <w:spacing w:after="0" w:line="240" w:lineRule="auto"/>
        <w:jc w:val="both"/>
        <w:rPr>
          <w:rFonts w:ascii="Cambria" w:hAnsi="Cambria"/>
          <w:color w:val="000000"/>
          <w:sz w:val="21"/>
          <w:szCs w:val="21"/>
          <w:lang w:val="es-ES"/>
        </w:rPr>
      </w:pPr>
      <w:r>
        <w:rPr>
          <w:rFonts w:ascii="Cambria" w:hAnsi="Cambria"/>
          <w:color w:val="000000"/>
          <w:sz w:val="21"/>
          <w:szCs w:val="21"/>
          <w:lang w:val="es-ES"/>
        </w:rPr>
        <w:t>adopte las medidas necesarias para asegurar que el señor Joaquín Mejía Rivera pueda desarrollar sus actividades como defensor de derechos humanos sin ser objeto de amenazas, hostigamiento o actos de violencia en el ejercicio de sus funciones;</w:t>
      </w:r>
    </w:p>
    <w:p w:rsidR="004927E0" w:rsidRDefault="004927E0" w:rsidP="004927E0">
      <w:pPr>
        <w:spacing w:after="0" w:line="240" w:lineRule="auto"/>
        <w:ind w:left="720"/>
        <w:jc w:val="both"/>
        <w:rPr>
          <w:rFonts w:ascii="Cambria" w:hAnsi="Cambria"/>
          <w:color w:val="000000"/>
          <w:sz w:val="21"/>
          <w:szCs w:val="21"/>
          <w:lang w:val="es-ES"/>
        </w:rPr>
      </w:pPr>
    </w:p>
    <w:p w:rsidR="004927E0" w:rsidRDefault="004927E0" w:rsidP="004927E0">
      <w:pPr>
        <w:numPr>
          <w:ilvl w:val="0"/>
          <w:numId w:val="18"/>
        </w:numPr>
        <w:spacing w:after="0" w:line="240" w:lineRule="auto"/>
        <w:jc w:val="both"/>
        <w:rPr>
          <w:rFonts w:ascii="Cambria" w:hAnsi="Cambria"/>
          <w:color w:val="000000"/>
          <w:sz w:val="21"/>
          <w:szCs w:val="21"/>
          <w:lang w:val="es-ES"/>
        </w:rPr>
      </w:pPr>
      <w:r w:rsidRPr="004927E0">
        <w:rPr>
          <w:rFonts w:ascii="Cambria" w:hAnsi="Cambria"/>
          <w:color w:val="000000"/>
          <w:sz w:val="21"/>
          <w:szCs w:val="21"/>
          <w:lang w:val="es-ES"/>
        </w:rPr>
        <w:t xml:space="preserve">concierte las medidas a adoptarse con los beneficiarios y sus representantes; </w:t>
      </w:r>
      <w:r>
        <w:rPr>
          <w:rFonts w:ascii="Cambria" w:hAnsi="Cambria"/>
          <w:color w:val="000000"/>
          <w:sz w:val="21"/>
          <w:szCs w:val="21"/>
          <w:lang w:val="es-ES"/>
        </w:rPr>
        <w:t xml:space="preserve">y </w:t>
      </w:r>
    </w:p>
    <w:p w:rsidR="004927E0" w:rsidRDefault="004927E0" w:rsidP="004927E0">
      <w:pPr>
        <w:spacing w:after="0" w:line="240" w:lineRule="auto"/>
        <w:ind w:left="720"/>
        <w:jc w:val="both"/>
        <w:rPr>
          <w:rFonts w:ascii="Cambria" w:hAnsi="Cambria"/>
          <w:color w:val="000000"/>
          <w:sz w:val="21"/>
          <w:szCs w:val="21"/>
          <w:lang w:val="es-ES"/>
        </w:rPr>
      </w:pPr>
    </w:p>
    <w:p w:rsidR="004927E0" w:rsidRDefault="004927E0" w:rsidP="004927E0">
      <w:pPr>
        <w:numPr>
          <w:ilvl w:val="0"/>
          <w:numId w:val="18"/>
        </w:numPr>
        <w:spacing w:after="0" w:line="240" w:lineRule="auto"/>
        <w:jc w:val="both"/>
        <w:rPr>
          <w:rFonts w:ascii="Cambria" w:hAnsi="Cambria"/>
          <w:color w:val="000000"/>
          <w:sz w:val="21"/>
          <w:szCs w:val="21"/>
          <w:lang w:val="es-ES"/>
        </w:rPr>
      </w:pPr>
      <w:r w:rsidRPr="004927E0">
        <w:rPr>
          <w:rFonts w:ascii="Cambria" w:hAnsi="Cambria"/>
          <w:color w:val="000000"/>
          <w:sz w:val="21"/>
          <w:szCs w:val="21"/>
          <w:lang w:val="es-ES"/>
        </w:rPr>
        <w:t>informe sobre las acciones tendentes a investigar los hechos que dieron lugar a la adopción de la presente medida cautelar y así evitar su repetición.</w:t>
      </w:r>
    </w:p>
    <w:p w:rsidR="004927E0" w:rsidRPr="00217726" w:rsidRDefault="004927E0" w:rsidP="004F5680">
      <w:pPr>
        <w:spacing w:after="0" w:line="240" w:lineRule="auto"/>
        <w:jc w:val="both"/>
        <w:rPr>
          <w:rFonts w:ascii="Cambria" w:hAnsi="Cambria"/>
          <w:color w:val="000000"/>
          <w:sz w:val="21"/>
          <w:szCs w:val="21"/>
          <w:lang w:val="es-ES"/>
        </w:rPr>
      </w:pPr>
    </w:p>
    <w:p w:rsidR="004F5680"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Comisión solicita al </w:t>
      </w:r>
      <w:r w:rsidR="00F23181">
        <w:rPr>
          <w:rFonts w:ascii="Cambria" w:hAnsi="Cambria"/>
          <w:color w:val="000000"/>
          <w:sz w:val="21"/>
          <w:szCs w:val="21"/>
          <w:lang w:val="es-ES"/>
        </w:rPr>
        <w:t xml:space="preserve">Estado de Honduras </w:t>
      </w:r>
      <w:r w:rsidR="00960706" w:rsidRPr="00217726">
        <w:rPr>
          <w:rFonts w:ascii="Cambria" w:hAnsi="Cambria"/>
          <w:color w:val="000000"/>
          <w:sz w:val="21"/>
          <w:szCs w:val="21"/>
          <w:lang w:val="es-ES"/>
        </w:rPr>
        <w:t xml:space="preserve">que </w:t>
      </w:r>
      <w:r w:rsidRPr="00217726">
        <w:rPr>
          <w:rFonts w:ascii="Cambria" w:hAnsi="Cambria"/>
          <w:color w:val="000000"/>
          <w:sz w:val="21"/>
          <w:szCs w:val="21"/>
          <w:lang w:val="es-ES"/>
        </w:rPr>
        <w:t>tenga a bien informar a la</w:t>
      </w:r>
      <w:r w:rsidR="00C10692" w:rsidRPr="00217726">
        <w:rPr>
          <w:rFonts w:ascii="Cambria" w:hAnsi="Cambria"/>
          <w:color w:val="000000"/>
          <w:sz w:val="21"/>
          <w:szCs w:val="21"/>
          <w:lang w:val="es-ES"/>
        </w:rPr>
        <w:t xml:space="preserve"> Comisión dentro del plazo de </w:t>
      </w:r>
      <w:r w:rsidR="00960706" w:rsidRPr="00217726">
        <w:rPr>
          <w:rFonts w:ascii="Cambria" w:hAnsi="Cambria"/>
          <w:color w:val="000000"/>
          <w:sz w:val="21"/>
          <w:szCs w:val="21"/>
          <w:lang w:val="es-ES"/>
        </w:rPr>
        <w:t>20</w:t>
      </w:r>
      <w:r w:rsidRPr="00217726">
        <w:rPr>
          <w:rFonts w:ascii="Cambria" w:hAnsi="Cambria"/>
          <w:color w:val="000000"/>
          <w:sz w:val="21"/>
          <w:szCs w:val="21"/>
          <w:lang w:val="es-ES"/>
        </w:rPr>
        <w:t xml:space="preserve"> días</w:t>
      </w:r>
      <w:r w:rsidR="00960706" w:rsidRPr="00217726">
        <w:rPr>
          <w:rFonts w:ascii="Cambria" w:hAnsi="Cambria"/>
          <w:color w:val="000000"/>
          <w:sz w:val="21"/>
          <w:szCs w:val="21"/>
          <w:lang w:val="es-ES"/>
        </w:rPr>
        <w:t>,</w:t>
      </w:r>
      <w:r w:rsidRPr="00217726">
        <w:rPr>
          <w:rFonts w:ascii="Cambria" w:hAnsi="Cambria"/>
          <w:color w:val="000000"/>
          <w:sz w:val="21"/>
          <w:szCs w:val="21"/>
          <w:lang w:val="es-ES"/>
        </w:rPr>
        <w:t xml:space="preserve"> contados a partir de la fecha de la presente comunicación, sobre la adopción de las medidas cautelares acordadas y actualizar dicha información en forma periódica. </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La Comisión resalta que, de conformidad con el artículo 25(8) del Reglamento de la Comisión, el otorgamiento de medidas cautelares y su adopción por el Estado no constituye</w:t>
      </w:r>
      <w:r w:rsidR="00960706" w:rsidRPr="00217726">
        <w:rPr>
          <w:rFonts w:ascii="Cambria" w:hAnsi="Cambria"/>
          <w:color w:val="000000"/>
          <w:sz w:val="21"/>
          <w:szCs w:val="21"/>
          <w:lang w:val="es-ES"/>
        </w:rPr>
        <w:t>n</w:t>
      </w:r>
      <w:r w:rsidRPr="00217726">
        <w:rPr>
          <w:rFonts w:ascii="Cambria" w:hAnsi="Cambria"/>
          <w:color w:val="000000"/>
          <w:sz w:val="21"/>
          <w:szCs w:val="21"/>
          <w:lang w:val="es-ES"/>
        </w:rPr>
        <w:t xml:space="preserve"> prejuzgamiento sobre la posible violación de los derechos protegidos en la Convención Americana y otros instrumentos aplicables.</w:t>
      </w:r>
    </w:p>
    <w:p w:rsidR="004F5680" w:rsidRPr="00217726" w:rsidRDefault="004F5680" w:rsidP="004F5680">
      <w:pPr>
        <w:spacing w:after="0" w:line="240" w:lineRule="auto"/>
        <w:jc w:val="both"/>
        <w:rPr>
          <w:rFonts w:ascii="Cambria" w:hAnsi="Cambria"/>
          <w:color w:val="000000"/>
          <w:sz w:val="21"/>
          <w:szCs w:val="21"/>
          <w:lang w:val="es-ES"/>
        </w:rPr>
      </w:pPr>
    </w:p>
    <w:p w:rsidR="004F5680" w:rsidRPr="00217726" w:rsidRDefault="004F5680" w:rsidP="00960706">
      <w:pPr>
        <w:numPr>
          <w:ilvl w:val="0"/>
          <w:numId w:val="9"/>
        </w:numPr>
        <w:spacing w:after="0" w:line="240" w:lineRule="auto"/>
        <w:ind w:left="0" w:firstLine="360"/>
        <w:jc w:val="both"/>
        <w:rPr>
          <w:rFonts w:ascii="Cambria" w:hAnsi="Cambria"/>
          <w:color w:val="000000"/>
          <w:sz w:val="21"/>
          <w:szCs w:val="21"/>
          <w:lang w:val="es-ES"/>
        </w:rPr>
      </w:pPr>
      <w:r w:rsidRPr="00217726">
        <w:rPr>
          <w:rFonts w:ascii="Cambria" w:hAnsi="Cambria"/>
          <w:color w:val="000000"/>
          <w:sz w:val="21"/>
          <w:szCs w:val="21"/>
          <w:lang w:val="es-ES"/>
        </w:rPr>
        <w:t xml:space="preserve">La Comisión </w:t>
      </w:r>
      <w:r w:rsidR="00960706" w:rsidRPr="00217726">
        <w:rPr>
          <w:rFonts w:ascii="Cambria" w:hAnsi="Cambria"/>
          <w:color w:val="000000"/>
          <w:sz w:val="21"/>
          <w:szCs w:val="21"/>
          <w:lang w:val="es-ES"/>
        </w:rPr>
        <w:t>requiere a</w:t>
      </w:r>
      <w:r w:rsidRPr="00217726">
        <w:rPr>
          <w:rFonts w:ascii="Cambria" w:hAnsi="Cambria"/>
          <w:color w:val="000000"/>
          <w:sz w:val="21"/>
          <w:szCs w:val="21"/>
          <w:lang w:val="es-ES"/>
        </w:rPr>
        <w:t xml:space="preserve"> la Secretaría </w:t>
      </w:r>
      <w:r w:rsidR="00960706" w:rsidRPr="00217726">
        <w:rPr>
          <w:rFonts w:ascii="Cambria" w:hAnsi="Cambria"/>
          <w:color w:val="000000"/>
          <w:sz w:val="21"/>
          <w:szCs w:val="21"/>
          <w:lang w:val="es-ES"/>
        </w:rPr>
        <w:t>Ejecutiva</w:t>
      </w:r>
      <w:r w:rsidR="00C144CA" w:rsidRPr="00217726">
        <w:rPr>
          <w:rFonts w:ascii="Cambria" w:hAnsi="Cambria"/>
          <w:color w:val="000000"/>
          <w:sz w:val="21"/>
          <w:szCs w:val="21"/>
          <w:lang w:val="es-ES"/>
        </w:rPr>
        <w:t xml:space="preserve"> que notifique la presente r</w:t>
      </w:r>
      <w:r w:rsidRPr="00217726">
        <w:rPr>
          <w:rFonts w:ascii="Cambria" w:hAnsi="Cambria"/>
          <w:color w:val="000000"/>
          <w:sz w:val="21"/>
          <w:szCs w:val="21"/>
          <w:lang w:val="es-ES"/>
        </w:rPr>
        <w:t>esolución al Estado de Honduras y a los solicitantes.</w:t>
      </w:r>
    </w:p>
    <w:p w:rsidR="00190EE0" w:rsidRPr="00217726" w:rsidRDefault="00190EE0" w:rsidP="00190EE0">
      <w:pPr>
        <w:spacing w:after="0" w:line="240" w:lineRule="auto"/>
        <w:ind w:left="360"/>
        <w:jc w:val="both"/>
        <w:rPr>
          <w:rFonts w:ascii="Cambria" w:hAnsi="Cambria"/>
          <w:color w:val="000000"/>
          <w:sz w:val="21"/>
          <w:szCs w:val="21"/>
          <w:lang w:val="es-ES"/>
        </w:rPr>
      </w:pPr>
    </w:p>
    <w:p w:rsidR="00F13137" w:rsidRPr="005F1139" w:rsidRDefault="00C144CA" w:rsidP="004927E0">
      <w:pPr>
        <w:numPr>
          <w:ilvl w:val="0"/>
          <w:numId w:val="9"/>
        </w:numPr>
        <w:spacing w:after="0" w:line="240" w:lineRule="auto"/>
        <w:ind w:left="0" w:firstLine="360"/>
        <w:jc w:val="both"/>
        <w:rPr>
          <w:rFonts w:ascii="Cambria" w:hAnsi="Cambria"/>
          <w:sz w:val="21"/>
          <w:szCs w:val="21"/>
          <w:lang w:val="es-CO"/>
        </w:rPr>
      </w:pPr>
      <w:r w:rsidRPr="00217726">
        <w:rPr>
          <w:rFonts w:ascii="Cambria" w:hAnsi="Cambria"/>
          <w:color w:val="000000"/>
          <w:sz w:val="21"/>
          <w:szCs w:val="21"/>
          <w:lang w:val="es-ES"/>
        </w:rPr>
        <w:t xml:space="preserve">Aprobado el </w:t>
      </w:r>
      <w:r w:rsidR="005F1139">
        <w:rPr>
          <w:rFonts w:ascii="Cambria" w:hAnsi="Cambria"/>
          <w:color w:val="000000"/>
          <w:sz w:val="21"/>
          <w:szCs w:val="21"/>
          <w:lang w:val="es-ES"/>
        </w:rPr>
        <w:t>28</w:t>
      </w:r>
      <w:r w:rsidRPr="00217726">
        <w:rPr>
          <w:rFonts w:ascii="Cambria" w:hAnsi="Cambria"/>
          <w:color w:val="000000"/>
          <w:sz w:val="21"/>
          <w:szCs w:val="21"/>
          <w:lang w:val="es-ES"/>
        </w:rPr>
        <w:t xml:space="preserve"> de </w:t>
      </w:r>
      <w:r w:rsidR="004927E0">
        <w:rPr>
          <w:rFonts w:ascii="Cambria" w:hAnsi="Cambria"/>
          <w:color w:val="000000"/>
          <w:sz w:val="21"/>
          <w:szCs w:val="21"/>
          <w:lang w:val="es-ES"/>
        </w:rPr>
        <w:t>enero</w:t>
      </w:r>
      <w:r w:rsidRPr="00217726">
        <w:rPr>
          <w:rFonts w:ascii="Cambria" w:hAnsi="Cambria"/>
          <w:color w:val="000000"/>
          <w:sz w:val="21"/>
          <w:szCs w:val="21"/>
          <w:lang w:val="es-ES"/>
        </w:rPr>
        <w:t xml:space="preserve"> de 201</w:t>
      </w:r>
      <w:r w:rsidR="004927E0">
        <w:rPr>
          <w:rFonts w:ascii="Cambria" w:hAnsi="Cambria"/>
          <w:color w:val="000000"/>
          <w:sz w:val="21"/>
          <w:szCs w:val="21"/>
          <w:lang w:val="es-ES"/>
        </w:rPr>
        <w:t>8</w:t>
      </w:r>
      <w:r w:rsidRPr="00217726">
        <w:rPr>
          <w:rFonts w:ascii="Cambria" w:hAnsi="Cambria"/>
          <w:color w:val="000000"/>
          <w:sz w:val="21"/>
          <w:szCs w:val="21"/>
          <w:lang w:val="es-ES"/>
        </w:rPr>
        <w:t xml:space="preserve"> por: </w:t>
      </w:r>
      <w:r w:rsidR="005F1139">
        <w:rPr>
          <w:rFonts w:ascii="Cambria" w:hAnsi="Cambria"/>
          <w:color w:val="000000"/>
          <w:sz w:val="21"/>
          <w:szCs w:val="21"/>
          <w:lang w:val="es-ES"/>
        </w:rPr>
        <w:t>Francisco José Eguiguren Praeli, Presidente;</w:t>
      </w:r>
      <w:r w:rsidR="00BA29D8">
        <w:rPr>
          <w:rFonts w:ascii="Cambria" w:hAnsi="Cambria"/>
          <w:color w:val="000000"/>
          <w:sz w:val="21"/>
          <w:szCs w:val="21"/>
          <w:lang w:val="es-ES"/>
        </w:rPr>
        <w:t xml:space="preserve"> Margarette May Macaulay, Primera Vicepresidenta;</w:t>
      </w:r>
      <w:r w:rsidR="005F1139">
        <w:rPr>
          <w:rFonts w:ascii="Cambria" w:hAnsi="Cambria"/>
          <w:color w:val="000000"/>
          <w:sz w:val="21"/>
          <w:szCs w:val="21"/>
          <w:lang w:val="es-ES"/>
        </w:rPr>
        <w:t xml:space="preserve"> Esmeralda Arosemena de Troitiño, Segunda Vicepresidenta; Luis Ernesto Vargas Silva; Joel Hernández García; Antonia </w:t>
      </w:r>
      <w:proofErr w:type="spellStart"/>
      <w:r w:rsidR="005F1139">
        <w:rPr>
          <w:rFonts w:ascii="Cambria" w:hAnsi="Cambria"/>
          <w:color w:val="000000"/>
          <w:sz w:val="21"/>
          <w:szCs w:val="21"/>
          <w:lang w:val="es-ES"/>
        </w:rPr>
        <w:t>Urrejola</w:t>
      </w:r>
      <w:proofErr w:type="spellEnd"/>
      <w:r w:rsidR="005F1139">
        <w:rPr>
          <w:rFonts w:ascii="Cambria" w:hAnsi="Cambria"/>
          <w:color w:val="000000"/>
          <w:sz w:val="21"/>
          <w:szCs w:val="21"/>
          <w:lang w:val="es-ES"/>
        </w:rPr>
        <w:t xml:space="preserve">; </w:t>
      </w:r>
      <w:proofErr w:type="spellStart"/>
      <w:r w:rsidR="005F1139">
        <w:rPr>
          <w:rFonts w:ascii="Cambria" w:hAnsi="Cambria"/>
          <w:color w:val="000000"/>
          <w:sz w:val="21"/>
          <w:szCs w:val="21"/>
          <w:lang w:val="es-ES"/>
        </w:rPr>
        <w:t>Flávia</w:t>
      </w:r>
      <w:proofErr w:type="spellEnd"/>
      <w:r w:rsidR="005F1139">
        <w:rPr>
          <w:rFonts w:ascii="Cambria" w:hAnsi="Cambria"/>
          <w:color w:val="000000"/>
          <w:sz w:val="21"/>
          <w:szCs w:val="21"/>
          <w:lang w:val="es-ES"/>
        </w:rPr>
        <w:t xml:space="preserve"> </w:t>
      </w:r>
      <w:proofErr w:type="spellStart"/>
      <w:r w:rsidR="005F1139">
        <w:rPr>
          <w:rFonts w:ascii="Cambria" w:hAnsi="Cambria"/>
          <w:color w:val="000000"/>
          <w:sz w:val="21"/>
          <w:szCs w:val="21"/>
          <w:lang w:val="es-ES"/>
        </w:rPr>
        <w:t>Piovesan</w:t>
      </w:r>
      <w:proofErr w:type="spellEnd"/>
      <w:r w:rsidR="005F1139">
        <w:rPr>
          <w:rFonts w:ascii="Cambria" w:hAnsi="Cambria"/>
          <w:color w:val="000000"/>
          <w:sz w:val="21"/>
          <w:szCs w:val="21"/>
          <w:lang w:val="es-ES"/>
        </w:rPr>
        <w:t>, miembros de la CIDH.</w:t>
      </w:r>
    </w:p>
    <w:p w:rsidR="005F1139" w:rsidRDefault="005F1139" w:rsidP="005F1139">
      <w:pPr>
        <w:spacing w:after="0" w:line="240" w:lineRule="auto"/>
        <w:jc w:val="both"/>
        <w:rPr>
          <w:rFonts w:ascii="Cambria" w:hAnsi="Cambria"/>
          <w:color w:val="000000"/>
          <w:sz w:val="21"/>
          <w:szCs w:val="21"/>
          <w:lang w:val="es-CO"/>
        </w:rPr>
      </w:pPr>
    </w:p>
    <w:p w:rsidR="005F1139" w:rsidRDefault="005F1139" w:rsidP="005F1139">
      <w:pPr>
        <w:spacing w:after="0" w:line="240" w:lineRule="auto"/>
        <w:jc w:val="both"/>
        <w:rPr>
          <w:rFonts w:ascii="Cambria" w:hAnsi="Cambria"/>
          <w:color w:val="000000"/>
          <w:sz w:val="21"/>
          <w:szCs w:val="21"/>
          <w:lang w:val="es-CO"/>
        </w:rPr>
      </w:pPr>
    </w:p>
    <w:p w:rsidR="005F1139" w:rsidRDefault="005F1139" w:rsidP="005F1139">
      <w:pPr>
        <w:spacing w:after="0" w:line="240" w:lineRule="auto"/>
        <w:jc w:val="both"/>
        <w:rPr>
          <w:rFonts w:ascii="Cambria" w:hAnsi="Cambria"/>
          <w:color w:val="000000"/>
          <w:sz w:val="21"/>
          <w:szCs w:val="21"/>
          <w:lang w:val="es-CO"/>
        </w:rPr>
      </w:pPr>
    </w:p>
    <w:p w:rsidR="005F1139" w:rsidRDefault="005F1139" w:rsidP="005F1139">
      <w:pPr>
        <w:spacing w:after="0" w:line="240" w:lineRule="auto"/>
        <w:jc w:val="both"/>
        <w:rPr>
          <w:rFonts w:ascii="Cambria" w:hAnsi="Cambria"/>
          <w:color w:val="000000"/>
          <w:sz w:val="21"/>
          <w:szCs w:val="21"/>
          <w:lang w:val="es-CO"/>
        </w:rPr>
      </w:pPr>
    </w:p>
    <w:p w:rsidR="005F1139" w:rsidRDefault="005F1139" w:rsidP="00290C9B">
      <w:pPr>
        <w:spacing w:after="0" w:line="240" w:lineRule="auto"/>
        <w:jc w:val="center"/>
        <w:rPr>
          <w:rFonts w:ascii="Cambria" w:hAnsi="Cambria"/>
          <w:color w:val="000000"/>
          <w:sz w:val="21"/>
          <w:szCs w:val="21"/>
          <w:lang w:val="es-CO"/>
        </w:rPr>
      </w:pPr>
      <w:r>
        <w:rPr>
          <w:rFonts w:ascii="Cambria" w:hAnsi="Cambria"/>
          <w:color w:val="000000"/>
          <w:sz w:val="21"/>
          <w:szCs w:val="21"/>
          <w:lang w:val="es-CO"/>
        </w:rPr>
        <w:t>Elizabeth Abi-Mershed</w:t>
      </w:r>
    </w:p>
    <w:p w:rsidR="004927E0" w:rsidRPr="004927E0" w:rsidRDefault="005F1139" w:rsidP="005F1139">
      <w:pPr>
        <w:spacing w:after="0" w:line="240" w:lineRule="auto"/>
        <w:jc w:val="center"/>
        <w:rPr>
          <w:rFonts w:ascii="Cambria" w:hAnsi="Cambria"/>
          <w:sz w:val="21"/>
          <w:szCs w:val="21"/>
          <w:lang w:val="es-CO"/>
        </w:rPr>
      </w:pPr>
      <w:r>
        <w:rPr>
          <w:rFonts w:ascii="Cambria" w:hAnsi="Cambria"/>
          <w:color w:val="000000"/>
          <w:sz w:val="21"/>
          <w:szCs w:val="21"/>
          <w:lang w:val="es-CO"/>
        </w:rPr>
        <w:t>Secretaria Ejecutiva Adjunta</w:t>
      </w:r>
    </w:p>
    <w:sectPr w:rsidR="004927E0" w:rsidRPr="004927E0" w:rsidSect="00C144CA">
      <w:headerReference w:type="default" r:id="rId9"/>
      <w:footerReference w:type="default" r:id="rId10"/>
      <w:headerReference w:type="first" r:id="rId11"/>
      <w:footerReference w:type="first" r:id="rId12"/>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504" w:rsidRDefault="00101504" w:rsidP="00A343FF">
      <w:pPr>
        <w:spacing w:after="0" w:line="240" w:lineRule="auto"/>
      </w:pPr>
      <w:r>
        <w:separator/>
      </w:r>
    </w:p>
  </w:endnote>
  <w:endnote w:type="continuationSeparator" w:id="0">
    <w:p w:rsidR="00101504" w:rsidRDefault="00101504"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660F4D">
      <w:rPr>
        <w:noProof/>
        <w:color w:val="7F7F7F"/>
        <w:sz w:val="16"/>
      </w:rPr>
      <w:t>- 8 -</w:t>
    </w:r>
    <w:r w:rsidRPr="00A72869">
      <w:rPr>
        <w:noProof/>
        <w:color w:val="7F7F7F"/>
        <w:sz w:val="16"/>
      </w:rPr>
      <w:fldChar w:fldCharType="end"/>
    </w:r>
  </w:p>
  <w:p w:rsidR="00A72869" w:rsidRDefault="00A7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B7" w:rsidRDefault="00660F4D" w:rsidP="00D222B7">
    <w:pPr>
      <w:pStyle w:val="Footer"/>
      <w:spacing w:line="360" w:lineRule="auto"/>
    </w:pPr>
    <w:r>
      <w:pict>
        <v:rect id="_x0000_i1026" style="width:0;height:1.5pt" o:hralign="center" o:hrstd="t" o:hr="t" fillcolor="#a0a0a0" stroked="f"/>
      </w:pict>
    </w:r>
  </w:p>
  <w:p w:rsidR="00D13990" w:rsidRDefault="00D8634C" w:rsidP="00604F1C">
    <w:pPr>
      <w:pStyle w:val="Footer"/>
      <w:jc w:val="center"/>
    </w:pPr>
    <w:r>
      <w:rPr>
        <w:noProof/>
      </w:rPr>
      <w:drawing>
        <wp:inline distT="0" distB="0" distL="0" distR="0">
          <wp:extent cx="5118100" cy="317500"/>
          <wp:effectExtent l="0" t="0" r="6350" b="6350"/>
          <wp:docPr id="6" name="Picture 35"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0" cy="317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504" w:rsidRDefault="00101504" w:rsidP="00A343FF">
      <w:pPr>
        <w:spacing w:after="0" w:line="240" w:lineRule="auto"/>
      </w:pPr>
      <w:r>
        <w:separator/>
      </w:r>
    </w:p>
  </w:footnote>
  <w:footnote w:type="continuationSeparator" w:id="0">
    <w:p w:rsidR="00101504" w:rsidRDefault="00101504" w:rsidP="00A343FF">
      <w:pPr>
        <w:spacing w:after="0" w:line="240" w:lineRule="auto"/>
      </w:pPr>
      <w:r>
        <w:continuationSeparator/>
      </w:r>
    </w:p>
  </w:footnote>
  <w:footnote w:id="1">
    <w:p w:rsidR="00F3394E" w:rsidRPr="00447B4B" w:rsidRDefault="00F3394E" w:rsidP="00C07DFB">
      <w:pPr>
        <w:pStyle w:val="FootnoteText"/>
        <w:spacing w:after="0" w:line="240" w:lineRule="auto"/>
        <w:rPr>
          <w:rFonts w:ascii="Calibri Light" w:hAnsi="Calibri Light"/>
          <w:sz w:val="16"/>
          <w:szCs w:val="16"/>
          <w:lang w:val="es-CO"/>
        </w:rPr>
      </w:pPr>
      <w:r w:rsidRPr="00447B4B">
        <w:rPr>
          <w:rStyle w:val="FootnoteReference"/>
          <w:rFonts w:ascii="Calibri Light" w:hAnsi="Calibri Light"/>
          <w:sz w:val="16"/>
          <w:szCs w:val="16"/>
        </w:rPr>
        <w:footnoteRef/>
      </w:r>
      <w:r w:rsidRPr="00447B4B">
        <w:rPr>
          <w:rFonts w:ascii="Calibri Light" w:hAnsi="Calibri Light"/>
          <w:sz w:val="16"/>
          <w:szCs w:val="16"/>
          <w:lang w:val="es-CO"/>
        </w:rPr>
        <w:t xml:space="preserve"> </w:t>
      </w:r>
      <w:r w:rsidR="00D01DE0" w:rsidRPr="00447B4B">
        <w:rPr>
          <w:rFonts w:ascii="Calibri Light" w:hAnsi="Calibri Light"/>
          <w:sz w:val="16"/>
          <w:szCs w:val="16"/>
          <w:lang w:val="es-CO"/>
        </w:rPr>
        <w:t xml:space="preserve">La solicitud de medidas cautelares ha sido igualmente presentada a favor de </w:t>
      </w:r>
      <w:r w:rsidR="00514EF4">
        <w:rPr>
          <w:rFonts w:ascii="Calibri Light" w:hAnsi="Calibri Light"/>
          <w:sz w:val="16"/>
          <w:szCs w:val="16"/>
          <w:lang w:val="es-CO"/>
        </w:rPr>
        <w:t xml:space="preserve">seis familiares, cuya identidad los solicitantes requirieron que se mantuviera bajo reserva. Estas personas se hallan debidamente identificadas en los documentos trasladados al Estado. </w:t>
      </w:r>
    </w:p>
  </w:footnote>
  <w:footnote w:id="2">
    <w:p w:rsidR="009D1B2C" w:rsidRPr="00447B4B" w:rsidRDefault="009D1B2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Se señaló que habría concedido varias entrevistas y análisis a medios internacionales de relevancia.</w:t>
      </w:r>
    </w:p>
  </w:footnote>
  <w:footnote w:id="3">
    <w:p w:rsidR="009D1B2C" w:rsidRPr="00447B4B" w:rsidRDefault="009D1B2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Los solicitantes adjuntaron algunas imágenes con mensajes hostiles dirigidos al propuesto beneficiario, si bien no se identificó una amenaza explícita o incitación a la violencia. De manera contextual, señalaron que altas autoridades del Estado se pronunciaron públicamente deslegitimizando a aquellas personas que salían a protestar, cuestionando sus motivos.  </w:t>
      </w:r>
    </w:p>
  </w:footnote>
  <w:footnote w:id="4">
    <w:p w:rsidR="009D1B2C" w:rsidRPr="00447B4B" w:rsidRDefault="009D1B2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Se adjuntó copia de la misma. </w:t>
      </w:r>
    </w:p>
  </w:footnote>
  <w:footnote w:id="5">
    <w:p w:rsidR="009D1B2C" w:rsidRPr="00447B4B" w:rsidRDefault="009D1B2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Los propuestos beneficiarios vivirían en la misma residencia</w:t>
      </w:r>
      <w:r w:rsidR="00514EF4">
        <w:rPr>
          <w:rFonts w:ascii="Calibri Light" w:hAnsi="Calibri Light"/>
          <w:sz w:val="16"/>
          <w:szCs w:val="16"/>
          <w:lang w:val="es-ES_tradnl"/>
        </w:rPr>
        <w:t>.</w:t>
      </w:r>
    </w:p>
  </w:footnote>
  <w:footnote w:id="6">
    <w:p w:rsidR="009D1B2C" w:rsidRPr="00447B4B" w:rsidRDefault="009D1B2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Se adjuntó copia de la misma: “Buen </w:t>
      </w:r>
      <w:proofErr w:type="spellStart"/>
      <w:r w:rsidRPr="00447B4B">
        <w:rPr>
          <w:rFonts w:ascii="Calibri Light" w:hAnsi="Calibri Light"/>
          <w:sz w:val="16"/>
          <w:szCs w:val="16"/>
          <w:lang w:val="es-ES_tradnl"/>
        </w:rPr>
        <w:t>dia</w:t>
      </w:r>
      <w:proofErr w:type="spellEnd"/>
      <w:r w:rsidRPr="00447B4B">
        <w:rPr>
          <w:rFonts w:ascii="Calibri Light" w:hAnsi="Calibri Light"/>
          <w:sz w:val="16"/>
          <w:szCs w:val="16"/>
          <w:lang w:val="es-ES_tradnl"/>
        </w:rPr>
        <w:t xml:space="preserve"> profe Norma, saludes a sus hijos por mientras vivan </w:t>
      </w:r>
      <w:proofErr w:type="spellStart"/>
      <w:r w:rsidRPr="00447B4B">
        <w:rPr>
          <w:rFonts w:ascii="Calibri Light" w:hAnsi="Calibri Light"/>
          <w:sz w:val="16"/>
          <w:szCs w:val="16"/>
          <w:lang w:val="es-ES_tradnl"/>
        </w:rPr>
        <w:t>yake</w:t>
      </w:r>
      <w:proofErr w:type="spellEnd"/>
      <w:r w:rsidRPr="00447B4B">
        <w:rPr>
          <w:rFonts w:ascii="Calibri Light" w:hAnsi="Calibri Light"/>
          <w:sz w:val="16"/>
          <w:szCs w:val="16"/>
          <w:lang w:val="es-ES_tradnl"/>
        </w:rPr>
        <w:t xml:space="preserve"> por motivos por </w:t>
      </w:r>
      <w:proofErr w:type="spellStart"/>
      <w:r w:rsidRPr="00447B4B">
        <w:rPr>
          <w:rFonts w:ascii="Calibri Light" w:hAnsi="Calibri Light"/>
          <w:sz w:val="16"/>
          <w:szCs w:val="16"/>
          <w:lang w:val="es-ES_tradnl"/>
        </w:rPr>
        <w:t>aver</w:t>
      </w:r>
      <w:proofErr w:type="spellEnd"/>
      <w:r w:rsidRPr="00447B4B">
        <w:rPr>
          <w:rFonts w:ascii="Calibri Light" w:hAnsi="Calibri Light"/>
          <w:sz w:val="16"/>
          <w:szCs w:val="16"/>
          <w:lang w:val="es-ES_tradnl"/>
        </w:rPr>
        <w:t xml:space="preserve"> cancelado la llamada anterior le mandamos este escrito le asemos </w:t>
      </w:r>
      <w:proofErr w:type="spellStart"/>
      <w:r w:rsidRPr="00447B4B">
        <w:rPr>
          <w:rFonts w:ascii="Calibri Light" w:hAnsi="Calibri Light"/>
          <w:sz w:val="16"/>
          <w:szCs w:val="16"/>
          <w:lang w:val="es-ES_tradnl"/>
        </w:rPr>
        <w:t>kesi</w:t>
      </w:r>
      <w:proofErr w:type="spellEnd"/>
      <w:r w:rsidRPr="00447B4B">
        <w:rPr>
          <w:rFonts w:ascii="Calibri Light" w:hAnsi="Calibri Light"/>
          <w:sz w:val="16"/>
          <w:szCs w:val="16"/>
          <w:lang w:val="es-ES_tradnl"/>
        </w:rPr>
        <w:t xml:space="preserve"> no da </w:t>
      </w:r>
      <w:proofErr w:type="spellStart"/>
      <w:r w:rsidRPr="00447B4B">
        <w:rPr>
          <w:rFonts w:ascii="Calibri Light" w:hAnsi="Calibri Light"/>
          <w:sz w:val="16"/>
          <w:szCs w:val="16"/>
          <w:lang w:val="es-ES_tradnl"/>
        </w:rPr>
        <w:t>loke</w:t>
      </w:r>
      <w:proofErr w:type="spellEnd"/>
      <w:r w:rsidRPr="00447B4B">
        <w:rPr>
          <w:rFonts w:ascii="Calibri Light" w:hAnsi="Calibri Light"/>
          <w:sz w:val="16"/>
          <w:szCs w:val="16"/>
          <w:lang w:val="es-ES_tradnl"/>
        </w:rPr>
        <w:t xml:space="preserve"> le pedimos </w:t>
      </w:r>
      <w:proofErr w:type="spellStart"/>
      <w:r w:rsidRPr="00447B4B">
        <w:rPr>
          <w:rFonts w:ascii="Calibri Light" w:hAnsi="Calibri Light"/>
          <w:sz w:val="16"/>
          <w:szCs w:val="16"/>
          <w:lang w:val="es-ES_tradnl"/>
        </w:rPr>
        <w:t>nole</w:t>
      </w:r>
      <w:proofErr w:type="spellEnd"/>
      <w:r w:rsidRPr="00447B4B">
        <w:rPr>
          <w:rFonts w:ascii="Calibri Light" w:hAnsi="Calibri Light"/>
          <w:sz w:val="16"/>
          <w:szCs w:val="16"/>
          <w:lang w:val="es-ES_tradnl"/>
        </w:rPr>
        <w:t xml:space="preserve"> aseguramos </w:t>
      </w:r>
      <w:proofErr w:type="spellStart"/>
      <w:r w:rsidRPr="00447B4B">
        <w:rPr>
          <w:rFonts w:ascii="Calibri Light" w:hAnsi="Calibri Light"/>
          <w:sz w:val="16"/>
          <w:szCs w:val="16"/>
          <w:lang w:val="es-ES_tradnl"/>
        </w:rPr>
        <w:t>ke</w:t>
      </w:r>
      <w:proofErr w:type="spellEnd"/>
      <w:r w:rsidRPr="00447B4B">
        <w:rPr>
          <w:rFonts w:ascii="Calibri Light" w:hAnsi="Calibri Light"/>
          <w:sz w:val="16"/>
          <w:szCs w:val="16"/>
          <w:lang w:val="es-ES_tradnl"/>
        </w:rPr>
        <w:t xml:space="preserve"> </w:t>
      </w:r>
      <w:proofErr w:type="spellStart"/>
      <w:r w:rsidRPr="00447B4B">
        <w:rPr>
          <w:rFonts w:ascii="Calibri Light" w:hAnsi="Calibri Light"/>
          <w:sz w:val="16"/>
          <w:szCs w:val="16"/>
          <w:lang w:val="es-ES_tradnl"/>
        </w:rPr>
        <w:t>yege</w:t>
      </w:r>
      <w:proofErr w:type="spellEnd"/>
      <w:r w:rsidRPr="00447B4B">
        <w:rPr>
          <w:rFonts w:ascii="Calibri Light" w:hAnsi="Calibri Light"/>
          <w:sz w:val="16"/>
          <w:szCs w:val="16"/>
          <w:lang w:val="es-ES_tradnl"/>
        </w:rPr>
        <w:t xml:space="preserve"> al 2018 Necesitamos 50,000 para para ahora 4 de la tarde de hoy. La mara no responde </w:t>
      </w:r>
      <w:proofErr w:type="spellStart"/>
      <w:r w:rsidRPr="00447B4B">
        <w:rPr>
          <w:rFonts w:ascii="Calibri Light" w:hAnsi="Calibri Light"/>
          <w:sz w:val="16"/>
          <w:szCs w:val="16"/>
          <w:lang w:val="es-ES_tradnl"/>
        </w:rPr>
        <w:t>porlos</w:t>
      </w:r>
      <w:proofErr w:type="spellEnd"/>
      <w:r w:rsidRPr="00447B4B">
        <w:rPr>
          <w:rFonts w:ascii="Calibri Light" w:hAnsi="Calibri Light"/>
          <w:sz w:val="16"/>
          <w:szCs w:val="16"/>
          <w:lang w:val="es-ES_tradnl"/>
        </w:rPr>
        <w:t xml:space="preserve"> </w:t>
      </w:r>
      <w:proofErr w:type="spellStart"/>
      <w:r w:rsidRPr="00447B4B">
        <w:rPr>
          <w:rFonts w:ascii="Calibri Light" w:hAnsi="Calibri Light"/>
          <w:sz w:val="16"/>
          <w:szCs w:val="16"/>
          <w:lang w:val="es-ES_tradnl"/>
        </w:rPr>
        <w:t>caidos</w:t>
      </w:r>
      <w:proofErr w:type="spellEnd"/>
      <w:r w:rsidRPr="00447B4B">
        <w:rPr>
          <w:rFonts w:ascii="Calibri Light" w:hAnsi="Calibri Light"/>
          <w:sz w:val="16"/>
          <w:szCs w:val="16"/>
          <w:lang w:val="es-ES_tradnl"/>
        </w:rPr>
        <w:t xml:space="preserve">. </w:t>
      </w:r>
      <w:proofErr w:type="spellStart"/>
      <w:r w:rsidRPr="00447B4B">
        <w:rPr>
          <w:rFonts w:ascii="Calibri Light" w:hAnsi="Calibri Light"/>
          <w:sz w:val="16"/>
          <w:szCs w:val="16"/>
          <w:lang w:val="es-ES_tradnl"/>
        </w:rPr>
        <w:t>Att</w:t>
      </w:r>
      <w:proofErr w:type="spellEnd"/>
      <w:r w:rsidRPr="00447B4B">
        <w:rPr>
          <w:rFonts w:ascii="Calibri Light" w:hAnsi="Calibri Light"/>
          <w:sz w:val="16"/>
          <w:szCs w:val="16"/>
          <w:lang w:val="es-ES_tradnl"/>
        </w:rPr>
        <w:t xml:space="preserve"> la familia conteste al marcarle nosotros” (sic.). </w:t>
      </w:r>
    </w:p>
  </w:footnote>
  <w:footnote w:id="7">
    <w:p w:rsidR="009D1B2C" w:rsidRPr="00447B4B" w:rsidRDefault="009D1B2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Se adjuntó copia de la resolución.</w:t>
      </w:r>
    </w:p>
  </w:footnote>
  <w:footnote w:id="8">
    <w:p w:rsidR="00201F9C" w:rsidRPr="00447B4B" w:rsidRDefault="00201F9C"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Según los solicitantes: “[p]</w:t>
      </w:r>
      <w:proofErr w:type="spellStart"/>
      <w:r w:rsidRPr="00447B4B">
        <w:rPr>
          <w:rFonts w:ascii="Calibri Light" w:hAnsi="Calibri Light"/>
          <w:sz w:val="16"/>
          <w:szCs w:val="16"/>
          <w:lang w:val="es-ES_tradnl"/>
        </w:rPr>
        <w:t>or</w:t>
      </w:r>
      <w:proofErr w:type="spellEnd"/>
      <w:r w:rsidRPr="00447B4B">
        <w:rPr>
          <w:rFonts w:ascii="Calibri Light" w:hAnsi="Calibri Light"/>
          <w:sz w:val="16"/>
          <w:szCs w:val="16"/>
          <w:lang w:val="es-ES_tradnl"/>
        </w:rPr>
        <w:t xml:space="preserve"> lo general, en materia de extorsión las maras o pandillas realizan un mapeo de la zona, identifican posibles blancos, particularmente negocios, hacen las llamadas identificándose claramente o realizan visitas directas, y exigen una cantidad de dinero mensual.  En el presente caso, las exigencias de dinero han sido por una sola vez y de forma intermitente, dejando pasar un tiempo sin insistir en la entrega del dinero, y en las llamadas la persona se ha identificado </w:t>
      </w:r>
      <w:r w:rsidR="002A259B" w:rsidRPr="00447B4B">
        <w:rPr>
          <w:rFonts w:ascii="Calibri Light" w:hAnsi="Calibri Light"/>
          <w:sz w:val="16"/>
          <w:szCs w:val="16"/>
          <w:lang w:val="es-ES_tradnl"/>
        </w:rPr>
        <w:t>como ‘</w:t>
      </w:r>
      <w:r w:rsidRPr="00447B4B">
        <w:rPr>
          <w:rFonts w:ascii="Calibri Light" w:hAnsi="Calibri Light"/>
          <w:sz w:val="16"/>
          <w:szCs w:val="16"/>
          <w:lang w:val="es-ES_tradnl"/>
        </w:rPr>
        <w:t>jefe de las maras</w:t>
      </w:r>
      <w:r w:rsidR="002A259B" w:rsidRPr="00447B4B">
        <w:rPr>
          <w:rFonts w:ascii="Calibri Light" w:hAnsi="Calibri Light"/>
          <w:sz w:val="16"/>
          <w:szCs w:val="16"/>
          <w:lang w:val="es-ES_tradnl"/>
        </w:rPr>
        <w:t>’</w:t>
      </w:r>
      <w:r w:rsidRPr="00447B4B">
        <w:rPr>
          <w:rFonts w:ascii="Calibri Light" w:hAnsi="Calibri Light"/>
          <w:sz w:val="16"/>
          <w:szCs w:val="16"/>
          <w:lang w:val="es-ES_tradnl"/>
        </w:rPr>
        <w:t xml:space="preserve"> sin especificar alguna en concreto. A su vez, ni el señor Mejía ni su familia tienen algún negocio por el cual les puedan pedir extorsión y si se compara con otras viviendas de la misma cuadra, hay al menos tres que son de mejor estructura y que podrían reflejar que quienes viven ahí están en mejores condiciones económicas que el propuesto como beneficiario”. Los solicitantes citaron asimismo varios informes y publicaciones sobre la materia. </w:t>
      </w:r>
    </w:p>
  </w:footnote>
  <w:footnote w:id="9">
    <w:p w:rsidR="00BD07BD" w:rsidRPr="00447B4B" w:rsidRDefault="00BD07BD" w:rsidP="00C07DFB">
      <w:pPr>
        <w:pStyle w:val="FootnoteText"/>
        <w:spacing w:after="0" w:line="240" w:lineRule="auto"/>
        <w:rPr>
          <w:rFonts w:ascii="Calibri Light" w:hAnsi="Calibri Light"/>
          <w:sz w:val="16"/>
          <w:szCs w:val="16"/>
          <w:lang w:val="es-MX"/>
        </w:rPr>
      </w:pPr>
      <w:r w:rsidRPr="00447B4B">
        <w:rPr>
          <w:rStyle w:val="FootnoteReference"/>
          <w:rFonts w:ascii="Calibri Light" w:hAnsi="Calibri Light"/>
          <w:sz w:val="16"/>
          <w:szCs w:val="16"/>
        </w:rPr>
        <w:footnoteRef/>
      </w:r>
      <w:r w:rsidRPr="00447B4B">
        <w:rPr>
          <w:rFonts w:ascii="Calibri Light" w:hAnsi="Calibri Light"/>
          <w:sz w:val="16"/>
          <w:szCs w:val="16"/>
          <w:lang w:val="es-MX"/>
        </w:rPr>
        <w:t xml:space="preserve"> Al respecto, por ejemplo, refiriéndose a las medidas provisionales, la Corte Interamericana ha considera</w:t>
      </w:r>
      <w:r w:rsidR="00223AAE" w:rsidRPr="00447B4B">
        <w:rPr>
          <w:rFonts w:ascii="Calibri Light" w:hAnsi="Calibri Light"/>
          <w:sz w:val="16"/>
          <w:szCs w:val="16"/>
          <w:lang w:val="es-MX"/>
        </w:rPr>
        <w:t>do</w:t>
      </w:r>
      <w:r w:rsidRPr="00447B4B">
        <w:rPr>
          <w:rFonts w:ascii="Calibri Light" w:hAnsi="Calibri Light"/>
          <w:sz w:val="16"/>
          <w:szCs w:val="16"/>
          <w:lang w:val="es-MX"/>
        </w:rPr>
        <w:t xml:space="preserve"> que tal estándar requiere un mínimo de detalle e información que permitan apreciar </w:t>
      </w:r>
      <w:r w:rsidRPr="00447B4B">
        <w:rPr>
          <w:rFonts w:ascii="Calibri Light" w:hAnsi="Calibri Light"/>
          <w:i/>
          <w:sz w:val="16"/>
          <w:szCs w:val="16"/>
          <w:lang w:val="es-MX"/>
        </w:rPr>
        <w:t>prima facie</w:t>
      </w:r>
      <w:r w:rsidRPr="00447B4B">
        <w:rPr>
          <w:rFonts w:ascii="Calibri Light" w:hAnsi="Calibri Light"/>
          <w:sz w:val="16"/>
          <w:szCs w:val="16"/>
          <w:lang w:val="es-MX"/>
        </w:rPr>
        <w:t xml:space="preserve"> la situación de riesgo y urgencia. Corte IDH, </w:t>
      </w:r>
      <w:r w:rsidRPr="00447B4B">
        <w:rPr>
          <w:rFonts w:ascii="Calibri Light" w:hAnsi="Calibri Light"/>
          <w:i/>
          <w:sz w:val="16"/>
          <w:szCs w:val="16"/>
          <w:lang w:val="es-MX"/>
        </w:rPr>
        <w:t xml:space="preserve">Asunto de los niños y adolescentes privados de libertad en el “Complexo do </w:t>
      </w:r>
      <w:proofErr w:type="spellStart"/>
      <w:r w:rsidRPr="00447B4B">
        <w:rPr>
          <w:rFonts w:ascii="Calibri Light" w:hAnsi="Calibri Light"/>
          <w:i/>
          <w:sz w:val="16"/>
          <w:szCs w:val="16"/>
          <w:lang w:val="es-MX"/>
        </w:rPr>
        <w:t>Tatuapé</w:t>
      </w:r>
      <w:proofErr w:type="spellEnd"/>
      <w:r w:rsidRPr="00447B4B">
        <w:rPr>
          <w:rFonts w:ascii="Calibri Light" w:hAnsi="Calibri Light"/>
          <w:i/>
          <w:sz w:val="16"/>
          <w:szCs w:val="16"/>
          <w:lang w:val="es-MX"/>
        </w:rPr>
        <w:t xml:space="preserve">” de la </w:t>
      </w:r>
      <w:proofErr w:type="spellStart"/>
      <w:r w:rsidRPr="00447B4B">
        <w:rPr>
          <w:rFonts w:ascii="Calibri Light" w:hAnsi="Calibri Light"/>
          <w:i/>
          <w:sz w:val="16"/>
          <w:szCs w:val="16"/>
          <w:lang w:val="es-MX"/>
        </w:rPr>
        <w:t>Fundação</w:t>
      </w:r>
      <w:proofErr w:type="spellEnd"/>
      <w:r w:rsidRPr="00447B4B">
        <w:rPr>
          <w:rFonts w:ascii="Calibri Light" w:hAnsi="Calibri Light"/>
          <w:i/>
          <w:sz w:val="16"/>
          <w:szCs w:val="16"/>
          <w:lang w:val="es-MX"/>
        </w:rPr>
        <w:t xml:space="preserve"> CASA</w:t>
      </w:r>
      <w:r w:rsidRPr="00447B4B">
        <w:rPr>
          <w:rFonts w:ascii="Calibri Light" w:hAnsi="Calibri Light"/>
          <w:sz w:val="16"/>
          <w:szCs w:val="16"/>
          <w:lang w:val="es-MX"/>
        </w:rPr>
        <w:t>. Solicitud de ampliación de medidas provisionales. Medidas Provisionales respecto de Brasil. Resolución de la Corte Interamericana de Derechos Humanos de 4 de julio de 2006. Considerando 23.</w:t>
      </w:r>
    </w:p>
  </w:footnote>
  <w:footnote w:id="10">
    <w:p w:rsidR="00424BC7" w:rsidRPr="00447B4B" w:rsidRDefault="00424BC7"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CIDH, “</w:t>
      </w:r>
      <w:r w:rsidRPr="00447B4B">
        <w:rPr>
          <w:rFonts w:ascii="Calibri Light" w:hAnsi="Calibri Light"/>
          <w:bCs/>
          <w:sz w:val="16"/>
          <w:szCs w:val="16"/>
          <w:lang w:val="es-ES_tradnl"/>
        </w:rPr>
        <w:t xml:space="preserve">CIDH y OACNUDH expresan preocupación por amenazas y prácticas de hostigamiento contra personas defensora de derechos humanos, periodistas y medios de comunicación en el contexto post-electoral en Honduras”, comunicado de prensa de 19 de enero de 2018. Disponible en: http://www.oas.org/es/cidh/prensa/comunicados/2018/007.asp. </w:t>
      </w:r>
    </w:p>
  </w:footnote>
  <w:footnote w:id="11">
    <w:p w:rsidR="009A0504" w:rsidRPr="00447B4B" w:rsidRDefault="009A0504"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w:t>
      </w:r>
      <w:r w:rsidRPr="00447B4B">
        <w:rPr>
          <w:rFonts w:ascii="Calibri Light" w:hAnsi="Calibri Light"/>
          <w:i/>
          <w:sz w:val="16"/>
          <w:szCs w:val="16"/>
          <w:lang w:val="es-ES_tradnl"/>
        </w:rPr>
        <w:t>Ibidem</w:t>
      </w:r>
      <w:r w:rsidRPr="00447B4B">
        <w:rPr>
          <w:rFonts w:ascii="Calibri Light" w:hAnsi="Calibri Light"/>
          <w:sz w:val="16"/>
          <w:szCs w:val="16"/>
          <w:lang w:val="es-ES_tradnl"/>
        </w:rPr>
        <w:t xml:space="preserve">. </w:t>
      </w:r>
    </w:p>
  </w:footnote>
  <w:footnote w:id="12">
    <w:p w:rsidR="00424BC7" w:rsidRPr="00447B4B" w:rsidRDefault="00424BC7" w:rsidP="00C07D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w:t>
      </w:r>
      <w:r w:rsidRPr="00447B4B">
        <w:rPr>
          <w:rFonts w:ascii="Calibri Light" w:hAnsi="Calibri Light"/>
          <w:i/>
          <w:sz w:val="16"/>
          <w:szCs w:val="16"/>
          <w:lang w:val="es-ES_tradnl"/>
        </w:rPr>
        <w:t>Ibidem.</w:t>
      </w:r>
    </w:p>
  </w:footnote>
  <w:footnote w:id="13">
    <w:p w:rsidR="00386472" w:rsidRPr="00447B4B" w:rsidRDefault="00386472" w:rsidP="00C07DFB">
      <w:pPr>
        <w:pStyle w:val="FootnoteText"/>
        <w:spacing w:after="0" w:line="240" w:lineRule="auto"/>
        <w:rPr>
          <w:rFonts w:ascii="Calibri Light" w:hAnsi="Calibri Light"/>
          <w:sz w:val="16"/>
          <w:szCs w:val="16"/>
          <w:lang w:val="es-MX"/>
        </w:rPr>
      </w:pPr>
      <w:r w:rsidRPr="00447B4B">
        <w:rPr>
          <w:rStyle w:val="FootnoteReference"/>
          <w:rFonts w:ascii="Calibri Light" w:hAnsi="Calibri Light"/>
          <w:sz w:val="16"/>
          <w:szCs w:val="16"/>
        </w:rPr>
        <w:footnoteRef/>
      </w:r>
      <w:r w:rsidRPr="00447B4B">
        <w:rPr>
          <w:rFonts w:ascii="Calibri Light" w:hAnsi="Calibri Light"/>
          <w:sz w:val="16"/>
          <w:szCs w:val="16"/>
          <w:lang w:val="es-MX"/>
        </w:rPr>
        <w:t xml:space="preserve"> En relación con los periodistas de Radio Progreso, la Comisión otorgó medidas cautelares desde el 2 de julio de 2009 a favor del</w:t>
      </w:r>
      <w:r w:rsidR="00356DF2" w:rsidRPr="00447B4B">
        <w:rPr>
          <w:rFonts w:ascii="Calibri Light" w:hAnsi="Calibri Light"/>
          <w:sz w:val="16"/>
          <w:szCs w:val="16"/>
          <w:lang w:val="es-MX"/>
        </w:rPr>
        <w:t xml:space="preserve"> Ismael </w:t>
      </w:r>
      <w:r w:rsidRPr="00447B4B">
        <w:rPr>
          <w:rFonts w:ascii="Calibri Light" w:hAnsi="Calibri Light"/>
          <w:sz w:val="16"/>
          <w:szCs w:val="16"/>
          <w:lang w:val="es-MX"/>
        </w:rPr>
        <w:t>Moreno, con fundamento en una serie de amenazas y actos de hostigamiento en su contra, presuntamente en virtud de su rol como defensor de derechos humanos y su trabajo como director de Radio Progreso. Con posterioridad, la Comisión ha realizado posteriores ampliaciones de dicha medida cautelar</w:t>
      </w:r>
      <w:r w:rsidR="007D1965" w:rsidRPr="00447B4B">
        <w:rPr>
          <w:rFonts w:ascii="Calibri Light" w:hAnsi="Calibri Light"/>
          <w:sz w:val="16"/>
          <w:szCs w:val="16"/>
          <w:lang w:val="es-MX"/>
        </w:rPr>
        <w:t>a favor de directivos y periodistas del mismo medio.</w:t>
      </w:r>
    </w:p>
  </w:footnote>
  <w:footnote w:id="14">
    <w:p w:rsidR="00A561C8" w:rsidRPr="00447B4B" w:rsidRDefault="00A561C8" w:rsidP="000218FB">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w:t>
      </w:r>
      <w:r w:rsidRPr="00447B4B">
        <w:rPr>
          <w:rFonts w:ascii="Calibri Light" w:hAnsi="Calibri Light"/>
          <w:i/>
          <w:sz w:val="16"/>
          <w:szCs w:val="16"/>
          <w:lang w:val="es-ES_tradnl"/>
        </w:rPr>
        <w:t>Vid</w:t>
      </w:r>
      <w:r w:rsidRPr="00447B4B">
        <w:rPr>
          <w:rFonts w:ascii="Calibri Light" w:hAnsi="Calibri Light"/>
          <w:sz w:val="16"/>
          <w:szCs w:val="16"/>
          <w:lang w:val="es-ES_tradnl"/>
        </w:rPr>
        <w:t xml:space="preserve">. </w:t>
      </w:r>
      <w:r w:rsidRPr="00447B4B">
        <w:rPr>
          <w:rFonts w:ascii="Calibri Light" w:hAnsi="Calibri Light"/>
          <w:i/>
          <w:sz w:val="16"/>
          <w:szCs w:val="16"/>
          <w:lang w:val="es-ES_tradnl"/>
        </w:rPr>
        <w:t>supra</w:t>
      </w:r>
      <w:r w:rsidRPr="00447B4B">
        <w:rPr>
          <w:rFonts w:ascii="Calibri Light" w:hAnsi="Calibri Light"/>
          <w:sz w:val="16"/>
          <w:szCs w:val="16"/>
          <w:lang w:val="es-ES_tradnl"/>
        </w:rPr>
        <w:t xml:space="preserve"> para. </w:t>
      </w:r>
      <w:r w:rsidR="00AC090E" w:rsidRPr="00447B4B">
        <w:rPr>
          <w:rFonts w:ascii="Calibri Light" w:hAnsi="Calibri Light"/>
          <w:sz w:val="16"/>
          <w:szCs w:val="16"/>
          <w:lang w:val="es-ES_tradnl"/>
        </w:rPr>
        <w:t>4</w:t>
      </w:r>
      <w:r w:rsidRPr="00447B4B">
        <w:rPr>
          <w:rFonts w:ascii="Calibri Light" w:hAnsi="Calibri Light"/>
          <w:sz w:val="16"/>
          <w:szCs w:val="16"/>
          <w:lang w:val="es-ES_tradnl"/>
        </w:rPr>
        <w:t xml:space="preserve">. </w:t>
      </w:r>
    </w:p>
  </w:footnote>
  <w:footnote w:id="15">
    <w:p w:rsidR="00344607" w:rsidRPr="00452E89" w:rsidRDefault="00344607" w:rsidP="00813886">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52E89">
        <w:rPr>
          <w:rFonts w:ascii="Calibri Light" w:hAnsi="Calibri Light"/>
          <w:sz w:val="16"/>
          <w:szCs w:val="16"/>
          <w:lang w:val="es-ES_tradnl"/>
        </w:rPr>
        <w:t xml:space="preserve"> </w:t>
      </w:r>
      <w:r w:rsidRPr="00447B4B">
        <w:rPr>
          <w:rFonts w:ascii="Calibri Light" w:hAnsi="Calibri Light"/>
          <w:sz w:val="16"/>
          <w:szCs w:val="16"/>
          <w:lang w:val="es-ES_tradnl"/>
        </w:rPr>
        <w:t>Ver: CIDH, “Segundo Informe sobre la Situación de las Defensoras y los Defensores de Derechos Humanos en las Américas”, OEA/</w:t>
      </w:r>
      <w:proofErr w:type="spellStart"/>
      <w:r w:rsidRPr="00447B4B">
        <w:rPr>
          <w:rFonts w:ascii="Calibri Light" w:hAnsi="Calibri Light"/>
          <w:sz w:val="16"/>
          <w:szCs w:val="16"/>
          <w:lang w:val="es-ES_tradnl"/>
        </w:rPr>
        <w:t>Ser.L</w:t>
      </w:r>
      <w:proofErr w:type="spellEnd"/>
      <w:r w:rsidRPr="00447B4B">
        <w:rPr>
          <w:rFonts w:ascii="Calibri Light" w:hAnsi="Calibri Light"/>
          <w:sz w:val="16"/>
          <w:szCs w:val="16"/>
          <w:lang w:val="es-ES_tradnl"/>
        </w:rPr>
        <w:t>/V/VII., Doc. 66, 31 de diciembre de 2011, para. 497. Disponible en: http://www.oas.org/es/cidh/defensores/docs/pdf/defensores2011.pdf.</w:t>
      </w:r>
    </w:p>
  </w:footnote>
  <w:footnote w:id="16">
    <w:p w:rsidR="00447B4B" w:rsidRPr="00447B4B" w:rsidRDefault="00447B4B" w:rsidP="00813886">
      <w:pPr>
        <w:pStyle w:val="FootnoteText"/>
        <w:spacing w:after="0" w:line="240" w:lineRule="auto"/>
        <w:rPr>
          <w:rFonts w:ascii="Calibri Light" w:hAnsi="Calibri Light"/>
          <w:sz w:val="16"/>
          <w:szCs w:val="16"/>
          <w:lang w:val="es-MX"/>
        </w:rPr>
      </w:pPr>
      <w:r w:rsidRPr="00447B4B">
        <w:rPr>
          <w:rStyle w:val="FootnoteReference"/>
          <w:rFonts w:ascii="Calibri Light" w:hAnsi="Calibri Light"/>
          <w:sz w:val="16"/>
          <w:szCs w:val="16"/>
        </w:rPr>
        <w:footnoteRef/>
      </w:r>
      <w:r w:rsidRPr="005F1139">
        <w:rPr>
          <w:rFonts w:ascii="Calibri Light" w:hAnsi="Calibri Light"/>
          <w:sz w:val="16"/>
          <w:szCs w:val="16"/>
          <w:lang w:val="es-ES_tradnl"/>
        </w:rPr>
        <w:t xml:space="preserve"> Cfr. Corte IDH, </w:t>
      </w:r>
      <w:r w:rsidRPr="005F1139">
        <w:rPr>
          <w:rStyle w:val="Strong"/>
          <w:rFonts w:ascii="Calibri Light" w:hAnsi="Calibri Light"/>
          <w:b w:val="0"/>
          <w:color w:val="000000"/>
          <w:sz w:val="16"/>
          <w:szCs w:val="16"/>
          <w:shd w:val="clear" w:color="auto" w:fill="FFFFFF"/>
          <w:lang w:val="es-ES_tradnl"/>
        </w:rPr>
        <w:t xml:space="preserve">Corte IDH. </w:t>
      </w:r>
      <w:r w:rsidRPr="00447B4B">
        <w:rPr>
          <w:rStyle w:val="Strong"/>
          <w:rFonts w:ascii="Calibri Light" w:hAnsi="Calibri Light"/>
          <w:b w:val="0"/>
          <w:color w:val="000000"/>
          <w:sz w:val="16"/>
          <w:szCs w:val="16"/>
          <w:shd w:val="clear" w:color="auto" w:fill="FFFFFF"/>
          <w:lang w:val="es-ES_tradnl"/>
        </w:rPr>
        <w:t xml:space="preserve">Caso Luna López Vs. </w:t>
      </w:r>
      <w:r w:rsidRPr="00447B4B">
        <w:rPr>
          <w:rStyle w:val="Strong"/>
          <w:rFonts w:ascii="Calibri Light" w:hAnsi="Calibri Light"/>
          <w:b w:val="0"/>
          <w:color w:val="000000"/>
          <w:sz w:val="16"/>
          <w:szCs w:val="16"/>
          <w:shd w:val="clear" w:color="auto" w:fill="FFFFFF"/>
          <w:lang w:val="es-MX"/>
        </w:rPr>
        <w:t>Honduras. Fondo, Reparaciones y Costas. Sentencia de 10 de octubre de 2013. Serie C No. 269, párr. 127.</w:t>
      </w:r>
    </w:p>
  </w:footnote>
  <w:footnote w:id="17">
    <w:p w:rsidR="00C07DFB" w:rsidRPr="00813886" w:rsidRDefault="00C07DFB" w:rsidP="00813886">
      <w:pPr>
        <w:pStyle w:val="FootnoteText"/>
        <w:spacing w:after="0" w:line="240" w:lineRule="auto"/>
        <w:rPr>
          <w:lang w:val="es-MX"/>
        </w:rPr>
      </w:pPr>
      <w:r>
        <w:rPr>
          <w:rStyle w:val="FootnoteReference"/>
        </w:rPr>
        <w:footnoteRef/>
      </w:r>
      <w:r w:rsidRPr="00813886">
        <w:rPr>
          <w:lang w:val="es-MX"/>
        </w:rPr>
        <w:t xml:space="preserve"> </w:t>
      </w:r>
      <w:r w:rsidRPr="00447B4B">
        <w:rPr>
          <w:rFonts w:ascii="Calibri Light" w:hAnsi="Calibri Light"/>
          <w:sz w:val="16"/>
          <w:szCs w:val="16"/>
          <w:lang w:val="es-ES_tradnl"/>
        </w:rPr>
        <w:t>CIDH, “Segundo Informe sobre la Situación de las Defensoras y los Defensores de Derechos Humanos en las Américas”, OEA/</w:t>
      </w:r>
      <w:proofErr w:type="spellStart"/>
      <w:r w:rsidRPr="00447B4B">
        <w:rPr>
          <w:rFonts w:ascii="Calibri Light" w:hAnsi="Calibri Light"/>
          <w:sz w:val="16"/>
          <w:szCs w:val="16"/>
          <w:lang w:val="es-ES_tradnl"/>
        </w:rPr>
        <w:t>Ser.L</w:t>
      </w:r>
      <w:proofErr w:type="spellEnd"/>
      <w:r w:rsidRPr="00447B4B">
        <w:rPr>
          <w:rFonts w:ascii="Calibri Light" w:hAnsi="Calibri Light"/>
          <w:sz w:val="16"/>
          <w:szCs w:val="16"/>
          <w:lang w:val="es-ES_tradnl"/>
        </w:rPr>
        <w:t>/V/VII., Doc. 66, 3</w:t>
      </w:r>
      <w:r>
        <w:rPr>
          <w:rFonts w:ascii="Calibri Light" w:hAnsi="Calibri Light"/>
          <w:sz w:val="16"/>
          <w:szCs w:val="16"/>
          <w:lang w:val="es-ES_tradnl"/>
        </w:rPr>
        <w:t>1 de diciembre de 2011, para. 484</w:t>
      </w:r>
      <w:r w:rsidRPr="00447B4B">
        <w:rPr>
          <w:rFonts w:ascii="Calibri Light" w:hAnsi="Calibri Light"/>
          <w:sz w:val="16"/>
          <w:szCs w:val="16"/>
          <w:lang w:val="es-ES_tradnl"/>
        </w:rPr>
        <w:t>.</w:t>
      </w:r>
    </w:p>
  </w:footnote>
  <w:footnote w:id="18">
    <w:p w:rsidR="006C079D" w:rsidRPr="00447B4B" w:rsidRDefault="006C079D" w:rsidP="006C079D">
      <w:pPr>
        <w:pStyle w:val="FootnoteText"/>
        <w:spacing w:after="0" w:line="240" w:lineRule="auto"/>
        <w:rPr>
          <w:rFonts w:ascii="Calibri Light" w:hAnsi="Calibri Light"/>
          <w:sz w:val="16"/>
          <w:szCs w:val="16"/>
          <w:lang w:val="es-ES_tradnl"/>
        </w:rPr>
      </w:pPr>
      <w:r w:rsidRPr="00447B4B">
        <w:rPr>
          <w:rStyle w:val="FootnoteReference"/>
          <w:rFonts w:ascii="Calibri Light" w:hAnsi="Calibri Light"/>
          <w:sz w:val="16"/>
          <w:szCs w:val="16"/>
        </w:rPr>
        <w:footnoteRef/>
      </w:r>
      <w:r w:rsidRPr="00447B4B">
        <w:rPr>
          <w:rFonts w:ascii="Calibri Light" w:hAnsi="Calibri Light"/>
          <w:sz w:val="16"/>
          <w:szCs w:val="16"/>
          <w:lang w:val="es-ES_tradnl"/>
        </w:rPr>
        <w:t xml:space="preserve"> CIDH, “</w:t>
      </w:r>
      <w:r w:rsidRPr="00447B4B">
        <w:rPr>
          <w:rFonts w:ascii="Calibri Light" w:hAnsi="Calibri Light"/>
          <w:bCs/>
          <w:sz w:val="16"/>
          <w:szCs w:val="16"/>
          <w:lang w:val="es-ES_tradnl"/>
        </w:rPr>
        <w:t xml:space="preserve">CIDH y OACNUDH expresan preocupación por amenazas y prácticas de hostigamiento contra personas defensora de derechos humanos, periodistas y medios de comunicación en el contexto post-electoral en Honduras”, comunicado de prensa de 19 de enero de 2018. Disponible en: http://www.oas.org/es/cidh/prensa/comunicados/2018/007.asp.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FF" w:rsidRPr="0058688A" w:rsidRDefault="00D8634C" w:rsidP="00ED4C58">
    <w:pPr>
      <w:pStyle w:val="Header"/>
      <w:jc w:val="center"/>
      <w:rPr>
        <w:lang w:val="es-ES_tradnl"/>
      </w:rPr>
    </w:pPr>
    <w:r>
      <w:rPr>
        <w:noProof/>
      </w:rPr>
      <w:drawing>
        <wp:inline distT="0" distB="0" distL="0" distR="0">
          <wp:extent cx="2286000" cy="120650"/>
          <wp:effectExtent l="0" t="0" r="0" b="0"/>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0650"/>
                  </a:xfrm>
                  <a:prstGeom prst="rect">
                    <a:avLst/>
                  </a:prstGeom>
                  <a:noFill/>
                  <a:ln>
                    <a:noFill/>
                  </a:ln>
                </pic:spPr>
              </pic:pic>
            </a:graphicData>
          </a:graphic>
        </wp:inline>
      </w:drawing>
    </w:r>
  </w:p>
  <w:p w:rsidR="00A343FF" w:rsidRDefault="00660F4D">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B9" w:rsidRPr="00255FB9" w:rsidRDefault="00D8634C" w:rsidP="00255FB9">
    <w:pPr>
      <w:tabs>
        <w:tab w:val="left" w:pos="4040"/>
        <w:tab w:val="left" w:pos="4333"/>
        <w:tab w:val="center" w:pos="4680"/>
        <w:tab w:val="right" w:pos="9360"/>
      </w:tabs>
      <w:spacing w:after="0" w:line="240" w:lineRule="auto"/>
      <w:jc w:val="both"/>
    </w:pPr>
    <w:r>
      <w:rPr>
        <w:noProof/>
      </w:rPr>
      <w:drawing>
        <wp:inline distT="0" distB="0" distL="0" distR="0">
          <wp:extent cx="2355850" cy="450850"/>
          <wp:effectExtent l="0" t="0" r="6350" b="6350"/>
          <wp:docPr id="4"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00255FB9" w:rsidRPr="00255FB9">
      <w:tab/>
    </w:r>
    <w:r w:rsidR="00255FB9" w:rsidRPr="00255FB9">
      <w:tab/>
    </w:r>
    <w:r w:rsidR="00255FB9" w:rsidRPr="00255FB9">
      <w:tab/>
    </w:r>
    <w:r w:rsidR="00255FB9" w:rsidRPr="00255FB9">
      <w:tab/>
    </w:r>
    <w:r>
      <w:rPr>
        <w:noProof/>
      </w:rPr>
      <w:drawing>
        <wp:inline distT="0" distB="0" distL="0" distR="0">
          <wp:extent cx="2101850" cy="539750"/>
          <wp:effectExtent l="0" t="0" r="0" b="0"/>
          <wp:docPr id="5" name="Picture 2"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255FB9" w:rsidRPr="00255FB9" w:rsidRDefault="00255FB9" w:rsidP="00255FB9">
    <w:pPr>
      <w:pBdr>
        <w:bottom w:val="single" w:sz="6" w:space="1" w:color="auto"/>
      </w:pBdr>
      <w:tabs>
        <w:tab w:val="center" w:pos="4680"/>
        <w:tab w:val="right" w:pos="9360"/>
      </w:tabs>
      <w:spacing w:after="0" w:line="240" w:lineRule="auto"/>
      <w:rPr>
        <w:rFonts w:eastAsia="Batang"/>
        <w:lang w:val="es-ES"/>
      </w:rPr>
    </w:pPr>
  </w:p>
  <w:p w:rsidR="00D13990" w:rsidRPr="00255FB9" w:rsidRDefault="00D13990" w:rsidP="00255F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883282FC"/>
    <w:lvl w:ilvl="0" w:tplc="8F509C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3142"/>
    <w:multiLevelType w:val="hybridMultilevel"/>
    <w:tmpl w:val="FCC60214"/>
    <w:lvl w:ilvl="0" w:tplc="0409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C06534"/>
    <w:multiLevelType w:val="hybridMultilevel"/>
    <w:tmpl w:val="A37098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3220A"/>
    <w:multiLevelType w:val="hybridMultilevel"/>
    <w:tmpl w:val="0A4C5B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46D23"/>
    <w:multiLevelType w:val="hybridMultilevel"/>
    <w:tmpl w:val="578E623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F69EF"/>
    <w:multiLevelType w:val="hybridMultilevel"/>
    <w:tmpl w:val="8CB8EC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611F0"/>
    <w:multiLevelType w:val="hybridMultilevel"/>
    <w:tmpl w:val="9C6EA0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41409"/>
    <w:multiLevelType w:val="hybridMultilevel"/>
    <w:tmpl w:val="BF2EC1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0416A"/>
    <w:multiLevelType w:val="hybridMultilevel"/>
    <w:tmpl w:val="B6C8BC66"/>
    <w:lvl w:ilvl="0" w:tplc="4CEA24A8">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D5CF2"/>
    <w:multiLevelType w:val="hybridMultilevel"/>
    <w:tmpl w:val="F3BE46CC"/>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D1C6B"/>
    <w:multiLevelType w:val="hybridMultilevel"/>
    <w:tmpl w:val="F3E8CE10"/>
    <w:lvl w:ilvl="0" w:tplc="04090015">
      <w:start w:val="1"/>
      <w:numFmt w:val="upp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2">
    <w:nsid w:val="55AB4913"/>
    <w:multiLevelType w:val="hybridMultilevel"/>
    <w:tmpl w:val="0352C700"/>
    <w:lvl w:ilvl="0" w:tplc="C8A62C9C">
      <w:start w:val="1"/>
      <w:numFmt w:val="decimal"/>
      <w:lvlText w:val="%1."/>
      <w:lvlJc w:val="left"/>
      <w:pPr>
        <w:ind w:left="720" w:hanging="360"/>
      </w:pPr>
      <w:rPr>
        <w:rFonts w:ascii="Calibri" w:eastAsia="Calibri" w:hAnsi="Calibri"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5DE4394C"/>
    <w:multiLevelType w:val="hybridMultilevel"/>
    <w:tmpl w:val="958A5AC4"/>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30E2F"/>
    <w:multiLevelType w:val="hybridMultilevel"/>
    <w:tmpl w:val="ADC29DDE"/>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B323BB"/>
    <w:multiLevelType w:val="hybridMultilevel"/>
    <w:tmpl w:val="CF129E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64094"/>
    <w:multiLevelType w:val="hybridMultilevel"/>
    <w:tmpl w:val="3FFCF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340A6"/>
    <w:multiLevelType w:val="hybridMultilevel"/>
    <w:tmpl w:val="8C74E4EC"/>
    <w:lvl w:ilvl="0" w:tplc="D5525D20">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1"/>
  </w:num>
  <w:num w:numId="5">
    <w:abstractNumId w:val="2"/>
  </w:num>
  <w:num w:numId="6">
    <w:abstractNumId w:val="11"/>
  </w:num>
  <w:num w:numId="7">
    <w:abstractNumId w:val="5"/>
  </w:num>
  <w:num w:numId="8">
    <w:abstractNumId w:val="6"/>
  </w:num>
  <w:num w:numId="9">
    <w:abstractNumId w:val="13"/>
  </w:num>
  <w:num w:numId="10">
    <w:abstractNumId w:val="14"/>
  </w:num>
  <w:num w:numId="11">
    <w:abstractNumId w:val="4"/>
  </w:num>
  <w:num w:numId="12">
    <w:abstractNumId w:val="0"/>
  </w:num>
  <w:num w:numId="13">
    <w:abstractNumId w:val="10"/>
  </w:num>
  <w:num w:numId="14">
    <w:abstractNumId w:val="15"/>
  </w:num>
  <w:num w:numId="15">
    <w:abstractNumId w:val="9"/>
  </w:num>
  <w:num w:numId="16">
    <w:abstractNumId w:val="16"/>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11A15"/>
    <w:rsid w:val="00012766"/>
    <w:rsid w:val="0001720F"/>
    <w:rsid w:val="000218FB"/>
    <w:rsid w:val="0002596C"/>
    <w:rsid w:val="00027D27"/>
    <w:rsid w:val="00041486"/>
    <w:rsid w:val="00041AE8"/>
    <w:rsid w:val="00042DEE"/>
    <w:rsid w:val="00047C0E"/>
    <w:rsid w:val="0005228B"/>
    <w:rsid w:val="00061867"/>
    <w:rsid w:val="0006625E"/>
    <w:rsid w:val="0008146A"/>
    <w:rsid w:val="00084268"/>
    <w:rsid w:val="00096BE7"/>
    <w:rsid w:val="000C7750"/>
    <w:rsid w:val="000D658A"/>
    <w:rsid w:val="000F3A56"/>
    <w:rsid w:val="000F4969"/>
    <w:rsid w:val="000F6985"/>
    <w:rsid w:val="00101504"/>
    <w:rsid w:val="00120371"/>
    <w:rsid w:val="0012101E"/>
    <w:rsid w:val="0012536B"/>
    <w:rsid w:val="00130869"/>
    <w:rsid w:val="00136590"/>
    <w:rsid w:val="0013767C"/>
    <w:rsid w:val="00146D5C"/>
    <w:rsid w:val="00154A28"/>
    <w:rsid w:val="0016708C"/>
    <w:rsid w:val="00167DA0"/>
    <w:rsid w:val="00190EE0"/>
    <w:rsid w:val="00192EFB"/>
    <w:rsid w:val="00193425"/>
    <w:rsid w:val="001A2FA6"/>
    <w:rsid w:val="001A7511"/>
    <w:rsid w:val="001B6755"/>
    <w:rsid w:val="001C0A6D"/>
    <w:rsid w:val="001C1908"/>
    <w:rsid w:val="001D28E6"/>
    <w:rsid w:val="001E084C"/>
    <w:rsid w:val="001E4FCE"/>
    <w:rsid w:val="001F0032"/>
    <w:rsid w:val="001F0774"/>
    <w:rsid w:val="001F25C8"/>
    <w:rsid w:val="001F2B90"/>
    <w:rsid w:val="001F495A"/>
    <w:rsid w:val="00201F9C"/>
    <w:rsid w:val="002024C6"/>
    <w:rsid w:val="00202A02"/>
    <w:rsid w:val="00206C29"/>
    <w:rsid w:val="00212AB0"/>
    <w:rsid w:val="00213B3E"/>
    <w:rsid w:val="0021669C"/>
    <w:rsid w:val="00217726"/>
    <w:rsid w:val="00217A39"/>
    <w:rsid w:val="00223AAE"/>
    <w:rsid w:val="00245571"/>
    <w:rsid w:val="00250058"/>
    <w:rsid w:val="00255FB9"/>
    <w:rsid w:val="002714AA"/>
    <w:rsid w:val="00271E22"/>
    <w:rsid w:val="00272672"/>
    <w:rsid w:val="0027361A"/>
    <w:rsid w:val="00273D24"/>
    <w:rsid w:val="002878E3"/>
    <w:rsid w:val="00290C9B"/>
    <w:rsid w:val="002A259B"/>
    <w:rsid w:val="002A3966"/>
    <w:rsid w:val="002A39B2"/>
    <w:rsid w:val="002B0B2A"/>
    <w:rsid w:val="002E21F5"/>
    <w:rsid w:val="0031619F"/>
    <w:rsid w:val="0034046E"/>
    <w:rsid w:val="00344607"/>
    <w:rsid w:val="00356DF2"/>
    <w:rsid w:val="00366C5B"/>
    <w:rsid w:val="003846C0"/>
    <w:rsid w:val="00384BDE"/>
    <w:rsid w:val="00385337"/>
    <w:rsid w:val="00386472"/>
    <w:rsid w:val="00393310"/>
    <w:rsid w:val="00393898"/>
    <w:rsid w:val="003B6972"/>
    <w:rsid w:val="003C656B"/>
    <w:rsid w:val="003D2391"/>
    <w:rsid w:val="003D7263"/>
    <w:rsid w:val="003D7786"/>
    <w:rsid w:val="003E3690"/>
    <w:rsid w:val="003E59D9"/>
    <w:rsid w:val="004108EA"/>
    <w:rsid w:val="0042078F"/>
    <w:rsid w:val="00424BC7"/>
    <w:rsid w:val="00435A07"/>
    <w:rsid w:val="00447B4B"/>
    <w:rsid w:val="004665F0"/>
    <w:rsid w:val="00473AD9"/>
    <w:rsid w:val="0047508E"/>
    <w:rsid w:val="004758E6"/>
    <w:rsid w:val="00484926"/>
    <w:rsid w:val="004922A8"/>
    <w:rsid w:val="004927E0"/>
    <w:rsid w:val="004A15BA"/>
    <w:rsid w:val="004B08B4"/>
    <w:rsid w:val="004B44D9"/>
    <w:rsid w:val="004B5113"/>
    <w:rsid w:val="004D7999"/>
    <w:rsid w:val="004E1C1E"/>
    <w:rsid w:val="004E3490"/>
    <w:rsid w:val="004E595F"/>
    <w:rsid w:val="004E6CDF"/>
    <w:rsid w:val="004F25D1"/>
    <w:rsid w:val="004F5680"/>
    <w:rsid w:val="00514EF4"/>
    <w:rsid w:val="00514FAA"/>
    <w:rsid w:val="005210FB"/>
    <w:rsid w:val="00521950"/>
    <w:rsid w:val="00524564"/>
    <w:rsid w:val="0053504E"/>
    <w:rsid w:val="0053543F"/>
    <w:rsid w:val="00544BCA"/>
    <w:rsid w:val="0054794B"/>
    <w:rsid w:val="00564542"/>
    <w:rsid w:val="00584B29"/>
    <w:rsid w:val="0058688A"/>
    <w:rsid w:val="00587768"/>
    <w:rsid w:val="00590BCD"/>
    <w:rsid w:val="00595299"/>
    <w:rsid w:val="005B23B6"/>
    <w:rsid w:val="005B2EC8"/>
    <w:rsid w:val="005B6763"/>
    <w:rsid w:val="005C5563"/>
    <w:rsid w:val="005D1C1B"/>
    <w:rsid w:val="005E70F4"/>
    <w:rsid w:val="005F0947"/>
    <w:rsid w:val="005F1139"/>
    <w:rsid w:val="005F4AAA"/>
    <w:rsid w:val="006035B6"/>
    <w:rsid w:val="00604132"/>
    <w:rsid w:val="00604F1C"/>
    <w:rsid w:val="006133EA"/>
    <w:rsid w:val="00620484"/>
    <w:rsid w:val="00644293"/>
    <w:rsid w:val="006457D3"/>
    <w:rsid w:val="00660F4D"/>
    <w:rsid w:val="006630B0"/>
    <w:rsid w:val="00667486"/>
    <w:rsid w:val="00667EE8"/>
    <w:rsid w:val="00670004"/>
    <w:rsid w:val="006816A0"/>
    <w:rsid w:val="006964C0"/>
    <w:rsid w:val="006966D9"/>
    <w:rsid w:val="0069701D"/>
    <w:rsid w:val="00697869"/>
    <w:rsid w:val="006A0A29"/>
    <w:rsid w:val="006C079D"/>
    <w:rsid w:val="006E25E4"/>
    <w:rsid w:val="006F0429"/>
    <w:rsid w:val="007040C4"/>
    <w:rsid w:val="007070C8"/>
    <w:rsid w:val="00714DD1"/>
    <w:rsid w:val="007178DA"/>
    <w:rsid w:val="0073677B"/>
    <w:rsid w:val="00744CBF"/>
    <w:rsid w:val="007466C1"/>
    <w:rsid w:val="00750258"/>
    <w:rsid w:val="00752E06"/>
    <w:rsid w:val="00786119"/>
    <w:rsid w:val="00796159"/>
    <w:rsid w:val="00796594"/>
    <w:rsid w:val="007C10EC"/>
    <w:rsid w:val="007C2CC3"/>
    <w:rsid w:val="007C351D"/>
    <w:rsid w:val="007D1965"/>
    <w:rsid w:val="007D4132"/>
    <w:rsid w:val="007D543E"/>
    <w:rsid w:val="007E4ED5"/>
    <w:rsid w:val="007E586B"/>
    <w:rsid w:val="007E77B8"/>
    <w:rsid w:val="007F5F4E"/>
    <w:rsid w:val="007F6DA8"/>
    <w:rsid w:val="0080429F"/>
    <w:rsid w:val="00806328"/>
    <w:rsid w:val="00807BAA"/>
    <w:rsid w:val="00811B74"/>
    <w:rsid w:val="00813886"/>
    <w:rsid w:val="00815091"/>
    <w:rsid w:val="00816F68"/>
    <w:rsid w:val="008267AE"/>
    <w:rsid w:val="008267E2"/>
    <w:rsid w:val="00834C8B"/>
    <w:rsid w:val="00837F90"/>
    <w:rsid w:val="00843A7D"/>
    <w:rsid w:val="008550EF"/>
    <w:rsid w:val="008707C1"/>
    <w:rsid w:val="00872019"/>
    <w:rsid w:val="008727DD"/>
    <w:rsid w:val="0087362B"/>
    <w:rsid w:val="008801A0"/>
    <w:rsid w:val="00887306"/>
    <w:rsid w:val="008970EA"/>
    <w:rsid w:val="008A02B5"/>
    <w:rsid w:val="008D1503"/>
    <w:rsid w:val="008E7444"/>
    <w:rsid w:val="008F15D4"/>
    <w:rsid w:val="008F3C92"/>
    <w:rsid w:val="00900692"/>
    <w:rsid w:val="00900938"/>
    <w:rsid w:val="00900DFF"/>
    <w:rsid w:val="00920B90"/>
    <w:rsid w:val="0093236F"/>
    <w:rsid w:val="009331A5"/>
    <w:rsid w:val="00960706"/>
    <w:rsid w:val="00970ACA"/>
    <w:rsid w:val="00974384"/>
    <w:rsid w:val="00977878"/>
    <w:rsid w:val="00994D44"/>
    <w:rsid w:val="0099766E"/>
    <w:rsid w:val="009A0504"/>
    <w:rsid w:val="009A3951"/>
    <w:rsid w:val="009B3F86"/>
    <w:rsid w:val="009B7D7E"/>
    <w:rsid w:val="009C4021"/>
    <w:rsid w:val="009C4D87"/>
    <w:rsid w:val="009C6A5B"/>
    <w:rsid w:val="009C700C"/>
    <w:rsid w:val="009D1B2C"/>
    <w:rsid w:val="009D7109"/>
    <w:rsid w:val="009E25B4"/>
    <w:rsid w:val="009E2B84"/>
    <w:rsid w:val="009E4370"/>
    <w:rsid w:val="009E5BBD"/>
    <w:rsid w:val="009E6340"/>
    <w:rsid w:val="009F5DBF"/>
    <w:rsid w:val="00A11A31"/>
    <w:rsid w:val="00A13780"/>
    <w:rsid w:val="00A147ED"/>
    <w:rsid w:val="00A174FA"/>
    <w:rsid w:val="00A25CA7"/>
    <w:rsid w:val="00A31F58"/>
    <w:rsid w:val="00A343FF"/>
    <w:rsid w:val="00A4736F"/>
    <w:rsid w:val="00A52077"/>
    <w:rsid w:val="00A561C8"/>
    <w:rsid w:val="00A57448"/>
    <w:rsid w:val="00A60AAA"/>
    <w:rsid w:val="00A6316A"/>
    <w:rsid w:val="00A66A20"/>
    <w:rsid w:val="00A7058F"/>
    <w:rsid w:val="00A72869"/>
    <w:rsid w:val="00A83501"/>
    <w:rsid w:val="00A911E8"/>
    <w:rsid w:val="00A9416E"/>
    <w:rsid w:val="00A9460B"/>
    <w:rsid w:val="00AA5E39"/>
    <w:rsid w:val="00AB68BE"/>
    <w:rsid w:val="00AC0602"/>
    <w:rsid w:val="00AC090E"/>
    <w:rsid w:val="00AC2AD6"/>
    <w:rsid w:val="00AE1B0F"/>
    <w:rsid w:val="00AE48C0"/>
    <w:rsid w:val="00AF408D"/>
    <w:rsid w:val="00B02BB2"/>
    <w:rsid w:val="00B056D9"/>
    <w:rsid w:val="00B2161A"/>
    <w:rsid w:val="00B309BE"/>
    <w:rsid w:val="00B32AC5"/>
    <w:rsid w:val="00B40B32"/>
    <w:rsid w:val="00B45611"/>
    <w:rsid w:val="00B522B0"/>
    <w:rsid w:val="00B5381C"/>
    <w:rsid w:val="00B53D6E"/>
    <w:rsid w:val="00B705C5"/>
    <w:rsid w:val="00B806AC"/>
    <w:rsid w:val="00B93993"/>
    <w:rsid w:val="00BA11E8"/>
    <w:rsid w:val="00BA29D8"/>
    <w:rsid w:val="00BA44B9"/>
    <w:rsid w:val="00BA6C4B"/>
    <w:rsid w:val="00BB5EDB"/>
    <w:rsid w:val="00BD07BD"/>
    <w:rsid w:val="00BD3CD3"/>
    <w:rsid w:val="00C01EA3"/>
    <w:rsid w:val="00C0379C"/>
    <w:rsid w:val="00C04C07"/>
    <w:rsid w:val="00C064CD"/>
    <w:rsid w:val="00C07DFB"/>
    <w:rsid w:val="00C10692"/>
    <w:rsid w:val="00C144CA"/>
    <w:rsid w:val="00C17612"/>
    <w:rsid w:val="00C20AC0"/>
    <w:rsid w:val="00C455B0"/>
    <w:rsid w:val="00C86C76"/>
    <w:rsid w:val="00C933E6"/>
    <w:rsid w:val="00C94640"/>
    <w:rsid w:val="00CA2777"/>
    <w:rsid w:val="00CB3CDE"/>
    <w:rsid w:val="00CC1577"/>
    <w:rsid w:val="00CC4274"/>
    <w:rsid w:val="00CE1706"/>
    <w:rsid w:val="00CF263E"/>
    <w:rsid w:val="00D01DE0"/>
    <w:rsid w:val="00D05BCC"/>
    <w:rsid w:val="00D13990"/>
    <w:rsid w:val="00D16763"/>
    <w:rsid w:val="00D222B7"/>
    <w:rsid w:val="00D23B30"/>
    <w:rsid w:val="00D252A1"/>
    <w:rsid w:val="00D267A3"/>
    <w:rsid w:val="00D43CB7"/>
    <w:rsid w:val="00D474CD"/>
    <w:rsid w:val="00D5166A"/>
    <w:rsid w:val="00D56010"/>
    <w:rsid w:val="00D60C44"/>
    <w:rsid w:val="00D64370"/>
    <w:rsid w:val="00D643F8"/>
    <w:rsid w:val="00D67D4B"/>
    <w:rsid w:val="00D70CDA"/>
    <w:rsid w:val="00D82E91"/>
    <w:rsid w:val="00D83BEE"/>
    <w:rsid w:val="00D8634C"/>
    <w:rsid w:val="00D908D0"/>
    <w:rsid w:val="00DA545F"/>
    <w:rsid w:val="00DA642A"/>
    <w:rsid w:val="00DC4FB3"/>
    <w:rsid w:val="00DD1599"/>
    <w:rsid w:val="00DD17FD"/>
    <w:rsid w:val="00DD287F"/>
    <w:rsid w:val="00DD68BE"/>
    <w:rsid w:val="00DF0FE5"/>
    <w:rsid w:val="00DF6805"/>
    <w:rsid w:val="00E02980"/>
    <w:rsid w:val="00E04605"/>
    <w:rsid w:val="00E06831"/>
    <w:rsid w:val="00E07345"/>
    <w:rsid w:val="00E17DB4"/>
    <w:rsid w:val="00E24DFC"/>
    <w:rsid w:val="00E3040C"/>
    <w:rsid w:val="00E33FDE"/>
    <w:rsid w:val="00E40A9E"/>
    <w:rsid w:val="00E41352"/>
    <w:rsid w:val="00E42FF6"/>
    <w:rsid w:val="00E4427D"/>
    <w:rsid w:val="00E567E2"/>
    <w:rsid w:val="00E60391"/>
    <w:rsid w:val="00EA6CB4"/>
    <w:rsid w:val="00EC5C3E"/>
    <w:rsid w:val="00ED17EF"/>
    <w:rsid w:val="00ED38AB"/>
    <w:rsid w:val="00ED4C58"/>
    <w:rsid w:val="00EE205C"/>
    <w:rsid w:val="00EE65C0"/>
    <w:rsid w:val="00EF1BD7"/>
    <w:rsid w:val="00EF7552"/>
    <w:rsid w:val="00F006D8"/>
    <w:rsid w:val="00F06E69"/>
    <w:rsid w:val="00F13137"/>
    <w:rsid w:val="00F142AC"/>
    <w:rsid w:val="00F14985"/>
    <w:rsid w:val="00F21A83"/>
    <w:rsid w:val="00F223B9"/>
    <w:rsid w:val="00F22613"/>
    <w:rsid w:val="00F23181"/>
    <w:rsid w:val="00F3394E"/>
    <w:rsid w:val="00F361CB"/>
    <w:rsid w:val="00F405CE"/>
    <w:rsid w:val="00F43F00"/>
    <w:rsid w:val="00F466BD"/>
    <w:rsid w:val="00F50170"/>
    <w:rsid w:val="00F52F31"/>
    <w:rsid w:val="00F54F60"/>
    <w:rsid w:val="00F66FEE"/>
    <w:rsid w:val="00F70E88"/>
    <w:rsid w:val="00F819BC"/>
    <w:rsid w:val="00F84D34"/>
    <w:rsid w:val="00F96597"/>
    <w:rsid w:val="00FB31D4"/>
    <w:rsid w:val="00FC66C2"/>
    <w:rsid w:val="00FD01B3"/>
    <w:rsid w:val="00FD17AB"/>
    <w:rsid w:val="00FD1DD7"/>
    <w:rsid w:val="00FE481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uiPriority w:val="99"/>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sz w:val="24"/>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CE170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customStyle="1" w:styleId="Default">
    <w:name w:val="Default"/>
    <w:rsid w:val="00CE1706"/>
    <w:pPr>
      <w:autoSpaceDE w:val="0"/>
      <w:autoSpaceDN w:val="0"/>
      <w:adjustRightInd w:val="0"/>
    </w:pPr>
    <w:rPr>
      <w:rFonts w:ascii="Times New Roman" w:eastAsia="Arial Unicode MS" w:hAnsi="Times New Roman"/>
      <w:color w:val="000000"/>
      <w:sz w:val="24"/>
      <w:szCs w:val="24"/>
      <w:bdr w:val="nil"/>
      <w:lang w:eastAsia="es-ES"/>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CF263E"/>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semiHidden/>
    <w:rsid w:val="00CF263E"/>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uiPriority w:val="99"/>
    <w:unhideWhenUsed/>
    <w:qFormat/>
    <w:rsid w:val="00CF263E"/>
    <w:rPr>
      <w:vertAlign w:val="superscript"/>
    </w:rPr>
  </w:style>
  <w:style w:type="character" w:styleId="Hyperlink">
    <w:name w:val="Hyperlink"/>
    <w:uiPriority w:val="99"/>
    <w:unhideWhenUsed/>
    <w:rsid w:val="00CF263E"/>
    <w:rPr>
      <w:color w:val="0000FF"/>
      <w:u w:val="single"/>
    </w:rPr>
  </w:style>
  <w:style w:type="paragraph" w:customStyle="1" w:styleId="FreeForm">
    <w:name w:val="Free Form"/>
    <w:rsid w:val="00CF263E"/>
    <w:rPr>
      <w:rFonts w:ascii="Helvetica" w:eastAsia="ヒラギノ角ゴ Pro W3" w:hAnsi="Helvetica"/>
      <w:color w:val="000000"/>
      <w:sz w:val="24"/>
    </w:rPr>
  </w:style>
  <w:style w:type="character" w:styleId="CommentReference">
    <w:name w:val="annotation reference"/>
    <w:uiPriority w:val="99"/>
    <w:semiHidden/>
    <w:unhideWhenUsed/>
    <w:rsid w:val="00FD1DD7"/>
    <w:rPr>
      <w:sz w:val="16"/>
      <w:szCs w:val="16"/>
    </w:rPr>
  </w:style>
  <w:style w:type="paragraph" w:styleId="CommentText">
    <w:name w:val="annotation text"/>
    <w:basedOn w:val="Normal"/>
    <w:link w:val="CommentTextChar"/>
    <w:uiPriority w:val="99"/>
    <w:semiHidden/>
    <w:unhideWhenUsed/>
    <w:rsid w:val="00FD1DD7"/>
    <w:rPr>
      <w:sz w:val="20"/>
      <w:szCs w:val="20"/>
    </w:rPr>
  </w:style>
  <w:style w:type="character" w:customStyle="1" w:styleId="CommentTextChar">
    <w:name w:val="Comment Text Char"/>
    <w:basedOn w:val="DefaultParagraphFont"/>
    <w:link w:val="CommentText"/>
    <w:uiPriority w:val="99"/>
    <w:semiHidden/>
    <w:rsid w:val="00FD1DD7"/>
  </w:style>
  <w:style w:type="paragraph" w:styleId="CommentSubject">
    <w:name w:val="annotation subject"/>
    <w:basedOn w:val="CommentText"/>
    <w:next w:val="CommentText"/>
    <w:link w:val="CommentSubjectChar"/>
    <w:uiPriority w:val="99"/>
    <w:semiHidden/>
    <w:unhideWhenUsed/>
    <w:rsid w:val="00FD1DD7"/>
    <w:rPr>
      <w:b/>
      <w:bCs/>
    </w:rPr>
  </w:style>
  <w:style w:type="character" w:customStyle="1" w:styleId="CommentSubjectChar">
    <w:name w:val="Comment Subject Char"/>
    <w:link w:val="CommentSubject"/>
    <w:uiPriority w:val="99"/>
    <w:semiHidden/>
    <w:rsid w:val="00FD1DD7"/>
    <w:rPr>
      <w:b/>
      <w:bCs/>
    </w:rPr>
  </w:style>
  <w:style w:type="character" w:styleId="Strong">
    <w:name w:val="Strong"/>
    <w:uiPriority w:val="22"/>
    <w:qFormat/>
    <w:rsid w:val="0047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6086">
      <w:bodyDiv w:val="1"/>
      <w:marLeft w:val="0"/>
      <w:marRight w:val="0"/>
      <w:marTop w:val="0"/>
      <w:marBottom w:val="0"/>
      <w:divBdr>
        <w:top w:val="none" w:sz="0" w:space="0" w:color="auto"/>
        <w:left w:val="none" w:sz="0" w:space="0" w:color="auto"/>
        <w:bottom w:val="none" w:sz="0" w:space="0" w:color="auto"/>
        <w:right w:val="none" w:sz="0" w:space="0" w:color="auto"/>
      </w:divBdr>
    </w:div>
    <w:div w:id="666327642">
      <w:bodyDiv w:val="1"/>
      <w:marLeft w:val="0"/>
      <w:marRight w:val="0"/>
      <w:marTop w:val="0"/>
      <w:marBottom w:val="0"/>
      <w:divBdr>
        <w:top w:val="none" w:sz="0" w:space="0" w:color="auto"/>
        <w:left w:val="none" w:sz="0" w:space="0" w:color="auto"/>
        <w:bottom w:val="none" w:sz="0" w:space="0" w:color="auto"/>
        <w:right w:val="none" w:sz="0" w:space="0" w:color="auto"/>
      </w:divBdr>
    </w:div>
    <w:div w:id="91366260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FE60-8255-416D-825B-160DDF42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Template>
  <TotalTime>1</TotalTime>
  <Pages>8</Pages>
  <Words>4026</Words>
  <Characters>22953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2</cp:revision>
  <cp:lastPrinted>2018-01-30T20:53:00Z</cp:lastPrinted>
  <dcterms:created xsi:type="dcterms:W3CDTF">2018-01-30T21:14:00Z</dcterms:created>
  <dcterms:modified xsi:type="dcterms:W3CDTF">2018-01-30T21:14:00Z</dcterms:modified>
</cp:coreProperties>
</file>