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368" w:rsidRPr="00573368" w:rsidRDefault="00573368" w:rsidP="00573368">
      <w:pPr>
        <w:widowControl w:val="0"/>
        <w:jc w:val="center"/>
        <w:rPr>
          <w:rFonts w:ascii="Cambria" w:hAnsi="Cambria"/>
          <w:b/>
          <w:sz w:val="22"/>
          <w:szCs w:val="21"/>
        </w:rPr>
      </w:pPr>
      <w:r w:rsidRPr="00573368">
        <w:rPr>
          <w:rFonts w:ascii="Cambria" w:hAnsi="Cambria"/>
          <w:b/>
          <w:sz w:val="22"/>
          <w:szCs w:val="21"/>
        </w:rPr>
        <w:t xml:space="preserve">INTER-AMERICAN COMMISSION ON HUMAN RIGHTS </w:t>
      </w:r>
    </w:p>
    <w:p w:rsidR="00E254C2" w:rsidRPr="00573368" w:rsidRDefault="00573368" w:rsidP="00573368">
      <w:pPr>
        <w:widowControl w:val="0"/>
        <w:jc w:val="center"/>
        <w:rPr>
          <w:rFonts w:ascii="Cambria" w:hAnsi="Cambria"/>
          <w:sz w:val="21"/>
          <w:szCs w:val="21"/>
        </w:rPr>
      </w:pPr>
      <w:r w:rsidRPr="00573368">
        <w:rPr>
          <w:rFonts w:ascii="Cambria" w:hAnsi="Cambria"/>
          <w:b/>
          <w:sz w:val="22"/>
          <w:szCs w:val="21"/>
        </w:rPr>
        <w:t xml:space="preserve">RESOLUTION </w:t>
      </w:r>
      <w:r w:rsidR="00C529FD">
        <w:rPr>
          <w:rFonts w:ascii="Cambria" w:hAnsi="Cambria"/>
          <w:b/>
          <w:sz w:val="22"/>
          <w:szCs w:val="21"/>
        </w:rPr>
        <w:t>33</w:t>
      </w:r>
      <w:r w:rsidRPr="00573368">
        <w:rPr>
          <w:rFonts w:ascii="Cambria" w:hAnsi="Cambria"/>
          <w:b/>
          <w:sz w:val="22"/>
          <w:szCs w:val="21"/>
        </w:rPr>
        <w:t>/2018</w:t>
      </w:r>
    </w:p>
    <w:p w:rsidR="00E254C2" w:rsidRPr="00573368" w:rsidRDefault="00E254C2" w:rsidP="002238E9">
      <w:pPr>
        <w:widowControl w:val="0"/>
        <w:jc w:val="center"/>
        <w:rPr>
          <w:rFonts w:ascii="Cambria" w:hAnsi="Cambria"/>
          <w:sz w:val="21"/>
          <w:szCs w:val="21"/>
        </w:rPr>
      </w:pPr>
    </w:p>
    <w:p w:rsidR="004E33D0" w:rsidRPr="00573368" w:rsidRDefault="00573368" w:rsidP="002238E9">
      <w:pPr>
        <w:widowControl w:val="0"/>
        <w:jc w:val="center"/>
        <w:rPr>
          <w:rFonts w:ascii="Cambria" w:hAnsi="Cambria"/>
          <w:sz w:val="22"/>
          <w:szCs w:val="26"/>
        </w:rPr>
      </w:pPr>
      <w:r w:rsidRPr="00573368">
        <w:rPr>
          <w:rFonts w:ascii="Cambria" w:hAnsi="Cambria"/>
          <w:sz w:val="22"/>
          <w:szCs w:val="26"/>
        </w:rPr>
        <w:t>Precautionary Measures</w:t>
      </w:r>
      <w:r w:rsidR="004E33D0" w:rsidRPr="00573368">
        <w:rPr>
          <w:rFonts w:ascii="Cambria" w:hAnsi="Cambria"/>
          <w:sz w:val="22"/>
          <w:szCs w:val="26"/>
        </w:rPr>
        <w:t xml:space="preserve"> No. </w:t>
      </w:r>
      <w:r w:rsidR="002657E0" w:rsidRPr="00573368">
        <w:rPr>
          <w:rFonts w:ascii="Cambria" w:hAnsi="Cambria"/>
          <w:sz w:val="22"/>
          <w:szCs w:val="26"/>
        </w:rPr>
        <w:t>1047-17</w:t>
      </w:r>
    </w:p>
    <w:p w:rsidR="00E254C2" w:rsidRPr="00215100" w:rsidRDefault="002657E0" w:rsidP="002238E9">
      <w:pPr>
        <w:widowControl w:val="0"/>
        <w:jc w:val="center"/>
        <w:rPr>
          <w:rFonts w:ascii="Cambria" w:hAnsi="Cambria"/>
          <w:sz w:val="26"/>
          <w:szCs w:val="26"/>
        </w:rPr>
      </w:pPr>
      <w:r w:rsidRPr="00215100">
        <w:rPr>
          <w:rFonts w:ascii="Cambria" w:hAnsi="Cambria"/>
          <w:sz w:val="26"/>
          <w:szCs w:val="26"/>
        </w:rPr>
        <w:t>D</w:t>
      </w:r>
      <w:r w:rsidR="00E76748">
        <w:rPr>
          <w:rFonts w:ascii="Cambria" w:hAnsi="Cambria"/>
          <w:sz w:val="26"/>
          <w:szCs w:val="26"/>
        </w:rPr>
        <w:t xml:space="preserve">wayne </w:t>
      </w:r>
      <w:r w:rsidRPr="00215100">
        <w:rPr>
          <w:rFonts w:ascii="Cambria" w:hAnsi="Cambria"/>
          <w:sz w:val="26"/>
          <w:szCs w:val="26"/>
        </w:rPr>
        <w:t>Omar</w:t>
      </w:r>
      <w:r w:rsidR="00E76748">
        <w:rPr>
          <w:rFonts w:ascii="Cambria" w:hAnsi="Cambria"/>
          <w:sz w:val="26"/>
          <w:szCs w:val="26"/>
        </w:rPr>
        <w:t xml:space="preserve"> </w:t>
      </w:r>
      <w:proofErr w:type="spellStart"/>
      <w:r w:rsidRPr="00215100">
        <w:rPr>
          <w:rFonts w:ascii="Cambria" w:hAnsi="Cambria"/>
          <w:sz w:val="26"/>
          <w:szCs w:val="26"/>
        </w:rPr>
        <w:t>Severin</w:t>
      </w:r>
      <w:proofErr w:type="spellEnd"/>
      <w:r w:rsidRPr="00215100">
        <w:rPr>
          <w:rFonts w:ascii="Cambria" w:hAnsi="Cambria"/>
          <w:sz w:val="26"/>
          <w:szCs w:val="26"/>
        </w:rPr>
        <w:t xml:space="preserve"> </w:t>
      </w:r>
      <w:r w:rsidR="00573368" w:rsidRPr="00215100">
        <w:rPr>
          <w:rFonts w:ascii="Cambria" w:hAnsi="Cambria"/>
          <w:sz w:val="26"/>
          <w:szCs w:val="26"/>
        </w:rPr>
        <w:t>and</w:t>
      </w:r>
      <w:r w:rsidRPr="00215100">
        <w:rPr>
          <w:rFonts w:ascii="Cambria" w:hAnsi="Cambria"/>
          <w:sz w:val="26"/>
          <w:szCs w:val="26"/>
        </w:rPr>
        <w:t xml:space="preserve"> Jabari </w:t>
      </w:r>
      <w:proofErr w:type="spellStart"/>
      <w:r w:rsidRPr="00215100">
        <w:rPr>
          <w:rFonts w:ascii="Cambria" w:hAnsi="Cambria"/>
          <w:sz w:val="26"/>
          <w:szCs w:val="26"/>
        </w:rPr>
        <w:t>Sensimania</w:t>
      </w:r>
      <w:proofErr w:type="spellEnd"/>
      <w:r w:rsidRPr="00215100">
        <w:rPr>
          <w:rFonts w:ascii="Cambria" w:hAnsi="Cambria"/>
          <w:sz w:val="26"/>
          <w:szCs w:val="26"/>
        </w:rPr>
        <w:t xml:space="preserve"> </w:t>
      </w:r>
      <w:proofErr w:type="spellStart"/>
      <w:r w:rsidRPr="00215100">
        <w:rPr>
          <w:rFonts w:ascii="Cambria" w:hAnsi="Cambria"/>
          <w:sz w:val="26"/>
          <w:szCs w:val="26"/>
        </w:rPr>
        <w:t>Nervais</w:t>
      </w:r>
      <w:proofErr w:type="spellEnd"/>
      <w:r w:rsidRPr="00215100">
        <w:rPr>
          <w:rFonts w:ascii="Cambria" w:hAnsi="Cambria"/>
          <w:sz w:val="26"/>
          <w:szCs w:val="26"/>
        </w:rPr>
        <w:t xml:space="preserve"> </w:t>
      </w:r>
      <w:r w:rsidR="00573368" w:rsidRPr="00215100">
        <w:rPr>
          <w:rFonts w:ascii="Cambria" w:hAnsi="Cambria"/>
          <w:sz w:val="26"/>
          <w:szCs w:val="26"/>
        </w:rPr>
        <w:t>regarding</w:t>
      </w:r>
      <w:r w:rsidR="00E254C2" w:rsidRPr="00215100">
        <w:rPr>
          <w:rFonts w:ascii="Cambria" w:hAnsi="Cambria"/>
          <w:sz w:val="26"/>
          <w:szCs w:val="26"/>
        </w:rPr>
        <w:t xml:space="preserve"> </w:t>
      </w:r>
      <w:r w:rsidRPr="00215100">
        <w:rPr>
          <w:rFonts w:ascii="Cambria" w:hAnsi="Cambria"/>
          <w:sz w:val="26"/>
          <w:szCs w:val="26"/>
        </w:rPr>
        <w:t>Barbados</w:t>
      </w:r>
    </w:p>
    <w:p w:rsidR="00377C04" w:rsidRPr="00215100" w:rsidRDefault="00C529FD" w:rsidP="002238E9">
      <w:pPr>
        <w:widowControl w:val="0"/>
        <w:jc w:val="center"/>
        <w:rPr>
          <w:rFonts w:ascii="Cambria" w:hAnsi="Cambria"/>
          <w:sz w:val="20"/>
          <w:szCs w:val="21"/>
        </w:rPr>
      </w:pPr>
      <w:r w:rsidRPr="00C529FD">
        <w:rPr>
          <w:rFonts w:ascii="Cambria" w:eastAsia="Calibri" w:hAnsi="Cambria" w:cs="Times New Roman"/>
          <w:sz w:val="20"/>
          <w:szCs w:val="21"/>
        </w:rPr>
        <w:t>May 5</w:t>
      </w:r>
      <w:r>
        <w:rPr>
          <w:rFonts w:ascii="Cambria" w:hAnsi="Cambria"/>
          <w:sz w:val="20"/>
          <w:szCs w:val="21"/>
        </w:rPr>
        <w:t xml:space="preserve">, </w:t>
      </w:r>
      <w:r w:rsidR="00377C04" w:rsidRPr="00215100">
        <w:rPr>
          <w:rFonts w:ascii="Cambria" w:hAnsi="Cambria"/>
          <w:sz w:val="20"/>
          <w:szCs w:val="21"/>
        </w:rPr>
        <w:t>201</w:t>
      </w:r>
      <w:r w:rsidR="00A60F71" w:rsidRPr="00215100">
        <w:rPr>
          <w:rFonts w:ascii="Cambria" w:hAnsi="Cambria"/>
          <w:sz w:val="20"/>
          <w:szCs w:val="21"/>
        </w:rPr>
        <w:t>8</w:t>
      </w:r>
      <w:r w:rsidR="00377C04" w:rsidRPr="00215100">
        <w:rPr>
          <w:rFonts w:ascii="Cambria" w:hAnsi="Cambria"/>
          <w:sz w:val="20"/>
          <w:szCs w:val="21"/>
        </w:rPr>
        <w:t xml:space="preserve"> </w:t>
      </w:r>
    </w:p>
    <w:p w:rsidR="00377C04" w:rsidRPr="00215100" w:rsidRDefault="00377C04" w:rsidP="002238E9">
      <w:pPr>
        <w:widowControl w:val="0"/>
        <w:jc w:val="center"/>
        <w:rPr>
          <w:rFonts w:ascii="Cambria" w:hAnsi="Cambria"/>
          <w:sz w:val="20"/>
          <w:szCs w:val="21"/>
        </w:rPr>
      </w:pPr>
    </w:p>
    <w:p w:rsidR="00377C04" w:rsidRPr="00DA3664" w:rsidRDefault="00377C04" w:rsidP="002238E9">
      <w:pPr>
        <w:pStyle w:val="ListParagraph"/>
        <w:widowControl w:val="0"/>
        <w:numPr>
          <w:ilvl w:val="0"/>
          <w:numId w:val="2"/>
        </w:numPr>
        <w:ind w:left="360" w:firstLine="180"/>
        <w:jc w:val="both"/>
        <w:rPr>
          <w:rFonts w:ascii="Cambria" w:hAnsi="Cambria"/>
          <w:b/>
          <w:sz w:val="21"/>
          <w:szCs w:val="21"/>
          <w:lang w:val="es-ES_tradnl"/>
        </w:rPr>
      </w:pPr>
      <w:r w:rsidRPr="00DA3664">
        <w:rPr>
          <w:rFonts w:ascii="Cambria" w:hAnsi="Cambria"/>
          <w:b/>
          <w:sz w:val="21"/>
          <w:szCs w:val="21"/>
          <w:lang w:val="es-ES_tradnl"/>
        </w:rPr>
        <w:t>INTRODUC</w:t>
      </w:r>
      <w:r w:rsidR="00573368">
        <w:rPr>
          <w:rFonts w:ascii="Cambria" w:hAnsi="Cambria"/>
          <w:b/>
          <w:sz w:val="21"/>
          <w:szCs w:val="21"/>
          <w:lang w:val="es-ES_tradnl"/>
        </w:rPr>
        <w:t>TION</w:t>
      </w:r>
    </w:p>
    <w:p w:rsidR="00377C04" w:rsidRPr="00DA3664" w:rsidRDefault="00377C04" w:rsidP="00DA3664">
      <w:pPr>
        <w:widowControl w:val="0"/>
        <w:jc w:val="both"/>
        <w:rPr>
          <w:rFonts w:ascii="Cambria" w:hAnsi="Cambria"/>
          <w:sz w:val="21"/>
          <w:szCs w:val="21"/>
          <w:lang w:val="es-ES_tradnl"/>
        </w:rPr>
      </w:pPr>
    </w:p>
    <w:p w:rsidR="00833547" w:rsidRPr="00573368" w:rsidRDefault="00573368" w:rsidP="00573368">
      <w:pPr>
        <w:pStyle w:val="ListParagraph"/>
        <w:widowControl w:val="0"/>
        <w:numPr>
          <w:ilvl w:val="0"/>
          <w:numId w:val="1"/>
        </w:numPr>
        <w:ind w:left="0" w:firstLine="360"/>
        <w:jc w:val="both"/>
        <w:rPr>
          <w:rFonts w:ascii="Cambria" w:eastAsia="Times New Roman" w:hAnsi="Cambria" w:cs="Times New Roman"/>
          <w:color w:val="000000"/>
          <w:sz w:val="21"/>
          <w:szCs w:val="21"/>
        </w:rPr>
      </w:pPr>
      <w:r w:rsidRPr="00C470BF">
        <w:rPr>
          <w:rFonts w:ascii="Cambria" w:eastAsia="Times New Roman" w:hAnsi="Cambria" w:cs="Times New Roman"/>
          <w:color w:val="000000"/>
          <w:sz w:val="21"/>
          <w:szCs w:val="21"/>
        </w:rPr>
        <w:t xml:space="preserve">On </w:t>
      </w:r>
      <w:r>
        <w:rPr>
          <w:rFonts w:ascii="Cambria" w:eastAsia="Times New Roman" w:hAnsi="Cambria" w:cs="Times New Roman"/>
          <w:color w:val="000000"/>
          <w:sz w:val="21"/>
          <w:szCs w:val="21"/>
        </w:rPr>
        <w:t>November 13, 201</w:t>
      </w:r>
      <w:r w:rsidR="00DD63DF">
        <w:rPr>
          <w:rFonts w:ascii="Cambria" w:eastAsia="Times New Roman" w:hAnsi="Cambria" w:cs="Times New Roman"/>
          <w:color w:val="000000"/>
          <w:sz w:val="21"/>
          <w:szCs w:val="21"/>
        </w:rPr>
        <w:t>7</w:t>
      </w:r>
      <w:r>
        <w:rPr>
          <w:rFonts w:ascii="Cambria" w:eastAsia="Times New Roman" w:hAnsi="Cambria" w:cs="Times New Roman"/>
          <w:color w:val="000000"/>
          <w:sz w:val="21"/>
          <w:szCs w:val="21"/>
        </w:rPr>
        <w:t xml:space="preserve">, </w:t>
      </w:r>
      <w:r w:rsidRPr="00C470BF">
        <w:rPr>
          <w:rFonts w:ascii="Cambria" w:eastAsia="Times New Roman" w:hAnsi="Cambria" w:cs="Times New Roman"/>
          <w:color w:val="000000"/>
          <w:sz w:val="21"/>
          <w:szCs w:val="21"/>
        </w:rPr>
        <w:t>the Inter-American Commission on Human Rights (hereinafter “the Inter-</w:t>
      </w:r>
      <w:r w:rsidRPr="00215100">
        <w:rPr>
          <w:rFonts w:ascii="Cambria" w:hAnsi="Cambria"/>
          <w:sz w:val="21"/>
          <w:szCs w:val="21"/>
        </w:rPr>
        <w:t>American</w:t>
      </w:r>
      <w:r w:rsidRPr="00C470BF">
        <w:rPr>
          <w:rFonts w:ascii="Cambria" w:eastAsia="Times New Roman" w:hAnsi="Cambria" w:cs="Times New Roman"/>
          <w:color w:val="000000"/>
          <w:sz w:val="21"/>
          <w:szCs w:val="21"/>
        </w:rPr>
        <w:t xml:space="preserve"> Commission,” “the Commission,” or “the IACHR”) received a </w:t>
      </w:r>
      <w:r>
        <w:rPr>
          <w:rFonts w:ascii="Cambria" w:eastAsia="Times New Roman" w:hAnsi="Cambria" w:cs="Times New Roman"/>
          <w:color w:val="000000"/>
          <w:sz w:val="21"/>
          <w:szCs w:val="21"/>
        </w:rPr>
        <w:t xml:space="preserve">handwritten </w:t>
      </w:r>
      <w:r w:rsidRPr="00C470BF">
        <w:rPr>
          <w:rFonts w:ascii="Cambria" w:eastAsia="Times New Roman" w:hAnsi="Cambria" w:cs="Times New Roman"/>
          <w:color w:val="000000"/>
          <w:sz w:val="21"/>
          <w:szCs w:val="21"/>
        </w:rPr>
        <w:t xml:space="preserve">request for precautionary measures presented by </w:t>
      </w:r>
      <w:r w:rsidRPr="00573368">
        <w:rPr>
          <w:rFonts w:ascii="Cambria" w:hAnsi="Cambria"/>
          <w:sz w:val="21"/>
          <w:szCs w:val="21"/>
        </w:rPr>
        <w:t>Dw</w:t>
      </w:r>
      <w:r w:rsidR="00AA7A2F">
        <w:rPr>
          <w:rFonts w:ascii="Cambria" w:hAnsi="Cambria"/>
          <w:sz w:val="21"/>
          <w:szCs w:val="21"/>
        </w:rPr>
        <w:t>ayn</w:t>
      </w:r>
      <w:r w:rsidRPr="00573368">
        <w:rPr>
          <w:rFonts w:ascii="Cambria" w:hAnsi="Cambria"/>
          <w:sz w:val="21"/>
          <w:szCs w:val="21"/>
        </w:rPr>
        <w:t xml:space="preserve">e Omar </w:t>
      </w:r>
      <w:proofErr w:type="spellStart"/>
      <w:r w:rsidRPr="00573368">
        <w:rPr>
          <w:rFonts w:ascii="Cambria" w:hAnsi="Cambria"/>
          <w:sz w:val="21"/>
          <w:szCs w:val="21"/>
        </w:rPr>
        <w:t>Severin</w:t>
      </w:r>
      <w:proofErr w:type="spellEnd"/>
      <w:r w:rsidRPr="00573368">
        <w:rPr>
          <w:rFonts w:ascii="Cambria" w:hAnsi="Cambria"/>
          <w:sz w:val="21"/>
          <w:szCs w:val="21"/>
        </w:rPr>
        <w:t xml:space="preserve"> </w:t>
      </w:r>
      <w:r>
        <w:rPr>
          <w:rFonts w:ascii="Cambria" w:hAnsi="Cambria"/>
          <w:sz w:val="21"/>
          <w:szCs w:val="21"/>
        </w:rPr>
        <w:t>and</w:t>
      </w:r>
      <w:r w:rsidRPr="00573368">
        <w:rPr>
          <w:rFonts w:ascii="Cambria" w:hAnsi="Cambria"/>
          <w:sz w:val="21"/>
          <w:szCs w:val="21"/>
        </w:rPr>
        <w:t xml:space="preserve"> Jabari </w:t>
      </w:r>
      <w:proofErr w:type="spellStart"/>
      <w:r w:rsidRPr="00573368">
        <w:rPr>
          <w:rFonts w:ascii="Cambria" w:hAnsi="Cambria"/>
          <w:sz w:val="21"/>
          <w:szCs w:val="21"/>
        </w:rPr>
        <w:t>Sensimania</w:t>
      </w:r>
      <w:proofErr w:type="spellEnd"/>
      <w:r w:rsidRPr="00573368">
        <w:rPr>
          <w:rFonts w:ascii="Cambria" w:hAnsi="Cambria"/>
          <w:sz w:val="21"/>
          <w:szCs w:val="21"/>
        </w:rPr>
        <w:t xml:space="preserve"> </w:t>
      </w:r>
      <w:proofErr w:type="spellStart"/>
      <w:r w:rsidRPr="00573368">
        <w:rPr>
          <w:rFonts w:ascii="Cambria" w:hAnsi="Cambria"/>
          <w:sz w:val="21"/>
          <w:szCs w:val="21"/>
        </w:rPr>
        <w:t>Nervais</w:t>
      </w:r>
      <w:proofErr w:type="spellEnd"/>
      <w:r w:rsidRPr="00573368">
        <w:rPr>
          <w:rFonts w:ascii="Cambria" w:hAnsi="Cambria"/>
          <w:sz w:val="21"/>
          <w:szCs w:val="21"/>
        </w:rPr>
        <w:t xml:space="preserve"> </w:t>
      </w:r>
      <w:r>
        <w:rPr>
          <w:rFonts w:ascii="Cambria" w:eastAsia="Times New Roman" w:hAnsi="Cambria" w:cs="Times New Roman"/>
          <w:color w:val="000000"/>
          <w:sz w:val="21"/>
          <w:szCs w:val="21"/>
        </w:rPr>
        <w:t>(hereinafter “the applicants</w:t>
      </w:r>
      <w:r w:rsidRPr="00C470BF">
        <w:rPr>
          <w:rFonts w:ascii="Cambria" w:eastAsia="Times New Roman" w:hAnsi="Cambria" w:cs="Times New Roman"/>
          <w:color w:val="000000"/>
          <w:sz w:val="21"/>
          <w:szCs w:val="21"/>
        </w:rPr>
        <w:t>”</w:t>
      </w:r>
      <w:r>
        <w:rPr>
          <w:rFonts w:ascii="Cambria" w:eastAsia="Times New Roman" w:hAnsi="Cambria" w:cs="Times New Roman"/>
          <w:color w:val="000000"/>
          <w:sz w:val="21"/>
          <w:szCs w:val="21"/>
        </w:rPr>
        <w:t xml:space="preserve"> or “the proposed bene</w:t>
      </w:r>
      <w:bookmarkStart w:id="0" w:name="_GoBack"/>
      <w:bookmarkEnd w:id="0"/>
      <w:r>
        <w:rPr>
          <w:rFonts w:ascii="Cambria" w:eastAsia="Times New Roman" w:hAnsi="Cambria" w:cs="Times New Roman"/>
          <w:color w:val="000000"/>
          <w:sz w:val="21"/>
          <w:szCs w:val="21"/>
        </w:rPr>
        <w:t>ficiaries</w:t>
      </w:r>
      <w:r w:rsidR="00DA3D83">
        <w:rPr>
          <w:rFonts w:ascii="Cambria" w:eastAsia="Times New Roman" w:hAnsi="Cambria" w:cs="Times New Roman"/>
          <w:color w:val="000000"/>
          <w:sz w:val="21"/>
          <w:szCs w:val="21"/>
        </w:rPr>
        <w:t>”</w:t>
      </w:r>
      <w:r w:rsidRPr="00650FFE">
        <w:rPr>
          <w:rStyle w:val="FootnoteReference"/>
          <w:rFonts w:ascii="Cambria" w:hAnsi="Cambria"/>
          <w:sz w:val="21"/>
          <w:szCs w:val="21"/>
          <w:lang w:val="es-ES_tradnl"/>
        </w:rPr>
        <w:footnoteReference w:id="1"/>
      </w:r>
      <w:r w:rsidRPr="00C470BF">
        <w:rPr>
          <w:rFonts w:ascii="Cambria" w:eastAsia="Times New Roman" w:hAnsi="Cambria" w:cs="Times New Roman"/>
          <w:color w:val="000000"/>
          <w:sz w:val="21"/>
          <w:szCs w:val="21"/>
        </w:rPr>
        <w:t>), urging the IACHR to request that the State of</w:t>
      </w:r>
      <w:r>
        <w:rPr>
          <w:rFonts w:ascii="Cambria" w:eastAsia="Times New Roman" w:hAnsi="Cambria" w:cs="Times New Roman"/>
          <w:color w:val="000000"/>
          <w:sz w:val="21"/>
          <w:szCs w:val="21"/>
        </w:rPr>
        <w:t xml:space="preserve"> Barbados</w:t>
      </w:r>
      <w:r w:rsidRPr="00C470BF">
        <w:rPr>
          <w:rFonts w:ascii="Cambria" w:eastAsia="Times New Roman" w:hAnsi="Cambria" w:cs="Times New Roman"/>
          <w:color w:val="000000"/>
          <w:sz w:val="21"/>
          <w:szCs w:val="21"/>
        </w:rPr>
        <w:t xml:space="preserve"> (hereinafter “the State”</w:t>
      </w:r>
      <w:r>
        <w:rPr>
          <w:rFonts w:ascii="Cambria" w:eastAsia="Times New Roman" w:hAnsi="Cambria" w:cs="Times New Roman"/>
          <w:color w:val="000000"/>
          <w:sz w:val="21"/>
          <w:szCs w:val="21"/>
        </w:rPr>
        <w:t xml:space="preserve"> or “Barbados”</w:t>
      </w:r>
      <w:r w:rsidRPr="00C470BF">
        <w:rPr>
          <w:rFonts w:ascii="Cambria" w:eastAsia="Times New Roman" w:hAnsi="Cambria" w:cs="Times New Roman"/>
          <w:color w:val="000000"/>
          <w:sz w:val="21"/>
          <w:szCs w:val="21"/>
        </w:rPr>
        <w:t xml:space="preserve">) adopt precautionary measures </w:t>
      </w:r>
      <w:r>
        <w:rPr>
          <w:rFonts w:ascii="Cambria" w:eastAsia="Times New Roman" w:hAnsi="Cambria" w:cs="Times New Roman"/>
          <w:color w:val="000000"/>
          <w:sz w:val="21"/>
          <w:szCs w:val="21"/>
        </w:rPr>
        <w:t xml:space="preserve">to protect their right to </w:t>
      </w:r>
      <w:r w:rsidRPr="00C470BF">
        <w:rPr>
          <w:rFonts w:ascii="Cambria" w:eastAsia="Times New Roman" w:hAnsi="Cambria" w:cs="Times New Roman"/>
          <w:color w:val="000000"/>
          <w:sz w:val="21"/>
          <w:szCs w:val="21"/>
        </w:rPr>
        <w:t>life and personal integrity. According to the request</w:t>
      </w:r>
      <w:r>
        <w:rPr>
          <w:rFonts w:ascii="Cambria" w:eastAsia="Times New Roman" w:hAnsi="Cambria" w:cs="Times New Roman"/>
          <w:color w:val="000000"/>
          <w:sz w:val="21"/>
          <w:szCs w:val="21"/>
        </w:rPr>
        <w:t xml:space="preserve"> the proposed beneficiaries are </w:t>
      </w:r>
      <w:r w:rsidRPr="00C828DD">
        <w:rPr>
          <w:rFonts w:ascii="Cambria" w:eastAsia="Times New Roman" w:hAnsi="Cambria" w:cs="Times New Roman"/>
          <w:color w:val="000000"/>
          <w:sz w:val="21"/>
          <w:szCs w:val="21"/>
        </w:rPr>
        <w:t xml:space="preserve">in the prison "Her Majesty's Prisons, </w:t>
      </w:r>
      <w:proofErr w:type="spellStart"/>
      <w:r w:rsidRPr="00C828DD">
        <w:rPr>
          <w:rFonts w:ascii="Cambria" w:eastAsia="Times New Roman" w:hAnsi="Cambria" w:cs="Times New Roman"/>
          <w:color w:val="000000"/>
          <w:sz w:val="21"/>
          <w:szCs w:val="21"/>
        </w:rPr>
        <w:t>Dodds</w:t>
      </w:r>
      <w:proofErr w:type="spellEnd"/>
      <w:r w:rsidRPr="00C828DD">
        <w:rPr>
          <w:rFonts w:ascii="Cambria" w:eastAsia="Times New Roman" w:hAnsi="Cambria" w:cs="Times New Roman"/>
          <w:color w:val="000000"/>
          <w:sz w:val="21"/>
          <w:szCs w:val="21"/>
        </w:rPr>
        <w:t>, St. Philip</w:t>
      </w:r>
      <w:r w:rsidR="00DA3D83">
        <w:rPr>
          <w:rFonts w:ascii="Cambria" w:eastAsia="Times New Roman" w:hAnsi="Cambria" w:cs="Times New Roman"/>
          <w:color w:val="000000"/>
          <w:sz w:val="21"/>
          <w:szCs w:val="21"/>
        </w:rPr>
        <w:t>,</w:t>
      </w:r>
      <w:r w:rsidRPr="00C828DD">
        <w:rPr>
          <w:rFonts w:ascii="Cambria" w:eastAsia="Times New Roman" w:hAnsi="Cambria" w:cs="Times New Roman"/>
          <w:color w:val="000000"/>
          <w:sz w:val="21"/>
          <w:szCs w:val="21"/>
        </w:rPr>
        <w:t xml:space="preserve">" </w:t>
      </w:r>
      <w:r w:rsidR="00DA3D83">
        <w:rPr>
          <w:rFonts w:ascii="Cambria" w:eastAsia="Times New Roman" w:hAnsi="Cambria" w:cs="Times New Roman"/>
          <w:color w:val="000000"/>
          <w:sz w:val="21"/>
          <w:szCs w:val="21"/>
        </w:rPr>
        <w:t xml:space="preserve">having been convicted and sentenced to the mandatory imposition of the </w:t>
      </w:r>
      <w:r w:rsidRPr="00C828DD">
        <w:rPr>
          <w:rFonts w:ascii="Cambria" w:eastAsia="Times New Roman" w:hAnsi="Cambria" w:cs="Times New Roman"/>
          <w:color w:val="000000"/>
          <w:sz w:val="21"/>
          <w:szCs w:val="21"/>
        </w:rPr>
        <w:t>death penalty by h</w:t>
      </w:r>
      <w:r>
        <w:rPr>
          <w:rFonts w:ascii="Cambria" w:eastAsia="Times New Roman" w:hAnsi="Cambria" w:cs="Times New Roman"/>
          <w:color w:val="000000"/>
          <w:sz w:val="21"/>
          <w:szCs w:val="21"/>
        </w:rPr>
        <w:t xml:space="preserve">anging, </w:t>
      </w:r>
      <w:r w:rsidR="00DA3D83">
        <w:rPr>
          <w:rFonts w:ascii="Cambria" w:eastAsia="Times New Roman" w:hAnsi="Cambria" w:cs="Times New Roman"/>
          <w:color w:val="000000"/>
          <w:sz w:val="21"/>
          <w:szCs w:val="21"/>
        </w:rPr>
        <w:t xml:space="preserve">and are </w:t>
      </w:r>
      <w:r>
        <w:rPr>
          <w:rFonts w:ascii="Cambria" w:eastAsia="Times New Roman" w:hAnsi="Cambria" w:cs="Times New Roman"/>
          <w:color w:val="000000"/>
          <w:sz w:val="21"/>
          <w:szCs w:val="21"/>
        </w:rPr>
        <w:t xml:space="preserve">currently </w:t>
      </w:r>
      <w:r w:rsidR="00DA3D83">
        <w:rPr>
          <w:rFonts w:ascii="Cambria" w:eastAsia="Times New Roman" w:hAnsi="Cambria" w:cs="Times New Roman"/>
          <w:color w:val="000000"/>
          <w:sz w:val="21"/>
          <w:szCs w:val="21"/>
        </w:rPr>
        <w:t>o</w:t>
      </w:r>
      <w:r>
        <w:rPr>
          <w:rFonts w:ascii="Cambria" w:eastAsia="Times New Roman" w:hAnsi="Cambria" w:cs="Times New Roman"/>
          <w:color w:val="000000"/>
          <w:sz w:val="21"/>
          <w:szCs w:val="21"/>
        </w:rPr>
        <w:t>n death row. The request</w:t>
      </w:r>
      <w:r w:rsidRPr="00C828DD">
        <w:rPr>
          <w:rFonts w:ascii="Cambria" w:eastAsia="Times New Roman" w:hAnsi="Cambria" w:cs="Times New Roman"/>
          <w:color w:val="000000"/>
          <w:sz w:val="21"/>
          <w:szCs w:val="21"/>
        </w:rPr>
        <w:t xml:space="preserve"> is related to petition 245</w:t>
      </w:r>
      <w:r w:rsidR="00824E05">
        <w:rPr>
          <w:rFonts w:ascii="Cambria" w:eastAsia="Times New Roman" w:hAnsi="Cambria" w:cs="Times New Roman"/>
          <w:color w:val="000000"/>
          <w:sz w:val="21"/>
          <w:szCs w:val="21"/>
        </w:rPr>
        <w:t>7</w:t>
      </w:r>
      <w:r w:rsidRPr="00C828DD">
        <w:rPr>
          <w:rFonts w:ascii="Cambria" w:eastAsia="Times New Roman" w:hAnsi="Cambria" w:cs="Times New Roman"/>
          <w:color w:val="000000"/>
          <w:sz w:val="21"/>
          <w:szCs w:val="21"/>
        </w:rPr>
        <w:t>-17 alleging violations of the American Convention on Human Rights and other international instruments.</w:t>
      </w:r>
    </w:p>
    <w:p w:rsidR="00664C89" w:rsidRPr="00573368" w:rsidRDefault="00664C89" w:rsidP="00DA3664">
      <w:pPr>
        <w:pStyle w:val="ListParagraph"/>
        <w:widowControl w:val="0"/>
        <w:jc w:val="both"/>
        <w:rPr>
          <w:rFonts w:ascii="Cambria" w:hAnsi="Cambria"/>
          <w:sz w:val="21"/>
          <w:szCs w:val="21"/>
        </w:rPr>
      </w:pPr>
    </w:p>
    <w:p w:rsidR="001A25F1" w:rsidRPr="00573368" w:rsidRDefault="00573368" w:rsidP="003E5E6D">
      <w:pPr>
        <w:pStyle w:val="ListParagraph"/>
        <w:widowControl w:val="0"/>
        <w:numPr>
          <w:ilvl w:val="0"/>
          <w:numId w:val="1"/>
        </w:numPr>
        <w:ind w:left="0" w:firstLine="360"/>
        <w:jc w:val="both"/>
        <w:rPr>
          <w:rFonts w:ascii="Cambria" w:hAnsi="Cambria"/>
          <w:sz w:val="21"/>
          <w:szCs w:val="21"/>
        </w:rPr>
      </w:pPr>
      <w:r w:rsidRPr="00573368">
        <w:rPr>
          <w:rFonts w:ascii="Cambria" w:hAnsi="Cambria"/>
          <w:sz w:val="21"/>
          <w:szCs w:val="21"/>
        </w:rPr>
        <w:t xml:space="preserve">The </w:t>
      </w:r>
      <w:r w:rsidRPr="003E5E6D">
        <w:rPr>
          <w:rFonts w:ascii="Cambria" w:eastAsia="Times New Roman" w:hAnsi="Cambria" w:cs="Times New Roman"/>
          <w:color w:val="000000"/>
          <w:sz w:val="21"/>
          <w:szCs w:val="21"/>
        </w:rPr>
        <w:t>Commission</w:t>
      </w:r>
      <w:r w:rsidRPr="00573368">
        <w:rPr>
          <w:rFonts w:ascii="Cambria" w:hAnsi="Cambria"/>
          <w:sz w:val="21"/>
          <w:szCs w:val="21"/>
        </w:rPr>
        <w:t xml:space="preserve"> requested information from the State on March 8, 2018. The State responded on April 4 and 6, 2018.</w:t>
      </w:r>
    </w:p>
    <w:p w:rsidR="007E7D14" w:rsidRPr="00573368" w:rsidRDefault="007E7D14" w:rsidP="00DA3664">
      <w:pPr>
        <w:pStyle w:val="ListParagraph"/>
        <w:widowControl w:val="0"/>
        <w:ind w:left="360"/>
        <w:jc w:val="both"/>
        <w:rPr>
          <w:rFonts w:ascii="Cambria" w:hAnsi="Cambria"/>
          <w:sz w:val="21"/>
          <w:szCs w:val="21"/>
        </w:rPr>
      </w:pPr>
    </w:p>
    <w:p w:rsidR="00533E22" w:rsidRPr="00E0677B" w:rsidRDefault="003E5E6D" w:rsidP="00E0677B">
      <w:pPr>
        <w:pStyle w:val="ListParagraph"/>
        <w:widowControl w:val="0"/>
        <w:numPr>
          <w:ilvl w:val="0"/>
          <w:numId w:val="1"/>
        </w:numPr>
        <w:ind w:left="0" w:firstLine="360"/>
        <w:jc w:val="both"/>
        <w:rPr>
          <w:rFonts w:ascii="Cambria" w:hAnsi="Cambria"/>
          <w:sz w:val="21"/>
          <w:szCs w:val="21"/>
        </w:rPr>
      </w:pPr>
      <w:r w:rsidRPr="003E5E6D">
        <w:rPr>
          <w:rFonts w:ascii="Cambria" w:hAnsi="Cambria"/>
          <w:sz w:val="21"/>
          <w:szCs w:val="21"/>
        </w:rPr>
        <w:t>After analyzing the legal and factual allegations presented, as well as their specific context, the Commission considers that M</w:t>
      </w:r>
      <w:r w:rsidR="00492FD7">
        <w:rPr>
          <w:rFonts w:ascii="Cambria" w:hAnsi="Cambria"/>
          <w:sz w:val="21"/>
          <w:szCs w:val="21"/>
        </w:rPr>
        <w:t xml:space="preserve">essrs. </w:t>
      </w:r>
      <w:r w:rsidR="00492FD7" w:rsidRPr="00573368">
        <w:rPr>
          <w:rFonts w:ascii="Cambria" w:hAnsi="Cambria"/>
          <w:sz w:val="21"/>
          <w:szCs w:val="21"/>
        </w:rPr>
        <w:t>Dw</w:t>
      </w:r>
      <w:r w:rsidR="00AA7A2F">
        <w:rPr>
          <w:rFonts w:ascii="Cambria" w:hAnsi="Cambria"/>
          <w:sz w:val="21"/>
          <w:szCs w:val="21"/>
        </w:rPr>
        <w:t>a</w:t>
      </w:r>
      <w:r w:rsidR="00492FD7" w:rsidRPr="00573368">
        <w:rPr>
          <w:rFonts w:ascii="Cambria" w:hAnsi="Cambria"/>
          <w:sz w:val="21"/>
          <w:szCs w:val="21"/>
        </w:rPr>
        <w:t>y</w:t>
      </w:r>
      <w:r w:rsidR="00AA7A2F">
        <w:rPr>
          <w:rFonts w:ascii="Cambria" w:hAnsi="Cambria"/>
          <w:sz w:val="21"/>
          <w:szCs w:val="21"/>
        </w:rPr>
        <w:t>n</w:t>
      </w:r>
      <w:r w:rsidR="00492FD7" w:rsidRPr="00573368">
        <w:rPr>
          <w:rFonts w:ascii="Cambria" w:hAnsi="Cambria"/>
          <w:sz w:val="21"/>
          <w:szCs w:val="21"/>
        </w:rPr>
        <w:t>e</w:t>
      </w:r>
      <w:r w:rsidR="00AA7A2F">
        <w:rPr>
          <w:rFonts w:ascii="Cambria" w:hAnsi="Cambria"/>
          <w:sz w:val="21"/>
          <w:szCs w:val="21"/>
        </w:rPr>
        <w:t xml:space="preserve"> </w:t>
      </w:r>
      <w:r w:rsidR="00492FD7" w:rsidRPr="00573368">
        <w:rPr>
          <w:rFonts w:ascii="Cambria" w:hAnsi="Cambria"/>
          <w:sz w:val="21"/>
          <w:szCs w:val="21"/>
        </w:rPr>
        <w:t>Omar</w:t>
      </w:r>
      <w:r w:rsidR="00AA7A2F">
        <w:rPr>
          <w:rFonts w:ascii="Cambria" w:hAnsi="Cambria"/>
          <w:sz w:val="21"/>
          <w:szCs w:val="21"/>
        </w:rPr>
        <w:t xml:space="preserve"> </w:t>
      </w:r>
      <w:proofErr w:type="spellStart"/>
      <w:r w:rsidR="00492FD7" w:rsidRPr="00573368">
        <w:rPr>
          <w:rFonts w:ascii="Cambria" w:hAnsi="Cambria"/>
          <w:sz w:val="21"/>
          <w:szCs w:val="21"/>
        </w:rPr>
        <w:t>Severin</w:t>
      </w:r>
      <w:proofErr w:type="spellEnd"/>
      <w:r w:rsidR="00492FD7" w:rsidRPr="00573368">
        <w:rPr>
          <w:rFonts w:ascii="Cambria" w:hAnsi="Cambria"/>
          <w:sz w:val="21"/>
          <w:szCs w:val="21"/>
        </w:rPr>
        <w:t xml:space="preserve"> </w:t>
      </w:r>
      <w:r w:rsidR="00492FD7">
        <w:rPr>
          <w:rFonts w:ascii="Cambria" w:hAnsi="Cambria"/>
          <w:sz w:val="21"/>
          <w:szCs w:val="21"/>
        </w:rPr>
        <w:t>and</w:t>
      </w:r>
      <w:r w:rsidR="00492FD7" w:rsidRPr="00573368">
        <w:rPr>
          <w:rFonts w:ascii="Cambria" w:hAnsi="Cambria"/>
          <w:sz w:val="21"/>
          <w:szCs w:val="21"/>
        </w:rPr>
        <w:t xml:space="preserve"> Jabari </w:t>
      </w:r>
      <w:proofErr w:type="spellStart"/>
      <w:r w:rsidR="00492FD7" w:rsidRPr="00573368">
        <w:rPr>
          <w:rFonts w:ascii="Cambria" w:hAnsi="Cambria"/>
          <w:sz w:val="21"/>
          <w:szCs w:val="21"/>
        </w:rPr>
        <w:t>Sensimani</w:t>
      </w:r>
      <w:r w:rsidR="00AA7A2F">
        <w:rPr>
          <w:rFonts w:ascii="Cambria" w:hAnsi="Cambria"/>
          <w:sz w:val="21"/>
          <w:szCs w:val="21"/>
        </w:rPr>
        <w:t>a</w:t>
      </w:r>
      <w:proofErr w:type="spellEnd"/>
      <w:r w:rsidR="00AA7A2F">
        <w:rPr>
          <w:rFonts w:ascii="Cambria" w:hAnsi="Cambria"/>
          <w:sz w:val="21"/>
          <w:szCs w:val="21"/>
        </w:rPr>
        <w:t xml:space="preserve"> </w:t>
      </w:r>
      <w:proofErr w:type="spellStart"/>
      <w:r w:rsidR="00492FD7" w:rsidRPr="00573368">
        <w:rPr>
          <w:rFonts w:ascii="Cambria" w:hAnsi="Cambria"/>
          <w:sz w:val="21"/>
          <w:szCs w:val="21"/>
        </w:rPr>
        <w:t>Nervais</w:t>
      </w:r>
      <w:proofErr w:type="spellEnd"/>
      <w:r w:rsidR="00AA7A2F">
        <w:rPr>
          <w:rFonts w:ascii="Cambria" w:hAnsi="Cambria"/>
          <w:sz w:val="21"/>
          <w:szCs w:val="21"/>
        </w:rPr>
        <w:t xml:space="preserve"> </w:t>
      </w:r>
      <w:r w:rsidR="00492FD7">
        <w:rPr>
          <w:rFonts w:ascii="Cambria" w:hAnsi="Cambria"/>
          <w:sz w:val="21"/>
          <w:szCs w:val="21"/>
        </w:rPr>
        <w:t>are</w:t>
      </w:r>
      <w:r w:rsidRPr="003E5E6D">
        <w:rPr>
          <w:rFonts w:ascii="Cambria" w:hAnsi="Cambria"/>
          <w:sz w:val="21"/>
          <w:szCs w:val="21"/>
        </w:rPr>
        <w:t xml:space="preserve"> </w:t>
      </w:r>
      <w:r w:rsidRPr="00AA7A2F">
        <w:rPr>
          <w:rFonts w:ascii="Cambria" w:hAnsi="Cambria"/>
          <w:i/>
          <w:sz w:val="21"/>
          <w:szCs w:val="21"/>
        </w:rPr>
        <w:t>prima facie</w:t>
      </w:r>
      <w:r w:rsidRPr="003E5E6D">
        <w:rPr>
          <w:rFonts w:ascii="Cambria" w:hAnsi="Cambria"/>
          <w:sz w:val="21"/>
          <w:szCs w:val="21"/>
        </w:rPr>
        <w:t xml:space="preserve"> in a serious and urgent situation, since </w:t>
      </w:r>
      <w:r w:rsidR="00492FD7">
        <w:rPr>
          <w:rFonts w:ascii="Cambria" w:hAnsi="Cambria"/>
          <w:sz w:val="21"/>
          <w:szCs w:val="21"/>
        </w:rPr>
        <w:t>their</w:t>
      </w:r>
      <w:r w:rsidRPr="003E5E6D">
        <w:rPr>
          <w:rFonts w:ascii="Cambria" w:hAnsi="Cambria"/>
          <w:sz w:val="21"/>
          <w:szCs w:val="21"/>
        </w:rPr>
        <w:t xml:space="preserve"> rights to life and personal integrity are at risk. Consequently, in accordance with Article 25 of the Rules of Procedure, the Commission requests that the State of Barbados: </w:t>
      </w:r>
      <w:r w:rsidRPr="00C01854">
        <w:rPr>
          <w:rFonts w:ascii="Cambria" w:hAnsi="Cambria"/>
          <w:sz w:val="21"/>
          <w:szCs w:val="21"/>
        </w:rPr>
        <w:t xml:space="preserve">a) </w:t>
      </w:r>
      <w:r w:rsidR="00C01854" w:rsidRPr="00C01854">
        <w:rPr>
          <w:rFonts w:ascii="Cambria" w:hAnsi="Cambria"/>
          <w:sz w:val="21"/>
          <w:szCs w:val="21"/>
        </w:rPr>
        <w:t xml:space="preserve">Refrain from </w:t>
      </w:r>
      <w:r w:rsidR="00EE75D6">
        <w:rPr>
          <w:rFonts w:ascii="Cambria" w:hAnsi="Cambria"/>
          <w:sz w:val="21"/>
          <w:szCs w:val="21"/>
        </w:rPr>
        <w:t xml:space="preserve">carrying out the </w:t>
      </w:r>
      <w:r w:rsidR="00C01854" w:rsidRPr="00C01854">
        <w:rPr>
          <w:rFonts w:ascii="Cambria" w:hAnsi="Cambria"/>
          <w:sz w:val="21"/>
          <w:szCs w:val="21"/>
        </w:rPr>
        <w:t xml:space="preserve">death penalty on </w:t>
      </w:r>
      <w:proofErr w:type="spellStart"/>
      <w:r w:rsidR="00C01854" w:rsidRPr="00C01854">
        <w:rPr>
          <w:rFonts w:ascii="Cambria" w:hAnsi="Cambria"/>
          <w:sz w:val="21"/>
          <w:szCs w:val="21"/>
        </w:rPr>
        <w:t>Messrs</w:t>
      </w:r>
      <w:proofErr w:type="spellEnd"/>
      <w:r w:rsidR="00C01854" w:rsidRPr="00C01854">
        <w:rPr>
          <w:rFonts w:ascii="Cambria" w:hAnsi="Cambria"/>
          <w:sz w:val="21"/>
          <w:szCs w:val="21"/>
        </w:rPr>
        <w:t xml:space="preserve"> </w:t>
      </w:r>
      <w:r w:rsidR="00AA7A2F">
        <w:rPr>
          <w:rFonts w:ascii="Cambria" w:hAnsi="Cambria"/>
          <w:sz w:val="21"/>
          <w:szCs w:val="21"/>
        </w:rPr>
        <w:t xml:space="preserve">Dwayne </w:t>
      </w:r>
      <w:r w:rsidR="00C01854" w:rsidRPr="00C01854">
        <w:rPr>
          <w:rFonts w:ascii="Cambria" w:hAnsi="Cambria"/>
          <w:sz w:val="21"/>
          <w:szCs w:val="21"/>
        </w:rPr>
        <w:t xml:space="preserve">Omar </w:t>
      </w:r>
      <w:proofErr w:type="spellStart"/>
      <w:r w:rsidR="00C01854" w:rsidRPr="00C01854">
        <w:rPr>
          <w:rFonts w:ascii="Cambria" w:hAnsi="Cambria"/>
          <w:sz w:val="21"/>
          <w:szCs w:val="21"/>
        </w:rPr>
        <w:t>Severin</w:t>
      </w:r>
      <w:proofErr w:type="spellEnd"/>
      <w:r w:rsidR="00C01854" w:rsidRPr="00C01854">
        <w:rPr>
          <w:rFonts w:ascii="Cambria" w:hAnsi="Cambria"/>
          <w:sz w:val="21"/>
          <w:szCs w:val="21"/>
        </w:rPr>
        <w:t xml:space="preserve"> and Jabari </w:t>
      </w:r>
      <w:proofErr w:type="spellStart"/>
      <w:r w:rsidR="00C01854" w:rsidRPr="00C01854">
        <w:rPr>
          <w:rFonts w:ascii="Cambria" w:hAnsi="Cambria"/>
          <w:sz w:val="21"/>
          <w:szCs w:val="21"/>
        </w:rPr>
        <w:t>Sensimania</w:t>
      </w:r>
      <w:proofErr w:type="spellEnd"/>
      <w:r w:rsidR="00C01854" w:rsidRPr="00C01854">
        <w:rPr>
          <w:rFonts w:ascii="Cambria" w:hAnsi="Cambria"/>
          <w:sz w:val="21"/>
          <w:szCs w:val="21"/>
        </w:rPr>
        <w:t xml:space="preserve"> </w:t>
      </w:r>
      <w:proofErr w:type="spellStart"/>
      <w:r w:rsidR="00C01854" w:rsidRPr="00C01854">
        <w:rPr>
          <w:rFonts w:ascii="Cambria" w:hAnsi="Cambria"/>
          <w:sz w:val="21"/>
          <w:szCs w:val="21"/>
        </w:rPr>
        <w:t>Nervais</w:t>
      </w:r>
      <w:proofErr w:type="spellEnd"/>
      <w:r w:rsidR="00C01854" w:rsidRPr="00C01854">
        <w:rPr>
          <w:rFonts w:ascii="Cambria" w:hAnsi="Cambria"/>
          <w:sz w:val="21"/>
          <w:szCs w:val="21"/>
        </w:rPr>
        <w:t xml:space="preserve"> until the IACHR </w:t>
      </w:r>
      <w:r w:rsidR="003A2A68">
        <w:rPr>
          <w:rFonts w:ascii="Cambria" w:hAnsi="Cambria"/>
          <w:sz w:val="21"/>
          <w:szCs w:val="21"/>
        </w:rPr>
        <w:t>has ruled</w:t>
      </w:r>
      <w:r w:rsidR="00C01854" w:rsidRPr="00C01854">
        <w:rPr>
          <w:rFonts w:ascii="Cambria" w:hAnsi="Cambria"/>
          <w:sz w:val="21"/>
          <w:szCs w:val="21"/>
        </w:rPr>
        <w:t xml:space="preserve"> on the</w:t>
      </w:r>
      <w:r w:rsidR="003A2A68">
        <w:rPr>
          <w:rFonts w:ascii="Cambria" w:hAnsi="Cambria"/>
          <w:sz w:val="21"/>
          <w:szCs w:val="21"/>
        </w:rPr>
        <w:t xml:space="preserve">ir </w:t>
      </w:r>
      <w:r w:rsidR="00C01854" w:rsidRPr="00C01854">
        <w:rPr>
          <w:rFonts w:ascii="Cambria" w:hAnsi="Cambria"/>
          <w:sz w:val="21"/>
          <w:szCs w:val="21"/>
        </w:rPr>
        <w:t xml:space="preserve">petition; </w:t>
      </w:r>
      <w:r w:rsidRPr="00C01854">
        <w:rPr>
          <w:rFonts w:ascii="Cambria" w:hAnsi="Cambria"/>
          <w:sz w:val="21"/>
          <w:szCs w:val="21"/>
        </w:rPr>
        <w:t xml:space="preserve">b) </w:t>
      </w:r>
      <w:r w:rsidR="00C01854" w:rsidRPr="00C01854">
        <w:rPr>
          <w:rFonts w:ascii="Cambria" w:hAnsi="Cambria"/>
          <w:sz w:val="21"/>
          <w:szCs w:val="21"/>
        </w:rPr>
        <w:t>Adopt the necessary measures to preserve the li</w:t>
      </w:r>
      <w:r w:rsidR="00DA3D83">
        <w:rPr>
          <w:rFonts w:ascii="Cambria" w:hAnsi="Cambria"/>
          <w:sz w:val="21"/>
          <w:szCs w:val="21"/>
        </w:rPr>
        <w:t>ves</w:t>
      </w:r>
      <w:r w:rsidR="00C01854" w:rsidRPr="00C01854">
        <w:rPr>
          <w:rFonts w:ascii="Cambria" w:hAnsi="Cambria"/>
          <w:sz w:val="21"/>
          <w:szCs w:val="21"/>
        </w:rPr>
        <w:t xml:space="preserve"> and personal integrity of M</w:t>
      </w:r>
      <w:r w:rsidR="00C01854">
        <w:rPr>
          <w:rFonts w:ascii="Cambria" w:hAnsi="Cambria"/>
          <w:sz w:val="21"/>
          <w:szCs w:val="21"/>
        </w:rPr>
        <w:t>essrs</w:t>
      </w:r>
      <w:r w:rsidR="00EA26A7">
        <w:rPr>
          <w:rFonts w:ascii="Cambria" w:hAnsi="Cambria"/>
          <w:sz w:val="21"/>
          <w:szCs w:val="21"/>
        </w:rPr>
        <w:t xml:space="preserve">. </w:t>
      </w:r>
      <w:r w:rsidR="00EA26A7" w:rsidRPr="00EA26A7">
        <w:rPr>
          <w:rFonts w:ascii="Cambria" w:hAnsi="Cambria"/>
          <w:sz w:val="21"/>
          <w:szCs w:val="21"/>
        </w:rPr>
        <w:t xml:space="preserve">Dwayne </w:t>
      </w:r>
      <w:r w:rsidR="00C01854" w:rsidRPr="00C01854">
        <w:rPr>
          <w:rFonts w:ascii="Cambria" w:hAnsi="Cambria"/>
          <w:sz w:val="21"/>
          <w:szCs w:val="21"/>
        </w:rPr>
        <w:t xml:space="preserve">Omar </w:t>
      </w:r>
      <w:proofErr w:type="spellStart"/>
      <w:r w:rsidR="00C01854" w:rsidRPr="00C01854">
        <w:rPr>
          <w:rFonts w:ascii="Cambria" w:hAnsi="Cambria"/>
          <w:sz w:val="21"/>
          <w:szCs w:val="21"/>
        </w:rPr>
        <w:t>Severin</w:t>
      </w:r>
      <w:proofErr w:type="spellEnd"/>
      <w:r w:rsidR="00C01854" w:rsidRPr="00C01854">
        <w:rPr>
          <w:rFonts w:ascii="Cambria" w:hAnsi="Cambria"/>
          <w:sz w:val="21"/>
          <w:szCs w:val="21"/>
        </w:rPr>
        <w:t xml:space="preserve"> and Jabari </w:t>
      </w:r>
      <w:proofErr w:type="spellStart"/>
      <w:r w:rsidR="00C01854" w:rsidRPr="00C01854">
        <w:rPr>
          <w:rFonts w:ascii="Cambria" w:hAnsi="Cambria"/>
          <w:sz w:val="21"/>
          <w:szCs w:val="21"/>
        </w:rPr>
        <w:t>Sensimania</w:t>
      </w:r>
      <w:proofErr w:type="spellEnd"/>
      <w:r w:rsidR="00C01854" w:rsidRPr="00C01854">
        <w:rPr>
          <w:rFonts w:ascii="Cambria" w:hAnsi="Cambria"/>
          <w:sz w:val="21"/>
          <w:szCs w:val="21"/>
        </w:rPr>
        <w:t xml:space="preserve"> </w:t>
      </w:r>
      <w:proofErr w:type="spellStart"/>
      <w:r w:rsidR="00C01854" w:rsidRPr="00C01854">
        <w:rPr>
          <w:rFonts w:ascii="Cambria" w:hAnsi="Cambria"/>
          <w:sz w:val="21"/>
          <w:szCs w:val="21"/>
        </w:rPr>
        <w:t>Nervais</w:t>
      </w:r>
      <w:proofErr w:type="spellEnd"/>
      <w:r w:rsidR="00C01854" w:rsidRPr="00C01854">
        <w:rPr>
          <w:rFonts w:ascii="Cambria" w:hAnsi="Cambria"/>
          <w:sz w:val="21"/>
          <w:szCs w:val="21"/>
        </w:rPr>
        <w:t xml:space="preserve">, especially </w:t>
      </w:r>
      <w:r w:rsidR="00EE75D6">
        <w:rPr>
          <w:rFonts w:ascii="Cambria" w:hAnsi="Cambria"/>
          <w:sz w:val="21"/>
          <w:szCs w:val="21"/>
        </w:rPr>
        <w:t xml:space="preserve">considering </w:t>
      </w:r>
      <w:r w:rsidR="00C01854" w:rsidRPr="00C01854">
        <w:rPr>
          <w:rFonts w:ascii="Cambria" w:hAnsi="Cambria"/>
          <w:sz w:val="21"/>
          <w:szCs w:val="21"/>
        </w:rPr>
        <w:t>the impact that death row is allegedly causing to their personal integrity</w:t>
      </w:r>
      <w:r w:rsidR="00937A13">
        <w:rPr>
          <w:rFonts w:ascii="Cambria" w:hAnsi="Cambria"/>
          <w:sz w:val="21"/>
          <w:szCs w:val="21"/>
        </w:rPr>
        <w:t>, which</w:t>
      </w:r>
      <w:r w:rsidR="00937A13" w:rsidRPr="00937A13">
        <w:rPr>
          <w:rFonts w:ascii="Cambria" w:hAnsi="Cambria"/>
          <w:sz w:val="21"/>
          <w:szCs w:val="21"/>
        </w:rPr>
        <w:t xml:space="preserve"> may include transferring the proposed benefic</w:t>
      </w:r>
      <w:r w:rsidR="00EA26A7">
        <w:rPr>
          <w:rFonts w:ascii="Cambria" w:hAnsi="Cambria"/>
          <w:sz w:val="21"/>
          <w:szCs w:val="21"/>
        </w:rPr>
        <w:t>iar</w:t>
      </w:r>
      <w:r w:rsidR="00DA3D83">
        <w:rPr>
          <w:rFonts w:ascii="Cambria" w:hAnsi="Cambria"/>
          <w:sz w:val="21"/>
          <w:szCs w:val="21"/>
        </w:rPr>
        <w:t>ies</w:t>
      </w:r>
      <w:r w:rsidR="00EA26A7">
        <w:rPr>
          <w:rFonts w:ascii="Cambria" w:hAnsi="Cambria"/>
          <w:sz w:val="21"/>
          <w:szCs w:val="21"/>
        </w:rPr>
        <w:t xml:space="preserve"> to another detention center</w:t>
      </w:r>
      <w:r w:rsidR="00E0677B">
        <w:rPr>
          <w:rFonts w:ascii="Cambria" w:hAnsi="Cambria"/>
          <w:sz w:val="21"/>
          <w:szCs w:val="21"/>
        </w:rPr>
        <w:t xml:space="preserve"> </w:t>
      </w:r>
      <w:r w:rsidR="00E0677B" w:rsidRPr="00E0677B">
        <w:rPr>
          <w:rFonts w:ascii="Cambria" w:hAnsi="Cambria"/>
          <w:sz w:val="21"/>
          <w:szCs w:val="21"/>
        </w:rPr>
        <w:t>that meets the corresponding international standards</w:t>
      </w:r>
      <w:r w:rsidR="00C01854" w:rsidRPr="00E0677B">
        <w:rPr>
          <w:rFonts w:ascii="Cambria" w:hAnsi="Cambria"/>
          <w:sz w:val="21"/>
          <w:szCs w:val="21"/>
        </w:rPr>
        <w:t xml:space="preserve">; </w:t>
      </w:r>
      <w:r w:rsidRPr="00E0677B">
        <w:rPr>
          <w:rFonts w:ascii="Cambria" w:hAnsi="Cambria"/>
          <w:sz w:val="21"/>
          <w:szCs w:val="21"/>
        </w:rPr>
        <w:t xml:space="preserve">and c) </w:t>
      </w:r>
      <w:r w:rsidR="003A2A68">
        <w:rPr>
          <w:rFonts w:ascii="Cambria" w:hAnsi="Cambria"/>
          <w:sz w:val="21"/>
          <w:szCs w:val="21"/>
        </w:rPr>
        <w:t xml:space="preserve">Agree </w:t>
      </w:r>
      <w:r w:rsidRPr="00E0677B">
        <w:rPr>
          <w:rFonts w:ascii="Cambria" w:hAnsi="Cambria"/>
          <w:sz w:val="21"/>
          <w:szCs w:val="21"/>
        </w:rPr>
        <w:t>upon the measures to</w:t>
      </w:r>
      <w:r w:rsidR="00492FD7" w:rsidRPr="00E0677B">
        <w:rPr>
          <w:rFonts w:ascii="Cambria" w:hAnsi="Cambria"/>
          <w:sz w:val="21"/>
          <w:szCs w:val="21"/>
        </w:rPr>
        <w:t xml:space="preserve"> be adopted with the beneficiaries and their</w:t>
      </w:r>
      <w:r w:rsidR="00E9789D" w:rsidRPr="00E0677B">
        <w:rPr>
          <w:rFonts w:ascii="Cambria" w:hAnsi="Cambria"/>
          <w:sz w:val="21"/>
          <w:szCs w:val="21"/>
        </w:rPr>
        <w:t xml:space="preserve"> representatives.</w:t>
      </w:r>
    </w:p>
    <w:p w:rsidR="00533E22" w:rsidRPr="003E5E6D" w:rsidRDefault="00533E22" w:rsidP="00DA3664">
      <w:pPr>
        <w:widowControl w:val="0"/>
        <w:jc w:val="both"/>
        <w:rPr>
          <w:rFonts w:ascii="Cambria" w:hAnsi="Cambria"/>
          <w:sz w:val="21"/>
          <w:szCs w:val="21"/>
        </w:rPr>
      </w:pPr>
    </w:p>
    <w:p w:rsidR="00A46838" w:rsidRPr="00492FD7" w:rsidRDefault="00492FD7" w:rsidP="00492FD7">
      <w:pPr>
        <w:pStyle w:val="ListParagraph"/>
        <w:numPr>
          <w:ilvl w:val="0"/>
          <w:numId w:val="2"/>
        </w:numPr>
        <w:rPr>
          <w:rFonts w:ascii="Cambria" w:hAnsi="Cambria"/>
          <w:b/>
          <w:sz w:val="21"/>
          <w:szCs w:val="21"/>
        </w:rPr>
      </w:pPr>
      <w:r w:rsidRPr="00492FD7">
        <w:rPr>
          <w:rFonts w:ascii="Cambria" w:hAnsi="Cambria"/>
          <w:b/>
          <w:sz w:val="21"/>
          <w:szCs w:val="21"/>
        </w:rPr>
        <w:t>SUMMARY OF THE FACTS AND ARGUMENTS PROVIDED BY THE PARTIES</w:t>
      </w:r>
    </w:p>
    <w:p w:rsidR="00A46838" w:rsidRPr="00492FD7" w:rsidRDefault="00A46838" w:rsidP="00DA3664">
      <w:pPr>
        <w:widowControl w:val="0"/>
        <w:jc w:val="both"/>
        <w:rPr>
          <w:rFonts w:ascii="Cambria" w:hAnsi="Cambria"/>
          <w:sz w:val="21"/>
          <w:szCs w:val="21"/>
        </w:rPr>
      </w:pPr>
    </w:p>
    <w:p w:rsidR="00A46838" w:rsidRPr="004B4365" w:rsidRDefault="004B4365" w:rsidP="004B4365">
      <w:pPr>
        <w:pStyle w:val="ListParagraph"/>
        <w:numPr>
          <w:ilvl w:val="0"/>
          <w:numId w:val="3"/>
        </w:numPr>
        <w:rPr>
          <w:rFonts w:ascii="Cambria" w:hAnsi="Cambria"/>
          <w:b/>
          <w:sz w:val="21"/>
          <w:szCs w:val="21"/>
        </w:rPr>
      </w:pPr>
      <w:r w:rsidRPr="004B4365">
        <w:rPr>
          <w:rFonts w:ascii="Cambria" w:hAnsi="Cambria"/>
          <w:b/>
          <w:sz w:val="21"/>
          <w:szCs w:val="21"/>
        </w:rPr>
        <w:t>Information provided by the applicants</w:t>
      </w:r>
    </w:p>
    <w:p w:rsidR="000A5EF7" w:rsidRPr="004B4365" w:rsidRDefault="000A5EF7" w:rsidP="00DA3664">
      <w:pPr>
        <w:widowControl w:val="0"/>
        <w:contextualSpacing/>
        <w:jc w:val="both"/>
        <w:rPr>
          <w:rFonts w:ascii="Cambria" w:eastAsia="Calibri" w:hAnsi="Cambria"/>
          <w:sz w:val="21"/>
          <w:szCs w:val="21"/>
        </w:rPr>
      </w:pPr>
    </w:p>
    <w:p w:rsidR="00533E22" w:rsidRPr="004B4365" w:rsidRDefault="004B4365" w:rsidP="0028353B">
      <w:pPr>
        <w:pStyle w:val="ListParagraph"/>
        <w:widowControl w:val="0"/>
        <w:numPr>
          <w:ilvl w:val="0"/>
          <w:numId w:val="1"/>
        </w:numPr>
        <w:ind w:left="0" w:firstLine="360"/>
        <w:jc w:val="both"/>
        <w:rPr>
          <w:rFonts w:ascii="Cambria" w:eastAsia="Times New Roman" w:hAnsi="Cambria" w:cs="Times New Roman"/>
          <w:color w:val="000000"/>
          <w:sz w:val="21"/>
          <w:szCs w:val="21"/>
        </w:rPr>
      </w:pPr>
      <w:r w:rsidRPr="004B4365">
        <w:rPr>
          <w:rFonts w:ascii="Cambria" w:eastAsia="Times New Roman" w:hAnsi="Cambria" w:cs="Times New Roman"/>
          <w:color w:val="000000"/>
          <w:sz w:val="21"/>
          <w:szCs w:val="21"/>
        </w:rPr>
        <w:t xml:space="preserve">With regard to Mr. Jabari S. </w:t>
      </w:r>
      <w:proofErr w:type="spellStart"/>
      <w:r w:rsidRPr="004B4365">
        <w:rPr>
          <w:rFonts w:ascii="Cambria" w:eastAsia="Times New Roman" w:hAnsi="Cambria" w:cs="Times New Roman"/>
          <w:color w:val="000000"/>
          <w:sz w:val="21"/>
          <w:szCs w:val="21"/>
        </w:rPr>
        <w:t>Nervais</w:t>
      </w:r>
      <w:proofErr w:type="spellEnd"/>
      <w:r w:rsidRPr="004B4365">
        <w:rPr>
          <w:rFonts w:ascii="Cambria" w:eastAsia="Times New Roman" w:hAnsi="Cambria" w:cs="Times New Roman"/>
          <w:color w:val="000000"/>
          <w:sz w:val="21"/>
          <w:szCs w:val="21"/>
        </w:rPr>
        <w:t xml:space="preserve">, the request indicates that he </w:t>
      </w:r>
      <w:r>
        <w:rPr>
          <w:rFonts w:ascii="Cambria" w:eastAsia="Times New Roman" w:hAnsi="Cambria" w:cs="Times New Roman"/>
          <w:color w:val="000000"/>
          <w:sz w:val="21"/>
          <w:szCs w:val="21"/>
        </w:rPr>
        <w:t>was</w:t>
      </w:r>
      <w:r w:rsidRPr="004B4365">
        <w:rPr>
          <w:rFonts w:ascii="Cambria" w:eastAsia="Times New Roman" w:hAnsi="Cambria" w:cs="Times New Roman"/>
          <w:color w:val="000000"/>
          <w:sz w:val="21"/>
          <w:szCs w:val="21"/>
        </w:rPr>
        <w:t xml:space="preserve"> arrested on August 22</w:t>
      </w:r>
      <w:r w:rsidR="00EE35A3" w:rsidRPr="00EE35A3">
        <w:rPr>
          <w:rFonts w:ascii="Cambria" w:eastAsia="Times New Roman" w:hAnsi="Cambria" w:cs="Times New Roman"/>
          <w:color w:val="000000"/>
          <w:sz w:val="21"/>
          <w:szCs w:val="21"/>
          <w:vertAlign w:val="superscript"/>
        </w:rPr>
        <w:t>nd</w:t>
      </w:r>
      <w:r w:rsidRPr="004B4365">
        <w:rPr>
          <w:rFonts w:ascii="Cambria" w:eastAsia="Times New Roman" w:hAnsi="Cambria" w:cs="Times New Roman"/>
          <w:color w:val="000000"/>
          <w:sz w:val="21"/>
          <w:szCs w:val="21"/>
        </w:rPr>
        <w:t xml:space="preserve">, 2007, for </w:t>
      </w:r>
      <w:r>
        <w:rPr>
          <w:rFonts w:ascii="Cambria" w:eastAsia="Times New Roman" w:hAnsi="Cambria" w:cs="Times New Roman"/>
          <w:color w:val="000000"/>
          <w:sz w:val="21"/>
          <w:szCs w:val="21"/>
        </w:rPr>
        <w:t xml:space="preserve">a murder </w:t>
      </w:r>
      <w:r w:rsidRPr="004B4365">
        <w:rPr>
          <w:rFonts w:ascii="Cambria" w:eastAsia="Times New Roman" w:hAnsi="Cambria" w:cs="Times New Roman"/>
          <w:color w:val="000000"/>
          <w:sz w:val="21"/>
          <w:szCs w:val="21"/>
        </w:rPr>
        <w:t>in November of the previous year. On February 21</w:t>
      </w:r>
      <w:r w:rsidR="00EE35A3" w:rsidRPr="00EE35A3">
        <w:rPr>
          <w:rFonts w:ascii="Cambria" w:eastAsia="Times New Roman" w:hAnsi="Cambria" w:cs="Times New Roman"/>
          <w:color w:val="000000"/>
          <w:sz w:val="21"/>
          <w:szCs w:val="21"/>
          <w:vertAlign w:val="superscript"/>
        </w:rPr>
        <w:t>st</w:t>
      </w:r>
      <w:r w:rsidRPr="004B4365">
        <w:rPr>
          <w:rFonts w:ascii="Cambria" w:eastAsia="Times New Roman" w:hAnsi="Cambria" w:cs="Times New Roman"/>
          <w:color w:val="000000"/>
          <w:sz w:val="21"/>
          <w:szCs w:val="21"/>
        </w:rPr>
        <w:t xml:space="preserve">, 2012, he was found guilty and </w:t>
      </w:r>
      <w:r w:rsidRPr="0028353B">
        <w:rPr>
          <w:rFonts w:ascii="Cambria" w:hAnsi="Cambria"/>
          <w:sz w:val="21"/>
          <w:szCs w:val="21"/>
        </w:rPr>
        <w:t>sentenced</w:t>
      </w:r>
      <w:r w:rsidRPr="004B4365">
        <w:rPr>
          <w:rFonts w:ascii="Cambria" w:eastAsia="Times New Roman" w:hAnsi="Cambria" w:cs="Times New Roman"/>
          <w:color w:val="000000"/>
          <w:sz w:val="21"/>
          <w:szCs w:val="21"/>
        </w:rPr>
        <w:t xml:space="preserve"> to death by hanging. The proposed beneficiary appealed that decision, </w:t>
      </w:r>
      <w:r w:rsidR="00EE75D6">
        <w:rPr>
          <w:rFonts w:ascii="Cambria" w:eastAsia="Times New Roman" w:hAnsi="Cambria" w:cs="Times New Roman"/>
          <w:color w:val="000000"/>
          <w:sz w:val="21"/>
          <w:szCs w:val="21"/>
        </w:rPr>
        <w:t xml:space="preserve">and the appeal was </w:t>
      </w:r>
      <w:r w:rsidRPr="004B4365">
        <w:rPr>
          <w:rFonts w:ascii="Cambria" w:eastAsia="Times New Roman" w:hAnsi="Cambria" w:cs="Times New Roman"/>
          <w:color w:val="000000"/>
          <w:sz w:val="21"/>
          <w:szCs w:val="21"/>
        </w:rPr>
        <w:t>dismissed on May 17</w:t>
      </w:r>
      <w:r w:rsidR="00EE35A3" w:rsidRPr="00EE35A3">
        <w:rPr>
          <w:rFonts w:ascii="Cambria" w:eastAsia="Times New Roman" w:hAnsi="Cambria" w:cs="Times New Roman"/>
          <w:color w:val="000000"/>
          <w:sz w:val="21"/>
          <w:szCs w:val="21"/>
          <w:vertAlign w:val="superscript"/>
        </w:rPr>
        <w:t>th</w:t>
      </w:r>
      <w:r w:rsidRPr="004B4365">
        <w:rPr>
          <w:rFonts w:ascii="Cambria" w:eastAsia="Times New Roman" w:hAnsi="Cambria" w:cs="Times New Roman"/>
          <w:color w:val="000000"/>
          <w:sz w:val="21"/>
          <w:szCs w:val="21"/>
        </w:rPr>
        <w:t>, 2017</w:t>
      </w:r>
      <w:r w:rsidR="00EE35A3">
        <w:rPr>
          <w:rFonts w:ascii="Cambria" w:eastAsia="Times New Roman" w:hAnsi="Cambria" w:cs="Times New Roman"/>
          <w:color w:val="000000"/>
          <w:sz w:val="21"/>
          <w:szCs w:val="21"/>
        </w:rPr>
        <w:t xml:space="preserve">. </w:t>
      </w:r>
      <w:r w:rsidRPr="004B4365">
        <w:rPr>
          <w:rFonts w:ascii="Cambria" w:eastAsia="Times New Roman" w:hAnsi="Cambria" w:cs="Times New Roman"/>
          <w:color w:val="000000"/>
          <w:sz w:val="21"/>
          <w:szCs w:val="21"/>
        </w:rPr>
        <w:t>I</w:t>
      </w:r>
      <w:r w:rsidR="00EE35A3">
        <w:rPr>
          <w:rFonts w:ascii="Cambria" w:eastAsia="Times New Roman" w:hAnsi="Cambria" w:cs="Times New Roman"/>
          <w:color w:val="000000"/>
          <w:sz w:val="21"/>
          <w:szCs w:val="21"/>
        </w:rPr>
        <w:t xml:space="preserve">n </w:t>
      </w:r>
      <w:r w:rsidRPr="004B4365">
        <w:rPr>
          <w:rFonts w:ascii="Cambria" w:eastAsia="Times New Roman" w:hAnsi="Cambria" w:cs="Times New Roman"/>
          <w:color w:val="000000"/>
          <w:sz w:val="21"/>
          <w:szCs w:val="21"/>
        </w:rPr>
        <w:t>relation to Mr. Dwa</w:t>
      </w:r>
      <w:r w:rsidR="00EE75D6">
        <w:rPr>
          <w:rFonts w:ascii="Cambria" w:eastAsia="Times New Roman" w:hAnsi="Cambria" w:cs="Times New Roman"/>
          <w:color w:val="000000"/>
          <w:sz w:val="21"/>
          <w:szCs w:val="21"/>
        </w:rPr>
        <w:t>y</w:t>
      </w:r>
      <w:r w:rsidRPr="004B4365">
        <w:rPr>
          <w:rFonts w:ascii="Cambria" w:eastAsia="Times New Roman" w:hAnsi="Cambria" w:cs="Times New Roman"/>
          <w:color w:val="000000"/>
          <w:sz w:val="21"/>
          <w:szCs w:val="21"/>
        </w:rPr>
        <w:t xml:space="preserve">ne Omar </w:t>
      </w:r>
      <w:proofErr w:type="spellStart"/>
      <w:r w:rsidRPr="004B4365">
        <w:rPr>
          <w:rFonts w:ascii="Cambria" w:eastAsia="Times New Roman" w:hAnsi="Cambria" w:cs="Times New Roman"/>
          <w:color w:val="000000"/>
          <w:sz w:val="21"/>
          <w:szCs w:val="21"/>
        </w:rPr>
        <w:t>Severin</w:t>
      </w:r>
      <w:proofErr w:type="spellEnd"/>
      <w:r w:rsidRPr="004B4365">
        <w:rPr>
          <w:rFonts w:ascii="Cambria" w:eastAsia="Times New Roman" w:hAnsi="Cambria" w:cs="Times New Roman"/>
          <w:color w:val="000000"/>
          <w:sz w:val="21"/>
          <w:szCs w:val="21"/>
        </w:rPr>
        <w:t xml:space="preserve">, he </w:t>
      </w:r>
      <w:r w:rsidR="0028353B">
        <w:rPr>
          <w:rFonts w:ascii="Cambria" w:eastAsia="Times New Roman" w:hAnsi="Cambria" w:cs="Times New Roman"/>
          <w:color w:val="000000"/>
          <w:sz w:val="21"/>
          <w:szCs w:val="21"/>
        </w:rPr>
        <w:t>was</w:t>
      </w:r>
      <w:r w:rsidRPr="004B4365">
        <w:rPr>
          <w:rFonts w:ascii="Cambria" w:eastAsia="Times New Roman" w:hAnsi="Cambria" w:cs="Times New Roman"/>
          <w:color w:val="000000"/>
          <w:sz w:val="21"/>
          <w:szCs w:val="21"/>
        </w:rPr>
        <w:t xml:space="preserve"> detained on December 9</w:t>
      </w:r>
      <w:r w:rsidR="00EE35A3" w:rsidRPr="00EE35A3">
        <w:rPr>
          <w:rFonts w:ascii="Cambria" w:eastAsia="Times New Roman" w:hAnsi="Cambria" w:cs="Times New Roman"/>
          <w:color w:val="000000"/>
          <w:sz w:val="21"/>
          <w:szCs w:val="21"/>
          <w:vertAlign w:val="superscript"/>
        </w:rPr>
        <w:t>th</w:t>
      </w:r>
      <w:r w:rsidRPr="004B4365">
        <w:rPr>
          <w:rFonts w:ascii="Cambria" w:eastAsia="Times New Roman" w:hAnsi="Cambria" w:cs="Times New Roman"/>
          <w:color w:val="000000"/>
          <w:sz w:val="21"/>
          <w:szCs w:val="21"/>
        </w:rPr>
        <w:t>, 2009</w:t>
      </w:r>
      <w:r w:rsidR="00EE35A3">
        <w:rPr>
          <w:rFonts w:ascii="Cambria" w:eastAsia="Times New Roman" w:hAnsi="Cambria" w:cs="Times New Roman"/>
          <w:color w:val="000000"/>
          <w:sz w:val="21"/>
          <w:szCs w:val="21"/>
        </w:rPr>
        <w:t xml:space="preserve"> </w:t>
      </w:r>
      <w:r w:rsidRPr="004B4365">
        <w:rPr>
          <w:rFonts w:ascii="Cambria" w:eastAsia="Times New Roman" w:hAnsi="Cambria" w:cs="Times New Roman"/>
          <w:color w:val="000000"/>
          <w:sz w:val="21"/>
          <w:szCs w:val="21"/>
        </w:rPr>
        <w:t>for</w:t>
      </w:r>
      <w:r w:rsidR="00EE35A3">
        <w:rPr>
          <w:rFonts w:ascii="Cambria" w:eastAsia="Times New Roman" w:hAnsi="Cambria" w:cs="Times New Roman"/>
          <w:color w:val="000000"/>
          <w:sz w:val="21"/>
          <w:szCs w:val="21"/>
        </w:rPr>
        <w:t xml:space="preserve"> </w:t>
      </w:r>
      <w:r w:rsidRPr="004B4365">
        <w:rPr>
          <w:rFonts w:ascii="Cambria" w:eastAsia="Times New Roman" w:hAnsi="Cambria" w:cs="Times New Roman"/>
          <w:color w:val="000000"/>
          <w:sz w:val="21"/>
          <w:szCs w:val="21"/>
        </w:rPr>
        <w:t>a</w:t>
      </w:r>
      <w:r w:rsidR="00EE35A3">
        <w:rPr>
          <w:rFonts w:ascii="Cambria" w:eastAsia="Times New Roman" w:hAnsi="Cambria" w:cs="Times New Roman"/>
          <w:color w:val="000000"/>
          <w:sz w:val="21"/>
          <w:szCs w:val="21"/>
        </w:rPr>
        <w:t xml:space="preserve"> </w:t>
      </w:r>
      <w:r w:rsidR="0028353B">
        <w:rPr>
          <w:rFonts w:ascii="Cambria" w:eastAsia="Times New Roman" w:hAnsi="Cambria" w:cs="Times New Roman"/>
          <w:color w:val="000000"/>
          <w:sz w:val="21"/>
          <w:szCs w:val="21"/>
        </w:rPr>
        <w:t>murder</w:t>
      </w:r>
      <w:r w:rsidR="00EE35A3">
        <w:rPr>
          <w:rFonts w:ascii="Cambria" w:eastAsia="Times New Roman" w:hAnsi="Cambria" w:cs="Times New Roman"/>
          <w:color w:val="000000"/>
          <w:sz w:val="21"/>
          <w:szCs w:val="21"/>
        </w:rPr>
        <w:t xml:space="preserve"> </w:t>
      </w:r>
      <w:r w:rsidRPr="004B4365">
        <w:rPr>
          <w:rFonts w:ascii="Cambria" w:eastAsia="Times New Roman" w:hAnsi="Cambria" w:cs="Times New Roman"/>
          <w:color w:val="000000"/>
          <w:sz w:val="21"/>
          <w:szCs w:val="21"/>
        </w:rPr>
        <w:t>that</w:t>
      </w:r>
      <w:r w:rsidR="00EE35A3">
        <w:rPr>
          <w:rFonts w:ascii="Cambria" w:eastAsia="Times New Roman" w:hAnsi="Cambria" w:cs="Times New Roman"/>
          <w:color w:val="000000"/>
          <w:sz w:val="21"/>
          <w:szCs w:val="21"/>
        </w:rPr>
        <w:t xml:space="preserve"> </w:t>
      </w:r>
      <w:r w:rsidRPr="004B4365">
        <w:rPr>
          <w:rFonts w:ascii="Cambria" w:eastAsia="Times New Roman" w:hAnsi="Cambria" w:cs="Times New Roman"/>
          <w:color w:val="000000"/>
          <w:sz w:val="21"/>
          <w:szCs w:val="21"/>
        </w:rPr>
        <w:t>occurred on November 30</w:t>
      </w:r>
      <w:r w:rsidR="00EE35A3" w:rsidRPr="00EE35A3">
        <w:rPr>
          <w:rFonts w:ascii="Cambria" w:eastAsia="Times New Roman" w:hAnsi="Cambria" w:cs="Times New Roman"/>
          <w:color w:val="000000"/>
          <w:sz w:val="21"/>
          <w:szCs w:val="21"/>
          <w:vertAlign w:val="superscript"/>
        </w:rPr>
        <w:t>th</w:t>
      </w:r>
      <w:r w:rsidRPr="004B4365">
        <w:rPr>
          <w:rFonts w:ascii="Cambria" w:eastAsia="Times New Roman" w:hAnsi="Cambria" w:cs="Times New Roman"/>
          <w:color w:val="000000"/>
          <w:sz w:val="21"/>
          <w:szCs w:val="21"/>
        </w:rPr>
        <w:t>,</w:t>
      </w:r>
      <w:r w:rsidR="00EE35A3">
        <w:rPr>
          <w:rFonts w:ascii="Cambria" w:eastAsia="Times New Roman" w:hAnsi="Cambria" w:cs="Times New Roman"/>
          <w:color w:val="000000"/>
          <w:sz w:val="21"/>
          <w:szCs w:val="21"/>
        </w:rPr>
        <w:t xml:space="preserve"> </w:t>
      </w:r>
      <w:r w:rsidRPr="004B4365">
        <w:rPr>
          <w:rFonts w:ascii="Cambria" w:eastAsia="Times New Roman" w:hAnsi="Cambria" w:cs="Times New Roman"/>
          <w:color w:val="000000"/>
          <w:sz w:val="21"/>
          <w:szCs w:val="21"/>
        </w:rPr>
        <w:t>2009.</w:t>
      </w:r>
      <w:r w:rsidR="00EE35A3">
        <w:rPr>
          <w:rFonts w:ascii="Cambria" w:eastAsia="Times New Roman" w:hAnsi="Cambria" w:cs="Times New Roman"/>
          <w:color w:val="000000"/>
          <w:sz w:val="21"/>
          <w:szCs w:val="21"/>
        </w:rPr>
        <w:t xml:space="preserve"> </w:t>
      </w:r>
      <w:r w:rsidRPr="004B4365">
        <w:rPr>
          <w:rFonts w:ascii="Cambria" w:eastAsia="Times New Roman" w:hAnsi="Cambria" w:cs="Times New Roman"/>
          <w:color w:val="000000"/>
          <w:sz w:val="21"/>
          <w:szCs w:val="21"/>
        </w:rPr>
        <w:t>On</w:t>
      </w:r>
      <w:r w:rsidR="00EE35A3">
        <w:rPr>
          <w:rFonts w:ascii="Cambria" w:eastAsia="Times New Roman" w:hAnsi="Cambria" w:cs="Times New Roman"/>
          <w:color w:val="000000"/>
          <w:sz w:val="21"/>
          <w:szCs w:val="21"/>
        </w:rPr>
        <w:t xml:space="preserve"> </w:t>
      </w:r>
      <w:r w:rsidRPr="004B4365">
        <w:rPr>
          <w:rFonts w:ascii="Cambria" w:eastAsia="Times New Roman" w:hAnsi="Cambria" w:cs="Times New Roman"/>
          <w:color w:val="000000"/>
          <w:sz w:val="21"/>
          <w:szCs w:val="21"/>
        </w:rPr>
        <w:t>May 24</w:t>
      </w:r>
      <w:r w:rsidR="00EE35A3" w:rsidRPr="00EE35A3">
        <w:rPr>
          <w:rFonts w:ascii="Cambria" w:eastAsia="Times New Roman" w:hAnsi="Cambria" w:cs="Times New Roman"/>
          <w:color w:val="000000"/>
          <w:sz w:val="21"/>
          <w:szCs w:val="21"/>
          <w:vertAlign w:val="superscript"/>
        </w:rPr>
        <w:t>th</w:t>
      </w:r>
      <w:r w:rsidRPr="004B4365">
        <w:rPr>
          <w:rFonts w:ascii="Cambria" w:eastAsia="Times New Roman" w:hAnsi="Cambria" w:cs="Times New Roman"/>
          <w:color w:val="000000"/>
          <w:sz w:val="21"/>
          <w:szCs w:val="21"/>
        </w:rPr>
        <w:t>,</w:t>
      </w:r>
      <w:r w:rsidR="00EE35A3">
        <w:rPr>
          <w:rFonts w:ascii="Cambria" w:eastAsia="Times New Roman" w:hAnsi="Cambria" w:cs="Times New Roman"/>
          <w:color w:val="000000"/>
          <w:sz w:val="21"/>
          <w:szCs w:val="21"/>
        </w:rPr>
        <w:t xml:space="preserve"> </w:t>
      </w:r>
      <w:r w:rsidRPr="004B4365">
        <w:rPr>
          <w:rFonts w:ascii="Cambria" w:eastAsia="Times New Roman" w:hAnsi="Cambria" w:cs="Times New Roman"/>
          <w:color w:val="000000"/>
          <w:sz w:val="21"/>
          <w:szCs w:val="21"/>
        </w:rPr>
        <w:t>2014, the proposed beneficiary</w:t>
      </w:r>
      <w:r w:rsidR="00EE35A3">
        <w:rPr>
          <w:rFonts w:ascii="Cambria" w:eastAsia="Times New Roman" w:hAnsi="Cambria" w:cs="Times New Roman"/>
          <w:color w:val="000000"/>
          <w:sz w:val="21"/>
          <w:szCs w:val="21"/>
        </w:rPr>
        <w:t xml:space="preserve"> </w:t>
      </w:r>
      <w:r w:rsidRPr="004B4365">
        <w:rPr>
          <w:rFonts w:ascii="Cambria" w:eastAsia="Times New Roman" w:hAnsi="Cambria" w:cs="Times New Roman"/>
          <w:color w:val="000000"/>
          <w:sz w:val="21"/>
          <w:szCs w:val="21"/>
        </w:rPr>
        <w:t xml:space="preserve">was found guilty and sentenced to death. The proposed beneficiary appealed that decision, </w:t>
      </w:r>
      <w:r w:rsidR="00EE75D6">
        <w:rPr>
          <w:rFonts w:ascii="Cambria" w:eastAsia="Times New Roman" w:hAnsi="Cambria" w:cs="Times New Roman"/>
          <w:color w:val="000000"/>
          <w:sz w:val="21"/>
          <w:szCs w:val="21"/>
        </w:rPr>
        <w:t xml:space="preserve">and the appeal was dismissed </w:t>
      </w:r>
      <w:r w:rsidRPr="004B4365">
        <w:rPr>
          <w:rFonts w:ascii="Cambria" w:eastAsia="Times New Roman" w:hAnsi="Cambria" w:cs="Times New Roman"/>
          <w:color w:val="000000"/>
          <w:sz w:val="21"/>
          <w:szCs w:val="21"/>
        </w:rPr>
        <w:t>on May 17</w:t>
      </w:r>
      <w:r w:rsidR="00EE35A3" w:rsidRPr="00EE35A3">
        <w:rPr>
          <w:rFonts w:ascii="Cambria" w:eastAsia="Times New Roman" w:hAnsi="Cambria" w:cs="Times New Roman"/>
          <w:color w:val="000000"/>
          <w:sz w:val="21"/>
          <w:szCs w:val="21"/>
          <w:vertAlign w:val="superscript"/>
        </w:rPr>
        <w:t>th</w:t>
      </w:r>
      <w:r w:rsidRPr="004B4365">
        <w:rPr>
          <w:rFonts w:ascii="Cambria" w:eastAsia="Times New Roman" w:hAnsi="Cambria" w:cs="Times New Roman"/>
          <w:color w:val="000000"/>
          <w:sz w:val="21"/>
          <w:szCs w:val="21"/>
        </w:rPr>
        <w:t>, 2017.</w:t>
      </w:r>
    </w:p>
    <w:p w:rsidR="00533E22" w:rsidRPr="004B4365" w:rsidRDefault="00533E22" w:rsidP="00DA3664">
      <w:pPr>
        <w:pStyle w:val="ListParagraph"/>
        <w:rPr>
          <w:rFonts w:ascii="Cambria" w:eastAsia="Times New Roman" w:hAnsi="Cambria" w:cs="Times New Roman"/>
          <w:color w:val="000000"/>
          <w:sz w:val="21"/>
          <w:szCs w:val="21"/>
        </w:rPr>
      </w:pPr>
    </w:p>
    <w:p w:rsidR="00831EE7" w:rsidRPr="00A73805" w:rsidRDefault="0028353B" w:rsidP="00764014">
      <w:pPr>
        <w:pStyle w:val="ListParagraph"/>
        <w:widowControl w:val="0"/>
        <w:numPr>
          <w:ilvl w:val="0"/>
          <w:numId w:val="1"/>
        </w:numPr>
        <w:ind w:left="0" w:firstLine="360"/>
        <w:jc w:val="both"/>
        <w:rPr>
          <w:rFonts w:ascii="Cambria" w:eastAsia="Times New Roman" w:hAnsi="Cambria" w:cs="Times New Roman"/>
          <w:color w:val="000000"/>
          <w:sz w:val="21"/>
          <w:szCs w:val="21"/>
        </w:rPr>
      </w:pPr>
      <w:r w:rsidRPr="00A73805">
        <w:rPr>
          <w:rFonts w:ascii="Cambria" w:eastAsia="Times New Roman" w:hAnsi="Cambria" w:cs="Times New Roman"/>
          <w:color w:val="000000"/>
          <w:sz w:val="21"/>
          <w:szCs w:val="21"/>
        </w:rPr>
        <w:lastRenderedPageBreak/>
        <w:t>In the case of both proposed beneficiaries, they expressed their desire to appeal to the Caribbean Court of Justice on June 27</w:t>
      </w:r>
      <w:r w:rsidR="00EE35A3" w:rsidRPr="00EE35A3">
        <w:rPr>
          <w:rFonts w:ascii="Cambria" w:eastAsia="Times New Roman" w:hAnsi="Cambria" w:cs="Times New Roman"/>
          <w:color w:val="000000"/>
          <w:sz w:val="21"/>
          <w:szCs w:val="21"/>
          <w:vertAlign w:val="superscript"/>
        </w:rPr>
        <w:t>th</w:t>
      </w:r>
      <w:r w:rsidRPr="00A73805">
        <w:rPr>
          <w:rFonts w:ascii="Cambria" w:eastAsia="Times New Roman" w:hAnsi="Cambria" w:cs="Times New Roman"/>
          <w:color w:val="000000"/>
          <w:sz w:val="21"/>
          <w:szCs w:val="21"/>
        </w:rPr>
        <w:t xml:space="preserve">, 2017. According to the request, both applicants </w:t>
      </w:r>
      <w:r w:rsidR="00E9789D">
        <w:rPr>
          <w:rFonts w:ascii="Cambria" w:eastAsia="Times New Roman" w:hAnsi="Cambria" w:cs="Times New Roman"/>
          <w:color w:val="000000"/>
          <w:sz w:val="21"/>
          <w:szCs w:val="21"/>
        </w:rPr>
        <w:t>are</w:t>
      </w:r>
      <w:r w:rsidRPr="00A73805">
        <w:rPr>
          <w:rFonts w:ascii="Cambria" w:eastAsia="Times New Roman" w:hAnsi="Cambria" w:cs="Times New Roman"/>
          <w:color w:val="000000"/>
          <w:sz w:val="21"/>
          <w:szCs w:val="21"/>
        </w:rPr>
        <w:t xml:space="preserve"> awaiting the decision of the Caribbean Court of Justice. The petitioners indicated that if the decision of the Caribbean Court of Justice </w:t>
      </w:r>
      <w:r w:rsidR="00EE75D6">
        <w:rPr>
          <w:rFonts w:ascii="Cambria" w:eastAsia="Times New Roman" w:hAnsi="Cambria" w:cs="Times New Roman"/>
          <w:color w:val="000000"/>
          <w:sz w:val="21"/>
          <w:szCs w:val="21"/>
        </w:rPr>
        <w:t xml:space="preserve">is </w:t>
      </w:r>
      <w:r w:rsidRPr="00A73805">
        <w:rPr>
          <w:rFonts w:ascii="Cambria" w:eastAsia="Times New Roman" w:hAnsi="Cambria" w:cs="Times New Roman"/>
          <w:color w:val="000000"/>
          <w:sz w:val="21"/>
          <w:szCs w:val="21"/>
        </w:rPr>
        <w:t xml:space="preserve">unfavorable, </w:t>
      </w:r>
      <w:r w:rsidR="00B41058">
        <w:rPr>
          <w:rFonts w:ascii="Cambria" w:eastAsia="Times New Roman" w:hAnsi="Cambria" w:cs="Times New Roman"/>
          <w:color w:val="000000"/>
          <w:sz w:val="21"/>
          <w:szCs w:val="21"/>
        </w:rPr>
        <w:t>their</w:t>
      </w:r>
      <w:r w:rsidRPr="00A73805">
        <w:rPr>
          <w:rFonts w:ascii="Cambria" w:eastAsia="Times New Roman" w:hAnsi="Cambria" w:cs="Times New Roman"/>
          <w:color w:val="000000"/>
          <w:sz w:val="21"/>
          <w:szCs w:val="21"/>
        </w:rPr>
        <w:t xml:space="preserve"> next step would be to resort to the IACHR. The applicants did not provide information on the object and scope of the appeal before the Caribbean </w:t>
      </w:r>
      <w:r w:rsidR="00764014" w:rsidRPr="00A73805">
        <w:rPr>
          <w:rFonts w:ascii="Cambria" w:eastAsia="Times New Roman" w:hAnsi="Cambria" w:cs="Times New Roman"/>
          <w:color w:val="000000"/>
          <w:sz w:val="21"/>
          <w:szCs w:val="21"/>
        </w:rPr>
        <w:t xml:space="preserve">Court of Justice or whether it implies </w:t>
      </w:r>
      <w:r w:rsidRPr="00A73805">
        <w:rPr>
          <w:rFonts w:ascii="Cambria" w:eastAsia="Times New Roman" w:hAnsi="Cambria" w:cs="Times New Roman"/>
          <w:color w:val="000000"/>
          <w:sz w:val="21"/>
          <w:szCs w:val="21"/>
        </w:rPr>
        <w:t xml:space="preserve">the suspension of the sentence. The applicants indicated that they have appealed to the judicial authorities but the </w:t>
      </w:r>
      <w:r w:rsidR="00EE75D6">
        <w:rPr>
          <w:rFonts w:ascii="Cambria" w:eastAsia="Times New Roman" w:hAnsi="Cambria" w:cs="Times New Roman"/>
          <w:color w:val="000000"/>
          <w:sz w:val="21"/>
          <w:szCs w:val="21"/>
        </w:rPr>
        <w:t xml:space="preserve">adverse </w:t>
      </w:r>
      <w:r w:rsidRPr="00A73805">
        <w:rPr>
          <w:rFonts w:ascii="Cambria" w:eastAsia="Times New Roman" w:hAnsi="Cambria" w:cs="Times New Roman"/>
          <w:color w:val="000000"/>
          <w:sz w:val="21"/>
          <w:szCs w:val="21"/>
        </w:rPr>
        <w:t>decisions</w:t>
      </w:r>
      <w:r w:rsidR="00764014" w:rsidRPr="00A73805">
        <w:rPr>
          <w:rFonts w:ascii="Cambria" w:eastAsia="Times New Roman" w:hAnsi="Cambria" w:cs="Times New Roman"/>
          <w:color w:val="000000"/>
          <w:sz w:val="21"/>
          <w:szCs w:val="21"/>
        </w:rPr>
        <w:t xml:space="preserve"> </w:t>
      </w:r>
      <w:r w:rsidR="00EE75D6">
        <w:rPr>
          <w:rFonts w:ascii="Cambria" w:eastAsia="Times New Roman" w:hAnsi="Cambria" w:cs="Times New Roman"/>
          <w:color w:val="000000"/>
          <w:sz w:val="21"/>
          <w:szCs w:val="21"/>
        </w:rPr>
        <w:t>were confirmed</w:t>
      </w:r>
      <w:r w:rsidRPr="00A73805">
        <w:rPr>
          <w:rFonts w:ascii="Cambria" w:eastAsia="Times New Roman" w:hAnsi="Cambria" w:cs="Times New Roman"/>
          <w:color w:val="000000"/>
          <w:sz w:val="21"/>
          <w:szCs w:val="21"/>
        </w:rPr>
        <w:t xml:space="preserve">. </w:t>
      </w:r>
      <w:r w:rsidR="00B41058">
        <w:rPr>
          <w:rFonts w:ascii="Cambria" w:eastAsia="Times New Roman" w:hAnsi="Cambria" w:cs="Times New Roman"/>
          <w:color w:val="000000"/>
          <w:sz w:val="21"/>
          <w:szCs w:val="21"/>
        </w:rPr>
        <w:t>According to</w:t>
      </w:r>
      <w:r w:rsidR="0093465A">
        <w:rPr>
          <w:rFonts w:ascii="Cambria" w:eastAsia="Times New Roman" w:hAnsi="Cambria" w:cs="Times New Roman"/>
          <w:color w:val="000000"/>
          <w:sz w:val="21"/>
          <w:szCs w:val="21"/>
        </w:rPr>
        <w:t xml:space="preserve"> </w:t>
      </w:r>
      <w:r w:rsidRPr="00A73805">
        <w:rPr>
          <w:rFonts w:ascii="Cambria" w:eastAsia="Times New Roman" w:hAnsi="Cambria" w:cs="Times New Roman"/>
          <w:color w:val="000000"/>
          <w:sz w:val="21"/>
          <w:szCs w:val="21"/>
        </w:rPr>
        <w:t xml:space="preserve">the applicants, due process </w:t>
      </w:r>
      <w:r w:rsidR="00764014" w:rsidRPr="00A73805">
        <w:rPr>
          <w:rFonts w:ascii="Cambria" w:eastAsia="Times New Roman" w:hAnsi="Cambria" w:cs="Times New Roman"/>
          <w:color w:val="000000"/>
          <w:sz w:val="21"/>
          <w:szCs w:val="21"/>
        </w:rPr>
        <w:t>was</w:t>
      </w:r>
      <w:r w:rsidRPr="00A73805">
        <w:rPr>
          <w:rFonts w:ascii="Cambria" w:eastAsia="Times New Roman" w:hAnsi="Cambria" w:cs="Times New Roman"/>
          <w:color w:val="000000"/>
          <w:sz w:val="21"/>
          <w:szCs w:val="21"/>
        </w:rPr>
        <w:t xml:space="preserve"> not respected.</w:t>
      </w:r>
    </w:p>
    <w:p w:rsidR="00831EE7" w:rsidRPr="00A73805" w:rsidRDefault="00831EE7" w:rsidP="00DA3664">
      <w:pPr>
        <w:pStyle w:val="ListParagraph"/>
        <w:rPr>
          <w:rFonts w:ascii="Cambria" w:eastAsia="Times New Roman" w:hAnsi="Cambria" w:cs="Times New Roman"/>
          <w:color w:val="000000"/>
          <w:sz w:val="21"/>
          <w:szCs w:val="21"/>
        </w:rPr>
      </w:pPr>
    </w:p>
    <w:p w:rsidR="002657E0" w:rsidRPr="00A73805" w:rsidRDefault="00764014" w:rsidP="00C320AE">
      <w:pPr>
        <w:pStyle w:val="ListParagraph"/>
        <w:widowControl w:val="0"/>
        <w:numPr>
          <w:ilvl w:val="0"/>
          <w:numId w:val="1"/>
        </w:numPr>
        <w:ind w:left="0" w:firstLine="360"/>
        <w:jc w:val="both"/>
        <w:rPr>
          <w:rFonts w:ascii="Cambria" w:eastAsia="Times New Roman" w:hAnsi="Cambria" w:cs="Times New Roman"/>
          <w:color w:val="000000"/>
          <w:sz w:val="21"/>
          <w:szCs w:val="21"/>
        </w:rPr>
      </w:pPr>
      <w:r w:rsidRPr="00A73805">
        <w:rPr>
          <w:rFonts w:ascii="Cambria" w:eastAsia="Times New Roman" w:hAnsi="Cambria" w:cs="Times New Roman"/>
          <w:color w:val="000000"/>
          <w:sz w:val="21"/>
          <w:szCs w:val="21"/>
        </w:rPr>
        <w:t xml:space="preserve">Finally, the applicants indicated that their rights are violated by the </w:t>
      </w:r>
      <w:r w:rsidR="00EE35A3">
        <w:rPr>
          <w:rFonts w:ascii="Cambria" w:eastAsia="Times New Roman" w:hAnsi="Cambria" w:cs="Times New Roman"/>
          <w:color w:val="000000"/>
          <w:sz w:val="21"/>
          <w:szCs w:val="21"/>
        </w:rPr>
        <w:t xml:space="preserve">mandatory </w:t>
      </w:r>
      <w:r w:rsidR="00EE75D6">
        <w:rPr>
          <w:rFonts w:ascii="Cambria" w:eastAsia="Times New Roman" w:hAnsi="Cambria" w:cs="Times New Roman"/>
          <w:color w:val="000000"/>
          <w:sz w:val="21"/>
          <w:szCs w:val="21"/>
        </w:rPr>
        <w:t xml:space="preserve">sentence of death for crimes of murder </w:t>
      </w:r>
      <w:r w:rsidRPr="00A73805">
        <w:rPr>
          <w:rFonts w:ascii="Cambria" w:eastAsia="Times New Roman" w:hAnsi="Cambria" w:cs="Times New Roman"/>
          <w:color w:val="000000"/>
          <w:sz w:val="21"/>
          <w:szCs w:val="21"/>
        </w:rPr>
        <w:t>and also for the psychological, physical</w:t>
      </w:r>
      <w:r w:rsidR="009350F1">
        <w:rPr>
          <w:rFonts w:ascii="Cambria" w:eastAsia="Times New Roman" w:hAnsi="Cambria" w:cs="Times New Roman"/>
          <w:color w:val="000000"/>
          <w:sz w:val="21"/>
          <w:szCs w:val="21"/>
        </w:rPr>
        <w:t xml:space="preserve"> and</w:t>
      </w:r>
      <w:r w:rsidRPr="00A73805">
        <w:rPr>
          <w:rFonts w:ascii="Cambria" w:eastAsia="Times New Roman" w:hAnsi="Cambria" w:cs="Times New Roman"/>
          <w:color w:val="000000"/>
          <w:sz w:val="21"/>
          <w:szCs w:val="21"/>
        </w:rPr>
        <w:t xml:space="preserve"> emotional abuse </w:t>
      </w:r>
      <w:r w:rsidR="00E9789D">
        <w:rPr>
          <w:rFonts w:ascii="Cambria" w:eastAsia="Times New Roman" w:hAnsi="Cambria" w:cs="Times New Roman"/>
          <w:color w:val="000000"/>
          <w:sz w:val="21"/>
          <w:szCs w:val="21"/>
        </w:rPr>
        <w:t>of</w:t>
      </w:r>
      <w:r w:rsidRPr="00A73805">
        <w:rPr>
          <w:rFonts w:ascii="Cambria" w:eastAsia="Times New Roman" w:hAnsi="Cambria" w:cs="Times New Roman"/>
          <w:color w:val="000000"/>
          <w:sz w:val="21"/>
          <w:szCs w:val="21"/>
        </w:rPr>
        <w:t xml:space="preserve"> "keeping them for more than 5 years in an environment where the death threat is constant</w:t>
      </w:r>
      <w:r w:rsidR="00C320AE" w:rsidRPr="00A73805">
        <w:rPr>
          <w:rFonts w:ascii="Cambria" w:eastAsia="Times New Roman" w:hAnsi="Cambria" w:cs="Times New Roman"/>
          <w:color w:val="000000"/>
          <w:sz w:val="21"/>
          <w:szCs w:val="21"/>
        </w:rPr>
        <w:t>."</w:t>
      </w:r>
    </w:p>
    <w:p w:rsidR="00831EE7" w:rsidRPr="00764014" w:rsidRDefault="00831EE7" w:rsidP="00DA3664">
      <w:pPr>
        <w:pStyle w:val="ListParagraph"/>
        <w:rPr>
          <w:rFonts w:ascii="Cambria" w:eastAsia="Times New Roman" w:hAnsi="Cambria" w:cs="Times New Roman"/>
          <w:color w:val="000000"/>
          <w:sz w:val="21"/>
          <w:szCs w:val="21"/>
        </w:rPr>
      </w:pPr>
    </w:p>
    <w:p w:rsidR="002840D0" w:rsidRPr="00C320AE" w:rsidRDefault="00C320AE" w:rsidP="00C320AE">
      <w:pPr>
        <w:pStyle w:val="ListParagraph"/>
        <w:widowControl w:val="0"/>
        <w:numPr>
          <w:ilvl w:val="0"/>
          <w:numId w:val="3"/>
        </w:numPr>
        <w:jc w:val="both"/>
        <w:rPr>
          <w:rFonts w:ascii="Cambria" w:eastAsia="Calibri" w:hAnsi="Cambria"/>
          <w:b/>
          <w:sz w:val="20"/>
          <w:szCs w:val="20"/>
          <w:lang w:val="es-ES_tradnl"/>
        </w:rPr>
      </w:pPr>
      <w:r w:rsidRPr="0074497E">
        <w:rPr>
          <w:rFonts w:ascii="Cambria" w:eastAsia="Calibri" w:hAnsi="Cambria"/>
          <w:b/>
          <w:sz w:val="20"/>
          <w:szCs w:val="20"/>
          <w:lang w:val="es-ES_tradnl"/>
        </w:rPr>
        <w:t xml:space="preserve">Response </w:t>
      </w:r>
      <w:proofErr w:type="spellStart"/>
      <w:r w:rsidRPr="0074497E">
        <w:rPr>
          <w:rFonts w:ascii="Cambria" w:eastAsia="Calibri" w:hAnsi="Cambria"/>
          <w:b/>
          <w:sz w:val="20"/>
          <w:szCs w:val="20"/>
          <w:lang w:val="es-ES_tradnl"/>
        </w:rPr>
        <w:t>from</w:t>
      </w:r>
      <w:proofErr w:type="spellEnd"/>
      <w:r w:rsidRPr="0074497E">
        <w:rPr>
          <w:rFonts w:ascii="Cambria" w:eastAsia="Calibri" w:hAnsi="Cambria"/>
          <w:b/>
          <w:sz w:val="20"/>
          <w:szCs w:val="20"/>
          <w:lang w:val="es-ES_tradnl"/>
        </w:rPr>
        <w:t xml:space="preserve"> </w:t>
      </w:r>
      <w:proofErr w:type="spellStart"/>
      <w:r w:rsidRPr="0074497E">
        <w:rPr>
          <w:rFonts w:ascii="Cambria" w:eastAsia="Calibri" w:hAnsi="Cambria"/>
          <w:b/>
          <w:sz w:val="20"/>
          <w:szCs w:val="20"/>
          <w:lang w:val="es-ES_tradnl"/>
        </w:rPr>
        <w:t>the</w:t>
      </w:r>
      <w:proofErr w:type="spellEnd"/>
      <w:r w:rsidRPr="0074497E">
        <w:rPr>
          <w:rFonts w:ascii="Cambria" w:eastAsia="Calibri" w:hAnsi="Cambria"/>
          <w:b/>
          <w:sz w:val="20"/>
          <w:szCs w:val="20"/>
          <w:lang w:val="es-ES_tradnl"/>
        </w:rPr>
        <w:t xml:space="preserve"> </w:t>
      </w:r>
      <w:proofErr w:type="spellStart"/>
      <w:r w:rsidRPr="0074497E">
        <w:rPr>
          <w:rFonts w:ascii="Cambria" w:eastAsia="Calibri" w:hAnsi="Cambria"/>
          <w:b/>
          <w:sz w:val="20"/>
          <w:szCs w:val="20"/>
          <w:lang w:val="es-ES_tradnl"/>
        </w:rPr>
        <w:t>State</w:t>
      </w:r>
      <w:proofErr w:type="spellEnd"/>
    </w:p>
    <w:p w:rsidR="00A858AE" w:rsidRPr="00443855" w:rsidRDefault="00A858AE" w:rsidP="00DA3664">
      <w:pPr>
        <w:widowControl w:val="0"/>
        <w:jc w:val="both"/>
        <w:rPr>
          <w:rFonts w:ascii="Cambria" w:eastAsia="Calibri" w:hAnsi="Cambria"/>
          <w:sz w:val="21"/>
          <w:szCs w:val="21"/>
          <w:lang w:val="es-ES_tradnl"/>
        </w:rPr>
      </w:pPr>
    </w:p>
    <w:p w:rsidR="00D04497" w:rsidRPr="009350F1" w:rsidRDefault="00C320AE" w:rsidP="00C11397">
      <w:pPr>
        <w:numPr>
          <w:ilvl w:val="0"/>
          <w:numId w:val="1"/>
        </w:numPr>
        <w:ind w:left="0" w:firstLine="360"/>
        <w:jc w:val="both"/>
        <w:rPr>
          <w:rFonts w:ascii="Cambria" w:eastAsia="Times New Roman" w:hAnsi="Cambria" w:cs="Times New Roman"/>
          <w:color w:val="000000"/>
          <w:sz w:val="21"/>
          <w:szCs w:val="21"/>
        </w:rPr>
      </w:pPr>
      <w:r w:rsidRPr="009350F1">
        <w:rPr>
          <w:rFonts w:ascii="Cambria" w:eastAsia="Times New Roman" w:hAnsi="Cambria" w:cs="Times New Roman"/>
          <w:color w:val="000000"/>
          <w:sz w:val="21"/>
          <w:szCs w:val="21"/>
        </w:rPr>
        <w:t xml:space="preserve">The State reported that the proposed beneficiaries were arrested and prosecuted separately for homicide. Mr. </w:t>
      </w:r>
      <w:proofErr w:type="spellStart"/>
      <w:r w:rsidRPr="009350F1">
        <w:rPr>
          <w:rFonts w:ascii="Cambria" w:eastAsia="Times New Roman" w:hAnsi="Cambria" w:cs="Times New Roman"/>
          <w:color w:val="000000"/>
          <w:sz w:val="21"/>
          <w:szCs w:val="21"/>
        </w:rPr>
        <w:t>Nervais</w:t>
      </w:r>
      <w:proofErr w:type="spellEnd"/>
      <w:r w:rsidRPr="009350F1">
        <w:rPr>
          <w:rFonts w:ascii="Cambria" w:eastAsia="Times New Roman" w:hAnsi="Cambria" w:cs="Times New Roman"/>
          <w:color w:val="000000"/>
          <w:sz w:val="21"/>
          <w:szCs w:val="21"/>
        </w:rPr>
        <w:t xml:space="preserve"> was convicted on February 21</w:t>
      </w:r>
      <w:r w:rsidR="009350F1" w:rsidRPr="009350F1">
        <w:rPr>
          <w:rFonts w:ascii="Cambria" w:eastAsia="Times New Roman" w:hAnsi="Cambria" w:cs="Times New Roman"/>
          <w:color w:val="000000"/>
          <w:sz w:val="21"/>
          <w:szCs w:val="21"/>
          <w:vertAlign w:val="superscript"/>
        </w:rPr>
        <w:t>st</w:t>
      </w:r>
      <w:r w:rsidRPr="009350F1">
        <w:rPr>
          <w:rFonts w:ascii="Cambria" w:eastAsia="Times New Roman" w:hAnsi="Cambria" w:cs="Times New Roman"/>
          <w:color w:val="000000"/>
          <w:sz w:val="21"/>
          <w:szCs w:val="21"/>
        </w:rPr>
        <w:t xml:space="preserve">, 2012, and Mr. </w:t>
      </w:r>
      <w:proofErr w:type="spellStart"/>
      <w:r w:rsidRPr="009350F1">
        <w:rPr>
          <w:rFonts w:ascii="Cambria" w:eastAsia="Times New Roman" w:hAnsi="Cambria" w:cs="Times New Roman"/>
          <w:color w:val="000000"/>
          <w:sz w:val="21"/>
          <w:szCs w:val="21"/>
        </w:rPr>
        <w:t>Severin</w:t>
      </w:r>
      <w:proofErr w:type="spellEnd"/>
      <w:r w:rsidRPr="009350F1">
        <w:rPr>
          <w:rFonts w:ascii="Cambria" w:eastAsia="Times New Roman" w:hAnsi="Cambria" w:cs="Times New Roman"/>
          <w:color w:val="000000"/>
          <w:sz w:val="21"/>
          <w:szCs w:val="21"/>
        </w:rPr>
        <w:t>, on May 28</w:t>
      </w:r>
      <w:r w:rsidR="00EE35A3" w:rsidRPr="009350F1">
        <w:rPr>
          <w:rFonts w:ascii="Cambria" w:eastAsia="Times New Roman" w:hAnsi="Cambria" w:cs="Times New Roman"/>
          <w:color w:val="000000"/>
          <w:sz w:val="21"/>
          <w:szCs w:val="21"/>
          <w:vertAlign w:val="superscript"/>
        </w:rPr>
        <w:t>th</w:t>
      </w:r>
      <w:r w:rsidRPr="009350F1">
        <w:rPr>
          <w:rFonts w:ascii="Cambria" w:eastAsia="Times New Roman" w:hAnsi="Cambria" w:cs="Times New Roman"/>
          <w:color w:val="000000"/>
          <w:sz w:val="21"/>
          <w:szCs w:val="21"/>
        </w:rPr>
        <w:t>,</w:t>
      </w:r>
      <w:r w:rsidR="00CF3380" w:rsidRPr="009350F1">
        <w:rPr>
          <w:rFonts w:ascii="Cambria" w:eastAsia="Times New Roman" w:hAnsi="Cambria" w:cs="Times New Roman"/>
          <w:color w:val="000000"/>
          <w:sz w:val="21"/>
          <w:szCs w:val="21"/>
        </w:rPr>
        <w:t xml:space="preserve"> </w:t>
      </w:r>
      <w:r w:rsidRPr="009350F1">
        <w:rPr>
          <w:rFonts w:ascii="Cambria" w:eastAsia="Times New Roman" w:hAnsi="Cambria" w:cs="Times New Roman"/>
          <w:color w:val="000000"/>
          <w:sz w:val="21"/>
          <w:szCs w:val="21"/>
        </w:rPr>
        <w:t>2014. Both of them were sentenced to death by hanging according to "Section 2 of the Offenses against the Person Act, Chapt</w:t>
      </w:r>
      <w:r w:rsidR="00C11397" w:rsidRPr="009350F1">
        <w:rPr>
          <w:rFonts w:ascii="Cambria" w:eastAsia="Times New Roman" w:hAnsi="Cambria" w:cs="Times New Roman"/>
          <w:color w:val="000000"/>
          <w:sz w:val="21"/>
          <w:szCs w:val="21"/>
        </w:rPr>
        <w:t>er 141 of the Laws of Barbados.</w:t>
      </w:r>
      <w:r w:rsidRPr="009350F1">
        <w:rPr>
          <w:rFonts w:ascii="Cambria" w:eastAsia="Times New Roman" w:hAnsi="Cambria" w:cs="Times New Roman"/>
          <w:color w:val="000000"/>
          <w:sz w:val="21"/>
          <w:szCs w:val="21"/>
        </w:rPr>
        <w:t>" The proposed beneficiaries appealed their sentences on May 17</w:t>
      </w:r>
      <w:r w:rsidR="00EE35A3" w:rsidRPr="009350F1">
        <w:rPr>
          <w:rFonts w:ascii="Cambria" w:eastAsia="Times New Roman" w:hAnsi="Cambria" w:cs="Times New Roman"/>
          <w:color w:val="000000"/>
          <w:sz w:val="21"/>
          <w:szCs w:val="21"/>
          <w:vertAlign w:val="superscript"/>
        </w:rPr>
        <w:t>th</w:t>
      </w:r>
      <w:r w:rsidRPr="009350F1">
        <w:rPr>
          <w:rFonts w:ascii="Cambria" w:eastAsia="Times New Roman" w:hAnsi="Cambria" w:cs="Times New Roman"/>
          <w:color w:val="000000"/>
          <w:sz w:val="21"/>
          <w:szCs w:val="21"/>
        </w:rPr>
        <w:t xml:space="preserve">, 2017, </w:t>
      </w:r>
      <w:r w:rsidR="009350F1">
        <w:rPr>
          <w:rFonts w:ascii="Cambria" w:eastAsia="Times New Roman" w:hAnsi="Cambria" w:cs="Times New Roman"/>
          <w:color w:val="000000"/>
          <w:sz w:val="21"/>
          <w:szCs w:val="21"/>
        </w:rPr>
        <w:t xml:space="preserve">and the appeals were </w:t>
      </w:r>
      <w:r w:rsidRPr="009350F1">
        <w:rPr>
          <w:rFonts w:ascii="Cambria" w:eastAsia="Times New Roman" w:hAnsi="Cambria" w:cs="Times New Roman"/>
          <w:color w:val="000000"/>
          <w:sz w:val="21"/>
          <w:szCs w:val="21"/>
        </w:rPr>
        <w:t>dismissed by the Court of Appeals of Barbados.</w:t>
      </w:r>
    </w:p>
    <w:p w:rsidR="00D04497" w:rsidRPr="00C320AE" w:rsidRDefault="00D04497" w:rsidP="00DA3664">
      <w:pPr>
        <w:ind w:left="360"/>
        <w:jc w:val="both"/>
        <w:rPr>
          <w:rFonts w:ascii="Cambria" w:eastAsia="Times New Roman" w:hAnsi="Cambria" w:cs="Times New Roman"/>
          <w:color w:val="000000"/>
          <w:sz w:val="21"/>
          <w:szCs w:val="21"/>
        </w:rPr>
      </w:pPr>
    </w:p>
    <w:p w:rsidR="00174115" w:rsidRPr="009350F1" w:rsidRDefault="00C11397" w:rsidP="006C4F8A">
      <w:pPr>
        <w:numPr>
          <w:ilvl w:val="0"/>
          <w:numId w:val="1"/>
        </w:numPr>
        <w:ind w:left="0" w:firstLine="360"/>
        <w:jc w:val="both"/>
        <w:rPr>
          <w:rFonts w:ascii="Cambria" w:eastAsia="Times New Roman" w:hAnsi="Cambria" w:cs="Times New Roman"/>
          <w:color w:val="000000"/>
          <w:sz w:val="21"/>
          <w:szCs w:val="21"/>
        </w:rPr>
      </w:pPr>
      <w:r w:rsidRPr="009350F1">
        <w:rPr>
          <w:rFonts w:ascii="Cambria" w:eastAsia="Times New Roman" w:hAnsi="Cambria" w:cs="Times New Roman"/>
          <w:color w:val="000000"/>
          <w:sz w:val="21"/>
          <w:szCs w:val="21"/>
        </w:rPr>
        <w:t>The proposed beneficiaries filed applications for leave to appeal to the Caribbean Court of Justice against the conviction and sentence. The request was granted and on January 23</w:t>
      </w:r>
      <w:r w:rsidR="009350F1" w:rsidRPr="009350F1">
        <w:rPr>
          <w:rFonts w:ascii="Cambria" w:eastAsia="Times New Roman" w:hAnsi="Cambria" w:cs="Times New Roman"/>
          <w:color w:val="000000"/>
          <w:sz w:val="21"/>
          <w:szCs w:val="21"/>
        </w:rPr>
        <w:t>rd</w:t>
      </w:r>
      <w:r w:rsidRPr="009350F1">
        <w:rPr>
          <w:rFonts w:ascii="Cambria" w:eastAsia="Times New Roman" w:hAnsi="Cambria" w:cs="Times New Roman"/>
          <w:color w:val="000000"/>
          <w:sz w:val="21"/>
          <w:szCs w:val="21"/>
        </w:rPr>
        <w:t xml:space="preserve"> and 24</w:t>
      </w:r>
      <w:r w:rsidR="009350F1" w:rsidRPr="009350F1">
        <w:rPr>
          <w:rFonts w:ascii="Cambria" w:eastAsia="Times New Roman" w:hAnsi="Cambria" w:cs="Times New Roman"/>
          <w:color w:val="000000"/>
          <w:sz w:val="21"/>
          <w:szCs w:val="21"/>
          <w:vertAlign w:val="superscript"/>
        </w:rPr>
        <w:t>th</w:t>
      </w:r>
      <w:r w:rsidRPr="009350F1">
        <w:rPr>
          <w:rFonts w:ascii="Cambria" w:eastAsia="Times New Roman" w:hAnsi="Cambria" w:cs="Times New Roman"/>
          <w:color w:val="000000"/>
          <w:sz w:val="21"/>
          <w:szCs w:val="21"/>
        </w:rPr>
        <w:t>, 2018 the appeals</w:t>
      </w:r>
      <w:r w:rsidR="006C4F8A" w:rsidRPr="009350F1">
        <w:rPr>
          <w:rFonts w:ascii="Cambria" w:eastAsia="Times New Roman" w:hAnsi="Cambria" w:cs="Times New Roman"/>
          <w:color w:val="000000"/>
          <w:sz w:val="21"/>
          <w:szCs w:val="21"/>
        </w:rPr>
        <w:t xml:space="preserve"> were presented. They await a </w:t>
      </w:r>
      <w:r w:rsidRPr="009350F1">
        <w:rPr>
          <w:rFonts w:ascii="Cambria" w:eastAsia="Times New Roman" w:hAnsi="Cambria" w:cs="Times New Roman"/>
          <w:color w:val="000000"/>
          <w:sz w:val="21"/>
          <w:szCs w:val="21"/>
        </w:rPr>
        <w:t>decision of the Caribbean Court of Justice.</w:t>
      </w:r>
    </w:p>
    <w:p w:rsidR="00174115" w:rsidRPr="00C11397" w:rsidRDefault="00174115" w:rsidP="00DA3664">
      <w:pPr>
        <w:pStyle w:val="ListParagraph"/>
        <w:rPr>
          <w:rFonts w:ascii="Cambria" w:eastAsia="Times New Roman" w:hAnsi="Cambria" w:cs="Times New Roman"/>
          <w:color w:val="000000"/>
          <w:sz w:val="21"/>
          <w:szCs w:val="21"/>
        </w:rPr>
      </w:pPr>
    </w:p>
    <w:p w:rsidR="002657E0" w:rsidRPr="00A73805" w:rsidRDefault="006C4F8A" w:rsidP="00A85213">
      <w:pPr>
        <w:numPr>
          <w:ilvl w:val="0"/>
          <w:numId w:val="1"/>
        </w:numPr>
        <w:ind w:left="0" w:firstLine="360"/>
        <w:jc w:val="both"/>
        <w:rPr>
          <w:rFonts w:ascii="Cambria" w:eastAsia="Times New Roman" w:hAnsi="Cambria" w:cs="Times New Roman"/>
          <w:color w:val="000000"/>
          <w:sz w:val="21"/>
          <w:szCs w:val="21"/>
        </w:rPr>
      </w:pPr>
      <w:r w:rsidRPr="00A73805">
        <w:rPr>
          <w:rFonts w:ascii="Cambria" w:eastAsia="Times New Roman" w:hAnsi="Cambria" w:cs="Times New Roman"/>
          <w:color w:val="000000"/>
          <w:sz w:val="21"/>
          <w:szCs w:val="21"/>
        </w:rPr>
        <w:t>The State considered that the decision taken by the</w:t>
      </w:r>
      <w:r w:rsidR="00A85213" w:rsidRPr="00A73805">
        <w:rPr>
          <w:rFonts w:ascii="Cambria" w:eastAsia="Times New Roman" w:hAnsi="Cambria" w:cs="Times New Roman"/>
          <w:color w:val="000000"/>
          <w:sz w:val="21"/>
          <w:szCs w:val="21"/>
        </w:rPr>
        <w:t xml:space="preserve"> Caribbean Court of Justice “will no doubt be illuminating.”</w:t>
      </w:r>
      <w:r w:rsidRPr="00A73805">
        <w:rPr>
          <w:rFonts w:ascii="Cambria" w:eastAsia="Times New Roman" w:hAnsi="Cambria" w:cs="Times New Roman"/>
          <w:color w:val="000000"/>
          <w:sz w:val="21"/>
          <w:szCs w:val="21"/>
        </w:rPr>
        <w:t xml:space="preserve"> The State also stressed that the death penalty has not been enforced in Barbados for </w:t>
      </w:r>
      <w:r w:rsidR="00A85213" w:rsidRPr="00A73805">
        <w:rPr>
          <w:rFonts w:ascii="Cambria" w:eastAsia="Times New Roman" w:hAnsi="Cambria" w:cs="Times New Roman"/>
          <w:color w:val="000000"/>
          <w:sz w:val="21"/>
          <w:szCs w:val="21"/>
        </w:rPr>
        <w:t>some time</w:t>
      </w:r>
      <w:r w:rsidRPr="00A73805">
        <w:rPr>
          <w:rFonts w:ascii="Cambria" w:eastAsia="Times New Roman" w:hAnsi="Cambria" w:cs="Times New Roman"/>
          <w:color w:val="000000"/>
          <w:sz w:val="21"/>
          <w:szCs w:val="21"/>
        </w:rPr>
        <w:t xml:space="preserve">, without specifying exact dates. </w:t>
      </w:r>
      <w:r w:rsidR="003546F9">
        <w:rPr>
          <w:rFonts w:ascii="Cambria" w:eastAsia="Times New Roman" w:hAnsi="Cambria" w:cs="Times New Roman"/>
          <w:color w:val="000000"/>
          <w:sz w:val="21"/>
          <w:szCs w:val="21"/>
        </w:rPr>
        <w:t>It indicated that t</w:t>
      </w:r>
      <w:r w:rsidRPr="00A73805">
        <w:rPr>
          <w:rFonts w:ascii="Cambria" w:eastAsia="Times New Roman" w:hAnsi="Cambria" w:cs="Times New Roman"/>
          <w:color w:val="000000"/>
          <w:sz w:val="21"/>
          <w:szCs w:val="21"/>
        </w:rPr>
        <w:t>he death penalty continue</w:t>
      </w:r>
      <w:r w:rsidR="00A85213" w:rsidRPr="00A73805">
        <w:rPr>
          <w:rFonts w:ascii="Cambria" w:eastAsia="Times New Roman" w:hAnsi="Cambria" w:cs="Times New Roman"/>
          <w:color w:val="000000"/>
          <w:sz w:val="21"/>
          <w:szCs w:val="21"/>
        </w:rPr>
        <w:t>s</w:t>
      </w:r>
      <w:r w:rsidRPr="00A73805">
        <w:rPr>
          <w:rFonts w:ascii="Cambria" w:eastAsia="Times New Roman" w:hAnsi="Cambria" w:cs="Times New Roman"/>
          <w:color w:val="000000"/>
          <w:sz w:val="21"/>
          <w:szCs w:val="21"/>
        </w:rPr>
        <w:t xml:space="preserve"> </w:t>
      </w:r>
      <w:r w:rsidR="003546F9">
        <w:rPr>
          <w:rFonts w:ascii="Cambria" w:eastAsia="Times New Roman" w:hAnsi="Cambria" w:cs="Times New Roman"/>
          <w:color w:val="000000"/>
          <w:sz w:val="21"/>
          <w:szCs w:val="21"/>
        </w:rPr>
        <w:t>to remain in effect</w:t>
      </w:r>
      <w:r w:rsidRPr="00A73805">
        <w:rPr>
          <w:rFonts w:ascii="Cambria" w:eastAsia="Times New Roman" w:hAnsi="Cambria" w:cs="Times New Roman"/>
          <w:color w:val="000000"/>
          <w:sz w:val="21"/>
          <w:szCs w:val="21"/>
        </w:rPr>
        <w:t xml:space="preserve"> despite constitutional challenges, without specifying </w:t>
      </w:r>
      <w:r w:rsidR="003546F9">
        <w:rPr>
          <w:rFonts w:ascii="Cambria" w:eastAsia="Times New Roman" w:hAnsi="Cambria" w:cs="Times New Roman"/>
          <w:color w:val="000000"/>
          <w:sz w:val="21"/>
          <w:szCs w:val="21"/>
        </w:rPr>
        <w:t>the challenges or timeline</w:t>
      </w:r>
      <w:r w:rsidRPr="00A73805">
        <w:rPr>
          <w:rFonts w:ascii="Cambria" w:eastAsia="Times New Roman" w:hAnsi="Cambria" w:cs="Times New Roman"/>
          <w:color w:val="000000"/>
          <w:sz w:val="21"/>
          <w:szCs w:val="21"/>
        </w:rPr>
        <w:t xml:space="preserve">. The State did not </w:t>
      </w:r>
      <w:proofErr w:type="gramStart"/>
      <w:r w:rsidR="003546F9">
        <w:rPr>
          <w:rFonts w:ascii="Cambria" w:eastAsia="Times New Roman" w:hAnsi="Cambria" w:cs="Times New Roman"/>
          <w:color w:val="000000"/>
          <w:sz w:val="21"/>
          <w:szCs w:val="21"/>
        </w:rPr>
        <w:t>indicated</w:t>
      </w:r>
      <w:proofErr w:type="gramEnd"/>
      <w:r w:rsidR="003546F9">
        <w:rPr>
          <w:rFonts w:ascii="Cambria" w:eastAsia="Times New Roman" w:hAnsi="Cambria" w:cs="Times New Roman"/>
          <w:color w:val="000000"/>
          <w:sz w:val="21"/>
          <w:szCs w:val="21"/>
        </w:rPr>
        <w:t xml:space="preserve"> that it would refrain from </w:t>
      </w:r>
      <w:r w:rsidRPr="00A73805">
        <w:rPr>
          <w:rFonts w:ascii="Cambria" w:eastAsia="Times New Roman" w:hAnsi="Cambria" w:cs="Times New Roman"/>
          <w:color w:val="000000"/>
          <w:sz w:val="21"/>
          <w:szCs w:val="21"/>
        </w:rPr>
        <w:t>apply</w:t>
      </w:r>
      <w:r w:rsidR="003546F9">
        <w:rPr>
          <w:rFonts w:ascii="Cambria" w:eastAsia="Times New Roman" w:hAnsi="Cambria" w:cs="Times New Roman"/>
          <w:color w:val="000000"/>
          <w:sz w:val="21"/>
          <w:szCs w:val="21"/>
        </w:rPr>
        <w:t>ing</w:t>
      </w:r>
      <w:r w:rsidRPr="00A73805">
        <w:rPr>
          <w:rFonts w:ascii="Cambria" w:eastAsia="Times New Roman" w:hAnsi="Cambria" w:cs="Times New Roman"/>
          <w:color w:val="000000"/>
          <w:sz w:val="21"/>
          <w:szCs w:val="21"/>
        </w:rPr>
        <w:t xml:space="preserve"> the death penalty.</w:t>
      </w:r>
    </w:p>
    <w:p w:rsidR="002657E0" w:rsidRPr="006C4F8A" w:rsidRDefault="002657E0" w:rsidP="00DA3664">
      <w:pPr>
        <w:ind w:left="360"/>
        <w:jc w:val="both"/>
        <w:rPr>
          <w:rFonts w:ascii="Cambria" w:eastAsia="Times New Roman" w:hAnsi="Cambria" w:cs="Times New Roman"/>
          <w:color w:val="000000"/>
          <w:sz w:val="21"/>
          <w:szCs w:val="21"/>
        </w:rPr>
      </w:pPr>
    </w:p>
    <w:p w:rsidR="00D04497" w:rsidRPr="00A85213" w:rsidRDefault="00A85213" w:rsidP="00A85213">
      <w:pPr>
        <w:numPr>
          <w:ilvl w:val="0"/>
          <w:numId w:val="1"/>
        </w:numPr>
        <w:ind w:left="0" w:firstLine="360"/>
        <w:jc w:val="both"/>
        <w:rPr>
          <w:rFonts w:ascii="Cambria" w:eastAsia="Times New Roman" w:hAnsi="Cambria" w:cs="Times New Roman"/>
          <w:color w:val="000000"/>
          <w:sz w:val="21"/>
          <w:szCs w:val="21"/>
        </w:rPr>
      </w:pPr>
      <w:r w:rsidRPr="00A85213">
        <w:rPr>
          <w:rFonts w:ascii="Cambria" w:eastAsia="Times New Roman" w:hAnsi="Cambria" w:cs="Times New Roman"/>
          <w:color w:val="000000"/>
          <w:sz w:val="21"/>
          <w:szCs w:val="21"/>
        </w:rPr>
        <w:t xml:space="preserve">With regard to the conditions of detention of the proposed beneficiaries, the State indicated that </w:t>
      </w:r>
      <w:r w:rsidR="003546F9">
        <w:rPr>
          <w:rFonts w:ascii="Cambria" w:eastAsia="Times New Roman" w:hAnsi="Cambria" w:cs="Times New Roman"/>
          <w:color w:val="000000"/>
          <w:sz w:val="21"/>
          <w:szCs w:val="21"/>
        </w:rPr>
        <w:t xml:space="preserve">they </w:t>
      </w:r>
      <w:r w:rsidRPr="00A85213">
        <w:rPr>
          <w:rFonts w:ascii="Cambria" w:eastAsia="Times New Roman" w:hAnsi="Cambria" w:cs="Times New Roman"/>
          <w:color w:val="000000"/>
          <w:sz w:val="21"/>
          <w:szCs w:val="21"/>
        </w:rPr>
        <w:t>compl</w:t>
      </w:r>
      <w:r w:rsidR="003546F9">
        <w:rPr>
          <w:rFonts w:ascii="Cambria" w:eastAsia="Times New Roman" w:hAnsi="Cambria" w:cs="Times New Roman"/>
          <w:color w:val="000000"/>
          <w:sz w:val="21"/>
          <w:szCs w:val="21"/>
        </w:rPr>
        <w:t>y</w:t>
      </w:r>
      <w:r w:rsidRPr="00A85213">
        <w:rPr>
          <w:rFonts w:ascii="Cambria" w:eastAsia="Times New Roman" w:hAnsi="Cambria" w:cs="Times New Roman"/>
          <w:color w:val="000000"/>
          <w:sz w:val="21"/>
          <w:szCs w:val="21"/>
        </w:rPr>
        <w:t xml:space="preserve"> with the United Nations Standard Minimum Rules for the Treatment of Prisoners. In that sense, the State provided a list of characteristics of the cell in which the proposed beneficiaries </w:t>
      </w:r>
      <w:r>
        <w:rPr>
          <w:rFonts w:ascii="Cambria" w:eastAsia="Times New Roman" w:hAnsi="Cambria" w:cs="Times New Roman"/>
          <w:color w:val="000000"/>
          <w:sz w:val="21"/>
          <w:szCs w:val="21"/>
        </w:rPr>
        <w:t>are</w:t>
      </w:r>
      <w:r w:rsidRPr="00A85213">
        <w:rPr>
          <w:rFonts w:ascii="Cambria" w:eastAsia="Times New Roman" w:hAnsi="Cambria" w:cs="Times New Roman"/>
          <w:color w:val="000000"/>
          <w:sz w:val="21"/>
          <w:szCs w:val="21"/>
        </w:rPr>
        <w:t xml:space="preserve"> </w:t>
      </w:r>
      <w:r w:rsidR="003546F9">
        <w:rPr>
          <w:rFonts w:ascii="Cambria" w:eastAsia="Times New Roman" w:hAnsi="Cambria" w:cs="Times New Roman"/>
          <w:color w:val="000000"/>
          <w:sz w:val="21"/>
          <w:szCs w:val="21"/>
        </w:rPr>
        <w:t>housed,</w:t>
      </w:r>
      <w:r w:rsidRPr="002238E9">
        <w:rPr>
          <w:rFonts w:ascii="Cambria" w:eastAsia="Times New Roman" w:hAnsi="Cambria" w:cs="Times New Roman"/>
          <w:color w:val="000000"/>
          <w:sz w:val="21"/>
          <w:szCs w:val="21"/>
          <w:vertAlign w:val="superscript"/>
          <w:lang w:val="es-PE"/>
        </w:rPr>
        <w:footnoteReference w:id="2"/>
      </w:r>
      <w:r w:rsidR="00871484">
        <w:rPr>
          <w:rFonts w:ascii="Cambria" w:eastAsia="Times New Roman" w:hAnsi="Cambria" w:cs="Times New Roman"/>
          <w:color w:val="000000"/>
          <w:sz w:val="21"/>
          <w:szCs w:val="21"/>
        </w:rPr>
        <w:t xml:space="preserve"> </w:t>
      </w:r>
      <w:r w:rsidRPr="00A85213">
        <w:rPr>
          <w:rFonts w:ascii="Cambria" w:eastAsia="Times New Roman" w:hAnsi="Cambria" w:cs="Times New Roman"/>
          <w:color w:val="000000"/>
          <w:sz w:val="21"/>
          <w:szCs w:val="21"/>
        </w:rPr>
        <w:t>the conditions and services that they have</w:t>
      </w:r>
      <w:r w:rsidR="003546F9">
        <w:rPr>
          <w:rFonts w:ascii="Cambria" w:eastAsia="Times New Roman" w:hAnsi="Cambria" w:cs="Times New Roman"/>
          <w:color w:val="000000"/>
          <w:sz w:val="21"/>
          <w:szCs w:val="21"/>
        </w:rPr>
        <w:t xml:space="preserve"> access to,</w:t>
      </w:r>
      <w:r w:rsidRPr="002238E9">
        <w:rPr>
          <w:rFonts w:ascii="Cambria" w:eastAsia="Times New Roman" w:hAnsi="Cambria" w:cs="Times New Roman"/>
          <w:color w:val="000000"/>
          <w:sz w:val="21"/>
          <w:szCs w:val="21"/>
          <w:vertAlign w:val="superscript"/>
          <w:lang w:val="es-PE"/>
        </w:rPr>
        <w:footnoteReference w:id="3"/>
      </w:r>
      <w:r w:rsidRPr="00A85213">
        <w:rPr>
          <w:rFonts w:ascii="Cambria" w:eastAsia="Times New Roman" w:hAnsi="Cambria" w:cs="Times New Roman"/>
          <w:color w:val="000000"/>
          <w:sz w:val="21"/>
          <w:szCs w:val="21"/>
        </w:rPr>
        <w:t xml:space="preserve"> and the contact </w:t>
      </w:r>
      <w:r w:rsidR="003546F9">
        <w:rPr>
          <w:rFonts w:ascii="Cambria" w:eastAsia="Times New Roman" w:hAnsi="Cambria" w:cs="Times New Roman"/>
          <w:color w:val="000000"/>
          <w:sz w:val="21"/>
          <w:szCs w:val="21"/>
        </w:rPr>
        <w:t xml:space="preserve">they have </w:t>
      </w:r>
      <w:r w:rsidRPr="00A85213">
        <w:rPr>
          <w:rFonts w:ascii="Cambria" w:eastAsia="Times New Roman" w:hAnsi="Cambria" w:cs="Times New Roman"/>
          <w:color w:val="000000"/>
          <w:sz w:val="21"/>
          <w:szCs w:val="21"/>
        </w:rPr>
        <w:t>with the outside world</w:t>
      </w:r>
      <w:r w:rsidR="003546F9">
        <w:rPr>
          <w:rFonts w:ascii="Cambria" w:eastAsia="Times New Roman" w:hAnsi="Cambria" w:cs="Times New Roman"/>
          <w:color w:val="000000"/>
          <w:sz w:val="21"/>
          <w:szCs w:val="21"/>
        </w:rPr>
        <w:t>.</w:t>
      </w:r>
      <w:r w:rsidRPr="002238E9">
        <w:rPr>
          <w:rFonts w:ascii="Cambria" w:eastAsia="Times New Roman" w:hAnsi="Cambria" w:cs="Times New Roman"/>
          <w:color w:val="000000"/>
          <w:sz w:val="21"/>
          <w:szCs w:val="21"/>
          <w:vertAlign w:val="superscript"/>
          <w:lang w:val="es-PE"/>
        </w:rPr>
        <w:footnoteReference w:id="4"/>
      </w:r>
    </w:p>
    <w:p w:rsidR="00174115" w:rsidRPr="00A85213" w:rsidRDefault="00174115" w:rsidP="00DA3664">
      <w:pPr>
        <w:pStyle w:val="ListParagraph"/>
        <w:rPr>
          <w:rFonts w:ascii="Cambria" w:eastAsia="Times New Roman" w:hAnsi="Cambria" w:cs="Times New Roman"/>
          <w:color w:val="000000"/>
          <w:sz w:val="21"/>
          <w:szCs w:val="21"/>
        </w:rPr>
      </w:pPr>
    </w:p>
    <w:p w:rsidR="00174115" w:rsidRPr="00A85213" w:rsidRDefault="00A85213" w:rsidP="00A85213">
      <w:pPr>
        <w:numPr>
          <w:ilvl w:val="0"/>
          <w:numId w:val="1"/>
        </w:numPr>
        <w:ind w:left="0" w:firstLine="360"/>
        <w:jc w:val="both"/>
        <w:rPr>
          <w:rFonts w:ascii="Cambria" w:eastAsia="Times New Roman" w:hAnsi="Cambria" w:cs="Times New Roman"/>
          <w:color w:val="000000"/>
          <w:sz w:val="21"/>
          <w:szCs w:val="21"/>
        </w:rPr>
      </w:pPr>
      <w:r w:rsidRPr="00A85213">
        <w:rPr>
          <w:rFonts w:ascii="Cambria" w:eastAsia="Times New Roman" w:hAnsi="Cambria" w:cs="Times New Roman"/>
          <w:color w:val="000000"/>
          <w:sz w:val="21"/>
          <w:szCs w:val="21"/>
        </w:rPr>
        <w:t xml:space="preserve">The State indicated that Mr. </w:t>
      </w:r>
      <w:proofErr w:type="spellStart"/>
      <w:r w:rsidRPr="00A85213">
        <w:rPr>
          <w:rFonts w:ascii="Cambria" w:eastAsia="Times New Roman" w:hAnsi="Cambria" w:cs="Times New Roman"/>
          <w:color w:val="000000"/>
          <w:sz w:val="21"/>
          <w:szCs w:val="21"/>
        </w:rPr>
        <w:t>Severin</w:t>
      </w:r>
      <w:proofErr w:type="spellEnd"/>
      <w:r w:rsidRPr="00A85213">
        <w:rPr>
          <w:rFonts w:ascii="Cambria" w:eastAsia="Times New Roman" w:hAnsi="Cambria" w:cs="Times New Roman"/>
          <w:color w:val="000000"/>
          <w:sz w:val="21"/>
          <w:szCs w:val="21"/>
        </w:rPr>
        <w:t xml:space="preserve"> </w:t>
      </w:r>
      <w:r>
        <w:rPr>
          <w:rFonts w:ascii="Cambria" w:eastAsia="Times New Roman" w:hAnsi="Cambria" w:cs="Times New Roman"/>
          <w:color w:val="000000"/>
          <w:sz w:val="21"/>
          <w:szCs w:val="21"/>
        </w:rPr>
        <w:t>is on death row</w:t>
      </w:r>
      <w:r w:rsidRPr="00A85213">
        <w:rPr>
          <w:rFonts w:ascii="Cambria" w:eastAsia="Times New Roman" w:hAnsi="Cambria" w:cs="Times New Roman"/>
          <w:color w:val="000000"/>
          <w:sz w:val="21"/>
          <w:szCs w:val="21"/>
        </w:rPr>
        <w:t xml:space="preserve"> </w:t>
      </w:r>
      <w:r>
        <w:rPr>
          <w:rFonts w:ascii="Cambria" w:eastAsia="Times New Roman" w:hAnsi="Cambria" w:cs="Times New Roman"/>
          <w:color w:val="000000"/>
          <w:sz w:val="21"/>
          <w:szCs w:val="21"/>
        </w:rPr>
        <w:t>since</w:t>
      </w:r>
      <w:r w:rsidRPr="00A85213">
        <w:rPr>
          <w:rFonts w:ascii="Cambria" w:eastAsia="Times New Roman" w:hAnsi="Cambria" w:cs="Times New Roman"/>
          <w:color w:val="000000"/>
          <w:sz w:val="21"/>
          <w:szCs w:val="21"/>
        </w:rPr>
        <w:t xml:space="preserve"> May 28</w:t>
      </w:r>
      <w:r w:rsidR="00704BFE" w:rsidRPr="00704BFE">
        <w:rPr>
          <w:rFonts w:ascii="Cambria" w:eastAsia="Times New Roman" w:hAnsi="Cambria" w:cs="Times New Roman"/>
          <w:color w:val="000000"/>
          <w:sz w:val="21"/>
          <w:szCs w:val="21"/>
          <w:vertAlign w:val="superscript"/>
        </w:rPr>
        <w:t>th</w:t>
      </w:r>
      <w:r w:rsidRPr="00A85213">
        <w:rPr>
          <w:rFonts w:ascii="Cambria" w:eastAsia="Times New Roman" w:hAnsi="Cambria" w:cs="Times New Roman"/>
          <w:color w:val="000000"/>
          <w:sz w:val="21"/>
          <w:szCs w:val="21"/>
        </w:rPr>
        <w:t xml:space="preserve">, 2014, and Mr. </w:t>
      </w:r>
      <w:proofErr w:type="spellStart"/>
      <w:r w:rsidRPr="00A85213">
        <w:rPr>
          <w:rFonts w:ascii="Cambria" w:eastAsia="Times New Roman" w:hAnsi="Cambria" w:cs="Times New Roman"/>
          <w:color w:val="000000"/>
          <w:sz w:val="21"/>
          <w:szCs w:val="21"/>
        </w:rPr>
        <w:t>Nervais</w:t>
      </w:r>
      <w:proofErr w:type="spellEnd"/>
      <w:r w:rsidRPr="00A85213">
        <w:rPr>
          <w:rFonts w:ascii="Cambria" w:eastAsia="Times New Roman" w:hAnsi="Cambria" w:cs="Times New Roman"/>
          <w:color w:val="000000"/>
          <w:sz w:val="21"/>
          <w:szCs w:val="21"/>
        </w:rPr>
        <w:t xml:space="preserve">, </w:t>
      </w:r>
      <w:r>
        <w:rPr>
          <w:rFonts w:ascii="Cambria" w:eastAsia="Times New Roman" w:hAnsi="Cambria" w:cs="Times New Roman"/>
          <w:color w:val="000000"/>
          <w:sz w:val="21"/>
          <w:szCs w:val="21"/>
        </w:rPr>
        <w:t>since</w:t>
      </w:r>
      <w:r w:rsidRPr="00A85213">
        <w:rPr>
          <w:rFonts w:ascii="Cambria" w:eastAsia="Times New Roman" w:hAnsi="Cambria" w:cs="Times New Roman"/>
          <w:color w:val="000000"/>
          <w:sz w:val="21"/>
          <w:szCs w:val="21"/>
        </w:rPr>
        <w:t xml:space="preserve"> February 21</w:t>
      </w:r>
      <w:r w:rsidR="00704BFE" w:rsidRPr="00704BFE">
        <w:rPr>
          <w:rFonts w:ascii="Cambria" w:eastAsia="Times New Roman" w:hAnsi="Cambria" w:cs="Times New Roman"/>
          <w:color w:val="000000"/>
          <w:sz w:val="21"/>
          <w:szCs w:val="21"/>
          <w:vertAlign w:val="superscript"/>
        </w:rPr>
        <w:t>st</w:t>
      </w:r>
      <w:r w:rsidRPr="00A85213">
        <w:rPr>
          <w:rFonts w:ascii="Cambria" w:eastAsia="Times New Roman" w:hAnsi="Cambria" w:cs="Times New Roman"/>
          <w:color w:val="000000"/>
          <w:sz w:val="21"/>
          <w:szCs w:val="21"/>
        </w:rPr>
        <w:t>, 2012.</w:t>
      </w:r>
    </w:p>
    <w:p w:rsidR="00D04497" w:rsidRPr="00881C95" w:rsidRDefault="00D04497" w:rsidP="00DA3664">
      <w:pPr>
        <w:pStyle w:val="ListParagraph"/>
        <w:rPr>
          <w:rFonts w:ascii="Cambria" w:eastAsia="Times New Roman" w:hAnsi="Cambria" w:cs="Times New Roman"/>
          <w:color w:val="000000"/>
          <w:sz w:val="21"/>
          <w:szCs w:val="21"/>
        </w:rPr>
      </w:pPr>
    </w:p>
    <w:p w:rsidR="00215100" w:rsidRPr="00881C95" w:rsidRDefault="00215100" w:rsidP="00215100">
      <w:pPr>
        <w:pStyle w:val="ListParagraph"/>
        <w:widowControl w:val="0"/>
        <w:numPr>
          <w:ilvl w:val="0"/>
          <w:numId w:val="2"/>
        </w:numPr>
        <w:jc w:val="both"/>
        <w:rPr>
          <w:rFonts w:ascii="Cambria" w:eastAsia="Calibri" w:hAnsi="Cambria"/>
          <w:b/>
          <w:sz w:val="21"/>
          <w:szCs w:val="21"/>
        </w:rPr>
      </w:pPr>
      <w:r w:rsidRPr="00881C95">
        <w:rPr>
          <w:rFonts w:ascii="Cambria" w:eastAsia="Calibri" w:hAnsi="Cambria"/>
          <w:b/>
          <w:sz w:val="21"/>
          <w:szCs w:val="21"/>
        </w:rPr>
        <w:t>ANALYSIS OF THE ELEMENTS OF SERIOUSNESS, URGENCY AND IRREPARABLE HARM</w:t>
      </w:r>
    </w:p>
    <w:p w:rsidR="00215100" w:rsidRPr="00881C95" w:rsidRDefault="00215100" w:rsidP="00215100">
      <w:pPr>
        <w:widowControl w:val="0"/>
        <w:jc w:val="both"/>
        <w:rPr>
          <w:rFonts w:ascii="Cambria" w:eastAsia="Calibri" w:hAnsi="Cambria"/>
          <w:sz w:val="21"/>
          <w:szCs w:val="21"/>
        </w:rPr>
      </w:pPr>
    </w:p>
    <w:p w:rsidR="00215100" w:rsidRPr="00215100" w:rsidRDefault="00215100" w:rsidP="00215100">
      <w:pPr>
        <w:numPr>
          <w:ilvl w:val="0"/>
          <w:numId w:val="1"/>
        </w:numPr>
        <w:ind w:left="0" w:firstLine="360"/>
        <w:jc w:val="both"/>
        <w:rPr>
          <w:rFonts w:ascii="Cambria" w:hAnsi="Cambria"/>
          <w:sz w:val="21"/>
          <w:szCs w:val="21"/>
        </w:rPr>
      </w:pPr>
      <w:r w:rsidRPr="00215100">
        <w:rPr>
          <w:rFonts w:ascii="Cambria" w:hAnsi="Cambria"/>
          <w:sz w:val="21"/>
          <w:szCs w:val="21"/>
        </w:rPr>
        <w:t xml:space="preserve">The Precautionary Measures Mechanism is part of the IACHR’s function of overseeing Member State compliance with the human rights obligations set forth in Article 106 of the Charter of the Organization of the American States. These general oversight functions are established in Article 41 (b) </w:t>
      </w:r>
      <w:r w:rsidRPr="00215100">
        <w:rPr>
          <w:rFonts w:ascii="Cambria" w:hAnsi="Cambria"/>
          <w:sz w:val="21"/>
          <w:szCs w:val="21"/>
        </w:rPr>
        <w:lastRenderedPageBreak/>
        <w:t xml:space="preserve">of the </w:t>
      </w:r>
      <w:r w:rsidRPr="00215100">
        <w:rPr>
          <w:rFonts w:ascii="Cambria" w:eastAsia="Times New Roman" w:hAnsi="Cambria" w:cs="Times New Roman"/>
          <w:color w:val="000000"/>
          <w:sz w:val="21"/>
          <w:szCs w:val="21"/>
        </w:rPr>
        <w:t>American</w:t>
      </w:r>
      <w:r w:rsidRPr="00215100">
        <w:rPr>
          <w:rFonts w:ascii="Cambria" w:hAnsi="Cambria"/>
          <w:sz w:val="21"/>
          <w:szCs w:val="21"/>
        </w:rPr>
        <w:t xml:space="preserve"> Convention on Human Rights, as well as in Article 18 (b) of the Statute of the Inter-American Human Rights and in Article 25 of the Rules of Procedure of the Commission, related to the Precautionary Measures Mechanism. According to this Article, the IACHR grants precautionary measures in urgent and serious situations, and when these measures are necessary to avoid an irreparable damage to persons.</w:t>
      </w:r>
    </w:p>
    <w:p w:rsidR="00215100" w:rsidRPr="00215100" w:rsidRDefault="00215100" w:rsidP="00215100">
      <w:pPr>
        <w:widowControl w:val="0"/>
        <w:jc w:val="both"/>
        <w:rPr>
          <w:rFonts w:ascii="Cambria" w:hAnsi="Cambria"/>
          <w:sz w:val="21"/>
          <w:szCs w:val="21"/>
        </w:rPr>
      </w:pPr>
    </w:p>
    <w:p w:rsidR="00215100" w:rsidRPr="00F76591" w:rsidRDefault="00215100" w:rsidP="00215100">
      <w:pPr>
        <w:pStyle w:val="ListParagraph"/>
        <w:widowControl w:val="0"/>
        <w:numPr>
          <w:ilvl w:val="0"/>
          <w:numId w:val="1"/>
        </w:numPr>
        <w:ind w:left="0" w:firstLine="360"/>
        <w:jc w:val="both"/>
        <w:rPr>
          <w:rFonts w:ascii="Cambria" w:hAnsi="Cambria"/>
          <w:sz w:val="21"/>
          <w:szCs w:val="21"/>
        </w:rPr>
      </w:pPr>
      <w:r w:rsidRPr="00F76591">
        <w:rPr>
          <w:rFonts w:ascii="Cambria" w:hAnsi="Cambria"/>
          <w:sz w:val="21"/>
          <w:szCs w:val="21"/>
        </w:rPr>
        <w:t xml:space="preserve">The Inter-American Commission and the Inter-American Court on Human Rights (hereinafter “the Inter-American Court” or “IAHR Court”) have established repeatedly that precautionary and provisional measures have a dual nature, both precautionary and protective. Regarding the protective </w:t>
      </w:r>
      <w:r w:rsidR="00A31F72">
        <w:rPr>
          <w:rFonts w:ascii="Cambria" w:hAnsi="Cambria"/>
          <w:sz w:val="21"/>
          <w:szCs w:val="21"/>
        </w:rPr>
        <w:t>aspect</w:t>
      </w:r>
      <w:r w:rsidRPr="00F76591">
        <w:rPr>
          <w:rFonts w:ascii="Cambria" w:hAnsi="Cambria"/>
          <w:sz w:val="21"/>
          <w:szCs w:val="21"/>
        </w:rPr>
        <w:t xml:space="preserve">, these measures seek to avoid irreparable damage and to protect the exercise of human rights. Regarding their precautionary </w:t>
      </w:r>
      <w:r w:rsidR="00A31F72">
        <w:rPr>
          <w:rFonts w:ascii="Cambria" w:hAnsi="Cambria"/>
          <w:sz w:val="21"/>
          <w:szCs w:val="21"/>
        </w:rPr>
        <w:t>aspect</w:t>
      </w:r>
      <w:r w:rsidRPr="00F76591">
        <w:rPr>
          <w:rFonts w:ascii="Cambria" w:hAnsi="Cambria"/>
          <w:sz w:val="21"/>
          <w:szCs w:val="21"/>
        </w:rPr>
        <w:t xml:space="preserve">, the measures have the purpose of preserving legal situations being considered by the IACHR. Their precautionary </w:t>
      </w:r>
      <w:r w:rsidR="00A31F72">
        <w:rPr>
          <w:rFonts w:ascii="Cambria" w:hAnsi="Cambria"/>
          <w:sz w:val="21"/>
          <w:szCs w:val="21"/>
        </w:rPr>
        <w:t>aspect</w:t>
      </w:r>
      <w:r w:rsidRPr="00F76591">
        <w:rPr>
          <w:rFonts w:ascii="Cambria" w:hAnsi="Cambria"/>
          <w:sz w:val="21"/>
          <w:szCs w:val="21"/>
        </w:rPr>
        <w:t xml:space="preserve"> aims to safeguard the rights at risk until the petition in the Inter-American System is resolved. The object and purpose are to ensure the integrity and effectiveness of an eventual decision on the merits, and thus avoid any further infringement of the rights at issue, a situation that may adversely affect the useful purpose (</w:t>
      </w:r>
      <w:proofErr w:type="spellStart"/>
      <w:r w:rsidRPr="00F76591">
        <w:rPr>
          <w:rFonts w:ascii="Cambria" w:hAnsi="Cambria"/>
          <w:i/>
          <w:sz w:val="21"/>
          <w:szCs w:val="21"/>
        </w:rPr>
        <w:t>effet</w:t>
      </w:r>
      <w:proofErr w:type="spellEnd"/>
      <w:r w:rsidRPr="00F76591">
        <w:rPr>
          <w:rFonts w:ascii="Cambria" w:hAnsi="Cambria"/>
          <w:i/>
          <w:sz w:val="21"/>
          <w:szCs w:val="21"/>
        </w:rPr>
        <w:t xml:space="preserve"> utile</w:t>
      </w:r>
      <w:r w:rsidRPr="00F76591">
        <w:rPr>
          <w:rFonts w:ascii="Cambria" w:hAnsi="Cambria"/>
          <w:sz w:val="21"/>
          <w:szCs w:val="21"/>
        </w:rPr>
        <w:t xml:space="preserve">) of the final decision. In this regard, precautionary or provisional measures </w:t>
      </w:r>
      <w:r w:rsidR="001C0CAA">
        <w:rPr>
          <w:rFonts w:ascii="Cambria" w:hAnsi="Cambria"/>
          <w:sz w:val="21"/>
          <w:szCs w:val="21"/>
        </w:rPr>
        <w:t xml:space="preserve">make it possible for </w:t>
      </w:r>
      <w:r w:rsidRPr="00F76591">
        <w:rPr>
          <w:rFonts w:ascii="Cambria" w:hAnsi="Cambria"/>
          <w:sz w:val="21"/>
          <w:szCs w:val="21"/>
        </w:rPr>
        <w:t xml:space="preserve">the State concerned to comply with </w:t>
      </w:r>
      <w:r w:rsidR="001C0CAA">
        <w:rPr>
          <w:rFonts w:ascii="Cambria" w:hAnsi="Cambria"/>
          <w:sz w:val="21"/>
          <w:szCs w:val="21"/>
        </w:rPr>
        <w:t>a</w:t>
      </w:r>
      <w:r w:rsidRPr="00F76591">
        <w:rPr>
          <w:rFonts w:ascii="Cambria" w:hAnsi="Cambria"/>
          <w:sz w:val="21"/>
          <w:szCs w:val="21"/>
        </w:rPr>
        <w:t xml:space="preserve"> final decision </w:t>
      </w:r>
      <w:r w:rsidR="001C0CAA">
        <w:rPr>
          <w:rFonts w:ascii="Cambria" w:hAnsi="Cambria"/>
          <w:sz w:val="21"/>
          <w:szCs w:val="21"/>
        </w:rPr>
        <w:t xml:space="preserve">on a petition </w:t>
      </w:r>
      <w:r w:rsidRPr="00F76591">
        <w:rPr>
          <w:rFonts w:ascii="Cambria" w:hAnsi="Cambria"/>
          <w:sz w:val="21"/>
          <w:szCs w:val="21"/>
        </w:rPr>
        <w:t xml:space="preserve">and, if necessary, implement </w:t>
      </w:r>
      <w:r w:rsidR="001C0CAA">
        <w:rPr>
          <w:rFonts w:ascii="Cambria" w:hAnsi="Cambria"/>
          <w:sz w:val="21"/>
          <w:szCs w:val="21"/>
        </w:rPr>
        <w:t xml:space="preserve">any </w:t>
      </w:r>
      <w:r w:rsidRPr="00F76591">
        <w:rPr>
          <w:rFonts w:ascii="Cambria" w:hAnsi="Cambria"/>
          <w:sz w:val="21"/>
          <w:szCs w:val="21"/>
        </w:rPr>
        <w:t>ordered reparations. Regarding the process of decision making and, according to Article 25(2) of the Rules of Procedure, the Commission considers that:</w:t>
      </w:r>
    </w:p>
    <w:p w:rsidR="00215100" w:rsidRPr="00215100" w:rsidRDefault="00215100" w:rsidP="00215100">
      <w:pPr>
        <w:widowControl w:val="0"/>
        <w:ind w:left="360"/>
        <w:jc w:val="both"/>
        <w:rPr>
          <w:rFonts w:ascii="Cambria" w:hAnsi="Cambria"/>
          <w:sz w:val="20"/>
          <w:szCs w:val="20"/>
        </w:rPr>
      </w:pPr>
    </w:p>
    <w:p w:rsidR="00215100" w:rsidRPr="00CF4561" w:rsidRDefault="00215100" w:rsidP="00F37F5B">
      <w:pPr>
        <w:widowControl w:val="0"/>
        <w:numPr>
          <w:ilvl w:val="0"/>
          <w:numId w:val="4"/>
        </w:numPr>
        <w:ind w:right="713"/>
        <w:jc w:val="both"/>
        <w:rPr>
          <w:rFonts w:ascii="Cambria" w:hAnsi="Cambria"/>
          <w:sz w:val="20"/>
          <w:szCs w:val="20"/>
        </w:rPr>
      </w:pPr>
      <w:r w:rsidRPr="00CF4561">
        <w:rPr>
          <w:rFonts w:ascii="Cambria" w:hAnsi="Cambria"/>
          <w:sz w:val="20"/>
          <w:szCs w:val="20"/>
        </w:rPr>
        <w:t>“serious situation” refers to a grave impact that an action or omission can have on a protected right or on the eventual effect of a pending decision in a case or petition before the organs of the Inter-American System;</w:t>
      </w:r>
    </w:p>
    <w:p w:rsidR="00215100" w:rsidRPr="00CF4561" w:rsidRDefault="00215100" w:rsidP="00F37F5B">
      <w:pPr>
        <w:widowControl w:val="0"/>
        <w:numPr>
          <w:ilvl w:val="0"/>
          <w:numId w:val="4"/>
        </w:numPr>
        <w:ind w:right="713"/>
        <w:jc w:val="both"/>
        <w:rPr>
          <w:rFonts w:ascii="Cambria" w:hAnsi="Cambria"/>
          <w:sz w:val="20"/>
          <w:szCs w:val="20"/>
        </w:rPr>
      </w:pPr>
      <w:r w:rsidRPr="00CF4561">
        <w:rPr>
          <w:rFonts w:ascii="Cambria" w:hAnsi="Cambria"/>
          <w:sz w:val="20"/>
          <w:szCs w:val="20"/>
        </w:rPr>
        <w:t>“urgent situation” refers to risk or threat that is imminent and can materialize, thus requiring immediate preventive or protective action; and</w:t>
      </w:r>
    </w:p>
    <w:p w:rsidR="00215100" w:rsidRPr="00CF4561" w:rsidRDefault="00215100" w:rsidP="00F37F5B">
      <w:pPr>
        <w:widowControl w:val="0"/>
        <w:numPr>
          <w:ilvl w:val="0"/>
          <w:numId w:val="4"/>
        </w:numPr>
        <w:ind w:right="713"/>
        <w:jc w:val="both"/>
        <w:rPr>
          <w:rFonts w:ascii="Cambria" w:hAnsi="Cambria"/>
          <w:sz w:val="20"/>
          <w:szCs w:val="20"/>
        </w:rPr>
      </w:pPr>
      <w:r w:rsidRPr="00CF4561">
        <w:rPr>
          <w:rFonts w:ascii="Cambria" w:hAnsi="Cambria"/>
          <w:sz w:val="20"/>
          <w:szCs w:val="20"/>
        </w:rPr>
        <w:t>“</w:t>
      </w:r>
      <w:proofErr w:type="gramStart"/>
      <w:r w:rsidRPr="00CF4561">
        <w:rPr>
          <w:rFonts w:ascii="Cambria" w:hAnsi="Cambria"/>
          <w:sz w:val="20"/>
          <w:szCs w:val="20"/>
        </w:rPr>
        <w:t>irreparable</w:t>
      </w:r>
      <w:proofErr w:type="gramEnd"/>
      <w:r w:rsidRPr="00CF4561">
        <w:rPr>
          <w:rFonts w:ascii="Cambria" w:hAnsi="Cambria"/>
          <w:sz w:val="20"/>
          <w:szCs w:val="20"/>
        </w:rPr>
        <w:t xml:space="preserve"> harm” refers to injury to rights which, due to their nature, would not be susceptible to reparation, restoration or adequate compensation.</w:t>
      </w:r>
    </w:p>
    <w:p w:rsidR="00215100" w:rsidRPr="00215100" w:rsidRDefault="00215100" w:rsidP="00215100">
      <w:pPr>
        <w:widowControl w:val="0"/>
        <w:jc w:val="both"/>
        <w:rPr>
          <w:rFonts w:ascii="Cambria" w:hAnsi="Cambria"/>
          <w:sz w:val="20"/>
          <w:szCs w:val="20"/>
        </w:rPr>
      </w:pPr>
    </w:p>
    <w:p w:rsidR="00215100" w:rsidRPr="00215100" w:rsidRDefault="00215100" w:rsidP="00215100">
      <w:pPr>
        <w:pStyle w:val="ListParagraph"/>
        <w:widowControl w:val="0"/>
        <w:numPr>
          <w:ilvl w:val="0"/>
          <w:numId w:val="1"/>
        </w:numPr>
        <w:ind w:left="0" w:firstLine="360"/>
        <w:jc w:val="both"/>
        <w:rPr>
          <w:rFonts w:ascii="Cambria" w:eastAsia="Calibri" w:hAnsi="Cambria"/>
          <w:sz w:val="21"/>
          <w:szCs w:val="21"/>
        </w:rPr>
      </w:pPr>
      <w:r w:rsidRPr="00CF4561">
        <w:rPr>
          <w:rFonts w:ascii="Cambria" w:hAnsi="Cambria"/>
          <w:sz w:val="21"/>
          <w:szCs w:val="21"/>
        </w:rPr>
        <w:t xml:space="preserve">In analyzing those requirements, the Commission reiterates that the facts supporting a request for precautionary measures need not be proven beyond doubt; rather, the purpose of the assessment of the information provided should be to determine </w:t>
      </w:r>
      <w:r w:rsidRPr="00DE0F7E">
        <w:rPr>
          <w:rFonts w:ascii="Cambria" w:hAnsi="Cambria"/>
          <w:i/>
          <w:sz w:val="21"/>
          <w:szCs w:val="21"/>
        </w:rPr>
        <w:t>prima facie</w:t>
      </w:r>
      <w:r w:rsidRPr="00CF4561">
        <w:rPr>
          <w:rFonts w:ascii="Cambria" w:hAnsi="Cambria"/>
          <w:sz w:val="21"/>
          <w:szCs w:val="21"/>
        </w:rPr>
        <w:t xml:space="preserve"> if a serio</w:t>
      </w:r>
      <w:r>
        <w:rPr>
          <w:rFonts w:ascii="Cambria" w:hAnsi="Cambria"/>
          <w:sz w:val="21"/>
          <w:szCs w:val="21"/>
        </w:rPr>
        <w:t>us and urgent situation exists</w:t>
      </w:r>
      <w:r w:rsidR="001C0CAA">
        <w:rPr>
          <w:rFonts w:ascii="Cambria" w:hAnsi="Cambria"/>
          <w:sz w:val="21"/>
          <w:szCs w:val="21"/>
        </w:rPr>
        <w:t>.</w:t>
      </w:r>
      <w:r w:rsidRPr="00533E22">
        <w:rPr>
          <w:rFonts w:ascii="Cambria" w:hAnsi="Cambria"/>
          <w:sz w:val="21"/>
          <w:szCs w:val="21"/>
          <w:vertAlign w:val="superscript"/>
        </w:rPr>
        <w:footnoteReference w:id="5"/>
      </w:r>
    </w:p>
    <w:p w:rsidR="00215100" w:rsidRPr="00215100" w:rsidRDefault="00215100" w:rsidP="00215100">
      <w:pPr>
        <w:pStyle w:val="ListParagraph"/>
        <w:widowControl w:val="0"/>
        <w:ind w:left="360"/>
        <w:jc w:val="both"/>
        <w:rPr>
          <w:rFonts w:ascii="Cambria" w:eastAsia="Calibri" w:hAnsi="Cambria"/>
          <w:sz w:val="21"/>
          <w:szCs w:val="21"/>
        </w:rPr>
      </w:pPr>
    </w:p>
    <w:p w:rsidR="00936BA2" w:rsidRPr="00CF4561" w:rsidRDefault="00936BA2" w:rsidP="00936BA2">
      <w:pPr>
        <w:pStyle w:val="ListParagraph"/>
        <w:widowControl w:val="0"/>
        <w:numPr>
          <w:ilvl w:val="0"/>
          <w:numId w:val="1"/>
        </w:numPr>
        <w:ind w:left="0" w:firstLine="360"/>
        <w:jc w:val="both"/>
        <w:rPr>
          <w:rFonts w:ascii="Cambria" w:eastAsia="Times New Roman" w:hAnsi="Cambria" w:cs="Times New Roman"/>
          <w:color w:val="000000"/>
          <w:sz w:val="21"/>
          <w:szCs w:val="21"/>
        </w:rPr>
      </w:pPr>
      <w:r w:rsidRPr="00CF4561">
        <w:rPr>
          <w:rFonts w:ascii="Cambria" w:eastAsia="Calibri" w:hAnsi="Cambria" w:cs="Times New Roman"/>
          <w:sz w:val="21"/>
          <w:szCs w:val="21"/>
        </w:rPr>
        <w:t xml:space="preserve">As a preliminary observation, the Commission considers it pertinent to clarify that it is not responsible for ruling </w:t>
      </w:r>
      <w:r w:rsidRPr="00F31B3C">
        <w:rPr>
          <w:rFonts w:ascii="Cambria" w:hAnsi="Cambria"/>
          <w:sz w:val="21"/>
          <w:szCs w:val="21"/>
        </w:rPr>
        <w:t>on</w:t>
      </w:r>
      <w:r w:rsidRPr="00CF4561">
        <w:rPr>
          <w:rFonts w:ascii="Cambria" w:eastAsia="Calibri" w:hAnsi="Cambria" w:cs="Times New Roman"/>
          <w:sz w:val="21"/>
          <w:szCs w:val="21"/>
        </w:rPr>
        <w:t xml:space="preserve"> the </w:t>
      </w:r>
      <w:r w:rsidR="00835F78">
        <w:rPr>
          <w:rFonts w:ascii="Cambria" w:eastAsia="Calibri" w:hAnsi="Cambria" w:cs="Times New Roman"/>
          <w:sz w:val="21"/>
          <w:szCs w:val="21"/>
        </w:rPr>
        <w:t>criminal responsibility of the proposed beneficiaries</w:t>
      </w:r>
      <w:r w:rsidRPr="00CF4561">
        <w:rPr>
          <w:rFonts w:ascii="Cambria" w:eastAsia="Calibri" w:hAnsi="Cambria" w:cs="Times New Roman"/>
          <w:sz w:val="21"/>
          <w:szCs w:val="21"/>
        </w:rPr>
        <w:t xml:space="preserve">, </w:t>
      </w:r>
      <w:r>
        <w:rPr>
          <w:rFonts w:ascii="Cambria" w:eastAsia="Calibri" w:hAnsi="Cambria" w:cs="Times New Roman"/>
          <w:sz w:val="21"/>
          <w:szCs w:val="21"/>
        </w:rPr>
        <w:t>n</w:t>
      </w:r>
      <w:r w:rsidRPr="00CF4561">
        <w:rPr>
          <w:rFonts w:ascii="Cambria" w:eastAsia="Calibri" w:hAnsi="Cambria" w:cs="Times New Roman"/>
          <w:sz w:val="21"/>
          <w:szCs w:val="21"/>
        </w:rPr>
        <w:t xml:space="preserve">or </w:t>
      </w:r>
      <w:r w:rsidR="001C0CAA">
        <w:rPr>
          <w:rFonts w:ascii="Cambria" w:eastAsia="Calibri" w:hAnsi="Cambria" w:cs="Times New Roman"/>
          <w:sz w:val="21"/>
          <w:szCs w:val="21"/>
        </w:rPr>
        <w:t>may it rule on the</w:t>
      </w:r>
      <w:r w:rsidRPr="00CF4561">
        <w:rPr>
          <w:rFonts w:ascii="Cambria" w:eastAsia="Calibri" w:hAnsi="Cambria" w:cs="Times New Roman"/>
          <w:sz w:val="21"/>
          <w:szCs w:val="21"/>
        </w:rPr>
        <w:t xml:space="preserve"> conventionality of the criminal process i</w:t>
      </w:r>
      <w:r w:rsidR="00835F78">
        <w:rPr>
          <w:rFonts w:ascii="Cambria" w:eastAsia="Calibri" w:hAnsi="Cambria" w:cs="Times New Roman"/>
          <w:sz w:val="21"/>
          <w:szCs w:val="21"/>
        </w:rPr>
        <w:t>n which the proposed beneficiaries are</w:t>
      </w:r>
      <w:r w:rsidRPr="00CF4561">
        <w:rPr>
          <w:rFonts w:ascii="Cambria" w:eastAsia="Calibri" w:hAnsi="Cambria" w:cs="Times New Roman"/>
          <w:sz w:val="21"/>
          <w:szCs w:val="21"/>
        </w:rPr>
        <w:t xml:space="preserve"> involved</w:t>
      </w:r>
      <w:r w:rsidR="001C0CAA">
        <w:rPr>
          <w:rFonts w:ascii="Cambria" w:eastAsia="Calibri" w:hAnsi="Cambria" w:cs="Times New Roman"/>
          <w:sz w:val="21"/>
          <w:szCs w:val="21"/>
        </w:rPr>
        <w:t xml:space="preserve"> through the mechanism of precautionary measures</w:t>
      </w:r>
      <w:r w:rsidRPr="00CF4561">
        <w:rPr>
          <w:rFonts w:ascii="Cambria" w:eastAsia="Calibri" w:hAnsi="Cambria" w:cs="Times New Roman"/>
          <w:sz w:val="21"/>
          <w:szCs w:val="21"/>
        </w:rPr>
        <w:t xml:space="preserve">. In the present proceedings, the Commission will only analyze compliance with the requirements of Article 25 of the Rules of Procedure of the IACHR which can be evaluated without having to go into the merits of the </w:t>
      </w:r>
      <w:r>
        <w:rPr>
          <w:rFonts w:ascii="Cambria" w:eastAsia="Calibri" w:hAnsi="Cambria" w:cs="Times New Roman"/>
          <w:sz w:val="21"/>
          <w:szCs w:val="21"/>
        </w:rPr>
        <w:t>matter</w:t>
      </w:r>
      <w:r w:rsidRPr="00CF4561">
        <w:rPr>
          <w:rFonts w:ascii="Cambria" w:eastAsia="Calibri" w:hAnsi="Cambria" w:cs="Times New Roman"/>
          <w:sz w:val="21"/>
          <w:szCs w:val="21"/>
        </w:rPr>
        <w:t>.</w:t>
      </w:r>
    </w:p>
    <w:p w:rsidR="00215100" w:rsidRPr="00936BA2" w:rsidRDefault="00215100" w:rsidP="00215100">
      <w:pPr>
        <w:pStyle w:val="ListParagraph"/>
        <w:rPr>
          <w:rFonts w:ascii="Cambria" w:eastAsia="Times New Roman" w:hAnsi="Cambria" w:cs="Times New Roman"/>
          <w:color w:val="000000"/>
          <w:sz w:val="21"/>
          <w:szCs w:val="21"/>
        </w:rPr>
      </w:pPr>
    </w:p>
    <w:p w:rsidR="00215100" w:rsidRPr="00936BA2" w:rsidRDefault="00936BA2" w:rsidP="00936BA2">
      <w:pPr>
        <w:pStyle w:val="ListParagraph"/>
        <w:widowControl w:val="0"/>
        <w:numPr>
          <w:ilvl w:val="0"/>
          <w:numId w:val="1"/>
        </w:numPr>
        <w:ind w:left="0" w:firstLine="347"/>
        <w:jc w:val="both"/>
        <w:rPr>
          <w:rFonts w:ascii="Cambria" w:eastAsia="Times New Roman" w:hAnsi="Cambria" w:cs="Times New Roman"/>
          <w:color w:val="000000"/>
          <w:sz w:val="21"/>
          <w:szCs w:val="21"/>
        </w:rPr>
      </w:pPr>
      <w:r w:rsidRPr="00936BA2">
        <w:rPr>
          <w:rFonts w:ascii="Cambria" w:eastAsia="Times New Roman" w:hAnsi="Cambria" w:cs="Times New Roman"/>
          <w:color w:val="000000"/>
          <w:sz w:val="21"/>
          <w:szCs w:val="21"/>
        </w:rPr>
        <w:t xml:space="preserve">Based on information provided by the parties, the Commission identifies that Messrs. </w:t>
      </w:r>
      <w:proofErr w:type="spellStart"/>
      <w:r w:rsidRPr="00936BA2">
        <w:rPr>
          <w:rFonts w:ascii="Cambria" w:eastAsia="Times New Roman" w:hAnsi="Cambria" w:cs="Times New Roman"/>
          <w:color w:val="000000"/>
          <w:sz w:val="21"/>
          <w:szCs w:val="21"/>
        </w:rPr>
        <w:t>Nervais</w:t>
      </w:r>
      <w:proofErr w:type="spellEnd"/>
      <w:r w:rsidRPr="00936BA2">
        <w:rPr>
          <w:rFonts w:ascii="Cambria" w:eastAsia="Times New Roman" w:hAnsi="Cambria" w:cs="Times New Roman"/>
          <w:color w:val="000000"/>
          <w:sz w:val="21"/>
          <w:szCs w:val="21"/>
        </w:rPr>
        <w:t xml:space="preserve"> and </w:t>
      </w:r>
      <w:proofErr w:type="spellStart"/>
      <w:r w:rsidRPr="00936BA2">
        <w:rPr>
          <w:rFonts w:ascii="Cambria" w:eastAsia="Times New Roman" w:hAnsi="Cambria" w:cs="Times New Roman"/>
          <w:color w:val="000000"/>
          <w:sz w:val="21"/>
          <w:szCs w:val="21"/>
        </w:rPr>
        <w:t>Severin</w:t>
      </w:r>
      <w:proofErr w:type="spellEnd"/>
      <w:r w:rsidRPr="00936BA2">
        <w:rPr>
          <w:rFonts w:ascii="Cambria" w:eastAsia="Times New Roman" w:hAnsi="Cambria" w:cs="Times New Roman"/>
          <w:color w:val="000000"/>
          <w:sz w:val="21"/>
          <w:szCs w:val="21"/>
        </w:rPr>
        <w:t xml:space="preserve"> </w:t>
      </w:r>
      <w:r>
        <w:rPr>
          <w:rFonts w:ascii="Cambria" w:eastAsia="Times New Roman" w:hAnsi="Cambria" w:cs="Times New Roman"/>
          <w:color w:val="000000"/>
          <w:sz w:val="21"/>
          <w:szCs w:val="21"/>
        </w:rPr>
        <w:t>were</w:t>
      </w:r>
      <w:r w:rsidRPr="00936BA2">
        <w:rPr>
          <w:rFonts w:ascii="Cambria" w:eastAsia="Times New Roman" w:hAnsi="Cambria" w:cs="Times New Roman"/>
          <w:color w:val="000000"/>
          <w:sz w:val="21"/>
          <w:szCs w:val="21"/>
        </w:rPr>
        <w:t xml:space="preserve"> </w:t>
      </w:r>
      <w:r w:rsidRPr="00E9789D">
        <w:rPr>
          <w:rFonts w:ascii="Cambria" w:eastAsia="Times New Roman" w:hAnsi="Cambria" w:cs="Times New Roman"/>
          <w:color w:val="000000"/>
          <w:sz w:val="21"/>
          <w:szCs w:val="21"/>
        </w:rPr>
        <w:t>sentenced</w:t>
      </w:r>
      <w:r w:rsidRPr="00936BA2">
        <w:rPr>
          <w:rFonts w:ascii="Cambria" w:eastAsia="Times New Roman" w:hAnsi="Cambria" w:cs="Times New Roman"/>
          <w:color w:val="000000"/>
          <w:sz w:val="21"/>
          <w:szCs w:val="21"/>
        </w:rPr>
        <w:t xml:space="preserve"> to death by hanging in 2012 and 2014, respectively, and </w:t>
      </w:r>
      <w:r>
        <w:rPr>
          <w:rFonts w:ascii="Cambria" w:eastAsia="Times New Roman" w:hAnsi="Cambria" w:cs="Times New Roman"/>
          <w:color w:val="000000"/>
          <w:sz w:val="21"/>
          <w:szCs w:val="21"/>
        </w:rPr>
        <w:t>are currently</w:t>
      </w:r>
      <w:r w:rsidRPr="00936BA2">
        <w:rPr>
          <w:rFonts w:ascii="Cambria" w:eastAsia="Times New Roman" w:hAnsi="Cambria" w:cs="Times New Roman"/>
          <w:color w:val="000000"/>
          <w:sz w:val="21"/>
          <w:szCs w:val="21"/>
        </w:rPr>
        <w:t xml:space="preserve"> held </w:t>
      </w:r>
      <w:r w:rsidR="001C0CAA">
        <w:rPr>
          <w:rFonts w:ascii="Cambria" w:eastAsia="Times New Roman" w:hAnsi="Cambria" w:cs="Times New Roman"/>
          <w:color w:val="000000"/>
          <w:sz w:val="21"/>
          <w:szCs w:val="21"/>
        </w:rPr>
        <w:t xml:space="preserve">at </w:t>
      </w:r>
      <w:r w:rsidRPr="00936BA2">
        <w:rPr>
          <w:rFonts w:ascii="Cambria" w:eastAsia="Times New Roman" w:hAnsi="Cambria" w:cs="Times New Roman"/>
          <w:color w:val="000000"/>
          <w:sz w:val="21"/>
          <w:szCs w:val="21"/>
        </w:rPr>
        <w:t xml:space="preserve">“Her Majesty´s Prisons, </w:t>
      </w:r>
      <w:proofErr w:type="spellStart"/>
      <w:r w:rsidRPr="00936BA2">
        <w:rPr>
          <w:rFonts w:ascii="Cambria" w:eastAsia="Times New Roman" w:hAnsi="Cambria" w:cs="Times New Roman"/>
          <w:color w:val="000000"/>
          <w:sz w:val="21"/>
          <w:szCs w:val="21"/>
        </w:rPr>
        <w:t>Dodds</w:t>
      </w:r>
      <w:proofErr w:type="spellEnd"/>
      <w:r w:rsidRPr="00936BA2">
        <w:rPr>
          <w:rFonts w:ascii="Cambria" w:eastAsia="Times New Roman" w:hAnsi="Cambria" w:cs="Times New Roman"/>
          <w:color w:val="000000"/>
          <w:sz w:val="21"/>
          <w:szCs w:val="21"/>
        </w:rPr>
        <w:t>, St. Philip</w:t>
      </w:r>
      <w:r w:rsidR="001C0CAA">
        <w:rPr>
          <w:rFonts w:ascii="Cambria" w:eastAsia="Times New Roman" w:hAnsi="Cambria" w:cs="Times New Roman"/>
          <w:color w:val="000000"/>
          <w:sz w:val="21"/>
          <w:szCs w:val="21"/>
        </w:rPr>
        <w:t>,</w:t>
      </w:r>
      <w:r w:rsidRPr="00936BA2">
        <w:rPr>
          <w:rFonts w:ascii="Cambria" w:eastAsia="Times New Roman" w:hAnsi="Cambria" w:cs="Times New Roman"/>
          <w:color w:val="000000"/>
          <w:sz w:val="21"/>
          <w:szCs w:val="21"/>
        </w:rPr>
        <w:t xml:space="preserve">” </w:t>
      </w:r>
      <w:r>
        <w:rPr>
          <w:rFonts w:ascii="Cambria" w:eastAsia="Times New Roman" w:hAnsi="Cambria" w:cs="Times New Roman"/>
          <w:color w:val="000000"/>
          <w:sz w:val="21"/>
          <w:szCs w:val="21"/>
        </w:rPr>
        <w:t xml:space="preserve">on death row </w:t>
      </w:r>
      <w:r w:rsidR="00835F78">
        <w:rPr>
          <w:rFonts w:ascii="Cambria" w:eastAsia="Times New Roman" w:hAnsi="Cambria" w:cs="Times New Roman"/>
          <w:color w:val="000000"/>
          <w:sz w:val="21"/>
          <w:szCs w:val="21"/>
        </w:rPr>
        <w:t>for</w:t>
      </w:r>
      <w:r w:rsidRPr="00936BA2">
        <w:rPr>
          <w:rFonts w:ascii="Cambria" w:eastAsia="Times New Roman" w:hAnsi="Cambria" w:cs="Times New Roman"/>
          <w:color w:val="000000"/>
          <w:sz w:val="21"/>
          <w:szCs w:val="21"/>
        </w:rPr>
        <w:t xml:space="preserve"> 6 and 3 years, respectively.</w:t>
      </w:r>
    </w:p>
    <w:p w:rsidR="00215100" w:rsidRPr="00936BA2" w:rsidRDefault="00215100" w:rsidP="00215100">
      <w:pPr>
        <w:pStyle w:val="ListParagraph"/>
        <w:widowControl w:val="0"/>
        <w:ind w:left="347"/>
        <w:jc w:val="both"/>
        <w:rPr>
          <w:rFonts w:ascii="Cambria" w:eastAsia="Times New Roman" w:hAnsi="Cambria" w:cs="Times New Roman"/>
          <w:color w:val="000000"/>
          <w:sz w:val="21"/>
          <w:szCs w:val="21"/>
        </w:rPr>
      </w:pPr>
    </w:p>
    <w:p w:rsidR="00936BA2" w:rsidRPr="00F31B3C" w:rsidRDefault="00936BA2" w:rsidP="00936BA2">
      <w:pPr>
        <w:pStyle w:val="ListParagraph"/>
        <w:widowControl w:val="0"/>
        <w:numPr>
          <w:ilvl w:val="0"/>
          <w:numId w:val="1"/>
        </w:numPr>
        <w:ind w:left="0" w:firstLine="347"/>
        <w:jc w:val="both"/>
        <w:rPr>
          <w:rFonts w:ascii="Cambria" w:eastAsia="Times New Roman" w:hAnsi="Cambria" w:cs="Times New Roman"/>
          <w:color w:val="000000"/>
          <w:sz w:val="21"/>
          <w:szCs w:val="21"/>
        </w:rPr>
      </w:pPr>
      <w:r w:rsidRPr="00F31B3C">
        <w:rPr>
          <w:rFonts w:ascii="Cambria" w:eastAsia="Times New Roman" w:hAnsi="Cambria" w:cs="Times New Roman"/>
          <w:color w:val="000000"/>
          <w:sz w:val="21"/>
          <w:szCs w:val="21"/>
        </w:rPr>
        <w:t>Regar</w:t>
      </w:r>
      <w:r w:rsidR="00835F78">
        <w:rPr>
          <w:rFonts w:ascii="Cambria" w:eastAsia="Times New Roman" w:hAnsi="Cambria" w:cs="Times New Roman"/>
          <w:color w:val="000000"/>
          <w:sz w:val="21"/>
          <w:szCs w:val="21"/>
        </w:rPr>
        <w:t>ding the requirement of seriousness</w:t>
      </w:r>
      <w:r w:rsidRPr="00F31B3C">
        <w:rPr>
          <w:rFonts w:ascii="Cambria" w:eastAsia="Times New Roman" w:hAnsi="Cambria" w:cs="Times New Roman"/>
          <w:color w:val="000000"/>
          <w:sz w:val="21"/>
          <w:szCs w:val="21"/>
        </w:rPr>
        <w:t xml:space="preserve">, the Commission considers that it has been met, both </w:t>
      </w:r>
      <w:r w:rsidR="001C0CAA">
        <w:rPr>
          <w:rFonts w:ascii="Cambria" w:eastAsia="Times New Roman" w:hAnsi="Cambria" w:cs="Times New Roman"/>
          <w:color w:val="000000"/>
          <w:sz w:val="21"/>
          <w:szCs w:val="21"/>
        </w:rPr>
        <w:t xml:space="preserve">in the </w:t>
      </w:r>
      <w:r w:rsidRPr="00F31B3C">
        <w:rPr>
          <w:rFonts w:ascii="Cambria" w:eastAsia="Times New Roman" w:hAnsi="Cambria" w:cs="Times New Roman"/>
          <w:color w:val="000000"/>
          <w:sz w:val="21"/>
          <w:szCs w:val="21"/>
        </w:rPr>
        <w:t>precautionary and protective aspect.</w:t>
      </w:r>
    </w:p>
    <w:p w:rsidR="00215100" w:rsidRPr="00936BA2" w:rsidRDefault="00215100" w:rsidP="00215100">
      <w:pPr>
        <w:pStyle w:val="ListParagraph"/>
        <w:rPr>
          <w:rFonts w:ascii="Cambria" w:eastAsia="Times New Roman" w:hAnsi="Cambria" w:cs="Times New Roman"/>
          <w:color w:val="000000"/>
          <w:sz w:val="21"/>
          <w:szCs w:val="21"/>
        </w:rPr>
      </w:pPr>
    </w:p>
    <w:p w:rsidR="00936BA2" w:rsidRPr="00F31B3C" w:rsidRDefault="00936BA2" w:rsidP="00936BA2">
      <w:pPr>
        <w:widowControl w:val="0"/>
        <w:numPr>
          <w:ilvl w:val="0"/>
          <w:numId w:val="1"/>
        </w:numPr>
        <w:ind w:left="0" w:firstLine="347"/>
        <w:contextualSpacing/>
        <w:jc w:val="both"/>
        <w:rPr>
          <w:rFonts w:ascii="Cambria" w:eastAsia="Times New Roman" w:hAnsi="Cambria" w:cs="Times New Roman"/>
          <w:color w:val="000000"/>
          <w:sz w:val="21"/>
          <w:szCs w:val="21"/>
        </w:rPr>
      </w:pPr>
      <w:r w:rsidRPr="00F31B3C">
        <w:rPr>
          <w:rFonts w:ascii="Cambria" w:eastAsia="Times New Roman" w:hAnsi="Cambria" w:cs="Times New Roman"/>
          <w:color w:val="000000"/>
          <w:sz w:val="21"/>
          <w:szCs w:val="21"/>
        </w:rPr>
        <w:lastRenderedPageBreak/>
        <w:t>In this regard, the Commission</w:t>
      </w:r>
      <w:r>
        <w:rPr>
          <w:rFonts w:ascii="Cambria" w:eastAsia="Times New Roman" w:hAnsi="Cambria" w:cs="Times New Roman"/>
          <w:color w:val="000000"/>
          <w:sz w:val="21"/>
          <w:szCs w:val="21"/>
        </w:rPr>
        <w:t xml:space="preserve"> first notes</w:t>
      </w:r>
      <w:r w:rsidRPr="00F31B3C">
        <w:rPr>
          <w:rFonts w:ascii="Cambria" w:eastAsia="Times New Roman" w:hAnsi="Cambria" w:cs="Times New Roman"/>
          <w:color w:val="000000"/>
          <w:sz w:val="21"/>
          <w:szCs w:val="21"/>
        </w:rPr>
        <w:t xml:space="preserve"> </w:t>
      </w:r>
      <w:r>
        <w:rPr>
          <w:rFonts w:ascii="Cambria" w:eastAsia="Times New Roman" w:hAnsi="Cambria" w:cs="Times New Roman"/>
          <w:color w:val="000000"/>
          <w:sz w:val="21"/>
          <w:szCs w:val="21"/>
        </w:rPr>
        <w:t>that the proposed beneficiaries</w:t>
      </w:r>
      <w:r w:rsidRPr="00F31B3C">
        <w:rPr>
          <w:rFonts w:ascii="Cambria" w:eastAsia="Times New Roman" w:hAnsi="Cambria" w:cs="Times New Roman"/>
          <w:color w:val="000000"/>
          <w:sz w:val="21"/>
          <w:szCs w:val="21"/>
        </w:rPr>
        <w:t xml:space="preserve"> filed a petition (P-245</w:t>
      </w:r>
      <w:r w:rsidR="00115169">
        <w:rPr>
          <w:rFonts w:ascii="Cambria" w:eastAsia="Times New Roman" w:hAnsi="Cambria" w:cs="Times New Roman"/>
          <w:color w:val="000000"/>
          <w:sz w:val="21"/>
          <w:szCs w:val="21"/>
        </w:rPr>
        <w:t>7</w:t>
      </w:r>
      <w:r w:rsidRPr="00F31B3C">
        <w:rPr>
          <w:rFonts w:ascii="Cambria" w:eastAsia="Times New Roman" w:hAnsi="Cambria" w:cs="Times New Roman"/>
          <w:color w:val="000000"/>
          <w:sz w:val="21"/>
          <w:szCs w:val="21"/>
        </w:rPr>
        <w:t>-17) alleging violations of the American Convention, among other aspects, in view of t</w:t>
      </w:r>
      <w:r>
        <w:rPr>
          <w:rFonts w:ascii="Cambria" w:eastAsia="Times New Roman" w:hAnsi="Cambria" w:cs="Times New Roman"/>
          <w:color w:val="000000"/>
          <w:sz w:val="21"/>
          <w:szCs w:val="21"/>
        </w:rPr>
        <w:t>he imposition of death</w:t>
      </w:r>
      <w:r w:rsidRPr="00F31B3C">
        <w:rPr>
          <w:rFonts w:ascii="Cambria" w:eastAsia="Times New Roman" w:hAnsi="Cambria" w:cs="Times New Roman"/>
          <w:color w:val="000000"/>
          <w:sz w:val="21"/>
          <w:szCs w:val="21"/>
        </w:rPr>
        <w:t xml:space="preserve"> penalty</w:t>
      </w:r>
      <w:r w:rsidR="001C0CAA">
        <w:rPr>
          <w:rFonts w:ascii="Cambria" w:eastAsia="Times New Roman" w:hAnsi="Cambria" w:cs="Times New Roman"/>
          <w:color w:val="000000"/>
          <w:sz w:val="21"/>
          <w:szCs w:val="21"/>
        </w:rPr>
        <w:t xml:space="preserve"> as the mandatory sentence in cases of murder</w:t>
      </w:r>
      <w:r>
        <w:rPr>
          <w:rFonts w:ascii="Cambria" w:eastAsia="Times New Roman" w:hAnsi="Cambria" w:cs="Times New Roman"/>
          <w:color w:val="000000"/>
          <w:sz w:val="21"/>
          <w:szCs w:val="21"/>
        </w:rPr>
        <w:t>.</w:t>
      </w:r>
    </w:p>
    <w:p w:rsidR="00215100" w:rsidRPr="00936BA2" w:rsidRDefault="00215100" w:rsidP="00215100">
      <w:pPr>
        <w:pStyle w:val="ListParagraph"/>
        <w:rPr>
          <w:rFonts w:ascii="Cambria" w:eastAsia="Times New Roman" w:hAnsi="Cambria" w:cs="Times New Roman"/>
          <w:color w:val="000000"/>
          <w:sz w:val="21"/>
          <w:szCs w:val="21"/>
        </w:rPr>
      </w:pPr>
    </w:p>
    <w:p w:rsidR="00215100" w:rsidRPr="00936BA2" w:rsidRDefault="00936BA2" w:rsidP="00936BA2">
      <w:pPr>
        <w:widowControl w:val="0"/>
        <w:numPr>
          <w:ilvl w:val="0"/>
          <w:numId w:val="1"/>
        </w:numPr>
        <w:ind w:left="0" w:firstLine="347"/>
        <w:contextualSpacing/>
        <w:jc w:val="both"/>
        <w:rPr>
          <w:rFonts w:ascii="Cambria" w:eastAsia="Calibri" w:hAnsi="Cambria" w:cs="Times New Roman"/>
          <w:sz w:val="21"/>
          <w:szCs w:val="21"/>
        </w:rPr>
      </w:pPr>
      <w:r w:rsidRPr="0022520F">
        <w:rPr>
          <w:rFonts w:ascii="Cambria" w:eastAsia="Times New Roman" w:hAnsi="Cambria" w:cs="Times New Roman"/>
          <w:color w:val="000000"/>
          <w:sz w:val="21"/>
          <w:szCs w:val="21"/>
        </w:rPr>
        <w:t xml:space="preserve">With regard to this aspect, the Commission recalls that in the matters </w:t>
      </w:r>
      <w:r w:rsidRPr="0022520F">
        <w:rPr>
          <w:rFonts w:ascii="Cambria" w:eastAsia="Times New Roman" w:hAnsi="Cambria" w:cs="Times New Roman"/>
          <w:i/>
          <w:color w:val="000000"/>
          <w:sz w:val="21"/>
          <w:szCs w:val="21"/>
        </w:rPr>
        <w:t>Boyce, 2007</w:t>
      </w:r>
      <w:r w:rsidRPr="0022520F">
        <w:rPr>
          <w:rFonts w:ascii="Cambria" w:eastAsia="Times New Roman" w:hAnsi="Cambria" w:cs="Times New Roman"/>
          <w:color w:val="000000"/>
          <w:sz w:val="21"/>
          <w:szCs w:val="21"/>
        </w:rPr>
        <w:t xml:space="preserve"> and </w:t>
      </w:r>
      <w:proofErr w:type="spellStart"/>
      <w:r w:rsidRPr="0022520F">
        <w:rPr>
          <w:rFonts w:ascii="Cambria" w:eastAsia="Times New Roman" w:hAnsi="Cambria" w:cs="Times New Roman"/>
          <w:i/>
          <w:color w:val="000000"/>
          <w:sz w:val="21"/>
          <w:szCs w:val="21"/>
        </w:rPr>
        <w:t>DaCosta</w:t>
      </w:r>
      <w:proofErr w:type="spellEnd"/>
      <w:r w:rsidRPr="0022520F">
        <w:rPr>
          <w:rFonts w:ascii="Cambria" w:eastAsia="Times New Roman" w:hAnsi="Cambria" w:cs="Times New Roman"/>
          <w:i/>
          <w:color w:val="000000"/>
          <w:sz w:val="21"/>
          <w:szCs w:val="21"/>
        </w:rPr>
        <w:t xml:space="preserve"> </w:t>
      </w:r>
      <w:proofErr w:type="spellStart"/>
      <w:r w:rsidRPr="0022520F">
        <w:rPr>
          <w:rFonts w:ascii="Cambria" w:eastAsia="Times New Roman" w:hAnsi="Cambria" w:cs="Times New Roman"/>
          <w:i/>
          <w:color w:val="000000"/>
          <w:sz w:val="21"/>
          <w:szCs w:val="21"/>
        </w:rPr>
        <w:t>Cadogan</w:t>
      </w:r>
      <w:proofErr w:type="spellEnd"/>
      <w:r w:rsidRPr="0022520F">
        <w:rPr>
          <w:rFonts w:ascii="Cambria" w:eastAsia="Times New Roman" w:hAnsi="Cambria" w:cs="Times New Roman"/>
          <w:i/>
          <w:color w:val="000000"/>
          <w:sz w:val="21"/>
          <w:szCs w:val="21"/>
        </w:rPr>
        <w:t>, 2009</w:t>
      </w:r>
      <w:r w:rsidRPr="0022520F">
        <w:rPr>
          <w:rFonts w:ascii="Cambria" w:eastAsia="Times New Roman" w:hAnsi="Cambria" w:cs="Times New Roman"/>
          <w:color w:val="000000"/>
          <w:sz w:val="21"/>
          <w:szCs w:val="21"/>
        </w:rPr>
        <w:t xml:space="preserve"> both regarding Barbados, first the IACHR and then the Inter-American Court determined </w:t>
      </w:r>
      <w:r w:rsidR="00600B54">
        <w:rPr>
          <w:rFonts w:ascii="Cambria" w:eastAsia="Times New Roman" w:hAnsi="Cambria" w:cs="Times New Roman"/>
          <w:color w:val="000000"/>
          <w:sz w:val="21"/>
          <w:szCs w:val="21"/>
        </w:rPr>
        <w:t xml:space="preserve">that the </w:t>
      </w:r>
      <w:r w:rsidRPr="0022520F">
        <w:rPr>
          <w:rFonts w:ascii="Cambria" w:eastAsia="Times New Roman" w:hAnsi="Cambria" w:cs="Times New Roman"/>
          <w:color w:val="000000"/>
          <w:sz w:val="21"/>
          <w:szCs w:val="21"/>
        </w:rPr>
        <w:t xml:space="preserve">application of the </w:t>
      </w:r>
      <w:r w:rsidR="00600B54">
        <w:rPr>
          <w:rFonts w:ascii="Cambria" w:eastAsia="Times New Roman" w:hAnsi="Cambria" w:cs="Times New Roman"/>
          <w:color w:val="000000"/>
          <w:sz w:val="21"/>
          <w:szCs w:val="21"/>
        </w:rPr>
        <w:t>“</w:t>
      </w:r>
      <w:r w:rsidRPr="0022520F">
        <w:rPr>
          <w:rFonts w:ascii="Cambria" w:eastAsia="Times New Roman" w:hAnsi="Cambria" w:cs="Times New Roman"/>
          <w:color w:val="000000"/>
          <w:sz w:val="21"/>
          <w:szCs w:val="21"/>
        </w:rPr>
        <w:t>mandatory death penalty</w:t>
      </w:r>
      <w:r w:rsidR="00600B54">
        <w:rPr>
          <w:rFonts w:ascii="Cambria" w:eastAsia="Times New Roman" w:hAnsi="Cambria" w:cs="Times New Roman"/>
          <w:color w:val="000000"/>
          <w:sz w:val="21"/>
          <w:szCs w:val="21"/>
        </w:rPr>
        <w:t>”</w:t>
      </w:r>
      <w:r w:rsidRPr="0022520F">
        <w:rPr>
          <w:rFonts w:ascii="Cambria" w:eastAsia="Times New Roman" w:hAnsi="Cambria" w:cs="Times New Roman"/>
          <w:color w:val="000000"/>
          <w:sz w:val="21"/>
          <w:szCs w:val="21"/>
        </w:rPr>
        <w:t xml:space="preserve"> in </w:t>
      </w:r>
      <w:r w:rsidR="00600B54">
        <w:rPr>
          <w:rFonts w:ascii="Cambria" w:eastAsia="Times New Roman" w:hAnsi="Cambria" w:cs="Times New Roman"/>
          <w:color w:val="000000"/>
          <w:sz w:val="21"/>
          <w:szCs w:val="21"/>
        </w:rPr>
        <w:t xml:space="preserve">domestic </w:t>
      </w:r>
      <w:r w:rsidRPr="0022520F">
        <w:rPr>
          <w:rFonts w:ascii="Cambria" w:eastAsia="Times New Roman" w:hAnsi="Cambria" w:cs="Times New Roman"/>
          <w:color w:val="000000"/>
          <w:sz w:val="21"/>
          <w:szCs w:val="21"/>
        </w:rPr>
        <w:t>legislation for the crime of homicide as established in Section 2 of the LDCP</w:t>
      </w:r>
      <w:r w:rsidR="00215100" w:rsidRPr="005255B7">
        <w:rPr>
          <w:vertAlign w:val="superscript"/>
          <w:lang w:val="es-PE"/>
        </w:rPr>
        <w:footnoteReference w:id="6"/>
      </w:r>
      <w:r w:rsidR="00600B54">
        <w:rPr>
          <w:rFonts w:ascii="Cambria" w:eastAsia="Times New Roman" w:hAnsi="Cambria" w:cs="Times New Roman"/>
          <w:color w:val="000000"/>
          <w:sz w:val="21"/>
          <w:szCs w:val="21"/>
        </w:rPr>
        <w:t xml:space="preserve"> violated the American Convention</w:t>
      </w:r>
      <w:r w:rsidR="00215100" w:rsidRPr="00936BA2">
        <w:rPr>
          <w:rFonts w:ascii="Cambria" w:eastAsia="Times New Roman" w:hAnsi="Cambria" w:cs="Times New Roman"/>
          <w:color w:val="000000"/>
          <w:sz w:val="21"/>
          <w:szCs w:val="21"/>
        </w:rPr>
        <w:t xml:space="preserve">. </w:t>
      </w:r>
      <w:r w:rsidR="00600B54">
        <w:rPr>
          <w:rFonts w:ascii="Cambria" w:eastAsia="Times New Roman" w:hAnsi="Cambria" w:cs="Times New Roman"/>
          <w:color w:val="000000"/>
          <w:sz w:val="21"/>
          <w:szCs w:val="21"/>
        </w:rPr>
        <w:t>Accordingly</w:t>
      </w:r>
      <w:r w:rsidRPr="0022520F">
        <w:rPr>
          <w:rFonts w:ascii="Cambria" w:eastAsia="Times New Roman" w:hAnsi="Cambria" w:cs="Times New Roman"/>
          <w:color w:val="000000"/>
          <w:sz w:val="21"/>
          <w:szCs w:val="21"/>
        </w:rPr>
        <w:t xml:space="preserve">, in </w:t>
      </w:r>
      <w:r w:rsidR="001422E6">
        <w:rPr>
          <w:rFonts w:ascii="Cambria" w:eastAsia="Times New Roman" w:hAnsi="Cambria" w:cs="Times New Roman"/>
          <w:color w:val="000000"/>
          <w:sz w:val="21"/>
          <w:szCs w:val="21"/>
        </w:rPr>
        <w:t xml:space="preserve">these </w:t>
      </w:r>
      <w:r w:rsidRPr="0022520F">
        <w:rPr>
          <w:rFonts w:ascii="Cambria" w:eastAsia="Times New Roman" w:hAnsi="Cambria" w:cs="Times New Roman"/>
          <w:color w:val="000000"/>
          <w:sz w:val="21"/>
          <w:szCs w:val="21"/>
        </w:rPr>
        <w:t xml:space="preserve">cases the Inter-American Court ordered </w:t>
      </w:r>
      <w:r w:rsidR="00600B54">
        <w:rPr>
          <w:rFonts w:ascii="Cambria" w:eastAsia="Times New Roman" w:hAnsi="Cambria" w:cs="Times New Roman"/>
          <w:color w:val="000000"/>
          <w:sz w:val="21"/>
          <w:szCs w:val="21"/>
        </w:rPr>
        <w:t>that A</w:t>
      </w:r>
      <w:r w:rsidRPr="0022520F">
        <w:rPr>
          <w:rFonts w:ascii="Cambria" w:eastAsia="Times New Roman" w:hAnsi="Cambria" w:cs="Times New Roman"/>
          <w:color w:val="000000"/>
          <w:sz w:val="21"/>
          <w:szCs w:val="21"/>
        </w:rPr>
        <w:t>rticle 26 of the Barbados Constitution of 1966 regarding the im</w:t>
      </w:r>
      <w:r w:rsidR="00600B54">
        <w:rPr>
          <w:rFonts w:ascii="Cambria" w:eastAsia="Times New Roman" w:hAnsi="Cambria" w:cs="Times New Roman"/>
          <w:color w:val="000000"/>
          <w:sz w:val="21"/>
          <w:szCs w:val="21"/>
        </w:rPr>
        <w:t xml:space="preserve">munity </w:t>
      </w:r>
      <w:r w:rsidRPr="00936BA2">
        <w:rPr>
          <w:rFonts w:ascii="Cambria" w:eastAsia="Times New Roman" w:hAnsi="Cambria" w:cs="Times New Roman"/>
          <w:color w:val="000000"/>
          <w:sz w:val="21"/>
          <w:szCs w:val="21"/>
        </w:rPr>
        <w:t>of "existing laws</w:t>
      </w:r>
      <w:r w:rsidR="001422E6">
        <w:rPr>
          <w:rFonts w:ascii="Cambria" w:eastAsia="Times New Roman" w:hAnsi="Cambria" w:cs="Times New Roman"/>
          <w:color w:val="000000"/>
          <w:sz w:val="21"/>
          <w:szCs w:val="21"/>
        </w:rPr>
        <w:t>,</w:t>
      </w:r>
      <w:r w:rsidR="00215100" w:rsidRPr="00936BA2">
        <w:rPr>
          <w:rStyle w:val="FootnoteReference"/>
          <w:rFonts w:ascii="Cambria" w:eastAsia="Times New Roman" w:hAnsi="Cambria" w:cs="Times New Roman"/>
          <w:color w:val="000000"/>
          <w:sz w:val="21"/>
          <w:szCs w:val="21"/>
          <w:lang w:val="es-PE"/>
        </w:rPr>
        <w:footnoteReference w:id="7"/>
      </w:r>
      <w:r w:rsidRPr="00936BA2">
        <w:rPr>
          <w:rFonts w:ascii="Cambria" w:eastAsia="Times New Roman" w:hAnsi="Cambria" w:cs="Times New Roman"/>
          <w:color w:val="000000"/>
          <w:sz w:val="21"/>
          <w:szCs w:val="21"/>
        </w:rPr>
        <w:t>”</w:t>
      </w:r>
      <w:r w:rsidR="00215100" w:rsidRPr="00936BA2">
        <w:rPr>
          <w:rFonts w:ascii="Cambria" w:eastAsia="Times New Roman" w:hAnsi="Cambria" w:cs="Times New Roman"/>
          <w:color w:val="000000"/>
          <w:sz w:val="21"/>
          <w:szCs w:val="21"/>
        </w:rPr>
        <w:t xml:space="preserve"> </w:t>
      </w:r>
      <w:r w:rsidRPr="00936BA2">
        <w:rPr>
          <w:rFonts w:ascii="Cambria" w:eastAsia="Times New Roman" w:hAnsi="Cambria" w:cs="Times New Roman"/>
          <w:color w:val="000000"/>
          <w:sz w:val="21"/>
          <w:szCs w:val="21"/>
        </w:rPr>
        <w:t>which prevented the questioning of previous legislation like the LDCP of 1868</w:t>
      </w:r>
      <w:r w:rsidR="001422E6">
        <w:rPr>
          <w:rFonts w:ascii="Cambria" w:eastAsia="Times New Roman" w:hAnsi="Cambria" w:cs="Times New Roman"/>
          <w:color w:val="000000"/>
          <w:sz w:val="21"/>
          <w:szCs w:val="21"/>
        </w:rPr>
        <w:t>,</w:t>
      </w:r>
      <w:r w:rsidR="00215100" w:rsidRPr="00936BA2">
        <w:rPr>
          <w:rStyle w:val="FootnoteReference"/>
          <w:rFonts w:ascii="Cambria" w:eastAsia="Times New Roman" w:hAnsi="Cambria" w:cs="Times New Roman"/>
          <w:color w:val="000000"/>
          <w:sz w:val="21"/>
          <w:szCs w:val="21"/>
          <w:lang w:val="es-PE"/>
        </w:rPr>
        <w:footnoteReference w:id="8"/>
      </w:r>
      <w:r w:rsidR="001422E6">
        <w:rPr>
          <w:rFonts w:ascii="Cambria" w:eastAsia="Times New Roman" w:hAnsi="Cambria" w:cs="Times New Roman"/>
          <w:color w:val="000000"/>
          <w:sz w:val="21"/>
          <w:szCs w:val="21"/>
        </w:rPr>
        <w:t xml:space="preserve"> be eliminated or modified.</w:t>
      </w:r>
      <w:r w:rsidR="00215100" w:rsidRPr="00936BA2">
        <w:rPr>
          <w:rFonts w:ascii="Cambria" w:eastAsia="Times New Roman" w:hAnsi="Cambria" w:cs="Times New Roman"/>
          <w:color w:val="000000"/>
          <w:sz w:val="21"/>
          <w:szCs w:val="21"/>
        </w:rPr>
        <w:t xml:space="preserve"> </w:t>
      </w:r>
      <w:r w:rsidR="001422E6">
        <w:rPr>
          <w:rFonts w:ascii="Cambria" w:eastAsia="Times New Roman" w:hAnsi="Cambria" w:cs="Times New Roman"/>
          <w:color w:val="000000"/>
          <w:sz w:val="21"/>
          <w:szCs w:val="21"/>
        </w:rPr>
        <w:t>T</w:t>
      </w:r>
      <w:r w:rsidRPr="003666FF">
        <w:rPr>
          <w:rFonts w:ascii="Cambria" w:eastAsia="Calibri" w:hAnsi="Cambria" w:cs="Times New Roman"/>
          <w:sz w:val="21"/>
          <w:szCs w:val="21"/>
        </w:rPr>
        <w:t xml:space="preserve">he Commission </w:t>
      </w:r>
      <w:r w:rsidR="001422E6">
        <w:rPr>
          <w:rFonts w:ascii="Cambria" w:eastAsia="Calibri" w:hAnsi="Cambria" w:cs="Times New Roman"/>
          <w:sz w:val="21"/>
          <w:szCs w:val="21"/>
        </w:rPr>
        <w:t xml:space="preserve">observes </w:t>
      </w:r>
      <w:r w:rsidRPr="003666FF">
        <w:rPr>
          <w:rFonts w:ascii="Cambria" w:eastAsia="Calibri" w:hAnsi="Cambria" w:cs="Times New Roman"/>
          <w:sz w:val="21"/>
          <w:szCs w:val="21"/>
        </w:rPr>
        <w:t xml:space="preserve">that </w:t>
      </w:r>
      <w:r w:rsidR="001422E6">
        <w:rPr>
          <w:rFonts w:ascii="Cambria" w:eastAsia="Calibri" w:hAnsi="Cambria" w:cs="Times New Roman"/>
          <w:sz w:val="21"/>
          <w:szCs w:val="21"/>
        </w:rPr>
        <w:t xml:space="preserve">in 2011, during the </w:t>
      </w:r>
      <w:r w:rsidRPr="003666FF">
        <w:rPr>
          <w:rFonts w:ascii="Cambria" w:eastAsia="Calibri" w:hAnsi="Cambria" w:cs="Times New Roman"/>
          <w:sz w:val="21"/>
          <w:szCs w:val="21"/>
        </w:rPr>
        <w:t xml:space="preserve">supervision of </w:t>
      </w:r>
      <w:r w:rsidR="001422E6">
        <w:rPr>
          <w:rFonts w:ascii="Cambria" w:eastAsia="Calibri" w:hAnsi="Cambria" w:cs="Times New Roman"/>
          <w:sz w:val="21"/>
          <w:szCs w:val="21"/>
        </w:rPr>
        <w:t xml:space="preserve">these </w:t>
      </w:r>
      <w:r w:rsidRPr="003666FF">
        <w:rPr>
          <w:rFonts w:ascii="Cambria" w:eastAsia="Calibri" w:hAnsi="Cambria" w:cs="Times New Roman"/>
          <w:sz w:val="21"/>
          <w:szCs w:val="21"/>
        </w:rPr>
        <w:t>cases</w:t>
      </w:r>
      <w:r w:rsidR="001422E6">
        <w:rPr>
          <w:rFonts w:ascii="Cambria" w:eastAsia="Calibri" w:hAnsi="Cambria" w:cs="Times New Roman"/>
          <w:sz w:val="21"/>
          <w:szCs w:val="21"/>
        </w:rPr>
        <w:t>,</w:t>
      </w:r>
      <w:r w:rsidRPr="003666FF">
        <w:rPr>
          <w:rFonts w:ascii="Cambria" w:eastAsia="Calibri" w:hAnsi="Cambria" w:cs="Times New Roman"/>
          <w:sz w:val="21"/>
          <w:szCs w:val="21"/>
        </w:rPr>
        <w:t xml:space="preserve"> the State reported to the Inter-American Court on the creation of a "Committee" </w:t>
      </w:r>
      <w:r w:rsidR="001422E6">
        <w:rPr>
          <w:rFonts w:ascii="Cambria" w:eastAsia="Calibri" w:hAnsi="Cambria" w:cs="Times New Roman"/>
          <w:sz w:val="21"/>
          <w:szCs w:val="21"/>
        </w:rPr>
        <w:t xml:space="preserve">to </w:t>
      </w:r>
      <w:r w:rsidRPr="003666FF">
        <w:rPr>
          <w:rFonts w:ascii="Cambria" w:eastAsia="Calibri" w:hAnsi="Cambria" w:cs="Times New Roman"/>
          <w:sz w:val="21"/>
          <w:szCs w:val="21"/>
        </w:rPr>
        <w:t>study the necessary legislative changes</w:t>
      </w:r>
      <w:r w:rsidR="001422E6">
        <w:rPr>
          <w:rFonts w:ascii="Cambria" w:eastAsia="Calibri" w:hAnsi="Cambria" w:cs="Times New Roman"/>
          <w:sz w:val="21"/>
          <w:szCs w:val="21"/>
        </w:rPr>
        <w:t>,</w:t>
      </w:r>
      <w:r w:rsidR="00215100" w:rsidRPr="00D66324">
        <w:rPr>
          <w:rFonts w:ascii="Cambria" w:hAnsi="Cambria"/>
          <w:sz w:val="21"/>
          <w:szCs w:val="21"/>
          <w:vertAlign w:val="superscript"/>
          <w:lang w:val="es-PE"/>
        </w:rPr>
        <w:footnoteReference w:id="9"/>
      </w:r>
      <w:r w:rsidR="001422E6" w:rsidRPr="001422E6">
        <w:rPr>
          <w:rFonts w:ascii="Cambria" w:eastAsia="Calibri" w:hAnsi="Cambria" w:cs="Times New Roman"/>
          <w:sz w:val="21"/>
          <w:szCs w:val="21"/>
        </w:rPr>
        <w:t xml:space="preserve"> a</w:t>
      </w:r>
      <w:r w:rsidRPr="003666FF">
        <w:rPr>
          <w:rFonts w:ascii="Cambria" w:eastAsia="Calibri" w:hAnsi="Cambria" w:cs="Times New Roman"/>
          <w:sz w:val="21"/>
          <w:szCs w:val="21"/>
        </w:rPr>
        <w:t xml:space="preserve">nd according to public information, the last time a death sentence </w:t>
      </w:r>
      <w:r>
        <w:rPr>
          <w:rFonts w:ascii="Cambria" w:eastAsia="Calibri" w:hAnsi="Cambria" w:cs="Times New Roman"/>
          <w:sz w:val="21"/>
          <w:szCs w:val="21"/>
        </w:rPr>
        <w:t>was implemented</w:t>
      </w:r>
      <w:r w:rsidRPr="003666FF">
        <w:rPr>
          <w:rFonts w:ascii="Cambria" w:eastAsia="Calibri" w:hAnsi="Cambria" w:cs="Times New Roman"/>
          <w:sz w:val="21"/>
          <w:szCs w:val="21"/>
        </w:rPr>
        <w:t xml:space="preserve"> in Barbados </w:t>
      </w:r>
      <w:r>
        <w:rPr>
          <w:rFonts w:ascii="Cambria" w:eastAsia="Calibri" w:hAnsi="Cambria" w:cs="Times New Roman"/>
          <w:sz w:val="21"/>
          <w:szCs w:val="21"/>
        </w:rPr>
        <w:t>was</w:t>
      </w:r>
      <w:r w:rsidRPr="003666FF">
        <w:rPr>
          <w:rFonts w:ascii="Cambria" w:eastAsia="Calibri" w:hAnsi="Cambria" w:cs="Times New Roman"/>
          <w:sz w:val="21"/>
          <w:szCs w:val="21"/>
        </w:rPr>
        <w:t xml:space="preserve"> in 1984</w:t>
      </w:r>
      <w:r w:rsidR="001422E6">
        <w:rPr>
          <w:rFonts w:ascii="Cambria" w:eastAsia="Calibri" w:hAnsi="Cambria" w:cs="Times New Roman"/>
          <w:sz w:val="21"/>
          <w:szCs w:val="21"/>
        </w:rPr>
        <w:t>.</w:t>
      </w:r>
      <w:r w:rsidR="00215100" w:rsidRPr="00D66324">
        <w:rPr>
          <w:rFonts w:ascii="Cambria" w:hAnsi="Cambria"/>
          <w:sz w:val="21"/>
          <w:szCs w:val="21"/>
          <w:vertAlign w:val="superscript"/>
          <w:lang w:val="es-PE"/>
        </w:rPr>
        <w:footnoteReference w:id="10"/>
      </w:r>
      <w:r w:rsidR="001422E6">
        <w:rPr>
          <w:rFonts w:ascii="Cambria" w:eastAsia="Calibri" w:hAnsi="Cambria" w:cs="Times New Roman"/>
          <w:sz w:val="21"/>
          <w:szCs w:val="21"/>
        </w:rPr>
        <w:t xml:space="preserve"> However, t</w:t>
      </w:r>
      <w:r w:rsidRPr="003666FF">
        <w:rPr>
          <w:rFonts w:ascii="Cambria" w:eastAsia="Calibri" w:hAnsi="Cambria" w:cs="Times New Roman"/>
          <w:sz w:val="21"/>
          <w:szCs w:val="21"/>
        </w:rPr>
        <w:t xml:space="preserve">he Commission does not have information indicating that the death penalty </w:t>
      </w:r>
      <w:r w:rsidR="001422E6">
        <w:rPr>
          <w:rFonts w:ascii="Cambria" w:eastAsia="Calibri" w:hAnsi="Cambria" w:cs="Times New Roman"/>
          <w:sz w:val="21"/>
          <w:szCs w:val="21"/>
        </w:rPr>
        <w:t>h</w:t>
      </w:r>
      <w:r>
        <w:rPr>
          <w:rFonts w:ascii="Cambria" w:eastAsia="Calibri" w:hAnsi="Cambria" w:cs="Times New Roman"/>
          <w:sz w:val="21"/>
          <w:szCs w:val="21"/>
        </w:rPr>
        <w:t>as indeed</w:t>
      </w:r>
      <w:r w:rsidRPr="003666FF">
        <w:rPr>
          <w:rFonts w:ascii="Cambria" w:eastAsia="Calibri" w:hAnsi="Cambria" w:cs="Times New Roman"/>
          <w:sz w:val="21"/>
          <w:szCs w:val="21"/>
        </w:rPr>
        <w:t xml:space="preserve"> </w:t>
      </w:r>
      <w:r w:rsidR="001422E6">
        <w:rPr>
          <w:rFonts w:ascii="Cambria" w:eastAsia="Calibri" w:hAnsi="Cambria" w:cs="Times New Roman"/>
          <w:sz w:val="21"/>
          <w:szCs w:val="21"/>
        </w:rPr>
        <w:t xml:space="preserve">been </w:t>
      </w:r>
      <w:r w:rsidRPr="003666FF">
        <w:rPr>
          <w:rFonts w:ascii="Cambria" w:eastAsia="Calibri" w:hAnsi="Cambria" w:cs="Times New Roman"/>
          <w:sz w:val="21"/>
          <w:szCs w:val="21"/>
        </w:rPr>
        <w:t>repealed.</w:t>
      </w:r>
      <w:r w:rsidR="00CD0CFD">
        <w:rPr>
          <w:rFonts w:ascii="Cambria" w:eastAsia="Calibri" w:hAnsi="Cambria" w:cs="Times New Roman"/>
          <w:sz w:val="21"/>
          <w:szCs w:val="21"/>
        </w:rPr>
        <w:t xml:space="preserve"> </w:t>
      </w:r>
      <w:r w:rsidR="001422E6">
        <w:rPr>
          <w:rFonts w:ascii="Cambria" w:eastAsia="Calibri" w:hAnsi="Cambria" w:cs="Times New Roman"/>
          <w:sz w:val="21"/>
          <w:szCs w:val="21"/>
        </w:rPr>
        <w:t xml:space="preserve">In fact, </w:t>
      </w:r>
      <w:r w:rsidRPr="00936BA2">
        <w:rPr>
          <w:rFonts w:ascii="Cambria" w:eastAsia="Calibri" w:hAnsi="Cambria" w:cs="Times New Roman"/>
          <w:sz w:val="21"/>
          <w:szCs w:val="21"/>
        </w:rPr>
        <w:t xml:space="preserve">the Commission notes that the State indicated that the mandatory death penalty </w:t>
      </w:r>
      <w:r>
        <w:rPr>
          <w:rFonts w:ascii="Cambria" w:eastAsia="Calibri" w:hAnsi="Cambria" w:cs="Times New Roman"/>
          <w:sz w:val="21"/>
          <w:szCs w:val="21"/>
        </w:rPr>
        <w:t xml:space="preserve">is still </w:t>
      </w:r>
      <w:r w:rsidR="001422E6">
        <w:rPr>
          <w:rFonts w:ascii="Cambria" w:eastAsia="Calibri" w:hAnsi="Cambria" w:cs="Times New Roman"/>
          <w:sz w:val="21"/>
          <w:szCs w:val="21"/>
        </w:rPr>
        <w:t xml:space="preserve">in effect.  </w:t>
      </w:r>
    </w:p>
    <w:p w:rsidR="00215100" w:rsidRPr="00936BA2" w:rsidRDefault="00215100" w:rsidP="00215100">
      <w:pPr>
        <w:pStyle w:val="ListParagraph"/>
        <w:rPr>
          <w:rFonts w:ascii="Cambria" w:eastAsia="Times New Roman" w:hAnsi="Cambria" w:cs="Times New Roman"/>
          <w:bCs/>
          <w:color w:val="000000"/>
          <w:sz w:val="21"/>
          <w:szCs w:val="21"/>
        </w:rPr>
      </w:pPr>
    </w:p>
    <w:p w:rsidR="00215100" w:rsidRPr="00EF5C0D" w:rsidRDefault="00EF5C0D" w:rsidP="00EF5C0D">
      <w:pPr>
        <w:widowControl w:val="0"/>
        <w:numPr>
          <w:ilvl w:val="0"/>
          <w:numId w:val="1"/>
        </w:numPr>
        <w:ind w:left="0" w:firstLine="347"/>
        <w:contextualSpacing/>
        <w:jc w:val="both"/>
        <w:rPr>
          <w:rFonts w:ascii="Cambria" w:eastAsia="Times New Roman" w:hAnsi="Cambria" w:cs="Times New Roman"/>
          <w:bCs/>
          <w:color w:val="000000"/>
          <w:sz w:val="21"/>
          <w:szCs w:val="21"/>
        </w:rPr>
      </w:pPr>
      <w:r w:rsidRPr="00EF5C0D">
        <w:rPr>
          <w:rFonts w:ascii="Cambria" w:eastAsia="Calibri" w:hAnsi="Cambria" w:cs="Times New Roman"/>
          <w:sz w:val="21"/>
          <w:szCs w:val="21"/>
        </w:rPr>
        <w:t>Secondly, the Commission notes that the applicant has indicated that the proposed beneficiaries have been on death row for 3 and 6 years, and t</w:t>
      </w:r>
      <w:r w:rsidR="0005333C">
        <w:rPr>
          <w:rFonts w:ascii="Cambria" w:eastAsia="Calibri" w:hAnsi="Cambria" w:cs="Times New Roman"/>
          <w:sz w:val="21"/>
          <w:szCs w:val="21"/>
        </w:rPr>
        <w:t>hat the long wait</w:t>
      </w:r>
      <w:r w:rsidR="00835F78">
        <w:rPr>
          <w:rFonts w:ascii="Cambria" w:eastAsia="Calibri" w:hAnsi="Cambria" w:cs="Times New Roman"/>
          <w:sz w:val="21"/>
          <w:szCs w:val="21"/>
        </w:rPr>
        <w:t xml:space="preserve"> </w:t>
      </w:r>
      <w:r w:rsidR="001422E6">
        <w:rPr>
          <w:rFonts w:ascii="Cambria" w:eastAsia="Calibri" w:hAnsi="Cambria" w:cs="Times New Roman"/>
          <w:sz w:val="21"/>
          <w:szCs w:val="21"/>
        </w:rPr>
        <w:t xml:space="preserve">has </w:t>
      </w:r>
      <w:r w:rsidR="00835F78">
        <w:rPr>
          <w:rFonts w:ascii="Cambria" w:eastAsia="Calibri" w:hAnsi="Cambria" w:cs="Times New Roman"/>
          <w:sz w:val="21"/>
          <w:szCs w:val="21"/>
        </w:rPr>
        <w:t>affected them</w:t>
      </w:r>
      <w:r w:rsidRPr="00EF5C0D">
        <w:rPr>
          <w:rFonts w:ascii="Cambria" w:eastAsia="Calibri" w:hAnsi="Cambria" w:cs="Times New Roman"/>
          <w:sz w:val="21"/>
          <w:szCs w:val="21"/>
        </w:rPr>
        <w:t xml:space="preserve"> psychologically, emotionally and physically. </w:t>
      </w:r>
      <w:r w:rsidRPr="003666FF">
        <w:rPr>
          <w:rFonts w:ascii="Cambria" w:eastAsia="Calibri" w:hAnsi="Cambria" w:cs="Times New Roman"/>
          <w:sz w:val="21"/>
          <w:szCs w:val="21"/>
        </w:rPr>
        <w:t>In relation to this aspect, the Commission notes that the "death row phenomenon" has been widely known for the impacts it generates on the rights to life and integrity of persons deprived of their liberty. In this regard, t</w:t>
      </w:r>
      <w:r>
        <w:rPr>
          <w:rFonts w:ascii="Cambria" w:eastAsia="Calibri" w:hAnsi="Cambria" w:cs="Times New Roman"/>
          <w:sz w:val="21"/>
          <w:szCs w:val="21"/>
        </w:rPr>
        <w:t>he European Court determined in</w:t>
      </w:r>
      <w:r w:rsidRPr="003666FF">
        <w:rPr>
          <w:rFonts w:ascii="Cambria" w:eastAsia="Calibri" w:hAnsi="Cambria" w:cs="Times New Roman"/>
          <w:sz w:val="21"/>
          <w:szCs w:val="21"/>
        </w:rPr>
        <w:t xml:space="preserve"> </w:t>
      </w:r>
      <w:proofErr w:type="spellStart"/>
      <w:r w:rsidRPr="004D4FDF">
        <w:rPr>
          <w:rFonts w:ascii="Cambria" w:eastAsia="Calibri" w:hAnsi="Cambria" w:cs="Times New Roman"/>
          <w:i/>
          <w:sz w:val="21"/>
          <w:szCs w:val="21"/>
        </w:rPr>
        <w:t>Soering</w:t>
      </w:r>
      <w:proofErr w:type="spellEnd"/>
      <w:r w:rsidRPr="004D4FDF">
        <w:rPr>
          <w:rFonts w:ascii="Cambria" w:eastAsia="Calibri" w:hAnsi="Cambria" w:cs="Times New Roman"/>
          <w:i/>
          <w:sz w:val="21"/>
          <w:szCs w:val="21"/>
        </w:rPr>
        <w:t xml:space="preserve"> vs. United Kingdom</w:t>
      </w:r>
      <w:r w:rsidRPr="003666FF">
        <w:rPr>
          <w:rFonts w:ascii="Cambria" w:eastAsia="Calibri" w:hAnsi="Cambria" w:cs="Times New Roman"/>
          <w:sz w:val="21"/>
          <w:szCs w:val="21"/>
        </w:rPr>
        <w:t xml:space="preserve"> that </w:t>
      </w:r>
      <w:r w:rsidR="001422E6">
        <w:rPr>
          <w:rFonts w:ascii="Cambria" w:eastAsia="Calibri" w:hAnsi="Cambria" w:cs="Times New Roman"/>
          <w:sz w:val="21"/>
          <w:szCs w:val="21"/>
        </w:rPr>
        <w:t xml:space="preserve">this </w:t>
      </w:r>
      <w:r w:rsidRPr="003666FF">
        <w:rPr>
          <w:rFonts w:ascii="Cambria" w:eastAsia="Calibri" w:hAnsi="Cambria" w:cs="Times New Roman"/>
          <w:sz w:val="21"/>
          <w:szCs w:val="21"/>
        </w:rPr>
        <w:t xml:space="preserve">phenomenon is constituted by a prolonged period of detention </w:t>
      </w:r>
      <w:r w:rsidR="001422E6">
        <w:rPr>
          <w:rFonts w:ascii="Cambria" w:eastAsia="Calibri" w:hAnsi="Cambria" w:cs="Times New Roman"/>
          <w:sz w:val="21"/>
          <w:szCs w:val="21"/>
        </w:rPr>
        <w:t>a</w:t>
      </w:r>
      <w:r>
        <w:rPr>
          <w:rFonts w:ascii="Cambria" w:eastAsia="Calibri" w:hAnsi="Cambria" w:cs="Times New Roman"/>
          <w:sz w:val="21"/>
          <w:szCs w:val="21"/>
        </w:rPr>
        <w:t>waiting</w:t>
      </w:r>
      <w:r w:rsidRPr="003666FF">
        <w:rPr>
          <w:rFonts w:ascii="Cambria" w:eastAsia="Calibri" w:hAnsi="Cambria" w:cs="Times New Roman"/>
          <w:sz w:val="21"/>
          <w:szCs w:val="21"/>
        </w:rPr>
        <w:t xml:space="preserve"> and prior to execution, during which mental distress is suffered, in addition to other circumstances to which the accused is exposed</w:t>
      </w:r>
      <w:r w:rsidR="00A04874">
        <w:rPr>
          <w:rFonts w:ascii="Cambria" w:eastAsia="Calibri" w:hAnsi="Cambria" w:cs="Times New Roman"/>
          <w:sz w:val="21"/>
          <w:szCs w:val="21"/>
        </w:rPr>
        <w:t>.</w:t>
      </w:r>
      <w:r w:rsidR="00215100" w:rsidRPr="00C81489">
        <w:rPr>
          <w:rStyle w:val="FootnoteReference"/>
          <w:rFonts w:ascii="Cambria" w:hAnsi="Cambria"/>
          <w:sz w:val="21"/>
          <w:szCs w:val="21"/>
          <w:lang w:val="es-CO"/>
        </w:rPr>
        <w:footnoteReference w:id="11"/>
      </w:r>
      <w:r w:rsidR="00215100" w:rsidRPr="00EF5C0D">
        <w:rPr>
          <w:rFonts w:ascii="Cambria" w:hAnsi="Cambria"/>
          <w:sz w:val="21"/>
          <w:szCs w:val="21"/>
        </w:rPr>
        <w:t xml:space="preserve"> </w:t>
      </w:r>
      <w:r w:rsidRPr="00EF5C0D">
        <w:rPr>
          <w:rFonts w:ascii="Cambria" w:eastAsia="Calibri" w:hAnsi="Cambria" w:cs="Times New Roman"/>
          <w:bCs/>
          <w:sz w:val="21"/>
          <w:szCs w:val="21"/>
        </w:rPr>
        <w:t xml:space="preserve">In addition, the Commission recently published </w:t>
      </w:r>
      <w:r w:rsidR="0005333C">
        <w:rPr>
          <w:rFonts w:ascii="Cambria" w:eastAsia="Calibri" w:hAnsi="Cambria" w:cs="Times New Roman"/>
          <w:bCs/>
          <w:sz w:val="21"/>
          <w:szCs w:val="21"/>
        </w:rPr>
        <w:t>Merits</w:t>
      </w:r>
      <w:r w:rsidRPr="00EF5C0D">
        <w:rPr>
          <w:rFonts w:ascii="Cambria" w:eastAsia="Calibri" w:hAnsi="Cambria" w:cs="Times New Roman"/>
          <w:bCs/>
          <w:sz w:val="21"/>
          <w:szCs w:val="21"/>
        </w:rPr>
        <w:t xml:space="preserve"> </w:t>
      </w:r>
      <w:r w:rsidR="0005333C">
        <w:rPr>
          <w:rFonts w:ascii="Cambria" w:eastAsia="Calibri" w:hAnsi="Cambria" w:cs="Times New Roman"/>
          <w:bCs/>
          <w:sz w:val="21"/>
          <w:szCs w:val="21"/>
        </w:rPr>
        <w:t>r</w:t>
      </w:r>
      <w:r w:rsidRPr="00EF5C0D">
        <w:rPr>
          <w:rFonts w:ascii="Cambria" w:eastAsia="Calibri" w:hAnsi="Cambria" w:cs="Times New Roman"/>
          <w:bCs/>
          <w:sz w:val="21"/>
          <w:szCs w:val="21"/>
        </w:rPr>
        <w:t xml:space="preserve">eport No. 24/17, on the situation of an Argentine citizen who was sentenced </w:t>
      </w:r>
      <w:r w:rsidR="00A04874">
        <w:rPr>
          <w:rFonts w:ascii="Cambria" w:eastAsia="Calibri" w:hAnsi="Cambria" w:cs="Times New Roman"/>
          <w:bCs/>
          <w:sz w:val="21"/>
          <w:szCs w:val="21"/>
        </w:rPr>
        <w:t xml:space="preserve">in the United States </w:t>
      </w:r>
      <w:r w:rsidRPr="00EF5C0D">
        <w:rPr>
          <w:rFonts w:ascii="Cambria" w:eastAsia="Calibri" w:hAnsi="Cambria" w:cs="Times New Roman"/>
          <w:bCs/>
          <w:sz w:val="21"/>
          <w:szCs w:val="21"/>
        </w:rPr>
        <w:t xml:space="preserve">to death and remained on death row for more than twenty years. </w:t>
      </w:r>
      <w:r w:rsidR="00A04874">
        <w:rPr>
          <w:rFonts w:ascii="Cambria" w:eastAsia="Calibri" w:hAnsi="Cambria" w:cs="Times New Roman"/>
          <w:bCs/>
          <w:sz w:val="21"/>
          <w:szCs w:val="21"/>
        </w:rPr>
        <w:t xml:space="preserve">The Commission found that6 bin the circumstances of the specific case </w:t>
      </w:r>
      <w:r>
        <w:rPr>
          <w:rFonts w:ascii="Cambria" w:eastAsia="Calibri" w:hAnsi="Cambria" w:cs="Times New Roman"/>
          <w:bCs/>
          <w:sz w:val="21"/>
          <w:szCs w:val="21"/>
        </w:rPr>
        <w:t>this constituted a form of torture</w:t>
      </w:r>
      <w:r w:rsidRPr="004D4FDF">
        <w:rPr>
          <w:rFonts w:ascii="Cambria" w:eastAsia="Calibri" w:hAnsi="Cambria" w:cs="Times New Roman"/>
          <w:bCs/>
          <w:sz w:val="21"/>
          <w:szCs w:val="21"/>
        </w:rPr>
        <w:t>, inhuman treatment and a cruel, infamous and unusual punishment</w:t>
      </w:r>
      <w:r w:rsidR="00A04874">
        <w:rPr>
          <w:rFonts w:ascii="Cambria" w:eastAsia="Calibri" w:hAnsi="Cambria" w:cs="Times New Roman"/>
          <w:bCs/>
          <w:sz w:val="21"/>
          <w:szCs w:val="21"/>
        </w:rPr>
        <w:t>.</w:t>
      </w:r>
      <w:r w:rsidR="00215100" w:rsidRPr="005F7E7E">
        <w:rPr>
          <w:rFonts w:ascii="Cambria" w:hAnsi="Cambria"/>
          <w:sz w:val="21"/>
          <w:szCs w:val="21"/>
          <w:vertAlign w:val="superscript"/>
        </w:rPr>
        <w:footnoteReference w:id="12"/>
      </w:r>
    </w:p>
    <w:p w:rsidR="00215100" w:rsidRPr="00EF5C0D" w:rsidRDefault="00215100" w:rsidP="00215100">
      <w:pPr>
        <w:pStyle w:val="ListParagraph"/>
        <w:rPr>
          <w:rFonts w:ascii="Cambria" w:eastAsia="Times New Roman" w:hAnsi="Cambria" w:cs="Times New Roman"/>
          <w:bCs/>
          <w:color w:val="000000"/>
          <w:sz w:val="21"/>
          <w:szCs w:val="21"/>
        </w:rPr>
      </w:pPr>
    </w:p>
    <w:p w:rsidR="00E11953" w:rsidRDefault="00EF5C0D" w:rsidP="00E11953">
      <w:pPr>
        <w:widowControl w:val="0"/>
        <w:numPr>
          <w:ilvl w:val="0"/>
          <w:numId w:val="1"/>
        </w:numPr>
        <w:ind w:left="0" w:firstLine="347"/>
        <w:contextualSpacing/>
        <w:jc w:val="both"/>
        <w:rPr>
          <w:rFonts w:ascii="Cambria" w:eastAsia="Calibri" w:hAnsi="Cambria" w:cs="Times New Roman"/>
          <w:sz w:val="21"/>
          <w:szCs w:val="21"/>
        </w:rPr>
      </w:pPr>
      <w:r w:rsidRPr="00E11953">
        <w:rPr>
          <w:rFonts w:ascii="Cambria" w:eastAsia="Calibri" w:hAnsi="Cambria" w:cs="Times New Roman"/>
          <w:sz w:val="21"/>
          <w:szCs w:val="21"/>
        </w:rPr>
        <w:t>In view of the aforementioned, taking into account the impact that the death row w</w:t>
      </w:r>
      <w:r w:rsidR="00A04874">
        <w:rPr>
          <w:rFonts w:ascii="Cambria" w:eastAsia="Calibri" w:hAnsi="Cambria" w:cs="Times New Roman"/>
          <w:sz w:val="21"/>
          <w:szCs w:val="21"/>
        </w:rPr>
        <w:t>ould</w:t>
      </w:r>
      <w:r w:rsidRPr="00E11953">
        <w:rPr>
          <w:rFonts w:ascii="Cambria" w:eastAsia="Calibri" w:hAnsi="Cambria" w:cs="Times New Roman"/>
          <w:sz w:val="21"/>
          <w:szCs w:val="21"/>
        </w:rPr>
        <w:t xml:space="preserve"> have on </w:t>
      </w:r>
      <w:r w:rsidRPr="00E11953">
        <w:rPr>
          <w:rFonts w:ascii="Cambria" w:eastAsia="Calibri" w:hAnsi="Cambria" w:cs="Times New Roman"/>
          <w:sz w:val="21"/>
          <w:szCs w:val="21"/>
        </w:rPr>
        <w:lastRenderedPageBreak/>
        <w:t>the ri</w:t>
      </w:r>
      <w:r w:rsidR="00835F78" w:rsidRPr="00E11953">
        <w:rPr>
          <w:rFonts w:ascii="Cambria" w:eastAsia="Calibri" w:hAnsi="Cambria" w:cs="Times New Roman"/>
          <w:sz w:val="21"/>
          <w:szCs w:val="21"/>
        </w:rPr>
        <w:t>ghts of the proposed beneficiaries</w:t>
      </w:r>
      <w:r w:rsidRPr="00E11953">
        <w:rPr>
          <w:rFonts w:ascii="Cambria" w:eastAsia="Calibri" w:hAnsi="Cambria" w:cs="Times New Roman"/>
          <w:sz w:val="21"/>
          <w:szCs w:val="21"/>
        </w:rPr>
        <w:t>, as well as the effect that execution would have on the</w:t>
      </w:r>
      <w:r w:rsidR="00835F78" w:rsidRPr="00E11953">
        <w:rPr>
          <w:rFonts w:ascii="Cambria" w:eastAsia="Calibri" w:hAnsi="Cambria" w:cs="Times New Roman"/>
          <w:sz w:val="21"/>
          <w:szCs w:val="21"/>
        </w:rPr>
        <w:t>ir</w:t>
      </w:r>
      <w:r w:rsidRPr="00E11953">
        <w:rPr>
          <w:rFonts w:ascii="Cambria" w:eastAsia="Calibri" w:hAnsi="Cambria" w:cs="Times New Roman"/>
          <w:sz w:val="21"/>
          <w:szCs w:val="21"/>
        </w:rPr>
        <w:t xml:space="preserve"> rights to life and personal integrity, making a future pronouncement of the Commission ineffective, the Commission concludes that </w:t>
      </w:r>
      <w:r w:rsidRPr="00E11953">
        <w:rPr>
          <w:rFonts w:ascii="Cambria" w:eastAsia="Times New Roman" w:hAnsi="Cambria" w:cs="Times New Roman"/>
          <w:color w:val="000000"/>
          <w:sz w:val="21"/>
          <w:szCs w:val="21"/>
        </w:rPr>
        <w:t xml:space="preserve">Messrs. </w:t>
      </w:r>
      <w:proofErr w:type="spellStart"/>
      <w:r w:rsidRPr="00E11953">
        <w:rPr>
          <w:rFonts w:ascii="Cambria" w:eastAsia="Times New Roman" w:hAnsi="Cambria" w:cs="Times New Roman"/>
          <w:color w:val="000000"/>
          <w:sz w:val="21"/>
          <w:szCs w:val="21"/>
        </w:rPr>
        <w:t>Nervais</w:t>
      </w:r>
      <w:proofErr w:type="spellEnd"/>
      <w:r w:rsidRPr="00E11953">
        <w:rPr>
          <w:rFonts w:ascii="Cambria" w:eastAsia="Times New Roman" w:hAnsi="Cambria" w:cs="Times New Roman"/>
          <w:color w:val="000000"/>
          <w:sz w:val="21"/>
          <w:szCs w:val="21"/>
        </w:rPr>
        <w:t xml:space="preserve"> and </w:t>
      </w:r>
      <w:proofErr w:type="spellStart"/>
      <w:r w:rsidRPr="00E11953">
        <w:rPr>
          <w:rFonts w:ascii="Cambria" w:eastAsia="Times New Roman" w:hAnsi="Cambria" w:cs="Times New Roman"/>
          <w:color w:val="000000"/>
          <w:sz w:val="21"/>
          <w:szCs w:val="21"/>
        </w:rPr>
        <w:t>Severin</w:t>
      </w:r>
      <w:proofErr w:type="spellEnd"/>
      <w:r w:rsidRPr="00E11953">
        <w:rPr>
          <w:rFonts w:ascii="Cambria" w:eastAsia="Calibri" w:hAnsi="Cambria" w:cs="Times New Roman"/>
          <w:sz w:val="21"/>
          <w:szCs w:val="21"/>
        </w:rPr>
        <w:t xml:space="preserve"> rights are </w:t>
      </w:r>
      <w:r w:rsidRPr="00E11953">
        <w:rPr>
          <w:rFonts w:ascii="Cambria" w:eastAsia="Calibri" w:hAnsi="Cambria" w:cs="Times New Roman"/>
          <w:i/>
          <w:sz w:val="21"/>
          <w:szCs w:val="21"/>
        </w:rPr>
        <w:t>prima facie</w:t>
      </w:r>
      <w:r w:rsidRPr="00E11953">
        <w:rPr>
          <w:rFonts w:ascii="Cambria" w:eastAsia="Calibri" w:hAnsi="Cambria" w:cs="Times New Roman"/>
          <w:sz w:val="21"/>
          <w:szCs w:val="21"/>
        </w:rPr>
        <w:t xml:space="preserve"> in a situation of grave risk.</w:t>
      </w:r>
    </w:p>
    <w:p w:rsidR="00E11953" w:rsidRDefault="00E11953" w:rsidP="00E11953">
      <w:pPr>
        <w:pStyle w:val="ListParagraph"/>
        <w:rPr>
          <w:rFonts w:ascii="Cambria" w:eastAsia="Calibri" w:hAnsi="Cambria" w:cs="Times New Roman"/>
          <w:sz w:val="21"/>
          <w:szCs w:val="21"/>
        </w:rPr>
      </w:pPr>
    </w:p>
    <w:p w:rsidR="00215100" w:rsidRPr="00E11953" w:rsidRDefault="00E11953" w:rsidP="00E11953">
      <w:pPr>
        <w:widowControl w:val="0"/>
        <w:numPr>
          <w:ilvl w:val="0"/>
          <w:numId w:val="1"/>
        </w:numPr>
        <w:ind w:left="0" w:firstLine="347"/>
        <w:contextualSpacing/>
        <w:jc w:val="both"/>
        <w:rPr>
          <w:rFonts w:ascii="Cambria" w:eastAsia="Calibri" w:hAnsi="Cambria" w:cs="Times New Roman"/>
          <w:sz w:val="21"/>
          <w:szCs w:val="21"/>
        </w:rPr>
      </w:pPr>
      <w:r w:rsidRPr="00E11953">
        <w:rPr>
          <w:rFonts w:ascii="Cambria" w:eastAsia="Calibri" w:hAnsi="Cambria" w:cs="Times New Roman"/>
          <w:sz w:val="21"/>
          <w:szCs w:val="21"/>
        </w:rPr>
        <w:t xml:space="preserve">Regarding the requirement of urgency, the Commission considers that it has been complied with given that, according to the information presented by the applicants, if the Caribbean Court of Justice decides in an unfavorable manner, the execution of the proposed beneficiaries would be imminent. </w:t>
      </w:r>
      <w:r w:rsidR="00A04874">
        <w:rPr>
          <w:rFonts w:ascii="Cambria" w:eastAsia="Calibri" w:hAnsi="Cambria" w:cs="Times New Roman"/>
          <w:sz w:val="21"/>
          <w:szCs w:val="21"/>
        </w:rPr>
        <w:t>As the State has indicated, the</w:t>
      </w:r>
      <w:r w:rsidRPr="00E11953">
        <w:rPr>
          <w:rFonts w:ascii="Cambria" w:eastAsia="Calibri" w:hAnsi="Cambria" w:cs="Times New Roman"/>
          <w:sz w:val="21"/>
          <w:szCs w:val="21"/>
        </w:rPr>
        <w:t xml:space="preserve"> proposed beneficiaries questioned their conviction and sentence before the Caribbean Court of Justice. Understanding </w:t>
      </w:r>
      <w:r w:rsidR="00596BA8">
        <w:rPr>
          <w:rFonts w:ascii="Cambria" w:eastAsia="Calibri" w:hAnsi="Cambria" w:cs="Times New Roman"/>
          <w:sz w:val="21"/>
          <w:szCs w:val="21"/>
        </w:rPr>
        <w:t xml:space="preserve">that this </w:t>
      </w:r>
      <w:r w:rsidRPr="00E11953">
        <w:rPr>
          <w:rFonts w:ascii="Cambria" w:eastAsia="Calibri" w:hAnsi="Cambria" w:cs="Times New Roman"/>
          <w:sz w:val="21"/>
          <w:szCs w:val="21"/>
        </w:rPr>
        <w:t xml:space="preserve">Court </w:t>
      </w:r>
      <w:r w:rsidR="00596BA8">
        <w:rPr>
          <w:rFonts w:ascii="Cambria" w:eastAsia="Calibri" w:hAnsi="Cambria" w:cs="Times New Roman"/>
          <w:sz w:val="21"/>
          <w:szCs w:val="21"/>
        </w:rPr>
        <w:t xml:space="preserve">serves </w:t>
      </w:r>
      <w:r w:rsidRPr="00E11953">
        <w:rPr>
          <w:rFonts w:ascii="Cambria" w:eastAsia="Calibri" w:hAnsi="Cambria" w:cs="Times New Roman"/>
          <w:sz w:val="21"/>
          <w:szCs w:val="21"/>
        </w:rPr>
        <w:t>as the "highest court of appeals</w:t>
      </w:r>
      <w:r w:rsidR="00596BA8">
        <w:rPr>
          <w:rFonts w:ascii="Cambria" w:eastAsia="Calibri" w:hAnsi="Cambria" w:cs="Times New Roman"/>
          <w:sz w:val="21"/>
          <w:szCs w:val="21"/>
        </w:rPr>
        <w:t>,</w:t>
      </w:r>
      <w:r w:rsidRPr="00E11953">
        <w:rPr>
          <w:rFonts w:ascii="Cambria" w:eastAsia="Calibri" w:hAnsi="Cambria" w:cs="Times New Roman"/>
          <w:sz w:val="21"/>
          <w:szCs w:val="21"/>
        </w:rPr>
        <w:t xml:space="preserve">" </w:t>
      </w:r>
      <w:r w:rsidR="00596BA8">
        <w:rPr>
          <w:rFonts w:ascii="Cambria" w:eastAsia="Calibri" w:hAnsi="Cambria" w:cs="Times New Roman"/>
          <w:sz w:val="21"/>
          <w:szCs w:val="21"/>
        </w:rPr>
        <w:t xml:space="preserve">having </w:t>
      </w:r>
      <w:r w:rsidRPr="00E11953">
        <w:rPr>
          <w:rFonts w:ascii="Cambria" w:eastAsia="Calibri" w:hAnsi="Cambria" w:cs="Times New Roman"/>
          <w:sz w:val="21"/>
          <w:szCs w:val="21"/>
        </w:rPr>
        <w:t xml:space="preserve">replaced the Judicial Committee of the Privy Council in 2005, the Commission </w:t>
      </w:r>
      <w:r w:rsidR="00596BA8">
        <w:rPr>
          <w:rFonts w:ascii="Cambria" w:eastAsia="Calibri" w:hAnsi="Cambria" w:cs="Times New Roman"/>
          <w:sz w:val="21"/>
          <w:szCs w:val="21"/>
        </w:rPr>
        <w:t xml:space="preserve">considers that in the event of an unfavorable result there would be no other instance before which the decision could be appealed within the domestic system. The Commission notes </w:t>
      </w:r>
      <w:r w:rsidRPr="00E11953">
        <w:rPr>
          <w:rFonts w:ascii="Cambria" w:eastAsia="Calibri" w:hAnsi="Cambria" w:cs="Times New Roman"/>
          <w:sz w:val="21"/>
          <w:szCs w:val="21"/>
        </w:rPr>
        <w:t xml:space="preserve">that, </w:t>
      </w:r>
      <w:r w:rsidR="00596BA8">
        <w:rPr>
          <w:rFonts w:ascii="Cambria" w:eastAsia="Calibri" w:hAnsi="Cambria" w:cs="Times New Roman"/>
          <w:sz w:val="21"/>
          <w:szCs w:val="21"/>
        </w:rPr>
        <w:t xml:space="preserve">years ago </w:t>
      </w:r>
      <w:r w:rsidRPr="00E11953">
        <w:rPr>
          <w:rFonts w:ascii="Cambria" w:eastAsia="Calibri" w:hAnsi="Cambria" w:cs="Times New Roman"/>
          <w:sz w:val="21"/>
          <w:szCs w:val="21"/>
        </w:rPr>
        <w:t>the Judicial Committee of the Privy Council "stated that if it were not for the exclusion clause [established in the Constitution of Barbados], it would have declared that the mandatory death penalty goes against the constitutional right not to be subjected to a cruel, inhuman and degrading punishment</w:t>
      </w:r>
      <w:r w:rsidR="00596BA8">
        <w:rPr>
          <w:rFonts w:ascii="Cambria" w:eastAsia="Calibri" w:hAnsi="Cambria" w:cs="Times New Roman"/>
          <w:sz w:val="21"/>
          <w:szCs w:val="21"/>
        </w:rPr>
        <w:t>.</w:t>
      </w:r>
      <w:r w:rsidRPr="00E11953">
        <w:rPr>
          <w:rFonts w:ascii="Cambria" w:eastAsia="Calibri" w:hAnsi="Cambria" w:cs="Times New Roman"/>
          <w:sz w:val="21"/>
          <w:szCs w:val="21"/>
        </w:rPr>
        <w:t>"</w:t>
      </w:r>
      <w:r w:rsidR="00DA0426">
        <w:rPr>
          <w:rStyle w:val="FootnoteReference"/>
          <w:rFonts w:ascii="Cambria" w:eastAsia="Calibri" w:hAnsi="Cambria" w:cs="Times New Roman"/>
          <w:sz w:val="21"/>
          <w:szCs w:val="21"/>
        </w:rPr>
        <w:footnoteReference w:id="13"/>
      </w:r>
      <w:r w:rsidRPr="00E11953">
        <w:rPr>
          <w:rFonts w:ascii="Cambria" w:eastAsia="Calibri" w:hAnsi="Cambria" w:cs="Times New Roman"/>
          <w:sz w:val="21"/>
          <w:szCs w:val="21"/>
        </w:rPr>
        <w:t xml:space="preserve"> Additionally, the Commission takes into account when determining the urgency of the situation the impact that the </w:t>
      </w:r>
      <w:r w:rsidR="00596BA8">
        <w:rPr>
          <w:rFonts w:ascii="Cambria" w:eastAsia="Calibri" w:hAnsi="Cambria" w:cs="Times New Roman"/>
          <w:sz w:val="21"/>
          <w:szCs w:val="21"/>
        </w:rPr>
        <w:t xml:space="preserve">continuing time on </w:t>
      </w:r>
      <w:r w:rsidRPr="00E11953">
        <w:rPr>
          <w:rFonts w:ascii="Cambria" w:eastAsia="Calibri" w:hAnsi="Cambria" w:cs="Times New Roman"/>
          <w:sz w:val="21"/>
          <w:szCs w:val="21"/>
        </w:rPr>
        <w:t>death row has on the proposed beneficiaries in the circumstances previously described.</w:t>
      </w:r>
    </w:p>
    <w:p w:rsidR="009310A0" w:rsidRDefault="009310A0" w:rsidP="009310A0">
      <w:pPr>
        <w:widowControl w:val="0"/>
        <w:ind w:left="347"/>
        <w:contextualSpacing/>
        <w:jc w:val="both"/>
        <w:rPr>
          <w:rFonts w:ascii="Cambria" w:eastAsia="Calibri" w:hAnsi="Cambria" w:cs="Times New Roman"/>
          <w:sz w:val="21"/>
          <w:szCs w:val="21"/>
        </w:rPr>
      </w:pPr>
    </w:p>
    <w:p w:rsidR="00215100" w:rsidRPr="00EF5C0D" w:rsidRDefault="00EF5C0D" w:rsidP="00EF5C0D">
      <w:pPr>
        <w:widowControl w:val="0"/>
        <w:numPr>
          <w:ilvl w:val="0"/>
          <w:numId w:val="1"/>
        </w:numPr>
        <w:ind w:left="0" w:firstLine="347"/>
        <w:contextualSpacing/>
        <w:jc w:val="both"/>
        <w:rPr>
          <w:rFonts w:ascii="Cambria" w:eastAsia="Calibri" w:hAnsi="Cambria" w:cs="Times New Roman"/>
          <w:sz w:val="21"/>
          <w:szCs w:val="21"/>
        </w:rPr>
      </w:pPr>
      <w:r w:rsidRPr="00C534A6">
        <w:rPr>
          <w:rFonts w:ascii="Cambria" w:eastAsia="Calibri" w:hAnsi="Cambria" w:cs="Times New Roman"/>
          <w:sz w:val="21"/>
          <w:szCs w:val="21"/>
        </w:rPr>
        <w:t xml:space="preserve">Regarding the requirement of irreparable </w:t>
      </w:r>
      <w:r>
        <w:rPr>
          <w:rFonts w:ascii="Cambria" w:eastAsia="Calibri" w:hAnsi="Cambria" w:cs="Times New Roman"/>
          <w:sz w:val="21"/>
          <w:szCs w:val="21"/>
        </w:rPr>
        <w:t>harm</w:t>
      </w:r>
      <w:r w:rsidRPr="00C534A6">
        <w:rPr>
          <w:rFonts w:ascii="Cambria" w:eastAsia="Calibri" w:hAnsi="Cambria" w:cs="Times New Roman"/>
          <w:sz w:val="21"/>
          <w:szCs w:val="21"/>
        </w:rPr>
        <w:t xml:space="preserve">, the Commission considers that it is complied with, to the extent that the possible effects on the rights to life and personal integrity constitute the maximum </w:t>
      </w:r>
      <w:r w:rsidRPr="00EF5C0D">
        <w:rPr>
          <w:rFonts w:ascii="Cambria" w:hAnsi="Cambria"/>
          <w:sz w:val="21"/>
          <w:szCs w:val="21"/>
        </w:rPr>
        <w:t>situation</w:t>
      </w:r>
      <w:r w:rsidRPr="00C534A6">
        <w:rPr>
          <w:rFonts w:ascii="Cambria" w:eastAsia="Calibri" w:hAnsi="Cambria" w:cs="Times New Roman"/>
          <w:sz w:val="21"/>
          <w:szCs w:val="21"/>
        </w:rPr>
        <w:t xml:space="preserve"> of irreparability. The Commission takes into account </w:t>
      </w:r>
      <w:r w:rsidR="0026206D">
        <w:rPr>
          <w:rFonts w:ascii="Cambria" w:eastAsia="Calibri" w:hAnsi="Cambria" w:cs="Times New Roman"/>
          <w:sz w:val="21"/>
          <w:szCs w:val="21"/>
        </w:rPr>
        <w:t>that if the proposed beneficiaries are</w:t>
      </w:r>
      <w:r w:rsidRPr="00C534A6">
        <w:rPr>
          <w:rFonts w:ascii="Cambria" w:eastAsia="Calibri" w:hAnsi="Cambria" w:cs="Times New Roman"/>
          <w:sz w:val="21"/>
          <w:szCs w:val="21"/>
        </w:rPr>
        <w:t xml:space="preserve"> executed before the Commission has had the opportunity to evaluate the petition in its entirety, the final decision would be ineffective, since the situation of irreparable damage would have materialized.</w:t>
      </w:r>
    </w:p>
    <w:p w:rsidR="00215100" w:rsidRPr="00EF5C0D" w:rsidRDefault="00215100" w:rsidP="00215100">
      <w:pPr>
        <w:pStyle w:val="ListParagraph"/>
        <w:spacing w:after="160"/>
        <w:jc w:val="both"/>
        <w:rPr>
          <w:rFonts w:ascii="Cambria" w:eastAsia="Calibri" w:hAnsi="Cambria" w:cs="Times New Roman"/>
          <w:sz w:val="21"/>
          <w:szCs w:val="21"/>
        </w:rPr>
      </w:pPr>
    </w:p>
    <w:p w:rsidR="00EF5C0D" w:rsidRPr="006B5098" w:rsidRDefault="00EF5C0D" w:rsidP="00EF5C0D">
      <w:pPr>
        <w:pStyle w:val="ListParagraph"/>
        <w:widowControl w:val="0"/>
        <w:numPr>
          <w:ilvl w:val="0"/>
          <w:numId w:val="2"/>
        </w:numPr>
        <w:jc w:val="both"/>
        <w:rPr>
          <w:rFonts w:ascii="Cambria" w:hAnsi="Cambria"/>
          <w:b/>
          <w:bCs/>
          <w:sz w:val="20"/>
          <w:szCs w:val="20"/>
          <w:lang w:val="es-AR"/>
        </w:rPr>
      </w:pPr>
      <w:r w:rsidRPr="00374E43">
        <w:rPr>
          <w:rFonts w:ascii="Cambria" w:hAnsi="Cambria"/>
          <w:b/>
          <w:bCs/>
          <w:sz w:val="20"/>
          <w:szCs w:val="20"/>
          <w:lang w:val="es-AR"/>
        </w:rPr>
        <w:t>BENEFICIARIES</w:t>
      </w:r>
    </w:p>
    <w:p w:rsidR="00215100" w:rsidRPr="006B5098" w:rsidRDefault="00215100" w:rsidP="00EF5C0D">
      <w:pPr>
        <w:pStyle w:val="ListParagraph"/>
        <w:rPr>
          <w:rFonts w:ascii="Cambria" w:hAnsi="Cambria"/>
          <w:sz w:val="20"/>
          <w:szCs w:val="20"/>
          <w:lang w:val="es-AR"/>
        </w:rPr>
      </w:pPr>
    </w:p>
    <w:p w:rsidR="00215100" w:rsidRPr="004546C9" w:rsidRDefault="00EF5C0D" w:rsidP="004546C9">
      <w:pPr>
        <w:pStyle w:val="ListParagraph"/>
        <w:widowControl w:val="0"/>
        <w:numPr>
          <w:ilvl w:val="0"/>
          <w:numId w:val="1"/>
        </w:numPr>
        <w:ind w:left="0" w:firstLine="540"/>
        <w:jc w:val="both"/>
        <w:rPr>
          <w:rFonts w:ascii="Cambria" w:hAnsi="Cambria"/>
          <w:sz w:val="21"/>
          <w:szCs w:val="21"/>
        </w:rPr>
      </w:pPr>
      <w:r w:rsidRPr="004546C9">
        <w:rPr>
          <w:rFonts w:ascii="Cambria" w:hAnsi="Cambria"/>
          <w:sz w:val="21"/>
          <w:szCs w:val="21"/>
        </w:rPr>
        <w:t>The Inter-</w:t>
      </w:r>
      <w:r w:rsidRPr="004546C9">
        <w:rPr>
          <w:rFonts w:ascii="Cambria" w:eastAsia="Calibri" w:hAnsi="Cambria" w:cs="Times New Roman"/>
          <w:sz w:val="21"/>
          <w:szCs w:val="21"/>
        </w:rPr>
        <w:t>American</w:t>
      </w:r>
      <w:r w:rsidRPr="004546C9">
        <w:rPr>
          <w:rFonts w:ascii="Cambria" w:hAnsi="Cambria"/>
          <w:sz w:val="21"/>
          <w:szCs w:val="21"/>
        </w:rPr>
        <w:t xml:space="preserve"> Commission declares as beneficiaries </w:t>
      </w:r>
      <w:r w:rsidR="004546C9" w:rsidRPr="004546C9">
        <w:rPr>
          <w:rFonts w:ascii="Cambria" w:hAnsi="Cambria"/>
          <w:sz w:val="21"/>
          <w:szCs w:val="21"/>
        </w:rPr>
        <w:t xml:space="preserve">Dwayne </w:t>
      </w:r>
      <w:r w:rsidRPr="004546C9">
        <w:rPr>
          <w:rFonts w:ascii="Cambria" w:hAnsi="Cambria"/>
          <w:sz w:val="21"/>
          <w:szCs w:val="21"/>
        </w:rPr>
        <w:t xml:space="preserve">Omar </w:t>
      </w:r>
      <w:proofErr w:type="spellStart"/>
      <w:r w:rsidRPr="004546C9">
        <w:rPr>
          <w:rFonts w:ascii="Cambria" w:hAnsi="Cambria"/>
          <w:sz w:val="21"/>
          <w:szCs w:val="21"/>
        </w:rPr>
        <w:t>Severin</w:t>
      </w:r>
      <w:proofErr w:type="spellEnd"/>
      <w:r w:rsidRPr="004546C9">
        <w:rPr>
          <w:rFonts w:ascii="Cambria" w:hAnsi="Cambria"/>
          <w:sz w:val="21"/>
          <w:szCs w:val="21"/>
        </w:rPr>
        <w:t xml:space="preserve"> and Jabari </w:t>
      </w:r>
      <w:proofErr w:type="spellStart"/>
      <w:r w:rsidRPr="004546C9">
        <w:rPr>
          <w:rFonts w:ascii="Cambria" w:hAnsi="Cambria"/>
          <w:sz w:val="21"/>
          <w:szCs w:val="21"/>
        </w:rPr>
        <w:t>Sensimania</w:t>
      </w:r>
      <w:proofErr w:type="spellEnd"/>
      <w:r w:rsidRPr="004546C9">
        <w:rPr>
          <w:rFonts w:ascii="Cambria" w:hAnsi="Cambria"/>
          <w:sz w:val="21"/>
          <w:szCs w:val="21"/>
        </w:rPr>
        <w:t xml:space="preserve"> </w:t>
      </w:r>
      <w:proofErr w:type="spellStart"/>
      <w:r w:rsidRPr="004546C9">
        <w:rPr>
          <w:rFonts w:ascii="Cambria" w:hAnsi="Cambria"/>
          <w:sz w:val="21"/>
          <w:szCs w:val="21"/>
        </w:rPr>
        <w:t>Nervais</w:t>
      </w:r>
      <w:proofErr w:type="spellEnd"/>
      <w:r w:rsidRPr="004546C9">
        <w:rPr>
          <w:rFonts w:ascii="Cambria" w:hAnsi="Cambria"/>
          <w:sz w:val="21"/>
          <w:szCs w:val="21"/>
        </w:rPr>
        <w:t>, who are duly identified in the present proceedings.</w:t>
      </w:r>
    </w:p>
    <w:p w:rsidR="00215100" w:rsidRPr="00EF5C0D" w:rsidRDefault="00215100" w:rsidP="00215100">
      <w:pPr>
        <w:widowControl w:val="0"/>
        <w:jc w:val="both"/>
        <w:rPr>
          <w:rFonts w:ascii="Cambria" w:hAnsi="Cambria"/>
          <w:sz w:val="20"/>
          <w:szCs w:val="20"/>
        </w:rPr>
      </w:pPr>
    </w:p>
    <w:p w:rsidR="00215100" w:rsidRPr="00EF5C0D" w:rsidRDefault="00EF5C0D" w:rsidP="00EF5C0D">
      <w:pPr>
        <w:pStyle w:val="ListParagraph"/>
        <w:numPr>
          <w:ilvl w:val="0"/>
          <w:numId w:val="2"/>
        </w:numPr>
        <w:rPr>
          <w:rFonts w:ascii="Cambria" w:hAnsi="Cambria"/>
          <w:b/>
          <w:bCs/>
          <w:sz w:val="20"/>
          <w:szCs w:val="20"/>
          <w:lang w:val="es-AR"/>
        </w:rPr>
      </w:pPr>
      <w:r w:rsidRPr="00E9789D">
        <w:rPr>
          <w:rFonts w:ascii="Cambria" w:hAnsi="Cambria"/>
          <w:b/>
          <w:bCs/>
          <w:sz w:val="20"/>
          <w:szCs w:val="20"/>
        </w:rPr>
        <w:t xml:space="preserve"> </w:t>
      </w:r>
      <w:r w:rsidRPr="00EF5C0D">
        <w:rPr>
          <w:rFonts w:ascii="Cambria" w:hAnsi="Cambria"/>
          <w:b/>
          <w:bCs/>
          <w:sz w:val="20"/>
          <w:szCs w:val="20"/>
          <w:lang w:val="es-AR"/>
        </w:rPr>
        <w:t>DECISION</w:t>
      </w:r>
    </w:p>
    <w:p w:rsidR="00215100" w:rsidRPr="006B5098" w:rsidRDefault="00215100" w:rsidP="00215100">
      <w:pPr>
        <w:widowControl w:val="0"/>
        <w:jc w:val="both"/>
        <w:rPr>
          <w:rFonts w:ascii="Cambria" w:hAnsi="Cambria"/>
          <w:sz w:val="20"/>
          <w:szCs w:val="20"/>
          <w:lang w:val="es-AR"/>
        </w:rPr>
      </w:pPr>
    </w:p>
    <w:p w:rsidR="00A73805" w:rsidRPr="00374E43" w:rsidRDefault="00A73805" w:rsidP="00A73805">
      <w:pPr>
        <w:pStyle w:val="ListParagraph"/>
        <w:widowControl w:val="0"/>
        <w:numPr>
          <w:ilvl w:val="0"/>
          <w:numId w:val="1"/>
        </w:numPr>
        <w:ind w:left="0" w:firstLine="360"/>
        <w:jc w:val="both"/>
        <w:rPr>
          <w:rFonts w:ascii="Cambria" w:hAnsi="Cambria"/>
          <w:sz w:val="21"/>
          <w:szCs w:val="21"/>
        </w:rPr>
      </w:pPr>
      <w:r>
        <w:rPr>
          <w:rFonts w:ascii="Cambria" w:hAnsi="Cambria"/>
          <w:sz w:val="21"/>
          <w:szCs w:val="21"/>
        </w:rPr>
        <w:t>I</w:t>
      </w:r>
      <w:r w:rsidRPr="00374E43">
        <w:rPr>
          <w:rFonts w:ascii="Cambria" w:hAnsi="Cambria"/>
          <w:sz w:val="21"/>
          <w:szCs w:val="21"/>
        </w:rPr>
        <w:t xml:space="preserve">n view of the aforementioned background information, the IACHR considers that the present matter meets </w:t>
      </w:r>
      <w:r w:rsidRPr="003C3D59">
        <w:rPr>
          <w:rFonts w:ascii="Cambria" w:hAnsi="Cambria"/>
          <w:i/>
          <w:sz w:val="21"/>
          <w:szCs w:val="21"/>
        </w:rPr>
        <w:t>prima facie</w:t>
      </w:r>
      <w:r w:rsidRPr="00374E43">
        <w:rPr>
          <w:rFonts w:ascii="Cambria" w:hAnsi="Cambria"/>
          <w:sz w:val="21"/>
          <w:szCs w:val="21"/>
        </w:rPr>
        <w:t xml:space="preserve"> the requirements of seriousness, urgency and risk of irreparable harm established in Article 25 of the Rules of Procedure. Consequently, the Commission reque</w:t>
      </w:r>
      <w:r w:rsidR="0026206D">
        <w:rPr>
          <w:rFonts w:ascii="Cambria" w:hAnsi="Cambria"/>
          <w:sz w:val="21"/>
          <w:szCs w:val="21"/>
        </w:rPr>
        <w:t>sts that the State of Barbados:</w:t>
      </w:r>
    </w:p>
    <w:p w:rsidR="00215100" w:rsidRPr="003C3D59" w:rsidRDefault="00215100" w:rsidP="00215100">
      <w:pPr>
        <w:pStyle w:val="ListParagraph"/>
        <w:widowControl w:val="0"/>
        <w:ind w:left="360"/>
        <w:jc w:val="both"/>
        <w:rPr>
          <w:rFonts w:ascii="Cambria" w:hAnsi="Cambria"/>
          <w:sz w:val="21"/>
          <w:szCs w:val="21"/>
        </w:rPr>
      </w:pPr>
    </w:p>
    <w:p w:rsidR="00E0677B" w:rsidRDefault="00E0677B" w:rsidP="00E0677B">
      <w:pPr>
        <w:pStyle w:val="ListParagraph"/>
        <w:widowControl w:val="0"/>
        <w:numPr>
          <w:ilvl w:val="0"/>
          <w:numId w:val="10"/>
        </w:numPr>
        <w:jc w:val="both"/>
        <w:rPr>
          <w:rFonts w:ascii="Cambria" w:hAnsi="Cambria"/>
          <w:sz w:val="21"/>
          <w:szCs w:val="21"/>
        </w:rPr>
      </w:pPr>
      <w:r w:rsidRPr="00E0677B">
        <w:rPr>
          <w:rFonts w:ascii="Cambria" w:hAnsi="Cambria"/>
          <w:sz w:val="21"/>
          <w:szCs w:val="21"/>
        </w:rPr>
        <w:t>Refrain from executing the death penalty imposed on Messrs</w:t>
      </w:r>
      <w:r w:rsidR="00CC3780">
        <w:rPr>
          <w:rFonts w:ascii="Cambria" w:hAnsi="Cambria"/>
          <w:sz w:val="21"/>
          <w:szCs w:val="21"/>
        </w:rPr>
        <w:t>.</w:t>
      </w:r>
      <w:r w:rsidRPr="00E0677B">
        <w:rPr>
          <w:rFonts w:ascii="Cambria" w:hAnsi="Cambria"/>
          <w:sz w:val="21"/>
          <w:szCs w:val="21"/>
        </w:rPr>
        <w:t xml:space="preserve"> Dwayne Omar </w:t>
      </w:r>
      <w:proofErr w:type="spellStart"/>
      <w:r w:rsidRPr="00E0677B">
        <w:rPr>
          <w:rFonts w:ascii="Cambria" w:hAnsi="Cambria"/>
          <w:sz w:val="21"/>
          <w:szCs w:val="21"/>
        </w:rPr>
        <w:t>Severin</w:t>
      </w:r>
      <w:proofErr w:type="spellEnd"/>
      <w:r w:rsidRPr="00E0677B">
        <w:rPr>
          <w:rFonts w:ascii="Cambria" w:hAnsi="Cambria"/>
          <w:sz w:val="21"/>
          <w:szCs w:val="21"/>
        </w:rPr>
        <w:t xml:space="preserve"> and Jabari </w:t>
      </w:r>
      <w:proofErr w:type="spellStart"/>
      <w:r w:rsidRPr="00E0677B">
        <w:rPr>
          <w:rFonts w:ascii="Cambria" w:hAnsi="Cambria"/>
          <w:sz w:val="21"/>
          <w:szCs w:val="21"/>
        </w:rPr>
        <w:t>Sensimania</w:t>
      </w:r>
      <w:proofErr w:type="spellEnd"/>
      <w:r w:rsidRPr="00E0677B">
        <w:rPr>
          <w:rFonts w:ascii="Cambria" w:hAnsi="Cambria"/>
          <w:sz w:val="21"/>
          <w:szCs w:val="21"/>
        </w:rPr>
        <w:t xml:space="preserve"> </w:t>
      </w:r>
      <w:proofErr w:type="spellStart"/>
      <w:r w:rsidRPr="00E0677B">
        <w:rPr>
          <w:rFonts w:ascii="Cambria" w:hAnsi="Cambria"/>
          <w:sz w:val="21"/>
          <w:szCs w:val="21"/>
        </w:rPr>
        <w:t>Nervais</w:t>
      </w:r>
      <w:proofErr w:type="spellEnd"/>
      <w:r w:rsidRPr="00E0677B">
        <w:rPr>
          <w:rFonts w:ascii="Cambria" w:hAnsi="Cambria"/>
          <w:sz w:val="21"/>
          <w:szCs w:val="21"/>
        </w:rPr>
        <w:t xml:space="preserve"> until the IACHR </w:t>
      </w:r>
      <w:r w:rsidR="00965076">
        <w:rPr>
          <w:rFonts w:ascii="Cambria" w:hAnsi="Cambria"/>
          <w:sz w:val="21"/>
          <w:szCs w:val="21"/>
        </w:rPr>
        <w:t>has ruled on their petition</w:t>
      </w:r>
      <w:r w:rsidRPr="00E0677B">
        <w:rPr>
          <w:rFonts w:ascii="Cambria" w:hAnsi="Cambria"/>
          <w:sz w:val="21"/>
          <w:szCs w:val="21"/>
        </w:rPr>
        <w:t xml:space="preserve">; </w:t>
      </w:r>
    </w:p>
    <w:p w:rsidR="00E0677B" w:rsidRDefault="00E0677B" w:rsidP="00E0677B">
      <w:pPr>
        <w:pStyle w:val="ListParagraph"/>
        <w:widowControl w:val="0"/>
        <w:ind w:left="1080"/>
        <w:jc w:val="both"/>
        <w:rPr>
          <w:rFonts w:ascii="Cambria" w:hAnsi="Cambria"/>
          <w:sz w:val="21"/>
          <w:szCs w:val="21"/>
        </w:rPr>
      </w:pPr>
    </w:p>
    <w:p w:rsidR="00E0677B" w:rsidRDefault="00E0677B" w:rsidP="00E0677B">
      <w:pPr>
        <w:pStyle w:val="ListParagraph"/>
        <w:widowControl w:val="0"/>
        <w:numPr>
          <w:ilvl w:val="0"/>
          <w:numId w:val="10"/>
        </w:numPr>
        <w:jc w:val="both"/>
        <w:rPr>
          <w:rFonts w:ascii="Cambria" w:hAnsi="Cambria"/>
          <w:sz w:val="21"/>
          <w:szCs w:val="21"/>
        </w:rPr>
      </w:pPr>
      <w:r w:rsidRPr="00E0677B">
        <w:rPr>
          <w:rFonts w:ascii="Cambria" w:hAnsi="Cambria"/>
          <w:sz w:val="21"/>
          <w:szCs w:val="21"/>
        </w:rPr>
        <w:t>Adopt the necessary measures to preserve the li</w:t>
      </w:r>
      <w:r w:rsidR="00E70801">
        <w:rPr>
          <w:rFonts w:ascii="Cambria" w:hAnsi="Cambria"/>
          <w:sz w:val="21"/>
          <w:szCs w:val="21"/>
        </w:rPr>
        <w:t>v</w:t>
      </w:r>
      <w:r w:rsidRPr="00E0677B">
        <w:rPr>
          <w:rFonts w:ascii="Cambria" w:hAnsi="Cambria"/>
          <w:sz w:val="21"/>
          <w:szCs w:val="21"/>
        </w:rPr>
        <w:t xml:space="preserve">es and personal integrity of Messrs. Dwayne Omar </w:t>
      </w:r>
      <w:proofErr w:type="spellStart"/>
      <w:r w:rsidRPr="00E0677B">
        <w:rPr>
          <w:rFonts w:ascii="Cambria" w:hAnsi="Cambria"/>
          <w:sz w:val="21"/>
          <w:szCs w:val="21"/>
        </w:rPr>
        <w:t>Severin</w:t>
      </w:r>
      <w:proofErr w:type="spellEnd"/>
      <w:r w:rsidRPr="00E0677B">
        <w:rPr>
          <w:rFonts w:ascii="Cambria" w:hAnsi="Cambria"/>
          <w:sz w:val="21"/>
          <w:szCs w:val="21"/>
        </w:rPr>
        <w:t xml:space="preserve"> and Jabari </w:t>
      </w:r>
      <w:proofErr w:type="spellStart"/>
      <w:r w:rsidRPr="00E0677B">
        <w:rPr>
          <w:rFonts w:ascii="Cambria" w:hAnsi="Cambria"/>
          <w:sz w:val="21"/>
          <w:szCs w:val="21"/>
        </w:rPr>
        <w:t>Sensimania</w:t>
      </w:r>
      <w:proofErr w:type="spellEnd"/>
      <w:r w:rsidRPr="00E0677B">
        <w:rPr>
          <w:rFonts w:ascii="Cambria" w:hAnsi="Cambria"/>
          <w:sz w:val="21"/>
          <w:szCs w:val="21"/>
        </w:rPr>
        <w:t xml:space="preserve"> </w:t>
      </w:r>
      <w:proofErr w:type="spellStart"/>
      <w:r w:rsidRPr="00E0677B">
        <w:rPr>
          <w:rFonts w:ascii="Cambria" w:hAnsi="Cambria"/>
          <w:sz w:val="21"/>
          <w:szCs w:val="21"/>
        </w:rPr>
        <w:t>Nervais</w:t>
      </w:r>
      <w:proofErr w:type="spellEnd"/>
      <w:r w:rsidRPr="00E0677B">
        <w:rPr>
          <w:rFonts w:ascii="Cambria" w:hAnsi="Cambria"/>
          <w:sz w:val="21"/>
          <w:szCs w:val="21"/>
        </w:rPr>
        <w:t xml:space="preserve">, especially due to the impact that death row </w:t>
      </w:r>
      <w:r w:rsidR="00E70801">
        <w:rPr>
          <w:rFonts w:ascii="Cambria" w:hAnsi="Cambria"/>
          <w:sz w:val="21"/>
          <w:szCs w:val="21"/>
        </w:rPr>
        <w:t xml:space="preserve">would have on </w:t>
      </w:r>
      <w:r w:rsidRPr="00E0677B">
        <w:rPr>
          <w:rFonts w:ascii="Cambria" w:hAnsi="Cambria"/>
          <w:sz w:val="21"/>
          <w:szCs w:val="21"/>
        </w:rPr>
        <w:t xml:space="preserve">their personal integrity, which may include transferring the </w:t>
      </w:r>
      <w:r w:rsidRPr="00E0677B">
        <w:rPr>
          <w:rFonts w:ascii="Cambria" w:hAnsi="Cambria"/>
          <w:sz w:val="21"/>
          <w:szCs w:val="21"/>
        </w:rPr>
        <w:lastRenderedPageBreak/>
        <w:t>proposed beneficiar</w:t>
      </w:r>
      <w:r w:rsidR="00E70801">
        <w:rPr>
          <w:rFonts w:ascii="Cambria" w:hAnsi="Cambria"/>
          <w:sz w:val="21"/>
          <w:szCs w:val="21"/>
        </w:rPr>
        <w:t>ies</w:t>
      </w:r>
      <w:r w:rsidRPr="00E0677B">
        <w:rPr>
          <w:rFonts w:ascii="Cambria" w:hAnsi="Cambria"/>
          <w:sz w:val="21"/>
          <w:szCs w:val="21"/>
        </w:rPr>
        <w:t xml:space="preserve"> to another detention center that meets the corresponding international standards; and </w:t>
      </w:r>
    </w:p>
    <w:p w:rsidR="00E0677B" w:rsidRDefault="00E0677B" w:rsidP="00E0677B">
      <w:pPr>
        <w:pStyle w:val="ListParagraph"/>
        <w:widowControl w:val="0"/>
        <w:ind w:left="1080"/>
        <w:jc w:val="both"/>
        <w:rPr>
          <w:rFonts w:ascii="Cambria" w:hAnsi="Cambria"/>
          <w:sz w:val="21"/>
          <w:szCs w:val="21"/>
        </w:rPr>
      </w:pPr>
    </w:p>
    <w:p w:rsidR="00E0677B" w:rsidRDefault="00965076" w:rsidP="00E0677B">
      <w:pPr>
        <w:pStyle w:val="ListParagraph"/>
        <w:widowControl w:val="0"/>
        <w:numPr>
          <w:ilvl w:val="0"/>
          <w:numId w:val="10"/>
        </w:numPr>
        <w:jc w:val="both"/>
        <w:rPr>
          <w:rFonts w:ascii="Cambria" w:hAnsi="Cambria"/>
          <w:sz w:val="21"/>
          <w:szCs w:val="21"/>
        </w:rPr>
      </w:pPr>
      <w:r>
        <w:rPr>
          <w:rFonts w:ascii="Cambria" w:hAnsi="Cambria"/>
          <w:sz w:val="21"/>
          <w:szCs w:val="21"/>
        </w:rPr>
        <w:t>Agree</w:t>
      </w:r>
      <w:r w:rsidR="00E0677B" w:rsidRPr="00E0677B">
        <w:rPr>
          <w:rFonts w:ascii="Cambria" w:hAnsi="Cambria"/>
          <w:sz w:val="21"/>
          <w:szCs w:val="21"/>
        </w:rPr>
        <w:t xml:space="preserve"> upon the measures to be adopted with the beneficiaries and their representatives.</w:t>
      </w:r>
    </w:p>
    <w:p w:rsidR="00215100" w:rsidRPr="00A73805" w:rsidRDefault="00215100" w:rsidP="009971DE">
      <w:pPr>
        <w:pStyle w:val="ListParagraph"/>
        <w:widowControl w:val="0"/>
        <w:ind w:left="0" w:firstLine="360"/>
        <w:jc w:val="both"/>
        <w:rPr>
          <w:rFonts w:ascii="Cambria" w:hAnsi="Cambria"/>
          <w:sz w:val="21"/>
          <w:szCs w:val="21"/>
        </w:rPr>
      </w:pPr>
      <w:r w:rsidRPr="00A73805">
        <w:rPr>
          <w:rFonts w:ascii="Cambria" w:hAnsi="Cambria"/>
          <w:sz w:val="21"/>
          <w:szCs w:val="21"/>
        </w:rPr>
        <w:tab/>
      </w:r>
    </w:p>
    <w:p w:rsidR="00A73805" w:rsidRPr="00543AED" w:rsidRDefault="00A73805" w:rsidP="00A73805">
      <w:pPr>
        <w:pStyle w:val="ListParagraph"/>
        <w:widowControl w:val="0"/>
        <w:numPr>
          <w:ilvl w:val="0"/>
          <w:numId w:val="1"/>
        </w:numPr>
        <w:ind w:left="0" w:firstLine="360"/>
        <w:jc w:val="both"/>
        <w:rPr>
          <w:rFonts w:ascii="Cambria" w:hAnsi="Cambria"/>
          <w:sz w:val="21"/>
          <w:szCs w:val="21"/>
        </w:rPr>
      </w:pPr>
      <w:r w:rsidRPr="00543AED">
        <w:rPr>
          <w:rFonts w:ascii="Cambria" w:hAnsi="Cambria"/>
          <w:sz w:val="21"/>
          <w:szCs w:val="21"/>
        </w:rPr>
        <w:t>The Commission also requests that the Government of Barbados</w:t>
      </w:r>
      <w:r w:rsidR="009971DE">
        <w:rPr>
          <w:rFonts w:ascii="Cambria" w:hAnsi="Cambria"/>
          <w:sz w:val="21"/>
          <w:szCs w:val="21"/>
        </w:rPr>
        <w:t xml:space="preserve"> to </w:t>
      </w:r>
      <w:r w:rsidRPr="00543AED">
        <w:rPr>
          <w:rFonts w:ascii="Cambria" w:hAnsi="Cambria"/>
          <w:sz w:val="21"/>
          <w:szCs w:val="21"/>
        </w:rPr>
        <w:t xml:space="preserve">inform the Commission within a period of </w:t>
      </w:r>
      <w:r w:rsidR="00603C66">
        <w:rPr>
          <w:rFonts w:ascii="Cambria" w:hAnsi="Cambria"/>
          <w:sz w:val="21"/>
          <w:szCs w:val="21"/>
        </w:rPr>
        <w:t>15</w:t>
      </w:r>
      <w:r w:rsidRPr="00543AED">
        <w:rPr>
          <w:rFonts w:ascii="Cambria" w:hAnsi="Cambria"/>
          <w:sz w:val="21"/>
          <w:szCs w:val="21"/>
        </w:rPr>
        <w:t xml:space="preserve"> days, as from the date of notification of the present resolution, regarding the adoption of the precautionary measures that have been consulted with and agreed upon and to period</w:t>
      </w:r>
      <w:r w:rsidR="0026206D">
        <w:rPr>
          <w:rFonts w:ascii="Cambria" w:hAnsi="Cambria"/>
          <w:sz w:val="21"/>
          <w:szCs w:val="21"/>
        </w:rPr>
        <w:t>ically update this information.</w:t>
      </w:r>
    </w:p>
    <w:p w:rsidR="00215100" w:rsidRPr="00A73805" w:rsidRDefault="00215100" w:rsidP="00215100">
      <w:pPr>
        <w:widowControl w:val="0"/>
        <w:ind w:firstLine="360"/>
        <w:jc w:val="both"/>
        <w:rPr>
          <w:rFonts w:ascii="Cambria" w:hAnsi="Cambria"/>
          <w:sz w:val="21"/>
          <w:szCs w:val="21"/>
        </w:rPr>
      </w:pPr>
    </w:p>
    <w:p w:rsidR="00215100" w:rsidRPr="00A73805" w:rsidRDefault="00A73805" w:rsidP="00A73805">
      <w:pPr>
        <w:pStyle w:val="ListParagraph"/>
        <w:widowControl w:val="0"/>
        <w:numPr>
          <w:ilvl w:val="0"/>
          <w:numId w:val="1"/>
        </w:numPr>
        <w:ind w:left="0" w:firstLine="360"/>
        <w:jc w:val="both"/>
        <w:rPr>
          <w:rFonts w:ascii="Cambria" w:hAnsi="Cambria"/>
          <w:sz w:val="21"/>
          <w:szCs w:val="21"/>
        </w:rPr>
      </w:pPr>
      <w:r w:rsidRPr="001A7AC1">
        <w:rPr>
          <w:rFonts w:ascii="Cambria" w:hAnsi="Cambria"/>
          <w:sz w:val="21"/>
          <w:szCs w:val="21"/>
        </w:rPr>
        <w:t xml:space="preserve">The Commission highlights that, in conformity with Article 25(8) of the IACHR’s Rules of Procedure, the granting of </w:t>
      </w:r>
      <w:r w:rsidRPr="001A7AC1">
        <w:rPr>
          <w:sz w:val="21"/>
          <w:szCs w:val="21"/>
        </w:rPr>
        <w:t>precautionary</w:t>
      </w:r>
      <w:r w:rsidRPr="001A7AC1">
        <w:rPr>
          <w:rFonts w:ascii="Cambria" w:hAnsi="Cambria"/>
          <w:sz w:val="21"/>
          <w:szCs w:val="21"/>
        </w:rPr>
        <w:t xml:space="preserve"> measures and their adoption by the State do not constitute a prejudgment regarding the possible violation of rights protected in the American Convention and other applicable instruments.</w:t>
      </w:r>
    </w:p>
    <w:p w:rsidR="00215100" w:rsidRPr="00A73805" w:rsidRDefault="00215100" w:rsidP="00215100">
      <w:pPr>
        <w:widowControl w:val="0"/>
        <w:ind w:firstLine="360"/>
        <w:jc w:val="both"/>
        <w:rPr>
          <w:rFonts w:ascii="Cambria" w:hAnsi="Cambria"/>
          <w:sz w:val="21"/>
          <w:szCs w:val="21"/>
        </w:rPr>
      </w:pPr>
    </w:p>
    <w:p w:rsidR="00E0677B" w:rsidRDefault="00A73805" w:rsidP="00E0677B">
      <w:pPr>
        <w:pStyle w:val="ListParagraph"/>
        <w:widowControl w:val="0"/>
        <w:numPr>
          <w:ilvl w:val="0"/>
          <w:numId w:val="1"/>
        </w:numPr>
        <w:ind w:left="0" w:firstLine="360"/>
        <w:jc w:val="both"/>
        <w:rPr>
          <w:rFonts w:ascii="Cambria" w:hAnsi="Cambria"/>
          <w:sz w:val="21"/>
          <w:szCs w:val="21"/>
        </w:rPr>
      </w:pPr>
      <w:r w:rsidRPr="00543AED">
        <w:rPr>
          <w:rFonts w:ascii="Cambria" w:hAnsi="Cambria"/>
          <w:sz w:val="21"/>
          <w:szCs w:val="21"/>
        </w:rPr>
        <w:t xml:space="preserve">The Commission requests that the Secretariat of the Inter-American Commission notify the State of Barbados and the applicants </w:t>
      </w:r>
      <w:r w:rsidR="0026206D">
        <w:rPr>
          <w:rFonts w:ascii="Cambria" w:hAnsi="Cambria"/>
          <w:sz w:val="21"/>
          <w:szCs w:val="21"/>
        </w:rPr>
        <w:t>of the present Resolution.</w:t>
      </w:r>
    </w:p>
    <w:p w:rsidR="00E0677B" w:rsidRPr="00E0677B" w:rsidRDefault="00E0677B" w:rsidP="00E0677B">
      <w:pPr>
        <w:pStyle w:val="ListParagraph"/>
        <w:rPr>
          <w:rFonts w:ascii="Cambria" w:hAnsi="Cambria"/>
          <w:sz w:val="21"/>
          <w:szCs w:val="21"/>
        </w:rPr>
      </w:pPr>
    </w:p>
    <w:p w:rsidR="00681ED1" w:rsidRDefault="00E0677B" w:rsidP="00E0677B">
      <w:pPr>
        <w:pStyle w:val="ListParagraph"/>
        <w:widowControl w:val="0"/>
        <w:numPr>
          <w:ilvl w:val="0"/>
          <w:numId w:val="1"/>
        </w:numPr>
        <w:ind w:left="0" w:firstLine="360"/>
        <w:jc w:val="both"/>
        <w:rPr>
          <w:rFonts w:ascii="Cambria" w:hAnsi="Cambria"/>
          <w:sz w:val="21"/>
          <w:szCs w:val="21"/>
        </w:rPr>
      </w:pPr>
      <w:r w:rsidRPr="00E0677B">
        <w:rPr>
          <w:rFonts w:ascii="Cambria" w:hAnsi="Cambria"/>
          <w:sz w:val="21"/>
          <w:szCs w:val="21"/>
        </w:rPr>
        <w:t>Approved</w:t>
      </w:r>
      <w:r w:rsidR="00A73805" w:rsidRPr="00E0677B">
        <w:rPr>
          <w:rFonts w:ascii="Cambria" w:hAnsi="Cambria"/>
          <w:sz w:val="21"/>
          <w:szCs w:val="21"/>
        </w:rPr>
        <w:t xml:space="preserve"> on </w:t>
      </w:r>
      <w:r w:rsidR="00C529FD" w:rsidRPr="00E0677B">
        <w:rPr>
          <w:rFonts w:ascii="Cambria" w:hAnsi="Cambria"/>
          <w:sz w:val="21"/>
          <w:szCs w:val="21"/>
        </w:rPr>
        <w:t>May 5</w:t>
      </w:r>
      <w:r w:rsidR="00C529FD" w:rsidRPr="00E0677B">
        <w:rPr>
          <w:rFonts w:ascii="Cambria" w:hAnsi="Cambria"/>
          <w:sz w:val="21"/>
          <w:szCs w:val="21"/>
          <w:vertAlign w:val="superscript"/>
        </w:rPr>
        <w:t>th</w:t>
      </w:r>
      <w:r w:rsidR="00A73805" w:rsidRPr="00E0677B">
        <w:rPr>
          <w:rFonts w:ascii="Cambria" w:hAnsi="Cambria"/>
          <w:sz w:val="21"/>
          <w:szCs w:val="21"/>
        </w:rPr>
        <w:t xml:space="preserve">, 2018 by: </w:t>
      </w:r>
      <w:r w:rsidR="00C01854" w:rsidRPr="00E0677B">
        <w:rPr>
          <w:rFonts w:ascii="Cambria" w:hAnsi="Cambria"/>
          <w:sz w:val="21"/>
          <w:szCs w:val="21"/>
        </w:rPr>
        <w:t xml:space="preserve">Margarette May Macaulay, President; Esmeralda </w:t>
      </w:r>
      <w:proofErr w:type="spellStart"/>
      <w:r w:rsidR="00C01854" w:rsidRPr="00E0677B">
        <w:rPr>
          <w:rFonts w:ascii="Cambria" w:hAnsi="Cambria"/>
          <w:sz w:val="21"/>
          <w:szCs w:val="21"/>
        </w:rPr>
        <w:t>Arosemena</w:t>
      </w:r>
      <w:proofErr w:type="spellEnd"/>
      <w:r w:rsidR="00C01854" w:rsidRPr="00E0677B">
        <w:rPr>
          <w:rFonts w:ascii="Cambria" w:hAnsi="Cambria"/>
          <w:sz w:val="21"/>
          <w:szCs w:val="21"/>
        </w:rPr>
        <w:t xml:space="preserve"> de </w:t>
      </w:r>
      <w:proofErr w:type="spellStart"/>
      <w:r w:rsidR="00C01854" w:rsidRPr="00E0677B">
        <w:rPr>
          <w:rFonts w:ascii="Cambria" w:hAnsi="Cambria"/>
          <w:sz w:val="21"/>
          <w:szCs w:val="21"/>
        </w:rPr>
        <w:t>Troitiño</w:t>
      </w:r>
      <w:proofErr w:type="spellEnd"/>
      <w:r w:rsidR="00C01854" w:rsidRPr="00E0677B">
        <w:rPr>
          <w:rFonts w:ascii="Cambria" w:hAnsi="Cambria"/>
          <w:sz w:val="21"/>
          <w:szCs w:val="21"/>
        </w:rPr>
        <w:t xml:space="preserve">, First Vice-President; Luis Ernesto Vargas, Second Vice-President; Francisco José </w:t>
      </w:r>
      <w:proofErr w:type="spellStart"/>
      <w:r w:rsidR="00C01854" w:rsidRPr="00E0677B">
        <w:rPr>
          <w:rFonts w:ascii="Cambria" w:hAnsi="Cambria"/>
          <w:sz w:val="21"/>
          <w:szCs w:val="21"/>
        </w:rPr>
        <w:t>Eguiguren</w:t>
      </w:r>
      <w:proofErr w:type="spellEnd"/>
      <w:r w:rsidR="00C01854" w:rsidRPr="00E0677B">
        <w:rPr>
          <w:rFonts w:ascii="Cambria" w:hAnsi="Cambria"/>
          <w:sz w:val="21"/>
          <w:szCs w:val="21"/>
        </w:rPr>
        <w:t xml:space="preserve"> </w:t>
      </w:r>
      <w:proofErr w:type="spellStart"/>
      <w:r w:rsidR="00C01854" w:rsidRPr="00E0677B">
        <w:rPr>
          <w:rFonts w:ascii="Cambria" w:hAnsi="Cambria"/>
          <w:sz w:val="21"/>
          <w:szCs w:val="21"/>
        </w:rPr>
        <w:t>Praeli</w:t>
      </w:r>
      <w:proofErr w:type="spellEnd"/>
      <w:r w:rsidR="00C01854" w:rsidRPr="00E0677B">
        <w:rPr>
          <w:rFonts w:ascii="Cambria" w:hAnsi="Cambria"/>
          <w:sz w:val="21"/>
          <w:szCs w:val="21"/>
        </w:rPr>
        <w:t xml:space="preserve">, </w:t>
      </w:r>
      <w:r w:rsidRPr="00E0677B">
        <w:rPr>
          <w:rFonts w:ascii="Cambria" w:hAnsi="Cambria"/>
          <w:sz w:val="21"/>
          <w:szCs w:val="21"/>
        </w:rPr>
        <w:t xml:space="preserve">Joel Hernández </w:t>
      </w:r>
      <w:proofErr w:type="spellStart"/>
      <w:r w:rsidRPr="00E0677B">
        <w:rPr>
          <w:rFonts w:ascii="Cambria" w:hAnsi="Cambria"/>
          <w:sz w:val="21"/>
          <w:szCs w:val="21"/>
        </w:rPr>
        <w:t>García</w:t>
      </w:r>
      <w:proofErr w:type="spellEnd"/>
      <w:r w:rsidRPr="00E0677B">
        <w:rPr>
          <w:rFonts w:ascii="Cambria" w:hAnsi="Cambria"/>
          <w:sz w:val="21"/>
          <w:szCs w:val="21"/>
        </w:rPr>
        <w:t xml:space="preserve">, </w:t>
      </w:r>
      <w:r w:rsidR="00C01854" w:rsidRPr="00E0677B">
        <w:rPr>
          <w:rFonts w:ascii="Cambria" w:hAnsi="Cambria"/>
          <w:sz w:val="21"/>
          <w:szCs w:val="21"/>
        </w:rPr>
        <w:t xml:space="preserve">Antonia Urrejola and </w:t>
      </w:r>
      <w:proofErr w:type="spellStart"/>
      <w:r w:rsidR="00C01854" w:rsidRPr="00E0677B">
        <w:rPr>
          <w:rFonts w:ascii="Cambria" w:hAnsi="Cambria"/>
          <w:sz w:val="21"/>
          <w:szCs w:val="21"/>
        </w:rPr>
        <w:t>Flávia</w:t>
      </w:r>
      <w:proofErr w:type="spellEnd"/>
      <w:r w:rsidR="00C01854" w:rsidRPr="00E0677B">
        <w:rPr>
          <w:rFonts w:ascii="Cambria" w:hAnsi="Cambria"/>
          <w:sz w:val="21"/>
          <w:szCs w:val="21"/>
        </w:rPr>
        <w:t xml:space="preserve"> </w:t>
      </w:r>
      <w:proofErr w:type="spellStart"/>
      <w:r w:rsidR="00C01854" w:rsidRPr="00E0677B">
        <w:rPr>
          <w:rFonts w:ascii="Cambria" w:hAnsi="Cambria"/>
          <w:sz w:val="21"/>
          <w:szCs w:val="21"/>
        </w:rPr>
        <w:t>Piovesan</w:t>
      </w:r>
      <w:proofErr w:type="spellEnd"/>
      <w:r w:rsidR="00C01854" w:rsidRPr="00E0677B">
        <w:rPr>
          <w:rFonts w:ascii="Cambria" w:hAnsi="Cambria"/>
          <w:sz w:val="21"/>
          <w:szCs w:val="21"/>
        </w:rPr>
        <w:t>, members of the IACHR.</w:t>
      </w:r>
    </w:p>
    <w:p w:rsidR="00CF585C" w:rsidRPr="00CF585C" w:rsidRDefault="00CF585C" w:rsidP="00CF585C">
      <w:pPr>
        <w:pStyle w:val="ListParagraph"/>
        <w:rPr>
          <w:rFonts w:ascii="Cambria" w:hAnsi="Cambria"/>
          <w:sz w:val="21"/>
          <w:szCs w:val="21"/>
        </w:rPr>
      </w:pPr>
    </w:p>
    <w:p w:rsidR="00CF585C" w:rsidRDefault="00CF585C" w:rsidP="00CF585C">
      <w:pPr>
        <w:pStyle w:val="ListParagraph"/>
        <w:widowControl w:val="0"/>
        <w:ind w:left="360"/>
        <w:jc w:val="both"/>
        <w:rPr>
          <w:rFonts w:ascii="Cambria" w:hAnsi="Cambria"/>
          <w:sz w:val="21"/>
          <w:szCs w:val="21"/>
        </w:rPr>
      </w:pPr>
    </w:p>
    <w:p w:rsidR="00156E0A" w:rsidRDefault="00156E0A" w:rsidP="00CF585C">
      <w:pPr>
        <w:pStyle w:val="ListParagraph"/>
        <w:widowControl w:val="0"/>
        <w:ind w:left="360"/>
        <w:jc w:val="both"/>
        <w:rPr>
          <w:rFonts w:ascii="Cambria" w:hAnsi="Cambria"/>
          <w:sz w:val="21"/>
          <w:szCs w:val="21"/>
        </w:rPr>
      </w:pPr>
    </w:p>
    <w:p w:rsidR="00CF585C" w:rsidRDefault="00CF585C" w:rsidP="00CF585C">
      <w:pPr>
        <w:pStyle w:val="ListParagraph"/>
        <w:widowControl w:val="0"/>
        <w:ind w:left="360"/>
        <w:jc w:val="both"/>
        <w:rPr>
          <w:rFonts w:ascii="Cambria" w:hAnsi="Cambria"/>
          <w:sz w:val="21"/>
          <w:szCs w:val="21"/>
        </w:rPr>
      </w:pPr>
    </w:p>
    <w:p w:rsidR="00CF585C" w:rsidRDefault="00CF585C" w:rsidP="00CF585C">
      <w:pPr>
        <w:pStyle w:val="ListParagraph"/>
        <w:widowControl w:val="0"/>
        <w:ind w:left="360"/>
        <w:jc w:val="both"/>
        <w:rPr>
          <w:rFonts w:ascii="Cambria" w:hAnsi="Cambria"/>
          <w:sz w:val="21"/>
          <w:szCs w:val="21"/>
        </w:rPr>
      </w:pPr>
    </w:p>
    <w:p w:rsidR="00245789" w:rsidRPr="00245789" w:rsidRDefault="00245789" w:rsidP="00245789">
      <w:pPr>
        <w:pStyle w:val="ListParagraph"/>
        <w:widowControl w:val="0"/>
        <w:ind w:left="360"/>
        <w:jc w:val="center"/>
        <w:rPr>
          <w:rFonts w:ascii="Cambria" w:hAnsi="Cambria"/>
          <w:sz w:val="21"/>
          <w:szCs w:val="21"/>
        </w:rPr>
      </w:pPr>
      <w:r>
        <w:rPr>
          <w:rFonts w:ascii="Cambria" w:hAnsi="Cambria"/>
          <w:sz w:val="21"/>
          <w:szCs w:val="21"/>
        </w:rPr>
        <w:t xml:space="preserve">   </w:t>
      </w:r>
      <w:r w:rsidRPr="00245789">
        <w:rPr>
          <w:rFonts w:ascii="Cambria" w:hAnsi="Cambria"/>
          <w:sz w:val="21"/>
          <w:szCs w:val="21"/>
        </w:rPr>
        <w:t xml:space="preserve">Paulo </w:t>
      </w:r>
      <w:proofErr w:type="spellStart"/>
      <w:r w:rsidRPr="00245789">
        <w:rPr>
          <w:rFonts w:ascii="Cambria" w:hAnsi="Cambria"/>
          <w:sz w:val="21"/>
          <w:szCs w:val="21"/>
        </w:rPr>
        <w:t>Abrão</w:t>
      </w:r>
      <w:proofErr w:type="spellEnd"/>
    </w:p>
    <w:p w:rsidR="00CF585C" w:rsidRPr="00E0677B" w:rsidRDefault="00245789" w:rsidP="00245789">
      <w:pPr>
        <w:pStyle w:val="ListParagraph"/>
        <w:widowControl w:val="0"/>
        <w:ind w:left="360"/>
        <w:jc w:val="center"/>
        <w:rPr>
          <w:rFonts w:ascii="Cambria" w:hAnsi="Cambria"/>
          <w:sz w:val="21"/>
          <w:szCs w:val="21"/>
        </w:rPr>
      </w:pPr>
      <w:r w:rsidRPr="00245789">
        <w:rPr>
          <w:rFonts w:ascii="Cambria" w:hAnsi="Cambria"/>
          <w:sz w:val="21"/>
          <w:szCs w:val="21"/>
        </w:rPr>
        <w:t xml:space="preserve">  Executive Secretary</w:t>
      </w:r>
    </w:p>
    <w:sectPr w:rsidR="00CF585C" w:rsidRPr="00E0677B" w:rsidSect="004627E4">
      <w:headerReference w:type="default" r:id="rId9"/>
      <w:footerReference w:type="even" r:id="rId10"/>
      <w:footerReference w:type="default" r:id="rId11"/>
      <w:pgSz w:w="12240" w:h="15840"/>
      <w:pgMar w:top="1440" w:right="1440" w:bottom="1440" w:left="1440" w:header="426" w:footer="5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BAB" w:rsidRDefault="00CC4BAB" w:rsidP="00BF7D6A">
      <w:r>
        <w:separator/>
      </w:r>
    </w:p>
  </w:endnote>
  <w:endnote w:type="continuationSeparator" w:id="0">
    <w:p w:rsidR="00CC4BAB" w:rsidRDefault="00CC4BAB" w:rsidP="00BF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97" w:rsidRDefault="00493E97" w:rsidP="009575E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3E97" w:rsidRDefault="00493E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97" w:rsidRPr="00C522EB" w:rsidRDefault="00493E97" w:rsidP="009575E3">
    <w:pPr>
      <w:pStyle w:val="Footer"/>
      <w:framePr w:wrap="none" w:vAnchor="text" w:hAnchor="margin" w:xAlign="center" w:y="1"/>
      <w:rPr>
        <w:rStyle w:val="PageNumber"/>
        <w:rFonts w:asciiTheme="majorHAnsi" w:hAnsiTheme="majorHAnsi"/>
        <w:sz w:val="16"/>
      </w:rPr>
    </w:pPr>
    <w:r w:rsidRPr="00C522EB">
      <w:rPr>
        <w:rStyle w:val="PageNumber"/>
        <w:rFonts w:asciiTheme="majorHAnsi" w:hAnsiTheme="majorHAnsi"/>
        <w:sz w:val="16"/>
      </w:rPr>
      <w:fldChar w:fldCharType="begin"/>
    </w:r>
    <w:r w:rsidRPr="00C522EB">
      <w:rPr>
        <w:rStyle w:val="PageNumber"/>
        <w:rFonts w:asciiTheme="majorHAnsi" w:hAnsiTheme="majorHAnsi"/>
        <w:sz w:val="16"/>
      </w:rPr>
      <w:instrText xml:space="preserve">PAGE  </w:instrText>
    </w:r>
    <w:r w:rsidRPr="00C522EB">
      <w:rPr>
        <w:rStyle w:val="PageNumber"/>
        <w:rFonts w:asciiTheme="majorHAnsi" w:hAnsiTheme="majorHAnsi"/>
        <w:sz w:val="16"/>
      </w:rPr>
      <w:fldChar w:fldCharType="separate"/>
    </w:r>
    <w:r w:rsidR="00DD63DF">
      <w:rPr>
        <w:rStyle w:val="PageNumber"/>
        <w:rFonts w:asciiTheme="majorHAnsi" w:hAnsiTheme="majorHAnsi"/>
        <w:noProof/>
        <w:sz w:val="16"/>
      </w:rPr>
      <w:t>- 1 -</w:t>
    </w:r>
    <w:r w:rsidRPr="00C522EB">
      <w:rPr>
        <w:rStyle w:val="PageNumber"/>
        <w:rFonts w:asciiTheme="majorHAnsi" w:hAnsiTheme="majorHAnsi"/>
        <w:sz w:val="16"/>
      </w:rPr>
      <w:fldChar w:fldCharType="end"/>
    </w:r>
  </w:p>
  <w:p w:rsidR="00493E97" w:rsidRDefault="00493E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BAB" w:rsidRDefault="00CC4BAB" w:rsidP="00BF7D6A">
      <w:r>
        <w:separator/>
      </w:r>
    </w:p>
  </w:footnote>
  <w:footnote w:type="continuationSeparator" w:id="0">
    <w:p w:rsidR="00CC4BAB" w:rsidRDefault="00CC4BAB" w:rsidP="00BF7D6A">
      <w:r>
        <w:continuationSeparator/>
      </w:r>
    </w:p>
  </w:footnote>
  <w:footnote w:id="1">
    <w:p w:rsidR="00573368" w:rsidRPr="00764014" w:rsidRDefault="00573368" w:rsidP="003C3D59">
      <w:pPr>
        <w:pStyle w:val="FootnoteText"/>
        <w:spacing w:after="0" w:line="240" w:lineRule="auto"/>
        <w:jc w:val="both"/>
        <w:rPr>
          <w:rFonts w:asciiTheme="majorHAnsi" w:hAnsiTheme="majorHAnsi"/>
          <w:sz w:val="16"/>
          <w:szCs w:val="16"/>
        </w:rPr>
      </w:pPr>
      <w:r w:rsidRPr="008D281F">
        <w:rPr>
          <w:rStyle w:val="FootnoteReference"/>
          <w:rFonts w:asciiTheme="majorHAnsi" w:hAnsiTheme="majorHAnsi"/>
          <w:sz w:val="16"/>
          <w:szCs w:val="16"/>
        </w:rPr>
        <w:footnoteRef/>
      </w:r>
      <w:r w:rsidRPr="00764014">
        <w:rPr>
          <w:rFonts w:asciiTheme="majorHAnsi" w:hAnsiTheme="majorHAnsi"/>
          <w:sz w:val="16"/>
          <w:szCs w:val="16"/>
        </w:rPr>
        <w:t xml:space="preserve"> </w:t>
      </w:r>
      <w:r w:rsidR="00764014" w:rsidRPr="00764014">
        <w:rPr>
          <w:rFonts w:asciiTheme="majorHAnsi" w:hAnsiTheme="majorHAnsi"/>
          <w:sz w:val="16"/>
          <w:szCs w:val="16"/>
        </w:rPr>
        <w:t xml:space="preserve">The request arrived by postal mail sent by the "Barbados Prison Service" of "Her Majesty's Prisons </w:t>
      </w:r>
      <w:proofErr w:type="spellStart"/>
      <w:r w:rsidR="00764014" w:rsidRPr="00764014">
        <w:rPr>
          <w:rFonts w:asciiTheme="majorHAnsi" w:hAnsiTheme="majorHAnsi"/>
          <w:sz w:val="16"/>
          <w:szCs w:val="16"/>
        </w:rPr>
        <w:t>Dodds</w:t>
      </w:r>
      <w:proofErr w:type="spellEnd"/>
      <w:r w:rsidR="00764014" w:rsidRPr="00764014">
        <w:rPr>
          <w:rFonts w:asciiTheme="majorHAnsi" w:hAnsiTheme="majorHAnsi"/>
          <w:sz w:val="16"/>
          <w:szCs w:val="16"/>
        </w:rPr>
        <w:t xml:space="preserve">" </w:t>
      </w:r>
      <w:r w:rsidR="00EE75D6">
        <w:rPr>
          <w:rFonts w:asciiTheme="majorHAnsi" w:hAnsiTheme="majorHAnsi"/>
          <w:sz w:val="16"/>
          <w:szCs w:val="16"/>
        </w:rPr>
        <w:t xml:space="preserve">to </w:t>
      </w:r>
      <w:r w:rsidR="00764014" w:rsidRPr="00764014">
        <w:rPr>
          <w:rFonts w:asciiTheme="majorHAnsi" w:hAnsiTheme="majorHAnsi"/>
          <w:sz w:val="16"/>
          <w:szCs w:val="16"/>
        </w:rPr>
        <w:t xml:space="preserve">which the communication of the proposed beneficiaries was attached. The date of the communication sent by the prison </w:t>
      </w:r>
      <w:r w:rsidR="00EE75D6">
        <w:rPr>
          <w:rFonts w:asciiTheme="majorHAnsi" w:hAnsiTheme="majorHAnsi"/>
          <w:sz w:val="16"/>
          <w:szCs w:val="16"/>
        </w:rPr>
        <w:t xml:space="preserve">is </w:t>
      </w:r>
      <w:r w:rsidR="00764014" w:rsidRPr="00764014">
        <w:rPr>
          <w:rFonts w:asciiTheme="majorHAnsi" w:hAnsiTheme="majorHAnsi"/>
          <w:sz w:val="16"/>
          <w:szCs w:val="16"/>
        </w:rPr>
        <w:t>October 1</w:t>
      </w:r>
      <w:r w:rsidR="00764014">
        <w:rPr>
          <w:rFonts w:asciiTheme="majorHAnsi" w:hAnsiTheme="majorHAnsi"/>
          <w:sz w:val="16"/>
          <w:szCs w:val="16"/>
        </w:rPr>
        <w:t>7</w:t>
      </w:r>
      <w:r w:rsidR="00764014" w:rsidRPr="00764014">
        <w:rPr>
          <w:rFonts w:asciiTheme="majorHAnsi" w:hAnsiTheme="majorHAnsi"/>
          <w:sz w:val="16"/>
          <w:szCs w:val="16"/>
        </w:rPr>
        <w:t>, 2017.</w:t>
      </w:r>
    </w:p>
  </w:footnote>
  <w:footnote w:id="2">
    <w:p w:rsidR="00A85213" w:rsidRPr="005374BF" w:rsidRDefault="00A85213" w:rsidP="003C3D59">
      <w:pPr>
        <w:pStyle w:val="FootnoteText"/>
        <w:spacing w:after="0" w:line="240" w:lineRule="auto"/>
        <w:jc w:val="both"/>
        <w:rPr>
          <w:rFonts w:asciiTheme="majorHAnsi" w:hAnsiTheme="majorHAnsi"/>
          <w:sz w:val="16"/>
          <w:szCs w:val="16"/>
        </w:rPr>
      </w:pPr>
      <w:r w:rsidRPr="008D281F">
        <w:rPr>
          <w:rStyle w:val="FootnoteReference"/>
          <w:rFonts w:asciiTheme="majorHAnsi" w:hAnsiTheme="majorHAnsi"/>
          <w:sz w:val="16"/>
          <w:szCs w:val="16"/>
        </w:rPr>
        <w:footnoteRef/>
      </w:r>
      <w:r w:rsidRPr="00E94CD2">
        <w:rPr>
          <w:rFonts w:asciiTheme="majorHAnsi" w:hAnsiTheme="majorHAnsi"/>
          <w:sz w:val="16"/>
          <w:szCs w:val="16"/>
        </w:rPr>
        <w:t xml:space="preserve"> </w:t>
      </w:r>
      <w:r w:rsidR="005374BF" w:rsidRPr="005374BF">
        <w:rPr>
          <w:rFonts w:asciiTheme="majorHAnsi" w:hAnsiTheme="majorHAnsi"/>
          <w:sz w:val="16"/>
          <w:szCs w:val="16"/>
        </w:rPr>
        <w:t>L</w:t>
      </w:r>
      <w:r w:rsidR="005374BF">
        <w:rPr>
          <w:rFonts w:asciiTheme="majorHAnsi" w:hAnsiTheme="majorHAnsi"/>
          <w:sz w:val="16"/>
          <w:szCs w:val="16"/>
        </w:rPr>
        <w:t>e</w:t>
      </w:r>
      <w:r w:rsidR="00A31F72">
        <w:rPr>
          <w:rFonts w:asciiTheme="majorHAnsi" w:hAnsiTheme="majorHAnsi"/>
          <w:sz w:val="16"/>
          <w:szCs w:val="16"/>
        </w:rPr>
        <w:t>ngth of the cell (16 ft., 7 in.)</w:t>
      </w:r>
      <w:r w:rsidR="005374BF">
        <w:rPr>
          <w:rFonts w:asciiTheme="majorHAnsi" w:hAnsiTheme="majorHAnsi"/>
          <w:sz w:val="16"/>
          <w:szCs w:val="16"/>
        </w:rPr>
        <w:t xml:space="preserve"> </w:t>
      </w:r>
      <w:r w:rsidR="00A31F72">
        <w:rPr>
          <w:rFonts w:asciiTheme="majorHAnsi" w:hAnsiTheme="majorHAnsi"/>
          <w:sz w:val="16"/>
          <w:szCs w:val="16"/>
        </w:rPr>
        <w:t>w</w:t>
      </w:r>
      <w:r w:rsidR="005374BF">
        <w:rPr>
          <w:rFonts w:asciiTheme="majorHAnsi" w:hAnsiTheme="majorHAnsi"/>
          <w:sz w:val="16"/>
          <w:szCs w:val="16"/>
        </w:rPr>
        <w:t>idth of the cell (7 ft., 1 in.)</w:t>
      </w:r>
      <w:r w:rsidR="005374BF" w:rsidRPr="005374BF">
        <w:rPr>
          <w:rFonts w:asciiTheme="majorHAnsi" w:hAnsiTheme="majorHAnsi"/>
          <w:sz w:val="16"/>
          <w:szCs w:val="16"/>
        </w:rPr>
        <w:t xml:space="preserve"> </w:t>
      </w:r>
      <w:r w:rsidR="00A31F72">
        <w:rPr>
          <w:rFonts w:asciiTheme="majorHAnsi" w:hAnsiTheme="majorHAnsi"/>
          <w:sz w:val="16"/>
          <w:szCs w:val="16"/>
        </w:rPr>
        <w:t>t</w:t>
      </w:r>
      <w:r w:rsidR="005374BF" w:rsidRPr="005374BF">
        <w:rPr>
          <w:rFonts w:asciiTheme="majorHAnsi" w:hAnsiTheme="majorHAnsi"/>
          <w:sz w:val="16"/>
          <w:szCs w:val="16"/>
        </w:rPr>
        <w:t>oilet, two windows, one door, drinking water, bed, mattress, sheets, and adequate lighting and ventilation.</w:t>
      </w:r>
    </w:p>
  </w:footnote>
  <w:footnote w:id="3">
    <w:p w:rsidR="00A85213" w:rsidRPr="00E94CD2" w:rsidRDefault="00A85213" w:rsidP="003C3D59">
      <w:pPr>
        <w:pStyle w:val="FootnoteText"/>
        <w:spacing w:after="0" w:line="240" w:lineRule="auto"/>
        <w:jc w:val="both"/>
        <w:rPr>
          <w:rFonts w:asciiTheme="majorHAnsi" w:hAnsiTheme="majorHAnsi"/>
          <w:sz w:val="16"/>
          <w:szCs w:val="16"/>
        </w:rPr>
      </w:pPr>
      <w:r w:rsidRPr="008D281F">
        <w:rPr>
          <w:rStyle w:val="FootnoteReference"/>
          <w:rFonts w:asciiTheme="majorHAnsi" w:hAnsiTheme="majorHAnsi"/>
          <w:sz w:val="16"/>
          <w:szCs w:val="16"/>
        </w:rPr>
        <w:footnoteRef/>
      </w:r>
      <w:r w:rsidRPr="00E94CD2">
        <w:rPr>
          <w:rFonts w:asciiTheme="majorHAnsi" w:hAnsiTheme="majorHAnsi"/>
          <w:sz w:val="16"/>
          <w:szCs w:val="16"/>
        </w:rPr>
        <w:t xml:space="preserve"> </w:t>
      </w:r>
      <w:r w:rsidR="00E94CD2" w:rsidRPr="00E94CD2">
        <w:rPr>
          <w:rFonts w:asciiTheme="majorHAnsi" w:hAnsiTheme="majorHAnsi"/>
          <w:sz w:val="16"/>
          <w:szCs w:val="16"/>
        </w:rPr>
        <w:t>Access to medical services (in prison and national</w:t>
      </w:r>
      <w:r w:rsidR="00E94CD2">
        <w:rPr>
          <w:rFonts w:asciiTheme="majorHAnsi" w:hAnsiTheme="majorHAnsi"/>
          <w:sz w:val="16"/>
          <w:szCs w:val="16"/>
        </w:rPr>
        <w:t>)</w:t>
      </w:r>
      <w:r w:rsidR="00E94CD2" w:rsidRPr="00E94CD2">
        <w:rPr>
          <w:rFonts w:asciiTheme="majorHAnsi" w:hAnsiTheme="majorHAnsi"/>
          <w:sz w:val="16"/>
          <w:szCs w:val="16"/>
        </w:rPr>
        <w:t xml:space="preserve"> access to dental service</w:t>
      </w:r>
      <w:r w:rsidR="00E94CD2">
        <w:rPr>
          <w:rFonts w:asciiTheme="majorHAnsi" w:hAnsiTheme="majorHAnsi"/>
          <w:sz w:val="16"/>
          <w:szCs w:val="16"/>
        </w:rPr>
        <w:t>s</w:t>
      </w:r>
      <w:r w:rsidR="00E94CD2" w:rsidRPr="00E94CD2">
        <w:rPr>
          <w:rFonts w:asciiTheme="majorHAnsi" w:hAnsiTheme="majorHAnsi"/>
          <w:sz w:val="16"/>
          <w:szCs w:val="16"/>
        </w:rPr>
        <w:t>, access to psychiatric services, location based on classification (preventive detention, convicted, high risk, juvenile</w:t>
      </w:r>
      <w:r w:rsidR="00E94CD2">
        <w:rPr>
          <w:rFonts w:asciiTheme="majorHAnsi" w:hAnsiTheme="majorHAnsi"/>
          <w:sz w:val="16"/>
          <w:szCs w:val="16"/>
        </w:rPr>
        <w:t>)</w:t>
      </w:r>
      <w:r w:rsidR="00E94CD2" w:rsidRPr="00E94CD2">
        <w:rPr>
          <w:rFonts w:asciiTheme="majorHAnsi" w:hAnsiTheme="majorHAnsi"/>
          <w:sz w:val="16"/>
          <w:szCs w:val="16"/>
        </w:rPr>
        <w:t xml:space="preserve"> adequate housing, clothing</w:t>
      </w:r>
      <w:r w:rsidR="00E9789D">
        <w:rPr>
          <w:rFonts w:asciiTheme="majorHAnsi" w:hAnsiTheme="majorHAnsi"/>
          <w:sz w:val="16"/>
          <w:szCs w:val="16"/>
        </w:rPr>
        <w:t>,</w:t>
      </w:r>
      <w:r w:rsidR="00E94CD2" w:rsidRPr="00E94CD2">
        <w:rPr>
          <w:rFonts w:asciiTheme="majorHAnsi" w:hAnsiTheme="majorHAnsi"/>
          <w:sz w:val="16"/>
          <w:szCs w:val="16"/>
        </w:rPr>
        <w:t xml:space="preserve"> and </w:t>
      </w:r>
      <w:r w:rsidR="00E94CD2">
        <w:rPr>
          <w:rFonts w:asciiTheme="majorHAnsi" w:hAnsiTheme="majorHAnsi"/>
          <w:sz w:val="16"/>
          <w:szCs w:val="16"/>
        </w:rPr>
        <w:t>bedding</w:t>
      </w:r>
      <w:r w:rsidR="00E94CD2" w:rsidRPr="00E94CD2">
        <w:rPr>
          <w:rFonts w:asciiTheme="majorHAnsi" w:hAnsiTheme="majorHAnsi"/>
          <w:sz w:val="16"/>
          <w:szCs w:val="16"/>
        </w:rPr>
        <w:t>, access to exercise, and freedom of religion.</w:t>
      </w:r>
    </w:p>
  </w:footnote>
  <w:footnote w:id="4">
    <w:p w:rsidR="00A85213" w:rsidRPr="00E94CD2" w:rsidRDefault="00A85213" w:rsidP="003C3D59">
      <w:pPr>
        <w:pStyle w:val="FootnoteText"/>
        <w:spacing w:after="0" w:line="240" w:lineRule="auto"/>
        <w:jc w:val="both"/>
        <w:rPr>
          <w:rFonts w:asciiTheme="majorHAnsi" w:hAnsiTheme="majorHAnsi"/>
          <w:sz w:val="16"/>
          <w:szCs w:val="16"/>
        </w:rPr>
      </w:pPr>
      <w:r w:rsidRPr="008D281F">
        <w:rPr>
          <w:rStyle w:val="FootnoteReference"/>
          <w:rFonts w:asciiTheme="majorHAnsi" w:hAnsiTheme="majorHAnsi"/>
          <w:sz w:val="16"/>
          <w:szCs w:val="16"/>
        </w:rPr>
        <w:footnoteRef/>
      </w:r>
      <w:r w:rsidRPr="00215100">
        <w:rPr>
          <w:rFonts w:asciiTheme="majorHAnsi" w:hAnsiTheme="majorHAnsi"/>
          <w:sz w:val="16"/>
          <w:szCs w:val="16"/>
        </w:rPr>
        <w:t xml:space="preserve"> </w:t>
      </w:r>
      <w:r w:rsidR="00E94CD2" w:rsidRPr="00E94CD2">
        <w:rPr>
          <w:rFonts w:asciiTheme="majorHAnsi" w:hAnsiTheme="majorHAnsi"/>
          <w:sz w:val="16"/>
          <w:szCs w:val="16"/>
        </w:rPr>
        <w:t xml:space="preserve">Visits, letters, telephone, books, and </w:t>
      </w:r>
      <w:r w:rsidR="00E94CD2">
        <w:rPr>
          <w:rFonts w:asciiTheme="majorHAnsi" w:hAnsiTheme="majorHAnsi"/>
          <w:sz w:val="16"/>
          <w:szCs w:val="16"/>
        </w:rPr>
        <w:t>controlled radio</w:t>
      </w:r>
      <w:r w:rsidR="00E94CD2" w:rsidRPr="00E94CD2">
        <w:rPr>
          <w:rFonts w:asciiTheme="majorHAnsi" w:hAnsiTheme="majorHAnsi"/>
          <w:sz w:val="16"/>
          <w:szCs w:val="16"/>
        </w:rPr>
        <w:t>.</w:t>
      </w:r>
    </w:p>
  </w:footnote>
  <w:footnote w:id="5">
    <w:p w:rsidR="00215100" w:rsidRPr="00EF5C0D" w:rsidRDefault="00215100" w:rsidP="003C3D59">
      <w:pPr>
        <w:pStyle w:val="FootnoteText"/>
        <w:spacing w:after="0" w:line="240" w:lineRule="auto"/>
        <w:jc w:val="both"/>
        <w:rPr>
          <w:rFonts w:asciiTheme="majorHAnsi" w:hAnsiTheme="majorHAnsi"/>
          <w:sz w:val="16"/>
          <w:szCs w:val="16"/>
        </w:rPr>
      </w:pPr>
      <w:r w:rsidRPr="008D281F">
        <w:rPr>
          <w:rStyle w:val="FootnoteReference"/>
          <w:rFonts w:asciiTheme="majorHAnsi" w:hAnsiTheme="majorHAnsi"/>
          <w:sz w:val="16"/>
          <w:szCs w:val="16"/>
        </w:rPr>
        <w:footnoteRef/>
      </w:r>
      <w:r w:rsidR="00936BA2" w:rsidRPr="00936BA2">
        <w:rPr>
          <w:rFonts w:asciiTheme="majorHAnsi" w:hAnsiTheme="majorHAnsi"/>
          <w:sz w:val="16"/>
          <w:szCs w:val="16"/>
        </w:rPr>
        <w:t>In that regard, for instance, in relation to the provisional measures, the Inter-American Court has considered that this standard requires a minimum of details and information that allow for the prima facie assessment of the situation of risk and urgency. IACHR, Matter of the children and adolescents deprived of their liberty in the “</w:t>
      </w:r>
      <w:proofErr w:type="spellStart"/>
      <w:r w:rsidR="00936BA2" w:rsidRPr="00936BA2">
        <w:rPr>
          <w:rFonts w:asciiTheme="majorHAnsi" w:hAnsiTheme="majorHAnsi"/>
          <w:sz w:val="16"/>
          <w:szCs w:val="16"/>
        </w:rPr>
        <w:t>Complexo</w:t>
      </w:r>
      <w:proofErr w:type="spellEnd"/>
      <w:r w:rsidR="00936BA2" w:rsidRPr="00936BA2">
        <w:rPr>
          <w:rFonts w:asciiTheme="majorHAnsi" w:hAnsiTheme="majorHAnsi"/>
          <w:sz w:val="16"/>
          <w:szCs w:val="16"/>
        </w:rPr>
        <w:t xml:space="preserve"> do </w:t>
      </w:r>
      <w:proofErr w:type="spellStart"/>
      <w:r w:rsidR="00936BA2" w:rsidRPr="00936BA2">
        <w:rPr>
          <w:rFonts w:asciiTheme="majorHAnsi" w:hAnsiTheme="majorHAnsi"/>
          <w:sz w:val="16"/>
          <w:szCs w:val="16"/>
        </w:rPr>
        <w:t>Tatuapé</w:t>
      </w:r>
      <w:proofErr w:type="spellEnd"/>
      <w:r w:rsidR="00936BA2" w:rsidRPr="00936BA2">
        <w:rPr>
          <w:rFonts w:asciiTheme="majorHAnsi" w:hAnsiTheme="majorHAnsi"/>
          <w:sz w:val="16"/>
          <w:szCs w:val="16"/>
        </w:rPr>
        <w:t xml:space="preserve">” of the </w:t>
      </w:r>
      <w:proofErr w:type="spellStart"/>
      <w:r w:rsidR="00936BA2" w:rsidRPr="00936BA2">
        <w:rPr>
          <w:rFonts w:asciiTheme="majorHAnsi" w:hAnsiTheme="majorHAnsi"/>
          <w:sz w:val="16"/>
          <w:szCs w:val="16"/>
        </w:rPr>
        <w:t>Fundação</w:t>
      </w:r>
      <w:proofErr w:type="spellEnd"/>
      <w:r w:rsidR="00936BA2" w:rsidRPr="00936BA2">
        <w:rPr>
          <w:rFonts w:asciiTheme="majorHAnsi" w:hAnsiTheme="majorHAnsi"/>
          <w:sz w:val="16"/>
          <w:szCs w:val="16"/>
        </w:rPr>
        <w:t xml:space="preserve"> CASA. </w:t>
      </w:r>
      <w:proofErr w:type="gramStart"/>
      <w:r w:rsidR="00936BA2" w:rsidRPr="00936BA2">
        <w:rPr>
          <w:rFonts w:asciiTheme="majorHAnsi" w:hAnsiTheme="majorHAnsi"/>
          <w:sz w:val="16"/>
          <w:szCs w:val="16"/>
        </w:rPr>
        <w:t>Request for extension of precautionary measures.</w:t>
      </w:r>
      <w:proofErr w:type="gramEnd"/>
      <w:r w:rsidR="00936BA2" w:rsidRPr="00936BA2">
        <w:rPr>
          <w:rFonts w:asciiTheme="majorHAnsi" w:hAnsiTheme="majorHAnsi"/>
          <w:sz w:val="16"/>
          <w:szCs w:val="16"/>
        </w:rPr>
        <w:t xml:space="preserve"> Provisional Measures regarding Brazil. </w:t>
      </w:r>
      <w:proofErr w:type="gramStart"/>
      <w:r w:rsidR="00936BA2" w:rsidRPr="00936BA2">
        <w:rPr>
          <w:rFonts w:asciiTheme="majorHAnsi" w:hAnsiTheme="majorHAnsi"/>
          <w:sz w:val="16"/>
          <w:szCs w:val="16"/>
        </w:rPr>
        <w:t>Resolution of the Inter-American Court of Human Rights of July 4, 2006.</w:t>
      </w:r>
      <w:proofErr w:type="gramEnd"/>
      <w:r w:rsidR="00936BA2" w:rsidRPr="00936BA2">
        <w:rPr>
          <w:rFonts w:asciiTheme="majorHAnsi" w:hAnsiTheme="majorHAnsi"/>
          <w:sz w:val="16"/>
          <w:szCs w:val="16"/>
        </w:rPr>
        <w:t xml:space="preserve"> </w:t>
      </w:r>
      <w:proofErr w:type="spellStart"/>
      <w:proofErr w:type="gramStart"/>
      <w:r w:rsidR="00936BA2" w:rsidRPr="00EF5C0D">
        <w:rPr>
          <w:rFonts w:asciiTheme="majorHAnsi" w:hAnsiTheme="majorHAnsi"/>
          <w:sz w:val="16"/>
          <w:szCs w:val="16"/>
        </w:rPr>
        <w:t>Considerandum</w:t>
      </w:r>
      <w:proofErr w:type="spellEnd"/>
      <w:r w:rsidR="00936BA2" w:rsidRPr="00EF5C0D">
        <w:rPr>
          <w:rFonts w:asciiTheme="majorHAnsi" w:hAnsiTheme="majorHAnsi"/>
          <w:sz w:val="16"/>
          <w:szCs w:val="16"/>
        </w:rPr>
        <w:t xml:space="preserve"> 23.</w:t>
      </w:r>
      <w:proofErr w:type="gramEnd"/>
    </w:p>
  </w:footnote>
  <w:footnote w:id="6">
    <w:p w:rsidR="00215100" w:rsidRPr="00EF5C0D" w:rsidRDefault="00215100" w:rsidP="003C3D59">
      <w:pPr>
        <w:pStyle w:val="FootnoteText"/>
        <w:spacing w:after="0" w:line="240" w:lineRule="auto"/>
        <w:jc w:val="both"/>
        <w:rPr>
          <w:rFonts w:asciiTheme="majorHAnsi" w:hAnsiTheme="majorHAnsi"/>
          <w:b/>
          <w:sz w:val="16"/>
          <w:szCs w:val="16"/>
        </w:rPr>
      </w:pPr>
      <w:r w:rsidRPr="008D281F">
        <w:rPr>
          <w:rStyle w:val="FootnoteReference"/>
          <w:rFonts w:asciiTheme="majorHAnsi" w:hAnsiTheme="majorHAnsi"/>
          <w:sz w:val="16"/>
          <w:szCs w:val="16"/>
        </w:rPr>
        <w:footnoteRef/>
      </w:r>
      <w:r w:rsidR="00EF5C0D" w:rsidRPr="00EF5C0D">
        <w:rPr>
          <w:rStyle w:val="Strong"/>
          <w:rFonts w:asciiTheme="majorHAnsi" w:hAnsiTheme="majorHAnsi"/>
          <w:b w:val="0"/>
          <w:color w:val="000000"/>
          <w:sz w:val="16"/>
          <w:szCs w:val="16"/>
          <w:shd w:val="clear" w:color="auto" w:fill="FFFFFF"/>
        </w:rPr>
        <w:t xml:space="preserve">Specifically in the </w:t>
      </w:r>
      <w:proofErr w:type="spellStart"/>
      <w:r w:rsidR="00EF5C0D" w:rsidRPr="00EF5C0D">
        <w:rPr>
          <w:rStyle w:val="Strong"/>
          <w:rFonts w:asciiTheme="majorHAnsi" w:hAnsiTheme="majorHAnsi"/>
          <w:b w:val="0"/>
          <w:color w:val="000000"/>
          <w:sz w:val="16"/>
          <w:szCs w:val="16"/>
          <w:shd w:val="clear" w:color="auto" w:fill="FFFFFF"/>
        </w:rPr>
        <w:t>DaCosta</w:t>
      </w:r>
      <w:proofErr w:type="spellEnd"/>
      <w:r w:rsidR="00EF5C0D" w:rsidRPr="00EF5C0D">
        <w:rPr>
          <w:rStyle w:val="Strong"/>
          <w:rFonts w:asciiTheme="majorHAnsi" w:hAnsiTheme="majorHAnsi"/>
          <w:b w:val="0"/>
          <w:color w:val="000000"/>
          <w:sz w:val="16"/>
          <w:szCs w:val="16"/>
          <w:shd w:val="clear" w:color="auto" w:fill="FFFFFF"/>
        </w:rPr>
        <w:t xml:space="preserve"> </w:t>
      </w:r>
      <w:proofErr w:type="spellStart"/>
      <w:r w:rsidR="00EF5C0D" w:rsidRPr="00EF5C0D">
        <w:rPr>
          <w:rStyle w:val="Strong"/>
          <w:rFonts w:asciiTheme="majorHAnsi" w:hAnsiTheme="majorHAnsi"/>
          <w:b w:val="0"/>
          <w:color w:val="000000"/>
          <w:sz w:val="16"/>
          <w:szCs w:val="16"/>
          <w:shd w:val="clear" w:color="auto" w:fill="FFFFFF"/>
        </w:rPr>
        <w:t>Cadogan</w:t>
      </w:r>
      <w:proofErr w:type="spellEnd"/>
      <w:r w:rsidR="00EF5C0D" w:rsidRPr="00EF5C0D">
        <w:rPr>
          <w:rStyle w:val="Strong"/>
          <w:rFonts w:asciiTheme="majorHAnsi" w:hAnsiTheme="majorHAnsi"/>
          <w:b w:val="0"/>
          <w:color w:val="000000"/>
          <w:sz w:val="16"/>
          <w:szCs w:val="16"/>
          <w:shd w:val="clear" w:color="auto" w:fill="FFFFFF"/>
        </w:rPr>
        <w:t xml:space="preserve"> case, recalling the precedent of the Boyce case, the Inter-American Court indicated that "with respect to Section 2 of </w:t>
      </w:r>
      <w:r w:rsidR="00835F78">
        <w:rPr>
          <w:rStyle w:val="Strong"/>
          <w:rFonts w:asciiTheme="majorHAnsi" w:hAnsiTheme="majorHAnsi"/>
          <w:b w:val="0"/>
          <w:color w:val="000000"/>
          <w:sz w:val="16"/>
          <w:szCs w:val="16"/>
          <w:shd w:val="clear" w:color="auto" w:fill="FFFFFF"/>
        </w:rPr>
        <w:t>the LDCP, which indicates that ‘</w:t>
      </w:r>
      <w:r w:rsidR="00EF5C0D" w:rsidRPr="00EF5C0D">
        <w:rPr>
          <w:rStyle w:val="Strong"/>
          <w:rFonts w:asciiTheme="majorHAnsi" w:hAnsiTheme="majorHAnsi"/>
          <w:b w:val="0"/>
          <w:color w:val="000000"/>
          <w:sz w:val="16"/>
          <w:szCs w:val="16"/>
          <w:shd w:val="clear" w:color="auto" w:fill="FFFFFF"/>
        </w:rPr>
        <w:t>any person convicted of the crime of homicide will be sentenced, and</w:t>
      </w:r>
      <w:r w:rsidR="00835F78">
        <w:rPr>
          <w:rStyle w:val="Strong"/>
          <w:rFonts w:asciiTheme="majorHAnsi" w:hAnsiTheme="majorHAnsi"/>
          <w:b w:val="0"/>
          <w:color w:val="000000"/>
          <w:sz w:val="16"/>
          <w:szCs w:val="16"/>
          <w:shd w:val="clear" w:color="auto" w:fill="FFFFFF"/>
        </w:rPr>
        <w:t xml:space="preserve"> will suffer, the death penalty</w:t>
      </w:r>
      <w:r w:rsidR="00EF5C0D" w:rsidRPr="00EF5C0D">
        <w:rPr>
          <w:rStyle w:val="Strong"/>
          <w:rFonts w:asciiTheme="majorHAnsi" w:hAnsiTheme="majorHAnsi"/>
          <w:b w:val="0"/>
          <w:color w:val="000000"/>
          <w:sz w:val="16"/>
          <w:szCs w:val="16"/>
          <w:shd w:val="clear" w:color="auto" w:fill="FFFFFF"/>
        </w:rPr>
        <w:t xml:space="preserve">" the Court stated in Boyce and others that this law prevents the exercise of the right not to be arbitrarily deprived of life and as such is per se contrary to the Convention, therefore the State has the duty to eliminate or modify it in accordance with article 2 of that </w:t>
      </w:r>
      <w:r w:rsidR="00835F78">
        <w:rPr>
          <w:rStyle w:val="Strong"/>
          <w:rFonts w:asciiTheme="majorHAnsi" w:hAnsiTheme="majorHAnsi"/>
          <w:b w:val="0"/>
          <w:color w:val="000000"/>
          <w:sz w:val="16"/>
          <w:szCs w:val="16"/>
          <w:shd w:val="clear" w:color="auto" w:fill="FFFFFF"/>
        </w:rPr>
        <w:t xml:space="preserve">instrument. </w:t>
      </w:r>
      <w:proofErr w:type="gramStart"/>
      <w:r w:rsidR="00835F78">
        <w:rPr>
          <w:rStyle w:val="Strong"/>
          <w:rFonts w:asciiTheme="majorHAnsi" w:hAnsiTheme="majorHAnsi"/>
          <w:b w:val="0"/>
          <w:color w:val="000000"/>
          <w:sz w:val="16"/>
          <w:szCs w:val="16"/>
          <w:shd w:val="clear" w:color="auto" w:fill="FFFFFF"/>
        </w:rPr>
        <w:t xml:space="preserve">I/A Court H.R. Case of </w:t>
      </w:r>
      <w:proofErr w:type="spellStart"/>
      <w:r w:rsidR="00835F78">
        <w:rPr>
          <w:rStyle w:val="Strong"/>
          <w:rFonts w:asciiTheme="majorHAnsi" w:hAnsiTheme="majorHAnsi"/>
          <w:b w:val="0"/>
          <w:color w:val="000000"/>
          <w:sz w:val="16"/>
          <w:szCs w:val="16"/>
          <w:shd w:val="clear" w:color="auto" w:fill="FFFFFF"/>
        </w:rPr>
        <w:t>DaC</w:t>
      </w:r>
      <w:r w:rsidR="00EF5C0D" w:rsidRPr="00EF5C0D">
        <w:rPr>
          <w:rStyle w:val="Strong"/>
          <w:rFonts w:asciiTheme="majorHAnsi" w:hAnsiTheme="majorHAnsi"/>
          <w:b w:val="0"/>
          <w:color w:val="000000"/>
          <w:sz w:val="16"/>
          <w:szCs w:val="16"/>
          <w:shd w:val="clear" w:color="auto" w:fill="FFFFFF"/>
        </w:rPr>
        <w:t>osta</w:t>
      </w:r>
      <w:proofErr w:type="spellEnd"/>
      <w:r w:rsidR="00EF5C0D" w:rsidRPr="00EF5C0D">
        <w:rPr>
          <w:rStyle w:val="Strong"/>
          <w:rFonts w:asciiTheme="majorHAnsi" w:hAnsiTheme="majorHAnsi"/>
          <w:b w:val="0"/>
          <w:color w:val="000000"/>
          <w:sz w:val="16"/>
          <w:szCs w:val="16"/>
          <w:shd w:val="clear" w:color="auto" w:fill="FFFFFF"/>
        </w:rPr>
        <w:t xml:space="preserve"> </w:t>
      </w:r>
      <w:proofErr w:type="spellStart"/>
      <w:r w:rsidR="00EF5C0D" w:rsidRPr="00EF5C0D">
        <w:rPr>
          <w:rStyle w:val="Strong"/>
          <w:rFonts w:asciiTheme="majorHAnsi" w:hAnsiTheme="majorHAnsi"/>
          <w:b w:val="0"/>
          <w:color w:val="000000"/>
          <w:sz w:val="16"/>
          <w:szCs w:val="16"/>
          <w:shd w:val="clear" w:color="auto" w:fill="FFFFFF"/>
        </w:rPr>
        <w:t>Cadogan</w:t>
      </w:r>
      <w:proofErr w:type="spellEnd"/>
      <w:r w:rsidR="00EF5C0D" w:rsidRPr="00EF5C0D">
        <w:rPr>
          <w:rStyle w:val="Strong"/>
          <w:rFonts w:asciiTheme="majorHAnsi" w:hAnsiTheme="majorHAnsi"/>
          <w:b w:val="0"/>
          <w:color w:val="000000"/>
          <w:sz w:val="16"/>
          <w:szCs w:val="16"/>
          <w:shd w:val="clear" w:color="auto" w:fill="FFFFFF"/>
        </w:rPr>
        <w:t xml:space="preserve"> v. Barbados.</w:t>
      </w:r>
      <w:proofErr w:type="gramEnd"/>
      <w:r w:rsidR="00EF5C0D" w:rsidRPr="00EF5C0D">
        <w:rPr>
          <w:rStyle w:val="Strong"/>
          <w:rFonts w:asciiTheme="majorHAnsi" w:hAnsiTheme="majorHAnsi"/>
          <w:b w:val="0"/>
          <w:color w:val="000000"/>
          <w:sz w:val="16"/>
          <w:szCs w:val="16"/>
          <w:shd w:val="clear" w:color="auto" w:fill="FFFFFF"/>
        </w:rPr>
        <w:t xml:space="preserve"> </w:t>
      </w:r>
      <w:proofErr w:type="gramStart"/>
      <w:r w:rsidR="00EF5C0D" w:rsidRPr="00EF5C0D">
        <w:rPr>
          <w:rStyle w:val="Strong"/>
          <w:rFonts w:asciiTheme="majorHAnsi" w:hAnsiTheme="majorHAnsi"/>
          <w:b w:val="0"/>
          <w:color w:val="000000"/>
          <w:sz w:val="16"/>
          <w:szCs w:val="16"/>
          <w:shd w:val="clear" w:color="auto" w:fill="FFFFFF"/>
        </w:rPr>
        <w:t>Preliminary Exceptions, Merits, Reparations and Costs.</w:t>
      </w:r>
      <w:proofErr w:type="gramEnd"/>
      <w:r w:rsidR="00EF5C0D" w:rsidRPr="00EF5C0D">
        <w:rPr>
          <w:rStyle w:val="Strong"/>
          <w:rFonts w:asciiTheme="majorHAnsi" w:hAnsiTheme="majorHAnsi"/>
          <w:b w:val="0"/>
          <w:color w:val="000000"/>
          <w:sz w:val="16"/>
          <w:szCs w:val="16"/>
          <w:shd w:val="clear" w:color="auto" w:fill="FFFFFF"/>
        </w:rPr>
        <w:t xml:space="preserve"> Judgment of September 24, 2009. Series C No. 204, para. </w:t>
      </w:r>
      <w:proofErr w:type="gramStart"/>
      <w:r w:rsidR="00EF5C0D" w:rsidRPr="00EF5C0D">
        <w:rPr>
          <w:rStyle w:val="Strong"/>
          <w:rFonts w:asciiTheme="majorHAnsi" w:hAnsiTheme="majorHAnsi"/>
          <w:b w:val="0"/>
          <w:color w:val="000000"/>
          <w:sz w:val="16"/>
          <w:szCs w:val="16"/>
          <w:shd w:val="clear" w:color="auto" w:fill="FFFFFF"/>
        </w:rPr>
        <w:t>70; and IHR Court.</w:t>
      </w:r>
      <w:proofErr w:type="gramEnd"/>
      <w:r w:rsidR="00EF5C0D" w:rsidRPr="00EF5C0D">
        <w:rPr>
          <w:rStyle w:val="Strong"/>
          <w:rFonts w:asciiTheme="majorHAnsi" w:hAnsiTheme="majorHAnsi"/>
          <w:b w:val="0"/>
          <w:color w:val="000000"/>
          <w:sz w:val="16"/>
          <w:szCs w:val="16"/>
          <w:shd w:val="clear" w:color="auto" w:fill="FFFFFF"/>
        </w:rPr>
        <w:t xml:space="preserve"> Case Boyce et al. V. Barbados. </w:t>
      </w:r>
      <w:proofErr w:type="gramStart"/>
      <w:r w:rsidR="00EF5C0D" w:rsidRPr="00EF5C0D">
        <w:rPr>
          <w:rStyle w:val="Strong"/>
          <w:rFonts w:asciiTheme="majorHAnsi" w:hAnsiTheme="majorHAnsi"/>
          <w:b w:val="0"/>
          <w:color w:val="000000"/>
          <w:sz w:val="16"/>
          <w:szCs w:val="16"/>
          <w:shd w:val="clear" w:color="auto" w:fill="FFFFFF"/>
        </w:rPr>
        <w:t>Supervision Compliance Judgment.</w:t>
      </w:r>
      <w:proofErr w:type="gramEnd"/>
      <w:r w:rsidR="00EF5C0D" w:rsidRPr="00EF5C0D">
        <w:rPr>
          <w:rStyle w:val="Strong"/>
          <w:rFonts w:asciiTheme="majorHAnsi" w:hAnsiTheme="majorHAnsi"/>
          <w:b w:val="0"/>
          <w:color w:val="000000"/>
          <w:sz w:val="16"/>
          <w:szCs w:val="16"/>
          <w:shd w:val="clear" w:color="auto" w:fill="FFFFFF"/>
        </w:rPr>
        <w:t xml:space="preserve"> </w:t>
      </w:r>
      <w:proofErr w:type="gramStart"/>
      <w:r w:rsidR="00EF5C0D" w:rsidRPr="00EF5C0D">
        <w:rPr>
          <w:rStyle w:val="Strong"/>
          <w:rFonts w:asciiTheme="majorHAnsi" w:hAnsiTheme="majorHAnsi"/>
          <w:b w:val="0"/>
          <w:color w:val="000000"/>
          <w:sz w:val="16"/>
          <w:szCs w:val="16"/>
          <w:shd w:val="clear" w:color="auto" w:fill="FFFFFF"/>
        </w:rPr>
        <w:t>Order of the Inter-American Court of Human Rights of November 21, 2011, para.</w:t>
      </w:r>
      <w:proofErr w:type="gramEnd"/>
      <w:r w:rsidR="00EF5C0D" w:rsidRPr="00EF5C0D">
        <w:rPr>
          <w:rStyle w:val="Strong"/>
          <w:rFonts w:asciiTheme="majorHAnsi" w:hAnsiTheme="majorHAnsi"/>
          <w:b w:val="0"/>
          <w:color w:val="000000"/>
          <w:sz w:val="16"/>
          <w:szCs w:val="16"/>
          <w:shd w:val="clear" w:color="auto" w:fill="FFFFFF"/>
        </w:rPr>
        <w:t xml:space="preserve"> 10. Available in:  http://www.corteidh.or.cr/docs/supervisiones/boyce_21_11_11.pdf (In </w:t>
      </w:r>
      <w:proofErr w:type="spellStart"/>
      <w:proofErr w:type="gramStart"/>
      <w:r w:rsidR="00EF5C0D" w:rsidRPr="00EF5C0D">
        <w:rPr>
          <w:rStyle w:val="Strong"/>
          <w:rFonts w:asciiTheme="majorHAnsi" w:hAnsiTheme="majorHAnsi"/>
          <w:b w:val="0"/>
          <w:color w:val="000000"/>
          <w:sz w:val="16"/>
          <w:szCs w:val="16"/>
          <w:shd w:val="clear" w:color="auto" w:fill="FFFFFF"/>
        </w:rPr>
        <w:t>spanish</w:t>
      </w:r>
      <w:proofErr w:type="spellEnd"/>
      <w:proofErr w:type="gramEnd"/>
      <w:r w:rsidR="00EF5C0D" w:rsidRPr="00EF5C0D">
        <w:rPr>
          <w:rStyle w:val="Strong"/>
          <w:rFonts w:asciiTheme="majorHAnsi" w:hAnsiTheme="majorHAnsi"/>
          <w:b w:val="0"/>
          <w:color w:val="000000"/>
          <w:sz w:val="16"/>
          <w:szCs w:val="16"/>
          <w:shd w:val="clear" w:color="auto" w:fill="FFFFFF"/>
        </w:rPr>
        <w:t>)</w:t>
      </w:r>
      <w:r w:rsidR="00A04874">
        <w:rPr>
          <w:rStyle w:val="Strong"/>
          <w:rFonts w:asciiTheme="majorHAnsi" w:hAnsiTheme="majorHAnsi"/>
          <w:b w:val="0"/>
          <w:color w:val="000000"/>
          <w:sz w:val="16"/>
          <w:szCs w:val="16"/>
          <w:shd w:val="clear" w:color="auto" w:fill="FFFFFF"/>
        </w:rPr>
        <w:t>.</w:t>
      </w:r>
    </w:p>
  </w:footnote>
  <w:footnote w:id="7">
    <w:p w:rsidR="00215100" w:rsidRPr="00A73805" w:rsidRDefault="00215100" w:rsidP="003C3D59">
      <w:pPr>
        <w:pStyle w:val="FootnoteText"/>
        <w:spacing w:after="0" w:line="240" w:lineRule="auto"/>
        <w:jc w:val="both"/>
        <w:rPr>
          <w:rFonts w:asciiTheme="majorHAnsi" w:hAnsiTheme="majorHAnsi"/>
          <w:sz w:val="16"/>
          <w:szCs w:val="16"/>
        </w:rPr>
      </w:pPr>
      <w:r w:rsidRPr="008D281F">
        <w:rPr>
          <w:rStyle w:val="FootnoteReference"/>
          <w:rFonts w:asciiTheme="majorHAnsi" w:hAnsiTheme="majorHAnsi"/>
          <w:sz w:val="16"/>
          <w:szCs w:val="16"/>
        </w:rPr>
        <w:footnoteRef/>
      </w:r>
      <w:r w:rsidRPr="00A73805">
        <w:rPr>
          <w:rFonts w:asciiTheme="majorHAnsi" w:hAnsiTheme="majorHAnsi"/>
          <w:sz w:val="16"/>
          <w:szCs w:val="16"/>
        </w:rPr>
        <w:t xml:space="preserve"> </w:t>
      </w:r>
      <w:r w:rsidR="00DA0426">
        <w:rPr>
          <w:rStyle w:val="Strong"/>
          <w:rFonts w:asciiTheme="majorHAnsi" w:hAnsiTheme="majorHAnsi"/>
          <w:b w:val="0"/>
          <w:color w:val="000000"/>
          <w:sz w:val="16"/>
          <w:szCs w:val="16"/>
          <w:shd w:val="clear" w:color="auto" w:fill="FFFFFF"/>
        </w:rPr>
        <w:t>I</w:t>
      </w:r>
      <w:r w:rsidR="00A73805" w:rsidRPr="002E37B9">
        <w:rPr>
          <w:rStyle w:val="Strong"/>
          <w:rFonts w:asciiTheme="majorHAnsi" w:hAnsiTheme="majorHAnsi"/>
          <w:b w:val="0"/>
          <w:color w:val="000000"/>
          <w:sz w:val="16"/>
          <w:szCs w:val="16"/>
          <w:shd w:val="clear" w:color="auto" w:fill="FFFFFF"/>
        </w:rPr>
        <w:t>A</w:t>
      </w:r>
      <w:r w:rsidR="00DA0426">
        <w:rPr>
          <w:rStyle w:val="Strong"/>
          <w:rFonts w:asciiTheme="majorHAnsi" w:hAnsiTheme="majorHAnsi"/>
          <w:b w:val="0"/>
          <w:color w:val="000000"/>
          <w:sz w:val="16"/>
          <w:szCs w:val="16"/>
          <w:shd w:val="clear" w:color="auto" w:fill="FFFFFF"/>
        </w:rPr>
        <w:t>HR</w:t>
      </w:r>
      <w:r w:rsidR="00A73805" w:rsidRPr="002E37B9">
        <w:rPr>
          <w:rStyle w:val="Strong"/>
          <w:rFonts w:asciiTheme="majorHAnsi" w:hAnsiTheme="majorHAnsi"/>
          <w:b w:val="0"/>
          <w:color w:val="000000"/>
          <w:sz w:val="16"/>
          <w:szCs w:val="16"/>
          <w:shd w:val="clear" w:color="auto" w:fill="FFFFFF"/>
        </w:rPr>
        <w:t xml:space="preserve"> Court</w:t>
      </w:r>
      <w:r w:rsidR="00A73805" w:rsidRPr="002E37B9">
        <w:rPr>
          <w:rFonts w:asciiTheme="majorHAnsi" w:hAnsiTheme="majorHAnsi"/>
          <w:sz w:val="16"/>
          <w:szCs w:val="16"/>
        </w:rPr>
        <w:t xml:space="preserve">. Case Boyce et al. V. Barbados. </w:t>
      </w:r>
      <w:proofErr w:type="gramStart"/>
      <w:r w:rsidR="00A73805" w:rsidRPr="002E37B9">
        <w:rPr>
          <w:rFonts w:asciiTheme="majorHAnsi" w:hAnsiTheme="majorHAnsi"/>
          <w:sz w:val="16"/>
          <w:szCs w:val="16"/>
        </w:rPr>
        <w:t>Preliminary Objection, Fund, Reparations and Costs.</w:t>
      </w:r>
      <w:proofErr w:type="gramEnd"/>
      <w:r w:rsidR="00A73805" w:rsidRPr="002E37B9">
        <w:rPr>
          <w:rFonts w:asciiTheme="majorHAnsi" w:hAnsiTheme="majorHAnsi"/>
          <w:sz w:val="16"/>
          <w:szCs w:val="16"/>
        </w:rPr>
        <w:t xml:space="preserve"> Judgment of November 20, 2007. </w:t>
      </w:r>
      <w:proofErr w:type="gramStart"/>
      <w:r w:rsidR="00A73805" w:rsidRPr="002E37B9">
        <w:rPr>
          <w:rFonts w:asciiTheme="majorHAnsi" w:hAnsiTheme="majorHAnsi"/>
          <w:sz w:val="16"/>
          <w:szCs w:val="16"/>
        </w:rPr>
        <w:t>Series C No. 169, operative paragraph 8; and IHR Court.</w:t>
      </w:r>
      <w:proofErr w:type="gramEnd"/>
      <w:r w:rsidR="00A73805" w:rsidRPr="002E37B9">
        <w:rPr>
          <w:rFonts w:asciiTheme="majorHAnsi" w:hAnsiTheme="majorHAnsi"/>
          <w:sz w:val="16"/>
          <w:szCs w:val="16"/>
        </w:rPr>
        <w:t xml:space="preserve"> </w:t>
      </w:r>
      <w:proofErr w:type="gramStart"/>
      <w:r w:rsidR="00A73805" w:rsidRPr="002E37B9">
        <w:rPr>
          <w:rFonts w:asciiTheme="majorHAnsi" w:hAnsiTheme="majorHAnsi"/>
          <w:sz w:val="16"/>
          <w:szCs w:val="16"/>
        </w:rPr>
        <w:t xml:space="preserve">Case of </w:t>
      </w:r>
      <w:proofErr w:type="spellStart"/>
      <w:r w:rsidR="00A73805" w:rsidRPr="002E37B9">
        <w:rPr>
          <w:rFonts w:asciiTheme="majorHAnsi" w:hAnsiTheme="majorHAnsi"/>
          <w:sz w:val="16"/>
          <w:szCs w:val="16"/>
        </w:rPr>
        <w:t>Dacosta</w:t>
      </w:r>
      <w:proofErr w:type="spellEnd"/>
      <w:r w:rsidR="00A73805" w:rsidRPr="002E37B9">
        <w:rPr>
          <w:rFonts w:asciiTheme="majorHAnsi" w:hAnsiTheme="majorHAnsi"/>
          <w:sz w:val="16"/>
          <w:szCs w:val="16"/>
        </w:rPr>
        <w:t xml:space="preserve"> </w:t>
      </w:r>
      <w:proofErr w:type="spellStart"/>
      <w:r w:rsidR="00A73805" w:rsidRPr="002E37B9">
        <w:rPr>
          <w:rFonts w:asciiTheme="majorHAnsi" w:hAnsiTheme="majorHAnsi"/>
          <w:sz w:val="16"/>
          <w:szCs w:val="16"/>
        </w:rPr>
        <w:t>Cadogan</w:t>
      </w:r>
      <w:proofErr w:type="spellEnd"/>
      <w:r w:rsidR="00A73805" w:rsidRPr="002E37B9">
        <w:rPr>
          <w:rFonts w:asciiTheme="majorHAnsi" w:hAnsiTheme="majorHAnsi"/>
          <w:sz w:val="16"/>
          <w:szCs w:val="16"/>
        </w:rPr>
        <w:t xml:space="preserve"> v. Barbados, Op. Cit., Ninth operative paragraph.</w:t>
      </w:r>
      <w:proofErr w:type="gramEnd"/>
    </w:p>
  </w:footnote>
  <w:footnote w:id="8">
    <w:p w:rsidR="00215100" w:rsidRPr="00E9789D" w:rsidRDefault="00215100" w:rsidP="003C3D59">
      <w:pPr>
        <w:pStyle w:val="FootnoteText"/>
        <w:spacing w:after="0" w:line="240" w:lineRule="auto"/>
        <w:jc w:val="both"/>
        <w:rPr>
          <w:rFonts w:asciiTheme="majorHAnsi" w:hAnsiTheme="majorHAnsi"/>
          <w:sz w:val="16"/>
          <w:szCs w:val="16"/>
        </w:rPr>
      </w:pPr>
      <w:r w:rsidRPr="00A73805">
        <w:rPr>
          <w:rStyle w:val="FootnoteReference"/>
          <w:rFonts w:asciiTheme="majorHAnsi" w:hAnsiTheme="majorHAnsi"/>
          <w:sz w:val="16"/>
          <w:szCs w:val="16"/>
        </w:rPr>
        <w:footnoteRef/>
      </w:r>
      <w:r w:rsidR="00A73805" w:rsidRPr="00A73805">
        <w:rPr>
          <w:rFonts w:asciiTheme="majorHAnsi" w:hAnsiTheme="majorHAnsi"/>
          <w:sz w:val="16"/>
          <w:szCs w:val="16"/>
        </w:rPr>
        <w:t>As indicated</w:t>
      </w:r>
      <w:r w:rsidR="00A73805">
        <w:rPr>
          <w:rFonts w:asciiTheme="majorHAnsi" w:hAnsiTheme="majorHAnsi"/>
          <w:sz w:val="16"/>
          <w:szCs w:val="16"/>
        </w:rPr>
        <w:t xml:space="preserve"> by the I/A Court HR, "[</w:t>
      </w:r>
      <w:proofErr w:type="spellStart"/>
      <w:r w:rsidR="00A73805">
        <w:rPr>
          <w:rFonts w:asciiTheme="majorHAnsi" w:hAnsiTheme="majorHAnsi"/>
          <w:sz w:val="16"/>
          <w:szCs w:val="16"/>
        </w:rPr>
        <w:t>i</w:t>
      </w:r>
      <w:proofErr w:type="spellEnd"/>
      <w:r w:rsidR="00A73805">
        <w:rPr>
          <w:rFonts w:asciiTheme="majorHAnsi" w:hAnsiTheme="majorHAnsi"/>
          <w:sz w:val="16"/>
          <w:szCs w:val="16"/>
        </w:rPr>
        <w:t>]</w:t>
      </w:r>
      <w:r w:rsidR="00A73805" w:rsidRPr="002E37B9">
        <w:rPr>
          <w:rFonts w:asciiTheme="majorHAnsi" w:hAnsiTheme="majorHAnsi"/>
          <w:sz w:val="16"/>
          <w:szCs w:val="16"/>
        </w:rPr>
        <w:t>n effect, Article 26 does not allow the challenge of those laws in force, prior to the constitution, with the purpose of reviewing its constitutionality even when the purpose of said review is to analyze if the law violates rights and fundamental freedoms. This is the case of Article 2 of the LDCP, which came into force at the time of the enactment of the Offenses against the Person Act of 1868. That is, Article 2 of the LDCP is a law prior to th</w:t>
      </w:r>
      <w:r w:rsidR="00A73805">
        <w:rPr>
          <w:rFonts w:asciiTheme="majorHAnsi" w:hAnsiTheme="majorHAnsi"/>
          <w:sz w:val="16"/>
          <w:szCs w:val="16"/>
        </w:rPr>
        <w:t>e current constitution, and continues</w:t>
      </w:r>
      <w:r w:rsidR="00A73805" w:rsidRPr="002E37B9">
        <w:rPr>
          <w:rFonts w:asciiTheme="majorHAnsi" w:hAnsiTheme="majorHAnsi"/>
          <w:sz w:val="16"/>
          <w:szCs w:val="16"/>
        </w:rPr>
        <w:t xml:space="preserve"> law in Barbados. Therefore, under the "exclusion clause", the constitutionality of Article 2 of the LDCP cannot be challenged internally.</w:t>
      </w:r>
      <w:r w:rsidR="00A04874">
        <w:rPr>
          <w:rFonts w:asciiTheme="majorHAnsi" w:hAnsiTheme="majorHAnsi"/>
          <w:sz w:val="16"/>
          <w:szCs w:val="16"/>
        </w:rPr>
        <w:t>”</w:t>
      </w:r>
      <w:r w:rsidR="00A73805" w:rsidRPr="002E37B9">
        <w:rPr>
          <w:rFonts w:asciiTheme="majorHAnsi" w:hAnsiTheme="majorHAnsi"/>
          <w:sz w:val="16"/>
          <w:szCs w:val="16"/>
        </w:rPr>
        <w:t xml:space="preserve"> </w:t>
      </w:r>
      <w:proofErr w:type="gramStart"/>
      <w:r w:rsidR="00A73805" w:rsidRPr="002E37B9">
        <w:rPr>
          <w:rStyle w:val="Strong"/>
          <w:rFonts w:asciiTheme="majorHAnsi" w:hAnsiTheme="majorHAnsi"/>
          <w:b w:val="0"/>
          <w:color w:val="000000"/>
          <w:sz w:val="16"/>
          <w:szCs w:val="16"/>
          <w:shd w:val="clear" w:color="auto" w:fill="FFFFFF"/>
        </w:rPr>
        <w:t>I/A Court H.R</w:t>
      </w:r>
      <w:r w:rsidR="00A73805" w:rsidRPr="002E37B9">
        <w:rPr>
          <w:rFonts w:asciiTheme="majorHAnsi" w:hAnsiTheme="majorHAnsi"/>
          <w:sz w:val="16"/>
          <w:szCs w:val="16"/>
        </w:rPr>
        <w:t>. Case Boyce et al.</w:t>
      </w:r>
      <w:r w:rsidR="00A04874">
        <w:rPr>
          <w:rFonts w:asciiTheme="majorHAnsi" w:hAnsiTheme="majorHAnsi"/>
          <w:sz w:val="16"/>
          <w:szCs w:val="16"/>
        </w:rPr>
        <w:t xml:space="preserve"> v</w:t>
      </w:r>
      <w:r w:rsidR="00A73805" w:rsidRPr="002E37B9">
        <w:rPr>
          <w:rFonts w:asciiTheme="majorHAnsi" w:hAnsiTheme="majorHAnsi"/>
          <w:sz w:val="16"/>
          <w:szCs w:val="16"/>
        </w:rPr>
        <w:t>. Barbados, Op. Cit., Para.</w:t>
      </w:r>
      <w:proofErr w:type="gramEnd"/>
      <w:r w:rsidR="00A73805" w:rsidRPr="002E37B9">
        <w:rPr>
          <w:rFonts w:asciiTheme="majorHAnsi" w:hAnsiTheme="majorHAnsi"/>
          <w:sz w:val="16"/>
          <w:szCs w:val="16"/>
        </w:rPr>
        <w:t xml:space="preserve"> 75</w:t>
      </w:r>
    </w:p>
  </w:footnote>
  <w:footnote w:id="9">
    <w:p w:rsidR="00215100" w:rsidRPr="00EF5C0D" w:rsidRDefault="00215100" w:rsidP="003C3D59">
      <w:pPr>
        <w:pStyle w:val="FootnoteText"/>
        <w:spacing w:after="0" w:line="240" w:lineRule="auto"/>
        <w:jc w:val="both"/>
        <w:rPr>
          <w:rFonts w:asciiTheme="majorHAnsi" w:hAnsiTheme="majorHAnsi"/>
          <w:sz w:val="16"/>
          <w:szCs w:val="16"/>
        </w:rPr>
      </w:pPr>
      <w:r w:rsidRPr="008D281F">
        <w:rPr>
          <w:rStyle w:val="FootnoteReference"/>
          <w:rFonts w:asciiTheme="majorHAnsi" w:hAnsiTheme="majorHAnsi"/>
          <w:sz w:val="16"/>
          <w:szCs w:val="16"/>
        </w:rPr>
        <w:footnoteRef/>
      </w:r>
      <w:r w:rsidR="00DA0426">
        <w:rPr>
          <w:rFonts w:asciiTheme="majorHAnsi" w:hAnsiTheme="majorHAnsi"/>
          <w:sz w:val="16"/>
          <w:szCs w:val="16"/>
        </w:rPr>
        <w:t>I</w:t>
      </w:r>
      <w:r w:rsidR="00EF5C0D">
        <w:rPr>
          <w:rFonts w:asciiTheme="majorHAnsi" w:hAnsiTheme="majorHAnsi"/>
          <w:sz w:val="16"/>
          <w:szCs w:val="16"/>
        </w:rPr>
        <w:t>A</w:t>
      </w:r>
      <w:r w:rsidR="00DA0426">
        <w:rPr>
          <w:rFonts w:asciiTheme="majorHAnsi" w:hAnsiTheme="majorHAnsi"/>
          <w:sz w:val="16"/>
          <w:szCs w:val="16"/>
        </w:rPr>
        <w:t>HR</w:t>
      </w:r>
      <w:r w:rsidR="00EF5C0D">
        <w:rPr>
          <w:rFonts w:asciiTheme="majorHAnsi" w:hAnsiTheme="majorHAnsi"/>
          <w:sz w:val="16"/>
          <w:szCs w:val="16"/>
        </w:rPr>
        <w:t xml:space="preserve"> Court</w:t>
      </w:r>
      <w:r w:rsidR="00EF5C0D" w:rsidRPr="00690B2A">
        <w:rPr>
          <w:rFonts w:asciiTheme="majorHAnsi" w:hAnsiTheme="majorHAnsi"/>
          <w:bCs/>
          <w:sz w:val="16"/>
          <w:szCs w:val="16"/>
        </w:rPr>
        <w:t xml:space="preserve">. </w:t>
      </w:r>
      <w:proofErr w:type="gramStart"/>
      <w:r w:rsidR="00EF5C0D" w:rsidRPr="00690B2A">
        <w:rPr>
          <w:rFonts w:asciiTheme="majorHAnsi" w:hAnsiTheme="majorHAnsi"/>
          <w:bCs/>
          <w:sz w:val="16"/>
          <w:szCs w:val="16"/>
        </w:rPr>
        <w:t xml:space="preserve">Case of </w:t>
      </w:r>
      <w:proofErr w:type="spellStart"/>
      <w:r w:rsidR="00EF5C0D" w:rsidRPr="00690B2A">
        <w:rPr>
          <w:rFonts w:asciiTheme="majorHAnsi" w:hAnsiTheme="majorHAnsi"/>
          <w:bCs/>
          <w:sz w:val="16"/>
          <w:szCs w:val="16"/>
        </w:rPr>
        <w:t>Dacosta</w:t>
      </w:r>
      <w:proofErr w:type="spellEnd"/>
      <w:r w:rsidR="00EF5C0D" w:rsidRPr="00690B2A">
        <w:rPr>
          <w:rFonts w:asciiTheme="majorHAnsi" w:hAnsiTheme="majorHAnsi"/>
          <w:bCs/>
          <w:sz w:val="16"/>
          <w:szCs w:val="16"/>
        </w:rPr>
        <w:t xml:space="preserve"> </w:t>
      </w:r>
      <w:proofErr w:type="spellStart"/>
      <w:r w:rsidR="00EF5C0D" w:rsidRPr="00690B2A">
        <w:rPr>
          <w:rFonts w:asciiTheme="majorHAnsi" w:hAnsiTheme="majorHAnsi"/>
          <w:bCs/>
          <w:sz w:val="16"/>
          <w:szCs w:val="16"/>
        </w:rPr>
        <w:t>Cadogan</w:t>
      </w:r>
      <w:proofErr w:type="spellEnd"/>
      <w:r w:rsidR="00EF5C0D" w:rsidRPr="00690B2A">
        <w:rPr>
          <w:rFonts w:asciiTheme="majorHAnsi" w:hAnsiTheme="majorHAnsi"/>
          <w:bCs/>
          <w:sz w:val="16"/>
          <w:szCs w:val="16"/>
        </w:rPr>
        <w:t xml:space="preserve"> v. Barbados.</w:t>
      </w:r>
      <w:proofErr w:type="gramEnd"/>
      <w:r w:rsidR="00EF5C0D" w:rsidRPr="00690B2A">
        <w:rPr>
          <w:rFonts w:asciiTheme="majorHAnsi" w:hAnsiTheme="majorHAnsi"/>
          <w:bCs/>
          <w:sz w:val="16"/>
          <w:szCs w:val="16"/>
        </w:rPr>
        <w:t xml:space="preserve"> </w:t>
      </w:r>
      <w:proofErr w:type="gramStart"/>
      <w:r w:rsidR="00EF5C0D" w:rsidRPr="00690B2A">
        <w:rPr>
          <w:rFonts w:asciiTheme="majorHAnsi" w:hAnsiTheme="majorHAnsi"/>
          <w:bCs/>
          <w:sz w:val="16"/>
          <w:szCs w:val="16"/>
        </w:rPr>
        <w:t>Supervision Compliance Judgment.</w:t>
      </w:r>
      <w:proofErr w:type="gramEnd"/>
      <w:r w:rsidR="00EF5C0D" w:rsidRPr="00690B2A">
        <w:rPr>
          <w:rFonts w:asciiTheme="majorHAnsi" w:hAnsiTheme="majorHAnsi"/>
          <w:bCs/>
          <w:sz w:val="16"/>
          <w:szCs w:val="16"/>
        </w:rPr>
        <w:t xml:space="preserve"> </w:t>
      </w:r>
      <w:proofErr w:type="gramStart"/>
      <w:r w:rsidR="00EF5C0D" w:rsidRPr="00690B2A">
        <w:rPr>
          <w:rFonts w:asciiTheme="majorHAnsi" w:hAnsiTheme="majorHAnsi"/>
          <w:bCs/>
          <w:sz w:val="16"/>
          <w:szCs w:val="16"/>
        </w:rPr>
        <w:t>Order of the Inter-American Court of Human Rights of November 21, 2011, para.</w:t>
      </w:r>
      <w:proofErr w:type="gramEnd"/>
      <w:r w:rsidR="00EF5C0D" w:rsidRPr="00690B2A">
        <w:rPr>
          <w:rFonts w:asciiTheme="majorHAnsi" w:hAnsiTheme="majorHAnsi"/>
          <w:bCs/>
          <w:sz w:val="16"/>
          <w:szCs w:val="16"/>
        </w:rPr>
        <w:t xml:space="preserve"> </w:t>
      </w:r>
      <w:proofErr w:type="gramStart"/>
      <w:r w:rsidR="00EF5C0D" w:rsidRPr="002C09C8">
        <w:rPr>
          <w:rFonts w:asciiTheme="majorHAnsi" w:hAnsiTheme="majorHAnsi"/>
          <w:bCs/>
          <w:sz w:val="16"/>
          <w:szCs w:val="16"/>
        </w:rPr>
        <w:t>10 and 13.</w:t>
      </w:r>
      <w:proofErr w:type="gramEnd"/>
    </w:p>
  </w:footnote>
  <w:footnote w:id="10">
    <w:p w:rsidR="00215100" w:rsidRPr="00EF5C0D" w:rsidRDefault="00215100" w:rsidP="003C3D59">
      <w:pPr>
        <w:pStyle w:val="FootnoteText"/>
        <w:spacing w:after="0" w:line="240" w:lineRule="auto"/>
        <w:jc w:val="both"/>
        <w:rPr>
          <w:rFonts w:asciiTheme="majorHAnsi" w:hAnsiTheme="majorHAnsi"/>
          <w:sz w:val="16"/>
          <w:szCs w:val="16"/>
        </w:rPr>
      </w:pPr>
      <w:r w:rsidRPr="008D281F">
        <w:rPr>
          <w:rStyle w:val="FootnoteReference"/>
          <w:rFonts w:asciiTheme="majorHAnsi" w:hAnsiTheme="majorHAnsi"/>
          <w:sz w:val="16"/>
          <w:szCs w:val="16"/>
        </w:rPr>
        <w:footnoteRef/>
      </w:r>
      <w:r w:rsidR="00EF5C0D" w:rsidRPr="002C09C8">
        <w:rPr>
          <w:rFonts w:asciiTheme="majorHAnsi" w:hAnsiTheme="majorHAnsi"/>
          <w:sz w:val="16"/>
          <w:szCs w:val="16"/>
        </w:rPr>
        <w:t>Amnesty International, "Caribbean: Death penalty in the English-speaking Caribbean: A Human Rights issue</w:t>
      </w:r>
      <w:r w:rsidR="00EF5C0D">
        <w:rPr>
          <w:rFonts w:asciiTheme="majorHAnsi" w:hAnsiTheme="majorHAnsi"/>
          <w:sz w:val="16"/>
          <w:szCs w:val="16"/>
        </w:rPr>
        <w:t>,"</w:t>
      </w:r>
      <w:r w:rsidR="00EF5C0D" w:rsidRPr="002C09C8">
        <w:rPr>
          <w:rFonts w:asciiTheme="majorHAnsi" w:hAnsiTheme="majorHAnsi"/>
          <w:sz w:val="16"/>
          <w:szCs w:val="16"/>
        </w:rPr>
        <w:t xml:space="preserve"> November 30, 2012, available at </w:t>
      </w:r>
      <w:hyperlink r:id="rId1" w:history="1">
        <w:r w:rsidR="00EF5C0D" w:rsidRPr="002C09C8">
          <w:rPr>
            <w:rStyle w:val="Hyperlink"/>
            <w:rFonts w:asciiTheme="majorHAnsi" w:hAnsiTheme="majorHAnsi"/>
            <w:sz w:val="16"/>
            <w:szCs w:val="16"/>
          </w:rPr>
          <w:t>https://www.amnesty.org/en/documents/amr05/001/2012/en/</w:t>
        </w:r>
      </w:hyperlink>
      <w:r w:rsidR="00EF5C0D" w:rsidRPr="002C09C8">
        <w:rPr>
          <w:rFonts w:asciiTheme="majorHAnsi" w:hAnsiTheme="majorHAnsi"/>
          <w:sz w:val="16"/>
          <w:szCs w:val="16"/>
        </w:rPr>
        <w:t>; Cornell Center on the Death Penalty Worldwide, "Death penalty database: Barbados", latest updates as of December 20, 2017, available at</w:t>
      </w:r>
      <w:r w:rsidR="00EF5C0D">
        <w:rPr>
          <w:rFonts w:asciiTheme="majorHAnsi" w:hAnsiTheme="majorHAnsi"/>
          <w:sz w:val="16"/>
          <w:szCs w:val="16"/>
        </w:rPr>
        <w:t>:</w:t>
      </w:r>
      <w:r w:rsidR="00EF5C0D" w:rsidRPr="002C09C8">
        <w:rPr>
          <w:rFonts w:asciiTheme="majorHAnsi" w:hAnsiTheme="majorHAnsi"/>
          <w:sz w:val="16"/>
          <w:szCs w:val="16"/>
        </w:rPr>
        <w:t xml:space="preserve"> </w:t>
      </w:r>
      <w:hyperlink r:id="rId2" w:anchor="a1-2" w:history="1">
        <w:r w:rsidR="00EF5C0D" w:rsidRPr="002C09C8">
          <w:rPr>
            <w:rStyle w:val="Hyperlink"/>
            <w:rFonts w:asciiTheme="majorHAnsi" w:hAnsiTheme="majorHAnsi"/>
            <w:sz w:val="16"/>
            <w:szCs w:val="16"/>
          </w:rPr>
          <w:t>https://www.deathpenaltyworldwide.org/country-search-post.cfm?country=Barbados#a1-2</w:t>
        </w:r>
      </w:hyperlink>
    </w:p>
  </w:footnote>
  <w:footnote w:id="11">
    <w:p w:rsidR="00215100" w:rsidRPr="00EF5C0D" w:rsidRDefault="00215100" w:rsidP="003C3D59">
      <w:pPr>
        <w:pStyle w:val="FootnoteText"/>
        <w:spacing w:after="0" w:line="240" w:lineRule="auto"/>
        <w:jc w:val="both"/>
        <w:rPr>
          <w:rFonts w:asciiTheme="majorHAnsi" w:hAnsiTheme="majorHAnsi"/>
          <w:sz w:val="16"/>
          <w:szCs w:val="16"/>
        </w:rPr>
      </w:pPr>
      <w:r w:rsidRPr="008D281F">
        <w:rPr>
          <w:rStyle w:val="FootnoteReference"/>
          <w:rFonts w:asciiTheme="majorHAnsi" w:hAnsiTheme="majorHAnsi"/>
          <w:sz w:val="16"/>
          <w:szCs w:val="16"/>
        </w:rPr>
        <w:footnoteRef/>
      </w:r>
      <w:proofErr w:type="gramStart"/>
      <w:r w:rsidR="00EF5C0D" w:rsidRPr="002C09C8">
        <w:rPr>
          <w:rFonts w:asciiTheme="majorHAnsi" w:hAnsiTheme="majorHAnsi"/>
          <w:sz w:val="16"/>
          <w:szCs w:val="16"/>
        </w:rPr>
        <w:t>IACHR.</w:t>
      </w:r>
      <w:proofErr w:type="gramEnd"/>
      <w:r w:rsidR="00EF5C0D" w:rsidRPr="002C09C8">
        <w:rPr>
          <w:rFonts w:asciiTheme="majorHAnsi" w:hAnsiTheme="majorHAnsi"/>
          <w:sz w:val="16"/>
          <w:szCs w:val="16"/>
        </w:rPr>
        <w:t xml:space="preserve"> </w:t>
      </w:r>
      <w:r w:rsidR="00EF5C0D" w:rsidRPr="002C09C8">
        <w:rPr>
          <w:rFonts w:asciiTheme="majorHAnsi" w:hAnsiTheme="majorHAnsi"/>
          <w:i/>
          <w:sz w:val="16"/>
          <w:szCs w:val="16"/>
        </w:rPr>
        <w:t>The Death Penalty in the Inter-American Human Rights System: Abolition</w:t>
      </w:r>
      <w:r w:rsidR="00EF5C0D">
        <w:rPr>
          <w:rFonts w:asciiTheme="majorHAnsi" w:hAnsiTheme="majorHAnsi"/>
          <w:i/>
          <w:sz w:val="16"/>
          <w:szCs w:val="16"/>
        </w:rPr>
        <w:t>,</w:t>
      </w:r>
      <w:r w:rsidR="00EF5C0D" w:rsidRPr="002C09C8">
        <w:rPr>
          <w:rFonts w:asciiTheme="majorHAnsi" w:hAnsiTheme="majorHAnsi"/>
          <w:i/>
          <w:sz w:val="16"/>
          <w:szCs w:val="16"/>
        </w:rPr>
        <w:t xml:space="preserve"> Restrictions.</w:t>
      </w:r>
      <w:r w:rsidR="00EF5C0D" w:rsidRPr="002C09C8">
        <w:rPr>
          <w:rFonts w:asciiTheme="majorHAnsi" w:hAnsiTheme="majorHAnsi"/>
          <w:sz w:val="16"/>
          <w:szCs w:val="16"/>
        </w:rPr>
        <w:t xml:space="preserve"> </w:t>
      </w:r>
      <w:proofErr w:type="gramStart"/>
      <w:r w:rsidR="00EF5C0D" w:rsidRPr="002C09C8">
        <w:rPr>
          <w:rFonts w:asciiTheme="majorHAnsi" w:hAnsiTheme="majorHAnsi"/>
          <w:sz w:val="16"/>
          <w:szCs w:val="16"/>
        </w:rPr>
        <w:t xml:space="preserve">OEA / </w:t>
      </w:r>
      <w:proofErr w:type="spellStart"/>
      <w:r w:rsidR="00EF5C0D" w:rsidRPr="002C09C8">
        <w:rPr>
          <w:rFonts w:asciiTheme="majorHAnsi" w:hAnsiTheme="majorHAnsi"/>
          <w:sz w:val="16"/>
          <w:szCs w:val="16"/>
        </w:rPr>
        <w:t>Ser.L</w:t>
      </w:r>
      <w:proofErr w:type="spellEnd"/>
      <w:r w:rsidR="00EF5C0D" w:rsidRPr="002C09C8">
        <w:rPr>
          <w:rFonts w:asciiTheme="majorHAnsi" w:hAnsiTheme="majorHAnsi"/>
          <w:sz w:val="16"/>
          <w:szCs w:val="16"/>
        </w:rPr>
        <w:t xml:space="preserve"> / V / II.</w:t>
      </w:r>
      <w:proofErr w:type="gramEnd"/>
      <w:r w:rsidR="00EF5C0D" w:rsidRPr="002C09C8">
        <w:rPr>
          <w:rFonts w:asciiTheme="majorHAnsi" w:hAnsiTheme="majorHAnsi"/>
          <w:sz w:val="16"/>
          <w:szCs w:val="16"/>
        </w:rPr>
        <w:t xml:space="preserve"> </w:t>
      </w:r>
      <w:proofErr w:type="gramStart"/>
      <w:r w:rsidR="00EF5C0D" w:rsidRPr="002C09C8">
        <w:rPr>
          <w:rFonts w:asciiTheme="majorHAnsi" w:hAnsiTheme="majorHAnsi"/>
          <w:sz w:val="16"/>
          <w:szCs w:val="16"/>
        </w:rPr>
        <w:t>Doc. 68.</w:t>
      </w:r>
      <w:proofErr w:type="gramEnd"/>
      <w:r w:rsidR="00EF5C0D" w:rsidRPr="002C09C8">
        <w:rPr>
          <w:rFonts w:asciiTheme="majorHAnsi" w:hAnsiTheme="majorHAnsi"/>
          <w:sz w:val="16"/>
          <w:szCs w:val="16"/>
        </w:rPr>
        <w:t xml:space="preserve"> </w:t>
      </w:r>
      <w:proofErr w:type="gramStart"/>
      <w:r w:rsidR="00EF5C0D" w:rsidRPr="002C09C8">
        <w:rPr>
          <w:rFonts w:asciiTheme="majorHAnsi" w:hAnsiTheme="majorHAnsi"/>
          <w:sz w:val="16"/>
          <w:szCs w:val="16"/>
        </w:rPr>
        <w:t>December 31, 2011, page 200.</w:t>
      </w:r>
      <w:proofErr w:type="gramEnd"/>
      <w:r w:rsidR="00EF5C0D" w:rsidRPr="002C09C8">
        <w:rPr>
          <w:rFonts w:asciiTheme="majorHAnsi" w:hAnsiTheme="majorHAnsi"/>
          <w:sz w:val="16"/>
          <w:szCs w:val="16"/>
        </w:rPr>
        <w:t xml:space="preserve"> Available at: http://www.oas.org/en/iachr/docs/pdf/deathpenalty.pdf</w:t>
      </w:r>
    </w:p>
  </w:footnote>
  <w:footnote w:id="12">
    <w:p w:rsidR="00215100" w:rsidRPr="00EF5C0D" w:rsidRDefault="00215100" w:rsidP="003C3D59">
      <w:pPr>
        <w:pStyle w:val="FootnoteText"/>
        <w:spacing w:after="0" w:line="240" w:lineRule="auto"/>
        <w:jc w:val="both"/>
        <w:rPr>
          <w:rFonts w:asciiTheme="majorHAnsi" w:hAnsiTheme="majorHAnsi"/>
          <w:sz w:val="16"/>
          <w:szCs w:val="16"/>
        </w:rPr>
      </w:pPr>
      <w:r w:rsidRPr="008D281F">
        <w:rPr>
          <w:rStyle w:val="FootnoteReference"/>
          <w:rFonts w:asciiTheme="majorHAnsi" w:hAnsiTheme="majorHAnsi"/>
          <w:sz w:val="16"/>
          <w:szCs w:val="16"/>
        </w:rPr>
        <w:footnoteRef/>
      </w:r>
      <w:r w:rsidR="00EF5C0D" w:rsidRPr="002C09C8">
        <w:rPr>
          <w:rFonts w:asciiTheme="majorHAnsi" w:hAnsiTheme="majorHAnsi"/>
          <w:sz w:val="16"/>
          <w:szCs w:val="16"/>
        </w:rPr>
        <w:t xml:space="preserve">IACHR, Report No. 24/17, Case 12.254. </w:t>
      </w:r>
      <w:proofErr w:type="gramStart"/>
      <w:r w:rsidR="00EF5C0D" w:rsidRPr="002C09C8">
        <w:rPr>
          <w:rFonts w:asciiTheme="majorHAnsi" w:hAnsiTheme="majorHAnsi"/>
          <w:sz w:val="16"/>
          <w:szCs w:val="16"/>
        </w:rPr>
        <w:t>Background.</w:t>
      </w:r>
      <w:proofErr w:type="gramEnd"/>
      <w:r w:rsidR="00EF5C0D" w:rsidRPr="002C09C8">
        <w:rPr>
          <w:rFonts w:asciiTheme="majorHAnsi" w:hAnsiTheme="majorHAnsi"/>
          <w:sz w:val="16"/>
          <w:szCs w:val="16"/>
        </w:rPr>
        <w:t xml:space="preserve"> Victor </w:t>
      </w:r>
      <w:proofErr w:type="spellStart"/>
      <w:r w:rsidR="00EF5C0D" w:rsidRPr="002C09C8">
        <w:rPr>
          <w:rFonts w:asciiTheme="majorHAnsi" w:hAnsiTheme="majorHAnsi"/>
          <w:sz w:val="16"/>
          <w:szCs w:val="16"/>
        </w:rPr>
        <w:t>Saldaño</w:t>
      </w:r>
      <w:proofErr w:type="spellEnd"/>
      <w:r w:rsidR="00EF5C0D" w:rsidRPr="002C09C8">
        <w:rPr>
          <w:rFonts w:asciiTheme="majorHAnsi" w:hAnsiTheme="majorHAnsi"/>
          <w:sz w:val="16"/>
          <w:szCs w:val="16"/>
        </w:rPr>
        <w:t xml:space="preserve">. </w:t>
      </w:r>
      <w:proofErr w:type="gramStart"/>
      <w:r w:rsidR="00EF5C0D" w:rsidRPr="002C09C8">
        <w:rPr>
          <w:rFonts w:asciiTheme="majorHAnsi" w:hAnsiTheme="majorHAnsi"/>
          <w:sz w:val="16"/>
          <w:szCs w:val="16"/>
        </w:rPr>
        <w:t>U.S. March 18, 2017, para.</w:t>
      </w:r>
      <w:proofErr w:type="gramEnd"/>
      <w:r w:rsidR="00EF5C0D" w:rsidRPr="002C09C8">
        <w:rPr>
          <w:rFonts w:asciiTheme="majorHAnsi" w:hAnsiTheme="majorHAnsi"/>
          <w:sz w:val="16"/>
          <w:szCs w:val="16"/>
        </w:rPr>
        <w:t xml:space="preserve"> 252. Available in: </w:t>
      </w:r>
      <w:hyperlink r:id="rId3" w:history="1">
        <w:r w:rsidR="00EF5C0D" w:rsidRPr="002C09C8">
          <w:rPr>
            <w:rStyle w:val="Hyperlink"/>
            <w:rFonts w:asciiTheme="majorHAnsi" w:hAnsiTheme="majorHAnsi"/>
            <w:sz w:val="16"/>
            <w:szCs w:val="16"/>
          </w:rPr>
          <w:t>http://www.oas.org/en/iachr/decisions/merits.asp</w:t>
        </w:r>
      </w:hyperlink>
    </w:p>
  </w:footnote>
  <w:footnote w:id="13">
    <w:p w:rsidR="00DA0426" w:rsidRPr="00DA0426" w:rsidRDefault="00DA0426" w:rsidP="003C3D59">
      <w:pPr>
        <w:pStyle w:val="FootnoteText"/>
        <w:spacing w:after="0" w:line="240" w:lineRule="auto"/>
        <w:jc w:val="both"/>
      </w:pPr>
      <w:r w:rsidRPr="009971DE">
        <w:rPr>
          <w:rStyle w:val="FootnoteReference"/>
          <w:rFonts w:asciiTheme="majorHAnsi" w:hAnsiTheme="majorHAnsi" w:cstheme="majorHAnsi"/>
          <w:sz w:val="16"/>
          <w:szCs w:val="16"/>
        </w:rPr>
        <w:footnoteRef/>
      </w:r>
      <w:r w:rsidRPr="009971DE">
        <w:rPr>
          <w:rFonts w:asciiTheme="majorHAnsi" w:hAnsiTheme="majorHAnsi" w:cstheme="majorHAnsi"/>
          <w:sz w:val="16"/>
          <w:szCs w:val="16"/>
        </w:rPr>
        <w:t xml:space="preserve"> In addition, according to the Inter-American Court: "This supposed limitation of the right to judicial protection was addressed in 2004 by the highest court of appeal in Barbados at the time, the Judicial Committee of the Privy</w:t>
      </w:r>
      <w:r w:rsidRPr="00DA0426">
        <w:t xml:space="preserve"> </w:t>
      </w:r>
      <w:r w:rsidRPr="009971DE">
        <w:rPr>
          <w:rFonts w:asciiTheme="majorHAnsi" w:hAnsiTheme="majorHAnsi" w:cstheme="majorHAnsi"/>
          <w:sz w:val="16"/>
          <w:szCs w:val="16"/>
        </w:rPr>
        <w:t>Council (</w:t>
      </w:r>
      <w:proofErr w:type="spellStart"/>
      <w:r w:rsidRPr="009971DE">
        <w:rPr>
          <w:rFonts w:asciiTheme="majorHAnsi" w:hAnsiTheme="majorHAnsi" w:cstheme="majorHAnsi"/>
          <w:sz w:val="16"/>
          <w:szCs w:val="16"/>
        </w:rPr>
        <w:t>hereinafter,"CJCP</w:t>
      </w:r>
      <w:proofErr w:type="spellEnd"/>
      <w:r w:rsidRPr="009971DE">
        <w:rPr>
          <w:rFonts w:asciiTheme="majorHAnsi" w:hAnsiTheme="majorHAnsi" w:cstheme="majorHAnsi"/>
          <w:sz w:val="16"/>
          <w:szCs w:val="16"/>
        </w:rPr>
        <w:t>") which held in Boyce and Joseph v. The Queen that the domestic courts could not declare that Article 2 of the LDCP is inconsistent with Article 15.1 of the Constitution of Barbados, which prohibits inhuman or degrading treatment, given that the LDCP is an "existing law" according to the meaning of article 26 of the Constitution</w:t>
      </w:r>
      <w:r w:rsidR="00E70801">
        <w:rPr>
          <w:rFonts w:asciiTheme="majorHAnsi" w:hAnsiTheme="majorHAnsi" w:cstheme="majorHAnsi"/>
          <w:sz w:val="16"/>
          <w:szCs w:val="16"/>
        </w:rPr>
        <w:t>.</w:t>
      </w:r>
      <w:r w:rsidRPr="009971DE">
        <w:rPr>
          <w:rFonts w:asciiTheme="majorHAnsi" w:hAnsiTheme="majorHAnsi" w:cstheme="majorHAnsi"/>
          <w:sz w:val="16"/>
          <w:szCs w:val="16"/>
        </w:rPr>
        <w:t>" See: IAHR Court, Boyce et al. V. Barbados, op. Cit., Para. 76. In the instant case, the Inter-American Court also indicated that "it coincides with the reasoning of the Judicial Committee of the Privy Council that a fundamental right is at stake, namely, the right not to be arbitrarily deprived of life." See: Case Boyce et al. V. Barbados, op. Cit., Footnote 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97" w:rsidRPr="006A2671" w:rsidRDefault="00493E97" w:rsidP="006A2671">
    <w:pPr>
      <w:tabs>
        <w:tab w:val="left" w:pos="4040"/>
        <w:tab w:val="left" w:pos="4333"/>
        <w:tab w:val="center" w:pos="4680"/>
        <w:tab w:val="right" w:pos="9360"/>
      </w:tabs>
      <w:jc w:val="both"/>
      <w:rPr>
        <w:rFonts w:ascii="Calibri" w:eastAsia="Calibri" w:hAnsi="Calibri" w:cs="Times New Roman"/>
        <w:sz w:val="22"/>
        <w:szCs w:val="22"/>
      </w:rPr>
    </w:pPr>
    <w:r>
      <w:rPr>
        <w:rFonts w:ascii="Calibri" w:eastAsia="Calibri" w:hAnsi="Calibri" w:cs="Times New Roman"/>
        <w:noProof/>
        <w:sz w:val="22"/>
        <w:szCs w:val="22"/>
      </w:rPr>
      <w:drawing>
        <wp:inline distT="0" distB="0" distL="0" distR="0" wp14:anchorId="08B19C91" wp14:editId="20D0246B">
          <wp:extent cx="2355850" cy="450850"/>
          <wp:effectExtent l="0" t="0" r="6350" b="6350"/>
          <wp:docPr id="9" name="Picture 6"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850" cy="450850"/>
                  </a:xfrm>
                  <a:prstGeom prst="rect">
                    <a:avLst/>
                  </a:prstGeom>
                  <a:noFill/>
                  <a:ln>
                    <a:noFill/>
                  </a:ln>
                </pic:spPr>
              </pic:pic>
            </a:graphicData>
          </a:graphic>
        </wp:inline>
      </w:drawing>
    </w:r>
    <w:r w:rsidRPr="006A2671">
      <w:rPr>
        <w:rFonts w:ascii="Calibri" w:eastAsia="Calibri" w:hAnsi="Calibri" w:cs="Times New Roman"/>
        <w:sz w:val="22"/>
        <w:szCs w:val="22"/>
      </w:rPr>
      <w:tab/>
    </w:r>
    <w:r w:rsidRPr="006A2671">
      <w:rPr>
        <w:rFonts w:ascii="Calibri" w:eastAsia="Calibri" w:hAnsi="Calibri" w:cs="Times New Roman"/>
        <w:sz w:val="22"/>
        <w:szCs w:val="22"/>
      </w:rPr>
      <w:tab/>
    </w:r>
    <w:r w:rsidRPr="006A2671">
      <w:rPr>
        <w:rFonts w:ascii="Calibri" w:eastAsia="Calibri" w:hAnsi="Calibri" w:cs="Times New Roman"/>
        <w:sz w:val="22"/>
        <w:szCs w:val="22"/>
      </w:rPr>
      <w:tab/>
    </w:r>
    <w:r w:rsidRPr="006A2671">
      <w:rPr>
        <w:rFonts w:ascii="Calibri" w:eastAsia="Calibri" w:hAnsi="Calibri" w:cs="Times New Roman"/>
        <w:sz w:val="22"/>
        <w:szCs w:val="22"/>
      </w:rPr>
      <w:tab/>
    </w:r>
    <w:r>
      <w:rPr>
        <w:rFonts w:ascii="Calibri" w:eastAsia="Calibri" w:hAnsi="Calibri" w:cs="Times New Roman"/>
        <w:noProof/>
        <w:sz w:val="22"/>
        <w:szCs w:val="22"/>
      </w:rPr>
      <w:drawing>
        <wp:inline distT="0" distB="0" distL="0" distR="0" wp14:anchorId="6C11EA1F" wp14:editId="064F8B85">
          <wp:extent cx="2101850" cy="539750"/>
          <wp:effectExtent l="0" t="0" r="0" b="0"/>
          <wp:docPr id="10" name="Picture 5"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1850" cy="539750"/>
                  </a:xfrm>
                  <a:prstGeom prst="rect">
                    <a:avLst/>
                  </a:prstGeom>
                  <a:noFill/>
                  <a:ln>
                    <a:noFill/>
                  </a:ln>
                </pic:spPr>
              </pic:pic>
            </a:graphicData>
          </a:graphic>
        </wp:inline>
      </w:drawing>
    </w:r>
  </w:p>
  <w:p w:rsidR="00493E97" w:rsidRPr="006A2671" w:rsidRDefault="00493E97" w:rsidP="006A2671">
    <w:pPr>
      <w:pBdr>
        <w:bottom w:val="single" w:sz="6" w:space="1" w:color="auto"/>
      </w:pBdr>
      <w:tabs>
        <w:tab w:val="center" w:pos="4680"/>
        <w:tab w:val="right" w:pos="9360"/>
      </w:tabs>
      <w:rPr>
        <w:rFonts w:ascii="Calibri" w:eastAsia="Batang" w:hAnsi="Calibri" w:cs="Times New Roman"/>
        <w:sz w:val="22"/>
        <w:szCs w:val="22"/>
        <w:lang w:val="es-ES"/>
      </w:rPr>
    </w:pPr>
  </w:p>
  <w:p w:rsidR="00493E97" w:rsidRDefault="00493E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5919"/>
    <w:multiLevelType w:val="hybridMultilevel"/>
    <w:tmpl w:val="54047090"/>
    <w:lvl w:ilvl="0" w:tplc="D73810A4">
      <w:start w:val="1"/>
      <w:numFmt w:val="decimal"/>
      <w:lvlText w:val="%1."/>
      <w:lvlJc w:val="left"/>
      <w:pPr>
        <w:ind w:left="900" w:hanging="360"/>
      </w:pPr>
      <w:rPr>
        <w:lang w:val="es-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DC17B0"/>
    <w:multiLevelType w:val="hybridMultilevel"/>
    <w:tmpl w:val="CC7C59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576341"/>
    <w:multiLevelType w:val="hybridMultilevel"/>
    <w:tmpl w:val="75165D8E"/>
    <w:lvl w:ilvl="0" w:tplc="DBD89108">
      <w:start w:val="1"/>
      <w:numFmt w:val="lowerLetter"/>
      <w:lvlText w:val="%1)"/>
      <w:lvlJc w:val="left"/>
      <w:pPr>
        <w:ind w:left="97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953779"/>
    <w:multiLevelType w:val="hybridMultilevel"/>
    <w:tmpl w:val="74461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E3636E"/>
    <w:multiLevelType w:val="hybridMultilevel"/>
    <w:tmpl w:val="7E54CD38"/>
    <w:lvl w:ilvl="0" w:tplc="9FC4965A">
      <w:start w:val="1"/>
      <w:numFmt w:val="lowerLetter"/>
      <w:lvlText w:val="%1)"/>
      <w:lvlJc w:val="left"/>
      <w:pPr>
        <w:ind w:left="97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803A69"/>
    <w:multiLevelType w:val="hybridMultilevel"/>
    <w:tmpl w:val="02D4D0E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BA26FB9"/>
    <w:multiLevelType w:val="hybridMultilevel"/>
    <w:tmpl w:val="B7ACC1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0BE6FA9"/>
    <w:multiLevelType w:val="hybridMultilevel"/>
    <w:tmpl w:val="55B433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130B23"/>
    <w:multiLevelType w:val="hybridMultilevel"/>
    <w:tmpl w:val="F9C6C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B20A40"/>
    <w:multiLevelType w:val="hybridMultilevel"/>
    <w:tmpl w:val="2CD0B4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37CE1"/>
    <w:multiLevelType w:val="hybridMultilevel"/>
    <w:tmpl w:val="3796F7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6"/>
  </w:num>
  <w:num w:numId="5">
    <w:abstractNumId w:val="9"/>
  </w:num>
  <w:num w:numId="6">
    <w:abstractNumId w:val="5"/>
  </w:num>
  <w:num w:numId="7">
    <w:abstractNumId w:val="4"/>
  </w:num>
  <w:num w:numId="8">
    <w:abstractNumId w:val="10"/>
  </w:num>
  <w:num w:numId="9">
    <w:abstractNumId w:val="3"/>
  </w:num>
  <w:num w:numId="10">
    <w:abstractNumId w:val="1"/>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00"/>
    <w:rsid w:val="000005F8"/>
    <w:rsid w:val="000034B3"/>
    <w:rsid w:val="00006BA4"/>
    <w:rsid w:val="00007FC4"/>
    <w:rsid w:val="00010401"/>
    <w:rsid w:val="000106E2"/>
    <w:rsid w:val="00010DD1"/>
    <w:rsid w:val="00015412"/>
    <w:rsid w:val="0002059F"/>
    <w:rsid w:val="00020A61"/>
    <w:rsid w:val="00020DCF"/>
    <w:rsid w:val="00024305"/>
    <w:rsid w:val="0002550A"/>
    <w:rsid w:val="000261D6"/>
    <w:rsid w:val="00026A87"/>
    <w:rsid w:val="0002780A"/>
    <w:rsid w:val="00031588"/>
    <w:rsid w:val="00031ECE"/>
    <w:rsid w:val="00037B2A"/>
    <w:rsid w:val="000401CB"/>
    <w:rsid w:val="00041E78"/>
    <w:rsid w:val="00043048"/>
    <w:rsid w:val="00044A2F"/>
    <w:rsid w:val="00045354"/>
    <w:rsid w:val="000505C9"/>
    <w:rsid w:val="000525A0"/>
    <w:rsid w:val="0005333C"/>
    <w:rsid w:val="000535C7"/>
    <w:rsid w:val="000551C7"/>
    <w:rsid w:val="00057E6F"/>
    <w:rsid w:val="00066234"/>
    <w:rsid w:val="00067C4E"/>
    <w:rsid w:val="000706BE"/>
    <w:rsid w:val="00071D13"/>
    <w:rsid w:val="0007468C"/>
    <w:rsid w:val="00075279"/>
    <w:rsid w:val="000837BC"/>
    <w:rsid w:val="00084CD0"/>
    <w:rsid w:val="000958B9"/>
    <w:rsid w:val="0009712C"/>
    <w:rsid w:val="000A11B4"/>
    <w:rsid w:val="000A1D59"/>
    <w:rsid w:val="000A4DBF"/>
    <w:rsid w:val="000A5EF7"/>
    <w:rsid w:val="000B601A"/>
    <w:rsid w:val="000B6838"/>
    <w:rsid w:val="000C19BB"/>
    <w:rsid w:val="000C20F8"/>
    <w:rsid w:val="000C37B3"/>
    <w:rsid w:val="000C4976"/>
    <w:rsid w:val="000C526A"/>
    <w:rsid w:val="000D0472"/>
    <w:rsid w:val="000D138E"/>
    <w:rsid w:val="000D278D"/>
    <w:rsid w:val="000D37C1"/>
    <w:rsid w:val="000D43FA"/>
    <w:rsid w:val="000D71FB"/>
    <w:rsid w:val="000E017C"/>
    <w:rsid w:val="000E19D9"/>
    <w:rsid w:val="000E485A"/>
    <w:rsid w:val="000F1807"/>
    <w:rsid w:val="000F2A4F"/>
    <w:rsid w:val="000F2E58"/>
    <w:rsid w:val="000F3BE6"/>
    <w:rsid w:val="000F729C"/>
    <w:rsid w:val="001006B4"/>
    <w:rsid w:val="00100BA3"/>
    <w:rsid w:val="0010160E"/>
    <w:rsid w:val="0010178B"/>
    <w:rsid w:val="00103081"/>
    <w:rsid w:val="001056AD"/>
    <w:rsid w:val="00106A0B"/>
    <w:rsid w:val="00110C2B"/>
    <w:rsid w:val="0011196C"/>
    <w:rsid w:val="00111D67"/>
    <w:rsid w:val="00115169"/>
    <w:rsid w:val="001172C1"/>
    <w:rsid w:val="00117979"/>
    <w:rsid w:val="001200F2"/>
    <w:rsid w:val="00122BFB"/>
    <w:rsid w:val="001242C0"/>
    <w:rsid w:val="00125B6C"/>
    <w:rsid w:val="00125FA8"/>
    <w:rsid w:val="00127276"/>
    <w:rsid w:val="001310B4"/>
    <w:rsid w:val="00136C6A"/>
    <w:rsid w:val="00137DD7"/>
    <w:rsid w:val="001408B6"/>
    <w:rsid w:val="001410E6"/>
    <w:rsid w:val="001422E6"/>
    <w:rsid w:val="001427B3"/>
    <w:rsid w:val="0015435E"/>
    <w:rsid w:val="00155585"/>
    <w:rsid w:val="00156E0A"/>
    <w:rsid w:val="00162C89"/>
    <w:rsid w:val="001672F4"/>
    <w:rsid w:val="00174115"/>
    <w:rsid w:val="001818C1"/>
    <w:rsid w:val="00191391"/>
    <w:rsid w:val="00193DD5"/>
    <w:rsid w:val="001A25F1"/>
    <w:rsid w:val="001A2B2B"/>
    <w:rsid w:val="001A3926"/>
    <w:rsid w:val="001B284C"/>
    <w:rsid w:val="001B356A"/>
    <w:rsid w:val="001B5C09"/>
    <w:rsid w:val="001C0525"/>
    <w:rsid w:val="001C0CAA"/>
    <w:rsid w:val="001C311F"/>
    <w:rsid w:val="001D08C6"/>
    <w:rsid w:val="001D12BC"/>
    <w:rsid w:val="001D25F5"/>
    <w:rsid w:val="001D3175"/>
    <w:rsid w:val="001D6492"/>
    <w:rsid w:val="001D7CEF"/>
    <w:rsid w:val="001E31EF"/>
    <w:rsid w:val="001E3274"/>
    <w:rsid w:val="001E3F33"/>
    <w:rsid w:val="001F0411"/>
    <w:rsid w:val="001F0F3E"/>
    <w:rsid w:val="002006E4"/>
    <w:rsid w:val="00202911"/>
    <w:rsid w:val="00202B92"/>
    <w:rsid w:val="00204306"/>
    <w:rsid w:val="0020525C"/>
    <w:rsid w:val="002069DA"/>
    <w:rsid w:val="00206CE0"/>
    <w:rsid w:val="00211C21"/>
    <w:rsid w:val="00211F9F"/>
    <w:rsid w:val="00212627"/>
    <w:rsid w:val="002128A5"/>
    <w:rsid w:val="00214C18"/>
    <w:rsid w:val="00215100"/>
    <w:rsid w:val="00215E2E"/>
    <w:rsid w:val="002220DC"/>
    <w:rsid w:val="00222851"/>
    <w:rsid w:val="00222AE1"/>
    <w:rsid w:val="002238E9"/>
    <w:rsid w:val="00232B64"/>
    <w:rsid w:val="00237F18"/>
    <w:rsid w:val="0024194E"/>
    <w:rsid w:val="00245789"/>
    <w:rsid w:val="00246310"/>
    <w:rsid w:val="00253DBC"/>
    <w:rsid w:val="0026206D"/>
    <w:rsid w:val="00262A0A"/>
    <w:rsid w:val="00263774"/>
    <w:rsid w:val="002657E0"/>
    <w:rsid w:val="002678B2"/>
    <w:rsid w:val="00271474"/>
    <w:rsid w:val="00274852"/>
    <w:rsid w:val="00274EE4"/>
    <w:rsid w:val="00281FCB"/>
    <w:rsid w:val="0028353B"/>
    <w:rsid w:val="002840D0"/>
    <w:rsid w:val="00284EA8"/>
    <w:rsid w:val="002855E4"/>
    <w:rsid w:val="00286EDC"/>
    <w:rsid w:val="00290C0E"/>
    <w:rsid w:val="00292FF2"/>
    <w:rsid w:val="00295220"/>
    <w:rsid w:val="002A2043"/>
    <w:rsid w:val="002A2528"/>
    <w:rsid w:val="002C093B"/>
    <w:rsid w:val="002C1B38"/>
    <w:rsid w:val="002C35A7"/>
    <w:rsid w:val="002C4361"/>
    <w:rsid w:val="002C44E9"/>
    <w:rsid w:val="002D06A6"/>
    <w:rsid w:val="002D183C"/>
    <w:rsid w:val="002D4591"/>
    <w:rsid w:val="002D4891"/>
    <w:rsid w:val="002D4ADD"/>
    <w:rsid w:val="002E0613"/>
    <w:rsid w:val="002F16EA"/>
    <w:rsid w:val="002F1B8E"/>
    <w:rsid w:val="002F2DCB"/>
    <w:rsid w:val="002F79FE"/>
    <w:rsid w:val="00306BB2"/>
    <w:rsid w:val="003102AC"/>
    <w:rsid w:val="00310B73"/>
    <w:rsid w:val="00310C64"/>
    <w:rsid w:val="00312427"/>
    <w:rsid w:val="0031495B"/>
    <w:rsid w:val="00315E43"/>
    <w:rsid w:val="00316AA6"/>
    <w:rsid w:val="003170A5"/>
    <w:rsid w:val="0031711E"/>
    <w:rsid w:val="003174C0"/>
    <w:rsid w:val="003215B4"/>
    <w:rsid w:val="00323E2D"/>
    <w:rsid w:val="00326BFB"/>
    <w:rsid w:val="00327E7C"/>
    <w:rsid w:val="003325A6"/>
    <w:rsid w:val="00334DBE"/>
    <w:rsid w:val="0033630B"/>
    <w:rsid w:val="00340AFC"/>
    <w:rsid w:val="003412A1"/>
    <w:rsid w:val="003428F3"/>
    <w:rsid w:val="003437F8"/>
    <w:rsid w:val="00347B74"/>
    <w:rsid w:val="003546C6"/>
    <w:rsid w:val="003546F9"/>
    <w:rsid w:val="00355EAD"/>
    <w:rsid w:val="003564FF"/>
    <w:rsid w:val="00356B7E"/>
    <w:rsid w:val="00357C08"/>
    <w:rsid w:val="00363A25"/>
    <w:rsid w:val="00365DDA"/>
    <w:rsid w:val="00376AAF"/>
    <w:rsid w:val="00376FD2"/>
    <w:rsid w:val="00377C04"/>
    <w:rsid w:val="00377C7D"/>
    <w:rsid w:val="003804A1"/>
    <w:rsid w:val="003833C1"/>
    <w:rsid w:val="00391C22"/>
    <w:rsid w:val="003970C5"/>
    <w:rsid w:val="003A0D24"/>
    <w:rsid w:val="003A1CEE"/>
    <w:rsid w:val="003A2A68"/>
    <w:rsid w:val="003A4889"/>
    <w:rsid w:val="003A5A3D"/>
    <w:rsid w:val="003B0961"/>
    <w:rsid w:val="003B1F8A"/>
    <w:rsid w:val="003B1FBE"/>
    <w:rsid w:val="003B2B56"/>
    <w:rsid w:val="003B4845"/>
    <w:rsid w:val="003B525E"/>
    <w:rsid w:val="003B6CFB"/>
    <w:rsid w:val="003C2E2F"/>
    <w:rsid w:val="003C3D59"/>
    <w:rsid w:val="003C3F37"/>
    <w:rsid w:val="003C6068"/>
    <w:rsid w:val="003C7040"/>
    <w:rsid w:val="003D0E9D"/>
    <w:rsid w:val="003D3801"/>
    <w:rsid w:val="003D6B59"/>
    <w:rsid w:val="003D70BE"/>
    <w:rsid w:val="003E4D3E"/>
    <w:rsid w:val="003E5E6D"/>
    <w:rsid w:val="003F1449"/>
    <w:rsid w:val="003F1E56"/>
    <w:rsid w:val="003F3082"/>
    <w:rsid w:val="003F3841"/>
    <w:rsid w:val="003F4DF5"/>
    <w:rsid w:val="003F5358"/>
    <w:rsid w:val="00407EF0"/>
    <w:rsid w:val="004134D9"/>
    <w:rsid w:val="004139F4"/>
    <w:rsid w:val="0041473A"/>
    <w:rsid w:val="00416B9A"/>
    <w:rsid w:val="00417CE9"/>
    <w:rsid w:val="00417E5F"/>
    <w:rsid w:val="004209A9"/>
    <w:rsid w:val="00425D02"/>
    <w:rsid w:val="0042788D"/>
    <w:rsid w:val="00427BC6"/>
    <w:rsid w:val="00442F51"/>
    <w:rsid w:val="00443855"/>
    <w:rsid w:val="00446A73"/>
    <w:rsid w:val="00450180"/>
    <w:rsid w:val="00450DBC"/>
    <w:rsid w:val="00451EC6"/>
    <w:rsid w:val="004538F5"/>
    <w:rsid w:val="004546C9"/>
    <w:rsid w:val="00454AD2"/>
    <w:rsid w:val="00455284"/>
    <w:rsid w:val="004559AD"/>
    <w:rsid w:val="004627E4"/>
    <w:rsid w:val="00470F1B"/>
    <w:rsid w:val="004726A9"/>
    <w:rsid w:val="00473751"/>
    <w:rsid w:val="004738D3"/>
    <w:rsid w:val="0047459E"/>
    <w:rsid w:val="004769D8"/>
    <w:rsid w:val="00477999"/>
    <w:rsid w:val="00481FF6"/>
    <w:rsid w:val="00482F11"/>
    <w:rsid w:val="0048478B"/>
    <w:rsid w:val="00485842"/>
    <w:rsid w:val="004925F2"/>
    <w:rsid w:val="00492CBA"/>
    <w:rsid w:val="00492FD7"/>
    <w:rsid w:val="00493E97"/>
    <w:rsid w:val="00493F38"/>
    <w:rsid w:val="00497EC4"/>
    <w:rsid w:val="004A1671"/>
    <w:rsid w:val="004A2399"/>
    <w:rsid w:val="004A2916"/>
    <w:rsid w:val="004A3B1F"/>
    <w:rsid w:val="004A683E"/>
    <w:rsid w:val="004B33AC"/>
    <w:rsid w:val="004B4365"/>
    <w:rsid w:val="004B63CB"/>
    <w:rsid w:val="004B6B5A"/>
    <w:rsid w:val="004C241A"/>
    <w:rsid w:val="004D1683"/>
    <w:rsid w:val="004E0072"/>
    <w:rsid w:val="004E33D0"/>
    <w:rsid w:val="004F46F8"/>
    <w:rsid w:val="004F7911"/>
    <w:rsid w:val="00506A08"/>
    <w:rsid w:val="00506F60"/>
    <w:rsid w:val="00511C2B"/>
    <w:rsid w:val="00515E24"/>
    <w:rsid w:val="0052004B"/>
    <w:rsid w:val="00523D38"/>
    <w:rsid w:val="005253BB"/>
    <w:rsid w:val="005255B7"/>
    <w:rsid w:val="00525AEE"/>
    <w:rsid w:val="00525CCA"/>
    <w:rsid w:val="005300D7"/>
    <w:rsid w:val="00533E22"/>
    <w:rsid w:val="005374BF"/>
    <w:rsid w:val="00540043"/>
    <w:rsid w:val="005402DB"/>
    <w:rsid w:val="00541C8D"/>
    <w:rsid w:val="0055086A"/>
    <w:rsid w:val="005544F0"/>
    <w:rsid w:val="00554B35"/>
    <w:rsid w:val="00555F55"/>
    <w:rsid w:val="00560540"/>
    <w:rsid w:val="00560B98"/>
    <w:rsid w:val="00561D51"/>
    <w:rsid w:val="00564F1B"/>
    <w:rsid w:val="00565CB1"/>
    <w:rsid w:val="00573368"/>
    <w:rsid w:val="00574D8C"/>
    <w:rsid w:val="00576ABC"/>
    <w:rsid w:val="005774B2"/>
    <w:rsid w:val="00586786"/>
    <w:rsid w:val="00586A1B"/>
    <w:rsid w:val="00590893"/>
    <w:rsid w:val="00591283"/>
    <w:rsid w:val="00594ADA"/>
    <w:rsid w:val="00596BA8"/>
    <w:rsid w:val="005A087C"/>
    <w:rsid w:val="005A153B"/>
    <w:rsid w:val="005A3FF5"/>
    <w:rsid w:val="005A52A7"/>
    <w:rsid w:val="005B07A7"/>
    <w:rsid w:val="005B2F3F"/>
    <w:rsid w:val="005B5669"/>
    <w:rsid w:val="005B5A18"/>
    <w:rsid w:val="005B5BBA"/>
    <w:rsid w:val="005C3C58"/>
    <w:rsid w:val="005D2D5C"/>
    <w:rsid w:val="005E0D38"/>
    <w:rsid w:val="005E295E"/>
    <w:rsid w:val="005E6691"/>
    <w:rsid w:val="005E7D86"/>
    <w:rsid w:val="005F1644"/>
    <w:rsid w:val="005F2318"/>
    <w:rsid w:val="005F7E7E"/>
    <w:rsid w:val="00600029"/>
    <w:rsid w:val="00600B54"/>
    <w:rsid w:val="00602311"/>
    <w:rsid w:val="00603C66"/>
    <w:rsid w:val="00603D9D"/>
    <w:rsid w:val="00604BD0"/>
    <w:rsid w:val="006063EA"/>
    <w:rsid w:val="006069E0"/>
    <w:rsid w:val="00607367"/>
    <w:rsid w:val="0060765A"/>
    <w:rsid w:val="00610A8F"/>
    <w:rsid w:val="00617489"/>
    <w:rsid w:val="00625AE7"/>
    <w:rsid w:val="00625DD9"/>
    <w:rsid w:val="00627070"/>
    <w:rsid w:val="00627297"/>
    <w:rsid w:val="00627D94"/>
    <w:rsid w:val="00632261"/>
    <w:rsid w:val="0063341B"/>
    <w:rsid w:val="00634FC3"/>
    <w:rsid w:val="006415E6"/>
    <w:rsid w:val="00644530"/>
    <w:rsid w:val="00644FF4"/>
    <w:rsid w:val="00645FD6"/>
    <w:rsid w:val="00646787"/>
    <w:rsid w:val="00650FFE"/>
    <w:rsid w:val="006512ED"/>
    <w:rsid w:val="00653D41"/>
    <w:rsid w:val="00654B52"/>
    <w:rsid w:val="00654ED5"/>
    <w:rsid w:val="0065663F"/>
    <w:rsid w:val="006607A5"/>
    <w:rsid w:val="006633CA"/>
    <w:rsid w:val="00663FB6"/>
    <w:rsid w:val="00664C89"/>
    <w:rsid w:val="0066787F"/>
    <w:rsid w:val="00670200"/>
    <w:rsid w:val="00671CBC"/>
    <w:rsid w:val="00672F38"/>
    <w:rsid w:val="00675733"/>
    <w:rsid w:val="0067659E"/>
    <w:rsid w:val="00680909"/>
    <w:rsid w:val="00681ED1"/>
    <w:rsid w:val="00682D76"/>
    <w:rsid w:val="006846F5"/>
    <w:rsid w:val="00684822"/>
    <w:rsid w:val="00685989"/>
    <w:rsid w:val="00686406"/>
    <w:rsid w:val="00692B74"/>
    <w:rsid w:val="00693D8D"/>
    <w:rsid w:val="00694668"/>
    <w:rsid w:val="006A2671"/>
    <w:rsid w:val="006A5EEE"/>
    <w:rsid w:val="006A783C"/>
    <w:rsid w:val="006B0084"/>
    <w:rsid w:val="006B15E5"/>
    <w:rsid w:val="006B4207"/>
    <w:rsid w:val="006B4ED0"/>
    <w:rsid w:val="006B5098"/>
    <w:rsid w:val="006B581D"/>
    <w:rsid w:val="006B67ED"/>
    <w:rsid w:val="006B6846"/>
    <w:rsid w:val="006C08C0"/>
    <w:rsid w:val="006C2B52"/>
    <w:rsid w:val="006C4F8A"/>
    <w:rsid w:val="006D1042"/>
    <w:rsid w:val="006D204A"/>
    <w:rsid w:val="006D395A"/>
    <w:rsid w:val="006D6A6B"/>
    <w:rsid w:val="006E010B"/>
    <w:rsid w:val="006E0C83"/>
    <w:rsid w:val="006E37C4"/>
    <w:rsid w:val="006E3C79"/>
    <w:rsid w:val="006E51A1"/>
    <w:rsid w:val="006E5765"/>
    <w:rsid w:val="006F061B"/>
    <w:rsid w:val="006F344E"/>
    <w:rsid w:val="0070144A"/>
    <w:rsid w:val="00701D7F"/>
    <w:rsid w:val="007037E7"/>
    <w:rsid w:val="00704BFE"/>
    <w:rsid w:val="00705586"/>
    <w:rsid w:val="00707A23"/>
    <w:rsid w:val="00714306"/>
    <w:rsid w:val="007151F6"/>
    <w:rsid w:val="00716B9C"/>
    <w:rsid w:val="00717E15"/>
    <w:rsid w:val="00717EB0"/>
    <w:rsid w:val="0072121F"/>
    <w:rsid w:val="00721E3E"/>
    <w:rsid w:val="0072330E"/>
    <w:rsid w:val="00723D93"/>
    <w:rsid w:val="00723E9B"/>
    <w:rsid w:val="007242C5"/>
    <w:rsid w:val="0072530D"/>
    <w:rsid w:val="0073061A"/>
    <w:rsid w:val="007319C8"/>
    <w:rsid w:val="00732085"/>
    <w:rsid w:val="00734598"/>
    <w:rsid w:val="00734CB1"/>
    <w:rsid w:val="007368DB"/>
    <w:rsid w:val="00741453"/>
    <w:rsid w:val="00741876"/>
    <w:rsid w:val="0074398B"/>
    <w:rsid w:val="00745FA8"/>
    <w:rsid w:val="00747AF6"/>
    <w:rsid w:val="00750040"/>
    <w:rsid w:val="007505C6"/>
    <w:rsid w:val="007517A4"/>
    <w:rsid w:val="007524FD"/>
    <w:rsid w:val="00752FC8"/>
    <w:rsid w:val="00762197"/>
    <w:rsid w:val="0076247E"/>
    <w:rsid w:val="00764014"/>
    <w:rsid w:val="00764D09"/>
    <w:rsid w:val="00765CDF"/>
    <w:rsid w:val="007748C0"/>
    <w:rsid w:val="00775478"/>
    <w:rsid w:val="00775512"/>
    <w:rsid w:val="007807D0"/>
    <w:rsid w:val="00780D1B"/>
    <w:rsid w:val="007908F0"/>
    <w:rsid w:val="00790F40"/>
    <w:rsid w:val="007A0D40"/>
    <w:rsid w:val="007A1BC2"/>
    <w:rsid w:val="007A3F11"/>
    <w:rsid w:val="007B19CF"/>
    <w:rsid w:val="007B4C3A"/>
    <w:rsid w:val="007B6CD5"/>
    <w:rsid w:val="007B74E9"/>
    <w:rsid w:val="007C1C5D"/>
    <w:rsid w:val="007C4324"/>
    <w:rsid w:val="007C6379"/>
    <w:rsid w:val="007C7258"/>
    <w:rsid w:val="007D0F45"/>
    <w:rsid w:val="007D107B"/>
    <w:rsid w:val="007D1E56"/>
    <w:rsid w:val="007D1FE8"/>
    <w:rsid w:val="007D3474"/>
    <w:rsid w:val="007D5475"/>
    <w:rsid w:val="007D7068"/>
    <w:rsid w:val="007E26A9"/>
    <w:rsid w:val="007E3013"/>
    <w:rsid w:val="007E34C0"/>
    <w:rsid w:val="007E7D14"/>
    <w:rsid w:val="007F0047"/>
    <w:rsid w:val="007F0842"/>
    <w:rsid w:val="007F256A"/>
    <w:rsid w:val="007F5504"/>
    <w:rsid w:val="007F5604"/>
    <w:rsid w:val="007F63A7"/>
    <w:rsid w:val="007F7DEA"/>
    <w:rsid w:val="00805A60"/>
    <w:rsid w:val="00807616"/>
    <w:rsid w:val="00807EB7"/>
    <w:rsid w:val="00810658"/>
    <w:rsid w:val="00817419"/>
    <w:rsid w:val="00824D80"/>
    <w:rsid w:val="00824E05"/>
    <w:rsid w:val="00826091"/>
    <w:rsid w:val="00826212"/>
    <w:rsid w:val="00826229"/>
    <w:rsid w:val="00831EE7"/>
    <w:rsid w:val="00833547"/>
    <w:rsid w:val="00835F78"/>
    <w:rsid w:val="008409FE"/>
    <w:rsid w:val="00840C90"/>
    <w:rsid w:val="0084259C"/>
    <w:rsid w:val="00842AB0"/>
    <w:rsid w:val="0084363E"/>
    <w:rsid w:val="00845537"/>
    <w:rsid w:val="00847DD0"/>
    <w:rsid w:val="00847E33"/>
    <w:rsid w:val="00852538"/>
    <w:rsid w:val="0085338B"/>
    <w:rsid w:val="00855BA4"/>
    <w:rsid w:val="00856628"/>
    <w:rsid w:val="00860DDF"/>
    <w:rsid w:val="00870200"/>
    <w:rsid w:val="00871484"/>
    <w:rsid w:val="008715B3"/>
    <w:rsid w:val="00872A42"/>
    <w:rsid w:val="00874E47"/>
    <w:rsid w:val="00875295"/>
    <w:rsid w:val="008766F4"/>
    <w:rsid w:val="0087770F"/>
    <w:rsid w:val="008804AF"/>
    <w:rsid w:val="008806B0"/>
    <w:rsid w:val="00880ED3"/>
    <w:rsid w:val="00880FF2"/>
    <w:rsid w:val="00881C95"/>
    <w:rsid w:val="00881F62"/>
    <w:rsid w:val="0088260B"/>
    <w:rsid w:val="0088618B"/>
    <w:rsid w:val="00891979"/>
    <w:rsid w:val="008923A3"/>
    <w:rsid w:val="008940A8"/>
    <w:rsid w:val="00894123"/>
    <w:rsid w:val="00897241"/>
    <w:rsid w:val="00897950"/>
    <w:rsid w:val="008A4BA7"/>
    <w:rsid w:val="008B5511"/>
    <w:rsid w:val="008B59B3"/>
    <w:rsid w:val="008B6783"/>
    <w:rsid w:val="008B6AB0"/>
    <w:rsid w:val="008B7359"/>
    <w:rsid w:val="008B748C"/>
    <w:rsid w:val="008B7667"/>
    <w:rsid w:val="008C3934"/>
    <w:rsid w:val="008C393C"/>
    <w:rsid w:val="008C3E20"/>
    <w:rsid w:val="008C5C5D"/>
    <w:rsid w:val="008D2649"/>
    <w:rsid w:val="008D281F"/>
    <w:rsid w:val="008D4D96"/>
    <w:rsid w:val="008D57EF"/>
    <w:rsid w:val="008E1700"/>
    <w:rsid w:val="008E2459"/>
    <w:rsid w:val="008E2BB1"/>
    <w:rsid w:val="008E6A2F"/>
    <w:rsid w:val="008E78F9"/>
    <w:rsid w:val="008E7C94"/>
    <w:rsid w:val="008F1073"/>
    <w:rsid w:val="008F10CE"/>
    <w:rsid w:val="008F2F4A"/>
    <w:rsid w:val="008F3DAD"/>
    <w:rsid w:val="00900433"/>
    <w:rsid w:val="00900E93"/>
    <w:rsid w:val="00902584"/>
    <w:rsid w:val="009033B6"/>
    <w:rsid w:val="00904528"/>
    <w:rsid w:val="009054D1"/>
    <w:rsid w:val="0090753C"/>
    <w:rsid w:val="00911B46"/>
    <w:rsid w:val="00912A57"/>
    <w:rsid w:val="00913327"/>
    <w:rsid w:val="00920381"/>
    <w:rsid w:val="00921A69"/>
    <w:rsid w:val="009227E9"/>
    <w:rsid w:val="00922B5A"/>
    <w:rsid w:val="009230A8"/>
    <w:rsid w:val="0092405B"/>
    <w:rsid w:val="009310A0"/>
    <w:rsid w:val="0093465A"/>
    <w:rsid w:val="009350F1"/>
    <w:rsid w:val="00936A97"/>
    <w:rsid w:val="00936BA2"/>
    <w:rsid w:val="00937A13"/>
    <w:rsid w:val="00937ACB"/>
    <w:rsid w:val="009401F8"/>
    <w:rsid w:val="00943D77"/>
    <w:rsid w:val="009479D6"/>
    <w:rsid w:val="00952758"/>
    <w:rsid w:val="00955636"/>
    <w:rsid w:val="00957540"/>
    <w:rsid w:val="009575E3"/>
    <w:rsid w:val="009617D9"/>
    <w:rsid w:val="009621A7"/>
    <w:rsid w:val="00963E80"/>
    <w:rsid w:val="00965076"/>
    <w:rsid w:val="00967797"/>
    <w:rsid w:val="0097190F"/>
    <w:rsid w:val="00971989"/>
    <w:rsid w:val="00971D02"/>
    <w:rsid w:val="009730EF"/>
    <w:rsid w:val="0097439E"/>
    <w:rsid w:val="009823C2"/>
    <w:rsid w:val="009921FF"/>
    <w:rsid w:val="009971DE"/>
    <w:rsid w:val="009A2EF0"/>
    <w:rsid w:val="009A2F39"/>
    <w:rsid w:val="009A3E69"/>
    <w:rsid w:val="009A5571"/>
    <w:rsid w:val="009B1682"/>
    <w:rsid w:val="009B1E9B"/>
    <w:rsid w:val="009B4C41"/>
    <w:rsid w:val="009B57C7"/>
    <w:rsid w:val="009B7763"/>
    <w:rsid w:val="009C1FEF"/>
    <w:rsid w:val="009C3181"/>
    <w:rsid w:val="009C46D6"/>
    <w:rsid w:val="009C6EFD"/>
    <w:rsid w:val="009D4881"/>
    <w:rsid w:val="009D533D"/>
    <w:rsid w:val="009E0F77"/>
    <w:rsid w:val="009E246E"/>
    <w:rsid w:val="009E3C77"/>
    <w:rsid w:val="009E4E3B"/>
    <w:rsid w:val="009E5670"/>
    <w:rsid w:val="009E5679"/>
    <w:rsid w:val="009E6296"/>
    <w:rsid w:val="009E6358"/>
    <w:rsid w:val="009E79A5"/>
    <w:rsid w:val="009E7EDE"/>
    <w:rsid w:val="009F0D3D"/>
    <w:rsid w:val="009F1758"/>
    <w:rsid w:val="009F317F"/>
    <w:rsid w:val="00A00554"/>
    <w:rsid w:val="00A01118"/>
    <w:rsid w:val="00A04874"/>
    <w:rsid w:val="00A10DB3"/>
    <w:rsid w:val="00A1265D"/>
    <w:rsid w:val="00A127A8"/>
    <w:rsid w:val="00A15500"/>
    <w:rsid w:val="00A24EFB"/>
    <w:rsid w:val="00A25A4D"/>
    <w:rsid w:val="00A27B73"/>
    <w:rsid w:val="00A31BC7"/>
    <w:rsid w:val="00A31F72"/>
    <w:rsid w:val="00A3666C"/>
    <w:rsid w:val="00A400BC"/>
    <w:rsid w:val="00A426A2"/>
    <w:rsid w:val="00A46838"/>
    <w:rsid w:val="00A46FCC"/>
    <w:rsid w:val="00A53FC6"/>
    <w:rsid w:val="00A5415E"/>
    <w:rsid w:val="00A601DF"/>
    <w:rsid w:val="00A60F71"/>
    <w:rsid w:val="00A61828"/>
    <w:rsid w:val="00A61C04"/>
    <w:rsid w:val="00A61D24"/>
    <w:rsid w:val="00A620B6"/>
    <w:rsid w:val="00A7034D"/>
    <w:rsid w:val="00A713CD"/>
    <w:rsid w:val="00A71535"/>
    <w:rsid w:val="00A73805"/>
    <w:rsid w:val="00A73E2A"/>
    <w:rsid w:val="00A747B9"/>
    <w:rsid w:val="00A75598"/>
    <w:rsid w:val="00A762CE"/>
    <w:rsid w:val="00A77996"/>
    <w:rsid w:val="00A85147"/>
    <w:rsid w:val="00A85213"/>
    <w:rsid w:val="00A858AE"/>
    <w:rsid w:val="00A8691F"/>
    <w:rsid w:val="00A8746F"/>
    <w:rsid w:val="00A94D9B"/>
    <w:rsid w:val="00A9508C"/>
    <w:rsid w:val="00A9581C"/>
    <w:rsid w:val="00A9768A"/>
    <w:rsid w:val="00AA13E8"/>
    <w:rsid w:val="00AA41FF"/>
    <w:rsid w:val="00AA65C6"/>
    <w:rsid w:val="00AA7A2F"/>
    <w:rsid w:val="00AC5999"/>
    <w:rsid w:val="00AD3172"/>
    <w:rsid w:val="00AD58BC"/>
    <w:rsid w:val="00AE591D"/>
    <w:rsid w:val="00AE7269"/>
    <w:rsid w:val="00AF0028"/>
    <w:rsid w:val="00AF1FC5"/>
    <w:rsid w:val="00AF2410"/>
    <w:rsid w:val="00AF463A"/>
    <w:rsid w:val="00B01A9F"/>
    <w:rsid w:val="00B02CE1"/>
    <w:rsid w:val="00B079E8"/>
    <w:rsid w:val="00B2033A"/>
    <w:rsid w:val="00B21081"/>
    <w:rsid w:val="00B216EE"/>
    <w:rsid w:val="00B2177F"/>
    <w:rsid w:val="00B2684D"/>
    <w:rsid w:val="00B30199"/>
    <w:rsid w:val="00B31C9D"/>
    <w:rsid w:val="00B32002"/>
    <w:rsid w:val="00B3581B"/>
    <w:rsid w:val="00B41058"/>
    <w:rsid w:val="00B41890"/>
    <w:rsid w:val="00B41F82"/>
    <w:rsid w:val="00B42158"/>
    <w:rsid w:val="00B425FE"/>
    <w:rsid w:val="00B44B4A"/>
    <w:rsid w:val="00B47177"/>
    <w:rsid w:val="00B5122D"/>
    <w:rsid w:val="00B5587D"/>
    <w:rsid w:val="00B560E6"/>
    <w:rsid w:val="00B60F52"/>
    <w:rsid w:val="00B6335B"/>
    <w:rsid w:val="00B646B9"/>
    <w:rsid w:val="00B6709F"/>
    <w:rsid w:val="00B679A3"/>
    <w:rsid w:val="00B72A34"/>
    <w:rsid w:val="00B76BE3"/>
    <w:rsid w:val="00B8428A"/>
    <w:rsid w:val="00B843F8"/>
    <w:rsid w:val="00B90898"/>
    <w:rsid w:val="00B927E1"/>
    <w:rsid w:val="00B93A45"/>
    <w:rsid w:val="00B94356"/>
    <w:rsid w:val="00B94D0D"/>
    <w:rsid w:val="00BA0D94"/>
    <w:rsid w:val="00BA352E"/>
    <w:rsid w:val="00BA5D05"/>
    <w:rsid w:val="00BB3E11"/>
    <w:rsid w:val="00BB4E63"/>
    <w:rsid w:val="00BB7170"/>
    <w:rsid w:val="00BB7B00"/>
    <w:rsid w:val="00BC4E31"/>
    <w:rsid w:val="00BC6B3D"/>
    <w:rsid w:val="00BD0F7B"/>
    <w:rsid w:val="00BD15A1"/>
    <w:rsid w:val="00BD2052"/>
    <w:rsid w:val="00BD7FBF"/>
    <w:rsid w:val="00BE135F"/>
    <w:rsid w:val="00BE6BE0"/>
    <w:rsid w:val="00BF1A97"/>
    <w:rsid w:val="00BF2A54"/>
    <w:rsid w:val="00BF3132"/>
    <w:rsid w:val="00BF64C4"/>
    <w:rsid w:val="00BF6FB5"/>
    <w:rsid w:val="00BF7D6A"/>
    <w:rsid w:val="00C00B80"/>
    <w:rsid w:val="00C01854"/>
    <w:rsid w:val="00C056FB"/>
    <w:rsid w:val="00C108A8"/>
    <w:rsid w:val="00C10F64"/>
    <w:rsid w:val="00C11397"/>
    <w:rsid w:val="00C132F8"/>
    <w:rsid w:val="00C147F3"/>
    <w:rsid w:val="00C15600"/>
    <w:rsid w:val="00C205B6"/>
    <w:rsid w:val="00C21160"/>
    <w:rsid w:val="00C24E3F"/>
    <w:rsid w:val="00C26E4D"/>
    <w:rsid w:val="00C320AE"/>
    <w:rsid w:val="00C349A6"/>
    <w:rsid w:val="00C36C26"/>
    <w:rsid w:val="00C36FA5"/>
    <w:rsid w:val="00C40024"/>
    <w:rsid w:val="00C40834"/>
    <w:rsid w:val="00C41320"/>
    <w:rsid w:val="00C428DB"/>
    <w:rsid w:val="00C42D65"/>
    <w:rsid w:val="00C43D8D"/>
    <w:rsid w:val="00C51A63"/>
    <w:rsid w:val="00C522EB"/>
    <w:rsid w:val="00C529FD"/>
    <w:rsid w:val="00C57327"/>
    <w:rsid w:val="00C575A9"/>
    <w:rsid w:val="00C63B28"/>
    <w:rsid w:val="00C66A49"/>
    <w:rsid w:val="00C72BDD"/>
    <w:rsid w:val="00C73070"/>
    <w:rsid w:val="00C753B3"/>
    <w:rsid w:val="00C77792"/>
    <w:rsid w:val="00C80267"/>
    <w:rsid w:val="00C81404"/>
    <w:rsid w:val="00C81489"/>
    <w:rsid w:val="00C83E97"/>
    <w:rsid w:val="00C8432B"/>
    <w:rsid w:val="00C91316"/>
    <w:rsid w:val="00C94237"/>
    <w:rsid w:val="00C95B0F"/>
    <w:rsid w:val="00CA1D94"/>
    <w:rsid w:val="00CA5512"/>
    <w:rsid w:val="00CB094E"/>
    <w:rsid w:val="00CB1187"/>
    <w:rsid w:val="00CB2ACD"/>
    <w:rsid w:val="00CB33A0"/>
    <w:rsid w:val="00CB3FF7"/>
    <w:rsid w:val="00CC3780"/>
    <w:rsid w:val="00CC4BAB"/>
    <w:rsid w:val="00CC56E0"/>
    <w:rsid w:val="00CD03DE"/>
    <w:rsid w:val="00CD0CFD"/>
    <w:rsid w:val="00CD4B77"/>
    <w:rsid w:val="00CE0A37"/>
    <w:rsid w:val="00CE0F9A"/>
    <w:rsid w:val="00CE2362"/>
    <w:rsid w:val="00CE2FA8"/>
    <w:rsid w:val="00CE3444"/>
    <w:rsid w:val="00CE4CD2"/>
    <w:rsid w:val="00CE5627"/>
    <w:rsid w:val="00CE593B"/>
    <w:rsid w:val="00CF3380"/>
    <w:rsid w:val="00CF3438"/>
    <w:rsid w:val="00CF462F"/>
    <w:rsid w:val="00CF4B1C"/>
    <w:rsid w:val="00CF4C65"/>
    <w:rsid w:val="00CF585C"/>
    <w:rsid w:val="00CF5E34"/>
    <w:rsid w:val="00CF5FF2"/>
    <w:rsid w:val="00D02BC4"/>
    <w:rsid w:val="00D034B0"/>
    <w:rsid w:val="00D04497"/>
    <w:rsid w:val="00D10067"/>
    <w:rsid w:val="00D138F8"/>
    <w:rsid w:val="00D13ED9"/>
    <w:rsid w:val="00D165BE"/>
    <w:rsid w:val="00D178C3"/>
    <w:rsid w:val="00D233E8"/>
    <w:rsid w:val="00D27682"/>
    <w:rsid w:val="00D30A9F"/>
    <w:rsid w:val="00D30C0B"/>
    <w:rsid w:val="00D31522"/>
    <w:rsid w:val="00D34DE2"/>
    <w:rsid w:val="00D3772C"/>
    <w:rsid w:val="00D4070C"/>
    <w:rsid w:val="00D41E2F"/>
    <w:rsid w:val="00D43F26"/>
    <w:rsid w:val="00D4670D"/>
    <w:rsid w:val="00D46E60"/>
    <w:rsid w:val="00D52443"/>
    <w:rsid w:val="00D541E5"/>
    <w:rsid w:val="00D62623"/>
    <w:rsid w:val="00D66324"/>
    <w:rsid w:val="00D7160A"/>
    <w:rsid w:val="00D76AD1"/>
    <w:rsid w:val="00D77751"/>
    <w:rsid w:val="00D800B7"/>
    <w:rsid w:val="00D80DE2"/>
    <w:rsid w:val="00D82C15"/>
    <w:rsid w:val="00D91611"/>
    <w:rsid w:val="00D931A1"/>
    <w:rsid w:val="00D93AD1"/>
    <w:rsid w:val="00D95648"/>
    <w:rsid w:val="00DA0426"/>
    <w:rsid w:val="00DA2514"/>
    <w:rsid w:val="00DA3635"/>
    <w:rsid w:val="00DA3664"/>
    <w:rsid w:val="00DA3D83"/>
    <w:rsid w:val="00DA3DE4"/>
    <w:rsid w:val="00DA7625"/>
    <w:rsid w:val="00DB6F6F"/>
    <w:rsid w:val="00DB71BA"/>
    <w:rsid w:val="00DC1372"/>
    <w:rsid w:val="00DC1942"/>
    <w:rsid w:val="00DC2549"/>
    <w:rsid w:val="00DD2048"/>
    <w:rsid w:val="00DD63DF"/>
    <w:rsid w:val="00DD657F"/>
    <w:rsid w:val="00DD696A"/>
    <w:rsid w:val="00DD78F0"/>
    <w:rsid w:val="00DE0F7E"/>
    <w:rsid w:val="00DE43F9"/>
    <w:rsid w:val="00DF089F"/>
    <w:rsid w:val="00DF1649"/>
    <w:rsid w:val="00DF4DCB"/>
    <w:rsid w:val="00DF73E9"/>
    <w:rsid w:val="00E0537D"/>
    <w:rsid w:val="00E0677B"/>
    <w:rsid w:val="00E076F4"/>
    <w:rsid w:val="00E11953"/>
    <w:rsid w:val="00E12B85"/>
    <w:rsid w:val="00E1467B"/>
    <w:rsid w:val="00E163C2"/>
    <w:rsid w:val="00E24A18"/>
    <w:rsid w:val="00E254C2"/>
    <w:rsid w:val="00E26FD7"/>
    <w:rsid w:val="00E35200"/>
    <w:rsid w:val="00E43F5C"/>
    <w:rsid w:val="00E44598"/>
    <w:rsid w:val="00E4567D"/>
    <w:rsid w:val="00E45DCA"/>
    <w:rsid w:val="00E50C30"/>
    <w:rsid w:val="00E50EEE"/>
    <w:rsid w:val="00E52109"/>
    <w:rsid w:val="00E560DA"/>
    <w:rsid w:val="00E60CC7"/>
    <w:rsid w:val="00E62C87"/>
    <w:rsid w:val="00E631E8"/>
    <w:rsid w:val="00E65244"/>
    <w:rsid w:val="00E6656D"/>
    <w:rsid w:val="00E70801"/>
    <w:rsid w:val="00E7268D"/>
    <w:rsid w:val="00E76748"/>
    <w:rsid w:val="00E77D31"/>
    <w:rsid w:val="00E80805"/>
    <w:rsid w:val="00E87006"/>
    <w:rsid w:val="00E872FD"/>
    <w:rsid w:val="00E92142"/>
    <w:rsid w:val="00E94CD2"/>
    <w:rsid w:val="00E96471"/>
    <w:rsid w:val="00E96C80"/>
    <w:rsid w:val="00E975DB"/>
    <w:rsid w:val="00E9789D"/>
    <w:rsid w:val="00EA26A7"/>
    <w:rsid w:val="00EA3DE7"/>
    <w:rsid w:val="00EA614E"/>
    <w:rsid w:val="00EB041D"/>
    <w:rsid w:val="00EB5FAB"/>
    <w:rsid w:val="00EB6E15"/>
    <w:rsid w:val="00EB6EF6"/>
    <w:rsid w:val="00EC1B5E"/>
    <w:rsid w:val="00EC5360"/>
    <w:rsid w:val="00EC55A3"/>
    <w:rsid w:val="00EC58D0"/>
    <w:rsid w:val="00ED6093"/>
    <w:rsid w:val="00EE12B8"/>
    <w:rsid w:val="00EE35A3"/>
    <w:rsid w:val="00EE611E"/>
    <w:rsid w:val="00EE75D6"/>
    <w:rsid w:val="00EF069C"/>
    <w:rsid w:val="00EF0E33"/>
    <w:rsid w:val="00EF5C0D"/>
    <w:rsid w:val="00EF6201"/>
    <w:rsid w:val="00EF6427"/>
    <w:rsid w:val="00EF665F"/>
    <w:rsid w:val="00EF6BBA"/>
    <w:rsid w:val="00EF6EEE"/>
    <w:rsid w:val="00F137AC"/>
    <w:rsid w:val="00F16657"/>
    <w:rsid w:val="00F16BC2"/>
    <w:rsid w:val="00F2218E"/>
    <w:rsid w:val="00F22460"/>
    <w:rsid w:val="00F22A1B"/>
    <w:rsid w:val="00F22C54"/>
    <w:rsid w:val="00F2752D"/>
    <w:rsid w:val="00F27579"/>
    <w:rsid w:val="00F3487A"/>
    <w:rsid w:val="00F37500"/>
    <w:rsid w:val="00F37B48"/>
    <w:rsid w:val="00F37F5B"/>
    <w:rsid w:val="00F4148D"/>
    <w:rsid w:val="00F41CD3"/>
    <w:rsid w:val="00F4306C"/>
    <w:rsid w:val="00F6186F"/>
    <w:rsid w:val="00F62F0F"/>
    <w:rsid w:val="00F642E3"/>
    <w:rsid w:val="00F66482"/>
    <w:rsid w:val="00F70997"/>
    <w:rsid w:val="00F71D3D"/>
    <w:rsid w:val="00F720AC"/>
    <w:rsid w:val="00F720EF"/>
    <w:rsid w:val="00F751B0"/>
    <w:rsid w:val="00F76DE2"/>
    <w:rsid w:val="00F77C9E"/>
    <w:rsid w:val="00F86AB8"/>
    <w:rsid w:val="00F86CF9"/>
    <w:rsid w:val="00F900B3"/>
    <w:rsid w:val="00F93315"/>
    <w:rsid w:val="00F95DDF"/>
    <w:rsid w:val="00F96666"/>
    <w:rsid w:val="00F96D2B"/>
    <w:rsid w:val="00FA0933"/>
    <w:rsid w:val="00FA4198"/>
    <w:rsid w:val="00FA72F5"/>
    <w:rsid w:val="00FD53C0"/>
    <w:rsid w:val="00FD6E10"/>
    <w:rsid w:val="00FE352B"/>
    <w:rsid w:val="00FE3630"/>
    <w:rsid w:val="00FE7F82"/>
    <w:rsid w:val="00FF0391"/>
    <w:rsid w:val="00FF0BBA"/>
    <w:rsid w:val="00FF627F"/>
    <w:rsid w:val="00FF74BE"/>
    <w:rsid w:val="00FF7702"/>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621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C04"/>
    <w:pPr>
      <w:ind w:left="720"/>
      <w:contextualSpacing/>
    </w:pPr>
  </w:style>
  <w:style w:type="paragraph" w:styleId="Header">
    <w:name w:val="header"/>
    <w:basedOn w:val="Normal"/>
    <w:link w:val="HeaderChar"/>
    <w:uiPriority w:val="99"/>
    <w:unhideWhenUsed/>
    <w:rsid w:val="00BF7D6A"/>
    <w:pPr>
      <w:tabs>
        <w:tab w:val="center" w:pos="4680"/>
        <w:tab w:val="right" w:pos="9360"/>
      </w:tabs>
    </w:pPr>
  </w:style>
  <w:style w:type="character" w:customStyle="1" w:styleId="HeaderChar">
    <w:name w:val="Header Char"/>
    <w:basedOn w:val="DefaultParagraphFont"/>
    <w:link w:val="Header"/>
    <w:uiPriority w:val="99"/>
    <w:rsid w:val="00BF7D6A"/>
  </w:style>
  <w:style w:type="paragraph" w:styleId="Footer">
    <w:name w:val="footer"/>
    <w:basedOn w:val="Normal"/>
    <w:link w:val="FooterChar"/>
    <w:uiPriority w:val="99"/>
    <w:unhideWhenUsed/>
    <w:rsid w:val="00BF7D6A"/>
    <w:pPr>
      <w:tabs>
        <w:tab w:val="center" w:pos="4680"/>
        <w:tab w:val="right" w:pos="9360"/>
      </w:tabs>
    </w:pPr>
  </w:style>
  <w:style w:type="character" w:customStyle="1" w:styleId="FooterChar">
    <w:name w:val="Footer Char"/>
    <w:basedOn w:val="DefaultParagraphFont"/>
    <w:link w:val="Footer"/>
    <w:uiPriority w:val="99"/>
    <w:rsid w:val="00BF7D6A"/>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586786"/>
    <w:pPr>
      <w:spacing w:after="200" w:line="276"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586786"/>
    <w:rPr>
      <w:rFonts w:ascii="Calibri" w:eastAsia="Calibri" w:hAnsi="Calibri" w:cs="Times New Roman"/>
      <w:sz w:val="20"/>
      <w:szCs w:val="20"/>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Appelnotedebasde"/>
    <w:uiPriority w:val="99"/>
    <w:unhideWhenUsed/>
    <w:qFormat/>
    <w:rsid w:val="00586786"/>
    <w:rPr>
      <w:vertAlign w:val="superscript"/>
    </w:rPr>
  </w:style>
  <w:style w:type="character" w:styleId="PageNumber">
    <w:name w:val="page number"/>
    <w:basedOn w:val="DefaultParagraphFont"/>
    <w:uiPriority w:val="99"/>
    <w:semiHidden/>
    <w:unhideWhenUsed/>
    <w:rsid w:val="00C522EB"/>
  </w:style>
  <w:style w:type="paragraph" w:customStyle="1" w:styleId="Appelnotedebasde">
    <w:name w:val="Appel note de bas de..."/>
    <w:basedOn w:val="Normal"/>
    <w:link w:val="FootnoteReference"/>
    <w:rsid w:val="00010DD1"/>
    <w:pPr>
      <w:spacing w:after="160" w:line="240" w:lineRule="exact"/>
    </w:pPr>
    <w:rPr>
      <w:vertAlign w:val="superscript"/>
    </w:rPr>
  </w:style>
  <w:style w:type="character" w:customStyle="1" w:styleId="Heading1Char">
    <w:name w:val="Heading 1 Char"/>
    <w:basedOn w:val="DefaultParagraphFont"/>
    <w:link w:val="Heading1"/>
    <w:uiPriority w:val="9"/>
    <w:rsid w:val="0076219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62197"/>
    <w:rPr>
      <w:color w:val="0563C1" w:themeColor="hyperlink"/>
      <w:u w:val="single"/>
    </w:rPr>
  </w:style>
  <w:style w:type="paragraph" w:styleId="BalloonText">
    <w:name w:val="Balloon Text"/>
    <w:basedOn w:val="Normal"/>
    <w:link w:val="BalloonTextChar"/>
    <w:uiPriority w:val="99"/>
    <w:semiHidden/>
    <w:unhideWhenUsed/>
    <w:rsid w:val="00A27B73"/>
    <w:rPr>
      <w:rFonts w:ascii="Tahoma" w:hAnsi="Tahoma" w:cs="Tahoma"/>
      <w:sz w:val="16"/>
      <w:szCs w:val="16"/>
    </w:rPr>
  </w:style>
  <w:style w:type="character" w:customStyle="1" w:styleId="BalloonTextChar">
    <w:name w:val="Balloon Text Char"/>
    <w:basedOn w:val="DefaultParagraphFont"/>
    <w:link w:val="BalloonText"/>
    <w:uiPriority w:val="99"/>
    <w:semiHidden/>
    <w:rsid w:val="00A27B73"/>
    <w:rPr>
      <w:rFonts w:ascii="Tahoma" w:hAnsi="Tahoma" w:cs="Tahoma"/>
      <w:sz w:val="16"/>
      <w:szCs w:val="16"/>
    </w:rPr>
  </w:style>
  <w:style w:type="character" w:customStyle="1" w:styleId="apple-converted-space">
    <w:name w:val="apple-converted-space"/>
    <w:rsid w:val="002A2043"/>
  </w:style>
  <w:style w:type="paragraph" w:styleId="NormalWeb">
    <w:name w:val="Normal (Web)"/>
    <w:basedOn w:val="Normal"/>
    <w:uiPriority w:val="99"/>
    <w:semiHidden/>
    <w:unhideWhenUsed/>
    <w:rsid w:val="00BB7B00"/>
    <w:pPr>
      <w:spacing w:before="100" w:beforeAutospacing="1" w:after="100" w:afterAutospacing="1"/>
    </w:pPr>
    <w:rPr>
      <w:rFonts w:ascii="Times" w:hAnsi="Times" w:cs="Times New Roman"/>
      <w:sz w:val="20"/>
      <w:szCs w:val="20"/>
      <w:lang w:val="es-MX"/>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5300D7"/>
    <w:pPr>
      <w:spacing w:before="200" w:after="160" w:line="240" w:lineRule="exact"/>
    </w:pPr>
    <w:rPr>
      <w:rFonts w:ascii="Calibri" w:eastAsia="Calibri" w:hAnsi="Calibri" w:cs="Times New Roman"/>
      <w:sz w:val="20"/>
      <w:szCs w:val="20"/>
      <w:vertAlign w:val="superscript"/>
    </w:rPr>
  </w:style>
  <w:style w:type="character" w:styleId="Strong">
    <w:name w:val="Strong"/>
    <w:uiPriority w:val="22"/>
    <w:qFormat/>
    <w:rsid w:val="005300D7"/>
    <w:rPr>
      <w:b/>
      <w:bCs/>
    </w:rPr>
  </w:style>
  <w:style w:type="paragraph" w:customStyle="1" w:styleId="Char2">
    <w:name w:val="Char2"/>
    <w:basedOn w:val="Normal"/>
    <w:rsid w:val="008A4BA7"/>
    <w:pPr>
      <w:spacing w:after="160" w:line="240" w:lineRule="exact"/>
    </w:pPr>
    <w:rPr>
      <w:rFonts w:ascii="Calibri" w:eastAsia="Batang" w:hAnsi="Calibri" w:cs="Times New Roman"/>
      <w:sz w:val="20"/>
      <w:szCs w:val="20"/>
      <w:vertAlign w:val="superscript"/>
    </w:rPr>
  </w:style>
  <w:style w:type="character" w:styleId="CommentReference">
    <w:name w:val="annotation reference"/>
    <w:basedOn w:val="DefaultParagraphFont"/>
    <w:uiPriority w:val="99"/>
    <w:semiHidden/>
    <w:unhideWhenUsed/>
    <w:rsid w:val="001B284C"/>
    <w:rPr>
      <w:sz w:val="16"/>
      <w:szCs w:val="16"/>
    </w:rPr>
  </w:style>
  <w:style w:type="paragraph" w:styleId="CommentText">
    <w:name w:val="annotation text"/>
    <w:basedOn w:val="Normal"/>
    <w:link w:val="CommentTextChar"/>
    <w:uiPriority w:val="99"/>
    <w:semiHidden/>
    <w:unhideWhenUsed/>
    <w:rsid w:val="001B284C"/>
    <w:rPr>
      <w:sz w:val="20"/>
      <w:szCs w:val="20"/>
    </w:rPr>
  </w:style>
  <w:style w:type="character" w:customStyle="1" w:styleId="CommentTextChar">
    <w:name w:val="Comment Text Char"/>
    <w:basedOn w:val="DefaultParagraphFont"/>
    <w:link w:val="CommentText"/>
    <w:uiPriority w:val="99"/>
    <w:semiHidden/>
    <w:rsid w:val="001B284C"/>
    <w:rPr>
      <w:sz w:val="20"/>
      <w:szCs w:val="20"/>
    </w:rPr>
  </w:style>
  <w:style w:type="paragraph" w:styleId="CommentSubject">
    <w:name w:val="annotation subject"/>
    <w:basedOn w:val="CommentText"/>
    <w:next w:val="CommentText"/>
    <w:link w:val="CommentSubjectChar"/>
    <w:uiPriority w:val="99"/>
    <w:semiHidden/>
    <w:unhideWhenUsed/>
    <w:rsid w:val="001B284C"/>
    <w:rPr>
      <w:b/>
      <w:bCs/>
    </w:rPr>
  </w:style>
  <w:style w:type="character" w:customStyle="1" w:styleId="CommentSubjectChar">
    <w:name w:val="Comment Subject Char"/>
    <w:basedOn w:val="CommentTextChar"/>
    <w:link w:val="CommentSubject"/>
    <w:uiPriority w:val="99"/>
    <w:semiHidden/>
    <w:rsid w:val="001B284C"/>
    <w:rPr>
      <w:b/>
      <w:bCs/>
      <w:sz w:val="20"/>
      <w:szCs w:val="20"/>
    </w:rPr>
  </w:style>
  <w:style w:type="paragraph" w:styleId="Revision">
    <w:name w:val="Revision"/>
    <w:hidden/>
    <w:uiPriority w:val="99"/>
    <w:semiHidden/>
    <w:rsid w:val="001B28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621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C04"/>
    <w:pPr>
      <w:ind w:left="720"/>
      <w:contextualSpacing/>
    </w:pPr>
  </w:style>
  <w:style w:type="paragraph" w:styleId="Header">
    <w:name w:val="header"/>
    <w:basedOn w:val="Normal"/>
    <w:link w:val="HeaderChar"/>
    <w:uiPriority w:val="99"/>
    <w:unhideWhenUsed/>
    <w:rsid w:val="00BF7D6A"/>
    <w:pPr>
      <w:tabs>
        <w:tab w:val="center" w:pos="4680"/>
        <w:tab w:val="right" w:pos="9360"/>
      </w:tabs>
    </w:pPr>
  </w:style>
  <w:style w:type="character" w:customStyle="1" w:styleId="HeaderChar">
    <w:name w:val="Header Char"/>
    <w:basedOn w:val="DefaultParagraphFont"/>
    <w:link w:val="Header"/>
    <w:uiPriority w:val="99"/>
    <w:rsid w:val="00BF7D6A"/>
  </w:style>
  <w:style w:type="paragraph" w:styleId="Footer">
    <w:name w:val="footer"/>
    <w:basedOn w:val="Normal"/>
    <w:link w:val="FooterChar"/>
    <w:uiPriority w:val="99"/>
    <w:unhideWhenUsed/>
    <w:rsid w:val="00BF7D6A"/>
    <w:pPr>
      <w:tabs>
        <w:tab w:val="center" w:pos="4680"/>
        <w:tab w:val="right" w:pos="9360"/>
      </w:tabs>
    </w:pPr>
  </w:style>
  <w:style w:type="character" w:customStyle="1" w:styleId="FooterChar">
    <w:name w:val="Footer Char"/>
    <w:basedOn w:val="DefaultParagraphFont"/>
    <w:link w:val="Footer"/>
    <w:uiPriority w:val="99"/>
    <w:rsid w:val="00BF7D6A"/>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586786"/>
    <w:pPr>
      <w:spacing w:after="200" w:line="276"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586786"/>
    <w:rPr>
      <w:rFonts w:ascii="Calibri" w:eastAsia="Calibri" w:hAnsi="Calibri" w:cs="Times New Roman"/>
      <w:sz w:val="20"/>
      <w:szCs w:val="20"/>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Appelnotedebasde"/>
    <w:uiPriority w:val="99"/>
    <w:unhideWhenUsed/>
    <w:qFormat/>
    <w:rsid w:val="00586786"/>
    <w:rPr>
      <w:vertAlign w:val="superscript"/>
    </w:rPr>
  </w:style>
  <w:style w:type="character" w:styleId="PageNumber">
    <w:name w:val="page number"/>
    <w:basedOn w:val="DefaultParagraphFont"/>
    <w:uiPriority w:val="99"/>
    <w:semiHidden/>
    <w:unhideWhenUsed/>
    <w:rsid w:val="00C522EB"/>
  </w:style>
  <w:style w:type="paragraph" w:customStyle="1" w:styleId="Appelnotedebasde">
    <w:name w:val="Appel note de bas de..."/>
    <w:basedOn w:val="Normal"/>
    <w:link w:val="FootnoteReference"/>
    <w:rsid w:val="00010DD1"/>
    <w:pPr>
      <w:spacing w:after="160" w:line="240" w:lineRule="exact"/>
    </w:pPr>
    <w:rPr>
      <w:vertAlign w:val="superscript"/>
    </w:rPr>
  </w:style>
  <w:style w:type="character" w:customStyle="1" w:styleId="Heading1Char">
    <w:name w:val="Heading 1 Char"/>
    <w:basedOn w:val="DefaultParagraphFont"/>
    <w:link w:val="Heading1"/>
    <w:uiPriority w:val="9"/>
    <w:rsid w:val="0076219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62197"/>
    <w:rPr>
      <w:color w:val="0563C1" w:themeColor="hyperlink"/>
      <w:u w:val="single"/>
    </w:rPr>
  </w:style>
  <w:style w:type="paragraph" w:styleId="BalloonText">
    <w:name w:val="Balloon Text"/>
    <w:basedOn w:val="Normal"/>
    <w:link w:val="BalloonTextChar"/>
    <w:uiPriority w:val="99"/>
    <w:semiHidden/>
    <w:unhideWhenUsed/>
    <w:rsid w:val="00A27B73"/>
    <w:rPr>
      <w:rFonts w:ascii="Tahoma" w:hAnsi="Tahoma" w:cs="Tahoma"/>
      <w:sz w:val="16"/>
      <w:szCs w:val="16"/>
    </w:rPr>
  </w:style>
  <w:style w:type="character" w:customStyle="1" w:styleId="BalloonTextChar">
    <w:name w:val="Balloon Text Char"/>
    <w:basedOn w:val="DefaultParagraphFont"/>
    <w:link w:val="BalloonText"/>
    <w:uiPriority w:val="99"/>
    <w:semiHidden/>
    <w:rsid w:val="00A27B73"/>
    <w:rPr>
      <w:rFonts w:ascii="Tahoma" w:hAnsi="Tahoma" w:cs="Tahoma"/>
      <w:sz w:val="16"/>
      <w:szCs w:val="16"/>
    </w:rPr>
  </w:style>
  <w:style w:type="character" w:customStyle="1" w:styleId="apple-converted-space">
    <w:name w:val="apple-converted-space"/>
    <w:rsid w:val="002A2043"/>
  </w:style>
  <w:style w:type="paragraph" w:styleId="NormalWeb">
    <w:name w:val="Normal (Web)"/>
    <w:basedOn w:val="Normal"/>
    <w:uiPriority w:val="99"/>
    <w:semiHidden/>
    <w:unhideWhenUsed/>
    <w:rsid w:val="00BB7B00"/>
    <w:pPr>
      <w:spacing w:before="100" w:beforeAutospacing="1" w:after="100" w:afterAutospacing="1"/>
    </w:pPr>
    <w:rPr>
      <w:rFonts w:ascii="Times" w:hAnsi="Times" w:cs="Times New Roman"/>
      <w:sz w:val="20"/>
      <w:szCs w:val="20"/>
      <w:lang w:val="es-MX"/>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5300D7"/>
    <w:pPr>
      <w:spacing w:before="200" w:after="160" w:line="240" w:lineRule="exact"/>
    </w:pPr>
    <w:rPr>
      <w:rFonts w:ascii="Calibri" w:eastAsia="Calibri" w:hAnsi="Calibri" w:cs="Times New Roman"/>
      <w:sz w:val="20"/>
      <w:szCs w:val="20"/>
      <w:vertAlign w:val="superscript"/>
    </w:rPr>
  </w:style>
  <w:style w:type="character" w:styleId="Strong">
    <w:name w:val="Strong"/>
    <w:uiPriority w:val="22"/>
    <w:qFormat/>
    <w:rsid w:val="005300D7"/>
    <w:rPr>
      <w:b/>
      <w:bCs/>
    </w:rPr>
  </w:style>
  <w:style w:type="paragraph" w:customStyle="1" w:styleId="Char2">
    <w:name w:val="Char2"/>
    <w:basedOn w:val="Normal"/>
    <w:rsid w:val="008A4BA7"/>
    <w:pPr>
      <w:spacing w:after="160" w:line="240" w:lineRule="exact"/>
    </w:pPr>
    <w:rPr>
      <w:rFonts w:ascii="Calibri" w:eastAsia="Batang" w:hAnsi="Calibri" w:cs="Times New Roman"/>
      <w:sz w:val="20"/>
      <w:szCs w:val="20"/>
      <w:vertAlign w:val="superscript"/>
    </w:rPr>
  </w:style>
  <w:style w:type="character" w:styleId="CommentReference">
    <w:name w:val="annotation reference"/>
    <w:basedOn w:val="DefaultParagraphFont"/>
    <w:uiPriority w:val="99"/>
    <w:semiHidden/>
    <w:unhideWhenUsed/>
    <w:rsid w:val="001B284C"/>
    <w:rPr>
      <w:sz w:val="16"/>
      <w:szCs w:val="16"/>
    </w:rPr>
  </w:style>
  <w:style w:type="paragraph" w:styleId="CommentText">
    <w:name w:val="annotation text"/>
    <w:basedOn w:val="Normal"/>
    <w:link w:val="CommentTextChar"/>
    <w:uiPriority w:val="99"/>
    <w:semiHidden/>
    <w:unhideWhenUsed/>
    <w:rsid w:val="001B284C"/>
    <w:rPr>
      <w:sz w:val="20"/>
      <w:szCs w:val="20"/>
    </w:rPr>
  </w:style>
  <w:style w:type="character" w:customStyle="1" w:styleId="CommentTextChar">
    <w:name w:val="Comment Text Char"/>
    <w:basedOn w:val="DefaultParagraphFont"/>
    <w:link w:val="CommentText"/>
    <w:uiPriority w:val="99"/>
    <w:semiHidden/>
    <w:rsid w:val="001B284C"/>
    <w:rPr>
      <w:sz w:val="20"/>
      <w:szCs w:val="20"/>
    </w:rPr>
  </w:style>
  <w:style w:type="paragraph" w:styleId="CommentSubject">
    <w:name w:val="annotation subject"/>
    <w:basedOn w:val="CommentText"/>
    <w:next w:val="CommentText"/>
    <w:link w:val="CommentSubjectChar"/>
    <w:uiPriority w:val="99"/>
    <w:semiHidden/>
    <w:unhideWhenUsed/>
    <w:rsid w:val="001B284C"/>
    <w:rPr>
      <w:b/>
      <w:bCs/>
    </w:rPr>
  </w:style>
  <w:style w:type="character" w:customStyle="1" w:styleId="CommentSubjectChar">
    <w:name w:val="Comment Subject Char"/>
    <w:basedOn w:val="CommentTextChar"/>
    <w:link w:val="CommentSubject"/>
    <w:uiPriority w:val="99"/>
    <w:semiHidden/>
    <w:rsid w:val="001B284C"/>
    <w:rPr>
      <w:b/>
      <w:bCs/>
      <w:sz w:val="20"/>
      <w:szCs w:val="20"/>
    </w:rPr>
  </w:style>
  <w:style w:type="paragraph" w:styleId="Revision">
    <w:name w:val="Revision"/>
    <w:hidden/>
    <w:uiPriority w:val="99"/>
    <w:semiHidden/>
    <w:rsid w:val="001B2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6827">
      <w:bodyDiv w:val="1"/>
      <w:marLeft w:val="0"/>
      <w:marRight w:val="0"/>
      <w:marTop w:val="0"/>
      <w:marBottom w:val="0"/>
      <w:divBdr>
        <w:top w:val="none" w:sz="0" w:space="0" w:color="auto"/>
        <w:left w:val="none" w:sz="0" w:space="0" w:color="auto"/>
        <w:bottom w:val="none" w:sz="0" w:space="0" w:color="auto"/>
        <w:right w:val="none" w:sz="0" w:space="0" w:color="auto"/>
      </w:divBdr>
    </w:div>
    <w:div w:id="130708221">
      <w:bodyDiv w:val="1"/>
      <w:marLeft w:val="0"/>
      <w:marRight w:val="0"/>
      <w:marTop w:val="0"/>
      <w:marBottom w:val="0"/>
      <w:divBdr>
        <w:top w:val="none" w:sz="0" w:space="0" w:color="auto"/>
        <w:left w:val="none" w:sz="0" w:space="0" w:color="auto"/>
        <w:bottom w:val="none" w:sz="0" w:space="0" w:color="auto"/>
        <w:right w:val="none" w:sz="0" w:space="0" w:color="auto"/>
      </w:divBdr>
      <w:divsChild>
        <w:div w:id="152726947">
          <w:marLeft w:val="0"/>
          <w:marRight w:val="0"/>
          <w:marTop w:val="280"/>
          <w:marBottom w:val="280"/>
          <w:divBdr>
            <w:top w:val="none" w:sz="0" w:space="0" w:color="auto"/>
            <w:left w:val="none" w:sz="0" w:space="0" w:color="auto"/>
            <w:bottom w:val="none" w:sz="0" w:space="0" w:color="auto"/>
            <w:right w:val="none" w:sz="0" w:space="0" w:color="auto"/>
          </w:divBdr>
        </w:div>
        <w:div w:id="409469352">
          <w:marLeft w:val="0"/>
          <w:marRight w:val="0"/>
          <w:marTop w:val="280"/>
          <w:marBottom w:val="280"/>
          <w:divBdr>
            <w:top w:val="none" w:sz="0" w:space="0" w:color="auto"/>
            <w:left w:val="none" w:sz="0" w:space="0" w:color="auto"/>
            <w:bottom w:val="none" w:sz="0" w:space="0" w:color="auto"/>
            <w:right w:val="none" w:sz="0" w:space="0" w:color="auto"/>
          </w:divBdr>
        </w:div>
        <w:div w:id="476847732">
          <w:marLeft w:val="0"/>
          <w:marRight w:val="0"/>
          <w:marTop w:val="280"/>
          <w:marBottom w:val="280"/>
          <w:divBdr>
            <w:top w:val="none" w:sz="0" w:space="0" w:color="auto"/>
            <w:left w:val="none" w:sz="0" w:space="0" w:color="auto"/>
            <w:bottom w:val="none" w:sz="0" w:space="0" w:color="auto"/>
            <w:right w:val="none" w:sz="0" w:space="0" w:color="auto"/>
          </w:divBdr>
        </w:div>
        <w:div w:id="567424683">
          <w:marLeft w:val="0"/>
          <w:marRight w:val="0"/>
          <w:marTop w:val="280"/>
          <w:marBottom w:val="280"/>
          <w:divBdr>
            <w:top w:val="none" w:sz="0" w:space="0" w:color="auto"/>
            <w:left w:val="none" w:sz="0" w:space="0" w:color="auto"/>
            <w:bottom w:val="none" w:sz="0" w:space="0" w:color="auto"/>
            <w:right w:val="none" w:sz="0" w:space="0" w:color="auto"/>
          </w:divBdr>
        </w:div>
        <w:div w:id="629747989">
          <w:marLeft w:val="0"/>
          <w:marRight w:val="0"/>
          <w:marTop w:val="280"/>
          <w:marBottom w:val="280"/>
          <w:divBdr>
            <w:top w:val="none" w:sz="0" w:space="0" w:color="auto"/>
            <w:left w:val="none" w:sz="0" w:space="0" w:color="auto"/>
            <w:bottom w:val="none" w:sz="0" w:space="0" w:color="auto"/>
            <w:right w:val="none" w:sz="0" w:space="0" w:color="auto"/>
          </w:divBdr>
        </w:div>
        <w:div w:id="690109742">
          <w:marLeft w:val="0"/>
          <w:marRight w:val="0"/>
          <w:marTop w:val="280"/>
          <w:marBottom w:val="280"/>
          <w:divBdr>
            <w:top w:val="none" w:sz="0" w:space="0" w:color="auto"/>
            <w:left w:val="none" w:sz="0" w:space="0" w:color="auto"/>
            <w:bottom w:val="none" w:sz="0" w:space="0" w:color="auto"/>
            <w:right w:val="none" w:sz="0" w:space="0" w:color="auto"/>
          </w:divBdr>
        </w:div>
        <w:div w:id="760026352">
          <w:marLeft w:val="0"/>
          <w:marRight w:val="0"/>
          <w:marTop w:val="280"/>
          <w:marBottom w:val="280"/>
          <w:divBdr>
            <w:top w:val="none" w:sz="0" w:space="0" w:color="auto"/>
            <w:left w:val="none" w:sz="0" w:space="0" w:color="auto"/>
            <w:bottom w:val="none" w:sz="0" w:space="0" w:color="auto"/>
            <w:right w:val="none" w:sz="0" w:space="0" w:color="auto"/>
          </w:divBdr>
        </w:div>
        <w:div w:id="951862000">
          <w:marLeft w:val="0"/>
          <w:marRight w:val="0"/>
          <w:marTop w:val="280"/>
          <w:marBottom w:val="280"/>
          <w:divBdr>
            <w:top w:val="none" w:sz="0" w:space="0" w:color="auto"/>
            <w:left w:val="none" w:sz="0" w:space="0" w:color="auto"/>
            <w:bottom w:val="none" w:sz="0" w:space="0" w:color="auto"/>
            <w:right w:val="none" w:sz="0" w:space="0" w:color="auto"/>
          </w:divBdr>
        </w:div>
        <w:div w:id="1203904111">
          <w:marLeft w:val="0"/>
          <w:marRight w:val="0"/>
          <w:marTop w:val="280"/>
          <w:marBottom w:val="280"/>
          <w:divBdr>
            <w:top w:val="none" w:sz="0" w:space="0" w:color="auto"/>
            <w:left w:val="none" w:sz="0" w:space="0" w:color="auto"/>
            <w:bottom w:val="none" w:sz="0" w:space="0" w:color="auto"/>
            <w:right w:val="none" w:sz="0" w:space="0" w:color="auto"/>
          </w:divBdr>
        </w:div>
        <w:div w:id="1307392913">
          <w:marLeft w:val="0"/>
          <w:marRight w:val="0"/>
          <w:marTop w:val="280"/>
          <w:marBottom w:val="280"/>
          <w:divBdr>
            <w:top w:val="none" w:sz="0" w:space="0" w:color="auto"/>
            <w:left w:val="none" w:sz="0" w:space="0" w:color="auto"/>
            <w:bottom w:val="none" w:sz="0" w:space="0" w:color="auto"/>
            <w:right w:val="none" w:sz="0" w:space="0" w:color="auto"/>
          </w:divBdr>
        </w:div>
        <w:div w:id="1326202923">
          <w:marLeft w:val="0"/>
          <w:marRight w:val="0"/>
          <w:marTop w:val="280"/>
          <w:marBottom w:val="280"/>
          <w:divBdr>
            <w:top w:val="none" w:sz="0" w:space="0" w:color="auto"/>
            <w:left w:val="none" w:sz="0" w:space="0" w:color="auto"/>
            <w:bottom w:val="none" w:sz="0" w:space="0" w:color="auto"/>
            <w:right w:val="none" w:sz="0" w:space="0" w:color="auto"/>
          </w:divBdr>
        </w:div>
        <w:div w:id="1711303181">
          <w:marLeft w:val="0"/>
          <w:marRight w:val="0"/>
          <w:marTop w:val="280"/>
          <w:marBottom w:val="280"/>
          <w:divBdr>
            <w:top w:val="none" w:sz="0" w:space="0" w:color="auto"/>
            <w:left w:val="none" w:sz="0" w:space="0" w:color="auto"/>
            <w:bottom w:val="none" w:sz="0" w:space="0" w:color="auto"/>
            <w:right w:val="none" w:sz="0" w:space="0" w:color="auto"/>
          </w:divBdr>
        </w:div>
        <w:div w:id="1735473607">
          <w:marLeft w:val="0"/>
          <w:marRight w:val="0"/>
          <w:marTop w:val="280"/>
          <w:marBottom w:val="280"/>
          <w:divBdr>
            <w:top w:val="none" w:sz="0" w:space="0" w:color="auto"/>
            <w:left w:val="none" w:sz="0" w:space="0" w:color="auto"/>
            <w:bottom w:val="none" w:sz="0" w:space="0" w:color="auto"/>
            <w:right w:val="none" w:sz="0" w:space="0" w:color="auto"/>
          </w:divBdr>
        </w:div>
      </w:divsChild>
    </w:div>
    <w:div w:id="551695812">
      <w:bodyDiv w:val="1"/>
      <w:marLeft w:val="0"/>
      <w:marRight w:val="0"/>
      <w:marTop w:val="0"/>
      <w:marBottom w:val="0"/>
      <w:divBdr>
        <w:top w:val="none" w:sz="0" w:space="0" w:color="auto"/>
        <w:left w:val="none" w:sz="0" w:space="0" w:color="auto"/>
        <w:bottom w:val="none" w:sz="0" w:space="0" w:color="auto"/>
        <w:right w:val="none" w:sz="0" w:space="0" w:color="auto"/>
      </w:divBdr>
    </w:div>
    <w:div w:id="629363917">
      <w:bodyDiv w:val="1"/>
      <w:marLeft w:val="0"/>
      <w:marRight w:val="0"/>
      <w:marTop w:val="0"/>
      <w:marBottom w:val="0"/>
      <w:divBdr>
        <w:top w:val="none" w:sz="0" w:space="0" w:color="auto"/>
        <w:left w:val="none" w:sz="0" w:space="0" w:color="auto"/>
        <w:bottom w:val="none" w:sz="0" w:space="0" w:color="auto"/>
        <w:right w:val="none" w:sz="0" w:space="0" w:color="auto"/>
      </w:divBdr>
    </w:div>
    <w:div w:id="732772909">
      <w:bodyDiv w:val="1"/>
      <w:marLeft w:val="0"/>
      <w:marRight w:val="0"/>
      <w:marTop w:val="0"/>
      <w:marBottom w:val="0"/>
      <w:divBdr>
        <w:top w:val="none" w:sz="0" w:space="0" w:color="auto"/>
        <w:left w:val="none" w:sz="0" w:space="0" w:color="auto"/>
        <w:bottom w:val="none" w:sz="0" w:space="0" w:color="auto"/>
        <w:right w:val="none" w:sz="0" w:space="0" w:color="auto"/>
      </w:divBdr>
    </w:div>
    <w:div w:id="835222254">
      <w:bodyDiv w:val="1"/>
      <w:marLeft w:val="0"/>
      <w:marRight w:val="0"/>
      <w:marTop w:val="0"/>
      <w:marBottom w:val="0"/>
      <w:divBdr>
        <w:top w:val="none" w:sz="0" w:space="0" w:color="auto"/>
        <w:left w:val="none" w:sz="0" w:space="0" w:color="auto"/>
        <w:bottom w:val="none" w:sz="0" w:space="0" w:color="auto"/>
        <w:right w:val="none" w:sz="0" w:space="0" w:color="auto"/>
      </w:divBdr>
    </w:div>
    <w:div w:id="1653018930">
      <w:bodyDiv w:val="1"/>
      <w:marLeft w:val="0"/>
      <w:marRight w:val="0"/>
      <w:marTop w:val="0"/>
      <w:marBottom w:val="0"/>
      <w:divBdr>
        <w:top w:val="none" w:sz="0" w:space="0" w:color="auto"/>
        <w:left w:val="none" w:sz="0" w:space="0" w:color="auto"/>
        <w:bottom w:val="none" w:sz="0" w:space="0" w:color="auto"/>
        <w:right w:val="none" w:sz="0" w:space="0" w:color="auto"/>
      </w:divBdr>
    </w:div>
    <w:div w:id="1956450068">
      <w:bodyDiv w:val="1"/>
      <w:marLeft w:val="0"/>
      <w:marRight w:val="0"/>
      <w:marTop w:val="0"/>
      <w:marBottom w:val="0"/>
      <w:divBdr>
        <w:top w:val="none" w:sz="0" w:space="0" w:color="auto"/>
        <w:left w:val="none" w:sz="0" w:space="0" w:color="auto"/>
        <w:bottom w:val="none" w:sz="0" w:space="0" w:color="auto"/>
        <w:right w:val="none" w:sz="0" w:space="0" w:color="auto"/>
      </w:divBdr>
    </w:div>
    <w:div w:id="2071465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oas.org/en/iachr/decisions/merits.asp" TargetMode="External"/><Relationship Id="rId2" Type="http://schemas.openxmlformats.org/officeDocument/2006/relationships/hyperlink" Target="https://www.deathpenaltyworldwide.org/country-search-post.cfm?country=Barbados" TargetMode="External"/><Relationship Id="rId1" Type="http://schemas.openxmlformats.org/officeDocument/2006/relationships/hyperlink" Target="https://www.amnesty.org/en/documents/amr05/001/2012/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BC4664-1EFF-4BB7-9C69-7729E8CD9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2480</Words>
  <Characters>14141</Characters>
  <Application>Microsoft Office Word</Application>
  <DocSecurity>0</DocSecurity>
  <Lines>117</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3</cp:revision>
  <cp:lastPrinted>2018-05-29T22:48:00Z</cp:lastPrinted>
  <dcterms:created xsi:type="dcterms:W3CDTF">2018-05-30T15:08:00Z</dcterms:created>
  <dcterms:modified xsi:type="dcterms:W3CDTF">2018-05-30T21:23:00Z</dcterms:modified>
</cp:coreProperties>
</file>