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5E3" w:rsidRPr="00750048" w:rsidRDefault="00E254C2" w:rsidP="00A94D9B">
      <w:pPr>
        <w:jc w:val="center"/>
        <w:rPr>
          <w:rFonts w:ascii="Cambria" w:hAnsi="Cambria"/>
          <w:b/>
          <w:sz w:val="22"/>
          <w:szCs w:val="21"/>
          <w:lang w:val="es-ES_tradnl"/>
        </w:rPr>
      </w:pPr>
      <w:r w:rsidRPr="00750048">
        <w:rPr>
          <w:rFonts w:ascii="Cambria" w:hAnsi="Cambria"/>
          <w:b/>
          <w:sz w:val="22"/>
          <w:szCs w:val="21"/>
          <w:lang w:val="es-ES_tradnl"/>
        </w:rPr>
        <w:t>COMISIÓN INTERAMERICANA DE DERECHOS HUMANOS</w:t>
      </w:r>
    </w:p>
    <w:p w:rsidR="00E254C2" w:rsidRPr="00750048" w:rsidRDefault="00E254C2" w:rsidP="00A94D9B">
      <w:pPr>
        <w:jc w:val="center"/>
        <w:rPr>
          <w:rFonts w:ascii="Cambria" w:hAnsi="Cambria"/>
          <w:sz w:val="22"/>
          <w:szCs w:val="21"/>
          <w:lang w:val="es-ES_tradnl"/>
        </w:rPr>
      </w:pPr>
      <w:r w:rsidRPr="00750048">
        <w:rPr>
          <w:rFonts w:ascii="Cambria" w:hAnsi="Cambria"/>
          <w:b/>
          <w:sz w:val="22"/>
          <w:szCs w:val="21"/>
          <w:lang w:val="es-ES_tradnl"/>
        </w:rPr>
        <w:t xml:space="preserve">RESOLUCIÓN </w:t>
      </w:r>
      <w:r w:rsidR="00E63345">
        <w:rPr>
          <w:rFonts w:ascii="Cambria" w:hAnsi="Cambria"/>
          <w:b/>
          <w:sz w:val="22"/>
          <w:szCs w:val="21"/>
          <w:lang w:val="es-ES_tradnl"/>
        </w:rPr>
        <w:t>24</w:t>
      </w:r>
      <w:r w:rsidR="00BA255D">
        <w:rPr>
          <w:rFonts w:ascii="Cambria" w:hAnsi="Cambria"/>
          <w:b/>
          <w:sz w:val="22"/>
          <w:szCs w:val="21"/>
          <w:lang w:val="es-ES_tradnl"/>
        </w:rPr>
        <w:t>/2018</w:t>
      </w:r>
    </w:p>
    <w:p w:rsidR="004E33D0" w:rsidRPr="00750048" w:rsidRDefault="004E33D0" w:rsidP="00AE6014">
      <w:pPr>
        <w:jc w:val="center"/>
        <w:rPr>
          <w:rFonts w:ascii="Cambria" w:hAnsi="Cambria"/>
          <w:sz w:val="22"/>
          <w:szCs w:val="21"/>
          <w:lang w:val="es-CO"/>
        </w:rPr>
      </w:pPr>
      <w:r w:rsidRPr="00750048">
        <w:rPr>
          <w:rFonts w:ascii="Cambria" w:hAnsi="Cambria"/>
          <w:sz w:val="22"/>
          <w:szCs w:val="21"/>
          <w:lang w:val="es-CO"/>
        </w:rPr>
        <w:t xml:space="preserve">Medida cautelar No. </w:t>
      </w:r>
      <w:r w:rsidR="004705F6">
        <w:rPr>
          <w:rFonts w:ascii="Cambria" w:hAnsi="Cambria"/>
          <w:sz w:val="22"/>
          <w:szCs w:val="21"/>
          <w:lang w:val="es-CO"/>
        </w:rPr>
        <w:t>81</w:t>
      </w:r>
      <w:r w:rsidRPr="00750048">
        <w:rPr>
          <w:rFonts w:ascii="Cambria" w:hAnsi="Cambria"/>
          <w:sz w:val="22"/>
          <w:szCs w:val="21"/>
          <w:lang w:val="es-CO"/>
        </w:rPr>
        <w:t>-1</w:t>
      </w:r>
      <w:r w:rsidR="00EB1E5E">
        <w:rPr>
          <w:rFonts w:ascii="Cambria" w:hAnsi="Cambria"/>
          <w:sz w:val="22"/>
          <w:szCs w:val="21"/>
          <w:lang w:val="es-CO"/>
        </w:rPr>
        <w:t>8</w:t>
      </w:r>
    </w:p>
    <w:p w:rsidR="00AE6014" w:rsidRPr="00750048" w:rsidRDefault="00AE6014" w:rsidP="00A94D9B">
      <w:pPr>
        <w:jc w:val="center"/>
        <w:rPr>
          <w:rFonts w:ascii="Cambria" w:hAnsi="Cambria"/>
          <w:sz w:val="21"/>
          <w:szCs w:val="21"/>
          <w:lang w:val="es-CO"/>
        </w:rPr>
      </w:pPr>
    </w:p>
    <w:p w:rsidR="00E254C2" w:rsidRPr="00750048" w:rsidRDefault="004705F6" w:rsidP="00A94D9B">
      <w:pPr>
        <w:jc w:val="center"/>
        <w:rPr>
          <w:rFonts w:ascii="Cambria" w:hAnsi="Cambria"/>
          <w:sz w:val="26"/>
          <w:szCs w:val="26"/>
          <w:lang w:val="es-CO"/>
        </w:rPr>
      </w:pPr>
      <w:proofErr w:type="spellStart"/>
      <w:r>
        <w:rPr>
          <w:rFonts w:ascii="Cambria" w:hAnsi="Cambria"/>
          <w:sz w:val="26"/>
          <w:szCs w:val="26"/>
          <w:lang w:val="es-MX"/>
        </w:rPr>
        <w:t>N</w:t>
      </w:r>
      <w:r w:rsidR="00170F76">
        <w:rPr>
          <w:rFonts w:ascii="Cambria" w:hAnsi="Cambria"/>
          <w:sz w:val="26"/>
          <w:szCs w:val="26"/>
          <w:lang w:val="es-MX"/>
        </w:rPr>
        <w:t>á</w:t>
      </w:r>
      <w:r>
        <w:rPr>
          <w:rFonts w:ascii="Cambria" w:hAnsi="Cambria"/>
          <w:sz w:val="26"/>
          <w:szCs w:val="26"/>
          <w:lang w:val="es-MX"/>
        </w:rPr>
        <w:t>thaly</w:t>
      </w:r>
      <w:proofErr w:type="spellEnd"/>
      <w:r>
        <w:rPr>
          <w:rFonts w:ascii="Cambria" w:hAnsi="Cambria"/>
          <w:sz w:val="26"/>
          <w:szCs w:val="26"/>
          <w:lang w:val="es-MX"/>
        </w:rPr>
        <w:t xml:space="preserve"> Sara Salazar Ayala</w:t>
      </w:r>
      <w:r w:rsidR="00EB1E5E" w:rsidRPr="00204EE9">
        <w:rPr>
          <w:rFonts w:ascii="Cambria" w:hAnsi="Cambria"/>
          <w:sz w:val="26"/>
          <w:szCs w:val="26"/>
          <w:lang w:val="es-MX"/>
        </w:rPr>
        <w:t xml:space="preserve"> </w:t>
      </w:r>
      <w:r w:rsidR="00E254C2" w:rsidRPr="00750048">
        <w:rPr>
          <w:rFonts w:ascii="Cambria" w:hAnsi="Cambria"/>
          <w:sz w:val="26"/>
          <w:szCs w:val="26"/>
          <w:lang w:val="es-CO"/>
        </w:rPr>
        <w:t xml:space="preserve">respecto de </w:t>
      </w:r>
      <w:r>
        <w:rPr>
          <w:rFonts w:ascii="Cambria" w:hAnsi="Cambria"/>
          <w:sz w:val="26"/>
          <w:szCs w:val="26"/>
          <w:lang w:val="es-CO"/>
        </w:rPr>
        <w:t>Perú</w:t>
      </w:r>
      <w:r w:rsidR="00C66B45">
        <w:rPr>
          <w:rStyle w:val="FootnoteReference"/>
          <w:rFonts w:ascii="Cambria" w:hAnsi="Cambria"/>
          <w:sz w:val="26"/>
          <w:szCs w:val="26"/>
          <w:lang w:val="es-CO"/>
        </w:rPr>
        <w:footnoteReference w:id="1"/>
      </w:r>
    </w:p>
    <w:p w:rsidR="00377C04" w:rsidRDefault="00C66B45" w:rsidP="00A94D9B">
      <w:pPr>
        <w:jc w:val="center"/>
        <w:rPr>
          <w:rFonts w:ascii="Cambria" w:hAnsi="Cambria"/>
          <w:sz w:val="20"/>
          <w:szCs w:val="18"/>
          <w:lang w:val="es-ES_tradnl"/>
        </w:rPr>
      </w:pPr>
      <w:r>
        <w:rPr>
          <w:rFonts w:ascii="Cambria" w:hAnsi="Cambria"/>
          <w:sz w:val="20"/>
          <w:szCs w:val="18"/>
          <w:lang w:val="es-ES_tradnl"/>
        </w:rPr>
        <w:t>8</w:t>
      </w:r>
      <w:r w:rsidR="00377C04" w:rsidRPr="00EB1E5E">
        <w:rPr>
          <w:rFonts w:ascii="Cambria" w:hAnsi="Cambria"/>
          <w:sz w:val="20"/>
          <w:szCs w:val="18"/>
          <w:lang w:val="es-ES_tradnl"/>
        </w:rPr>
        <w:t xml:space="preserve"> de </w:t>
      </w:r>
      <w:r>
        <w:rPr>
          <w:rFonts w:ascii="Cambria" w:hAnsi="Cambria"/>
          <w:sz w:val="20"/>
          <w:szCs w:val="18"/>
          <w:lang w:val="es-ES_tradnl"/>
        </w:rPr>
        <w:t>abril</w:t>
      </w:r>
      <w:r w:rsidR="00AF66D8" w:rsidRPr="00EB1E5E">
        <w:rPr>
          <w:rFonts w:ascii="Cambria" w:hAnsi="Cambria"/>
          <w:sz w:val="20"/>
          <w:szCs w:val="18"/>
          <w:lang w:val="es-ES_tradnl"/>
        </w:rPr>
        <w:t xml:space="preserve"> de 2018</w:t>
      </w:r>
      <w:r w:rsidR="00377C04" w:rsidRPr="00EB1E5E">
        <w:rPr>
          <w:rFonts w:ascii="Cambria" w:hAnsi="Cambria"/>
          <w:sz w:val="20"/>
          <w:szCs w:val="18"/>
          <w:lang w:val="es-ES_tradnl"/>
        </w:rPr>
        <w:t xml:space="preserve"> </w:t>
      </w:r>
    </w:p>
    <w:p w:rsidR="008B53BD" w:rsidRPr="00EB1E5E" w:rsidRDefault="008B53BD" w:rsidP="00A94D9B">
      <w:pPr>
        <w:jc w:val="center"/>
        <w:rPr>
          <w:rFonts w:ascii="Cambria" w:hAnsi="Cambria"/>
          <w:sz w:val="20"/>
          <w:szCs w:val="18"/>
          <w:lang w:val="es-ES_tradnl"/>
        </w:rPr>
      </w:pPr>
    </w:p>
    <w:p w:rsidR="00377C04" w:rsidRPr="00750048" w:rsidRDefault="00377C04" w:rsidP="00170F76">
      <w:pPr>
        <w:pStyle w:val="ListParagraph"/>
        <w:numPr>
          <w:ilvl w:val="0"/>
          <w:numId w:val="2"/>
        </w:numPr>
        <w:ind w:left="540" w:firstLine="0"/>
        <w:jc w:val="both"/>
        <w:rPr>
          <w:rFonts w:ascii="Cambria" w:hAnsi="Cambria"/>
          <w:b/>
          <w:sz w:val="21"/>
          <w:szCs w:val="21"/>
          <w:lang w:val="es-ES_tradnl"/>
        </w:rPr>
      </w:pPr>
      <w:r w:rsidRPr="00750048">
        <w:rPr>
          <w:rFonts w:ascii="Cambria" w:hAnsi="Cambria"/>
          <w:b/>
          <w:sz w:val="21"/>
          <w:szCs w:val="21"/>
          <w:lang w:val="es-ES_tradnl"/>
        </w:rPr>
        <w:t>INTRODUCCIÓN</w:t>
      </w:r>
    </w:p>
    <w:p w:rsidR="00377C04" w:rsidRPr="00750048" w:rsidRDefault="00377C04" w:rsidP="00A94D9B">
      <w:pPr>
        <w:jc w:val="both"/>
        <w:rPr>
          <w:rFonts w:ascii="Cambria" w:hAnsi="Cambria"/>
          <w:sz w:val="21"/>
          <w:szCs w:val="21"/>
          <w:lang w:val="es-ES_tradnl"/>
        </w:rPr>
      </w:pPr>
    </w:p>
    <w:p w:rsidR="004B63CB" w:rsidRPr="00750048" w:rsidRDefault="00377C04" w:rsidP="00A94D9B">
      <w:pPr>
        <w:pStyle w:val="ListParagraph"/>
        <w:numPr>
          <w:ilvl w:val="0"/>
          <w:numId w:val="1"/>
        </w:numPr>
        <w:ind w:left="0" w:firstLine="360"/>
        <w:jc w:val="both"/>
        <w:rPr>
          <w:rFonts w:ascii="Cambria" w:hAnsi="Cambria"/>
          <w:sz w:val="21"/>
          <w:szCs w:val="21"/>
          <w:lang w:val="es-ES_tradnl"/>
        </w:rPr>
      </w:pPr>
      <w:r w:rsidRPr="00750048">
        <w:rPr>
          <w:rFonts w:ascii="Cambria" w:hAnsi="Cambria"/>
          <w:sz w:val="21"/>
          <w:szCs w:val="21"/>
          <w:lang w:val="es-ES_tradnl"/>
        </w:rPr>
        <w:t xml:space="preserve">El </w:t>
      </w:r>
      <w:r w:rsidR="004705F6">
        <w:rPr>
          <w:rFonts w:ascii="Cambria" w:hAnsi="Cambria"/>
          <w:sz w:val="21"/>
          <w:szCs w:val="21"/>
          <w:lang w:val="es-ES_tradnl"/>
        </w:rPr>
        <w:t>05</w:t>
      </w:r>
      <w:r w:rsidRPr="00750048">
        <w:rPr>
          <w:rFonts w:ascii="Cambria" w:hAnsi="Cambria"/>
          <w:sz w:val="21"/>
          <w:szCs w:val="21"/>
          <w:lang w:val="es-ES_tradnl"/>
        </w:rPr>
        <w:t xml:space="preserve"> de </w:t>
      </w:r>
      <w:r w:rsidR="004705F6">
        <w:rPr>
          <w:rFonts w:ascii="Cambria" w:hAnsi="Cambria"/>
          <w:sz w:val="21"/>
          <w:szCs w:val="21"/>
          <w:lang w:val="es-ES_tradnl"/>
        </w:rPr>
        <w:t>febrero</w:t>
      </w:r>
      <w:r w:rsidRPr="00750048">
        <w:rPr>
          <w:rFonts w:ascii="Cambria" w:hAnsi="Cambria"/>
          <w:sz w:val="21"/>
          <w:szCs w:val="21"/>
          <w:lang w:val="es-ES_tradnl"/>
        </w:rPr>
        <w:t xml:space="preserve"> de 201</w:t>
      </w:r>
      <w:r w:rsidR="00EB1E5E">
        <w:rPr>
          <w:rFonts w:ascii="Cambria" w:hAnsi="Cambria"/>
          <w:sz w:val="21"/>
          <w:szCs w:val="21"/>
          <w:lang w:val="es-ES_tradnl"/>
        </w:rPr>
        <w:t>8</w:t>
      </w:r>
      <w:r w:rsidRPr="00750048">
        <w:rPr>
          <w:rFonts w:ascii="Cambria" w:hAnsi="Cambria"/>
          <w:sz w:val="21"/>
          <w:szCs w:val="21"/>
          <w:lang w:val="es-ES_tradnl"/>
        </w:rPr>
        <w:t>, la Comisión Interamericana de Derechos Humanos (en adelante, “la Comisión Interamericana”, “la Comisión” o “la CIDH”) recibió una solicitud de me</w:t>
      </w:r>
      <w:r w:rsidR="00DD696A" w:rsidRPr="00750048">
        <w:rPr>
          <w:rFonts w:ascii="Cambria" w:hAnsi="Cambria"/>
          <w:sz w:val="21"/>
          <w:szCs w:val="21"/>
          <w:lang w:val="es-ES_tradnl"/>
        </w:rPr>
        <w:t xml:space="preserve">didas cautelares presentada por </w:t>
      </w:r>
      <w:r w:rsidR="004705F6">
        <w:rPr>
          <w:rFonts w:ascii="Cambria" w:hAnsi="Cambria"/>
          <w:sz w:val="21"/>
          <w:szCs w:val="21"/>
          <w:lang w:val="es-ES_tradnl"/>
        </w:rPr>
        <w:t>Tamara Estefanía Salazar Ayala (en adelante, “la</w:t>
      </w:r>
      <w:r w:rsidRPr="00750048">
        <w:rPr>
          <w:rFonts w:ascii="Cambria" w:hAnsi="Cambria"/>
          <w:sz w:val="21"/>
          <w:szCs w:val="21"/>
          <w:lang w:val="es-ES_tradnl"/>
        </w:rPr>
        <w:t xml:space="preserve"> solicitant</w:t>
      </w:r>
      <w:r w:rsidR="004705F6">
        <w:rPr>
          <w:rFonts w:ascii="Cambria" w:hAnsi="Cambria"/>
          <w:sz w:val="21"/>
          <w:szCs w:val="21"/>
          <w:lang w:val="es-ES_tradnl"/>
        </w:rPr>
        <w:t>e</w:t>
      </w:r>
      <w:r w:rsidRPr="00750048">
        <w:rPr>
          <w:rFonts w:ascii="Cambria" w:hAnsi="Cambria"/>
          <w:sz w:val="21"/>
          <w:szCs w:val="21"/>
          <w:lang w:val="es-ES_tradnl"/>
        </w:rPr>
        <w:t>”), instan</w:t>
      </w:r>
      <w:r w:rsidR="004705F6">
        <w:rPr>
          <w:rFonts w:ascii="Cambria" w:hAnsi="Cambria"/>
          <w:sz w:val="21"/>
          <w:szCs w:val="21"/>
          <w:lang w:val="es-ES_tradnl"/>
        </w:rPr>
        <w:t>d</w:t>
      </w:r>
      <w:r w:rsidR="00F22189">
        <w:rPr>
          <w:rFonts w:ascii="Cambria" w:hAnsi="Cambria"/>
          <w:sz w:val="21"/>
          <w:szCs w:val="21"/>
          <w:lang w:val="es-ES_tradnl"/>
        </w:rPr>
        <w:t>o a la Comisión que requiera a</w:t>
      </w:r>
      <w:r w:rsidR="004705F6">
        <w:rPr>
          <w:rFonts w:ascii="Cambria" w:hAnsi="Cambria"/>
          <w:sz w:val="21"/>
          <w:szCs w:val="21"/>
          <w:lang w:val="es-ES_tradnl"/>
        </w:rPr>
        <w:t xml:space="preserve"> la República de Perú</w:t>
      </w:r>
      <w:r w:rsidRPr="00750048">
        <w:rPr>
          <w:rFonts w:ascii="Cambria" w:hAnsi="Cambria"/>
          <w:sz w:val="21"/>
          <w:szCs w:val="21"/>
          <w:lang w:val="es-ES_tradnl"/>
        </w:rPr>
        <w:t xml:space="preserve"> (en adelante, “el Estado” o “</w:t>
      </w:r>
      <w:r w:rsidR="004705F6">
        <w:rPr>
          <w:rFonts w:ascii="Cambria" w:hAnsi="Cambria"/>
          <w:sz w:val="21"/>
          <w:szCs w:val="21"/>
          <w:lang w:val="es-ES_tradnl"/>
        </w:rPr>
        <w:t>Perú</w:t>
      </w:r>
      <w:r w:rsidRPr="00750048">
        <w:rPr>
          <w:rFonts w:ascii="Cambria" w:hAnsi="Cambria"/>
          <w:sz w:val="21"/>
          <w:szCs w:val="21"/>
          <w:lang w:val="es-ES_tradnl"/>
        </w:rPr>
        <w:t xml:space="preserve">”) la adopción de las medidas necesarias para </w:t>
      </w:r>
      <w:r w:rsidR="00DD696A" w:rsidRPr="00750048">
        <w:rPr>
          <w:rFonts w:ascii="Cambria" w:hAnsi="Cambria"/>
          <w:sz w:val="21"/>
          <w:szCs w:val="21"/>
          <w:lang w:val="es-ES_tradnl"/>
        </w:rPr>
        <w:t xml:space="preserve">proteger los derechos a la vida e integridad personal </w:t>
      </w:r>
      <w:r w:rsidR="00252F21" w:rsidRPr="00750048">
        <w:rPr>
          <w:rFonts w:ascii="Cambria" w:hAnsi="Cambria"/>
          <w:sz w:val="21"/>
          <w:szCs w:val="21"/>
          <w:lang w:val="es-ES_tradnl"/>
        </w:rPr>
        <w:t>de</w:t>
      </w:r>
      <w:r w:rsidR="005B1595">
        <w:rPr>
          <w:rFonts w:ascii="Cambria" w:hAnsi="Cambria"/>
          <w:sz w:val="21"/>
          <w:szCs w:val="21"/>
          <w:lang w:val="es-ES_tradnl"/>
        </w:rPr>
        <w:t xml:space="preserve"> su hermana</w:t>
      </w:r>
      <w:r w:rsidR="00F22189">
        <w:rPr>
          <w:rFonts w:ascii="Cambria" w:hAnsi="Cambria"/>
          <w:sz w:val="21"/>
          <w:szCs w:val="21"/>
          <w:lang w:val="es-ES_tradnl"/>
        </w:rPr>
        <w:t>,</w:t>
      </w:r>
      <w:r w:rsidR="004705F6">
        <w:rPr>
          <w:rFonts w:ascii="Cambria" w:hAnsi="Cambria"/>
          <w:sz w:val="21"/>
          <w:szCs w:val="21"/>
          <w:lang w:val="es-ES_tradnl"/>
        </w:rPr>
        <w:t xml:space="preserve"> </w:t>
      </w:r>
      <w:proofErr w:type="spellStart"/>
      <w:r w:rsidR="004705F6">
        <w:rPr>
          <w:rFonts w:ascii="Cambria" w:hAnsi="Cambria"/>
          <w:sz w:val="21"/>
          <w:szCs w:val="21"/>
          <w:lang w:val="es-ES_tradnl"/>
        </w:rPr>
        <w:t>N</w:t>
      </w:r>
      <w:r w:rsidR="002B212F">
        <w:rPr>
          <w:rFonts w:ascii="Cambria" w:hAnsi="Cambria"/>
          <w:sz w:val="21"/>
          <w:szCs w:val="21"/>
          <w:lang w:val="es-ES_tradnl"/>
        </w:rPr>
        <w:t>á</w:t>
      </w:r>
      <w:r w:rsidR="004705F6">
        <w:rPr>
          <w:rFonts w:ascii="Cambria" w:hAnsi="Cambria"/>
          <w:sz w:val="21"/>
          <w:szCs w:val="21"/>
          <w:lang w:val="es-ES_tradnl"/>
        </w:rPr>
        <w:t>thaly</w:t>
      </w:r>
      <w:proofErr w:type="spellEnd"/>
      <w:r w:rsidR="004705F6">
        <w:rPr>
          <w:rFonts w:ascii="Cambria" w:hAnsi="Cambria"/>
          <w:sz w:val="21"/>
          <w:szCs w:val="21"/>
          <w:lang w:val="es-ES_tradnl"/>
        </w:rPr>
        <w:t xml:space="preserve"> Sara Salazar Ayala</w:t>
      </w:r>
      <w:r w:rsidR="00EB1E5E">
        <w:rPr>
          <w:rFonts w:ascii="Cambria" w:hAnsi="Cambria"/>
          <w:sz w:val="21"/>
          <w:szCs w:val="21"/>
          <w:lang w:val="es-ES_tradnl"/>
        </w:rPr>
        <w:t xml:space="preserve"> </w:t>
      </w:r>
      <w:r w:rsidR="00D863D5" w:rsidRPr="00750048">
        <w:rPr>
          <w:rFonts w:ascii="Cambria" w:hAnsi="Cambria"/>
          <w:sz w:val="21"/>
          <w:szCs w:val="21"/>
          <w:lang w:val="es-ES_tradnl"/>
        </w:rPr>
        <w:t>(en adelante, “</w:t>
      </w:r>
      <w:r w:rsidR="004705F6">
        <w:rPr>
          <w:rFonts w:ascii="Cambria" w:hAnsi="Cambria"/>
          <w:sz w:val="21"/>
          <w:szCs w:val="21"/>
          <w:lang w:val="es-ES_tradnl"/>
        </w:rPr>
        <w:t>la</w:t>
      </w:r>
      <w:r w:rsidR="00EB1E5E">
        <w:rPr>
          <w:rFonts w:ascii="Cambria" w:hAnsi="Cambria"/>
          <w:sz w:val="21"/>
          <w:szCs w:val="21"/>
          <w:lang w:val="es-ES_tradnl"/>
        </w:rPr>
        <w:t xml:space="preserve"> prop</w:t>
      </w:r>
      <w:r w:rsidR="004705F6">
        <w:rPr>
          <w:rFonts w:ascii="Cambria" w:hAnsi="Cambria"/>
          <w:sz w:val="21"/>
          <w:szCs w:val="21"/>
          <w:lang w:val="es-ES_tradnl"/>
        </w:rPr>
        <w:t>uesta beneficiaria</w:t>
      </w:r>
      <w:r w:rsidR="00F22189">
        <w:rPr>
          <w:rFonts w:ascii="Cambria" w:hAnsi="Cambria"/>
          <w:sz w:val="21"/>
          <w:szCs w:val="21"/>
          <w:lang w:val="es-ES_tradnl"/>
        </w:rPr>
        <w:t>”)</w:t>
      </w:r>
      <w:r w:rsidR="00EB1E5E">
        <w:rPr>
          <w:rFonts w:ascii="Cambria" w:hAnsi="Cambria"/>
          <w:sz w:val="21"/>
          <w:szCs w:val="21"/>
          <w:lang w:val="es-ES_tradnl"/>
        </w:rPr>
        <w:t>.</w:t>
      </w:r>
      <w:r w:rsidR="00D863D5" w:rsidRPr="00750048">
        <w:rPr>
          <w:rFonts w:ascii="Cambria" w:hAnsi="Cambria"/>
          <w:sz w:val="21"/>
          <w:szCs w:val="21"/>
          <w:lang w:val="es-ES_tradnl"/>
        </w:rPr>
        <w:t xml:space="preserve"> </w:t>
      </w:r>
      <w:r w:rsidR="004705F6">
        <w:rPr>
          <w:rFonts w:ascii="Cambria" w:hAnsi="Cambria"/>
          <w:sz w:val="21"/>
          <w:szCs w:val="21"/>
          <w:lang w:val="es-ES_tradnl"/>
        </w:rPr>
        <w:t>Según la solicitante</w:t>
      </w:r>
      <w:r w:rsidR="005B1595">
        <w:rPr>
          <w:rFonts w:ascii="Cambria" w:hAnsi="Cambria"/>
          <w:sz w:val="21"/>
          <w:szCs w:val="21"/>
          <w:lang w:val="es-ES_tradnl"/>
        </w:rPr>
        <w:t>,</w:t>
      </w:r>
      <w:r w:rsidRPr="00750048">
        <w:rPr>
          <w:rFonts w:ascii="Cambria" w:hAnsi="Cambria"/>
          <w:sz w:val="21"/>
          <w:szCs w:val="21"/>
          <w:lang w:val="es-ES_tradnl"/>
        </w:rPr>
        <w:t xml:space="preserve"> </w:t>
      </w:r>
      <w:r w:rsidR="004705F6">
        <w:rPr>
          <w:rFonts w:ascii="Cambria" w:hAnsi="Cambria"/>
          <w:sz w:val="21"/>
          <w:szCs w:val="21"/>
          <w:lang w:val="es-ES_tradnl"/>
        </w:rPr>
        <w:t>la propuesta beneficiaria</w:t>
      </w:r>
      <w:r w:rsidR="008B53BD">
        <w:rPr>
          <w:rFonts w:ascii="Cambria" w:hAnsi="Cambria"/>
          <w:sz w:val="21"/>
          <w:szCs w:val="21"/>
          <w:lang w:val="es-ES_tradnl"/>
        </w:rPr>
        <w:t xml:space="preserve"> habría viajado a Perú a practicar un deporte extremo</w:t>
      </w:r>
      <w:r w:rsidR="005B1595">
        <w:rPr>
          <w:rFonts w:ascii="Cambria" w:hAnsi="Cambria"/>
          <w:sz w:val="21"/>
          <w:szCs w:val="21"/>
          <w:lang w:val="es-ES_tradnl"/>
        </w:rPr>
        <w:t xml:space="preserve"> el 02 de enero de 2018, </w:t>
      </w:r>
      <w:r w:rsidR="00B0018D">
        <w:rPr>
          <w:rFonts w:ascii="Cambria" w:hAnsi="Cambria"/>
          <w:sz w:val="21"/>
          <w:szCs w:val="21"/>
          <w:lang w:val="es-ES_tradnl"/>
        </w:rPr>
        <w:t>sin poder tomar nuevamente contacto con ella y, sin conocer su paradero</w:t>
      </w:r>
      <w:r w:rsidR="005B1595">
        <w:rPr>
          <w:rFonts w:ascii="Cambria" w:hAnsi="Cambria"/>
          <w:sz w:val="21"/>
          <w:szCs w:val="21"/>
          <w:lang w:val="es-ES_tradnl"/>
        </w:rPr>
        <w:t xml:space="preserve">. </w:t>
      </w:r>
    </w:p>
    <w:p w:rsidR="004B63CB" w:rsidRPr="00750048" w:rsidRDefault="004B63CB" w:rsidP="00A94D9B">
      <w:pPr>
        <w:pStyle w:val="ListParagraph"/>
        <w:ind w:left="360"/>
        <w:jc w:val="both"/>
        <w:rPr>
          <w:rFonts w:ascii="Cambria" w:hAnsi="Cambria"/>
          <w:sz w:val="21"/>
          <w:szCs w:val="21"/>
          <w:lang w:val="es-ES_tradnl"/>
        </w:rPr>
      </w:pPr>
    </w:p>
    <w:p w:rsidR="00A216B8" w:rsidRPr="00750048" w:rsidRDefault="00B0018D" w:rsidP="00A216B8">
      <w:pPr>
        <w:pStyle w:val="ListParagraph"/>
        <w:numPr>
          <w:ilvl w:val="0"/>
          <w:numId w:val="1"/>
        </w:numPr>
        <w:ind w:left="0" w:firstLine="360"/>
        <w:jc w:val="both"/>
        <w:rPr>
          <w:rFonts w:ascii="Cambria" w:eastAsia="Times New Roman" w:hAnsi="Cambria" w:cs="Times New Roman"/>
          <w:color w:val="000000"/>
          <w:sz w:val="21"/>
          <w:szCs w:val="21"/>
          <w:lang w:val="es-CO"/>
        </w:rPr>
      </w:pPr>
      <w:r>
        <w:rPr>
          <w:rFonts w:ascii="Cambria" w:hAnsi="Cambria"/>
          <w:sz w:val="21"/>
          <w:szCs w:val="21"/>
          <w:lang w:val="es-MX"/>
        </w:rPr>
        <w:t xml:space="preserve">Tras solicitar información al Estado, se recibió su informe </w:t>
      </w:r>
      <w:r w:rsidR="008B53BD">
        <w:rPr>
          <w:rFonts w:ascii="Cambria" w:hAnsi="Cambria"/>
          <w:sz w:val="21"/>
          <w:szCs w:val="21"/>
          <w:lang w:val="es-MX"/>
        </w:rPr>
        <w:t xml:space="preserve">el </w:t>
      </w:r>
      <w:r w:rsidR="002C12BC">
        <w:rPr>
          <w:rFonts w:ascii="Cambria" w:hAnsi="Cambria"/>
          <w:sz w:val="21"/>
          <w:szCs w:val="21"/>
          <w:lang w:val="es-MX"/>
        </w:rPr>
        <w:t>15 de febrero.</w:t>
      </w:r>
      <w:r w:rsidR="008B53BD" w:rsidRPr="00170F76">
        <w:rPr>
          <w:rFonts w:ascii="Cambria" w:hAnsi="Cambria"/>
          <w:sz w:val="21"/>
          <w:szCs w:val="21"/>
          <w:lang w:val="es-MX"/>
        </w:rPr>
        <w:t xml:space="preserve"> </w:t>
      </w:r>
      <w:r>
        <w:rPr>
          <w:rFonts w:ascii="Cambria" w:eastAsia="Times New Roman" w:hAnsi="Cambria" w:cs="Times New Roman"/>
          <w:color w:val="000000"/>
          <w:sz w:val="21"/>
          <w:szCs w:val="21"/>
          <w:lang w:val="es-CO"/>
        </w:rPr>
        <w:t>E</w:t>
      </w:r>
      <w:r w:rsidR="00DC7AE6">
        <w:rPr>
          <w:rFonts w:ascii="Cambria" w:eastAsia="Times New Roman" w:hAnsi="Cambria" w:cs="Times New Roman"/>
          <w:color w:val="000000"/>
          <w:sz w:val="21"/>
          <w:szCs w:val="21"/>
          <w:lang w:val="es-CO"/>
        </w:rPr>
        <w:t>l Estado</w:t>
      </w:r>
      <w:r w:rsidR="002C12BC">
        <w:rPr>
          <w:rFonts w:ascii="Cambria" w:eastAsia="Times New Roman" w:hAnsi="Cambria" w:cs="Times New Roman"/>
          <w:color w:val="000000"/>
          <w:sz w:val="21"/>
          <w:szCs w:val="21"/>
          <w:lang w:val="es-CO"/>
        </w:rPr>
        <w:t xml:space="preserve"> remitió información adicional el 6 de marzo y los solicitantes </w:t>
      </w:r>
      <w:r w:rsidR="00D10592">
        <w:rPr>
          <w:rFonts w:ascii="Cambria" w:eastAsia="Times New Roman" w:hAnsi="Cambria" w:cs="Times New Roman"/>
          <w:color w:val="000000"/>
          <w:sz w:val="21"/>
          <w:szCs w:val="21"/>
          <w:lang w:val="es-CO"/>
        </w:rPr>
        <w:t>el 11 de marzo de 2018.</w:t>
      </w:r>
    </w:p>
    <w:p w:rsidR="00A17A82" w:rsidRPr="00750048" w:rsidRDefault="00A17A82" w:rsidP="00A94D9B">
      <w:pPr>
        <w:jc w:val="both"/>
        <w:rPr>
          <w:rFonts w:ascii="Cambria" w:hAnsi="Cambria"/>
          <w:sz w:val="21"/>
          <w:szCs w:val="21"/>
          <w:lang w:val="es-CO"/>
        </w:rPr>
      </w:pPr>
    </w:p>
    <w:p w:rsidR="004B63CB" w:rsidRPr="009C5881" w:rsidRDefault="004B63CB" w:rsidP="009C5881">
      <w:pPr>
        <w:pStyle w:val="ListParagraph"/>
        <w:numPr>
          <w:ilvl w:val="0"/>
          <w:numId w:val="1"/>
        </w:numPr>
        <w:ind w:left="0" w:firstLine="360"/>
        <w:jc w:val="both"/>
        <w:rPr>
          <w:rFonts w:ascii="Cambria" w:hAnsi="Cambria"/>
          <w:sz w:val="21"/>
          <w:szCs w:val="21"/>
          <w:lang w:val="es-ES_tradnl"/>
        </w:rPr>
      </w:pPr>
      <w:r w:rsidRPr="00750048">
        <w:rPr>
          <w:rFonts w:ascii="Cambria" w:hAnsi="Cambria"/>
          <w:sz w:val="21"/>
          <w:szCs w:val="21"/>
          <w:lang w:val="es-ES_tradnl"/>
        </w:rPr>
        <w:t>Tras analizar las alegaciones de he</w:t>
      </w:r>
      <w:r w:rsidR="00DC7AE6">
        <w:rPr>
          <w:rFonts w:ascii="Cambria" w:hAnsi="Cambria"/>
          <w:sz w:val="21"/>
          <w:szCs w:val="21"/>
          <w:lang w:val="es-ES_tradnl"/>
        </w:rPr>
        <w:t>cho y de derecho presentadas por las partes</w:t>
      </w:r>
      <w:r w:rsidRPr="00750048">
        <w:rPr>
          <w:rFonts w:ascii="Cambria" w:hAnsi="Cambria"/>
          <w:sz w:val="21"/>
          <w:szCs w:val="21"/>
          <w:lang w:val="es-ES_tradnl"/>
        </w:rPr>
        <w:t xml:space="preserve">, la Comisión considera que </w:t>
      </w:r>
      <w:r w:rsidR="00DC7AE6">
        <w:rPr>
          <w:rFonts w:ascii="Cambria" w:hAnsi="Cambria"/>
          <w:sz w:val="21"/>
          <w:szCs w:val="21"/>
          <w:lang w:val="es-ES_tradnl"/>
        </w:rPr>
        <w:t xml:space="preserve">la información presentada demuestra </w:t>
      </w:r>
      <w:r w:rsidR="00DC7AE6" w:rsidRPr="00F22189">
        <w:rPr>
          <w:rFonts w:ascii="Cambria" w:hAnsi="Cambria"/>
          <w:i/>
          <w:sz w:val="21"/>
          <w:szCs w:val="21"/>
          <w:lang w:val="es-ES_tradnl"/>
        </w:rPr>
        <w:t>prima facie</w:t>
      </w:r>
      <w:r w:rsidR="00170F76">
        <w:rPr>
          <w:rFonts w:ascii="Cambria" w:hAnsi="Cambria"/>
          <w:sz w:val="21"/>
          <w:szCs w:val="21"/>
          <w:lang w:val="es-ES_tradnl"/>
        </w:rPr>
        <w:t xml:space="preserve"> que </w:t>
      </w:r>
      <w:proofErr w:type="spellStart"/>
      <w:r w:rsidR="00170F76">
        <w:rPr>
          <w:rFonts w:ascii="Cambria" w:hAnsi="Cambria"/>
          <w:sz w:val="21"/>
          <w:szCs w:val="21"/>
          <w:lang w:val="es-ES_tradnl"/>
        </w:rPr>
        <w:t>Ná</w:t>
      </w:r>
      <w:r w:rsidR="00DC7AE6">
        <w:rPr>
          <w:rFonts w:ascii="Cambria" w:hAnsi="Cambria"/>
          <w:sz w:val="21"/>
          <w:szCs w:val="21"/>
          <w:lang w:val="es-ES_tradnl"/>
        </w:rPr>
        <w:t>thaly</w:t>
      </w:r>
      <w:proofErr w:type="spellEnd"/>
      <w:r w:rsidR="00DC7AE6">
        <w:rPr>
          <w:rFonts w:ascii="Cambria" w:hAnsi="Cambria"/>
          <w:sz w:val="21"/>
          <w:szCs w:val="21"/>
          <w:lang w:val="es-ES_tradnl"/>
        </w:rPr>
        <w:t xml:space="preserve"> Sara Salazar Ayala </w:t>
      </w:r>
      <w:r w:rsidR="00E6656D" w:rsidRPr="00750048">
        <w:rPr>
          <w:rFonts w:ascii="Cambria" w:hAnsi="Cambria"/>
          <w:sz w:val="21"/>
          <w:szCs w:val="21"/>
          <w:lang w:val="es-ES_tradnl"/>
        </w:rPr>
        <w:t>se encuentra</w:t>
      </w:r>
      <w:r w:rsidRPr="00750048">
        <w:rPr>
          <w:rFonts w:ascii="Cambria" w:hAnsi="Cambria"/>
          <w:sz w:val="21"/>
          <w:szCs w:val="21"/>
          <w:lang w:val="es-ES_tradnl"/>
        </w:rPr>
        <w:t xml:space="preserve"> en una situación de gravedad y urgencia, </w:t>
      </w:r>
      <w:r w:rsidR="00DC7AE6">
        <w:rPr>
          <w:rFonts w:ascii="Cambria" w:hAnsi="Cambria"/>
          <w:sz w:val="21"/>
          <w:szCs w:val="21"/>
          <w:lang w:val="es-ES_tradnl"/>
        </w:rPr>
        <w:t xml:space="preserve">puesto que hasta la fecha </w:t>
      </w:r>
      <w:r w:rsidR="002E50D6">
        <w:rPr>
          <w:rFonts w:ascii="Cambria" w:hAnsi="Cambria"/>
          <w:sz w:val="21"/>
          <w:szCs w:val="21"/>
          <w:lang w:val="es-ES_tradnl"/>
        </w:rPr>
        <w:t>aún</w:t>
      </w:r>
      <w:r w:rsidR="00DC7AE6">
        <w:rPr>
          <w:rFonts w:ascii="Cambria" w:hAnsi="Cambria"/>
          <w:sz w:val="21"/>
          <w:szCs w:val="21"/>
          <w:lang w:val="es-ES_tradnl"/>
        </w:rPr>
        <w:t xml:space="preserve"> no se </w:t>
      </w:r>
      <w:r w:rsidR="002E50D6">
        <w:rPr>
          <w:rFonts w:ascii="Cambria" w:hAnsi="Cambria"/>
          <w:sz w:val="21"/>
          <w:szCs w:val="21"/>
          <w:lang w:val="es-ES_tradnl"/>
        </w:rPr>
        <w:t>habría</w:t>
      </w:r>
      <w:r w:rsidR="00DC7AE6">
        <w:rPr>
          <w:rFonts w:ascii="Cambria" w:hAnsi="Cambria"/>
          <w:sz w:val="21"/>
          <w:szCs w:val="21"/>
          <w:lang w:val="es-ES_tradnl"/>
        </w:rPr>
        <w:t xml:space="preserve"> determinado su paradero. </w:t>
      </w:r>
      <w:r w:rsidRPr="00750048">
        <w:rPr>
          <w:rFonts w:ascii="Cambria" w:hAnsi="Cambria"/>
          <w:sz w:val="21"/>
          <w:szCs w:val="21"/>
          <w:lang w:val="es-ES_tradnl"/>
        </w:rPr>
        <w:t>Por consiguiente, c</w:t>
      </w:r>
      <w:r w:rsidR="00A17A82" w:rsidRPr="00750048">
        <w:rPr>
          <w:rFonts w:ascii="Cambria" w:hAnsi="Cambria"/>
          <w:sz w:val="21"/>
          <w:szCs w:val="21"/>
          <w:lang w:val="es-ES_tradnl"/>
        </w:rPr>
        <w:t>on base en el a</w:t>
      </w:r>
      <w:r w:rsidRPr="00750048">
        <w:rPr>
          <w:rFonts w:ascii="Cambria" w:hAnsi="Cambria"/>
          <w:sz w:val="21"/>
          <w:szCs w:val="21"/>
          <w:lang w:val="es-ES_tradnl"/>
        </w:rPr>
        <w:t xml:space="preserve">rtículo 25 de su Reglamento, la Comisión </w:t>
      </w:r>
      <w:r w:rsidR="002E50D6">
        <w:rPr>
          <w:rFonts w:ascii="Cambria" w:hAnsi="Cambria"/>
          <w:sz w:val="21"/>
          <w:szCs w:val="21"/>
          <w:lang w:val="es-ES_tradnl"/>
        </w:rPr>
        <w:t>solicita a Perú:</w:t>
      </w:r>
      <w:r w:rsidRPr="00750048">
        <w:rPr>
          <w:rFonts w:ascii="Cambria" w:hAnsi="Cambria"/>
          <w:sz w:val="21"/>
          <w:szCs w:val="21"/>
          <w:lang w:val="es-ES_tradnl"/>
        </w:rPr>
        <w:t xml:space="preserve"> a) </w:t>
      </w:r>
      <w:r w:rsidR="00D91611" w:rsidRPr="00750048">
        <w:rPr>
          <w:rFonts w:ascii="Cambria" w:hAnsi="Cambria"/>
          <w:sz w:val="21"/>
          <w:szCs w:val="21"/>
          <w:lang w:val="es-MX"/>
        </w:rPr>
        <w:t xml:space="preserve">adopte las medidas necesarias para </w:t>
      </w:r>
      <w:r w:rsidR="002E50D6">
        <w:rPr>
          <w:rFonts w:ascii="Cambria" w:hAnsi="Cambria"/>
          <w:sz w:val="21"/>
          <w:szCs w:val="21"/>
          <w:lang w:val="es-MX"/>
        </w:rPr>
        <w:t xml:space="preserve">determinar la situación y paradero de </w:t>
      </w:r>
      <w:proofErr w:type="spellStart"/>
      <w:r w:rsidR="00170F76">
        <w:rPr>
          <w:rFonts w:ascii="Cambria" w:hAnsi="Cambria"/>
          <w:sz w:val="21"/>
          <w:szCs w:val="21"/>
          <w:lang w:val="es-ES_tradnl"/>
        </w:rPr>
        <w:t>Ná</w:t>
      </w:r>
      <w:r w:rsidR="002E50D6">
        <w:rPr>
          <w:rFonts w:ascii="Cambria" w:hAnsi="Cambria"/>
          <w:sz w:val="21"/>
          <w:szCs w:val="21"/>
          <w:lang w:val="es-ES_tradnl"/>
        </w:rPr>
        <w:t>thaly</w:t>
      </w:r>
      <w:proofErr w:type="spellEnd"/>
      <w:r w:rsidR="002E50D6">
        <w:rPr>
          <w:rFonts w:ascii="Cambria" w:hAnsi="Cambria"/>
          <w:sz w:val="21"/>
          <w:szCs w:val="21"/>
          <w:lang w:val="es-ES_tradnl"/>
        </w:rPr>
        <w:t xml:space="preserve"> Sara Salazar Ayala y b</w:t>
      </w:r>
      <w:r w:rsidRPr="009C5881">
        <w:rPr>
          <w:rFonts w:ascii="Cambria" w:hAnsi="Cambria"/>
          <w:sz w:val="21"/>
          <w:szCs w:val="21"/>
          <w:lang w:val="es-ES_tradnl"/>
        </w:rPr>
        <w:t xml:space="preserve">) informe sobre las acciones </w:t>
      </w:r>
      <w:r w:rsidR="00A46838" w:rsidRPr="009C5881">
        <w:rPr>
          <w:rFonts w:ascii="Cambria" w:hAnsi="Cambria"/>
          <w:sz w:val="21"/>
          <w:szCs w:val="21"/>
          <w:lang w:val="es-ES_tradnl"/>
        </w:rPr>
        <w:t>adelantadas</w:t>
      </w:r>
      <w:r w:rsidRPr="009C5881">
        <w:rPr>
          <w:rFonts w:ascii="Cambria" w:hAnsi="Cambria"/>
          <w:sz w:val="21"/>
          <w:szCs w:val="21"/>
          <w:lang w:val="es-ES_tradnl"/>
        </w:rPr>
        <w:t xml:space="preserve"> a fin de investigar los presuntos hechos que dieron lugar a la adopción</w:t>
      </w:r>
      <w:r w:rsidR="00A46838" w:rsidRPr="009C5881">
        <w:rPr>
          <w:rFonts w:ascii="Cambria" w:hAnsi="Cambria"/>
          <w:sz w:val="21"/>
          <w:szCs w:val="21"/>
          <w:lang w:val="es-ES_tradnl"/>
        </w:rPr>
        <w:t xml:space="preserve"> de la presente resolución y así evitar su repetición.</w:t>
      </w:r>
    </w:p>
    <w:p w:rsidR="00A46838" w:rsidRPr="00750048" w:rsidRDefault="00A46838" w:rsidP="00A94D9B">
      <w:pPr>
        <w:jc w:val="both"/>
        <w:rPr>
          <w:rFonts w:ascii="Cambria" w:hAnsi="Cambria"/>
          <w:sz w:val="21"/>
          <w:szCs w:val="21"/>
          <w:lang w:val="es-ES_tradnl"/>
        </w:rPr>
      </w:pPr>
    </w:p>
    <w:p w:rsidR="00A46838" w:rsidRPr="00750048" w:rsidRDefault="00A46838" w:rsidP="004E61D7">
      <w:pPr>
        <w:pStyle w:val="ListParagraph"/>
        <w:numPr>
          <w:ilvl w:val="0"/>
          <w:numId w:val="2"/>
        </w:numPr>
        <w:ind w:left="540" w:firstLine="0"/>
        <w:jc w:val="both"/>
        <w:rPr>
          <w:rFonts w:ascii="Cambria" w:hAnsi="Cambria"/>
          <w:b/>
          <w:sz w:val="21"/>
          <w:szCs w:val="21"/>
          <w:lang w:val="es-ES_tradnl"/>
        </w:rPr>
      </w:pPr>
      <w:r w:rsidRPr="00750048">
        <w:rPr>
          <w:rFonts w:ascii="Cambria" w:hAnsi="Cambria"/>
          <w:b/>
          <w:sz w:val="21"/>
          <w:szCs w:val="21"/>
          <w:lang w:val="es-ES_tradnl"/>
        </w:rPr>
        <w:t xml:space="preserve">RESUMEN DE LOS HECHOS Y ARGUMENTOS APORTADOS POR </w:t>
      </w:r>
      <w:r w:rsidR="002C269C">
        <w:rPr>
          <w:rFonts w:ascii="Cambria" w:hAnsi="Cambria"/>
          <w:b/>
          <w:sz w:val="21"/>
          <w:szCs w:val="21"/>
          <w:lang w:val="es-ES_tradnl"/>
        </w:rPr>
        <w:t>LOS SOLICITANTES</w:t>
      </w:r>
    </w:p>
    <w:p w:rsidR="00A46838" w:rsidRPr="00750048" w:rsidRDefault="00A46838" w:rsidP="00A94D9B">
      <w:pPr>
        <w:jc w:val="both"/>
        <w:rPr>
          <w:rFonts w:ascii="Cambria" w:hAnsi="Cambria"/>
          <w:sz w:val="21"/>
          <w:szCs w:val="21"/>
          <w:lang w:val="es-ES_tradnl"/>
        </w:rPr>
      </w:pPr>
    </w:p>
    <w:p w:rsidR="00A46838" w:rsidRPr="00750048" w:rsidRDefault="00BF7D6A" w:rsidP="00A94D9B">
      <w:pPr>
        <w:pStyle w:val="ListParagraph"/>
        <w:numPr>
          <w:ilvl w:val="0"/>
          <w:numId w:val="3"/>
        </w:numPr>
        <w:ind w:left="0" w:firstLine="360"/>
        <w:jc w:val="both"/>
        <w:rPr>
          <w:rFonts w:ascii="Cambria" w:hAnsi="Cambria"/>
          <w:b/>
          <w:sz w:val="21"/>
          <w:szCs w:val="21"/>
          <w:lang w:val="es-ES_tradnl"/>
        </w:rPr>
      </w:pPr>
      <w:r w:rsidRPr="00750048">
        <w:rPr>
          <w:rFonts w:ascii="Cambria" w:hAnsi="Cambria"/>
          <w:b/>
          <w:sz w:val="21"/>
          <w:szCs w:val="21"/>
          <w:lang w:val="es-ES_tradnl"/>
        </w:rPr>
        <w:t>Informaci</w:t>
      </w:r>
      <w:r w:rsidR="00465068">
        <w:rPr>
          <w:rFonts w:ascii="Cambria" w:hAnsi="Cambria"/>
          <w:b/>
          <w:sz w:val="21"/>
          <w:szCs w:val="21"/>
          <w:lang w:val="es-ES_tradnl"/>
        </w:rPr>
        <w:t>ón aportada por la solicitante</w:t>
      </w:r>
    </w:p>
    <w:p w:rsidR="00057A18" w:rsidRPr="00750048" w:rsidRDefault="00057A18" w:rsidP="00057A18">
      <w:pPr>
        <w:rPr>
          <w:rFonts w:ascii="Cambria" w:hAnsi="Cambria"/>
          <w:sz w:val="21"/>
          <w:szCs w:val="21"/>
          <w:lang w:val="es-ES_tradnl"/>
        </w:rPr>
      </w:pPr>
    </w:p>
    <w:p w:rsidR="009C5881" w:rsidRPr="00204EE9" w:rsidRDefault="008F6632" w:rsidP="002C269C">
      <w:pPr>
        <w:pStyle w:val="ListParagraph"/>
        <w:numPr>
          <w:ilvl w:val="0"/>
          <w:numId w:val="1"/>
        </w:numPr>
        <w:ind w:left="0" w:firstLine="360"/>
        <w:jc w:val="both"/>
        <w:rPr>
          <w:rFonts w:ascii="Cambria" w:eastAsia="Calibri" w:hAnsi="Cambria" w:cs="Times New Roman"/>
          <w:sz w:val="18"/>
          <w:szCs w:val="21"/>
          <w:lang w:val="es-CO"/>
        </w:rPr>
      </w:pPr>
      <w:r>
        <w:rPr>
          <w:rFonts w:ascii="Cambria" w:eastAsia="Calibri" w:hAnsi="Cambria" w:cs="Times New Roman"/>
          <w:sz w:val="21"/>
          <w:szCs w:val="21"/>
          <w:lang w:val="es-CO"/>
        </w:rPr>
        <w:t xml:space="preserve">De acuerdo con la solicitud, la propuesta beneficiaria habría desaparecido el 02 de enero de 2018 tras haber realizado el deporte </w:t>
      </w:r>
      <w:r w:rsidRPr="00F22189">
        <w:rPr>
          <w:rFonts w:ascii="Cambria" w:eastAsia="Calibri" w:hAnsi="Cambria" w:cs="Times New Roman"/>
          <w:i/>
          <w:sz w:val="21"/>
          <w:szCs w:val="21"/>
          <w:lang w:val="es-CO"/>
        </w:rPr>
        <w:t>Zip Lineal</w:t>
      </w:r>
      <w:r>
        <w:rPr>
          <w:rFonts w:ascii="Cambria" w:eastAsia="Calibri" w:hAnsi="Cambria" w:cs="Times New Roman"/>
          <w:sz w:val="21"/>
          <w:szCs w:val="21"/>
          <w:lang w:val="es-CO"/>
        </w:rPr>
        <w:t xml:space="preserve"> (</w:t>
      </w:r>
      <w:proofErr w:type="spellStart"/>
      <w:r>
        <w:rPr>
          <w:rFonts w:ascii="Cambria" w:eastAsia="Calibri" w:hAnsi="Cambria" w:cs="Times New Roman"/>
          <w:sz w:val="21"/>
          <w:szCs w:val="21"/>
          <w:lang w:val="es-CO"/>
        </w:rPr>
        <w:t>tirolina</w:t>
      </w:r>
      <w:proofErr w:type="spellEnd"/>
      <w:r>
        <w:rPr>
          <w:rFonts w:ascii="Cambria" w:eastAsia="Calibri" w:hAnsi="Cambria" w:cs="Times New Roman"/>
          <w:sz w:val="21"/>
          <w:szCs w:val="21"/>
          <w:lang w:val="es-CO"/>
        </w:rPr>
        <w:t xml:space="preserve">) con el objetivo de contemplar el Valle Sagrado de los Incas. La solicitante informó que dos personas se encuentran detenidas luego de declarar que la propuesta beneficiaria </w:t>
      </w:r>
      <w:r w:rsidR="00794E2F">
        <w:rPr>
          <w:rFonts w:ascii="Cambria" w:eastAsia="Calibri" w:hAnsi="Cambria" w:cs="Times New Roman"/>
          <w:sz w:val="21"/>
          <w:szCs w:val="21"/>
          <w:lang w:val="es-CO"/>
        </w:rPr>
        <w:t xml:space="preserve">presuntamente murió </w:t>
      </w:r>
      <w:r>
        <w:rPr>
          <w:rFonts w:ascii="Cambria" w:eastAsia="Calibri" w:hAnsi="Cambria" w:cs="Times New Roman"/>
          <w:sz w:val="21"/>
          <w:szCs w:val="21"/>
          <w:lang w:val="es-CO"/>
        </w:rPr>
        <w:t xml:space="preserve">practicando el deporte y que, por temor a posibles repercusiones su cadáver </w:t>
      </w:r>
      <w:r w:rsidR="00B4659F">
        <w:rPr>
          <w:rFonts w:ascii="Cambria" w:eastAsia="Calibri" w:hAnsi="Cambria" w:cs="Times New Roman"/>
          <w:sz w:val="21"/>
          <w:szCs w:val="21"/>
          <w:lang w:val="es-CO"/>
        </w:rPr>
        <w:t>habría</w:t>
      </w:r>
      <w:r>
        <w:rPr>
          <w:rFonts w:ascii="Cambria" w:eastAsia="Calibri" w:hAnsi="Cambria" w:cs="Times New Roman"/>
          <w:sz w:val="21"/>
          <w:szCs w:val="21"/>
          <w:lang w:val="es-CO"/>
        </w:rPr>
        <w:t xml:space="preserve"> sido arrojado al rio Vilcanota-Urubamba a la altura de la Torre de</w:t>
      </w:r>
      <w:r w:rsidR="00B4659F">
        <w:rPr>
          <w:rFonts w:ascii="Cambria" w:eastAsia="Calibri" w:hAnsi="Cambria" w:cs="Times New Roman"/>
          <w:sz w:val="21"/>
          <w:szCs w:val="21"/>
          <w:lang w:val="es-CO"/>
        </w:rPr>
        <w:t xml:space="preserve"> Energía </w:t>
      </w:r>
      <w:proofErr w:type="spellStart"/>
      <w:r w:rsidR="00B4659F">
        <w:rPr>
          <w:rFonts w:ascii="Cambria" w:eastAsia="Calibri" w:hAnsi="Cambria" w:cs="Times New Roman"/>
          <w:sz w:val="21"/>
          <w:szCs w:val="21"/>
          <w:lang w:val="es-CO"/>
        </w:rPr>
        <w:t>Macchupic</w:t>
      </w:r>
      <w:r w:rsidR="00D10592">
        <w:rPr>
          <w:rFonts w:ascii="Cambria" w:eastAsia="Calibri" w:hAnsi="Cambria" w:cs="Times New Roman"/>
          <w:sz w:val="21"/>
          <w:szCs w:val="21"/>
          <w:lang w:val="es-CO"/>
        </w:rPr>
        <w:t>c</w:t>
      </w:r>
      <w:r w:rsidR="00B4659F">
        <w:rPr>
          <w:rFonts w:ascii="Cambria" w:eastAsia="Calibri" w:hAnsi="Cambria" w:cs="Times New Roman"/>
          <w:sz w:val="21"/>
          <w:szCs w:val="21"/>
          <w:lang w:val="es-CO"/>
        </w:rPr>
        <w:t>h</w:t>
      </w:r>
      <w:r w:rsidR="00D10592">
        <w:rPr>
          <w:rFonts w:ascii="Cambria" w:eastAsia="Calibri" w:hAnsi="Cambria" w:cs="Times New Roman"/>
          <w:sz w:val="21"/>
          <w:szCs w:val="21"/>
          <w:lang w:val="es-CO"/>
        </w:rPr>
        <w:t>u</w:t>
      </w:r>
      <w:proofErr w:type="spellEnd"/>
      <w:r w:rsidR="00B4659F">
        <w:rPr>
          <w:rFonts w:ascii="Cambria" w:eastAsia="Calibri" w:hAnsi="Cambria" w:cs="Times New Roman"/>
          <w:sz w:val="21"/>
          <w:szCs w:val="21"/>
          <w:lang w:val="es-CO"/>
        </w:rPr>
        <w:t xml:space="preserve"> </w:t>
      </w:r>
      <w:proofErr w:type="spellStart"/>
      <w:r w:rsidR="00B4659F">
        <w:rPr>
          <w:rFonts w:ascii="Cambria" w:eastAsia="Calibri" w:hAnsi="Cambria" w:cs="Times New Roman"/>
          <w:sz w:val="21"/>
          <w:szCs w:val="21"/>
          <w:lang w:val="es-CO"/>
        </w:rPr>
        <w:t>Cachimayo</w:t>
      </w:r>
      <w:proofErr w:type="spellEnd"/>
      <w:r w:rsidR="00B4659F">
        <w:rPr>
          <w:rFonts w:ascii="Cambria" w:eastAsia="Calibri" w:hAnsi="Cambria" w:cs="Times New Roman"/>
          <w:sz w:val="21"/>
          <w:szCs w:val="21"/>
          <w:lang w:val="es-CO"/>
        </w:rPr>
        <w:t xml:space="preserve">. </w:t>
      </w:r>
      <w:r w:rsidR="00D10592">
        <w:rPr>
          <w:rFonts w:ascii="Cambria" w:eastAsia="Calibri" w:hAnsi="Cambria" w:cs="Times New Roman"/>
          <w:sz w:val="21"/>
          <w:szCs w:val="21"/>
          <w:lang w:val="es-CO"/>
        </w:rPr>
        <w:t xml:space="preserve">La solicitante señaló que las versiones de las </w:t>
      </w:r>
      <w:r w:rsidR="004F450F">
        <w:rPr>
          <w:rFonts w:ascii="Cambria" w:eastAsia="Calibri" w:hAnsi="Cambria" w:cs="Times New Roman"/>
          <w:sz w:val="21"/>
          <w:szCs w:val="21"/>
          <w:lang w:val="es-CO"/>
        </w:rPr>
        <w:t>personas</w:t>
      </w:r>
      <w:r w:rsidR="00D10592">
        <w:rPr>
          <w:rFonts w:ascii="Cambria" w:eastAsia="Calibri" w:hAnsi="Cambria" w:cs="Times New Roman"/>
          <w:sz w:val="21"/>
          <w:szCs w:val="21"/>
          <w:lang w:val="es-CO"/>
        </w:rPr>
        <w:t xml:space="preserve"> referidas serían contradictorias</w:t>
      </w:r>
      <w:r w:rsidR="004F450F">
        <w:rPr>
          <w:rFonts w:ascii="Cambria" w:eastAsia="Calibri" w:hAnsi="Cambria" w:cs="Times New Roman"/>
          <w:sz w:val="21"/>
          <w:szCs w:val="21"/>
          <w:lang w:val="es-CO"/>
        </w:rPr>
        <w:t xml:space="preserve"> y que no se encontrarían indicios de accidente en las instalaciones de la actividad. </w:t>
      </w:r>
      <w:r w:rsidR="00B4659F">
        <w:rPr>
          <w:rFonts w:ascii="Cambria" w:eastAsia="Calibri" w:hAnsi="Cambria" w:cs="Times New Roman"/>
          <w:sz w:val="21"/>
          <w:szCs w:val="21"/>
          <w:lang w:val="es-CO"/>
        </w:rPr>
        <w:t>Ante la ausencia de rastros del alegado accidente, la solicitante presentó la presente solicitud de medidas cautelares.</w:t>
      </w:r>
    </w:p>
    <w:p w:rsidR="00494B07" w:rsidRDefault="00494B07" w:rsidP="00204EE9">
      <w:pPr>
        <w:pStyle w:val="ListParagraph"/>
        <w:ind w:left="360"/>
        <w:jc w:val="both"/>
        <w:rPr>
          <w:rFonts w:ascii="Cambria" w:eastAsia="Calibri" w:hAnsi="Cambria" w:cs="Times New Roman"/>
          <w:sz w:val="21"/>
          <w:szCs w:val="21"/>
          <w:lang w:val="es-CO"/>
        </w:rPr>
      </w:pPr>
    </w:p>
    <w:p w:rsidR="002849CA" w:rsidRDefault="00B4659F" w:rsidP="00596C8F">
      <w:pPr>
        <w:pStyle w:val="ListParagraph"/>
        <w:numPr>
          <w:ilvl w:val="0"/>
          <w:numId w:val="1"/>
        </w:numPr>
        <w:ind w:left="0" w:firstLine="450"/>
        <w:jc w:val="both"/>
        <w:rPr>
          <w:rFonts w:ascii="Cambria" w:eastAsia="Calibri" w:hAnsi="Cambria" w:cs="Times New Roman"/>
          <w:sz w:val="21"/>
          <w:szCs w:val="21"/>
          <w:lang w:val="es-CO"/>
        </w:rPr>
      </w:pPr>
      <w:r w:rsidRPr="00596C8F">
        <w:rPr>
          <w:rFonts w:ascii="Cambria" w:eastAsia="Calibri" w:hAnsi="Cambria" w:cs="Times New Roman"/>
          <w:sz w:val="21"/>
          <w:szCs w:val="21"/>
          <w:lang w:val="es-CO"/>
        </w:rPr>
        <w:t xml:space="preserve">El 11 de marzo de 2018, la solicitante aportó </w:t>
      </w:r>
      <w:r w:rsidR="00596C8F" w:rsidRPr="00596C8F">
        <w:rPr>
          <w:rFonts w:ascii="Cambria" w:eastAsia="Calibri" w:hAnsi="Cambria" w:cs="Times New Roman"/>
          <w:sz w:val="21"/>
          <w:szCs w:val="21"/>
          <w:lang w:val="es-CO"/>
        </w:rPr>
        <w:t>un</w:t>
      </w:r>
      <w:r w:rsidRPr="00596C8F">
        <w:rPr>
          <w:rFonts w:ascii="Cambria" w:eastAsia="Calibri" w:hAnsi="Cambria" w:cs="Times New Roman"/>
          <w:sz w:val="21"/>
          <w:szCs w:val="21"/>
          <w:lang w:val="es-CO"/>
        </w:rPr>
        <w:t xml:space="preserve"> informe sobre los avances de la investigación. En </w:t>
      </w:r>
      <w:r w:rsidR="004F450F">
        <w:rPr>
          <w:rFonts w:ascii="Cambria" w:eastAsia="Calibri" w:hAnsi="Cambria" w:cs="Times New Roman"/>
          <w:sz w:val="21"/>
          <w:szCs w:val="21"/>
          <w:lang w:val="es-CO"/>
        </w:rPr>
        <w:t>dicha comunicación</w:t>
      </w:r>
      <w:r w:rsidRPr="00596C8F">
        <w:rPr>
          <w:rFonts w:ascii="Cambria" w:eastAsia="Calibri" w:hAnsi="Cambria" w:cs="Times New Roman"/>
          <w:sz w:val="21"/>
          <w:szCs w:val="21"/>
          <w:lang w:val="es-CO"/>
        </w:rPr>
        <w:t xml:space="preserve">, la solicitante </w:t>
      </w:r>
      <w:r w:rsidR="004F450F">
        <w:rPr>
          <w:rFonts w:ascii="Cambria" w:eastAsia="Calibri" w:hAnsi="Cambria" w:cs="Times New Roman"/>
          <w:sz w:val="21"/>
          <w:szCs w:val="21"/>
          <w:lang w:val="es-CO"/>
        </w:rPr>
        <w:t>indicó</w:t>
      </w:r>
      <w:r w:rsidR="004F450F" w:rsidRPr="00596C8F">
        <w:rPr>
          <w:rFonts w:ascii="Cambria" w:eastAsia="Calibri" w:hAnsi="Cambria" w:cs="Times New Roman"/>
          <w:sz w:val="21"/>
          <w:szCs w:val="21"/>
          <w:lang w:val="es-CO"/>
        </w:rPr>
        <w:t xml:space="preserve"> </w:t>
      </w:r>
      <w:r w:rsidRPr="00596C8F">
        <w:rPr>
          <w:rFonts w:ascii="Cambria" w:eastAsia="Calibri" w:hAnsi="Cambria" w:cs="Times New Roman"/>
          <w:sz w:val="21"/>
          <w:szCs w:val="21"/>
          <w:lang w:val="es-CO"/>
        </w:rPr>
        <w:t>que</w:t>
      </w:r>
      <w:r w:rsidR="00596C8F" w:rsidRPr="00596C8F">
        <w:rPr>
          <w:rFonts w:ascii="Cambria" w:eastAsia="Calibri" w:hAnsi="Cambria" w:cs="Times New Roman"/>
          <w:sz w:val="21"/>
          <w:szCs w:val="21"/>
          <w:lang w:val="es-CO"/>
        </w:rPr>
        <w:t xml:space="preserve"> la propuesta beneficiaria “[…] no se encuentra </w:t>
      </w:r>
      <w:r w:rsidR="00596C8F" w:rsidRPr="00596C8F">
        <w:rPr>
          <w:rFonts w:ascii="Cambria" w:eastAsia="Calibri" w:hAnsi="Cambria" w:cs="Times New Roman"/>
          <w:sz w:val="21"/>
          <w:szCs w:val="21"/>
          <w:lang w:val="es-CO"/>
        </w:rPr>
        <w:lastRenderedPageBreak/>
        <w:t xml:space="preserve">registrada en el Archivo y Libro de Toma de Razón de la División de Investigación y Búsqueda de Personas Desaparecidas, ni tampoco aparece en la página web </w:t>
      </w:r>
      <w:r w:rsidR="00794E2F">
        <w:rPr>
          <w:rFonts w:ascii="Cambria" w:eastAsia="Calibri" w:hAnsi="Cambria" w:cs="Times New Roman"/>
          <w:sz w:val="21"/>
          <w:szCs w:val="21"/>
          <w:lang w:val="es-CO"/>
        </w:rPr>
        <w:t>“</w:t>
      </w:r>
      <w:r w:rsidR="00596C8F" w:rsidRPr="00596C8F">
        <w:rPr>
          <w:rFonts w:ascii="Cambria" w:eastAsia="Calibri" w:hAnsi="Cambria" w:cs="Times New Roman"/>
          <w:sz w:val="21"/>
          <w:szCs w:val="21"/>
          <w:lang w:val="es-CO"/>
        </w:rPr>
        <w:t>peruanosdesaparecidos.org</w:t>
      </w:r>
      <w:r w:rsidR="00794E2F">
        <w:rPr>
          <w:rFonts w:ascii="Cambria" w:eastAsia="Calibri" w:hAnsi="Cambria" w:cs="Times New Roman"/>
          <w:sz w:val="21"/>
          <w:szCs w:val="21"/>
          <w:lang w:val="es-CO"/>
        </w:rPr>
        <w:t>”</w:t>
      </w:r>
      <w:r w:rsidR="00596C8F" w:rsidRPr="00596C8F">
        <w:rPr>
          <w:rFonts w:ascii="Cambria" w:eastAsia="Calibri" w:hAnsi="Cambria" w:cs="Times New Roman"/>
          <w:sz w:val="21"/>
          <w:szCs w:val="21"/>
          <w:lang w:val="es-CO"/>
        </w:rPr>
        <w:t xml:space="preserve">, por lo cual </w:t>
      </w:r>
      <w:r w:rsidR="004E61D7">
        <w:rPr>
          <w:rFonts w:ascii="Cambria" w:eastAsia="Calibri" w:hAnsi="Cambria" w:cs="Times New Roman"/>
          <w:sz w:val="21"/>
          <w:szCs w:val="21"/>
          <w:lang w:val="es-CO"/>
        </w:rPr>
        <w:t xml:space="preserve">alegó que </w:t>
      </w:r>
      <w:r w:rsidR="00596C8F" w:rsidRPr="00596C8F">
        <w:rPr>
          <w:rFonts w:ascii="Cambria" w:eastAsia="Calibri" w:hAnsi="Cambria" w:cs="Times New Roman"/>
          <w:sz w:val="21"/>
          <w:szCs w:val="21"/>
          <w:lang w:val="es-CO"/>
        </w:rPr>
        <w:t>no se ha cumplido con el protocolo de desaparición al no alerta</w:t>
      </w:r>
      <w:r w:rsidR="00F22189">
        <w:rPr>
          <w:rFonts w:ascii="Cambria" w:eastAsia="Calibri" w:hAnsi="Cambria" w:cs="Times New Roman"/>
          <w:sz w:val="21"/>
          <w:szCs w:val="21"/>
          <w:lang w:val="es-CO"/>
        </w:rPr>
        <w:t>r</w:t>
      </w:r>
      <w:r w:rsidR="00596C8F" w:rsidRPr="00596C8F">
        <w:rPr>
          <w:rFonts w:ascii="Cambria" w:eastAsia="Calibri" w:hAnsi="Cambria" w:cs="Times New Roman"/>
          <w:sz w:val="21"/>
          <w:szCs w:val="21"/>
          <w:lang w:val="es-CO"/>
        </w:rPr>
        <w:t xml:space="preserve"> y remitir la</w:t>
      </w:r>
      <w:r w:rsidR="00F22189">
        <w:rPr>
          <w:rFonts w:ascii="Cambria" w:eastAsia="Calibri" w:hAnsi="Cambria" w:cs="Times New Roman"/>
          <w:sz w:val="21"/>
          <w:szCs w:val="21"/>
          <w:lang w:val="es-CO"/>
        </w:rPr>
        <w:t xml:space="preserve"> respectiva</w:t>
      </w:r>
      <w:r w:rsidR="00596C8F" w:rsidRPr="00596C8F">
        <w:rPr>
          <w:rFonts w:ascii="Cambria" w:eastAsia="Calibri" w:hAnsi="Cambria" w:cs="Times New Roman"/>
          <w:sz w:val="21"/>
          <w:szCs w:val="21"/>
          <w:lang w:val="es-CO"/>
        </w:rPr>
        <w:t xml:space="preserve"> nota de Alerta Policial por parte de la Unidad de Desaparecidos […]”</w:t>
      </w:r>
      <w:r w:rsidR="00596C8F">
        <w:rPr>
          <w:rFonts w:ascii="Cambria" w:eastAsia="Calibri" w:hAnsi="Cambria" w:cs="Times New Roman"/>
          <w:sz w:val="21"/>
          <w:szCs w:val="21"/>
          <w:lang w:val="es-CO"/>
        </w:rPr>
        <w:t xml:space="preserve"> y que dicha Unidad de Desaparecidos en Cusco no habría aceptado de forma inmediata la denuncia de desaparición de la propuesta beneficiaria, habiendo tardado 7 </w:t>
      </w:r>
      <w:r w:rsidR="00335FB0">
        <w:rPr>
          <w:rFonts w:ascii="Cambria" w:eastAsia="Calibri" w:hAnsi="Cambria" w:cs="Times New Roman"/>
          <w:sz w:val="21"/>
          <w:szCs w:val="21"/>
          <w:lang w:val="es-CO"/>
        </w:rPr>
        <w:t>días</w:t>
      </w:r>
      <w:r w:rsidR="00596C8F">
        <w:rPr>
          <w:rFonts w:ascii="Cambria" w:eastAsia="Calibri" w:hAnsi="Cambria" w:cs="Times New Roman"/>
          <w:sz w:val="21"/>
          <w:szCs w:val="21"/>
          <w:lang w:val="es-CO"/>
        </w:rPr>
        <w:t xml:space="preserve"> para empezar los labores de investigación y búsqueda.  </w:t>
      </w:r>
    </w:p>
    <w:p w:rsidR="00596C8F" w:rsidRPr="00596C8F" w:rsidRDefault="00596C8F" w:rsidP="00596C8F">
      <w:pPr>
        <w:jc w:val="both"/>
        <w:rPr>
          <w:rFonts w:ascii="Cambria" w:eastAsia="Calibri" w:hAnsi="Cambria" w:cs="Times New Roman"/>
          <w:sz w:val="21"/>
          <w:szCs w:val="21"/>
          <w:lang w:val="es-CO"/>
        </w:rPr>
      </w:pPr>
    </w:p>
    <w:p w:rsidR="00567927" w:rsidRDefault="004F450F" w:rsidP="002C269C">
      <w:pPr>
        <w:pStyle w:val="ListParagraph"/>
        <w:numPr>
          <w:ilvl w:val="0"/>
          <w:numId w:val="1"/>
        </w:numPr>
        <w:ind w:left="0" w:firstLine="360"/>
        <w:jc w:val="both"/>
        <w:rPr>
          <w:rFonts w:ascii="Cambria" w:eastAsia="Calibri" w:hAnsi="Cambria" w:cs="Times New Roman"/>
          <w:sz w:val="21"/>
          <w:szCs w:val="21"/>
          <w:lang w:val="es-CO"/>
        </w:rPr>
      </w:pPr>
      <w:r>
        <w:rPr>
          <w:rFonts w:ascii="Cambria" w:eastAsia="Calibri" w:hAnsi="Cambria" w:cs="Times New Roman"/>
          <w:sz w:val="21"/>
          <w:szCs w:val="21"/>
          <w:lang w:val="es-CO"/>
        </w:rPr>
        <w:t>L</w:t>
      </w:r>
      <w:r w:rsidR="00596C8F">
        <w:rPr>
          <w:rFonts w:ascii="Cambria" w:eastAsia="Calibri" w:hAnsi="Cambria" w:cs="Times New Roman"/>
          <w:sz w:val="21"/>
          <w:szCs w:val="21"/>
          <w:lang w:val="es-CO"/>
        </w:rPr>
        <w:t xml:space="preserve">a solicitante </w:t>
      </w:r>
      <w:r>
        <w:rPr>
          <w:rFonts w:ascii="Cambria" w:eastAsia="Calibri" w:hAnsi="Cambria" w:cs="Times New Roman"/>
          <w:sz w:val="21"/>
          <w:szCs w:val="21"/>
          <w:lang w:val="es-CO"/>
        </w:rPr>
        <w:t xml:space="preserve">alegó </w:t>
      </w:r>
      <w:r w:rsidR="00567927">
        <w:rPr>
          <w:rFonts w:ascii="Cambria" w:eastAsia="Calibri" w:hAnsi="Cambria" w:cs="Times New Roman"/>
          <w:sz w:val="21"/>
          <w:szCs w:val="21"/>
          <w:lang w:val="es-CO"/>
        </w:rPr>
        <w:t xml:space="preserve">negligencia </w:t>
      </w:r>
      <w:r>
        <w:rPr>
          <w:rFonts w:ascii="Cambria" w:eastAsia="Calibri" w:hAnsi="Cambria" w:cs="Times New Roman"/>
          <w:sz w:val="21"/>
          <w:szCs w:val="21"/>
          <w:lang w:val="es-CO"/>
        </w:rPr>
        <w:t>en</w:t>
      </w:r>
      <w:r w:rsidR="00567927">
        <w:rPr>
          <w:rFonts w:ascii="Cambria" w:eastAsia="Calibri" w:hAnsi="Cambria" w:cs="Times New Roman"/>
          <w:sz w:val="21"/>
          <w:szCs w:val="21"/>
          <w:lang w:val="es-CO"/>
        </w:rPr>
        <w:t xml:space="preserve"> la investigación </w:t>
      </w:r>
      <w:r w:rsidR="00794E2F">
        <w:rPr>
          <w:rFonts w:ascii="Cambria" w:eastAsia="Calibri" w:hAnsi="Cambria" w:cs="Times New Roman"/>
          <w:sz w:val="21"/>
          <w:szCs w:val="21"/>
          <w:lang w:val="es-CO"/>
        </w:rPr>
        <w:t xml:space="preserve">sobre lo ocurrido con </w:t>
      </w:r>
      <w:r w:rsidR="00567927">
        <w:rPr>
          <w:rFonts w:ascii="Cambria" w:eastAsia="Calibri" w:hAnsi="Cambria" w:cs="Times New Roman"/>
          <w:sz w:val="21"/>
          <w:szCs w:val="21"/>
          <w:lang w:val="es-CO"/>
        </w:rPr>
        <w:t>la propuesta beneficiaria</w:t>
      </w:r>
      <w:r w:rsidR="0030583C">
        <w:rPr>
          <w:rFonts w:ascii="Cambria" w:eastAsia="Calibri" w:hAnsi="Cambria" w:cs="Times New Roman"/>
          <w:sz w:val="21"/>
          <w:szCs w:val="21"/>
          <w:lang w:val="es-CO"/>
        </w:rPr>
        <w:t xml:space="preserve"> e indicó </w:t>
      </w:r>
      <w:r w:rsidR="00567927">
        <w:rPr>
          <w:rFonts w:ascii="Cambria" w:eastAsia="Calibri" w:hAnsi="Cambria" w:cs="Times New Roman"/>
          <w:sz w:val="21"/>
          <w:szCs w:val="21"/>
          <w:lang w:val="es-CO"/>
        </w:rPr>
        <w:t xml:space="preserve">que el responsable de la Unidad de Desaparecidos de Cusco habría </w:t>
      </w:r>
      <w:r w:rsidR="0030583C">
        <w:rPr>
          <w:rFonts w:ascii="Cambria" w:eastAsia="Calibri" w:hAnsi="Cambria" w:cs="Times New Roman"/>
          <w:sz w:val="21"/>
          <w:szCs w:val="21"/>
          <w:lang w:val="es-CO"/>
        </w:rPr>
        <w:t xml:space="preserve">enviado a dos policías </w:t>
      </w:r>
      <w:r w:rsidR="00567927">
        <w:rPr>
          <w:rFonts w:ascii="Cambria" w:eastAsia="Calibri" w:hAnsi="Cambria" w:cs="Times New Roman"/>
          <w:sz w:val="21"/>
          <w:szCs w:val="21"/>
          <w:lang w:val="es-CO"/>
        </w:rPr>
        <w:t xml:space="preserve">al </w:t>
      </w:r>
      <w:r w:rsidR="00335FB0">
        <w:rPr>
          <w:rFonts w:ascii="Cambria" w:eastAsia="Calibri" w:hAnsi="Cambria" w:cs="Times New Roman"/>
          <w:sz w:val="21"/>
          <w:szCs w:val="21"/>
          <w:lang w:val="es-CO"/>
        </w:rPr>
        <w:t>lugar donde se habría hospedado la propuesta beneficiaria</w:t>
      </w:r>
      <w:r w:rsidR="00567927">
        <w:rPr>
          <w:rFonts w:ascii="Cambria" w:eastAsia="Calibri" w:hAnsi="Cambria" w:cs="Times New Roman"/>
          <w:sz w:val="21"/>
          <w:szCs w:val="21"/>
          <w:lang w:val="es-CO"/>
        </w:rPr>
        <w:t xml:space="preserve"> para “advertir” a los </w:t>
      </w:r>
      <w:r w:rsidR="0030583C">
        <w:rPr>
          <w:rFonts w:ascii="Cambria" w:eastAsia="Calibri" w:hAnsi="Cambria" w:cs="Times New Roman"/>
          <w:sz w:val="21"/>
          <w:szCs w:val="21"/>
          <w:lang w:val="es-CO"/>
        </w:rPr>
        <w:t>empleados del mismo “</w:t>
      </w:r>
      <w:r w:rsidR="00567927">
        <w:rPr>
          <w:rFonts w:ascii="Cambria" w:eastAsia="Calibri" w:hAnsi="Cambria" w:cs="Times New Roman"/>
          <w:sz w:val="21"/>
          <w:szCs w:val="21"/>
          <w:lang w:val="es-CO"/>
        </w:rPr>
        <w:t xml:space="preserve">que no </w:t>
      </w:r>
      <w:r w:rsidR="0030583C">
        <w:rPr>
          <w:rFonts w:ascii="Cambria" w:eastAsia="Calibri" w:hAnsi="Cambria" w:cs="Times New Roman"/>
          <w:sz w:val="21"/>
          <w:szCs w:val="21"/>
          <w:lang w:val="es-CO"/>
        </w:rPr>
        <w:t xml:space="preserve">pueden colaborar en la búsqueda” de la propuesta beneficiaria </w:t>
      </w:r>
      <w:r w:rsidR="00567927">
        <w:rPr>
          <w:rFonts w:ascii="Cambria" w:eastAsia="Calibri" w:hAnsi="Cambria" w:cs="Times New Roman"/>
          <w:sz w:val="21"/>
          <w:szCs w:val="21"/>
          <w:lang w:val="es-CO"/>
        </w:rPr>
        <w:t xml:space="preserve">junto a </w:t>
      </w:r>
      <w:r w:rsidR="0030583C">
        <w:rPr>
          <w:rFonts w:ascii="Cambria" w:eastAsia="Calibri" w:hAnsi="Cambria" w:cs="Times New Roman"/>
          <w:sz w:val="21"/>
          <w:szCs w:val="21"/>
          <w:lang w:val="es-CO"/>
        </w:rPr>
        <w:t xml:space="preserve">sus </w:t>
      </w:r>
      <w:r w:rsidR="00567927">
        <w:rPr>
          <w:rFonts w:ascii="Cambria" w:eastAsia="Calibri" w:hAnsi="Cambria" w:cs="Times New Roman"/>
          <w:sz w:val="21"/>
          <w:szCs w:val="21"/>
          <w:lang w:val="es-CO"/>
        </w:rPr>
        <w:t>padres</w:t>
      </w:r>
      <w:r w:rsidR="0030583C">
        <w:rPr>
          <w:rFonts w:ascii="Cambria" w:eastAsia="Calibri" w:hAnsi="Cambria" w:cs="Times New Roman"/>
          <w:sz w:val="21"/>
          <w:szCs w:val="21"/>
          <w:lang w:val="es-CO"/>
        </w:rPr>
        <w:t xml:space="preserve">. </w:t>
      </w:r>
    </w:p>
    <w:p w:rsidR="00567927" w:rsidRPr="00567927" w:rsidRDefault="00567927" w:rsidP="00567927">
      <w:pPr>
        <w:pStyle w:val="ListParagraph"/>
        <w:rPr>
          <w:rFonts w:ascii="Cambria" w:eastAsia="Calibri" w:hAnsi="Cambria" w:cs="Times New Roman"/>
          <w:sz w:val="21"/>
          <w:szCs w:val="21"/>
          <w:lang w:val="es-CO"/>
        </w:rPr>
      </w:pPr>
    </w:p>
    <w:p w:rsidR="002849CA" w:rsidRDefault="0030583C" w:rsidP="002C269C">
      <w:pPr>
        <w:pStyle w:val="ListParagraph"/>
        <w:numPr>
          <w:ilvl w:val="0"/>
          <w:numId w:val="1"/>
        </w:numPr>
        <w:ind w:left="0" w:firstLine="360"/>
        <w:jc w:val="both"/>
        <w:rPr>
          <w:rFonts w:ascii="Cambria" w:eastAsia="Calibri" w:hAnsi="Cambria" w:cs="Times New Roman"/>
          <w:sz w:val="21"/>
          <w:szCs w:val="21"/>
          <w:lang w:val="es-CO"/>
        </w:rPr>
      </w:pPr>
      <w:r>
        <w:rPr>
          <w:rFonts w:ascii="Cambria" w:eastAsia="Calibri" w:hAnsi="Cambria" w:cs="Times New Roman"/>
          <w:sz w:val="21"/>
          <w:szCs w:val="21"/>
          <w:lang w:val="es-CO"/>
        </w:rPr>
        <w:t xml:space="preserve">Por último, la solicitante indicó que </w:t>
      </w:r>
      <w:r w:rsidR="00567927">
        <w:rPr>
          <w:rFonts w:ascii="Cambria" w:eastAsia="Calibri" w:hAnsi="Cambria" w:cs="Times New Roman"/>
          <w:sz w:val="21"/>
          <w:szCs w:val="21"/>
          <w:lang w:val="es-CO"/>
        </w:rPr>
        <w:t>el caso de la propuesta beneficiaria sigue sin resolverse y</w:t>
      </w:r>
      <w:r w:rsidR="00E71AD2">
        <w:rPr>
          <w:rFonts w:ascii="Cambria" w:eastAsia="Calibri" w:hAnsi="Cambria" w:cs="Times New Roman"/>
          <w:sz w:val="21"/>
          <w:szCs w:val="21"/>
          <w:lang w:val="es-CO"/>
        </w:rPr>
        <w:t xml:space="preserve"> que habría descartado la posibilidad de un accidente, así como que la investigación estaría en el Grupo de Homicidios</w:t>
      </w:r>
      <w:r w:rsidR="00AB2A3F">
        <w:rPr>
          <w:rFonts w:ascii="Cambria" w:eastAsia="Calibri" w:hAnsi="Cambria" w:cs="Times New Roman"/>
          <w:sz w:val="21"/>
          <w:szCs w:val="21"/>
          <w:lang w:val="es-CO"/>
        </w:rPr>
        <w:t>.</w:t>
      </w:r>
      <w:r w:rsidR="00567927">
        <w:rPr>
          <w:rFonts w:ascii="Cambria" w:eastAsia="Calibri" w:hAnsi="Cambria" w:cs="Times New Roman"/>
          <w:sz w:val="21"/>
          <w:szCs w:val="21"/>
          <w:lang w:val="es-CO"/>
        </w:rPr>
        <w:t xml:space="preserve">  </w:t>
      </w:r>
    </w:p>
    <w:p w:rsidR="00057A18" w:rsidRPr="00750048" w:rsidRDefault="00057A18" w:rsidP="006C08C0">
      <w:pPr>
        <w:rPr>
          <w:rFonts w:ascii="Cambria" w:eastAsia="Calibri" w:hAnsi="Cambria"/>
          <w:sz w:val="21"/>
          <w:szCs w:val="21"/>
          <w:lang w:val="es-CO"/>
        </w:rPr>
      </w:pPr>
    </w:p>
    <w:p w:rsidR="002840D0" w:rsidRPr="00750048" w:rsidRDefault="00A858AE" w:rsidP="00A94D9B">
      <w:pPr>
        <w:pStyle w:val="ListParagraph"/>
        <w:numPr>
          <w:ilvl w:val="0"/>
          <w:numId w:val="3"/>
        </w:numPr>
        <w:ind w:left="0" w:firstLine="360"/>
        <w:jc w:val="both"/>
        <w:rPr>
          <w:rFonts w:ascii="Cambria" w:eastAsia="Calibri" w:hAnsi="Cambria"/>
          <w:b/>
          <w:sz w:val="21"/>
          <w:szCs w:val="21"/>
          <w:lang w:val="es-ES_tradnl"/>
        </w:rPr>
      </w:pPr>
      <w:r w:rsidRPr="00750048">
        <w:rPr>
          <w:rFonts w:ascii="Cambria" w:eastAsia="Calibri" w:hAnsi="Cambria"/>
          <w:b/>
          <w:sz w:val="21"/>
          <w:szCs w:val="21"/>
          <w:lang w:val="es-ES_tradnl"/>
        </w:rPr>
        <w:t>Respuesta del Estado</w:t>
      </w:r>
    </w:p>
    <w:p w:rsidR="00A858AE" w:rsidRPr="00750048" w:rsidRDefault="00A858AE" w:rsidP="00A94D9B">
      <w:pPr>
        <w:jc w:val="both"/>
        <w:rPr>
          <w:rFonts w:ascii="Cambria" w:eastAsia="Calibri" w:hAnsi="Cambria"/>
          <w:sz w:val="21"/>
          <w:szCs w:val="21"/>
          <w:lang w:val="es-ES_tradnl"/>
        </w:rPr>
      </w:pPr>
    </w:p>
    <w:p w:rsidR="00CB28DA" w:rsidRPr="00CB28DA" w:rsidRDefault="00D13ED9" w:rsidP="008474B4">
      <w:pPr>
        <w:pStyle w:val="ListParagraph"/>
        <w:numPr>
          <w:ilvl w:val="0"/>
          <w:numId w:val="1"/>
        </w:numPr>
        <w:ind w:left="0" w:firstLine="360"/>
        <w:jc w:val="both"/>
        <w:rPr>
          <w:rFonts w:ascii="Cambria" w:eastAsia="Calibri" w:hAnsi="Cambria" w:cs="Times New Roman"/>
          <w:sz w:val="21"/>
          <w:szCs w:val="21"/>
          <w:lang w:val="es-CO"/>
        </w:rPr>
      </w:pPr>
      <w:r w:rsidRPr="00750048">
        <w:rPr>
          <w:rFonts w:ascii="Cambria" w:eastAsia="Calibri" w:hAnsi="Cambria"/>
          <w:sz w:val="21"/>
          <w:szCs w:val="21"/>
          <w:lang w:val="es-ES_tradnl"/>
        </w:rPr>
        <w:t xml:space="preserve"> </w:t>
      </w:r>
      <w:r w:rsidR="00E71AD2">
        <w:rPr>
          <w:rFonts w:ascii="Cambria" w:eastAsia="Calibri" w:hAnsi="Cambria"/>
          <w:sz w:val="21"/>
          <w:szCs w:val="21"/>
          <w:lang w:val="es-CO"/>
        </w:rPr>
        <w:t>En</w:t>
      </w:r>
      <w:r w:rsidR="00B94429">
        <w:rPr>
          <w:rFonts w:ascii="Cambria" w:eastAsia="Calibri" w:hAnsi="Cambria"/>
          <w:sz w:val="21"/>
          <w:szCs w:val="21"/>
          <w:lang w:val="es-CO"/>
        </w:rPr>
        <w:t xml:space="preserve"> un primer informe, </w:t>
      </w:r>
      <w:r w:rsidR="00AB2A3F">
        <w:rPr>
          <w:rFonts w:ascii="Cambria" w:eastAsia="Calibri" w:hAnsi="Cambria"/>
          <w:sz w:val="21"/>
          <w:szCs w:val="21"/>
          <w:lang w:val="es-CO"/>
        </w:rPr>
        <w:t xml:space="preserve">el Estado señaló que al día de la fecha </w:t>
      </w:r>
      <w:r w:rsidR="00AB2A3F" w:rsidRPr="00AB2A3F">
        <w:rPr>
          <w:rFonts w:ascii="Cambria" w:eastAsia="Calibri" w:hAnsi="Cambria"/>
          <w:sz w:val="21"/>
          <w:szCs w:val="21"/>
          <w:lang w:val="es-MX"/>
        </w:rPr>
        <w:t xml:space="preserve">“[…] aún no se ha logrado ubicar </w:t>
      </w:r>
      <w:r w:rsidR="00AF0C1C">
        <w:rPr>
          <w:rFonts w:ascii="Cambria" w:eastAsia="Calibri" w:hAnsi="Cambria"/>
          <w:sz w:val="21"/>
          <w:szCs w:val="21"/>
          <w:lang w:val="es-MX"/>
        </w:rPr>
        <w:t>[los] restos [de la propuesta beneficiaria</w:t>
      </w:r>
      <w:r w:rsidR="00AB2A3F" w:rsidRPr="00AB2A3F">
        <w:rPr>
          <w:rFonts w:ascii="Cambria" w:eastAsia="Calibri" w:hAnsi="Cambria"/>
          <w:sz w:val="21"/>
          <w:szCs w:val="21"/>
          <w:lang w:val="es-MX"/>
        </w:rPr>
        <w:t>]”, si bien las autoridades competentes continúan realizando acciones para esclarecer lo ocurrido</w:t>
      </w:r>
      <w:r w:rsidR="00AB2A3F">
        <w:rPr>
          <w:rFonts w:ascii="Cambria" w:eastAsia="Calibri" w:hAnsi="Cambria"/>
          <w:sz w:val="21"/>
          <w:szCs w:val="21"/>
          <w:lang w:val="es-MX"/>
        </w:rPr>
        <w:t>. Al respecto, informó que las investigaciones se orientan hacia la presunta comisión de un delito de homicidio, mas no por desaparición. Por ello, el Estado considera que no existen elementos de riesgo para los derechos a la vida e integridad personal de la propuesta beneficiaria. En este sentido, señaló que cualquier cuestionamiento sobre el desarrollo de las investigaciones no podría ser objeto de una medida cautelar, pues versaría sobre el fondo del asunto</w:t>
      </w:r>
      <w:r w:rsidR="00CB28DA">
        <w:rPr>
          <w:rFonts w:ascii="Cambria" w:eastAsia="Calibri" w:hAnsi="Cambria"/>
          <w:sz w:val="21"/>
          <w:szCs w:val="21"/>
          <w:lang w:val="es-MX"/>
        </w:rPr>
        <w:t>.</w:t>
      </w:r>
    </w:p>
    <w:p w:rsidR="00CB28DA" w:rsidRPr="00CB28DA" w:rsidRDefault="00CB28DA" w:rsidP="00CB28DA">
      <w:pPr>
        <w:pStyle w:val="ListParagraph"/>
        <w:ind w:left="360"/>
        <w:jc w:val="both"/>
        <w:rPr>
          <w:rFonts w:ascii="Cambria" w:eastAsia="Calibri" w:hAnsi="Cambria" w:cs="Times New Roman"/>
          <w:sz w:val="21"/>
          <w:szCs w:val="21"/>
          <w:lang w:val="es-CO"/>
        </w:rPr>
      </w:pPr>
    </w:p>
    <w:p w:rsidR="00574A24" w:rsidRPr="00170F76" w:rsidRDefault="00574A24" w:rsidP="008474B4">
      <w:pPr>
        <w:pStyle w:val="ListParagraph"/>
        <w:numPr>
          <w:ilvl w:val="0"/>
          <w:numId w:val="1"/>
        </w:numPr>
        <w:ind w:left="0" w:firstLine="360"/>
        <w:jc w:val="both"/>
        <w:rPr>
          <w:rFonts w:ascii="Cambria" w:eastAsia="Calibri" w:hAnsi="Cambria" w:cs="Times New Roman"/>
          <w:sz w:val="21"/>
          <w:szCs w:val="21"/>
          <w:lang w:val="es-CO"/>
        </w:rPr>
      </w:pPr>
      <w:r>
        <w:rPr>
          <w:rFonts w:ascii="Cambria" w:eastAsia="Calibri" w:hAnsi="Cambria"/>
          <w:sz w:val="21"/>
          <w:szCs w:val="21"/>
          <w:lang w:val="es-MX"/>
        </w:rPr>
        <w:t>El Estado de Perú informó que d</w:t>
      </w:r>
      <w:r w:rsidRPr="00574A24">
        <w:rPr>
          <w:rFonts w:ascii="Cambria" w:eastAsia="Calibri" w:hAnsi="Cambria"/>
          <w:sz w:val="21"/>
          <w:szCs w:val="21"/>
          <w:lang w:val="es-MX"/>
        </w:rPr>
        <w:t>esde el 22 de enero</w:t>
      </w:r>
      <w:r>
        <w:rPr>
          <w:rFonts w:ascii="Cambria" w:eastAsia="Calibri" w:hAnsi="Cambria"/>
          <w:sz w:val="21"/>
          <w:szCs w:val="21"/>
          <w:lang w:val="es-MX"/>
        </w:rPr>
        <w:t xml:space="preserve"> de 2018</w:t>
      </w:r>
      <w:r w:rsidRPr="00574A24">
        <w:rPr>
          <w:rFonts w:ascii="Cambria" w:eastAsia="Calibri" w:hAnsi="Cambria"/>
          <w:sz w:val="21"/>
          <w:szCs w:val="21"/>
          <w:lang w:val="es-MX"/>
        </w:rPr>
        <w:t xml:space="preserve">, la Fiscalía estaría realizando diligencias y recorridos en las localidades de Maras y </w:t>
      </w:r>
      <w:proofErr w:type="spellStart"/>
      <w:r w:rsidRPr="00574A24">
        <w:rPr>
          <w:rFonts w:ascii="Cambria" w:eastAsia="Calibri" w:hAnsi="Cambria"/>
          <w:sz w:val="21"/>
          <w:szCs w:val="21"/>
          <w:lang w:val="es-MX"/>
        </w:rPr>
        <w:t>Ollantaytambo</w:t>
      </w:r>
      <w:proofErr w:type="spellEnd"/>
      <w:r w:rsidRPr="00574A24">
        <w:rPr>
          <w:rFonts w:ascii="Cambria" w:eastAsia="Calibri" w:hAnsi="Cambria"/>
          <w:sz w:val="21"/>
          <w:szCs w:val="21"/>
          <w:lang w:val="es-MX"/>
        </w:rPr>
        <w:t xml:space="preserve">, y en las comunidades de </w:t>
      </w:r>
      <w:proofErr w:type="spellStart"/>
      <w:r w:rsidRPr="00574A24">
        <w:rPr>
          <w:rFonts w:ascii="Cambria" w:eastAsia="Calibri" w:hAnsi="Cambria"/>
          <w:sz w:val="21"/>
          <w:szCs w:val="21"/>
          <w:lang w:val="es-MX"/>
        </w:rPr>
        <w:t>Piry</w:t>
      </w:r>
      <w:proofErr w:type="spellEnd"/>
      <w:r w:rsidRPr="00574A24">
        <w:rPr>
          <w:rFonts w:ascii="Cambria" w:eastAsia="Calibri" w:hAnsi="Cambria"/>
          <w:sz w:val="21"/>
          <w:szCs w:val="21"/>
          <w:lang w:val="es-MX"/>
        </w:rPr>
        <w:t xml:space="preserve"> y </w:t>
      </w:r>
      <w:proofErr w:type="spellStart"/>
      <w:r w:rsidRPr="00574A24">
        <w:rPr>
          <w:rFonts w:ascii="Cambria" w:eastAsia="Calibri" w:hAnsi="Cambria"/>
          <w:sz w:val="21"/>
          <w:szCs w:val="21"/>
          <w:lang w:val="es-MX"/>
        </w:rPr>
        <w:t>Tanccan</w:t>
      </w:r>
      <w:proofErr w:type="spellEnd"/>
      <w:r w:rsidRPr="00574A24">
        <w:rPr>
          <w:rFonts w:ascii="Cambria" w:eastAsia="Calibri" w:hAnsi="Cambria"/>
          <w:sz w:val="21"/>
          <w:szCs w:val="21"/>
          <w:lang w:val="es-MX"/>
        </w:rPr>
        <w:t>, en coordinación con la Policía Nacional y la Cruz Roja Internacional, entre otras autoridades, contando asimismo con el apoyo de buzos especializados. En las tareas de investigación participarían también agentes de la Guardia Civil Española</w:t>
      </w:r>
      <w:r>
        <w:rPr>
          <w:rFonts w:ascii="Cambria" w:eastAsia="Calibri" w:hAnsi="Cambria"/>
          <w:sz w:val="21"/>
          <w:szCs w:val="21"/>
          <w:lang w:val="es-MX"/>
        </w:rPr>
        <w:t xml:space="preserve">. </w:t>
      </w:r>
    </w:p>
    <w:p w:rsidR="00574A24" w:rsidRPr="00170F76" w:rsidRDefault="00574A24" w:rsidP="00170F76">
      <w:pPr>
        <w:pStyle w:val="ListParagraph"/>
        <w:rPr>
          <w:rFonts w:ascii="Cambria" w:eastAsia="Calibri" w:hAnsi="Cambria"/>
          <w:sz w:val="21"/>
          <w:szCs w:val="21"/>
          <w:lang w:val="es-MX"/>
        </w:rPr>
      </w:pPr>
    </w:p>
    <w:p w:rsidR="009C5881" w:rsidRPr="00465068" w:rsidRDefault="00574A24" w:rsidP="008474B4">
      <w:pPr>
        <w:pStyle w:val="ListParagraph"/>
        <w:numPr>
          <w:ilvl w:val="0"/>
          <w:numId w:val="1"/>
        </w:numPr>
        <w:ind w:left="0" w:firstLine="360"/>
        <w:jc w:val="both"/>
        <w:rPr>
          <w:rFonts w:ascii="Cambria" w:eastAsia="Calibri" w:hAnsi="Cambria" w:cs="Times New Roman"/>
          <w:sz w:val="21"/>
          <w:szCs w:val="21"/>
          <w:lang w:val="es-CO"/>
        </w:rPr>
      </w:pPr>
      <w:r>
        <w:rPr>
          <w:rFonts w:ascii="Cambria" w:eastAsia="Calibri" w:hAnsi="Cambria"/>
          <w:sz w:val="21"/>
          <w:szCs w:val="21"/>
          <w:lang w:val="es-MX"/>
        </w:rPr>
        <w:t xml:space="preserve">Sin perjuicio de lo anterior, el Estado indicó que se llevaría a cabo una investigación preparatoria por la presunta muerte y desaparición del cuerpo de la propuesta beneficiaria, motivo por el cual se tendría detenidos a dos presuntos involucrados. Las personas detenidas habrían declarado que </w:t>
      </w:r>
      <w:proofErr w:type="spellStart"/>
      <w:r>
        <w:rPr>
          <w:rFonts w:ascii="Cambria" w:eastAsia="Calibri" w:hAnsi="Cambria"/>
          <w:sz w:val="21"/>
          <w:szCs w:val="21"/>
          <w:lang w:val="es-MX"/>
        </w:rPr>
        <w:t>N</w:t>
      </w:r>
      <w:r w:rsidR="009C28AE">
        <w:rPr>
          <w:rFonts w:ascii="Cambria" w:eastAsia="Calibri" w:hAnsi="Cambria"/>
          <w:sz w:val="21"/>
          <w:szCs w:val="21"/>
          <w:lang w:val="es-MX"/>
        </w:rPr>
        <w:t>áthaly</w:t>
      </w:r>
      <w:proofErr w:type="spellEnd"/>
      <w:r>
        <w:rPr>
          <w:rFonts w:ascii="Cambria" w:eastAsia="Calibri" w:hAnsi="Cambria"/>
          <w:sz w:val="21"/>
          <w:szCs w:val="21"/>
          <w:lang w:val="es-MX"/>
        </w:rPr>
        <w:t xml:space="preserve"> Sara Salazar Ayala habría fallecido en la localidad de Maras el 2 de enero de 2018</w:t>
      </w:r>
      <w:r w:rsidR="009C28AE">
        <w:rPr>
          <w:rFonts w:ascii="Cambria" w:eastAsia="Calibri" w:hAnsi="Cambria"/>
          <w:sz w:val="21"/>
          <w:szCs w:val="21"/>
          <w:lang w:val="es-MX"/>
        </w:rPr>
        <w:t xml:space="preserve"> y habrían desaparecido el cuerpo en </w:t>
      </w:r>
      <w:proofErr w:type="spellStart"/>
      <w:r w:rsidR="009C28AE">
        <w:rPr>
          <w:rFonts w:ascii="Cambria" w:eastAsia="Calibri" w:hAnsi="Cambria"/>
          <w:sz w:val="21"/>
          <w:szCs w:val="21"/>
          <w:lang w:val="es-MX"/>
        </w:rPr>
        <w:t>Ollantaytambo</w:t>
      </w:r>
      <w:proofErr w:type="spellEnd"/>
      <w:r w:rsidR="009C28AE">
        <w:rPr>
          <w:rFonts w:ascii="Cambria" w:eastAsia="Calibri" w:hAnsi="Cambria"/>
          <w:sz w:val="21"/>
          <w:szCs w:val="21"/>
          <w:lang w:val="es-MX"/>
        </w:rPr>
        <w:t>.</w:t>
      </w:r>
      <w:r>
        <w:rPr>
          <w:rFonts w:ascii="Cambria" w:eastAsia="Calibri" w:hAnsi="Cambria"/>
          <w:sz w:val="21"/>
          <w:szCs w:val="21"/>
          <w:lang w:val="es-MX"/>
        </w:rPr>
        <w:t xml:space="preserve"> </w:t>
      </w:r>
      <w:r w:rsidR="00CB28DA">
        <w:rPr>
          <w:rFonts w:ascii="Cambria" w:eastAsia="Calibri" w:hAnsi="Cambria"/>
          <w:sz w:val="21"/>
          <w:szCs w:val="21"/>
          <w:lang w:val="es-MX"/>
        </w:rPr>
        <w:t xml:space="preserve">Asimismo, el Estado indicó que la prisión preventiva dictada en contra de los presuntos implicados </w:t>
      </w:r>
      <w:r w:rsidR="009C28AE">
        <w:rPr>
          <w:rFonts w:ascii="Cambria" w:eastAsia="Calibri" w:hAnsi="Cambria"/>
          <w:sz w:val="21"/>
          <w:szCs w:val="21"/>
          <w:lang w:val="es-MX"/>
        </w:rPr>
        <w:t xml:space="preserve">habría </w:t>
      </w:r>
      <w:r w:rsidR="00CB28DA">
        <w:rPr>
          <w:rFonts w:ascii="Cambria" w:eastAsia="Calibri" w:hAnsi="Cambria"/>
          <w:sz w:val="21"/>
          <w:szCs w:val="21"/>
          <w:lang w:val="es-MX"/>
        </w:rPr>
        <w:t>sido ratificada el 5 de febrero de 2018</w:t>
      </w:r>
      <w:r w:rsidR="00CB28DA">
        <w:rPr>
          <w:rStyle w:val="FootnoteReference"/>
          <w:rFonts w:ascii="Cambria" w:eastAsia="Calibri" w:hAnsi="Cambria"/>
          <w:sz w:val="21"/>
          <w:szCs w:val="21"/>
          <w:lang w:val="es-MX"/>
        </w:rPr>
        <w:footnoteReference w:id="2"/>
      </w:r>
      <w:r w:rsidR="00F43165">
        <w:rPr>
          <w:rFonts w:ascii="Cambria" w:eastAsia="Calibri" w:hAnsi="Cambria"/>
          <w:sz w:val="21"/>
          <w:szCs w:val="21"/>
          <w:lang w:val="es-MX"/>
        </w:rPr>
        <w:t xml:space="preserve"> , quienes estarían siendo procesados por</w:t>
      </w:r>
      <w:r w:rsidR="00AF0C1C">
        <w:rPr>
          <w:rFonts w:ascii="Cambria" w:eastAsia="Calibri" w:hAnsi="Cambria"/>
          <w:sz w:val="21"/>
          <w:szCs w:val="21"/>
          <w:lang w:val="es-MX"/>
        </w:rPr>
        <w:t xml:space="preserve"> los</w:t>
      </w:r>
      <w:r w:rsidR="00F43165">
        <w:rPr>
          <w:rFonts w:ascii="Cambria" w:eastAsia="Calibri" w:hAnsi="Cambria"/>
          <w:sz w:val="21"/>
          <w:szCs w:val="21"/>
          <w:lang w:val="es-MX"/>
        </w:rPr>
        <w:t xml:space="preserve"> delitos de “homicidio culposo”, “hurto agravado”, “encubrimiento real” y “omisión de denuncia”. </w:t>
      </w:r>
    </w:p>
    <w:p w:rsidR="00465068" w:rsidRPr="00465068" w:rsidRDefault="00465068" w:rsidP="00465068">
      <w:pPr>
        <w:pStyle w:val="ListParagraph"/>
        <w:rPr>
          <w:rFonts w:ascii="Cambria" w:eastAsia="Calibri" w:hAnsi="Cambria" w:cs="Times New Roman"/>
          <w:sz w:val="21"/>
          <w:szCs w:val="21"/>
          <w:lang w:val="es-CO"/>
        </w:rPr>
      </w:pPr>
    </w:p>
    <w:p w:rsidR="00465068" w:rsidRDefault="00794E2F" w:rsidP="008474B4">
      <w:pPr>
        <w:pStyle w:val="ListParagraph"/>
        <w:numPr>
          <w:ilvl w:val="0"/>
          <w:numId w:val="1"/>
        </w:numPr>
        <w:ind w:left="0" w:firstLine="360"/>
        <w:jc w:val="both"/>
        <w:rPr>
          <w:rFonts w:ascii="Cambria" w:eastAsia="Calibri" w:hAnsi="Cambria" w:cs="Times New Roman"/>
          <w:sz w:val="21"/>
          <w:szCs w:val="21"/>
          <w:lang w:val="es-CO"/>
        </w:rPr>
      </w:pPr>
      <w:r>
        <w:rPr>
          <w:rFonts w:ascii="Cambria" w:eastAsia="Calibri" w:hAnsi="Cambria" w:cs="Times New Roman"/>
          <w:sz w:val="21"/>
          <w:szCs w:val="21"/>
          <w:lang w:val="es-CO"/>
        </w:rPr>
        <w:t>E</w:t>
      </w:r>
      <w:r w:rsidR="00F22189">
        <w:rPr>
          <w:rFonts w:ascii="Cambria" w:eastAsia="Calibri" w:hAnsi="Cambria" w:cs="Times New Roman"/>
          <w:sz w:val="21"/>
          <w:szCs w:val="21"/>
          <w:lang w:val="es-CO"/>
        </w:rPr>
        <w:t>l 06 de marzo de 2018</w:t>
      </w:r>
      <w:r>
        <w:rPr>
          <w:rFonts w:ascii="Cambria" w:eastAsia="Calibri" w:hAnsi="Cambria" w:cs="Times New Roman"/>
          <w:sz w:val="21"/>
          <w:szCs w:val="21"/>
          <w:lang w:val="es-CO"/>
        </w:rPr>
        <w:t xml:space="preserve"> el Estado indicó que </w:t>
      </w:r>
      <w:r w:rsidR="00796EAC">
        <w:rPr>
          <w:rFonts w:ascii="Cambria" w:eastAsia="Calibri" w:hAnsi="Cambria" w:cs="Times New Roman"/>
          <w:sz w:val="21"/>
          <w:szCs w:val="21"/>
          <w:lang w:val="es-CO"/>
        </w:rPr>
        <w:t>tuvo conocimiento de los hechos cuando el 5 de enero de 2018 el administrador del lugar donde se hospedaba la propuesta beneficiaria denunció su desaparición. El Estado informó las diligencias llevadas a cabo para locali</w:t>
      </w:r>
      <w:r w:rsidR="00664A4B">
        <w:rPr>
          <w:rFonts w:ascii="Cambria" w:eastAsia="Calibri" w:hAnsi="Cambria" w:cs="Times New Roman"/>
          <w:sz w:val="21"/>
          <w:szCs w:val="21"/>
          <w:lang w:val="es-CO"/>
        </w:rPr>
        <w:t xml:space="preserve">zar a </w:t>
      </w:r>
      <w:proofErr w:type="spellStart"/>
      <w:r w:rsidR="00664A4B">
        <w:rPr>
          <w:rFonts w:ascii="Cambria" w:eastAsia="Calibri" w:hAnsi="Cambria"/>
          <w:sz w:val="21"/>
          <w:szCs w:val="21"/>
          <w:lang w:val="es-MX"/>
        </w:rPr>
        <w:t>Náthaly</w:t>
      </w:r>
      <w:proofErr w:type="spellEnd"/>
      <w:r w:rsidR="00664A4B">
        <w:rPr>
          <w:rFonts w:ascii="Cambria" w:eastAsia="Calibri" w:hAnsi="Cambria"/>
          <w:sz w:val="21"/>
          <w:szCs w:val="21"/>
          <w:lang w:val="es-MX"/>
        </w:rPr>
        <w:t xml:space="preserve"> Sara Salazar Ayala</w:t>
      </w:r>
      <w:r w:rsidR="00F8317C">
        <w:rPr>
          <w:rFonts w:ascii="Cambria" w:eastAsia="Calibri" w:hAnsi="Cambria"/>
          <w:sz w:val="21"/>
          <w:szCs w:val="21"/>
          <w:lang w:val="es-MX"/>
        </w:rPr>
        <w:t xml:space="preserve"> entre el 5 de enero y el 10 de febrero de 2018</w:t>
      </w:r>
      <w:r w:rsidR="00664A4B">
        <w:rPr>
          <w:rFonts w:ascii="Cambria" w:eastAsia="Calibri" w:hAnsi="Cambria"/>
          <w:sz w:val="21"/>
          <w:szCs w:val="21"/>
          <w:lang w:val="es-MX"/>
        </w:rPr>
        <w:t xml:space="preserve">, así como la </w:t>
      </w:r>
      <w:r w:rsidR="00F8317C">
        <w:rPr>
          <w:rFonts w:ascii="Cambria" w:eastAsia="Calibri" w:hAnsi="Cambria"/>
          <w:sz w:val="21"/>
          <w:szCs w:val="21"/>
          <w:lang w:val="es-MX"/>
        </w:rPr>
        <w:t xml:space="preserve">situación que guardaba la </w:t>
      </w:r>
      <w:r w:rsidR="00664A4B">
        <w:rPr>
          <w:rFonts w:ascii="Cambria" w:eastAsia="Calibri" w:hAnsi="Cambria"/>
          <w:sz w:val="21"/>
          <w:szCs w:val="21"/>
          <w:lang w:val="es-MX"/>
        </w:rPr>
        <w:t xml:space="preserve">investigación. </w:t>
      </w:r>
      <w:r w:rsidR="00664A4B">
        <w:rPr>
          <w:rFonts w:ascii="Cambria" w:eastAsia="Calibri" w:hAnsi="Cambria" w:cs="Times New Roman"/>
          <w:sz w:val="21"/>
          <w:szCs w:val="21"/>
          <w:lang w:val="es-CO"/>
        </w:rPr>
        <w:lastRenderedPageBreak/>
        <w:t xml:space="preserve">Sin perjuicio de lo anterior, </w:t>
      </w:r>
      <w:r>
        <w:rPr>
          <w:rFonts w:ascii="Cambria" w:eastAsia="Calibri" w:hAnsi="Cambria" w:cs="Times New Roman"/>
          <w:sz w:val="21"/>
          <w:szCs w:val="21"/>
          <w:lang w:val="es-CO"/>
        </w:rPr>
        <w:t xml:space="preserve">el Estado </w:t>
      </w:r>
      <w:r w:rsidR="00664A4B">
        <w:rPr>
          <w:rFonts w:ascii="Cambria" w:eastAsia="Calibri" w:hAnsi="Cambria" w:cs="Times New Roman"/>
          <w:sz w:val="21"/>
          <w:szCs w:val="21"/>
          <w:lang w:val="es-CO"/>
        </w:rPr>
        <w:t xml:space="preserve">señaló que </w:t>
      </w:r>
      <w:r w:rsidR="00F22189">
        <w:rPr>
          <w:rFonts w:ascii="Cambria" w:eastAsia="Calibri" w:hAnsi="Cambria" w:cs="Times New Roman"/>
          <w:sz w:val="21"/>
          <w:szCs w:val="21"/>
          <w:lang w:val="es-CO"/>
        </w:rPr>
        <w:t>aú</w:t>
      </w:r>
      <w:r w:rsidR="00465068">
        <w:rPr>
          <w:rFonts w:ascii="Cambria" w:eastAsia="Calibri" w:hAnsi="Cambria" w:cs="Times New Roman"/>
          <w:sz w:val="21"/>
          <w:szCs w:val="21"/>
          <w:lang w:val="es-CO"/>
        </w:rPr>
        <w:t xml:space="preserve">n no se </w:t>
      </w:r>
      <w:r w:rsidR="00664A4B">
        <w:rPr>
          <w:rFonts w:ascii="Cambria" w:eastAsia="Calibri" w:hAnsi="Cambria" w:cs="Times New Roman"/>
          <w:sz w:val="21"/>
          <w:szCs w:val="21"/>
          <w:lang w:val="es-CO"/>
        </w:rPr>
        <w:t xml:space="preserve">ha </w:t>
      </w:r>
      <w:r w:rsidR="00465068">
        <w:rPr>
          <w:rFonts w:ascii="Cambria" w:eastAsia="Calibri" w:hAnsi="Cambria" w:cs="Times New Roman"/>
          <w:sz w:val="21"/>
          <w:szCs w:val="21"/>
          <w:lang w:val="es-CO"/>
        </w:rPr>
        <w:t>logrado ubicar los “restos” de la propuesta beneficiaria, pero que continúan realizando acciones para esclarecer lo ocurrido.</w:t>
      </w:r>
    </w:p>
    <w:p w:rsidR="00A17A82" w:rsidRPr="00750048" w:rsidRDefault="00A17A82" w:rsidP="00A216B8">
      <w:pPr>
        <w:jc w:val="both"/>
        <w:rPr>
          <w:rFonts w:ascii="Cambria" w:eastAsia="Calibri" w:hAnsi="Cambria"/>
          <w:sz w:val="21"/>
          <w:szCs w:val="21"/>
          <w:lang w:val="es-ES_tradnl"/>
        </w:rPr>
      </w:pPr>
    </w:p>
    <w:p w:rsidR="00D13ED9" w:rsidRPr="00750048" w:rsidRDefault="003C26E2" w:rsidP="004E61D7">
      <w:pPr>
        <w:pStyle w:val="ListParagraph"/>
        <w:numPr>
          <w:ilvl w:val="0"/>
          <w:numId w:val="2"/>
        </w:numPr>
        <w:ind w:firstLine="0"/>
        <w:jc w:val="both"/>
        <w:rPr>
          <w:rFonts w:ascii="Cambria" w:eastAsia="Calibri" w:hAnsi="Cambria"/>
          <w:b/>
          <w:sz w:val="21"/>
          <w:szCs w:val="21"/>
          <w:lang w:val="es-ES_tradnl"/>
        </w:rPr>
      </w:pPr>
      <w:r>
        <w:rPr>
          <w:rFonts w:ascii="Cambria" w:eastAsia="Calibri" w:hAnsi="Cambria"/>
          <w:b/>
          <w:sz w:val="21"/>
          <w:szCs w:val="21"/>
          <w:lang w:val="es-ES_tradnl"/>
        </w:rPr>
        <w:t>A</w:t>
      </w:r>
      <w:r w:rsidR="00D13ED9" w:rsidRPr="00750048">
        <w:rPr>
          <w:rFonts w:ascii="Cambria" w:eastAsia="Calibri" w:hAnsi="Cambria"/>
          <w:b/>
          <w:sz w:val="21"/>
          <w:szCs w:val="21"/>
          <w:lang w:val="es-ES_tradnl"/>
        </w:rPr>
        <w:t>N</w:t>
      </w:r>
      <w:r>
        <w:rPr>
          <w:rFonts w:ascii="Cambria" w:eastAsia="Calibri" w:hAnsi="Cambria"/>
          <w:b/>
          <w:sz w:val="21"/>
          <w:szCs w:val="21"/>
          <w:lang w:val="es-ES_tradnl"/>
        </w:rPr>
        <w:t>Á</w:t>
      </w:r>
      <w:r w:rsidR="00D13ED9" w:rsidRPr="00750048">
        <w:rPr>
          <w:rFonts w:ascii="Cambria" w:eastAsia="Calibri" w:hAnsi="Cambria"/>
          <w:b/>
          <w:sz w:val="21"/>
          <w:szCs w:val="21"/>
          <w:lang w:val="es-ES_tradnl"/>
        </w:rPr>
        <w:t xml:space="preserve">LISIS </w:t>
      </w:r>
      <w:r w:rsidR="00D13ED9" w:rsidRPr="004E61D7">
        <w:rPr>
          <w:rFonts w:ascii="Cambria" w:hAnsi="Cambria"/>
          <w:b/>
          <w:sz w:val="21"/>
          <w:szCs w:val="21"/>
          <w:lang w:val="es-ES_tradnl"/>
        </w:rPr>
        <w:t>DE</w:t>
      </w:r>
      <w:r w:rsidR="00D13ED9" w:rsidRPr="00750048">
        <w:rPr>
          <w:rFonts w:ascii="Cambria" w:eastAsia="Calibri" w:hAnsi="Cambria"/>
          <w:b/>
          <w:sz w:val="21"/>
          <w:szCs w:val="21"/>
          <w:lang w:val="es-ES_tradnl"/>
        </w:rPr>
        <w:t xml:space="preserve"> LOS ELEMENTOS DE GRAVEDAD, URGENCIA E IRREPARABILIDAD</w:t>
      </w:r>
    </w:p>
    <w:p w:rsidR="00D13ED9" w:rsidRPr="00750048" w:rsidRDefault="00D13ED9" w:rsidP="00A94D9B">
      <w:pPr>
        <w:jc w:val="both"/>
        <w:rPr>
          <w:rFonts w:ascii="Cambria" w:eastAsia="Calibri" w:hAnsi="Cambria"/>
          <w:sz w:val="21"/>
          <w:szCs w:val="21"/>
          <w:lang w:val="es-ES_tradnl"/>
        </w:rPr>
      </w:pPr>
    </w:p>
    <w:p w:rsidR="00817419" w:rsidRPr="00750048" w:rsidRDefault="00817419" w:rsidP="00A94D9B">
      <w:pPr>
        <w:pStyle w:val="ListParagraph"/>
        <w:numPr>
          <w:ilvl w:val="0"/>
          <w:numId w:val="1"/>
        </w:numPr>
        <w:ind w:left="0" w:firstLine="360"/>
        <w:jc w:val="both"/>
        <w:rPr>
          <w:rFonts w:ascii="Cambria" w:hAnsi="Cambria"/>
          <w:sz w:val="21"/>
          <w:szCs w:val="21"/>
          <w:lang w:val="es-MX"/>
        </w:rPr>
      </w:pPr>
      <w:r w:rsidRPr="00750048">
        <w:rPr>
          <w:rFonts w:ascii="Cambria" w:hAnsi="Cambria"/>
          <w:sz w:val="21"/>
          <w:szCs w:val="21"/>
          <w:lang w:val="es-MX"/>
        </w:rPr>
        <w:t xml:space="preserve">El mecanismo de medidas cautelares es parte de la función de la Comisión de supervisar el cumplimiento con las obligaciones de derechos humanos establecidas en el artículo 106 de la Carta de la Organización de Estados Americanos. Estas funciones generales de supervisión están </w:t>
      </w:r>
      <w:r w:rsidRPr="00750048">
        <w:rPr>
          <w:rFonts w:ascii="Cambria" w:eastAsia="Calibri" w:hAnsi="Cambria"/>
          <w:sz w:val="21"/>
          <w:szCs w:val="21"/>
          <w:lang w:val="es-ES_tradnl"/>
        </w:rPr>
        <w:t>establecidas</w:t>
      </w:r>
      <w:r w:rsidRPr="00750048">
        <w:rPr>
          <w:rFonts w:ascii="Cambria" w:hAnsi="Cambria"/>
          <w:sz w:val="21"/>
          <w:szCs w:val="21"/>
          <w:lang w:val="es-MX"/>
        </w:rPr>
        <w:t xml:space="preserve"> en el artículo 41 (b) de la Convención Americana sobre Derechos Humanos, recogido también en el artículo 18 (b) del Estatuto de la CIDH y el </w:t>
      </w:r>
      <w:r w:rsidRPr="00750048">
        <w:rPr>
          <w:rFonts w:ascii="Cambria" w:eastAsia="Times New Roman" w:hAnsi="Cambria" w:cs="Times New Roman"/>
          <w:color w:val="000000"/>
          <w:sz w:val="21"/>
          <w:szCs w:val="21"/>
          <w:lang w:val="es-US"/>
        </w:rPr>
        <w:t>mecanismo</w:t>
      </w:r>
      <w:r w:rsidRPr="00750048">
        <w:rPr>
          <w:rFonts w:ascii="Cambria" w:hAnsi="Cambria"/>
          <w:sz w:val="21"/>
          <w:szCs w:val="21"/>
          <w:lang w:val="es-MX"/>
        </w:rPr>
        <w:t xml:space="preserve"> de medidas cautelares es descrito en el artículo 25 del Reglamento de la Comisión. De conformidad con ese artículo, la Comisión otorga medidas cautelares en situaciones que son graves y urgentes, y en cuales tales medidas son necesarias para prevenir un daño irreparable a las personas. </w:t>
      </w:r>
    </w:p>
    <w:p w:rsidR="00817419" w:rsidRPr="00750048" w:rsidRDefault="00817419" w:rsidP="00A94D9B">
      <w:pPr>
        <w:jc w:val="both"/>
        <w:rPr>
          <w:rFonts w:ascii="Cambria" w:hAnsi="Cambria"/>
          <w:sz w:val="21"/>
          <w:szCs w:val="21"/>
          <w:lang w:val="es-MX"/>
        </w:rPr>
      </w:pPr>
    </w:p>
    <w:p w:rsidR="00817419" w:rsidRPr="00750048" w:rsidRDefault="00817419" w:rsidP="00A94D9B">
      <w:pPr>
        <w:pStyle w:val="ListParagraph"/>
        <w:numPr>
          <w:ilvl w:val="0"/>
          <w:numId w:val="1"/>
        </w:numPr>
        <w:ind w:left="0" w:firstLine="360"/>
        <w:jc w:val="both"/>
        <w:rPr>
          <w:rFonts w:ascii="Cambria" w:hAnsi="Cambria"/>
          <w:sz w:val="21"/>
          <w:szCs w:val="21"/>
          <w:lang w:val="es-MX"/>
        </w:rPr>
      </w:pPr>
      <w:r w:rsidRPr="00750048">
        <w:rPr>
          <w:rFonts w:ascii="Cambria" w:hAnsi="Cambria"/>
          <w:sz w:val="21"/>
          <w:szCs w:val="21"/>
          <w:lang w:val="es-MX"/>
        </w:rPr>
        <w:t>La Comisión Interamericana y la Corte Interamericana de Derechos Humanos (en adelante “la Corte Interamericana” o “Corte IDH”) han establecido de manera reiterada que las medidas cautelares y 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situación que podría hacer inocua o desvirtuar el efecto útil (</w:t>
      </w:r>
      <w:proofErr w:type="spellStart"/>
      <w:r w:rsidRPr="00750048">
        <w:rPr>
          <w:rFonts w:ascii="Cambria" w:hAnsi="Cambria"/>
          <w:i/>
          <w:sz w:val="21"/>
          <w:szCs w:val="21"/>
          <w:lang w:val="es-MX"/>
        </w:rPr>
        <w:t>effet</w:t>
      </w:r>
      <w:proofErr w:type="spellEnd"/>
      <w:r w:rsidRPr="00750048">
        <w:rPr>
          <w:rFonts w:ascii="Cambria" w:hAnsi="Cambria"/>
          <w:i/>
          <w:sz w:val="21"/>
          <w:szCs w:val="21"/>
          <w:lang w:val="es-MX"/>
        </w:rPr>
        <w:t xml:space="preserve"> </w:t>
      </w:r>
      <w:proofErr w:type="spellStart"/>
      <w:r w:rsidRPr="00750048">
        <w:rPr>
          <w:rFonts w:ascii="Cambria" w:hAnsi="Cambria"/>
          <w:i/>
          <w:sz w:val="21"/>
          <w:szCs w:val="21"/>
          <w:lang w:val="es-MX"/>
        </w:rPr>
        <w:t>utile</w:t>
      </w:r>
      <w:proofErr w:type="spellEnd"/>
      <w:r w:rsidRPr="00750048">
        <w:rPr>
          <w:rFonts w:ascii="Cambria" w:hAnsi="Cambria"/>
          <w:sz w:val="21"/>
          <w:szCs w:val="21"/>
          <w:lang w:val="es-MX"/>
        </w:rPr>
        <w:t xml:space="preserve">) de la decisión final. En tal sentido, las medidas cautelares o provisionales permiten así que el Estado en cuestión pueda cumplir la decisión final y, de ser necesario, cumplir con las reparaciones ordenadas. Para los efectos de tomar una decisión, y de acuerdo con el artículo 25.2 de su Reglamento, la Comisión considera que: </w:t>
      </w:r>
    </w:p>
    <w:p w:rsidR="00817419" w:rsidRPr="00750048" w:rsidRDefault="00817419" w:rsidP="00A94D9B">
      <w:pPr>
        <w:ind w:left="360"/>
        <w:jc w:val="both"/>
        <w:rPr>
          <w:rFonts w:ascii="Cambria" w:hAnsi="Cambria"/>
          <w:sz w:val="21"/>
          <w:szCs w:val="21"/>
          <w:lang w:val="es-MX"/>
        </w:rPr>
      </w:pPr>
    </w:p>
    <w:p w:rsidR="00817419" w:rsidRPr="00750048" w:rsidRDefault="00817419" w:rsidP="00A94D9B">
      <w:pPr>
        <w:numPr>
          <w:ilvl w:val="0"/>
          <w:numId w:val="8"/>
        </w:numPr>
        <w:ind w:right="713"/>
        <w:jc w:val="both"/>
        <w:rPr>
          <w:rFonts w:ascii="Cambria" w:hAnsi="Cambria"/>
          <w:sz w:val="18"/>
          <w:szCs w:val="21"/>
          <w:lang w:val="es-MX"/>
        </w:rPr>
      </w:pPr>
      <w:r w:rsidRPr="00750048">
        <w:rPr>
          <w:rFonts w:ascii="Cambria" w:hAnsi="Cambria"/>
          <w:sz w:val="18"/>
          <w:szCs w:val="21"/>
          <w:lang w:val="es-MX"/>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rsidR="00817419" w:rsidRPr="00750048" w:rsidRDefault="00817419" w:rsidP="00A94D9B">
      <w:pPr>
        <w:ind w:right="713"/>
        <w:jc w:val="both"/>
        <w:rPr>
          <w:rFonts w:ascii="Cambria" w:hAnsi="Cambria"/>
          <w:sz w:val="18"/>
          <w:szCs w:val="21"/>
          <w:lang w:val="es-MX"/>
        </w:rPr>
      </w:pPr>
    </w:p>
    <w:p w:rsidR="00817419" w:rsidRPr="00750048" w:rsidRDefault="00817419" w:rsidP="00A94D9B">
      <w:pPr>
        <w:numPr>
          <w:ilvl w:val="0"/>
          <w:numId w:val="8"/>
        </w:numPr>
        <w:ind w:right="713"/>
        <w:jc w:val="both"/>
        <w:rPr>
          <w:rFonts w:ascii="Cambria" w:hAnsi="Cambria"/>
          <w:sz w:val="18"/>
          <w:szCs w:val="21"/>
          <w:lang w:val="es-MX"/>
        </w:rPr>
      </w:pPr>
      <w:r w:rsidRPr="00750048">
        <w:rPr>
          <w:rFonts w:ascii="Cambria" w:hAnsi="Cambria"/>
          <w:sz w:val="18"/>
          <w:szCs w:val="21"/>
          <w:lang w:val="es-MX"/>
        </w:rPr>
        <w:t xml:space="preserve">La “urgencia de la situación” se determina por medio de la información aportada, indicando el riesgo o la amenaza que puedan ser inminentes y materializarse, requiriendo de esa manera una acción preventiva o tutelar; y </w:t>
      </w:r>
    </w:p>
    <w:p w:rsidR="00817419" w:rsidRPr="00750048" w:rsidRDefault="00817419" w:rsidP="00A94D9B">
      <w:pPr>
        <w:ind w:right="713"/>
        <w:jc w:val="both"/>
        <w:rPr>
          <w:rFonts w:ascii="Cambria" w:hAnsi="Cambria"/>
          <w:sz w:val="18"/>
          <w:szCs w:val="21"/>
          <w:lang w:val="es-MX"/>
        </w:rPr>
      </w:pPr>
    </w:p>
    <w:p w:rsidR="00817419" w:rsidRPr="00750048" w:rsidRDefault="00817419" w:rsidP="00A94D9B">
      <w:pPr>
        <w:numPr>
          <w:ilvl w:val="0"/>
          <w:numId w:val="8"/>
        </w:numPr>
        <w:ind w:right="713"/>
        <w:jc w:val="both"/>
        <w:rPr>
          <w:rFonts w:ascii="Cambria" w:hAnsi="Cambria"/>
          <w:sz w:val="18"/>
          <w:szCs w:val="21"/>
          <w:lang w:val="es-MX"/>
        </w:rPr>
      </w:pPr>
      <w:r w:rsidRPr="00750048">
        <w:rPr>
          <w:rFonts w:ascii="Cambria" w:hAnsi="Cambria"/>
          <w:sz w:val="18"/>
          <w:szCs w:val="21"/>
          <w:lang w:val="es-MX"/>
        </w:rPr>
        <w:t>El “daño irreparable” consiste en la afectación sobre derechos que, por su propia naturaleza, no son susceptibles de reparación, restauración o adecuada indemnización.</w:t>
      </w:r>
    </w:p>
    <w:p w:rsidR="00817419" w:rsidRPr="00750048" w:rsidRDefault="00817419" w:rsidP="00A94D9B">
      <w:pPr>
        <w:jc w:val="both"/>
        <w:rPr>
          <w:rFonts w:ascii="Cambria" w:hAnsi="Cambria"/>
          <w:sz w:val="21"/>
          <w:szCs w:val="21"/>
          <w:lang w:val="es-MX"/>
        </w:rPr>
      </w:pPr>
    </w:p>
    <w:p w:rsidR="00794E2F" w:rsidRPr="009630A4" w:rsidRDefault="00817419" w:rsidP="00A94D9B">
      <w:pPr>
        <w:pStyle w:val="ListParagraph"/>
        <w:numPr>
          <w:ilvl w:val="0"/>
          <w:numId w:val="1"/>
        </w:numPr>
        <w:ind w:left="0" w:firstLine="360"/>
        <w:jc w:val="both"/>
        <w:rPr>
          <w:rFonts w:ascii="Cambria" w:eastAsia="Calibri" w:hAnsi="Cambria"/>
          <w:sz w:val="21"/>
          <w:szCs w:val="21"/>
          <w:lang w:val="es-ES_tradnl"/>
        </w:rPr>
      </w:pPr>
      <w:r w:rsidRPr="00750048">
        <w:rPr>
          <w:rFonts w:ascii="Cambria" w:hAnsi="Cambria"/>
          <w:sz w:val="21"/>
          <w:szCs w:val="21"/>
          <w:lang w:val="es-MX"/>
        </w:rPr>
        <w:t xml:space="preserve">En el análisis de los mencionados requisitos, la Comisión reitera que los hechos que motivan una solicitud de medidas de cautelares no requieren estar plenamente comprobados, sino que la información proporcionada debe ser apreciada desde una perspectiva </w:t>
      </w:r>
      <w:r w:rsidRPr="00750048">
        <w:rPr>
          <w:rFonts w:ascii="Cambria" w:hAnsi="Cambria"/>
          <w:i/>
          <w:sz w:val="21"/>
          <w:szCs w:val="21"/>
          <w:lang w:val="es-MX"/>
        </w:rPr>
        <w:t>prima facie</w:t>
      </w:r>
      <w:r w:rsidRPr="00750048">
        <w:rPr>
          <w:rFonts w:ascii="Cambria" w:hAnsi="Cambria"/>
          <w:sz w:val="21"/>
          <w:szCs w:val="21"/>
          <w:lang w:val="es-MX"/>
        </w:rPr>
        <w:t xml:space="preserve"> que permita identificar una situación de gravedad y urgencia</w:t>
      </w:r>
      <w:r w:rsidRPr="00750048">
        <w:rPr>
          <w:rFonts w:ascii="Cambria" w:hAnsi="Cambria"/>
          <w:sz w:val="21"/>
          <w:szCs w:val="21"/>
          <w:vertAlign w:val="superscript"/>
        </w:rPr>
        <w:footnoteReference w:id="3"/>
      </w:r>
      <w:r w:rsidRPr="00750048">
        <w:rPr>
          <w:rFonts w:ascii="Cambria" w:hAnsi="Cambria"/>
          <w:sz w:val="21"/>
          <w:szCs w:val="21"/>
          <w:lang w:val="es-MX"/>
        </w:rPr>
        <w:t>.</w:t>
      </w:r>
      <w:r w:rsidR="00794E2F">
        <w:rPr>
          <w:rFonts w:ascii="Cambria" w:hAnsi="Cambria"/>
          <w:sz w:val="21"/>
          <w:szCs w:val="21"/>
          <w:lang w:val="es-MX"/>
        </w:rPr>
        <w:t xml:space="preserve"> </w:t>
      </w:r>
    </w:p>
    <w:p w:rsidR="00F8317C" w:rsidRPr="009630A4" w:rsidRDefault="00F8317C" w:rsidP="009630A4">
      <w:pPr>
        <w:pStyle w:val="ListParagraph"/>
        <w:ind w:left="360"/>
        <w:jc w:val="both"/>
        <w:rPr>
          <w:rFonts w:ascii="Cambria" w:eastAsia="Calibri" w:hAnsi="Cambria"/>
          <w:sz w:val="21"/>
          <w:szCs w:val="21"/>
          <w:lang w:val="es-ES_tradnl"/>
        </w:rPr>
      </w:pPr>
    </w:p>
    <w:p w:rsidR="00F8317C" w:rsidRPr="009630A4" w:rsidRDefault="00F8317C" w:rsidP="00A94D9B">
      <w:pPr>
        <w:pStyle w:val="ListParagraph"/>
        <w:numPr>
          <w:ilvl w:val="0"/>
          <w:numId w:val="1"/>
        </w:numPr>
        <w:ind w:left="0" w:firstLine="360"/>
        <w:jc w:val="both"/>
        <w:rPr>
          <w:rFonts w:ascii="Cambria" w:eastAsia="Calibri" w:hAnsi="Cambria"/>
          <w:sz w:val="21"/>
          <w:szCs w:val="21"/>
          <w:lang w:val="es-ES_tradnl"/>
        </w:rPr>
      </w:pPr>
      <w:r>
        <w:rPr>
          <w:rFonts w:ascii="Cambria" w:eastAsia="Calibri" w:hAnsi="Cambria"/>
          <w:sz w:val="21"/>
          <w:szCs w:val="21"/>
          <w:lang w:val="es-ES_tradnl"/>
        </w:rPr>
        <w:t xml:space="preserve">Asimismo, al momento de analizar tales requisitos, la Comisión toma en cuenta que </w:t>
      </w:r>
      <w:r w:rsidR="003E0E88">
        <w:rPr>
          <w:rFonts w:ascii="Cambria" w:eastAsia="Calibri" w:hAnsi="Cambria"/>
          <w:sz w:val="21"/>
          <w:szCs w:val="21"/>
          <w:lang w:val="es-ES_tradnl"/>
        </w:rPr>
        <w:t xml:space="preserve">a través del mecanismo de medidas cautelares, no </w:t>
      </w:r>
      <w:r>
        <w:rPr>
          <w:rFonts w:ascii="Cambria" w:eastAsia="Calibri" w:hAnsi="Cambria"/>
          <w:sz w:val="21"/>
          <w:szCs w:val="21"/>
          <w:lang w:val="es-ES_tradnl"/>
        </w:rPr>
        <w:t xml:space="preserve">le corresponde establecer lo que habría ocurrido </w:t>
      </w:r>
      <w:r w:rsidR="009D62F6">
        <w:rPr>
          <w:rFonts w:ascii="Cambria" w:eastAsia="Calibri" w:hAnsi="Cambria"/>
          <w:sz w:val="21"/>
          <w:szCs w:val="21"/>
          <w:lang w:val="es-ES_tradnl"/>
        </w:rPr>
        <w:t xml:space="preserve">el 2 de enero de </w:t>
      </w:r>
      <w:r w:rsidR="009D62F6">
        <w:rPr>
          <w:rFonts w:ascii="Cambria" w:eastAsia="Calibri" w:hAnsi="Cambria"/>
          <w:sz w:val="21"/>
          <w:szCs w:val="21"/>
          <w:lang w:val="es-ES_tradnl"/>
        </w:rPr>
        <w:lastRenderedPageBreak/>
        <w:t>2018 en relación con la propuesta beneficiaria</w:t>
      </w:r>
      <w:r w:rsidR="003E0E88">
        <w:rPr>
          <w:rFonts w:ascii="Cambria" w:eastAsia="Calibri" w:hAnsi="Cambria"/>
          <w:sz w:val="21"/>
          <w:szCs w:val="21"/>
          <w:lang w:val="es-ES_tradnl"/>
        </w:rPr>
        <w:t>. El análisis que efectúa a continuación se relaciona exclusivamente con los elementos establecidos en el artículo 25 del Reglamento, los cuales pueden resolverse sin entrar en determinaciones de fondo.</w:t>
      </w:r>
    </w:p>
    <w:p w:rsidR="008B4A81" w:rsidRPr="008B4A81" w:rsidRDefault="008B4A81" w:rsidP="008B4A81">
      <w:pPr>
        <w:pStyle w:val="ListParagraph"/>
        <w:ind w:left="360"/>
        <w:jc w:val="both"/>
        <w:rPr>
          <w:rFonts w:ascii="Cambria" w:eastAsia="Calibri" w:hAnsi="Cambria"/>
          <w:sz w:val="21"/>
          <w:szCs w:val="21"/>
          <w:lang w:val="es-ES_tradnl"/>
        </w:rPr>
      </w:pPr>
    </w:p>
    <w:p w:rsidR="00FD5F68" w:rsidRDefault="00C76A8B" w:rsidP="00997632">
      <w:pPr>
        <w:pStyle w:val="ListParagraph"/>
        <w:numPr>
          <w:ilvl w:val="0"/>
          <w:numId w:val="1"/>
        </w:numPr>
        <w:ind w:left="0" w:firstLine="360"/>
        <w:jc w:val="both"/>
        <w:rPr>
          <w:rFonts w:ascii="Cambria" w:eastAsia="Calibri" w:hAnsi="Cambria"/>
          <w:sz w:val="21"/>
          <w:szCs w:val="21"/>
          <w:lang w:val="es-ES_tradnl"/>
        </w:rPr>
      </w:pPr>
      <w:r w:rsidRPr="00997632">
        <w:rPr>
          <w:rFonts w:ascii="Cambria" w:eastAsia="Calibri" w:hAnsi="Cambria"/>
          <w:sz w:val="21"/>
          <w:szCs w:val="21"/>
          <w:lang w:val="es-ES_tradnl"/>
        </w:rPr>
        <w:t xml:space="preserve">En </w:t>
      </w:r>
      <w:r w:rsidR="00FD5F68" w:rsidRPr="00997632">
        <w:rPr>
          <w:rFonts w:ascii="Cambria" w:eastAsia="Calibri" w:hAnsi="Cambria"/>
          <w:sz w:val="21"/>
          <w:szCs w:val="21"/>
          <w:lang w:val="es-ES_tradnl"/>
        </w:rPr>
        <w:t xml:space="preserve">relación con el requisito de gravedad, </w:t>
      </w:r>
      <w:r w:rsidR="00465068" w:rsidRPr="00997632">
        <w:rPr>
          <w:rFonts w:ascii="Cambria" w:eastAsia="Calibri" w:hAnsi="Cambria"/>
          <w:sz w:val="21"/>
          <w:szCs w:val="21"/>
          <w:lang w:val="es-ES_tradnl"/>
        </w:rPr>
        <w:t xml:space="preserve">la Comisión considera que se encuentra cumplido, en vista que desde el 02 de enero de 2018 hasta el </w:t>
      </w:r>
      <w:r w:rsidR="00997632" w:rsidRPr="00997632">
        <w:rPr>
          <w:rFonts w:ascii="Cambria" w:eastAsia="Calibri" w:hAnsi="Cambria"/>
          <w:sz w:val="21"/>
          <w:szCs w:val="21"/>
          <w:lang w:val="es-ES_tradnl"/>
        </w:rPr>
        <w:t>día</w:t>
      </w:r>
      <w:r w:rsidR="00465068" w:rsidRPr="00997632">
        <w:rPr>
          <w:rFonts w:ascii="Cambria" w:eastAsia="Calibri" w:hAnsi="Cambria"/>
          <w:sz w:val="21"/>
          <w:szCs w:val="21"/>
          <w:lang w:val="es-ES_tradnl"/>
        </w:rPr>
        <w:t xml:space="preserve"> de la fecha no se tendría noticias acerca del destino o paradero de </w:t>
      </w:r>
      <w:proofErr w:type="spellStart"/>
      <w:r w:rsidR="00465068" w:rsidRPr="00997632">
        <w:rPr>
          <w:rFonts w:ascii="Cambria" w:hAnsi="Cambria"/>
          <w:sz w:val="21"/>
          <w:szCs w:val="21"/>
          <w:lang w:val="es-ES_tradnl"/>
        </w:rPr>
        <w:t>N</w:t>
      </w:r>
      <w:r w:rsidR="00695C33">
        <w:rPr>
          <w:rFonts w:ascii="Cambria" w:hAnsi="Cambria"/>
          <w:sz w:val="21"/>
          <w:szCs w:val="21"/>
          <w:lang w:val="es-ES_tradnl"/>
        </w:rPr>
        <w:t>á</w:t>
      </w:r>
      <w:r w:rsidR="00465068" w:rsidRPr="00997632">
        <w:rPr>
          <w:rFonts w:ascii="Cambria" w:hAnsi="Cambria"/>
          <w:sz w:val="21"/>
          <w:szCs w:val="21"/>
          <w:lang w:val="es-ES_tradnl"/>
        </w:rPr>
        <w:t>thaly</w:t>
      </w:r>
      <w:proofErr w:type="spellEnd"/>
      <w:r w:rsidR="00465068" w:rsidRPr="00997632">
        <w:rPr>
          <w:rFonts w:ascii="Cambria" w:hAnsi="Cambria"/>
          <w:sz w:val="21"/>
          <w:szCs w:val="21"/>
          <w:lang w:val="es-ES_tradnl"/>
        </w:rPr>
        <w:t xml:space="preserve"> Sara Salazar Ayala</w:t>
      </w:r>
      <w:r w:rsidR="00997632">
        <w:rPr>
          <w:rFonts w:ascii="Cambria" w:hAnsi="Cambria"/>
          <w:sz w:val="21"/>
          <w:szCs w:val="21"/>
          <w:lang w:val="es-ES_tradnl"/>
        </w:rPr>
        <w:t xml:space="preserve">. En particular, la solicitante </w:t>
      </w:r>
      <w:r w:rsidR="00335FB0">
        <w:rPr>
          <w:rFonts w:ascii="Cambria" w:hAnsi="Cambria"/>
          <w:sz w:val="21"/>
          <w:szCs w:val="21"/>
          <w:lang w:val="es-ES_tradnl"/>
        </w:rPr>
        <w:t>indicó</w:t>
      </w:r>
      <w:r w:rsidR="00997632">
        <w:rPr>
          <w:rFonts w:ascii="Cambria" w:hAnsi="Cambria"/>
          <w:sz w:val="21"/>
          <w:szCs w:val="21"/>
          <w:lang w:val="es-MX"/>
        </w:rPr>
        <w:t xml:space="preserve"> que habrían diferentes hipótesis y </w:t>
      </w:r>
      <w:r w:rsidR="000E03EC">
        <w:rPr>
          <w:rFonts w:ascii="Cambria" w:hAnsi="Cambria"/>
          <w:sz w:val="21"/>
          <w:szCs w:val="21"/>
          <w:lang w:val="es-MX"/>
        </w:rPr>
        <w:t xml:space="preserve">la </w:t>
      </w:r>
      <w:r w:rsidR="00997632">
        <w:rPr>
          <w:rFonts w:ascii="Cambria" w:hAnsi="Cambria"/>
          <w:sz w:val="21"/>
          <w:szCs w:val="21"/>
          <w:lang w:val="es-MX"/>
        </w:rPr>
        <w:t xml:space="preserve">investigación en curso </w:t>
      </w:r>
      <w:r w:rsidR="00335FB0">
        <w:rPr>
          <w:rFonts w:ascii="Cambria" w:hAnsi="Cambria"/>
          <w:sz w:val="21"/>
          <w:szCs w:val="21"/>
          <w:lang w:val="es-MX"/>
        </w:rPr>
        <w:t xml:space="preserve">a la fecha </w:t>
      </w:r>
      <w:r w:rsidR="00997632">
        <w:rPr>
          <w:rFonts w:ascii="Cambria" w:hAnsi="Cambria"/>
          <w:sz w:val="21"/>
          <w:szCs w:val="21"/>
          <w:lang w:val="es-MX"/>
        </w:rPr>
        <w:t xml:space="preserve">no </w:t>
      </w:r>
      <w:r w:rsidR="000E03EC">
        <w:rPr>
          <w:rFonts w:ascii="Cambria" w:hAnsi="Cambria"/>
          <w:sz w:val="21"/>
          <w:szCs w:val="21"/>
          <w:lang w:val="es-MX"/>
        </w:rPr>
        <w:t xml:space="preserve">habría establecido lo que habría ocurrido con la propuesta beneficiaria. </w:t>
      </w:r>
    </w:p>
    <w:p w:rsidR="00997632" w:rsidRPr="00997632" w:rsidRDefault="00997632" w:rsidP="00997632">
      <w:pPr>
        <w:jc w:val="both"/>
        <w:rPr>
          <w:rFonts w:ascii="Cambria" w:eastAsia="Calibri" w:hAnsi="Cambria"/>
          <w:sz w:val="21"/>
          <w:szCs w:val="21"/>
          <w:lang w:val="es-ES_tradnl"/>
        </w:rPr>
      </w:pPr>
    </w:p>
    <w:p w:rsidR="002834AB" w:rsidRDefault="00997632" w:rsidP="004726FB">
      <w:pPr>
        <w:pStyle w:val="ListParagraph"/>
        <w:numPr>
          <w:ilvl w:val="0"/>
          <w:numId w:val="1"/>
        </w:numPr>
        <w:ind w:left="0" w:firstLine="360"/>
        <w:jc w:val="both"/>
        <w:rPr>
          <w:rFonts w:ascii="Cambria" w:eastAsia="Calibri" w:hAnsi="Cambria"/>
          <w:sz w:val="21"/>
          <w:szCs w:val="21"/>
          <w:lang w:val="es-ES_tradnl"/>
        </w:rPr>
      </w:pPr>
      <w:r w:rsidRPr="004726FB">
        <w:rPr>
          <w:rFonts w:ascii="Cambria" w:eastAsia="Calibri" w:hAnsi="Cambria"/>
          <w:sz w:val="21"/>
          <w:szCs w:val="21"/>
          <w:lang w:val="es-ES_tradnl"/>
        </w:rPr>
        <w:t xml:space="preserve">La Comisión toma nota de </w:t>
      </w:r>
      <w:r w:rsidR="00695C33">
        <w:rPr>
          <w:rFonts w:ascii="Cambria" w:eastAsia="Calibri" w:hAnsi="Cambria"/>
          <w:sz w:val="21"/>
          <w:szCs w:val="21"/>
          <w:lang w:val="es-ES_tradnl"/>
        </w:rPr>
        <w:t>las</w:t>
      </w:r>
      <w:r w:rsidRPr="004726FB">
        <w:rPr>
          <w:rFonts w:ascii="Cambria" w:eastAsia="Calibri" w:hAnsi="Cambria"/>
          <w:sz w:val="21"/>
          <w:szCs w:val="21"/>
          <w:lang w:val="es-ES_tradnl"/>
        </w:rPr>
        <w:t xml:space="preserve"> diligencias</w:t>
      </w:r>
      <w:r w:rsidR="00695C33">
        <w:rPr>
          <w:rFonts w:ascii="Cambria" w:eastAsia="Calibri" w:hAnsi="Cambria"/>
          <w:sz w:val="21"/>
          <w:szCs w:val="21"/>
          <w:lang w:val="es-ES_tradnl"/>
        </w:rPr>
        <w:t xml:space="preserve"> e investigación que el Estado </w:t>
      </w:r>
      <w:r w:rsidR="00F8317C">
        <w:rPr>
          <w:rFonts w:ascii="Cambria" w:eastAsia="Calibri" w:hAnsi="Cambria"/>
          <w:sz w:val="21"/>
          <w:szCs w:val="21"/>
          <w:lang w:val="es-ES_tradnl"/>
        </w:rPr>
        <w:t xml:space="preserve">ha informado que lleva </w:t>
      </w:r>
      <w:r w:rsidR="00695C33">
        <w:rPr>
          <w:rFonts w:ascii="Cambria" w:eastAsia="Calibri" w:hAnsi="Cambria"/>
          <w:sz w:val="21"/>
          <w:szCs w:val="21"/>
          <w:lang w:val="es-ES_tradnl"/>
        </w:rPr>
        <w:t>a cabo</w:t>
      </w:r>
      <w:r w:rsidR="009630A4">
        <w:rPr>
          <w:rFonts w:ascii="Cambria" w:eastAsia="Calibri" w:hAnsi="Cambria"/>
          <w:sz w:val="21"/>
          <w:szCs w:val="21"/>
          <w:lang w:val="es-ES_tradnl"/>
        </w:rPr>
        <w:t xml:space="preserve"> </w:t>
      </w:r>
      <w:r w:rsidRPr="004726FB">
        <w:rPr>
          <w:rFonts w:ascii="Cambria" w:eastAsia="Calibri" w:hAnsi="Cambria"/>
          <w:sz w:val="21"/>
          <w:szCs w:val="21"/>
          <w:lang w:val="es-ES_tradnl"/>
        </w:rPr>
        <w:t xml:space="preserve">así como </w:t>
      </w:r>
      <w:r w:rsidR="004726FB" w:rsidRPr="004726FB">
        <w:rPr>
          <w:rFonts w:ascii="Cambria" w:eastAsia="Calibri" w:hAnsi="Cambria"/>
          <w:sz w:val="21"/>
          <w:szCs w:val="21"/>
          <w:lang w:val="es-ES_tradnl"/>
        </w:rPr>
        <w:t xml:space="preserve">las líneas de investigación abiertas </w:t>
      </w:r>
      <w:r w:rsidR="00335FB0">
        <w:rPr>
          <w:rFonts w:ascii="Cambria" w:eastAsia="Calibri" w:hAnsi="Cambria"/>
          <w:sz w:val="21"/>
          <w:szCs w:val="21"/>
          <w:lang w:val="es-ES_tradnl"/>
        </w:rPr>
        <w:t>sobre los hechos materia del presente asunto</w:t>
      </w:r>
      <w:r w:rsidR="004726FB" w:rsidRPr="004726FB">
        <w:rPr>
          <w:rFonts w:ascii="Cambria" w:hAnsi="Cambria"/>
          <w:sz w:val="21"/>
          <w:szCs w:val="21"/>
          <w:lang w:val="es-ES_tradnl"/>
        </w:rPr>
        <w:t xml:space="preserve">. La Comisión advierte, sin embargo, que </w:t>
      </w:r>
      <w:r w:rsidR="000E03EC">
        <w:rPr>
          <w:rFonts w:ascii="Cambria" w:hAnsi="Cambria"/>
          <w:sz w:val="21"/>
          <w:szCs w:val="21"/>
          <w:lang w:val="es-ES_tradnl"/>
        </w:rPr>
        <w:t>no existe controversia en cuanto a</w:t>
      </w:r>
      <w:r w:rsidR="004726FB" w:rsidRPr="004726FB">
        <w:rPr>
          <w:rFonts w:ascii="Cambria" w:hAnsi="Cambria"/>
          <w:sz w:val="21"/>
          <w:szCs w:val="21"/>
          <w:lang w:val="es-ES_tradnl"/>
        </w:rPr>
        <w:t xml:space="preserve"> que continuaría</w:t>
      </w:r>
      <w:r w:rsidR="004726FB">
        <w:rPr>
          <w:rFonts w:ascii="Cambria" w:hAnsi="Cambria"/>
          <w:sz w:val="21"/>
          <w:szCs w:val="21"/>
          <w:lang w:val="es-ES_tradnl"/>
        </w:rPr>
        <w:t xml:space="preserve"> sin conocerse </w:t>
      </w:r>
      <w:r w:rsidR="00695C33">
        <w:rPr>
          <w:rFonts w:ascii="Cambria" w:hAnsi="Cambria"/>
          <w:sz w:val="21"/>
          <w:szCs w:val="21"/>
          <w:lang w:val="es-ES_tradnl"/>
        </w:rPr>
        <w:t>el paradero de la propuesta beneficiaria</w:t>
      </w:r>
      <w:r w:rsidR="006266D1">
        <w:rPr>
          <w:rFonts w:ascii="Cambria" w:hAnsi="Cambria"/>
          <w:sz w:val="21"/>
          <w:szCs w:val="21"/>
          <w:lang w:val="es-ES_tradnl"/>
        </w:rPr>
        <w:t>.</w:t>
      </w:r>
    </w:p>
    <w:p w:rsidR="004726FB" w:rsidRPr="004726FB" w:rsidRDefault="004726FB" w:rsidP="004726FB">
      <w:pPr>
        <w:jc w:val="both"/>
        <w:rPr>
          <w:rFonts w:ascii="Cambria" w:eastAsia="Calibri" w:hAnsi="Cambria"/>
          <w:sz w:val="21"/>
          <w:szCs w:val="21"/>
          <w:lang w:val="es-ES_tradnl"/>
        </w:rPr>
      </w:pPr>
    </w:p>
    <w:p w:rsidR="00AC75B9" w:rsidRDefault="004726FB" w:rsidP="000534F2">
      <w:pPr>
        <w:pStyle w:val="ListParagraph"/>
        <w:numPr>
          <w:ilvl w:val="0"/>
          <w:numId w:val="1"/>
        </w:numPr>
        <w:ind w:left="0" w:firstLine="360"/>
        <w:jc w:val="both"/>
        <w:rPr>
          <w:rFonts w:ascii="Cambria" w:eastAsia="Calibri" w:hAnsi="Cambria"/>
          <w:sz w:val="21"/>
          <w:szCs w:val="21"/>
          <w:lang w:val="es-ES_tradnl"/>
        </w:rPr>
      </w:pPr>
      <w:r w:rsidRPr="006B69E7">
        <w:rPr>
          <w:rFonts w:ascii="Cambria" w:eastAsia="Calibri" w:hAnsi="Cambria"/>
          <w:sz w:val="21"/>
          <w:szCs w:val="21"/>
          <w:lang w:val="es-ES_tradnl"/>
        </w:rPr>
        <w:t xml:space="preserve">En vista de lo anterior, teniendo en cuenta las características específicas del presente asunto, y a luz del criterio de apreciación </w:t>
      </w:r>
      <w:r w:rsidRPr="006B69E7">
        <w:rPr>
          <w:rFonts w:ascii="Cambria" w:eastAsia="Calibri" w:hAnsi="Cambria"/>
          <w:i/>
          <w:sz w:val="21"/>
          <w:szCs w:val="21"/>
          <w:lang w:val="es-ES_tradnl"/>
        </w:rPr>
        <w:t>prima facie</w:t>
      </w:r>
      <w:r w:rsidRPr="006B69E7">
        <w:rPr>
          <w:rFonts w:ascii="Cambria" w:eastAsia="Calibri" w:hAnsi="Cambria"/>
          <w:sz w:val="21"/>
          <w:szCs w:val="21"/>
          <w:lang w:val="es-ES_tradnl"/>
        </w:rPr>
        <w:t xml:space="preserve"> </w:t>
      </w:r>
      <w:r w:rsidR="006B69E7" w:rsidRPr="006B69E7">
        <w:rPr>
          <w:rFonts w:ascii="Cambria" w:eastAsia="Calibri" w:hAnsi="Cambria"/>
          <w:sz w:val="21"/>
          <w:szCs w:val="21"/>
          <w:lang w:val="es-ES_tradnl"/>
        </w:rPr>
        <w:t xml:space="preserve">del mecanismo de medidas cautelares, la Comisión considera que los derechos a la vida e integridad personal de </w:t>
      </w:r>
      <w:proofErr w:type="spellStart"/>
      <w:r w:rsidR="00170F76">
        <w:rPr>
          <w:rFonts w:ascii="Cambria" w:hAnsi="Cambria"/>
          <w:sz w:val="21"/>
          <w:szCs w:val="21"/>
          <w:lang w:val="es-ES_tradnl"/>
        </w:rPr>
        <w:t>Ná</w:t>
      </w:r>
      <w:r w:rsidR="006B69E7" w:rsidRPr="006B69E7">
        <w:rPr>
          <w:rFonts w:ascii="Cambria" w:hAnsi="Cambria"/>
          <w:sz w:val="21"/>
          <w:szCs w:val="21"/>
          <w:lang w:val="es-ES_tradnl"/>
        </w:rPr>
        <w:t>thaly</w:t>
      </w:r>
      <w:proofErr w:type="spellEnd"/>
      <w:r w:rsidR="006B69E7" w:rsidRPr="006B69E7">
        <w:rPr>
          <w:rFonts w:ascii="Cambria" w:hAnsi="Cambria"/>
          <w:sz w:val="21"/>
          <w:szCs w:val="21"/>
          <w:lang w:val="es-ES_tradnl"/>
        </w:rPr>
        <w:t xml:space="preserve"> Sara Salazar Ayala</w:t>
      </w:r>
      <w:r w:rsidR="006B69E7" w:rsidRPr="006B69E7">
        <w:rPr>
          <w:rFonts w:ascii="Cambria" w:eastAsia="Calibri" w:hAnsi="Cambria"/>
          <w:sz w:val="21"/>
          <w:szCs w:val="21"/>
          <w:lang w:val="es-ES_tradnl"/>
        </w:rPr>
        <w:t xml:space="preserve"> se encuentran en una situación de grave riesgo, en la medida que no se conoce su destino o paradero hasta la fecha. </w:t>
      </w:r>
    </w:p>
    <w:p w:rsidR="006B69E7" w:rsidRPr="006B69E7" w:rsidRDefault="006B69E7" w:rsidP="006B69E7">
      <w:pPr>
        <w:pStyle w:val="ListParagraph"/>
        <w:ind w:left="360"/>
        <w:jc w:val="both"/>
        <w:rPr>
          <w:rFonts w:ascii="Cambria" w:eastAsia="Calibri" w:hAnsi="Cambria"/>
          <w:sz w:val="21"/>
          <w:szCs w:val="21"/>
          <w:lang w:val="es-ES_tradnl"/>
        </w:rPr>
      </w:pPr>
    </w:p>
    <w:p w:rsidR="00720F4F" w:rsidRPr="00B86A90" w:rsidRDefault="006B69E7" w:rsidP="00B86A90">
      <w:pPr>
        <w:pStyle w:val="ListParagraph"/>
        <w:numPr>
          <w:ilvl w:val="0"/>
          <w:numId w:val="1"/>
        </w:numPr>
        <w:ind w:left="0" w:firstLine="360"/>
        <w:jc w:val="both"/>
        <w:rPr>
          <w:rFonts w:ascii="Cambria" w:eastAsia="Calibri" w:hAnsi="Cambria"/>
          <w:sz w:val="21"/>
          <w:szCs w:val="21"/>
          <w:lang w:val="es-ES_tradnl"/>
        </w:rPr>
      </w:pPr>
      <w:r>
        <w:rPr>
          <w:rFonts w:ascii="Cambria" w:eastAsia="Calibri" w:hAnsi="Cambria"/>
          <w:sz w:val="21"/>
          <w:szCs w:val="21"/>
          <w:lang w:val="es-ES_tradnl"/>
        </w:rPr>
        <w:t>Respecto al requisito de urgencia, la Comisión considera que se encuentra igualmente cumplido, en la medida que el transcurso del tiempo</w:t>
      </w:r>
      <w:r w:rsidR="000E03EC">
        <w:rPr>
          <w:rFonts w:ascii="Cambria" w:eastAsia="Calibri" w:hAnsi="Cambria"/>
          <w:sz w:val="21"/>
          <w:szCs w:val="21"/>
          <w:lang w:val="es-ES_tradnl"/>
        </w:rPr>
        <w:t xml:space="preserve"> sin establecerse su paradero </w:t>
      </w:r>
      <w:r>
        <w:rPr>
          <w:rFonts w:ascii="Cambria" w:eastAsia="Calibri" w:hAnsi="Cambria"/>
          <w:sz w:val="21"/>
          <w:szCs w:val="21"/>
          <w:lang w:val="es-ES_tradnl"/>
        </w:rPr>
        <w:t xml:space="preserve">es susceptible de generar mayores afectaciones a los derechos a la vida e integridad personal de la propuesta beneficiaria. </w:t>
      </w:r>
    </w:p>
    <w:p w:rsidR="00E9223C" w:rsidRPr="006B69E7" w:rsidRDefault="00E9223C" w:rsidP="006B69E7">
      <w:pPr>
        <w:jc w:val="both"/>
        <w:rPr>
          <w:rFonts w:ascii="Cambria" w:eastAsia="Calibri" w:hAnsi="Cambria"/>
          <w:sz w:val="21"/>
          <w:szCs w:val="21"/>
          <w:lang w:val="es-ES_tradnl"/>
        </w:rPr>
      </w:pPr>
    </w:p>
    <w:p w:rsidR="00E9223C" w:rsidRDefault="00C11208" w:rsidP="00E9223C">
      <w:pPr>
        <w:pStyle w:val="ListParagraph"/>
        <w:numPr>
          <w:ilvl w:val="0"/>
          <w:numId w:val="1"/>
        </w:numPr>
        <w:ind w:left="0" w:firstLine="360"/>
        <w:jc w:val="both"/>
        <w:rPr>
          <w:rFonts w:ascii="Cambria" w:eastAsia="Calibri" w:hAnsi="Cambria"/>
          <w:sz w:val="21"/>
          <w:szCs w:val="21"/>
          <w:lang w:val="es-ES_tradnl"/>
        </w:rPr>
      </w:pPr>
      <w:r w:rsidRPr="00E9223C">
        <w:rPr>
          <w:rFonts w:ascii="Cambria" w:eastAsia="Calibri" w:hAnsi="Cambria"/>
          <w:sz w:val="21"/>
          <w:szCs w:val="21"/>
          <w:lang w:val="es-ES_tradnl"/>
        </w:rPr>
        <w:t xml:space="preserve"> </w:t>
      </w:r>
      <w:r w:rsidR="00E9223C" w:rsidRPr="00E9223C">
        <w:rPr>
          <w:rFonts w:ascii="Cambria" w:eastAsia="Calibri" w:hAnsi="Cambria"/>
          <w:sz w:val="21"/>
          <w:szCs w:val="21"/>
          <w:lang w:val="es-ES_tradnl"/>
        </w:rPr>
        <w:t xml:space="preserve">En cuanto al requisito de </w:t>
      </w:r>
      <w:proofErr w:type="spellStart"/>
      <w:r w:rsidR="00E9223C" w:rsidRPr="00E9223C">
        <w:rPr>
          <w:rFonts w:ascii="Cambria" w:eastAsia="Calibri" w:hAnsi="Cambria"/>
          <w:sz w:val="21"/>
          <w:szCs w:val="21"/>
          <w:lang w:val="es-ES_tradnl"/>
        </w:rPr>
        <w:t>irreparabilidad</w:t>
      </w:r>
      <w:proofErr w:type="spellEnd"/>
      <w:r w:rsidR="00E9223C" w:rsidRPr="00E9223C">
        <w:rPr>
          <w:rFonts w:ascii="Cambria" w:eastAsia="Calibri" w:hAnsi="Cambria"/>
          <w:sz w:val="21"/>
          <w:szCs w:val="21"/>
          <w:lang w:val="es-ES_tradnl"/>
        </w:rPr>
        <w:t xml:space="preserve">, la Comisión considera que se encuentra cumplido, en la medida que la potencial afectación a los derechos a la vida e integridad personal constituye la máxima situación de </w:t>
      </w:r>
      <w:proofErr w:type="spellStart"/>
      <w:r w:rsidR="00E9223C" w:rsidRPr="00E9223C">
        <w:rPr>
          <w:rFonts w:ascii="Cambria" w:eastAsia="Calibri" w:hAnsi="Cambria"/>
          <w:sz w:val="21"/>
          <w:szCs w:val="21"/>
          <w:lang w:val="es-ES_tradnl"/>
        </w:rPr>
        <w:t>irreparabilidad</w:t>
      </w:r>
      <w:proofErr w:type="spellEnd"/>
      <w:r w:rsidR="00E9223C" w:rsidRPr="00E9223C">
        <w:rPr>
          <w:rFonts w:ascii="Cambria" w:eastAsia="Calibri" w:hAnsi="Cambria"/>
          <w:sz w:val="21"/>
          <w:szCs w:val="21"/>
          <w:lang w:val="es-ES_tradnl"/>
        </w:rPr>
        <w:t>.</w:t>
      </w:r>
    </w:p>
    <w:p w:rsidR="00E9223C" w:rsidRDefault="00E9223C" w:rsidP="00E9223C">
      <w:pPr>
        <w:pStyle w:val="ListParagraph"/>
        <w:ind w:left="360"/>
        <w:jc w:val="both"/>
        <w:rPr>
          <w:rFonts w:ascii="Cambria" w:eastAsia="Calibri" w:hAnsi="Cambria"/>
          <w:sz w:val="21"/>
          <w:szCs w:val="21"/>
          <w:lang w:val="es-ES_tradnl"/>
        </w:rPr>
      </w:pPr>
    </w:p>
    <w:p w:rsidR="00007FC4" w:rsidRPr="00750048" w:rsidRDefault="00007FC4" w:rsidP="004E61D7">
      <w:pPr>
        <w:pStyle w:val="ListParagraph"/>
        <w:numPr>
          <w:ilvl w:val="0"/>
          <w:numId w:val="2"/>
        </w:numPr>
        <w:ind w:firstLine="0"/>
        <w:jc w:val="both"/>
        <w:rPr>
          <w:rFonts w:ascii="Cambria" w:hAnsi="Cambria"/>
          <w:b/>
          <w:bCs/>
          <w:sz w:val="21"/>
          <w:szCs w:val="21"/>
          <w:lang w:val="es-AR"/>
        </w:rPr>
      </w:pPr>
      <w:r w:rsidRPr="004E61D7">
        <w:rPr>
          <w:rFonts w:ascii="Cambria" w:eastAsia="Calibri" w:hAnsi="Cambria"/>
          <w:b/>
          <w:sz w:val="21"/>
          <w:szCs w:val="21"/>
          <w:lang w:val="es-ES_tradnl"/>
        </w:rPr>
        <w:t>BENEFICIARIOS</w:t>
      </w:r>
    </w:p>
    <w:p w:rsidR="00007FC4" w:rsidRPr="00750048" w:rsidRDefault="00007FC4" w:rsidP="00A94D9B">
      <w:pPr>
        <w:jc w:val="both"/>
        <w:rPr>
          <w:rFonts w:ascii="Cambria" w:hAnsi="Cambria"/>
          <w:sz w:val="21"/>
          <w:szCs w:val="21"/>
          <w:lang w:val="es-AR"/>
        </w:rPr>
      </w:pPr>
    </w:p>
    <w:p w:rsidR="008C714C" w:rsidRPr="008C714C" w:rsidRDefault="00007FC4" w:rsidP="008C714C">
      <w:pPr>
        <w:pStyle w:val="ListParagraph"/>
        <w:numPr>
          <w:ilvl w:val="0"/>
          <w:numId w:val="1"/>
        </w:numPr>
        <w:ind w:left="0" w:firstLine="360"/>
        <w:jc w:val="both"/>
        <w:rPr>
          <w:rFonts w:ascii="Cambria" w:hAnsi="Cambria"/>
          <w:sz w:val="21"/>
          <w:szCs w:val="21"/>
          <w:lang w:val="es-MX"/>
        </w:rPr>
      </w:pPr>
      <w:r w:rsidRPr="00750048">
        <w:rPr>
          <w:rFonts w:ascii="Cambria" w:hAnsi="Cambria"/>
          <w:sz w:val="21"/>
          <w:szCs w:val="21"/>
          <w:lang w:val="es-MX"/>
        </w:rPr>
        <w:t xml:space="preserve">La Comisión Interamericana declara que </w:t>
      </w:r>
      <w:r w:rsidR="000C31E1">
        <w:rPr>
          <w:rFonts w:ascii="Cambria" w:hAnsi="Cambria"/>
          <w:sz w:val="21"/>
          <w:szCs w:val="21"/>
          <w:lang w:val="es-MX"/>
        </w:rPr>
        <w:t>la beneficiaria</w:t>
      </w:r>
      <w:r w:rsidRPr="00750048">
        <w:rPr>
          <w:rFonts w:ascii="Cambria" w:hAnsi="Cambria"/>
          <w:sz w:val="21"/>
          <w:szCs w:val="21"/>
          <w:lang w:val="es-MX"/>
        </w:rPr>
        <w:t xml:space="preserve"> de</w:t>
      </w:r>
      <w:r w:rsidR="008E2BB1" w:rsidRPr="00750048">
        <w:rPr>
          <w:rFonts w:ascii="Cambria" w:hAnsi="Cambria"/>
          <w:sz w:val="21"/>
          <w:szCs w:val="21"/>
          <w:lang w:val="es-MX"/>
        </w:rPr>
        <w:t xml:space="preserve"> la presente medida cautelar </w:t>
      </w:r>
      <w:r w:rsidR="00337FCF">
        <w:rPr>
          <w:rFonts w:ascii="Cambria" w:hAnsi="Cambria"/>
          <w:sz w:val="21"/>
          <w:szCs w:val="21"/>
          <w:lang w:val="es-MX"/>
        </w:rPr>
        <w:t>es</w:t>
      </w:r>
      <w:r w:rsidR="002A6E25" w:rsidRPr="00750048">
        <w:rPr>
          <w:rFonts w:ascii="Cambria" w:hAnsi="Cambria"/>
          <w:sz w:val="21"/>
          <w:szCs w:val="21"/>
          <w:lang w:val="es-MX"/>
        </w:rPr>
        <w:t xml:space="preserve"> </w:t>
      </w:r>
      <w:proofErr w:type="spellStart"/>
      <w:r w:rsidR="00170F76">
        <w:rPr>
          <w:rFonts w:ascii="Cambria" w:hAnsi="Cambria"/>
          <w:sz w:val="21"/>
          <w:szCs w:val="21"/>
          <w:lang w:val="es-ES_tradnl"/>
        </w:rPr>
        <w:t>Ná</w:t>
      </w:r>
      <w:r w:rsidR="000C31E1" w:rsidRPr="006B69E7">
        <w:rPr>
          <w:rFonts w:ascii="Cambria" w:hAnsi="Cambria"/>
          <w:sz w:val="21"/>
          <w:szCs w:val="21"/>
          <w:lang w:val="es-ES_tradnl"/>
        </w:rPr>
        <w:t>thaly</w:t>
      </w:r>
      <w:proofErr w:type="spellEnd"/>
      <w:r w:rsidR="000C31E1" w:rsidRPr="006B69E7">
        <w:rPr>
          <w:rFonts w:ascii="Cambria" w:hAnsi="Cambria"/>
          <w:sz w:val="21"/>
          <w:szCs w:val="21"/>
          <w:lang w:val="es-ES_tradnl"/>
        </w:rPr>
        <w:t xml:space="preserve"> Sara Salazar Ayala</w:t>
      </w:r>
      <w:r w:rsidR="00337FCF">
        <w:rPr>
          <w:rFonts w:ascii="Cambria" w:hAnsi="Cambria"/>
          <w:sz w:val="21"/>
          <w:szCs w:val="21"/>
          <w:lang w:val="es-ES_tradnl"/>
        </w:rPr>
        <w:t>, quien s</w:t>
      </w:r>
      <w:r w:rsidR="000C31E1">
        <w:rPr>
          <w:rFonts w:ascii="Cambria" w:hAnsi="Cambria"/>
          <w:sz w:val="21"/>
          <w:szCs w:val="21"/>
          <w:lang w:val="es-ES_tradnl"/>
        </w:rPr>
        <w:t xml:space="preserve">e </w:t>
      </w:r>
      <w:r w:rsidR="0039006B">
        <w:rPr>
          <w:rFonts w:ascii="Cambria" w:hAnsi="Cambria"/>
          <w:sz w:val="21"/>
          <w:szCs w:val="21"/>
          <w:lang w:val="es-ES_tradnl"/>
        </w:rPr>
        <w:t xml:space="preserve">encuentra </w:t>
      </w:r>
      <w:r w:rsidR="000C31E1">
        <w:rPr>
          <w:rFonts w:ascii="Cambria" w:hAnsi="Cambria"/>
          <w:sz w:val="21"/>
          <w:szCs w:val="21"/>
          <w:lang w:val="es-ES_tradnl"/>
        </w:rPr>
        <w:t>debidamente identificada</w:t>
      </w:r>
      <w:r w:rsidR="00337FCF">
        <w:rPr>
          <w:rFonts w:ascii="Cambria" w:hAnsi="Cambria"/>
          <w:sz w:val="21"/>
          <w:szCs w:val="21"/>
          <w:lang w:val="es-ES_tradnl"/>
        </w:rPr>
        <w:t>.</w:t>
      </w:r>
    </w:p>
    <w:p w:rsidR="00007FC4" w:rsidRPr="00750048" w:rsidRDefault="00007FC4" w:rsidP="00A94D9B">
      <w:pPr>
        <w:jc w:val="both"/>
        <w:rPr>
          <w:rFonts w:ascii="Cambria" w:hAnsi="Cambria"/>
          <w:sz w:val="21"/>
          <w:szCs w:val="21"/>
          <w:lang w:val="es-MX"/>
        </w:rPr>
      </w:pPr>
    </w:p>
    <w:p w:rsidR="00007FC4" w:rsidRPr="00750048" w:rsidRDefault="00007FC4" w:rsidP="004E61D7">
      <w:pPr>
        <w:pStyle w:val="ListParagraph"/>
        <w:numPr>
          <w:ilvl w:val="0"/>
          <w:numId w:val="2"/>
        </w:numPr>
        <w:ind w:firstLine="0"/>
        <w:jc w:val="both"/>
        <w:rPr>
          <w:rFonts w:ascii="Cambria" w:hAnsi="Cambria"/>
          <w:b/>
          <w:bCs/>
          <w:sz w:val="21"/>
          <w:szCs w:val="21"/>
          <w:lang w:val="es-AR"/>
        </w:rPr>
      </w:pPr>
      <w:r w:rsidRPr="004E61D7">
        <w:rPr>
          <w:rFonts w:ascii="Cambria" w:eastAsia="Calibri" w:hAnsi="Cambria"/>
          <w:b/>
          <w:sz w:val="21"/>
          <w:szCs w:val="21"/>
          <w:lang w:val="es-ES_tradnl"/>
        </w:rPr>
        <w:t>DECISIÓN</w:t>
      </w:r>
    </w:p>
    <w:p w:rsidR="00007FC4" w:rsidRPr="00750048" w:rsidRDefault="00007FC4" w:rsidP="00A94D9B">
      <w:pPr>
        <w:jc w:val="both"/>
        <w:rPr>
          <w:rFonts w:ascii="Cambria" w:hAnsi="Cambria"/>
          <w:sz w:val="21"/>
          <w:szCs w:val="21"/>
          <w:lang w:val="es-AR"/>
        </w:rPr>
      </w:pPr>
    </w:p>
    <w:p w:rsidR="00CD1171" w:rsidRPr="00750048" w:rsidRDefault="00007FC4" w:rsidP="00CD1171">
      <w:pPr>
        <w:pStyle w:val="ListParagraph"/>
        <w:numPr>
          <w:ilvl w:val="0"/>
          <w:numId w:val="1"/>
        </w:numPr>
        <w:ind w:left="0" w:firstLine="360"/>
        <w:jc w:val="both"/>
        <w:rPr>
          <w:rFonts w:ascii="Cambria" w:hAnsi="Cambria"/>
          <w:sz w:val="21"/>
          <w:szCs w:val="21"/>
          <w:lang w:val="es-MX"/>
        </w:rPr>
      </w:pPr>
      <w:r w:rsidRPr="00750048">
        <w:rPr>
          <w:rFonts w:ascii="Cambria" w:hAnsi="Cambria"/>
          <w:sz w:val="21"/>
          <w:szCs w:val="21"/>
          <w:lang w:val="es-MX"/>
        </w:rPr>
        <w:t xml:space="preserve">La Comisión Interamericana de Derechos Humanos considera que el presente asunto reúne </w:t>
      </w:r>
      <w:r w:rsidRPr="00750048">
        <w:rPr>
          <w:rFonts w:ascii="Cambria" w:hAnsi="Cambria"/>
          <w:i/>
          <w:sz w:val="21"/>
          <w:szCs w:val="21"/>
          <w:lang w:val="es-MX"/>
        </w:rPr>
        <w:t>prima facie</w:t>
      </w:r>
      <w:r w:rsidRPr="00750048">
        <w:rPr>
          <w:rFonts w:ascii="Cambria" w:hAnsi="Cambria"/>
          <w:sz w:val="21"/>
          <w:szCs w:val="21"/>
          <w:lang w:val="es-MX"/>
        </w:rPr>
        <w:t xml:space="preserve"> los requisitos de gravedad, urgencia e </w:t>
      </w:r>
      <w:proofErr w:type="spellStart"/>
      <w:r w:rsidRPr="00750048">
        <w:rPr>
          <w:rFonts w:ascii="Cambria" w:hAnsi="Cambria"/>
          <w:sz w:val="21"/>
          <w:szCs w:val="21"/>
          <w:lang w:val="es-MX"/>
        </w:rPr>
        <w:t>irreparabilidad</w:t>
      </w:r>
      <w:proofErr w:type="spellEnd"/>
      <w:r w:rsidRPr="00750048">
        <w:rPr>
          <w:rFonts w:ascii="Cambria" w:hAnsi="Cambria"/>
          <w:sz w:val="21"/>
          <w:szCs w:val="21"/>
          <w:lang w:val="es-MX"/>
        </w:rPr>
        <w:t xml:space="preserve"> contenidos en el artículo 25 de su Reglamento. En consecuencia, la Comisión solicita </w:t>
      </w:r>
      <w:r w:rsidR="002A6E25" w:rsidRPr="00750048">
        <w:rPr>
          <w:rFonts w:ascii="Cambria" w:hAnsi="Cambria"/>
          <w:sz w:val="21"/>
          <w:szCs w:val="21"/>
          <w:lang w:val="es-MX"/>
        </w:rPr>
        <w:t xml:space="preserve">a </w:t>
      </w:r>
      <w:r w:rsidR="000C31E1">
        <w:rPr>
          <w:rFonts w:ascii="Cambria" w:hAnsi="Cambria"/>
          <w:sz w:val="21"/>
          <w:szCs w:val="21"/>
          <w:lang w:val="es-MX"/>
        </w:rPr>
        <w:t>Perú</w:t>
      </w:r>
      <w:r w:rsidR="00CD1171" w:rsidRPr="00750048">
        <w:rPr>
          <w:rFonts w:ascii="Cambria" w:hAnsi="Cambria"/>
          <w:sz w:val="21"/>
          <w:szCs w:val="21"/>
          <w:lang w:val="es-MX"/>
        </w:rPr>
        <w:t xml:space="preserve"> que:</w:t>
      </w:r>
    </w:p>
    <w:p w:rsidR="00337FCF" w:rsidRPr="000C31E1" w:rsidRDefault="00337FCF" w:rsidP="000C31E1">
      <w:pPr>
        <w:jc w:val="both"/>
        <w:rPr>
          <w:rFonts w:ascii="Cambria" w:hAnsi="Cambria"/>
          <w:sz w:val="21"/>
          <w:szCs w:val="21"/>
          <w:lang w:val="es-MX"/>
        </w:rPr>
      </w:pPr>
    </w:p>
    <w:p w:rsidR="000C31E1" w:rsidRPr="000C31E1" w:rsidRDefault="00337FCF" w:rsidP="00337FCF">
      <w:pPr>
        <w:pStyle w:val="ListParagraph"/>
        <w:numPr>
          <w:ilvl w:val="0"/>
          <w:numId w:val="38"/>
        </w:numPr>
        <w:jc w:val="both"/>
        <w:rPr>
          <w:rFonts w:ascii="Cambria" w:hAnsi="Cambria"/>
          <w:sz w:val="21"/>
          <w:szCs w:val="21"/>
          <w:lang w:val="es-MX"/>
        </w:rPr>
      </w:pPr>
      <w:r w:rsidRPr="00337FCF">
        <w:rPr>
          <w:rFonts w:ascii="Cambria" w:hAnsi="Cambria"/>
          <w:sz w:val="21"/>
          <w:szCs w:val="21"/>
          <w:lang w:val="es-MX"/>
        </w:rPr>
        <w:t xml:space="preserve">adopte las medidas necesarias para </w:t>
      </w:r>
      <w:r w:rsidR="000C31E1">
        <w:rPr>
          <w:rFonts w:ascii="Cambria" w:hAnsi="Cambria"/>
          <w:sz w:val="21"/>
          <w:szCs w:val="21"/>
          <w:lang w:val="es-MX"/>
        </w:rPr>
        <w:t xml:space="preserve">determinar la situación y el paradero de </w:t>
      </w:r>
      <w:proofErr w:type="spellStart"/>
      <w:r w:rsidR="00170F76">
        <w:rPr>
          <w:rFonts w:ascii="Cambria" w:hAnsi="Cambria"/>
          <w:sz w:val="21"/>
          <w:szCs w:val="21"/>
          <w:lang w:val="es-ES_tradnl"/>
        </w:rPr>
        <w:t>Ná</w:t>
      </w:r>
      <w:r w:rsidR="000C31E1" w:rsidRPr="006B69E7">
        <w:rPr>
          <w:rFonts w:ascii="Cambria" w:hAnsi="Cambria"/>
          <w:sz w:val="21"/>
          <w:szCs w:val="21"/>
          <w:lang w:val="es-ES_tradnl"/>
        </w:rPr>
        <w:t>thaly</w:t>
      </w:r>
      <w:proofErr w:type="spellEnd"/>
      <w:r w:rsidR="000C31E1" w:rsidRPr="006B69E7">
        <w:rPr>
          <w:rFonts w:ascii="Cambria" w:hAnsi="Cambria"/>
          <w:sz w:val="21"/>
          <w:szCs w:val="21"/>
          <w:lang w:val="es-ES_tradnl"/>
        </w:rPr>
        <w:t xml:space="preserve"> Sara Salazar Ayala</w:t>
      </w:r>
      <w:r w:rsidR="000C31E1">
        <w:rPr>
          <w:rFonts w:ascii="Cambria" w:eastAsia="Calibri" w:hAnsi="Cambria"/>
          <w:sz w:val="21"/>
          <w:szCs w:val="21"/>
          <w:lang w:val="es-ES_tradnl"/>
        </w:rPr>
        <w:t>, con el fin de proteger sus derechos a la vida e integridad personal y</w:t>
      </w:r>
    </w:p>
    <w:p w:rsidR="000C31E1" w:rsidRPr="000C31E1" w:rsidRDefault="000C31E1" w:rsidP="000C31E1">
      <w:pPr>
        <w:pStyle w:val="ListParagraph"/>
        <w:rPr>
          <w:rFonts w:ascii="Cambria" w:hAnsi="Cambria"/>
          <w:sz w:val="21"/>
          <w:szCs w:val="21"/>
          <w:lang w:val="es-MX"/>
        </w:rPr>
      </w:pPr>
    </w:p>
    <w:p w:rsidR="0098611A" w:rsidRPr="000C31E1" w:rsidRDefault="000C31E1" w:rsidP="000C31E1">
      <w:pPr>
        <w:pStyle w:val="ListParagraph"/>
        <w:numPr>
          <w:ilvl w:val="0"/>
          <w:numId w:val="38"/>
        </w:numPr>
        <w:jc w:val="both"/>
        <w:rPr>
          <w:rFonts w:ascii="Cambria" w:hAnsi="Cambria"/>
          <w:sz w:val="21"/>
          <w:szCs w:val="21"/>
          <w:lang w:val="es-MX"/>
        </w:rPr>
      </w:pPr>
      <w:r w:rsidRPr="00337FCF">
        <w:rPr>
          <w:rFonts w:ascii="Cambria" w:hAnsi="Cambria"/>
          <w:sz w:val="21"/>
          <w:szCs w:val="21"/>
          <w:lang w:val="es-MX"/>
        </w:rPr>
        <w:t>informe sobre las acciones adelantadas a fin de investigar los presuntos hechos que dieron lugar a la adopción de la presente resolución y así evitar su repetición.</w:t>
      </w:r>
    </w:p>
    <w:p w:rsidR="00337FCF" w:rsidRPr="00750048" w:rsidRDefault="00337FCF" w:rsidP="00CD1171">
      <w:pPr>
        <w:jc w:val="both"/>
        <w:rPr>
          <w:rFonts w:ascii="Cambria" w:hAnsi="Cambria"/>
          <w:sz w:val="21"/>
          <w:szCs w:val="21"/>
          <w:lang w:val="es-MX"/>
        </w:rPr>
      </w:pPr>
    </w:p>
    <w:p w:rsidR="00007FC4" w:rsidRPr="00750048" w:rsidRDefault="00007FC4" w:rsidP="00A94D9B">
      <w:pPr>
        <w:pStyle w:val="ListParagraph"/>
        <w:numPr>
          <w:ilvl w:val="0"/>
          <w:numId w:val="1"/>
        </w:numPr>
        <w:ind w:left="0" w:firstLine="360"/>
        <w:jc w:val="both"/>
        <w:rPr>
          <w:rFonts w:ascii="Cambria" w:hAnsi="Cambria"/>
          <w:sz w:val="21"/>
          <w:szCs w:val="21"/>
          <w:lang w:val="es-AR"/>
        </w:rPr>
      </w:pPr>
      <w:r w:rsidRPr="00750048">
        <w:rPr>
          <w:rFonts w:ascii="Cambria" w:hAnsi="Cambria"/>
          <w:sz w:val="21"/>
          <w:szCs w:val="21"/>
          <w:lang w:val="es-ES"/>
        </w:rPr>
        <w:t xml:space="preserve">La Comisión solicita al Gobierno de </w:t>
      </w:r>
      <w:r w:rsidR="000C31E1">
        <w:rPr>
          <w:rFonts w:ascii="Cambria" w:hAnsi="Cambria"/>
          <w:sz w:val="21"/>
          <w:szCs w:val="21"/>
          <w:lang w:val="es-ES"/>
        </w:rPr>
        <w:t>Perú</w:t>
      </w:r>
      <w:r w:rsidRPr="00750048">
        <w:rPr>
          <w:rFonts w:ascii="Cambria" w:hAnsi="Cambria"/>
          <w:sz w:val="21"/>
          <w:szCs w:val="21"/>
          <w:lang w:val="es-ES"/>
        </w:rPr>
        <w:t xml:space="preserve"> que informe, dentro del plazo de </w:t>
      </w:r>
      <w:r w:rsidR="0039006B">
        <w:rPr>
          <w:rFonts w:ascii="Cambria" w:hAnsi="Cambria"/>
          <w:sz w:val="21"/>
          <w:szCs w:val="21"/>
          <w:lang w:val="es-ES"/>
        </w:rPr>
        <w:t>15</w:t>
      </w:r>
      <w:r w:rsidRPr="00750048">
        <w:rPr>
          <w:rFonts w:ascii="Cambria" w:hAnsi="Cambria"/>
          <w:sz w:val="21"/>
          <w:szCs w:val="21"/>
          <w:lang w:val="es-ES"/>
        </w:rPr>
        <w:t xml:space="preserve"> días</w:t>
      </w:r>
      <w:r w:rsidR="00F22460" w:rsidRPr="00750048">
        <w:rPr>
          <w:rFonts w:ascii="Cambria" w:hAnsi="Cambria"/>
          <w:sz w:val="21"/>
          <w:szCs w:val="21"/>
          <w:lang w:val="es-ES"/>
        </w:rPr>
        <w:t>,</w:t>
      </w:r>
      <w:r w:rsidRPr="00750048">
        <w:rPr>
          <w:rFonts w:ascii="Cambria" w:hAnsi="Cambria"/>
          <w:sz w:val="21"/>
          <w:szCs w:val="21"/>
          <w:lang w:val="es-ES"/>
        </w:rPr>
        <w:t xml:space="preserve"> contados a partir de la fecha de la presente resolución, sobre la adopción de las medidas cautelares requeridas y actualizar dicha información en forma periódica. </w:t>
      </w:r>
    </w:p>
    <w:p w:rsidR="00007FC4" w:rsidRPr="00750048" w:rsidRDefault="00007FC4" w:rsidP="00A94D9B">
      <w:pPr>
        <w:ind w:left="360"/>
        <w:jc w:val="both"/>
        <w:rPr>
          <w:rFonts w:ascii="Cambria" w:hAnsi="Cambria"/>
          <w:sz w:val="21"/>
          <w:szCs w:val="21"/>
          <w:lang w:val="es-AR"/>
        </w:rPr>
      </w:pPr>
    </w:p>
    <w:p w:rsidR="00007FC4" w:rsidRPr="00750048" w:rsidRDefault="00007FC4" w:rsidP="00A94D9B">
      <w:pPr>
        <w:pStyle w:val="ListParagraph"/>
        <w:numPr>
          <w:ilvl w:val="0"/>
          <w:numId w:val="1"/>
        </w:numPr>
        <w:ind w:left="0" w:firstLine="360"/>
        <w:jc w:val="both"/>
        <w:rPr>
          <w:rFonts w:ascii="Cambria" w:hAnsi="Cambria"/>
          <w:sz w:val="21"/>
          <w:szCs w:val="21"/>
          <w:lang w:val="es-AR"/>
        </w:rPr>
      </w:pPr>
      <w:r w:rsidRPr="00750048">
        <w:rPr>
          <w:rFonts w:ascii="Cambria" w:hAnsi="Cambria"/>
          <w:sz w:val="21"/>
          <w:szCs w:val="21"/>
          <w:lang w:val="es-ES"/>
        </w:rPr>
        <w:lastRenderedPageBreak/>
        <w:t>La Comisión resalta que</w:t>
      </w:r>
      <w:r w:rsidR="00F22460" w:rsidRPr="00750048">
        <w:rPr>
          <w:rFonts w:ascii="Cambria" w:hAnsi="Cambria"/>
          <w:sz w:val="21"/>
          <w:szCs w:val="21"/>
          <w:lang w:val="es-ES"/>
        </w:rPr>
        <w:t>,</w:t>
      </w:r>
      <w:r w:rsidRPr="00750048">
        <w:rPr>
          <w:rFonts w:ascii="Cambria" w:hAnsi="Cambria"/>
          <w:sz w:val="21"/>
          <w:szCs w:val="21"/>
          <w:lang w:val="es-ES"/>
        </w:rPr>
        <w:t xml:space="preserve"> de acuerdo con el artículo 25 (8) de su Reglamento, el otorgamiento</w:t>
      </w:r>
      <w:r w:rsidR="00F22460" w:rsidRPr="00750048">
        <w:rPr>
          <w:rFonts w:ascii="Cambria" w:hAnsi="Cambria"/>
          <w:sz w:val="21"/>
          <w:szCs w:val="21"/>
          <w:lang w:val="es-ES"/>
        </w:rPr>
        <w:t xml:space="preserve"> de la presente medida cautelar</w:t>
      </w:r>
      <w:r w:rsidRPr="00750048">
        <w:rPr>
          <w:rFonts w:ascii="Cambria" w:hAnsi="Cambria"/>
          <w:sz w:val="21"/>
          <w:szCs w:val="21"/>
          <w:lang w:val="es-ES"/>
        </w:rPr>
        <w:t xml:space="preserve"> y su adopción por el Estado no constituyen prejuzgamiento sobre violación alguna a los derechos protegidos en</w:t>
      </w:r>
      <w:r w:rsidR="009630A4">
        <w:rPr>
          <w:rFonts w:ascii="Cambria" w:hAnsi="Cambria"/>
          <w:sz w:val="21"/>
          <w:szCs w:val="21"/>
          <w:lang w:val="es-ES"/>
        </w:rPr>
        <w:t xml:space="preserve"> la</w:t>
      </w:r>
      <w:r w:rsidR="009630A4" w:rsidRPr="009630A4">
        <w:rPr>
          <w:rFonts w:ascii="Cambria" w:hAnsi="Cambria"/>
          <w:color w:val="000000"/>
          <w:sz w:val="21"/>
          <w:szCs w:val="21"/>
          <w:lang w:val="es-ES"/>
        </w:rPr>
        <w:t xml:space="preserve"> </w:t>
      </w:r>
      <w:r w:rsidR="009630A4" w:rsidRPr="00A57FC8">
        <w:rPr>
          <w:rFonts w:ascii="Cambria" w:hAnsi="Cambria"/>
          <w:color w:val="000000"/>
          <w:sz w:val="21"/>
          <w:szCs w:val="21"/>
          <w:lang w:val="es-ES"/>
        </w:rPr>
        <w:t>Convención Americana y otros instrumentos aplicables</w:t>
      </w:r>
      <w:r w:rsidRPr="00750048">
        <w:rPr>
          <w:rFonts w:ascii="Cambria" w:hAnsi="Cambria"/>
          <w:sz w:val="21"/>
          <w:szCs w:val="21"/>
          <w:lang w:val="es-ES"/>
        </w:rPr>
        <w:t xml:space="preserve">. </w:t>
      </w:r>
    </w:p>
    <w:p w:rsidR="00007FC4" w:rsidRPr="00750048" w:rsidRDefault="00007FC4" w:rsidP="00A94D9B">
      <w:pPr>
        <w:ind w:left="360"/>
        <w:jc w:val="both"/>
        <w:rPr>
          <w:rFonts w:ascii="Cambria" w:hAnsi="Cambria"/>
          <w:sz w:val="21"/>
          <w:szCs w:val="21"/>
          <w:lang w:val="es-AR"/>
        </w:rPr>
      </w:pPr>
    </w:p>
    <w:p w:rsidR="00007FC4" w:rsidRPr="00750048" w:rsidRDefault="00007FC4" w:rsidP="00A94D9B">
      <w:pPr>
        <w:pStyle w:val="ListParagraph"/>
        <w:numPr>
          <w:ilvl w:val="0"/>
          <w:numId w:val="1"/>
        </w:numPr>
        <w:ind w:left="0" w:firstLine="360"/>
        <w:jc w:val="both"/>
        <w:rPr>
          <w:rFonts w:ascii="Cambria" w:hAnsi="Cambria"/>
          <w:sz w:val="21"/>
          <w:szCs w:val="21"/>
          <w:lang w:val="es-AR"/>
        </w:rPr>
      </w:pPr>
      <w:r w:rsidRPr="00750048">
        <w:rPr>
          <w:rFonts w:ascii="Cambria" w:hAnsi="Cambria"/>
          <w:sz w:val="21"/>
          <w:szCs w:val="21"/>
          <w:lang w:val="es-AR"/>
        </w:rPr>
        <w:t>La Comisión dispone que la Secretaría Ejecutiva de la CIDH notifique la presente resolución a</w:t>
      </w:r>
      <w:r w:rsidR="008C714C">
        <w:rPr>
          <w:rFonts w:ascii="Cambria" w:hAnsi="Cambria"/>
          <w:sz w:val="21"/>
          <w:szCs w:val="21"/>
          <w:lang w:val="es-AR"/>
        </w:rPr>
        <w:t>l</w:t>
      </w:r>
      <w:r w:rsidRPr="00750048">
        <w:rPr>
          <w:rFonts w:ascii="Cambria" w:hAnsi="Cambria"/>
          <w:sz w:val="21"/>
          <w:szCs w:val="21"/>
          <w:lang w:val="es-AR"/>
        </w:rPr>
        <w:t xml:space="preserve"> </w:t>
      </w:r>
      <w:r w:rsidR="008C714C">
        <w:rPr>
          <w:rFonts w:ascii="Cambria" w:hAnsi="Cambria"/>
          <w:sz w:val="21"/>
          <w:szCs w:val="21"/>
          <w:lang w:val="es-ES"/>
        </w:rPr>
        <w:t>Estado de Perú</w:t>
      </w:r>
      <w:r w:rsidR="008C714C">
        <w:rPr>
          <w:rFonts w:ascii="Cambria" w:hAnsi="Cambria"/>
          <w:sz w:val="21"/>
          <w:szCs w:val="21"/>
          <w:lang w:val="es-AR"/>
        </w:rPr>
        <w:t xml:space="preserve"> y a la solicitante</w:t>
      </w:r>
      <w:r w:rsidRPr="00750048">
        <w:rPr>
          <w:rFonts w:ascii="Cambria" w:hAnsi="Cambria"/>
          <w:sz w:val="21"/>
          <w:szCs w:val="21"/>
          <w:lang w:val="es-AR"/>
        </w:rPr>
        <w:t>.</w:t>
      </w:r>
    </w:p>
    <w:p w:rsidR="00007FC4" w:rsidRPr="00750048" w:rsidRDefault="00007FC4" w:rsidP="00A94D9B">
      <w:pPr>
        <w:ind w:left="360"/>
        <w:jc w:val="both"/>
        <w:rPr>
          <w:rFonts w:ascii="Cambria" w:hAnsi="Cambria"/>
          <w:sz w:val="21"/>
          <w:szCs w:val="21"/>
          <w:lang w:val="es-AR"/>
        </w:rPr>
      </w:pPr>
    </w:p>
    <w:p w:rsidR="00E63345" w:rsidRPr="009E0CA4" w:rsidRDefault="00E63345" w:rsidP="00E63345">
      <w:pPr>
        <w:pStyle w:val="ListParagraph"/>
        <w:numPr>
          <w:ilvl w:val="0"/>
          <w:numId w:val="1"/>
        </w:numPr>
        <w:ind w:left="0" w:firstLine="360"/>
        <w:jc w:val="both"/>
        <w:rPr>
          <w:rFonts w:ascii="Cambria" w:hAnsi="Cambria"/>
          <w:sz w:val="21"/>
          <w:szCs w:val="21"/>
          <w:lang w:val="es-CO"/>
        </w:rPr>
      </w:pPr>
      <w:r w:rsidRPr="00A26096">
        <w:rPr>
          <w:rFonts w:ascii="Cambria" w:hAnsi="Cambria"/>
          <w:color w:val="000000"/>
          <w:sz w:val="21"/>
          <w:szCs w:val="21"/>
          <w:lang w:val="es-ES"/>
        </w:rPr>
        <w:t xml:space="preserve">Aprobado el </w:t>
      </w:r>
      <w:r w:rsidR="00647B11">
        <w:rPr>
          <w:rFonts w:ascii="Cambria" w:hAnsi="Cambria"/>
          <w:color w:val="000000"/>
          <w:sz w:val="21"/>
          <w:szCs w:val="21"/>
          <w:lang w:val="es-ES"/>
        </w:rPr>
        <w:t>8</w:t>
      </w:r>
      <w:r>
        <w:rPr>
          <w:rFonts w:ascii="Cambria" w:hAnsi="Cambria"/>
          <w:color w:val="000000"/>
          <w:sz w:val="21"/>
          <w:szCs w:val="21"/>
          <w:lang w:val="es-ES"/>
        </w:rPr>
        <w:t xml:space="preserve"> </w:t>
      </w:r>
      <w:r w:rsidRPr="00A26096">
        <w:rPr>
          <w:rFonts w:ascii="Cambria" w:hAnsi="Cambria"/>
          <w:color w:val="000000"/>
          <w:sz w:val="21"/>
          <w:szCs w:val="21"/>
          <w:lang w:val="es-ES"/>
        </w:rPr>
        <w:t xml:space="preserve">de </w:t>
      </w:r>
      <w:r>
        <w:rPr>
          <w:rFonts w:ascii="Cambria" w:hAnsi="Cambria"/>
          <w:color w:val="000000"/>
          <w:sz w:val="21"/>
          <w:szCs w:val="21"/>
          <w:lang w:val="es-ES"/>
        </w:rPr>
        <w:t xml:space="preserve">abril </w:t>
      </w:r>
      <w:r w:rsidRPr="00A26096">
        <w:rPr>
          <w:rFonts w:ascii="Cambria" w:hAnsi="Cambria"/>
          <w:color w:val="000000"/>
          <w:sz w:val="21"/>
          <w:szCs w:val="21"/>
          <w:lang w:val="es-ES"/>
        </w:rPr>
        <w:t xml:space="preserve">de 2018 por: </w:t>
      </w:r>
      <w:proofErr w:type="spellStart"/>
      <w:r w:rsidRPr="009E0CA4">
        <w:rPr>
          <w:rFonts w:ascii="Cambria" w:hAnsi="Cambria"/>
          <w:color w:val="000000"/>
          <w:sz w:val="21"/>
          <w:szCs w:val="21"/>
          <w:lang w:val="es-ES"/>
        </w:rPr>
        <w:t>Margarette</w:t>
      </w:r>
      <w:proofErr w:type="spellEnd"/>
      <w:r w:rsidRPr="009E0CA4">
        <w:rPr>
          <w:rFonts w:ascii="Cambria" w:hAnsi="Cambria"/>
          <w:color w:val="000000"/>
          <w:sz w:val="21"/>
          <w:szCs w:val="21"/>
          <w:lang w:val="es-ES"/>
        </w:rPr>
        <w:t xml:space="preserve"> </w:t>
      </w:r>
      <w:proofErr w:type="spellStart"/>
      <w:r w:rsidRPr="009E0CA4">
        <w:rPr>
          <w:rFonts w:ascii="Cambria" w:hAnsi="Cambria"/>
          <w:color w:val="000000"/>
          <w:sz w:val="21"/>
          <w:szCs w:val="21"/>
          <w:lang w:val="es-ES"/>
        </w:rPr>
        <w:t>May</w:t>
      </w:r>
      <w:proofErr w:type="spellEnd"/>
      <w:r w:rsidRPr="009E0CA4">
        <w:rPr>
          <w:rFonts w:ascii="Cambria" w:hAnsi="Cambria"/>
          <w:color w:val="000000"/>
          <w:sz w:val="21"/>
          <w:szCs w:val="21"/>
          <w:lang w:val="es-ES"/>
        </w:rPr>
        <w:t xml:space="preserve"> </w:t>
      </w:r>
      <w:proofErr w:type="spellStart"/>
      <w:r w:rsidRPr="009E0CA4">
        <w:rPr>
          <w:rFonts w:ascii="Cambria" w:hAnsi="Cambria"/>
          <w:color w:val="000000"/>
          <w:sz w:val="21"/>
          <w:szCs w:val="21"/>
          <w:lang w:val="es-ES"/>
        </w:rPr>
        <w:t>Macaulay</w:t>
      </w:r>
      <w:proofErr w:type="spellEnd"/>
      <w:r w:rsidRPr="009E0CA4">
        <w:rPr>
          <w:rFonts w:ascii="Cambria" w:hAnsi="Cambria"/>
          <w:color w:val="000000"/>
          <w:sz w:val="21"/>
          <w:szCs w:val="21"/>
          <w:lang w:val="es-ES"/>
        </w:rPr>
        <w:t xml:space="preserve">, Presidenta; Esmeralda Arosemena de </w:t>
      </w:r>
      <w:proofErr w:type="spellStart"/>
      <w:r w:rsidRPr="00E63345">
        <w:rPr>
          <w:rFonts w:ascii="Cambria" w:hAnsi="Cambria"/>
          <w:sz w:val="21"/>
          <w:szCs w:val="21"/>
          <w:lang w:val="es-ES"/>
        </w:rPr>
        <w:t>Troitiño</w:t>
      </w:r>
      <w:proofErr w:type="spellEnd"/>
      <w:r>
        <w:rPr>
          <w:rFonts w:ascii="Cambria" w:hAnsi="Cambria"/>
          <w:color w:val="000000"/>
          <w:sz w:val="21"/>
          <w:szCs w:val="21"/>
          <w:lang w:val="es-ES"/>
        </w:rPr>
        <w:t>, Primera Vicepresidenta</w:t>
      </w:r>
      <w:r w:rsidRPr="009E0CA4">
        <w:rPr>
          <w:rFonts w:ascii="Cambria" w:hAnsi="Cambria"/>
          <w:color w:val="000000"/>
          <w:sz w:val="21"/>
          <w:szCs w:val="21"/>
          <w:lang w:val="es-ES"/>
        </w:rPr>
        <w:t>; Joel Hernández García; Antonia Urrejola;</w:t>
      </w:r>
      <w:r w:rsidR="00647B11">
        <w:rPr>
          <w:rFonts w:ascii="Cambria" w:hAnsi="Cambria"/>
          <w:color w:val="000000"/>
          <w:sz w:val="21"/>
          <w:szCs w:val="21"/>
          <w:lang w:val="es-ES"/>
        </w:rPr>
        <w:t xml:space="preserve"> y</w:t>
      </w:r>
      <w:r w:rsidRPr="009E0CA4">
        <w:rPr>
          <w:rFonts w:ascii="Cambria" w:hAnsi="Cambria"/>
          <w:color w:val="000000"/>
          <w:sz w:val="21"/>
          <w:szCs w:val="21"/>
          <w:lang w:val="es-ES"/>
        </w:rPr>
        <w:t xml:space="preserve"> </w:t>
      </w:r>
      <w:proofErr w:type="spellStart"/>
      <w:r w:rsidRPr="009E0CA4">
        <w:rPr>
          <w:rFonts w:ascii="Cambria" w:hAnsi="Cambria"/>
          <w:color w:val="000000"/>
          <w:sz w:val="21"/>
          <w:szCs w:val="21"/>
          <w:lang w:val="es-ES"/>
        </w:rPr>
        <w:t>Flávia</w:t>
      </w:r>
      <w:proofErr w:type="spellEnd"/>
      <w:r w:rsidRPr="009E0CA4">
        <w:rPr>
          <w:rFonts w:ascii="Cambria" w:hAnsi="Cambria"/>
          <w:color w:val="000000"/>
          <w:sz w:val="21"/>
          <w:szCs w:val="21"/>
          <w:lang w:val="es-ES"/>
        </w:rPr>
        <w:t xml:space="preserve"> </w:t>
      </w:r>
      <w:proofErr w:type="spellStart"/>
      <w:r w:rsidRPr="009E0CA4">
        <w:rPr>
          <w:rFonts w:ascii="Cambria" w:hAnsi="Cambria"/>
          <w:color w:val="000000"/>
          <w:sz w:val="21"/>
          <w:szCs w:val="21"/>
          <w:lang w:val="es-ES"/>
        </w:rPr>
        <w:t>Piovesan</w:t>
      </w:r>
      <w:proofErr w:type="spellEnd"/>
      <w:r w:rsidRPr="009E0CA4">
        <w:rPr>
          <w:rFonts w:ascii="Cambria" w:hAnsi="Cambria"/>
          <w:color w:val="000000"/>
          <w:sz w:val="21"/>
          <w:szCs w:val="21"/>
          <w:lang w:val="es-ES"/>
        </w:rPr>
        <w:t>, miembros de la CIDH.</w:t>
      </w:r>
    </w:p>
    <w:p w:rsidR="00E63345" w:rsidRDefault="00E63345" w:rsidP="00E63345">
      <w:pPr>
        <w:jc w:val="both"/>
        <w:rPr>
          <w:rFonts w:ascii="Cambria" w:hAnsi="Cambria"/>
          <w:sz w:val="21"/>
          <w:szCs w:val="21"/>
          <w:lang w:val="es-CO"/>
        </w:rPr>
      </w:pPr>
    </w:p>
    <w:p w:rsidR="00E63345" w:rsidRDefault="00E63345" w:rsidP="00E63345">
      <w:pPr>
        <w:jc w:val="both"/>
        <w:rPr>
          <w:rFonts w:ascii="Cambria" w:hAnsi="Cambria"/>
          <w:sz w:val="21"/>
          <w:szCs w:val="21"/>
          <w:lang w:val="es-CO"/>
        </w:rPr>
      </w:pPr>
    </w:p>
    <w:p w:rsidR="00E63345" w:rsidRDefault="00E63345" w:rsidP="00E63345">
      <w:pPr>
        <w:jc w:val="center"/>
        <w:rPr>
          <w:rFonts w:ascii="Cambria" w:hAnsi="Cambria"/>
          <w:sz w:val="21"/>
          <w:szCs w:val="21"/>
          <w:lang w:val="es-CO"/>
        </w:rPr>
      </w:pPr>
    </w:p>
    <w:p w:rsidR="00E63345" w:rsidRPr="004E61D7" w:rsidRDefault="004E61D7" w:rsidP="00E63345">
      <w:pPr>
        <w:jc w:val="center"/>
        <w:rPr>
          <w:rFonts w:ascii="Cambria" w:hAnsi="Cambria"/>
          <w:sz w:val="21"/>
          <w:szCs w:val="21"/>
          <w:lang w:val="es-MX"/>
        </w:rPr>
      </w:pPr>
      <w:r>
        <w:rPr>
          <w:rFonts w:ascii="Cambria" w:hAnsi="Cambria"/>
          <w:sz w:val="21"/>
          <w:szCs w:val="21"/>
          <w:lang w:val="es-CO"/>
        </w:rPr>
        <w:t>María Claudia Pulido</w:t>
      </w:r>
    </w:p>
    <w:p w:rsidR="00817419" w:rsidRPr="00CD1171" w:rsidRDefault="00E63345" w:rsidP="00E63345">
      <w:pPr>
        <w:jc w:val="center"/>
        <w:rPr>
          <w:rFonts w:ascii="Cambria" w:eastAsia="Calibri" w:hAnsi="Cambria"/>
          <w:sz w:val="21"/>
          <w:szCs w:val="21"/>
          <w:lang w:val="es-ES_tradnl"/>
        </w:rPr>
      </w:pPr>
      <w:r>
        <w:rPr>
          <w:rFonts w:ascii="Cambria" w:hAnsi="Cambria"/>
          <w:sz w:val="21"/>
          <w:szCs w:val="21"/>
          <w:lang w:val="es-CO"/>
        </w:rPr>
        <w:t>Secretaria Ejecutiva Adjunta</w:t>
      </w:r>
      <w:bookmarkStart w:id="0" w:name="_GoBack"/>
      <w:bookmarkEnd w:id="0"/>
    </w:p>
    <w:sectPr w:rsidR="00817419" w:rsidRPr="00CD1171" w:rsidSect="00C522EB">
      <w:headerReference w:type="default" r:id="rId9"/>
      <w:footerReference w:type="even" r:id="rId10"/>
      <w:footerReference w:type="default" r:id="rId11"/>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F09" w:rsidRDefault="00347F09" w:rsidP="00BF7D6A">
      <w:r>
        <w:separator/>
      </w:r>
    </w:p>
  </w:endnote>
  <w:endnote w:type="continuationSeparator" w:id="0">
    <w:p w:rsidR="00347F09" w:rsidRDefault="00347F09" w:rsidP="00BF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Yu Gothic Light">
    <w:altName w:val="MS PMincho"/>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Yu Mincho">
    <w:altName w:val="MS P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06" w:rsidRDefault="00E87006" w:rsidP="009575E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7006" w:rsidRDefault="00E870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06" w:rsidRPr="00C522EB" w:rsidRDefault="00E87006" w:rsidP="009575E3">
    <w:pPr>
      <w:pStyle w:val="Footer"/>
      <w:framePr w:wrap="none" w:vAnchor="text" w:hAnchor="margin" w:xAlign="center" w:y="1"/>
      <w:rPr>
        <w:rStyle w:val="PageNumber"/>
        <w:rFonts w:asciiTheme="majorHAnsi" w:hAnsiTheme="majorHAnsi"/>
        <w:sz w:val="16"/>
      </w:rPr>
    </w:pPr>
    <w:r w:rsidRPr="00C522EB">
      <w:rPr>
        <w:rStyle w:val="PageNumber"/>
        <w:rFonts w:asciiTheme="majorHAnsi" w:hAnsiTheme="majorHAnsi"/>
        <w:sz w:val="16"/>
      </w:rPr>
      <w:fldChar w:fldCharType="begin"/>
    </w:r>
    <w:r w:rsidRPr="00C522EB">
      <w:rPr>
        <w:rStyle w:val="PageNumber"/>
        <w:rFonts w:asciiTheme="majorHAnsi" w:hAnsiTheme="majorHAnsi"/>
        <w:sz w:val="16"/>
      </w:rPr>
      <w:instrText xml:space="preserve">PAGE  </w:instrText>
    </w:r>
    <w:r w:rsidRPr="00C522EB">
      <w:rPr>
        <w:rStyle w:val="PageNumber"/>
        <w:rFonts w:asciiTheme="majorHAnsi" w:hAnsiTheme="majorHAnsi"/>
        <w:sz w:val="16"/>
      </w:rPr>
      <w:fldChar w:fldCharType="separate"/>
    </w:r>
    <w:r w:rsidR="00647B11">
      <w:rPr>
        <w:rStyle w:val="PageNumber"/>
        <w:rFonts w:asciiTheme="majorHAnsi" w:hAnsiTheme="majorHAnsi"/>
        <w:noProof/>
        <w:sz w:val="16"/>
      </w:rPr>
      <w:t>- 1 -</w:t>
    </w:r>
    <w:r w:rsidRPr="00C522EB">
      <w:rPr>
        <w:rStyle w:val="PageNumber"/>
        <w:rFonts w:asciiTheme="majorHAnsi" w:hAnsiTheme="majorHAnsi"/>
        <w:sz w:val="16"/>
      </w:rPr>
      <w:fldChar w:fldCharType="end"/>
    </w:r>
  </w:p>
  <w:p w:rsidR="00E87006" w:rsidRDefault="00E870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F09" w:rsidRDefault="00347F09" w:rsidP="00BF7D6A">
      <w:r>
        <w:separator/>
      </w:r>
    </w:p>
  </w:footnote>
  <w:footnote w:type="continuationSeparator" w:id="0">
    <w:p w:rsidR="00347F09" w:rsidRDefault="00347F09" w:rsidP="00BF7D6A">
      <w:r>
        <w:continuationSeparator/>
      </w:r>
    </w:p>
  </w:footnote>
  <w:footnote w:id="1">
    <w:p w:rsidR="00C66B45" w:rsidRPr="00C66B45" w:rsidRDefault="00C66B45">
      <w:pPr>
        <w:pStyle w:val="FootnoteText"/>
        <w:rPr>
          <w:rFonts w:ascii="Calibri Light" w:hAnsi="Calibri Light"/>
          <w:sz w:val="16"/>
          <w:szCs w:val="16"/>
          <w:lang w:val="es-MX"/>
        </w:rPr>
      </w:pPr>
      <w:r w:rsidRPr="00C66B45">
        <w:rPr>
          <w:rStyle w:val="FootnoteReference"/>
          <w:rFonts w:ascii="Calibri Light" w:hAnsi="Calibri Light"/>
          <w:sz w:val="16"/>
          <w:szCs w:val="16"/>
        </w:rPr>
        <w:footnoteRef/>
      </w:r>
      <w:r w:rsidRPr="00C66B45">
        <w:rPr>
          <w:rFonts w:ascii="Calibri Light" w:hAnsi="Calibri Light"/>
          <w:sz w:val="16"/>
          <w:szCs w:val="16"/>
          <w:lang w:val="es-MX"/>
        </w:rPr>
        <w:t xml:space="preserve"> </w:t>
      </w:r>
      <w:r w:rsidRPr="00C66B45">
        <w:rPr>
          <w:rFonts w:ascii="Calibri Light" w:hAnsi="Calibri Light"/>
          <w:sz w:val="16"/>
          <w:szCs w:val="16"/>
          <w:lang w:val="es-CO"/>
        </w:rPr>
        <w:t xml:space="preserve">De conformidad con el artículo 17.2.a del Reglamento de la CIDH, el Comisionado </w:t>
      </w:r>
      <w:r w:rsidRPr="00C66B45">
        <w:rPr>
          <w:rFonts w:ascii="Calibri Light" w:hAnsi="Calibri Light"/>
          <w:sz w:val="16"/>
          <w:szCs w:val="16"/>
          <w:lang w:val="es-MX"/>
        </w:rPr>
        <w:t xml:space="preserve">Francisco José </w:t>
      </w:r>
      <w:proofErr w:type="spellStart"/>
      <w:r w:rsidRPr="00C66B45">
        <w:rPr>
          <w:rFonts w:ascii="Calibri Light" w:hAnsi="Calibri Light"/>
          <w:sz w:val="16"/>
          <w:szCs w:val="16"/>
          <w:lang w:val="es-MX"/>
        </w:rPr>
        <w:t>Eguiguren</w:t>
      </w:r>
      <w:proofErr w:type="spellEnd"/>
      <w:r w:rsidRPr="00C66B45">
        <w:rPr>
          <w:rFonts w:ascii="Calibri Light" w:hAnsi="Calibri Light"/>
          <w:sz w:val="16"/>
          <w:szCs w:val="16"/>
          <w:lang w:val="es-MX"/>
        </w:rPr>
        <w:t xml:space="preserve"> </w:t>
      </w:r>
      <w:proofErr w:type="spellStart"/>
      <w:r w:rsidRPr="00C66B45">
        <w:rPr>
          <w:rFonts w:ascii="Calibri Light" w:hAnsi="Calibri Light"/>
          <w:sz w:val="16"/>
          <w:szCs w:val="16"/>
          <w:lang w:val="es-MX"/>
        </w:rPr>
        <w:t>Praeli</w:t>
      </w:r>
      <w:proofErr w:type="spellEnd"/>
      <w:r w:rsidRPr="00C66B45">
        <w:rPr>
          <w:rFonts w:ascii="Calibri Light" w:hAnsi="Calibri Light"/>
          <w:sz w:val="16"/>
          <w:szCs w:val="16"/>
          <w:lang w:val="es-CO"/>
        </w:rPr>
        <w:t>, de nacionalidad peruana, no participó en el debate y deliberación del presente asunto.</w:t>
      </w:r>
    </w:p>
  </w:footnote>
  <w:footnote w:id="2">
    <w:p w:rsidR="00CB28DA" w:rsidRPr="00C66B45" w:rsidRDefault="00CB28DA" w:rsidP="00F43165">
      <w:pPr>
        <w:pStyle w:val="FootnoteText"/>
        <w:spacing w:line="240" w:lineRule="auto"/>
        <w:rPr>
          <w:rFonts w:ascii="Calibri Light" w:hAnsi="Calibri Light" w:cstheme="majorHAnsi"/>
          <w:sz w:val="16"/>
          <w:szCs w:val="16"/>
          <w:lang w:val="es-MX"/>
        </w:rPr>
      </w:pPr>
      <w:r w:rsidRPr="00C66B45">
        <w:rPr>
          <w:rStyle w:val="FootnoteReference"/>
          <w:rFonts w:ascii="Calibri Light" w:hAnsi="Calibri Light"/>
          <w:sz w:val="16"/>
          <w:szCs w:val="16"/>
        </w:rPr>
        <w:footnoteRef/>
      </w:r>
      <w:r w:rsidRPr="00C66B45">
        <w:rPr>
          <w:rFonts w:ascii="Calibri Light" w:hAnsi="Calibri Light"/>
          <w:sz w:val="16"/>
          <w:szCs w:val="16"/>
          <w:lang w:val="es-MX"/>
        </w:rPr>
        <w:t xml:space="preserve"> </w:t>
      </w:r>
      <w:r w:rsidRPr="00C66B45">
        <w:rPr>
          <w:rFonts w:ascii="Calibri Light" w:hAnsi="Calibri Light" w:cstheme="majorHAnsi"/>
          <w:sz w:val="16"/>
          <w:szCs w:val="16"/>
          <w:lang w:val="es-MX"/>
        </w:rPr>
        <w:t>Según la Fiscalía, los pr</w:t>
      </w:r>
      <w:r w:rsidR="00AF0C1C">
        <w:rPr>
          <w:rFonts w:ascii="Calibri Light" w:hAnsi="Calibri Light" w:cstheme="majorHAnsi"/>
          <w:sz w:val="16"/>
          <w:szCs w:val="16"/>
          <w:lang w:val="es-MX"/>
        </w:rPr>
        <w:t>esuntos responsables conocían có</w:t>
      </w:r>
      <w:r w:rsidRPr="00C66B45">
        <w:rPr>
          <w:rFonts w:ascii="Calibri Light" w:hAnsi="Calibri Light" w:cstheme="majorHAnsi"/>
          <w:sz w:val="16"/>
          <w:szCs w:val="16"/>
          <w:lang w:val="es-MX"/>
        </w:rPr>
        <w:t>mo habría fallecid</w:t>
      </w:r>
      <w:r w:rsidR="00AF0C1C">
        <w:rPr>
          <w:rFonts w:ascii="Calibri Light" w:hAnsi="Calibri Light" w:cstheme="majorHAnsi"/>
          <w:sz w:val="16"/>
          <w:szCs w:val="16"/>
          <w:lang w:val="es-MX"/>
        </w:rPr>
        <w:t>o la propuesta beneficiaria y có</w:t>
      </w:r>
      <w:r w:rsidRPr="00C66B45">
        <w:rPr>
          <w:rFonts w:ascii="Calibri Light" w:hAnsi="Calibri Light" w:cstheme="majorHAnsi"/>
          <w:sz w:val="16"/>
          <w:szCs w:val="16"/>
          <w:lang w:val="es-MX"/>
        </w:rPr>
        <w:t xml:space="preserve">mo se dispuso su cadáver en la localidad de </w:t>
      </w:r>
      <w:proofErr w:type="spellStart"/>
      <w:r w:rsidRPr="00C66B45">
        <w:rPr>
          <w:rFonts w:ascii="Calibri Light" w:hAnsi="Calibri Light" w:cstheme="majorHAnsi"/>
          <w:sz w:val="16"/>
          <w:szCs w:val="16"/>
          <w:lang w:val="es-MX"/>
        </w:rPr>
        <w:t>Ollantaytambo</w:t>
      </w:r>
      <w:proofErr w:type="spellEnd"/>
      <w:r w:rsidRPr="00C66B45">
        <w:rPr>
          <w:rFonts w:ascii="Calibri Light" w:hAnsi="Calibri Light" w:cstheme="majorHAnsi"/>
          <w:sz w:val="16"/>
          <w:szCs w:val="16"/>
          <w:lang w:val="es-MX"/>
        </w:rPr>
        <w:t xml:space="preserve">. </w:t>
      </w:r>
    </w:p>
  </w:footnote>
  <w:footnote w:id="3">
    <w:p w:rsidR="00E87006" w:rsidRPr="00C66B45" w:rsidRDefault="00E87006" w:rsidP="00204EE9">
      <w:pPr>
        <w:pStyle w:val="FootnoteText"/>
        <w:spacing w:after="0" w:line="240" w:lineRule="auto"/>
        <w:jc w:val="both"/>
        <w:rPr>
          <w:rFonts w:ascii="Calibri Light" w:hAnsi="Calibri Light"/>
          <w:sz w:val="16"/>
          <w:szCs w:val="16"/>
          <w:lang w:val="es-MX"/>
        </w:rPr>
      </w:pPr>
      <w:r w:rsidRPr="00C66B45">
        <w:rPr>
          <w:rStyle w:val="FootnoteReference"/>
          <w:rFonts w:ascii="Calibri Light" w:hAnsi="Calibri Light"/>
          <w:sz w:val="16"/>
          <w:szCs w:val="16"/>
        </w:rPr>
        <w:footnoteRef/>
      </w:r>
      <w:r w:rsidRPr="00C66B45">
        <w:rPr>
          <w:rFonts w:ascii="Calibri Light" w:hAnsi="Calibri Light"/>
          <w:sz w:val="16"/>
          <w:szCs w:val="16"/>
          <w:lang w:val="es-MX"/>
        </w:rPr>
        <w:t xml:space="preserve"> Al respecto, por ejemplo, refiriéndose a las medidas provisionales, la Corte Interamericana ha considera</w:t>
      </w:r>
      <w:r w:rsidR="0027606C" w:rsidRPr="00C66B45">
        <w:rPr>
          <w:rFonts w:ascii="Calibri Light" w:hAnsi="Calibri Light"/>
          <w:sz w:val="16"/>
          <w:szCs w:val="16"/>
          <w:lang w:val="es-MX"/>
        </w:rPr>
        <w:t>do</w:t>
      </w:r>
      <w:r w:rsidRPr="00C66B45">
        <w:rPr>
          <w:rFonts w:ascii="Calibri Light" w:hAnsi="Calibri Light"/>
          <w:sz w:val="16"/>
          <w:szCs w:val="16"/>
          <w:lang w:val="es-MX"/>
        </w:rPr>
        <w:t xml:space="preserve"> que tal estándar requiere un mínimo de detalle e información que permitan apreciar </w:t>
      </w:r>
      <w:r w:rsidRPr="00C66B45">
        <w:rPr>
          <w:rFonts w:ascii="Calibri Light" w:hAnsi="Calibri Light"/>
          <w:i/>
          <w:sz w:val="16"/>
          <w:szCs w:val="16"/>
          <w:lang w:val="es-MX"/>
        </w:rPr>
        <w:t xml:space="preserve">prima facie </w:t>
      </w:r>
      <w:r w:rsidRPr="00C66B45">
        <w:rPr>
          <w:rFonts w:ascii="Calibri Light" w:hAnsi="Calibri Light"/>
          <w:sz w:val="16"/>
          <w:szCs w:val="16"/>
          <w:lang w:val="es-MX"/>
        </w:rPr>
        <w:t xml:space="preserve">la situación de riesgo y urgencia. Corte IDH, </w:t>
      </w:r>
      <w:r w:rsidRPr="00C66B45">
        <w:rPr>
          <w:rFonts w:ascii="Calibri Light" w:hAnsi="Calibri Light"/>
          <w:i/>
          <w:sz w:val="16"/>
          <w:szCs w:val="16"/>
          <w:lang w:val="es-MX"/>
        </w:rPr>
        <w:t xml:space="preserve">Asunto de los niños y adolescentes privados de libertad en el “Complexo do </w:t>
      </w:r>
      <w:proofErr w:type="spellStart"/>
      <w:r w:rsidRPr="00C66B45">
        <w:rPr>
          <w:rFonts w:ascii="Calibri Light" w:hAnsi="Calibri Light"/>
          <w:i/>
          <w:sz w:val="16"/>
          <w:szCs w:val="16"/>
          <w:lang w:val="es-MX"/>
        </w:rPr>
        <w:t>Tatuapé</w:t>
      </w:r>
      <w:proofErr w:type="spellEnd"/>
      <w:r w:rsidRPr="00C66B45">
        <w:rPr>
          <w:rFonts w:ascii="Calibri Light" w:hAnsi="Calibri Light"/>
          <w:i/>
          <w:sz w:val="16"/>
          <w:szCs w:val="16"/>
          <w:lang w:val="es-MX"/>
        </w:rPr>
        <w:t xml:space="preserve">” de la </w:t>
      </w:r>
      <w:proofErr w:type="spellStart"/>
      <w:r w:rsidRPr="00C66B45">
        <w:rPr>
          <w:rFonts w:ascii="Calibri Light" w:hAnsi="Calibri Light"/>
          <w:i/>
          <w:sz w:val="16"/>
          <w:szCs w:val="16"/>
          <w:lang w:val="es-MX"/>
        </w:rPr>
        <w:t>Fundação</w:t>
      </w:r>
      <w:proofErr w:type="spellEnd"/>
      <w:r w:rsidRPr="00C66B45">
        <w:rPr>
          <w:rFonts w:ascii="Calibri Light" w:hAnsi="Calibri Light"/>
          <w:i/>
          <w:sz w:val="16"/>
          <w:szCs w:val="16"/>
          <w:lang w:val="es-MX"/>
        </w:rPr>
        <w:t xml:space="preserve"> CASA</w:t>
      </w:r>
      <w:r w:rsidRPr="00C66B45">
        <w:rPr>
          <w:rFonts w:ascii="Calibri Light" w:hAnsi="Calibri Light"/>
          <w:sz w:val="16"/>
          <w:szCs w:val="16"/>
          <w:lang w:val="es-MX"/>
        </w:rPr>
        <w:t>. Solicitud de ampliación de medidas provisionales. Medidas Provisionales respecto de Brasil. Resolución de la Corte Interamericana de Derechos Humanos de 4 de julio de 2006. Considerando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06" w:rsidRPr="006A2671" w:rsidRDefault="00E87006" w:rsidP="006A2671">
    <w:pPr>
      <w:tabs>
        <w:tab w:val="left" w:pos="4040"/>
        <w:tab w:val="left" w:pos="4333"/>
        <w:tab w:val="center" w:pos="4680"/>
        <w:tab w:val="right" w:pos="9360"/>
      </w:tabs>
      <w:jc w:val="both"/>
      <w:rPr>
        <w:rFonts w:ascii="Calibri" w:eastAsia="Calibri" w:hAnsi="Calibri" w:cs="Times New Roman"/>
        <w:sz w:val="22"/>
        <w:szCs w:val="22"/>
      </w:rPr>
    </w:pPr>
    <w:r>
      <w:rPr>
        <w:rFonts w:ascii="Calibri" w:eastAsia="Calibri" w:hAnsi="Calibri" w:cs="Times New Roman"/>
        <w:noProof/>
        <w:sz w:val="22"/>
        <w:szCs w:val="22"/>
        <w:lang w:eastAsia="zh-CN"/>
      </w:rPr>
      <w:drawing>
        <wp:inline distT="0" distB="0" distL="0" distR="0" wp14:anchorId="68B8C528" wp14:editId="44BAC8B8">
          <wp:extent cx="2355850" cy="450850"/>
          <wp:effectExtent l="0" t="0" r="6350" b="6350"/>
          <wp:docPr id="6"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850" cy="450850"/>
                  </a:xfrm>
                  <a:prstGeom prst="rect">
                    <a:avLst/>
                  </a:prstGeom>
                  <a:noFill/>
                  <a:ln>
                    <a:noFill/>
                  </a:ln>
                </pic:spPr>
              </pic:pic>
            </a:graphicData>
          </a:graphic>
        </wp:inline>
      </w:drawing>
    </w:r>
    <w:r w:rsidRPr="006A2671">
      <w:rPr>
        <w:rFonts w:ascii="Calibri" w:eastAsia="Calibri" w:hAnsi="Calibri" w:cs="Times New Roman"/>
        <w:sz w:val="22"/>
        <w:szCs w:val="22"/>
      </w:rPr>
      <w:tab/>
    </w:r>
    <w:r w:rsidRPr="006A2671">
      <w:rPr>
        <w:rFonts w:ascii="Calibri" w:eastAsia="Calibri" w:hAnsi="Calibri" w:cs="Times New Roman"/>
        <w:sz w:val="22"/>
        <w:szCs w:val="22"/>
      </w:rPr>
      <w:tab/>
    </w:r>
    <w:r w:rsidRPr="006A2671">
      <w:rPr>
        <w:rFonts w:ascii="Calibri" w:eastAsia="Calibri" w:hAnsi="Calibri" w:cs="Times New Roman"/>
        <w:sz w:val="22"/>
        <w:szCs w:val="22"/>
      </w:rPr>
      <w:tab/>
    </w:r>
    <w:r w:rsidRPr="006A2671">
      <w:rPr>
        <w:rFonts w:ascii="Calibri" w:eastAsia="Calibri" w:hAnsi="Calibri" w:cs="Times New Roman"/>
        <w:sz w:val="22"/>
        <w:szCs w:val="22"/>
      </w:rPr>
      <w:tab/>
    </w:r>
    <w:r>
      <w:rPr>
        <w:rFonts w:ascii="Calibri" w:eastAsia="Calibri" w:hAnsi="Calibri" w:cs="Times New Roman"/>
        <w:noProof/>
        <w:sz w:val="22"/>
        <w:szCs w:val="22"/>
        <w:lang w:eastAsia="zh-CN"/>
      </w:rPr>
      <w:drawing>
        <wp:inline distT="0" distB="0" distL="0" distR="0" wp14:anchorId="13707330" wp14:editId="757EF053">
          <wp:extent cx="2101850" cy="539750"/>
          <wp:effectExtent l="0" t="0" r="0" b="0"/>
          <wp:docPr id="5" name="Picture 5"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1850" cy="539750"/>
                  </a:xfrm>
                  <a:prstGeom prst="rect">
                    <a:avLst/>
                  </a:prstGeom>
                  <a:noFill/>
                  <a:ln>
                    <a:noFill/>
                  </a:ln>
                </pic:spPr>
              </pic:pic>
            </a:graphicData>
          </a:graphic>
        </wp:inline>
      </w:drawing>
    </w:r>
  </w:p>
  <w:p w:rsidR="00E87006" w:rsidRPr="006A2671" w:rsidRDefault="00E87006" w:rsidP="006A2671">
    <w:pPr>
      <w:pBdr>
        <w:bottom w:val="single" w:sz="6" w:space="1" w:color="auto"/>
      </w:pBdr>
      <w:tabs>
        <w:tab w:val="center" w:pos="4680"/>
        <w:tab w:val="right" w:pos="9360"/>
      </w:tabs>
      <w:rPr>
        <w:rFonts w:ascii="Calibri" w:eastAsia="Batang" w:hAnsi="Calibri" w:cs="Times New Roman"/>
        <w:sz w:val="22"/>
        <w:szCs w:val="22"/>
        <w:lang w:val="es-ES"/>
      </w:rPr>
    </w:pPr>
  </w:p>
  <w:p w:rsidR="00E87006" w:rsidRDefault="00E870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C9B"/>
    <w:multiLevelType w:val="hybridMultilevel"/>
    <w:tmpl w:val="81D8E1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A0DB8"/>
    <w:multiLevelType w:val="hybridMultilevel"/>
    <w:tmpl w:val="14E4AE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55919"/>
    <w:multiLevelType w:val="hybridMultilevel"/>
    <w:tmpl w:val="8E50105A"/>
    <w:lvl w:ilvl="0" w:tplc="AAA8775C">
      <w:start w:val="1"/>
      <w:numFmt w:val="decimal"/>
      <w:lvlText w:val="%1."/>
      <w:lvlJc w:val="left"/>
      <w:pPr>
        <w:ind w:left="720" w:hanging="360"/>
      </w:pPr>
      <w:rPr>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CE2E67"/>
    <w:multiLevelType w:val="hybridMultilevel"/>
    <w:tmpl w:val="652A8670"/>
    <w:lvl w:ilvl="0" w:tplc="33046F8A">
      <w:start w:val="1"/>
      <w:numFmt w:val="decimal"/>
      <w:lvlText w:val="%1."/>
      <w:lvlJc w:val="center"/>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9B6E7B"/>
    <w:multiLevelType w:val="hybridMultilevel"/>
    <w:tmpl w:val="491405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73E95"/>
    <w:multiLevelType w:val="hybridMultilevel"/>
    <w:tmpl w:val="5854F52A"/>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414D8"/>
    <w:multiLevelType w:val="hybridMultilevel"/>
    <w:tmpl w:val="C40EDA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B5386C"/>
    <w:multiLevelType w:val="hybridMultilevel"/>
    <w:tmpl w:val="C5389F2C"/>
    <w:lvl w:ilvl="0" w:tplc="D9B21C52">
      <w:start w:val="1"/>
      <w:numFmt w:val="decimal"/>
      <w:lvlText w:val="%1."/>
      <w:lvlJc w:val="center"/>
      <w:pPr>
        <w:ind w:left="720" w:hanging="360"/>
      </w:pPr>
      <w:rPr>
        <w:rFonts w:ascii="Cambria" w:hAnsi="Cambria"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56959"/>
    <w:multiLevelType w:val="hybridMultilevel"/>
    <w:tmpl w:val="6EF643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852583"/>
    <w:multiLevelType w:val="hybridMultilevel"/>
    <w:tmpl w:val="0F0A58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3901B7"/>
    <w:multiLevelType w:val="hybridMultilevel"/>
    <w:tmpl w:val="F3BAC830"/>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3A75F3"/>
    <w:multiLevelType w:val="hybridMultilevel"/>
    <w:tmpl w:val="59FA2E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2E2F8D"/>
    <w:multiLevelType w:val="hybridMultilevel"/>
    <w:tmpl w:val="C5AAB732"/>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2D3BE1"/>
    <w:multiLevelType w:val="hybridMultilevel"/>
    <w:tmpl w:val="D26E5AE0"/>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BB4B73"/>
    <w:multiLevelType w:val="hybridMultilevel"/>
    <w:tmpl w:val="7ECCBA6A"/>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C54703"/>
    <w:multiLevelType w:val="hybridMultilevel"/>
    <w:tmpl w:val="E26862D6"/>
    <w:lvl w:ilvl="0" w:tplc="7F8CB8B4">
      <w:start w:val="16"/>
      <w:numFmt w:val="decimal"/>
      <w:lvlText w:val="%1."/>
      <w:lvlJc w:val="center"/>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4441E5"/>
    <w:multiLevelType w:val="hybridMultilevel"/>
    <w:tmpl w:val="86248B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163AB2"/>
    <w:multiLevelType w:val="hybridMultilevel"/>
    <w:tmpl w:val="466E68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9B30FF3"/>
    <w:multiLevelType w:val="hybridMultilevel"/>
    <w:tmpl w:val="86B2F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A50CFE"/>
    <w:multiLevelType w:val="hybridMultilevel"/>
    <w:tmpl w:val="B78E73E6"/>
    <w:lvl w:ilvl="0" w:tplc="2968FF46">
      <w:start w:val="1"/>
      <w:numFmt w:val="decimal"/>
      <w:lvlText w:val="%1."/>
      <w:lvlJc w:val="left"/>
      <w:pPr>
        <w:tabs>
          <w:tab w:val="num" w:pos="720"/>
        </w:tabs>
        <w:ind w:left="0" w:firstLine="720"/>
      </w:pPr>
      <w:rPr>
        <w:rFonts w:ascii="Cambria" w:hAnsi="Cambria" w:hint="default"/>
        <w:b w:val="0"/>
        <w:i w:val="0"/>
        <w:strike w:val="0"/>
        <w:color w:val="auto"/>
        <w:sz w:val="20"/>
        <w:szCs w:val="20"/>
      </w:rPr>
    </w:lvl>
    <w:lvl w:ilvl="1" w:tplc="04090001">
      <w:start w:val="1"/>
      <w:numFmt w:val="bullet"/>
      <w:lvlText w:val=""/>
      <w:lvlJc w:val="left"/>
      <w:pPr>
        <w:ind w:left="1440" w:hanging="360"/>
      </w:pPr>
      <w:rPr>
        <w:rFonts w:ascii="Symbol" w:hAnsi="Symbol" w:hint="default"/>
        <w:b w:val="0"/>
      </w:rPr>
    </w:lvl>
    <w:lvl w:ilvl="2" w:tplc="5C7C6C86">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DE0DC6"/>
    <w:multiLevelType w:val="hybridMultilevel"/>
    <w:tmpl w:val="A5D43F6A"/>
    <w:lvl w:ilvl="0" w:tplc="4F2E27A2">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8A0C9A"/>
    <w:multiLevelType w:val="hybridMultilevel"/>
    <w:tmpl w:val="65389C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555186"/>
    <w:multiLevelType w:val="hybridMultilevel"/>
    <w:tmpl w:val="AB824E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0A6E7C"/>
    <w:multiLevelType w:val="hybridMultilevel"/>
    <w:tmpl w:val="CF86BE78"/>
    <w:lvl w:ilvl="0" w:tplc="066E1E74">
      <w:start w:val="27"/>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8C4EDF"/>
    <w:multiLevelType w:val="hybridMultilevel"/>
    <w:tmpl w:val="CF0CB516"/>
    <w:lvl w:ilvl="0" w:tplc="8BEC457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9D156B"/>
    <w:multiLevelType w:val="hybridMultilevel"/>
    <w:tmpl w:val="2C901222"/>
    <w:lvl w:ilvl="0" w:tplc="0AA2348C">
      <w:start w:val="110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E4394C"/>
    <w:multiLevelType w:val="hybridMultilevel"/>
    <w:tmpl w:val="958A5AC4"/>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4F508C"/>
    <w:multiLevelType w:val="hybridMultilevel"/>
    <w:tmpl w:val="8C3C4E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D31842"/>
    <w:multiLevelType w:val="hybridMultilevel"/>
    <w:tmpl w:val="6996FAF4"/>
    <w:lvl w:ilvl="0" w:tplc="AC48C3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16519F"/>
    <w:multiLevelType w:val="hybridMultilevel"/>
    <w:tmpl w:val="F5CE78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A26FB9"/>
    <w:multiLevelType w:val="hybridMultilevel"/>
    <w:tmpl w:val="B7ACC1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D3B371A"/>
    <w:multiLevelType w:val="hybridMultilevel"/>
    <w:tmpl w:val="79F88CE6"/>
    <w:lvl w:ilvl="0" w:tplc="EDEC388A">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964D8F"/>
    <w:multiLevelType w:val="hybridMultilevel"/>
    <w:tmpl w:val="42C84F84"/>
    <w:lvl w:ilvl="0" w:tplc="9E605914">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BE6FA9"/>
    <w:multiLevelType w:val="hybridMultilevel"/>
    <w:tmpl w:val="A6325E22"/>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nsid w:val="72130B23"/>
    <w:multiLevelType w:val="hybridMultilevel"/>
    <w:tmpl w:val="B6CC5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1B21E5"/>
    <w:multiLevelType w:val="hybridMultilevel"/>
    <w:tmpl w:val="F2D8EA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75795A"/>
    <w:multiLevelType w:val="hybridMultilevel"/>
    <w:tmpl w:val="87729218"/>
    <w:lvl w:ilvl="0" w:tplc="80C0B3D0">
      <w:start w:val="26"/>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F70F2B"/>
    <w:multiLevelType w:val="hybridMultilevel"/>
    <w:tmpl w:val="A3707362"/>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8">
    <w:nsid w:val="7E530582"/>
    <w:multiLevelType w:val="hybridMultilevel"/>
    <w:tmpl w:val="153E6A2C"/>
    <w:lvl w:ilvl="0" w:tplc="384E9386">
      <w:start w:val="28"/>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5F5156"/>
    <w:multiLevelType w:val="hybridMultilevel"/>
    <w:tmpl w:val="3BF8EB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3"/>
  </w:num>
  <w:num w:numId="3">
    <w:abstractNumId w:val="34"/>
  </w:num>
  <w:num w:numId="4">
    <w:abstractNumId w:val="13"/>
  </w:num>
  <w:num w:numId="5">
    <w:abstractNumId w:val="1"/>
  </w:num>
  <w:num w:numId="6">
    <w:abstractNumId w:val="11"/>
  </w:num>
  <w:num w:numId="7">
    <w:abstractNumId w:val="35"/>
  </w:num>
  <w:num w:numId="8">
    <w:abstractNumId w:val="30"/>
  </w:num>
  <w:num w:numId="9">
    <w:abstractNumId w:val="17"/>
  </w:num>
  <w:num w:numId="10">
    <w:abstractNumId w:val="15"/>
  </w:num>
  <w:num w:numId="11">
    <w:abstractNumId w:val="32"/>
  </w:num>
  <w:num w:numId="12">
    <w:abstractNumId w:val="36"/>
  </w:num>
  <w:num w:numId="13">
    <w:abstractNumId w:val="39"/>
  </w:num>
  <w:num w:numId="14">
    <w:abstractNumId w:val="38"/>
  </w:num>
  <w:num w:numId="15">
    <w:abstractNumId w:val="23"/>
  </w:num>
  <w:num w:numId="16">
    <w:abstractNumId w:val="0"/>
  </w:num>
  <w:num w:numId="17">
    <w:abstractNumId w:val="24"/>
  </w:num>
  <w:num w:numId="18">
    <w:abstractNumId w:val="28"/>
  </w:num>
  <w:num w:numId="19">
    <w:abstractNumId w:val="18"/>
  </w:num>
  <w:num w:numId="20">
    <w:abstractNumId w:val="14"/>
  </w:num>
  <w:num w:numId="21">
    <w:abstractNumId w:val="20"/>
  </w:num>
  <w:num w:numId="22">
    <w:abstractNumId w:val="8"/>
  </w:num>
  <w:num w:numId="23">
    <w:abstractNumId w:val="12"/>
  </w:num>
  <w:num w:numId="24">
    <w:abstractNumId w:val="25"/>
  </w:num>
  <w:num w:numId="25">
    <w:abstractNumId w:val="6"/>
  </w:num>
  <w:num w:numId="26">
    <w:abstractNumId w:val="37"/>
  </w:num>
  <w:num w:numId="27">
    <w:abstractNumId w:val="21"/>
  </w:num>
  <w:num w:numId="28">
    <w:abstractNumId w:val="10"/>
  </w:num>
  <w:num w:numId="29">
    <w:abstractNumId w:val="3"/>
  </w:num>
  <w:num w:numId="30">
    <w:abstractNumId w:val="31"/>
  </w:num>
  <w:num w:numId="31">
    <w:abstractNumId w:val="7"/>
  </w:num>
  <w:num w:numId="32">
    <w:abstractNumId w:val="9"/>
  </w:num>
  <w:num w:numId="33">
    <w:abstractNumId w:val="29"/>
  </w:num>
  <w:num w:numId="34">
    <w:abstractNumId w:val="5"/>
  </w:num>
  <w:num w:numId="35">
    <w:abstractNumId w:val="4"/>
  </w:num>
  <w:num w:numId="36">
    <w:abstractNumId w:val="22"/>
  </w:num>
  <w:num w:numId="37">
    <w:abstractNumId w:val="27"/>
  </w:num>
  <w:num w:numId="38">
    <w:abstractNumId w:val="16"/>
  </w:num>
  <w:num w:numId="39">
    <w:abstractNumId w:val="19"/>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00"/>
    <w:rsid w:val="000070E1"/>
    <w:rsid w:val="00007A86"/>
    <w:rsid w:val="00007FC4"/>
    <w:rsid w:val="00010DD1"/>
    <w:rsid w:val="000121A7"/>
    <w:rsid w:val="0002059F"/>
    <w:rsid w:val="00024D95"/>
    <w:rsid w:val="00037B2A"/>
    <w:rsid w:val="00040879"/>
    <w:rsid w:val="000505C9"/>
    <w:rsid w:val="000551C7"/>
    <w:rsid w:val="00055745"/>
    <w:rsid w:val="000562F8"/>
    <w:rsid w:val="00057A18"/>
    <w:rsid w:val="00066234"/>
    <w:rsid w:val="0007123C"/>
    <w:rsid w:val="000837BC"/>
    <w:rsid w:val="0009178B"/>
    <w:rsid w:val="00096A6C"/>
    <w:rsid w:val="000A1D59"/>
    <w:rsid w:val="000C1753"/>
    <w:rsid w:val="000C31E1"/>
    <w:rsid w:val="000C526A"/>
    <w:rsid w:val="000D138E"/>
    <w:rsid w:val="000D43FA"/>
    <w:rsid w:val="000E03EC"/>
    <w:rsid w:val="000E341D"/>
    <w:rsid w:val="000E485A"/>
    <w:rsid w:val="000F302E"/>
    <w:rsid w:val="00106A58"/>
    <w:rsid w:val="00106F1B"/>
    <w:rsid w:val="001071AA"/>
    <w:rsid w:val="00111207"/>
    <w:rsid w:val="001264A5"/>
    <w:rsid w:val="0013479C"/>
    <w:rsid w:val="001410E6"/>
    <w:rsid w:val="001443A5"/>
    <w:rsid w:val="001522E5"/>
    <w:rsid w:val="00162C89"/>
    <w:rsid w:val="00164519"/>
    <w:rsid w:val="00166B8C"/>
    <w:rsid w:val="00170F76"/>
    <w:rsid w:val="0018576B"/>
    <w:rsid w:val="001900C4"/>
    <w:rsid w:val="00193DD5"/>
    <w:rsid w:val="001A2B2B"/>
    <w:rsid w:val="001A37A6"/>
    <w:rsid w:val="001A565E"/>
    <w:rsid w:val="001A73AE"/>
    <w:rsid w:val="001B1B33"/>
    <w:rsid w:val="001C0616"/>
    <w:rsid w:val="001D08C6"/>
    <w:rsid w:val="001F431F"/>
    <w:rsid w:val="001F45D3"/>
    <w:rsid w:val="00204EE9"/>
    <w:rsid w:val="002058C7"/>
    <w:rsid w:val="00215E2E"/>
    <w:rsid w:val="00217C4C"/>
    <w:rsid w:val="00222851"/>
    <w:rsid w:val="00232B64"/>
    <w:rsid w:val="00247E1C"/>
    <w:rsid w:val="00252F21"/>
    <w:rsid w:val="0026756C"/>
    <w:rsid w:val="002678B2"/>
    <w:rsid w:val="0027606C"/>
    <w:rsid w:val="002776A1"/>
    <w:rsid w:val="002834AB"/>
    <w:rsid w:val="002840D0"/>
    <w:rsid w:val="002849CA"/>
    <w:rsid w:val="002855E4"/>
    <w:rsid w:val="0028680F"/>
    <w:rsid w:val="002934AE"/>
    <w:rsid w:val="002A2043"/>
    <w:rsid w:val="002A2528"/>
    <w:rsid w:val="002A4F5E"/>
    <w:rsid w:val="002A6E25"/>
    <w:rsid w:val="002B212F"/>
    <w:rsid w:val="002C12BC"/>
    <w:rsid w:val="002C1B38"/>
    <w:rsid w:val="002C269C"/>
    <w:rsid w:val="002C5B4A"/>
    <w:rsid w:val="002C6DA8"/>
    <w:rsid w:val="002D4ADD"/>
    <w:rsid w:val="002E3965"/>
    <w:rsid w:val="002E50D6"/>
    <w:rsid w:val="002F2562"/>
    <w:rsid w:val="0030583C"/>
    <w:rsid w:val="00306BB2"/>
    <w:rsid w:val="00315DBF"/>
    <w:rsid w:val="00324411"/>
    <w:rsid w:val="00324B25"/>
    <w:rsid w:val="00327E7C"/>
    <w:rsid w:val="00335FB0"/>
    <w:rsid w:val="00337FCF"/>
    <w:rsid w:val="003412A1"/>
    <w:rsid w:val="00347F09"/>
    <w:rsid w:val="003506B1"/>
    <w:rsid w:val="00361CBD"/>
    <w:rsid w:val="003646D0"/>
    <w:rsid w:val="00373416"/>
    <w:rsid w:val="00376A76"/>
    <w:rsid w:val="00377C04"/>
    <w:rsid w:val="00384BB1"/>
    <w:rsid w:val="00385EBF"/>
    <w:rsid w:val="0039006B"/>
    <w:rsid w:val="003970C5"/>
    <w:rsid w:val="003B2B56"/>
    <w:rsid w:val="003B525E"/>
    <w:rsid w:val="003C1774"/>
    <w:rsid w:val="003C26E2"/>
    <w:rsid w:val="003C2E2F"/>
    <w:rsid w:val="003C7353"/>
    <w:rsid w:val="003D6B59"/>
    <w:rsid w:val="003E0E88"/>
    <w:rsid w:val="003E71E7"/>
    <w:rsid w:val="003E7947"/>
    <w:rsid w:val="003F49D1"/>
    <w:rsid w:val="00402226"/>
    <w:rsid w:val="00402839"/>
    <w:rsid w:val="0041473A"/>
    <w:rsid w:val="0042732A"/>
    <w:rsid w:val="004400A8"/>
    <w:rsid w:val="00440145"/>
    <w:rsid w:val="0045657A"/>
    <w:rsid w:val="00462A0A"/>
    <w:rsid w:val="00465068"/>
    <w:rsid w:val="004705F6"/>
    <w:rsid w:val="00470F1B"/>
    <w:rsid w:val="004726FB"/>
    <w:rsid w:val="0047459E"/>
    <w:rsid w:val="00482F11"/>
    <w:rsid w:val="00492CBA"/>
    <w:rsid w:val="00494B07"/>
    <w:rsid w:val="004951D2"/>
    <w:rsid w:val="004A1671"/>
    <w:rsid w:val="004A3B1F"/>
    <w:rsid w:val="004A548E"/>
    <w:rsid w:val="004B33AC"/>
    <w:rsid w:val="004B3480"/>
    <w:rsid w:val="004B63CB"/>
    <w:rsid w:val="004C241A"/>
    <w:rsid w:val="004D64AA"/>
    <w:rsid w:val="004E33D0"/>
    <w:rsid w:val="004E61D7"/>
    <w:rsid w:val="004F2DC3"/>
    <w:rsid w:val="004F450F"/>
    <w:rsid w:val="00500F43"/>
    <w:rsid w:val="005017AF"/>
    <w:rsid w:val="00503CB9"/>
    <w:rsid w:val="00504CC5"/>
    <w:rsid w:val="0050651A"/>
    <w:rsid w:val="00506A08"/>
    <w:rsid w:val="00512E2A"/>
    <w:rsid w:val="005140DB"/>
    <w:rsid w:val="00515471"/>
    <w:rsid w:val="00524888"/>
    <w:rsid w:val="005300D7"/>
    <w:rsid w:val="00534DE7"/>
    <w:rsid w:val="0055086A"/>
    <w:rsid w:val="00550EFF"/>
    <w:rsid w:val="005544F0"/>
    <w:rsid w:val="00564F1B"/>
    <w:rsid w:val="005676A3"/>
    <w:rsid w:val="00567927"/>
    <w:rsid w:val="00574A24"/>
    <w:rsid w:val="00586786"/>
    <w:rsid w:val="00591283"/>
    <w:rsid w:val="00596C8F"/>
    <w:rsid w:val="005A153B"/>
    <w:rsid w:val="005B1595"/>
    <w:rsid w:val="005B3449"/>
    <w:rsid w:val="005B5BBA"/>
    <w:rsid w:val="005E04CB"/>
    <w:rsid w:val="005E295E"/>
    <w:rsid w:val="005E3B58"/>
    <w:rsid w:val="00603D9D"/>
    <w:rsid w:val="00604BD0"/>
    <w:rsid w:val="006069E0"/>
    <w:rsid w:val="0061237E"/>
    <w:rsid w:val="0062180D"/>
    <w:rsid w:val="006266D1"/>
    <w:rsid w:val="006415E6"/>
    <w:rsid w:val="00647B11"/>
    <w:rsid w:val="0065075B"/>
    <w:rsid w:val="006512ED"/>
    <w:rsid w:val="0066116C"/>
    <w:rsid w:val="00661850"/>
    <w:rsid w:val="0066486F"/>
    <w:rsid w:val="00664A4B"/>
    <w:rsid w:val="00673F4C"/>
    <w:rsid w:val="00692B74"/>
    <w:rsid w:val="00693D8D"/>
    <w:rsid w:val="00695C33"/>
    <w:rsid w:val="006A2671"/>
    <w:rsid w:val="006A76DB"/>
    <w:rsid w:val="006B2872"/>
    <w:rsid w:val="006B69E7"/>
    <w:rsid w:val="006B6DF8"/>
    <w:rsid w:val="006C08C0"/>
    <w:rsid w:val="006C13B7"/>
    <w:rsid w:val="006E3A11"/>
    <w:rsid w:val="00701D7F"/>
    <w:rsid w:val="007037E7"/>
    <w:rsid w:val="00717EB0"/>
    <w:rsid w:val="00720F4F"/>
    <w:rsid w:val="007212FE"/>
    <w:rsid w:val="00723E9B"/>
    <w:rsid w:val="007242C5"/>
    <w:rsid w:val="00727FC4"/>
    <w:rsid w:val="0073061A"/>
    <w:rsid w:val="007319C8"/>
    <w:rsid w:val="00732085"/>
    <w:rsid w:val="007368DB"/>
    <w:rsid w:val="00741876"/>
    <w:rsid w:val="00747AF6"/>
    <w:rsid w:val="00750048"/>
    <w:rsid w:val="00762197"/>
    <w:rsid w:val="007807D0"/>
    <w:rsid w:val="00781FC9"/>
    <w:rsid w:val="007908F0"/>
    <w:rsid w:val="00794E2F"/>
    <w:rsid w:val="00796EAC"/>
    <w:rsid w:val="007B4EF4"/>
    <w:rsid w:val="007B6CD5"/>
    <w:rsid w:val="007B74E9"/>
    <w:rsid w:val="007D0F45"/>
    <w:rsid w:val="007D1FE8"/>
    <w:rsid w:val="007D3CD4"/>
    <w:rsid w:val="007E26A9"/>
    <w:rsid w:val="007E3013"/>
    <w:rsid w:val="007E3213"/>
    <w:rsid w:val="00810658"/>
    <w:rsid w:val="00817419"/>
    <w:rsid w:val="00823ADA"/>
    <w:rsid w:val="008326AC"/>
    <w:rsid w:val="00840C90"/>
    <w:rsid w:val="00845537"/>
    <w:rsid w:val="008474B4"/>
    <w:rsid w:val="00852145"/>
    <w:rsid w:val="00862069"/>
    <w:rsid w:val="00864549"/>
    <w:rsid w:val="00872A42"/>
    <w:rsid w:val="00895D95"/>
    <w:rsid w:val="008B4A81"/>
    <w:rsid w:val="008B53BD"/>
    <w:rsid w:val="008B59B3"/>
    <w:rsid w:val="008B5EAC"/>
    <w:rsid w:val="008B6783"/>
    <w:rsid w:val="008C393C"/>
    <w:rsid w:val="008C4F5B"/>
    <w:rsid w:val="008C714C"/>
    <w:rsid w:val="008E1700"/>
    <w:rsid w:val="008E2BB1"/>
    <w:rsid w:val="008F10CE"/>
    <w:rsid w:val="008F2F4A"/>
    <w:rsid w:val="008F3AB3"/>
    <w:rsid w:val="008F6632"/>
    <w:rsid w:val="009026C8"/>
    <w:rsid w:val="00923DFE"/>
    <w:rsid w:val="00936D53"/>
    <w:rsid w:val="00937659"/>
    <w:rsid w:val="00954493"/>
    <w:rsid w:val="00954BB9"/>
    <w:rsid w:val="009575E3"/>
    <w:rsid w:val="009617D9"/>
    <w:rsid w:val="009621A7"/>
    <w:rsid w:val="009630A4"/>
    <w:rsid w:val="0097190F"/>
    <w:rsid w:val="0098611A"/>
    <w:rsid w:val="00986B69"/>
    <w:rsid w:val="009926FE"/>
    <w:rsid w:val="00997632"/>
    <w:rsid w:val="009A2EF0"/>
    <w:rsid w:val="009A5571"/>
    <w:rsid w:val="009B1EEC"/>
    <w:rsid w:val="009C1FEF"/>
    <w:rsid w:val="009C28AE"/>
    <w:rsid w:val="009C5881"/>
    <w:rsid w:val="009D0EB7"/>
    <w:rsid w:val="009D533D"/>
    <w:rsid w:val="009D62F6"/>
    <w:rsid w:val="009F1EB6"/>
    <w:rsid w:val="009F2A9B"/>
    <w:rsid w:val="009F3684"/>
    <w:rsid w:val="00A01D5F"/>
    <w:rsid w:val="00A127A8"/>
    <w:rsid w:val="00A17A82"/>
    <w:rsid w:val="00A216B8"/>
    <w:rsid w:val="00A27B73"/>
    <w:rsid w:val="00A357DA"/>
    <w:rsid w:val="00A41014"/>
    <w:rsid w:val="00A46838"/>
    <w:rsid w:val="00A53FC6"/>
    <w:rsid w:val="00A620B6"/>
    <w:rsid w:val="00A62C04"/>
    <w:rsid w:val="00A64FB1"/>
    <w:rsid w:val="00A704A2"/>
    <w:rsid w:val="00A762CE"/>
    <w:rsid w:val="00A77C3E"/>
    <w:rsid w:val="00A858AE"/>
    <w:rsid w:val="00A8596A"/>
    <w:rsid w:val="00A8691F"/>
    <w:rsid w:val="00A8746F"/>
    <w:rsid w:val="00A93915"/>
    <w:rsid w:val="00A94D9B"/>
    <w:rsid w:val="00A9768A"/>
    <w:rsid w:val="00AB2A3F"/>
    <w:rsid w:val="00AC75B9"/>
    <w:rsid w:val="00AE13B0"/>
    <w:rsid w:val="00AE40EE"/>
    <w:rsid w:val="00AE6014"/>
    <w:rsid w:val="00AF0C1C"/>
    <w:rsid w:val="00AF66D8"/>
    <w:rsid w:val="00B0018D"/>
    <w:rsid w:val="00B03F8D"/>
    <w:rsid w:val="00B079E8"/>
    <w:rsid w:val="00B147D9"/>
    <w:rsid w:val="00B2177F"/>
    <w:rsid w:val="00B25585"/>
    <w:rsid w:val="00B36798"/>
    <w:rsid w:val="00B3735F"/>
    <w:rsid w:val="00B41E46"/>
    <w:rsid w:val="00B41F82"/>
    <w:rsid w:val="00B44B4A"/>
    <w:rsid w:val="00B4659F"/>
    <w:rsid w:val="00B53BD4"/>
    <w:rsid w:val="00B83018"/>
    <w:rsid w:val="00B8428A"/>
    <w:rsid w:val="00B86A90"/>
    <w:rsid w:val="00B927E1"/>
    <w:rsid w:val="00B94429"/>
    <w:rsid w:val="00B94D0D"/>
    <w:rsid w:val="00BA255D"/>
    <w:rsid w:val="00BB3BA6"/>
    <w:rsid w:val="00BB3E11"/>
    <w:rsid w:val="00BB7B00"/>
    <w:rsid w:val="00BC59E5"/>
    <w:rsid w:val="00BC63A9"/>
    <w:rsid w:val="00BC6B3D"/>
    <w:rsid w:val="00BD65E1"/>
    <w:rsid w:val="00BD7EC9"/>
    <w:rsid w:val="00BF7D6A"/>
    <w:rsid w:val="00C11208"/>
    <w:rsid w:val="00C15036"/>
    <w:rsid w:val="00C162B8"/>
    <w:rsid w:val="00C1673B"/>
    <w:rsid w:val="00C2666E"/>
    <w:rsid w:val="00C34F90"/>
    <w:rsid w:val="00C427E9"/>
    <w:rsid w:val="00C428DB"/>
    <w:rsid w:val="00C42D65"/>
    <w:rsid w:val="00C43C6E"/>
    <w:rsid w:val="00C4416D"/>
    <w:rsid w:val="00C468DE"/>
    <w:rsid w:val="00C50FD6"/>
    <w:rsid w:val="00C522EB"/>
    <w:rsid w:val="00C57327"/>
    <w:rsid w:val="00C57CAF"/>
    <w:rsid w:val="00C66B45"/>
    <w:rsid w:val="00C70392"/>
    <w:rsid w:val="00C72005"/>
    <w:rsid w:val="00C76A8B"/>
    <w:rsid w:val="00C80267"/>
    <w:rsid w:val="00CB094E"/>
    <w:rsid w:val="00CB28DA"/>
    <w:rsid w:val="00CC3774"/>
    <w:rsid w:val="00CC56E0"/>
    <w:rsid w:val="00CC7812"/>
    <w:rsid w:val="00CD1171"/>
    <w:rsid w:val="00CD7F36"/>
    <w:rsid w:val="00CE0F9A"/>
    <w:rsid w:val="00CE4CD2"/>
    <w:rsid w:val="00CE7AA9"/>
    <w:rsid w:val="00D10592"/>
    <w:rsid w:val="00D12D88"/>
    <w:rsid w:val="00D13ED9"/>
    <w:rsid w:val="00D14319"/>
    <w:rsid w:val="00D1693B"/>
    <w:rsid w:val="00D30A9F"/>
    <w:rsid w:val="00D66847"/>
    <w:rsid w:val="00D66EE1"/>
    <w:rsid w:val="00D800B7"/>
    <w:rsid w:val="00D863D5"/>
    <w:rsid w:val="00D91611"/>
    <w:rsid w:val="00D93AD1"/>
    <w:rsid w:val="00D96FF9"/>
    <w:rsid w:val="00DA1256"/>
    <w:rsid w:val="00DA4EDE"/>
    <w:rsid w:val="00DB1B4F"/>
    <w:rsid w:val="00DC7AE6"/>
    <w:rsid w:val="00DD58AB"/>
    <w:rsid w:val="00DD696A"/>
    <w:rsid w:val="00DE08D4"/>
    <w:rsid w:val="00DE0DFA"/>
    <w:rsid w:val="00DF73E9"/>
    <w:rsid w:val="00E12093"/>
    <w:rsid w:val="00E1467B"/>
    <w:rsid w:val="00E16F18"/>
    <w:rsid w:val="00E254C2"/>
    <w:rsid w:val="00E46201"/>
    <w:rsid w:val="00E52109"/>
    <w:rsid w:val="00E522D9"/>
    <w:rsid w:val="00E62C87"/>
    <w:rsid w:val="00E631E8"/>
    <w:rsid w:val="00E63345"/>
    <w:rsid w:val="00E6656D"/>
    <w:rsid w:val="00E71AD2"/>
    <w:rsid w:val="00E80805"/>
    <w:rsid w:val="00E83BEC"/>
    <w:rsid w:val="00E87006"/>
    <w:rsid w:val="00E9223C"/>
    <w:rsid w:val="00E96471"/>
    <w:rsid w:val="00E96C80"/>
    <w:rsid w:val="00EA3DE7"/>
    <w:rsid w:val="00EA462B"/>
    <w:rsid w:val="00EB1E5E"/>
    <w:rsid w:val="00EB6628"/>
    <w:rsid w:val="00EC710B"/>
    <w:rsid w:val="00ED413B"/>
    <w:rsid w:val="00ED6093"/>
    <w:rsid w:val="00EE0B0E"/>
    <w:rsid w:val="00EE73F5"/>
    <w:rsid w:val="00EF12F9"/>
    <w:rsid w:val="00EF6427"/>
    <w:rsid w:val="00F1008D"/>
    <w:rsid w:val="00F22189"/>
    <w:rsid w:val="00F22460"/>
    <w:rsid w:val="00F2752D"/>
    <w:rsid w:val="00F43165"/>
    <w:rsid w:val="00F628B3"/>
    <w:rsid w:val="00F63E47"/>
    <w:rsid w:val="00F720AC"/>
    <w:rsid w:val="00F720EF"/>
    <w:rsid w:val="00F8317C"/>
    <w:rsid w:val="00F84BA5"/>
    <w:rsid w:val="00F866E1"/>
    <w:rsid w:val="00F900B3"/>
    <w:rsid w:val="00F92B90"/>
    <w:rsid w:val="00FB269B"/>
    <w:rsid w:val="00FC4FB9"/>
    <w:rsid w:val="00FD5F68"/>
    <w:rsid w:val="00FF0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21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C04"/>
    <w:pPr>
      <w:ind w:left="720"/>
      <w:contextualSpacing/>
    </w:pPr>
  </w:style>
  <w:style w:type="paragraph" w:styleId="Header">
    <w:name w:val="header"/>
    <w:basedOn w:val="Normal"/>
    <w:link w:val="HeaderChar"/>
    <w:uiPriority w:val="99"/>
    <w:unhideWhenUsed/>
    <w:rsid w:val="00BF7D6A"/>
    <w:pPr>
      <w:tabs>
        <w:tab w:val="center" w:pos="4680"/>
        <w:tab w:val="right" w:pos="9360"/>
      </w:tabs>
    </w:pPr>
  </w:style>
  <w:style w:type="character" w:customStyle="1" w:styleId="HeaderChar">
    <w:name w:val="Header Char"/>
    <w:basedOn w:val="DefaultParagraphFont"/>
    <w:link w:val="Header"/>
    <w:uiPriority w:val="99"/>
    <w:rsid w:val="00BF7D6A"/>
  </w:style>
  <w:style w:type="paragraph" w:styleId="Footer">
    <w:name w:val="footer"/>
    <w:basedOn w:val="Normal"/>
    <w:link w:val="FooterChar"/>
    <w:uiPriority w:val="99"/>
    <w:unhideWhenUsed/>
    <w:rsid w:val="00BF7D6A"/>
    <w:pPr>
      <w:tabs>
        <w:tab w:val="center" w:pos="4680"/>
        <w:tab w:val="right" w:pos="9360"/>
      </w:tabs>
    </w:pPr>
  </w:style>
  <w:style w:type="character" w:customStyle="1" w:styleId="FooterChar">
    <w:name w:val="Footer Char"/>
    <w:basedOn w:val="DefaultParagraphFont"/>
    <w:link w:val="Footer"/>
    <w:uiPriority w:val="99"/>
    <w:rsid w:val="00BF7D6A"/>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586786"/>
    <w:pPr>
      <w:spacing w:after="200" w:line="276"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586786"/>
    <w:rPr>
      <w:rFonts w:ascii="Calibri" w:eastAsia="Calibri" w:hAnsi="Calibri" w:cs="Times New Roman"/>
      <w:sz w:val="20"/>
      <w:szCs w:val="20"/>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iPriority w:val="99"/>
    <w:unhideWhenUsed/>
    <w:qFormat/>
    <w:rsid w:val="00586786"/>
    <w:rPr>
      <w:vertAlign w:val="superscript"/>
    </w:rPr>
  </w:style>
  <w:style w:type="character" w:styleId="PageNumber">
    <w:name w:val="page number"/>
    <w:basedOn w:val="DefaultParagraphFont"/>
    <w:uiPriority w:val="99"/>
    <w:semiHidden/>
    <w:unhideWhenUsed/>
    <w:rsid w:val="00C522EB"/>
  </w:style>
  <w:style w:type="paragraph" w:customStyle="1" w:styleId="Appelnotedebasde">
    <w:name w:val="Appel note de bas de..."/>
    <w:basedOn w:val="Normal"/>
    <w:link w:val="FootnoteReference"/>
    <w:uiPriority w:val="99"/>
    <w:rsid w:val="00010DD1"/>
    <w:pPr>
      <w:spacing w:after="160" w:line="240" w:lineRule="exact"/>
    </w:pPr>
    <w:rPr>
      <w:vertAlign w:val="superscript"/>
    </w:rPr>
  </w:style>
  <w:style w:type="character" w:customStyle="1" w:styleId="Heading1Char">
    <w:name w:val="Heading 1 Char"/>
    <w:basedOn w:val="DefaultParagraphFont"/>
    <w:link w:val="Heading1"/>
    <w:uiPriority w:val="9"/>
    <w:rsid w:val="0076219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62197"/>
    <w:rPr>
      <w:color w:val="0563C1" w:themeColor="hyperlink"/>
      <w:u w:val="single"/>
    </w:rPr>
  </w:style>
  <w:style w:type="paragraph" w:styleId="BalloonText">
    <w:name w:val="Balloon Text"/>
    <w:basedOn w:val="Normal"/>
    <w:link w:val="BalloonTextChar"/>
    <w:uiPriority w:val="99"/>
    <w:semiHidden/>
    <w:unhideWhenUsed/>
    <w:rsid w:val="00A27B73"/>
    <w:rPr>
      <w:rFonts w:ascii="Tahoma" w:hAnsi="Tahoma" w:cs="Tahoma"/>
      <w:sz w:val="16"/>
      <w:szCs w:val="16"/>
    </w:rPr>
  </w:style>
  <w:style w:type="character" w:customStyle="1" w:styleId="BalloonTextChar">
    <w:name w:val="Balloon Text Char"/>
    <w:basedOn w:val="DefaultParagraphFont"/>
    <w:link w:val="BalloonText"/>
    <w:uiPriority w:val="99"/>
    <w:semiHidden/>
    <w:rsid w:val="00A27B73"/>
    <w:rPr>
      <w:rFonts w:ascii="Tahoma" w:hAnsi="Tahoma" w:cs="Tahoma"/>
      <w:sz w:val="16"/>
      <w:szCs w:val="16"/>
    </w:rPr>
  </w:style>
  <w:style w:type="character" w:customStyle="1" w:styleId="apple-converted-space">
    <w:name w:val="apple-converted-space"/>
    <w:rsid w:val="002A2043"/>
  </w:style>
  <w:style w:type="paragraph" w:styleId="NormalWeb">
    <w:name w:val="Normal (Web)"/>
    <w:basedOn w:val="Normal"/>
    <w:uiPriority w:val="99"/>
    <w:semiHidden/>
    <w:unhideWhenUsed/>
    <w:rsid w:val="00BB7B00"/>
    <w:pPr>
      <w:spacing w:before="100" w:beforeAutospacing="1" w:after="100" w:afterAutospacing="1"/>
    </w:pPr>
    <w:rPr>
      <w:rFonts w:ascii="Times" w:hAnsi="Times" w:cs="Times New Roman"/>
      <w:sz w:val="20"/>
      <w:szCs w:val="20"/>
      <w:lang w:val="es-MX"/>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5300D7"/>
    <w:pPr>
      <w:spacing w:before="200" w:after="160" w:line="240" w:lineRule="exact"/>
    </w:pPr>
    <w:rPr>
      <w:rFonts w:ascii="Calibri" w:eastAsia="Calibri" w:hAnsi="Calibri" w:cs="Times New Roman"/>
      <w:sz w:val="20"/>
      <w:szCs w:val="20"/>
      <w:vertAlign w:val="superscript"/>
    </w:rPr>
  </w:style>
  <w:style w:type="character" w:styleId="Strong">
    <w:name w:val="Strong"/>
    <w:uiPriority w:val="22"/>
    <w:qFormat/>
    <w:rsid w:val="005300D7"/>
    <w:rPr>
      <w:b/>
      <w:bCs/>
    </w:rPr>
  </w:style>
  <w:style w:type="character" w:styleId="CommentReference">
    <w:name w:val="annotation reference"/>
    <w:basedOn w:val="DefaultParagraphFont"/>
    <w:uiPriority w:val="99"/>
    <w:semiHidden/>
    <w:unhideWhenUsed/>
    <w:rsid w:val="001264A5"/>
    <w:rPr>
      <w:sz w:val="16"/>
      <w:szCs w:val="16"/>
    </w:rPr>
  </w:style>
  <w:style w:type="paragraph" w:styleId="CommentText">
    <w:name w:val="annotation text"/>
    <w:basedOn w:val="Normal"/>
    <w:link w:val="CommentTextChar"/>
    <w:uiPriority w:val="99"/>
    <w:semiHidden/>
    <w:unhideWhenUsed/>
    <w:rsid w:val="001264A5"/>
    <w:rPr>
      <w:sz w:val="20"/>
      <w:szCs w:val="20"/>
    </w:rPr>
  </w:style>
  <w:style w:type="character" w:customStyle="1" w:styleId="CommentTextChar">
    <w:name w:val="Comment Text Char"/>
    <w:basedOn w:val="DefaultParagraphFont"/>
    <w:link w:val="CommentText"/>
    <w:uiPriority w:val="99"/>
    <w:semiHidden/>
    <w:rsid w:val="001264A5"/>
    <w:rPr>
      <w:sz w:val="20"/>
      <w:szCs w:val="20"/>
    </w:rPr>
  </w:style>
  <w:style w:type="paragraph" w:styleId="CommentSubject">
    <w:name w:val="annotation subject"/>
    <w:basedOn w:val="CommentText"/>
    <w:next w:val="CommentText"/>
    <w:link w:val="CommentSubjectChar"/>
    <w:uiPriority w:val="99"/>
    <w:semiHidden/>
    <w:unhideWhenUsed/>
    <w:rsid w:val="001264A5"/>
    <w:rPr>
      <w:b/>
      <w:bCs/>
    </w:rPr>
  </w:style>
  <w:style w:type="character" w:customStyle="1" w:styleId="CommentSubjectChar">
    <w:name w:val="Comment Subject Char"/>
    <w:basedOn w:val="CommentTextChar"/>
    <w:link w:val="CommentSubject"/>
    <w:uiPriority w:val="99"/>
    <w:semiHidden/>
    <w:rsid w:val="001264A5"/>
    <w:rPr>
      <w:b/>
      <w:bCs/>
      <w:sz w:val="20"/>
      <w:szCs w:val="20"/>
    </w:rPr>
  </w:style>
  <w:style w:type="paragraph" w:styleId="Revision">
    <w:name w:val="Revision"/>
    <w:hidden/>
    <w:uiPriority w:val="99"/>
    <w:semiHidden/>
    <w:rsid w:val="001264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21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C04"/>
    <w:pPr>
      <w:ind w:left="720"/>
      <w:contextualSpacing/>
    </w:pPr>
  </w:style>
  <w:style w:type="paragraph" w:styleId="Header">
    <w:name w:val="header"/>
    <w:basedOn w:val="Normal"/>
    <w:link w:val="HeaderChar"/>
    <w:uiPriority w:val="99"/>
    <w:unhideWhenUsed/>
    <w:rsid w:val="00BF7D6A"/>
    <w:pPr>
      <w:tabs>
        <w:tab w:val="center" w:pos="4680"/>
        <w:tab w:val="right" w:pos="9360"/>
      </w:tabs>
    </w:pPr>
  </w:style>
  <w:style w:type="character" w:customStyle="1" w:styleId="HeaderChar">
    <w:name w:val="Header Char"/>
    <w:basedOn w:val="DefaultParagraphFont"/>
    <w:link w:val="Header"/>
    <w:uiPriority w:val="99"/>
    <w:rsid w:val="00BF7D6A"/>
  </w:style>
  <w:style w:type="paragraph" w:styleId="Footer">
    <w:name w:val="footer"/>
    <w:basedOn w:val="Normal"/>
    <w:link w:val="FooterChar"/>
    <w:uiPriority w:val="99"/>
    <w:unhideWhenUsed/>
    <w:rsid w:val="00BF7D6A"/>
    <w:pPr>
      <w:tabs>
        <w:tab w:val="center" w:pos="4680"/>
        <w:tab w:val="right" w:pos="9360"/>
      </w:tabs>
    </w:pPr>
  </w:style>
  <w:style w:type="character" w:customStyle="1" w:styleId="FooterChar">
    <w:name w:val="Footer Char"/>
    <w:basedOn w:val="DefaultParagraphFont"/>
    <w:link w:val="Footer"/>
    <w:uiPriority w:val="99"/>
    <w:rsid w:val="00BF7D6A"/>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586786"/>
    <w:pPr>
      <w:spacing w:after="200" w:line="276"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586786"/>
    <w:rPr>
      <w:rFonts w:ascii="Calibri" w:eastAsia="Calibri" w:hAnsi="Calibri" w:cs="Times New Roman"/>
      <w:sz w:val="20"/>
      <w:szCs w:val="20"/>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iPriority w:val="99"/>
    <w:unhideWhenUsed/>
    <w:qFormat/>
    <w:rsid w:val="00586786"/>
    <w:rPr>
      <w:vertAlign w:val="superscript"/>
    </w:rPr>
  </w:style>
  <w:style w:type="character" w:styleId="PageNumber">
    <w:name w:val="page number"/>
    <w:basedOn w:val="DefaultParagraphFont"/>
    <w:uiPriority w:val="99"/>
    <w:semiHidden/>
    <w:unhideWhenUsed/>
    <w:rsid w:val="00C522EB"/>
  </w:style>
  <w:style w:type="paragraph" w:customStyle="1" w:styleId="Appelnotedebasde">
    <w:name w:val="Appel note de bas de..."/>
    <w:basedOn w:val="Normal"/>
    <w:link w:val="FootnoteReference"/>
    <w:uiPriority w:val="99"/>
    <w:rsid w:val="00010DD1"/>
    <w:pPr>
      <w:spacing w:after="160" w:line="240" w:lineRule="exact"/>
    </w:pPr>
    <w:rPr>
      <w:vertAlign w:val="superscript"/>
    </w:rPr>
  </w:style>
  <w:style w:type="character" w:customStyle="1" w:styleId="Heading1Char">
    <w:name w:val="Heading 1 Char"/>
    <w:basedOn w:val="DefaultParagraphFont"/>
    <w:link w:val="Heading1"/>
    <w:uiPriority w:val="9"/>
    <w:rsid w:val="0076219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62197"/>
    <w:rPr>
      <w:color w:val="0563C1" w:themeColor="hyperlink"/>
      <w:u w:val="single"/>
    </w:rPr>
  </w:style>
  <w:style w:type="paragraph" w:styleId="BalloonText">
    <w:name w:val="Balloon Text"/>
    <w:basedOn w:val="Normal"/>
    <w:link w:val="BalloonTextChar"/>
    <w:uiPriority w:val="99"/>
    <w:semiHidden/>
    <w:unhideWhenUsed/>
    <w:rsid w:val="00A27B73"/>
    <w:rPr>
      <w:rFonts w:ascii="Tahoma" w:hAnsi="Tahoma" w:cs="Tahoma"/>
      <w:sz w:val="16"/>
      <w:szCs w:val="16"/>
    </w:rPr>
  </w:style>
  <w:style w:type="character" w:customStyle="1" w:styleId="BalloonTextChar">
    <w:name w:val="Balloon Text Char"/>
    <w:basedOn w:val="DefaultParagraphFont"/>
    <w:link w:val="BalloonText"/>
    <w:uiPriority w:val="99"/>
    <w:semiHidden/>
    <w:rsid w:val="00A27B73"/>
    <w:rPr>
      <w:rFonts w:ascii="Tahoma" w:hAnsi="Tahoma" w:cs="Tahoma"/>
      <w:sz w:val="16"/>
      <w:szCs w:val="16"/>
    </w:rPr>
  </w:style>
  <w:style w:type="character" w:customStyle="1" w:styleId="apple-converted-space">
    <w:name w:val="apple-converted-space"/>
    <w:rsid w:val="002A2043"/>
  </w:style>
  <w:style w:type="paragraph" w:styleId="NormalWeb">
    <w:name w:val="Normal (Web)"/>
    <w:basedOn w:val="Normal"/>
    <w:uiPriority w:val="99"/>
    <w:semiHidden/>
    <w:unhideWhenUsed/>
    <w:rsid w:val="00BB7B00"/>
    <w:pPr>
      <w:spacing w:before="100" w:beforeAutospacing="1" w:after="100" w:afterAutospacing="1"/>
    </w:pPr>
    <w:rPr>
      <w:rFonts w:ascii="Times" w:hAnsi="Times" w:cs="Times New Roman"/>
      <w:sz w:val="20"/>
      <w:szCs w:val="20"/>
      <w:lang w:val="es-MX"/>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5300D7"/>
    <w:pPr>
      <w:spacing w:before="200" w:after="160" w:line="240" w:lineRule="exact"/>
    </w:pPr>
    <w:rPr>
      <w:rFonts w:ascii="Calibri" w:eastAsia="Calibri" w:hAnsi="Calibri" w:cs="Times New Roman"/>
      <w:sz w:val="20"/>
      <w:szCs w:val="20"/>
      <w:vertAlign w:val="superscript"/>
    </w:rPr>
  </w:style>
  <w:style w:type="character" w:styleId="Strong">
    <w:name w:val="Strong"/>
    <w:uiPriority w:val="22"/>
    <w:qFormat/>
    <w:rsid w:val="005300D7"/>
    <w:rPr>
      <w:b/>
      <w:bCs/>
    </w:rPr>
  </w:style>
  <w:style w:type="character" w:styleId="CommentReference">
    <w:name w:val="annotation reference"/>
    <w:basedOn w:val="DefaultParagraphFont"/>
    <w:uiPriority w:val="99"/>
    <w:semiHidden/>
    <w:unhideWhenUsed/>
    <w:rsid w:val="001264A5"/>
    <w:rPr>
      <w:sz w:val="16"/>
      <w:szCs w:val="16"/>
    </w:rPr>
  </w:style>
  <w:style w:type="paragraph" w:styleId="CommentText">
    <w:name w:val="annotation text"/>
    <w:basedOn w:val="Normal"/>
    <w:link w:val="CommentTextChar"/>
    <w:uiPriority w:val="99"/>
    <w:semiHidden/>
    <w:unhideWhenUsed/>
    <w:rsid w:val="001264A5"/>
    <w:rPr>
      <w:sz w:val="20"/>
      <w:szCs w:val="20"/>
    </w:rPr>
  </w:style>
  <w:style w:type="character" w:customStyle="1" w:styleId="CommentTextChar">
    <w:name w:val="Comment Text Char"/>
    <w:basedOn w:val="DefaultParagraphFont"/>
    <w:link w:val="CommentText"/>
    <w:uiPriority w:val="99"/>
    <w:semiHidden/>
    <w:rsid w:val="001264A5"/>
    <w:rPr>
      <w:sz w:val="20"/>
      <w:szCs w:val="20"/>
    </w:rPr>
  </w:style>
  <w:style w:type="paragraph" w:styleId="CommentSubject">
    <w:name w:val="annotation subject"/>
    <w:basedOn w:val="CommentText"/>
    <w:next w:val="CommentText"/>
    <w:link w:val="CommentSubjectChar"/>
    <w:uiPriority w:val="99"/>
    <w:semiHidden/>
    <w:unhideWhenUsed/>
    <w:rsid w:val="001264A5"/>
    <w:rPr>
      <w:b/>
      <w:bCs/>
    </w:rPr>
  </w:style>
  <w:style w:type="character" w:customStyle="1" w:styleId="CommentSubjectChar">
    <w:name w:val="Comment Subject Char"/>
    <w:basedOn w:val="CommentTextChar"/>
    <w:link w:val="CommentSubject"/>
    <w:uiPriority w:val="99"/>
    <w:semiHidden/>
    <w:rsid w:val="001264A5"/>
    <w:rPr>
      <w:b/>
      <w:bCs/>
      <w:sz w:val="20"/>
      <w:szCs w:val="20"/>
    </w:rPr>
  </w:style>
  <w:style w:type="paragraph" w:styleId="Revision">
    <w:name w:val="Revision"/>
    <w:hidden/>
    <w:uiPriority w:val="99"/>
    <w:semiHidden/>
    <w:rsid w:val="00126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6827">
      <w:bodyDiv w:val="1"/>
      <w:marLeft w:val="0"/>
      <w:marRight w:val="0"/>
      <w:marTop w:val="0"/>
      <w:marBottom w:val="0"/>
      <w:divBdr>
        <w:top w:val="none" w:sz="0" w:space="0" w:color="auto"/>
        <w:left w:val="none" w:sz="0" w:space="0" w:color="auto"/>
        <w:bottom w:val="none" w:sz="0" w:space="0" w:color="auto"/>
        <w:right w:val="none" w:sz="0" w:space="0" w:color="auto"/>
      </w:divBdr>
    </w:div>
    <w:div w:id="130708221">
      <w:bodyDiv w:val="1"/>
      <w:marLeft w:val="0"/>
      <w:marRight w:val="0"/>
      <w:marTop w:val="0"/>
      <w:marBottom w:val="0"/>
      <w:divBdr>
        <w:top w:val="none" w:sz="0" w:space="0" w:color="auto"/>
        <w:left w:val="none" w:sz="0" w:space="0" w:color="auto"/>
        <w:bottom w:val="none" w:sz="0" w:space="0" w:color="auto"/>
        <w:right w:val="none" w:sz="0" w:space="0" w:color="auto"/>
      </w:divBdr>
      <w:divsChild>
        <w:div w:id="1735473607">
          <w:marLeft w:val="0"/>
          <w:marRight w:val="0"/>
          <w:marTop w:val="280"/>
          <w:marBottom w:val="280"/>
          <w:divBdr>
            <w:top w:val="none" w:sz="0" w:space="0" w:color="auto"/>
            <w:left w:val="none" w:sz="0" w:space="0" w:color="auto"/>
            <w:bottom w:val="none" w:sz="0" w:space="0" w:color="auto"/>
            <w:right w:val="none" w:sz="0" w:space="0" w:color="auto"/>
          </w:divBdr>
        </w:div>
        <w:div w:id="690109742">
          <w:marLeft w:val="0"/>
          <w:marRight w:val="0"/>
          <w:marTop w:val="280"/>
          <w:marBottom w:val="280"/>
          <w:divBdr>
            <w:top w:val="none" w:sz="0" w:space="0" w:color="auto"/>
            <w:left w:val="none" w:sz="0" w:space="0" w:color="auto"/>
            <w:bottom w:val="none" w:sz="0" w:space="0" w:color="auto"/>
            <w:right w:val="none" w:sz="0" w:space="0" w:color="auto"/>
          </w:divBdr>
        </w:div>
        <w:div w:id="476847732">
          <w:marLeft w:val="0"/>
          <w:marRight w:val="0"/>
          <w:marTop w:val="280"/>
          <w:marBottom w:val="280"/>
          <w:divBdr>
            <w:top w:val="none" w:sz="0" w:space="0" w:color="auto"/>
            <w:left w:val="none" w:sz="0" w:space="0" w:color="auto"/>
            <w:bottom w:val="none" w:sz="0" w:space="0" w:color="auto"/>
            <w:right w:val="none" w:sz="0" w:space="0" w:color="auto"/>
          </w:divBdr>
        </w:div>
        <w:div w:id="1326202923">
          <w:marLeft w:val="0"/>
          <w:marRight w:val="0"/>
          <w:marTop w:val="280"/>
          <w:marBottom w:val="280"/>
          <w:divBdr>
            <w:top w:val="none" w:sz="0" w:space="0" w:color="auto"/>
            <w:left w:val="none" w:sz="0" w:space="0" w:color="auto"/>
            <w:bottom w:val="none" w:sz="0" w:space="0" w:color="auto"/>
            <w:right w:val="none" w:sz="0" w:space="0" w:color="auto"/>
          </w:divBdr>
        </w:div>
        <w:div w:id="1203904111">
          <w:marLeft w:val="0"/>
          <w:marRight w:val="0"/>
          <w:marTop w:val="280"/>
          <w:marBottom w:val="280"/>
          <w:divBdr>
            <w:top w:val="none" w:sz="0" w:space="0" w:color="auto"/>
            <w:left w:val="none" w:sz="0" w:space="0" w:color="auto"/>
            <w:bottom w:val="none" w:sz="0" w:space="0" w:color="auto"/>
            <w:right w:val="none" w:sz="0" w:space="0" w:color="auto"/>
          </w:divBdr>
        </w:div>
        <w:div w:id="567424683">
          <w:marLeft w:val="0"/>
          <w:marRight w:val="0"/>
          <w:marTop w:val="280"/>
          <w:marBottom w:val="280"/>
          <w:divBdr>
            <w:top w:val="none" w:sz="0" w:space="0" w:color="auto"/>
            <w:left w:val="none" w:sz="0" w:space="0" w:color="auto"/>
            <w:bottom w:val="none" w:sz="0" w:space="0" w:color="auto"/>
            <w:right w:val="none" w:sz="0" w:space="0" w:color="auto"/>
          </w:divBdr>
        </w:div>
        <w:div w:id="1711303181">
          <w:marLeft w:val="0"/>
          <w:marRight w:val="0"/>
          <w:marTop w:val="280"/>
          <w:marBottom w:val="280"/>
          <w:divBdr>
            <w:top w:val="none" w:sz="0" w:space="0" w:color="auto"/>
            <w:left w:val="none" w:sz="0" w:space="0" w:color="auto"/>
            <w:bottom w:val="none" w:sz="0" w:space="0" w:color="auto"/>
            <w:right w:val="none" w:sz="0" w:space="0" w:color="auto"/>
          </w:divBdr>
        </w:div>
        <w:div w:id="760026352">
          <w:marLeft w:val="0"/>
          <w:marRight w:val="0"/>
          <w:marTop w:val="280"/>
          <w:marBottom w:val="280"/>
          <w:divBdr>
            <w:top w:val="none" w:sz="0" w:space="0" w:color="auto"/>
            <w:left w:val="none" w:sz="0" w:space="0" w:color="auto"/>
            <w:bottom w:val="none" w:sz="0" w:space="0" w:color="auto"/>
            <w:right w:val="none" w:sz="0" w:space="0" w:color="auto"/>
          </w:divBdr>
        </w:div>
        <w:div w:id="1307392913">
          <w:marLeft w:val="0"/>
          <w:marRight w:val="0"/>
          <w:marTop w:val="280"/>
          <w:marBottom w:val="280"/>
          <w:divBdr>
            <w:top w:val="none" w:sz="0" w:space="0" w:color="auto"/>
            <w:left w:val="none" w:sz="0" w:space="0" w:color="auto"/>
            <w:bottom w:val="none" w:sz="0" w:space="0" w:color="auto"/>
            <w:right w:val="none" w:sz="0" w:space="0" w:color="auto"/>
          </w:divBdr>
        </w:div>
        <w:div w:id="951862000">
          <w:marLeft w:val="0"/>
          <w:marRight w:val="0"/>
          <w:marTop w:val="280"/>
          <w:marBottom w:val="280"/>
          <w:divBdr>
            <w:top w:val="none" w:sz="0" w:space="0" w:color="auto"/>
            <w:left w:val="none" w:sz="0" w:space="0" w:color="auto"/>
            <w:bottom w:val="none" w:sz="0" w:space="0" w:color="auto"/>
            <w:right w:val="none" w:sz="0" w:space="0" w:color="auto"/>
          </w:divBdr>
        </w:div>
        <w:div w:id="409469352">
          <w:marLeft w:val="0"/>
          <w:marRight w:val="0"/>
          <w:marTop w:val="280"/>
          <w:marBottom w:val="280"/>
          <w:divBdr>
            <w:top w:val="none" w:sz="0" w:space="0" w:color="auto"/>
            <w:left w:val="none" w:sz="0" w:space="0" w:color="auto"/>
            <w:bottom w:val="none" w:sz="0" w:space="0" w:color="auto"/>
            <w:right w:val="none" w:sz="0" w:space="0" w:color="auto"/>
          </w:divBdr>
        </w:div>
        <w:div w:id="152726947">
          <w:marLeft w:val="0"/>
          <w:marRight w:val="0"/>
          <w:marTop w:val="280"/>
          <w:marBottom w:val="280"/>
          <w:divBdr>
            <w:top w:val="none" w:sz="0" w:space="0" w:color="auto"/>
            <w:left w:val="none" w:sz="0" w:space="0" w:color="auto"/>
            <w:bottom w:val="none" w:sz="0" w:space="0" w:color="auto"/>
            <w:right w:val="none" w:sz="0" w:space="0" w:color="auto"/>
          </w:divBdr>
        </w:div>
        <w:div w:id="629747989">
          <w:marLeft w:val="0"/>
          <w:marRight w:val="0"/>
          <w:marTop w:val="280"/>
          <w:marBottom w:val="280"/>
          <w:divBdr>
            <w:top w:val="none" w:sz="0" w:space="0" w:color="auto"/>
            <w:left w:val="none" w:sz="0" w:space="0" w:color="auto"/>
            <w:bottom w:val="none" w:sz="0" w:space="0" w:color="auto"/>
            <w:right w:val="none" w:sz="0" w:space="0" w:color="auto"/>
          </w:divBdr>
        </w:div>
      </w:divsChild>
    </w:div>
    <w:div w:id="551695812">
      <w:bodyDiv w:val="1"/>
      <w:marLeft w:val="0"/>
      <w:marRight w:val="0"/>
      <w:marTop w:val="0"/>
      <w:marBottom w:val="0"/>
      <w:divBdr>
        <w:top w:val="none" w:sz="0" w:space="0" w:color="auto"/>
        <w:left w:val="none" w:sz="0" w:space="0" w:color="auto"/>
        <w:bottom w:val="none" w:sz="0" w:space="0" w:color="auto"/>
        <w:right w:val="none" w:sz="0" w:space="0" w:color="auto"/>
      </w:divBdr>
    </w:div>
    <w:div w:id="629363917">
      <w:bodyDiv w:val="1"/>
      <w:marLeft w:val="0"/>
      <w:marRight w:val="0"/>
      <w:marTop w:val="0"/>
      <w:marBottom w:val="0"/>
      <w:divBdr>
        <w:top w:val="none" w:sz="0" w:space="0" w:color="auto"/>
        <w:left w:val="none" w:sz="0" w:space="0" w:color="auto"/>
        <w:bottom w:val="none" w:sz="0" w:space="0" w:color="auto"/>
        <w:right w:val="none" w:sz="0" w:space="0" w:color="auto"/>
      </w:divBdr>
    </w:div>
    <w:div w:id="732772909">
      <w:bodyDiv w:val="1"/>
      <w:marLeft w:val="0"/>
      <w:marRight w:val="0"/>
      <w:marTop w:val="0"/>
      <w:marBottom w:val="0"/>
      <w:divBdr>
        <w:top w:val="none" w:sz="0" w:space="0" w:color="auto"/>
        <w:left w:val="none" w:sz="0" w:space="0" w:color="auto"/>
        <w:bottom w:val="none" w:sz="0" w:space="0" w:color="auto"/>
        <w:right w:val="none" w:sz="0" w:space="0" w:color="auto"/>
      </w:divBdr>
    </w:div>
    <w:div w:id="835222254">
      <w:bodyDiv w:val="1"/>
      <w:marLeft w:val="0"/>
      <w:marRight w:val="0"/>
      <w:marTop w:val="0"/>
      <w:marBottom w:val="0"/>
      <w:divBdr>
        <w:top w:val="none" w:sz="0" w:space="0" w:color="auto"/>
        <w:left w:val="none" w:sz="0" w:space="0" w:color="auto"/>
        <w:bottom w:val="none" w:sz="0" w:space="0" w:color="auto"/>
        <w:right w:val="none" w:sz="0" w:space="0" w:color="auto"/>
      </w:divBdr>
    </w:div>
    <w:div w:id="1653018930">
      <w:bodyDiv w:val="1"/>
      <w:marLeft w:val="0"/>
      <w:marRight w:val="0"/>
      <w:marTop w:val="0"/>
      <w:marBottom w:val="0"/>
      <w:divBdr>
        <w:top w:val="none" w:sz="0" w:space="0" w:color="auto"/>
        <w:left w:val="none" w:sz="0" w:space="0" w:color="auto"/>
        <w:bottom w:val="none" w:sz="0" w:space="0" w:color="auto"/>
        <w:right w:val="none" w:sz="0" w:space="0" w:color="auto"/>
      </w:divBdr>
    </w:div>
    <w:div w:id="1758940410">
      <w:bodyDiv w:val="1"/>
      <w:marLeft w:val="0"/>
      <w:marRight w:val="0"/>
      <w:marTop w:val="0"/>
      <w:marBottom w:val="15"/>
      <w:divBdr>
        <w:top w:val="none" w:sz="0" w:space="0" w:color="auto"/>
        <w:left w:val="none" w:sz="0" w:space="0" w:color="auto"/>
        <w:bottom w:val="none" w:sz="0" w:space="0" w:color="auto"/>
        <w:right w:val="none" w:sz="0" w:space="0" w:color="auto"/>
      </w:divBdr>
      <w:divsChild>
        <w:div w:id="1326666921">
          <w:marLeft w:val="0"/>
          <w:marRight w:val="0"/>
          <w:marTop w:val="0"/>
          <w:marBottom w:val="375"/>
          <w:divBdr>
            <w:top w:val="none" w:sz="0" w:space="0" w:color="auto"/>
            <w:left w:val="none" w:sz="0" w:space="0" w:color="auto"/>
            <w:bottom w:val="none" w:sz="0" w:space="0" w:color="auto"/>
            <w:right w:val="none" w:sz="0" w:space="0" w:color="auto"/>
          </w:divBdr>
          <w:divsChild>
            <w:div w:id="1843004428">
              <w:marLeft w:val="0"/>
              <w:marRight w:val="0"/>
              <w:marTop w:val="0"/>
              <w:marBottom w:val="0"/>
              <w:divBdr>
                <w:top w:val="none" w:sz="0" w:space="0" w:color="auto"/>
                <w:left w:val="none" w:sz="0" w:space="0" w:color="auto"/>
                <w:bottom w:val="none" w:sz="0" w:space="0" w:color="auto"/>
                <w:right w:val="none" w:sz="0" w:space="0" w:color="auto"/>
              </w:divBdr>
              <w:divsChild>
                <w:div w:id="107360369">
                  <w:marLeft w:val="0"/>
                  <w:marRight w:val="0"/>
                  <w:marTop w:val="0"/>
                  <w:marBottom w:val="0"/>
                  <w:divBdr>
                    <w:top w:val="none" w:sz="0" w:space="0" w:color="auto"/>
                    <w:left w:val="none" w:sz="0" w:space="0" w:color="auto"/>
                    <w:bottom w:val="none" w:sz="0" w:space="0" w:color="auto"/>
                    <w:right w:val="none" w:sz="0" w:space="0" w:color="auto"/>
                  </w:divBdr>
                  <w:divsChild>
                    <w:div w:id="1879200394">
                      <w:marLeft w:val="0"/>
                      <w:marRight w:val="0"/>
                      <w:marTop w:val="0"/>
                      <w:marBottom w:val="0"/>
                      <w:divBdr>
                        <w:top w:val="none" w:sz="0" w:space="0" w:color="auto"/>
                        <w:left w:val="none" w:sz="0" w:space="0" w:color="auto"/>
                        <w:bottom w:val="none" w:sz="0" w:space="0" w:color="auto"/>
                        <w:right w:val="none" w:sz="0" w:space="0" w:color="auto"/>
                      </w:divBdr>
                      <w:divsChild>
                        <w:div w:id="672074912">
                          <w:marLeft w:val="0"/>
                          <w:marRight w:val="0"/>
                          <w:marTop w:val="0"/>
                          <w:marBottom w:val="0"/>
                          <w:divBdr>
                            <w:top w:val="none" w:sz="0" w:space="0" w:color="auto"/>
                            <w:left w:val="none" w:sz="0" w:space="0" w:color="auto"/>
                            <w:bottom w:val="none" w:sz="0" w:space="0" w:color="auto"/>
                            <w:right w:val="none" w:sz="0" w:space="0" w:color="auto"/>
                          </w:divBdr>
                          <w:divsChild>
                            <w:div w:id="373193754">
                              <w:marLeft w:val="0"/>
                              <w:marRight w:val="0"/>
                              <w:marTop w:val="0"/>
                              <w:marBottom w:val="0"/>
                              <w:divBdr>
                                <w:top w:val="none" w:sz="0" w:space="0" w:color="auto"/>
                                <w:left w:val="none" w:sz="0" w:space="0" w:color="auto"/>
                                <w:bottom w:val="none" w:sz="0" w:space="0" w:color="auto"/>
                                <w:right w:val="none" w:sz="0" w:space="0" w:color="auto"/>
                              </w:divBdr>
                              <w:divsChild>
                                <w:div w:id="100801311">
                                  <w:marLeft w:val="0"/>
                                  <w:marRight w:val="0"/>
                                  <w:marTop w:val="0"/>
                                  <w:marBottom w:val="0"/>
                                  <w:divBdr>
                                    <w:top w:val="none" w:sz="0" w:space="0" w:color="auto"/>
                                    <w:left w:val="none" w:sz="0" w:space="0" w:color="auto"/>
                                    <w:bottom w:val="none" w:sz="0" w:space="0" w:color="auto"/>
                                    <w:right w:val="none" w:sz="0" w:space="0" w:color="auto"/>
                                  </w:divBdr>
                                  <w:divsChild>
                                    <w:div w:id="262962545">
                                      <w:marLeft w:val="150"/>
                                      <w:marRight w:val="150"/>
                                      <w:marTop w:val="150"/>
                                      <w:marBottom w:val="150"/>
                                      <w:divBdr>
                                        <w:top w:val="none" w:sz="0" w:space="0" w:color="auto"/>
                                        <w:left w:val="none" w:sz="0" w:space="0" w:color="auto"/>
                                        <w:bottom w:val="none" w:sz="0" w:space="0" w:color="auto"/>
                                        <w:right w:val="none" w:sz="0" w:space="0" w:color="auto"/>
                                      </w:divBdr>
                                      <w:divsChild>
                                        <w:div w:id="2144107993">
                                          <w:marLeft w:val="0"/>
                                          <w:marRight w:val="0"/>
                                          <w:marTop w:val="0"/>
                                          <w:marBottom w:val="0"/>
                                          <w:divBdr>
                                            <w:top w:val="none" w:sz="0" w:space="0" w:color="auto"/>
                                            <w:left w:val="none" w:sz="0" w:space="0" w:color="auto"/>
                                            <w:bottom w:val="none" w:sz="0" w:space="0" w:color="auto"/>
                                            <w:right w:val="none" w:sz="0" w:space="0" w:color="auto"/>
                                          </w:divBdr>
                                          <w:divsChild>
                                            <w:div w:id="1680958858">
                                              <w:marLeft w:val="0"/>
                                              <w:marRight w:val="0"/>
                                              <w:marTop w:val="0"/>
                                              <w:marBottom w:val="0"/>
                                              <w:divBdr>
                                                <w:top w:val="none" w:sz="0" w:space="0" w:color="auto"/>
                                                <w:left w:val="none" w:sz="0" w:space="0" w:color="auto"/>
                                                <w:bottom w:val="none" w:sz="0" w:space="0" w:color="auto"/>
                                                <w:right w:val="none" w:sz="0" w:space="0" w:color="auto"/>
                                              </w:divBdr>
                                              <w:divsChild>
                                                <w:div w:id="1212307972">
                                                  <w:marLeft w:val="0"/>
                                                  <w:marRight w:val="0"/>
                                                  <w:marTop w:val="0"/>
                                                  <w:marBottom w:val="0"/>
                                                  <w:divBdr>
                                                    <w:top w:val="none" w:sz="0" w:space="0" w:color="auto"/>
                                                    <w:left w:val="none" w:sz="0" w:space="0" w:color="auto"/>
                                                    <w:bottom w:val="none" w:sz="0" w:space="0" w:color="auto"/>
                                                    <w:right w:val="none" w:sz="0" w:space="0" w:color="auto"/>
                                                  </w:divBdr>
                                                  <w:divsChild>
                                                    <w:div w:id="584657184">
                                                      <w:marLeft w:val="0"/>
                                                      <w:marRight w:val="0"/>
                                                      <w:marTop w:val="0"/>
                                                      <w:marBottom w:val="0"/>
                                                      <w:divBdr>
                                                        <w:top w:val="none" w:sz="0" w:space="0" w:color="auto"/>
                                                        <w:left w:val="none" w:sz="0" w:space="0" w:color="auto"/>
                                                        <w:bottom w:val="none" w:sz="0" w:space="0" w:color="auto"/>
                                                        <w:right w:val="none" w:sz="0" w:space="0" w:color="auto"/>
                                                      </w:divBdr>
                                                      <w:divsChild>
                                                        <w:div w:id="1575430087">
                                                          <w:marLeft w:val="0"/>
                                                          <w:marRight w:val="0"/>
                                                          <w:marTop w:val="0"/>
                                                          <w:marBottom w:val="0"/>
                                                          <w:divBdr>
                                                            <w:top w:val="none" w:sz="0" w:space="0" w:color="auto"/>
                                                            <w:left w:val="none" w:sz="0" w:space="0" w:color="auto"/>
                                                            <w:bottom w:val="none" w:sz="0" w:space="0" w:color="auto"/>
                                                            <w:right w:val="none" w:sz="0" w:space="0" w:color="auto"/>
                                                          </w:divBdr>
                                                          <w:divsChild>
                                                            <w:div w:id="12790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6450068">
      <w:bodyDiv w:val="1"/>
      <w:marLeft w:val="0"/>
      <w:marRight w:val="0"/>
      <w:marTop w:val="0"/>
      <w:marBottom w:val="0"/>
      <w:divBdr>
        <w:top w:val="none" w:sz="0" w:space="0" w:color="auto"/>
        <w:left w:val="none" w:sz="0" w:space="0" w:color="auto"/>
        <w:bottom w:val="none" w:sz="0" w:space="0" w:color="auto"/>
        <w:right w:val="none" w:sz="0" w:space="0" w:color="auto"/>
      </w:divBdr>
    </w:div>
    <w:div w:id="20714657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F1269EE-4273-4F3E-AFFB-DA31D1BD1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2012</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Furugh Nahib</dc:creator>
  <cp:lastModifiedBy>%username%</cp:lastModifiedBy>
  <cp:revision>4</cp:revision>
  <dcterms:created xsi:type="dcterms:W3CDTF">2018-03-20T17:02:00Z</dcterms:created>
  <dcterms:modified xsi:type="dcterms:W3CDTF">2018-04-09T15:56:00Z</dcterms:modified>
</cp:coreProperties>
</file>