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ABFC" w14:textId="77777777" w:rsidR="00040C3A" w:rsidRPr="0011380E" w:rsidRDefault="00D306D1" w:rsidP="00627C9F">
      <w:pPr>
        <w:jc w:val="both"/>
        <w:rPr>
          <w:rFonts w:asciiTheme="majorHAnsi" w:hAnsiTheme="majorHAnsi" w:cs="Univers"/>
          <w:b/>
          <w:bCs/>
          <w:sz w:val="22"/>
          <w:szCs w:val="22"/>
          <w:lang w:val="es-ES_tradnl"/>
        </w:rPr>
      </w:pPr>
      <w:r w:rsidRPr="0011380E">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C6C2229" wp14:editId="4B67470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A9E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1380E">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541D947D" wp14:editId="0DD6664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A4555" w14:textId="77777777" w:rsidR="005F3D64" w:rsidRDefault="005F3D64" w:rsidP="00AE5488">
                            <w:r>
                              <w:rPr>
                                <w:noProof/>
                              </w:rPr>
                              <w:drawing>
                                <wp:inline distT="0" distB="0" distL="0" distR="0" wp14:anchorId="36CDF01D" wp14:editId="158151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D947D"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98A4555" w14:textId="77777777" w:rsidR="005F3D64" w:rsidRDefault="005F3D64" w:rsidP="00AE5488">
                      <w:r>
                        <w:rPr>
                          <w:noProof/>
                        </w:rPr>
                        <w:drawing>
                          <wp:inline distT="0" distB="0" distL="0" distR="0" wp14:anchorId="36CDF01D" wp14:editId="1581514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72C58FB0" w14:textId="77777777" w:rsidR="00040C3A" w:rsidRPr="0011380E" w:rsidRDefault="00040C3A" w:rsidP="00040C3A">
      <w:pPr>
        <w:tabs>
          <w:tab w:val="center" w:pos="5400"/>
        </w:tabs>
        <w:suppressAutoHyphens/>
        <w:jc w:val="both"/>
        <w:rPr>
          <w:rFonts w:asciiTheme="majorHAnsi" w:hAnsiTheme="majorHAnsi"/>
          <w:sz w:val="22"/>
          <w:szCs w:val="22"/>
          <w:lang w:val="es-ES"/>
        </w:rPr>
      </w:pPr>
    </w:p>
    <w:p w14:paraId="202650C8" w14:textId="77777777" w:rsidR="00040C3A" w:rsidRPr="0011380E" w:rsidRDefault="00040C3A" w:rsidP="00040C3A">
      <w:pPr>
        <w:tabs>
          <w:tab w:val="center" w:pos="5400"/>
        </w:tabs>
        <w:suppressAutoHyphens/>
        <w:jc w:val="both"/>
        <w:rPr>
          <w:rFonts w:asciiTheme="majorHAnsi" w:hAnsiTheme="majorHAnsi"/>
          <w:sz w:val="22"/>
          <w:szCs w:val="22"/>
          <w:lang w:val="es-ES"/>
        </w:rPr>
      </w:pPr>
    </w:p>
    <w:p w14:paraId="78F5D1DC" w14:textId="77777777" w:rsidR="005128E4" w:rsidRPr="0011380E" w:rsidRDefault="005128E4" w:rsidP="00040C3A">
      <w:pPr>
        <w:tabs>
          <w:tab w:val="center" w:pos="5400"/>
        </w:tabs>
        <w:suppressAutoHyphens/>
        <w:rPr>
          <w:rFonts w:asciiTheme="majorHAnsi" w:hAnsiTheme="majorHAnsi"/>
          <w:sz w:val="22"/>
          <w:szCs w:val="22"/>
          <w:lang w:val="es-ES_tradnl"/>
        </w:rPr>
      </w:pPr>
    </w:p>
    <w:p w14:paraId="0980D086" w14:textId="77777777" w:rsidR="005128E4" w:rsidRPr="0011380E" w:rsidRDefault="005128E4" w:rsidP="00040C3A">
      <w:pPr>
        <w:tabs>
          <w:tab w:val="center" w:pos="5400"/>
        </w:tabs>
        <w:suppressAutoHyphens/>
        <w:rPr>
          <w:rFonts w:asciiTheme="majorHAnsi" w:hAnsiTheme="majorHAnsi"/>
          <w:sz w:val="22"/>
          <w:szCs w:val="22"/>
          <w:lang w:val="es-ES_tradnl"/>
        </w:rPr>
      </w:pPr>
    </w:p>
    <w:p w14:paraId="2DCC51DD" w14:textId="77777777" w:rsidR="005128E4" w:rsidRPr="0011380E" w:rsidRDefault="005128E4" w:rsidP="00040C3A">
      <w:pPr>
        <w:tabs>
          <w:tab w:val="center" w:pos="5400"/>
        </w:tabs>
        <w:suppressAutoHyphens/>
        <w:rPr>
          <w:rFonts w:asciiTheme="majorHAnsi" w:hAnsiTheme="majorHAnsi"/>
          <w:sz w:val="22"/>
          <w:szCs w:val="22"/>
          <w:lang w:val="es-ES_tradnl"/>
        </w:rPr>
      </w:pPr>
    </w:p>
    <w:p w14:paraId="126D5312" w14:textId="77777777" w:rsidR="00040C3A" w:rsidRPr="0011380E" w:rsidRDefault="00040C3A" w:rsidP="005128E4">
      <w:pPr>
        <w:tabs>
          <w:tab w:val="center" w:pos="5400"/>
        </w:tabs>
        <w:suppressAutoHyphens/>
        <w:jc w:val="center"/>
        <w:rPr>
          <w:rFonts w:asciiTheme="majorHAnsi" w:hAnsiTheme="majorHAnsi"/>
          <w:sz w:val="22"/>
          <w:szCs w:val="22"/>
          <w:lang w:val="es-ES_tradnl"/>
        </w:rPr>
      </w:pPr>
    </w:p>
    <w:p w14:paraId="07188D78" w14:textId="77777777" w:rsidR="00040C3A" w:rsidRPr="0011380E" w:rsidRDefault="00040C3A" w:rsidP="005128E4">
      <w:pPr>
        <w:tabs>
          <w:tab w:val="center" w:pos="5400"/>
        </w:tabs>
        <w:suppressAutoHyphens/>
        <w:jc w:val="center"/>
        <w:rPr>
          <w:rFonts w:asciiTheme="majorHAnsi" w:hAnsiTheme="majorHAnsi"/>
          <w:sz w:val="22"/>
          <w:szCs w:val="22"/>
          <w:lang w:val="es-ES_tradnl"/>
        </w:rPr>
      </w:pPr>
    </w:p>
    <w:p w14:paraId="53F7E359" w14:textId="77777777" w:rsidR="005B52B0" w:rsidRPr="0011380E" w:rsidRDefault="005B52B0" w:rsidP="005128E4">
      <w:pPr>
        <w:tabs>
          <w:tab w:val="center" w:pos="5400"/>
        </w:tabs>
        <w:suppressAutoHyphens/>
        <w:jc w:val="center"/>
        <w:rPr>
          <w:rFonts w:asciiTheme="majorHAnsi" w:hAnsiTheme="majorHAnsi"/>
          <w:sz w:val="22"/>
          <w:szCs w:val="22"/>
          <w:lang w:val="es-ES_tradnl"/>
        </w:rPr>
      </w:pPr>
    </w:p>
    <w:p w14:paraId="67D9B45B" w14:textId="77777777" w:rsidR="005B52B0" w:rsidRPr="0011380E" w:rsidRDefault="005B52B0" w:rsidP="005128E4">
      <w:pPr>
        <w:tabs>
          <w:tab w:val="center" w:pos="5400"/>
        </w:tabs>
        <w:suppressAutoHyphens/>
        <w:jc w:val="center"/>
        <w:rPr>
          <w:rFonts w:asciiTheme="majorHAnsi" w:hAnsiTheme="majorHAnsi"/>
          <w:sz w:val="22"/>
          <w:szCs w:val="22"/>
          <w:lang w:val="es-ES_tradnl"/>
        </w:rPr>
      </w:pPr>
    </w:p>
    <w:p w14:paraId="25E8FDE6" w14:textId="77777777" w:rsidR="005B52B0" w:rsidRPr="0011380E" w:rsidRDefault="005B52B0" w:rsidP="005128E4">
      <w:pPr>
        <w:tabs>
          <w:tab w:val="center" w:pos="5400"/>
        </w:tabs>
        <w:suppressAutoHyphens/>
        <w:jc w:val="center"/>
        <w:rPr>
          <w:rFonts w:asciiTheme="majorHAnsi" w:hAnsiTheme="majorHAnsi"/>
          <w:sz w:val="22"/>
          <w:szCs w:val="22"/>
          <w:lang w:val="es-ES_tradnl"/>
        </w:rPr>
      </w:pPr>
    </w:p>
    <w:p w14:paraId="7661172D"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05C30326"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255C8E91" w14:textId="77777777" w:rsidR="00040C3A" w:rsidRPr="0011380E" w:rsidRDefault="0011380E" w:rsidP="00040C3A">
      <w:pPr>
        <w:tabs>
          <w:tab w:val="center" w:pos="5400"/>
        </w:tabs>
        <w:suppressAutoHyphens/>
        <w:jc w:val="center"/>
        <w:rPr>
          <w:rFonts w:asciiTheme="majorHAnsi" w:hAnsiTheme="majorHAnsi"/>
          <w:sz w:val="22"/>
          <w:szCs w:val="22"/>
          <w:lang w:val="es-ES_tradnl"/>
        </w:rPr>
      </w:pPr>
      <w:r w:rsidRPr="0011380E">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51EE76B" wp14:editId="3DA0D91A">
                <wp:simplePos x="0" y="0"/>
                <wp:positionH relativeFrom="column">
                  <wp:posOffset>-416966</wp:posOffset>
                </wp:positionH>
                <wp:positionV relativeFrom="paragraph">
                  <wp:posOffset>167818</wp:posOffset>
                </wp:positionV>
                <wp:extent cx="146380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6380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87208" w14:textId="77777777" w:rsidR="005F3D64" w:rsidRPr="001F2565" w:rsidRDefault="005F3D64" w:rsidP="007A5817">
                            <w:pPr>
                              <w:spacing w:line="276" w:lineRule="auto"/>
                              <w:jc w:val="right"/>
                              <w:rPr>
                                <w:rFonts w:asciiTheme="minorHAnsi" w:hAnsiTheme="minorHAnsi"/>
                                <w:color w:val="FFFFFF" w:themeColor="background1"/>
                                <w:sz w:val="22"/>
                                <w:lang w:val="pt-BR"/>
                              </w:rPr>
                            </w:pPr>
                            <w:r w:rsidRPr="001F2565">
                              <w:rPr>
                                <w:rFonts w:asciiTheme="minorHAnsi" w:hAnsiTheme="minorHAnsi"/>
                                <w:color w:val="FFFFFF" w:themeColor="background1"/>
                                <w:sz w:val="22"/>
                                <w:lang w:val="pt-BR"/>
                              </w:rPr>
                              <w:t>OEA/Ser.L/V/II.172</w:t>
                            </w:r>
                          </w:p>
                          <w:p w14:paraId="67CB6369" w14:textId="77777777" w:rsidR="005F3D64" w:rsidRPr="001F2565" w:rsidRDefault="005F3D64" w:rsidP="007A5817">
                            <w:pPr>
                              <w:spacing w:line="276" w:lineRule="auto"/>
                              <w:jc w:val="right"/>
                              <w:rPr>
                                <w:rFonts w:asciiTheme="minorHAnsi" w:hAnsiTheme="minorHAnsi"/>
                                <w:color w:val="FFFFFF" w:themeColor="background1"/>
                                <w:sz w:val="22"/>
                                <w:lang w:val="pt-BR"/>
                              </w:rPr>
                            </w:pPr>
                            <w:r w:rsidRPr="001F2565">
                              <w:rPr>
                                <w:rFonts w:asciiTheme="minorHAnsi" w:hAnsiTheme="minorHAnsi"/>
                                <w:color w:val="FFFFFF" w:themeColor="background1"/>
                                <w:sz w:val="22"/>
                                <w:lang w:val="pt-BR"/>
                              </w:rPr>
                              <w:t>Doc. 63</w:t>
                            </w:r>
                          </w:p>
                          <w:p w14:paraId="00B1B06E" w14:textId="77777777" w:rsidR="005F3D64" w:rsidRPr="007C756A" w:rsidRDefault="005F3D6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Pr="007C756A">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mayo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3BCA140C" w14:textId="77777777" w:rsidR="005F3D64" w:rsidRPr="007C756A" w:rsidRDefault="005F3D64"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EE76B" id="Text Box 8" o:spid="_x0000_s1027" type="#_x0000_t202" style="position:absolute;left:0;text-align:left;margin-left:-32.85pt;margin-top:13.2pt;width:115.2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" filled="f" stroked="f" strokeweight=".5pt">
                <v:textbox>
                  <w:txbxContent>
                    <w:p w14:paraId="1FC87208" w14:textId="77777777" w:rsidR="005F3D64" w:rsidRPr="001F2565" w:rsidRDefault="005F3D64" w:rsidP="007A5817">
                      <w:pPr>
                        <w:spacing w:line="276" w:lineRule="auto"/>
                        <w:jc w:val="right"/>
                        <w:rPr>
                          <w:rFonts w:asciiTheme="minorHAnsi" w:hAnsiTheme="minorHAnsi"/>
                          <w:color w:val="FFFFFF" w:themeColor="background1"/>
                          <w:sz w:val="22"/>
                          <w:lang w:val="pt-BR"/>
                        </w:rPr>
                      </w:pPr>
                      <w:r w:rsidRPr="001F2565">
                        <w:rPr>
                          <w:rFonts w:asciiTheme="minorHAnsi" w:hAnsiTheme="minorHAnsi"/>
                          <w:color w:val="FFFFFF" w:themeColor="background1"/>
                          <w:sz w:val="22"/>
                          <w:lang w:val="pt-BR"/>
                        </w:rPr>
                        <w:t>OEA/Ser.L/V/II.172</w:t>
                      </w:r>
                    </w:p>
                    <w:p w14:paraId="67CB6369" w14:textId="77777777" w:rsidR="005F3D64" w:rsidRPr="001F2565" w:rsidRDefault="005F3D64" w:rsidP="007A5817">
                      <w:pPr>
                        <w:spacing w:line="276" w:lineRule="auto"/>
                        <w:jc w:val="right"/>
                        <w:rPr>
                          <w:rFonts w:asciiTheme="minorHAnsi" w:hAnsiTheme="minorHAnsi"/>
                          <w:color w:val="FFFFFF" w:themeColor="background1"/>
                          <w:sz w:val="22"/>
                          <w:lang w:val="pt-BR"/>
                        </w:rPr>
                      </w:pPr>
                      <w:r w:rsidRPr="001F2565">
                        <w:rPr>
                          <w:rFonts w:asciiTheme="minorHAnsi" w:hAnsiTheme="minorHAnsi"/>
                          <w:color w:val="FFFFFF" w:themeColor="background1"/>
                          <w:sz w:val="22"/>
                          <w:lang w:val="pt-BR"/>
                        </w:rPr>
                        <w:t>Doc. 63</w:t>
                      </w:r>
                    </w:p>
                    <w:p w14:paraId="00B1B06E" w14:textId="77777777" w:rsidR="005F3D64" w:rsidRPr="007C756A" w:rsidRDefault="005F3D64"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4</w:t>
                      </w:r>
                      <w:r w:rsidRPr="007C756A">
                        <w:rPr>
                          <w:rFonts w:asciiTheme="minorHAnsi" w:hAnsiTheme="minorHAnsi"/>
                          <w:color w:val="FFFFFF" w:themeColor="background1"/>
                          <w:sz w:val="22"/>
                          <w:lang w:val="es-US"/>
                        </w:rPr>
                        <w:t xml:space="preserve"> de </w:t>
                      </w:r>
                      <w:r>
                        <w:rPr>
                          <w:rFonts w:asciiTheme="minorHAnsi" w:hAnsiTheme="minorHAnsi"/>
                          <w:color w:val="FFFFFF" w:themeColor="background1"/>
                          <w:sz w:val="22"/>
                          <w:lang w:val="es-US"/>
                        </w:rPr>
                        <w:t>mayo</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3BCA140C" w14:textId="77777777" w:rsidR="005F3D64" w:rsidRPr="007C756A" w:rsidRDefault="005F3D64" w:rsidP="007A5817">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txbxContent>
                </v:textbox>
              </v:shape>
            </w:pict>
          </mc:Fallback>
        </mc:AlternateContent>
      </w:r>
      <w:r w:rsidR="003D3BC2" w:rsidRPr="0011380E">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EB57D34" wp14:editId="73912E0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E17E5" w14:textId="77777777" w:rsidR="005F3D64" w:rsidRPr="00A9586B" w:rsidRDefault="005F3D64" w:rsidP="00997BC5">
                            <w:pPr>
                              <w:spacing w:line="276" w:lineRule="auto"/>
                              <w:rPr>
                                <w:rFonts w:asciiTheme="majorHAnsi" w:hAnsiTheme="majorHAnsi" w:cs="Arial"/>
                                <w:b/>
                                <w:bCs/>
                                <w:color w:val="0D0D0D" w:themeColor="text1" w:themeTint="F2"/>
                                <w:sz w:val="36"/>
                                <w:szCs w:val="22"/>
                                <w:lang w:val="es-US"/>
                              </w:rPr>
                            </w:pPr>
                            <w:r w:rsidRPr="00A9586B">
                              <w:rPr>
                                <w:rFonts w:asciiTheme="majorHAnsi" w:hAnsiTheme="majorHAnsi" w:cs="Arial"/>
                                <w:b/>
                                <w:bCs/>
                                <w:color w:val="0D0D0D" w:themeColor="text1" w:themeTint="F2"/>
                                <w:sz w:val="36"/>
                                <w:szCs w:val="22"/>
                                <w:lang w:val="es-US"/>
                              </w:rPr>
                              <w:t xml:space="preserve">INFORME </w:t>
                            </w:r>
                            <w:r w:rsidRPr="00A9586B">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54</w:t>
                            </w:r>
                            <w:r w:rsidRPr="00A9586B">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19</w:t>
                            </w:r>
                          </w:p>
                          <w:p w14:paraId="1F67862F" w14:textId="77777777" w:rsidR="005F3D64" w:rsidRPr="00DF47DE" w:rsidRDefault="005F3D64" w:rsidP="00997BC5">
                            <w:pPr>
                              <w:spacing w:line="276" w:lineRule="auto"/>
                              <w:rPr>
                                <w:rFonts w:asciiTheme="majorHAnsi" w:hAnsiTheme="majorHAnsi" w:cs="Arial"/>
                                <w:b/>
                                <w:color w:val="0D0D0D" w:themeColor="text1" w:themeTint="F2"/>
                                <w:sz w:val="36"/>
                                <w:szCs w:val="22"/>
                                <w:lang w:val="es-US"/>
                              </w:rPr>
                            </w:pPr>
                            <w:r w:rsidRPr="00DF47DE">
                              <w:rPr>
                                <w:rFonts w:asciiTheme="majorHAnsi" w:hAnsiTheme="majorHAnsi" w:cs="Arial"/>
                                <w:b/>
                                <w:color w:val="0D0D0D" w:themeColor="text1" w:themeTint="F2"/>
                                <w:sz w:val="36"/>
                                <w:szCs w:val="22"/>
                                <w:lang w:val="es-US"/>
                              </w:rPr>
                              <w:t>CASO 12.682</w:t>
                            </w:r>
                          </w:p>
                          <w:p w14:paraId="61937251" w14:textId="77777777" w:rsidR="005F3D64" w:rsidRPr="0010736F" w:rsidRDefault="005F3D64"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709584EF" w14:textId="77777777" w:rsidR="005F3D64" w:rsidRPr="0010736F" w:rsidRDefault="005F3D64" w:rsidP="00997BC5">
                            <w:pPr>
                              <w:spacing w:line="276" w:lineRule="auto"/>
                              <w:rPr>
                                <w:rFonts w:asciiTheme="majorHAnsi" w:hAnsiTheme="majorHAnsi" w:cs="Arial"/>
                                <w:color w:val="0D0D0D" w:themeColor="text1" w:themeTint="F2"/>
                                <w:szCs w:val="22"/>
                                <w:lang w:val="es-ES_tradnl"/>
                              </w:rPr>
                            </w:pPr>
                            <w:bookmarkStart w:id="0" w:name="_ftnref1"/>
                          </w:p>
                          <w:p w14:paraId="3319BA2A" w14:textId="77777777" w:rsidR="005F3D64" w:rsidRPr="0010736F" w:rsidRDefault="005F3D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BLAS VALENCIA CAMPOS Y OTROS</w:t>
                            </w:r>
                          </w:p>
                          <w:bookmarkEnd w:id="0"/>
                          <w:p w14:paraId="7D07A21D" w14:textId="77777777" w:rsidR="005F3D64" w:rsidRPr="0010736F" w:rsidRDefault="005F3D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28E32FF8" w14:textId="77777777" w:rsidR="005F3D64" w:rsidRPr="00AE5488" w:rsidRDefault="005F3D6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57D34" id="Text Box 5" o:spid="_x0000_s1028"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" filled="f" stroked="f" strokeweight=".5pt">
                <v:textbox>
                  <w:txbxContent>
                    <w:p w14:paraId="2B7E17E5" w14:textId="77777777" w:rsidR="005F3D64" w:rsidRPr="00A9586B" w:rsidRDefault="005F3D64" w:rsidP="00997BC5">
                      <w:pPr>
                        <w:spacing w:line="276" w:lineRule="auto"/>
                        <w:rPr>
                          <w:rFonts w:asciiTheme="majorHAnsi" w:hAnsiTheme="majorHAnsi" w:cs="Arial"/>
                          <w:b/>
                          <w:bCs/>
                          <w:color w:val="0D0D0D" w:themeColor="text1" w:themeTint="F2"/>
                          <w:sz w:val="36"/>
                          <w:szCs w:val="22"/>
                          <w:lang w:val="es-US"/>
                        </w:rPr>
                      </w:pPr>
                      <w:r w:rsidRPr="00A9586B">
                        <w:rPr>
                          <w:rFonts w:asciiTheme="majorHAnsi" w:hAnsiTheme="majorHAnsi" w:cs="Arial"/>
                          <w:b/>
                          <w:bCs/>
                          <w:color w:val="0D0D0D" w:themeColor="text1" w:themeTint="F2"/>
                          <w:sz w:val="36"/>
                          <w:szCs w:val="22"/>
                          <w:lang w:val="es-US"/>
                        </w:rPr>
                        <w:t xml:space="preserve">INFORME </w:t>
                      </w:r>
                      <w:r w:rsidRPr="00A9586B">
                        <w:rPr>
                          <w:rFonts w:asciiTheme="majorHAnsi" w:hAnsiTheme="majorHAnsi" w:cs="Arial"/>
                          <w:b/>
                          <w:bCs/>
                          <w:color w:val="0D0D0D" w:themeColor="text1" w:themeTint="F2"/>
                          <w:sz w:val="36"/>
                          <w:szCs w:val="40"/>
                          <w:lang w:val="es-US"/>
                        </w:rPr>
                        <w:t>No.</w:t>
                      </w:r>
                      <w:r>
                        <w:rPr>
                          <w:rFonts w:asciiTheme="majorHAnsi" w:hAnsiTheme="majorHAnsi" w:cs="Arial"/>
                          <w:b/>
                          <w:bCs/>
                          <w:color w:val="0D0D0D" w:themeColor="text1" w:themeTint="F2"/>
                          <w:sz w:val="36"/>
                          <w:szCs w:val="22"/>
                          <w:lang w:val="es-US"/>
                        </w:rPr>
                        <w:t xml:space="preserve"> 54</w:t>
                      </w:r>
                      <w:r w:rsidRPr="00A9586B">
                        <w:rPr>
                          <w:rFonts w:asciiTheme="majorHAnsi" w:hAnsiTheme="majorHAnsi" w:cs="Arial"/>
                          <w:b/>
                          <w:bCs/>
                          <w:color w:val="0D0D0D" w:themeColor="text1" w:themeTint="F2"/>
                          <w:sz w:val="36"/>
                          <w:szCs w:val="22"/>
                          <w:lang w:val="es-US"/>
                        </w:rPr>
                        <w:t>/</w:t>
                      </w:r>
                      <w:r>
                        <w:rPr>
                          <w:rFonts w:asciiTheme="majorHAnsi" w:hAnsiTheme="majorHAnsi" w:cs="Arial"/>
                          <w:b/>
                          <w:bCs/>
                          <w:color w:val="0D0D0D" w:themeColor="text1" w:themeTint="F2"/>
                          <w:sz w:val="36"/>
                          <w:szCs w:val="22"/>
                          <w:lang w:val="es-US"/>
                        </w:rPr>
                        <w:t>19</w:t>
                      </w:r>
                    </w:p>
                    <w:p w14:paraId="1F67862F" w14:textId="77777777" w:rsidR="005F3D64" w:rsidRPr="00DF47DE" w:rsidRDefault="005F3D64" w:rsidP="00997BC5">
                      <w:pPr>
                        <w:spacing w:line="276" w:lineRule="auto"/>
                        <w:rPr>
                          <w:rFonts w:asciiTheme="majorHAnsi" w:hAnsiTheme="majorHAnsi" w:cs="Arial"/>
                          <w:b/>
                          <w:color w:val="0D0D0D" w:themeColor="text1" w:themeTint="F2"/>
                          <w:sz w:val="36"/>
                          <w:szCs w:val="22"/>
                          <w:lang w:val="es-US"/>
                        </w:rPr>
                      </w:pPr>
                      <w:r w:rsidRPr="00DF47DE">
                        <w:rPr>
                          <w:rFonts w:asciiTheme="majorHAnsi" w:hAnsiTheme="majorHAnsi" w:cs="Arial"/>
                          <w:b/>
                          <w:color w:val="0D0D0D" w:themeColor="text1" w:themeTint="F2"/>
                          <w:sz w:val="36"/>
                          <w:szCs w:val="22"/>
                          <w:lang w:val="es-US"/>
                        </w:rPr>
                        <w:t>CASO 12.682</w:t>
                      </w:r>
                    </w:p>
                    <w:p w14:paraId="61937251" w14:textId="77777777" w:rsidR="005F3D64" w:rsidRPr="0010736F" w:rsidRDefault="005F3D64" w:rsidP="000158FD">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709584EF" w14:textId="77777777" w:rsidR="005F3D64" w:rsidRPr="0010736F" w:rsidRDefault="005F3D64" w:rsidP="00997BC5">
                      <w:pPr>
                        <w:spacing w:line="276" w:lineRule="auto"/>
                        <w:rPr>
                          <w:rFonts w:asciiTheme="majorHAnsi" w:hAnsiTheme="majorHAnsi" w:cs="Arial"/>
                          <w:color w:val="0D0D0D" w:themeColor="text1" w:themeTint="F2"/>
                          <w:szCs w:val="22"/>
                          <w:lang w:val="es-ES_tradnl"/>
                        </w:rPr>
                      </w:pPr>
                      <w:bookmarkStart w:id="1" w:name="_ftnref1"/>
                    </w:p>
                    <w:p w14:paraId="3319BA2A" w14:textId="77777777" w:rsidR="005F3D64" w:rsidRPr="0010736F" w:rsidRDefault="005F3D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BLAS VALENCIA CAMPOS Y OTROS</w:t>
                      </w:r>
                    </w:p>
                    <w:bookmarkEnd w:id="1"/>
                    <w:p w14:paraId="7D07A21D" w14:textId="77777777" w:rsidR="005F3D64" w:rsidRPr="0010736F" w:rsidRDefault="005F3D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BOLIVIA</w:t>
                      </w:r>
                    </w:p>
                    <w:p w14:paraId="28E32FF8" w14:textId="77777777" w:rsidR="005F3D64" w:rsidRPr="00AE5488" w:rsidRDefault="005F3D64" w:rsidP="007A5817">
                      <w:pPr>
                        <w:rPr>
                          <w:color w:val="0D0D0D" w:themeColor="text1" w:themeTint="F2"/>
                          <w:lang w:val="es-ES_tradnl"/>
                        </w:rPr>
                      </w:pPr>
                    </w:p>
                  </w:txbxContent>
                </v:textbox>
              </v:shape>
            </w:pict>
          </mc:Fallback>
        </mc:AlternateContent>
      </w:r>
    </w:p>
    <w:p w14:paraId="6AD60845"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300836BA"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46285A8E" w14:textId="77777777" w:rsidR="00040C3A" w:rsidRPr="0011380E" w:rsidRDefault="00040C3A" w:rsidP="00040C3A">
      <w:pPr>
        <w:tabs>
          <w:tab w:val="center" w:pos="5400"/>
        </w:tabs>
        <w:suppressAutoHyphens/>
        <w:jc w:val="center"/>
        <w:rPr>
          <w:rFonts w:asciiTheme="majorHAnsi" w:hAnsiTheme="majorHAnsi" w:cs="Arial"/>
          <w:sz w:val="22"/>
          <w:szCs w:val="22"/>
          <w:lang w:val="es-ES_tradnl"/>
        </w:rPr>
      </w:pPr>
    </w:p>
    <w:p w14:paraId="1526E363"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0FEE12BA"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3B51212B"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32723FEB"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640AF748" w14:textId="77777777" w:rsidR="005128E4" w:rsidRPr="0011380E" w:rsidRDefault="005128E4" w:rsidP="00040C3A">
      <w:pPr>
        <w:tabs>
          <w:tab w:val="center" w:pos="5400"/>
        </w:tabs>
        <w:suppressAutoHyphens/>
        <w:jc w:val="center"/>
        <w:rPr>
          <w:rFonts w:asciiTheme="majorHAnsi" w:hAnsiTheme="majorHAnsi"/>
          <w:sz w:val="22"/>
          <w:szCs w:val="22"/>
          <w:lang w:val="es-ES_tradnl"/>
        </w:rPr>
      </w:pPr>
    </w:p>
    <w:p w14:paraId="13BD67FD"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644B1ECA" w14:textId="77777777" w:rsidR="005128E4" w:rsidRPr="0011380E" w:rsidRDefault="005128E4" w:rsidP="00040C3A">
      <w:pPr>
        <w:tabs>
          <w:tab w:val="center" w:pos="5400"/>
        </w:tabs>
        <w:suppressAutoHyphens/>
        <w:jc w:val="center"/>
        <w:rPr>
          <w:rFonts w:asciiTheme="majorHAnsi" w:hAnsiTheme="majorHAnsi"/>
          <w:sz w:val="22"/>
          <w:szCs w:val="22"/>
          <w:lang w:val="es-ES_tradnl"/>
        </w:rPr>
      </w:pPr>
    </w:p>
    <w:p w14:paraId="30E908F8" w14:textId="77777777" w:rsidR="005128E4" w:rsidRPr="0011380E" w:rsidRDefault="005128E4" w:rsidP="00040C3A">
      <w:pPr>
        <w:tabs>
          <w:tab w:val="center" w:pos="5400"/>
        </w:tabs>
        <w:suppressAutoHyphens/>
        <w:jc w:val="center"/>
        <w:rPr>
          <w:rFonts w:asciiTheme="majorHAnsi" w:hAnsiTheme="majorHAnsi"/>
          <w:sz w:val="22"/>
          <w:szCs w:val="22"/>
          <w:lang w:val="es-ES_tradnl"/>
        </w:rPr>
      </w:pPr>
    </w:p>
    <w:p w14:paraId="7709E6E9" w14:textId="77777777" w:rsidR="005128E4" w:rsidRPr="0011380E" w:rsidRDefault="005128E4" w:rsidP="00040C3A">
      <w:pPr>
        <w:tabs>
          <w:tab w:val="center" w:pos="5400"/>
        </w:tabs>
        <w:suppressAutoHyphens/>
        <w:jc w:val="center"/>
        <w:rPr>
          <w:rFonts w:asciiTheme="majorHAnsi" w:hAnsiTheme="majorHAnsi"/>
          <w:sz w:val="22"/>
          <w:szCs w:val="22"/>
          <w:lang w:val="es-ES_tradnl"/>
        </w:rPr>
      </w:pPr>
    </w:p>
    <w:p w14:paraId="51EC6A29"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75B187EC" w14:textId="77777777" w:rsidR="00040C3A" w:rsidRPr="0011380E" w:rsidRDefault="00040C3A" w:rsidP="00040C3A">
      <w:pPr>
        <w:tabs>
          <w:tab w:val="center" w:pos="5400"/>
        </w:tabs>
        <w:suppressAutoHyphens/>
        <w:jc w:val="center"/>
        <w:rPr>
          <w:rFonts w:asciiTheme="majorHAnsi" w:hAnsiTheme="majorHAnsi"/>
          <w:sz w:val="22"/>
          <w:szCs w:val="22"/>
          <w:lang w:val="es-ES_tradnl"/>
        </w:rPr>
      </w:pPr>
    </w:p>
    <w:p w14:paraId="36B8718E"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5CE92223"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76CF727A"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0F67A364"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15F3EA8E"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4979F80B"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672D8926"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58F357C3"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0A7AAF55"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1FA4FB0A"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173F7A17"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793B7475"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78EF9DDE"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1B88471C"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561CC195" w14:textId="77777777" w:rsidR="00A50FCF" w:rsidRPr="0011380E" w:rsidRDefault="0090270B" w:rsidP="00040C3A">
      <w:pPr>
        <w:tabs>
          <w:tab w:val="center" w:pos="5400"/>
        </w:tabs>
        <w:suppressAutoHyphens/>
        <w:jc w:val="center"/>
        <w:rPr>
          <w:rFonts w:asciiTheme="majorHAnsi" w:hAnsiTheme="majorHAnsi"/>
          <w:sz w:val="18"/>
          <w:szCs w:val="22"/>
          <w:lang w:val="es-ES_tradnl"/>
        </w:rPr>
      </w:pPr>
      <w:r w:rsidRPr="0011380E">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239F78DE" wp14:editId="37ECAAA6">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85E0E" w14:textId="77777777" w:rsidR="005F3D64" w:rsidRPr="008C7E1A" w:rsidRDefault="005F3D64"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2150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172</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C7E1A">
                              <w:rPr>
                                <w:rFonts w:asciiTheme="majorHAnsi" w:hAnsiTheme="majorHAnsi" w:cs="Univers"/>
                                <w:color w:val="0D0D0D" w:themeColor="text1" w:themeTint="F2"/>
                                <w:sz w:val="18"/>
                                <w:szCs w:val="20"/>
                                <w:lang w:val="es-ES_tradnl"/>
                              </w:rPr>
                              <w:t>eríodo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14:paraId="328D1D92" w14:textId="77777777" w:rsidR="005F3D64" w:rsidRPr="007A5817" w:rsidRDefault="005F3D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6AB445C0" w14:textId="77777777" w:rsidR="005F3D64" w:rsidRPr="00167A34" w:rsidRDefault="005F3D6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F78D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8885E0E" w14:textId="77777777" w:rsidR="005F3D64" w:rsidRPr="008C7E1A" w:rsidRDefault="005F3D64" w:rsidP="00DD3D86">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2150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4 de 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172</w:t>
                      </w:r>
                      <w:r w:rsidRPr="00890650">
                        <w:rPr>
                          <w:rFonts w:asciiTheme="majorHAnsi" w:hAnsiTheme="majorHAnsi" w:cs="Univers"/>
                          <w:color w:val="0D0D0D" w:themeColor="text1" w:themeTint="F2"/>
                          <w:sz w:val="18"/>
                          <w:szCs w:val="20"/>
                          <w:lang w:val="es-ES_tradnl"/>
                        </w:rPr>
                        <w:t xml:space="preserve"> </w:t>
                      </w:r>
                      <w:r>
                        <w:rPr>
                          <w:rFonts w:asciiTheme="majorHAnsi" w:hAnsiTheme="majorHAnsi" w:cs="Univers"/>
                          <w:color w:val="0D0D0D" w:themeColor="text1" w:themeTint="F2"/>
                          <w:sz w:val="18"/>
                          <w:szCs w:val="20"/>
                          <w:lang w:val="es-ES_tradnl"/>
                        </w:rPr>
                        <w:t>P</w:t>
                      </w:r>
                      <w:r w:rsidRPr="008C7E1A">
                        <w:rPr>
                          <w:rFonts w:asciiTheme="majorHAnsi" w:hAnsiTheme="majorHAnsi" w:cs="Univers"/>
                          <w:color w:val="0D0D0D" w:themeColor="text1" w:themeTint="F2"/>
                          <w:sz w:val="18"/>
                          <w:szCs w:val="20"/>
                          <w:lang w:val="es-ES_tradnl"/>
                        </w:rPr>
                        <w:t>eríodo</w:t>
                      </w:r>
                      <w:r>
                        <w:rPr>
                          <w:rFonts w:asciiTheme="majorHAnsi" w:hAnsiTheme="majorHAnsi" w:cs="Univers"/>
                          <w:color w:val="0D0D0D" w:themeColor="text1" w:themeTint="F2"/>
                          <w:sz w:val="18"/>
                          <w:szCs w:val="20"/>
                          <w:lang w:val="es-ES_tradnl"/>
                        </w:rPr>
                        <w:t xml:space="preserve"> de S</w:t>
                      </w:r>
                      <w:r w:rsidRPr="00890650">
                        <w:rPr>
                          <w:rFonts w:asciiTheme="majorHAnsi" w:hAnsiTheme="majorHAnsi" w:cs="Univers"/>
                          <w:color w:val="0D0D0D" w:themeColor="text1" w:themeTint="F2"/>
                          <w:sz w:val="18"/>
                          <w:szCs w:val="20"/>
                          <w:lang w:val="es-ES_tradnl"/>
                        </w:rPr>
                        <w:t>esiones</w:t>
                      </w:r>
                    </w:p>
                    <w:p w14:paraId="328D1D92" w14:textId="77777777" w:rsidR="005F3D64" w:rsidRPr="007A5817" w:rsidRDefault="005F3D64" w:rsidP="00247403">
                      <w:pPr>
                        <w:tabs>
                          <w:tab w:val="center" w:pos="5400"/>
                        </w:tabs>
                        <w:suppressAutoHyphens/>
                        <w:spacing w:before="60"/>
                        <w:rPr>
                          <w:rFonts w:asciiTheme="minorHAnsi" w:hAnsiTheme="minorHAnsi" w:cs="Univers"/>
                          <w:color w:val="0D0D0D" w:themeColor="text1" w:themeTint="F2"/>
                          <w:sz w:val="20"/>
                          <w:szCs w:val="20"/>
                          <w:lang w:val="es-ES"/>
                        </w:rPr>
                      </w:pPr>
                    </w:p>
                    <w:p w14:paraId="6AB445C0" w14:textId="77777777" w:rsidR="005F3D64" w:rsidRPr="00167A34" w:rsidRDefault="005F3D6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83B44C0"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04C94881"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38EF2CAB"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4A91719D"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48C0778A" w14:textId="77777777" w:rsidR="00A50FCF" w:rsidRPr="0011380E" w:rsidRDefault="0090270B" w:rsidP="00040C3A">
      <w:pPr>
        <w:tabs>
          <w:tab w:val="center" w:pos="5400"/>
        </w:tabs>
        <w:suppressAutoHyphens/>
        <w:jc w:val="center"/>
        <w:rPr>
          <w:rFonts w:asciiTheme="majorHAnsi" w:hAnsiTheme="majorHAnsi"/>
          <w:sz w:val="18"/>
          <w:szCs w:val="22"/>
          <w:lang w:val="es-ES_tradnl"/>
        </w:rPr>
      </w:pPr>
      <w:r w:rsidRPr="0011380E">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D5B7F85" wp14:editId="0A37C34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A4CCE" w14:textId="77777777" w:rsidR="005F3D64" w:rsidRPr="007C756A" w:rsidRDefault="005F3D64"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54/19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12.682.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Blas Valencia Campos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04 de mayo de 2019</w:t>
                            </w:r>
                            <w:r w:rsidRPr="007C756A">
                              <w:rPr>
                                <w:rFonts w:asciiTheme="majorHAnsi" w:hAnsiTheme="majorHAnsi"/>
                                <w:color w:val="595959" w:themeColor="text1" w:themeTint="A6"/>
                                <w:sz w:val="18"/>
                                <w:szCs w:val="18"/>
                                <w:lang w:val="es-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B7F8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23A4CCE" w14:textId="77777777" w:rsidR="005F3D64" w:rsidRPr="007C756A" w:rsidRDefault="005F3D64" w:rsidP="00113F73">
                      <w:pPr>
                        <w:spacing w:line="276" w:lineRule="auto"/>
                        <w:rPr>
                          <w:rFonts w:asciiTheme="majorHAnsi" w:hAnsiTheme="majorHAnsi"/>
                          <w:color w:val="595959" w:themeColor="text1" w:themeTint="A6"/>
                          <w:sz w:val="18"/>
                          <w:szCs w:val="18"/>
                          <w:lang w:val="es-US"/>
                        </w:rPr>
                      </w:pPr>
                      <w:r w:rsidRPr="0022273F">
                        <w:rPr>
                          <w:rFonts w:asciiTheme="majorHAnsi" w:hAnsiTheme="majorHAnsi"/>
                          <w:b/>
                          <w:color w:val="595959" w:themeColor="text1" w:themeTint="A6"/>
                          <w:sz w:val="18"/>
                          <w:szCs w:val="18"/>
                          <w:lang w:val="pt-BR"/>
                        </w:rPr>
                        <w:t>Citar como:</w:t>
                      </w:r>
                      <w:r>
                        <w:rPr>
                          <w:rFonts w:asciiTheme="majorHAnsi" w:hAnsiTheme="majorHAnsi"/>
                          <w:color w:val="595959" w:themeColor="text1" w:themeTint="A6"/>
                          <w:sz w:val="18"/>
                          <w:szCs w:val="18"/>
                          <w:lang w:val="pt-BR"/>
                        </w:rPr>
                        <w:t xml:space="preserve"> CIDH. Informe No. 54/19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Caso 12.682. Fondo</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Blas Valencia Campos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04 de mayo de 2019</w:t>
                      </w:r>
                      <w:r w:rsidRPr="007C756A">
                        <w:rPr>
                          <w:rFonts w:asciiTheme="majorHAnsi" w:hAnsiTheme="majorHAnsi"/>
                          <w:color w:val="595959" w:themeColor="text1" w:themeTint="A6"/>
                          <w:sz w:val="18"/>
                          <w:szCs w:val="18"/>
                          <w:lang w:val="es-US"/>
                        </w:rPr>
                        <w:t>.</w:t>
                      </w:r>
                    </w:p>
                  </w:txbxContent>
                </v:textbox>
              </v:shape>
            </w:pict>
          </mc:Fallback>
        </mc:AlternateContent>
      </w:r>
    </w:p>
    <w:p w14:paraId="1AB6CB5E" w14:textId="77777777" w:rsidR="00A50FCF" w:rsidRPr="0011380E" w:rsidRDefault="00A50FCF" w:rsidP="00040C3A">
      <w:pPr>
        <w:tabs>
          <w:tab w:val="center" w:pos="5400"/>
        </w:tabs>
        <w:suppressAutoHyphens/>
        <w:jc w:val="center"/>
        <w:rPr>
          <w:rFonts w:asciiTheme="majorHAnsi" w:hAnsiTheme="majorHAnsi"/>
          <w:sz w:val="18"/>
          <w:szCs w:val="22"/>
          <w:lang w:val="es-ES_tradnl"/>
        </w:rPr>
      </w:pPr>
    </w:p>
    <w:p w14:paraId="71A48DA4" w14:textId="77777777" w:rsidR="0090270B" w:rsidRPr="0011380E" w:rsidRDefault="00D306D1" w:rsidP="005516A1">
      <w:pPr>
        <w:tabs>
          <w:tab w:val="center" w:pos="5400"/>
        </w:tabs>
        <w:suppressAutoHyphens/>
        <w:jc w:val="center"/>
        <w:rPr>
          <w:rFonts w:asciiTheme="majorHAnsi" w:hAnsiTheme="majorHAnsi"/>
          <w:b/>
          <w:sz w:val="20"/>
          <w:lang w:val="es-ES_tradnl"/>
        </w:rPr>
      </w:pPr>
      <w:r w:rsidRPr="0011380E">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4BF402" wp14:editId="34DCA97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4489D" w14:textId="77777777" w:rsidR="005F3D64" w:rsidRPr="00D72DC6" w:rsidRDefault="005F3D6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D186C09" wp14:editId="4CF55B2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BF40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6F24489D" w14:textId="77777777" w:rsidR="005F3D64" w:rsidRPr="00D72DC6" w:rsidRDefault="005F3D6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1D186C09" wp14:editId="4CF55B2D">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1380E">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05D6783" wp14:editId="6A58D20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2B587" w14:textId="77777777" w:rsidR="005F3D64" w:rsidRPr="004B7EB6" w:rsidRDefault="005F3D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D6783"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26F2B587" w14:textId="77777777" w:rsidR="005F3D64" w:rsidRPr="004B7EB6" w:rsidRDefault="005F3D6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DACB22" w14:textId="77777777" w:rsidR="0070697F" w:rsidRPr="0011380E" w:rsidRDefault="0070697F" w:rsidP="005516A1">
      <w:pPr>
        <w:tabs>
          <w:tab w:val="center" w:pos="5400"/>
        </w:tabs>
        <w:suppressAutoHyphens/>
        <w:jc w:val="center"/>
        <w:rPr>
          <w:rFonts w:asciiTheme="majorHAnsi" w:hAnsiTheme="majorHAnsi"/>
          <w:b/>
          <w:sz w:val="20"/>
          <w:lang w:val="es-ES_tradnl"/>
        </w:rPr>
        <w:sectPr w:rsidR="0070697F" w:rsidRPr="0011380E"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74AFA93F" w14:textId="77777777" w:rsidR="00722C9F" w:rsidRPr="00F44424" w:rsidRDefault="00722C9F" w:rsidP="00722C9F">
      <w:pPr>
        <w:tabs>
          <w:tab w:val="center" w:pos="5400"/>
        </w:tabs>
        <w:suppressAutoHyphens/>
        <w:spacing w:line="276" w:lineRule="auto"/>
        <w:jc w:val="center"/>
        <w:rPr>
          <w:rFonts w:asciiTheme="majorHAnsi" w:hAnsiTheme="majorHAnsi"/>
          <w:b/>
          <w:sz w:val="20"/>
          <w:szCs w:val="20"/>
          <w:lang w:val="es-ES_tradnl"/>
        </w:rPr>
      </w:pPr>
      <w:r w:rsidRPr="00F44424">
        <w:rPr>
          <w:rFonts w:asciiTheme="majorHAnsi" w:hAnsiTheme="majorHAnsi"/>
          <w:b/>
          <w:sz w:val="20"/>
          <w:szCs w:val="20"/>
          <w:lang w:val="es-ES_tradnl"/>
        </w:rPr>
        <w:lastRenderedPageBreak/>
        <w:t>ÍNDICE</w:t>
      </w:r>
    </w:p>
    <w:p w14:paraId="11FCC42F" w14:textId="77777777" w:rsidR="008D768D" w:rsidRPr="0011380E" w:rsidRDefault="008D768D" w:rsidP="006125C3">
      <w:pPr>
        <w:tabs>
          <w:tab w:val="center" w:pos="5400"/>
        </w:tabs>
        <w:suppressAutoHyphens/>
        <w:spacing w:line="276" w:lineRule="auto"/>
        <w:rPr>
          <w:rFonts w:asciiTheme="majorHAnsi" w:hAnsiTheme="majorHAnsi"/>
          <w:sz w:val="20"/>
          <w:szCs w:val="20"/>
          <w:lang w:val="es-ES_tradnl"/>
        </w:rPr>
      </w:pPr>
    </w:p>
    <w:p w14:paraId="28FF00F0" w14:textId="77777777" w:rsidR="00E909AA" w:rsidRPr="005A4472" w:rsidRDefault="00E909AA" w:rsidP="00E909AA">
      <w:pPr>
        <w:suppressAutoHyphens/>
        <w:rPr>
          <w:rFonts w:asciiTheme="majorHAnsi" w:hAnsiTheme="majorHAnsi"/>
          <w:b/>
          <w:sz w:val="20"/>
          <w:szCs w:val="20"/>
          <w:lang w:val="es-ES_tradnl"/>
        </w:rPr>
      </w:pPr>
    </w:p>
    <w:p w14:paraId="59D3C410" w14:textId="3350E4EA" w:rsidR="005A4472" w:rsidRPr="005A4472" w:rsidRDefault="006125C3">
      <w:pPr>
        <w:pStyle w:val="TOC1"/>
        <w:tabs>
          <w:tab w:val="left" w:pos="1440"/>
          <w:tab w:val="right" w:leader="dot" w:pos="9350"/>
        </w:tabs>
        <w:rPr>
          <w:rFonts w:asciiTheme="majorHAnsi" w:eastAsiaTheme="minorEastAsia" w:hAnsiTheme="majorHAnsi" w:cstheme="minorBidi"/>
          <w:noProof/>
          <w:sz w:val="20"/>
          <w:szCs w:val="20"/>
        </w:rPr>
      </w:pPr>
      <w:r w:rsidRPr="005A4472">
        <w:rPr>
          <w:rFonts w:asciiTheme="majorHAnsi" w:hAnsiTheme="majorHAnsi"/>
          <w:sz w:val="20"/>
          <w:szCs w:val="20"/>
          <w:lang w:val="es-ES_tradnl"/>
        </w:rPr>
        <w:fldChar w:fldCharType="begin"/>
      </w:r>
      <w:r w:rsidRPr="005A4472">
        <w:rPr>
          <w:rFonts w:asciiTheme="majorHAnsi" w:hAnsiTheme="majorHAnsi"/>
          <w:sz w:val="20"/>
          <w:szCs w:val="20"/>
          <w:lang w:val="es-ES_tradnl"/>
        </w:rPr>
        <w:instrText xml:space="preserve"> TOC \o "1-7" \h \z \u </w:instrText>
      </w:r>
      <w:r w:rsidRPr="005A4472">
        <w:rPr>
          <w:rFonts w:asciiTheme="majorHAnsi" w:hAnsiTheme="majorHAnsi"/>
          <w:sz w:val="20"/>
          <w:szCs w:val="20"/>
          <w:lang w:val="es-ES_tradnl"/>
        </w:rPr>
        <w:fldChar w:fldCharType="separate"/>
      </w:r>
      <w:hyperlink w:anchor="_Toc11750397" w:history="1">
        <w:r w:rsidR="005A4472" w:rsidRPr="005A4472">
          <w:rPr>
            <w:rStyle w:val="Hyperlink"/>
            <w:rFonts w:asciiTheme="majorHAnsi" w:hAnsiTheme="majorHAnsi"/>
            <w:b/>
            <w:noProof/>
            <w:sz w:val="20"/>
            <w:szCs w:val="20"/>
          </w:rPr>
          <w:t>I.</w:t>
        </w:r>
        <w:r w:rsidR="005A4472" w:rsidRPr="005A4472">
          <w:rPr>
            <w:rFonts w:asciiTheme="majorHAnsi" w:eastAsiaTheme="minorEastAsia" w:hAnsiTheme="majorHAnsi" w:cstheme="minorBidi"/>
            <w:b/>
            <w:noProof/>
            <w:sz w:val="20"/>
            <w:szCs w:val="20"/>
          </w:rPr>
          <w:tab/>
        </w:r>
        <w:r w:rsidR="005A4472" w:rsidRPr="005A4472">
          <w:rPr>
            <w:rStyle w:val="Hyperlink"/>
            <w:rFonts w:asciiTheme="majorHAnsi" w:hAnsiTheme="majorHAnsi"/>
            <w:b/>
            <w:noProof/>
            <w:sz w:val="20"/>
            <w:szCs w:val="20"/>
          </w:rPr>
          <w:t>INTRODUCCIÓN</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_Toc11750397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sidR="00DC5337">
          <w:rPr>
            <w:rFonts w:asciiTheme="majorHAnsi" w:hAnsiTheme="majorHAnsi"/>
            <w:noProof/>
            <w:webHidden/>
            <w:sz w:val="20"/>
            <w:szCs w:val="20"/>
          </w:rPr>
          <w:t>2</w:t>
        </w:r>
        <w:r w:rsidR="005A4472" w:rsidRPr="005A4472">
          <w:rPr>
            <w:rFonts w:asciiTheme="majorHAnsi" w:hAnsiTheme="majorHAnsi"/>
            <w:noProof/>
            <w:webHidden/>
            <w:sz w:val="20"/>
            <w:szCs w:val="20"/>
          </w:rPr>
          <w:fldChar w:fldCharType="end"/>
        </w:r>
      </w:hyperlink>
    </w:p>
    <w:p w14:paraId="2C158197" w14:textId="176BA898" w:rsidR="005A4472" w:rsidRPr="005A4472" w:rsidRDefault="00DC5337">
      <w:pPr>
        <w:pStyle w:val="TOC1"/>
        <w:tabs>
          <w:tab w:val="left" w:pos="1440"/>
          <w:tab w:val="right" w:leader="dot" w:pos="9350"/>
        </w:tabs>
        <w:rPr>
          <w:rFonts w:asciiTheme="majorHAnsi" w:eastAsiaTheme="minorEastAsia" w:hAnsiTheme="majorHAnsi" w:cstheme="minorBidi"/>
          <w:noProof/>
          <w:sz w:val="20"/>
          <w:szCs w:val="20"/>
        </w:rPr>
      </w:pPr>
      <w:hyperlink w:anchor="_Toc11750398" w:history="1">
        <w:r w:rsidR="005A4472" w:rsidRPr="005A4472">
          <w:rPr>
            <w:rStyle w:val="Hyperlink"/>
            <w:rFonts w:asciiTheme="majorHAnsi" w:hAnsiTheme="majorHAnsi"/>
            <w:b/>
            <w:noProof/>
            <w:sz w:val="20"/>
            <w:szCs w:val="20"/>
          </w:rPr>
          <w:t>II.</w:t>
        </w:r>
        <w:r w:rsidR="005A4472" w:rsidRPr="005A4472">
          <w:rPr>
            <w:rFonts w:asciiTheme="majorHAnsi" w:eastAsiaTheme="minorEastAsia" w:hAnsiTheme="majorHAnsi" w:cstheme="minorBidi"/>
            <w:b/>
            <w:noProof/>
            <w:sz w:val="20"/>
            <w:szCs w:val="20"/>
          </w:rPr>
          <w:tab/>
        </w:r>
        <w:r w:rsidR="005A4472" w:rsidRPr="005A4472">
          <w:rPr>
            <w:rStyle w:val="Hyperlink"/>
            <w:rFonts w:asciiTheme="majorHAnsi" w:hAnsiTheme="majorHAnsi"/>
            <w:b/>
            <w:noProof/>
            <w:sz w:val="20"/>
            <w:szCs w:val="20"/>
          </w:rPr>
          <w:t>ALEGATOS DE LAS PARTES</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_Toc11750398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2</w:t>
        </w:r>
        <w:r w:rsidR="005A4472" w:rsidRPr="005A4472">
          <w:rPr>
            <w:rFonts w:asciiTheme="majorHAnsi" w:hAnsiTheme="majorHAnsi"/>
            <w:noProof/>
            <w:webHidden/>
            <w:sz w:val="20"/>
            <w:szCs w:val="20"/>
          </w:rPr>
          <w:fldChar w:fldCharType="end"/>
        </w:r>
      </w:hyperlink>
    </w:p>
    <w:p w14:paraId="50194749" w14:textId="70F24121" w:rsidR="005A4472" w:rsidRPr="005A4472" w:rsidRDefault="00DC5337">
      <w:pPr>
        <w:pStyle w:val="TOC2"/>
        <w:rPr>
          <w:rFonts w:asciiTheme="majorHAnsi" w:eastAsiaTheme="minorEastAsia" w:hAnsiTheme="majorHAnsi" w:cstheme="minorBidi"/>
          <w:noProof/>
          <w:sz w:val="20"/>
          <w:szCs w:val="20"/>
        </w:rPr>
      </w:pPr>
      <w:hyperlink w:anchor="_Toc11750399" w:history="1">
        <w:r w:rsidR="005A4472" w:rsidRPr="005A4472">
          <w:rPr>
            <w:rStyle w:val="Hyperlink"/>
            <w:rFonts w:asciiTheme="majorHAnsi" w:hAnsiTheme="majorHAnsi"/>
            <w:noProof/>
            <w:sz w:val="20"/>
            <w:szCs w:val="20"/>
            <w:lang w:val="es-ES_tradnl"/>
          </w:rPr>
          <w:t>A.</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lang w:val="es-ES_tradnl"/>
          </w:rPr>
          <w:t xml:space="preserve">Parte </w:t>
        </w:r>
        <w:r w:rsidR="005A4472" w:rsidRPr="005A4472">
          <w:rPr>
            <w:rStyle w:val="Hyperlink"/>
            <w:rFonts w:asciiTheme="majorHAnsi" w:hAnsiTheme="majorHAnsi"/>
            <w:noProof/>
            <w:sz w:val="20"/>
            <w:szCs w:val="20"/>
          </w:rPr>
          <w:t>peticionaria</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_Toc11750399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2</w:t>
        </w:r>
        <w:r w:rsidR="005A4472" w:rsidRPr="005A4472">
          <w:rPr>
            <w:rFonts w:asciiTheme="majorHAnsi" w:hAnsiTheme="majorHAnsi"/>
            <w:noProof/>
            <w:webHidden/>
            <w:sz w:val="20"/>
            <w:szCs w:val="20"/>
          </w:rPr>
          <w:fldChar w:fldCharType="end"/>
        </w:r>
      </w:hyperlink>
    </w:p>
    <w:p w14:paraId="74D095A8" w14:textId="1DA68B5E" w:rsidR="005A4472" w:rsidRPr="005A4472" w:rsidRDefault="00DC5337">
      <w:pPr>
        <w:pStyle w:val="TOC2"/>
        <w:rPr>
          <w:rFonts w:asciiTheme="majorHAnsi" w:eastAsiaTheme="minorEastAsia" w:hAnsiTheme="majorHAnsi" w:cstheme="minorBidi"/>
          <w:noProof/>
          <w:sz w:val="20"/>
          <w:szCs w:val="20"/>
        </w:rPr>
      </w:pPr>
      <w:hyperlink w:anchor="_Toc11750400" w:history="1">
        <w:r w:rsidR="005A4472" w:rsidRPr="005A4472">
          <w:rPr>
            <w:rStyle w:val="Hyperlink"/>
            <w:rFonts w:asciiTheme="majorHAnsi" w:hAnsiTheme="majorHAnsi"/>
            <w:noProof/>
            <w:sz w:val="20"/>
            <w:szCs w:val="20"/>
            <w:lang w:val="es-ES_tradnl"/>
          </w:rPr>
          <w:t>B.</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rPr>
          <w:t>Estado</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_Toc11750400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3</w:t>
        </w:r>
        <w:r w:rsidR="005A4472" w:rsidRPr="005A4472">
          <w:rPr>
            <w:rFonts w:asciiTheme="majorHAnsi" w:hAnsiTheme="majorHAnsi"/>
            <w:noProof/>
            <w:webHidden/>
            <w:sz w:val="20"/>
            <w:szCs w:val="20"/>
          </w:rPr>
          <w:fldChar w:fldCharType="end"/>
        </w:r>
      </w:hyperlink>
    </w:p>
    <w:p w14:paraId="010A3B95" w14:textId="5F6B500B" w:rsidR="005A4472" w:rsidRPr="005A4472" w:rsidRDefault="00DC5337">
      <w:pPr>
        <w:pStyle w:val="TOC1"/>
        <w:tabs>
          <w:tab w:val="left" w:pos="1440"/>
          <w:tab w:val="right" w:leader="dot" w:pos="9350"/>
        </w:tabs>
        <w:rPr>
          <w:rFonts w:asciiTheme="majorHAnsi" w:eastAsiaTheme="minorEastAsia" w:hAnsiTheme="majorHAnsi" w:cstheme="minorBidi"/>
          <w:noProof/>
          <w:sz w:val="20"/>
          <w:szCs w:val="20"/>
        </w:rPr>
      </w:pPr>
      <w:hyperlink w:anchor="_Toc11750401" w:history="1">
        <w:r w:rsidR="005A4472" w:rsidRPr="005A4472">
          <w:rPr>
            <w:rStyle w:val="Hyperlink"/>
            <w:rFonts w:asciiTheme="majorHAnsi" w:hAnsiTheme="majorHAnsi"/>
            <w:b/>
            <w:noProof/>
            <w:sz w:val="20"/>
            <w:szCs w:val="20"/>
          </w:rPr>
          <w:t>III.</w:t>
        </w:r>
        <w:r w:rsidR="005A4472" w:rsidRPr="005A4472">
          <w:rPr>
            <w:rFonts w:asciiTheme="majorHAnsi" w:eastAsiaTheme="minorEastAsia" w:hAnsiTheme="majorHAnsi" w:cstheme="minorBidi"/>
            <w:b/>
            <w:noProof/>
            <w:sz w:val="20"/>
            <w:szCs w:val="20"/>
          </w:rPr>
          <w:tab/>
        </w:r>
        <w:r w:rsidR="005A4472" w:rsidRPr="005A4472">
          <w:rPr>
            <w:rStyle w:val="Hyperlink"/>
            <w:rFonts w:asciiTheme="majorHAnsi" w:hAnsiTheme="majorHAnsi"/>
            <w:b/>
            <w:noProof/>
            <w:sz w:val="20"/>
            <w:szCs w:val="20"/>
          </w:rPr>
          <w:t>DETERMINACIONES DE HECHO</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_Toc11750401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5</w:t>
        </w:r>
        <w:r w:rsidR="005A4472" w:rsidRPr="005A4472">
          <w:rPr>
            <w:rFonts w:asciiTheme="majorHAnsi" w:hAnsiTheme="majorHAnsi"/>
            <w:noProof/>
            <w:webHidden/>
            <w:sz w:val="20"/>
            <w:szCs w:val="20"/>
          </w:rPr>
          <w:fldChar w:fldCharType="end"/>
        </w:r>
      </w:hyperlink>
    </w:p>
    <w:p w14:paraId="009C65D3" w14:textId="70A1BC9A" w:rsidR="005A4472" w:rsidRPr="005A4472" w:rsidRDefault="00DC5337">
      <w:pPr>
        <w:pStyle w:val="TOC2"/>
        <w:rPr>
          <w:rFonts w:asciiTheme="majorHAnsi" w:eastAsiaTheme="minorEastAsia" w:hAnsiTheme="majorHAnsi" w:cstheme="minorBidi"/>
          <w:noProof/>
          <w:sz w:val="20"/>
          <w:szCs w:val="20"/>
        </w:rPr>
      </w:pPr>
      <w:hyperlink w:anchor="_Toc11750402" w:history="1">
        <w:r w:rsidR="005A4472" w:rsidRPr="005A4472">
          <w:rPr>
            <w:rStyle w:val="Hyperlink"/>
            <w:rFonts w:asciiTheme="majorHAnsi" w:hAnsiTheme="majorHAnsi"/>
            <w:noProof/>
            <w:sz w:val="20"/>
            <w:szCs w:val="20"/>
          </w:rPr>
          <w:t>A.</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rPr>
          <w:t>Marco normativo relevante</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_Toc11750402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5</w:t>
        </w:r>
        <w:r w:rsidR="005A4472" w:rsidRPr="005A4472">
          <w:rPr>
            <w:rFonts w:asciiTheme="majorHAnsi" w:hAnsiTheme="majorHAnsi"/>
            <w:noProof/>
            <w:webHidden/>
            <w:sz w:val="20"/>
            <w:szCs w:val="20"/>
          </w:rPr>
          <w:fldChar w:fldCharType="end"/>
        </w:r>
      </w:hyperlink>
    </w:p>
    <w:p w14:paraId="0AFB06F4" w14:textId="6CC3456A" w:rsidR="005A4472" w:rsidRPr="005A4472" w:rsidRDefault="00DC5337">
      <w:pPr>
        <w:pStyle w:val="TOC2"/>
        <w:rPr>
          <w:rFonts w:asciiTheme="majorHAnsi" w:eastAsiaTheme="minorEastAsia" w:hAnsiTheme="majorHAnsi" w:cstheme="minorBidi"/>
          <w:noProof/>
          <w:sz w:val="20"/>
          <w:szCs w:val="20"/>
        </w:rPr>
      </w:pPr>
      <w:hyperlink w:anchor="_Toc11750403" w:history="1">
        <w:r w:rsidR="005A4472" w:rsidRPr="005A4472">
          <w:rPr>
            <w:rStyle w:val="Hyperlink"/>
            <w:rFonts w:asciiTheme="majorHAnsi" w:hAnsiTheme="majorHAnsi"/>
            <w:noProof/>
            <w:sz w:val="20"/>
            <w:szCs w:val="20"/>
            <w:lang w:val="es-ES_tradnl"/>
          </w:rPr>
          <w:t>B.</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lang w:val="es-US"/>
          </w:rPr>
          <w:t>Hechos</w:t>
        </w:r>
        <w:r w:rsidR="005A4472" w:rsidRPr="005A4472">
          <w:rPr>
            <w:rStyle w:val="Hyperlink"/>
            <w:rFonts w:asciiTheme="majorHAnsi" w:hAnsiTheme="majorHAnsi"/>
            <w:noProof/>
            <w:sz w:val="20"/>
            <w:szCs w:val="20"/>
            <w:lang w:val="es-ES_tradnl"/>
          </w:rPr>
          <w:t xml:space="preserve"> del caso</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_Toc11750403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6</w:t>
        </w:r>
        <w:r w:rsidR="005A4472" w:rsidRPr="005A4472">
          <w:rPr>
            <w:rFonts w:asciiTheme="majorHAnsi" w:hAnsiTheme="majorHAnsi"/>
            <w:noProof/>
            <w:webHidden/>
            <w:sz w:val="20"/>
            <w:szCs w:val="20"/>
          </w:rPr>
          <w:fldChar w:fldCharType="end"/>
        </w:r>
      </w:hyperlink>
    </w:p>
    <w:p w14:paraId="5B467F90" w14:textId="46271973" w:rsidR="005A4472" w:rsidRPr="005A4472" w:rsidRDefault="00DC5337">
      <w:pPr>
        <w:pStyle w:val="TOC2"/>
        <w:rPr>
          <w:rFonts w:asciiTheme="majorHAnsi" w:eastAsiaTheme="minorEastAsia" w:hAnsiTheme="majorHAnsi" w:cstheme="minorBidi"/>
          <w:noProof/>
          <w:sz w:val="20"/>
          <w:szCs w:val="20"/>
        </w:rPr>
      </w:pPr>
      <w:hyperlink w:anchor="_Toc11750404" w:history="1">
        <w:r w:rsidR="005A4472" w:rsidRPr="005A4472">
          <w:rPr>
            <w:rStyle w:val="Hyperlink"/>
            <w:rFonts w:asciiTheme="majorHAnsi" w:hAnsiTheme="majorHAnsi"/>
            <w:noProof/>
            <w:sz w:val="20"/>
            <w:szCs w:val="20"/>
          </w:rPr>
          <w:t>C.</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rPr>
          <w:t>Procesos internos</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_Toc11750404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9</w:t>
        </w:r>
        <w:r w:rsidR="005A4472" w:rsidRPr="005A4472">
          <w:rPr>
            <w:rFonts w:asciiTheme="majorHAnsi" w:hAnsiTheme="majorHAnsi"/>
            <w:noProof/>
            <w:webHidden/>
            <w:sz w:val="20"/>
            <w:szCs w:val="20"/>
          </w:rPr>
          <w:fldChar w:fldCharType="end"/>
        </w:r>
      </w:hyperlink>
    </w:p>
    <w:p w14:paraId="3A989C5D" w14:textId="077CC85F" w:rsidR="005A4472" w:rsidRPr="005A4472" w:rsidRDefault="00DC5337">
      <w:pPr>
        <w:pStyle w:val="TOC1"/>
        <w:tabs>
          <w:tab w:val="left" w:pos="1440"/>
          <w:tab w:val="right" w:leader="dot" w:pos="9350"/>
        </w:tabs>
        <w:rPr>
          <w:rFonts w:asciiTheme="majorHAnsi" w:eastAsiaTheme="minorEastAsia" w:hAnsiTheme="majorHAnsi" w:cstheme="minorBidi"/>
          <w:noProof/>
          <w:sz w:val="20"/>
          <w:szCs w:val="20"/>
        </w:rPr>
      </w:pPr>
      <w:hyperlink w:anchor="_Toc11750405" w:history="1">
        <w:r w:rsidR="005A4472" w:rsidRPr="005A4472">
          <w:rPr>
            <w:rStyle w:val="Hyperlink"/>
            <w:rFonts w:asciiTheme="majorHAnsi" w:hAnsiTheme="majorHAnsi"/>
            <w:b/>
            <w:noProof/>
            <w:sz w:val="20"/>
            <w:szCs w:val="20"/>
          </w:rPr>
          <w:t>IV.</w:t>
        </w:r>
        <w:r w:rsidR="005A4472" w:rsidRPr="005A4472">
          <w:rPr>
            <w:rFonts w:asciiTheme="majorHAnsi" w:eastAsiaTheme="minorEastAsia" w:hAnsiTheme="majorHAnsi" w:cstheme="minorBidi"/>
            <w:b/>
            <w:noProof/>
            <w:sz w:val="20"/>
            <w:szCs w:val="20"/>
          </w:rPr>
          <w:tab/>
        </w:r>
        <w:r w:rsidR="005A4472" w:rsidRPr="005A4472">
          <w:rPr>
            <w:rStyle w:val="Hyperlink"/>
            <w:rFonts w:asciiTheme="majorHAnsi" w:hAnsiTheme="majorHAnsi"/>
            <w:b/>
            <w:noProof/>
            <w:sz w:val="20"/>
            <w:szCs w:val="20"/>
          </w:rPr>
          <w:t>ANÁLISIS DE DERECHO</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_Toc11750405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13</w:t>
        </w:r>
        <w:r w:rsidR="005A4472" w:rsidRPr="005A4472">
          <w:rPr>
            <w:rFonts w:asciiTheme="majorHAnsi" w:hAnsiTheme="majorHAnsi"/>
            <w:noProof/>
            <w:webHidden/>
            <w:sz w:val="20"/>
            <w:szCs w:val="20"/>
          </w:rPr>
          <w:fldChar w:fldCharType="end"/>
        </w:r>
      </w:hyperlink>
    </w:p>
    <w:p w14:paraId="0BB36F7C" w14:textId="2ECB576A" w:rsidR="005A4472" w:rsidRPr="005A4472" w:rsidRDefault="00DC5337">
      <w:pPr>
        <w:pStyle w:val="TOC2"/>
        <w:rPr>
          <w:rFonts w:asciiTheme="majorHAnsi" w:eastAsiaTheme="minorEastAsia" w:hAnsiTheme="majorHAnsi" w:cstheme="minorBidi"/>
          <w:noProof/>
          <w:sz w:val="20"/>
          <w:szCs w:val="20"/>
        </w:rPr>
      </w:pPr>
      <w:hyperlink w:anchor="_Toc11750406" w:history="1">
        <w:r w:rsidR="005A4472" w:rsidRPr="005A4472">
          <w:rPr>
            <w:rStyle w:val="Hyperlink"/>
            <w:rFonts w:asciiTheme="majorHAnsi" w:hAnsiTheme="majorHAnsi"/>
            <w:noProof/>
            <w:sz w:val="20"/>
            <w:szCs w:val="20"/>
            <w:lang w:val="es-VE"/>
          </w:rPr>
          <w:t>A.</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lang w:val="es-VE"/>
          </w:rPr>
          <w:t>Derechos a la libertad personal y a la vida privada y domicilio.</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_Toc11750406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13</w:t>
        </w:r>
        <w:r w:rsidR="005A4472" w:rsidRPr="005A4472">
          <w:rPr>
            <w:rFonts w:asciiTheme="majorHAnsi" w:hAnsiTheme="majorHAnsi"/>
            <w:noProof/>
            <w:webHidden/>
            <w:sz w:val="20"/>
            <w:szCs w:val="20"/>
          </w:rPr>
          <w:fldChar w:fldCharType="end"/>
        </w:r>
      </w:hyperlink>
    </w:p>
    <w:p w14:paraId="7DC89766" w14:textId="7EE75C68" w:rsidR="005A4472" w:rsidRPr="005A4472" w:rsidRDefault="00DC5337">
      <w:pPr>
        <w:pStyle w:val="TOC2"/>
        <w:rPr>
          <w:rFonts w:asciiTheme="majorHAnsi" w:eastAsiaTheme="minorEastAsia" w:hAnsiTheme="majorHAnsi" w:cstheme="minorBidi"/>
          <w:noProof/>
          <w:sz w:val="20"/>
          <w:szCs w:val="20"/>
        </w:rPr>
      </w:pPr>
      <w:hyperlink w:anchor="_Toc11750407" w:history="1">
        <w:r w:rsidR="005A4472" w:rsidRPr="005A4472">
          <w:rPr>
            <w:rStyle w:val="Hyperlink"/>
            <w:rFonts w:asciiTheme="majorHAnsi" w:hAnsiTheme="majorHAnsi"/>
            <w:noProof/>
            <w:sz w:val="20"/>
            <w:szCs w:val="20"/>
            <w:lang w:val="es-VE"/>
          </w:rPr>
          <w:t>B.</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lang w:val="es-VE"/>
          </w:rPr>
          <w:t>Derechos a la vida, a la integridad personal, derecho a la honra y a la dignidad, derechos del niño y derecho de la mujer a vivir libre de violencia .</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_Toc11750407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15</w:t>
        </w:r>
        <w:r w:rsidR="005A4472" w:rsidRPr="005A4472">
          <w:rPr>
            <w:rFonts w:asciiTheme="majorHAnsi" w:hAnsiTheme="majorHAnsi"/>
            <w:noProof/>
            <w:webHidden/>
            <w:sz w:val="20"/>
            <w:szCs w:val="20"/>
          </w:rPr>
          <w:fldChar w:fldCharType="end"/>
        </w:r>
      </w:hyperlink>
    </w:p>
    <w:p w14:paraId="13651C78" w14:textId="467472AE" w:rsidR="005A4472" w:rsidRPr="005A4472" w:rsidRDefault="00DC5337">
      <w:pPr>
        <w:pStyle w:val="TOC2"/>
        <w:rPr>
          <w:rFonts w:asciiTheme="majorHAnsi" w:eastAsiaTheme="minorEastAsia" w:hAnsiTheme="majorHAnsi" w:cstheme="minorBidi"/>
          <w:noProof/>
          <w:sz w:val="20"/>
          <w:szCs w:val="20"/>
        </w:rPr>
      </w:pPr>
      <w:hyperlink w:anchor="_Toc11750408" w:history="1">
        <w:r w:rsidR="005A4472" w:rsidRPr="005A4472">
          <w:rPr>
            <w:rStyle w:val="Hyperlink"/>
            <w:rFonts w:asciiTheme="majorHAnsi" w:hAnsiTheme="majorHAnsi"/>
            <w:noProof/>
            <w:sz w:val="20"/>
            <w:szCs w:val="20"/>
            <w:lang w:val="es-ES"/>
          </w:rPr>
          <w:t>C.</w:t>
        </w:r>
        <w:r w:rsidR="005A4472" w:rsidRPr="005A4472">
          <w:rPr>
            <w:rFonts w:asciiTheme="majorHAnsi" w:eastAsiaTheme="minorEastAsia" w:hAnsiTheme="majorHAnsi" w:cstheme="minorBidi"/>
            <w:noProof/>
            <w:sz w:val="20"/>
            <w:szCs w:val="20"/>
          </w:rPr>
          <w:tab/>
        </w:r>
        <w:r w:rsidR="005A4472" w:rsidRPr="005A4472">
          <w:rPr>
            <w:rStyle w:val="Hyperlink"/>
            <w:rFonts w:asciiTheme="majorHAnsi" w:hAnsiTheme="majorHAnsi"/>
            <w:noProof/>
            <w:sz w:val="20"/>
            <w:szCs w:val="20"/>
            <w:lang w:val="es-ES"/>
          </w:rPr>
          <w:t>Garantías judiciales y protección judicial y deber de investigar y sancionar actos de tortura</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_Toc11750408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20</w:t>
        </w:r>
        <w:r w:rsidR="005A4472" w:rsidRPr="005A4472">
          <w:rPr>
            <w:rFonts w:asciiTheme="majorHAnsi" w:hAnsiTheme="majorHAnsi"/>
            <w:noProof/>
            <w:webHidden/>
            <w:sz w:val="20"/>
            <w:szCs w:val="20"/>
          </w:rPr>
          <w:fldChar w:fldCharType="end"/>
        </w:r>
      </w:hyperlink>
    </w:p>
    <w:p w14:paraId="2901D72D" w14:textId="16B082A1" w:rsidR="005A4472" w:rsidRPr="005A4472" w:rsidRDefault="00DC5337">
      <w:pPr>
        <w:pStyle w:val="TOC1"/>
        <w:tabs>
          <w:tab w:val="left" w:pos="1440"/>
          <w:tab w:val="right" w:leader="dot" w:pos="9350"/>
        </w:tabs>
        <w:rPr>
          <w:rFonts w:asciiTheme="majorHAnsi" w:eastAsiaTheme="minorEastAsia" w:hAnsiTheme="majorHAnsi" w:cstheme="minorBidi"/>
          <w:noProof/>
          <w:sz w:val="20"/>
          <w:szCs w:val="20"/>
        </w:rPr>
      </w:pPr>
      <w:hyperlink w:anchor="_Toc11750409" w:history="1">
        <w:r w:rsidR="005A4472" w:rsidRPr="005A4472">
          <w:rPr>
            <w:rStyle w:val="Hyperlink"/>
            <w:rFonts w:asciiTheme="majorHAnsi" w:hAnsiTheme="majorHAnsi"/>
            <w:b/>
            <w:noProof/>
            <w:sz w:val="20"/>
            <w:szCs w:val="20"/>
          </w:rPr>
          <w:t>V.</w:t>
        </w:r>
        <w:r w:rsidR="005A4472" w:rsidRPr="005A4472">
          <w:rPr>
            <w:rFonts w:asciiTheme="majorHAnsi" w:eastAsiaTheme="minorEastAsia" w:hAnsiTheme="majorHAnsi" w:cstheme="minorBidi"/>
            <w:b/>
            <w:noProof/>
            <w:sz w:val="20"/>
            <w:szCs w:val="20"/>
          </w:rPr>
          <w:tab/>
        </w:r>
        <w:r w:rsidR="005A4472" w:rsidRPr="005A4472">
          <w:rPr>
            <w:rStyle w:val="Hyperlink"/>
            <w:rFonts w:asciiTheme="majorHAnsi" w:hAnsiTheme="majorHAnsi"/>
            <w:b/>
            <w:noProof/>
            <w:sz w:val="20"/>
            <w:szCs w:val="20"/>
          </w:rPr>
          <w:t>CONCLUSIONES Y RECOMENDACIONES</w:t>
        </w:r>
        <w:r w:rsidR="005A4472" w:rsidRPr="005A4472">
          <w:rPr>
            <w:rFonts w:asciiTheme="majorHAnsi" w:hAnsiTheme="majorHAnsi"/>
            <w:noProof/>
            <w:webHidden/>
            <w:sz w:val="20"/>
            <w:szCs w:val="20"/>
          </w:rPr>
          <w:tab/>
        </w:r>
        <w:r w:rsidR="005A4472" w:rsidRPr="005A4472">
          <w:rPr>
            <w:rFonts w:asciiTheme="majorHAnsi" w:hAnsiTheme="majorHAnsi"/>
            <w:noProof/>
            <w:webHidden/>
            <w:sz w:val="20"/>
            <w:szCs w:val="20"/>
          </w:rPr>
          <w:fldChar w:fldCharType="begin"/>
        </w:r>
        <w:r w:rsidR="005A4472" w:rsidRPr="005A4472">
          <w:rPr>
            <w:rFonts w:asciiTheme="majorHAnsi" w:hAnsiTheme="majorHAnsi"/>
            <w:noProof/>
            <w:webHidden/>
            <w:sz w:val="20"/>
            <w:szCs w:val="20"/>
          </w:rPr>
          <w:instrText xml:space="preserve"> PAGEREF _Toc11750409 \h </w:instrText>
        </w:r>
        <w:r w:rsidR="005A4472" w:rsidRPr="005A4472">
          <w:rPr>
            <w:rFonts w:asciiTheme="majorHAnsi" w:hAnsiTheme="majorHAnsi"/>
            <w:noProof/>
            <w:webHidden/>
            <w:sz w:val="20"/>
            <w:szCs w:val="20"/>
          </w:rPr>
        </w:r>
        <w:r w:rsidR="005A4472" w:rsidRPr="005A4472">
          <w:rPr>
            <w:rFonts w:asciiTheme="majorHAnsi" w:hAnsiTheme="majorHAnsi"/>
            <w:noProof/>
            <w:webHidden/>
            <w:sz w:val="20"/>
            <w:szCs w:val="20"/>
          </w:rPr>
          <w:fldChar w:fldCharType="separate"/>
        </w:r>
        <w:r>
          <w:rPr>
            <w:rFonts w:asciiTheme="majorHAnsi" w:hAnsiTheme="majorHAnsi"/>
            <w:noProof/>
            <w:webHidden/>
            <w:sz w:val="20"/>
            <w:szCs w:val="20"/>
          </w:rPr>
          <w:t>22</w:t>
        </w:r>
        <w:r w:rsidR="005A4472" w:rsidRPr="005A4472">
          <w:rPr>
            <w:rFonts w:asciiTheme="majorHAnsi" w:hAnsiTheme="majorHAnsi"/>
            <w:noProof/>
            <w:webHidden/>
            <w:sz w:val="20"/>
            <w:szCs w:val="20"/>
          </w:rPr>
          <w:fldChar w:fldCharType="end"/>
        </w:r>
      </w:hyperlink>
    </w:p>
    <w:p w14:paraId="46A899F0" w14:textId="77777777" w:rsidR="008D768D" w:rsidRPr="0011380E" w:rsidRDefault="006125C3" w:rsidP="0011380E">
      <w:pPr>
        <w:tabs>
          <w:tab w:val="left" w:pos="720"/>
          <w:tab w:val="center" w:pos="5400"/>
        </w:tabs>
        <w:suppressAutoHyphens/>
        <w:spacing w:line="276" w:lineRule="auto"/>
        <w:rPr>
          <w:rFonts w:asciiTheme="majorHAnsi" w:hAnsiTheme="majorHAnsi"/>
          <w:sz w:val="20"/>
          <w:szCs w:val="20"/>
          <w:lang w:val="es-ES_tradnl"/>
        </w:rPr>
      </w:pPr>
      <w:r w:rsidRPr="005A4472">
        <w:rPr>
          <w:rFonts w:asciiTheme="majorHAnsi" w:hAnsiTheme="majorHAnsi"/>
          <w:sz w:val="20"/>
          <w:szCs w:val="20"/>
          <w:lang w:val="es-ES_tradnl"/>
        </w:rPr>
        <w:fldChar w:fldCharType="end"/>
      </w:r>
    </w:p>
    <w:p w14:paraId="4D2655B1" w14:textId="77777777" w:rsidR="00722C9F" w:rsidRPr="0011380E" w:rsidRDefault="00722C9F" w:rsidP="0011380E">
      <w:pPr>
        <w:tabs>
          <w:tab w:val="left" w:pos="720"/>
        </w:tabs>
        <w:rPr>
          <w:rFonts w:ascii="Cambria" w:hAnsi="Cambria" w:cs="Calibri"/>
          <w:sz w:val="20"/>
          <w:szCs w:val="20"/>
          <w:lang w:val="es-ES"/>
        </w:rPr>
      </w:pPr>
      <w:r w:rsidRPr="0011380E">
        <w:rPr>
          <w:rFonts w:ascii="Cambria" w:hAnsi="Cambria" w:cs="Calibri"/>
          <w:sz w:val="20"/>
          <w:szCs w:val="20"/>
          <w:lang w:val="es-ES"/>
        </w:rPr>
        <w:br w:type="page"/>
      </w:r>
    </w:p>
    <w:p w14:paraId="52B24868" w14:textId="77777777" w:rsidR="00D12193" w:rsidRPr="0011380E" w:rsidRDefault="00A03A30" w:rsidP="0011380E">
      <w:pPr>
        <w:pStyle w:val="Heading1"/>
        <w:ind w:left="0" w:firstLine="0"/>
        <w:rPr>
          <w:color w:val="auto"/>
        </w:rPr>
      </w:pPr>
      <w:bookmarkStart w:id="2" w:name="_Toc534884869"/>
      <w:bookmarkStart w:id="3" w:name="_Toc534884924"/>
      <w:bookmarkStart w:id="4" w:name="_Toc11750397"/>
      <w:r w:rsidRPr="0011380E">
        <w:rPr>
          <w:color w:val="auto"/>
        </w:rPr>
        <w:lastRenderedPageBreak/>
        <w:t>INTRODUCCIÓN</w:t>
      </w:r>
      <w:bookmarkEnd w:id="2"/>
      <w:bookmarkEnd w:id="3"/>
      <w:bookmarkEnd w:id="4"/>
    </w:p>
    <w:p w14:paraId="1C90A735" w14:textId="77777777" w:rsidR="005C4CA5" w:rsidRPr="0011380E" w:rsidRDefault="005C4CA5" w:rsidP="0011380E">
      <w:pPr>
        <w:suppressAutoHyphens/>
        <w:rPr>
          <w:rFonts w:asciiTheme="majorHAnsi" w:hAnsiTheme="majorHAnsi"/>
          <w:b/>
          <w:sz w:val="20"/>
          <w:szCs w:val="20"/>
          <w:lang w:val="es-ES_tradnl"/>
        </w:rPr>
      </w:pPr>
    </w:p>
    <w:p w14:paraId="746B6588" w14:textId="77777777" w:rsidR="009014A4" w:rsidRPr="0011380E" w:rsidRDefault="005C4CA5"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 xml:space="preserve">El </w:t>
      </w:r>
      <w:r w:rsidR="0058449C" w:rsidRPr="0011380E">
        <w:rPr>
          <w:rFonts w:asciiTheme="majorHAnsi" w:hAnsiTheme="majorHAnsi"/>
          <w:color w:val="auto"/>
          <w:szCs w:val="20"/>
          <w:lang w:val="es-VE"/>
        </w:rPr>
        <w:t>8</w:t>
      </w:r>
      <w:r w:rsidRPr="0011380E">
        <w:rPr>
          <w:rFonts w:asciiTheme="majorHAnsi" w:hAnsiTheme="majorHAnsi"/>
          <w:color w:val="auto"/>
          <w:szCs w:val="20"/>
          <w:lang w:val="es-VE"/>
        </w:rPr>
        <w:t xml:space="preserve"> de </w:t>
      </w:r>
      <w:r w:rsidR="0058449C" w:rsidRPr="0011380E">
        <w:rPr>
          <w:rFonts w:asciiTheme="majorHAnsi" w:hAnsiTheme="majorHAnsi"/>
          <w:color w:val="auto"/>
          <w:szCs w:val="20"/>
          <w:lang w:val="es-VE"/>
        </w:rPr>
        <w:t>enero</w:t>
      </w:r>
      <w:r w:rsidRPr="0011380E">
        <w:rPr>
          <w:rFonts w:asciiTheme="majorHAnsi" w:hAnsiTheme="majorHAnsi"/>
          <w:color w:val="auto"/>
          <w:szCs w:val="20"/>
          <w:lang w:val="es-VE"/>
        </w:rPr>
        <w:t xml:space="preserve"> de </w:t>
      </w:r>
      <w:r w:rsidR="0058449C" w:rsidRPr="0011380E">
        <w:rPr>
          <w:rFonts w:asciiTheme="majorHAnsi" w:hAnsiTheme="majorHAnsi"/>
          <w:color w:val="auto"/>
          <w:szCs w:val="20"/>
          <w:lang w:val="es-VE"/>
        </w:rPr>
        <w:t>2003</w:t>
      </w:r>
      <w:r w:rsidRPr="0011380E">
        <w:rPr>
          <w:rFonts w:asciiTheme="majorHAnsi" w:hAnsiTheme="majorHAnsi"/>
          <w:color w:val="auto"/>
          <w:szCs w:val="20"/>
          <w:lang w:val="es-VE"/>
        </w:rPr>
        <w:t xml:space="preserve"> la Comisión Interamericana de Derechos Humanos (en adelante “la Comisión Interamericana”, “la Comisión” o “la CIDH”) recibió una petición presentada por </w:t>
      </w:r>
      <w:r w:rsidR="00DC6F35" w:rsidRPr="0011380E">
        <w:rPr>
          <w:rFonts w:asciiTheme="majorHAnsi" w:hAnsiTheme="majorHAnsi"/>
          <w:color w:val="auto"/>
          <w:szCs w:val="20"/>
          <w:lang w:val="es-VE"/>
        </w:rPr>
        <w:t>Blas Valencia Campos y otras 25</w:t>
      </w:r>
      <w:r w:rsidR="0058449C" w:rsidRPr="0011380E">
        <w:rPr>
          <w:rFonts w:asciiTheme="majorHAnsi" w:hAnsiTheme="majorHAnsi"/>
          <w:color w:val="auto"/>
          <w:szCs w:val="20"/>
          <w:lang w:val="es-VE"/>
        </w:rPr>
        <w:t xml:space="preserve"> personas (en adelante </w:t>
      </w:r>
      <w:r w:rsidR="00406258" w:rsidRPr="0011380E">
        <w:rPr>
          <w:rFonts w:asciiTheme="majorHAnsi" w:hAnsiTheme="majorHAnsi"/>
          <w:color w:val="auto"/>
          <w:szCs w:val="20"/>
          <w:lang w:val="es-VE"/>
        </w:rPr>
        <w:t>“l</w:t>
      </w:r>
      <w:r w:rsidR="007C6B47" w:rsidRPr="0011380E">
        <w:rPr>
          <w:rFonts w:asciiTheme="majorHAnsi" w:hAnsiTheme="majorHAnsi"/>
          <w:color w:val="auto"/>
          <w:szCs w:val="20"/>
          <w:lang w:val="es-VE"/>
        </w:rPr>
        <w:t>a parte peticionaria</w:t>
      </w:r>
      <w:r w:rsidR="00406258" w:rsidRPr="0011380E">
        <w:rPr>
          <w:rFonts w:asciiTheme="majorHAnsi" w:hAnsiTheme="majorHAnsi"/>
          <w:color w:val="auto"/>
          <w:szCs w:val="20"/>
          <w:lang w:val="es-VE"/>
        </w:rPr>
        <w:t xml:space="preserve">” o </w:t>
      </w:r>
      <w:r w:rsidR="0058449C" w:rsidRPr="0011380E">
        <w:rPr>
          <w:rFonts w:asciiTheme="majorHAnsi" w:hAnsiTheme="majorHAnsi"/>
          <w:color w:val="auto"/>
          <w:szCs w:val="20"/>
          <w:lang w:val="es-VE"/>
        </w:rPr>
        <w:t>“las presuntas víctimas”)</w:t>
      </w:r>
      <w:r w:rsidR="00006DD2" w:rsidRPr="0011380E">
        <w:rPr>
          <w:rStyle w:val="FootnoteReference"/>
          <w:rFonts w:asciiTheme="majorHAnsi" w:hAnsiTheme="majorHAnsi"/>
          <w:color w:val="auto"/>
          <w:szCs w:val="20"/>
          <w:lang w:val="es-VE"/>
        </w:rPr>
        <w:footnoteReference w:id="2"/>
      </w:r>
      <w:r w:rsidR="00DC667A" w:rsidRPr="0011380E">
        <w:rPr>
          <w:rFonts w:asciiTheme="majorHAnsi" w:hAnsiTheme="majorHAnsi"/>
          <w:color w:val="auto"/>
          <w:szCs w:val="20"/>
          <w:lang w:val="es-VE"/>
        </w:rPr>
        <w:t>,</w:t>
      </w:r>
      <w:r w:rsidRPr="0011380E">
        <w:rPr>
          <w:rFonts w:asciiTheme="majorHAnsi" w:hAnsiTheme="majorHAnsi"/>
          <w:color w:val="auto"/>
          <w:szCs w:val="20"/>
          <w:lang w:val="es-VE"/>
        </w:rPr>
        <w:t xml:space="preserve"> en la cual se alega la responsabilidad internacional de</w:t>
      </w:r>
      <w:r w:rsidR="0058449C" w:rsidRPr="0011380E">
        <w:rPr>
          <w:rFonts w:asciiTheme="majorHAnsi" w:hAnsiTheme="majorHAnsi"/>
          <w:color w:val="auto"/>
          <w:szCs w:val="20"/>
          <w:lang w:val="es-VE"/>
        </w:rPr>
        <w:t>l Estado Plurinacional de Bolivia</w:t>
      </w:r>
      <w:r w:rsidRPr="0011380E">
        <w:rPr>
          <w:rFonts w:asciiTheme="majorHAnsi" w:hAnsiTheme="majorHAnsi"/>
          <w:color w:val="auto"/>
          <w:szCs w:val="20"/>
          <w:lang w:val="es-VE"/>
        </w:rPr>
        <w:t xml:space="preserve"> (en adelante “el Estado </w:t>
      </w:r>
      <w:r w:rsidR="0058449C" w:rsidRPr="0011380E">
        <w:rPr>
          <w:rFonts w:asciiTheme="majorHAnsi" w:hAnsiTheme="majorHAnsi"/>
          <w:color w:val="auto"/>
          <w:szCs w:val="20"/>
          <w:lang w:val="es-VE"/>
        </w:rPr>
        <w:t>boliviano</w:t>
      </w:r>
      <w:r w:rsidRPr="0011380E">
        <w:rPr>
          <w:rFonts w:asciiTheme="majorHAnsi" w:hAnsiTheme="majorHAnsi"/>
          <w:color w:val="auto"/>
          <w:szCs w:val="20"/>
          <w:lang w:val="es-VE"/>
        </w:rPr>
        <w:t>”, “el Estado” o “</w:t>
      </w:r>
      <w:r w:rsidR="0058449C" w:rsidRPr="0011380E">
        <w:rPr>
          <w:rFonts w:asciiTheme="majorHAnsi" w:hAnsiTheme="majorHAnsi"/>
          <w:color w:val="auto"/>
          <w:szCs w:val="20"/>
          <w:lang w:val="es-VE"/>
        </w:rPr>
        <w:t>Bolivia</w:t>
      </w:r>
      <w:r w:rsidRPr="0011380E">
        <w:rPr>
          <w:rFonts w:asciiTheme="majorHAnsi" w:hAnsiTheme="majorHAnsi"/>
          <w:color w:val="auto"/>
          <w:szCs w:val="20"/>
          <w:lang w:val="es-VE"/>
        </w:rPr>
        <w:t xml:space="preserve">”) </w:t>
      </w:r>
      <w:r w:rsidR="0032742E" w:rsidRPr="0011380E">
        <w:rPr>
          <w:rFonts w:asciiTheme="majorHAnsi" w:hAnsiTheme="majorHAnsi"/>
          <w:color w:val="auto"/>
          <w:szCs w:val="20"/>
          <w:lang w:val="es-VE"/>
        </w:rPr>
        <w:t xml:space="preserve">por </w:t>
      </w:r>
      <w:r w:rsidR="0058449C" w:rsidRPr="0011380E">
        <w:rPr>
          <w:rFonts w:asciiTheme="majorHAnsi" w:hAnsiTheme="majorHAnsi"/>
          <w:color w:val="auto"/>
          <w:szCs w:val="20"/>
          <w:lang w:val="es-VE"/>
        </w:rPr>
        <w:t>e</w:t>
      </w:r>
      <w:r w:rsidR="0032742E" w:rsidRPr="0011380E">
        <w:rPr>
          <w:rFonts w:asciiTheme="majorHAnsi" w:hAnsiTheme="majorHAnsi"/>
          <w:color w:val="auto"/>
          <w:szCs w:val="20"/>
          <w:lang w:val="es-VE"/>
        </w:rPr>
        <w:t>l alegad</w:t>
      </w:r>
      <w:r w:rsidR="0058449C" w:rsidRPr="0011380E">
        <w:rPr>
          <w:rFonts w:asciiTheme="majorHAnsi" w:hAnsiTheme="majorHAnsi"/>
          <w:color w:val="auto"/>
          <w:szCs w:val="20"/>
          <w:lang w:val="es-VE"/>
        </w:rPr>
        <w:t>o allanamiento ilegal de sus moradas</w:t>
      </w:r>
      <w:r w:rsidR="00E5217F" w:rsidRPr="0011380E">
        <w:rPr>
          <w:rFonts w:asciiTheme="majorHAnsi" w:hAnsiTheme="majorHAnsi"/>
          <w:color w:val="auto"/>
          <w:szCs w:val="20"/>
          <w:lang w:val="es-VE"/>
        </w:rPr>
        <w:t xml:space="preserve"> y</w:t>
      </w:r>
      <w:r w:rsidR="0058449C" w:rsidRPr="0011380E">
        <w:rPr>
          <w:rFonts w:asciiTheme="majorHAnsi" w:hAnsiTheme="majorHAnsi"/>
          <w:color w:val="auto"/>
          <w:szCs w:val="20"/>
          <w:lang w:val="es-VE"/>
        </w:rPr>
        <w:t xml:space="preserve"> actos de violencia excesiva por parte de agentes estatales</w:t>
      </w:r>
      <w:r w:rsidR="004D7791" w:rsidRPr="0011380E">
        <w:rPr>
          <w:rFonts w:asciiTheme="majorHAnsi" w:hAnsiTheme="majorHAnsi"/>
          <w:color w:val="auto"/>
          <w:szCs w:val="20"/>
          <w:lang w:val="es-VE"/>
        </w:rPr>
        <w:t xml:space="preserve"> </w:t>
      </w:r>
      <w:r w:rsidR="00DC667A" w:rsidRPr="0011380E">
        <w:rPr>
          <w:rFonts w:asciiTheme="majorHAnsi" w:hAnsiTheme="majorHAnsi"/>
          <w:color w:val="auto"/>
          <w:szCs w:val="20"/>
          <w:lang w:val="es-VE"/>
        </w:rPr>
        <w:t>-</w:t>
      </w:r>
      <w:r w:rsidR="004D7791" w:rsidRPr="0011380E">
        <w:rPr>
          <w:rFonts w:asciiTheme="majorHAnsi" w:hAnsiTheme="majorHAnsi"/>
          <w:color w:val="auto"/>
          <w:szCs w:val="20"/>
          <w:lang w:val="es-VE"/>
        </w:rPr>
        <w:t>incluyendo tortura, violencia sexual e incomunicación</w:t>
      </w:r>
      <w:r w:rsidR="00DC667A" w:rsidRPr="0011380E">
        <w:rPr>
          <w:rFonts w:asciiTheme="majorHAnsi" w:hAnsiTheme="majorHAnsi"/>
          <w:color w:val="auto"/>
          <w:szCs w:val="20"/>
          <w:lang w:val="es-VE"/>
        </w:rPr>
        <w:t>-</w:t>
      </w:r>
      <w:r w:rsidR="004D7791" w:rsidRPr="0011380E">
        <w:rPr>
          <w:rFonts w:asciiTheme="majorHAnsi" w:hAnsiTheme="majorHAnsi"/>
          <w:color w:val="auto"/>
          <w:szCs w:val="20"/>
          <w:lang w:val="es-VE"/>
        </w:rPr>
        <w:t xml:space="preserve"> durante </w:t>
      </w:r>
      <w:r w:rsidR="007C2A3A" w:rsidRPr="0011380E">
        <w:rPr>
          <w:rFonts w:asciiTheme="majorHAnsi" w:hAnsiTheme="majorHAnsi"/>
          <w:color w:val="auto"/>
          <w:szCs w:val="20"/>
          <w:lang w:val="es-VE"/>
        </w:rPr>
        <w:t>su</w:t>
      </w:r>
      <w:r w:rsidR="004D7791" w:rsidRPr="0011380E">
        <w:rPr>
          <w:rFonts w:asciiTheme="majorHAnsi" w:hAnsiTheme="majorHAnsi"/>
          <w:color w:val="auto"/>
          <w:szCs w:val="20"/>
          <w:lang w:val="es-VE"/>
        </w:rPr>
        <w:t xml:space="preserve"> captura y posterior detención</w:t>
      </w:r>
      <w:r w:rsidRPr="0011380E">
        <w:rPr>
          <w:rFonts w:asciiTheme="majorHAnsi" w:hAnsiTheme="majorHAnsi"/>
          <w:color w:val="auto"/>
          <w:szCs w:val="20"/>
          <w:lang w:val="es-VE"/>
        </w:rPr>
        <w:t xml:space="preserve">. </w:t>
      </w:r>
    </w:p>
    <w:p w14:paraId="572304F8" w14:textId="77777777" w:rsidR="009014A4" w:rsidRPr="0011380E" w:rsidRDefault="009014A4" w:rsidP="0011380E">
      <w:pPr>
        <w:pStyle w:val="ListParagraph"/>
        <w:numPr>
          <w:ilvl w:val="0"/>
          <w:numId w:val="0"/>
        </w:numPr>
        <w:rPr>
          <w:rFonts w:asciiTheme="majorHAnsi" w:hAnsiTheme="majorHAnsi"/>
          <w:color w:val="auto"/>
          <w:szCs w:val="20"/>
          <w:lang w:val="es-VE"/>
        </w:rPr>
      </w:pPr>
    </w:p>
    <w:p w14:paraId="758293F4" w14:textId="77777777" w:rsidR="009014A4" w:rsidRPr="0011380E" w:rsidRDefault="009014A4"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L</w:t>
      </w:r>
      <w:r w:rsidRPr="0011380E">
        <w:rPr>
          <w:rFonts w:asciiTheme="majorHAnsi" w:hAnsiTheme="majorHAnsi"/>
          <w:color w:val="auto"/>
          <w:szCs w:val="20"/>
          <w:lang w:val="es-ES_tradnl"/>
        </w:rPr>
        <w:t xml:space="preserve">a Comisión aprobó el informe de admisibilidad No. </w:t>
      </w:r>
      <w:r w:rsidR="00F07CE3" w:rsidRPr="0011380E">
        <w:rPr>
          <w:rFonts w:asciiTheme="majorHAnsi" w:hAnsiTheme="majorHAnsi"/>
          <w:color w:val="auto"/>
          <w:szCs w:val="20"/>
          <w:lang w:val="es-ES_tradnl"/>
        </w:rPr>
        <w:t>84</w:t>
      </w:r>
      <w:r w:rsidRPr="0011380E">
        <w:rPr>
          <w:rFonts w:asciiTheme="majorHAnsi" w:hAnsiTheme="majorHAnsi"/>
          <w:color w:val="auto"/>
          <w:szCs w:val="20"/>
          <w:lang w:val="es-ES_tradnl"/>
        </w:rPr>
        <w:t>/</w:t>
      </w:r>
      <w:r w:rsidR="00F07CE3" w:rsidRPr="0011380E">
        <w:rPr>
          <w:rFonts w:asciiTheme="majorHAnsi" w:hAnsiTheme="majorHAnsi"/>
          <w:color w:val="auto"/>
          <w:szCs w:val="20"/>
          <w:lang w:val="es-ES_tradnl"/>
        </w:rPr>
        <w:t>08</w:t>
      </w:r>
      <w:r w:rsidRPr="0011380E">
        <w:rPr>
          <w:rFonts w:asciiTheme="majorHAnsi" w:hAnsiTheme="majorHAnsi"/>
          <w:color w:val="auto"/>
          <w:szCs w:val="20"/>
          <w:lang w:val="es-ES_tradnl"/>
        </w:rPr>
        <w:t xml:space="preserve"> el </w:t>
      </w:r>
      <w:r w:rsidR="00F07CE3" w:rsidRPr="0011380E">
        <w:rPr>
          <w:rFonts w:asciiTheme="majorHAnsi" w:hAnsiTheme="majorHAnsi"/>
          <w:color w:val="auto"/>
          <w:szCs w:val="20"/>
          <w:lang w:val="es-ES_tradnl"/>
        </w:rPr>
        <w:t>30</w:t>
      </w:r>
      <w:r w:rsidRPr="0011380E">
        <w:rPr>
          <w:rFonts w:asciiTheme="majorHAnsi" w:hAnsiTheme="majorHAnsi"/>
          <w:color w:val="auto"/>
          <w:szCs w:val="20"/>
          <w:lang w:val="es-ES_tradnl"/>
        </w:rPr>
        <w:t xml:space="preserve"> de </w:t>
      </w:r>
      <w:r w:rsidR="00F07CE3" w:rsidRPr="0011380E">
        <w:rPr>
          <w:rFonts w:asciiTheme="majorHAnsi" w:hAnsiTheme="majorHAnsi"/>
          <w:color w:val="auto"/>
          <w:szCs w:val="20"/>
          <w:lang w:val="es-ES_tradnl"/>
        </w:rPr>
        <w:t>octubre</w:t>
      </w:r>
      <w:r w:rsidRPr="0011380E">
        <w:rPr>
          <w:rFonts w:asciiTheme="majorHAnsi" w:hAnsiTheme="majorHAnsi"/>
          <w:color w:val="auto"/>
          <w:szCs w:val="20"/>
          <w:lang w:val="es-ES_tradnl"/>
        </w:rPr>
        <w:t xml:space="preserve"> de </w:t>
      </w:r>
      <w:r w:rsidR="00F07CE3" w:rsidRPr="0011380E">
        <w:rPr>
          <w:rFonts w:asciiTheme="majorHAnsi" w:hAnsiTheme="majorHAnsi"/>
          <w:color w:val="auto"/>
          <w:szCs w:val="20"/>
          <w:lang w:val="es-ES_tradnl"/>
        </w:rPr>
        <w:t>2008</w:t>
      </w:r>
      <w:r w:rsidRPr="0011380E">
        <w:rPr>
          <w:rStyle w:val="FootnoteReference"/>
          <w:rFonts w:asciiTheme="majorHAnsi" w:hAnsiTheme="majorHAnsi"/>
          <w:color w:val="auto"/>
          <w:szCs w:val="20"/>
          <w:lang w:val="es-ES_tradnl"/>
        </w:rPr>
        <w:footnoteReference w:id="3"/>
      </w:r>
      <w:r w:rsidR="00AF7988"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 xml:space="preserve">El </w:t>
      </w:r>
      <w:r w:rsidR="00570AD5" w:rsidRPr="0011380E">
        <w:rPr>
          <w:rFonts w:asciiTheme="majorHAnsi" w:hAnsiTheme="majorHAnsi"/>
          <w:color w:val="auto"/>
          <w:szCs w:val="20"/>
          <w:lang w:val="es-ES_tradnl"/>
        </w:rPr>
        <w:t>11</w:t>
      </w:r>
      <w:r w:rsidRPr="0011380E">
        <w:rPr>
          <w:rFonts w:asciiTheme="majorHAnsi" w:hAnsiTheme="majorHAnsi"/>
          <w:color w:val="auto"/>
          <w:szCs w:val="20"/>
          <w:lang w:val="es-ES_tradnl"/>
        </w:rPr>
        <w:t xml:space="preserve"> de </w:t>
      </w:r>
      <w:r w:rsidR="00570AD5" w:rsidRPr="0011380E">
        <w:rPr>
          <w:rFonts w:asciiTheme="majorHAnsi" w:hAnsiTheme="majorHAnsi"/>
          <w:color w:val="auto"/>
          <w:szCs w:val="20"/>
          <w:lang w:val="es-ES_tradnl"/>
        </w:rPr>
        <w:t>noviembre</w:t>
      </w:r>
      <w:r w:rsidRPr="0011380E">
        <w:rPr>
          <w:rFonts w:asciiTheme="majorHAnsi" w:hAnsiTheme="majorHAnsi"/>
          <w:color w:val="auto"/>
          <w:szCs w:val="20"/>
          <w:lang w:val="es-ES_tradnl"/>
        </w:rPr>
        <w:t xml:space="preserve"> de </w:t>
      </w:r>
      <w:r w:rsidR="00570AD5" w:rsidRPr="0011380E">
        <w:rPr>
          <w:rFonts w:asciiTheme="majorHAnsi" w:hAnsiTheme="majorHAnsi"/>
          <w:color w:val="auto"/>
          <w:szCs w:val="20"/>
          <w:lang w:val="es-ES_tradnl"/>
        </w:rPr>
        <w:t>2008</w:t>
      </w:r>
      <w:r w:rsidRPr="0011380E">
        <w:rPr>
          <w:rFonts w:asciiTheme="majorHAnsi" w:hAnsiTheme="majorHAnsi"/>
          <w:color w:val="auto"/>
          <w:szCs w:val="20"/>
          <w:lang w:val="es-ES_tradnl"/>
        </w:rPr>
        <w:t xml:space="preserve"> la Comisión notificó dicho informe a las partes y se puso a su disposición a fin de </w:t>
      </w:r>
      <w:r w:rsidR="00144470" w:rsidRPr="0011380E">
        <w:rPr>
          <w:rFonts w:asciiTheme="majorHAnsi" w:hAnsiTheme="majorHAnsi"/>
          <w:color w:val="auto"/>
          <w:szCs w:val="20"/>
          <w:lang w:val="es-ES_tradnl"/>
        </w:rPr>
        <w:t>arribar a</w:t>
      </w:r>
      <w:r w:rsidRPr="0011380E">
        <w:rPr>
          <w:rFonts w:asciiTheme="majorHAnsi" w:hAnsiTheme="majorHAnsi"/>
          <w:color w:val="auto"/>
          <w:szCs w:val="20"/>
          <w:lang w:val="es-ES_tradnl"/>
        </w:rPr>
        <w:t xml:space="preserve"> una solución amistosa</w:t>
      </w:r>
      <w:r w:rsidR="00B0179B" w:rsidRPr="0011380E">
        <w:rPr>
          <w:rFonts w:asciiTheme="majorHAnsi" w:hAnsiTheme="majorHAnsi"/>
          <w:color w:val="auto"/>
          <w:szCs w:val="20"/>
          <w:lang w:val="es-ES_tradnl"/>
        </w:rPr>
        <w:t>.</w:t>
      </w:r>
      <w:r w:rsidR="00293EB1" w:rsidRPr="0011380E">
        <w:rPr>
          <w:rFonts w:asciiTheme="majorHAnsi" w:hAnsiTheme="majorHAnsi"/>
          <w:color w:val="auto"/>
          <w:szCs w:val="20"/>
          <w:lang w:val="es-ES_tradnl"/>
        </w:rPr>
        <w:t xml:space="preserve"> Sin embargo, no se dieron las condiciones para iniciar dicho proce</w:t>
      </w:r>
      <w:r w:rsidR="005C5C9B" w:rsidRPr="0011380E">
        <w:rPr>
          <w:rFonts w:asciiTheme="majorHAnsi" w:hAnsiTheme="majorHAnsi"/>
          <w:color w:val="auto"/>
          <w:szCs w:val="20"/>
          <w:lang w:val="es-ES_tradnl"/>
        </w:rPr>
        <w:t>di</w:t>
      </w:r>
      <w:r w:rsidR="00293EB1" w:rsidRPr="0011380E">
        <w:rPr>
          <w:rFonts w:asciiTheme="majorHAnsi" w:hAnsiTheme="majorHAnsi"/>
          <w:color w:val="auto"/>
          <w:szCs w:val="20"/>
          <w:lang w:val="es-ES_tradnl"/>
        </w:rPr>
        <w:t>miento</w:t>
      </w:r>
      <w:r w:rsidRPr="0011380E">
        <w:rPr>
          <w:rFonts w:asciiTheme="majorHAnsi" w:hAnsiTheme="majorHAnsi"/>
          <w:color w:val="auto"/>
          <w:szCs w:val="20"/>
          <w:lang w:val="es-ES_tradnl"/>
        </w:rPr>
        <w:t>. Las partes contaron con los plazos reglamentarios para presentar sus observaciones adicionales sobre el fondo.</w:t>
      </w:r>
      <w:r w:rsidR="008C3098" w:rsidRPr="0011380E">
        <w:rPr>
          <w:rFonts w:asciiTheme="majorHAnsi" w:hAnsiTheme="majorHAnsi"/>
          <w:color w:val="auto"/>
          <w:szCs w:val="20"/>
          <w:lang w:val="es-ES_tradnl"/>
        </w:rPr>
        <w:t xml:space="preserve"> </w:t>
      </w:r>
      <w:r w:rsidR="00E5217F" w:rsidRPr="0011380E">
        <w:rPr>
          <w:rFonts w:asciiTheme="majorHAnsi" w:hAnsiTheme="majorHAnsi"/>
          <w:color w:val="auto"/>
          <w:szCs w:val="20"/>
          <w:lang w:val="es-ES_tradnl"/>
        </w:rPr>
        <w:t>Algunos de l</w:t>
      </w:r>
      <w:r w:rsidR="00307F8D" w:rsidRPr="0011380E">
        <w:rPr>
          <w:rFonts w:asciiTheme="majorHAnsi" w:hAnsiTheme="majorHAnsi"/>
          <w:color w:val="auto"/>
          <w:szCs w:val="20"/>
          <w:lang w:val="es-ES_tradnl"/>
        </w:rPr>
        <w:t>os peticionarios presenta</w:t>
      </w:r>
      <w:r w:rsidR="003176D2" w:rsidRPr="0011380E">
        <w:rPr>
          <w:rFonts w:asciiTheme="majorHAnsi" w:hAnsiTheme="majorHAnsi"/>
          <w:color w:val="auto"/>
          <w:szCs w:val="20"/>
          <w:lang w:val="es-ES_tradnl"/>
        </w:rPr>
        <w:t xml:space="preserve">ron sus observaciones con fecha </w:t>
      </w:r>
      <w:r w:rsidR="00A56290" w:rsidRPr="0011380E">
        <w:rPr>
          <w:rFonts w:asciiTheme="majorHAnsi" w:hAnsiTheme="majorHAnsi"/>
          <w:color w:val="auto"/>
          <w:szCs w:val="20"/>
          <w:lang w:val="es-ES_tradnl"/>
        </w:rPr>
        <w:t>9 de enero de 2009</w:t>
      </w:r>
      <w:r w:rsidR="00A56290" w:rsidRPr="0011380E">
        <w:rPr>
          <w:rStyle w:val="FootnoteReference"/>
          <w:rFonts w:asciiTheme="majorHAnsi" w:hAnsiTheme="majorHAnsi"/>
          <w:color w:val="auto"/>
          <w:szCs w:val="20"/>
          <w:lang w:val="es-ES_tradnl"/>
        </w:rPr>
        <w:footnoteReference w:id="4"/>
      </w:r>
      <w:r w:rsidR="00A56290" w:rsidRPr="0011380E">
        <w:rPr>
          <w:rFonts w:asciiTheme="majorHAnsi" w:hAnsiTheme="majorHAnsi"/>
          <w:color w:val="auto"/>
          <w:szCs w:val="20"/>
          <w:lang w:val="es-ES_tradnl"/>
        </w:rPr>
        <w:t>, 23 de febrero de 2009</w:t>
      </w:r>
      <w:r w:rsidR="00A56290" w:rsidRPr="0011380E">
        <w:rPr>
          <w:rStyle w:val="FootnoteReference"/>
          <w:rFonts w:asciiTheme="majorHAnsi" w:hAnsiTheme="majorHAnsi"/>
          <w:color w:val="auto"/>
          <w:szCs w:val="20"/>
          <w:lang w:val="es-ES_tradnl"/>
        </w:rPr>
        <w:footnoteReference w:id="5"/>
      </w:r>
      <w:r w:rsidR="00A56290" w:rsidRPr="0011380E">
        <w:rPr>
          <w:rFonts w:asciiTheme="majorHAnsi" w:hAnsiTheme="majorHAnsi"/>
          <w:color w:val="auto"/>
          <w:szCs w:val="20"/>
          <w:lang w:val="es-ES_tradnl"/>
        </w:rPr>
        <w:t xml:space="preserve"> y </w:t>
      </w:r>
      <w:r w:rsidR="003176D2" w:rsidRPr="0011380E">
        <w:rPr>
          <w:rFonts w:asciiTheme="majorHAnsi" w:hAnsiTheme="majorHAnsi"/>
          <w:color w:val="auto"/>
          <w:szCs w:val="20"/>
          <w:lang w:val="es-ES_tradnl"/>
        </w:rPr>
        <w:t>14 de enero de 2015</w:t>
      </w:r>
      <w:r w:rsidR="003176D2" w:rsidRPr="0011380E">
        <w:rPr>
          <w:rStyle w:val="FootnoteReference"/>
          <w:rFonts w:asciiTheme="majorHAnsi" w:hAnsiTheme="majorHAnsi"/>
          <w:color w:val="auto"/>
          <w:szCs w:val="20"/>
          <w:lang w:val="es-ES_tradnl"/>
        </w:rPr>
        <w:footnoteReference w:id="6"/>
      </w:r>
      <w:r w:rsidR="003176D2" w:rsidRPr="0011380E">
        <w:rPr>
          <w:rFonts w:asciiTheme="majorHAnsi" w:hAnsiTheme="majorHAnsi"/>
          <w:color w:val="auto"/>
          <w:szCs w:val="20"/>
          <w:lang w:val="es-ES_tradnl"/>
        </w:rPr>
        <w:t xml:space="preserve">. El Estado presentó sus observaciones sobre el fondo con fecha 31 de octubre de 2016. </w:t>
      </w:r>
      <w:r w:rsidRPr="0011380E">
        <w:rPr>
          <w:rFonts w:asciiTheme="majorHAnsi" w:hAnsiTheme="majorHAnsi"/>
          <w:color w:val="auto"/>
          <w:szCs w:val="20"/>
          <w:lang w:val="es-ES_tradnl"/>
        </w:rPr>
        <w:t xml:space="preserve">Toda la información recibida fue debidamente trasladada entre las partes. </w:t>
      </w:r>
    </w:p>
    <w:p w14:paraId="2D72ED21" w14:textId="77777777" w:rsidR="009014A4" w:rsidRPr="0011380E" w:rsidRDefault="009014A4" w:rsidP="0011380E">
      <w:pPr>
        <w:tabs>
          <w:tab w:val="left" w:pos="720"/>
          <w:tab w:val="left" w:pos="1440"/>
        </w:tabs>
        <w:suppressAutoHyphens/>
        <w:jc w:val="both"/>
        <w:rPr>
          <w:rFonts w:asciiTheme="majorHAnsi" w:hAnsiTheme="majorHAnsi"/>
          <w:sz w:val="20"/>
          <w:szCs w:val="20"/>
          <w:lang w:val="es-VE"/>
        </w:rPr>
      </w:pPr>
    </w:p>
    <w:p w14:paraId="2CFFDDA3" w14:textId="77777777" w:rsidR="00A4478F" w:rsidRDefault="00D12193" w:rsidP="00A4478F">
      <w:pPr>
        <w:pStyle w:val="Heading1"/>
        <w:ind w:left="0" w:firstLine="0"/>
        <w:rPr>
          <w:color w:val="auto"/>
        </w:rPr>
      </w:pPr>
      <w:bookmarkStart w:id="5" w:name="_Toc11750398"/>
      <w:r w:rsidRPr="0011380E">
        <w:rPr>
          <w:color w:val="auto"/>
        </w:rPr>
        <w:t>ALEGATOS DE LAS PARTES</w:t>
      </w:r>
      <w:bookmarkEnd w:id="5"/>
    </w:p>
    <w:p w14:paraId="6EE6771A" w14:textId="77777777" w:rsidR="005F3D64" w:rsidRPr="005F3D64" w:rsidRDefault="005F3D64" w:rsidP="005F3D64">
      <w:pPr>
        <w:rPr>
          <w:lang w:val="es-ES_tradnl" w:eastAsia="es-ES"/>
        </w:rPr>
      </w:pPr>
    </w:p>
    <w:p w14:paraId="1A7405D3" w14:textId="77777777" w:rsidR="00D12193" w:rsidRPr="0011380E" w:rsidRDefault="0022273F" w:rsidP="005F3D64">
      <w:pPr>
        <w:pStyle w:val="Heading2"/>
        <w:ind w:left="720" w:hanging="720"/>
        <w:rPr>
          <w:lang w:val="es-ES_tradnl"/>
        </w:rPr>
      </w:pPr>
      <w:bookmarkStart w:id="6" w:name="_Toc11750399"/>
      <w:r w:rsidRPr="0011380E">
        <w:rPr>
          <w:lang w:val="es-ES_tradnl"/>
        </w:rPr>
        <w:t xml:space="preserve">Parte </w:t>
      </w:r>
      <w:r w:rsidRPr="00D6752C">
        <w:t>peticionaria</w:t>
      </w:r>
      <w:bookmarkEnd w:id="6"/>
      <w:r w:rsidRPr="0011380E">
        <w:rPr>
          <w:lang w:val="es-ES_tradnl"/>
        </w:rPr>
        <w:t xml:space="preserve"> </w:t>
      </w:r>
    </w:p>
    <w:p w14:paraId="70104059" w14:textId="77777777" w:rsidR="0064044A" w:rsidRPr="0011380E" w:rsidRDefault="0064044A" w:rsidP="0011380E">
      <w:pPr>
        <w:pStyle w:val="ListParagraph"/>
        <w:numPr>
          <w:ilvl w:val="0"/>
          <w:numId w:val="0"/>
        </w:numPr>
        <w:rPr>
          <w:rFonts w:asciiTheme="majorHAnsi" w:hAnsiTheme="majorHAnsi"/>
          <w:color w:val="auto"/>
          <w:szCs w:val="20"/>
          <w:lang w:val="es-VE"/>
        </w:rPr>
      </w:pPr>
    </w:p>
    <w:p w14:paraId="3A818839" w14:textId="77777777" w:rsidR="00166189" w:rsidRPr="0011380E" w:rsidRDefault="00D04CA5"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L</w:t>
      </w:r>
      <w:r w:rsidR="00037C6D" w:rsidRPr="0011380E">
        <w:rPr>
          <w:rFonts w:asciiTheme="majorHAnsi" w:hAnsiTheme="majorHAnsi"/>
          <w:color w:val="auto"/>
          <w:szCs w:val="20"/>
          <w:lang w:val="es-VE"/>
        </w:rPr>
        <w:t>a</w:t>
      </w:r>
      <w:r w:rsidRPr="0011380E">
        <w:rPr>
          <w:rFonts w:asciiTheme="majorHAnsi" w:hAnsiTheme="majorHAnsi"/>
          <w:color w:val="auto"/>
          <w:szCs w:val="20"/>
          <w:lang w:val="es-VE"/>
        </w:rPr>
        <w:t xml:space="preserve"> p</w:t>
      </w:r>
      <w:r w:rsidR="00037C6D" w:rsidRPr="0011380E">
        <w:rPr>
          <w:rFonts w:asciiTheme="majorHAnsi" w:hAnsiTheme="majorHAnsi"/>
          <w:color w:val="auto"/>
          <w:szCs w:val="20"/>
          <w:lang w:val="es-VE"/>
        </w:rPr>
        <w:t>arte p</w:t>
      </w:r>
      <w:r w:rsidRPr="0011380E">
        <w:rPr>
          <w:rFonts w:asciiTheme="majorHAnsi" w:hAnsiTheme="majorHAnsi"/>
          <w:color w:val="auto"/>
          <w:szCs w:val="20"/>
          <w:lang w:val="es-VE"/>
        </w:rPr>
        <w:t>eticionari</w:t>
      </w:r>
      <w:r w:rsidR="00431AE0" w:rsidRPr="0011380E">
        <w:rPr>
          <w:rFonts w:asciiTheme="majorHAnsi" w:hAnsiTheme="majorHAnsi"/>
          <w:color w:val="auto"/>
          <w:szCs w:val="20"/>
          <w:lang w:val="es-VE"/>
        </w:rPr>
        <w:t>a</w:t>
      </w:r>
      <w:r w:rsidRPr="0011380E">
        <w:rPr>
          <w:rFonts w:asciiTheme="majorHAnsi" w:hAnsiTheme="majorHAnsi"/>
          <w:color w:val="auto"/>
          <w:szCs w:val="20"/>
          <w:lang w:val="es-VE"/>
        </w:rPr>
        <w:t xml:space="preserve"> a</w:t>
      </w:r>
      <w:r w:rsidR="0079704C" w:rsidRPr="0011380E">
        <w:rPr>
          <w:rFonts w:asciiTheme="majorHAnsi" w:hAnsiTheme="majorHAnsi"/>
          <w:color w:val="auto"/>
          <w:szCs w:val="20"/>
          <w:lang w:val="es-VE"/>
        </w:rPr>
        <w:t xml:space="preserve">lega que, tras el asalto </w:t>
      </w:r>
      <w:r w:rsidR="003176D2" w:rsidRPr="0011380E">
        <w:rPr>
          <w:rFonts w:asciiTheme="majorHAnsi" w:hAnsiTheme="majorHAnsi"/>
          <w:color w:val="auto"/>
          <w:szCs w:val="20"/>
          <w:lang w:val="es-VE"/>
        </w:rPr>
        <w:t xml:space="preserve">a una furgoneta de </w:t>
      </w:r>
      <w:r w:rsidR="003924B6" w:rsidRPr="0011380E">
        <w:rPr>
          <w:rFonts w:asciiTheme="majorHAnsi" w:hAnsiTheme="majorHAnsi"/>
          <w:color w:val="auto"/>
          <w:szCs w:val="20"/>
          <w:lang w:val="es-VE"/>
        </w:rPr>
        <w:t xml:space="preserve">Prosegur </w:t>
      </w:r>
      <w:r w:rsidR="00DF6D91" w:rsidRPr="0011380E">
        <w:rPr>
          <w:rFonts w:asciiTheme="majorHAnsi" w:hAnsiTheme="majorHAnsi"/>
          <w:color w:val="auto"/>
          <w:szCs w:val="20"/>
          <w:lang w:val="es-VE"/>
        </w:rPr>
        <w:t>ocurrido el 14 de diciembre de 2001 alrededor de las 8:30</w:t>
      </w:r>
      <w:r w:rsidR="003176D2" w:rsidRPr="0011380E">
        <w:rPr>
          <w:rFonts w:asciiTheme="majorHAnsi" w:hAnsiTheme="majorHAnsi"/>
          <w:color w:val="auto"/>
          <w:szCs w:val="20"/>
          <w:lang w:val="es-VE"/>
        </w:rPr>
        <w:t xml:space="preserve"> </w:t>
      </w:r>
      <w:r w:rsidR="00DF6D91" w:rsidRPr="0011380E">
        <w:rPr>
          <w:rFonts w:asciiTheme="majorHAnsi" w:hAnsiTheme="majorHAnsi"/>
          <w:color w:val="auto"/>
          <w:szCs w:val="20"/>
          <w:lang w:val="es-VE"/>
        </w:rPr>
        <w:t>am</w:t>
      </w:r>
      <w:r w:rsidR="00144470" w:rsidRPr="0011380E">
        <w:rPr>
          <w:rFonts w:asciiTheme="majorHAnsi" w:hAnsiTheme="majorHAnsi"/>
          <w:color w:val="auto"/>
          <w:szCs w:val="20"/>
          <w:lang w:val="es-VE"/>
        </w:rPr>
        <w:t>,</w:t>
      </w:r>
      <w:r w:rsidR="00CD05AD" w:rsidRPr="0011380E">
        <w:rPr>
          <w:rFonts w:asciiTheme="majorHAnsi" w:hAnsiTheme="majorHAnsi"/>
          <w:color w:val="auto"/>
          <w:szCs w:val="20"/>
          <w:lang w:val="es-VE"/>
        </w:rPr>
        <w:t xml:space="preserve"> en el que se sospechaba su participación</w:t>
      </w:r>
      <w:r w:rsidR="00144470" w:rsidRPr="0011380E">
        <w:rPr>
          <w:rFonts w:asciiTheme="majorHAnsi" w:hAnsiTheme="majorHAnsi"/>
          <w:color w:val="auto"/>
          <w:szCs w:val="20"/>
          <w:lang w:val="es-VE"/>
        </w:rPr>
        <w:t xml:space="preserve">, </w:t>
      </w:r>
      <w:r w:rsidR="0079704C" w:rsidRPr="0011380E">
        <w:rPr>
          <w:rFonts w:asciiTheme="majorHAnsi" w:hAnsiTheme="majorHAnsi"/>
          <w:color w:val="auto"/>
          <w:szCs w:val="20"/>
          <w:lang w:val="es-VE"/>
        </w:rPr>
        <w:t>cerca</w:t>
      </w:r>
      <w:r w:rsidR="00CD05AD" w:rsidRPr="0011380E">
        <w:rPr>
          <w:rFonts w:asciiTheme="majorHAnsi" w:hAnsiTheme="majorHAnsi"/>
          <w:color w:val="auto"/>
          <w:szCs w:val="20"/>
          <w:lang w:val="es-VE"/>
        </w:rPr>
        <w:t xml:space="preserve"> </w:t>
      </w:r>
      <w:r w:rsidR="0079704C" w:rsidRPr="0011380E">
        <w:rPr>
          <w:rFonts w:asciiTheme="majorHAnsi" w:hAnsiTheme="majorHAnsi"/>
          <w:color w:val="auto"/>
          <w:szCs w:val="20"/>
          <w:lang w:val="es-VE"/>
        </w:rPr>
        <w:t>de las 3</w:t>
      </w:r>
      <w:r w:rsidR="00CD05AD" w:rsidRPr="0011380E">
        <w:rPr>
          <w:rFonts w:asciiTheme="majorHAnsi" w:hAnsiTheme="majorHAnsi"/>
          <w:color w:val="auto"/>
          <w:szCs w:val="20"/>
          <w:lang w:val="es-VE"/>
        </w:rPr>
        <w:t xml:space="preserve">:00 </w:t>
      </w:r>
      <w:r w:rsidR="0079704C" w:rsidRPr="0011380E">
        <w:rPr>
          <w:rFonts w:asciiTheme="majorHAnsi" w:hAnsiTheme="majorHAnsi"/>
          <w:color w:val="auto"/>
          <w:szCs w:val="20"/>
          <w:lang w:val="es-VE"/>
        </w:rPr>
        <w:t>am del 18 de diciembre de</w:t>
      </w:r>
      <w:r w:rsidR="00DF6D91" w:rsidRPr="0011380E">
        <w:rPr>
          <w:rFonts w:asciiTheme="majorHAnsi" w:hAnsiTheme="majorHAnsi"/>
          <w:color w:val="auto"/>
          <w:szCs w:val="20"/>
          <w:lang w:val="es-VE"/>
        </w:rPr>
        <w:t xml:space="preserve"> 2001 sus viviendas fueron allanadas por </w:t>
      </w:r>
      <w:r w:rsidR="003F330D" w:rsidRPr="0011380E">
        <w:rPr>
          <w:rFonts w:asciiTheme="majorHAnsi" w:hAnsiTheme="majorHAnsi"/>
          <w:color w:val="auto"/>
          <w:szCs w:val="20"/>
          <w:lang w:val="es-VE"/>
        </w:rPr>
        <w:t xml:space="preserve">un alto </w:t>
      </w:r>
      <w:r w:rsidR="00DF6D91" w:rsidRPr="0011380E">
        <w:rPr>
          <w:rFonts w:asciiTheme="majorHAnsi" w:hAnsiTheme="majorHAnsi"/>
          <w:color w:val="auto"/>
          <w:szCs w:val="20"/>
          <w:lang w:val="es-VE"/>
        </w:rPr>
        <w:t>n</w:t>
      </w:r>
      <w:r w:rsidR="003F330D" w:rsidRPr="0011380E">
        <w:rPr>
          <w:rFonts w:asciiTheme="majorHAnsi" w:hAnsiTheme="majorHAnsi"/>
          <w:color w:val="auto"/>
          <w:szCs w:val="20"/>
          <w:lang w:val="es-VE"/>
        </w:rPr>
        <w:t>úmero de</w:t>
      </w:r>
      <w:r w:rsidR="00DF6D91" w:rsidRPr="0011380E">
        <w:rPr>
          <w:rFonts w:asciiTheme="majorHAnsi" w:hAnsiTheme="majorHAnsi"/>
          <w:color w:val="auto"/>
          <w:szCs w:val="20"/>
          <w:lang w:val="es-VE"/>
        </w:rPr>
        <w:t xml:space="preserve"> agentes </w:t>
      </w:r>
      <w:r w:rsidR="00B70D71" w:rsidRPr="0011380E">
        <w:rPr>
          <w:rFonts w:asciiTheme="majorHAnsi" w:hAnsiTheme="majorHAnsi"/>
          <w:color w:val="auto"/>
          <w:szCs w:val="20"/>
          <w:lang w:val="es-VE"/>
        </w:rPr>
        <w:t>estatales</w:t>
      </w:r>
      <w:r w:rsidR="00DF6D91" w:rsidRPr="0011380E">
        <w:rPr>
          <w:rFonts w:asciiTheme="majorHAnsi" w:hAnsiTheme="majorHAnsi"/>
          <w:color w:val="auto"/>
          <w:szCs w:val="20"/>
          <w:lang w:val="es-VE"/>
        </w:rPr>
        <w:t xml:space="preserve"> fuertemente armados</w:t>
      </w:r>
      <w:r w:rsidR="00CD05AD" w:rsidRPr="0011380E">
        <w:rPr>
          <w:rFonts w:asciiTheme="majorHAnsi" w:hAnsiTheme="majorHAnsi"/>
          <w:color w:val="auto"/>
          <w:szCs w:val="20"/>
          <w:lang w:val="es-VE"/>
        </w:rPr>
        <w:t>,</w:t>
      </w:r>
      <w:r w:rsidR="0079704C" w:rsidRPr="0011380E">
        <w:rPr>
          <w:rFonts w:asciiTheme="majorHAnsi" w:hAnsiTheme="majorHAnsi"/>
          <w:color w:val="auto"/>
          <w:szCs w:val="20"/>
          <w:lang w:val="es-VE"/>
        </w:rPr>
        <w:t xml:space="preserve"> </w:t>
      </w:r>
      <w:r w:rsidR="00DF6D91" w:rsidRPr="0011380E">
        <w:rPr>
          <w:rFonts w:asciiTheme="majorHAnsi" w:hAnsiTheme="majorHAnsi"/>
          <w:color w:val="auto"/>
          <w:szCs w:val="20"/>
          <w:lang w:val="es-VE"/>
        </w:rPr>
        <w:t>quienes ejercieron violencia excesiva</w:t>
      </w:r>
      <w:r w:rsidR="007D4295" w:rsidRPr="0011380E">
        <w:rPr>
          <w:rFonts w:asciiTheme="majorHAnsi" w:hAnsiTheme="majorHAnsi"/>
          <w:color w:val="auto"/>
          <w:szCs w:val="20"/>
          <w:lang w:val="es-VE"/>
        </w:rPr>
        <w:t xml:space="preserve"> durante </w:t>
      </w:r>
      <w:r w:rsidR="00EA6831" w:rsidRPr="0011380E">
        <w:rPr>
          <w:rFonts w:asciiTheme="majorHAnsi" w:hAnsiTheme="majorHAnsi"/>
          <w:color w:val="auto"/>
          <w:szCs w:val="20"/>
          <w:lang w:val="es-VE"/>
        </w:rPr>
        <w:t>su</w:t>
      </w:r>
      <w:r w:rsidR="007D4295" w:rsidRPr="0011380E">
        <w:rPr>
          <w:rFonts w:asciiTheme="majorHAnsi" w:hAnsiTheme="majorHAnsi"/>
          <w:color w:val="auto"/>
          <w:szCs w:val="20"/>
          <w:lang w:val="es-VE"/>
        </w:rPr>
        <w:t xml:space="preserve"> captura y posterior detención</w:t>
      </w:r>
      <w:r w:rsidR="003F330D" w:rsidRPr="0011380E">
        <w:rPr>
          <w:rFonts w:asciiTheme="majorHAnsi" w:hAnsiTheme="majorHAnsi"/>
          <w:color w:val="auto"/>
          <w:szCs w:val="20"/>
          <w:lang w:val="es-VE"/>
        </w:rPr>
        <w:t>,</w:t>
      </w:r>
      <w:r w:rsidR="007D4295" w:rsidRPr="0011380E">
        <w:rPr>
          <w:rFonts w:asciiTheme="majorHAnsi" w:hAnsiTheme="majorHAnsi"/>
          <w:color w:val="auto"/>
          <w:szCs w:val="20"/>
          <w:lang w:val="es-VE"/>
        </w:rPr>
        <w:t xml:space="preserve"> a fin de obtener confesiones e información sobre su participación en el atraco.</w:t>
      </w:r>
      <w:r w:rsidR="00DF6D91" w:rsidRPr="0011380E">
        <w:rPr>
          <w:rFonts w:asciiTheme="majorHAnsi" w:hAnsiTheme="majorHAnsi"/>
          <w:color w:val="auto"/>
          <w:szCs w:val="20"/>
          <w:lang w:val="es-VE"/>
        </w:rPr>
        <w:t xml:space="preserve"> </w:t>
      </w:r>
      <w:r w:rsidR="00733500" w:rsidRPr="0011380E">
        <w:rPr>
          <w:rFonts w:asciiTheme="majorHAnsi" w:hAnsiTheme="majorHAnsi"/>
          <w:color w:val="auto"/>
          <w:szCs w:val="20"/>
          <w:lang w:val="es-VE"/>
        </w:rPr>
        <w:t>H</w:t>
      </w:r>
      <w:r w:rsidR="003F330D" w:rsidRPr="0011380E">
        <w:rPr>
          <w:rFonts w:asciiTheme="majorHAnsi" w:hAnsiTheme="majorHAnsi"/>
          <w:color w:val="auto"/>
          <w:szCs w:val="20"/>
          <w:lang w:val="es-VE"/>
        </w:rPr>
        <w:t xml:space="preserve">ombres, mujeres y niños </w:t>
      </w:r>
      <w:r w:rsidR="00733500" w:rsidRPr="0011380E">
        <w:rPr>
          <w:rFonts w:asciiTheme="majorHAnsi" w:hAnsiTheme="majorHAnsi"/>
          <w:color w:val="auto"/>
          <w:szCs w:val="20"/>
          <w:lang w:val="es-VE"/>
        </w:rPr>
        <w:t xml:space="preserve">fueron </w:t>
      </w:r>
      <w:r w:rsidR="003F330D" w:rsidRPr="0011380E">
        <w:rPr>
          <w:rFonts w:asciiTheme="majorHAnsi" w:hAnsiTheme="majorHAnsi"/>
          <w:color w:val="auto"/>
          <w:szCs w:val="20"/>
          <w:lang w:val="es-VE"/>
        </w:rPr>
        <w:t xml:space="preserve">amenazados, maniatados, fuertemente golpeados, desnudados, </w:t>
      </w:r>
      <w:r w:rsidR="00BA30BC" w:rsidRPr="0011380E">
        <w:rPr>
          <w:rFonts w:asciiTheme="majorHAnsi" w:hAnsiTheme="majorHAnsi"/>
          <w:color w:val="auto"/>
          <w:szCs w:val="20"/>
          <w:lang w:val="es-VE"/>
        </w:rPr>
        <w:t xml:space="preserve">las mujeres </w:t>
      </w:r>
      <w:r w:rsidR="003F330D" w:rsidRPr="0011380E">
        <w:rPr>
          <w:rFonts w:asciiTheme="majorHAnsi" w:hAnsiTheme="majorHAnsi"/>
          <w:color w:val="auto"/>
          <w:szCs w:val="20"/>
          <w:lang w:val="es-VE"/>
        </w:rPr>
        <w:t>abusad</w:t>
      </w:r>
      <w:r w:rsidR="00BA30BC" w:rsidRPr="0011380E">
        <w:rPr>
          <w:rFonts w:asciiTheme="majorHAnsi" w:hAnsiTheme="majorHAnsi"/>
          <w:color w:val="auto"/>
          <w:szCs w:val="20"/>
          <w:lang w:val="es-VE"/>
        </w:rPr>
        <w:t>a</w:t>
      </w:r>
      <w:r w:rsidR="003F330D" w:rsidRPr="0011380E">
        <w:rPr>
          <w:rFonts w:asciiTheme="majorHAnsi" w:hAnsiTheme="majorHAnsi"/>
          <w:color w:val="auto"/>
          <w:szCs w:val="20"/>
          <w:lang w:val="es-VE"/>
        </w:rPr>
        <w:t>s sexualmente</w:t>
      </w:r>
      <w:r w:rsidR="00733500" w:rsidRPr="0011380E">
        <w:rPr>
          <w:rFonts w:asciiTheme="majorHAnsi" w:hAnsiTheme="majorHAnsi"/>
          <w:color w:val="auto"/>
          <w:szCs w:val="20"/>
          <w:lang w:val="es-VE"/>
        </w:rPr>
        <w:t xml:space="preserve"> –</w:t>
      </w:r>
      <w:r w:rsidR="00B70D71" w:rsidRPr="0011380E">
        <w:rPr>
          <w:rFonts w:asciiTheme="majorHAnsi" w:hAnsiTheme="majorHAnsi"/>
          <w:color w:val="auto"/>
          <w:szCs w:val="20"/>
          <w:lang w:val="es-VE"/>
        </w:rPr>
        <w:t xml:space="preserve"> una</w:t>
      </w:r>
      <w:r w:rsidR="00733500" w:rsidRPr="0011380E">
        <w:rPr>
          <w:rFonts w:asciiTheme="majorHAnsi" w:hAnsiTheme="majorHAnsi"/>
          <w:color w:val="auto"/>
          <w:szCs w:val="20"/>
          <w:lang w:val="es-VE"/>
        </w:rPr>
        <w:t xml:space="preserve"> </w:t>
      </w:r>
      <w:r w:rsidR="00B70D71" w:rsidRPr="0011380E">
        <w:rPr>
          <w:rFonts w:asciiTheme="majorHAnsi" w:hAnsiTheme="majorHAnsi"/>
          <w:color w:val="auto"/>
          <w:szCs w:val="20"/>
          <w:lang w:val="es-VE"/>
        </w:rPr>
        <w:t>de ellas en estado de gravidez perdió su</w:t>
      </w:r>
      <w:r w:rsidR="00733500" w:rsidRPr="0011380E">
        <w:rPr>
          <w:rFonts w:asciiTheme="majorHAnsi" w:hAnsiTheme="majorHAnsi"/>
          <w:color w:val="auto"/>
          <w:szCs w:val="20"/>
          <w:lang w:val="es-VE"/>
        </w:rPr>
        <w:t xml:space="preserve"> embarazo producto de los golpes –</w:t>
      </w:r>
      <w:r w:rsidR="003F330D" w:rsidRPr="0011380E">
        <w:rPr>
          <w:rFonts w:asciiTheme="majorHAnsi" w:hAnsiTheme="majorHAnsi"/>
          <w:color w:val="auto"/>
          <w:szCs w:val="20"/>
          <w:lang w:val="es-VE"/>
        </w:rPr>
        <w:t xml:space="preserve"> </w:t>
      </w:r>
      <w:r w:rsidR="00E5217F" w:rsidRPr="0011380E">
        <w:rPr>
          <w:rFonts w:asciiTheme="majorHAnsi" w:hAnsiTheme="majorHAnsi"/>
          <w:color w:val="auto"/>
          <w:szCs w:val="20"/>
          <w:lang w:val="es-VE"/>
        </w:rPr>
        <w:t>y</w:t>
      </w:r>
      <w:r w:rsidR="003F330D" w:rsidRPr="0011380E">
        <w:rPr>
          <w:rFonts w:asciiTheme="majorHAnsi" w:hAnsiTheme="majorHAnsi"/>
          <w:color w:val="auto"/>
          <w:szCs w:val="20"/>
          <w:lang w:val="es-VE"/>
        </w:rPr>
        <w:t xml:space="preserve"> un </w:t>
      </w:r>
      <w:r w:rsidR="00E01D2E" w:rsidRPr="0011380E">
        <w:rPr>
          <w:rFonts w:asciiTheme="majorHAnsi" w:hAnsiTheme="majorHAnsi"/>
          <w:color w:val="auto"/>
          <w:szCs w:val="20"/>
          <w:lang w:val="es-VE"/>
        </w:rPr>
        <w:t>niño</w:t>
      </w:r>
      <w:r w:rsidR="003F330D" w:rsidRPr="0011380E">
        <w:rPr>
          <w:rFonts w:asciiTheme="majorHAnsi" w:hAnsiTheme="majorHAnsi"/>
          <w:color w:val="auto"/>
          <w:szCs w:val="20"/>
          <w:lang w:val="es-VE"/>
        </w:rPr>
        <w:t xml:space="preserve"> </w:t>
      </w:r>
      <w:r w:rsidR="00733500" w:rsidRPr="0011380E">
        <w:rPr>
          <w:rFonts w:asciiTheme="majorHAnsi" w:hAnsiTheme="majorHAnsi"/>
          <w:color w:val="auto"/>
          <w:szCs w:val="20"/>
          <w:lang w:val="es-VE"/>
        </w:rPr>
        <w:t xml:space="preserve">fue </w:t>
      </w:r>
      <w:r w:rsidR="003F330D" w:rsidRPr="0011380E">
        <w:rPr>
          <w:rFonts w:asciiTheme="majorHAnsi" w:hAnsiTheme="majorHAnsi"/>
          <w:color w:val="auto"/>
          <w:szCs w:val="20"/>
          <w:lang w:val="es-VE"/>
        </w:rPr>
        <w:t xml:space="preserve">secuestrado durante horas </w:t>
      </w:r>
      <w:r w:rsidR="00CD05AD" w:rsidRPr="0011380E">
        <w:rPr>
          <w:rFonts w:asciiTheme="majorHAnsi" w:hAnsiTheme="majorHAnsi"/>
          <w:color w:val="auto"/>
          <w:szCs w:val="20"/>
          <w:lang w:val="es-VE"/>
        </w:rPr>
        <w:t>para ser</w:t>
      </w:r>
      <w:r w:rsidR="003F330D" w:rsidRPr="0011380E">
        <w:rPr>
          <w:rFonts w:asciiTheme="majorHAnsi" w:hAnsiTheme="majorHAnsi"/>
          <w:color w:val="auto"/>
          <w:szCs w:val="20"/>
          <w:lang w:val="es-VE"/>
        </w:rPr>
        <w:t xml:space="preserve"> obligado a </w:t>
      </w:r>
      <w:r w:rsidR="00144470" w:rsidRPr="0011380E">
        <w:rPr>
          <w:rFonts w:asciiTheme="majorHAnsi" w:hAnsiTheme="majorHAnsi"/>
          <w:color w:val="auto"/>
          <w:szCs w:val="20"/>
          <w:lang w:val="es-VE"/>
        </w:rPr>
        <w:t>entregar</w:t>
      </w:r>
      <w:r w:rsidR="003F330D" w:rsidRPr="0011380E">
        <w:rPr>
          <w:rFonts w:asciiTheme="majorHAnsi" w:hAnsiTheme="majorHAnsi"/>
          <w:color w:val="auto"/>
          <w:szCs w:val="20"/>
          <w:lang w:val="es-VE"/>
        </w:rPr>
        <w:t xml:space="preserve"> información sobre el robo.</w:t>
      </w:r>
      <w:r w:rsidR="00067FE5" w:rsidRPr="0011380E">
        <w:rPr>
          <w:rFonts w:asciiTheme="majorHAnsi" w:hAnsiTheme="majorHAnsi"/>
          <w:color w:val="auto"/>
          <w:szCs w:val="20"/>
          <w:lang w:val="es-VE"/>
        </w:rPr>
        <w:t xml:space="preserve"> </w:t>
      </w:r>
      <w:r w:rsidR="005C1942" w:rsidRPr="0011380E">
        <w:rPr>
          <w:rFonts w:asciiTheme="majorHAnsi" w:hAnsiTheme="majorHAnsi"/>
          <w:color w:val="auto"/>
          <w:szCs w:val="20"/>
          <w:lang w:val="es-VE"/>
        </w:rPr>
        <w:t xml:space="preserve">Joyas y dinero fueron sustraídos desde </w:t>
      </w:r>
      <w:r w:rsidR="00733500" w:rsidRPr="0011380E">
        <w:rPr>
          <w:rFonts w:asciiTheme="majorHAnsi" w:hAnsiTheme="majorHAnsi"/>
          <w:color w:val="auto"/>
          <w:szCs w:val="20"/>
          <w:lang w:val="es-VE"/>
        </w:rPr>
        <w:t xml:space="preserve">sus </w:t>
      </w:r>
      <w:r w:rsidR="005C1942" w:rsidRPr="0011380E">
        <w:rPr>
          <w:rFonts w:asciiTheme="majorHAnsi" w:hAnsiTheme="majorHAnsi"/>
          <w:color w:val="auto"/>
          <w:szCs w:val="20"/>
          <w:lang w:val="es-VE"/>
        </w:rPr>
        <w:t xml:space="preserve">domicilios por parte de los agentes </w:t>
      </w:r>
      <w:r w:rsidR="00733500" w:rsidRPr="0011380E">
        <w:rPr>
          <w:rFonts w:asciiTheme="majorHAnsi" w:hAnsiTheme="majorHAnsi"/>
          <w:color w:val="auto"/>
          <w:szCs w:val="20"/>
          <w:lang w:val="es-VE"/>
        </w:rPr>
        <w:t>estatales</w:t>
      </w:r>
      <w:r w:rsidR="005C1942" w:rsidRPr="0011380E">
        <w:rPr>
          <w:rFonts w:asciiTheme="majorHAnsi" w:hAnsiTheme="majorHAnsi"/>
          <w:color w:val="auto"/>
          <w:szCs w:val="20"/>
          <w:lang w:val="es-VE"/>
        </w:rPr>
        <w:t xml:space="preserve">. </w:t>
      </w:r>
      <w:r w:rsidR="00067FE5" w:rsidRPr="0011380E">
        <w:rPr>
          <w:rFonts w:asciiTheme="majorHAnsi" w:hAnsiTheme="majorHAnsi"/>
          <w:color w:val="auto"/>
          <w:szCs w:val="20"/>
          <w:lang w:val="es-VE"/>
        </w:rPr>
        <w:t>Una vez transferidos a la</w:t>
      </w:r>
      <w:r w:rsidR="0072443C" w:rsidRPr="0011380E">
        <w:rPr>
          <w:rFonts w:asciiTheme="majorHAnsi" w:hAnsiTheme="majorHAnsi"/>
          <w:color w:val="auto"/>
          <w:szCs w:val="20"/>
          <w:lang w:val="es-VE"/>
        </w:rPr>
        <w:t xml:space="preserve">s dependencias de la ex Policía Técnica Judicial </w:t>
      </w:r>
      <w:r w:rsidR="00981E6A" w:rsidRPr="0011380E">
        <w:rPr>
          <w:rFonts w:asciiTheme="majorHAnsi" w:hAnsiTheme="majorHAnsi"/>
          <w:color w:val="auto"/>
          <w:szCs w:val="20"/>
          <w:lang w:val="es-VE"/>
        </w:rPr>
        <w:t xml:space="preserve">(PTJ) – </w:t>
      </w:r>
      <w:r w:rsidR="0072443C" w:rsidRPr="0011380E">
        <w:rPr>
          <w:rFonts w:asciiTheme="majorHAnsi" w:hAnsiTheme="majorHAnsi"/>
          <w:color w:val="auto"/>
          <w:szCs w:val="20"/>
          <w:lang w:val="es-VE"/>
        </w:rPr>
        <w:t>actualmente</w:t>
      </w:r>
      <w:r w:rsidR="00981E6A" w:rsidRPr="0011380E">
        <w:rPr>
          <w:rFonts w:asciiTheme="majorHAnsi" w:hAnsiTheme="majorHAnsi"/>
          <w:color w:val="auto"/>
          <w:szCs w:val="20"/>
          <w:lang w:val="es-VE"/>
        </w:rPr>
        <w:t xml:space="preserve"> </w:t>
      </w:r>
      <w:r w:rsidR="0072443C" w:rsidRPr="0011380E">
        <w:rPr>
          <w:rFonts w:asciiTheme="majorHAnsi" w:hAnsiTheme="majorHAnsi"/>
          <w:color w:val="auto"/>
          <w:szCs w:val="20"/>
          <w:lang w:val="es-VE"/>
        </w:rPr>
        <w:t>Fuerza Esp</w:t>
      </w:r>
      <w:r w:rsidR="00981E6A" w:rsidRPr="0011380E">
        <w:rPr>
          <w:rFonts w:asciiTheme="majorHAnsi" w:hAnsiTheme="majorHAnsi"/>
          <w:color w:val="auto"/>
          <w:szCs w:val="20"/>
          <w:lang w:val="es-VE"/>
        </w:rPr>
        <w:t>ecial de Lucha contra el Crimen –</w:t>
      </w:r>
      <w:r w:rsidR="00067FE5" w:rsidRPr="0011380E">
        <w:rPr>
          <w:rFonts w:asciiTheme="majorHAnsi" w:hAnsiTheme="majorHAnsi"/>
          <w:color w:val="auto"/>
          <w:szCs w:val="20"/>
          <w:lang w:val="es-VE"/>
        </w:rPr>
        <w:t xml:space="preserve"> </w:t>
      </w:r>
      <w:r w:rsidR="005C1942" w:rsidRPr="0011380E">
        <w:rPr>
          <w:rFonts w:asciiTheme="majorHAnsi" w:hAnsiTheme="majorHAnsi"/>
          <w:color w:val="auto"/>
          <w:szCs w:val="20"/>
          <w:lang w:val="es-VE"/>
        </w:rPr>
        <w:t>los</w:t>
      </w:r>
      <w:r w:rsidR="00981E6A" w:rsidRPr="0011380E">
        <w:rPr>
          <w:rFonts w:asciiTheme="majorHAnsi" w:hAnsiTheme="majorHAnsi"/>
          <w:color w:val="auto"/>
          <w:szCs w:val="20"/>
          <w:lang w:val="es-VE"/>
        </w:rPr>
        <w:t xml:space="preserve"> </w:t>
      </w:r>
      <w:r w:rsidR="005C1942" w:rsidRPr="0011380E">
        <w:rPr>
          <w:rFonts w:asciiTheme="majorHAnsi" w:hAnsiTheme="majorHAnsi"/>
          <w:color w:val="auto"/>
          <w:szCs w:val="20"/>
          <w:lang w:val="es-VE"/>
        </w:rPr>
        <w:t xml:space="preserve">peticionarios </w:t>
      </w:r>
      <w:r w:rsidR="00067FE5" w:rsidRPr="0011380E">
        <w:rPr>
          <w:rFonts w:asciiTheme="majorHAnsi" w:hAnsiTheme="majorHAnsi"/>
          <w:color w:val="auto"/>
          <w:szCs w:val="20"/>
          <w:lang w:val="es-VE"/>
        </w:rPr>
        <w:t>fueron nuevamente</w:t>
      </w:r>
      <w:r w:rsidR="00851E5D" w:rsidRPr="0011380E">
        <w:rPr>
          <w:rFonts w:asciiTheme="majorHAnsi" w:hAnsiTheme="majorHAnsi"/>
          <w:color w:val="auto"/>
          <w:szCs w:val="20"/>
          <w:lang w:val="es-VE"/>
        </w:rPr>
        <w:t xml:space="preserve"> abusados</w:t>
      </w:r>
      <w:r w:rsidR="005C1942" w:rsidRPr="0011380E">
        <w:rPr>
          <w:rFonts w:asciiTheme="majorHAnsi" w:hAnsiTheme="majorHAnsi"/>
          <w:color w:val="auto"/>
          <w:szCs w:val="20"/>
          <w:lang w:val="es-VE"/>
        </w:rPr>
        <w:t xml:space="preserve">, </w:t>
      </w:r>
      <w:r w:rsidR="004F6366" w:rsidRPr="0011380E">
        <w:rPr>
          <w:rFonts w:asciiTheme="majorHAnsi" w:hAnsiTheme="majorHAnsi"/>
          <w:color w:val="auto"/>
          <w:szCs w:val="20"/>
          <w:lang w:val="es-VE"/>
        </w:rPr>
        <w:t>permanec</w:t>
      </w:r>
      <w:r w:rsidR="00851E5D" w:rsidRPr="0011380E">
        <w:rPr>
          <w:rFonts w:asciiTheme="majorHAnsi" w:hAnsiTheme="majorHAnsi"/>
          <w:color w:val="auto"/>
          <w:szCs w:val="20"/>
          <w:lang w:val="es-VE"/>
        </w:rPr>
        <w:t>iendo algunos</w:t>
      </w:r>
      <w:r w:rsidR="004F6366" w:rsidRPr="0011380E">
        <w:rPr>
          <w:rFonts w:asciiTheme="majorHAnsi" w:hAnsiTheme="majorHAnsi"/>
          <w:color w:val="auto"/>
          <w:szCs w:val="20"/>
          <w:lang w:val="es-VE"/>
        </w:rPr>
        <w:t xml:space="preserve"> </w:t>
      </w:r>
      <w:r w:rsidR="005C1942" w:rsidRPr="0011380E">
        <w:rPr>
          <w:rFonts w:asciiTheme="majorHAnsi" w:hAnsiTheme="majorHAnsi"/>
          <w:color w:val="auto"/>
          <w:szCs w:val="20"/>
          <w:lang w:val="es-VE"/>
        </w:rPr>
        <w:t xml:space="preserve">incomunicados por </w:t>
      </w:r>
      <w:r w:rsidR="00851E5D" w:rsidRPr="0011380E">
        <w:rPr>
          <w:rFonts w:asciiTheme="majorHAnsi" w:hAnsiTheme="majorHAnsi"/>
          <w:color w:val="auto"/>
          <w:szCs w:val="20"/>
          <w:lang w:val="es-VE"/>
        </w:rPr>
        <w:t xml:space="preserve">hasta </w:t>
      </w:r>
      <w:r w:rsidR="00252696" w:rsidRPr="0011380E">
        <w:rPr>
          <w:rFonts w:asciiTheme="majorHAnsi" w:hAnsiTheme="majorHAnsi"/>
          <w:color w:val="auto"/>
          <w:szCs w:val="20"/>
          <w:lang w:val="es-VE"/>
        </w:rPr>
        <w:t>tres</w:t>
      </w:r>
      <w:r w:rsidR="004F6366" w:rsidRPr="0011380E">
        <w:rPr>
          <w:rFonts w:asciiTheme="majorHAnsi" w:hAnsiTheme="majorHAnsi"/>
          <w:color w:val="auto"/>
          <w:szCs w:val="20"/>
          <w:lang w:val="es-VE"/>
        </w:rPr>
        <w:t xml:space="preserve"> meses.</w:t>
      </w:r>
      <w:r w:rsidR="00DF48B9" w:rsidRPr="0011380E">
        <w:rPr>
          <w:rFonts w:asciiTheme="majorHAnsi" w:hAnsiTheme="majorHAnsi"/>
          <w:color w:val="auto"/>
          <w:szCs w:val="20"/>
          <w:lang w:val="es-VE"/>
        </w:rPr>
        <w:t xml:space="preserve"> Dos de los peticionarios habrían fallecido</w:t>
      </w:r>
      <w:r w:rsidR="00B97C02" w:rsidRPr="0011380E">
        <w:rPr>
          <w:rFonts w:asciiTheme="majorHAnsi" w:hAnsiTheme="majorHAnsi"/>
          <w:color w:val="auto"/>
          <w:szCs w:val="20"/>
          <w:lang w:val="es-VE"/>
        </w:rPr>
        <w:t xml:space="preserve"> a consecuencia de los abusos. </w:t>
      </w:r>
    </w:p>
    <w:p w14:paraId="1653D025" w14:textId="77777777" w:rsidR="0072443C" w:rsidRPr="0011380E" w:rsidRDefault="0072443C" w:rsidP="0011380E">
      <w:pPr>
        <w:pStyle w:val="ListParagraph"/>
        <w:numPr>
          <w:ilvl w:val="0"/>
          <w:numId w:val="0"/>
        </w:numPr>
        <w:rPr>
          <w:rFonts w:asciiTheme="majorHAnsi" w:hAnsiTheme="majorHAnsi"/>
          <w:color w:val="auto"/>
          <w:szCs w:val="20"/>
          <w:lang w:val="es-VE"/>
        </w:rPr>
      </w:pPr>
    </w:p>
    <w:p w14:paraId="2864E253" w14:textId="77777777" w:rsidR="002C3FE1" w:rsidRPr="0011380E" w:rsidRDefault="0072443C"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 xml:space="preserve">Diversas autoridades estatales, incluyendo </w:t>
      </w:r>
      <w:r w:rsidR="00D6649A" w:rsidRPr="0011380E">
        <w:rPr>
          <w:rFonts w:asciiTheme="majorHAnsi" w:hAnsiTheme="majorHAnsi"/>
          <w:color w:val="auto"/>
          <w:szCs w:val="20"/>
          <w:lang w:val="es-VE"/>
        </w:rPr>
        <w:t xml:space="preserve">el </w:t>
      </w:r>
      <w:r w:rsidR="00D6649A" w:rsidRPr="0011380E">
        <w:rPr>
          <w:rFonts w:asciiTheme="majorHAnsi" w:hAnsiTheme="majorHAnsi"/>
          <w:color w:val="auto"/>
          <w:szCs w:val="20"/>
          <w:lang w:val="es-US"/>
        </w:rPr>
        <w:t>Juez Octavo de Instrucción en lo Penal – Cautelar (en adelante “Juez de Instrucción”),</w:t>
      </w:r>
      <w:r w:rsidR="00D6649A" w:rsidRPr="0011380E">
        <w:rPr>
          <w:rFonts w:asciiTheme="majorHAnsi" w:hAnsiTheme="majorHAnsi"/>
          <w:color w:val="auto"/>
          <w:szCs w:val="20"/>
          <w:lang w:val="es-VE"/>
        </w:rPr>
        <w:t xml:space="preserve"> </w:t>
      </w:r>
      <w:r w:rsidRPr="0011380E">
        <w:rPr>
          <w:rFonts w:asciiTheme="majorHAnsi" w:hAnsiTheme="majorHAnsi"/>
          <w:color w:val="auto"/>
          <w:szCs w:val="20"/>
          <w:lang w:val="es-VE"/>
        </w:rPr>
        <w:t>encargado de efectuar el control judicial del arresto</w:t>
      </w:r>
      <w:r w:rsidR="007D1552" w:rsidRPr="0011380E">
        <w:rPr>
          <w:rFonts w:asciiTheme="majorHAnsi" w:hAnsiTheme="majorHAnsi"/>
          <w:color w:val="auto"/>
          <w:szCs w:val="20"/>
          <w:lang w:val="es-VE"/>
        </w:rPr>
        <w:t xml:space="preserve"> y</w:t>
      </w:r>
      <w:r w:rsidRPr="0011380E">
        <w:rPr>
          <w:rFonts w:asciiTheme="majorHAnsi" w:hAnsiTheme="majorHAnsi"/>
          <w:color w:val="auto"/>
          <w:szCs w:val="20"/>
          <w:lang w:val="es-VE"/>
        </w:rPr>
        <w:t xml:space="preserve"> que decidió sobre medidas cautelares, y el </w:t>
      </w:r>
      <w:r w:rsidR="00D6649A" w:rsidRPr="0011380E">
        <w:rPr>
          <w:rFonts w:asciiTheme="majorHAnsi" w:hAnsiTheme="majorHAnsi"/>
          <w:color w:val="auto"/>
          <w:szCs w:val="20"/>
          <w:lang w:val="es-US"/>
        </w:rPr>
        <w:t>Tribunal de Sentencia Segundo de El Alto (en adelante “Tribunal de Sentencia”)</w:t>
      </w:r>
      <w:r w:rsidR="007F4F54" w:rsidRPr="0011380E">
        <w:rPr>
          <w:rFonts w:asciiTheme="majorHAnsi" w:hAnsiTheme="majorHAnsi"/>
          <w:color w:val="auto"/>
          <w:szCs w:val="20"/>
          <w:lang w:val="es-VE"/>
        </w:rPr>
        <w:t xml:space="preserve"> </w:t>
      </w:r>
      <w:r w:rsidRPr="0011380E">
        <w:rPr>
          <w:rFonts w:asciiTheme="majorHAnsi" w:hAnsiTheme="majorHAnsi"/>
          <w:color w:val="auto"/>
          <w:szCs w:val="20"/>
          <w:lang w:val="es-VE"/>
        </w:rPr>
        <w:t>que llevó adelante el proceso penal por el crimen que se les imputaba</w:t>
      </w:r>
      <w:r w:rsidR="00BF3092" w:rsidRPr="0011380E">
        <w:rPr>
          <w:rFonts w:asciiTheme="majorHAnsi" w:hAnsiTheme="majorHAnsi"/>
          <w:color w:val="auto"/>
          <w:szCs w:val="20"/>
          <w:lang w:val="es-VE"/>
        </w:rPr>
        <w:t xml:space="preserve">, así como </w:t>
      </w:r>
      <w:r w:rsidR="00733500" w:rsidRPr="0011380E">
        <w:rPr>
          <w:rFonts w:asciiTheme="majorHAnsi" w:hAnsiTheme="majorHAnsi"/>
          <w:color w:val="auto"/>
          <w:szCs w:val="20"/>
          <w:lang w:val="es-VE"/>
        </w:rPr>
        <w:t xml:space="preserve">oficiales de </w:t>
      </w:r>
      <w:r w:rsidR="00272E75" w:rsidRPr="0011380E">
        <w:rPr>
          <w:rFonts w:asciiTheme="majorHAnsi" w:hAnsiTheme="majorHAnsi"/>
          <w:color w:val="auto"/>
          <w:szCs w:val="20"/>
          <w:lang w:val="es-VE"/>
        </w:rPr>
        <w:t xml:space="preserve">la </w:t>
      </w:r>
      <w:r w:rsidR="00733500" w:rsidRPr="0011380E">
        <w:rPr>
          <w:rFonts w:asciiTheme="majorHAnsi" w:hAnsiTheme="majorHAnsi"/>
          <w:color w:val="auto"/>
          <w:szCs w:val="20"/>
          <w:lang w:val="es-VE"/>
        </w:rPr>
        <w:t>Policía y Fiscales</w:t>
      </w:r>
      <w:r w:rsidRPr="0011380E">
        <w:rPr>
          <w:rFonts w:asciiTheme="majorHAnsi" w:hAnsiTheme="majorHAnsi"/>
          <w:color w:val="auto"/>
          <w:szCs w:val="20"/>
          <w:lang w:val="es-VE"/>
        </w:rPr>
        <w:t xml:space="preserve">, </w:t>
      </w:r>
      <w:r w:rsidRPr="0011380E">
        <w:rPr>
          <w:rFonts w:asciiTheme="majorHAnsi" w:hAnsiTheme="majorHAnsi"/>
          <w:color w:val="auto"/>
          <w:szCs w:val="20"/>
          <w:lang w:val="es-VE"/>
        </w:rPr>
        <w:lastRenderedPageBreak/>
        <w:t>estuvieron en conocimiento de los abusos cometidos en contra de l</w:t>
      </w:r>
      <w:r w:rsidR="00726B29" w:rsidRPr="0011380E">
        <w:rPr>
          <w:rFonts w:asciiTheme="majorHAnsi" w:hAnsiTheme="majorHAnsi"/>
          <w:color w:val="auto"/>
          <w:szCs w:val="20"/>
          <w:lang w:val="es-VE"/>
        </w:rPr>
        <w:t>as presuntas víctimas</w:t>
      </w:r>
      <w:r w:rsidRPr="0011380E">
        <w:rPr>
          <w:rFonts w:asciiTheme="majorHAnsi" w:hAnsiTheme="majorHAnsi"/>
          <w:color w:val="auto"/>
          <w:szCs w:val="20"/>
          <w:lang w:val="es-VE"/>
        </w:rPr>
        <w:t xml:space="preserve"> y sus alegaciones</w:t>
      </w:r>
      <w:r w:rsidR="00CA4801" w:rsidRPr="0011380E">
        <w:rPr>
          <w:rFonts w:asciiTheme="majorHAnsi" w:hAnsiTheme="majorHAnsi"/>
          <w:color w:val="auto"/>
          <w:szCs w:val="20"/>
          <w:lang w:val="es-VE"/>
        </w:rPr>
        <w:t xml:space="preserve"> sobre</w:t>
      </w:r>
      <w:r w:rsidRPr="0011380E">
        <w:rPr>
          <w:rFonts w:asciiTheme="majorHAnsi" w:hAnsiTheme="majorHAnsi"/>
          <w:color w:val="auto"/>
          <w:szCs w:val="20"/>
          <w:lang w:val="es-VE"/>
        </w:rPr>
        <w:t xml:space="preserve"> que estaban siendo torturados, pero ninguno actúo prontamente para protegerlos, evitar que los abusos se siguieran cometiendo o investigar </w:t>
      </w:r>
      <w:r w:rsidR="00CA4801" w:rsidRPr="0011380E">
        <w:rPr>
          <w:rFonts w:asciiTheme="majorHAnsi" w:hAnsiTheme="majorHAnsi"/>
          <w:color w:val="auto"/>
          <w:szCs w:val="20"/>
          <w:lang w:val="es-VE"/>
        </w:rPr>
        <w:t>tales</w:t>
      </w:r>
      <w:r w:rsidRPr="0011380E">
        <w:rPr>
          <w:rFonts w:asciiTheme="majorHAnsi" w:hAnsiTheme="majorHAnsi"/>
          <w:color w:val="auto"/>
          <w:szCs w:val="20"/>
          <w:lang w:val="es-VE"/>
        </w:rPr>
        <w:t xml:space="preserve"> alegaciones.</w:t>
      </w:r>
    </w:p>
    <w:p w14:paraId="414B5D8C" w14:textId="77777777" w:rsidR="00B8668E" w:rsidRPr="0011380E" w:rsidRDefault="00B8668E" w:rsidP="0011380E">
      <w:pPr>
        <w:pStyle w:val="ListParagraph"/>
        <w:numPr>
          <w:ilvl w:val="0"/>
          <w:numId w:val="0"/>
        </w:numPr>
        <w:rPr>
          <w:rFonts w:asciiTheme="majorHAnsi" w:hAnsiTheme="majorHAnsi"/>
          <w:color w:val="auto"/>
          <w:szCs w:val="20"/>
          <w:lang w:val="es-VE"/>
        </w:rPr>
      </w:pPr>
    </w:p>
    <w:p w14:paraId="0350A412" w14:textId="77777777" w:rsidR="00037C6D" w:rsidRPr="0011380E" w:rsidRDefault="000904A5"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 xml:space="preserve">En </w:t>
      </w:r>
      <w:r w:rsidR="00733500" w:rsidRPr="0011380E">
        <w:rPr>
          <w:rFonts w:asciiTheme="majorHAnsi" w:hAnsiTheme="majorHAnsi"/>
          <w:color w:val="auto"/>
          <w:szCs w:val="20"/>
          <w:lang w:val="es-VE"/>
        </w:rPr>
        <w:t>consecuencia</w:t>
      </w:r>
      <w:r w:rsidRPr="0011380E">
        <w:rPr>
          <w:rFonts w:asciiTheme="majorHAnsi" w:hAnsiTheme="majorHAnsi"/>
          <w:color w:val="auto"/>
          <w:szCs w:val="20"/>
          <w:lang w:val="es-VE"/>
        </w:rPr>
        <w:t>, l</w:t>
      </w:r>
      <w:r w:rsidR="00431AE0" w:rsidRPr="0011380E">
        <w:rPr>
          <w:rFonts w:asciiTheme="majorHAnsi" w:hAnsiTheme="majorHAnsi"/>
          <w:color w:val="auto"/>
          <w:szCs w:val="20"/>
          <w:lang w:val="es-VE"/>
        </w:rPr>
        <w:t xml:space="preserve">a parte </w:t>
      </w:r>
      <w:r w:rsidRPr="0011380E">
        <w:rPr>
          <w:rFonts w:asciiTheme="majorHAnsi" w:hAnsiTheme="majorHAnsi"/>
          <w:color w:val="auto"/>
          <w:szCs w:val="20"/>
          <w:lang w:val="es-VE"/>
        </w:rPr>
        <w:t>peticionari</w:t>
      </w:r>
      <w:r w:rsidR="00431AE0" w:rsidRPr="0011380E">
        <w:rPr>
          <w:rFonts w:asciiTheme="majorHAnsi" w:hAnsiTheme="majorHAnsi"/>
          <w:color w:val="auto"/>
          <w:szCs w:val="20"/>
          <w:lang w:val="es-VE"/>
        </w:rPr>
        <w:t>a</w:t>
      </w:r>
      <w:r w:rsidRPr="0011380E">
        <w:rPr>
          <w:rFonts w:asciiTheme="majorHAnsi" w:hAnsiTheme="majorHAnsi"/>
          <w:color w:val="auto"/>
          <w:szCs w:val="20"/>
          <w:lang w:val="es-VE"/>
        </w:rPr>
        <w:t xml:space="preserve"> alega que el Estado boliviano es responsable </w:t>
      </w:r>
      <w:r w:rsidR="00733500" w:rsidRPr="0011380E">
        <w:rPr>
          <w:rFonts w:asciiTheme="majorHAnsi" w:hAnsiTheme="majorHAnsi"/>
          <w:color w:val="auto"/>
          <w:szCs w:val="20"/>
          <w:lang w:val="es-VE"/>
        </w:rPr>
        <w:t>de</w:t>
      </w:r>
      <w:r w:rsidRPr="0011380E">
        <w:rPr>
          <w:rFonts w:asciiTheme="majorHAnsi" w:hAnsiTheme="majorHAnsi"/>
          <w:color w:val="auto"/>
          <w:szCs w:val="20"/>
          <w:lang w:val="es-VE"/>
        </w:rPr>
        <w:t xml:space="preserve"> la violación </w:t>
      </w:r>
      <w:r w:rsidR="00733500" w:rsidRPr="0011380E">
        <w:rPr>
          <w:rFonts w:asciiTheme="majorHAnsi" w:hAnsiTheme="majorHAnsi"/>
          <w:color w:val="auto"/>
          <w:szCs w:val="20"/>
          <w:lang w:val="es-VE"/>
        </w:rPr>
        <w:t>a sus</w:t>
      </w:r>
      <w:r w:rsidRPr="0011380E">
        <w:rPr>
          <w:rFonts w:asciiTheme="majorHAnsi" w:hAnsiTheme="majorHAnsi"/>
          <w:color w:val="auto"/>
          <w:szCs w:val="20"/>
          <w:lang w:val="es-VE"/>
        </w:rPr>
        <w:t xml:space="preserve"> derechos a la integridad personal, a las garantías judiciales y protección judicial y a la honra y dignidad, reconocidos en los artículos 5, 8, 25 y 11 </w:t>
      </w:r>
      <w:r w:rsidR="00EE5FF2" w:rsidRPr="0011380E">
        <w:rPr>
          <w:rFonts w:asciiTheme="majorHAnsi" w:hAnsiTheme="majorHAnsi"/>
          <w:color w:val="auto"/>
          <w:szCs w:val="20"/>
          <w:lang w:val="es-VE"/>
        </w:rPr>
        <w:t xml:space="preserve">de la </w:t>
      </w:r>
      <w:r w:rsidR="009B28CF" w:rsidRPr="0011380E">
        <w:rPr>
          <w:rFonts w:asciiTheme="majorHAnsi" w:hAnsiTheme="majorHAnsi"/>
          <w:color w:val="auto"/>
          <w:szCs w:val="20"/>
          <w:lang w:val="es-US"/>
        </w:rPr>
        <w:t>Convención Americana sobre Derechos Humanos (en adelante “la Convención Americana” o “la Convención”),</w:t>
      </w:r>
      <w:r w:rsidR="009B28CF" w:rsidRPr="0011380E">
        <w:rPr>
          <w:rFonts w:asciiTheme="majorHAnsi" w:hAnsiTheme="majorHAnsi"/>
          <w:color w:val="auto"/>
          <w:szCs w:val="20"/>
          <w:lang w:val="es-VE"/>
        </w:rPr>
        <w:t xml:space="preserve"> </w:t>
      </w:r>
      <w:r w:rsidR="00B303AF" w:rsidRPr="0011380E">
        <w:rPr>
          <w:rFonts w:asciiTheme="majorHAnsi" w:hAnsiTheme="majorHAnsi"/>
          <w:color w:val="auto"/>
          <w:szCs w:val="20"/>
          <w:lang w:val="es-VE"/>
        </w:rPr>
        <w:t>en conexión con las obligaciones establecidas en el artículo 1.1 del mismo instrumento</w:t>
      </w:r>
      <w:r w:rsidRPr="0011380E">
        <w:rPr>
          <w:rFonts w:asciiTheme="majorHAnsi" w:hAnsiTheme="majorHAnsi"/>
          <w:color w:val="auto"/>
          <w:szCs w:val="20"/>
          <w:lang w:val="es-VE"/>
        </w:rPr>
        <w:t>.</w:t>
      </w:r>
      <w:r w:rsidR="00EE21F5" w:rsidRPr="0011380E">
        <w:rPr>
          <w:rFonts w:asciiTheme="majorHAnsi" w:hAnsiTheme="majorHAnsi"/>
          <w:color w:val="auto"/>
          <w:szCs w:val="20"/>
          <w:lang w:val="es-VE"/>
        </w:rPr>
        <w:t xml:space="preserve"> </w:t>
      </w:r>
      <w:r w:rsidR="005D24AC" w:rsidRPr="0011380E">
        <w:rPr>
          <w:rFonts w:asciiTheme="majorHAnsi" w:hAnsiTheme="majorHAnsi"/>
          <w:color w:val="auto"/>
          <w:szCs w:val="20"/>
          <w:lang w:val="es-VE"/>
        </w:rPr>
        <w:t>Además</w:t>
      </w:r>
      <w:r w:rsidR="00037C6D" w:rsidRPr="0011380E">
        <w:rPr>
          <w:rFonts w:asciiTheme="majorHAnsi" w:hAnsiTheme="majorHAnsi"/>
          <w:color w:val="auto"/>
          <w:szCs w:val="20"/>
          <w:lang w:val="es-VE"/>
        </w:rPr>
        <w:t xml:space="preserve">, </w:t>
      </w:r>
      <w:r w:rsidR="00431AE0" w:rsidRPr="0011380E">
        <w:rPr>
          <w:rFonts w:asciiTheme="majorHAnsi" w:hAnsiTheme="majorHAnsi"/>
          <w:color w:val="auto"/>
          <w:szCs w:val="20"/>
          <w:lang w:val="es-VE"/>
        </w:rPr>
        <w:t>alega</w:t>
      </w:r>
      <w:r w:rsidR="00037C6D" w:rsidRPr="0011380E">
        <w:rPr>
          <w:rFonts w:asciiTheme="majorHAnsi" w:hAnsiTheme="majorHAnsi"/>
          <w:color w:val="auto"/>
          <w:szCs w:val="20"/>
          <w:lang w:val="es-VE"/>
        </w:rPr>
        <w:t xml:space="preserve"> que el Estado violó l</w:t>
      </w:r>
      <w:r w:rsidR="00037C6D" w:rsidRPr="0011380E">
        <w:rPr>
          <w:rFonts w:asciiTheme="majorHAnsi" w:hAnsiTheme="majorHAnsi"/>
          <w:color w:val="auto"/>
          <w:szCs w:val="20"/>
          <w:shd w:val="clear" w:color="auto" w:fill="FFFFFF"/>
          <w:lang w:val="es-ES"/>
        </w:rPr>
        <w:t>a Convención Interamericana para Prevenir, Sancionar y Erradicar la Violencia contra la Mujer (en adelante “Convención de Belém do Pará”)</w:t>
      </w:r>
      <w:r w:rsidR="00431AE0" w:rsidRPr="0011380E">
        <w:rPr>
          <w:rFonts w:asciiTheme="majorHAnsi" w:hAnsiTheme="majorHAnsi"/>
          <w:color w:val="auto"/>
          <w:szCs w:val="20"/>
          <w:shd w:val="clear" w:color="auto" w:fill="FFFFFF"/>
          <w:lang w:val="es-ES"/>
        </w:rPr>
        <w:t>.</w:t>
      </w:r>
    </w:p>
    <w:p w14:paraId="47B302B5" w14:textId="77777777" w:rsidR="009B28CF" w:rsidRPr="0011380E" w:rsidRDefault="009B28CF" w:rsidP="0011380E">
      <w:pPr>
        <w:pStyle w:val="ListParagraph"/>
        <w:numPr>
          <w:ilvl w:val="0"/>
          <w:numId w:val="0"/>
        </w:numPr>
        <w:rPr>
          <w:rFonts w:asciiTheme="majorHAnsi" w:hAnsiTheme="majorHAnsi"/>
          <w:color w:val="auto"/>
          <w:szCs w:val="20"/>
          <w:lang w:val="es-VE"/>
        </w:rPr>
      </w:pPr>
    </w:p>
    <w:p w14:paraId="397BAE20" w14:textId="77777777" w:rsidR="000904A5" w:rsidRPr="0011380E" w:rsidRDefault="00EE21F5"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 xml:space="preserve">En cuanto al derecho a la integridad personal, alegan que </w:t>
      </w:r>
      <w:r w:rsidR="009147F5" w:rsidRPr="0011380E">
        <w:rPr>
          <w:rFonts w:asciiTheme="majorHAnsi" w:hAnsiTheme="majorHAnsi"/>
          <w:color w:val="auto"/>
          <w:szCs w:val="20"/>
          <w:lang w:val="es-VE"/>
        </w:rPr>
        <w:t>la prohibición absoluta de tortura, tanto física como psicológica</w:t>
      </w:r>
      <w:r w:rsidR="00733500" w:rsidRPr="0011380E">
        <w:rPr>
          <w:rFonts w:asciiTheme="majorHAnsi" w:hAnsiTheme="majorHAnsi"/>
          <w:color w:val="auto"/>
          <w:szCs w:val="20"/>
          <w:lang w:val="es-VE"/>
        </w:rPr>
        <w:t>,</w:t>
      </w:r>
      <w:r w:rsidR="009147F5" w:rsidRPr="0011380E">
        <w:rPr>
          <w:rFonts w:asciiTheme="majorHAnsi" w:hAnsiTheme="majorHAnsi"/>
          <w:color w:val="auto"/>
          <w:szCs w:val="20"/>
          <w:lang w:val="es-VE"/>
        </w:rPr>
        <w:t xml:space="preserve"> y </w:t>
      </w:r>
      <w:r w:rsidR="00BD5103" w:rsidRPr="0011380E">
        <w:rPr>
          <w:rFonts w:asciiTheme="majorHAnsi" w:hAnsiTheme="majorHAnsi"/>
          <w:color w:val="auto"/>
          <w:szCs w:val="20"/>
          <w:lang w:val="es-VE"/>
        </w:rPr>
        <w:t>de</w:t>
      </w:r>
      <w:r w:rsidR="009147F5" w:rsidRPr="0011380E">
        <w:rPr>
          <w:rFonts w:asciiTheme="majorHAnsi" w:hAnsiTheme="majorHAnsi"/>
          <w:color w:val="auto"/>
          <w:szCs w:val="20"/>
          <w:lang w:val="es-VE"/>
        </w:rPr>
        <w:t xml:space="preserve"> penas o tratos crueles</w:t>
      </w:r>
      <w:r w:rsidR="00733500" w:rsidRPr="0011380E">
        <w:rPr>
          <w:rFonts w:asciiTheme="majorHAnsi" w:hAnsiTheme="majorHAnsi"/>
          <w:color w:val="auto"/>
          <w:szCs w:val="20"/>
          <w:lang w:val="es-VE"/>
        </w:rPr>
        <w:t>,</w:t>
      </w:r>
      <w:r w:rsidR="009147F5" w:rsidRPr="0011380E">
        <w:rPr>
          <w:rFonts w:asciiTheme="majorHAnsi" w:hAnsiTheme="majorHAnsi"/>
          <w:color w:val="auto"/>
          <w:szCs w:val="20"/>
          <w:lang w:val="es-VE"/>
        </w:rPr>
        <w:t xml:space="preserve"> inhumanos o degradantes se afirma en un imperativo moral, que no admite debate desde el punto de vista utilitarista. </w:t>
      </w:r>
      <w:r w:rsidR="00CD05AD" w:rsidRPr="0011380E">
        <w:rPr>
          <w:rFonts w:asciiTheme="majorHAnsi" w:hAnsiTheme="majorHAnsi"/>
          <w:color w:val="auto"/>
          <w:szCs w:val="20"/>
          <w:lang w:val="es-VE"/>
        </w:rPr>
        <w:t>T</w:t>
      </w:r>
      <w:r w:rsidR="009147F5" w:rsidRPr="0011380E">
        <w:rPr>
          <w:rFonts w:asciiTheme="majorHAnsi" w:hAnsiTheme="majorHAnsi"/>
          <w:color w:val="auto"/>
          <w:szCs w:val="20"/>
          <w:lang w:val="es-VE"/>
        </w:rPr>
        <w:t xml:space="preserve">al prohibición pertenece hoy al </w:t>
      </w:r>
      <w:r w:rsidR="009147F5" w:rsidRPr="0011380E">
        <w:rPr>
          <w:rFonts w:asciiTheme="majorHAnsi" w:hAnsiTheme="majorHAnsi"/>
          <w:i/>
          <w:color w:val="auto"/>
          <w:szCs w:val="20"/>
          <w:lang w:val="es-VE"/>
        </w:rPr>
        <w:t>ius cogens</w:t>
      </w:r>
      <w:r w:rsidR="009147F5" w:rsidRPr="0011380E">
        <w:rPr>
          <w:rFonts w:asciiTheme="majorHAnsi" w:hAnsiTheme="majorHAnsi"/>
          <w:color w:val="auto"/>
          <w:szCs w:val="20"/>
          <w:lang w:val="es-VE"/>
        </w:rPr>
        <w:t xml:space="preserve"> internacional y subsiste aún en las circunstancias más </w:t>
      </w:r>
      <w:r w:rsidR="00D8561C" w:rsidRPr="0011380E">
        <w:rPr>
          <w:rFonts w:asciiTheme="majorHAnsi" w:hAnsiTheme="majorHAnsi"/>
          <w:color w:val="auto"/>
          <w:szCs w:val="20"/>
          <w:lang w:val="es-VE"/>
        </w:rPr>
        <w:t>difíciles</w:t>
      </w:r>
      <w:r w:rsidR="009147F5" w:rsidRPr="0011380E">
        <w:rPr>
          <w:rFonts w:asciiTheme="majorHAnsi" w:hAnsiTheme="majorHAnsi"/>
          <w:color w:val="auto"/>
          <w:szCs w:val="20"/>
          <w:lang w:val="es-VE"/>
        </w:rPr>
        <w:t xml:space="preserve"> y en la investigación de todo tipo de delitos</w:t>
      </w:r>
      <w:r w:rsidR="005B1F83" w:rsidRPr="0011380E">
        <w:rPr>
          <w:rFonts w:asciiTheme="majorHAnsi" w:hAnsiTheme="majorHAnsi"/>
          <w:color w:val="auto"/>
          <w:szCs w:val="20"/>
          <w:lang w:val="es-VE"/>
        </w:rPr>
        <w:t>,</w:t>
      </w:r>
      <w:r w:rsidR="009147F5" w:rsidRPr="0011380E">
        <w:rPr>
          <w:rFonts w:asciiTheme="majorHAnsi" w:hAnsiTheme="majorHAnsi"/>
          <w:color w:val="auto"/>
          <w:szCs w:val="20"/>
          <w:lang w:val="es-VE"/>
        </w:rPr>
        <w:t xml:space="preserve"> por muy graves que sean.</w:t>
      </w:r>
      <w:r w:rsidR="005B1F83" w:rsidRPr="0011380E">
        <w:rPr>
          <w:rFonts w:asciiTheme="majorHAnsi" w:hAnsiTheme="majorHAnsi"/>
          <w:color w:val="auto"/>
          <w:szCs w:val="20"/>
          <w:lang w:val="es-VE"/>
        </w:rPr>
        <w:t xml:space="preserve"> Todo uso de la fuerza que no sea estrictamente necesario </w:t>
      </w:r>
      <w:r w:rsidR="00733500" w:rsidRPr="0011380E">
        <w:rPr>
          <w:rFonts w:asciiTheme="majorHAnsi" w:hAnsiTheme="majorHAnsi"/>
          <w:color w:val="auto"/>
          <w:szCs w:val="20"/>
          <w:lang w:val="es-VE"/>
        </w:rPr>
        <w:t xml:space="preserve">en atención al </w:t>
      </w:r>
      <w:r w:rsidR="005B1F83" w:rsidRPr="0011380E">
        <w:rPr>
          <w:rFonts w:asciiTheme="majorHAnsi" w:hAnsiTheme="majorHAnsi"/>
          <w:color w:val="auto"/>
          <w:szCs w:val="20"/>
          <w:lang w:val="es-VE"/>
        </w:rPr>
        <w:t>propio comportamiento de la persona detenida constituye un atentado a la dignidad humana</w:t>
      </w:r>
      <w:r w:rsidR="00CD05AD" w:rsidRPr="0011380E">
        <w:rPr>
          <w:rFonts w:asciiTheme="majorHAnsi" w:hAnsiTheme="majorHAnsi"/>
          <w:color w:val="auto"/>
          <w:szCs w:val="20"/>
          <w:lang w:val="es-VE"/>
        </w:rPr>
        <w:t xml:space="preserve">. </w:t>
      </w:r>
      <w:r w:rsidR="00A26AE4" w:rsidRPr="0011380E">
        <w:rPr>
          <w:rFonts w:asciiTheme="majorHAnsi" w:hAnsiTheme="majorHAnsi"/>
          <w:color w:val="auto"/>
          <w:szCs w:val="20"/>
          <w:lang w:val="es-VE"/>
        </w:rPr>
        <w:t xml:space="preserve">En efecto, el uso de la fuerza y acciones tales como </w:t>
      </w:r>
      <w:r w:rsidR="00277E90" w:rsidRPr="0011380E">
        <w:rPr>
          <w:rFonts w:asciiTheme="majorHAnsi" w:hAnsiTheme="majorHAnsi"/>
          <w:color w:val="auto"/>
          <w:szCs w:val="20"/>
          <w:lang w:val="es-VE"/>
        </w:rPr>
        <w:t xml:space="preserve">incomunicación y </w:t>
      </w:r>
      <w:r w:rsidR="00A26AE4" w:rsidRPr="0011380E">
        <w:rPr>
          <w:rFonts w:asciiTheme="majorHAnsi" w:hAnsiTheme="majorHAnsi"/>
          <w:color w:val="auto"/>
          <w:szCs w:val="20"/>
          <w:lang w:val="es-VE"/>
        </w:rPr>
        <w:t xml:space="preserve">aislamiento de detenidos, deben estar definidos por la excepcionalidad. </w:t>
      </w:r>
      <w:r w:rsidR="00CD05AD" w:rsidRPr="0011380E">
        <w:rPr>
          <w:rFonts w:asciiTheme="majorHAnsi" w:hAnsiTheme="majorHAnsi"/>
          <w:color w:val="auto"/>
          <w:szCs w:val="20"/>
          <w:lang w:val="es-VE"/>
        </w:rPr>
        <w:t>Además, frente a la posibilidad o sospecha que se haya</w:t>
      </w:r>
      <w:r w:rsidR="00A26AE4" w:rsidRPr="0011380E">
        <w:rPr>
          <w:rFonts w:asciiTheme="majorHAnsi" w:hAnsiTheme="majorHAnsi"/>
          <w:color w:val="auto"/>
          <w:szCs w:val="20"/>
          <w:lang w:val="es-VE"/>
        </w:rPr>
        <w:t>n</w:t>
      </w:r>
      <w:r w:rsidR="00CD05AD" w:rsidRPr="0011380E">
        <w:rPr>
          <w:rFonts w:asciiTheme="majorHAnsi" w:hAnsiTheme="majorHAnsi"/>
          <w:color w:val="auto"/>
          <w:szCs w:val="20"/>
          <w:lang w:val="es-VE"/>
        </w:rPr>
        <w:t xml:space="preserve"> cometido actos </w:t>
      </w:r>
      <w:r w:rsidR="00A26AE4" w:rsidRPr="0011380E">
        <w:rPr>
          <w:rFonts w:asciiTheme="majorHAnsi" w:hAnsiTheme="majorHAnsi"/>
          <w:color w:val="auto"/>
          <w:szCs w:val="20"/>
          <w:lang w:val="es-VE"/>
        </w:rPr>
        <w:t>violatorios a la integridad física de una persona</w:t>
      </w:r>
      <w:r w:rsidR="00CD05AD" w:rsidRPr="0011380E">
        <w:rPr>
          <w:rFonts w:asciiTheme="majorHAnsi" w:hAnsiTheme="majorHAnsi"/>
          <w:color w:val="auto"/>
          <w:szCs w:val="20"/>
          <w:lang w:val="es-VE"/>
        </w:rPr>
        <w:t xml:space="preserve">, el Estado tiene la obligación </w:t>
      </w:r>
      <w:r w:rsidR="00A26AE4" w:rsidRPr="0011380E">
        <w:rPr>
          <w:rFonts w:asciiTheme="majorHAnsi" w:hAnsiTheme="majorHAnsi"/>
          <w:color w:val="auto"/>
          <w:szCs w:val="20"/>
          <w:lang w:val="es-VE"/>
        </w:rPr>
        <w:t xml:space="preserve">de </w:t>
      </w:r>
      <w:r w:rsidR="00CD05AD" w:rsidRPr="0011380E">
        <w:rPr>
          <w:rFonts w:asciiTheme="majorHAnsi" w:hAnsiTheme="majorHAnsi"/>
          <w:color w:val="auto"/>
          <w:szCs w:val="20"/>
          <w:lang w:val="es-VE"/>
        </w:rPr>
        <w:t>iniciar de oficio y en el más breve plazo una investigación imparcial, independiente y minuciosa, practicando con la mayor prontitud los exámenes médicos correspondientes, lo que en este caso no ocurrió.</w:t>
      </w:r>
    </w:p>
    <w:p w14:paraId="58D3E055" w14:textId="77777777" w:rsidR="00A26AE4" w:rsidRPr="0011380E" w:rsidRDefault="00A26AE4" w:rsidP="0011380E">
      <w:pPr>
        <w:pStyle w:val="ListParagraph"/>
        <w:numPr>
          <w:ilvl w:val="0"/>
          <w:numId w:val="0"/>
        </w:numPr>
        <w:rPr>
          <w:rFonts w:asciiTheme="majorHAnsi" w:hAnsiTheme="majorHAnsi"/>
          <w:color w:val="auto"/>
          <w:szCs w:val="20"/>
          <w:lang w:val="es-VE"/>
        </w:rPr>
      </w:pPr>
    </w:p>
    <w:p w14:paraId="53520D7F" w14:textId="77777777" w:rsidR="00A26AE4" w:rsidRPr="0011380E" w:rsidRDefault="00A26AE4"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En cuanto al derecho a las garantías judiciales y protección judicial</w:t>
      </w:r>
      <w:r w:rsidR="000E11AF" w:rsidRPr="0011380E">
        <w:rPr>
          <w:rFonts w:asciiTheme="majorHAnsi" w:hAnsiTheme="majorHAnsi"/>
          <w:color w:val="auto"/>
          <w:szCs w:val="20"/>
          <w:lang w:val="es-VE"/>
        </w:rPr>
        <w:t>, los peticionarios alegan que no co</w:t>
      </w:r>
      <w:r w:rsidR="00715F91" w:rsidRPr="0011380E">
        <w:rPr>
          <w:rFonts w:asciiTheme="majorHAnsi" w:hAnsiTheme="majorHAnsi"/>
          <w:color w:val="auto"/>
          <w:szCs w:val="20"/>
          <w:lang w:val="es-VE"/>
        </w:rPr>
        <w:t>ntaron con asistencia ni</w:t>
      </w:r>
      <w:r w:rsidR="000E11AF" w:rsidRPr="0011380E">
        <w:rPr>
          <w:rFonts w:asciiTheme="majorHAnsi" w:hAnsiTheme="majorHAnsi"/>
          <w:color w:val="auto"/>
          <w:szCs w:val="20"/>
          <w:lang w:val="es-VE"/>
        </w:rPr>
        <w:t xml:space="preserve"> tutela legal efectiva durante toda la sustanciación del proceso penal en su contra. Desde un primer momento sus denuncias sobre torturas y malos tratos</w:t>
      </w:r>
      <w:r w:rsidR="00715F91" w:rsidRPr="0011380E">
        <w:rPr>
          <w:rFonts w:asciiTheme="majorHAnsi" w:hAnsiTheme="majorHAnsi"/>
          <w:color w:val="auto"/>
          <w:szCs w:val="20"/>
          <w:lang w:val="es-VE"/>
        </w:rPr>
        <w:t xml:space="preserve"> fueron desatendidas</w:t>
      </w:r>
      <w:r w:rsidR="000E11AF" w:rsidRPr="0011380E">
        <w:rPr>
          <w:rFonts w:asciiTheme="majorHAnsi" w:hAnsiTheme="majorHAnsi"/>
          <w:color w:val="auto"/>
          <w:szCs w:val="20"/>
          <w:lang w:val="es-VE"/>
        </w:rPr>
        <w:t xml:space="preserve">, lo que revela no solo que la defensa que recibieron fue </w:t>
      </w:r>
      <w:r w:rsidR="00121D63" w:rsidRPr="0011380E">
        <w:rPr>
          <w:rFonts w:asciiTheme="majorHAnsi" w:hAnsiTheme="majorHAnsi"/>
          <w:color w:val="auto"/>
          <w:szCs w:val="20"/>
          <w:lang w:val="es-VE"/>
        </w:rPr>
        <w:t>inútil</w:t>
      </w:r>
      <w:r w:rsidR="000E11AF" w:rsidRPr="0011380E">
        <w:rPr>
          <w:rFonts w:asciiTheme="majorHAnsi" w:hAnsiTheme="majorHAnsi"/>
          <w:color w:val="auto"/>
          <w:szCs w:val="20"/>
          <w:lang w:val="es-VE"/>
        </w:rPr>
        <w:t xml:space="preserve"> ante los abusos de los agentes de la policía, sino que</w:t>
      </w:r>
      <w:r w:rsidR="00715F91" w:rsidRPr="0011380E">
        <w:rPr>
          <w:rFonts w:asciiTheme="majorHAnsi" w:hAnsiTheme="majorHAnsi"/>
          <w:color w:val="auto"/>
          <w:szCs w:val="20"/>
          <w:lang w:val="es-VE"/>
        </w:rPr>
        <w:t>,</w:t>
      </w:r>
      <w:r w:rsidR="000E11AF" w:rsidRPr="0011380E">
        <w:rPr>
          <w:rFonts w:asciiTheme="majorHAnsi" w:hAnsiTheme="majorHAnsi"/>
          <w:color w:val="auto"/>
          <w:szCs w:val="20"/>
          <w:lang w:val="es-VE"/>
        </w:rPr>
        <w:t xml:space="preserve"> además</w:t>
      </w:r>
      <w:r w:rsidR="00715F91" w:rsidRPr="0011380E">
        <w:rPr>
          <w:rFonts w:asciiTheme="majorHAnsi" w:hAnsiTheme="majorHAnsi"/>
          <w:color w:val="auto"/>
          <w:szCs w:val="20"/>
          <w:lang w:val="es-VE"/>
        </w:rPr>
        <w:t>,</w:t>
      </w:r>
      <w:r w:rsidR="000E11AF" w:rsidRPr="0011380E">
        <w:rPr>
          <w:rFonts w:asciiTheme="majorHAnsi" w:hAnsiTheme="majorHAnsi"/>
          <w:color w:val="auto"/>
          <w:szCs w:val="20"/>
          <w:lang w:val="es-VE"/>
        </w:rPr>
        <w:t xml:space="preserve"> existió una total ausencia de imparcialidad </w:t>
      </w:r>
      <w:r w:rsidR="00BD5103" w:rsidRPr="0011380E">
        <w:rPr>
          <w:rFonts w:asciiTheme="majorHAnsi" w:hAnsiTheme="majorHAnsi"/>
          <w:color w:val="auto"/>
          <w:szCs w:val="20"/>
          <w:lang w:val="es-VE"/>
        </w:rPr>
        <w:t>del</w:t>
      </w:r>
      <w:r w:rsidR="000E11AF" w:rsidRPr="0011380E">
        <w:rPr>
          <w:rFonts w:asciiTheme="majorHAnsi" w:hAnsiTheme="majorHAnsi"/>
          <w:color w:val="auto"/>
          <w:szCs w:val="20"/>
          <w:lang w:val="es-VE"/>
        </w:rPr>
        <w:t xml:space="preserve"> ente juzgador.</w:t>
      </w:r>
      <w:r w:rsidR="00E021C1" w:rsidRPr="0011380E">
        <w:rPr>
          <w:rFonts w:asciiTheme="majorHAnsi" w:hAnsiTheme="majorHAnsi"/>
          <w:color w:val="auto"/>
          <w:szCs w:val="20"/>
          <w:lang w:val="es-VE"/>
        </w:rPr>
        <w:t xml:space="preserve"> Además</w:t>
      </w:r>
      <w:r w:rsidR="00715F91" w:rsidRPr="0011380E">
        <w:rPr>
          <w:rFonts w:asciiTheme="majorHAnsi" w:hAnsiTheme="majorHAnsi"/>
          <w:color w:val="auto"/>
          <w:szCs w:val="20"/>
          <w:lang w:val="es-VE"/>
        </w:rPr>
        <w:t>,</w:t>
      </w:r>
      <w:r w:rsidR="00E021C1" w:rsidRPr="0011380E">
        <w:rPr>
          <w:rFonts w:asciiTheme="majorHAnsi" w:hAnsiTheme="majorHAnsi"/>
          <w:color w:val="auto"/>
          <w:szCs w:val="20"/>
          <w:lang w:val="es-VE"/>
        </w:rPr>
        <w:t xml:space="preserve"> se vulner</w:t>
      </w:r>
      <w:r w:rsidR="00715F91" w:rsidRPr="0011380E">
        <w:rPr>
          <w:rFonts w:asciiTheme="majorHAnsi" w:hAnsiTheme="majorHAnsi"/>
          <w:color w:val="auto"/>
          <w:szCs w:val="20"/>
          <w:lang w:val="es-VE"/>
        </w:rPr>
        <w:t xml:space="preserve">aron sus </w:t>
      </w:r>
      <w:r w:rsidR="00E021C1" w:rsidRPr="0011380E">
        <w:rPr>
          <w:rFonts w:asciiTheme="majorHAnsi" w:hAnsiTheme="majorHAnsi"/>
          <w:color w:val="auto"/>
          <w:szCs w:val="20"/>
          <w:lang w:val="es-VE"/>
        </w:rPr>
        <w:t>derecho</w:t>
      </w:r>
      <w:r w:rsidR="00715F91" w:rsidRPr="0011380E">
        <w:rPr>
          <w:rFonts w:asciiTheme="majorHAnsi" w:hAnsiTheme="majorHAnsi"/>
          <w:color w:val="auto"/>
          <w:szCs w:val="20"/>
          <w:lang w:val="es-VE"/>
        </w:rPr>
        <w:t>s</w:t>
      </w:r>
      <w:r w:rsidR="00E021C1" w:rsidRPr="0011380E">
        <w:rPr>
          <w:rFonts w:asciiTheme="majorHAnsi" w:hAnsiTheme="majorHAnsi"/>
          <w:color w:val="auto"/>
          <w:szCs w:val="20"/>
          <w:lang w:val="es-VE"/>
        </w:rPr>
        <w:t xml:space="preserve"> a la presunción de inocencia, ya que </w:t>
      </w:r>
      <w:r w:rsidR="007F4F54" w:rsidRPr="0011380E">
        <w:rPr>
          <w:rFonts w:asciiTheme="majorHAnsi" w:hAnsiTheme="majorHAnsi"/>
          <w:color w:val="auto"/>
          <w:szCs w:val="20"/>
          <w:lang w:val="es-VE"/>
        </w:rPr>
        <w:t xml:space="preserve">– </w:t>
      </w:r>
      <w:r w:rsidR="00715F91" w:rsidRPr="0011380E">
        <w:rPr>
          <w:rFonts w:asciiTheme="majorHAnsi" w:hAnsiTheme="majorHAnsi"/>
          <w:color w:val="auto"/>
          <w:szCs w:val="20"/>
          <w:lang w:val="es-VE"/>
        </w:rPr>
        <w:t>asumiéndose</w:t>
      </w:r>
      <w:r w:rsidR="007F4F54" w:rsidRPr="0011380E">
        <w:rPr>
          <w:rFonts w:asciiTheme="majorHAnsi" w:hAnsiTheme="majorHAnsi"/>
          <w:color w:val="auto"/>
          <w:szCs w:val="20"/>
          <w:lang w:val="es-VE"/>
        </w:rPr>
        <w:t xml:space="preserve"> su culpabilidad de antemano – </w:t>
      </w:r>
      <w:r w:rsidR="00E021C1" w:rsidRPr="0011380E">
        <w:rPr>
          <w:rFonts w:asciiTheme="majorHAnsi" w:hAnsiTheme="majorHAnsi"/>
          <w:color w:val="auto"/>
          <w:szCs w:val="20"/>
          <w:lang w:val="es-VE"/>
        </w:rPr>
        <w:t>fueron</w:t>
      </w:r>
      <w:r w:rsidR="007F4F54" w:rsidRPr="0011380E">
        <w:rPr>
          <w:rFonts w:asciiTheme="majorHAnsi" w:hAnsiTheme="majorHAnsi"/>
          <w:color w:val="auto"/>
          <w:szCs w:val="20"/>
          <w:lang w:val="es-VE"/>
        </w:rPr>
        <w:t xml:space="preserve"> </w:t>
      </w:r>
      <w:r w:rsidR="00E021C1" w:rsidRPr="0011380E">
        <w:rPr>
          <w:rFonts w:asciiTheme="majorHAnsi" w:hAnsiTheme="majorHAnsi"/>
          <w:color w:val="auto"/>
          <w:szCs w:val="20"/>
          <w:lang w:val="es-VE"/>
        </w:rPr>
        <w:t>obligados a</w:t>
      </w:r>
      <w:r w:rsidR="007F4F54" w:rsidRPr="0011380E">
        <w:rPr>
          <w:rFonts w:asciiTheme="majorHAnsi" w:hAnsiTheme="majorHAnsi"/>
          <w:color w:val="auto"/>
          <w:szCs w:val="20"/>
          <w:lang w:val="es-VE"/>
        </w:rPr>
        <w:t xml:space="preserve"> auto-incriminarse</w:t>
      </w:r>
      <w:r w:rsidR="00715F91" w:rsidRPr="0011380E">
        <w:rPr>
          <w:rFonts w:asciiTheme="majorHAnsi" w:hAnsiTheme="majorHAnsi"/>
          <w:color w:val="auto"/>
          <w:szCs w:val="20"/>
          <w:lang w:val="es-VE"/>
        </w:rPr>
        <w:t xml:space="preserve">. </w:t>
      </w:r>
      <w:r w:rsidR="00277E90" w:rsidRPr="0011380E">
        <w:rPr>
          <w:rFonts w:asciiTheme="majorHAnsi" w:hAnsiTheme="majorHAnsi"/>
          <w:color w:val="auto"/>
          <w:szCs w:val="20"/>
          <w:lang w:val="es-VE"/>
        </w:rPr>
        <w:t>También</w:t>
      </w:r>
      <w:r w:rsidR="00715F91" w:rsidRPr="0011380E">
        <w:rPr>
          <w:rFonts w:asciiTheme="majorHAnsi" w:hAnsiTheme="majorHAnsi"/>
          <w:color w:val="auto"/>
          <w:szCs w:val="20"/>
          <w:lang w:val="es-VE"/>
        </w:rPr>
        <w:t xml:space="preserve"> alegan que se violó</w:t>
      </w:r>
      <w:r w:rsidR="00277E90" w:rsidRPr="0011380E">
        <w:rPr>
          <w:rFonts w:asciiTheme="majorHAnsi" w:hAnsiTheme="majorHAnsi"/>
          <w:color w:val="auto"/>
          <w:szCs w:val="20"/>
          <w:lang w:val="es-VE"/>
        </w:rPr>
        <w:t xml:space="preserve"> la garantía de publicidad del proceso penal durante el aislamiento e incomunicación</w:t>
      </w:r>
      <w:r w:rsidR="00715F91" w:rsidRPr="0011380E">
        <w:rPr>
          <w:rFonts w:asciiTheme="majorHAnsi" w:hAnsiTheme="majorHAnsi"/>
          <w:color w:val="auto"/>
          <w:szCs w:val="20"/>
          <w:lang w:val="es-VE"/>
        </w:rPr>
        <w:t>,</w:t>
      </w:r>
      <w:r w:rsidR="00277E90" w:rsidRPr="0011380E">
        <w:rPr>
          <w:rFonts w:asciiTheme="majorHAnsi" w:hAnsiTheme="majorHAnsi"/>
          <w:color w:val="auto"/>
          <w:szCs w:val="20"/>
          <w:lang w:val="es-VE"/>
        </w:rPr>
        <w:t xml:space="preserve"> debido a la falta de acceso a las actuaciones judiciales que se llevaron adelante durante tal período, las que resultarían inquisidoras y carentes de legitimidad y legalidad. </w:t>
      </w:r>
      <w:r w:rsidR="008163CF" w:rsidRPr="0011380E">
        <w:rPr>
          <w:rFonts w:asciiTheme="majorHAnsi" w:hAnsiTheme="majorHAnsi"/>
          <w:color w:val="auto"/>
          <w:szCs w:val="20"/>
          <w:lang w:val="es-VE"/>
        </w:rPr>
        <w:t>Finalmente</w:t>
      </w:r>
      <w:r w:rsidR="00277E90" w:rsidRPr="0011380E">
        <w:rPr>
          <w:rFonts w:asciiTheme="majorHAnsi" w:hAnsiTheme="majorHAnsi"/>
          <w:color w:val="auto"/>
          <w:szCs w:val="20"/>
          <w:lang w:val="es-VE"/>
        </w:rPr>
        <w:t>, las diver</w:t>
      </w:r>
      <w:r w:rsidR="00BD5103" w:rsidRPr="0011380E">
        <w:rPr>
          <w:rFonts w:asciiTheme="majorHAnsi" w:hAnsiTheme="majorHAnsi"/>
          <w:color w:val="auto"/>
          <w:szCs w:val="20"/>
          <w:lang w:val="es-VE"/>
        </w:rPr>
        <w:t>s</w:t>
      </w:r>
      <w:r w:rsidR="00277E90" w:rsidRPr="0011380E">
        <w:rPr>
          <w:rFonts w:asciiTheme="majorHAnsi" w:hAnsiTheme="majorHAnsi"/>
          <w:color w:val="auto"/>
          <w:szCs w:val="20"/>
          <w:lang w:val="es-VE"/>
        </w:rPr>
        <w:t>as actuaciones del Estado boliviano habrían vulnerado el principio de legalidad, al no justificar la adecuación de sus actuaciones al marco legal.</w:t>
      </w:r>
    </w:p>
    <w:p w14:paraId="0DDC9B34" w14:textId="77777777" w:rsidR="005102B8" w:rsidRPr="0011380E" w:rsidRDefault="005102B8" w:rsidP="0011380E">
      <w:pPr>
        <w:pStyle w:val="ListParagraph"/>
        <w:numPr>
          <w:ilvl w:val="0"/>
          <w:numId w:val="0"/>
        </w:numPr>
        <w:rPr>
          <w:rFonts w:asciiTheme="majorHAnsi" w:hAnsiTheme="majorHAnsi"/>
          <w:color w:val="auto"/>
          <w:szCs w:val="20"/>
          <w:lang w:val="es-VE"/>
        </w:rPr>
      </w:pPr>
    </w:p>
    <w:p w14:paraId="633ADA1A" w14:textId="77777777" w:rsidR="005102B8" w:rsidRPr="0011380E" w:rsidRDefault="008163CF" w:rsidP="0011380E">
      <w:pPr>
        <w:pStyle w:val="ListParagraph"/>
        <w:rPr>
          <w:rFonts w:asciiTheme="majorHAnsi" w:hAnsiTheme="majorHAnsi"/>
          <w:color w:val="auto"/>
          <w:szCs w:val="20"/>
          <w:lang w:val="es-VE"/>
        </w:rPr>
      </w:pPr>
      <w:r w:rsidRPr="0011380E">
        <w:rPr>
          <w:rFonts w:asciiTheme="majorHAnsi" w:hAnsiTheme="majorHAnsi"/>
          <w:color w:val="auto"/>
          <w:szCs w:val="20"/>
          <w:lang w:val="es-VE"/>
        </w:rPr>
        <w:t xml:space="preserve">Por último, sostienen </w:t>
      </w:r>
      <w:r w:rsidR="005102B8" w:rsidRPr="0011380E">
        <w:rPr>
          <w:rFonts w:asciiTheme="majorHAnsi" w:hAnsiTheme="majorHAnsi"/>
          <w:color w:val="auto"/>
          <w:szCs w:val="20"/>
          <w:lang w:val="es-VE"/>
        </w:rPr>
        <w:t>que las prácticas represivas ejerci</w:t>
      </w:r>
      <w:r w:rsidR="003F4F55" w:rsidRPr="0011380E">
        <w:rPr>
          <w:rFonts w:asciiTheme="majorHAnsi" w:hAnsiTheme="majorHAnsi"/>
          <w:color w:val="auto"/>
          <w:szCs w:val="20"/>
          <w:lang w:val="es-VE"/>
        </w:rPr>
        <w:t>das por</w:t>
      </w:r>
      <w:r w:rsidR="005102B8" w:rsidRPr="0011380E">
        <w:rPr>
          <w:rFonts w:asciiTheme="majorHAnsi" w:hAnsiTheme="majorHAnsi"/>
          <w:color w:val="auto"/>
          <w:szCs w:val="20"/>
          <w:lang w:val="es-VE"/>
        </w:rPr>
        <w:t xml:space="preserve"> las autoridades policiales y judiciales constituyeron graves vulneraciones al derecho a la honra</w:t>
      </w:r>
      <w:r w:rsidRPr="0011380E">
        <w:rPr>
          <w:rFonts w:asciiTheme="majorHAnsi" w:hAnsiTheme="majorHAnsi"/>
          <w:color w:val="auto"/>
          <w:szCs w:val="20"/>
          <w:lang w:val="es-VE"/>
        </w:rPr>
        <w:t xml:space="preserve"> y dignidad de los peticionarios, al ser allanados sus </w:t>
      </w:r>
      <w:r w:rsidR="00715F91" w:rsidRPr="0011380E">
        <w:rPr>
          <w:rFonts w:asciiTheme="majorHAnsi" w:hAnsiTheme="majorHAnsi"/>
          <w:color w:val="auto"/>
          <w:szCs w:val="20"/>
          <w:lang w:val="es-VE"/>
        </w:rPr>
        <w:t xml:space="preserve">hogares </w:t>
      </w:r>
      <w:r w:rsidRPr="0011380E">
        <w:rPr>
          <w:rFonts w:asciiTheme="majorHAnsi" w:hAnsiTheme="majorHAnsi"/>
          <w:color w:val="auto"/>
          <w:szCs w:val="20"/>
          <w:lang w:val="es-VE"/>
        </w:rPr>
        <w:t>en la madrugada, violando su domicilio, vida privada y familiar y correspondencia. Además, el Estado propició un ataque a la honra y</w:t>
      </w:r>
      <w:r w:rsidR="00B303AF" w:rsidRPr="0011380E">
        <w:rPr>
          <w:rFonts w:asciiTheme="majorHAnsi" w:hAnsiTheme="majorHAnsi"/>
          <w:color w:val="auto"/>
          <w:szCs w:val="20"/>
          <w:lang w:val="es-VE"/>
        </w:rPr>
        <w:t xml:space="preserve"> valía de los peticionarios al exponerlos mediáticamente como criminales y estigmatizarlos, </w:t>
      </w:r>
      <w:r w:rsidR="00D8561C" w:rsidRPr="0011380E">
        <w:rPr>
          <w:rFonts w:asciiTheme="majorHAnsi" w:hAnsiTheme="majorHAnsi"/>
          <w:color w:val="auto"/>
          <w:szCs w:val="20"/>
          <w:lang w:val="es-VE"/>
        </w:rPr>
        <w:t>generando</w:t>
      </w:r>
      <w:r w:rsidR="00B303AF" w:rsidRPr="0011380E">
        <w:rPr>
          <w:rFonts w:asciiTheme="majorHAnsi" w:hAnsiTheme="majorHAnsi"/>
          <w:color w:val="auto"/>
          <w:szCs w:val="20"/>
          <w:lang w:val="es-VE"/>
        </w:rPr>
        <w:t xml:space="preserve"> una opinión pública condenatoria.</w:t>
      </w:r>
    </w:p>
    <w:p w14:paraId="63CE0AD5" w14:textId="77777777" w:rsidR="00166189" w:rsidRPr="0011380E" w:rsidRDefault="00166189" w:rsidP="0011380E">
      <w:pPr>
        <w:tabs>
          <w:tab w:val="left" w:pos="720"/>
          <w:tab w:val="left" w:pos="1440"/>
        </w:tabs>
        <w:jc w:val="both"/>
        <w:rPr>
          <w:rFonts w:asciiTheme="majorHAnsi" w:hAnsiTheme="majorHAnsi"/>
          <w:sz w:val="20"/>
          <w:szCs w:val="20"/>
          <w:lang w:val="es-VE"/>
        </w:rPr>
      </w:pPr>
    </w:p>
    <w:p w14:paraId="72828317" w14:textId="77777777" w:rsidR="00D12193" w:rsidRPr="0011380E" w:rsidRDefault="0022273F" w:rsidP="005F3D64">
      <w:pPr>
        <w:pStyle w:val="Heading2"/>
        <w:ind w:left="720" w:hanging="720"/>
        <w:rPr>
          <w:lang w:val="es-ES_tradnl"/>
        </w:rPr>
      </w:pPr>
      <w:bookmarkStart w:id="7" w:name="_Toc11750400"/>
      <w:r w:rsidRPr="00D6752C">
        <w:t>Estado</w:t>
      </w:r>
      <w:bookmarkEnd w:id="7"/>
      <w:r w:rsidR="00CC63CF" w:rsidRPr="0011380E">
        <w:rPr>
          <w:lang w:val="es-ES_tradnl"/>
        </w:rPr>
        <w:t xml:space="preserve"> </w:t>
      </w:r>
    </w:p>
    <w:p w14:paraId="13EBF0E9" w14:textId="77777777" w:rsidR="007C756A" w:rsidRPr="0011380E" w:rsidRDefault="007C756A" w:rsidP="0011380E">
      <w:pPr>
        <w:suppressAutoHyphens/>
        <w:rPr>
          <w:rFonts w:asciiTheme="majorHAnsi" w:hAnsiTheme="majorHAnsi"/>
          <w:sz w:val="20"/>
          <w:szCs w:val="20"/>
          <w:lang w:val="es-ES_tradnl"/>
        </w:rPr>
      </w:pPr>
    </w:p>
    <w:p w14:paraId="5D85CF51" w14:textId="77777777" w:rsidR="00277EF9" w:rsidRPr="0011380E" w:rsidRDefault="00277EF9"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En</w:t>
      </w:r>
      <w:r w:rsidRPr="0011380E">
        <w:rPr>
          <w:rFonts w:asciiTheme="majorHAnsi" w:hAnsiTheme="majorHAnsi"/>
          <w:color w:val="auto"/>
          <w:szCs w:val="20"/>
          <w:lang w:val="es-CR"/>
        </w:rPr>
        <w:t xml:space="preserve"> la presente etapa el Estado </w:t>
      </w:r>
      <w:r w:rsidR="00A23BD2">
        <w:rPr>
          <w:rFonts w:asciiTheme="majorHAnsi" w:hAnsiTheme="majorHAnsi"/>
          <w:color w:val="auto"/>
          <w:szCs w:val="20"/>
          <w:lang w:val="es-CR"/>
        </w:rPr>
        <w:t>reiteró</w:t>
      </w:r>
      <w:r w:rsidRPr="0011380E">
        <w:rPr>
          <w:rFonts w:asciiTheme="majorHAnsi" w:hAnsiTheme="majorHAnsi"/>
          <w:color w:val="auto"/>
          <w:szCs w:val="20"/>
          <w:lang w:val="es-CR"/>
        </w:rPr>
        <w:t xml:space="preserve"> alegatos relativos a la admisibilidad de la petición</w:t>
      </w:r>
      <w:r w:rsidR="00286DBB" w:rsidRPr="0011380E">
        <w:rPr>
          <w:rFonts w:asciiTheme="majorHAnsi" w:hAnsiTheme="majorHAnsi"/>
          <w:color w:val="auto"/>
          <w:szCs w:val="20"/>
          <w:lang w:val="es-CR"/>
        </w:rPr>
        <w:t>,</w:t>
      </w:r>
      <w:r w:rsidRPr="0011380E">
        <w:rPr>
          <w:rFonts w:asciiTheme="majorHAnsi" w:hAnsiTheme="majorHAnsi"/>
          <w:color w:val="auto"/>
          <w:szCs w:val="20"/>
          <w:lang w:val="es-CR"/>
        </w:rPr>
        <w:t xml:space="preserve"> los </w:t>
      </w:r>
      <w:r w:rsidR="003F4F55" w:rsidRPr="0011380E">
        <w:rPr>
          <w:rFonts w:asciiTheme="majorHAnsi" w:hAnsiTheme="majorHAnsi"/>
          <w:color w:val="auto"/>
          <w:szCs w:val="20"/>
          <w:lang w:val="es-CR"/>
        </w:rPr>
        <w:t>que</w:t>
      </w:r>
      <w:r w:rsidRPr="0011380E">
        <w:rPr>
          <w:rFonts w:asciiTheme="majorHAnsi" w:hAnsiTheme="majorHAnsi"/>
          <w:color w:val="auto"/>
          <w:szCs w:val="20"/>
          <w:lang w:val="es-CR"/>
        </w:rPr>
        <w:t xml:space="preserve"> no serán r</w:t>
      </w:r>
      <w:r w:rsidR="00286DBB" w:rsidRPr="0011380E">
        <w:rPr>
          <w:rFonts w:asciiTheme="majorHAnsi" w:hAnsiTheme="majorHAnsi"/>
          <w:color w:val="auto"/>
          <w:szCs w:val="20"/>
          <w:lang w:val="es-CR"/>
        </w:rPr>
        <w:t xml:space="preserve">eferidos en </w:t>
      </w:r>
      <w:r w:rsidR="00BD5103" w:rsidRPr="0011380E">
        <w:rPr>
          <w:rFonts w:asciiTheme="majorHAnsi" w:hAnsiTheme="majorHAnsi"/>
          <w:color w:val="auto"/>
          <w:szCs w:val="20"/>
          <w:lang w:val="es-CR"/>
        </w:rPr>
        <w:t>esta</w:t>
      </w:r>
      <w:r w:rsidR="00286DBB" w:rsidRPr="0011380E">
        <w:rPr>
          <w:rFonts w:asciiTheme="majorHAnsi" w:hAnsiTheme="majorHAnsi"/>
          <w:color w:val="auto"/>
          <w:szCs w:val="20"/>
          <w:lang w:val="es-CR"/>
        </w:rPr>
        <w:t xml:space="preserve"> sección</w:t>
      </w:r>
      <w:r w:rsidRPr="0011380E">
        <w:rPr>
          <w:rFonts w:asciiTheme="majorHAnsi" w:hAnsiTheme="majorHAnsi"/>
          <w:color w:val="auto"/>
          <w:szCs w:val="20"/>
          <w:lang w:val="es-CR"/>
        </w:rPr>
        <w:t xml:space="preserve"> en tanto</w:t>
      </w:r>
      <w:r w:rsidR="00BD5103" w:rsidRPr="0011380E">
        <w:rPr>
          <w:rFonts w:asciiTheme="majorHAnsi" w:hAnsiTheme="majorHAnsi"/>
          <w:color w:val="auto"/>
          <w:szCs w:val="20"/>
          <w:lang w:val="es-CR"/>
        </w:rPr>
        <w:t xml:space="preserve"> ya</w:t>
      </w:r>
      <w:r w:rsidRPr="0011380E">
        <w:rPr>
          <w:rFonts w:asciiTheme="majorHAnsi" w:hAnsiTheme="majorHAnsi"/>
          <w:color w:val="auto"/>
          <w:szCs w:val="20"/>
          <w:lang w:val="es-CR"/>
        </w:rPr>
        <w:t xml:space="preserve"> fueron decididos por la Comisión en su Informe de Admisibilidad No. </w:t>
      </w:r>
      <w:r w:rsidR="004E13C2" w:rsidRPr="0011380E">
        <w:rPr>
          <w:rFonts w:asciiTheme="majorHAnsi" w:hAnsiTheme="majorHAnsi"/>
          <w:color w:val="auto"/>
          <w:szCs w:val="20"/>
          <w:lang w:val="es-CR"/>
        </w:rPr>
        <w:t>84</w:t>
      </w:r>
      <w:r w:rsidRPr="0011380E">
        <w:rPr>
          <w:rFonts w:asciiTheme="majorHAnsi" w:hAnsiTheme="majorHAnsi"/>
          <w:color w:val="auto"/>
          <w:szCs w:val="20"/>
          <w:lang w:val="es-CR"/>
        </w:rPr>
        <w:t>/</w:t>
      </w:r>
      <w:r w:rsidR="004E13C2" w:rsidRPr="0011380E">
        <w:rPr>
          <w:rFonts w:asciiTheme="majorHAnsi" w:hAnsiTheme="majorHAnsi"/>
          <w:color w:val="auto"/>
          <w:szCs w:val="20"/>
          <w:lang w:val="es-CR"/>
        </w:rPr>
        <w:t>08</w:t>
      </w:r>
      <w:r w:rsidRPr="0011380E">
        <w:rPr>
          <w:rFonts w:asciiTheme="majorHAnsi" w:hAnsiTheme="majorHAnsi"/>
          <w:color w:val="auto"/>
          <w:szCs w:val="20"/>
          <w:lang w:val="es-CR"/>
        </w:rPr>
        <w:t>.</w:t>
      </w:r>
      <w:r w:rsidR="00A65251" w:rsidRPr="0011380E">
        <w:rPr>
          <w:rFonts w:asciiTheme="majorHAnsi" w:hAnsiTheme="majorHAnsi"/>
          <w:color w:val="auto"/>
          <w:szCs w:val="20"/>
          <w:lang w:val="es-CR"/>
        </w:rPr>
        <w:t xml:space="preserve"> En cuanto al fondo</w:t>
      </w:r>
      <w:r w:rsidR="00BB3ABE" w:rsidRPr="0011380E">
        <w:rPr>
          <w:rFonts w:asciiTheme="majorHAnsi" w:hAnsiTheme="majorHAnsi"/>
          <w:color w:val="auto"/>
          <w:szCs w:val="20"/>
          <w:lang w:val="es-CR"/>
        </w:rPr>
        <w:t>, Bolivia argumenta que su actuar se enmarc</w:t>
      </w:r>
      <w:r w:rsidR="003F4F55" w:rsidRPr="0011380E">
        <w:rPr>
          <w:rFonts w:asciiTheme="majorHAnsi" w:hAnsiTheme="majorHAnsi"/>
          <w:color w:val="auto"/>
          <w:szCs w:val="20"/>
          <w:lang w:val="es-CR"/>
        </w:rPr>
        <w:t>ó</w:t>
      </w:r>
      <w:r w:rsidR="00BB3ABE" w:rsidRPr="0011380E">
        <w:rPr>
          <w:rFonts w:asciiTheme="majorHAnsi" w:hAnsiTheme="majorHAnsi"/>
          <w:color w:val="auto"/>
          <w:szCs w:val="20"/>
          <w:lang w:val="es-CR"/>
        </w:rPr>
        <w:t xml:space="preserve"> d</w:t>
      </w:r>
      <w:r w:rsidR="00272E75" w:rsidRPr="0011380E">
        <w:rPr>
          <w:rFonts w:asciiTheme="majorHAnsi" w:hAnsiTheme="majorHAnsi"/>
          <w:color w:val="auto"/>
          <w:szCs w:val="20"/>
          <w:lang w:val="es-CR"/>
        </w:rPr>
        <w:t>entro de su obligación de mante</w:t>
      </w:r>
      <w:r w:rsidR="00BB3ABE" w:rsidRPr="0011380E">
        <w:rPr>
          <w:rFonts w:asciiTheme="majorHAnsi" w:hAnsiTheme="majorHAnsi"/>
          <w:color w:val="auto"/>
          <w:szCs w:val="20"/>
          <w:lang w:val="es-CR"/>
        </w:rPr>
        <w:t>ner el orden</w:t>
      </w:r>
      <w:r w:rsidR="00272E75" w:rsidRPr="0011380E">
        <w:rPr>
          <w:rFonts w:asciiTheme="majorHAnsi" w:hAnsiTheme="majorHAnsi"/>
          <w:color w:val="auto"/>
          <w:szCs w:val="20"/>
          <w:lang w:val="es-CR"/>
        </w:rPr>
        <w:t>, ya que q</w:t>
      </w:r>
      <w:r w:rsidR="003F4F55" w:rsidRPr="0011380E">
        <w:rPr>
          <w:rFonts w:asciiTheme="majorHAnsi" w:hAnsiTheme="majorHAnsi"/>
          <w:color w:val="auto"/>
          <w:szCs w:val="20"/>
          <w:lang w:val="es-CR"/>
        </w:rPr>
        <w:t xml:space="preserve">uienes alegan </w:t>
      </w:r>
      <w:r w:rsidR="00BB3ABE" w:rsidRPr="0011380E">
        <w:rPr>
          <w:rFonts w:asciiTheme="majorHAnsi" w:hAnsiTheme="majorHAnsi"/>
          <w:color w:val="auto"/>
          <w:szCs w:val="20"/>
          <w:lang w:val="es-CR"/>
        </w:rPr>
        <w:t xml:space="preserve">violaciones de derechos </w:t>
      </w:r>
      <w:r w:rsidR="003F4F55" w:rsidRPr="0011380E">
        <w:rPr>
          <w:rFonts w:asciiTheme="majorHAnsi" w:hAnsiTheme="majorHAnsi"/>
          <w:color w:val="auto"/>
          <w:szCs w:val="20"/>
          <w:lang w:val="es-CR"/>
        </w:rPr>
        <w:t>en este caso son</w:t>
      </w:r>
      <w:r w:rsidR="00BB3ABE" w:rsidRPr="0011380E">
        <w:rPr>
          <w:rFonts w:asciiTheme="majorHAnsi" w:hAnsiTheme="majorHAnsi"/>
          <w:color w:val="auto"/>
          <w:szCs w:val="20"/>
          <w:lang w:val="es-CR"/>
        </w:rPr>
        <w:t xml:space="preserve"> personas que formaron parte de un grupo criminal organizado</w:t>
      </w:r>
      <w:r w:rsidR="003F4F55" w:rsidRPr="0011380E">
        <w:rPr>
          <w:rFonts w:asciiTheme="majorHAnsi" w:hAnsiTheme="majorHAnsi"/>
          <w:color w:val="auto"/>
          <w:szCs w:val="20"/>
          <w:lang w:val="es-CR"/>
        </w:rPr>
        <w:t>, que por su</w:t>
      </w:r>
      <w:r w:rsidR="00BB3ABE" w:rsidRPr="0011380E">
        <w:rPr>
          <w:rFonts w:asciiTheme="majorHAnsi" w:hAnsiTheme="majorHAnsi"/>
          <w:color w:val="auto"/>
          <w:szCs w:val="20"/>
          <w:lang w:val="es-CR"/>
        </w:rPr>
        <w:t xml:space="preserve"> alto grado de peligrosidad</w:t>
      </w:r>
      <w:r w:rsidR="003F4F55" w:rsidRPr="0011380E">
        <w:rPr>
          <w:rFonts w:asciiTheme="majorHAnsi" w:hAnsiTheme="majorHAnsi"/>
          <w:color w:val="auto"/>
          <w:szCs w:val="20"/>
          <w:lang w:val="es-ES"/>
        </w:rPr>
        <w:t xml:space="preserve"> </w:t>
      </w:r>
      <w:r w:rsidR="00BB3ABE" w:rsidRPr="0011380E">
        <w:rPr>
          <w:rFonts w:asciiTheme="majorHAnsi" w:hAnsiTheme="majorHAnsi"/>
          <w:color w:val="auto"/>
          <w:szCs w:val="20"/>
          <w:lang w:val="es-CR"/>
        </w:rPr>
        <w:t>fueron cap</w:t>
      </w:r>
      <w:r w:rsidR="00D21A4E" w:rsidRPr="0011380E">
        <w:rPr>
          <w:rFonts w:asciiTheme="majorHAnsi" w:hAnsiTheme="majorHAnsi"/>
          <w:color w:val="auto"/>
          <w:szCs w:val="20"/>
          <w:lang w:val="es-CR"/>
        </w:rPr>
        <w:t>t</w:t>
      </w:r>
      <w:r w:rsidR="00286DBB" w:rsidRPr="0011380E">
        <w:rPr>
          <w:rFonts w:asciiTheme="majorHAnsi" w:hAnsiTheme="majorHAnsi"/>
          <w:color w:val="auto"/>
          <w:szCs w:val="20"/>
          <w:lang w:val="es-CR"/>
        </w:rPr>
        <w:t>urada</w:t>
      </w:r>
      <w:r w:rsidR="00D21A4E" w:rsidRPr="0011380E">
        <w:rPr>
          <w:rFonts w:asciiTheme="majorHAnsi" w:hAnsiTheme="majorHAnsi"/>
          <w:color w:val="auto"/>
          <w:szCs w:val="20"/>
          <w:lang w:val="es-CR"/>
        </w:rPr>
        <w:t>s, utilizándose para ello –</w:t>
      </w:r>
      <w:r w:rsidR="00BB3ABE" w:rsidRPr="0011380E">
        <w:rPr>
          <w:rFonts w:asciiTheme="majorHAnsi" w:hAnsiTheme="majorHAnsi"/>
          <w:color w:val="auto"/>
          <w:szCs w:val="20"/>
          <w:lang w:val="es-CR"/>
        </w:rPr>
        <w:t xml:space="preserve"> de</w:t>
      </w:r>
      <w:r w:rsidR="00D21A4E" w:rsidRPr="0011380E">
        <w:rPr>
          <w:rFonts w:asciiTheme="majorHAnsi" w:hAnsiTheme="majorHAnsi"/>
          <w:color w:val="auto"/>
          <w:szCs w:val="20"/>
          <w:lang w:val="es-CR"/>
        </w:rPr>
        <w:t xml:space="preserve"> manera racional y necesaria –</w:t>
      </w:r>
      <w:r w:rsidR="00BB3ABE" w:rsidRPr="0011380E">
        <w:rPr>
          <w:rFonts w:asciiTheme="majorHAnsi" w:hAnsiTheme="majorHAnsi"/>
          <w:color w:val="auto"/>
          <w:szCs w:val="20"/>
          <w:lang w:val="es-CR"/>
        </w:rPr>
        <w:t xml:space="preserve"> la</w:t>
      </w:r>
      <w:r w:rsidR="00D21A4E" w:rsidRPr="0011380E">
        <w:rPr>
          <w:rFonts w:asciiTheme="majorHAnsi" w:hAnsiTheme="majorHAnsi"/>
          <w:color w:val="auto"/>
          <w:szCs w:val="20"/>
          <w:lang w:val="es-CR"/>
        </w:rPr>
        <w:t xml:space="preserve"> </w:t>
      </w:r>
      <w:r w:rsidR="00BB3ABE" w:rsidRPr="0011380E">
        <w:rPr>
          <w:rFonts w:asciiTheme="majorHAnsi" w:hAnsiTheme="majorHAnsi"/>
          <w:color w:val="auto"/>
          <w:szCs w:val="20"/>
          <w:lang w:val="es-CR"/>
        </w:rPr>
        <w:t>fuerza. En el escenario plasmado</w:t>
      </w:r>
      <w:r w:rsidR="003F4F55" w:rsidRPr="0011380E">
        <w:rPr>
          <w:rFonts w:asciiTheme="majorHAnsi" w:hAnsiTheme="majorHAnsi"/>
          <w:color w:val="auto"/>
          <w:szCs w:val="20"/>
          <w:lang w:val="es-CR"/>
        </w:rPr>
        <w:t>, alega</w:t>
      </w:r>
      <w:r w:rsidR="00FC16DC" w:rsidRPr="0011380E">
        <w:rPr>
          <w:rFonts w:asciiTheme="majorHAnsi" w:hAnsiTheme="majorHAnsi"/>
          <w:color w:val="auto"/>
          <w:szCs w:val="20"/>
          <w:lang w:val="es-CR"/>
        </w:rPr>
        <w:t xml:space="preserve"> el Estado que</w:t>
      </w:r>
      <w:r w:rsidR="00BB3ABE" w:rsidRPr="0011380E">
        <w:rPr>
          <w:rFonts w:asciiTheme="majorHAnsi" w:hAnsiTheme="majorHAnsi"/>
          <w:color w:val="auto"/>
          <w:szCs w:val="20"/>
          <w:lang w:val="es-CR"/>
        </w:rPr>
        <w:t xml:space="preserve"> confluyeron acciones </w:t>
      </w:r>
      <w:r w:rsidR="00BD5103" w:rsidRPr="0011380E">
        <w:rPr>
          <w:rFonts w:asciiTheme="majorHAnsi" w:hAnsiTheme="majorHAnsi"/>
          <w:color w:val="auto"/>
          <w:szCs w:val="20"/>
          <w:lang w:val="es-CR"/>
        </w:rPr>
        <w:t>destinadas a</w:t>
      </w:r>
      <w:r w:rsidR="00BB3ABE" w:rsidRPr="0011380E">
        <w:rPr>
          <w:rFonts w:asciiTheme="majorHAnsi" w:hAnsiTheme="majorHAnsi"/>
          <w:color w:val="auto"/>
          <w:szCs w:val="20"/>
          <w:lang w:val="es-CR"/>
        </w:rPr>
        <w:t xml:space="preserve"> evitar la ocurrencia de conductas delictivas de afectación al colectivo en general</w:t>
      </w:r>
      <w:r w:rsidR="003F4F55" w:rsidRPr="0011380E">
        <w:rPr>
          <w:rFonts w:asciiTheme="majorHAnsi" w:hAnsiTheme="majorHAnsi"/>
          <w:color w:val="auto"/>
          <w:szCs w:val="20"/>
          <w:lang w:val="es-CR"/>
        </w:rPr>
        <w:t>, por lo que</w:t>
      </w:r>
      <w:r w:rsidR="005247D6" w:rsidRPr="0011380E">
        <w:rPr>
          <w:rFonts w:asciiTheme="majorHAnsi" w:hAnsiTheme="majorHAnsi"/>
          <w:color w:val="auto"/>
          <w:szCs w:val="20"/>
          <w:lang w:val="es-CR"/>
        </w:rPr>
        <w:t xml:space="preserve"> las presuntas violaciones no se adec</w:t>
      </w:r>
      <w:r w:rsidR="003F4F55" w:rsidRPr="0011380E">
        <w:rPr>
          <w:rFonts w:asciiTheme="majorHAnsi" w:hAnsiTheme="majorHAnsi"/>
          <w:color w:val="auto"/>
          <w:szCs w:val="20"/>
          <w:lang w:val="es-CR"/>
        </w:rPr>
        <w:t>uarían</w:t>
      </w:r>
      <w:r w:rsidR="005247D6" w:rsidRPr="0011380E">
        <w:rPr>
          <w:rFonts w:asciiTheme="majorHAnsi" w:hAnsiTheme="majorHAnsi"/>
          <w:color w:val="auto"/>
          <w:szCs w:val="20"/>
          <w:lang w:val="es-CR"/>
        </w:rPr>
        <w:t xml:space="preserve"> a los derechos previstos en la Convención.</w:t>
      </w:r>
    </w:p>
    <w:p w14:paraId="716F4ADD" w14:textId="77777777" w:rsidR="005247D6" w:rsidRPr="0011380E" w:rsidRDefault="005247D6" w:rsidP="0011380E">
      <w:pPr>
        <w:pStyle w:val="ListParagraph"/>
        <w:numPr>
          <w:ilvl w:val="0"/>
          <w:numId w:val="0"/>
        </w:numPr>
        <w:rPr>
          <w:rFonts w:asciiTheme="majorHAnsi" w:hAnsiTheme="majorHAnsi"/>
          <w:color w:val="auto"/>
          <w:szCs w:val="20"/>
          <w:lang w:val="es-AR"/>
        </w:rPr>
      </w:pPr>
    </w:p>
    <w:p w14:paraId="5597E477" w14:textId="77777777" w:rsidR="0064303A" w:rsidRPr="0011380E" w:rsidRDefault="005247D6"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 xml:space="preserve">En cuanto a la integridad personal, </w:t>
      </w:r>
      <w:r w:rsidR="004405D3" w:rsidRPr="0011380E">
        <w:rPr>
          <w:rFonts w:asciiTheme="majorHAnsi" w:hAnsiTheme="majorHAnsi"/>
          <w:color w:val="auto"/>
          <w:szCs w:val="20"/>
          <w:lang w:val="es-AR"/>
        </w:rPr>
        <w:t xml:space="preserve">luego de </w:t>
      </w:r>
      <w:r w:rsidR="00D21A4E" w:rsidRPr="0011380E">
        <w:rPr>
          <w:rFonts w:asciiTheme="majorHAnsi" w:hAnsiTheme="majorHAnsi"/>
          <w:color w:val="auto"/>
          <w:szCs w:val="20"/>
          <w:lang w:val="es-AR"/>
        </w:rPr>
        <w:t>afirmar</w:t>
      </w:r>
      <w:r w:rsidR="001826CD" w:rsidRPr="0011380E">
        <w:rPr>
          <w:rFonts w:asciiTheme="majorHAnsi" w:hAnsiTheme="majorHAnsi"/>
          <w:color w:val="auto"/>
          <w:szCs w:val="20"/>
          <w:lang w:val="es-AR"/>
        </w:rPr>
        <w:t xml:space="preserve"> que el atraco a Prosegur se cometió con violencia y crueldad, </w:t>
      </w:r>
      <w:r w:rsidR="00663F58" w:rsidRPr="0011380E">
        <w:rPr>
          <w:rFonts w:asciiTheme="majorHAnsi" w:hAnsiTheme="majorHAnsi"/>
          <w:color w:val="auto"/>
          <w:szCs w:val="20"/>
          <w:lang w:val="es-AR"/>
        </w:rPr>
        <w:t xml:space="preserve">el Estado </w:t>
      </w:r>
      <w:r w:rsidR="001826CD" w:rsidRPr="0011380E">
        <w:rPr>
          <w:rFonts w:asciiTheme="majorHAnsi" w:hAnsiTheme="majorHAnsi"/>
          <w:color w:val="auto"/>
          <w:szCs w:val="20"/>
          <w:lang w:val="es-AR"/>
        </w:rPr>
        <w:t>argumenta</w:t>
      </w:r>
      <w:r w:rsidRPr="0011380E">
        <w:rPr>
          <w:rFonts w:asciiTheme="majorHAnsi" w:hAnsiTheme="majorHAnsi"/>
          <w:color w:val="auto"/>
          <w:szCs w:val="20"/>
          <w:lang w:val="es-AR"/>
        </w:rPr>
        <w:t xml:space="preserve"> que</w:t>
      </w:r>
      <w:r w:rsidR="001826CD" w:rsidRPr="0011380E">
        <w:rPr>
          <w:rFonts w:asciiTheme="majorHAnsi" w:hAnsiTheme="majorHAnsi"/>
          <w:color w:val="auto"/>
          <w:szCs w:val="20"/>
          <w:lang w:val="es-AR"/>
        </w:rPr>
        <w:t>, debido a la peligrosidad y alevosía con la que actuaba la banda criminal</w:t>
      </w:r>
      <w:r w:rsidR="001E5640" w:rsidRPr="0011380E">
        <w:rPr>
          <w:rFonts w:asciiTheme="majorHAnsi" w:hAnsiTheme="majorHAnsi"/>
          <w:color w:val="auto"/>
          <w:szCs w:val="20"/>
          <w:lang w:val="es-AR"/>
        </w:rPr>
        <w:t>,</w:t>
      </w:r>
      <w:r w:rsidR="001826CD" w:rsidRPr="0011380E">
        <w:rPr>
          <w:rFonts w:asciiTheme="majorHAnsi" w:hAnsiTheme="majorHAnsi"/>
          <w:color w:val="auto"/>
          <w:szCs w:val="20"/>
          <w:lang w:val="es-AR"/>
        </w:rPr>
        <w:t xml:space="preserve"> </w:t>
      </w:r>
      <w:r w:rsidR="001E5640" w:rsidRPr="0011380E">
        <w:rPr>
          <w:rFonts w:asciiTheme="majorHAnsi" w:hAnsiTheme="majorHAnsi"/>
          <w:color w:val="auto"/>
          <w:szCs w:val="20"/>
          <w:lang w:val="es-AR"/>
        </w:rPr>
        <w:t xml:space="preserve">la </w:t>
      </w:r>
      <w:r w:rsidR="001826CD" w:rsidRPr="0011380E">
        <w:rPr>
          <w:rFonts w:asciiTheme="majorHAnsi" w:hAnsiTheme="majorHAnsi"/>
          <w:color w:val="auto"/>
          <w:szCs w:val="20"/>
          <w:lang w:val="es-AR"/>
        </w:rPr>
        <w:t>que por</w:t>
      </w:r>
      <w:r w:rsidR="00771A6A" w:rsidRPr="0011380E">
        <w:rPr>
          <w:rFonts w:asciiTheme="majorHAnsi" w:hAnsiTheme="majorHAnsi"/>
          <w:color w:val="auto"/>
          <w:szCs w:val="20"/>
          <w:lang w:val="es-AR"/>
        </w:rPr>
        <w:t>taba armas de grueso calibre</w:t>
      </w:r>
      <w:r w:rsidR="001E5640" w:rsidRPr="0011380E">
        <w:rPr>
          <w:rFonts w:asciiTheme="majorHAnsi" w:hAnsiTheme="majorHAnsi"/>
          <w:color w:val="auto"/>
          <w:szCs w:val="20"/>
          <w:lang w:val="es-AR"/>
        </w:rPr>
        <w:t xml:space="preserve">, </w:t>
      </w:r>
      <w:r w:rsidR="00771A6A" w:rsidRPr="0011380E">
        <w:rPr>
          <w:rFonts w:asciiTheme="majorHAnsi" w:hAnsiTheme="majorHAnsi"/>
          <w:color w:val="auto"/>
          <w:szCs w:val="20"/>
          <w:lang w:val="es-AR"/>
        </w:rPr>
        <w:t xml:space="preserve">era </w:t>
      </w:r>
      <w:r w:rsidR="001826CD" w:rsidRPr="0011380E">
        <w:rPr>
          <w:rFonts w:asciiTheme="majorHAnsi" w:hAnsiTheme="majorHAnsi"/>
          <w:color w:val="auto"/>
          <w:szCs w:val="20"/>
          <w:lang w:val="es-AR"/>
        </w:rPr>
        <w:t>un grupo delictivo de alcance internacional</w:t>
      </w:r>
      <w:r w:rsidR="001E5640" w:rsidRPr="0011380E">
        <w:rPr>
          <w:rFonts w:asciiTheme="majorHAnsi" w:hAnsiTheme="majorHAnsi"/>
          <w:color w:val="auto"/>
          <w:szCs w:val="20"/>
          <w:lang w:val="es-AR"/>
        </w:rPr>
        <w:t xml:space="preserve"> –</w:t>
      </w:r>
      <w:r w:rsidR="001826CD" w:rsidRPr="0011380E">
        <w:rPr>
          <w:rFonts w:asciiTheme="majorHAnsi" w:hAnsiTheme="majorHAnsi"/>
          <w:color w:val="auto"/>
          <w:szCs w:val="20"/>
          <w:lang w:val="es-AR"/>
        </w:rPr>
        <w:t xml:space="preserve"> </w:t>
      </w:r>
      <w:r w:rsidR="00771A6A" w:rsidRPr="0011380E">
        <w:rPr>
          <w:rFonts w:asciiTheme="majorHAnsi" w:hAnsiTheme="majorHAnsi"/>
          <w:color w:val="auto"/>
          <w:szCs w:val="20"/>
          <w:lang w:val="es-AR"/>
        </w:rPr>
        <w:t>integrado por</w:t>
      </w:r>
      <w:r w:rsidR="001826CD" w:rsidRPr="0011380E">
        <w:rPr>
          <w:rFonts w:asciiTheme="majorHAnsi" w:hAnsiTheme="majorHAnsi"/>
          <w:color w:val="auto"/>
          <w:szCs w:val="20"/>
          <w:lang w:val="es-AR"/>
        </w:rPr>
        <w:t xml:space="preserve"> </w:t>
      </w:r>
      <w:r w:rsidR="001826CD" w:rsidRPr="0011380E">
        <w:rPr>
          <w:rFonts w:asciiTheme="majorHAnsi" w:hAnsiTheme="majorHAnsi"/>
          <w:color w:val="auto"/>
          <w:szCs w:val="20"/>
          <w:lang w:val="es-AR"/>
        </w:rPr>
        <w:lastRenderedPageBreak/>
        <w:t>peruanos y bolivianos</w:t>
      </w:r>
      <w:r w:rsidR="001E5640" w:rsidRPr="0011380E">
        <w:rPr>
          <w:rFonts w:asciiTheme="majorHAnsi" w:hAnsiTheme="majorHAnsi"/>
          <w:color w:val="auto"/>
          <w:szCs w:val="20"/>
          <w:lang w:val="es-AR"/>
        </w:rPr>
        <w:t xml:space="preserve"> –</w:t>
      </w:r>
      <w:r w:rsidR="001826CD" w:rsidRPr="0011380E">
        <w:rPr>
          <w:rFonts w:asciiTheme="majorHAnsi" w:hAnsiTheme="majorHAnsi"/>
          <w:color w:val="auto"/>
          <w:szCs w:val="20"/>
          <w:lang w:val="es-AR"/>
        </w:rPr>
        <w:t xml:space="preserve"> </w:t>
      </w:r>
      <w:r w:rsidR="001E5640" w:rsidRPr="0011380E">
        <w:rPr>
          <w:rFonts w:asciiTheme="majorHAnsi" w:hAnsiTheme="majorHAnsi"/>
          <w:color w:val="auto"/>
          <w:szCs w:val="20"/>
          <w:lang w:val="es-AR"/>
        </w:rPr>
        <w:t>con</w:t>
      </w:r>
      <w:r w:rsidR="001826CD" w:rsidRPr="0011380E">
        <w:rPr>
          <w:rFonts w:asciiTheme="majorHAnsi" w:hAnsiTheme="majorHAnsi"/>
          <w:color w:val="auto"/>
          <w:szCs w:val="20"/>
          <w:lang w:val="es-AR"/>
        </w:rPr>
        <w:t xml:space="preserve"> conocimiento mili</w:t>
      </w:r>
      <w:r w:rsidR="0027487D" w:rsidRPr="0011380E">
        <w:rPr>
          <w:rFonts w:asciiTheme="majorHAnsi" w:hAnsiTheme="majorHAnsi"/>
          <w:color w:val="auto"/>
          <w:szCs w:val="20"/>
          <w:lang w:val="es-AR"/>
        </w:rPr>
        <w:t>t</w:t>
      </w:r>
      <w:r w:rsidR="001826CD" w:rsidRPr="0011380E">
        <w:rPr>
          <w:rFonts w:asciiTheme="majorHAnsi" w:hAnsiTheme="majorHAnsi"/>
          <w:color w:val="auto"/>
          <w:szCs w:val="20"/>
          <w:lang w:val="es-AR"/>
        </w:rPr>
        <w:t>ar y policial</w:t>
      </w:r>
      <w:r w:rsidR="001E5640" w:rsidRPr="0011380E">
        <w:rPr>
          <w:rFonts w:asciiTheme="majorHAnsi" w:hAnsiTheme="majorHAnsi"/>
          <w:color w:val="auto"/>
          <w:szCs w:val="20"/>
          <w:lang w:val="es-AR"/>
        </w:rPr>
        <w:t>, que</w:t>
      </w:r>
      <w:r w:rsidR="001826CD" w:rsidRPr="0011380E">
        <w:rPr>
          <w:rFonts w:asciiTheme="majorHAnsi" w:hAnsiTheme="majorHAnsi"/>
          <w:color w:val="auto"/>
          <w:szCs w:val="20"/>
          <w:lang w:val="es-AR"/>
        </w:rPr>
        <w:t xml:space="preserve"> victimaron</w:t>
      </w:r>
      <w:r w:rsidR="00A9586B" w:rsidRPr="0011380E">
        <w:rPr>
          <w:rFonts w:asciiTheme="majorHAnsi" w:hAnsiTheme="majorHAnsi"/>
          <w:color w:val="auto"/>
          <w:szCs w:val="20"/>
          <w:lang w:val="es-AR"/>
        </w:rPr>
        <w:t xml:space="preserve"> a personas a sangre fría y </w:t>
      </w:r>
      <w:r w:rsidR="001826CD" w:rsidRPr="0011380E">
        <w:rPr>
          <w:rFonts w:asciiTheme="majorHAnsi" w:hAnsiTheme="majorHAnsi"/>
          <w:color w:val="auto"/>
          <w:szCs w:val="20"/>
          <w:lang w:val="es-AR"/>
        </w:rPr>
        <w:t xml:space="preserve">registraban antecedentes criminales, era necesario evitar más víctimas inocentes </w:t>
      </w:r>
      <w:r w:rsidR="00771A6A" w:rsidRPr="0011380E">
        <w:rPr>
          <w:rFonts w:asciiTheme="majorHAnsi" w:hAnsiTheme="majorHAnsi"/>
          <w:color w:val="auto"/>
          <w:szCs w:val="20"/>
          <w:lang w:val="es-AR"/>
        </w:rPr>
        <w:t>de</w:t>
      </w:r>
      <w:r w:rsidR="00286DBB" w:rsidRPr="0011380E">
        <w:rPr>
          <w:rFonts w:asciiTheme="majorHAnsi" w:hAnsiTheme="majorHAnsi"/>
          <w:color w:val="auto"/>
          <w:szCs w:val="20"/>
          <w:lang w:val="es-AR"/>
        </w:rPr>
        <w:t xml:space="preserve"> la</w:t>
      </w:r>
      <w:r w:rsidR="001826CD" w:rsidRPr="0011380E">
        <w:rPr>
          <w:rFonts w:asciiTheme="majorHAnsi" w:hAnsiTheme="majorHAnsi"/>
          <w:color w:val="auto"/>
          <w:szCs w:val="20"/>
          <w:lang w:val="es-AR"/>
        </w:rPr>
        <w:t xml:space="preserve"> banda que ponía en vilo</w:t>
      </w:r>
      <w:r w:rsidR="00FD2B4C" w:rsidRPr="0011380E">
        <w:rPr>
          <w:rFonts w:asciiTheme="majorHAnsi" w:hAnsiTheme="majorHAnsi"/>
          <w:color w:val="auto"/>
          <w:szCs w:val="20"/>
          <w:lang w:val="es-AR"/>
        </w:rPr>
        <w:t xml:space="preserve"> a</w:t>
      </w:r>
      <w:r w:rsidR="001826CD" w:rsidRPr="0011380E">
        <w:rPr>
          <w:rFonts w:asciiTheme="majorHAnsi" w:hAnsiTheme="majorHAnsi"/>
          <w:color w:val="auto"/>
          <w:szCs w:val="20"/>
          <w:lang w:val="es-AR"/>
        </w:rPr>
        <w:t xml:space="preserve"> la sociedad, afectando el orden, armonía y paz social. Por </w:t>
      </w:r>
      <w:r w:rsidR="001E5640" w:rsidRPr="0011380E">
        <w:rPr>
          <w:rFonts w:asciiTheme="majorHAnsi" w:hAnsiTheme="majorHAnsi"/>
          <w:color w:val="auto"/>
          <w:szCs w:val="20"/>
          <w:lang w:val="es-AR"/>
        </w:rPr>
        <w:t>ello</w:t>
      </w:r>
      <w:r w:rsidR="001826CD" w:rsidRPr="0011380E">
        <w:rPr>
          <w:rFonts w:asciiTheme="majorHAnsi" w:hAnsiTheme="majorHAnsi"/>
          <w:color w:val="auto"/>
          <w:szCs w:val="20"/>
          <w:lang w:val="es-AR"/>
        </w:rPr>
        <w:t xml:space="preserve">, la aprehensión no podía llevarse a cabo </w:t>
      </w:r>
      <w:r w:rsidR="001E5640" w:rsidRPr="0011380E">
        <w:rPr>
          <w:rFonts w:asciiTheme="majorHAnsi" w:hAnsiTheme="majorHAnsi"/>
          <w:color w:val="auto"/>
          <w:szCs w:val="20"/>
          <w:lang w:val="es-AR"/>
        </w:rPr>
        <w:t>de manera común</w:t>
      </w:r>
      <w:r w:rsidR="001826CD" w:rsidRPr="0011380E">
        <w:rPr>
          <w:rFonts w:asciiTheme="majorHAnsi" w:hAnsiTheme="majorHAnsi"/>
          <w:color w:val="auto"/>
          <w:szCs w:val="20"/>
          <w:lang w:val="es-AR"/>
        </w:rPr>
        <w:t xml:space="preserve">, ser anunciada, ni desarrollarse en horas y días ordinarios, ya que era necesario evitar la fuga de </w:t>
      </w:r>
      <w:r w:rsidR="00771A6A" w:rsidRPr="0011380E">
        <w:rPr>
          <w:rFonts w:asciiTheme="majorHAnsi" w:hAnsiTheme="majorHAnsi"/>
          <w:color w:val="auto"/>
          <w:szCs w:val="20"/>
          <w:lang w:val="es-AR"/>
        </w:rPr>
        <w:t>los criminales</w:t>
      </w:r>
      <w:r w:rsidR="001826CD" w:rsidRPr="0011380E">
        <w:rPr>
          <w:rFonts w:asciiTheme="majorHAnsi" w:hAnsiTheme="majorHAnsi"/>
          <w:color w:val="auto"/>
          <w:szCs w:val="20"/>
          <w:lang w:val="es-AR"/>
        </w:rPr>
        <w:t>.</w:t>
      </w:r>
      <w:r w:rsidR="0027487D" w:rsidRPr="0011380E">
        <w:rPr>
          <w:rFonts w:asciiTheme="majorHAnsi" w:hAnsiTheme="majorHAnsi"/>
          <w:color w:val="auto"/>
          <w:szCs w:val="20"/>
          <w:lang w:val="es-AR"/>
        </w:rPr>
        <w:t xml:space="preserve"> </w:t>
      </w:r>
    </w:p>
    <w:p w14:paraId="3F247D86" w14:textId="77777777" w:rsidR="0064303A" w:rsidRPr="0011380E" w:rsidRDefault="0064303A" w:rsidP="0011380E">
      <w:pPr>
        <w:pStyle w:val="ListParagraph"/>
        <w:numPr>
          <w:ilvl w:val="0"/>
          <w:numId w:val="0"/>
        </w:numPr>
        <w:rPr>
          <w:rFonts w:asciiTheme="majorHAnsi" w:hAnsiTheme="majorHAnsi"/>
          <w:color w:val="auto"/>
          <w:szCs w:val="20"/>
          <w:lang w:val="es-AR"/>
        </w:rPr>
      </w:pPr>
    </w:p>
    <w:p w14:paraId="75F064C7" w14:textId="77777777" w:rsidR="005247D6" w:rsidRPr="0011380E" w:rsidRDefault="0064303A"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 xml:space="preserve">Luego de analizar los términos </w:t>
      </w:r>
      <w:r w:rsidR="00182C08" w:rsidRPr="0011380E">
        <w:rPr>
          <w:rFonts w:asciiTheme="majorHAnsi" w:hAnsiTheme="majorHAnsi"/>
          <w:color w:val="auto"/>
          <w:szCs w:val="20"/>
          <w:lang w:val="es-AR"/>
        </w:rPr>
        <w:t xml:space="preserve">y supuestos </w:t>
      </w:r>
      <w:r w:rsidR="00042141" w:rsidRPr="0011380E">
        <w:rPr>
          <w:rFonts w:asciiTheme="majorHAnsi" w:hAnsiTheme="majorHAnsi"/>
          <w:color w:val="auto"/>
          <w:szCs w:val="20"/>
          <w:lang w:val="es-AR"/>
        </w:rPr>
        <w:t xml:space="preserve">de la normativa aplicable, </w:t>
      </w:r>
      <w:r w:rsidRPr="0011380E">
        <w:rPr>
          <w:rFonts w:asciiTheme="majorHAnsi" w:hAnsiTheme="majorHAnsi"/>
          <w:color w:val="auto"/>
          <w:szCs w:val="20"/>
          <w:lang w:val="es-AR"/>
        </w:rPr>
        <w:t>el Estado afirma</w:t>
      </w:r>
      <w:r w:rsidR="0027487D" w:rsidRPr="0011380E">
        <w:rPr>
          <w:rFonts w:asciiTheme="majorHAnsi" w:hAnsiTheme="majorHAnsi"/>
          <w:color w:val="auto"/>
          <w:szCs w:val="20"/>
          <w:lang w:val="es-AR"/>
        </w:rPr>
        <w:t xml:space="preserve"> que la aprehensión se realizó </w:t>
      </w:r>
      <w:r w:rsidRPr="0011380E">
        <w:rPr>
          <w:rFonts w:asciiTheme="majorHAnsi" w:hAnsiTheme="majorHAnsi"/>
          <w:color w:val="auto"/>
          <w:szCs w:val="20"/>
          <w:lang w:val="es-AR"/>
        </w:rPr>
        <w:t xml:space="preserve">en </w:t>
      </w:r>
      <w:r w:rsidR="00771A6A" w:rsidRPr="0011380E">
        <w:rPr>
          <w:rFonts w:asciiTheme="majorHAnsi" w:hAnsiTheme="majorHAnsi"/>
          <w:color w:val="auto"/>
          <w:szCs w:val="20"/>
          <w:lang w:val="es-AR"/>
        </w:rPr>
        <w:t>un</w:t>
      </w:r>
      <w:r w:rsidRPr="0011380E">
        <w:rPr>
          <w:rFonts w:asciiTheme="majorHAnsi" w:hAnsiTheme="majorHAnsi"/>
          <w:color w:val="auto"/>
          <w:szCs w:val="20"/>
          <w:lang w:val="es-AR"/>
        </w:rPr>
        <w:t xml:space="preserve"> caso de delito flagrante, en el que se</w:t>
      </w:r>
      <w:r w:rsidR="001E0C83" w:rsidRPr="0011380E">
        <w:rPr>
          <w:rFonts w:asciiTheme="majorHAnsi" w:hAnsiTheme="majorHAnsi"/>
          <w:color w:val="auto"/>
          <w:szCs w:val="20"/>
          <w:lang w:val="es-AR"/>
        </w:rPr>
        <w:t xml:space="preserve"> podían</w:t>
      </w:r>
      <w:r w:rsidRPr="0011380E">
        <w:rPr>
          <w:rFonts w:asciiTheme="majorHAnsi" w:hAnsiTheme="majorHAnsi"/>
          <w:color w:val="auto"/>
          <w:szCs w:val="20"/>
          <w:lang w:val="es-AR"/>
        </w:rPr>
        <w:t xml:space="preserve"> obviar las formalidades previstas en la Constitución </w:t>
      </w:r>
      <w:r w:rsidR="00BC773E" w:rsidRPr="0011380E">
        <w:rPr>
          <w:rFonts w:asciiTheme="majorHAnsi" w:hAnsiTheme="majorHAnsi"/>
          <w:color w:val="auto"/>
          <w:szCs w:val="20"/>
          <w:lang w:val="es-AR"/>
        </w:rPr>
        <w:t xml:space="preserve">Política del Estado (CPE), vigente a la época, </w:t>
      </w:r>
      <w:r w:rsidRPr="0011380E">
        <w:rPr>
          <w:rFonts w:asciiTheme="majorHAnsi" w:hAnsiTheme="majorHAnsi"/>
          <w:color w:val="auto"/>
          <w:szCs w:val="20"/>
          <w:lang w:val="es-AR"/>
        </w:rPr>
        <w:t>y el Código de Procedimiento Penal</w:t>
      </w:r>
      <w:r w:rsidR="00BC773E" w:rsidRPr="0011380E">
        <w:rPr>
          <w:rFonts w:asciiTheme="majorHAnsi" w:hAnsiTheme="majorHAnsi"/>
          <w:color w:val="auto"/>
          <w:szCs w:val="20"/>
          <w:lang w:val="es-AR"/>
        </w:rPr>
        <w:t xml:space="preserve"> (CPP)</w:t>
      </w:r>
      <w:r w:rsidRPr="0011380E">
        <w:rPr>
          <w:rFonts w:asciiTheme="majorHAnsi" w:hAnsiTheme="majorHAnsi"/>
          <w:color w:val="auto"/>
          <w:szCs w:val="20"/>
          <w:lang w:val="es-AR"/>
        </w:rPr>
        <w:t>.</w:t>
      </w:r>
      <w:r w:rsidR="001E0C83" w:rsidRPr="0011380E">
        <w:rPr>
          <w:rFonts w:asciiTheme="majorHAnsi" w:hAnsiTheme="majorHAnsi"/>
          <w:color w:val="auto"/>
          <w:szCs w:val="20"/>
          <w:lang w:val="es-AR"/>
        </w:rPr>
        <w:t xml:space="preserve"> Por lo anterior, el Estado </w:t>
      </w:r>
      <w:r w:rsidR="00771A6A" w:rsidRPr="0011380E">
        <w:rPr>
          <w:rFonts w:asciiTheme="majorHAnsi" w:hAnsiTheme="majorHAnsi"/>
          <w:color w:val="auto"/>
          <w:szCs w:val="20"/>
          <w:lang w:val="es-AR"/>
        </w:rPr>
        <w:t xml:space="preserve">afirma que </w:t>
      </w:r>
      <w:r w:rsidR="00257B8D" w:rsidRPr="0011380E">
        <w:rPr>
          <w:rFonts w:asciiTheme="majorHAnsi" w:hAnsiTheme="majorHAnsi"/>
          <w:color w:val="auto"/>
          <w:szCs w:val="20"/>
          <w:lang w:val="es-AR"/>
        </w:rPr>
        <w:t xml:space="preserve">habría </w:t>
      </w:r>
      <w:r w:rsidR="001E0C83" w:rsidRPr="0011380E">
        <w:rPr>
          <w:rFonts w:asciiTheme="majorHAnsi" w:hAnsiTheme="majorHAnsi"/>
          <w:color w:val="auto"/>
          <w:szCs w:val="20"/>
          <w:lang w:val="es-AR"/>
        </w:rPr>
        <w:t>cumpli</w:t>
      </w:r>
      <w:r w:rsidR="00257B8D" w:rsidRPr="0011380E">
        <w:rPr>
          <w:rFonts w:asciiTheme="majorHAnsi" w:hAnsiTheme="majorHAnsi"/>
          <w:color w:val="auto"/>
          <w:szCs w:val="20"/>
          <w:lang w:val="es-AR"/>
        </w:rPr>
        <w:t>do</w:t>
      </w:r>
      <w:r w:rsidR="001E0C83" w:rsidRPr="0011380E">
        <w:rPr>
          <w:rFonts w:asciiTheme="majorHAnsi" w:hAnsiTheme="majorHAnsi"/>
          <w:color w:val="auto"/>
          <w:szCs w:val="20"/>
          <w:lang w:val="es-AR"/>
        </w:rPr>
        <w:t xml:space="preserve"> con los requisitos legales para la captura de los autores del delito</w:t>
      </w:r>
      <w:r w:rsidR="00286DBB" w:rsidRPr="0011380E">
        <w:rPr>
          <w:rFonts w:asciiTheme="majorHAnsi" w:hAnsiTheme="majorHAnsi"/>
          <w:color w:val="auto"/>
          <w:szCs w:val="20"/>
          <w:lang w:val="es-AR"/>
        </w:rPr>
        <w:t>,</w:t>
      </w:r>
      <w:r w:rsidR="001E0C83" w:rsidRPr="0011380E">
        <w:rPr>
          <w:rFonts w:asciiTheme="majorHAnsi" w:hAnsiTheme="majorHAnsi"/>
          <w:color w:val="auto"/>
          <w:szCs w:val="20"/>
          <w:lang w:val="es-AR"/>
        </w:rPr>
        <w:t xml:space="preserve"> ya que contaban con mandamientos expedidos por la autoridad competente, que los habilitaba para efectuar allanamiento y requisa en horas y días extraordinarios por tratarse de delitos cometidos en flagrancia. </w:t>
      </w:r>
    </w:p>
    <w:p w14:paraId="2257241A" w14:textId="77777777" w:rsidR="00A710FA" w:rsidRPr="0011380E" w:rsidRDefault="00A710FA" w:rsidP="0011380E">
      <w:pPr>
        <w:pStyle w:val="ListParagraph"/>
        <w:numPr>
          <w:ilvl w:val="0"/>
          <w:numId w:val="0"/>
        </w:numPr>
        <w:rPr>
          <w:rFonts w:asciiTheme="majorHAnsi" w:hAnsiTheme="majorHAnsi"/>
          <w:color w:val="auto"/>
          <w:szCs w:val="20"/>
          <w:lang w:val="es-AR"/>
        </w:rPr>
      </w:pPr>
    </w:p>
    <w:p w14:paraId="0410AC07" w14:textId="77777777" w:rsidR="00A710FA" w:rsidRPr="0011380E" w:rsidRDefault="00CA5AC0"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 xml:space="preserve">El Estado </w:t>
      </w:r>
      <w:r w:rsidR="00286DBB" w:rsidRPr="0011380E">
        <w:rPr>
          <w:rFonts w:asciiTheme="majorHAnsi" w:hAnsiTheme="majorHAnsi"/>
          <w:color w:val="auto"/>
          <w:szCs w:val="20"/>
          <w:lang w:val="es-AR"/>
        </w:rPr>
        <w:t xml:space="preserve">también </w:t>
      </w:r>
      <w:r w:rsidR="00A710FA" w:rsidRPr="0011380E">
        <w:rPr>
          <w:rFonts w:asciiTheme="majorHAnsi" w:hAnsiTheme="majorHAnsi"/>
          <w:color w:val="auto"/>
          <w:szCs w:val="20"/>
          <w:lang w:val="es-AR"/>
        </w:rPr>
        <w:t xml:space="preserve">deja constancia </w:t>
      </w:r>
      <w:r w:rsidR="00526D89" w:rsidRPr="0011380E">
        <w:rPr>
          <w:rFonts w:asciiTheme="majorHAnsi" w:hAnsiTheme="majorHAnsi"/>
          <w:color w:val="auto"/>
          <w:szCs w:val="20"/>
          <w:lang w:val="es-AR"/>
        </w:rPr>
        <w:t>de</w:t>
      </w:r>
      <w:r w:rsidR="00A710FA" w:rsidRPr="0011380E">
        <w:rPr>
          <w:rFonts w:asciiTheme="majorHAnsi" w:hAnsiTheme="majorHAnsi"/>
          <w:color w:val="auto"/>
          <w:szCs w:val="20"/>
          <w:lang w:val="es-AR"/>
        </w:rPr>
        <w:t xml:space="preserve"> </w:t>
      </w:r>
      <w:r w:rsidR="00272E75" w:rsidRPr="0011380E">
        <w:rPr>
          <w:rFonts w:asciiTheme="majorHAnsi" w:hAnsiTheme="majorHAnsi"/>
          <w:color w:val="auto"/>
          <w:szCs w:val="20"/>
          <w:lang w:val="es-AR"/>
        </w:rPr>
        <w:t>un</w:t>
      </w:r>
      <w:r w:rsidR="00A710FA" w:rsidRPr="0011380E">
        <w:rPr>
          <w:rFonts w:asciiTheme="majorHAnsi" w:hAnsiTheme="majorHAnsi"/>
          <w:color w:val="auto"/>
          <w:szCs w:val="20"/>
          <w:lang w:val="es-AR"/>
        </w:rPr>
        <w:t xml:space="preserve"> proceso iniciado de oficio por el Estado por supuestas torturas y vejaciones ejercidas</w:t>
      </w:r>
      <w:r w:rsidR="00286DBB" w:rsidRPr="0011380E">
        <w:rPr>
          <w:rFonts w:asciiTheme="majorHAnsi" w:hAnsiTheme="majorHAnsi"/>
          <w:color w:val="auto"/>
          <w:szCs w:val="20"/>
          <w:lang w:val="es-AR"/>
        </w:rPr>
        <w:t xml:space="preserve"> en contra de los peticionarios, </w:t>
      </w:r>
      <w:r w:rsidR="00F925B4" w:rsidRPr="0011380E">
        <w:rPr>
          <w:rFonts w:asciiTheme="majorHAnsi" w:hAnsiTheme="majorHAnsi"/>
          <w:color w:val="auto"/>
          <w:szCs w:val="20"/>
          <w:lang w:val="es-AR"/>
        </w:rPr>
        <w:t xml:space="preserve">el cual </w:t>
      </w:r>
      <w:r w:rsidR="00272E75" w:rsidRPr="0011380E">
        <w:rPr>
          <w:rFonts w:asciiTheme="majorHAnsi" w:hAnsiTheme="majorHAnsi"/>
          <w:color w:val="auto"/>
          <w:szCs w:val="20"/>
          <w:lang w:val="es-AR"/>
        </w:rPr>
        <w:t>habría sido</w:t>
      </w:r>
      <w:r w:rsidR="00A710FA" w:rsidRPr="0011380E">
        <w:rPr>
          <w:rFonts w:asciiTheme="majorHAnsi" w:hAnsiTheme="majorHAnsi"/>
          <w:color w:val="auto"/>
          <w:szCs w:val="20"/>
          <w:lang w:val="es-AR"/>
        </w:rPr>
        <w:t xml:space="preserve"> rechazado por el Ministerio Público en abril del año 2014 por insuficiencia de prueba, lo que habría sido objetado por el Viceministerio de Justicia y Derechos Fundamentales</w:t>
      </w:r>
      <w:r w:rsidR="00771A6A" w:rsidRPr="0011380E">
        <w:rPr>
          <w:rFonts w:asciiTheme="majorHAnsi" w:hAnsiTheme="majorHAnsi"/>
          <w:color w:val="auto"/>
          <w:szCs w:val="20"/>
          <w:lang w:val="es-AR"/>
        </w:rPr>
        <w:t>. Sin embargo, alega que</w:t>
      </w:r>
      <w:r w:rsidR="0057762E" w:rsidRPr="0011380E">
        <w:rPr>
          <w:rFonts w:asciiTheme="majorHAnsi" w:hAnsiTheme="majorHAnsi"/>
          <w:color w:val="auto"/>
          <w:szCs w:val="20"/>
          <w:lang w:val="es-AR"/>
        </w:rPr>
        <w:t xml:space="preserve"> los peticionarios habrían sido evaluados por equipo médico forense, conforme consta </w:t>
      </w:r>
      <w:r w:rsidR="00F925B4" w:rsidRPr="0011380E">
        <w:rPr>
          <w:rFonts w:asciiTheme="majorHAnsi" w:hAnsiTheme="majorHAnsi"/>
          <w:color w:val="auto"/>
          <w:szCs w:val="20"/>
          <w:lang w:val="es-AR"/>
        </w:rPr>
        <w:t xml:space="preserve">en </w:t>
      </w:r>
      <w:r w:rsidR="0057762E" w:rsidRPr="0011380E">
        <w:rPr>
          <w:rFonts w:asciiTheme="majorHAnsi" w:hAnsiTheme="majorHAnsi"/>
          <w:color w:val="auto"/>
          <w:szCs w:val="20"/>
          <w:lang w:val="es-AR"/>
        </w:rPr>
        <w:t>certificaciones de fechas 18 y 19 de diciembre de 2001. En todo caso, destaca que el Estado ratificó la Convención Interamericana</w:t>
      </w:r>
      <w:r w:rsidR="00175769" w:rsidRPr="0011380E">
        <w:rPr>
          <w:rFonts w:asciiTheme="majorHAnsi" w:hAnsiTheme="majorHAnsi"/>
          <w:color w:val="auto"/>
          <w:szCs w:val="20"/>
          <w:lang w:val="es-AR"/>
        </w:rPr>
        <w:t xml:space="preserve"> para Prevenir y </w:t>
      </w:r>
      <w:r w:rsidR="00D255E8" w:rsidRPr="0011380E">
        <w:rPr>
          <w:rFonts w:asciiTheme="majorHAnsi" w:hAnsiTheme="majorHAnsi"/>
          <w:color w:val="auto"/>
          <w:szCs w:val="20"/>
          <w:lang w:val="es-AR"/>
        </w:rPr>
        <w:t>S</w:t>
      </w:r>
      <w:r w:rsidR="00175769" w:rsidRPr="0011380E">
        <w:rPr>
          <w:rFonts w:asciiTheme="majorHAnsi" w:hAnsiTheme="majorHAnsi"/>
          <w:color w:val="auto"/>
          <w:szCs w:val="20"/>
          <w:lang w:val="es-AR"/>
        </w:rPr>
        <w:t>ancionar la Tortura el 21 de noviembre de 2006, lo que sería relevante para delimitar la competencia de la Comisión respecto de los hechos alegados.</w:t>
      </w:r>
    </w:p>
    <w:p w14:paraId="0EA42CF6" w14:textId="77777777" w:rsidR="00175769" w:rsidRPr="0011380E" w:rsidRDefault="00175769" w:rsidP="0011380E">
      <w:pPr>
        <w:pStyle w:val="ListParagraph"/>
        <w:numPr>
          <w:ilvl w:val="0"/>
          <w:numId w:val="0"/>
        </w:numPr>
        <w:rPr>
          <w:rFonts w:asciiTheme="majorHAnsi" w:hAnsiTheme="majorHAnsi"/>
          <w:color w:val="auto"/>
          <w:szCs w:val="20"/>
          <w:lang w:val="es-AR"/>
        </w:rPr>
      </w:pPr>
    </w:p>
    <w:p w14:paraId="4B5D977B" w14:textId="77777777" w:rsidR="00175769" w:rsidRPr="0011380E" w:rsidRDefault="00771A6A"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 xml:space="preserve">Respecto de los presuntos actos de </w:t>
      </w:r>
      <w:r w:rsidR="00482288" w:rsidRPr="0011380E">
        <w:rPr>
          <w:rFonts w:asciiTheme="majorHAnsi" w:hAnsiTheme="majorHAnsi"/>
          <w:color w:val="auto"/>
          <w:szCs w:val="20"/>
          <w:lang w:val="es-AR"/>
        </w:rPr>
        <w:t>“</w:t>
      </w:r>
      <w:r w:rsidRPr="0011380E">
        <w:rPr>
          <w:rFonts w:asciiTheme="majorHAnsi" w:hAnsiTheme="majorHAnsi"/>
          <w:color w:val="auto"/>
          <w:szCs w:val="20"/>
          <w:lang w:val="es-AR"/>
        </w:rPr>
        <w:t>abuso deshonesto</w:t>
      </w:r>
      <w:r w:rsidR="00482288" w:rsidRPr="0011380E">
        <w:rPr>
          <w:rFonts w:asciiTheme="majorHAnsi" w:hAnsiTheme="majorHAnsi"/>
          <w:color w:val="auto"/>
          <w:szCs w:val="20"/>
          <w:lang w:val="es-AR"/>
        </w:rPr>
        <w:t>”</w:t>
      </w:r>
      <w:r w:rsidRPr="0011380E">
        <w:rPr>
          <w:rFonts w:asciiTheme="majorHAnsi" w:hAnsiTheme="majorHAnsi"/>
          <w:color w:val="auto"/>
          <w:szCs w:val="20"/>
          <w:lang w:val="es-AR"/>
        </w:rPr>
        <w:t xml:space="preserve">, violencia sexual y vulneraciones de derechos de niños, esgrime que no existe prueba ni certificación alguna. </w:t>
      </w:r>
      <w:r w:rsidR="00DE2927" w:rsidRPr="0011380E">
        <w:rPr>
          <w:rFonts w:asciiTheme="majorHAnsi" w:hAnsiTheme="majorHAnsi"/>
          <w:color w:val="auto"/>
          <w:szCs w:val="20"/>
          <w:lang w:val="es-AR"/>
        </w:rPr>
        <w:t>E</w:t>
      </w:r>
      <w:r w:rsidRPr="0011380E">
        <w:rPr>
          <w:rFonts w:asciiTheme="majorHAnsi" w:hAnsiTheme="majorHAnsi"/>
          <w:color w:val="auto"/>
          <w:szCs w:val="20"/>
          <w:lang w:val="es-AR"/>
        </w:rPr>
        <w:t>n cuanto</w:t>
      </w:r>
      <w:r w:rsidR="00175769" w:rsidRPr="0011380E">
        <w:rPr>
          <w:rFonts w:asciiTheme="majorHAnsi" w:hAnsiTheme="majorHAnsi"/>
          <w:color w:val="auto"/>
          <w:szCs w:val="20"/>
          <w:lang w:val="es-AR"/>
        </w:rPr>
        <w:t xml:space="preserve"> a las alegaciones de incomunicación y aislamiento, indica que </w:t>
      </w:r>
      <w:r w:rsidR="00245CCA" w:rsidRPr="0011380E">
        <w:rPr>
          <w:rFonts w:asciiTheme="majorHAnsi" w:hAnsiTheme="majorHAnsi"/>
          <w:color w:val="auto"/>
          <w:szCs w:val="20"/>
          <w:lang w:val="es-AR"/>
        </w:rPr>
        <w:t>carecen de acreditación que las sustenten</w:t>
      </w:r>
      <w:r w:rsidRPr="0011380E">
        <w:rPr>
          <w:rFonts w:asciiTheme="majorHAnsi" w:hAnsiTheme="majorHAnsi"/>
          <w:color w:val="auto"/>
          <w:szCs w:val="20"/>
          <w:lang w:val="es-AR"/>
        </w:rPr>
        <w:t xml:space="preserve"> y que no existieron denuncias ante las autoridades competentes. En todo caso, </w:t>
      </w:r>
      <w:r w:rsidR="00175769" w:rsidRPr="0011380E">
        <w:rPr>
          <w:rFonts w:asciiTheme="majorHAnsi" w:hAnsiTheme="majorHAnsi"/>
          <w:color w:val="auto"/>
          <w:szCs w:val="20"/>
          <w:lang w:val="es-AR"/>
        </w:rPr>
        <w:t xml:space="preserve">argumenta que </w:t>
      </w:r>
      <w:r w:rsidR="00CE73B2" w:rsidRPr="0011380E">
        <w:rPr>
          <w:rFonts w:asciiTheme="majorHAnsi" w:hAnsiTheme="majorHAnsi"/>
          <w:color w:val="auto"/>
          <w:szCs w:val="20"/>
          <w:lang w:val="es-AR"/>
        </w:rPr>
        <w:t xml:space="preserve">tales alegaciones </w:t>
      </w:r>
      <w:r w:rsidR="00175769" w:rsidRPr="0011380E">
        <w:rPr>
          <w:rFonts w:asciiTheme="majorHAnsi" w:hAnsiTheme="majorHAnsi"/>
          <w:color w:val="auto"/>
          <w:szCs w:val="20"/>
          <w:lang w:val="es-AR"/>
        </w:rPr>
        <w:t>s</w:t>
      </w:r>
      <w:r w:rsidR="00615FBF" w:rsidRPr="0011380E">
        <w:rPr>
          <w:rFonts w:asciiTheme="majorHAnsi" w:hAnsiTheme="majorHAnsi"/>
          <w:color w:val="auto"/>
          <w:szCs w:val="20"/>
          <w:lang w:val="es-AR"/>
        </w:rPr>
        <w:t>ó</w:t>
      </w:r>
      <w:r w:rsidR="00175769" w:rsidRPr="0011380E">
        <w:rPr>
          <w:rFonts w:asciiTheme="majorHAnsi" w:hAnsiTheme="majorHAnsi"/>
          <w:color w:val="auto"/>
          <w:szCs w:val="20"/>
          <w:lang w:val="es-AR"/>
        </w:rPr>
        <w:t>lo constituirían tortura o trato cruel, inhu</w:t>
      </w:r>
      <w:r w:rsidR="00B16BE9" w:rsidRPr="0011380E">
        <w:rPr>
          <w:rFonts w:asciiTheme="majorHAnsi" w:hAnsiTheme="majorHAnsi"/>
          <w:color w:val="auto"/>
          <w:szCs w:val="20"/>
          <w:lang w:val="es-AR"/>
        </w:rPr>
        <w:t xml:space="preserve">mano o degradante, cuando </w:t>
      </w:r>
      <w:r w:rsidR="00230EC7" w:rsidRPr="0011380E">
        <w:rPr>
          <w:rFonts w:asciiTheme="majorHAnsi" w:hAnsiTheme="majorHAnsi"/>
          <w:color w:val="auto"/>
          <w:szCs w:val="20"/>
          <w:lang w:val="es-AR"/>
        </w:rPr>
        <w:t xml:space="preserve">hubieran </w:t>
      </w:r>
      <w:r w:rsidR="00B16BE9" w:rsidRPr="0011380E">
        <w:rPr>
          <w:rFonts w:asciiTheme="majorHAnsi" w:hAnsiTheme="majorHAnsi"/>
          <w:color w:val="auto"/>
          <w:szCs w:val="20"/>
          <w:lang w:val="es-AR"/>
        </w:rPr>
        <w:t>t</w:t>
      </w:r>
      <w:r w:rsidR="00230EC7" w:rsidRPr="0011380E">
        <w:rPr>
          <w:rFonts w:asciiTheme="majorHAnsi" w:hAnsiTheme="majorHAnsi"/>
          <w:color w:val="auto"/>
          <w:szCs w:val="20"/>
          <w:lang w:val="es-AR"/>
        </w:rPr>
        <w:t xml:space="preserve">enido </w:t>
      </w:r>
      <w:r w:rsidR="00175769" w:rsidRPr="0011380E">
        <w:rPr>
          <w:rFonts w:asciiTheme="majorHAnsi" w:hAnsiTheme="majorHAnsi"/>
          <w:color w:val="auto"/>
          <w:szCs w:val="20"/>
          <w:lang w:val="es-AR"/>
        </w:rPr>
        <w:t>una prolongación y aplicaci</w:t>
      </w:r>
      <w:r w:rsidR="00B16BE9" w:rsidRPr="0011380E">
        <w:rPr>
          <w:rFonts w:asciiTheme="majorHAnsi" w:hAnsiTheme="majorHAnsi"/>
          <w:color w:val="auto"/>
          <w:szCs w:val="20"/>
          <w:lang w:val="es-AR"/>
        </w:rPr>
        <w:t>ón innecesaria y no cuando hubieren</w:t>
      </w:r>
      <w:r w:rsidR="00175769" w:rsidRPr="0011380E">
        <w:rPr>
          <w:rFonts w:asciiTheme="majorHAnsi" w:hAnsiTheme="majorHAnsi"/>
          <w:color w:val="auto"/>
          <w:szCs w:val="20"/>
          <w:lang w:val="es-AR"/>
        </w:rPr>
        <w:t xml:space="preserve"> sido aplicadas a fin de conservar el orden al interior de recintos penitenciarios y evitar la obstaculización en la averiguación de la verdad.</w:t>
      </w:r>
      <w:r w:rsidR="00245CCA" w:rsidRPr="0011380E">
        <w:rPr>
          <w:rFonts w:asciiTheme="majorHAnsi" w:hAnsiTheme="majorHAnsi"/>
          <w:color w:val="auto"/>
          <w:szCs w:val="20"/>
          <w:lang w:val="es-AR"/>
        </w:rPr>
        <w:t xml:space="preserve"> Indica </w:t>
      </w:r>
      <w:r w:rsidR="00230EC7" w:rsidRPr="0011380E">
        <w:rPr>
          <w:rFonts w:asciiTheme="majorHAnsi" w:hAnsiTheme="majorHAnsi"/>
          <w:color w:val="auto"/>
          <w:szCs w:val="20"/>
          <w:lang w:val="es-AR"/>
        </w:rPr>
        <w:t xml:space="preserve">además </w:t>
      </w:r>
      <w:r w:rsidR="00245CCA" w:rsidRPr="0011380E">
        <w:rPr>
          <w:rFonts w:asciiTheme="majorHAnsi" w:hAnsiTheme="majorHAnsi"/>
          <w:color w:val="auto"/>
          <w:szCs w:val="20"/>
          <w:lang w:val="es-AR"/>
        </w:rPr>
        <w:t xml:space="preserve">que tales medidas se encuentran reguladas en </w:t>
      </w:r>
      <w:r w:rsidR="00495CB1" w:rsidRPr="0011380E">
        <w:rPr>
          <w:rFonts w:asciiTheme="majorHAnsi" w:hAnsiTheme="majorHAnsi"/>
          <w:color w:val="auto"/>
          <w:szCs w:val="20"/>
          <w:lang w:val="es-AR"/>
        </w:rPr>
        <w:t>la ley</w:t>
      </w:r>
      <w:r w:rsidR="00245CCA" w:rsidRPr="0011380E">
        <w:rPr>
          <w:rFonts w:asciiTheme="majorHAnsi" w:hAnsiTheme="majorHAnsi"/>
          <w:color w:val="auto"/>
          <w:szCs w:val="20"/>
          <w:lang w:val="es-AR"/>
        </w:rPr>
        <w:t xml:space="preserve"> </w:t>
      </w:r>
      <w:r w:rsidR="00230EC7" w:rsidRPr="0011380E">
        <w:rPr>
          <w:rFonts w:asciiTheme="majorHAnsi" w:hAnsiTheme="majorHAnsi"/>
          <w:color w:val="auto"/>
          <w:szCs w:val="20"/>
          <w:lang w:val="es-AR"/>
        </w:rPr>
        <w:t xml:space="preserve">y </w:t>
      </w:r>
      <w:r w:rsidR="00245CCA" w:rsidRPr="0011380E">
        <w:rPr>
          <w:rFonts w:asciiTheme="majorHAnsi" w:hAnsiTheme="majorHAnsi"/>
          <w:color w:val="auto"/>
          <w:szCs w:val="20"/>
          <w:lang w:val="es-AR"/>
        </w:rPr>
        <w:t xml:space="preserve">que su aplicación no viola el derecho a la publicidad, ya que el derecho a defensa a través de abogado permite el conocimiento de la tramitación del proceso. </w:t>
      </w:r>
    </w:p>
    <w:p w14:paraId="608939C6" w14:textId="77777777" w:rsidR="00175769" w:rsidRPr="0011380E" w:rsidRDefault="00175769" w:rsidP="0011380E">
      <w:pPr>
        <w:pStyle w:val="ListParagraph"/>
        <w:numPr>
          <w:ilvl w:val="0"/>
          <w:numId w:val="0"/>
        </w:numPr>
        <w:rPr>
          <w:rFonts w:asciiTheme="majorHAnsi" w:hAnsiTheme="majorHAnsi"/>
          <w:color w:val="auto"/>
          <w:szCs w:val="20"/>
          <w:lang w:val="es-AR"/>
        </w:rPr>
      </w:pPr>
    </w:p>
    <w:p w14:paraId="0B7A56F2" w14:textId="77777777" w:rsidR="00AC7DCD" w:rsidRPr="0011380E" w:rsidRDefault="00175769"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En cuanto a las garantías judiciales y protección judicial</w:t>
      </w:r>
      <w:r w:rsidR="00F416F6" w:rsidRPr="0011380E">
        <w:rPr>
          <w:rFonts w:asciiTheme="majorHAnsi" w:hAnsiTheme="majorHAnsi"/>
          <w:color w:val="auto"/>
          <w:szCs w:val="20"/>
          <w:lang w:val="es-AR"/>
        </w:rPr>
        <w:t xml:space="preserve">, el Estado </w:t>
      </w:r>
      <w:r w:rsidR="00771A6A" w:rsidRPr="0011380E">
        <w:rPr>
          <w:rFonts w:asciiTheme="majorHAnsi" w:hAnsiTheme="majorHAnsi"/>
          <w:color w:val="auto"/>
          <w:szCs w:val="20"/>
          <w:lang w:val="es-AR"/>
        </w:rPr>
        <w:t>indica</w:t>
      </w:r>
      <w:r w:rsidR="00F416F6" w:rsidRPr="0011380E">
        <w:rPr>
          <w:rFonts w:asciiTheme="majorHAnsi" w:hAnsiTheme="majorHAnsi"/>
          <w:color w:val="auto"/>
          <w:szCs w:val="20"/>
          <w:lang w:val="es-AR"/>
        </w:rPr>
        <w:t xml:space="preserve"> que durante el proceso se respetó plenamente el derecho a la defensa, cada uno de los imputados contó con defensa t</w:t>
      </w:r>
      <w:r w:rsidR="00B16BE9" w:rsidRPr="0011380E">
        <w:rPr>
          <w:rFonts w:asciiTheme="majorHAnsi" w:hAnsiTheme="majorHAnsi"/>
          <w:color w:val="auto"/>
          <w:szCs w:val="20"/>
          <w:lang w:val="es-AR"/>
        </w:rPr>
        <w:t>écnica</w:t>
      </w:r>
      <w:r w:rsidR="00495CB1" w:rsidRPr="0011380E">
        <w:rPr>
          <w:rFonts w:asciiTheme="majorHAnsi" w:hAnsiTheme="majorHAnsi"/>
          <w:color w:val="auto"/>
          <w:szCs w:val="20"/>
          <w:lang w:val="es-AR"/>
        </w:rPr>
        <w:t xml:space="preserve">, </w:t>
      </w:r>
      <w:r w:rsidR="00F416F6" w:rsidRPr="0011380E">
        <w:rPr>
          <w:rFonts w:asciiTheme="majorHAnsi" w:hAnsiTheme="majorHAnsi"/>
          <w:color w:val="auto"/>
          <w:szCs w:val="20"/>
          <w:lang w:val="es-AR"/>
        </w:rPr>
        <w:t>algunos se acogieron al derecho al silencio, garantía</w:t>
      </w:r>
      <w:r w:rsidR="00B16BE9" w:rsidRPr="0011380E">
        <w:rPr>
          <w:rFonts w:asciiTheme="majorHAnsi" w:hAnsiTheme="majorHAnsi"/>
          <w:color w:val="auto"/>
          <w:szCs w:val="20"/>
          <w:lang w:val="es-AR"/>
        </w:rPr>
        <w:t xml:space="preserve"> procesal que fue respetada</w:t>
      </w:r>
      <w:r w:rsidR="00F416F6" w:rsidRPr="0011380E">
        <w:rPr>
          <w:rFonts w:asciiTheme="majorHAnsi" w:hAnsiTheme="majorHAnsi"/>
          <w:color w:val="auto"/>
          <w:szCs w:val="20"/>
          <w:lang w:val="es-AR"/>
        </w:rPr>
        <w:t xml:space="preserve"> y no se presentó prueba ilegal o derivada. Además</w:t>
      </w:r>
      <w:r w:rsidR="00B16BE9" w:rsidRPr="0011380E">
        <w:rPr>
          <w:rFonts w:asciiTheme="majorHAnsi" w:hAnsiTheme="majorHAnsi"/>
          <w:color w:val="auto"/>
          <w:szCs w:val="20"/>
          <w:lang w:val="es-AR"/>
        </w:rPr>
        <w:t>,</w:t>
      </w:r>
      <w:r w:rsidR="00F416F6" w:rsidRPr="0011380E">
        <w:rPr>
          <w:rFonts w:asciiTheme="majorHAnsi" w:hAnsiTheme="majorHAnsi"/>
          <w:color w:val="auto"/>
          <w:szCs w:val="20"/>
          <w:lang w:val="es-AR"/>
        </w:rPr>
        <w:t xml:space="preserve"> reitera que el proceso no se sustentó en declaraciones de los inculpados al momento de su detención</w:t>
      </w:r>
      <w:r w:rsidR="00B16BE9" w:rsidRPr="0011380E">
        <w:rPr>
          <w:rFonts w:asciiTheme="majorHAnsi" w:hAnsiTheme="majorHAnsi"/>
          <w:color w:val="auto"/>
          <w:szCs w:val="20"/>
          <w:lang w:val="es-AR"/>
        </w:rPr>
        <w:t>,</w:t>
      </w:r>
      <w:r w:rsidR="00F416F6" w:rsidRPr="0011380E">
        <w:rPr>
          <w:rFonts w:asciiTheme="majorHAnsi" w:hAnsiTheme="majorHAnsi"/>
          <w:color w:val="auto"/>
          <w:szCs w:val="20"/>
          <w:lang w:val="es-AR"/>
        </w:rPr>
        <w:t xml:space="preserve"> sino </w:t>
      </w:r>
      <w:r w:rsidR="00037C6D" w:rsidRPr="0011380E">
        <w:rPr>
          <w:rFonts w:asciiTheme="majorHAnsi" w:hAnsiTheme="majorHAnsi"/>
          <w:color w:val="auto"/>
          <w:szCs w:val="20"/>
          <w:lang w:val="es-AR"/>
        </w:rPr>
        <w:t>s</w:t>
      </w:r>
      <w:r w:rsidR="00FE27F0" w:rsidRPr="0011380E">
        <w:rPr>
          <w:rFonts w:asciiTheme="majorHAnsi" w:hAnsiTheme="majorHAnsi"/>
          <w:color w:val="auto"/>
          <w:szCs w:val="20"/>
          <w:lang w:val="es-AR"/>
        </w:rPr>
        <w:t>ó</w:t>
      </w:r>
      <w:r w:rsidR="00037C6D" w:rsidRPr="0011380E">
        <w:rPr>
          <w:rFonts w:asciiTheme="majorHAnsi" w:hAnsiTheme="majorHAnsi"/>
          <w:color w:val="auto"/>
          <w:szCs w:val="20"/>
          <w:lang w:val="es-AR"/>
        </w:rPr>
        <w:t xml:space="preserve">lo </w:t>
      </w:r>
      <w:r w:rsidR="00F416F6" w:rsidRPr="0011380E">
        <w:rPr>
          <w:rFonts w:asciiTheme="majorHAnsi" w:hAnsiTheme="majorHAnsi"/>
          <w:color w:val="auto"/>
          <w:szCs w:val="20"/>
          <w:lang w:val="es-AR"/>
        </w:rPr>
        <w:t>en prueba</w:t>
      </w:r>
      <w:r w:rsidR="00B16BE9" w:rsidRPr="0011380E">
        <w:rPr>
          <w:rFonts w:asciiTheme="majorHAnsi" w:hAnsiTheme="majorHAnsi"/>
          <w:color w:val="auto"/>
          <w:szCs w:val="20"/>
          <w:lang w:val="es-AR"/>
        </w:rPr>
        <w:t xml:space="preserve"> documental, pericial balística, testifical, material e inspección </w:t>
      </w:r>
      <w:r w:rsidR="00477B9B" w:rsidRPr="0011380E">
        <w:rPr>
          <w:rFonts w:asciiTheme="majorHAnsi" w:hAnsiTheme="majorHAnsi"/>
          <w:color w:val="auto"/>
          <w:szCs w:val="20"/>
          <w:lang w:val="es-AR"/>
        </w:rPr>
        <w:t>judicial</w:t>
      </w:r>
      <w:r w:rsidR="00B16BE9" w:rsidRPr="0011380E">
        <w:rPr>
          <w:rFonts w:asciiTheme="majorHAnsi" w:hAnsiTheme="majorHAnsi"/>
          <w:color w:val="auto"/>
          <w:szCs w:val="20"/>
          <w:lang w:val="es-AR"/>
        </w:rPr>
        <w:t xml:space="preserve">, toda legalmente obtenida y </w:t>
      </w:r>
      <w:r w:rsidR="00F416F6" w:rsidRPr="0011380E">
        <w:rPr>
          <w:rFonts w:asciiTheme="majorHAnsi" w:hAnsiTheme="majorHAnsi"/>
          <w:color w:val="auto"/>
          <w:szCs w:val="20"/>
          <w:lang w:val="es-AR"/>
        </w:rPr>
        <w:t>que corrobora la culpabilidad de los sentenciados.</w:t>
      </w:r>
      <w:r w:rsidR="00771A6A" w:rsidRPr="0011380E">
        <w:rPr>
          <w:rFonts w:asciiTheme="majorHAnsi" w:hAnsiTheme="majorHAnsi"/>
          <w:color w:val="auto"/>
          <w:szCs w:val="20"/>
          <w:lang w:val="es-AR"/>
        </w:rPr>
        <w:t xml:space="preserve"> </w:t>
      </w:r>
      <w:r w:rsidR="00B16BE9" w:rsidRPr="0011380E">
        <w:rPr>
          <w:rFonts w:asciiTheme="majorHAnsi" w:hAnsiTheme="majorHAnsi"/>
          <w:color w:val="auto"/>
          <w:szCs w:val="20"/>
          <w:lang w:val="es-AR"/>
        </w:rPr>
        <w:t xml:space="preserve">En cuanto a la resolución sobre medidas cautelares que ordenó la detención preventiva de los peticionarios, Bolivia indica que tuvo la finalidad de asegurar que la investigación no se viera obstaculizada, en función de los antecedentes del caso y con estricto apego a la normativa vigente, sin afectar la presunción de inocencia. </w:t>
      </w:r>
    </w:p>
    <w:p w14:paraId="6F66389C" w14:textId="77777777" w:rsidR="00AC7DCD" w:rsidRPr="0011380E" w:rsidRDefault="00AC7DCD" w:rsidP="0011380E">
      <w:pPr>
        <w:pStyle w:val="ListParagraph"/>
        <w:numPr>
          <w:ilvl w:val="0"/>
          <w:numId w:val="0"/>
        </w:numPr>
        <w:rPr>
          <w:rFonts w:asciiTheme="majorHAnsi" w:hAnsiTheme="majorHAnsi"/>
          <w:color w:val="auto"/>
          <w:szCs w:val="20"/>
          <w:lang w:val="es-AR"/>
        </w:rPr>
      </w:pPr>
    </w:p>
    <w:p w14:paraId="3F96A970" w14:textId="77777777" w:rsidR="00B16BE9" w:rsidRDefault="00AC7DCD" w:rsidP="0011380E">
      <w:pPr>
        <w:pStyle w:val="ListParagraph"/>
        <w:rPr>
          <w:rFonts w:asciiTheme="majorHAnsi" w:hAnsiTheme="majorHAnsi"/>
          <w:color w:val="auto"/>
          <w:szCs w:val="20"/>
          <w:lang w:val="es-AR"/>
        </w:rPr>
      </w:pPr>
      <w:r w:rsidRPr="0011380E">
        <w:rPr>
          <w:rFonts w:asciiTheme="majorHAnsi" w:hAnsiTheme="majorHAnsi"/>
          <w:color w:val="auto"/>
          <w:szCs w:val="20"/>
          <w:lang w:val="es-AR"/>
        </w:rPr>
        <w:t>Finalmente, en cuanto a lo alegado respecto a la protección de la honra y dignidad, Bolivia reitera que las denuncias carecen de pruebas suficientes para sustentarlas</w:t>
      </w:r>
      <w:r w:rsidR="00622105" w:rsidRPr="0011380E">
        <w:rPr>
          <w:rFonts w:asciiTheme="majorHAnsi" w:hAnsiTheme="majorHAnsi"/>
          <w:color w:val="auto"/>
          <w:szCs w:val="20"/>
          <w:lang w:val="es-AR"/>
        </w:rPr>
        <w:t xml:space="preserve"> e</w:t>
      </w:r>
      <w:r w:rsidR="000411B9" w:rsidRPr="0011380E">
        <w:rPr>
          <w:rFonts w:asciiTheme="majorHAnsi" w:hAnsiTheme="majorHAnsi"/>
          <w:color w:val="auto"/>
          <w:szCs w:val="20"/>
          <w:lang w:val="es-AR"/>
        </w:rPr>
        <w:t xml:space="preserve"> insiste en que las repercusiones mediáticas</w:t>
      </w:r>
      <w:r w:rsidR="00622105" w:rsidRPr="0011380E">
        <w:rPr>
          <w:rFonts w:asciiTheme="majorHAnsi" w:hAnsiTheme="majorHAnsi"/>
          <w:color w:val="auto"/>
          <w:szCs w:val="20"/>
          <w:lang w:val="es-AR"/>
        </w:rPr>
        <w:t xml:space="preserve"> y la alarma social</w:t>
      </w:r>
      <w:r w:rsidR="000411B9" w:rsidRPr="0011380E">
        <w:rPr>
          <w:rFonts w:asciiTheme="majorHAnsi" w:hAnsiTheme="majorHAnsi"/>
          <w:color w:val="auto"/>
          <w:szCs w:val="20"/>
          <w:lang w:val="es-AR"/>
        </w:rPr>
        <w:t xml:space="preserve"> del caso Prosegur respondían a la gravedad de los hechos y </w:t>
      </w:r>
      <w:r w:rsidR="00230EC7" w:rsidRPr="0011380E">
        <w:rPr>
          <w:rFonts w:asciiTheme="majorHAnsi" w:hAnsiTheme="majorHAnsi"/>
          <w:color w:val="auto"/>
          <w:szCs w:val="20"/>
          <w:lang w:val="es-AR"/>
        </w:rPr>
        <w:t xml:space="preserve">a </w:t>
      </w:r>
      <w:r w:rsidR="000411B9" w:rsidRPr="0011380E">
        <w:rPr>
          <w:rFonts w:asciiTheme="majorHAnsi" w:hAnsiTheme="majorHAnsi"/>
          <w:color w:val="auto"/>
          <w:szCs w:val="20"/>
          <w:lang w:val="es-AR"/>
        </w:rPr>
        <w:t xml:space="preserve">la violencia y temeridad con la que actuaron los sentenciados. </w:t>
      </w:r>
    </w:p>
    <w:p w14:paraId="11EF15C4" w14:textId="77777777" w:rsidR="005F3D64" w:rsidRDefault="005F3D64" w:rsidP="005F3D64">
      <w:pPr>
        <w:pStyle w:val="ListParagraph"/>
        <w:numPr>
          <w:ilvl w:val="0"/>
          <w:numId w:val="0"/>
        </w:numPr>
        <w:rPr>
          <w:rFonts w:asciiTheme="majorHAnsi" w:hAnsiTheme="majorHAnsi"/>
          <w:color w:val="auto"/>
          <w:szCs w:val="20"/>
          <w:lang w:val="es-AR"/>
        </w:rPr>
      </w:pPr>
    </w:p>
    <w:p w14:paraId="1C22BF25" w14:textId="77777777" w:rsidR="005F3D64" w:rsidRDefault="005F3D64" w:rsidP="005F3D64">
      <w:pPr>
        <w:pStyle w:val="ListParagraph"/>
        <w:numPr>
          <w:ilvl w:val="0"/>
          <w:numId w:val="0"/>
        </w:numPr>
        <w:rPr>
          <w:rFonts w:asciiTheme="majorHAnsi" w:hAnsiTheme="majorHAnsi"/>
          <w:color w:val="auto"/>
          <w:szCs w:val="20"/>
          <w:lang w:val="es-AR"/>
        </w:rPr>
      </w:pPr>
    </w:p>
    <w:p w14:paraId="7C0BB818" w14:textId="77777777" w:rsidR="005F3D64" w:rsidRDefault="005F3D64" w:rsidP="005F3D64">
      <w:pPr>
        <w:pStyle w:val="ListParagraph"/>
        <w:numPr>
          <w:ilvl w:val="0"/>
          <w:numId w:val="0"/>
        </w:numPr>
        <w:rPr>
          <w:rFonts w:asciiTheme="majorHAnsi" w:hAnsiTheme="majorHAnsi"/>
          <w:color w:val="auto"/>
          <w:szCs w:val="20"/>
          <w:lang w:val="es-AR"/>
        </w:rPr>
      </w:pPr>
    </w:p>
    <w:p w14:paraId="68A25FC3" w14:textId="77777777" w:rsidR="005F3D64" w:rsidRDefault="005F3D64" w:rsidP="005F3D64">
      <w:pPr>
        <w:pStyle w:val="ListParagraph"/>
        <w:numPr>
          <w:ilvl w:val="0"/>
          <w:numId w:val="0"/>
        </w:numPr>
        <w:rPr>
          <w:rFonts w:asciiTheme="majorHAnsi" w:hAnsiTheme="majorHAnsi"/>
          <w:color w:val="auto"/>
          <w:szCs w:val="20"/>
          <w:lang w:val="es-AR"/>
        </w:rPr>
      </w:pPr>
    </w:p>
    <w:p w14:paraId="38409D2C" w14:textId="77777777" w:rsidR="005F3D64" w:rsidRDefault="005F3D64" w:rsidP="005F3D64">
      <w:pPr>
        <w:pStyle w:val="ListParagraph"/>
        <w:numPr>
          <w:ilvl w:val="0"/>
          <w:numId w:val="0"/>
        </w:numPr>
        <w:rPr>
          <w:rFonts w:asciiTheme="majorHAnsi" w:hAnsiTheme="majorHAnsi"/>
          <w:color w:val="auto"/>
          <w:szCs w:val="20"/>
          <w:lang w:val="es-AR"/>
        </w:rPr>
      </w:pPr>
    </w:p>
    <w:p w14:paraId="21DA78F4" w14:textId="77777777" w:rsidR="005F3D64" w:rsidRDefault="005F3D64" w:rsidP="005F3D64">
      <w:pPr>
        <w:pStyle w:val="ListParagraph"/>
        <w:numPr>
          <w:ilvl w:val="0"/>
          <w:numId w:val="0"/>
        </w:numPr>
        <w:rPr>
          <w:rFonts w:asciiTheme="majorHAnsi" w:hAnsiTheme="majorHAnsi"/>
          <w:color w:val="auto"/>
          <w:szCs w:val="20"/>
          <w:lang w:val="es-AR"/>
        </w:rPr>
      </w:pPr>
    </w:p>
    <w:p w14:paraId="555EE58E" w14:textId="77777777" w:rsidR="005F3D64" w:rsidRPr="005F3D64" w:rsidRDefault="005F3D64" w:rsidP="005F3D64">
      <w:pPr>
        <w:pStyle w:val="ListParagraph"/>
        <w:numPr>
          <w:ilvl w:val="0"/>
          <w:numId w:val="0"/>
        </w:numPr>
        <w:rPr>
          <w:rFonts w:asciiTheme="majorHAnsi" w:hAnsiTheme="majorHAnsi"/>
          <w:color w:val="auto"/>
          <w:szCs w:val="20"/>
          <w:lang w:val="es-AR"/>
        </w:rPr>
      </w:pPr>
    </w:p>
    <w:p w14:paraId="34996C47" w14:textId="77777777" w:rsidR="00277EF9" w:rsidRPr="0011380E" w:rsidRDefault="00277EF9" w:rsidP="0011380E">
      <w:pPr>
        <w:pStyle w:val="ListParagraph"/>
        <w:numPr>
          <w:ilvl w:val="0"/>
          <w:numId w:val="0"/>
        </w:numPr>
        <w:rPr>
          <w:rFonts w:asciiTheme="majorHAnsi" w:hAnsiTheme="majorHAnsi"/>
          <w:color w:val="auto"/>
          <w:szCs w:val="20"/>
          <w:lang w:val="es-AR"/>
        </w:rPr>
      </w:pPr>
    </w:p>
    <w:p w14:paraId="7CDBA4A6" w14:textId="77777777" w:rsidR="00A4478F" w:rsidRDefault="00D12193" w:rsidP="00A4478F">
      <w:pPr>
        <w:pStyle w:val="Heading1"/>
        <w:ind w:left="0" w:firstLine="0"/>
        <w:rPr>
          <w:color w:val="auto"/>
        </w:rPr>
      </w:pPr>
      <w:bookmarkStart w:id="8" w:name="_Toc11750401"/>
      <w:r w:rsidRPr="0011380E">
        <w:rPr>
          <w:color w:val="auto"/>
        </w:rPr>
        <w:lastRenderedPageBreak/>
        <w:t>DETERMINACIONES DE HECHO</w:t>
      </w:r>
      <w:bookmarkEnd w:id="8"/>
      <w:r w:rsidR="008A078F" w:rsidRPr="0011380E">
        <w:rPr>
          <w:color w:val="auto"/>
        </w:rPr>
        <w:t xml:space="preserve"> </w:t>
      </w:r>
    </w:p>
    <w:p w14:paraId="114871BD" w14:textId="77777777" w:rsidR="005F3D64" w:rsidRPr="005F3D64" w:rsidRDefault="005F3D64" w:rsidP="005F3D64">
      <w:pPr>
        <w:rPr>
          <w:lang w:val="es-ES_tradnl" w:eastAsia="es-ES"/>
        </w:rPr>
      </w:pPr>
    </w:p>
    <w:p w14:paraId="234015D6" w14:textId="77777777" w:rsidR="00DF48B9" w:rsidRPr="0011380E" w:rsidRDefault="00DF48B9" w:rsidP="005F3D64">
      <w:pPr>
        <w:pStyle w:val="Heading2"/>
        <w:numPr>
          <w:ilvl w:val="0"/>
          <w:numId w:val="58"/>
        </w:numPr>
        <w:ind w:hanging="720"/>
      </w:pPr>
      <w:bookmarkStart w:id="9" w:name="_Toc11750402"/>
      <w:r w:rsidRPr="0011380E">
        <w:t xml:space="preserve">Marco </w:t>
      </w:r>
      <w:r w:rsidRPr="00D6752C">
        <w:t>normativo</w:t>
      </w:r>
      <w:r w:rsidRPr="0011380E">
        <w:t xml:space="preserve"> relevante</w:t>
      </w:r>
      <w:bookmarkEnd w:id="9"/>
      <w:r w:rsidRPr="0011380E">
        <w:t xml:space="preserve"> </w:t>
      </w:r>
    </w:p>
    <w:p w14:paraId="6C9272BB" w14:textId="77777777" w:rsidR="00042141" w:rsidRPr="0011380E" w:rsidRDefault="00042141" w:rsidP="0011380E">
      <w:pPr>
        <w:rPr>
          <w:rFonts w:asciiTheme="majorHAnsi" w:hAnsiTheme="majorHAnsi"/>
          <w:sz w:val="20"/>
          <w:szCs w:val="20"/>
        </w:rPr>
      </w:pPr>
    </w:p>
    <w:p w14:paraId="49484E6B" w14:textId="77777777" w:rsidR="004B5223" w:rsidRPr="0011380E" w:rsidRDefault="00042141" w:rsidP="0011380E">
      <w:pPr>
        <w:pStyle w:val="ListParagraph"/>
        <w:rPr>
          <w:rFonts w:asciiTheme="majorHAnsi" w:hAnsiTheme="majorHAnsi"/>
          <w:color w:val="auto"/>
          <w:szCs w:val="20"/>
          <w:lang w:val="es-ES_tradnl"/>
        </w:rPr>
      </w:pPr>
      <w:r w:rsidRPr="0011380E">
        <w:rPr>
          <w:rFonts w:asciiTheme="majorHAnsi" w:hAnsiTheme="majorHAnsi"/>
          <w:color w:val="auto"/>
          <w:szCs w:val="20"/>
          <w:lang w:val="es-ES_tradnl"/>
        </w:rPr>
        <w:t>La Comisión tiene en cuenta que el Estado boliviano arguyó que sus actuaciones se ajustaron a la legislación vigente</w:t>
      </w:r>
      <w:r w:rsidR="004B5223" w:rsidRPr="0011380E">
        <w:rPr>
          <w:rFonts w:asciiTheme="majorHAnsi" w:hAnsiTheme="majorHAnsi"/>
          <w:color w:val="auto"/>
          <w:szCs w:val="20"/>
          <w:lang w:val="es-ES_tradnl"/>
        </w:rPr>
        <w:t xml:space="preserve">, por lo que </w:t>
      </w:r>
      <w:r w:rsidR="008B198F" w:rsidRPr="0011380E">
        <w:rPr>
          <w:rFonts w:asciiTheme="majorHAnsi" w:hAnsiTheme="majorHAnsi"/>
          <w:color w:val="auto"/>
          <w:szCs w:val="20"/>
          <w:lang w:val="es-ES_tradnl"/>
        </w:rPr>
        <w:t>resulta</w:t>
      </w:r>
      <w:r w:rsidR="004B5223" w:rsidRPr="0011380E">
        <w:rPr>
          <w:rFonts w:asciiTheme="majorHAnsi" w:hAnsiTheme="majorHAnsi"/>
          <w:color w:val="auto"/>
          <w:szCs w:val="20"/>
          <w:lang w:val="es-ES_tradnl"/>
        </w:rPr>
        <w:t xml:space="preserve"> necesario</w:t>
      </w:r>
      <w:r w:rsidR="00BC773E" w:rsidRPr="0011380E">
        <w:rPr>
          <w:rFonts w:asciiTheme="majorHAnsi" w:hAnsiTheme="majorHAnsi"/>
          <w:color w:val="auto"/>
          <w:szCs w:val="20"/>
          <w:lang w:val="es-ES_tradnl"/>
        </w:rPr>
        <w:t xml:space="preserve"> tener a la vista </w:t>
      </w:r>
      <w:r w:rsidR="004B5223" w:rsidRPr="0011380E">
        <w:rPr>
          <w:rFonts w:asciiTheme="majorHAnsi" w:hAnsiTheme="majorHAnsi"/>
          <w:color w:val="auto"/>
          <w:szCs w:val="20"/>
          <w:lang w:val="es-ES_tradnl"/>
        </w:rPr>
        <w:t>las siguientes disposiciones:</w:t>
      </w:r>
    </w:p>
    <w:p w14:paraId="75F53AA8" w14:textId="77777777" w:rsidR="004B5223" w:rsidRPr="0011380E" w:rsidRDefault="004B5223" w:rsidP="004B5223">
      <w:pPr>
        <w:pStyle w:val="ListParagraph"/>
        <w:numPr>
          <w:ilvl w:val="0"/>
          <w:numId w:val="0"/>
        </w:numPr>
        <w:rPr>
          <w:rFonts w:asciiTheme="majorHAnsi" w:hAnsiTheme="majorHAnsi"/>
          <w:color w:val="auto"/>
          <w:szCs w:val="20"/>
          <w:lang w:val="es-ES_tradnl"/>
        </w:rPr>
      </w:pPr>
    </w:p>
    <w:p w14:paraId="5BD82C6D" w14:textId="77777777" w:rsidR="004B5223" w:rsidRPr="004A6A8B" w:rsidRDefault="004B5223" w:rsidP="004A6A8B">
      <w:pPr>
        <w:pStyle w:val="Quote"/>
        <w:rPr>
          <w:rFonts w:asciiTheme="majorHAnsi" w:hAnsiTheme="majorHAnsi"/>
          <w:b/>
          <w:color w:val="auto"/>
          <w:szCs w:val="18"/>
          <w:lang w:val="es-ES_tradnl"/>
        </w:rPr>
      </w:pPr>
      <w:r w:rsidRPr="004A6A8B">
        <w:rPr>
          <w:rFonts w:asciiTheme="majorHAnsi" w:hAnsiTheme="majorHAnsi"/>
          <w:b/>
          <w:color w:val="auto"/>
          <w:szCs w:val="18"/>
          <w:lang w:val="es-ES_tradnl"/>
        </w:rPr>
        <w:t>Constitución Política del Estado</w:t>
      </w:r>
      <w:r w:rsidR="00E807EA" w:rsidRPr="004A6A8B">
        <w:rPr>
          <w:rFonts w:asciiTheme="majorHAnsi" w:hAnsiTheme="majorHAnsi"/>
          <w:b/>
          <w:color w:val="auto"/>
          <w:szCs w:val="18"/>
          <w:lang w:val="es-ES_tradnl"/>
        </w:rPr>
        <w:t xml:space="preserve"> </w:t>
      </w:r>
      <w:r w:rsidRPr="004A6A8B">
        <w:rPr>
          <w:rFonts w:asciiTheme="majorHAnsi" w:hAnsiTheme="majorHAnsi"/>
          <w:b/>
          <w:color w:val="auto"/>
          <w:szCs w:val="18"/>
          <w:lang w:val="es-ES_tradnl"/>
        </w:rPr>
        <w:t>(</w:t>
      </w:r>
      <w:r w:rsidR="00682381" w:rsidRPr="004A6A8B">
        <w:rPr>
          <w:rFonts w:asciiTheme="majorHAnsi" w:hAnsiTheme="majorHAnsi"/>
          <w:b/>
          <w:color w:val="auto"/>
          <w:szCs w:val="18"/>
          <w:lang w:val="es-ES_tradnl"/>
        </w:rPr>
        <w:t xml:space="preserve">6 de febrero de 1995, </w:t>
      </w:r>
      <w:r w:rsidRPr="004A6A8B">
        <w:rPr>
          <w:rFonts w:asciiTheme="majorHAnsi" w:hAnsiTheme="majorHAnsi"/>
          <w:b/>
          <w:color w:val="auto"/>
          <w:szCs w:val="18"/>
          <w:lang w:val="es-ES_tradnl"/>
        </w:rPr>
        <w:t xml:space="preserve">vigente a </w:t>
      </w:r>
      <w:r w:rsidR="00682381" w:rsidRPr="004A6A8B">
        <w:rPr>
          <w:rFonts w:asciiTheme="majorHAnsi" w:hAnsiTheme="majorHAnsi"/>
          <w:b/>
          <w:color w:val="auto"/>
          <w:szCs w:val="18"/>
          <w:lang w:val="es-ES_tradnl"/>
        </w:rPr>
        <w:t>época</w:t>
      </w:r>
      <w:r w:rsidRPr="004A6A8B">
        <w:rPr>
          <w:rFonts w:asciiTheme="majorHAnsi" w:hAnsiTheme="majorHAnsi"/>
          <w:b/>
          <w:color w:val="auto"/>
          <w:szCs w:val="18"/>
          <w:lang w:val="es-ES_tradnl"/>
        </w:rPr>
        <w:t xml:space="preserve"> </w:t>
      </w:r>
      <w:r w:rsidR="00682381" w:rsidRPr="004A6A8B">
        <w:rPr>
          <w:rFonts w:asciiTheme="majorHAnsi" w:hAnsiTheme="majorHAnsi"/>
          <w:b/>
          <w:color w:val="auto"/>
          <w:szCs w:val="18"/>
          <w:lang w:val="es-ES_tradnl"/>
        </w:rPr>
        <w:t xml:space="preserve">de </w:t>
      </w:r>
      <w:r w:rsidRPr="004A6A8B">
        <w:rPr>
          <w:rFonts w:asciiTheme="majorHAnsi" w:hAnsiTheme="majorHAnsi"/>
          <w:b/>
          <w:color w:val="auto"/>
          <w:szCs w:val="18"/>
          <w:lang w:val="es-ES_tradnl"/>
        </w:rPr>
        <w:t>los hechos</w:t>
      </w:r>
      <w:r w:rsidR="00682381" w:rsidRPr="004A6A8B">
        <w:rPr>
          <w:rFonts w:asciiTheme="majorHAnsi" w:hAnsiTheme="majorHAnsi"/>
          <w:b/>
          <w:color w:val="auto"/>
          <w:szCs w:val="18"/>
          <w:lang w:val="es-ES_tradnl"/>
        </w:rPr>
        <w:t xml:space="preserve"> del caso</w:t>
      </w:r>
      <w:r w:rsidRPr="004A6A8B">
        <w:rPr>
          <w:rFonts w:asciiTheme="majorHAnsi" w:hAnsiTheme="majorHAnsi"/>
          <w:b/>
          <w:color w:val="auto"/>
          <w:szCs w:val="18"/>
          <w:lang w:val="es-ES_tradnl"/>
        </w:rPr>
        <w:t>)</w:t>
      </w:r>
    </w:p>
    <w:p w14:paraId="0F2D32EF" w14:textId="77777777" w:rsidR="004A6A8B" w:rsidRDefault="004A6A8B" w:rsidP="004A6A8B">
      <w:pPr>
        <w:pStyle w:val="Quote"/>
        <w:rPr>
          <w:rFonts w:asciiTheme="majorHAnsi" w:hAnsiTheme="majorHAnsi"/>
          <w:color w:val="auto"/>
          <w:szCs w:val="18"/>
          <w:lang w:val="es-ES_tradnl"/>
        </w:rPr>
      </w:pPr>
    </w:p>
    <w:p w14:paraId="5407AC6D" w14:textId="77777777" w:rsidR="004B5223" w:rsidRPr="004A6A8B" w:rsidRDefault="00682381" w:rsidP="004A6A8B">
      <w:pPr>
        <w:pStyle w:val="Quote"/>
        <w:rPr>
          <w:rFonts w:asciiTheme="majorHAnsi" w:hAnsiTheme="majorHAnsi"/>
          <w:color w:val="auto"/>
          <w:szCs w:val="18"/>
          <w:lang w:val="es-ES_tradnl"/>
        </w:rPr>
      </w:pPr>
      <w:r w:rsidRPr="004A6A8B">
        <w:rPr>
          <w:rFonts w:asciiTheme="majorHAnsi" w:hAnsiTheme="majorHAnsi"/>
          <w:color w:val="auto"/>
          <w:szCs w:val="18"/>
          <w:lang w:val="es-ES_tradnl"/>
        </w:rPr>
        <w:t>Artículo 10.-</w:t>
      </w:r>
      <w:r w:rsidR="00E807EA" w:rsidRPr="004A6A8B">
        <w:rPr>
          <w:rFonts w:asciiTheme="majorHAnsi" w:hAnsiTheme="majorHAnsi"/>
          <w:color w:val="auto"/>
          <w:szCs w:val="18"/>
          <w:lang w:val="es-ES_tradnl"/>
        </w:rPr>
        <w:t xml:space="preserve"> </w:t>
      </w:r>
      <w:r w:rsidRPr="004A6A8B">
        <w:rPr>
          <w:rFonts w:asciiTheme="majorHAnsi" w:hAnsiTheme="majorHAnsi"/>
          <w:color w:val="auto"/>
          <w:szCs w:val="18"/>
          <w:lang w:val="es-ES_tradnl"/>
        </w:rPr>
        <w:t>Todo</w:t>
      </w:r>
      <w:r w:rsidR="00E807EA" w:rsidRPr="004A6A8B">
        <w:rPr>
          <w:rFonts w:asciiTheme="majorHAnsi" w:hAnsiTheme="majorHAnsi"/>
          <w:color w:val="auto"/>
          <w:szCs w:val="18"/>
          <w:lang w:val="es-ES_tradnl"/>
        </w:rPr>
        <w:t xml:space="preserve"> </w:t>
      </w:r>
      <w:r w:rsidRPr="004A6A8B">
        <w:rPr>
          <w:rFonts w:asciiTheme="majorHAnsi" w:hAnsiTheme="majorHAnsi"/>
          <w:color w:val="auto"/>
          <w:szCs w:val="18"/>
          <w:lang w:val="es-ES_tradnl"/>
        </w:rPr>
        <w:t>delincuente</w:t>
      </w:r>
      <w:r w:rsidR="00E807EA" w:rsidRPr="004A6A8B">
        <w:rPr>
          <w:rFonts w:asciiTheme="majorHAnsi" w:hAnsiTheme="majorHAnsi"/>
          <w:color w:val="auto"/>
          <w:szCs w:val="18"/>
          <w:lang w:val="es-ES_tradnl"/>
        </w:rPr>
        <w:t xml:space="preserve"> </w:t>
      </w:r>
      <w:r w:rsidRPr="004A6A8B">
        <w:rPr>
          <w:rFonts w:asciiTheme="majorHAnsi" w:hAnsiTheme="majorHAnsi"/>
          <w:i/>
          <w:color w:val="auto"/>
          <w:szCs w:val="18"/>
          <w:lang w:val="es-ES_tradnl"/>
        </w:rPr>
        <w:t>in fraganti</w:t>
      </w:r>
      <w:r w:rsidRPr="004A6A8B">
        <w:rPr>
          <w:rFonts w:asciiTheme="majorHAnsi" w:hAnsiTheme="majorHAnsi"/>
          <w:color w:val="auto"/>
          <w:szCs w:val="18"/>
          <w:lang w:val="es-ES_tradnl"/>
        </w:rPr>
        <w:t xml:space="preserve"> puede ser aprehendido, aun sin mandamiento, por cualquier persona, para el único objeto de ser conducido ante la autoridad o el juez competente, quien deberá tomarle su declaración en el plazo máximo de veinticuatro horas.</w:t>
      </w:r>
    </w:p>
    <w:p w14:paraId="456EB4E1" w14:textId="77777777" w:rsidR="00682381" w:rsidRPr="004A6A8B" w:rsidRDefault="00682381" w:rsidP="004A6A8B">
      <w:pPr>
        <w:pStyle w:val="Quote"/>
        <w:rPr>
          <w:rFonts w:asciiTheme="majorHAnsi" w:hAnsiTheme="majorHAnsi"/>
          <w:color w:val="auto"/>
          <w:szCs w:val="18"/>
          <w:lang w:val="es-ES_tradnl"/>
        </w:rPr>
      </w:pPr>
      <w:r w:rsidRPr="004A6A8B">
        <w:rPr>
          <w:rFonts w:asciiTheme="majorHAnsi" w:hAnsiTheme="majorHAnsi"/>
          <w:color w:val="auto"/>
          <w:szCs w:val="18"/>
          <w:lang w:val="es-ES_tradnl"/>
        </w:rPr>
        <w:t xml:space="preserve">Artículo 21.- Toda casa es un asilo inviolable; de noche no se podrá entrar en ella sin consentimiento del que la habita y de día sólo se franqueará la entrada a requisición escrita y motivada de autoridad competente, salvo el caso de delito </w:t>
      </w:r>
      <w:r w:rsidRPr="004A6A8B">
        <w:rPr>
          <w:rFonts w:asciiTheme="majorHAnsi" w:hAnsiTheme="majorHAnsi"/>
          <w:i/>
          <w:color w:val="auto"/>
          <w:szCs w:val="18"/>
          <w:lang w:val="es-ES_tradnl"/>
        </w:rPr>
        <w:t>in fraganti</w:t>
      </w:r>
      <w:r w:rsidRPr="004A6A8B">
        <w:rPr>
          <w:rFonts w:asciiTheme="majorHAnsi" w:hAnsiTheme="majorHAnsi"/>
          <w:color w:val="auto"/>
          <w:szCs w:val="18"/>
          <w:lang w:val="es-ES_tradnl"/>
        </w:rPr>
        <w:t>.</w:t>
      </w:r>
    </w:p>
    <w:p w14:paraId="431DE910" w14:textId="77777777" w:rsidR="00E23E4F" w:rsidRPr="004A6A8B" w:rsidRDefault="00E23E4F" w:rsidP="004A6A8B">
      <w:pPr>
        <w:pStyle w:val="Quote"/>
        <w:rPr>
          <w:rFonts w:asciiTheme="majorHAnsi" w:hAnsiTheme="majorHAnsi"/>
          <w:b/>
          <w:color w:val="auto"/>
          <w:szCs w:val="18"/>
          <w:lang w:val="es-ES_tradnl"/>
        </w:rPr>
      </w:pPr>
    </w:p>
    <w:p w14:paraId="6D82F608" w14:textId="77777777" w:rsidR="00B97C02" w:rsidRPr="004A6A8B" w:rsidRDefault="004B5223" w:rsidP="004A6A8B">
      <w:pPr>
        <w:pStyle w:val="Quote"/>
        <w:rPr>
          <w:rFonts w:asciiTheme="majorHAnsi" w:hAnsiTheme="majorHAnsi"/>
          <w:b/>
          <w:color w:val="auto"/>
          <w:szCs w:val="18"/>
          <w:lang w:val="es-ES_tradnl"/>
        </w:rPr>
      </w:pPr>
      <w:r w:rsidRPr="004A6A8B">
        <w:rPr>
          <w:rFonts w:asciiTheme="majorHAnsi" w:hAnsiTheme="majorHAnsi"/>
          <w:b/>
          <w:color w:val="auto"/>
          <w:szCs w:val="18"/>
          <w:lang w:val="es-ES_tradnl"/>
        </w:rPr>
        <w:t>Código de Procedimiento Penal</w:t>
      </w:r>
      <w:r w:rsidR="00682381" w:rsidRPr="004A6A8B">
        <w:rPr>
          <w:rFonts w:asciiTheme="majorHAnsi" w:hAnsiTheme="majorHAnsi"/>
          <w:b/>
          <w:color w:val="auto"/>
          <w:szCs w:val="18"/>
          <w:lang w:val="es-ES_tradnl"/>
        </w:rPr>
        <w:t xml:space="preserve"> (Ley 1970)</w:t>
      </w:r>
    </w:p>
    <w:p w14:paraId="54258E56" w14:textId="77777777" w:rsidR="004A6A8B" w:rsidRDefault="004A6A8B" w:rsidP="004A6A8B">
      <w:pPr>
        <w:pStyle w:val="Quote"/>
        <w:rPr>
          <w:rFonts w:asciiTheme="majorHAnsi" w:hAnsiTheme="majorHAnsi"/>
          <w:color w:val="auto"/>
          <w:szCs w:val="18"/>
          <w:u w:color="000000"/>
          <w:lang w:val="es-ES"/>
        </w:rPr>
      </w:pPr>
    </w:p>
    <w:p w14:paraId="3FD255C7" w14:textId="77777777" w:rsidR="00B60253" w:rsidRPr="004A6A8B" w:rsidRDefault="00E130E2" w:rsidP="004A6A8B">
      <w:pPr>
        <w:pStyle w:val="Quote"/>
        <w:rPr>
          <w:rFonts w:asciiTheme="majorHAnsi" w:hAnsiTheme="majorHAnsi"/>
          <w:color w:val="auto"/>
          <w:szCs w:val="18"/>
          <w:u w:color="000000"/>
          <w:lang w:val="es-ES"/>
        </w:rPr>
      </w:pPr>
      <w:r w:rsidRPr="004A6A8B">
        <w:rPr>
          <w:rFonts w:asciiTheme="majorHAnsi" w:hAnsiTheme="majorHAnsi"/>
          <w:color w:val="auto"/>
          <w:szCs w:val="18"/>
          <w:u w:color="000000"/>
          <w:lang w:val="es-ES"/>
        </w:rPr>
        <w:t>Artículo 118º.</w:t>
      </w:r>
      <w:r w:rsidRPr="004A6A8B">
        <w:rPr>
          <w:rFonts w:asciiTheme="majorHAnsi" w:hAnsiTheme="majorHAnsi"/>
          <w:color w:val="auto"/>
          <w:szCs w:val="18"/>
          <w:u w:color="000000"/>
          <w:lang w:val="es-ES"/>
        </w:rPr>
        <w:softHyphen/>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(Día y hora de cumplimiento)</w:t>
      </w:r>
      <w:r w:rsidR="00E37F67" w:rsidRPr="004A6A8B">
        <w:rPr>
          <w:rFonts w:asciiTheme="majorHAnsi" w:hAnsiTheme="majorHAnsi"/>
          <w:color w:val="auto"/>
          <w:szCs w:val="18"/>
          <w:u w:color="000000"/>
          <w:lang w:val="es-ES"/>
        </w:rPr>
        <w:t xml:space="preserve">. </w:t>
      </w:r>
      <w:r w:rsidRPr="004A6A8B">
        <w:rPr>
          <w:rFonts w:asciiTheme="majorHAnsi" w:hAnsiTheme="majorHAnsi"/>
          <w:color w:val="auto"/>
          <w:szCs w:val="18"/>
          <w:u w:color="000000"/>
          <w:lang w:val="es-ES"/>
        </w:rPr>
        <w:t>Los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actos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procesales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se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cumplirán</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en</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días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y</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horas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hábiles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sin perjuicio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las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habilitaciones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que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señale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el</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juez</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tribunal,</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oficio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a</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petición</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parte,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cuando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lo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estime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necesario.</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A</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solicitud</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fundamentada</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del</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fiscal,</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el</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juez</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de</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la</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instrucción</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podrá</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expedir</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mandamientos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en</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días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feriados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y</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horas</w:t>
      </w:r>
      <w:r w:rsidRPr="004A6A8B">
        <w:rPr>
          <w:rFonts w:asciiTheme="majorHAnsi" w:hAnsiTheme="majorHAnsi"/>
          <w:color w:val="auto"/>
          <w:szCs w:val="18"/>
          <w:lang w:val="es-ES"/>
        </w:rPr>
        <w:t xml:space="preserve"> </w:t>
      </w:r>
      <w:r w:rsidRPr="004A6A8B">
        <w:rPr>
          <w:rFonts w:asciiTheme="majorHAnsi" w:hAnsiTheme="majorHAnsi"/>
          <w:color w:val="auto"/>
          <w:szCs w:val="18"/>
          <w:u w:color="000000"/>
          <w:lang w:val="es-ES"/>
        </w:rPr>
        <w:t>extraordinarias.</w:t>
      </w:r>
    </w:p>
    <w:p w14:paraId="033199A6" w14:textId="77777777" w:rsidR="004A6A8B" w:rsidRDefault="004A6A8B" w:rsidP="004A6A8B">
      <w:pPr>
        <w:pStyle w:val="Quote"/>
        <w:rPr>
          <w:rFonts w:asciiTheme="majorHAnsi" w:hAnsiTheme="majorHAnsi"/>
          <w:color w:val="auto"/>
          <w:szCs w:val="18"/>
          <w:lang w:val="es-ES"/>
        </w:rPr>
      </w:pPr>
    </w:p>
    <w:p w14:paraId="20E02D6E" w14:textId="77777777" w:rsidR="00B60253" w:rsidRPr="004A6A8B" w:rsidRDefault="00B60253"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 129º.­ (Clases de mandamientos). El juez o tribunal podrá expedir los siguientes mandamientos: 1. De comparendo, para citar al imputado a efecto de que preste su</w:t>
      </w:r>
      <w:r w:rsidR="00E807EA"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declaración</w:t>
      </w:r>
      <w:r w:rsidR="00E807EA" w:rsidRPr="004A6A8B">
        <w:rPr>
          <w:rFonts w:asciiTheme="majorHAnsi" w:hAnsiTheme="majorHAnsi"/>
          <w:color w:val="auto"/>
          <w:szCs w:val="18"/>
          <w:lang w:val="es-ES"/>
        </w:rPr>
        <w:t xml:space="preserve"> </w:t>
      </w:r>
      <w:r w:rsidRPr="004A6A8B">
        <w:rPr>
          <w:rFonts w:asciiTheme="majorHAnsi" w:hAnsiTheme="majorHAnsi"/>
          <w:color w:val="auto"/>
          <w:szCs w:val="18"/>
          <w:lang w:val="es-ES"/>
        </w:rPr>
        <w:t>así como a los testigos y peritos.</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Llevará</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advertencia</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expedirse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el</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aprehensión</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en</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caso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desobediencia; 2. 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aprehensión,</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en</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caso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desobediencia</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resistencia a órdenes judiciales; 3. De detención preventiva; 4. De condena; 5. De arresto; 6. De libertad provisional; 7.</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libertad</w:t>
      </w:r>
      <w:r w:rsidR="004B5223" w:rsidRPr="004A6A8B">
        <w:rPr>
          <w:rFonts w:asciiTheme="majorHAnsi" w:hAnsiTheme="majorHAnsi"/>
          <w:color w:val="auto"/>
          <w:szCs w:val="18"/>
          <w:lang w:val="es-ES"/>
        </w:rPr>
        <w:t xml:space="preserve"> a favor </w:t>
      </w:r>
      <w:r w:rsidRPr="004A6A8B">
        <w:rPr>
          <w:rFonts w:asciiTheme="majorHAnsi" w:hAnsiTheme="majorHAnsi"/>
          <w:color w:val="auto"/>
          <w:szCs w:val="18"/>
          <w:lang w:val="es-ES"/>
        </w:rPr>
        <w:t>del sobreseído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del declarado absuelto, y del que haya cumplido la pena impuesta; 8. De incautación; 9. De secuestro; y, 10. De allanamiento y registro o requisa.</w:t>
      </w:r>
    </w:p>
    <w:p w14:paraId="533B8A50" w14:textId="77777777" w:rsidR="004A6A8B" w:rsidRDefault="004A6A8B" w:rsidP="004A6A8B">
      <w:pPr>
        <w:pStyle w:val="Quote"/>
        <w:rPr>
          <w:rFonts w:asciiTheme="majorHAnsi" w:hAnsiTheme="majorHAnsi"/>
          <w:color w:val="auto"/>
          <w:szCs w:val="18"/>
          <w:lang w:val="es-ES"/>
        </w:rPr>
      </w:pPr>
    </w:p>
    <w:p w14:paraId="2E35F621" w14:textId="77777777" w:rsidR="0002223E" w:rsidRPr="004A6A8B" w:rsidRDefault="00B60253"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180º.­</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(Allanamiento de domicilio).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Cuando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el</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registro deba realizarse en un domicilio se requerirá resolución fundada del juez y la participación</w:t>
      </w:r>
      <w:r w:rsidR="0002223E" w:rsidRPr="004A6A8B">
        <w:rPr>
          <w:rFonts w:asciiTheme="majorHAnsi" w:hAnsiTheme="majorHAnsi"/>
          <w:color w:val="auto"/>
          <w:szCs w:val="18"/>
          <w:lang w:val="es-ES"/>
        </w:rPr>
        <w:t xml:space="preserve"> </w:t>
      </w:r>
      <w:r w:rsidRPr="004A6A8B">
        <w:rPr>
          <w:rFonts w:asciiTheme="majorHAnsi" w:hAnsiTheme="majorHAnsi"/>
          <w:color w:val="auto"/>
          <w:szCs w:val="18"/>
          <w:lang w:val="es-ES"/>
        </w:rPr>
        <w:t>obligatoria</w:t>
      </w:r>
      <w:r w:rsidR="0002223E"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del fiscal. Queda prohibido el allanamiento de domicilio o residencia particular en horas de la noche, éste únicamente podrá efectuarse durante las horas hábiles del día, salvo el caso de delito flagrante. Se entiende por horas de la noche el tiempo comprendido entre las diecinueve horas y las siete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del</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día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 xml:space="preserve">siguiente.  </w:t>
      </w:r>
    </w:p>
    <w:p w14:paraId="67302C5F" w14:textId="77777777" w:rsidR="004A6A8B" w:rsidRDefault="004A6A8B" w:rsidP="004A6A8B">
      <w:pPr>
        <w:pStyle w:val="Quote"/>
        <w:rPr>
          <w:rFonts w:asciiTheme="majorHAnsi" w:hAnsiTheme="majorHAnsi"/>
          <w:color w:val="auto"/>
          <w:szCs w:val="18"/>
          <w:lang w:val="es-ES"/>
        </w:rPr>
      </w:pPr>
    </w:p>
    <w:p w14:paraId="3E23374A" w14:textId="77777777" w:rsidR="00B60253" w:rsidRPr="004A6A8B" w:rsidRDefault="00B60253"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181º.­</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(Facultades coercitivas).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Para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realizar</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el</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registro,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0002223E" w:rsidRPr="004A6A8B">
        <w:rPr>
          <w:rFonts w:asciiTheme="majorHAnsi" w:hAnsiTheme="majorHAnsi"/>
          <w:color w:val="auto"/>
          <w:szCs w:val="18"/>
          <w:lang w:val="es-ES"/>
        </w:rPr>
        <w:t>a</w:t>
      </w:r>
      <w:r w:rsidRPr="004A6A8B">
        <w:rPr>
          <w:rFonts w:asciiTheme="majorHAnsi" w:hAnsiTheme="majorHAnsi"/>
          <w:color w:val="auto"/>
          <w:szCs w:val="18"/>
          <w:lang w:val="es-ES"/>
        </w:rPr>
        <w:t>utoridad</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podrá</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ordenar</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que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durante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diligencia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no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se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ausenten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personas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encontradas en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el</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lugar</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que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comparezca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inmediatamente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cualquier</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otra.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Los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que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desobedezcan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serán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compelidos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por</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fuerza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pública,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sin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perjuicio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responsabilidad</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que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corresponda.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restricción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libertad</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no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durará</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más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ocho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horas;</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pasado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este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término,</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necesariamente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deberá</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recabarse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orden</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del</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juez</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la</w:t>
      </w:r>
      <w:r w:rsidR="004F0360" w:rsidRPr="004A6A8B">
        <w:rPr>
          <w:rFonts w:asciiTheme="majorHAnsi" w:hAnsiTheme="majorHAnsi"/>
          <w:color w:val="auto"/>
          <w:szCs w:val="18"/>
          <w:lang w:val="es-ES"/>
        </w:rPr>
        <w:t xml:space="preserve"> </w:t>
      </w:r>
      <w:r w:rsidRPr="004A6A8B">
        <w:rPr>
          <w:rFonts w:asciiTheme="majorHAnsi" w:hAnsiTheme="majorHAnsi"/>
          <w:color w:val="auto"/>
          <w:szCs w:val="18"/>
          <w:lang w:val="es-ES"/>
        </w:rPr>
        <w:t>instrucción.</w:t>
      </w:r>
    </w:p>
    <w:p w14:paraId="680CF89B" w14:textId="77777777" w:rsidR="004A6A8B" w:rsidRDefault="004A6A8B" w:rsidP="004A6A8B">
      <w:pPr>
        <w:pStyle w:val="Quote"/>
        <w:rPr>
          <w:rFonts w:asciiTheme="majorHAnsi" w:hAnsiTheme="majorHAnsi"/>
          <w:color w:val="auto"/>
          <w:szCs w:val="18"/>
          <w:lang w:val="es-ES"/>
        </w:rPr>
      </w:pPr>
    </w:p>
    <w:p w14:paraId="54AA53A2" w14:textId="77777777" w:rsidR="004F0360" w:rsidRPr="004A6A8B" w:rsidRDefault="004F0360"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 182º.­ (Mandamiento y contenido). El mandamiento de allanamiento contendrá los siguientes requisitos: 1. El nombre y cargo del juez o tribunal que ordena el allanamiento y una breve identificación del proceso; 2. La indicación precisa del lugar o lugares por ser allanados; 3. La autoridad designada para el allanamiento;</w:t>
      </w:r>
      <w:r w:rsidR="00E807EA" w:rsidRPr="004A6A8B">
        <w:rPr>
          <w:rFonts w:asciiTheme="majorHAnsi" w:hAnsiTheme="majorHAnsi"/>
          <w:color w:val="auto"/>
          <w:szCs w:val="18"/>
          <w:lang w:val="es-ES"/>
        </w:rPr>
        <w:t xml:space="preserve"> </w:t>
      </w:r>
      <w:r w:rsidRPr="004A6A8B">
        <w:rPr>
          <w:rFonts w:asciiTheme="majorHAnsi" w:hAnsiTheme="majorHAnsi"/>
          <w:color w:val="auto"/>
          <w:szCs w:val="18"/>
          <w:lang w:val="es-ES"/>
        </w:rPr>
        <w:t>4.</w:t>
      </w:r>
      <w:r w:rsidR="00E807EA" w:rsidRPr="004A6A8B">
        <w:rPr>
          <w:rFonts w:asciiTheme="majorHAnsi" w:hAnsiTheme="majorHAnsi"/>
          <w:color w:val="auto"/>
          <w:szCs w:val="18"/>
          <w:lang w:val="es-ES"/>
        </w:rPr>
        <w:t xml:space="preserve"> </w:t>
      </w:r>
      <w:r w:rsidRPr="004A6A8B">
        <w:rPr>
          <w:rFonts w:asciiTheme="majorHAnsi" w:hAnsiTheme="majorHAnsi"/>
          <w:color w:val="auto"/>
          <w:szCs w:val="18"/>
          <w:lang w:val="es-ES"/>
        </w:rPr>
        <w:t>El</w:t>
      </w:r>
      <w:r w:rsidR="00E807EA" w:rsidRPr="004A6A8B">
        <w:rPr>
          <w:rFonts w:asciiTheme="majorHAnsi" w:hAnsiTheme="majorHAnsi"/>
          <w:color w:val="auto"/>
          <w:szCs w:val="18"/>
          <w:lang w:val="es-ES"/>
        </w:rPr>
        <w:t xml:space="preserve"> </w:t>
      </w:r>
      <w:r w:rsidRPr="004A6A8B">
        <w:rPr>
          <w:rFonts w:asciiTheme="majorHAnsi" w:hAnsiTheme="majorHAnsi"/>
          <w:color w:val="auto"/>
          <w:szCs w:val="18"/>
          <w:lang w:val="es-ES"/>
        </w:rPr>
        <w:t>motivo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específico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del</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allanamiento,</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su</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respectiva</w:t>
      </w:r>
      <w:r w:rsidR="004B5223" w:rsidRPr="004A6A8B">
        <w:rPr>
          <w:rFonts w:asciiTheme="majorHAnsi" w:hAnsiTheme="majorHAnsi"/>
          <w:color w:val="auto"/>
          <w:szCs w:val="18"/>
          <w:lang w:val="es-ES"/>
        </w:rPr>
        <w:t xml:space="preserve"> </w:t>
      </w:r>
      <w:r w:rsidRPr="004A6A8B">
        <w:rPr>
          <w:rFonts w:asciiTheme="majorHAnsi" w:hAnsiTheme="majorHAnsi"/>
          <w:color w:val="auto"/>
          <w:szCs w:val="18"/>
          <w:lang w:val="es-ES"/>
        </w:rPr>
        <w:t>fundamentación, las diligencias por practicar y, en lo posible, la individualización de las personas u objetos buscados; y, 5. La fecha y la firma del juez. El mandamiento tendrá una vigencia máxima de noventa y seis horas, después de las cuales caduca. El fiscal que concurra al allanamiento tendrá a su cargo la dirección de la diligencia.</w:t>
      </w:r>
    </w:p>
    <w:p w14:paraId="25575B53" w14:textId="77777777" w:rsidR="004A6A8B" w:rsidRDefault="004A6A8B" w:rsidP="004A6A8B">
      <w:pPr>
        <w:pStyle w:val="Quote"/>
        <w:rPr>
          <w:rFonts w:asciiTheme="majorHAnsi" w:hAnsiTheme="majorHAnsi"/>
          <w:color w:val="auto"/>
          <w:szCs w:val="18"/>
          <w:lang w:val="es-ES"/>
        </w:rPr>
      </w:pPr>
    </w:p>
    <w:p w14:paraId="23574117" w14:textId="77777777" w:rsidR="004F0360" w:rsidRPr="004A6A8B" w:rsidRDefault="004F0360"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 227º.­ (Aprehensión por la policía). La Policía Nacional podrá aprehender a toda persona en los siguientes casos: 1. Cuando haya sido sorprendida en flagrancia; 2. En cumplimiento de mandamiento de aprehensión librado por juez o tribunal competente; 3. En cumplimiento de una orden emanada del fiscal, y, 4. Cuando se haya fugado estando legalmente detenida. La autoridad policial que haya aprehendido a alguna persona deberá comunicar y ponerla a disposición de la Fiscalía en el plazo máximo de ocho horas.</w:t>
      </w:r>
    </w:p>
    <w:p w14:paraId="6568E333" w14:textId="77777777" w:rsidR="004A6A8B" w:rsidRDefault="004A6A8B" w:rsidP="004A6A8B">
      <w:pPr>
        <w:pStyle w:val="Quote"/>
        <w:rPr>
          <w:rFonts w:asciiTheme="majorHAnsi" w:hAnsiTheme="majorHAnsi"/>
          <w:color w:val="auto"/>
          <w:szCs w:val="18"/>
          <w:lang w:val="es-ES"/>
        </w:rPr>
      </w:pPr>
    </w:p>
    <w:p w14:paraId="03E0FF30" w14:textId="77777777" w:rsidR="004F0360" w:rsidRPr="004A6A8B" w:rsidRDefault="004F0360" w:rsidP="004A6A8B">
      <w:pPr>
        <w:pStyle w:val="Quote"/>
        <w:rPr>
          <w:rFonts w:asciiTheme="majorHAnsi" w:hAnsiTheme="majorHAnsi"/>
          <w:color w:val="auto"/>
          <w:szCs w:val="18"/>
          <w:lang w:val="es-ES"/>
        </w:rPr>
      </w:pPr>
      <w:r w:rsidRPr="004A6A8B">
        <w:rPr>
          <w:rFonts w:asciiTheme="majorHAnsi" w:hAnsiTheme="majorHAnsi"/>
          <w:color w:val="auto"/>
          <w:szCs w:val="18"/>
          <w:lang w:val="es-ES"/>
        </w:rPr>
        <w:t>Artículo 230º.­ (Flagrancia). Se considera que hay flagrancia cuando el autor del hecho es sorprendido en el momento de intentarlo, de cometerlo o inmediatamente después mientras es perseguido por la fuerza pública, el ofendido o los testigos presenciales del hecho.</w:t>
      </w:r>
    </w:p>
    <w:p w14:paraId="69AA77E0" w14:textId="77777777" w:rsidR="00E130E2" w:rsidRPr="0011380E" w:rsidRDefault="00E130E2" w:rsidP="004F0360">
      <w:pPr>
        <w:pStyle w:val="Quote"/>
        <w:rPr>
          <w:rFonts w:asciiTheme="majorHAnsi" w:hAnsiTheme="majorHAnsi"/>
          <w:color w:val="auto"/>
          <w:sz w:val="20"/>
          <w:szCs w:val="20"/>
          <w:lang w:val="es-ES_tradnl"/>
        </w:rPr>
      </w:pPr>
    </w:p>
    <w:p w14:paraId="4BC5C95B" w14:textId="77777777" w:rsidR="00D83D73" w:rsidRPr="0011380E" w:rsidRDefault="0022273F" w:rsidP="00643722">
      <w:pPr>
        <w:pStyle w:val="Heading2"/>
        <w:numPr>
          <w:ilvl w:val="0"/>
          <w:numId w:val="58"/>
        </w:numPr>
        <w:ind w:hanging="720"/>
        <w:rPr>
          <w:lang w:val="es-ES_tradnl"/>
        </w:rPr>
      </w:pPr>
      <w:bookmarkStart w:id="10" w:name="_Toc11750403"/>
      <w:r w:rsidRPr="00D6752C">
        <w:rPr>
          <w:lang w:val="es-US"/>
        </w:rPr>
        <w:lastRenderedPageBreak/>
        <w:t>Hechos</w:t>
      </w:r>
      <w:r w:rsidRPr="0011380E">
        <w:rPr>
          <w:lang w:val="es-ES_tradnl"/>
        </w:rPr>
        <w:t xml:space="preserve"> del caso</w:t>
      </w:r>
      <w:bookmarkEnd w:id="10"/>
    </w:p>
    <w:p w14:paraId="7DCA80FF" w14:textId="77777777" w:rsidR="00DF48B9" w:rsidRPr="0011380E" w:rsidRDefault="00DF48B9" w:rsidP="0011380E">
      <w:pPr>
        <w:rPr>
          <w:rFonts w:asciiTheme="majorHAnsi" w:hAnsiTheme="majorHAnsi"/>
          <w:sz w:val="20"/>
          <w:szCs w:val="20"/>
          <w:lang w:val="es-ES_tradnl"/>
        </w:rPr>
      </w:pPr>
    </w:p>
    <w:p w14:paraId="5CC3A7C7" w14:textId="77777777" w:rsidR="00D7716D" w:rsidRPr="0011380E" w:rsidRDefault="00B97C02" w:rsidP="0011380E">
      <w:pPr>
        <w:pStyle w:val="ListParagraph"/>
        <w:rPr>
          <w:rFonts w:asciiTheme="majorHAnsi" w:hAnsiTheme="majorHAnsi"/>
          <w:b/>
          <w:color w:val="auto"/>
          <w:szCs w:val="20"/>
          <w:lang w:val="es-ES_tradnl"/>
        </w:rPr>
      </w:pPr>
      <w:r w:rsidRPr="0011380E">
        <w:rPr>
          <w:rFonts w:asciiTheme="majorHAnsi" w:hAnsiTheme="majorHAnsi"/>
          <w:color w:val="auto"/>
          <w:szCs w:val="20"/>
          <w:lang w:val="es-ES_tradnl"/>
        </w:rPr>
        <w:t xml:space="preserve">El 14 de diciembre de </w:t>
      </w:r>
      <w:r w:rsidR="00050EC3" w:rsidRPr="0011380E">
        <w:rPr>
          <w:rFonts w:asciiTheme="majorHAnsi" w:hAnsiTheme="majorHAnsi"/>
          <w:color w:val="auto"/>
          <w:szCs w:val="20"/>
          <w:lang w:val="es-ES_tradnl"/>
        </w:rPr>
        <w:t>2001, aproximadamente a las 8:15</w:t>
      </w:r>
      <w:r w:rsidRPr="0011380E">
        <w:rPr>
          <w:rFonts w:asciiTheme="majorHAnsi" w:hAnsiTheme="majorHAnsi"/>
          <w:color w:val="auto"/>
          <w:szCs w:val="20"/>
          <w:lang w:val="es-ES_tradnl"/>
        </w:rPr>
        <w:t xml:space="preserve"> am, una furgoneta de Prosegur</w:t>
      </w:r>
      <w:r w:rsidR="00050EC3" w:rsidRPr="0011380E">
        <w:rPr>
          <w:rFonts w:asciiTheme="majorHAnsi" w:hAnsiTheme="majorHAnsi"/>
          <w:color w:val="auto"/>
          <w:szCs w:val="20"/>
          <w:lang w:val="es-ES_tradnl"/>
        </w:rPr>
        <w:t xml:space="preserve">, </w:t>
      </w:r>
      <w:r w:rsidR="00E01A94" w:rsidRPr="0011380E">
        <w:rPr>
          <w:rFonts w:asciiTheme="majorHAnsi" w:hAnsiTheme="majorHAnsi"/>
          <w:color w:val="auto"/>
          <w:szCs w:val="20"/>
          <w:lang w:val="es-ES_tradnl"/>
        </w:rPr>
        <w:t xml:space="preserve">que transportaba dinero y </w:t>
      </w:r>
      <w:r w:rsidRPr="0011380E">
        <w:rPr>
          <w:rFonts w:asciiTheme="majorHAnsi" w:hAnsiTheme="majorHAnsi"/>
          <w:color w:val="auto"/>
          <w:szCs w:val="20"/>
          <w:lang w:val="es-ES_tradnl"/>
        </w:rPr>
        <w:t xml:space="preserve">circulaba por la ciudad de La Paz, Bolivia, </w:t>
      </w:r>
      <w:r w:rsidR="003958BF" w:rsidRPr="0011380E">
        <w:rPr>
          <w:rFonts w:asciiTheme="majorHAnsi" w:hAnsiTheme="majorHAnsi"/>
          <w:color w:val="auto"/>
          <w:szCs w:val="20"/>
          <w:lang w:val="es-ES_tradnl"/>
        </w:rPr>
        <w:t xml:space="preserve">en dirección a la zona sur, </w:t>
      </w:r>
      <w:r w:rsidR="00050EC3" w:rsidRPr="0011380E">
        <w:rPr>
          <w:rFonts w:asciiTheme="majorHAnsi" w:hAnsiTheme="majorHAnsi"/>
          <w:color w:val="auto"/>
          <w:szCs w:val="20"/>
          <w:lang w:val="es-ES_tradnl"/>
        </w:rPr>
        <w:t>con siete personas en su interior</w:t>
      </w:r>
      <w:r w:rsidR="003958BF" w:rsidRPr="0011380E">
        <w:rPr>
          <w:rFonts w:asciiTheme="majorHAnsi" w:hAnsiTheme="majorHAnsi"/>
          <w:color w:val="auto"/>
          <w:szCs w:val="20"/>
          <w:lang w:val="es-ES_tradnl"/>
        </w:rPr>
        <w:t xml:space="preserve"> –</w:t>
      </w:r>
      <w:r w:rsidR="00F04865" w:rsidRPr="0011380E">
        <w:rPr>
          <w:rFonts w:asciiTheme="majorHAnsi" w:hAnsiTheme="majorHAnsi"/>
          <w:color w:val="auto"/>
          <w:szCs w:val="20"/>
          <w:lang w:val="es-ES_tradnl"/>
        </w:rPr>
        <w:t xml:space="preserve"> </w:t>
      </w:r>
      <w:r w:rsidR="003958BF" w:rsidRPr="0011380E">
        <w:rPr>
          <w:rFonts w:asciiTheme="majorHAnsi" w:hAnsiTheme="majorHAnsi"/>
          <w:color w:val="auto"/>
          <w:szCs w:val="20"/>
          <w:lang w:val="es-ES_tradnl"/>
        </w:rPr>
        <w:t xml:space="preserve">chofer, policías, porta valores y cajeros – </w:t>
      </w:r>
      <w:r w:rsidRPr="0011380E">
        <w:rPr>
          <w:rFonts w:asciiTheme="majorHAnsi" w:hAnsiTheme="majorHAnsi"/>
          <w:color w:val="auto"/>
          <w:szCs w:val="20"/>
          <w:lang w:val="es-ES_tradnl"/>
        </w:rPr>
        <w:t>fue</w:t>
      </w:r>
      <w:r w:rsidR="003958BF"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 xml:space="preserve">asaltada por </w:t>
      </w:r>
      <w:r w:rsidR="00F04865" w:rsidRPr="0011380E">
        <w:rPr>
          <w:rFonts w:asciiTheme="majorHAnsi" w:hAnsiTheme="majorHAnsi"/>
          <w:color w:val="auto"/>
          <w:szCs w:val="20"/>
          <w:lang w:val="es-ES_tradnl"/>
        </w:rPr>
        <w:t xml:space="preserve">una banda de </w:t>
      </w:r>
      <w:r w:rsidRPr="0011380E">
        <w:rPr>
          <w:rFonts w:asciiTheme="majorHAnsi" w:hAnsiTheme="majorHAnsi"/>
          <w:color w:val="auto"/>
          <w:szCs w:val="20"/>
          <w:lang w:val="es-ES_tradnl"/>
        </w:rPr>
        <w:t xml:space="preserve">sujetos </w:t>
      </w:r>
      <w:r w:rsidR="00C20581" w:rsidRPr="0011380E">
        <w:rPr>
          <w:rFonts w:asciiTheme="majorHAnsi" w:hAnsiTheme="majorHAnsi"/>
          <w:color w:val="auto"/>
          <w:szCs w:val="20"/>
          <w:lang w:val="es-ES_tradnl"/>
        </w:rPr>
        <w:t xml:space="preserve">que </w:t>
      </w:r>
      <w:r w:rsidR="00C40C7C" w:rsidRPr="0011380E">
        <w:rPr>
          <w:rFonts w:asciiTheme="majorHAnsi" w:hAnsiTheme="majorHAnsi"/>
          <w:color w:val="auto"/>
          <w:szCs w:val="20"/>
          <w:lang w:val="es-ES_tradnl"/>
        </w:rPr>
        <w:t>porta</w:t>
      </w:r>
      <w:r w:rsidR="00C20581" w:rsidRPr="0011380E">
        <w:rPr>
          <w:rFonts w:asciiTheme="majorHAnsi" w:hAnsiTheme="majorHAnsi"/>
          <w:color w:val="auto"/>
          <w:szCs w:val="20"/>
          <w:lang w:val="es-ES_tradnl"/>
        </w:rPr>
        <w:t>ban</w:t>
      </w:r>
      <w:r w:rsidR="00C40C7C"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arma</w:t>
      </w:r>
      <w:r w:rsidR="00C40C7C" w:rsidRPr="0011380E">
        <w:rPr>
          <w:rFonts w:asciiTheme="majorHAnsi" w:hAnsiTheme="majorHAnsi"/>
          <w:color w:val="auto"/>
          <w:szCs w:val="20"/>
          <w:lang w:val="es-ES_tradnl"/>
        </w:rPr>
        <w:t>s de fuego de grueso calibre</w:t>
      </w:r>
      <w:r w:rsidRPr="0011380E">
        <w:rPr>
          <w:rFonts w:asciiTheme="majorHAnsi" w:hAnsiTheme="majorHAnsi"/>
          <w:color w:val="auto"/>
          <w:szCs w:val="20"/>
          <w:lang w:val="es-ES_tradnl"/>
        </w:rPr>
        <w:t>.</w:t>
      </w:r>
      <w:r w:rsidR="003958BF" w:rsidRPr="0011380E">
        <w:rPr>
          <w:rFonts w:asciiTheme="majorHAnsi" w:hAnsiTheme="majorHAnsi"/>
          <w:color w:val="auto"/>
          <w:szCs w:val="20"/>
          <w:lang w:val="es-ES_tradnl"/>
        </w:rPr>
        <w:t xml:space="preserve"> E</w:t>
      </w:r>
      <w:r w:rsidR="00E01A94" w:rsidRPr="0011380E">
        <w:rPr>
          <w:rFonts w:asciiTheme="majorHAnsi" w:hAnsiTheme="majorHAnsi"/>
          <w:color w:val="auto"/>
          <w:szCs w:val="20"/>
          <w:lang w:val="es-ES_tradnl"/>
        </w:rPr>
        <w:t xml:space="preserve">l atraco </w:t>
      </w:r>
      <w:r w:rsidR="003958BF" w:rsidRPr="0011380E">
        <w:rPr>
          <w:rFonts w:asciiTheme="majorHAnsi" w:hAnsiTheme="majorHAnsi"/>
          <w:color w:val="auto"/>
          <w:szCs w:val="20"/>
          <w:lang w:val="es-ES_tradnl"/>
        </w:rPr>
        <w:t>se produjo en Avenida Kantutani</w:t>
      </w:r>
      <w:r w:rsidR="00C40C7C" w:rsidRPr="0011380E">
        <w:rPr>
          <w:rFonts w:asciiTheme="majorHAnsi" w:hAnsiTheme="majorHAnsi"/>
          <w:color w:val="auto"/>
          <w:szCs w:val="20"/>
          <w:lang w:val="es-ES_tradnl"/>
        </w:rPr>
        <w:t xml:space="preserve"> donde </w:t>
      </w:r>
      <w:r w:rsidR="003958BF" w:rsidRPr="0011380E">
        <w:rPr>
          <w:rFonts w:asciiTheme="majorHAnsi" w:hAnsiTheme="majorHAnsi"/>
          <w:color w:val="auto"/>
          <w:szCs w:val="20"/>
          <w:lang w:val="es-ES_tradnl"/>
        </w:rPr>
        <w:t>la furgoneta de Prosegur fue interceptada violentamente por una vagoneta azul</w:t>
      </w:r>
      <w:r w:rsidR="00C40C7C" w:rsidRPr="0011380E">
        <w:rPr>
          <w:rFonts w:asciiTheme="majorHAnsi" w:hAnsiTheme="majorHAnsi"/>
          <w:color w:val="auto"/>
          <w:szCs w:val="20"/>
          <w:lang w:val="es-ES_tradnl"/>
        </w:rPr>
        <w:t>, e</w:t>
      </w:r>
      <w:r w:rsidR="003958BF" w:rsidRPr="0011380E">
        <w:rPr>
          <w:rFonts w:asciiTheme="majorHAnsi" w:hAnsiTheme="majorHAnsi"/>
          <w:color w:val="auto"/>
          <w:szCs w:val="20"/>
          <w:lang w:val="es-ES_tradnl"/>
        </w:rPr>
        <w:t>l chofer de Prosegur recibió un impacto de bala en el abdomen</w:t>
      </w:r>
      <w:r w:rsidR="00D7716D" w:rsidRPr="0011380E">
        <w:rPr>
          <w:rFonts w:asciiTheme="majorHAnsi" w:hAnsiTheme="majorHAnsi"/>
          <w:color w:val="auto"/>
          <w:szCs w:val="20"/>
          <w:lang w:val="es-ES_tradnl"/>
        </w:rPr>
        <w:t xml:space="preserve"> perdiendo el control del vehículo</w:t>
      </w:r>
      <w:r w:rsidR="00C40C7C" w:rsidRPr="0011380E">
        <w:rPr>
          <w:rFonts w:asciiTheme="majorHAnsi" w:hAnsiTheme="majorHAnsi"/>
          <w:color w:val="auto"/>
          <w:szCs w:val="20"/>
          <w:lang w:val="es-ES_tradnl"/>
        </w:rPr>
        <w:t xml:space="preserve"> </w:t>
      </w:r>
      <w:r w:rsidR="00D7716D" w:rsidRPr="0011380E">
        <w:rPr>
          <w:rFonts w:asciiTheme="majorHAnsi" w:hAnsiTheme="majorHAnsi"/>
          <w:color w:val="auto"/>
          <w:szCs w:val="20"/>
          <w:lang w:val="es-ES_tradnl"/>
        </w:rPr>
        <w:t>que se estrelló contra un árbol</w:t>
      </w:r>
      <w:r w:rsidR="00C40C7C" w:rsidRPr="0011380E">
        <w:rPr>
          <w:rFonts w:asciiTheme="majorHAnsi" w:hAnsiTheme="majorHAnsi"/>
          <w:color w:val="auto"/>
          <w:szCs w:val="20"/>
          <w:lang w:val="es-ES_tradnl"/>
        </w:rPr>
        <w:t xml:space="preserve">, lo que permitió a </w:t>
      </w:r>
      <w:r w:rsidR="00597523" w:rsidRPr="0011380E">
        <w:rPr>
          <w:rFonts w:asciiTheme="majorHAnsi" w:hAnsiTheme="majorHAnsi"/>
          <w:color w:val="auto"/>
          <w:szCs w:val="20"/>
          <w:lang w:val="es-ES_tradnl"/>
        </w:rPr>
        <w:t xml:space="preserve">los </w:t>
      </w:r>
      <w:r w:rsidR="00D7716D" w:rsidRPr="0011380E">
        <w:rPr>
          <w:rFonts w:asciiTheme="majorHAnsi" w:hAnsiTheme="majorHAnsi"/>
          <w:color w:val="auto"/>
          <w:szCs w:val="20"/>
          <w:lang w:val="es-ES_tradnl"/>
        </w:rPr>
        <w:t>a</w:t>
      </w:r>
      <w:r w:rsidR="003242FB" w:rsidRPr="0011380E">
        <w:rPr>
          <w:rFonts w:asciiTheme="majorHAnsi" w:hAnsiTheme="majorHAnsi"/>
          <w:color w:val="auto"/>
          <w:szCs w:val="20"/>
          <w:lang w:val="es-ES_tradnl"/>
        </w:rPr>
        <w:t>saltantes</w:t>
      </w:r>
      <w:r w:rsidR="00D7716D" w:rsidRPr="0011380E">
        <w:rPr>
          <w:rFonts w:asciiTheme="majorHAnsi" w:hAnsiTheme="majorHAnsi"/>
          <w:color w:val="auto"/>
          <w:szCs w:val="20"/>
          <w:lang w:val="es-ES_tradnl"/>
        </w:rPr>
        <w:t xml:space="preserve"> descend</w:t>
      </w:r>
      <w:r w:rsidR="00C40C7C" w:rsidRPr="0011380E">
        <w:rPr>
          <w:rFonts w:asciiTheme="majorHAnsi" w:hAnsiTheme="majorHAnsi"/>
          <w:color w:val="auto"/>
          <w:szCs w:val="20"/>
          <w:lang w:val="es-ES_tradnl"/>
        </w:rPr>
        <w:t>er</w:t>
      </w:r>
      <w:r w:rsidR="00D7716D" w:rsidRPr="0011380E">
        <w:rPr>
          <w:rFonts w:asciiTheme="majorHAnsi" w:hAnsiTheme="majorHAnsi"/>
          <w:color w:val="auto"/>
          <w:szCs w:val="20"/>
          <w:lang w:val="es-ES_tradnl"/>
        </w:rPr>
        <w:t xml:space="preserve"> de la vagoneta y comenzar a disparar, asesinando a dos policías y </w:t>
      </w:r>
      <w:r w:rsidR="000B1B03" w:rsidRPr="0011380E">
        <w:rPr>
          <w:rFonts w:asciiTheme="majorHAnsi" w:hAnsiTheme="majorHAnsi"/>
          <w:color w:val="auto"/>
          <w:szCs w:val="20"/>
          <w:lang w:val="es-ES_tradnl"/>
        </w:rPr>
        <w:t xml:space="preserve">a </w:t>
      </w:r>
      <w:r w:rsidR="00D7716D" w:rsidRPr="0011380E">
        <w:rPr>
          <w:rFonts w:asciiTheme="majorHAnsi" w:hAnsiTheme="majorHAnsi"/>
          <w:color w:val="auto"/>
          <w:szCs w:val="20"/>
          <w:lang w:val="es-ES_tradnl"/>
        </w:rPr>
        <w:t>un cajero</w:t>
      </w:r>
      <w:r w:rsidR="00C40C7C" w:rsidRPr="0011380E">
        <w:rPr>
          <w:rFonts w:asciiTheme="majorHAnsi" w:hAnsiTheme="majorHAnsi"/>
          <w:color w:val="auto"/>
          <w:szCs w:val="20"/>
          <w:lang w:val="es-ES_tradnl"/>
        </w:rPr>
        <w:t xml:space="preserve"> y llevándose </w:t>
      </w:r>
      <w:r w:rsidR="00F04865" w:rsidRPr="0011380E">
        <w:rPr>
          <w:rFonts w:asciiTheme="majorHAnsi" w:hAnsiTheme="majorHAnsi"/>
          <w:color w:val="auto"/>
          <w:szCs w:val="20"/>
          <w:lang w:val="es-ES_tradnl"/>
        </w:rPr>
        <w:t>el dinero</w:t>
      </w:r>
      <w:r w:rsidR="00D7716D" w:rsidRPr="0011380E">
        <w:rPr>
          <w:rStyle w:val="FootnoteReference"/>
          <w:rFonts w:asciiTheme="majorHAnsi" w:hAnsiTheme="majorHAnsi"/>
          <w:color w:val="auto"/>
          <w:szCs w:val="20"/>
          <w:lang w:val="es-ES_tradnl"/>
        </w:rPr>
        <w:footnoteReference w:id="7"/>
      </w:r>
      <w:r w:rsidR="00E01A94" w:rsidRPr="0011380E">
        <w:rPr>
          <w:rFonts w:asciiTheme="majorHAnsi" w:hAnsiTheme="majorHAnsi"/>
          <w:color w:val="auto"/>
          <w:szCs w:val="20"/>
          <w:lang w:val="es-ES_tradnl"/>
        </w:rPr>
        <w:t>.</w:t>
      </w:r>
      <w:r w:rsidR="00042141" w:rsidRPr="0011380E">
        <w:rPr>
          <w:rFonts w:asciiTheme="majorHAnsi" w:hAnsiTheme="majorHAnsi"/>
          <w:color w:val="auto"/>
          <w:szCs w:val="20"/>
          <w:lang w:val="es-ES_tradnl"/>
        </w:rPr>
        <w:t xml:space="preserve"> </w:t>
      </w:r>
    </w:p>
    <w:p w14:paraId="590861EC" w14:textId="77777777" w:rsidR="0093689E" w:rsidRPr="0011380E" w:rsidRDefault="0093689E" w:rsidP="0011380E">
      <w:pPr>
        <w:pStyle w:val="ListParagraph"/>
        <w:numPr>
          <w:ilvl w:val="0"/>
          <w:numId w:val="0"/>
        </w:numPr>
        <w:rPr>
          <w:rFonts w:asciiTheme="majorHAnsi" w:hAnsiTheme="majorHAnsi"/>
          <w:b/>
          <w:color w:val="auto"/>
          <w:szCs w:val="20"/>
          <w:lang w:val="es-ES_tradnl"/>
        </w:rPr>
      </w:pPr>
    </w:p>
    <w:p w14:paraId="31A17267" w14:textId="77777777" w:rsidR="0093689E" w:rsidRPr="0011380E" w:rsidRDefault="0093689E" w:rsidP="0011380E">
      <w:pPr>
        <w:pStyle w:val="ListParagraph"/>
        <w:rPr>
          <w:rFonts w:asciiTheme="majorHAnsi" w:hAnsiTheme="majorHAnsi"/>
          <w:b/>
          <w:color w:val="auto"/>
          <w:szCs w:val="20"/>
          <w:lang w:val="es-ES_tradnl"/>
        </w:rPr>
      </w:pPr>
      <w:r w:rsidRPr="0011380E">
        <w:rPr>
          <w:rFonts w:asciiTheme="majorHAnsi" w:hAnsiTheme="majorHAnsi"/>
          <w:color w:val="auto"/>
          <w:szCs w:val="20"/>
          <w:lang w:val="es-ES_tradnl"/>
        </w:rPr>
        <w:t>El mismo día</w:t>
      </w:r>
      <w:r w:rsidR="00D6649A" w:rsidRPr="0011380E">
        <w:rPr>
          <w:rFonts w:asciiTheme="majorHAnsi" w:hAnsiTheme="majorHAnsi"/>
          <w:color w:val="auto"/>
          <w:szCs w:val="20"/>
          <w:lang w:val="es-ES_tradnl"/>
        </w:rPr>
        <w:t xml:space="preserve"> </w:t>
      </w:r>
      <w:r w:rsidR="00025DD7" w:rsidRPr="0011380E">
        <w:rPr>
          <w:rFonts w:asciiTheme="majorHAnsi" w:hAnsiTheme="majorHAnsi"/>
          <w:color w:val="auto"/>
          <w:szCs w:val="20"/>
          <w:lang w:val="es-ES_tradnl"/>
        </w:rPr>
        <w:t>e invocando</w:t>
      </w:r>
      <w:r w:rsidR="008D4314" w:rsidRPr="0011380E">
        <w:rPr>
          <w:rFonts w:asciiTheme="majorHAnsi" w:hAnsiTheme="majorHAnsi"/>
          <w:color w:val="auto"/>
          <w:szCs w:val="20"/>
          <w:lang w:val="es-US"/>
        </w:rPr>
        <w:t xml:space="preserve"> el artículo 21 de la C</w:t>
      </w:r>
      <w:r w:rsidR="00C20581" w:rsidRPr="0011380E">
        <w:rPr>
          <w:rFonts w:asciiTheme="majorHAnsi" w:hAnsiTheme="majorHAnsi"/>
          <w:color w:val="auto"/>
          <w:szCs w:val="20"/>
          <w:lang w:val="es-US"/>
        </w:rPr>
        <w:t>PE</w:t>
      </w:r>
      <w:r w:rsidR="008D4314" w:rsidRPr="0011380E">
        <w:rPr>
          <w:rFonts w:asciiTheme="majorHAnsi" w:hAnsiTheme="majorHAnsi"/>
          <w:color w:val="auto"/>
          <w:szCs w:val="20"/>
          <w:lang w:val="es-US"/>
        </w:rPr>
        <w:t xml:space="preserve"> y los artículos 129, 180, 181 y 182 de</w:t>
      </w:r>
      <w:r w:rsidR="00E130E2" w:rsidRPr="0011380E">
        <w:rPr>
          <w:rFonts w:asciiTheme="majorHAnsi" w:hAnsiTheme="majorHAnsi"/>
          <w:color w:val="auto"/>
          <w:szCs w:val="20"/>
          <w:lang w:val="es-US"/>
        </w:rPr>
        <w:t>l CPP</w:t>
      </w:r>
      <w:r w:rsidR="008D4314" w:rsidRPr="0011380E">
        <w:rPr>
          <w:rFonts w:asciiTheme="majorHAnsi" w:hAnsiTheme="majorHAnsi"/>
          <w:color w:val="auto"/>
          <w:szCs w:val="20"/>
          <w:lang w:val="es-US"/>
        </w:rPr>
        <w:t xml:space="preserve">, </w:t>
      </w:r>
      <w:r w:rsidR="00D6649A" w:rsidRPr="0011380E">
        <w:rPr>
          <w:rFonts w:asciiTheme="majorHAnsi" w:hAnsiTheme="majorHAnsi"/>
          <w:color w:val="auto"/>
          <w:szCs w:val="20"/>
          <w:lang w:val="es-ES_tradnl"/>
        </w:rPr>
        <w:t xml:space="preserve">el </w:t>
      </w:r>
      <w:r w:rsidR="00D6649A" w:rsidRPr="0011380E">
        <w:rPr>
          <w:rFonts w:asciiTheme="majorHAnsi" w:hAnsiTheme="majorHAnsi"/>
          <w:color w:val="auto"/>
          <w:szCs w:val="20"/>
          <w:lang w:val="es-US"/>
        </w:rPr>
        <w:t xml:space="preserve">Juez de Instrucción </w:t>
      </w:r>
      <w:r w:rsidRPr="0011380E">
        <w:rPr>
          <w:rFonts w:asciiTheme="majorHAnsi" w:hAnsiTheme="majorHAnsi"/>
          <w:color w:val="auto"/>
          <w:szCs w:val="20"/>
          <w:lang w:val="es-US"/>
        </w:rPr>
        <w:t xml:space="preserve">dictó un mandamiento de allanamiento con facultades de requisa </w:t>
      </w:r>
      <w:r w:rsidR="008D4314" w:rsidRPr="0011380E">
        <w:rPr>
          <w:rFonts w:asciiTheme="majorHAnsi" w:hAnsiTheme="majorHAnsi"/>
          <w:color w:val="auto"/>
          <w:szCs w:val="20"/>
          <w:lang w:val="es-US"/>
        </w:rPr>
        <w:t>en</w:t>
      </w:r>
      <w:r w:rsidRPr="0011380E">
        <w:rPr>
          <w:rFonts w:asciiTheme="majorHAnsi" w:hAnsiTheme="majorHAnsi"/>
          <w:color w:val="auto"/>
          <w:szCs w:val="20"/>
          <w:lang w:val="es-US"/>
        </w:rPr>
        <w:t xml:space="preserve"> dos inmuebles</w:t>
      </w:r>
      <w:r w:rsidR="008D4314" w:rsidRPr="0011380E">
        <w:rPr>
          <w:rStyle w:val="FootnoteReference"/>
          <w:rFonts w:asciiTheme="majorHAnsi" w:hAnsiTheme="majorHAnsi"/>
          <w:color w:val="auto"/>
          <w:szCs w:val="20"/>
          <w:lang w:val="es-US"/>
        </w:rPr>
        <w:footnoteReference w:id="8"/>
      </w:r>
      <w:r w:rsidR="008D4314" w:rsidRPr="0011380E">
        <w:rPr>
          <w:rFonts w:asciiTheme="majorHAnsi" w:hAnsiTheme="majorHAnsi"/>
          <w:color w:val="auto"/>
          <w:szCs w:val="20"/>
          <w:lang w:val="es-US"/>
        </w:rPr>
        <w:t>,</w:t>
      </w:r>
      <w:r w:rsidRPr="0011380E">
        <w:rPr>
          <w:rFonts w:asciiTheme="majorHAnsi" w:hAnsiTheme="majorHAnsi"/>
          <w:color w:val="auto"/>
          <w:szCs w:val="20"/>
          <w:lang w:val="es-US"/>
        </w:rPr>
        <w:t xml:space="preserve"> el que </w:t>
      </w:r>
      <w:r w:rsidR="008D4314" w:rsidRPr="0011380E">
        <w:rPr>
          <w:rFonts w:asciiTheme="majorHAnsi" w:hAnsiTheme="majorHAnsi"/>
          <w:color w:val="auto"/>
          <w:szCs w:val="20"/>
          <w:lang w:val="es-US"/>
        </w:rPr>
        <w:t>había sido solicitado por el Ministerio Público</w:t>
      </w:r>
      <w:r w:rsidRPr="0011380E">
        <w:rPr>
          <w:rFonts w:asciiTheme="majorHAnsi" w:hAnsiTheme="majorHAnsi"/>
          <w:color w:val="auto"/>
          <w:szCs w:val="20"/>
          <w:lang w:val="es-US"/>
        </w:rPr>
        <w:t xml:space="preserve"> a fin de “buscar a los autores y proceder al arresto de los sospechosos, secuestrar armas, vestimenta militar o policial, secuestrar documentación relacionada con los hechos, así como objetos e instrumentos relacionados con [el </w:t>
      </w:r>
      <w:r w:rsidR="008D4314" w:rsidRPr="0011380E">
        <w:rPr>
          <w:rFonts w:asciiTheme="majorHAnsi" w:hAnsiTheme="majorHAnsi"/>
          <w:color w:val="auto"/>
          <w:szCs w:val="20"/>
          <w:lang w:val="es-US"/>
        </w:rPr>
        <w:t>atraco a la furgoneta de Prosegur]”</w:t>
      </w:r>
      <w:r w:rsidR="008D4314" w:rsidRPr="0011380E">
        <w:rPr>
          <w:rStyle w:val="FootnoteReference"/>
          <w:rFonts w:asciiTheme="majorHAnsi" w:hAnsiTheme="majorHAnsi"/>
          <w:color w:val="auto"/>
          <w:szCs w:val="20"/>
          <w:lang w:val="es-US"/>
        </w:rPr>
        <w:footnoteReference w:id="9"/>
      </w:r>
      <w:r w:rsidR="008D4314" w:rsidRPr="0011380E">
        <w:rPr>
          <w:rFonts w:asciiTheme="majorHAnsi" w:hAnsiTheme="majorHAnsi"/>
          <w:color w:val="auto"/>
          <w:szCs w:val="20"/>
          <w:lang w:val="es-US"/>
        </w:rPr>
        <w:t xml:space="preserve">. Tal resolución fue ampliada con fecha 17 de diciembre de 2001, incluyéndose otros </w:t>
      </w:r>
      <w:r w:rsidR="00EC033F" w:rsidRPr="0011380E">
        <w:rPr>
          <w:rFonts w:asciiTheme="majorHAnsi" w:hAnsiTheme="majorHAnsi"/>
          <w:color w:val="auto"/>
          <w:szCs w:val="20"/>
          <w:lang w:val="es-US"/>
        </w:rPr>
        <w:t>seis</w:t>
      </w:r>
      <w:r w:rsidR="008D4314" w:rsidRPr="0011380E">
        <w:rPr>
          <w:rFonts w:asciiTheme="majorHAnsi" w:hAnsiTheme="majorHAnsi"/>
          <w:color w:val="auto"/>
          <w:szCs w:val="20"/>
          <w:lang w:val="es-US"/>
        </w:rPr>
        <w:t xml:space="preserve"> inmuebles</w:t>
      </w:r>
      <w:r w:rsidR="00621AA4" w:rsidRPr="0011380E">
        <w:rPr>
          <w:rStyle w:val="FootnoteReference"/>
          <w:rFonts w:asciiTheme="majorHAnsi" w:hAnsiTheme="majorHAnsi"/>
          <w:color w:val="auto"/>
          <w:szCs w:val="20"/>
          <w:lang w:val="es-US"/>
        </w:rPr>
        <w:footnoteReference w:id="10"/>
      </w:r>
      <w:r w:rsidR="00E856A9" w:rsidRPr="0011380E">
        <w:rPr>
          <w:rFonts w:asciiTheme="majorHAnsi" w:hAnsiTheme="majorHAnsi"/>
          <w:color w:val="auto"/>
          <w:szCs w:val="20"/>
          <w:lang w:val="es-US"/>
        </w:rPr>
        <w:t>, otorgando todas las facultades antes señaladas</w:t>
      </w:r>
      <w:r w:rsidR="00F87309" w:rsidRPr="0011380E">
        <w:rPr>
          <w:rFonts w:asciiTheme="majorHAnsi" w:hAnsiTheme="majorHAnsi"/>
          <w:color w:val="auto"/>
          <w:szCs w:val="20"/>
          <w:lang w:val="es-US"/>
        </w:rPr>
        <w:t xml:space="preserve"> y</w:t>
      </w:r>
      <w:r w:rsidR="00E856A9" w:rsidRPr="0011380E">
        <w:rPr>
          <w:rFonts w:asciiTheme="majorHAnsi" w:hAnsiTheme="majorHAnsi"/>
          <w:color w:val="auto"/>
          <w:szCs w:val="20"/>
          <w:lang w:val="es-US"/>
        </w:rPr>
        <w:t xml:space="preserve">, en atención a que “los autores son altamente peligrosos”, </w:t>
      </w:r>
      <w:r w:rsidR="00F87309" w:rsidRPr="0011380E">
        <w:rPr>
          <w:rFonts w:asciiTheme="majorHAnsi" w:hAnsiTheme="majorHAnsi"/>
          <w:color w:val="auto"/>
          <w:szCs w:val="20"/>
          <w:lang w:val="es-US"/>
        </w:rPr>
        <w:t>autoriz</w:t>
      </w:r>
      <w:r w:rsidR="00E856A9" w:rsidRPr="0011380E">
        <w:rPr>
          <w:rFonts w:asciiTheme="majorHAnsi" w:hAnsiTheme="majorHAnsi"/>
          <w:color w:val="auto"/>
          <w:szCs w:val="20"/>
          <w:lang w:val="es-US"/>
        </w:rPr>
        <w:t>ando</w:t>
      </w:r>
      <w:r w:rsidR="00F87309" w:rsidRPr="0011380E">
        <w:rPr>
          <w:rFonts w:asciiTheme="majorHAnsi" w:hAnsiTheme="majorHAnsi"/>
          <w:color w:val="auto"/>
          <w:szCs w:val="20"/>
          <w:lang w:val="es-US"/>
        </w:rPr>
        <w:t xml:space="preserve"> expresamente</w:t>
      </w:r>
      <w:r w:rsidR="00621AA4" w:rsidRPr="0011380E">
        <w:rPr>
          <w:rFonts w:asciiTheme="majorHAnsi" w:hAnsiTheme="majorHAnsi"/>
          <w:color w:val="auto"/>
          <w:szCs w:val="20"/>
          <w:lang w:val="es-US"/>
        </w:rPr>
        <w:t xml:space="preserve"> para que los operativos se realizaran durante la noche, habilitando horas extraordinarias y días feriados al efecto</w:t>
      </w:r>
      <w:r w:rsidR="00E856A9" w:rsidRPr="0011380E">
        <w:rPr>
          <w:rFonts w:asciiTheme="majorHAnsi" w:hAnsiTheme="majorHAnsi"/>
          <w:color w:val="auto"/>
          <w:szCs w:val="20"/>
          <w:lang w:val="es-US"/>
        </w:rPr>
        <w:t>,</w:t>
      </w:r>
      <w:r w:rsidR="00DA0D1B" w:rsidRPr="0011380E">
        <w:rPr>
          <w:rFonts w:asciiTheme="majorHAnsi" w:hAnsiTheme="majorHAnsi"/>
          <w:color w:val="auto"/>
          <w:szCs w:val="20"/>
          <w:lang w:val="es-US"/>
        </w:rPr>
        <w:t xml:space="preserve"> </w:t>
      </w:r>
      <w:r w:rsidR="00025DD7" w:rsidRPr="0011380E">
        <w:rPr>
          <w:rFonts w:asciiTheme="majorHAnsi" w:hAnsiTheme="majorHAnsi"/>
          <w:color w:val="auto"/>
          <w:szCs w:val="20"/>
          <w:lang w:val="es-US"/>
        </w:rPr>
        <w:t>invocando como sustento legal</w:t>
      </w:r>
      <w:r w:rsidR="00DA0D1B" w:rsidRPr="0011380E">
        <w:rPr>
          <w:rFonts w:asciiTheme="majorHAnsi" w:hAnsiTheme="majorHAnsi"/>
          <w:color w:val="auto"/>
          <w:szCs w:val="20"/>
          <w:lang w:val="es-US"/>
        </w:rPr>
        <w:t xml:space="preserve"> el artículo</w:t>
      </w:r>
      <w:r w:rsidR="00AE7353" w:rsidRPr="0011380E">
        <w:rPr>
          <w:rFonts w:asciiTheme="majorHAnsi" w:hAnsiTheme="majorHAnsi"/>
          <w:color w:val="auto"/>
          <w:szCs w:val="20"/>
          <w:lang w:val="es-US"/>
        </w:rPr>
        <w:t xml:space="preserve"> 118 del CPP</w:t>
      </w:r>
      <w:r w:rsidR="00621AA4" w:rsidRPr="0011380E">
        <w:rPr>
          <w:rStyle w:val="FootnoteReference"/>
          <w:rFonts w:asciiTheme="majorHAnsi" w:hAnsiTheme="majorHAnsi"/>
          <w:color w:val="auto"/>
          <w:szCs w:val="20"/>
          <w:lang w:val="es-US"/>
        </w:rPr>
        <w:footnoteReference w:id="11"/>
      </w:r>
      <w:r w:rsidR="00621AA4" w:rsidRPr="0011380E">
        <w:rPr>
          <w:rFonts w:asciiTheme="majorHAnsi" w:hAnsiTheme="majorHAnsi"/>
          <w:color w:val="auto"/>
          <w:szCs w:val="20"/>
          <w:lang w:val="es-US"/>
        </w:rPr>
        <w:t>.</w:t>
      </w:r>
    </w:p>
    <w:p w14:paraId="19AEA0D4" w14:textId="77777777" w:rsidR="00D7716D" w:rsidRPr="0011380E" w:rsidRDefault="00D7716D" w:rsidP="0011380E">
      <w:pPr>
        <w:pStyle w:val="ListParagraph"/>
        <w:numPr>
          <w:ilvl w:val="0"/>
          <w:numId w:val="0"/>
        </w:numPr>
        <w:rPr>
          <w:rFonts w:asciiTheme="majorHAnsi" w:hAnsiTheme="majorHAnsi"/>
          <w:b/>
          <w:color w:val="auto"/>
          <w:szCs w:val="20"/>
          <w:lang w:val="es-ES_tradnl"/>
        </w:rPr>
      </w:pPr>
    </w:p>
    <w:p w14:paraId="5B5C9C76" w14:textId="77777777" w:rsidR="00D75FEC" w:rsidRPr="0011380E" w:rsidRDefault="0006466A"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Conforme a lo relatado por los peticionarios</w:t>
      </w:r>
      <w:r w:rsidR="00E039AB" w:rsidRPr="0011380E">
        <w:rPr>
          <w:rStyle w:val="FootnoteReference"/>
          <w:rFonts w:asciiTheme="majorHAnsi" w:hAnsiTheme="majorHAnsi"/>
          <w:color w:val="auto"/>
          <w:szCs w:val="20"/>
          <w:lang w:val="es-US"/>
        </w:rPr>
        <w:footnoteReference w:id="12"/>
      </w:r>
      <w:r w:rsidR="00E039AB" w:rsidRPr="0011380E">
        <w:rPr>
          <w:rFonts w:asciiTheme="majorHAnsi" w:hAnsiTheme="majorHAnsi"/>
          <w:color w:val="auto"/>
          <w:szCs w:val="20"/>
          <w:lang w:val="es-ES_tradnl"/>
        </w:rPr>
        <w:t xml:space="preserve"> y testimonios presentados ante el Tribunal de Sentencia</w:t>
      </w:r>
      <w:r w:rsidR="00E039AB" w:rsidRPr="0011380E">
        <w:rPr>
          <w:rStyle w:val="FootnoteReference"/>
          <w:rFonts w:asciiTheme="majorHAnsi" w:hAnsiTheme="majorHAnsi"/>
          <w:color w:val="auto"/>
          <w:szCs w:val="20"/>
          <w:lang w:val="es-ES_tradnl"/>
        </w:rPr>
        <w:footnoteReference w:id="13"/>
      </w:r>
      <w:r w:rsidRPr="0011380E">
        <w:rPr>
          <w:rFonts w:asciiTheme="majorHAnsi" w:hAnsiTheme="majorHAnsi"/>
          <w:color w:val="auto"/>
          <w:szCs w:val="20"/>
          <w:lang w:val="es-ES_tradnl"/>
        </w:rPr>
        <w:t xml:space="preserve">, </w:t>
      </w:r>
      <w:r w:rsidR="00BD0810" w:rsidRPr="0011380E">
        <w:rPr>
          <w:rFonts w:asciiTheme="majorHAnsi" w:hAnsiTheme="majorHAnsi"/>
          <w:color w:val="auto"/>
          <w:szCs w:val="20"/>
          <w:lang w:val="es-ES_tradnl"/>
        </w:rPr>
        <w:t>durante la madrugada d</w:t>
      </w:r>
      <w:r w:rsidRPr="0011380E">
        <w:rPr>
          <w:rFonts w:asciiTheme="majorHAnsi" w:hAnsiTheme="majorHAnsi"/>
          <w:color w:val="auto"/>
          <w:szCs w:val="20"/>
          <w:lang w:val="es-ES_tradnl"/>
        </w:rPr>
        <w:t>e</w:t>
      </w:r>
      <w:r w:rsidR="00042141" w:rsidRPr="0011380E">
        <w:rPr>
          <w:rFonts w:asciiTheme="majorHAnsi" w:hAnsiTheme="majorHAnsi"/>
          <w:color w:val="auto"/>
          <w:szCs w:val="20"/>
          <w:lang w:val="es-ES_tradnl"/>
        </w:rPr>
        <w:t xml:space="preserve">l 18 de diciembre de 2001, </w:t>
      </w:r>
      <w:r w:rsidR="00D75FEC" w:rsidRPr="0011380E">
        <w:rPr>
          <w:rFonts w:asciiTheme="majorHAnsi" w:hAnsiTheme="majorHAnsi"/>
          <w:color w:val="auto"/>
          <w:szCs w:val="20"/>
          <w:lang w:val="es-ES_tradnl"/>
        </w:rPr>
        <w:t xml:space="preserve">numerosos </w:t>
      </w:r>
      <w:r w:rsidR="00042141" w:rsidRPr="0011380E">
        <w:rPr>
          <w:rFonts w:asciiTheme="majorHAnsi" w:hAnsiTheme="majorHAnsi"/>
          <w:color w:val="auto"/>
          <w:szCs w:val="20"/>
          <w:lang w:val="es-ES_tradnl"/>
        </w:rPr>
        <w:t>agentes del Esta</w:t>
      </w:r>
      <w:r w:rsidR="00955152" w:rsidRPr="0011380E">
        <w:rPr>
          <w:rFonts w:asciiTheme="majorHAnsi" w:hAnsiTheme="majorHAnsi"/>
          <w:color w:val="auto"/>
          <w:szCs w:val="20"/>
          <w:lang w:val="es-ES_tradnl"/>
        </w:rPr>
        <w:t>do</w:t>
      </w:r>
      <w:r w:rsidR="00D75FEC" w:rsidRPr="0011380E">
        <w:rPr>
          <w:rFonts w:asciiTheme="majorHAnsi" w:hAnsiTheme="majorHAnsi"/>
          <w:color w:val="auto"/>
          <w:szCs w:val="20"/>
          <w:lang w:val="es-ES_tradnl"/>
        </w:rPr>
        <w:t xml:space="preserve"> fuertemente armados </w:t>
      </w:r>
      <w:r w:rsidR="00955152" w:rsidRPr="0011380E">
        <w:rPr>
          <w:rFonts w:asciiTheme="majorHAnsi" w:hAnsiTheme="majorHAnsi"/>
          <w:color w:val="auto"/>
          <w:szCs w:val="20"/>
          <w:lang w:val="es-ES_tradnl"/>
        </w:rPr>
        <w:t xml:space="preserve">allanaron </w:t>
      </w:r>
      <w:r w:rsidR="00C318CC" w:rsidRPr="0011380E">
        <w:rPr>
          <w:rFonts w:asciiTheme="majorHAnsi" w:hAnsiTheme="majorHAnsi"/>
          <w:color w:val="auto"/>
          <w:szCs w:val="20"/>
          <w:lang w:val="es-ES_tradnl"/>
        </w:rPr>
        <w:t>de manera violenta cuatro</w:t>
      </w:r>
      <w:r w:rsidR="00955152" w:rsidRPr="0011380E">
        <w:rPr>
          <w:rFonts w:asciiTheme="majorHAnsi" w:hAnsiTheme="majorHAnsi"/>
          <w:color w:val="auto"/>
          <w:szCs w:val="20"/>
          <w:lang w:val="es-ES_tradnl"/>
        </w:rPr>
        <w:t xml:space="preserve"> inmuebles</w:t>
      </w:r>
      <w:r w:rsidR="00042141" w:rsidRPr="0011380E">
        <w:rPr>
          <w:rFonts w:asciiTheme="majorHAnsi" w:hAnsiTheme="majorHAnsi"/>
          <w:color w:val="auto"/>
          <w:szCs w:val="20"/>
          <w:lang w:val="es-ES_tradnl"/>
        </w:rPr>
        <w:t xml:space="preserve"> </w:t>
      </w:r>
      <w:r w:rsidR="00955152" w:rsidRPr="0011380E">
        <w:rPr>
          <w:rFonts w:asciiTheme="majorHAnsi" w:hAnsiTheme="majorHAnsi"/>
          <w:color w:val="auto"/>
          <w:szCs w:val="20"/>
          <w:lang w:val="es-ES_tradnl"/>
        </w:rPr>
        <w:t xml:space="preserve">como parte de un operativo destinado a </w:t>
      </w:r>
      <w:r w:rsidR="00042141" w:rsidRPr="0011380E">
        <w:rPr>
          <w:rFonts w:asciiTheme="majorHAnsi" w:hAnsiTheme="majorHAnsi"/>
          <w:color w:val="auto"/>
          <w:szCs w:val="20"/>
          <w:lang w:val="es-ES_tradnl"/>
        </w:rPr>
        <w:t>captura</w:t>
      </w:r>
      <w:r w:rsidR="00955152" w:rsidRPr="0011380E">
        <w:rPr>
          <w:rFonts w:asciiTheme="majorHAnsi" w:hAnsiTheme="majorHAnsi"/>
          <w:color w:val="auto"/>
          <w:szCs w:val="20"/>
          <w:lang w:val="es-ES_tradnl"/>
        </w:rPr>
        <w:t>r</w:t>
      </w:r>
      <w:r w:rsidR="00042141" w:rsidRPr="0011380E">
        <w:rPr>
          <w:rFonts w:asciiTheme="majorHAnsi" w:hAnsiTheme="majorHAnsi"/>
          <w:color w:val="auto"/>
          <w:szCs w:val="20"/>
          <w:lang w:val="es-ES_tradnl"/>
        </w:rPr>
        <w:t xml:space="preserve"> a los sospechosos del atraco.</w:t>
      </w:r>
      <w:r w:rsidR="00955152" w:rsidRPr="0011380E">
        <w:rPr>
          <w:rFonts w:asciiTheme="majorHAnsi" w:hAnsiTheme="majorHAnsi"/>
          <w:color w:val="auto"/>
          <w:szCs w:val="20"/>
          <w:lang w:val="es-ES_tradnl"/>
        </w:rPr>
        <w:t xml:space="preserve"> </w:t>
      </w:r>
      <w:r w:rsidR="00D75FEC" w:rsidRPr="0011380E">
        <w:rPr>
          <w:rFonts w:asciiTheme="majorHAnsi" w:hAnsiTheme="majorHAnsi"/>
          <w:color w:val="auto"/>
          <w:szCs w:val="20"/>
          <w:lang w:val="es-ES_tradnl"/>
        </w:rPr>
        <w:t xml:space="preserve">Durante la captura, todos los </w:t>
      </w:r>
      <w:r w:rsidR="00645117" w:rsidRPr="0011380E">
        <w:rPr>
          <w:rFonts w:asciiTheme="majorHAnsi" w:hAnsiTheme="majorHAnsi"/>
          <w:color w:val="auto"/>
          <w:szCs w:val="20"/>
          <w:lang w:val="es-ES_tradnl"/>
        </w:rPr>
        <w:t>que</w:t>
      </w:r>
      <w:r w:rsidR="00C318CC" w:rsidRPr="0011380E">
        <w:rPr>
          <w:rFonts w:asciiTheme="majorHAnsi" w:hAnsiTheme="majorHAnsi"/>
          <w:color w:val="auto"/>
          <w:szCs w:val="20"/>
          <w:lang w:val="es-ES_tradnl"/>
        </w:rPr>
        <w:t xml:space="preserve"> se encontraban esas</w:t>
      </w:r>
      <w:r w:rsidR="00645117" w:rsidRPr="0011380E">
        <w:rPr>
          <w:rFonts w:asciiTheme="majorHAnsi" w:hAnsiTheme="majorHAnsi"/>
          <w:color w:val="auto"/>
          <w:szCs w:val="20"/>
          <w:lang w:val="es-ES_tradnl"/>
        </w:rPr>
        <w:t xml:space="preserve"> las viviendas</w:t>
      </w:r>
      <w:r w:rsidR="00D75FEC" w:rsidRPr="0011380E">
        <w:rPr>
          <w:rFonts w:asciiTheme="majorHAnsi" w:hAnsiTheme="majorHAnsi"/>
          <w:color w:val="auto"/>
          <w:szCs w:val="20"/>
          <w:lang w:val="es-ES_tradnl"/>
        </w:rPr>
        <w:t>, incluyendo mujeres y niños de corta edad</w:t>
      </w:r>
      <w:r w:rsidR="00506575" w:rsidRPr="0011380E">
        <w:rPr>
          <w:rStyle w:val="FootnoteReference"/>
          <w:rFonts w:asciiTheme="majorHAnsi" w:hAnsiTheme="majorHAnsi"/>
          <w:color w:val="auto"/>
          <w:szCs w:val="20"/>
          <w:lang w:val="es-ES_tradnl"/>
        </w:rPr>
        <w:footnoteReference w:id="14"/>
      </w:r>
      <w:r w:rsidR="006754EF" w:rsidRPr="0011380E">
        <w:rPr>
          <w:rFonts w:asciiTheme="majorHAnsi" w:hAnsiTheme="majorHAnsi"/>
          <w:color w:val="auto"/>
          <w:szCs w:val="20"/>
          <w:lang w:val="es-ES_tradnl"/>
        </w:rPr>
        <w:t>,</w:t>
      </w:r>
      <w:r w:rsidR="00D75FEC"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fueron fuertemente golpeados, maniatados</w:t>
      </w:r>
      <w:r w:rsidR="006754EF" w:rsidRPr="0011380E">
        <w:rPr>
          <w:rFonts w:asciiTheme="majorHAnsi" w:hAnsiTheme="majorHAnsi"/>
          <w:color w:val="auto"/>
          <w:szCs w:val="20"/>
          <w:lang w:val="es-ES_tradnl"/>
        </w:rPr>
        <w:t xml:space="preserve"> y </w:t>
      </w:r>
      <w:r w:rsidR="006C3831" w:rsidRPr="0011380E">
        <w:rPr>
          <w:rFonts w:asciiTheme="majorHAnsi" w:hAnsiTheme="majorHAnsi"/>
          <w:color w:val="auto"/>
          <w:szCs w:val="20"/>
          <w:lang w:val="es-ES_tradnl"/>
        </w:rPr>
        <w:t>reducidos</w:t>
      </w:r>
      <w:r w:rsidR="006754EF" w:rsidRPr="0011380E">
        <w:rPr>
          <w:rFonts w:asciiTheme="majorHAnsi" w:hAnsiTheme="majorHAnsi"/>
          <w:color w:val="auto"/>
          <w:szCs w:val="20"/>
          <w:lang w:val="es-ES_tradnl"/>
        </w:rPr>
        <w:t>,</w:t>
      </w:r>
      <w:r w:rsidR="006C3831" w:rsidRPr="0011380E">
        <w:rPr>
          <w:rFonts w:asciiTheme="majorHAnsi" w:hAnsiTheme="majorHAnsi"/>
          <w:color w:val="auto"/>
          <w:szCs w:val="20"/>
          <w:lang w:val="es-ES_tradnl"/>
        </w:rPr>
        <w:t xml:space="preserve"> </w:t>
      </w:r>
      <w:r w:rsidR="00A10248" w:rsidRPr="0011380E">
        <w:rPr>
          <w:rFonts w:asciiTheme="majorHAnsi" w:hAnsiTheme="majorHAnsi"/>
          <w:color w:val="auto"/>
          <w:szCs w:val="20"/>
          <w:lang w:val="es-ES_tradnl"/>
        </w:rPr>
        <w:t>puestos boca abajo en el piso</w:t>
      </w:r>
      <w:r w:rsidR="006754EF" w:rsidRPr="0011380E">
        <w:rPr>
          <w:rFonts w:asciiTheme="majorHAnsi" w:hAnsiTheme="majorHAnsi"/>
          <w:color w:val="auto"/>
          <w:szCs w:val="20"/>
          <w:lang w:val="es-ES_tradnl"/>
        </w:rPr>
        <w:t xml:space="preserve"> con sus rostros cubiertos. L</w:t>
      </w:r>
      <w:r w:rsidR="0017268B" w:rsidRPr="0011380E">
        <w:rPr>
          <w:rFonts w:asciiTheme="majorHAnsi" w:hAnsiTheme="majorHAnsi"/>
          <w:color w:val="auto"/>
          <w:szCs w:val="20"/>
          <w:lang w:val="es-ES_tradnl"/>
        </w:rPr>
        <w:t>as mujeres fueron obligadas a desnudarse y se les introdujeron fusiles y dedos en sus vaginas</w:t>
      </w:r>
      <w:r w:rsidR="00D75FEC" w:rsidRPr="0011380E">
        <w:rPr>
          <w:rFonts w:asciiTheme="majorHAnsi" w:hAnsiTheme="majorHAnsi"/>
          <w:color w:val="auto"/>
          <w:szCs w:val="20"/>
          <w:lang w:val="es-ES_tradnl"/>
        </w:rPr>
        <w:t xml:space="preserve">. </w:t>
      </w:r>
      <w:r w:rsidR="00597523" w:rsidRPr="0011380E">
        <w:rPr>
          <w:rFonts w:asciiTheme="majorHAnsi" w:hAnsiTheme="majorHAnsi"/>
          <w:color w:val="auto"/>
          <w:szCs w:val="20"/>
          <w:lang w:val="es-ES_tradnl"/>
        </w:rPr>
        <w:t xml:space="preserve">De acuerdo a lo afirmado por los peticionarios, los </w:t>
      </w:r>
      <w:r w:rsidR="0051063A" w:rsidRPr="0011380E">
        <w:rPr>
          <w:rFonts w:asciiTheme="majorHAnsi" w:hAnsiTheme="majorHAnsi"/>
          <w:color w:val="auto"/>
          <w:szCs w:val="20"/>
          <w:lang w:val="es-US"/>
        </w:rPr>
        <w:t xml:space="preserve">detenidos fueron </w:t>
      </w:r>
      <w:r w:rsidR="006754EF" w:rsidRPr="0011380E">
        <w:rPr>
          <w:rFonts w:asciiTheme="majorHAnsi" w:hAnsiTheme="majorHAnsi"/>
          <w:color w:val="auto"/>
          <w:szCs w:val="20"/>
          <w:lang w:val="es-US"/>
        </w:rPr>
        <w:t>luego</w:t>
      </w:r>
      <w:r w:rsidR="00D75FEC" w:rsidRPr="0011380E">
        <w:rPr>
          <w:rFonts w:asciiTheme="majorHAnsi" w:hAnsiTheme="majorHAnsi"/>
          <w:color w:val="auto"/>
          <w:szCs w:val="20"/>
          <w:lang w:val="es-US"/>
        </w:rPr>
        <w:t xml:space="preserve"> </w:t>
      </w:r>
      <w:r w:rsidR="0051063A" w:rsidRPr="0011380E">
        <w:rPr>
          <w:rFonts w:asciiTheme="majorHAnsi" w:hAnsiTheme="majorHAnsi"/>
          <w:color w:val="auto"/>
          <w:szCs w:val="20"/>
          <w:lang w:val="es-US"/>
        </w:rPr>
        <w:t>trasladados a dependencias de la P</w:t>
      </w:r>
      <w:r w:rsidR="00B921B1" w:rsidRPr="0011380E">
        <w:rPr>
          <w:rFonts w:asciiTheme="majorHAnsi" w:hAnsiTheme="majorHAnsi"/>
          <w:color w:val="auto"/>
          <w:szCs w:val="20"/>
          <w:lang w:val="es-US"/>
        </w:rPr>
        <w:t>TJ</w:t>
      </w:r>
      <w:r w:rsidR="00D75FEC" w:rsidRPr="0011380E">
        <w:rPr>
          <w:rFonts w:asciiTheme="majorHAnsi" w:hAnsiTheme="majorHAnsi"/>
          <w:color w:val="auto"/>
          <w:szCs w:val="20"/>
          <w:lang w:val="es-US"/>
        </w:rPr>
        <w:t>,</w:t>
      </w:r>
      <w:r w:rsidR="0051063A" w:rsidRPr="0011380E">
        <w:rPr>
          <w:rFonts w:asciiTheme="majorHAnsi" w:hAnsiTheme="majorHAnsi"/>
          <w:color w:val="auto"/>
          <w:szCs w:val="20"/>
          <w:lang w:val="es-US"/>
        </w:rPr>
        <w:t xml:space="preserve"> donde </w:t>
      </w:r>
      <w:r w:rsidR="00D75FEC" w:rsidRPr="0011380E">
        <w:rPr>
          <w:rFonts w:asciiTheme="majorHAnsi" w:hAnsiTheme="majorHAnsi"/>
          <w:color w:val="auto"/>
          <w:szCs w:val="20"/>
          <w:lang w:val="es-US"/>
        </w:rPr>
        <w:t>sufrieron</w:t>
      </w:r>
      <w:r w:rsidR="0051063A" w:rsidRPr="0011380E">
        <w:rPr>
          <w:rFonts w:asciiTheme="majorHAnsi" w:hAnsiTheme="majorHAnsi"/>
          <w:color w:val="auto"/>
          <w:szCs w:val="20"/>
          <w:lang w:val="es-US"/>
        </w:rPr>
        <w:t xml:space="preserve"> similares vejaciones.</w:t>
      </w:r>
      <w:r w:rsidR="00D75FEC" w:rsidRPr="0011380E">
        <w:rPr>
          <w:rFonts w:asciiTheme="majorHAnsi" w:hAnsiTheme="majorHAnsi"/>
          <w:color w:val="auto"/>
          <w:szCs w:val="20"/>
          <w:lang w:val="es-US"/>
        </w:rPr>
        <w:t xml:space="preserve"> </w:t>
      </w:r>
    </w:p>
    <w:p w14:paraId="0AEB4498" w14:textId="77777777" w:rsidR="00D75FEC" w:rsidRPr="0011380E" w:rsidRDefault="00D75FEC" w:rsidP="0011380E">
      <w:pPr>
        <w:pStyle w:val="ListParagraph"/>
        <w:numPr>
          <w:ilvl w:val="0"/>
          <w:numId w:val="0"/>
        </w:numPr>
        <w:rPr>
          <w:rFonts w:asciiTheme="majorHAnsi" w:hAnsiTheme="majorHAnsi"/>
          <w:color w:val="auto"/>
          <w:szCs w:val="20"/>
          <w:lang w:val="es-ES_tradnl"/>
        </w:rPr>
      </w:pPr>
    </w:p>
    <w:p w14:paraId="7EB33A01" w14:textId="77777777" w:rsidR="00D41094" w:rsidRPr="0011380E" w:rsidRDefault="00D75FEC"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 xml:space="preserve">La Comisión observa </w:t>
      </w:r>
      <w:r w:rsidR="004D634E" w:rsidRPr="0011380E">
        <w:rPr>
          <w:rFonts w:asciiTheme="majorHAnsi" w:hAnsiTheme="majorHAnsi"/>
          <w:color w:val="auto"/>
          <w:szCs w:val="20"/>
          <w:lang w:val="es-ES_tradnl"/>
        </w:rPr>
        <w:t>que</w:t>
      </w:r>
      <w:r w:rsidR="006754EF" w:rsidRPr="0011380E">
        <w:rPr>
          <w:rFonts w:asciiTheme="majorHAnsi" w:hAnsiTheme="majorHAnsi"/>
          <w:color w:val="auto"/>
          <w:szCs w:val="20"/>
          <w:lang w:val="es-ES_tradnl"/>
        </w:rPr>
        <w:t>,</w:t>
      </w:r>
      <w:r w:rsidR="004D634E" w:rsidRPr="0011380E">
        <w:rPr>
          <w:rFonts w:asciiTheme="majorHAnsi" w:hAnsiTheme="majorHAnsi"/>
          <w:color w:val="auto"/>
          <w:szCs w:val="20"/>
          <w:lang w:val="es-ES_tradnl"/>
        </w:rPr>
        <w:t xml:space="preserve"> en sus</w:t>
      </w:r>
      <w:r w:rsidRPr="0011380E">
        <w:rPr>
          <w:rFonts w:asciiTheme="majorHAnsi" w:hAnsiTheme="majorHAnsi"/>
          <w:color w:val="auto"/>
          <w:szCs w:val="20"/>
          <w:lang w:val="es-ES_tradnl"/>
        </w:rPr>
        <w:t xml:space="preserve"> declaraciones</w:t>
      </w:r>
      <w:r w:rsidR="00DB0E0E" w:rsidRPr="0011380E">
        <w:rPr>
          <w:rFonts w:asciiTheme="majorHAnsi" w:hAnsiTheme="majorHAnsi"/>
          <w:color w:val="auto"/>
          <w:szCs w:val="20"/>
          <w:lang w:val="es-ES_tradnl"/>
        </w:rPr>
        <w:t xml:space="preserve"> </w:t>
      </w:r>
      <w:r w:rsidR="008F6598" w:rsidRPr="0011380E">
        <w:rPr>
          <w:rFonts w:asciiTheme="majorHAnsi" w:hAnsiTheme="majorHAnsi"/>
          <w:color w:val="auto"/>
          <w:szCs w:val="20"/>
          <w:lang w:val="es-ES_tradnl"/>
        </w:rPr>
        <w:t>informativas</w:t>
      </w:r>
      <w:r w:rsidR="00C146AF" w:rsidRPr="0011380E">
        <w:rPr>
          <w:rFonts w:asciiTheme="majorHAnsi" w:hAnsiTheme="majorHAnsi"/>
          <w:color w:val="auto"/>
          <w:szCs w:val="20"/>
          <w:lang w:val="es-ES_tradnl"/>
        </w:rPr>
        <w:t xml:space="preserve"> prestadas ante la P</w:t>
      </w:r>
      <w:r w:rsidR="00637B6A" w:rsidRPr="0011380E">
        <w:rPr>
          <w:rFonts w:asciiTheme="majorHAnsi" w:hAnsiTheme="majorHAnsi"/>
          <w:color w:val="auto"/>
          <w:szCs w:val="20"/>
          <w:lang w:val="es-ES_tradnl"/>
        </w:rPr>
        <w:t>TJ</w:t>
      </w:r>
      <w:r w:rsidR="004D634E" w:rsidRPr="0011380E">
        <w:rPr>
          <w:rFonts w:asciiTheme="majorHAnsi" w:hAnsiTheme="majorHAnsi"/>
          <w:color w:val="auto"/>
          <w:szCs w:val="20"/>
          <w:lang w:val="es-ES_tradnl"/>
        </w:rPr>
        <w:t>,</w:t>
      </w:r>
      <w:r w:rsidRPr="0011380E">
        <w:rPr>
          <w:rFonts w:asciiTheme="majorHAnsi" w:hAnsiTheme="majorHAnsi"/>
          <w:color w:val="auto"/>
          <w:szCs w:val="20"/>
          <w:lang w:val="es-ES_tradnl"/>
        </w:rPr>
        <w:t xml:space="preserve"> </w:t>
      </w:r>
      <w:r w:rsidR="00B71451" w:rsidRPr="0011380E">
        <w:rPr>
          <w:rFonts w:asciiTheme="majorHAnsi" w:hAnsiTheme="majorHAnsi"/>
          <w:color w:val="auto"/>
          <w:szCs w:val="20"/>
          <w:lang w:val="es-ES_tradnl"/>
        </w:rPr>
        <w:t xml:space="preserve">prácticamente </w:t>
      </w:r>
      <w:r w:rsidRPr="0011380E">
        <w:rPr>
          <w:rFonts w:asciiTheme="majorHAnsi" w:hAnsiTheme="majorHAnsi"/>
          <w:color w:val="auto"/>
          <w:szCs w:val="20"/>
          <w:lang w:val="es-ES_tradnl"/>
        </w:rPr>
        <w:t xml:space="preserve">todos </w:t>
      </w:r>
      <w:r w:rsidR="007218BC" w:rsidRPr="0011380E">
        <w:rPr>
          <w:rFonts w:asciiTheme="majorHAnsi" w:hAnsiTheme="majorHAnsi"/>
          <w:color w:val="auto"/>
          <w:szCs w:val="20"/>
          <w:lang w:val="es-ES_tradnl"/>
        </w:rPr>
        <w:t xml:space="preserve">los </w:t>
      </w:r>
      <w:r w:rsidR="00C146AF" w:rsidRPr="0011380E">
        <w:rPr>
          <w:rFonts w:asciiTheme="majorHAnsi" w:hAnsiTheme="majorHAnsi"/>
          <w:color w:val="auto"/>
          <w:szCs w:val="20"/>
          <w:lang w:val="es-ES_tradnl"/>
        </w:rPr>
        <w:t>detenidos</w:t>
      </w:r>
      <w:r w:rsidR="007218BC"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reconocen su participación en el robo</w:t>
      </w:r>
      <w:r w:rsidR="007218BC" w:rsidRPr="0011380E">
        <w:rPr>
          <w:rFonts w:asciiTheme="majorHAnsi" w:hAnsiTheme="majorHAnsi"/>
          <w:color w:val="auto"/>
          <w:szCs w:val="20"/>
          <w:lang w:val="es-ES_tradnl"/>
        </w:rPr>
        <w:t xml:space="preserve"> </w:t>
      </w:r>
      <w:r w:rsidR="006754EF" w:rsidRPr="0011380E">
        <w:rPr>
          <w:rFonts w:asciiTheme="majorHAnsi" w:hAnsiTheme="majorHAnsi"/>
          <w:color w:val="auto"/>
          <w:szCs w:val="20"/>
          <w:lang w:val="es-ES_tradnl"/>
        </w:rPr>
        <w:t>y dan información</w:t>
      </w:r>
      <w:r w:rsidR="006754EF" w:rsidRPr="0011380E">
        <w:rPr>
          <w:rFonts w:asciiTheme="majorHAnsi" w:hAnsiTheme="majorHAnsi"/>
          <w:color w:val="auto"/>
          <w:szCs w:val="20"/>
          <w:lang w:val="es-ES"/>
        </w:rPr>
        <w:t xml:space="preserve"> sobre la participación de otros </w:t>
      </w:r>
      <w:r w:rsidR="006754EF" w:rsidRPr="0011380E">
        <w:rPr>
          <w:rFonts w:asciiTheme="majorHAnsi" w:hAnsiTheme="majorHAnsi"/>
          <w:color w:val="auto"/>
          <w:szCs w:val="20"/>
          <w:lang w:val="es-ES"/>
        </w:rPr>
        <w:lastRenderedPageBreak/>
        <w:t>en el mismo</w:t>
      </w:r>
      <w:r w:rsidR="00C146AF" w:rsidRPr="0011380E">
        <w:rPr>
          <w:rStyle w:val="FootnoteReference"/>
          <w:rFonts w:asciiTheme="majorHAnsi" w:hAnsiTheme="majorHAnsi"/>
          <w:color w:val="auto"/>
          <w:szCs w:val="20"/>
          <w:lang w:val="es-ES"/>
        </w:rPr>
        <w:footnoteReference w:id="15"/>
      </w:r>
      <w:r w:rsidR="006754EF" w:rsidRPr="0011380E">
        <w:rPr>
          <w:rFonts w:asciiTheme="majorHAnsi" w:hAnsiTheme="majorHAnsi"/>
          <w:color w:val="auto"/>
          <w:szCs w:val="20"/>
          <w:lang w:val="es-ES"/>
        </w:rPr>
        <w:t xml:space="preserve">. </w:t>
      </w:r>
      <w:r w:rsidR="00AE7353" w:rsidRPr="0011380E">
        <w:rPr>
          <w:rFonts w:asciiTheme="majorHAnsi" w:hAnsiTheme="majorHAnsi"/>
          <w:color w:val="auto"/>
          <w:szCs w:val="20"/>
          <w:lang w:val="es-ES_tradnl"/>
        </w:rPr>
        <w:t>A</w:t>
      </w:r>
      <w:r w:rsidRPr="0011380E">
        <w:rPr>
          <w:rFonts w:asciiTheme="majorHAnsi" w:hAnsiTheme="majorHAnsi"/>
          <w:color w:val="auto"/>
          <w:szCs w:val="20"/>
          <w:lang w:val="es-ES_tradnl"/>
        </w:rPr>
        <w:t>lgunos</w:t>
      </w:r>
      <w:r w:rsidR="00AE7353" w:rsidRPr="0011380E">
        <w:rPr>
          <w:rFonts w:asciiTheme="majorHAnsi" w:hAnsiTheme="majorHAnsi"/>
          <w:color w:val="auto"/>
          <w:szCs w:val="20"/>
          <w:lang w:val="es-ES_tradnl"/>
        </w:rPr>
        <w:t xml:space="preserve"> </w:t>
      </w:r>
      <w:r w:rsidR="00DD6C24" w:rsidRPr="0011380E">
        <w:rPr>
          <w:rFonts w:asciiTheme="majorHAnsi" w:hAnsiTheme="majorHAnsi"/>
          <w:color w:val="auto"/>
          <w:szCs w:val="20"/>
          <w:lang w:val="es-ES_tradnl"/>
        </w:rPr>
        <w:t xml:space="preserve">de los detenidos </w:t>
      </w:r>
      <w:r w:rsidRPr="0011380E">
        <w:rPr>
          <w:rFonts w:asciiTheme="majorHAnsi" w:hAnsiTheme="majorHAnsi"/>
          <w:color w:val="auto"/>
          <w:szCs w:val="20"/>
          <w:lang w:val="es-ES_tradnl"/>
        </w:rPr>
        <w:t>refieren las golpizas y malos tratos de los que alegan haber sido víctimas</w:t>
      </w:r>
      <w:r w:rsidR="00713544" w:rsidRPr="0011380E">
        <w:rPr>
          <w:rFonts w:asciiTheme="majorHAnsi" w:hAnsiTheme="majorHAnsi"/>
          <w:color w:val="auto"/>
          <w:szCs w:val="20"/>
          <w:lang w:val="es-ES_tradnl"/>
        </w:rPr>
        <w:t>.</w:t>
      </w:r>
      <w:r w:rsidR="006B603C" w:rsidRPr="0011380E">
        <w:rPr>
          <w:rFonts w:asciiTheme="majorHAnsi" w:hAnsiTheme="majorHAnsi"/>
          <w:color w:val="auto"/>
          <w:szCs w:val="20"/>
          <w:lang w:val="es-ES_tradnl"/>
        </w:rPr>
        <w:t xml:space="preserve"> A continuación</w:t>
      </w:r>
      <w:r w:rsidR="009376FC" w:rsidRPr="0011380E">
        <w:rPr>
          <w:rFonts w:asciiTheme="majorHAnsi" w:hAnsiTheme="majorHAnsi"/>
          <w:color w:val="auto"/>
          <w:szCs w:val="20"/>
          <w:lang w:val="es-ES_tradnl"/>
        </w:rPr>
        <w:t>,</w:t>
      </w:r>
      <w:r w:rsidR="006B603C" w:rsidRPr="0011380E">
        <w:rPr>
          <w:rFonts w:asciiTheme="majorHAnsi" w:hAnsiTheme="majorHAnsi"/>
          <w:color w:val="auto"/>
          <w:szCs w:val="20"/>
          <w:lang w:val="es-ES_tradnl"/>
        </w:rPr>
        <w:t xml:space="preserve"> la CIDH deja constancia de las indicaciones puntuales de quienes expresaron haber sido víctima de golpizas y malos tratos</w:t>
      </w:r>
      <w:r w:rsidR="00431AE0" w:rsidRPr="0011380E">
        <w:rPr>
          <w:rFonts w:asciiTheme="majorHAnsi" w:hAnsiTheme="majorHAnsi"/>
          <w:color w:val="auto"/>
          <w:szCs w:val="20"/>
          <w:lang w:val="es-ES_tradnl"/>
        </w:rPr>
        <w:t xml:space="preserve">: </w:t>
      </w:r>
      <w:r w:rsidR="00713544" w:rsidRPr="0011380E">
        <w:rPr>
          <w:rFonts w:asciiTheme="majorHAnsi" w:hAnsiTheme="majorHAnsi"/>
          <w:color w:val="auto"/>
          <w:szCs w:val="20"/>
          <w:lang w:val="es-ES_tradnl"/>
        </w:rPr>
        <w:t xml:space="preserve">Mercedes Valencia </w:t>
      </w:r>
      <w:r w:rsidR="00D36273" w:rsidRPr="0011380E">
        <w:rPr>
          <w:rFonts w:asciiTheme="majorHAnsi" w:hAnsiTheme="majorHAnsi"/>
          <w:color w:val="auto"/>
          <w:szCs w:val="20"/>
          <w:lang w:val="es-ES_tradnl"/>
        </w:rPr>
        <w:t>indicó</w:t>
      </w:r>
      <w:r w:rsidR="00713544" w:rsidRPr="0011380E">
        <w:rPr>
          <w:rFonts w:asciiTheme="majorHAnsi" w:hAnsiTheme="majorHAnsi"/>
          <w:color w:val="auto"/>
          <w:szCs w:val="20"/>
          <w:lang w:val="es-ES_tradnl"/>
        </w:rPr>
        <w:t xml:space="preserve"> que al momento del allanamiento de su vivienda alrededor de las 2:00 am, le pegaron a ella y a su hijo </w:t>
      </w:r>
      <w:r w:rsidR="007218BC" w:rsidRPr="0011380E">
        <w:rPr>
          <w:rFonts w:asciiTheme="majorHAnsi" w:hAnsiTheme="majorHAnsi"/>
          <w:color w:val="auto"/>
          <w:szCs w:val="20"/>
          <w:lang w:val="es-ES_tradnl"/>
        </w:rPr>
        <w:t>– “hundi</w:t>
      </w:r>
      <w:r w:rsidR="007218BC" w:rsidRPr="0011380E">
        <w:rPr>
          <w:rFonts w:asciiTheme="majorHAnsi" w:hAnsiTheme="majorHAnsi"/>
          <w:color w:val="auto"/>
          <w:szCs w:val="20"/>
          <w:lang w:val="es-ES"/>
        </w:rPr>
        <w:t xml:space="preserve">éndole el cráneo” – </w:t>
      </w:r>
      <w:r w:rsidR="00713544" w:rsidRPr="0011380E">
        <w:rPr>
          <w:rFonts w:asciiTheme="majorHAnsi" w:hAnsiTheme="majorHAnsi"/>
          <w:color w:val="auto"/>
          <w:szCs w:val="20"/>
          <w:lang w:val="es-ES_tradnl"/>
        </w:rPr>
        <w:t>y</w:t>
      </w:r>
      <w:r w:rsidR="007218BC" w:rsidRPr="0011380E">
        <w:rPr>
          <w:rFonts w:asciiTheme="majorHAnsi" w:hAnsiTheme="majorHAnsi"/>
          <w:color w:val="auto"/>
          <w:szCs w:val="20"/>
          <w:lang w:val="es-ES_tradnl"/>
        </w:rPr>
        <w:t xml:space="preserve"> </w:t>
      </w:r>
      <w:r w:rsidR="00AE7353" w:rsidRPr="0011380E">
        <w:rPr>
          <w:rFonts w:asciiTheme="majorHAnsi" w:hAnsiTheme="majorHAnsi"/>
          <w:color w:val="auto"/>
          <w:szCs w:val="20"/>
          <w:lang w:val="es-ES_tradnl"/>
        </w:rPr>
        <w:t xml:space="preserve">alegó </w:t>
      </w:r>
      <w:r w:rsidR="00713544" w:rsidRPr="0011380E">
        <w:rPr>
          <w:rFonts w:asciiTheme="majorHAnsi" w:hAnsiTheme="majorHAnsi"/>
          <w:color w:val="auto"/>
          <w:szCs w:val="20"/>
          <w:lang w:val="es-ES_tradnl"/>
        </w:rPr>
        <w:t>que recibía malos tratos en la penitenciaría</w:t>
      </w:r>
      <w:r w:rsidR="00713544" w:rsidRPr="0011380E">
        <w:rPr>
          <w:rStyle w:val="FootnoteReference"/>
          <w:rFonts w:asciiTheme="majorHAnsi" w:hAnsiTheme="majorHAnsi"/>
          <w:color w:val="auto"/>
          <w:szCs w:val="20"/>
          <w:lang w:val="es-ES_tradnl"/>
        </w:rPr>
        <w:footnoteReference w:id="16"/>
      </w:r>
      <w:r w:rsidR="00713544" w:rsidRPr="0011380E">
        <w:rPr>
          <w:rFonts w:asciiTheme="majorHAnsi" w:hAnsiTheme="majorHAnsi"/>
          <w:color w:val="auto"/>
          <w:szCs w:val="20"/>
          <w:lang w:val="es-ES_tradnl"/>
        </w:rPr>
        <w:t>.</w:t>
      </w:r>
      <w:r w:rsidR="007218BC" w:rsidRPr="0011380E">
        <w:rPr>
          <w:rFonts w:asciiTheme="majorHAnsi" w:hAnsiTheme="majorHAnsi"/>
          <w:color w:val="auto"/>
          <w:szCs w:val="20"/>
          <w:lang w:val="es-ES_tradnl"/>
        </w:rPr>
        <w:t xml:space="preserve"> </w:t>
      </w:r>
      <w:r w:rsidR="007218BC" w:rsidRPr="0011380E">
        <w:rPr>
          <w:rFonts w:asciiTheme="majorHAnsi" w:hAnsiTheme="majorHAnsi"/>
          <w:color w:val="auto"/>
          <w:szCs w:val="20"/>
          <w:lang w:val="es-US"/>
        </w:rPr>
        <w:t>Alfredo Bazán</w:t>
      </w:r>
      <w:r w:rsidR="00F911AF" w:rsidRPr="0011380E">
        <w:rPr>
          <w:rFonts w:asciiTheme="majorHAnsi" w:hAnsiTheme="majorHAnsi"/>
          <w:color w:val="auto"/>
          <w:szCs w:val="20"/>
          <w:lang w:val="es-US"/>
        </w:rPr>
        <w:t xml:space="preserve"> y</w:t>
      </w:r>
      <w:r w:rsidR="007218BC" w:rsidRPr="0011380E">
        <w:rPr>
          <w:rFonts w:asciiTheme="majorHAnsi" w:hAnsiTheme="majorHAnsi"/>
          <w:color w:val="auto"/>
          <w:szCs w:val="20"/>
          <w:lang w:val="es-US"/>
        </w:rPr>
        <w:t xml:space="preserve"> Rosas </w:t>
      </w:r>
      <w:r w:rsidR="00AE7353" w:rsidRPr="0011380E">
        <w:rPr>
          <w:rFonts w:asciiTheme="majorHAnsi" w:hAnsiTheme="majorHAnsi"/>
          <w:color w:val="auto"/>
          <w:szCs w:val="20"/>
          <w:lang w:val="es-US"/>
        </w:rPr>
        <w:t>(</w:t>
      </w:r>
      <w:r w:rsidR="007218BC" w:rsidRPr="0011380E">
        <w:rPr>
          <w:rFonts w:asciiTheme="majorHAnsi" w:hAnsiTheme="majorHAnsi"/>
          <w:color w:val="auto"/>
          <w:szCs w:val="20"/>
          <w:lang w:val="es-US"/>
        </w:rPr>
        <w:t>José Miguel Abildo Díaz</w:t>
      </w:r>
      <w:r w:rsidR="00AE7353" w:rsidRPr="0011380E">
        <w:rPr>
          <w:rFonts w:asciiTheme="majorHAnsi" w:hAnsiTheme="majorHAnsi"/>
          <w:color w:val="auto"/>
          <w:szCs w:val="20"/>
          <w:lang w:val="es-US"/>
        </w:rPr>
        <w:t>)</w:t>
      </w:r>
      <w:r w:rsidR="007218BC" w:rsidRPr="0011380E">
        <w:rPr>
          <w:rFonts w:asciiTheme="majorHAnsi" w:hAnsiTheme="majorHAnsi"/>
          <w:color w:val="auto"/>
          <w:szCs w:val="20"/>
          <w:lang w:val="es-US"/>
        </w:rPr>
        <w:t>, indicó que al momento de su aprehensión lo golpearon físicamente en todo el cuerpo</w:t>
      </w:r>
      <w:r w:rsidR="007218BC" w:rsidRPr="0011380E">
        <w:rPr>
          <w:rStyle w:val="FootnoteReference"/>
          <w:rFonts w:asciiTheme="majorHAnsi" w:hAnsiTheme="majorHAnsi"/>
          <w:color w:val="auto"/>
          <w:szCs w:val="20"/>
          <w:lang w:val="es-US"/>
        </w:rPr>
        <w:footnoteReference w:id="17"/>
      </w:r>
      <w:r w:rsidR="007218BC" w:rsidRPr="0011380E">
        <w:rPr>
          <w:rFonts w:asciiTheme="majorHAnsi" w:hAnsiTheme="majorHAnsi"/>
          <w:color w:val="auto"/>
          <w:szCs w:val="20"/>
          <w:lang w:val="es-US"/>
        </w:rPr>
        <w:t xml:space="preserve">. Víctor Boggiano Bruzon </w:t>
      </w:r>
      <w:r w:rsidR="00AE7353" w:rsidRPr="0011380E">
        <w:rPr>
          <w:rFonts w:asciiTheme="majorHAnsi" w:hAnsiTheme="majorHAnsi"/>
          <w:color w:val="auto"/>
          <w:szCs w:val="20"/>
          <w:lang w:val="es-US"/>
        </w:rPr>
        <w:t>(</w:t>
      </w:r>
      <w:r w:rsidR="007218BC" w:rsidRPr="0011380E">
        <w:rPr>
          <w:rFonts w:asciiTheme="majorHAnsi" w:hAnsiTheme="majorHAnsi"/>
          <w:color w:val="auto"/>
          <w:szCs w:val="20"/>
          <w:lang w:val="es-US"/>
        </w:rPr>
        <w:t>Juan Ramírez Ortega</w:t>
      </w:r>
      <w:r w:rsidR="00AE7353" w:rsidRPr="0011380E">
        <w:rPr>
          <w:rFonts w:asciiTheme="majorHAnsi" w:hAnsiTheme="majorHAnsi"/>
          <w:color w:val="auto"/>
          <w:szCs w:val="20"/>
          <w:lang w:val="es-US"/>
        </w:rPr>
        <w:t>)</w:t>
      </w:r>
      <w:r w:rsidR="007218BC" w:rsidRPr="0011380E">
        <w:rPr>
          <w:rFonts w:asciiTheme="majorHAnsi" w:hAnsiTheme="majorHAnsi"/>
          <w:color w:val="auto"/>
          <w:szCs w:val="20"/>
          <w:lang w:val="es-US"/>
        </w:rPr>
        <w:t xml:space="preserve">, </w:t>
      </w:r>
      <w:r w:rsidR="00B910A6" w:rsidRPr="0011380E">
        <w:rPr>
          <w:rFonts w:asciiTheme="majorHAnsi" w:hAnsiTheme="majorHAnsi"/>
          <w:color w:val="auto"/>
          <w:szCs w:val="20"/>
          <w:lang w:val="es-US"/>
        </w:rPr>
        <w:t>indicó</w:t>
      </w:r>
      <w:r w:rsidR="007218BC" w:rsidRPr="0011380E">
        <w:rPr>
          <w:rFonts w:asciiTheme="majorHAnsi" w:hAnsiTheme="majorHAnsi"/>
          <w:color w:val="auto"/>
          <w:szCs w:val="20"/>
          <w:lang w:val="es-US"/>
        </w:rPr>
        <w:t xml:space="preserve"> que </w:t>
      </w:r>
      <w:r w:rsidR="00B910A6" w:rsidRPr="0011380E">
        <w:rPr>
          <w:rFonts w:asciiTheme="majorHAnsi" w:hAnsiTheme="majorHAnsi"/>
          <w:color w:val="auto"/>
          <w:szCs w:val="20"/>
          <w:lang w:val="es-US"/>
        </w:rPr>
        <w:t>le hab</w:t>
      </w:r>
      <w:r w:rsidR="00D36273" w:rsidRPr="0011380E">
        <w:rPr>
          <w:rFonts w:asciiTheme="majorHAnsi" w:hAnsiTheme="majorHAnsi"/>
          <w:color w:val="auto"/>
          <w:szCs w:val="20"/>
          <w:lang w:val="es-US"/>
        </w:rPr>
        <w:t>ía</w:t>
      </w:r>
      <w:r w:rsidR="00B910A6" w:rsidRPr="0011380E">
        <w:rPr>
          <w:rFonts w:asciiTheme="majorHAnsi" w:hAnsiTheme="majorHAnsi"/>
          <w:color w:val="auto"/>
          <w:szCs w:val="20"/>
          <w:lang w:val="es-US"/>
        </w:rPr>
        <w:t xml:space="preserve">n pegado en la cara </w:t>
      </w:r>
      <w:r w:rsidR="00D36273" w:rsidRPr="0011380E">
        <w:rPr>
          <w:rFonts w:asciiTheme="majorHAnsi" w:hAnsiTheme="majorHAnsi"/>
          <w:color w:val="auto"/>
          <w:szCs w:val="20"/>
          <w:lang w:val="es-US"/>
        </w:rPr>
        <w:t xml:space="preserve">y que </w:t>
      </w:r>
      <w:r w:rsidR="00B910A6" w:rsidRPr="0011380E">
        <w:rPr>
          <w:rFonts w:asciiTheme="majorHAnsi" w:hAnsiTheme="majorHAnsi"/>
          <w:color w:val="auto"/>
          <w:szCs w:val="20"/>
          <w:lang w:val="es-US"/>
        </w:rPr>
        <w:t>no había recibido atención médica, no veía con el ojo derecho y le dolía la cabeza</w:t>
      </w:r>
      <w:r w:rsidR="00B910A6" w:rsidRPr="0011380E">
        <w:rPr>
          <w:rStyle w:val="FootnoteReference"/>
          <w:rFonts w:asciiTheme="majorHAnsi" w:hAnsiTheme="majorHAnsi"/>
          <w:color w:val="auto"/>
          <w:szCs w:val="20"/>
          <w:lang w:val="es-US"/>
        </w:rPr>
        <w:footnoteReference w:id="18"/>
      </w:r>
      <w:r w:rsidR="00D36273" w:rsidRPr="0011380E">
        <w:rPr>
          <w:rFonts w:asciiTheme="majorHAnsi" w:hAnsiTheme="majorHAnsi"/>
          <w:color w:val="auto"/>
          <w:szCs w:val="20"/>
          <w:lang w:val="es-US"/>
        </w:rPr>
        <w:t>.</w:t>
      </w:r>
      <w:r w:rsidR="00B910A6" w:rsidRPr="0011380E">
        <w:rPr>
          <w:rFonts w:asciiTheme="majorHAnsi" w:hAnsiTheme="majorHAnsi"/>
          <w:color w:val="auto"/>
          <w:szCs w:val="20"/>
          <w:lang w:val="es-US"/>
        </w:rPr>
        <w:t xml:space="preserve"> </w:t>
      </w:r>
      <w:r w:rsidR="00D36273" w:rsidRPr="0011380E">
        <w:rPr>
          <w:rFonts w:asciiTheme="majorHAnsi" w:hAnsiTheme="majorHAnsi"/>
          <w:color w:val="auto"/>
          <w:szCs w:val="20"/>
          <w:lang w:val="es-US"/>
        </w:rPr>
        <w:t>R</w:t>
      </w:r>
      <w:r w:rsidR="00B910A6" w:rsidRPr="0011380E">
        <w:rPr>
          <w:rFonts w:asciiTheme="majorHAnsi" w:hAnsiTheme="majorHAnsi"/>
          <w:color w:val="auto"/>
          <w:szCs w:val="20"/>
          <w:lang w:val="es-US"/>
        </w:rPr>
        <w:t xml:space="preserve">atificando su declaración un mes </w:t>
      </w:r>
      <w:r w:rsidR="00AE7353" w:rsidRPr="0011380E">
        <w:rPr>
          <w:rFonts w:asciiTheme="majorHAnsi" w:hAnsiTheme="majorHAnsi"/>
          <w:color w:val="auto"/>
          <w:szCs w:val="20"/>
          <w:lang w:val="es-US"/>
        </w:rPr>
        <w:t>después</w:t>
      </w:r>
      <w:r w:rsidR="00B910A6" w:rsidRPr="0011380E">
        <w:rPr>
          <w:rFonts w:asciiTheme="majorHAnsi" w:hAnsiTheme="majorHAnsi"/>
          <w:color w:val="auto"/>
          <w:szCs w:val="20"/>
          <w:lang w:val="es-US"/>
        </w:rPr>
        <w:t xml:space="preserve"> explicó que</w:t>
      </w:r>
      <w:r w:rsidR="00AE7353" w:rsidRPr="0011380E">
        <w:rPr>
          <w:rFonts w:asciiTheme="majorHAnsi" w:hAnsiTheme="majorHAnsi"/>
          <w:color w:val="auto"/>
          <w:szCs w:val="20"/>
          <w:lang w:val="es-US"/>
        </w:rPr>
        <w:t xml:space="preserve"> </w:t>
      </w:r>
      <w:r w:rsidR="00D36273" w:rsidRPr="0011380E">
        <w:rPr>
          <w:rFonts w:asciiTheme="majorHAnsi" w:hAnsiTheme="majorHAnsi"/>
          <w:color w:val="auto"/>
          <w:szCs w:val="20"/>
          <w:lang w:val="es-US"/>
        </w:rPr>
        <w:t>durante la declaración anterior</w:t>
      </w:r>
      <w:r w:rsidR="00AE7353" w:rsidRPr="0011380E">
        <w:rPr>
          <w:rFonts w:asciiTheme="majorHAnsi" w:hAnsiTheme="majorHAnsi"/>
          <w:color w:val="auto"/>
          <w:szCs w:val="20"/>
          <w:lang w:val="es-US"/>
        </w:rPr>
        <w:t xml:space="preserve"> </w:t>
      </w:r>
      <w:r w:rsidR="007218BC" w:rsidRPr="0011380E">
        <w:rPr>
          <w:rFonts w:asciiTheme="majorHAnsi" w:hAnsiTheme="majorHAnsi"/>
          <w:color w:val="auto"/>
          <w:szCs w:val="20"/>
          <w:lang w:val="es-US"/>
        </w:rPr>
        <w:t xml:space="preserve">estaba mal por los golpes recibidos </w:t>
      </w:r>
      <w:r w:rsidR="00AE7353" w:rsidRPr="0011380E">
        <w:rPr>
          <w:rFonts w:asciiTheme="majorHAnsi" w:hAnsiTheme="majorHAnsi"/>
          <w:color w:val="auto"/>
          <w:szCs w:val="20"/>
          <w:lang w:val="es-US"/>
        </w:rPr>
        <w:t>de parte de</w:t>
      </w:r>
      <w:r w:rsidR="007218BC" w:rsidRPr="0011380E">
        <w:rPr>
          <w:rFonts w:asciiTheme="majorHAnsi" w:hAnsiTheme="majorHAnsi"/>
          <w:color w:val="auto"/>
          <w:szCs w:val="20"/>
          <w:lang w:val="es-US"/>
        </w:rPr>
        <w:t xml:space="preserve"> la policía que intervino en su casa</w:t>
      </w:r>
      <w:r w:rsidR="007218BC" w:rsidRPr="0011380E">
        <w:rPr>
          <w:rStyle w:val="FootnoteReference"/>
          <w:rFonts w:asciiTheme="majorHAnsi" w:hAnsiTheme="majorHAnsi"/>
          <w:color w:val="auto"/>
          <w:szCs w:val="20"/>
          <w:lang w:val="es-US"/>
        </w:rPr>
        <w:footnoteReference w:id="19"/>
      </w:r>
      <w:r w:rsidR="007218BC" w:rsidRPr="0011380E">
        <w:rPr>
          <w:rFonts w:asciiTheme="majorHAnsi" w:hAnsiTheme="majorHAnsi"/>
          <w:color w:val="auto"/>
          <w:szCs w:val="20"/>
          <w:lang w:val="es-US"/>
        </w:rPr>
        <w:t>.</w:t>
      </w:r>
      <w:r w:rsidR="00B910A6" w:rsidRPr="0011380E">
        <w:rPr>
          <w:rFonts w:asciiTheme="majorHAnsi" w:hAnsiTheme="majorHAnsi"/>
          <w:color w:val="auto"/>
          <w:szCs w:val="20"/>
          <w:lang w:val="es-US"/>
        </w:rPr>
        <w:t xml:space="preserve"> En las tres declaraciones </w:t>
      </w:r>
      <w:r w:rsidR="00D36273" w:rsidRPr="0011380E">
        <w:rPr>
          <w:rFonts w:asciiTheme="majorHAnsi" w:hAnsiTheme="majorHAnsi"/>
          <w:color w:val="auto"/>
          <w:szCs w:val="20"/>
          <w:lang w:val="es-US"/>
        </w:rPr>
        <w:t>de</w:t>
      </w:r>
      <w:r w:rsidR="00B910A6" w:rsidRPr="0011380E">
        <w:rPr>
          <w:rFonts w:asciiTheme="majorHAnsi" w:hAnsiTheme="majorHAnsi"/>
          <w:color w:val="auto"/>
          <w:szCs w:val="20"/>
          <w:lang w:val="es-US"/>
        </w:rPr>
        <w:t xml:space="preserve"> Francis Primentel</w:t>
      </w:r>
      <w:r w:rsidR="00AE7353" w:rsidRPr="0011380E">
        <w:rPr>
          <w:rFonts w:asciiTheme="majorHAnsi" w:hAnsiTheme="majorHAnsi"/>
          <w:color w:val="auto"/>
          <w:szCs w:val="20"/>
          <w:lang w:val="es-US"/>
        </w:rPr>
        <w:t>a</w:t>
      </w:r>
      <w:r w:rsidR="00B910A6" w:rsidRPr="0011380E">
        <w:rPr>
          <w:rFonts w:asciiTheme="majorHAnsi" w:hAnsiTheme="majorHAnsi"/>
          <w:color w:val="auto"/>
          <w:szCs w:val="20"/>
          <w:lang w:val="es-US"/>
        </w:rPr>
        <w:t xml:space="preserve"> </w:t>
      </w:r>
      <w:r w:rsidR="00D36273" w:rsidRPr="0011380E">
        <w:rPr>
          <w:rFonts w:asciiTheme="majorHAnsi" w:hAnsiTheme="majorHAnsi"/>
          <w:color w:val="auto"/>
          <w:szCs w:val="20"/>
          <w:lang w:val="es-US"/>
        </w:rPr>
        <w:t xml:space="preserve">ésta </w:t>
      </w:r>
      <w:r w:rsidR="00B910A6" w:rsidRPr="0011380E">
        <w:rPr>
          <w:rFonts w:asciiTheme="majorHAnsi" w:hAnsiTheme="majorHAnsi"/>
          <w:color w:val="auto"/>
          <w:szCs w:val="20"/>
          <w:lang w:val="es-US"/>
        </w:rPr>
        <w:t>indicó que el allanamiento a su hogar fue hecho por policías en forma violenta, que la pusieron boca abajo, la agredieron física y verbalmente, la golpearon, y patearon</w:t>
      </w:r>
      <w:r w:rsidR="00D36273" w:rsidRPr="0011380E">
        <w:rPr>
          <w:rFonts w:asciiTheme="majorHAnsi" w:hAnsiTheme="majorHAnsi"/>
          <w:color w:val="auto"/>
          <w:szCs w:val="20"/>
          <w:lang w:val="es-US"/>
        </w:rPr>
        <w:t>,</w:t>
      </w:r>
      <w:r w:rsidR="00B910A6" w:rsidRPr="0011380E">
        <w:rPr>
          <w:rFonts w:asciiTheme="majorHAnsi" w:hAnsiTheme="majorHAnsi"/>
          <w:color w:val="auto"/>
          <w:szCs w:val="20"/>
          <w:lang w:val="es-US"/>
        </w:rPr>
        <w:t xml:space="preserve"> aún cuando indicó estar embarazada, </w:t>
      </w:r>
      <w:r w:rsidR="00D36273" w:rsidRPr="0011380E">
        <w:rPr>
          <w:rFonts w:asciiTheme="majorHAnsi" w:hAnsiTheme="majorHAnsi"/>
          <w:color w:val="auto"/>
          <w:szCs w:val="20"/>
          <w:lang w:val="es-US"/>
        </w:rPr>
        <w:t xml:space="preserve">y, </w:t>
      </w:r>
      <w:r w:rsidR="00B910A6" w:rsidRPr="0011380E">
        <w:rPr>
          <w:rFonts w:asciiTheme="majorHAnsi" w:hAnsiTheme="majorHAnsi"/>
          <w:color w:val="auto"/>
          <w:szCs w:val="20"/>
          <w:lang w:val="es-US"/>
        </w:rPr>
        <w:t>además</w:t>
      </w:r>
      <w:r w:rsidR="00D36273" w:rsidRPr="0011380E">
        <w:rPr>
          <w:rFonts w:asciiTheme="majorHAnsi" w:hAnsiTheme="majorHAnsi"/>
          <w:color w:val="auto"/>
          <w:szCs w:val="20"/>
          <w:lang w:val="es-US"/>
        </w:rPr>
        <w:t>,</w:t>
      </w:r>
      <w:r w:rsidR="00B910A6" w:rsidRPr="0011380E">
        <w:rPr>
          <w:rFonts w:asciiTheme="majorHAnsi" w:hAnsiTheme="majorHAnsi"/>
          <w:color w:val="auto"/>
          <w:szCs w:val="20"/>
          <w:lang w:val="es-US"/>
        </w:rPr>
        <w:t xml:space="preserve"> la presionaron para que declarara</w:t>
      </w:r>
      <w:r w:rsidR="00B910A6" w:rsidRPr="0011380E">
        <w:rPr>
          <w:rStyle w:val="FootnoteReference"/>
          <w:rFonts w:asciiTheme="majorHAnsi" w:hAnsiTheme="majorHAnsi"/>
          <w:color w:val="auto"/>
          <w:szCs w:val="20"/>
          <w:lang w:val="es-US"/>
        </w:rPr>
        <w:footnoteReference w:id="20"/>
      </w:r>
      <w:r w:rsidR="00B910A6" w:rsidRPr="0011380E">
        <w:rPr>
          <w:rFonts w:asciiTheme="majorHAnsi" w:hAnsiTheme="majorHAnsi"/>
          <w:color w:val="auto"/>
          <w:szCs w:val="20"/>
          <w:lang w:val="es-US"/>
        </w:rPr>
        <w:t>.</w:t>
      </w:r>
      <w:r w:rsidR="00D41094" w:rsidRPr="0011380E">
        <w:rPr>
          <w:rFonts w:asciiTheme="majorHAnsi" w:hAnsiTheme="majorHAnsi"/>
          <w:color w:val="auto"/>
          <w:szCs w:val="20"/>
          <w:lang w:val="es-US"/>
        </w:rPr>
        <w:t xml:space="preserve"> Claudia Valencia Alarcón </w:t>
      </w:r>
      <w:r w:rsidR="00D36273" w:rsidRPr="0011380E">
        <w:rPr>
          <w:rFonts w:asciiTheme="majorHAnsi" w:hAnsiTheme="majorHAnsi"/>
          <w:color w:val="auto"/>
          <w:szCs w:val="20"/>
          <w:lang w:val="es-US"/>
        </w:rPr>
        <w:t>también</w:t>
      </w:r>
      <w:r w:rsidR="00D41094" w:rsidRPr="0011380E">
        <w:rPr>
          <w:rFonts w:asciiTheme="majorHAnsi" w:hAnsiTheme="majorHAnsi"/>
          <w:color w:val="auto"/>
          <w:szCs w:val="20"/>
          <w:lang w:val="es-US"/>
        </w:rPr>
        <w:t xml:space="preserve"> </w:t>
      </w:r>
      <w:r w:rsidR="00AE7353" w:rsidRPr="0011380E">
        <w:rPr>
          <w:rFonts w:asciiTheme="majorHAnsi" w:hAnsiTheme="majorHAnsi"/>
          <w:color w:val="auto"/>
          <w:szCs w:val="20"/>
          <w:lang w:val="es-US"/>
        </w:rPr>
        <w:t>denunció</w:t>
      </w:r>
      <w:r w:rsidR="00D41094" w:rsidRPr="0011380E">
        <w:rPr>
          <w:rFonts w:asciiTheme="majorHAnsi" w:hAnsiTheme="majorHAnsi"/>
          <w:color w:val="auto"/>
          <w:szCs w:val="20"/>
          <w:lang w:val="es-US"/>
        </w:rPr>
        <w:t xml:space="preserve"> que fue golpeada y que a las mujeres las </w:t>
      </w:r>
      <w:r w:rsidR="00AE7353" w:rsidRPr="0011380E">
        <w:rPr>
          <w:rFonts w:asciiTheme="majorHAnsi" w:hAnsiTheme="majorHAnsi"/>
          <w:color w:val="auto"/>
          <w:szCs w:val="20"/>
          <w:lang w:val="es-US"/>
        </w:rPr>
        <w:t>obligaban a</w:t>
      </w:r>
      <w:r w:rsidR="00D41094" w:rsidRPr="0011380E">
        <w:rPr>
          <w:rFonts w:asciiTheme="majorHAnsi" w:hAnsiTheme="majorHAnsi"/>
          <w:color w:val="auto"/>
          <w:szCs w:val="20"/>
          <w:lang w:val="es-US"/>
        </w:rPr>
        <w:t xml:space="preserve"> abrir las piernas y les apuntaban con armas</w:t>
      </w:r>
      <w:r w:rsidR="00D36273" w:rsidRPr="0011380E">
        <w:rPr>
          <w:rFonts w:asciiTheme="majorHAnsi" w:hAnsiTheme="majorHAnsi"/>
          <w:color w:val="auto"/>
          <w:szCs w:val="20"/>
          <w:lang w:val="es-US"/>
        </w:rPr>
        <w:t xml:space="preserve">, lo mismo </w:t>
      </w:r>
      <w:r w:rsidR="00D41094" w:rsidRPr="0011380E">
        <w:rPr>
          <w:rFonts w:asciiTheme="majorHAnsi" w:hAnsiTheme="majorHAnsi"/>
          <w:color w:val="auto"/>
          <w:szCs w:val="20"/>
          <w:lang w:val="es-US"/>
        </w:rPr>
        <w:t xml:space="preserve">a los niños; </w:t>
      </w:r>
      <w:r w:rsidR="00ED39A8" w:rsidRPr="0011380E">
        <w:rPr>
          <w:rFonts w:asciiTheme="majorHAnsi" w:hAnsiTheme="majorHAnsi"/>
          <w:color w:val="auto"/>
          <w:szCs w:val="20"/>
          <w:lang w:val="es-US"/>
        </w:rPr>
        <w:t xml:space="preserve">agregó </w:t>
      </w:r>
      <w:r w:rsidR="00D41094" w:rsidRPr="0011380E">
        <w:rPr>
          <w:rFonts w:asciiTheme="majorHAnsi" w:hAnsiTheme="majorHAnsi"/>
          <w:color w:val="auto"/>
          <w:szCs w:val="20"/>
          <w:lang w:val="es-US"/>
        </w:rPr>
        <w:t>que había sido presionada por el Fiscal y su abogado defensor</w:t>
      </w:r>
      <w:r w:rsidR="00D36273" w:rsidRPr="0011380E">
        <w:rPr>
          <w:rFonts w:asciiTheme="majorHAnsi" w:hAnsiTheme="majorHAnsi"/>
          <w:color w:val="auto"/>
          <w:szCs w:val="20"/>
          <w:lang w:val="es-US"/>
        </w:rPr>
        <w:t xml:space="preserve"> a declarar y</w:t>
      </w:r>
      <w:r w:rsidR="00D41094" w:rsidRPr="0011380E">
        <w:rPr>
          <w:rFonts w:asciiTheme="majorHAnsi" w:hAnsiTheme="majorHAnsi"/>
          <w:color w:val="auto"/>
          <w:szCs w:val="20"/>
          <w:lang w:val="es-US"/>
        </w:rPr>
        <w:t xml:space="preserve"> que ambos la insultaban y</w:t>
      </w:r>
      <w:r w:rsidR="00DB0E0E" w:rsidRPr="0011380E">
        <w:rPr>
          <w:rFonts w:asciiTheme="majorHAnsi" w:hAnsiTheme="majorHAnsi"/>
          <w:color w:val="auto"/>
          <w:szCs w:val="20"/>
          <w:lang w:val="es-US"/>
        </w:rPr>
        <w:t xml:space="preserve"> que,</w:t>
      </w:r>
      <w:r w:rsidR="00D41094" w:rsidRPr="0011380E">
        <w:rPr>
          <w:rFonts w:asciiTheme="majorHAnsi" w:hAnsiTheme="majorHAnsi"/>
          <w:color w:val="auto"/>
          <w:szCs w:val="20"/>
          <w:lang w:val="es-US"/>
        </w:rPr>
        <w:t xml:space="preserve"> </w:t>
      </w:r>
      <w:r w:rsidR="00D36273" w:rsidRPr="0011380E">
        <w:rPr>
          <w:rFonts w:asciiTheme="majorHAnsi" w:hAnsiTheme="majorHAnsi"/>
          <w:color w:val="auto"/>
          <w:szCs w:val="20"/>
          <w:lang w:val="es-US"/>
        </w:rPr>
        <w:t>finalmente</w:t>
      </w:r>
      <w:r w:rsidR="00DB0E0E" w:rsidRPr="0011380E">
        <w:rPr>
          <w:rFonts w:asciiTheme="majorHAnsi" w:hAnsiTheme="majorHAnsi"/>
          <w:color w:val="auto"/>
          <w:szCs w:val="20"/>
          <w:lang w:val="es-US"/>
        </w:rPr>
        <w:t>,</w:t>
      </w:r>
      <w:r w:rsidR="00D36273" w:rsidRPr="0011380E">
        <w:rPr>
          <w:rFonts w:asciiTheme="majorHAnsi" w:hAnsiTheme="majorHAnsi"/>
          <w:color w:val="auto"/>
          <w:szCs w:val="20"/>
          <w:lang w:val="es-US"/>
        </w:rPr>
        <w:t xml:space="preserve"> </w:t>
      </w:r>
      <w:r w:rsidR="00D41094" w:rsidRPr="0011380E">
        <w:rPr>
          <w:rFonts w:asciiTheme="majorHAnsi" w:hAnsiTheme="majorHAnsi"/>
          <w:color w:val="auto"/>
          <w:szCs w:val="20"/>
          <w:lang w:val="es-US"/>
        </w:rPr>
        <w:t>el abogado</w:t>
      </w:r>
      <w:r w:rsidR="00D36273" w:rsidRPr="0011380E">
        <w:rPr>
          <w:rFonts w:asciiTheme="majorHAnsi" w:hAnsiTheme="majorHAnsi"/>
          <w:color w:val="auto"/>
          <w:szCs w:val="20"/>
          <w:lang w:val="es-US"/>
        </w:rPr>
        <w:t xml:space="preserve"> </w:t>
      </w:r>
      <w:r w:rsidR="00261BA0" w:rsidRPr="0011380E">
        <w:rPr>
          <w:rFonts w:asciiTheme="majorHAnsi" w:hAnsiTheme="majorHAnsi"/>
          <w:color w:val="auto"/>
          <w:szCs w:val="20"/>
          <w:lang w:val="es-US"/>
        </w:rPr>
        <w:t xml:space="preserve">era el que </w:t>
      </w:r>
      <w:r w:rsidR="00D41094" w:rsidRPr="0011380E">
        <w:rPr>
          <w:rFonts w:asciiTheme="majorHAnsi" w:hAnsiTheme="majorHAnsi"/>
          <w:color w:val="auto"/>
          <w:szCs w:val="20"/>
          <w:lang w:val="es-US"/>
        </w:rPr>
        <w:t>respondía a las preguntas</w:t>
      </w:r>
      <w:r w:rsidR="00D41094" w:rsidRPr="0011380E">
        <w:rPr>
          <w:rStyle w:val="FootnoteReference"/>
          <w:rFonts w:asciiTheme="majorHAnsi" w:hAnsiTheme="majorHAnsi"/>
          <w:color w:val="auto"/>
          <w:szCs w:val="20"/>
          <w:lang w:val="es-US"/>
        </w:rPr>
        <w:footnoteReference w:id="21"/>
      </w:r>
      <w:r w:rsidR="00D41094" w:rsidRPr="0011380E">
        <w:rPr>
          <w:rFonts w:asciiTheme="majorHAnsi" w:hAnsiTheme="majorHAnsi"/>
          <w:color w:val="auto"/>
          <w:szCs w:val="20"/>
          <w:lang w:val="es-US"/>
        </w:rPr>
        <w:t>.</w:t>
      </w:r>
    </w:p>
    <w:p w14:paraId="3CC540CF" w14:textId="77777777" w:rsidR="00D75FEC" w:rsidRPr="0011380E" w:rsidRDefault="00D75FEC" w:rsidP="0011380E">
      <w:pPr>
        <w:pStyle w:val="ListParagraph"/>
        <w:numPr>
          <w:ilvl w:val="0"/>
          <w:numId w:val="0"/>
        </w:numPr>
        <w:rPr>
          <w:rFonts w:asciiTheme="majorHAnsi" w:hAnsiTheme="majorHAnsi"/>
          <w:color w:val="auto"/>
          <w:szCs w:val="20"/>
          <w:lang w:val="es-US"/>
        </w:rPr>
      </w:pPr>
    </w:p>
    <w:p w14:paraId="76541632" w14:textId="77777777" w:rsidR="006D31A6" w:rsidRPr="0011380E" w:rsidRDefault="00165529"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L</w:t>
      </w:r>
      <w:r w:rsidR="006D31A6" w:rsidRPr="0011380E">
        <w:rPr>
          <w:rFonts w:asciiTheme="majorHAnsi" w:hAnsiTheme="majorHAnsi"/>
          <w:color w:val="auto"/>
          <w:szCs w:val="20"/>
          <w:lang w:val="es-US"/>
        </w:rPr>
        <w:t xml:space="preserve">a audiencia de medidas cautelares </w:t>
      </w:r>
      <w:r w:rsidRPr="0011380E">
        <w:rPr>
          <w:rFonts w:asciiTheme="majorHAnsi" w:hAnsiTheme="majorHAnsi"/>
          <w:color w:val="auto"/>
          <w:szCs w:val="20"/>
          <w:lang w:val="es-US"/>
        </w:rPr>
        <w:t xml:space="preserve">fue </w:t>
      </w:r>
      <w:r w:rsidR="00A867FA" w:rsidRPr="0011380E">
        <w:rPr>
          <w:rFonts w:asciiTheme="majorHAnsi" w:hAnsiTheme="majorHAnsi"/>
          <w:color w:val="auto"/>
          <w:szCs w:val="20"/>
          <w:lang w:val="es-US"/>
        </w:rPr>
        <w:t>celebrada</w:t>
      </w:r>
      <w:r w:rsidR="006D31A6" w:rsidRPr="0011380E">
        <w:rPr>
          <w:rFonts w:asciiTheme="majorHAnsi" w:hAnsiTheme="majorHAnsi"/>
          <w:color w:val="auto"/>
          <w:szCs w:val="20"/>
          <w:lang w:val="es-US"/>
        </w:rPr>
        <w:t xml:space="preserve"> el 19 de diciembre de 2001 ante </w:t>
      </w:r>
      <w:r w:rsidR="0093689E" w:rsidRPr="0011380E">
        <w:rPr>
          <w:rFonts w:asciiTheme="majorHAnsi" w:hAnsiTheme="majorHAnsi"/>
          <w:color w:val="auto"/>
          <w:szCs w:val="20"/>
          <w:lang w:val="es-US"/>
        </w:rPr>
        <w:t xml:space="preserve">el Juez de Instrucción </w:t>
      </w:r>
      <w:r w:rsidRPr="0011380E">
        <w:rPr>
          <w:rFonts w:asciiTheme="majorHAnsi" w:hAnsiTheme="majorHAnsi"/>
          <w:color w:val="auto"/>
          <w:szCs w:val="20"/>
          <w:lang w:val="es-US"/>
        </w:rPr>
        <w:t xml:space="preserve">y </w:t>
      </w:r>
      <w:r w:rsidR="00162560" w:rsidRPr="0011380E">
        <w:rPr>
          <w:rFonts w:asciiTheme="majorHAnsi" w:hAnsiTheme="majorHAnsi"/>
          <w:color w:val="auto"/>
          <w:szCs w:val="20"/>
          <w:lang w:val="es-US"/>
        </w:rPr>
        <w:t>la Fiscalía solicitó la prisión preventiva de</w:t>
      </w:r>
      <w:r w:rsidR="00DD6C24" w:rsidRPr="0011380E">
        <w:rPr>
          <w:rFonts w:asciiTheme="majorHAnsi" w:hAnsiTheme="majorHAnsi"/>
          <w:color w:val="auto"/>
          <w:szCs w:val="20"/>
          <w:lang w:val="es-US"/>
        </w:rPr>
        <w:t xml:space="preserve"> los</w:t>
      </w:r>
      <w:r w:rsidR="00162560" w:rsidRPr="0011380E">
        <w:rPr>
          <w:rFonts w:asciiTheme="majorHAnsi" w:hAnsiTheme="majorHAnsi"/>
          <w:color w:val="auto"/>
          <w:szCs w:val="20"/>
          <w:lang w:val="es-US"/>
        </w:rPr>
        <w:t xml:space="preserve"> 17 </w:t>
      </w:r>
      <w:r w:rsidR="006D31A6" w:rsidRPr="0011380E">
        <w:rPr>
          <w:rFonts w:asciiTheme="majorHAnsi" w:hAnsiTheme="majorHAnsi"/>
          <w:color w:val="auto"/>
          <w:szCs w:val="20"/>
          <w:lang w:val="es-US"/>
        </w:rPr>
        <w:t>detenidos</w:t>
      </w:r>
      <w:r w:rsidR="006D31A6" w:rsidRPr="0011380E">
        <w:rPr>
          <w:rStyle w:val="FootnoteReference"/>
          <w:rFonts w:asciiTheme="majorHAnsi" w:hAnsiTheme="majorHAnsi"/>
          <w:color w:val="auto"/>
          <w:szCs w:val="20"/>
          <w:lang w:val="es-US"/>
        </w:rPr>
        <w:footnoteReference w:id="22"/>
      </w:r>
      <w:r w:rsidRPr="0011380E">
        <w:rPr>
          <w:rFonts w:asciiTheme="majorHAnsi" w:hAnsiTheme="majorHAnsi"/>
          <w:color w:val="auto"/>
          <w:szCs w:val="20"/>
          <w:lang w:val="es-US"/>
        </w:rPr>
        <w:t>,</w:t>
      </w:r>
      <w:r w:rsidR="00162560" w:rsidRPr="0011380E">
        <w:rPr>
          <w:rFonts w:asciiTheme="majorHAnsi" w:hAnsiTheme="majorHAnsi"/>
          <w:color w:val="auto"/>
          <w:szCs w:val="20"/>
          <w:lang w:val="es-US"/>
        </w:rPr>
        <w:t xml:space="preserve"> por su supuesta participación en </w:t>
      </w:r>
      <w:r w:rsidRPr="0011380E">
        <w:rPr>
          <w:rFonts w:asciiTheme="majorHAnsi" w:hAnsiTheme="majorHAnsi"/>
          <w:color w:val="auto"/>
          <w:szCs w:val="20"/>
          <w:lang w:val="es-US"/>
        </w:rPr>
        <w:t>los delitos de asesinato, robo agravado, asociación delictuosa y fabricación y tenencia de armas explosivas. Durante la audiencia</w:t>
      </w:r>
      <w:r w:rsidR="00162560" w:rsidRPr="0011380E">
        <w:rPr>
          <w:rFonts w:asciiTheme="majorHAnsi" w:hAnsiTheme="majorHAnsi"/>
          <w:color w:val="auto"/>
          <w:szCs w:val="20"/>
          <w:lang w:val="es-US"/>
        </w:rPr>
        <w:t xml:space="preserve">, </w:t>
      </w:r>
      <w:r w:rsidR="00F961A0" w:rsidRPr="0011380E">
        <w:rPr>
          <w:rFonts w:asciiTheme="majorHAnsi" w:hAnsiTheme="majorHAnsi"/>
          <w:color w:val="auto"/>
          <w:szCs w:val="20"/>
          <w:lang w:val="es-US"/>
        </w:rPr>
        <w:t xml:space="preserve">en la que estaban presentes las presuntas víctimas, </w:t>
      </w:r>
      <w:r w:rsidR="00162560" w:rsidRPr="0011380E">
        <w:rPr>
          <w:rFonts w:asciiTheme="majorHAnsi" w:hAnsiTheme="majorHAnsi"/>
          <w:color w:val="auto"/>
          <w:szCs w:val="20"/>
          <w:lang w:val="es-US"/>
        </w:rPr>
        <w:t xml:space="preserve">los abogados de la </w:t>
      </w:r>
      <w:r w:rsidR="00EA375B" w:rsidRPr="0011380E">
        <w:rPr>
          <w:rFonts w:asciiTheme="majorHAnsi" w:hAnsiTheme="majorHAnsi"/>
          <w:color w:val="auto"/>
          <w:szCs w:val="20"/>
          <w:lang w:val="es-US"/>
        </w:rPr>
        <w:t>d</w:t>
      </w:r>
      <w:r w:rsidR="00162560" w:rsidRPr="0011380E">
        <w:rPr>
          <w:rFonts w:asciiTheme="majorHAnsi" w:hAnsiTheme="majorHAnsi"/>
          <w:color w:val="auto"/>
          <w:szCs w:val="20"/>
          <w:lang w:val="es-US"/>
        </w:rPr>
        <w:t xml:space="preserve">efensa </w:t>
      </w:r>
      <w:r w:rsidR="00EA375B" w:rsidRPr="0011380E">
        <w:rPr>
          <w:rFonts w:asciiTheme="majorHAnsi" w:hAnsiTheme="majorHAnsi"/>
          <w:color w:val="auto"/>
          <w:szCs w:val="20"/>
          <w:lang w:val="es-US"/>
        </w:rPr>
        <w:t>p</w:t>
      </w:r>
      <w:r w:rsidR="00162560" w:rsidRPr="0011380E">
        <w:rPr>
          <w:rFonts w:asciiTheme="majorHAnsi" w:hAnsiTheme="majorHAnsi"/>
          <w:color w:val="auto"/>
          <w:szCs w:val="20"/>
          <w:lang w:val="es-US"/>
        </w:rPr>
        <w:t xml:space="preserve">ública </w:t>
      </w:r>
      <w:r w:rsidR="00A867FA" w:rsidRPr="0011380E">
        <w:rPr>
          <w:rFonts w:asciiTheme="majorHAnsi" w:hAnsiTheme="majorHAnsi"/>
          <w:color w:val="auto"/>
          <w:szCs w:val="20"/>
          <w:lang w:val="es-US"/>
        </w:rPr>
        <w:t xml:space="preserve">y </w:t>
      </w:r>
      <w:r w:rsidR="00EA375B" w:rsidRPr="0011380E">
        <w:rPr>
          <w:rFonts w:asciiTheme="majorHAnsi" w:hAnsiTheme="majorHAnsi"/>
          <w:color w:val="auto"/>
          <w:szCs w:val="20"/>
          <w:lang w:val="es-US"/>
        </w:rPr>
        <w:t>d</w:t>
      </w:r>
      <w:r w:rsidR="00A867FA" w:rsidRPr="0011380E">
        <w:rPr>
          <w:rFonts w:asciiTheme="majorHAnsi" w:hAnsiTheme="majorHAnsi"/>
          <w:color w:val="auto"/>
          <w:szCs w:val="20"/>
          <w:lang w:val="es-US"/>
        </w:rPr>
        <w:t xml:space="preserve">efensores particulares </w:t>
      </w:r>
      <w:r w:rsidR="00162560" w:rsidRPr="0011380E">
        <w:rPr>
          <w:rFonts w:asciiTheme="majorHAnsi" w:hAnsiTheme="majorHAnsi"/>
          <w:color w:val="auto"/>
          <w:szCs w:val="20"/>
          <w:lang w:val="es-US"/>
        </w:rPr>
        <w:t xml:space="preserve">hicieron notar expresamente al Juez </w:t>
      </w:r>
      <w:r w:rsidRPr="0011380E">
        <w:rPr>
          <w:rFonts w:asciiTheme="majorHAnsi" w:hAnsiTheme="majorHAnsi"/>
          <w:color w:val="auto"/>
          <w:szCs w:val="20"/>
          <w:lang w:val="es-US"/>
        </w:rPr>
        <w:t xml:space="preserve">de Instrucción </w:t>
      </w:r>
      <w:r w:rsidR="00162560" w:rsidRPr="0011380E">
        <w:rPr>
          <w:rFonts w:asciiTheme="majorHAnsi" w:hAnsiTheme="majorHAnsi"/>
          <w:color w:val="auto"/>
          <w:szCs w:val="20"/>
          <w:lang w:val="es-US"/>
        </w:rPr>
        <w:t xml:space="preserve">que era evidente que </w:t>
      </w:r>
      <w:r w:rsidR="00A867FA" w:rsidRPr="0011380E">
        <w:rPr>
          <w:rFonts w:asciiTheme="majorHAnsi" w:hAnsiTheme="majorHAnsi"/>
          <w:color w:val="auto"/>
          <w:szCs w:val="20"/>
          <w:lang w:val="es-US"/>
        </w:rPr>
        <w:t xml:space="preserve">los detenidos </w:t>
      </w:r>
      <w:r w:rsidR="00162560" w:rsidRPr="0011380E">
        <w:rPr>
          <w:rFonts w:asciiTheme="majorHAnsi" w:hAnsiTheme="majorHAnsi"/>
          <w:color w:val="auto"/>
          <w:szCs w:val="20"/>
          <w:lang w:val="es-US"/>
        </w:rPr>
        <w:t>habían sido golpeados</w:t>
      </w:r>
      <w:r w:rsidR="006703BE" w:rsidRPr="0011380E">
        <w:rPr>
          <w:rFonts w:asciiTheme="majorHAnsi" w:hAnsiTheme="majorHAnsi"/>
          <w:color w:val="auto"/>
          <w:szCs w:val="20"/>
          <w:lang w:val="es-US"/>
        </w:rPr>
        <w:t xml:space="preserve">, la detención </w:t>
      </w:r>
      <w:r w:rsidR="00AE7353" w:rsidRPr="0011380E">
        <w:rPr>
          <w:rFonts w:asciiTheme="majorHAnsi" w:hAnsiTheme="majorHAnsi"/>
          <w:color w:val="auto"/>
          <w:szCs w:val="20"/>
          <w:lang w:val="es-US"/>
        </w:rPr>
        <w:t>era</w:t>
      </w:r>
      <w:r w:rsidR="00A867FA" w:rsidRPr="0011380E">
        <w:rPr>
          <w:rFonts w:asciiTheme="majorHAnsi" w:hAnsiTheme="majorHAnsi"/>
          <w:color w:val="auto"/>
          <w:szCs w:val="20"/>
          <w:lang w:val="es-US"/>
        </w:rPr>
        <w:t xml:space="preserve"> ilegal y en ella </w:t>
      </w:r>
      <w:r w:rsidR="006703BE" w:rsidRPr="0011380E">
        <w:rPr>
          <w:rFonts w:asciiTheme="majorHAnsi" w:hAnsiTheme="majorHAnsi"/>
          <w:color w:val="auto"/>
          <w:szCs w:val="20"/>
          <w:lang w:val="es-US"/>
        </w:rPr>
        <w:t xml:space="preserve">se había </w:t>
      </w:r>
      <w:r w:rsidR="00A867FA" w:rsidRPr="0011380E">
        <w:rPr>
          <w:rFonts w:asciiTheme="majorHAnsi" w:hAnsiTheme="majorHAnsi"/>
          <w:color w:val="auto"/>
          <w:szCs w:val="20"/>
          <w:lang w:val="es-US"/>
        </w:rPr>
        <w:t>ejercido</w:t>
      </w:r>
      <w:r w:rsidR="006703BE" w:rsidRPr="0011380E">
        <w:rPr>
          <w:rFonts w:asciiTheme="majorHAnsi" w:hAnsiTheme="majorHAnsi"/>
          <w:color w:val="auto"/>
          <w:szCs w:val="20"/>
          <w:lang w:val="es-US"/>
        </w:rPr>
        <w:t xml:space="preserve"> fuerza excesiva e innecesaria, nunca habían sido detenidos en flagrancia, habían sido expuestos a la prensa</w:t>
      </w:r>
      <w:r w:rsidR="00A867FA" w:rsidRPr="0011380E">
        <w:rPr>
          <w:rFonts w:asciiTheme="majorHAnsi" w:hAnsiTheme="majorHAnsi"/>
          <w:color w:val="auto"/>
          <w:szCs w:val="20"/>
          <w:lang w:val="es-US"/>
        </w:rPr>
        <w:t>,</w:t>
      </w:r>
      <w:r w:rsidR="006703BE" w:rsidRPr="0011380E">
        <w:rPr>
          <w:rFonts w:asciiTheme="majorHAnsi" w:hAnsiTheme="majorHAnsi"/>
          <w:color w:val="auto"/>
          <w:szCs w:val="20"/>
          <w:lang w:val="es-US"/>
        </w:rPr>
        <w:t xml:space="preserve"> </w:t>
      </w:r>
      <w:r w:rsidR="00A867FA" w:rsidRPr="0011380E">
        <w:rPr>
          <w:rFonts w:asciiTheme="majorHAnsi" w:hAnsiTheme="majorHAnsi"/>
          <w:color w:val="auto"/>
          <w:szCs w:val="20"/>
          <w:lang w:val="es-US"/>
        </w:rPr>
        <w:t xml:space="preserve">habían sido víctimas de tortura y otros tratos crueles y se infringió la presunción de inocencia. </w:t>
      </w:r>
      <w:r w:rsidRPr="0011380E">
        <w:rPr>
          <w:rFonts w:asciiTheme="majorHAnsi" w:hAnsiTheme="majorHAnsi"/>
          <w:color w:val="auto"/>
          <w:szCs w:val="20"/>
          <w:lang w:val="es-US"/>
        </w:rPr>
        <w:t>D</w:t>
      </w:r>
      <w:r w:rsidR="00A867FA" w:rsidRPr="0011380E">
        <w:rPr>
          <w:rFonts w:asciiTheme="majorHAnsi" w:hAnsiTheme="majorHAnsi"/>
          <w:color w:val="auto"/>
          <w:szCs w:val="20"/>
          <w:lang w:val="es-US"/>
        </w:rPr>
        <w:t>urante la exposición de tal</w:t>
      </w:r>
      <w:r w:rsidR="00AE7353" w:rsidRPr="0011380E">
        <w:rPr>
          <w:rFonts w:asciiTheme="majorHAnsi" w:hAnsiTheme="majorHAnsi"/>
          <w:color w:val="auto"/>
          <w:szCs w:val="20"/>
          <w:lang w:val="es-US"/>
        </w:rPr>
        <w:t>es</w:t>
      </w:r>
      <w:r w:rsidRPr="0011380E">
        <w:rPr>
          <w:rFonts w:asciiTheme="majorHAnsi" w:hAnsiTheme="majorHAnsi"/>
          <w:color w:val="auto"/>
          <w:szCs w:val="20"/>
          <w:lang w:val="es-US"/>
        </w:rPr>
        <w:t xml:space="preserve"> hechos</w:t>
      </w:r>
      <w:r w:rsidR="00A867FA" w:rsidRPr="0011380E">
        <w:rPr>
          <w:rFonts w:asciiTheme="majorHAnsi" w:hAnsiTheme="majorHAnsi"/>
          <w:color w:val="auto"/>
          <w:szCs w:val="20"/>
          <w:lang w:val="es-US"/>
        </w:rPr>
        <w:t xml:space="preserve"> por </w:t>
      </w:r>
      <w:r w:rsidRPr="0011380E">
        <w:rPr>
          <w:rFonts w:asciiTheme="majorHAnsi" w:hAnsiTheme="majorHAnsi"/>
          <w:color w:val="auto"/>
          <w:szCs w:val="20"/>
          <w:lang w:val="es-US"/>
        </w:rPr>
        <w:t>parte d</w:t>
      </w:r>
      <w:r w:rsidR="00A867FA" w:rsidRPr="0011380E">
        <w:rPr>
          <w:rFonts w:asciiTheme="majorHAnsi" w:hAnsiTheme="majorHAnsi"/>
          <w:color w:val="auto"/>
          <w:szCs w:val="20"/>
          <w:lang w:val="es-US"/>
        </w:rPr>
        <w:t>el primer abogado, éste fue interrumpido por el Juez</w:t>
      </w:r>
      <w:r w:rsidRPr="0011380E">
        <w:rPr>
          <w:rFonts w:asciiTheme="majorHAnsi" w:hAnsiTheme="majorHAnsi"/>
          <w:color w:val="auto"/>
          <w:szCs w:val="20"/>
          <w:lang w:val="es-US"/>
        </w:rPr>
        <w:t xml:space="preserve"> de Instrucción</w:t>
      </w:r>
      <w:r w:rsidR="00261BA0" w:rsidRPr="0011380E">
        <w:rPr>
          <w:rFonts w:asciiTheme="majorHAnsi" w:hAnsiTheme="majorHAnsi"/>
          <w:color w:val="auto"/>
          <w:szCs w:val="20"/>
          <w:lang w:val="es-US"/>
        </w:rPr>
        <w:t xml:space="preserve"> quien le instruyó referirse só</w:t>
      </w:r>
      <w:r w:rsidR="00A867FA" w:rsidRPr="0011380E">
        <w:rPr>
          <w:rFonts w:asciiTheme="majorHAnsi" w:hAnsiTheme="majorHAnsi"/>
          <w:color w:val="auto"/>
          <w:szCs w:val="20"/>
          <w:lang w:val="es-US"/>
        </w:rPr>
        <w:t>lo a las medidas cautelares</w:t>
      </w:r>
      <w:r w:rsidR="00A867FA" w:rsidRPr="0011380E">
        <w:rPr>
          <w:rStyle w:val="FootnoteReference"/>
          <w:rFonts w:asciiTheme="majorHAnsi" w:hAnsiTheme="majorHAnsi"/>
          <w:color w:val="auto"/>
          <w:szCs w:val="20"/>
          <w:lang w:val="es-US"/>
        </w:rPr>
        <w:footnoteReference w:id="23"/>
      </w:r>
      <w:r w:rsidR="00A867FA" w:rsidRPr="0011380E">
        <w:rPr>
          <w:rFonts w:asciiTheme="majorHAnsi" w:hAnsiTheme="majorHAnsi"/>
          <w:color w:val="auto"/>
          <w:szCs w:val="20"/>
          <w:lang w:val="es-US"/>
        </w:rPr>
        <w:t>.</w:t>
      </w:r>
      <w:r w:rsidRPr="0011380E">
        <w:rPr>
          <w:rFonts w:asciiTheme="majorHAnsi" w:hAnsiTheme="majorHAnsi"/>
          <w:color w:val="auto"/>
          <w:szCs w:val="20"/>
          <w:lang w:val="es-US"/>
        </w:rPr>
        <w:t xml:space="preserve"> En su resolución, el Juez de Instrucción hizo referencia a las alegaciones de los abogados de los imputados, pero no </w:t>
      </w:r>
      <w:r w:rsidR="00673128" w:rsidRPr="0011380E">
        <w:rPr>
          <w:rFonts w:asciiTheme="majorHAnsi" w:hAnsiTheme="majorHAnsi"/>
          <w:color w:val="auto"/>
          <w:szCs w:val="20"/>
          <w:lang w:val="es-US"/>
        </w:rPr>
        <w:t xml:space="preserve">se refirió a la legalidad de la detención ni </w:t>
      </w:r>
      <w:r w:rsidRPr="0011380E">
        <w:rPr>
          <w:rFonts w:asciiTheme="majorHAnsi" w:hAnsiTheme="majorHAnsi"/>
          <w:color w:val="auto"/>
          <w:szCs w:val="20"/>
          <w:lang w:val="es-US"/>
        </w:rPr>
        <w:t xml:space="preserve">tomó mayores acciones y solo indicó que la valoración de la probabilidad de la autoría – </w:t>
      </w:r>
      <w:r w:rsidR="00673128" w:rsidRPr="0011380E">
        <w:rPr>
          <w:rFonts w:asciiTheme="majorHAnsi" w:hAnsiTheme="majorHAnsi"/>
          <w:color w:val="auto"/>
          <w:szCs w:val="20"/>
          <w:lang w:val="es-US"/>
        </w:rPr>
        <w:t xml:space="preserve">que sirvió como uno de los </w:t>
      </w:r>
      <w:r w:rsidRPr="0011380E">
        <w:rPr>
          <w:rFonts w:asciiTheme="majorHAnsi" w:hAnsiTheme="majorHAnsi"/>
          <w:color w:val="auto"/>
          <w:szCs w:val="20"/>
          <w:lang w:val="es-US"/>
        </w:rPr>
        <w:t>fundament</w:t>
      </w:r>
      <w:r w:rsidR="00673128" w:rsidRPr="0011380E">
        <w:rPr>
          <w:rFonts w:asciiTheme="majorHAnsi" w:hAnsiTheme="majorHAnsi"/>
          <w:color w:val="auto"/>
          <w:szCs w:val="20"/>
          <w:lang w:val="es-US"/>
        </w:rPr>
        <w:t>os de</w:t>
      </w:r>
      <w:r w:rsidRPr="0011380E">
        <w:rPr>
          <w:rFonts w:asciiTheme="majorHAnsi" w:hAnsiTheme="majorHAnsi"/>
          <w:color w:val="auto"/>
          <w:szCs w:val="20"/>
          <w:lang w:val="es-US"/>
        </w:rPr>
        <w:t xml:space="preserve"> su decisión de ordenar detención preventiva de todos los imputados en las dependencias de la PTJ – no vulneraba el principio de inocencia</w:t>
      </w:r>
      <w:r w:rsidR="006A0C89" w:rsidRPr="0011380E">
        <w:rPr>
          <w:rFonts w:asciiTheme="majorHAnsi" w:hAnsiTheme="majorHAnsi"/>
          <w:color w:val="auto"/>
          <w:szCs w:val="20"/>
          <w:lang w:val="es-US"/>
        </w:rPr>
        <w:t xml:space="preserve">. Sin embargo, </w:t>
      </w:r>
      <w:r w:rsidR="006635F2" w:rsidRPr="0011380E">
        <w:rPr>
          <w:rFonts w:asciiTheme="majorHAnsi" w:hAnsiTheme="majorHAnsi"/>
          <w:color w:val="auto"/>
          <w:szCs w:val="20"/>
          <w:lang w:val="es-US"/>
        </w:rPr>
        <w:t>fundamentó</w:t>
      </w:r>
      <w:r w:rsidR="006A0C89" w:rsidRPr="0011380E">
        <w:rPr>
          <w:rFonts w:asciiTheme="majorHAnsi" w:hAnsiTheme="majorHAnsi"/>
          <w:color w:val="auto"/>
          <w:szCs w:val="20"/>
          <w:lang w:val="es-US"/>
        </w:rPr>
        <w:t xml:space="preserve"> su decisión en “lo expuesto por las partes en esta audiencia […] los informes técnicos de inspección ocular, los operativos realizados los días anteriores y las declaraciones tanto de los imputad</w:t>
      </w:r>
      <w:r w:rsidR="006635F2" w:rsidRPr="0011380E">
        <w:rPr>
          <w:rFonts w:asciiTheme="majorHAnsi" w:hAnsiTheme="majorHAnsi"/>
          <w:color w:val="auto"/>
          <w:szCs w:val="20"/>
          <w:lang w:val="es-US"/>
        </w:rPr>
        <w:t>o</w:t>
      </w:r>
      <w:r w:rsidR="006A0C89" w:rsidRPr="0011380E">
        <w:rPr>
          <w:rFonts w:asciiTheme="majorHAnsi" w:hAnsiTheme="majorHAnsi"/>
          <w:color w:val="auto"/>
          <w:szCs w:val="20"/>
          <w:lang w:val="es-US"/>
        </w:rPr>
        <w:t>s como de otras personas que conocían este hecho”</w:t>
      </w:r>
      <w:r w:rsidRPr="0011380E">
        <w:rPr>
          <w:rStyle w:val="FootnoteReference"/>
          <w:rFonts w:asciiTheme="majorHAnsi" w:hAnsiTheme="majorHAnsi"/>
          <w:color w:val="auto"/>
          <w:szCs w:val="20"/>
          <w:lang w:val="es-US"/>
        </w:rPr>
        <w:footnoteReference w:id="24"/>
      </w:r>
      <w:r w:rsidRPr="0011380E">
        <w:rPr>
          <w:rFonts w:asciiTheme="majorHAnsi" w:hAnsiTheme="majorHAnsi"/>
          <w:color w:val="auto"/>
          <w:szCs w:val="20"/>
          <w:lang w:val="es-US"/>
        </w:rPr>
        <w:t>.</w:t>
      </w:r>
      <w:r w:rsidR="006C571F" w:rsidRPr="0011380E">
        <w:rPr>
          <w:rFonts w:asciiTheme="majorHAnsi" w:hAnsiTheme="majorHAnsi"/>
          <w:color w:val="auto"/>
          <w:szCs w:val="20"/>
          <w:lang w:val="es-US"/>
        </w:rPr>
        <w:t xml:space="preserve"> </w:t>
      </w:r>
    </w:p>
    <w:p w14:paraId="12E46391" w14:textId="77777777" w:rsidR="006D31A6" w:rsidRPr="0011380E" w:rsidRDefault="006D31A6" w:rsidP="0011380E">
      <w:pPr>
        <w:pStyle w:val="ListParagraph"/>
        <w:numPr>
          <w:ilvl w:val="0"/>
          <w:numId w:val="0"/>
        </w:numPr>
        <w:rPr>
          <w:rFonts w:asciiTheme="majorHAnsi" w:hAnsiTheme="majorHAnsi"/>
          <w:color w:val="auto"/>
          <w:szCs w:val="20"/>
          <w:lang w:val="es-US"/>
        </w:rPr>
      </w:pPr>
    </w:p>
    <w:p w14:paraId="5ECC7EA0" w14:textId="77777777" w:rsidR="001564E1" w:rsidRPr="0011380E" w:rsidRDefault="002A17DF"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 xml:space="preserve">Constan en el expediente </w:t>
      </w:r>
      <w:r w:rsidR="00042141" w:rsidRPr="0011380E">
        <w:rPr>
          <w:rFonts w:asciiTheme="majorHAnsi" w:hAnsiTheme="majorHAnsi"/>
          <w:color w:val="auto"/>
          <w:szCs w:val="20"/>
          <w:lang w:val="es-ES_tradnl"/>
        </w:rPr>
        <w:t>fotografías publicadas por periódicos locales</w:t>
      </w:r>
      <w:r w:rsidR="00432BAF" w:rsidRPr="0011380E">
        <w:rPr>
          <w:rFonts w:asciiTheme="majorHAnsi" w:hAnsiTheme="majorHAnsi"/>
          <w:color w:val="auto"/>
          <w:szCs w:val="20"/>
          <w:lang w:val="es-ES_tradnl"/>
        </w:rPr>
        <w:t xml:space="preserve"> el 18</w:t>
      </w:r>
      <w:r w:rsidR="00A92978" w:rsidRPr="0011380E">
        <w:rPr>
          <w:rFonts w:asciiTheme="majorHAnsi" w:hAnsiTheme="majorHAnsi"/>
          <w:color w:val="auto"/>
          <w:szCs w:val="20"/>
          <w:lang w:val="es-ES_tradnl"/>
        </w:rPr>
        <w:t xml:space="preserve">, </w:t>
      </w:r>
      <w:r w:rsidR="00432BAF" w:rsidRPr="0011380E">
        <w:rPr>
          <w:rFonts w:asciiTheme="majorHAnsi" w:hAnsiTheme="majorHAnsi"/>
          <w:color w:val="auto"/>
          <w:szCs w:val="20"/>
          <w:lang w:val="es-ES_tradnl"/>
        </w:rPr>
        <w:t>19</w:t>
      </w:r>
      <w:r w:rsidR="001E6479" w:rsidRPr="0011380E">
        <w:rPr>
          <w:rFonts w:asciiTheme="majorHAnsi" w:hAnsiTheme="majorHAnsi"/>
          <w:color w:val="auto"/>
          <w:szCs w:val="20"/>
          <w:lang w:val="es-ES_tradnl"/>
        </w:rPr>
        <w:t xml:space="preserve"> y</w:t>
      </w:r>
      <w:r w:rsidR="00A92978" w:rsidRPr="0011380E">
        <w:rPr>
          <w:rFonts w:asciiTheme="majorHAnsi" w:hAnsiTheme="majorHAnsi"/>
          <w:color w:val="auto"/>
          <w:szCs w:val="20"/>
          <w:lang w:val="es-ES_tradnl"/>
        </w:rPr>
        <w:t xml:space="preserve"> 21 a 27</w:t>
      </w:r>
      <w:r w:rsidR="00432BAF" w:rsidRPr="0011380E">
        <w:rPr>
          <w:rFonts w:asciiTheme="majorHAnsi" w:hAnsiTheme="majorHAnsi"/>
          <w:color w:val="auto"/>
          <w:szCs w:val="20"/>
          <w:lang w:val="es-ES_tradnl"/>
        </w:rPr>
        <w:t xml:space="preserve"> de diciembre de 2001, en las que se identifica personalmente a</w:t>
      </w:r>
      <w:r w:rsidR="005E2960" w:rsidRPr="0011380E">
        <w:rPr>
          <w:rFonts w:asciiTheme="majorHAnsi" w:hAnsiTheme="majorHAnsi"/>
          <w:color w:val="auto"/>
          <w:szCs w:val="20"/>
          <w:lang w:val="es-ES_tradnl"/>
        </w:rPr>
        <w:t xml:space="preserve"> ocho de los detenidos</w:t>
      </w:r>
      <w:r w:rsidR="005E2960" w:rsidRPr="0011380E">
        <w:rPr>
          <w:rStyle w:val="FootnoteReference"/>
          <w:rFonts w:asciiTheme="majorHAnsi" w:hAnsiTheme="majorHAnsi"/>
          <w:color w:val="auto"/>
          <w:szCs w:val="20"/>
          <w:lang w:val="es-ES_tradnl"/>
        </w:rPr>
        <w:footnoteReference w:id="25"/>
      </w:r>
      <w:r w:rsidR="008231C1" w:rsidRPr="0011380E">
        <w:rPr>
          <w:rFonts w:asciiTheme="majorHAnsi" w:hAnsiTheme="majorHAnsi"/>
          <w:color w:val="auto"/>
          <w:szCs w:val="20"/>
          <w:lang w:val="es-ES_tradnl"/>
        </w:rPr>
        <w:t xml:space="preserve">. De las mismas resulta </w:t>
      </w:r>
      <w:r w:rsidR="008231C1" w:rsidRPr="0011380E">
        <w:rPr>
          <w:rFonts w:asciiTheme="majorHAnsi" w:hAnsiTheme="majorHAnsi"/>
          <w:color w:val="auto"/>
          <w:szCs w:val="20"/>
          <w:lang w:val="es-ES_tradnl"/>
        </w:rPr>
        <w:lastRenderedPageBreak/>
        <w:t xml:space="preserve">que exhibían claras lesiones </w:t>
      </w:r>
      <w:r w:rsidR="00357DB0" w:rsidRPr="0011380E">
        <w:rPr>
          <w:rFonts w:asciiTheme="majorHAnsi" w:hAnsiTheme="majorHAnsi"/>
          <w:color w:val="auto"/>
          <w:szCs w:val="20"/>
          <w:lang w:val="es-ES_tradnl"/>
        </w:rPr>
        <w:t xml:space="preserve">en su cuerpo y rostro, las </w:t>
      </w:r>
      <w:r w:rsidR="008231C1" w:rsidRPr="0011380E">
        <w:rPr>
          <w:rFonts w:asciiTheme="majorHAnsi" w:hAnsiTheme="majorHAnsi"/>
          <w:color w:val="auto"/>
          <w:szCs w:val="20"/>
          <w:lang w:val="es-ES_tradnl"/>
        </w:rPr>
        <w:t>que permiten afirmar que dichas personas</w:t>
      </w:r>
      <w:r w:rsidR="00432BAF" w:rsidRPr="0011380E">
        <w:rPr>
          <w:rFonts w:asciiTheme="majorHAnsi" w:hAnsiTheme="majorHAnsi"/>
          <w:color w:val="auto"/>
          <w:szCs w:val="20"/>
          <w:lang w:val="es-ES_tradnl"/>
        </w:rPr>
        <w:t xml:space="preserve"> </w:t>
      </w:r>
      <w:r w:rsidR="00EF6BA7" w:rsidRPr="0011380E">
        <w:rPr>
          <w:rFonts w:asciiTheme="majorHAnsi" w:hAnsiTheme="majorHAnsi"/>
          <w:color w:val="auto"/>
          <w:szCs w:val="20"/>
          <w:lang w:val="es-ES_tradnl"/>
        </w:rPr>
        <w:t>fueron</w:t>
      </w:r>
      <w:r w:rsidR="0051063A" w:rsidRPr="0011380E">
        <w:rPr>
          <w:rFonts w:asciiTheme="majorHAnsi" w:hAnsiTheme="majorHAnsi"/>
          <w:color w:val="auto"/>
          <w:szCs w:val="20"/>
          <w:lang w:val="es-ES_tradnl"/>
        </w:rPr>
        <w:t xml:space="preserve"> </w:t>
      </w:r>
      <w:r w:rsidR="00432BAF" w:rsidRPr="0011380E">
        <w:rPr>
          <w:rFonts w:asciiTheme="majorHAnsi" w:hAnsiTheme="majorHAnsi"/>
          <w:color w:val="auto"/>
          <w:szCs w:val="20"/>
          <w:lang w:val="es-ES_tradnl"/>
        </w:rPr>
        <w:t>golpead</w:t>
      </w:r>
      <w:r w:rsidR="00F537A2" w:rsidRPr="0011380E">
        <w:rPr>
          <w:rFonts w:asciiTheme="majorHAnsi" w:hAnsiTheme="majorHAnsi"/>
          <w:color w:val="auto"/>
          <w:szCs w:val="20"/>
          <w:lang w:val="es-ES_tradnl"/>
        </w:rPr>
        <w:t>a</w:t>
      </w:r>
      <w:r w:rsidR="00432BAF" w:rsidRPr="0011380E">
        <w:rPr>
          <w:rFonts w:asciiTheme="majorHAnsi" w:hAnsiTheme="majorHAnsi"/>
          <w:color w:val="auto"/>
          <w:szCs w:val="20"/>
          <w:lang w:val="es-ES_tradnl"/>
        </w:rPr>
        <w:t>s</w:t>
      </w:r>
      <w:r w:rsidR="0051063A" w:rsidRPr="0011380E">
        <w:rPr>
          <w:rFonts w:asciiTheme="majorHAnsi" w:hAnsiTheme="majorHAnsi"/>
          <w:color w:val="auto"/>
          <w:szCs w:val="20"/>
          <w:lang w:val="es-ES_tradnl"/>
        </w:rPr>
        <w:t xml:space="preserve"> de manera severa</w:t>
      </w:r>
      <w:r w:rsidR="00432BAF" w:rsidRPr="0011380E">
        <w:rPr>
          <w:rStyle w:val="FootnoteReference"/>
          <w:rFonts w:asciiTheme="majorHAnsi" w:hAnsiTheme="majorHAnsi"/>
          <w:color w:val="auto"/>
          <w:szCs w:val="20"/>
          <w:lang w:val="es-ES_tradnl"/>
        </w:rPr>
        <w:footnoteReference w:id="26"/>
      </w:r>
      <w:r w:rsidR="00432BAF" w:rsidRPr="0011380E">
        <w:rPr>
          <w:rFonts w:asciiTheme="majorHAnsi" w:hAnsiTheme="majorHAnsi"/>
          <w:color w:val="auto"/>
          <w:szCs w:val="20"/>
          <w:lang w:val="es-ES_tradnl"/>
        </w:rPr>
        <w:t>.</w:t>
      </w:r>
      <w:r w:rsidR="008C1594" w:rsidRPr="0011380E">
        <w:rPr>
          <w:rFonts w:asciiTheme="majorHAnsi" w:hAnsiTheme="majorHAnsi"/>
          <w:color w:val="auto"/>
          <w:szCs w:val="20"/>
          <w:lang w:val="es-ES_tradnl"/>
        </w:rPr>
        <w:t xml:space="preserve"> El 30 de enero de 2002, el periódico “La Prensa” incluyó un reportaje </w:t>
      </w:r>
      <w:r w:rsidR="00EF6BA7" w:rsidRPr="0011380E">
        <w:rPr>
          <w:rFonts w:asciiTheme="majorHAnsi" w:hAnsiTheme="majorHAnsi"/>
          <w:color w:val="auto"/>
          <w:szCs w:val="20"/>
          <w:lang w:val="es-ES_tradnl"/>
        </w:rPr>
        <w:t>refiriéndose nuevamente a</w:t>
      </w:r>
      <w:r w:rsidR="0051063A" w:rsidRPr="0011380E">
        <w:rPr>
          <w:rFonts w:asciiTheme="majorHAnsi" w:hAnsiTheme="majorHAnsi"/>
          <w:color w:val="auto"/>
          <w:szCs w:val="20"/>
          <w:lang w:val="es-ES_tradnl"/>
        </w:rPr>
        <w:t xml:space="preserve"> </w:t>
      </w:r>
      <w:r w:rsidR="008C1594" w:rsidRPr="0011380E">
        <w:rPr>
          <w:rFonts w:asciiTheme="majorHAnsi" w:hAnsiTheme="majorHAnsi"/>
          <w:color w:val="auto"/>
          <w:szCs w:val="20"/>
          <w:lang w:val="es-ES_tradnl"/>
        </w:rPr>
        <w:t>los abusos. En este</w:t>
      </w:r>
      <w:r w:rsidR="003D1F6B" w:rsidRPr="0011380E">
        <w:rPr>
          <w:rFonts w:asciiTheme="majorHAnsi" w:hAnsiTheme="majorHAnsi"/>
          <w:color w:val="auto"/>
          <w:szCs w:val="20"/>
          <w:lang w:val="es-ES_tradnl"/>
        </w:rPr>
        <w:t xml:space="preserve"> reportaje</w:t>
      </w:r>
      <w:r w:rsidR="008C1594" w:rsidRPr="0011380E">
        <w:rPr>
          <w:rFonts w:asciiTheme="majorHAnsi" w:hAnsiTheme="majorHAnsi"/>
          <w:color w:val="auto"/>
          <w:szCs w:val="20"/>
          <w:lang w:val="es-ES_tradnl"/>
        </w:rPr>
        <w:t xml:space="preserve"> se indica que los detenidos habían sido remitidos a los Centros de Detención de Chonchocoro y de Orientación Femenina de Miraflores el 24 de diciembre de 2001, en dónde se encontraban “inaccesibles” para familiares y amigos y no podían sost</w:t>
      </w:r>
      <w:r w:rsidR="0051063A" w:rsidRPr="0011380E">
        <w:rPr>
          <w:rFonts w:asciiTheme="majorHAnsi" w:hAnsiTheme="majorHAnsi"/>
          <w:color w:val="auto"/>
          <w:szCs w:val="20"/>
          <w:lang w:val="es-ES_tradnl"/>
        </w:rPr>
        <w:t>ener una conversación privada, n</w:t>
      </w:r>
      <w:r w:rsidR="008C1594" w:rsidRPr="0011380E">
        <w:rPr>
          <w:rFonts w:asciiTheme="majorHAnsi" w:hAnsiTheme="majorHAnsi"/>
          <w:color w:val="auto"/>
          <w:szCs w:val="20"/>
          <w:lang w:val="es-ES_tradnl"/>
        </w:rPr>
        <w:t>i siquiera con sus abogados. E</w:t>
      </w:r>
      <w:r w:rsidR="006104B0" w:rsidRPr="0011380E">
        <w:rPr>
          <w:rFonts w:asciiTheme="majorHAnsi" w:hAnsiTheme="majorHAnsi"/>
          <w:color w:val="auto"/>
          <w:szCs w:val="20"/>
          <w:lang w:val="es-ES_tradnl"/>
        </w:rPr>
        <w:t xml:space="preserve">l reportaje </w:t>
      </w:r>
      <w:r w:rsidR="00765217" w:rsidRPr="0011380E">
        <w:rPr>
          <w:rFonts w:asciiTheme="majorHAnsi" w:hAnsiTheme="majorHAnsi"/>
          <w:color w:val="auto"/>
          <w:szCs w:val="20"/>
          <w:lang w:val="es-ES_tradnl"/>
        </w:rPr>
        <w:t xml:space="preserve">además </w:t>
      </w:r>
      <w:r w:rsidR="006104B0" w:rsidRPr="0011380E">
        <w:rPr>
          <w:rFonts w:asciiTheme="majorHAnsi" w:hAnsiTheme="majorHAnsi"/>
          <w:color w:val="auto"/>
          <w:szCs w:val="20"/>
          <w:lang w:val="es-ES_tradnl"/>
        </w:rPr>
        <w:t xml:space="preserve">indica que </w:t>
      </w:r>
      <w:r w:rsidR="00535B49" w:rsidRPr="0011380E">
        <w:rPr>
          <w:rFonts w:asciiTheme="majorHAnsi" w:hAnsiTheme="majorHAnsi"/>
          <w:color w:val="auto"/>
          <w:szCs w:val="20"/>
          <w:lang w:val="es-ES_tradnl"/>
        </w:rPr>
        <w:t>los días</w:t>
      </w:r>
      <w:r w:rsidR="006104B0" w:rsidRPr="0011380E">
        <w:rPr>
          <w:rFonts w:asciiTheme="majorHAnsi" w:hAnsiTheme="majorHAnsi"/>
          <w:color w:val="auto"/>
          <w:szCs w:val="20"/>
          <w:lang w:val="es-ES_tradnl"/>
        </w:rPr>
        <w:t xml:space="preserve"> 18, 19 y 21 de enero </w:t>
      </w:r>
      <w:r w:rsidR="00535B49" w:rsidRPr="0011380E">
        <w:rPr>
          <w:rFonts w:asciiTheme="majorHAnsi" w:hAnsiTheme="majorHAnsi"/>
          <w:color w:val="auto"/>
          <w:szCs w:val="20"/>
          <w:lang w:val="es-ES_tradnl"/>
        </w:rPr>
        <w:t xml:space="preserve">de 2002 </w:t>
      </w:r>
      <w:r w:rsidR="00765217" w:rsidRPr="0011380E">
        <w:rPr>
          <w:rFonts w:asciiTheme="majorHAnsi" w:hAnsiTheme="majorHAnsi"/>
          <w:color w:val="auto"/>
          <w:szCs w:val="20"/>
          <w:lang w:val="es-ES_tradnl"/>
        </w:rPr>
        <w:t>pudieron</w:t>
      </w:r>
      <w:r w:rsidR="0051063A" w:rsidRPr="0011380E">
        <w:rPr>
          <w:rFonts w:asciiTheme="majorHAnsi" w:hAnsiTheme="majorHAnsi"/>
          <w:color w:val="auto"/>
          <w:szCs w:val="20"/>
          <w:lang w:val="es-ES_tradnl"/>
        </w:rPr>
        <w:t xml:space="preserve"> </w:t>
      </w:r>
      <w:r w:rsidR="006104B0" w:rsidRPr="0011380E">
        <w:rPr>
          <w:rFonts w:asciiTheme="majorHAnsi" w:hAnsiTheme="majorHAnsi"/>
          <w:color w:val="auto"/>
          <w:szCs w:val="20"/>
          <w:lang w:val="es-ES_tradnl"/>
        </w:rPr>
        <w:t xml:space="preserve">entrevistar a </w:t>
      </w:r>
      <w:r w:rsidR="00535B49" w:rsidRPr="0011380E">
        <w:rPr>
          <w:rFonts w:asciiTheme="majorHAnsi" w:hAnsiTheme="majorHAnsi"/>
          <w:color w:val="auto"/>
          <w:szCs w:val="20"/>
          <w:lang w:val="es-ES_tradnl"/>
        </w:rPr>
        <w:t xml:space="preserve">16 de los </w:t>
      </w:r>
      <w:r w:rsidR="005E2960" w:rsidRPr="0011380E">
        <w:rPr>
          <w:rFonts w:asciiTheme="majorHAnsi" w:hAnsiTheme="majorHAnsi"/>
          <w:color w:val="auto"/>
          <w:szCs w:val="20"/>
          <w:lang w:val="es-ES_tradnl"/>
        </w:rPr>
        <w:t xml:space="preserve">17 </w:t>
      </w:r>
      <w:r w:rsidR="00535B49" w:rsidRPr="0011380E">
        <w:rPr>
          <w:rFonts w:asciiTheme="majorHAnsi" w:hAnsiTheme="majorHAnsi"/>
          <w:color w:val="auto"/>
          <w:szCs w:val="20"/>
          <w:lang w:val="es-ES_tradnl"/>
        </w:rPr>
        <w:t xml:space="preserve">detenidos, incluyendo </w:t>
      </w:r>
      <w:r w:rsidR="005E2960" w:rsidRPr="0011380E">
        <w:rPr>
          <w:rFonts w:asciiTheme="majorHAnsi" w:hAnsiTheme="majorHAnsi"/>
          <w:color w:val="auto"/>
          <w:szCs w:val="20"/>
          <w:lang w:val="es-ES_tradnl"/>
        </w:rPr>
        <w:t xml:space="preserve">a </w:t>
      </w:r>
      <w:r w:rsidR="00181ACA" w:rsidRPr="0011380E">
        <w:rPr>
          <w:rFonts w:asciiTheme="majorHAnsi" w:hAnsiTheme="majorHAnsi"/>
          <w:color w:val="auto"/>
          <w:szCs w:val="20"/>
          <w:lang w:val="es-ES_tradnl"/>
        </w:rPr>
        <w:t>seis</w:t>
      </w:r>
      <w:r w:rsidR="00535B49" w:rsidRPr="0011380E">
        <w:rPr>
          <w:rFonts w:asciiTheme="majorHAnsi" w:hAnsiTheme="majorHAnsi"/>
          <w:color w:val="auto"/>
          <w:szCs w:val="20"/>
          <w:lang w:val="es-ES_tradnl"/>
        </w:rPr>
        <w:t xml:space="preserve"> mujeres</w:t>
      </w:r>
      <w:r w:rsidR="005E2960" w:rsidRPr="0011380E">
        <w:rPr>
          <w:rStyle w:val="FootnoteReference"/>
          <w:rFonts w:asciiTheme="majorHAnsi" w:hAnsiTheme="majorHAnsi"/>
          <w:color w:val="auto"/>
          <w:szCs w:val="20"/>
          <w:lang w:val="es-ES_tradnl"/>
        </w:rPr>
        <w:footnoteReference w:id="27"/>
      </w:r>
      <w:r w:rsidR="00535B49" w:rsidRPr="0011380E">
        <w:rPr>
          <w:rFonts w:asciiTheme="majorHAnsi" w:hAnsiTheme="majorHAnsi"/>
          <w:color w:val="auto"/>
          <w:szCs w:val="20"/>
          <w:lang w:val="es-ES_tradnl"/>
        </w:rPr>
        <w:t xml:space="preserve">, </w:t>
      </w:r>
      <w:r w:rsidR="006104B0" w:rsidRPr="0011380E">
        <w:rPr>
          <w:rFonts w:asciiTheme="majorHAnsi" w:hAnsiTheme="majorHAnsi"/>
          <w:color w:val="auto"/>
          <w:szCs w:val="20"/>
          <w:lang w:val="es-ES_tradnl"/>
        </w:rPr>
        <w:t>constatando que recibieron golpes e humillaciones, maltrato físico y psicológico, principalmente cuando se encontraban en las dependencias de la polic</w:t>
      </w:r>
      <w:r w:rsidR="003E7C7B" w:rsidRPr="0011380E">
        <w:rPr>
          <w:rFonts w:asciiTheme="majorHAnsi" w:hAnsiTheme="majorHAnsi"/>
          <w:color w:val="auto"/>
          <w:szCs w:val="20"/>
          <w:lang w:val="es-ES_tradnl"/>
        </w:rPr>
        <w:t>ía judicial</w:t>
      </w:r>
      <w:r w:rsidR="00535B49" w:rsidRPr="0011380E">
        <w:rPr>
          <w:rFonts w:asciiTheme="majorHAnsi" w:hAnsiTheme="majorHAnsi"/>
          <w:color w:val="auto"/>
          <w:szCs w:val="20"/>
          <w:lang w:val="es-ES_tradnl"/>
        </w:rPr>
        <w:t xml:space="preserve">, </w:t>
      </w:r>
      <w:r w:rsidR="006104B0" w:rsidRPr="0011380E">
        <w:rPr>
          <w:rFonts w:asciiTheme="majorHAnsi" w:hAnsiTheme="majorHAnsi"/>
          <w:color w:val="auto"/>
          <w:szCs w:val="20"/>
          <w:lang w:val="es-ES_tradnl"/>
        </w:rPr>
        <w:t>que las mujeres habían sido obligadas a desnudarse frente a uniformados varones</w:t>
      </w:r>
      <w:r w:rsidR="00535B49" w:rsidRPr="0011380E">
        <w:rPr>
          <w:rFonts w:asciiTheme="majorHAnsi" w:hAnsiTheme="majorHAnsi"/>
          <w:color w:val="auto"/>
          <w:szCs w:val="20"/>
          <w:lang w:val="es-ES_tradnl"/>
        </w:rPr>
        <w:t>, que muchos de ellos se encontraban en régimen de aislamiento e incomunicación, que algunos no sabían quiénes eran sus abogados, otros no habían recibidos asistencia médica, medicamentos, agua y/o comida por algunos días</w:t>
      </w:r>
      <w:r w:rsidR="000C19D9" w:rsidRPr="0011380E">
        <w:rPr>
          <w:rStyle w:val="FootnoteReference"/>
          <w:rFonts w:asciiTheme="majorHAnsi" w:hAnsiTheme="majorHAnsi"/>
          <w:color w:val="auto"/>
          <w:szCs w:val="20"/>
          <w:lang w:val="es-ES_tradnl"/>
        </w:rPr>
        <w:footnoteReference w:id="28"/>
      </w:r>
      <w:r w:rsidR="00535B49" w:rsidRPr="0011380E">
        <w:rPr>
          <w:rFonts w:asciiTheme="majorHAnsi" w:hAnsiTheme="majorHAnsi"/>
          <w:color w:val="auto"/>
          <w:szCs w:val="20"/>
          <w:lang w:val="es-ES_tradnl"/>
        </w:rPr>
        <w:t xml:space="preserve">. </w:t>
      </w:r>
    </w:p>
    <w:p w14:paraId="6622AEDE" w14:textId="77777777" w:rsidR="001564E1" w:rsidRPr="0011380E" w:rsidRDefault="001564E1" w:rsidP="0011380E">
      <w:pPr>
        <w:pStyle w:val="ListParagraph"/>
        <w:numPr>
          <w:ilvl w:val="0"/>
          <w:numId w:val="0"/>
        </w:numPr>
        <w:rPr>
          <w:rFonts w:asciiTheme="majorHAnsi" w:hAnsiTheme="majorHAnsi"/>
          <w:color w:val="auto"/>
          <w:szCs w:val="20"/>
          <w:lang w:val="es-US"/>
        </w:rPr>
      </w:pPr>
    </w:p>
    <w:p w14:paraId="5B9B6652" w14:textId="77777777" w:rsidR="00042141" w:rsidRPr="0011380E" w:rsidRDefault="001E6479"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En términos similares, y luego de haberse hecho público un video del operativo,</w:t>
      </w:r>
      <w:r w:rsidR="002E79DB" w:rsidRPr="0011380E">
        <w:rPr>
          <w:rFonts w:asciiTheme="majorHAnsi" w:hAnsiTheme="majorHAnsi"/>
          <w:color w:val="auto"/>
          <w:szCs w:val="20"/>
          <w:lang w:val="es-ES_tradnl"/>
        </w:rPr>
        <w:t xml:space="preserve"> en</w:t>
      </w:r>
      <w:r w:rsidRPr="0011380E">
        <w:rPr>
          <w:rFonts w:asciiTheme="majorHAnsi" w:hAnsiTheme="majorHAnsi"/>
          <w:color w:val="auto"/>
          <w:szCs w:val="20"/>
          <w:lang w:val="es-ES_tradnl"/>
        </w:rPr>
        <w:t xml:space="preserve"> el periódico “La Razón” </w:t>
      </w:r>
      <w:r w:rsidR="0051063A" w:rsidRPr="0011380E">
        <w:rPr>
          <w:rFonts w:asciiTheme="majorHAnsi" w:hAnsiTheme="majorHAnsi"/>
          <w:color w:val="auto"/>
          <w:szCs w:val="20"/>
          <w:lang w:val="es-ES_tradnl"/>
        </w:rPr>
        <w:t>de</w:t>
      </w:r>
      <w:r w:rsidRPr="0011380E">
        <w:rPr>
          <w:rFonts w:asciiTheme="majorHAnsi" w:hAnsiTheme="majorHAnsi"/>
          <w:color w:val="auto"/>
          <w:szCs w:val="20"/>
          <w:lang w:val="es-ES_tradnl"/>
        </w:rPr>
        <w:t xml:space="preserve"> 2 de mayo de 2002, </w:t>
      </w:r>
      <w:r w:rsidR="007976A0" w:rsidRPr="0011380E">
        <w:rPr>
          <w:rFonts w:asciiTheme="majorHAnsi" w:hAnsiTheme="majorHAnsi"/>
          <w:color w:val="auto"/>
          <w:szCs w:val="20"/>
          <w:lang w:val="es-ES_tradnl"/>
        </w:rPr>
        <w:t xml:space="preserve">se afirma </w:t>
      </w:r>
      <w:r w:rsidRPr="0011380E">
        <w:rPr>
          <w:rFonts w:asciiTheme="majorHAnsi" w:hAnsiTheme="majorHAnsi"/>
          <w:color w:val="auto"/>
          <w:szCs w:val="20"/>
          <w:lang w:val="es-ES_tradnl"/>
        </w:rPr>
        <w:t>que los efectivos policiales utilizaron fuerza excesiva durante la detención de los sospechosos, quienes fueron maniatados y fuertemente golpeados</w:t>
      </w:r>
      <w:r w:rsidRPr="0011380E">
        <w:rPr>
          <w:rStyle w:val="FootnoteReference"/>
          <w:rFonts w:asciiTheme="majorHAnsi" w:hAnsiTheme="majorHAnsi"/>
          <w:color w:val="auto"/>
          <w:szCs w:val="20"/>
          <w:lang w:val="es-ES_tradnl"/>
        </w:rPr>
        <w:footnoteReference w:id="29"/>
      </w:r>
      <w:r w:rsidRPr="0011380E">
        <w:rPr>
          <w:rFonts w:asciiTheme="majorHAnsi" w:hAnsiTheme="majorHAnsi"/>
          <w:color w:val="auto"/>
          <w:szCs w:val="20"/>
          <w:lang w:val="es-ES_tradnl"/>
        </w:rPr>
        <w:t>.</w:t>
      </w:r>
      <w:r w:rsidR="001564E1" w:rsidRPr="0011380E">
        <w:rPr>
          <w:rFonts w:asciiTheme="majorHAnsi" w:hAnsiTheme="majorHAnsi"/>
          <w:color w:val="auto"/>
          <w:szCs w:val="20"/>
          <w:lang w:val="es-ES_tradnl"/>
        </w:rPr>
        <w:t xml:space="preserve"> La Comisión tuvo </w:t>
      </w:r>
      <w:r w:rsidR="006C0FEF" w:rsidRPr="0011380E">
        <w:rPr>
          <w:rFonts w:asciiTheme="majorHAnsi" w:hAnsiTheme="majorHAnsi"/>
          <w:color w:val="auto"/>
          <w:szCs w:val="20"/>
          <w:lang w:val="es-ES_tradnl"/>
        </w:rPr>
        <w:t xml:space="preserve">también </w:t>
      </w:r>
      <w:r w:rsidR="001564E1" w:rsidRPr="0011380E">
        <w:rPr>
          <w:rFonts w:asciiTheme="majorHAnsi" w:hAnsiTheme="majorHAnsi"/>
          <w:color w:val="auto"/>
          <w:szCs w:val="20"/>
          <w:lang w:val="es-ES_tradnl"/>
        </w:rPr>
        <w:t>a la vista un video (sin audio)</w:t>
      </w:r>
      <w:r w:rsidR="006C0FEF" w:rsidRPr="0011380E">
        <w:rPr>
          <w:rFonts w:asciiTheme="majorHAnsi" w:hAnsiTheme="majorHAnsi"/>
          <w:color w:val="auto"/>
          <w:szCs w:val="20"/>
          <w:lang w:val="es-ES_tradnl"/>
        </w:rPr>
        <w:t xml:space="preserve"> en el que</w:t>
      </w:r>
      <w:r w:rsidR="001564E1" w:rsidRPr="0011380E">
        <w:rPr>
          <w:rFonts w:asciiTheme="majorHAnsi" w:hAnsiTheme="majorHAnsi"/>
          <w:color w:val="auto"/>
          <w:szCs w:val="20"/>
          <w:lang w:val="es-ES_tradnl"/>
        </w:rPr>
        <w:t xml:space="preserve">, </w:t>
      </w:r>
      <w:r w:rsidR="00D41E25" w:rsidRPr="0011380E">
        <w:rPr>
          <w:rFonts w:asciiTheme="majorHAnsi" w:hAnsiTheme="majorHAnsi"/>
          <w:color w:val="auto"/>
          <w:szCs w:val="20"/>
          <w:lang w:val="es-ES_tradnl"/>
        </w:rPr>
        <w:t xml:space="preserve">si bien no se observan actos de violencia directa, </w:t>
      </w:r>
      <w:r w:rsidR="001564E1" w:rsidRPr="0011380E">
        <w:rPr>
          <w:rFonts w:asciiTheme="majorHAnsi" w:hAnsiTheme="majorHAnsi"/>
          <w:color w:val="auto"/>
          <w:szCs w:val="20"/>
          <w:lang w:val="es-ES_tradnl"/>
        </w:rPr>
        <w:t>efectivamente,</w:t>
      </w:r>
      <w:r w:rsidR="006C0FEF" w:rsidRPr="0011380E">
        <w:rPr>
          <w:rFonts w:asciiTheme="majorHAnsi" w:hAnsiTheme="majorHAnsi"/>
          <w:color w:val="auto"/>
          <w:szCs w:val="20"/>
          <w:lang w:val="es-ES_tradnl"/>
        </w:rPr>
        <w:t xml:space="preserve"> es posible </w:t>
      </w:r>
      <w:r w:rsidR="00D41E25" w:rsidRPr="0011380E">
        <w:rPr>
          <w:rFonts w:asciiTheme="majorHAnsi" w:hAnsiTheme="majorHAnsi"/>
          <w:color w:val="auto"/>
          <w:szCs w:val="20"/>
          <w:lang w:val="es-ES_tradnl"/>
        </w:rPr>
        <w:t>constatar</w:t>
      </w:r>
      <w:r w:rsidR="006C0FEF" w:rsidRPr="0011380E">
        <w:rPr>
          <w:rFonts w:asciiTheme="majorHAnsi" w:hAnsiTheme="majorHAnsi"/>
          <w:color w:val="auto"/>
          <w:szCs w:val="20"/>
          <w:lang w:val="es-ES_tradnl"/>
        </w:rPr>
        <w:t xml:space="preserve"> que</w:t>
      </w:r>
      <w:r w:rsidR="001564E1" w:rsidRPr="0011380E">
        <w:rPr>
          <w:rFonts w:asciiTheme="majorHAnsi" w:hAnsiTheme="majorHAnsi"/>
          <w:color w:val="auto"/>
          <w:szCs w:val="20"/>
          <w:lang w:val="es-ES_tradnl"/>
        </w:rPr>
        <w:t xml:space="preserve"> </w:t>
      </w:r>
      <w:r w:rsidR="00086510" w:rsidRPr="0011380E">
        <w:rPr>
          <w:rFonts w:asciiTheme="majorHAnsi" w:hAnsiTheme="majorHAnsi"/>
          <w:color w:val="auto"/>
          <w:szCs w:val="20"/>
          <w:lang w:val="es-ES_tradnl"/>
        </w:rPr>
        <w:t xml:space="preserve">varios de </w:t>
      </w:r>
      <w:r w:rsidR="006C0FEF" w:rsidRPr="0011380E">
        <w:rPr>
          <w:rFonts w:asciiTheme="majorHAnsi" w:hAnsiTheme="majorHAnsi"/>
          <w:color w:val="auto"/>
          <w:szCs w:val="20"/>
          <w:lang w:val="es-ES_tradnl"/>
        </w:rPr>
        <w:t xml:space="preserve">los detenidos </w:t>
      </w:r>
      <w:r w:rsidR="00086510" w:rsidRPr="0011380E">
        <w:rPr>
          <w:rFonts w:asciiTheme="majorHAnsi" w:hAnsiTheme="majorHAnsi"/>
          <w:color w:val="auto"/>
          <w:szCs w:val="20"/>
          <w:lang w:val="es-ES_tradnl"/>
        </w:rPr>
        <w:t>habían sido fuertement</w:t>
      </w:r>
      <w:r w:rsidR="005B5A35" w:rsidRPr="0011380E">
        <w:rPr>
          <w:rFonts w:asciiTheme="majorHAnsi" w:hAnsiTheme="majorHAnsi"/>
          <w:color w:val="auto"/>
          <w:szCs w:val="20"/>
          <w:lang w:val="es-ES_tradnl"/>
        </w:rPr>
        <w:t>e golpeados –</w:t>
      </w:r>
      <w:r w:rsidR="00086510" w:rsidRPr="0011380E">
        <w:rPr>
          <w:rFonts w:asciiTheme="majorHAnsi" w:hAnsiTheme="majorHAnsi"/>
          <w:color w:val="auto"/>
          <w:szCs w:val="20"/>
          <w:lang w:val="es-ES_tradnl"/>
        </w:rPr>
        <w:t xml:space="preserve"> sus</w:t>
      </w:r>
      <w:r w:rsidR="005B5A35" w:rsidRPr="0011380E">
        <w:rPr>
          <w:rFonts w:asciiTheme="majorHAnsi" w:hAnsiTheme="majorHAnsi"/>
          <w:color w:val="auto"/>
          <w:szCs w:val="20"/>
          <w:lang w:val="es-ES_tradnl"/>
        </w:rPr>
        <w:t xml:space="preserve"> </w:t>
      </w:r>
      <w:r w:rsidR="00086510" w:rsidRPr="0011380E">
        <w:rPr>
          <w:rFonts w:asciiTheme="majorHAnsi" w:hAnsiTheme="majorHAnsi"/>
          <w:color w:val="auto"/>
          <w:szCs w:val="20"/>
          <w:lang w:val="es-ES_tradnl"/>
        </w:rPr>
        <w:t xml:space="preserve">caras estaban hinchadas y sangraban </w:t>
      </w:r>
      <w:r w:rsidR="005B5A35" w:rsidRPr="0011380E">
        <w:rPr>
          <w:rFonts w:asciiTheme="majorHAnsi" w:hAnsiTheme="majorHAnsi"/>
          <w:color w:val="auto"/>
          <w:szCs w:val="20"/>
          <w:lang w:val="es-ES_tradnl"/>
        </w:rPr>
        <w:t xml:space="preserve">– </w:t>
      </w:r>
      <w:r w:rsidR="00086510" w:rsidRPr="0011380E">
        <w:rPr>
          <w:rFonts w:asciiTheme="majorHAnsi" w:hAnsiTheme="majorHAnsi"/>
          <w:color w:val="auto"/>
          <w:szCs w:val="20"/>
          <w:lang w:val="es-ES_tradnl"/>
        </w:rPr>
        <w:t>y</w:t>
      </w:r>
      <w:r w:rsidR="005B5A35" w:rsidRPr="0011380E">
        <w:rPr>
          <w:rFonts w:asciiTheme="majorHAnsi" w:hAnsiTheme="majorHAnsi"/>
          <w:color w:val="auto"/>
          <w:szCs w:val="20"/>
          <w:lang w:val="es-ES_tradnl"/>
        </w:rPr>
        <w:t xml:space="preserve"> </w:t>
      </w:r>
      <w:r w:rsidR="00086510" w:rsidRPr="0011380E">
        <w:rPr>
          <w:rFonts w:asciiTheme="majorHAnsi" w:hAnsiTheme="majorHAnsi"/>
          <w:color w:val="auto"/>
          <w:szCs w:val="20"/>
          <w:lang w:val="es-ES_tradnl"/>
        </w:rPr>
        <w:t xml:space="preserve">se encontraban </w:t>
      </w:r>
      <w:r w:rsidR="006C0FEF" w:rsidRPr="0011380E">
        <w:rPr>
          <w:rFonts w:asciiTheme="majorHAnsi" w:hAnsiTheme="majorHAnsi"/>
          <w:color w:val="auto"/>
          <w:szCs w:val="20"/>
          <w:lang w:val="es-ES_tradnl"/>
        </w:rPr>
        <w:t>maniatados</w:t>
      </w:r>
      <w:r w:rsidR="00086510" w:rsidRPr="0011380E">
        <w:rPr>
          <w:rFonts w:asciiTheme="majorHAnsi" w:hAnsiTheme="majorHAnsi"/>
          <w:color w:val="auto"/>
          <w:szCs w:val="20"/>
          <w:lang w:val="es-ES_tradnl"/>
        </w:rPr>
        <w:t xml:space="preserve"> con</w:t>
      </w:r>
      <w:r w:rsidR="006C0FEF" w:rsidRPr="0011380E">
        <w:rPr>
          <w:rFonts w:asciiTheme="majorHAnsi" w:hAnsiTheme="majorHAnsi"/>
          <w:color w:val="auto"/>
          <w:szCs w:val="20"/>
          <w:lang w:val="es-ES_tradnl"/>
        </w:rPr>
        <w:t xml:space="preserve"> esposa</w:t>
      </w:r>
      <w:r w:rsidR="00086510" w:rsidRPr="0011380E">
        <w:rPr>
          <w:rFonts w:asciiTheme="majorHAnsi" w:hAnsiTheme="majorHAnsi"/>
          <w:color w:val="auto"/>
          <w:szCs w:val="20"/>
          <w:lang w:val="es-ES_tradnl"/>
        </w:rPr>
        <w:t>s por la espalda</w:t>
      </w:r>
      <w:r w:rsidR="006C0FEF" w:rsidRPr="0011380E">
        <w:rPr>
          <w:rFonts w:asciiTheme="majorHAnsi" w:hAnsiTheme="majorHAnsi"/>
          <w:color w:val="auto"/>
          <w:szCs w:val="20"/>
          <w:lang w:val="es-ES_tradnl"/>
        </w:rPr>
        <w:t xml:space="preserve"> y puestos en el suelo boca abajo</w:t>
      </w:r>
      <w:r w:rsidR="00086510" w:rsidRPr="0011380E">
        <w:rPr>
          <w:rStyle w:val="FootnoteReference"/>
          <w:rFonts w:asciiTheme="majorHAnsi" w:hAnsiTheme="majorHAnsi"/>
          <w:color w:val="auto"/>
          <w:szCs w:val="20"/>
          <w:lang w:val="es-ES_tradnl"/>
        </w:rPr>
        <w:footnoteReference w:id="30"/>
      </w:r>
      <w:r w:rsidR="00086510" w:rsidRPr="0011380E">
        <w:rPr>
          <w:rFonts w:asciiTheme="majorHAnsi" w:hAnsiTheme="majorHAnsi"/>
          <w:color w:val="auto"/>
          <w:szCs w:val="20"/>
          <w:lang w:val="es-ES_tradnl"/>
        </w:rPr>
        <w:t xml:space="preserve">. </w:t>
      </w:r>
      <w:r w:rsidR="007F1426" w:rsidRPr="0011380E">
        <w:rPr>
          <w:rFonts w:asciiTheme="majorHAnsi" w:hAnsiTheme="majorHAnsi"/>
          <w:color w:val="auto"/>
          <w:szCs w:val="20"/>
          <w:lang w:val="es-ES_tradnl"/>
        </w:rPr>
        <w:t xml:space="preserve">Es posible ver </w:t>
      </w:r>
      <w:r w:rsidR="005B5A35" w:rsidRPr="0011380E">
        <w:rPr>
          <w:rFonts w:asciiTheme="majorHAnsi" w:hAnsiTheme="majorHAnsi"/>
          <w:color w:val="auto"/>
          <w:szCs w:val="20"/>
          <w:lang w:val="es-ES_tradnl"/>
        </w:rPr>
        <w:t xml:space="preserve">también </w:t>
      </w:r>
      <w:r w:rsidR="007F1426" w:rsidRPr="0011380E">
        <w:rPr>
          <w:rFonts w:asciiTheme="majorHAnsi" w:hAnsiTheme="majorHAnsi"/>
          <w:color w:val="auto"/>
          <w:szCs w:val="20"/>
          <w:lang w:val="es-ES_tradnl"/>
        </w:rPr>
        <w:t>que alguien</w:t>
      </w:r>
      <w:r w:rsidR="005B5A35" w:rsidRPr="0011380E">
        <w:rPr>
          <w:rFonts w:asciiTheme="majorHAnsi" w:hAnsiTheme="majorHAnsi"/>
          <w:color w:val="auto"/>
          <w:szCs w:val="20"/>
          <w:lang w:val="es-ES_tradnl"/>
        </w:rPr>
        <w:t>,</w:t>
      </w:r>
      <w:r w:rsidR="007F1426" w:rsidRPr="0011380E">
        <w:rPr>
          <w:rFonts w:asciiTheme="majorHAnsi" w:hAnsiTheme="majorHAnsi"/>
          <w:color w:val="auto"/>
          <w:szCs w:val="20"/>
          <w:lang w:val="es-ES_tradnl"/>
        </w:rPr>
        <w:t xml:space="preserve"> con </w:t>
      </w:r>
      <w:r w:rsidR="005B5A35" w:rsidRPr="0011380E">
        <w:rPr>
          <w:rFonts w:asciiTheme="majorHAnsi" w:hAnsiTheme="majorHAnsi"/>
          <w:color w:val="auto"/>
          <w:szCs w:val="20"/>
          <w:lang w:val="es-ES_tradnl"/>
        </w:rPr>
        <w:t>la punta de un zapato,</w:t>
      </w:r>
      <w:r w:rsidR="007F1426" w:rsidRPr="0011380E">
        <w:rPr>
          <w:rFonts w:asciiTheme="majorHAnsi" w:hAnsiTheme="majorHAnsi"/>
          <w:color w:val="auto"/>
          <w:szCs w:val="20"/>
          <w:lang w:val="es-ES_tradnl"/>
        </w:rPr>
        <w:t xml:space="preserve"> movía las</w:t>
      </w:r>
      <w:r w:rsidR="00B256A5" w:rsidRPr="0011380E">
        <w:rPr>
          <w:rFonts w:asciiTheme="majorHAnsi" w:hAnsiTheme="majorHAnsi"/>
          <w:color w:val="auto"/>
          <w:szCs w:val="20"/>
          <w:lang w:val="es-ES_tradnl"/>
        </w:rPr>
        <w:t xml:space="preserve"> cabezas de sujetos ya esposados para mostrarlas a la cámara</w:t>
      </w:r>
      <w:r w:rsidR="007F1426" w:rsidRPr="0011380E">
        <w:rPr>
          <w:rStyle w:val="FootnoteReference"/>
          <w:rFonts w:asciiTheme="majorHAnsi" w:hAnsiTheme="majorHAnsi"/>
          <w:color w:val="auto"/>
          <w:szCs w:val="20"/>
          <w:lang w:val="es-ES_tradnl"/>
        </w:rPr>
        <w:footnoteReference w:id="31"/>
      </w:r>
      <w:r w:rsidR="007F1426" w:rsidRPr="0011380E">
        <w:rPr>
          <w:rFonts w:asciiTheme="majorHAnsi" w:hAnsiTheme="majorHAnsi"/>
          <w:color w:val="auto"/>
          <w:szCs w:val="20"/>
          <w:lang w:val="es-ES_tradnl"/>
        </w:rPr>
        <w:t xml:space="preserve">. </w:t>
      </w:r>
      <w:r w:rsidR="005A5D82" w:rsidRPr="0011380E">
        <w:rPr>
          <w:rFonts w:asciiTheme="majorHAnsi" w:hAnsiTheme="majorHAnsi"/>
          <w:color w:val="auto"/>
          <w:szCs w:val="20"/>
          <w:lang w:val="es-ES_tradnl"/>
        </w:rPr>
        <w:t>Se observan niños en el video, pero ninguno de ellos está esposado ni boca abajo</w:t>
      </w:r>
      <w:r w:rsidR="005A5D82" w:rsidRPr="0011380E">
        <w:rPr>
          <w:rStyle w:val="FootnoteReference"/>
          <w:rFonts w:asciiTheme="majorHAnsi" w:hAnsiTheme="majorHAnsi"/>
          <w:color w:val="auto"/>
          <w:szCs w:val="20"/>
          <w:lang w:val="es-ES_tradnl"/>
        </w:rPr>
        <w:footnoteReference w:id="32"/>
      </w:r>
      <w:r w:rsidR="005A5D82" w:rsidRPr="0011380E">
        <w:rPr>
          <w:rFonts w:asciiTheme="majorHAnsi" w:hAnsiTheme="majorHAnsi"/>
          <w:color w:val="auto"/>
          <w:szCs w:val="20"/>
          <w:lang w:val="es-ES_tradnl"/>
        </w:rPr>
        <w:t>.</w:t>
      </w:r>
      <w:r w:rsidR="00410202" w:rsidRPr="0011380E">
        <w:rPr>
          <w:rFonts w:asciiTheme="majorHAnsi" w:hAnsiTheme="majorHAnsi"/>
          <w:color w:val="auto"/>
          <w:szCs w:val="20"/>
          <w:lang w:val="es-ES_tradnl"/>
        </w:rPr>
        <w:t xml:space="preserve"> </w:t>
      </w:r>
      <w:r w:rsidR="00C04B2D" w:rsidRPr="0011380E">
        <w:rPr>
          <w:rFonts w:asciiTheme="majorHAnsi" w:hAnsiTheme="majorHAnsi"/>
          <w:color w:val="auto"/>
          <w:szCs w:val="20"/>
          <w:lang w:val="es-ES_tradnl"/>
        </w:rPr>
        <w:t>También a</w:t>
      </w:r>
      <w:r w:rsidR="005A5D82" w:rsidRPr="0011380E">
        <w:rPr>
          <w:rFonts w:asciiTheme="majorHAnsi" w:hAnsiTheme="majorHAnsi"/>
          <w:color w:val="auto"/>
          <w:szCs w:val="20"/>
          <w:lang w:val="es-ES_tradnl"/>
        </w:rPr>
        <w:t xml:space="preserve">parecen mujeres en el video, todas vestidas, </w:t>
      </w:r>
      <w:r w:rsidR="006812BF" w:rsidRPr="0011380E">
        <w:rPr>
          <w:rFonts w:asciiTheme="majorHAnsi" w:hAnsiTheme="majorHAnsi"/>
          <w:color w:val="auto"/>
          <w:szCs w:val="20"/>
          <w:lang w:val="es-ES_tradnl"/>
        </w:rPr>
        <w:t xml:space="preserve">y </w:t>
      </w:r>
      <w:r w:rsidR="005A5D82" w:rsidRPr="0011380E">
        <w:rPr>
          <w:rFonts w:asciiTheme="majorHAnsi" w:hAnsiTheme="majorHAnsi"/>
          <w:color w:val="auto"/>
          <w:szCs w:val="20"/>
          <w:lang w:val="es-ES_tradnl"/>
        </w:rPr>
        <w:t>solo una de ellas se ve en el suelo boca abajo</w:t>
      </w:r>
      <w:r w:rsidR="005A5D82" w:rsidRPr="0011380E">
        <w:rPr>
          <w:rStyle w:val="FootnoteReference"/>
          <w:rFonts w:asciiTheme="majorHAnsi" w:hAnsiTheme="majorHAnsi"/>
          <w:color w:val="auto"/>
          <w:szCs w:val="20"/>
          <w:lang w:val="es-ES_tradnl"/>
        </w:rPr>
        <w:footnoteReference w:id="33"/>
      </w:r>
      <w:r w:rsidR="006812BF" w:rsidRPr="0011380E">
        <w:rPr>
          <w:rFonts w:asciiTheme="majorHAnsi" w:hAnsiTheme="majorHAnsi"/>
          <w:color w:val="auto"/>
          <w:szCs w:val="20"/>
          <w:lang w:val="es-ES_tradnl"/>
        </w:rPr>
        <w:t xml:space="preserve"> mientras que otra</w:t>
      </w:r>
      <w:r w:rsidR="005A5D82" w:rsidRPr="0011380E">
        <w:rPr>
          <w:rFonts w:asciiTheme="majorHAnsi" w:hAnsiTheme="majorHAnsi"/>
          <w:color w:val="auto"/>
          <w:szCs w:val="20"/>
          <w:lang w:val="es-ES_tradnl"/>
        </w:rPr>
        <w:t xml:space="preserve"> se encuentra esposada, pero de pie </w:t>
      </w:r>
      <w:r w:rsidR="00B256A5" w:rsidRPr="0011380E">
        <w:rPr>
          <w:rFonts w:asciiTheme="majorHAnsi" w:hAnsiTheme="majorHAnsi"/>
          <w:color w:val="auto"/>
          <w:szCs w:val="20"/>
          <w:lang w:val="es-ES_tradnl"/>
        </w:rPr>
        <w:t>hablando</w:t>
      </w:r>
      <w:r w:rsidR="005A5D82" w:rsidRPr="0011380E">
        <w:rPr>
          <w:rFonts w:asciiTheme="majorHAnsi" w:hAnsiTheme="majorHAnsi"/>
          <w:color w:val="auto"/>
          <w:szCs w:val="20"/>
          <w:lang w:val="es-ES_tradnl"/>
        </w:rPr>
        <w:t xml:space="preserve"> con quienes la detenían</w:t>
      </w:r>
      <w:r w:rsidR="005A5D82" w:rsidRPr="0011380E">
        <w:rPr>
          <w:rStyle w:val="FootnoteReference"/>
          <w:rFonts w:asciiTheme="majorHAnsi" w:hAnsiTheme="majorHAnsi"/>
          <w:color w:val="auto"/>
          <w:szCs w:val="20"/>
          <w:lang w:val="es-ES_tradnl"/>
        </w:rPr>
        <w:footnoteReference w:id="34"/>
      </w:r>
      <w:r w:rsidR="005A5D82" w:rsidRPr="0011380E">
        <w:rPr>
          <w:rFonts w:asciiTheme="majorHAnsi" w:hAnsiTheme="majorHAnsi"/>
          <w:color w:val="auto"/>
          <w:szCs w:val="20"/>
          <w:lang w:val="es-ES_tradnl"/>
        </w:rPr>
        <w:t xml:space="preserve">. </w:t>
      </w:r>
      <w:r w:rsidR="00410202" w:rsidRPr="0011380E">
        <w:rPr>
          <w:rFonts w:asciiTheme="majorHAnsi" w:hAnsiTheme="majorHAnsi"/>
          <w:color w:val="auto"/>
          <w:szCs w:val="20"/>
          <w:lang w:val="es-ES_tradnl"/>
        </w:rPr>
        <w:t xml:space="preserve">Además, consta en el video que en el operativo se </w:t>
      </w:r>
      <w:r w:rsidR="005B5A35" w:rsidRPr="0011380E">
        <w:rPr>
          <w:rFonts w:asciiTheme="majorHAnsi" w:hAnsiTheme="majorHAnsi"/>
          <w:color w:val="auto"/>
          <w:szCs w:val="20"/>
          <w:lang w:val="es-ES_tradnl"/>
        </w:rPr>
        <w:t>incautaron grandes cantidades de dinero –</w:t>
      </w:r>
      <w:r w:rsidR="00410202" w:rsidRPr="0011380E">
        <w:rPr>
          <w:rFonts w:asciiTheme="majorHAnsi" w:hAnsiTheme="majorHAnsi"/>
          <w:color w:val="auto"/>
          <w:szCs w:val="20"/>
          <w:lang w:val="es-ES_tradnl"/>
        </w:rPr>
        <w:t xml:space="preserve"> dólares</w:t>
      </w:r>
      <w:r w:rsidR="005B5A35" w:rsidRPr="0011380E">
        <w:rPr>
          <w:rFonts w:asciiTheme="majorHAnsi" w:hAnsiTheme="majorHAnsi"/>
          <w:color w:val="auto"/>
          <w:szCs w:val="20"/>
          <w:lang w:val="es-ES_tradnl"/>
        </w:rPr>
        <w:t xml:space="preserve"> </w:t>
      </w:r>
      <w:r w:rsidR="00410202" w:rsidRPr="0011380E">
        <w:rPr>
          <w:rFonts w:asciiTheme="majorHAnsi" w:hAnsiTheme="majorHAnsi"/>
          <w:color w:val="auto"/>
          <w:szCs w:val="20"/>
          <w:lang w:val="es-ES_tradnl"/>
        </w:rPr>
        <w:t>y</w:t>
      </w:r>
      <w:r w:rsidR="005B5A35" w:rsidRPr="0011380E">
        <w:rPr>
          <w:rFonts w:asciiTheme="majorHAnsi" w:hAnsiTheme="majorHAnsi"/>
          <w:color w:val="auto"/>
          <w:szCs w:val="20"/>
          <w:lang w:val="es-ES_tradnl"/>
        </w:rPr>
        <w:t xml:space="preserve"> bolivianos – en fajos, envueltos en papel o en bolsas negras, y en bolsas de Prosegur</w:t>
      </w:r>
      <w:r w:rsidR="00F83586" w:rsidRPr="0011380E">
        <w:rPr>
          <w:rStyle w:val="FootnoteReference"/>
          <w:rFonts w:asciiTheme="majorHAnsi" w:hAnsiTheme="majorHAnsi"/>
          <w:color w:val="auto"/>
          <w:szCs w:val="20"/>
          <w:lang w:val="es-ES_tradnl"/>
        </w:rPr>
        <w:footnoteReference w:id="35"/>
      </w:r>
      <w:r w:rsidR="005B5A35" w:rsidRPr="0011380E">
        <w:rPr>
          <w:rFonts w:asciiTheme="majorHAnsi" w:hAnsiTheme="majorHAnsi"/>
          <w:color w:val="auto"/>
          <w:szCs w:val="20"/>
          <w:lang w:val="es-ES_tradnl"/>
        </w:rPr>
        <w:t>; una</w:t>
      </w:r>
      <w:r w:rsidR="00410202" w:rsidRPr="0011380E">
        <w:rPr>
          <w:rFonts w:asciiTheme="majorHAnsi" w:hAnsiTheme="majorHAnsi"/>
          <w:color w:val="auto"/>
          <w:szCs w:val="20"/>
          <w:lang w:val="es-ES_tradnl"/>
        </w:rPr>
        <w:t xml:space="preserve"> </w:t>
      </w:r>
      <w:r w:rsidR="005B5A35" w:rsidRPr="0011380E">
        <w:rPr>
          <w:rFonts w:asciiTheme="majorHAnsi" w:hAnsiTheme="majorHAnsi"/>
          <w:color w:val="auto"/>
          <w:szCs w:val="20"/>
          <w:lang w:val="es-ES_tradnl"/>
        </w:rPr>
        <w:t>gran cantidad de joyas, en cajas y dentro de una maleta</w:t>
      </w:r>
      <w:r w:rsidR="00F83586" w:rsidRPr="0011380E">
        <w:rPr>
          <w:rStyle w:val="FootnoteReference"/>
          <w:rFonts w:asciiTheme="majorHAnsi" w:hAnsiTheme="majorHAnsi"/>
          <w:color w:val="auto"/>
          <w:szCs w:val="20"/>
          <w:lang w:val="es-ES_tradnl"/>
        </w:rPr>
        <w:footnoteReference w:id="36"/>
      </w:r>
      <w:r w:rsidR="005B5A35" w:rsidRPr="0011380E">
        <w:rPr>
          <w:rFonts w:asciiTheme="majorHAnsi" w:hAnsiTheme="majorHAnsi"/>
          <w:color w:val="auto"/>
          <w:szCs w:val="20"/>
          <w:lang w:val="es-ES_tradnl"/>
        </w:rPr>
        <w:t>; armas de fuego – metralletas, rifles, escopetas y pistolas – municiones y granadas</w:t>
      </w:r>
      <w:r w:rsidR="00A26037" w:rsidRPr="0011380E">
        <w:rPr>
          <w:rStyle w:val="FootnoteReference"/>
          <w:rFonts w:asciiTheme="majorHAnsi" w:hAnsiTheme="majorHAnsi"/>
          <w:color w:val="auto"/>
          <w:szCs w:val="20"/>
          <w:lang w:val="es-ES_tradnl"/>
        </w:rPr>
        <w:footnoteReference w:id="37"/>
      </w:r>
      <w:r w:rsidR="005B5A35" w:rsidRPr="0011380E">
        <w:rPr>
          <w:rFonts w:asciiTheme="majorHAnsi" w:hAnsiTheme="majorHAnsi"/>
          <w:color w:val="auto"/>
          <w:szCs w:val="20"/>
          <w:lang w:val="es-ES_tradnl"/>
        </w:rPr>
        <w:t>; pasaportes</w:t>
      </w:r>
      <w:r w:rsidR="00A26037" w:rsidRPr="0011380E">
        <w:rPr>
          <w:rStyle w:val="FootnoteReference"/>
          <w:rFonts w:asciiTheme="majorHAnsi" w:hAnsiTheme="majorHAnsi"/>
          <w:color w:val="auto"/>
          <w:szCs w:val="20"/>
          <w:lang w:val="es-ES_tradnl"/>
        </w:rPr>
        <w:footnoteReference w:id="38"/>
      </w:r>
      <w:r w:rsidR="005B5A35" w:rsidRPr="0011380E">
        <w:rPr>
          <w:rFonts w:asciiTheme="majorHAnsi" w:hAnsiTheme="majorHAnsi"/>
          <w:color w:val="auto"/>
          <w:szCs w:val="20"/>
          <w:lang w:val="es-ES_tradnl"/>
        </w:rPr>
        <w:t>; chalecos antibalas</w:t>
      </w:r>
      <w:r w:rsidR="00A26037" w:rsidRPr="0011380E">
        <w:rPr>
          <w:rStyle w:val="FootnoteReference"/>
          <w:rFonts w:asciiTheme="majorHAnsi" w:hAnsiTheme="majorHAnsi"/>
          <w:color w:val="auto"/>
          <w:szCs w:val="20"/>
          <w:lang w:val="es-ES_tradnl"/>
        </w:rPr>
        <w:footnoteReference w:id="39"/>
      </w:r>
      <w:r w:rsidR="005B5A35" w:rsidRPr="0011380E">
        <w:rPr>
          <w:rFonts w:asciiTheme="majorHAnsi" w:hAnsiTheme="majorHAnsi"/>
          <w:color w:val="auto"/>
          <w:szCs w:val="20"/>
          <w:lang w:val="es-ES_tradnl"/>
        </w:rPr>
        <w:t>; y placas de automóviles</w:t>
      </w:r>
      <w:r w:rsidR="00A26037" w:rsidRPr="0011380E">
        <w:rPr>
          <w:rStyle w:val="FootnoteReference"/>
          <w:rFonts w:asciiTheme="majorHAnsi" w:hAnsiTheme="majorHAnsi"/>
          <w:color w:val="auto"/>
          <w:szCs w:val="20"/>
          <w:lang w:val="es-ES_tradnl"/>
        </w:rPr>
        <w:footnoteReference w:id="40"/>
      </w:r>
      <w:r w:rsidR="005B5A35" w:rsidRPr="0011380E">
        <w:rPr>
          <w:rFonts w:asciiTheme="majorHAnsi" w:hAnsiTheme="majorHAnsi"/>
          <w:color w:val="auto"/>
          <w:szCs w:val="20"/>
          <w:lang w:val="es-ES_tradnl"/>
        </w:rPr>
        <w:t xml:space="preserve">.  </w:t>
      </w:r>
    </w:p>
    <w:p w14:paraId="73B1324D" w14:textId="77777777" w:rsidR="00DB0E0E" w:rsidRPr="0011380E" w:rsidRDefault="00DB0E0E" w:rsidP="0011380E">
      <w:pPr>
        <w:pStyle w:val="ListParagraph"/>
        <w:numPr>
          <w:ilvl w:val="0"/>
          <w:numId w:val="0"/>
        </w:numPr>
        <w:rPr>
          <w:rFonts w:asciiTheme="majorHAnsi" w:hAnsiTheme="majorHAnsi"/>
          <w:color w:val="auto"/>
          <w:szCs w:val="20"/>
          <w:lang w:val="es-US"/>
        </w:rPr>
      </w:pPr>
    </w:p>
    <w:p w14:paraId="6FE39DFE" w14:textId="77777777" w:rsidR="00D6649A" w:rsidRPr="0011380E" w:rsidRDefault="00263389"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Según consta de informes del Defensor del Pueblo</w:t>
      </w:r>
      <w:r w:rsidR="00F47B76" w:rsidRPr="0011380E">
        <w:rPr>
          <w:rFonts w:asciiTheme="majorHAnsi" w:hAnsiTheme="majorHAnsi"/>
          <w:color w:val="auto"/>
          <w:szCs w:val="20"/>
          <w:lang w:val="es-US"/>
        </w:rPr>
        <w:t xml:space="preserve"> de la República de Bolivia</w:t>
      </w:r>
      <w:r w:rsidR="00015540" w:rsidRPr="0011380E">
        <w:rPr>
          <w:rStyle w:val="FootnoteReference"/>
          <w:rFonts w:asciiTheme="majorHAnsi" w:hAnsiTheme="majorHAnsi"/>
          <w:color w:val="auto"/>
          <w:szCs w:val="20"/>
          <w:lang w:val="es-US"/>
        </w:rPr>
        <w:footnoteReference w:id="41"/>
      </w:r>
      <w:r w:rsidR="00F47B76" w:rsidRPr="0011380E">
        <w:rPr>
          <w:rFonts w:asciiTheme="majorHAnsi" w:hAnsiTheme="majorHAnsi"/>
          <w:color w:val="auto"/>
          <w:szCs w:val="20"/>
          <w:lang w:val="es-US"/>
        </w:rPr>
        <w:t xml:space="preserve">, </w:t>
      </w:r>
      <w:r w:rsidR="00756566" w:rsidRPr="0011380E">
        <w:rPr>
          <w:rFonts w:asciiTheme="majorHAnsi" w:hAnsiTheme="majorHAnsi"/>
          <w:color w:val="auto"/>
          <w:szCs w:val="20"/>
          <w:lang w:val="es-US"/>
        </w:rPr>
        <w:t>nueve de los detenidos</w:t>
      </w:r>
      <w:r w:rsidR="00756566" w:rsidRPr="0011380E">
        <w:rPr>
          <w:rStyle w:val="FootnoteReference"/>
          <w:rFonts w:asciiTheme="majorHAnsi" w:hAnsiTheme="majorHAnsi"/>
          <w:color w:val="auto"/>
          <w:szCs w:val="20"/>
          <w:lang w:val="es-US"/>
        </w:rPr>
        <w:footnoteReference w:id="42"/>
      </w:r>
      <w:r w:rsidR="00756566" w:rsidRPr="0011380E">
        <w:rPr>
          <w:rFonts w:asciiTheme="majorHAnsi" w:hAnsiTheme="majorHAnsi"/>
          <w:color w:val="auto"/>
          <w:szCs w:val="20"/>
          <w:lang w:val="es-US"/>
        </w:rPr>
        <w:t xml:space="preserve">, </w:t>
      </w:r>
      <w:r w:rsidR="00F47B76" w:rsidRPr="0011380E">
        <w:rPr>
          <w:rFonts w:asciiTheme="majorHAnsi" w:hAnsiTheme="majorHAnsi"/>
          <w:color w:val="auto"/>
          <w:szCs w:val="20"/>
          <w:lang w:val="es-US"/>
        </w:rPr>
        <w:t xml:space="preserve">estuvieron por más de 60 días en régimen de aislamiento cerrado, sin derecho a salir al patio ni </w:t>
      </w:r>
      <w:r w:rsidR="00F47B76" w:rsidRPr="0011380E">
        <w:rPr>
          <w:rFonts w:asciiTheme="majorHAnsi" w:hAnsiTheme="majorHAnsi"/>
          <w:color w:val="auto"/>
          <w:szCs w:val="20"/>
          <w:lang w:val="es-US"/>
        </w:rPr>
        <w:lastRenderedPageBreak/>
        <w:t xml:space="preserve">ingresar a </w:t>
      </w:r>
      <w:r w:rsidR="00037C6D" w:rsidRPr="0011380E">
        <w:rPr>
          <w:rFonts w:asciiTheme="majorHAnsi" w:hAnsiTheme="majorHAnsi"/>
          <w:color w:val="auto"/>
          <w:szCs w:val="20"/>
          <w:lang w:val="es-US"/>
        </w:rPr>
        <w:t xml:space="preserve">la </w:t>
      </w:r>
      <w:r w:rsidR="00F47B76" w:rsidRPr="0011380E">
        <w:rPr>
          <w:rFonts w:asciiTheme="majorHAnsi" w:hAnsiTheme="majorHAnsi"/>
          <w:color w:val="auto"/>
          <w:szCs w:val="20"/>
          <w:lang w:val="es-US"/>
        </w:rPr>
        <w:t>población</w:t>
      </w:r>
      <w:r w:rsidR="00037C6D" w:rsidRPr="0011380E">
        <w:rPr>
          <w:rFonts w:asciiTheme="majorHAnsi" w:hAnsiTheme="majorHAnsi"/>
          <w:color w:val="auto"/>
          <w:szCs w:val="20"/>
          <w:lang w:val="es-US"/>
        </w:rPr>
        <w:t xml:space="preserve"> penal</w:t>
      </w:r>
      <w:r w:rsidR="00F47B76" w:rsidRPr="0011380E">
        <w:rPr>
          <w:rFonts w:asciiTheme="majorHAnsi" w:hAnsiTheme="majorHAnsi"/>
          <w:color w:val="auto"/>
          <w:szCs w:val="20"/>
          <w:lang w:val="es-US"/>
        </w:rPr>
        <w:t xml:space="preserve">, sin salida al sol ni </w:t>
      </w:r>
      <w:r w:rsidR="00DD791A" w:rsidRPr="0011380E">
        <w:rPr>
          <w:rFonts w:asciiTheme="majorHAnsi" w:hAnsiTheme="majorHAnsi"/>
          <w:color w:val="auto"/>
          <w:szCs w:val="20"/>
          <w:lang w:val="es-US"/>
        </w:rPr>
        <w:t>acceso a teléfono</w:t>
      </w:r>
      <w:r w:rsidR="00F47B76" w:rsidRPr="0011380E">
        <w:rPr>
          <w:rFonts w:asciiTheme="majorHAnsi" w:hAnsiTheme="majorHAnsi"/>
          <w:color w:val="auto"/>
          <w:szCs w:val="20"/>
          <w:lang w:val="es-US"/>
        </w:rPr>
        <w:t xml:space="preserve">. Solo después de una reunión entre funcionarios de la </w:t>
      </w:r>
      <w:r w:rsidR="00D6649A" w:rsidRPr="0011380E">
        <w:rPr>
          <w:rFonts w:asciiTheme="majorHAnsi" w:hAnsiTheme="majorHAnsi"/>
          <w:color w:val="auto"/>
          <w:szCs w:val="20"/>
          <w:lang w:val="es-US"/>
        </w:rPr>
        <w:t xml:space="preserve">oficina del </w:t>
      </w:r>
      <w:r w:rsidR="00F47B76" w:rsidRPr="0011380E">
        <w:rPr>
          <w:rFonts w:asciiTheme="majorHAnsi" w:hAnsiTheme="majorHAnsi"/>
          <w:color w:val="auto"/>
          <w:szCs w:val="20"/>
          <w:lang w:val="es-US"/>
        </w:rPr>
        <w:t>Defensor y el Cnl. Carlos Fernández Maceda, Gobernador del Penal de Chonchocoro</w:t>
      </w:r>
      <w:r w:rsidR="00261BA0" w:rsidRPr="0011380E">
        <w:rPr>
          <w:rFonts w:asciiTheme="majorHAnsi" w:hAnsiTheme="majorHAnsi"/>
          <w:color w:val="auto"/>
          <w:szCs w:val="20"/>
          <w:lang w:val="es-US"/>
        </w:rPr>
        <w:t>, celebrada el 28 de febrero de 2002</w:t>
      </w:r>
      <w:r w:rsidR="00F47B76" w:rsidRPr="0011380E">
        <w:rPr>
          <w:rFonts w:asciiTheme="majorHAnsi" w:hAnsiTheme="majorHAnsi"/>
          <w:color w:val="auto"/>
          <w:szCs w:val="20"/>
          <w:lang w:val="es-US"/>
        </w:rPr>
        <w:t xml:space="preserve">, </w:t>
      </w:r>
      <w:r w:rsidR="00DD791A" w:rsidRPr="0011380E">
        <w:rPr>
          <w:rFonts w:asciiTheme="majorHAnsi" w:hAnsiTheme="majorHAnsi"/>
          <w:color w:val="auto"/>
          <w:szCs w:val="20"/>
          <w:lang w:val="es-US"/>
        </w:rPr>
        <w:t xml:space="preserve">éste se comprometió a trasladarlos al día siguiente. </w:t>
      </w:r>
      <w:r w:rsidR="00F47B76" w:rsidRPr="0011380E">
        <w:rPr>
          <w:rFonts w:asciiTheme="majorHAnsi" w:hAnsiTheme="majorHAnsi"/>
          <w:color w:val="auto"/>
          <w:szCs w:val="20"/>
          <w:lang w:val="es-US"/>
        </w:rPr>
        <w:t xml:space="preserve">El Defensor del Pueblo da cuenta </w:t>
      </w:r>
      <w:r w:rsidR="00D6649A" w:rsidRPr="0011380E">
        <w:rPr>
          <w:rFonts w:asciiTheme="majorHAnsi" w:hAnsiTheme="majorHAnsi"/>
          <w:color w:val="auto"/>
          <w:szCs w:val="20"/>
          <w:lang w:val="es-US"/>
        </w:rPr>
        <w:t xml:space="preserve">en sus informes </w:t>
      </w:r>
      <w:r w:rsidR="00F47B76" w:rsidRPr="0011380E">
        <w:rPr>
          <w:rFonts w:asciiTheme="majorHAnsi" w:hAnsiTheme="majorHAnsi"/>
          <w:color w:val="auto"/>
          <w:szCs w:val="20"/>
          <w:lang w:val="es-US"/>
        </w:rPr>
        <w:t>de la vulneración de los derechos de los detenidos, pero</w:t>
      </w:r>
      <w:r w:rsidR="00756566" w:rsidRPr="0011380E">
        <w:rPr>
          <w:rFonts w:asciiTheme="majorHAnsi" w:hAnsiTheme="majorHAnsi"/>
          <w:color w:val="auto"/>
          <w:szCs w:val="20"/>
          <w:lang w:val="es-US"/>
        </w:rPr>
        <w:t xml:space="preserve"> estima que ésta fue subsanada por la autoridad al haber</w:t>
      </w:r>
      <w:r w:rsidR="00DD791A" w:rsidRPr="0011380E">
        <w:rPr>
          <w:rFonts w:asciiTheme="majorHAnsi" w:hAnsiTheme="majorHAnsi"/>
          <w:color w:val="auto"/>
          <w:szCs w:val="20"/>
          <w:lang w:val="es-US"/>
        </w:rPr>
        <w:t>los</w:t>
      </w:r>
      <w:r w:rsidR="00756566" w:rsidRPr="0011380E">
        <w:rPr>
          <w:rFonts w:asciiTheme="majorHAnsi" w:hAnsiTheme="majorHAnsi"/>
          <w:color w:val="auto"/>
          <w:szCs w:val="20"/>
          <w:lang w:val="es-US"/>
        </w:rPr>
        <w:t xml:space="preserve"> trasladado a </w:t>
      </w:r>
      <w:r w:rsidR="00DD791A" w:rsidRPr="0011380E">
        <w:rPr>
          <w:rFonts w:asciiTheme="majorHAnsi" w:hAnsiTheme="majorHAnsi"/>
          <w:color w:val="auto"/>
          <w:szCs w:val="20"/>
          <w:lang w:val="es-US"/>
        </w:rPr>
        <w:t>celdas abiertas, lo que fue constatado</w:t>
      </w:r>
      <w:r w:rsidR="00261BA0" w:rsidRPr="0011380E">
        <w:rPr>
          <w:rFonts w:asciiTheme="majorHAnsi" w:hAnsiTheme="majorHAnsi"/>
          <w:color w:val="auto"/>
          <w:szCs w:val="20"/>
          <w:lang w:val="es-US"/>
        </w:rPr>
        <w:t xml:space="preserve"> por su oficina</w:t>
      </w:r>
      <w:r w:rsidR="00DD791A" w:rsidRPr="0011380E">
        <w:rPr>
          <w:rFonts w:asciiTheme="majorHAnsi" w:hAnsiTheme="majorHAnsi"/>
          <w:color w:val="auto"/>
          <w:szCs w:val="20"/>
          <w:lang w:val="es-US"/>
        </w:rPr>
        <w:t xml:space="preserve"> el 5 de marzo de 2003. </w:t>
      </w:r>
    </w:p>
    <w:p w14:paraId="0A311A61" w14:textId="77777777" w:rsidR="00D6649A" w:rsidRPr="0011380E" w:rsidRDefault="00D6649A" w:rsidP="0011380E">
      <w:pPr>
        <w:pStyle w:val="ListParagraph"/>
        <w:numPr>
          <w:ilvl w:val="0"/>
          <w:numId w:val="0"/>
        </w:numPr>
        <w:rPr>
          <w:rFonts w:asciiTheme="majorHAnsi" w:hAnsiTheme="majorHAnsi"/>
          <w:color w:val="auto"/>
          <w:szCs w:val="20"/>
          <w:lang w:val="es-US"/>
        </w:rPr>
      </w:pPr>
    </w:p>
    <w:p w14:paraId="18CDAD85" w14:textId="77777777" w:rsidR="009C502D" w:rsidRPr="0011380E" w:rsidRDefault="00D6649A"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S</w:t>
      </w:r>
      <w:r w:rsidR="00E1639A" w:rsidRPr="0011380E">
        <w:rPr>
          <w:rFonts w:asciiTheme="majorHAnsi" w:hAnsiTheme="majorHAnsi"/>
          <w:color w:val="auto"/>
          <w:szCs w:val="20"/>
          <w:lang w:val="es-US"/>
        </w:rPr>
        <w:t xml:space="preserve">egún consta de informes médicos, el 14 de abril de 2002, falleció Walter Herrera Ríos, de 44 años de edad, producto de un Infarto Cerebral sufrido el 12 de abril de 2002, en las dependencias del penal de Chonchocoro. </w:t>
      </w:r>
      <w:r w:rsidR="00965FE0" w:rsidRPr="0011380E">
        <w:rPr>
          <w:rFonts w:asciiTheme="majorHAnsi" w:hAnsiTheme="majorHAnsi"/>
          <w:color w:val="auto"/>
          <w:szCs w:val="20"/>
          <w:lang w:val="es-US"/>
        </w:rPr>
        <w:t>El fallecido</w:t>
      </w:r>
      <w:r w:rsidR="00E1639A" w:rsidRPr="0011380E">
        <w:rPr>
          <w:rFonts w:asciiTheme="majorHAnsi" w:hAnsiTheme="majorHAnsi"/>
          <w:color w:val="auto"/>
          <w:szCs w:val="20"/>
          <w:lang w:val="es-US"/>
        </w:rPr>
        <w:t xml:space="preserve"> </w:t>
      </w:r>
      <w:r w:rsidR="00965FE0" w:rsidRPr="0011380E">
        <w:rPr>
          <w:rFonts w:asciiTheme="majorHAnsi" w:hAnsiTheme="majorHAnsi"/>
          <w:color w:val="auto"/>
          <w:szCs w:val="20"/>
          <w:lang w:val="es-US"/>
        </w:rPr>
        <w:t xml:space="preserve">no tenía antecedentes de cuadros similares y un estudio tomográfico de cráneo indicó la existencia de un </w:t>
      </w:r>
      <w:r w:rsidR="00E1639A" w:rsidRPr="0011380E">
        <w:rPr>
          <w:rFonts w:asciiTheme="majorHAnsi" w:hAnsiTheme="majorHAnsi"/>
          <w:color w:val="auto"/>
          <w:szCs w:val="20"/>
          <w:lang w:val="es-US"/>
        </w:rPr>
        <w:t>edema</w:t>
      </w:r>
      <w:r w:rsidR="00965FE0" w:rsidRPr="0011380E">
        <w:rPr>
          <w:rStyle w:val="FootnoteReference"/>
          <w:rFonts w:asciiTheme="majorHAnsi" w:hAnsiTheme="majorHAnsi"/>
          <w:color w:val="auto"/>
          <w:szCs w:val="20"/>
          <w:lang w:val="es-US"/>
        </w:rPr>
        <w:footnoteReference w:id="43"/>
      </w:r>
      <w:r w:rsidR="00965FE0" w:rsidRPr="0011380E">
        <w:rPr>
          <w:rFonts w:asciiTheme="majorHAnsi" w:hAnsiTheme="majorHAnsi"/>
          <w:color w:val="auto"/>
          <w:szCs w:val="20"/>
          <w:lang w:val="es-US"/>
        </w:rPr>
        <w:t>.</w:t>
      </w:r>
      <w:r w:rsidR="00A2752D" w:rsidRPr="0011380E">
        <w:rPr>
          <w:rFonts w:asciiTheme="majorHAnsi" w:hAnsiTheme="majorHAnsi"/>
          <w:color w:val="auto"/>
          <w:szCs w:val="20"/>
          <w:lang w:val="es-US"/>
        </w:rPr>
        <w:t xml:space="preserve"> </w:t>
      </w:r>
    </w:p>
    <w:p w14:paraId="25867639" w14:textId="77777777" w:rsidR="009C502D" w:rsidRPr="0011380E" w:rsidRDefault="009C502D" w:rsidP="0011380E">
      <w:pPr>
        <w:pStyle w:val="ListParagraph"/>
        <w:numPr>
          <w:ilvl w:val="0"/>
          <w:numId w:val="0"/>
        </w:numPr>
        <w:rPr>
          <w:rFonts w:asciiTheme="majorHAnsi" w:hAnsiTheme="majorHAnsi"/>
          <w:color w:val="auto"/>
          <w:szCs w:val="20"/>
          <w:lang w:val="es-US"/>
        </w:rPr>
      </w:pPr>
    </w:p>
    <w:p w14:paraId="3272374F" w14:textId="77777777" w:rsidR="00580B2D" w:rsidRDefault="00A2752D" w:rsidP="00643722">
      <w:pPr>
        <w:pStyle w:val="ListParagraph"/>
        <w:rPr>
          <w:rFonts w:asciiTheme="majorHAnsi" w:hAnsiTheme="majorHAnsi"/>
          <w:color w:val="auto"/>
          <w:szCs w:val="20"/>
          <w:lang w:val="es-US"/>
        </w:rPr>
      </w:pPr>
      <w:r w:rsidRPr="0011380E">
        <w:rPr>
          <w:rFonts w:asciiTheme="majorHAnsi" w:hAnsiTheme="majorHAnsi"/>
          <w:color w:val="auto"/>
          <w:szCs w:val="20"/>
          <w:lang w:val="es-US"/>
        </w:rPr>
        <w:t>Consta de Certificado Médico Forense que María Fernanda Peña Gallardo</w:t>
      </w:r>
      <w:r w:rsidR="009C502D" w:rsidRPr="0011380E">
        <w:rPr>
          <w:rFonts w:asciiTheme="majorHAnsi" w:hAnsiTheme="majorHAnsi"/>
          <w:color w:val="auto"/>
          <w:szCs w:val="20"/>
          <w:lang w:val="es-US"/>
        </w:rPr>
        <w:t xml:space="preserve"> </w:t>
      </w:r>
      <w:r w:rsidR="007B1FB7" w:rsidRPr="0011380E">
        <w:rPr>
          <w:rFonts w:asciiTheme="majorHAnsi" w:hAnsiTheme="majorHAnsi"/>
          <w:color w:val="auto"/>
          <w:szCs w:val="20"/>
          <w:lang w:val="es-US"/>
        </w:rPr>
        <w:t>realizó</w:t>
      </w:r>
      <w:r w:rsidR="009C502D" w:rsidRPr="0011380E">
        <w:rPr>
          <w:rFonts w:asciiTheme="majorHAnsi" w:hAnsiTheme="majorHAnsi"/>
          <w:color w:val="auto"/>
          <w:szCs w:val="20"/>
          <w:lang w:val="es-US"/>
        </w:rPr>
        <w:t xml:space="preserve"> un intento de suicidio el 5 de junio de 2002, ingresando de emergencia al hospital con alto riesgo de perder la vida por intoxicación medicamentosa y que en su historial clínico presentaba antecedentes de haber tomado medicamentos en forma indiscriminada</w:t>
      </w:r>
      <w:r w:rsidR="009C502D" w:rsidRPr="0011380E">
        <w:rPr>
          <w:rStyle w:val="FootnoteReference"/>
          <w:rFonts w:asciiTheme="majorHAnsi" w:hAnsiTheme="majorHAnsi"/>
          <w:color w:val="auto"/>
          <w:szCs w:val="20"/>
          <w:lang w:val="es-US"/>
        </w:rPr>
        <w:footnoteReference w:id="44"/>
      </w:r>
      <w:r w:rsidR="009C502D" w:rsidRPr="0011380E">
        <w:rPr>
          <w:rFonts w:asciiTheme="majorHAnsi" w:hAnsiTheme="majorHAnsi"/>
          <w:color w:val="auto"/>
          <w:szCs w:val="20"/>
          <w:lang w:val="es-US"/>
        </w:rPr>
        <w:t xml:space="preserve">. Consta </w:t>
      </w:r>
      <w:r w:rsidR="00261BA0" w:rsidRPr="0011380E">
        <w:rPr>
          <w:rFonts w:asciiTheme="majorHAnsi" w:hAnsiTheme="majorHAnsi"/>
          <w:color w:val="auto"/>
          <w:szCs w:val="20"/>
          <w:lang w:val="es-US"/>
        </w:rPr>
        <w:t xml:space="preserve">además </w:t>
      </w:r>
      <w:r w:rsidR="009C502D" w:rsidRPr="0011380E">
        <w:rPr>
          <w:rFonts w:asciiTheme="majorHAnsi" w:hAnsiTheme="majorHAnsi"/>
          <w:color w:val="auto"/>
          <w:szCs w:val="20"/>
          <w:lang w:val="es-US"/>
        </w:rPr>
        <w:t>de acta de suspensión de audiencia que María Fernanda Peña Gallardo había sido citada a prestar declaración informativa ante la Fiscalía de Distrito de La Paz el 6 de junio de 2002</w:t>
      </w:r>
      <w:r w:rsidR="009C502D" w:rsidRPr="0011380E">
        <w:rPr>
          <w:rStyle w:val="FootnoteReference"/>
          <w:rFonts w:asciiTheme="majorHAnsi" w:hAnsiTheme="majorHAnsi"/>
          <w:color w:val="auto"/>
          <w:szCs w:val="20"/>
          <w:lang w:val="es-US"/>
        </w:rPr>
        <w:footnoteReference w:id="45"/>
      </w:r>
      <w:r w:rsidR="009C502D" w:rsidRPr="0011380E">
        <w:rPr>
          <w:rFonts w:asciiTheme="majorHAnsi" w:hAnsiTheme="majorHAnsi"/>
          <w:color w:val="auto"/>
          <w:szCs w:val="20"/>
          <w:lang w:val="es-US"/>
        </w:rPr>
        <w:t>.</w:t>
      </w:r>
    </w:p>
    <w:p w14:paraId="62C099EE" w14:textId="77777777" w:rsidR="00643722" w:rsidRPr="00643722" w:rsidRDefault="00643722" w:rsidP="00643722">
      <w:pPr>
        <w:pStyle w:val="ListParagraph"/>
        <w:numPr>
          <w:ilvl w:val="0"/>
          <w:numId w:val="0"/>
        </w:numPr>
        <w:rPr>
          <w:rFonts w:asciiTheme="majorHAnsi" w:hAnsiTheme="majorHAnsi"/>
          <w:color w:val="auto"/>
          <w:szCs w:val="20"/>
          <w:lang w:val="es-US"/>
        </w:rPr>
      </w:pPr>
    </w:p>
    <w:p w14:paraId="11DE1D33" w14:textId="77777777" w:rsidR="00580B2D" w:rsidRPr="0011380E" w:rsidRDefault="00580B2D" w:rsidP="00643722">
      <w:pPr>
        <w:pStyle w:val="Heading2"/>
        <w:numPr>
          <w:ilvl w:val="0"/>
          <w:numId w:val="58"/>
        </w:numPr>
        <w:ind w:hanging="720"/>
      </w:pPr>
      <w:bookmarkStart w:id="11" w:name="_Toc535172800"/>
      <w:bookmarkStart w:id="12" w:name="_Toc11750404"/>
      <w:r w:rsidRPr="0011380E">
        <w:t xml:space="preserve">Procesos </w:t>
      </w:r>
      <w:r w:rsidRPr="00D6752C">
        <w:t>internos</w:t>
      </w:r>
      <w:bookmarkEnd w:id="11"/>
      <w:bookmarkEnd w:id="12"/>
    </w:p>
    <w:p w14:paraId="1112E9EC" w14:textId="77777777" w:rsidR="00580B2D" w:rsidRPr="0011380E" w:rsidRDefault="00580B2D" w:rsidP="0011380E">
      <w:pPr>
        <w:pStyle w:val="ListParagraph"/>
        <w:numPr>
          <w:ilvl w:val="0"/>
          <w:numId w:val="0"/>
        </w:numPr>
        <w:rPr>
          <w:rFonts w:asciiTheme="majorHAnsi" w:hAnsiTheme="majorHAnsi"/>
          <w:color w:val="auto"/>
          <w:szCs w:val="20"/>
          <w:lang w:val="es-ES_tradnl"/>
        </w:rPr>
      </w:pPr>
    </w:p>
    <w:p w14:paraId="1DA4C5A6" w14:textId="77777777" w:rsidR="00C67768" w:rsidRPr="0011380E" w:rsidRDefault="00F502FF"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El 25 de junio de 2002</w:t>
      </w:r>
      <w:r w:rsidR="00860526" w:rsidRPr="0011380E">
        <w:rPr>
          <w:rStyle w:val="FootnoteReference"/>
          <w:rFonts w:asciiTheme="majorHAnsi" w:hAnsiTheme="majorHAnsi"/>
          <w:color w:val="auto"/>
          <w:szCs w:val="20"/>
          <w:lang w:val="es-ES_tradnl"/>
        </w:rPr>
        <w:footnoteReference w:id="46"/>
      </w:r>
      <w:r w:rsidRPr="0011380E">
        <w:rPr>
          <w:rFonts w:asciiTheme="majorHAnsi" w:hAnsiTheme="majorHAnsi"/>
          <w:color w:val="auto"/>
          <w:szCs w:val="20"/>
          <w:lang w:val="es-ES_tradnl"/>
        </w:rPr>
        <w:t>, el Ministerio Público de La Paz presentó acusaci</w:t>
      </w:r>
      <w:r w:rsidR="00860526" w:rsidRPr="0011380E">
        <w:rPr>
          <w:rFonts w:asciiTheme="majorHAnsi" w:hAnsiTheme="majorHAnsi"/>
          <w:color w:val="auto"/>
          <w:szCs w:val="20"/>
          <w:lang w:val="es-ES_tradnl"/>
        </w:rPr>
        <w:t>ón fiscal en contra de 17</w:t>
      </w:r>
      <w:r w:rsidRPr="0011380E">
        <w:rPr>
          <w:rFonts w:asciiTheme="majorHAnsi" w:hAnsiTheme="majorHAnsi"/>
          <w:color w:val="auto"/>
          <w:szCs w:val="20"/>
          <w:lang w:val="es-ES_tradnl"/>
        </w:rPr>
        <w:t xml:space="preserve"> </w:t>
      </w:r>
      <w:r w:rsidR="005E2A02" w:rsidRPr="0011380E">
        <w:rPr>
          <w:rFonts w:asciiTheme="majorHAnsi" w:hAnsiTheme="majorHAnsi"/>
          <w:color w:val="auto"/>
          <w:szCs w:val="20"/>
          <w:lang w:val="es-ES_tradnl"/>
        </w:rPr>
        <w:t>personas</w:t>
      </w:r>
      <w:r w:rsidRPr="0011380E">
        <w:rPr>
          <w:rStyle w:val="FootnoteReference"/>
          <w:rFonts w:asciiTheme="majorHAnsi" w:hAnsiTheme="majorHAnsi"/>
          <w:color w:val="auto"/>
          <w:szCs w:val="20"/>
          <w:lang w:val="es-ES_tradnl"/>
        </w:rPr>
        <w:footnoteReference w:id="47"/>
      </w:r>
      <w:r w:rsidRPr="0011380E">
        <w:rPr>
          <w:rFonts w:asciiTheme="majorHAnsi" w:hAnsiTheme="majorHAnsi"/>
          <w:color w:val="auto"/>
          <w:szCs w:val="20"/>
          <w:lang w:val="es-ES_tradnl"/>
        </w:rPr>
        <w:t>, por</w:t>
      </w:r>
      <w:r w:rsidR="00507171" w:rsidRPr="0011380E">
        <w:rPr>
          <w:rFonts w:asciiTheme="majorHAnsi" w:hAnsiTheme="majorHAnsi"/>
          <w:color w:val="auto"/>
          <w:szCs w:val="20"/>
          <w:lang w:val="es-ES_tradnl"/>
        </w:rPr>
        <w:t xml:space="preserve"> </w:t>
      </w:r>
      <w:r w:rsidR="00860526" w:rsidRPr="0011380E">
        <w:rPr>
          <w:rFonts w:asciiTheme="majorHAnsi" w:hAnsiTheme="majorHAnsi"/>
          <w:color w:val="auto"/>
          <w:szCs w:val="20"/>
          <w:lang w:val="es-ES_tradnl"/>
        </w:rPr>
        <w:t>los delitos de</w:t>
      </w:r>
      <w:r w:rsidR="00507171" w:rsidRPr="0011380E">
        <w:rPr>
          <w:rFonts w:asciiTheme="majorHAnsi" w:hAnsiTheme="majorHAnsi"/>
          <w:color w:val="auto"/>
          <w:szCs w:val="20"/>
          <w:lang w:val="es-ES_tradnl"/>
        </w:rPr>
        <w:t xml:space="preserve"> asesinato, asociación delictuosa, </w:t>
      </w:r>
      <w:r w:rsidR="00860526" w:rsidRPr="0011380E">
        <w:rPr>
          <w:rFonts w:asciiTheme="majorHAnsi" w:hAnsiTheme="majorHAnsi"/>
          <w:color w:val="auto"/>
          <w:szCs w:val="20"/>
          <w:lang w:val="es-ES_tradnl"/>
        </w:rPr>
        <w:t>fabricación, comercio o tenencia de sustancias explosivas, coacción, robo agravado y daño calificado; así como por complicidad y receptación en contra de otras 2 de personas</w:t>
      </w:r>
      <w:r w:rsidR="00860526" w:rsidRPr="0011380E">
        <w:rPr>
          <w:rStyle w:val="FootnoteReference"/>
          <w:rFonts w:asciiTheme="majorHAnsi" w:hAnsiTheme="majorHAnsi"/>
          <w:color w:val="auto"/>
          <w:szCs w:val="20"/>
          <w:lang w:val="es-ES_tradnl"/>
        </w:rPr>
        <w:footnoteReference w:id="48"/>
      </w:r>
      <w:r w:rsidR="00860526" w:rsidRPr="0011380E">
        <w:rPr>
          <w:rFonts w:asciiTheme="majorHAnsi" w:hAnsiTheme="majorHAnsi"/>
          <w:color w:val="auto"/>
          <w:szCs w:val="20"/>
          <w:lang w:val="es-ES_tradnl"/>
        </w:rPr>
        <w:t xml:space="preserve">. </w:t>
      </w:r>
      <w:r w:rsidR="00DB0E0E" w:rsidRPr="0011380E">
        <w:rPr>
          <w:rFonts w:asciiTheme="majorHAnsi" w:hAnsiTheme="majorHAnsi"/>
          <w:color w:val="auto"/>
          <w:szCs w:val="20"/>
          <w:lang w:val="es-ES_tradnl"/>
        </w:rPr>
        <w:t>Durante el juicio oral seguido</w:t>
      </w:r>
      <w:r w:rsidR="00BE7CEE" w:rsidRPr="0011380E">
        <w:rPr>
          <w:rFonts w:asciiTheme="majorHAnsi" w:hAnsiTheme="majorHAnsi"/>
          <w:color w:val="auto"/>
          <w:szCs w:val="20"/>
          <w:lang w:val="es-ES_tradnl"/>
        </w:rPr>
        <w:t xml:space="preserve"> ante el</w:t>
      </w:r>
      <w:r w:rsidR="00DB0E0E" w:rsidRPr="0011380E">
        <w:rPr>
          <w:rFonts w:asciiTheme="majorHAnsi" w:hAnsiTheme="majorHAnsi"/>
          <w:color w:val="auto"/>
          <w:szCs w:val="20"/>
          <w:lang w:val="es-ES_tradnl"/>
        </w:rPr>
        <w:t xml:space="preserve"> </w:t>
      </w:r>
      <w:r w:rsidR="00BE7CEE" w:rsidRPr="0011380E">
        <w:rPr>
          <w:rFonts w:asciiTheme="majorHAnsi" w:hAnsiTheme="majorHAnsi"/>
          <w:color w:val="auto"/>
          <w:szCs w:val="20"/>
          <w:lang w:val="es-US"/>
        </w:rPr>
        <w:t xml:space="preserve">Tribunal de Sentencia </w:t>
      </w:r>
      <w:r w:rsidR="00E769CC" w:rsidRPr="0011380E">
        <w:rPr>
          <w:rFonts w:asciiTheme="majorHAnsi" w:hAnsiTheme="majorHAnsi"/>
          <w:color w:val="auto"/>
          <w:szCs w:val="20"/>
          <w:lang w:val="es-ES_tradnl"/>
        </w:rPr>
        <w:t xml:space="preserve">a partir del 10 de enero de 2003 </w:t>
      </w:r>
      <w:r w:rsidR="00DB0E0E" w:rsidRPr="0011380E">
        <w:rPr>
          <w:rFonts w:asciiTheme="majorHAnsi" w:hAnsiTheme="majorHAnsi"/>
          <w:color w:val="auto"/>
          <w:szCs w:val="20"/>
          <w:lang w:val="es-ES_tradnl"/>
        </w:rPr>
        <w:t>en contra</w:t>
      </w:r>
      <w:r w:rsidR="003237E1" w:rsidRPr="0011380E">
        <w:rPr>
          <w:rFonts w:asciiTheme="majorHAnsi" w:hAnsiTheme="majorHAnsi"/>
          <w:color w:val="auto"/>
          <w:szCs w:val="20"/>
          <w:lang w:val="es-ES_tradnl"/>
        </w:rPr>
        <w:t xml:space="preserve"> de 15 imputados</w:t>
      </w:r>
      <w:r w:rsidR="003237E1" w:rsidRPr="0011380E">
        <w:rPr>
          <w:rStyle w:val="FootnoteReference"/>
          <w:rFonts w:asciiTheme="majorHAnsi" w:hAnsiTheme="majorHAnsi"/>
          <w:color w:val="auto"/>
          <w:szCs w:val="20"/>
          <w:lang w:val="es-ES_tradnl"/>
        </w:rPr>
        <w:footnoteReference w:id="49"/>
      </w:r>
      <w:r w:rsidR="003237E1" w:rsidRPr="0011380E">
        <w:rPr>
          <w:rFonts w:asciiTheme="majorHAnsi" w:hAnsiTheme="majorHAnsi"/>
          <w:color w:val="auto"/>
          <w:szCs w:val="20"/>
          <w:lang w:val="es-ES_tradnl"/>
        </w:rPr>
        <w:t>,</w:t>
      </w:r>
      <w:r w:rsidR="0088538F" w:rsidRPr="0011380E">
        <w:rPr>
          <w:rFonts w:asciiTheme="majorHAnsi" w:hAnsiTheme="majorHAnsi"/>
          <w:color w:val="auto"/>
          <w:szCs w:val="20"/>
          <w:lang w:val="es-ES_tradnl"/>
        </w:rPr>
        <w:t xml:space="preserve"> la mayor parte de ellos se acogieron al derecho a guardar silencio. Sin embargo, </w:t>
      </w:r>
      <w:r w:rsidR="00E769CC" w:rsidRPr="0011380E">
        <w:rPr>
          <w:rFonts w:asciiTheme="majorHAnsi" w:hAnsiTheme="majorHAnsi"/>
          <w:color w:val="auto"/>
          <w:szCs w:val="20"/>
          <w:lang w:val="es-ES_tradnl"/>
        </w:rPr>
        <w:t xml:space="preserve">tanto </w:t>
      </w:r>
      <w:r w:rsidR="00E5488D" w:rsidRPr="0011380E">
        <w:rPr>
          <w:rFonts w:asciiTheme="majorHAnsi" w:hAnsiTheme="majorHAnsi"/>
          <w:color w:val="auto"/>
          <w:szCs w:val="20"/>
          <w:lang w:val="es-ES_tradnl"/>
        </w:rPr>
        <w:t xml:space="preserve">aquellos </w:t>
      </w:r>
      <w:r w:rsidR="0088538F" w:rsidRPr="0011380E">
        <w:rPr>
          <w:rFonts w:asciiTheme="majorHAnsi" w:hAnsiTheme="majorHAnsi"/>
          <w:color w:val="auto"/>
          <w:szCs w:val="20"/>
          <w:lang w:val="es-ES_tradnl"/>
        </w:rPr>
        <w:t xml:space="preserve">que optaron por declarar, </w:t>
      </w:r>
      <w:r w:rsidR="00E769CC" w:rsidRPr="0011380E">
        <w:rPr>
          <w:rFonts w:asciiTheme="majorHAnsi" w:hAnsiTheme="majorHAnsi"/>
          <w:color w:val="auto"/>
          <w:szCs w:val="20"/>
          <w:lang w:val="es-ES_tradnl"/>
        </w:rPr>
        <w:t xml:space="preserve">como </w:t>
      </w:r>
      <w:r w:rsidR="0088538F" w:rsidRPr="0011380E">
        <w:rPr>
          <w:rFonts w:asciiTheme="majorHAnsi" w:hAnsiTheme="majorHAnsi"/>
          <w:color w:val="auto"/>
          <w:szCs w:val="20"/>
          <w:lang w:val="es-ES_tradnl"/>
        </w:rPr>
        <w:t xml:space="preserve">los abogados de todos los </w:t>
      </w:r>
      <w:r w:rsidR="00E769CC" w:rsidRPr="0011380E">
        <w:rPr>
          <w:rFonts w:asciiTheme="majorHAnsi" w:hAnsiTheme="majorHAnsi"/>
          <w:color w:val="auto"/>
          <w:szCs w:val="20"/>
          <w:lang w:val="es-ES_tradnl"/>
        </w:rPr>
        <w:t>acusados</w:t>
      </w:r>
      <w:r w:rsidR="0088538F" w:rsidRPr="0011380E">
        <w:rPr>
          <w:rFonts w:asciiTheme="majorHAnsi" w:hAnsiTheme="majorHAnsi"/>
          <w:color w:val="auto"/>
          <w:szCs w:val="20"/>
          <w:lang w:val="es-ES_tradnl"/>
        </w:rPr>
        <w:t xml:space="preserve">, se refirieron repetidamente </w:t>
      </w:r>
      <w:r w:rsidR="00754DEF" w:rsidRPr="0011380E">
        <w:rPr>
          <w:rFonts w:asciiTheme="majorHAnsi" w:hAnsiTheme="majorHAnsi"/>
          <w:color w:val="auto"/>
          <w:szCs w:val="20"/>
          <w:lang w:val="es-ES_tradnl"/>
        </w:rPr>
        <w:t>a las vejaciones de las que fueron víctimas durante la captura, arresto e investigación de los crímenes que se les imputaban</w:t>
      </w:r>
      <w:r w:rsidR="00CD5B28" w:rsidRPr="0011380E">
        <w:rPr>
          <w:rStyle w:val="FootnoteReference"/>
          <w:rFonts w:asciiTheme="majorHAnsi" w:hAnsiTheme="majorHAnsi"/>
          <w:color w:val="auto"/>
          <w:szCs w:val="20"/>
          <w:lang w:val="es-ES_tradnl"/>
        </w:rPr>
        <w:footnoteReference w:id="50"/>
      </w:r>
      <w:r w:rsidR="00754DEF" w:rsidRPr="0011380E">
        <w:rPr>
          <w:rFonts w:asciiTheme="majorHAnsi" w:hAnsiTheme="majorHAnsi"/>
          <w:color w:val="auto"/>
          <w:szCs w:val="20"/>
          <w:lang w:val="es-ES_tradnl"/>
        </w:rPr>
        <w:t>.</w:t>
      </w:r>
      <w:r w:rsidR="00CD5B28" w:rsidRPr="0011380E">
        <w:rPr>
          <w:rFonts w:asciiTheme="majorHAnsi" w:hAnsiTheme="majorHAnsi"/>
          <w:color w:val="auto"/>
          <w:szCs w:val="20"/>
          <w:lang w:val="es-ES_tradnl"/>
        </w:rPr>
        <w:t xml:space="preserve"> </w:t>
      </w:r>
    </w:p>
    <w:p w14:paraId="553F2CA6" w14:textId="77777777" w:rsidR="00C67768" w:rsidRPr="0011380E" w:rsidRDefault="00C67768" w:rsidP="0011380E">
      <w:pPr>
        <w:pStyle w:val="ListParagraph"/>
        <w:numPr>
          <w:ilvl w:val="0"/>
          <w:numId w:val="0"/>
        </w:numPr>
        <w:rPr>
          <w:rFonts w:asciiTheme="majorHAnsi" w:hAnsiTheme="majorHAnsi"/>
          <w:color w:val="auto"/>
          <w:szCs w:val="20"/>
          <w:lang w:val="es-ES_tradnl"/>
        </w:rPr>
      </w:pPr>
    </w:p>
    <w:p w14:paraId="73A0B0BF" w14:textId="77777777" w:rsidR="00873594" w:rsidRPr="0011380E" w:rsidRDefault="00CD5B28"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Francis Primentel</w:t>
      </w:r>
      <w:r w:rsidR="00EF7A8F" w:rsidRPr="0011380E">
        <w:rPr>
          <w:rFonts w:asciiTheme="majorHAnsi" w:hAnsiTheme="majorHAnsi"/>
          <w:color w:val="auto"/>
          <w:szCs w:val="20"/>
          <w:lang w:val="es-ES_tradnl"/>
        </w:rPr>
        <w:t>a</w:t>
      </w:r>
      <w:r w:rsidR="00E13A5F"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 xml:space="preserve">reiteró </w:t>
      </w:r>
      <w:r w:rsidR="00E13A5F" w:rsidRPr="0011380E">
        <w:rPr>
          <w:rFonts w:asciiTheme="majorHAnsi" w:hAnsiTheme="majorHAnsi"/>
          <w:color w:val="auto"/>
          <w:szCs w:val="20"/>
          <w:lang w:val="es-ES_tradnl"/>
        </w:rPr>
        <w:t xml:space="preserve">en el proceso </w:t>
      </w:r>
      <w:r w:rsidRPr="0011380E">
        <w:rPr>
          <w:rFonts w:asciiTheme="majorHAnsi" w:hAnsiTheme="majorHAnsi"/>
          <w:color w:val="auto"/>
          <w:szCs w:val="20"/>
          <w:lang w:val="es-ES_tradnl"/>
        </w:rPr>
        <w:t>que</w:t>
      </w:r>
      <w:r w:rsidR="003C5975" w:rsidRPr="0011380E">
        <w:rPr>
          <w:rFonts w:asciiTheme="majorHAnsi" w:hAnsiTheme="majorHAnsi"/>
          <w:color w:val="auto"/>
          <w:szCs w:val="20"/>
          <w:lang w:val="es-ES_tradnl"/>
        </w:rPr>
        <w:t>, durante el arresto y en las dependencias de la PTJ,</w:t>
      </w:r>
      <w:r w:rsidRPr="0011380E">
        <w:rPr>
          <w:rFonts w:asciiTheme="majorHAnsi" w:hAnsiTheme="majorHAnsi"/>
          <w:color w:val="auto"/>
          <w:szCs w:val="20"/>
          <w:lang w:val="es-ES_tradnl"/>
        </w:rPr>
        <w:t xml:space="preserve"> </w:t>
      </w:r>
      <w:r w:rsidR="002F2FCF" w:rsidRPr="0011380E">
        <w:rPr>
          <w:rFonts w:asciiTheme="majorHAnsi" w:hAnsiTheme="majorHAnsi"/>
          <w:color w:val="auto"/>
          <w:szCs w:val="20"/>
          <w:lang w:val="es-ES_tradnl"/>
        </w:rPr>
        <w:t xml:space="preserve">los policías a cargo de la investigación, particularmente Gary Sánchez, </w:t>
      </w:r>
      <w:r w:rsidRPr="0011380E">
        <w:rPr>
          <w:rFonts w:asciiTheme="majorHAnsi" w:hAnsiTheme="majorHAnsi"/>
          <w:color w:val="auto"/>
          <w:szCs w:val="20"/>
          <w:lang w:val="es-ES_tradnl"/>
        </w:rPr>
        <w:t xml:space="preserve">la </w:t>
      </w:r>
      <w:r w:rsidR="00E13A5F" w:rsidRPr="0011380E">
        <w:rPr>
          <w:rFonts w:asciiTheme="majorHAnsi" w:hAnsiTheme="majorHAnsi"/>
          <w:color w:val="auto"/>
          <w:szCs w:val="20"/>
          <w:lang w:val="es-ES_tradnl"/>
        </w:rPr>
        <w:t xml:space="preserve">patearon, </w:t>
      </w:r>
      <w:r w:rsidRPr="0011380E">
        <w:rPr>
          <w:rFonts w:asciiTheme="majorHAnsi" w:hAnsiTheme="majorHAnsi"/>
          <w:color w:val="auto"/>
          <w:szCs w:val="20"/>
          <w:lang w:val="es-ES_tradnl"/>
        </w:rPr>
        <w:t>golpearon e humillaron física y moralmente</w:t>
      </w:r>
      <w:r w:rsidR="002F2FCF" w:rsidRPr="0011380E">
        <w:rPr>
          <w:rFonts w:asciiTheme="majorHAnsi" w:hAnsiTheme="majorHAnsi"/>
          <w:color w:val="auto"/>
          <w:szCs w:val="20"/>
          <w:lang w:val="es-ES_tradnl"/>
        </w:rPr>
        <w:t>, haciéndola</w:t>
      </w:r>
      <w:r w:rsidRPr="0011380E">
        <w:rPr>
          <w:rFonts w:asciiTheme="majorHAnsi" w:hAnsiTheme="majorHAnsi"/>
          <w:color w:val="auto"/>
          <w:szCs w:val="20"/>
          <w:lang w:val="es-ES_tradnl"/>
        </w:rPr>
        <w:t xml:space="preserve"> perder a su bebé</w:t>
      </w:r>
      <w:r w:rsidR="002F2FCF" w:rsidRPr="0011380E">
        <w:rPr>
          <w:rFonts w:asciiTheme="majorHAnsi" w:hAnsiTheme="majorHAnsi"/>
          <w:color w:val="auto"/>
          <w:szCs w:val="20"/>
          <w:lang w:val="es-ES_tradnl"/>
        </w:rPr>
        <w:t xml:space="preserve"> sin otorgarle atención médica cuando se estaba desangrando. </w:t>
      </w:r>
      <w:r w:rsidR="00D1086E" w:rsidRPr="0011380E">
        <w:rPr>
          <w:rFonts w:asciiTheme="majorHAnsi" w:hAnsiTheme="majorHAnsi"/>
          <w:color w:val="auto"/>
          <w:szCs w:val="20"/>
          <w:lang w:val="es-ES_tradnl"/>
        </w:rPr>
        <w:t>Indicó que ella y las otras mujeres –</w:t>
      </w:r>
      <w:r w:rsidR="003C5975" w:rsidRPr="0011380E">
        <w:rPr>
          <w:rFonts w:asciiTheme="majorHAnsi" w:hAnsiTheme="majorHAnsi"/>
          <w:color w:val="auto"/>
          <w:szCs w:val="20"/>
          <w:lang w:val="es-ES_tradnl"/>
        </w:rPr>
        <w:t xml:space="preserve"> </w:t>
      </w:r>
      <w:r w:rsidR="008056AC" w:rsidRPr="0011380E">
        <w:rPr>
          <w:rFonts w:asciiTheme="majorHAnsi" w:hAnsiTheme="majorHAnsi"/>
          <w:color w:val="auto"/>
          <w:szCs w:val="20"/>
          <w:lang w:val="es-ES_tradnl"/>
        </w:rPr>
        <w:t>identifica</w:t>
      </w:r>
      <w:r w:rsidR="00D1086E" w:rsidRPr="0011380E">
        <w:rPr>
          <w:rFonts w:asciiTheme="majorHAnsi" w:hAnsiTheme="majorHAnsi"/>
          <w:color w:val="auto"/>
          <w:szCs w:val="20"/>
          <w:lang w:val="es-ES_tradnl"/>
        </w:rPr>
        <w:t xml:space="preserve"> </w:t>
      </w:r>
      <w:r w:rsidR="008056AC" w:rsidRPr="0011380E">
        <w:rPr>
          <w:rFonts w:asciiTheme="majorHAnsi" w:hAnsiTheme="majorHAnsi"/>
          <w:color w:val="auto"/>
          <w:szCs w:val="20"/>
          <w:lang w:val="es-ES_tradnl"/>
        </w:rPr>
        <w:t>especialmente a Claudia Valencia</w:t>
      </w:r>
      <w:r w:rsidR="00D1086E" w:rsidRPr="0011380E">
        <w:rPr>
          <w:rFonts w:asciiTheme="majorHAnsi" w:hAnsiTheme="majorHAnsi"/>
          <w:color w:val="auto"/>
          <w:szCs w:val="20"/>
          <w:lang w:val="es-ES_tradnl"/>
        </w:rPr>
        <w:t xml:space="preserve"> –</w:t>
      </w:r>
      <w:r w:rsidR="003C5975" w:rsidRPr="0011380E">
        <w:rPr>
          <w:rFonts w:asciiTheme="majorHAnsi" w:hAnsiTheme="majorHAnsi"/>
          <w:color w:val="auto"/>
          <w:szCs w:val="20"/>
          <w:lang w:val="es-ES_tradnl"/>
        </w:rPr>
        <w:t xml:space="preserve"> recibían</w:t>
      </w:r>
      <w:r w:rsidR="00D1086E" w:rsidRPr="0011380E">
        <w:rPr>
          <w:rFonts w:asciiTheme="majorHAnsi" w:hAnsiTheme="majorHAnsi"/>
          <w:color w:val="auto"/>
          <w:szCs w:val="20"/>
          <w:lang w:val="es-ES_tradnl"/>
        </w:rPr>
        <w:t xml:space="preserve"> </w:t>
      </w:r>
      <w:r w:rsidR="003C5975" w:rsidRPr="0011380E">
        <w:rPr>
          <w:rFonts w:asciiTheme="majorHAnsi" w:hAnsiTheme="majorHAnsi"/>
          <w:color w:val="auto"/>
          <w:szCs w:val="20"/>
          <w:lang w:val="es-ES_tradnl"/>
        </w:rPr>
        <w:t xml:space="preserve">insultos, </w:t>
      </w:r>
      <w:r w:rsidR="00E13A5F" w:rsidRPr="0011380E">
        <w:rPr>
          <w:rFonts w:asciiTheme="majorHAnsi" w:hAnsiTheme="majorHAnsi"/>
          <w:color w:val="auto"/>
          <w:szCs w:val="20"/>
          <w:lang w:val="es-ES_tradnl"/>
        </w:rPr>
        <w:t>eran</w:t>
      </w:r>
      <w:r w:rsidR="008056AC" w:rsidRPr="0011380E">
        <w:rPr>
          <w:rFonts w:asciiTheme="majorHAnsi" w:hAnsiTheme="majorHAnsi"/>
          <w:color w:val="auto"/>
          <w:szCs w:val="20"/>
          <w:lang w:val="es-ES_tradnl"/>
        </w:rPr>
        <w:t xml:space="preserve"> </w:t>
      </w:r>
      <w:r w:rsidR="00E13A5F" w:rsidRPr="0011380E">
        <w:rPr>
          <w:rFonts w:asciiTheme="majorHAnsi" w:hAnsiTheme="majorHAnsi"/>
          <w:color w:val="auto"/>
          <w:szCs w:val="20"/>
          <w:lang w:val="es-ES_tradnl"/>
        </w:rPr>
        <w:t>obligadas a desnudarse</w:t>
      </w:r>
      <w:r w:rsidR="003C5975" w:rsidRPr="0011380E">
        <w:rPr>
          <w:rFonts w:asciiTheme="majorHAnsi" w:hAnsiTheme="majorHAnsi"/>
          <w:color w:val="auto"/>
          <w:szCs w:val="20"/>
          <w:lang w:val="es-ES_tradnl"/>
        </w:rPr>
        <w:t xml:space="preserve"> cinco veces al día</w:t>
      </w:r>
      <w:r w:rsidR="002F2FCF" w:rsidRPr="0011380E">
        <w:rPr>
          <w:rFonts w:asciiTheme="majorHAnsi" w:hAnsiTheme="majorHAnsi"/>
          <w:color w:val="auto"/>
          <w:szCs w:val="20"/>
          <w:lang w:val="es-ES_tradnl"/>
        </w:rPr>
        <w:t>, sufrían abuso sexual –</w:t>
      </w:r>
      <w:r w:rsidR="003C5975" w:rsidRPr="0011380E">
        <w:rPr>
          <w:rFonts w:asciiTheme="majorHAnsi" w:hAnsiTheme="majorHAnsi"/>
          <w:color w:val="auto"/>
          <w:szCs w:val="20"/>
          <w:lang w:val="es-ES_tradnl"/>
        </w:rPr>
        <w:t xml:space="preserve"> </w:t>
      </w:r>
      <w:r w:rsidR="002F2FCF" w:rsidRPr="0011380E">
        <w:rPr>
          <w:rFonts w:asciiTheme="majorHAnsi" w:hAnsiTheme="majorHAnsi"/>
          <w:color w:val="auto"/>
          <w:szCs w:val="20"/>
          <w:lang w:val="es-ES_tradnl"/>
        </w:rPr>
        <w:t>tocaciones impúdicas e introducción de dedos en sus genitales –</w:t>
      </w:r>
      <w:r w:rsidR="003C5975" w:rsidRPr="0011380E">
        <w:rPr>
          <w:rFonts w:asciiTheme="majorHAnsi" w:hAnsiTheme="majorHAnsi"/>
          <w:color w:val="auto"/>
          <w:szCs w:val="20"/>
          <w:lang w:val="es-ES_tradnl"/>
        </w:rPr>
        <w:t xml:space="preserve"> debían dormir</w:t>
      </w:r>
      <w:r w:rsidR="002F2FCF" w:rsidRPr="0011380E">
        <w:rPr>
          <w:rFonts w:asciiTheme="majorHAnsi" w:hAnsiTheme="majorHAnsi"/>
          <w:color w:val="auto"/>
          <w:szCs w:val="20"/>
          <w:lang w:val="es-ES_tradnl"/>
        </w:rPr>
        <w:t xml:space="preserve"> en el piso y les echaban agua fría</w:t>
      </w:r>
      <w:r w:rsidR="003C5975" w:rsidRPr="0011380E">
        <w:rPr>
          <w:rFonts w:asciiTheme="majorHAnsi" w:hAnsiTheme="majorHAnsi"/>
          <w:color w:val="auto"/>
          <w:szCs w:val="20"/>
          <w:lang w:val="es-ES_tradnl"/>
        </w:rPr>
        <w:t xml:space="preserve"> en las madrugadas</w:t>
      </w:r>
      <w:r w:rsidR="008056AC" w:rsidRPr="0011380E">
        <w:rPr>
          <w:rFonts w:asciiTheme="majorHAnsi" w:hAnsiTheme="majorHAnsi"/>
          <w:color w:val="auto"/>
          <w:szCs w:val="20"/>
          <w:lang w:val="es-ES_tradnl"/>
        </w:rPr>
        <w:t>. A</w:t>
      </w:r>
      <w:r w:rsidR="00C67768" w:rsidRPr="0011380E">
        <w:rPr>
          <w:rFonts w:asciiTheme="majorHAnsi" w:hAnsiTheme="majorHAnsi"/>
          <w:color w:val="auto"/>
          <w:szCs w:val="20"/>
          <w:lang w:val="es-ES_tradnl"/>
        </w:rPr>
        <w:t>demás, a</w:t>
      </w:r>
      <w:r w:rsidR="008056AC" w:rsidRPr="0011380E">
        <w:rPr>
          <w:rFonts w:asciiTheme="majorHAnsi" w:hAnsiTheme="majorHAnsi"/>
          <w:color w:val="auto"/>
          <w:szCs w:val="20"/>
          <w:lang w:val="es-ES_tradnl"/>
        </w:rPr>
        <w:t xml:space="preserve">firmó </w:t>
      </w:r>
      <w:r w:rsidR="00E13A5F" w:rsidRPr="0011380E">
        <w:rPr>
          <w:rFonts w:asciiTheme="majorHAnsi" w:hAnsiTheme="majorHAnsi"/>
          <w:color w:val="auto"/>
          <w:szCs w:val="20"/>
          <w:lang w:val="es-ES_tradnl"/>
        </w:rPr>
        <w:lastRenderedPageBreak/>
        <w:t xml:space="preserve">que su declaración había sido </w:t>
      </w:r>
      <w:r w:rsidR="008056AC" w:rsidRPr="0011380E">
        <w:rPr>
          <w:rFonts w:asciiTheme="majorHAnsi" w:hAnsiTheme="majorHAnsi"/>
          <w:color w:val="auto"/>
          <w:szCs w:val="20"/>
          <w:lang w:val="es-ES_tradnl"/>
        </w:rPr>
        <w:t>o</w:t>
      </w:r>
      <w:r w:rsidR="00C67768" w:rsidRPr="0011380E">
        <w:rPr>
          <w:rFonts w:asciiTheme="majorHAnsi" w:hAnsiTheme="majorHAnsi"/>
          <w:color w:val="auto"/>
          <w:szCs w:val="20"/>
          <w:lang w:val="es-ES_tradnl"/>
        </w:rPr>
        <w:t>btenida</w:t>
      </w:r>
      <w:r w:rsidR="008056AC" w:rsidRPr="0011380E">
        <w:rPr>
          <w:rFonts w:asciiTheme="majorHAnsi" w:hAnsiTheme="majorHAnsi"/>
          <w:color w:val="auto"/>
          <w:szCs w:val="20"/>
          <w:lang w:val="es-ES_tradnl"/>
        </w:rPr>
        <w:t xml:space="preserve"> </w:t>
      </w:r>
      <w:r w:rsidR="00E13A5F" w:rsidRPr="0011380E">
        <w:rPr>
          <w:rFonts w:asciiTheme="majorHAnsi" w:hAnsiTheme="majorHAnsi"/>
          <w:color w:val="auto"/>
          <w:szCs w:val="20"/>
          <w:lang w:val="es-ES_tradnl"/>
        </w:rPr>
        <w:t>bajo amenazas de armas y golpes</w:t>
      </w:r>
      <w:r w:rsidR="003C5975" w:rsidRPr="0011380E">
        <w:rPr>
          <w:rFonts w:asciiTheme="majorHAnsi" w:hAnsiTheme="majorHAnsi"/>
          <w:color w:val="auto"/>
          <w:szCs w:val="20"/>
          <w:lang w:val="es-ES_tradnl"/>
        </w:rPr>
        <w:t xml:space="preserve"> y</w:t>
      </w:r>
      <w:r w:rsidR="008056AC" w:rsidRPr="0011380E">
        <w:rPr>
          <w:rFonts w:asciiTheme="majorHAnsi" w:hAnsiTheme="majorHAnsi"/>
          <w:color w:val="auto"/>
          <w:szCs w:val="20"/>
          <w:lang w:val="es-ES_tradnl"/>
        </w:rPr>
        <w:t xml:space="preserve"> que había sido torturada</w:t>
      </w:r>
      <w:r w:rsidR="003C5975" w:rsidRPr="0011380E">
        <w:rPr>
          <w:rFonts w:asciiTheme="majorHAnsi" w:hAnsiTheme="majorHAnsi"/>
          <w:color w:val="auto"/>
          <w:szCs w:val="20"/>
          <w:lang w:val="es-ES_tradnl"/>
        </w:rPr>
        <w:t>; y que, aunque denunció los hechos al abogado que la asistía y al Fiscal, éstos nada hicieron</w:t>
      </w:r>
      <w:r w:rsidR="002F2FCF" w:rsidRPr="0011380E">
        <w:rPr>
          <w:rStyle w:val="FootnoteReference"/>
          <w:rFonts w:asciiTheme="majorHAnsi" w:hAnsiTheme="majorHAnsi"/>
          <w:color w:val="auto"/>
          <w:szCs w:val="20"/>
          <w:lang w:val="es-ES_tradnl"/>
        </w:rPr>
        <w:footnoteReference w:id="51"/>
      </w:r>
      <w:r w:rsidR="002F2FCF" w:rsidRPr="0011380E">
        <w:rPr>
          <w:rFonts w:asciiTheme="majorHAnsi" w:hAnsiTheme="majorHAnsi"/>
          <w:color w:val="auto"/>
          <w:szCs w:val="20"/>
          <w:lang w:val="es-ES_tradnl"/>
        </w:rPr>
        <w:t>.</w:t>
      </w:r>
      <w:r w:rsidR="002B02E2" w:rsidRPr="0011380E">
        <w:rPr>
          <w:rFonts w:asciiTheme="majorHAnsi" w:hAnsiTheme="majorHAnsi"/>
          <w:color w:val="auto"/>
          <w:szCs w:val="20"/>
          <w:lang w:val="es-ES_tradnl"/>
        </w:rPr>
        <w:t xml:space="preserve"> </w:t>
      </w:r>
      <w:r w:rsidR="00D14368" w:rsidRPr="0011380E">
        <w:rPr>
          <w:rFonts w:asciiTheme="majorHAnsi" w:hAnsiTheme="majorHAnsi"/>
          <w:color w:val="auto"/>
          <w:szCs w:val="20"/>
          <w:lang w:val="es-ES_tradnl"/>
        </w:rPr>
        <w:t>Claudia Valencia</w:t>
      </w:r>
      <w:r w:rsidR="00D1086E" w:rsidRPr="0011380E">
        <w:rPr>
          <w:rFonts w:asciiTheme="majorHAnsi" w:hAnsiTheme="majorHAnsi"/>
          <w:color w:val="auto"/>
          <w:szCs w:val="20"/>
          <w:lang w:val="es-ES_tradnl"/>
        </w:rPr>
        <w:t>, por su parte,</w:t>
      </w:r>
      <w:r w:rsidR="004B16C3" w:rsidRPr="0011380E">
        <w:rPr>
          <w:rFonts w:asciiTheme="majorHAnsi" w:hAnsiTheme="majorHAnsi"/>
          <w:color w:val="auto"/>
          <w:szCs w:val="20"/>
          <w:lang w:val="es-ES_tradnl"/>
        </w:rPr>
        <w:t xml:space="preserve"> también describió l</w:t>
      </w:r>
      <w:r w:rsidR="0082505D" w:rsidRPr="0011380E">
        <w:rPr>
          <w:rFonts w:asciiTheme="majorHAnsi" w:hAnsiTheme="majorHAnsi"/>
          <w:color w:val="auto"/>
          <w:szCs w:val="20"/>
          <w:lang w:val="es-ES_tradnl"/>
        </w:rPr>
        <w:t xml:space="preserve">os golpes y </w:t>
      </w:r>
      <w:r w:rsidR="00EF7A8F" w:rsidRPr="0011380E">
        <w:rPr>
          <w:rFonts w:asciiTheme="majorHAnsi" w:hAnsiTheme="majorHAnsi"/>
          <w:color w:val="auto"/>
          <w:szCs w:val="20"/>
          <w:lang w:val="es-ES_tradnl"/>
        </w:rPr>
        <w:t>humillaciones</w:t>
      </w:r>
      <w:r w:rsidR="004B16C3" w:rsidRPr="0011380E">
        <w:rPr>
          <w:rFonts w:asciiTheme="majorHAnsi" w:hAnsiTheme="majorHAnsi"/>
          <w:color w:val="auto"/>
          <w:szCs w:val="20"/>
          <w:lang w:val="es-ES_tradnl"/>
        </w:rPr>
        <w:t xml:space="preserve"> sufridos al momento del allanamiento de la casa de su padre a las 3</w:t>
      </w:r>
      <w:r w:rsidR="00D6649A" w:rsidRPr="0011380E">
        <w:rPr>
          <w:rFonts w:asciiTheme="majorHAnsi" w:hAnsiTheme="majorHAnsi"/>
          <w:color w:val="auto"/>
          <w:szCs w:val="20"/>
          <w:lang w:val="es-ES_tradnl"/>
        </w:rPr>
        <w:t xml:space="preserve"> </w:t>
      </w:r>
      <w:r w:rsidR="004B16C3" w:rsidRPr="0011380E">
        <w:rPr>
          <w:rFonts w:asciiTheme="majorHAnsi" w:hAnsiTheme="majorHAnsi"/>
          <w:color w:val="auto"/>
          <w:szCs w:val="20"/>
          <w:lang w:val="es-ES_tradnl"/>
        </w:rPr>
        <w:t xml:space="preserve">am del 18 de diciembre de 2001, cuando cerca de 100 policías ingresaron al domicilio y redujeron a los habitantes, </w:t>
      </w:r>
      <w:r w:rsidR="0082505D" w:rsidRPr="0011380E">
        <w:rPr>
          <w:rFonts w:asciiTheme="majorHAnsi" w:hAnsiTheme="majorHAnsi"/>
          <w:color w:val="auto"/>
          <w:szCs w:val="20"/>
          <w:lang w:val="es-ES_tradnl"/>
        </w:rPr>
        <w:t xml:space="preserve">incluyendo mujeres y niños. </w:t>
      </w:r>
      <w:r w:rsidR="00EF7A8F" w:rsidRPr="0011380E">
        <w:rPr>
          <w:rFonts w:asciiTheme="majorHAnsi" w:hAnsiTheme="majorHAnsi"/>
          <w:color w:val="auto"/>
          <w:szCs w:val="20"/>
          <w:lang w:val="es-ES_tradnl"/>
        </w:rPr>
        <w:t>A su hermano de 11 años lo secuestraron por unas horas y l</w:t>
      </w:r>
      <w:r w:rsidR="0082505D" w:rsidRPr="0011380E">
        <w:rPr>
          <w:rFonts w:asciiTheme="majorHAnsi" w:hAnsiTheme="majorHAnsi"/>
          <w:color w:val="auto"/>
          <w:szCs w:val="20"/>
          <w:lang w:val="es-ES_tradnl"/>
        </w:rPr>
        <w:t>as mujeres nuevamente fueron víctimas</w:t>
      </w:r>
      <w:r w:rsidR="00EF7A8F" w:rsidRPr="0011380E">
        <w:rPr>
          <w:rFonts w:asciiTheme="majorHAnsi" w:hAnsiTheme="majorHAnsi"/>
          <w:color w:val="auto"/>
          <w:szCs w:val="20"/>
          <w:lang w:val="es-ES_tradnl"/>
        </w:rPr>
        <w:t xml:space="preserve"> de particulares vejaciones y violencia sexual</w:t>
      </w:r>
      <w:r w:rsidR="0082505D" w:rsidRPr="0011380E">
        <w:rPr>
          <w:rFonts w:asciiTheme="majorHAnsi" w:hAnsiTheme="majorHAnsi"/>
          <w:color w:val="auto"/>
          <w:szCs w:val="20"/>
          <w:lang w:val="es-ES_tradnl"/>
        </w:rPr>
        <w:t xml:space="preserve">, </w:t>
      </w:r>
      <w:r w:rsidR="00EF7A8F" w:rsidRPr="0011380E">
        <w:rPr>
          <w:rFonts w:asciiTheme="majorHAnsi" w:hAnsiTheme="majorHAnsi"/>
          <w:color w:val="auto"/>
          <w:szCs w:val="20"/>
          <w:lang w:val="es-ES_tradnl"/>
        </w:rPr>
        <w:t xml:space="preserve">las insultaban, </w:t>
      </w:r>
      <w:r w:rsidR="0082505D" w:rsidRPr="0011380E">
        <w:rPr>
          <w:rFonts w:asciiTheme="majorHAnsi" w:hAnsiTheme="majorHAnsi"/>
          <w:color w:val="auto"/>
          <w:szCs w:val="20"/>
          <w:lang w:val="es-ES_tradnl"/>
        </w:rPr>
        <w:t xml:space="preserve">a ella la desnudaron y </w:t>
      </w:r>
      <w:r w:rsidR="00EF7A8F" w:rsidRPr="0011380E">
        <w:rPr>
          <w:rFonts w:asciiTheme="majorHAnsi" w:hAnsiTheme="majorHAnsi"/>
          <w:color w:val="auto"/>
          <w:szCs w:val="20"/>
          <w:lang w:val="es-ES_tradnl"/>
        </w:rPr>
        <w:t xml:space="preserve">tocaban su cuerpo y </w:t>
      </w:r>
      <w:r w:rsidR="0082505D" w:rsidRPr="0011380E">
        <w:rPr>
          <w:rFonts w:asciiTheme="majorHAnsi" w:hAnsiTheme="majorHAnsi"/>
          <w:color w:val="auto"/>
          <w:szCs w:val="20"/>
          <w:lang w:val="es-ES_tradnl"/>
        </w:rPr>
        <w:t>a su madre le introdujeron un fusil en sus genitales.</w:t>
      </w:r>
      <w:r w:rsidR="00EF7A8F" w:rsidRPr="0011380E">
        <w:rPr>
          <w:rFonts w:asciiTheme="majorHAnsi" w:hAnsiTheme="majorHAnsi"/>
          <w:color w:val="auto"/>
          <w:szCs w:val="20"/>
          <w:lang w:val="es-ES_tradnl"/>
        </w:rPr>
        <w:t xml:space="preserve"> Los malos tratos continuaron en las dependencias de la PTJ donde </w:t>
      </w:r>
      <w:r w:rsidR="00DC42C1" w:rsidRPr="0011380E">
        <w:rPr>
          <w:rFonts w:asciiTheme="majorHAnsi" w:hAnsiTheme="majorHAnsi"/>
          <w:color w:val="auto"/>
          <w:szCs w:val="20"/>
          <w:lang w:val="es-ES_tradnl"/>
        </w:rPr>
        <w:t xml:space="preserve">los </w:t>
      </w:r>
      <w:r w:rsidR="00EF7A8F" w:rsidRPr="0011380E">
        <w:rPr>
          <w:rFonts w:asciiTheme="majorHAnsi" w:hAnsiTheme="majorHAnsi"/>
          <w:color w:val="auto"/>
          <w:szCs w:val="20"/>
          <w:lang w:val="es-ES_tradnl"/>
        </w:rPr>
        <w:t>llevaron a todos, incluidos niños</w:t>
      </w:r>
      <w:r w:rsidR="00DC42C1" w:rsidRPr="0011380E">
        <w:rPr>
          <w:rFonts w:asciiTheme="majorHAnsi" w:hAnsiTheme="majorHAnsi"/>
          <w:color w:val="auto"/>
          <w:szCs w:val="20"/>
          <w:lang w:val="es-ES_tradnl"/>
        </w:rPr>
        <w:t xml:space="preserve">, </w:t>
      </w:r>
      <w:r w:rsidR="008622A6" w:rsidRPr="0011380E">
        <w:rPr>
          <w:rFonts w:asciiTheme="majorHAnsi" w:hAnsiTheme="majorHAnsi"/>
          <w:color w:val="auto"/>
          <w:szCs w:val="20"/>
          <w:lang w:val="es-ES_tradnl"/>
        </w:rPr>
        <w:t>exhibiéndolos</w:t>
      </w:r>
      <w:r w:rsidR="00EF7A8F" w:rsidRPr="0011380E">
        <w:rPr>
          <w:rFonts w:asciiTheme="majorHAnsi" w:hAnsiTheme="majorHAnsi"/>
          <w:color w:val="auto"/>
          <w:szCs w:val="20"/>
          <w:lang w:val="es-ES_tradnl"/>
        </w:rPr>
        <w:t xml:space="preserve"> al público. </w:t>
      </w:r>
      <w:r w:rsidR="00D6649A" w:rsidRPr="0011380E">
        <w:rPr>
          <w:rFonts w:asciiTheme="majorHAnsi" w:hAnsiTheme="majorHAnsi"/>
          <w:color w:val="auto"/>
          <w:szCs w:val="20"/>
          <w:lang w:val="es-ES_tradnl"/>
        </w:rPr>
        <w:t>También c</w:t>
      </w:r>
      <w:r w:rsidR="008622A6" w:rsidRPr="0011380E">
        <w:rPr>
          <w:rFonts w:asciiTheme="majorHAnsi" w:hAnsiTheme="majorHAnsi"/>
          <w:color w:val="auto"/>
          <w:szCs w:val="20"/>
          <w:lang w:val="es-ES_tradnl"/>
        </w:rPr>
        <w:t xml:space="preserve">onfirmó que las mujeres sufrían violencia sexual diariamente y que Francis Primentela perdió su embarazo. </w:t>
      </w:r>
      <w:r w:rsidR="00D6649A" w:rsidRPr="0011380E">
        <w:rPr>
          <w:rFonts w:asciiTheme="majorHAnsi" w:hAnsiTheme="majorHAnsi"/>
          <w:color w:val="auto"/>
          <w:szCs w:val="20"/>
          <w:lang w:val="es-ES_tradnl"/>
        </w:rPr>
        <w:t>Igualmente</w:t>
      </w:r>
      <w:r w:rsidR="008622A6" w:rsidRPr="0011380E">
        <w:rPr>
          <w:rFonts w:asciiTheme="majorHAnsi" w:hAnsiTheme="majorHAnsi"/>
          <w:color w:val="auto"/>
          <w:szCs w:val="20"/>
          <w:lang w:val="es-ES_tradnl"/>
        </w:rPr>
        <w:t xml:space="preserve"> denunció que no tuvo comunicación con su padre por </w:t>
      </w:r>
      <w:r w:rsidR="00E1570D" w:rsidRPr="0011380E">
        <w:rPr>
          <w:rFonts w:asciiTheme="majorHAnsi" w:hAnsiTheme="majorHAnsi"/>
          <w:color w:val="auto"/>
          <w:szCs w:val="20"/>
          <w:lang w:val="es-ES_tradnl"/>
        </w:rPr>
        <w:t>tres</w:t>
      </w:r>
      <w:r w:rsidR="008622A6" w:rsidRPr="0011380E">
        <w:rPr>
          <w:rFonts w:asciiTheme="majorHAnsi" w:hAnsiTheme="majorHAnsi"/>
          <w:color w:val="auto"/>
          <w:szCs w:val="20"/>
          <w:lang w:val="es-ES_tradnl"/>
        </w:rPr>
        <w:t xml:space="preserve"> meses y que no pudo ver a su hijo. </w:t>
      </w:r>
      <w:r w:rsidR="00D6649A" w:rsidRPr="0011380E">
        <w:rPr>
          <w:rFonts w:asciiTheme="majorHAnsi" w:hAnsiTheme="majorHAnsi"/>
          <w:color w:val="auto"/>
          <w:szCs w:val="20"/>
          <w:lang w:val="es-ES_tradnl"/>
        </w:rPr>
        <w:t>Finalmente</w:t>
      </w:r>
      <w:r w:rsidR="00EF7A8F" w:rsidRPr="0011380E">
        <w:rPr>
          <w:rFonts w:asciiTheme="majorHAnsi" w:hAnsiTheme="majorHAnsi"/>
          <w:color w:val="auto"/>
          <w:szCs w:val="20"/>
          <w:lang w:val="es-ES_tradnl"/>
        </w:rPr>
        <w:t xml:space="preserve"> indicó que sus declaraciones fueron hechas bajo</w:t>
      </w:r>
      <w:r w:rsidR="00DC42C1" w:rsidRPr="0011380E">
        <w:rPr>
          <w:rFonts w:asciiTheme="majorHAnsi" w:hAnsiTheme="majorHAnsi"/>
          <w:color w:val="auto"/>
          <w:szCs w:val="20"/>
          <w:lang w:val="es-ES_tradnl"/>
        </w:rPr>
        <w:t xml:space="preserve"> tortura y amenazas</w:t>
      </w:r>
      <w:r w:rsidR="008622A6" w:rsidRPr="0011380E">
        <w:rPr>
          <w:rFonts w:asciiTheme="majorHAnsi" w:hAnsiTheme="majorHAnsi"/>
          <w:color w:val="auto"/>
          <w:szCs w:val="20"/>
          <w:lang w:val="es-ES_tradnl"/>
        </w:rPr>
        <w:t>, que fue golpeada y maltratada y obligada a firmar una declaración y que el abogado y el Fiscal también la obligaron a incriminarse bajo amenazas</w:t>
      </w:r>
      <w:r w:rsidR="008622A6" w:rsidRPr="0011380E">
        <w:rPr>
          <w:rStyle w:val="FootnoteReference"/>
          <w:rFonts w:asciiTheme="majorHAnsi" w:hAnsiTheme="majorHAnsi"/>
          <w:color w:val="auto"/>
          <w:szCs w:val="20"/>
          <w:lang w:val="es-ES_tradnl"/>
        </w:rPr>
        <w:footnoteReference w:id="52"/>
      </w:r>
      <w:r w:rsidR="008622A6" w:rsidRPr="0011380E">
        <w:rPr>
          <w:rFonts w:asciiTheme="majorHAnsi" w:hAnsiTheme="majorHAnsi"/>
          <w:color w:val="auto"/>
          <w:szCs w:val="20"/>
          <w:lang w:val="es-ES_tradnl"/>
        </w:rPr>
        <w:t>.</w:t>
      </w:r>
      <w:r w:rsidR="004A696A" w:rsidRPr="0011380E">
        <w:rPr>
          <w:rFonts w:asciiTheme="majorHAnsi" w:hAnsiTheme="majorHAnsi"/>
          <w:color w:val="auto"/>
          <w:szCs w:val="20"/>
          <w:lang w:val="es-ES_tradnl"/>
        </w:rPr>
        <w:t xml:space="preserve"> </w:t>
      </w:r>
      <w:r w:rsidR="00D6649A" w:rsidRPr="0011380E">
        <w:rPr>
          <w:rFonts w:asciiTheme="majorHAnsi" w:hAnsiTheme="majorHAnsi"/>
          <w:color w:val="auto"/>
          <w:szCs w:val="20"/>
          <w:lang w:val="es-ES_tradnl"/>
        </w:rPr>
        <w:t xml:space="preserve">Por su parte, </w:t>
      </w:r>
      <w:r w:rsidR="004A696A" w:rsidRPr="0011380E">
        <w:rPr>
          <w:rFonts w:asciiTheme="majorHAnsi" w:hAnsiTheme="majorHAnsi"/>
          <w:color w:val="auto"/>
          <w:szCs w:val="20"/>
          <w:lang w:val="es-ES_tradnl"/>
        </w:rPr>
        <w:t>P</w:t>
      </w:r>
      <w:r w:rsidR="003E0E01" w:rsidRPr="0011380E">
        <w:rPr>
          <w:rFonts w:asciiTheme="majorHAnsi" w:hAnsiTheme="majorHAnsi"/>
          <w:color w:val="auto"/>
          <w:szCs w:val="20"/>
          <w:lang w:val="es-ES_tradnl"/>
        </w:rPr>
        <w:t xml:space="preserve">atricia Gallardo, reconociendo su participación en el atraco, </w:t>
      </w:r>
      <w:r w:rsidR="004A696A" w:rsidRPr="0011380E">
        <w:rPr>
          <w:rFonts w:asciiTheme="majorHAnsi" w:hAnsiTheme="majorHAnsi"/>
          <w:color w:val="auto"/>
          <w:szCs w:val="20"/>
          <w:lang w:val="es-ES_tradnl"/>
        </w:rPr>
        <w:t>también alegó que ella y su hija fueron golpeadas en la PTJ</w:t>
      </w:r>
      <w:r w:rsidR="003E0E01" w:rsidRPr="0011380E">
        <w:rPr>
          <w:rFonts w:asciiTheme="majorHAnsi" w:hAnsiTheme="majorHAnsi"/>
          <w:color w:val="auto"/>
          <w:szCs w:val="20"/>
          <w:lang w:val="es-ES_tradnl"/>
        </w:rPr>
        <w:t xml:space="preserve"> y que el capitán Gary Sánchez le puso el arma en la cabeza para que declarara y que tanto la policía como la Fiscalía la presionaron a ella y a su hija</w:t>
      </w:r>
      <w:r w:rsidR="004A696A" w:rsidRPr="0011380E">
        <w:rPr>
          <w:rStyle w:val="FootnoteReference"/>
          <w:rFonts w:asciiTheme="majorHAnsi" w:hAnsiTheme="majorHAnsi"/>
          <w:color w:val="auto"/>
          <w:szCs w:val="20"/>
          <w:lang w:val="es-ES_tradnl"/>
        </w:rPr>
        <w:footnoteReference w:id="53"/>
      </w:r>
      <w:r w:rsidR="004A696A" w:rsidRPr="0011380E">
        <w:rPr>
          <w:rFonts w:asciiTheme="majorHAnsi" w:hAnsiTheme="majorHAnsi"/>
          <w:color w:val="auto"/>
          <w:szCs w:val="20"/>
          <w:lang w:val="es-ES_tradnl"/>
        </w:rPr>
        <w:t>.</w:t>
      </w:r>
      <w:r w:rsidR="0082505D" w:rsidRPr="0011380E">
        <w:rPr>
          <w:rFonts w:asciiTheme="majorHAnsi" w:hAnsiTheme="majorHAnsi"/>
          <w:color w:val="auto"/>
          <w:szCs w:val="20"/>
          <w:lang w:val="es-ES_tradnl"/>
        </w:rPr>
        <w:t xml:space="preserve">  </w:t>
      </w:r>
    </w:p>
    <w:p w14:paraId="76A9846C" w14:textId="77777777" w:rsidR="00873594" w:rsidRPr="0011380E" w:rsidRDefault="00873594" w:rsidP="0011380E">
      <w:pPr>
        <w:pStyle w:val="ListParagraph"/>
        <w:numPr>
          <w:ilvl w:val="0"/>
          <w:numId w:val="0"/>
        </w:numPr>
        <w:rPr>
          <w:rFonts w:asciiTheme="majorHAnsi" w:hAnsiTheme="majorHAnsi"/>
          <w:color w:val="auto"/>
          <w:szCs w:val="20"/>
          <w:lang w:val="es-US"/>
        </w:rPr>
      </w:pPr>
    </w:p>
    <w:p w14:paraId="604A18F2" w14:textId="77777777" w:rsidR="00E13A5F" w:rsidRPr="0011380E" w:rsidRDefault="00873594" w:rsidP="0011380E">
      <w:pPr>
        <w:pStyle w:val="ListParagraph"/>
        <w:rPr>
          <w:rFonts w:asciiTheme="majorHAnsi" w:hAnsiTheme="majorHAnsi"/>
          <w:color w:val="auto"/>
          <w:szCs w:val="20"/>
          <w:lang w:val="es-US"/>
        </w:rPr>
      </w:pPr>
      <w:r w:rsidRPr="0011380E">
        <w:rPr>
          <w:rFonts w:asciiTheme="majorHAnsi" w:hAnsiTheme="majorHAnsi"/>
          <w:color w:val="auto"/>
          <w:szCs w:val="20"/>
          <w:lang w:val="es-ES_tradnl"/>
        </w:rPr>
        <w:t>Carlos Eladio Cruz Añez también indicó que el 18 de diciembre, cerca de las 6 de la mañana, policías de la PTJ irrumpieron en su domicilio y lo sometieron a una brutal golpiza a él y a su esposa, mientras les hacían preguntas sobre el robo a Prosegur y otros hechos. Indica que lo torturaban poniéndole una bolsa de nylon en la cabeza y le metían gas</w:t>
      </w:r>
      <w:r w:rsidR="001C5852" w:rsidRPr="0011380E">
        <w:rPr>
          <w:rFonts w:asciiTheme="majorHAnsi" w:hAnsiTheme="majorHAnsi"/>
          <w:color w:val="auto"/>
          <w:szCs w:val="20"/>
          <w:lang w:val="es-ES_tradnl"/>
        </w:rPr>
        <w:t xml:space="preserve"> y </w:t>
      </w:r>
      <w:r w:rsidR="009B6DF1" w:rsidRPr="0011380E">
        <w:rPr>
          <w:rFonts w:asciiTheme="majorHAnsi" w:hAnsiTheme="majorHAnsi"/>
          <w:color w:val="auto"/>
          <w:szCs w:val="20"/>
          <w:lang w:val="es-ES_tradnl"/>
        </w:rPr>
        <w:t xml:space="preserve">que </w:t>
      </w:r>
      <w:r w:rsidR="001C5852" w:rsidRPr="0011380E">
        <w:rPr>
          <w:rFonts w:asciiTheme="majorHAnsi" w:hAnsiTheme="majorHAnsi"/>
          <w:color w:val="auto"/>
          <w:szCs w:val="20"/>
          <w:lang w:val="es-ES_tradnl"/>
        </w:rPr>
        <w:t>el Capitán Sánchez le dio tres culetazos en la cabeza. Las torturas habrían continuado en las dependencias de la PTJ</w:t>
      </w:r>
      <w:r w:rsidR="009B6DF1" w:rsidRPr="0011380E">
        <w:rPr>
          <w:rFonts w:asciiTheme="majorHAnsi" w:hAnsiTheme="majorHAnsi"/>
          <w:color w:val="auto"/>
          <w:szCs w:val="20"/>
          <w:lang w:val="es-ES_tradnl"/>
        </w:rPr>
        <w:t xml:space="preserve"> y </w:t>
      </w:r>
      <w:r w:rsidR="001C5852" w:rsidRPr="0011380E">
        <w:rPr>
          <w:rFonts w:asciiTheme="majorHAnsi" w:hAnsiTheme="majorHAnsi"/>
          <w:color w:val="auto"/>
          <w:szCs w:val="20"/>
          <w:lang w:val="es-ES_tradnl"/>
        </w:rPr>
        <w:t xml:space="preserve">sus declaraciones fueron </w:t>
      </w:r>
      <w:r w:rsidR="009B6DF1" w:rsidRPr="0011380E">
        <w:rPr>
          <w:rFonts w:asciiTheme="majorHAnsi" w:hAnsiTheme="majorHAnsi"/>
          <w:color w:val="auto"/>
          <w:szCs w:val="20"/>
          <w:lang w:val="es-ES_tradnl"/>
        </w:rPr>
        <w:t xml:space="preserve">recogidas </w:t>
      </w:r>
      <w:r w:rsidR="001C5852" w:rsidRPr="0011380E">
        <w:rPr>
          <w:rFonts w:asciiTheme="majorHAnsi" w:hAnsiTheme="majorHAnsi"/>
          <w:color w:val="auto"/>
          <w:szCs w:val="20"/>
          <w:lang w:val="es-ES_tradnl"/>
        </w:rPr>
        <w:t xml:space="preserve">sin </w:t>
      </w:r>
      <w:r w:rsidR="009B6DF1" w:rsidRPr="0011380E">
        <w:rPr>
          <w:rFonts w:asciiTheme="majorHAnsi" w:hAnsiTheme="majorHAnsi"/>
          <w:color w:val="auto"/>
          <w:szCs w:val="20"/>
          <w:lang w:val="es-ES_tradnl"/>
        </w:rPr>
        <w:t xml:space="preserve">la presencia de </w:t>
      </w:r>
      <w:r w:rsidR="001C5852" w:rsidRPr="0011380E">
        <w:rPr>
          <w:rFonts w:asciiTheme="majorHAnsi" w:hAnsiTheme="majorHAnsi"/>
          <w:color w:val="auto"/>
          <w:szCs w:val="20"/>
          <w:lang w:val="es-ES_tradnl"/>
        </w:rPr>
        <w:t>un abogado</w:t>
      </w:r>
      <w:r w:rsidR="009B6DF1" w:rsidRPr="0011380E">
        <w:rPr>
          <w:rFonts w:asciiTheme="majorHAnsi" w:hAnsiTheme="majorHAnsi"/>
          <w:color w:val="auto"/>
          <w:szCs w:val="20"/>
          <w:lang w:val="es-ES_tradnl"/>
        </w:rPr>
        <w:t xml:space="preserve">. Además, </w:t>
      </w:r>
      <w:r w:rsidR="001C5852" w:rsidRPr="0011380E">
        <w:rPr>
          <w:rFonts w:asciiTheme="majorHAnsi" w:hAnsiTheme="majorHAnsi"/>
          <w:color w:val="auto"/>
          <w:szCs w:val="20"/>
          <w:lang w:val="es-ES_tradnl"/>
        </w:rPr>
        <w:t>en el Penal de Choncocoro estuvo incomunicado por 60 días</w:t>
      </w:r>
      <w:r w:rsidRPr="0011380E">
        <w:rPr>
          <w:rStyle w:val="FootnoteReference"/>
          <w:rFonts w:asciiTheme="majorHAnsi" w:hAnsiTheme="majorHAnsi"/>
          <w:color w:val="auto"/>
          <w:szCs w:val="20"/>
          <w:lang w:val="es-ES_tradnl"/>
        </w:rPr>
        <w:footnoteReference w:id="54"/>
      </w:r>
      <w:r w:rsidR="00D229E4" w:rsidRPr="0011380E">
        <w:rPr>
          <w:rFonts w:asciiTheme="majorHAnsi" w:hAnsiTheme="majorHAnsi"/>
          <w:color w:val="auto"/>
          <w:szCs w:val="20"/>
          <w:lang w:val="es-ES_tradnl"/>
        </w:rPr>
        <w:t>.</w:t>
      </w:r>
      <w:r w:rsidR="00506073" w:rsidRPr="0011380E">
        <w:rPr>
          <w:rFonts w:asciiTheme="majorHAnsi" w:hAnsiTheme="majorHAnsi"/>
          <w:color w:val="auto"/>
          <w:szCs w:val="20"/>
          <w:lang w:val="es-ES_tradnl"/>
        </w:rPr>
        <w:t xml:space="preserve"> </w:t>
      </w:r>
      <w:r w:rsidR="00D1086E" w:rsidRPr="0011380E">
        <w:rPr>
          <w:rFonts w:asciiTheme="majorHAnsi" w:hAnsiTheme="majorHAnsi"/>
          <w:color w:val="auto"/>
          <w:szCs w:val="20"/>
          <w:lang w:val="es-ES_tradnl"/>
        </w:rPr>
        <w:t>Leonel Delgadillo, quien también fue procesado por su supuesta participación en el robo, aun cuando no es un peticionario en este caso, también identificó al policía Sánchez de la PTJ como la persona que lo golpeaba, insultaba y amenazaba obligándolo a confesar su participación en el atraco. Asimismo, indicó que – aun cuando él insistía en su inocencia – el abogado que lo asistía lo obligó a aceptar un procedimiento abreviado indicando que de todas maneras lo inculparían y luego le pidió dinero</w:t>
      </w:r>
      <w:r w:rsidR="00D1086E" w:rsidRPr="0011380E">
        <w:rPr>
          <w:rStyle w:val="FootnoteReference"/>
          <w:rFonts w:asciiTheme="majorHAnsi" w:hAnsiTheme="majorHAnsi"/>
          <w:color w:val="auto"/>
          <w:szCs w:val="20"/>
          <w:lang w:val="es-ES_tradnl"/>
        </w:rPr>
        <w:footnoteReference w:id="55"/>
      </w:r>
      <w:r w:rsidR="00D1086E" w:rsidRPr="0011380E">
        <w:rPr>
          <w:rFonts w:asciiTheme="majorHAnsi" w:hAnsiTheme="majorHAnsi"/>
          <w:color w:val="auto"/>
          <w:szCs w:val="20"/>
          <w:lang w:val="es-ES_tradnl"/>
        </w:rPr>
        <w:t>.</w:t>
      </w:r>
    </w:p>
    <w:p w14:paraId="15ABE38B" w14:textId="77777777" w:rsidR="00F137AC" w:rsidRPr="0011380E" w:rsidRDefault="00F137AC" w:rsidP="0011380E">
      <w:pPr>
        <w:pStyle w:val="ListParagraph"/>
        <w:numPr>
          <w:ilvl w:val="0"/>
          <w:numId w:val="0"/>
        </w:numPr>
        <w:rPr>
          <w:rFonts w:asciiTheme="majorHAnsi" w:hAnsiTheme="majorHAnsi"/>
          <w:color w:val="auto"/>
          <w:szCs w:val="20"/>
          <w:lang w:val="es-US"/>
        </w:rPr>
      </w:pPr>
    </w:p>
    <w:p w14:paraId="7E4506FC" w14:textId="77777777" w:rsidR="0046035D" w:rsidRPr="0011380E" w:rsidRDefault="001D4434"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Durante</w:t>
      </w:r>
      <w:r w:rsidR="00F137AC" w:rsidRPr="0011380E">
        <w:rPr>
          <w:rFonts w:asciiTheme="majorHAnsi" w:hAnsiTheme="majorHAnsi"/>
          <w:color w:val="auto"/>
          <w:szCs w:val="20"/>
          <w:lang w:val="es-US"/>
        </w:rPr>
        <w:t xml:space="preserve"> el juicio oral,</w:t>
      </w:r>
      <w:r w:rsidRPr="0011380E">
        <w:rPr>
          <w:rFonts w:asciiTheme="majorHAnsi" w:hAnsiTheme="majorHAnsi"/>
          <w:color w:val="auto"/>
          <w:szCs w:val="20"/>
          <w:lang w:val="es-US"/>
        </w:rPr>
        <w:t xml:space="preserve"> entre los días 30 de enero y 7 de abril de 2003,</w:t>
      </w:r>
      <w:r w:rsidR="00F137AC" w:rsidRPr="0011380E">
        <w:rPr>
          <w:rFonts w:asciiTheme="majorHAnsi" w:hAnsiTheme="majorHAnsi"/>
          <w:color w:val="auto"/>
          <w:szCs w:val="20"/>
          <w:lang w:val="es-US"/>
        </w:rPr>
        <w:t xml:space="preserve"> la Fiscal</w:t>
      </w:r>
      <w:r w:rsidRPr="0011380E">
        <w:rPr>
          <w:rFonts w:asciiTheme="majorHAnsi" w:hAnsiTheme="majorHAnsi"/>
          <w:color w:val="auto"/>
          <w:szCs w:val="20"/>
          <w:lang w:val="es-US"/>
        </w:rPr>
        <w:t>ía present</w:t>
      </w:r>
      <w:r w:rsidR="00F749FA" w:rsidRPr="0011380E">
        <w:rPr>
          <w:rFonts w:asciiTheme="majorHAnsi" w:hAnsiTheme="majorHAnsi"/>
          <w:color w:val="auto"/>
          <w:szCs w:val="20"/>
          <w:lang w:val="es-US"/>
        </w:rPr>
        <w:t>ó prueba testimonial de 25</w:t>
      </w:r>
      <w:r w:rsidRPr="0011380E">
        <w:rPr>
          <w:rFonts w:asciiTheme="majorHAnsi" w:hAnsiTheme="majorHAnsi"/>
          <w:color w:val="auto"/>
          <w:szCs w:val="20"/>
          <w:lang w:val="es-US"/>
        </w:rPr>
        <w:t xml:space="preserve"> testigos, incluyendo testigos presenciales del asalto, </w:t>
      </w:r>
      <w:r w:rsidR="00506073" w:rsidRPr="0011380E">
        <w:rPr>
          <w:rFonts w:asciiTheme="majorHAnsi" w:hAnsiTheme="majorHAnsi"/>
          <w:color w:val="auto"/>
          <w:szCs w:val="20"/>
          <w:lang w:val="es-US"/>
        </w:rPr>
        <w:t xml:space="preserve">de </w:t>
      </w:r>
      <w:r w:rsidRPr="0011380E">
        <w:rPr>
          <w:rFonts w:asciiTheme="majorHAnsi" w:hAnsiTheme="majorHAnsi"/>
          <w:color w:val="auto"/>
          <w:szCs w:val="20"/>
          <w:lang w:val="es-US"/>
        </w:rPr>
        <w:t xml:space="preserve">actos preparatorios del mismo y </w:t>
      </w:r>
      <w:r w:rsidR="00506073" w:rsidRPr="0011380E">
        <w:rPr>
          <w:rFonts w:asciiTheme="majorHAnsi" w:hAnsiTheme="majorHAnsi"/>
          <w:color w:val="auto"/>
          <w:szCs w:val="20"/>
          <w:lang w:val="es-US"/>
        </w:rPr>
        <w:t xml:space="preserve">de </w:t>
      </w:r>
      <w:r w:rsidRPr="0011380E">
        <w:rPr>
          <w:rFonts w:asciiTheme="majorHAnsi" w:hAnsiTheme="majorHAnsi"/>
          <w:color w:val="auto"/>
          <w:szCs w:val="20"/>
          <w:lang w:val="es-US"/>
        </w:rPr>
        <w:t>actuaciones posteriores, peritos y personal de la policía.</w:t>
      </w:r>
      <w:r w:rsidR="00887C05" w:rsidRPr="0011380E">
        <w:rPr>
          <w:rFonts w:asciiTheme="majorHAnsi" w:hAnsiTheme="majorHAnsi"/>
          <w:color w:val="auto"/>
          <w:szCs w:val="20"/>
          <w:lang w:val="es-US"/>
        </w:rPr>
        <w:t xml:space="preserve"> Entre ellos destaca con </w:t>
      </w:r>
      <w:r w:rsidR="00506073" w:rsidRPr="0011380E">
        <w:rPr>
          <w:rFonts w:asciiTheme="majorHAnsi" w:hAnsiTheme="majorHAnsi"/>
          <w:color w:val="auto"/>
          <w:szCs w:val="20"/>
          <w:lang w:val="es-US"/>
        </w:rPr>
        <w:t xml:space="preserve">especial </w:t>
      </w:r>
      <w:r w:rsidR="00887C05" w:rsidRPr="0011380E">
        <w:rPr>
          <w:rFonts w:asciiTheme="majorHAnsi" w:hAnsiTheme="majorHAnsi"/>
          <w:color w:val="auto"/>
          <w:szCs w:val="20"/>
          <w:lang w:val="es-US"/>
        </w:rPr>
        <w:t>relevancia para el caso que nos ocupa, el testimonio de Walter Osinaga Zambrana, Comandante General de la Policía Boliviana, quien indicó que la primera informaci</w:t>
      </w:r>
      <w:r w:rsidR="00780168" w:rsidRPr="0011380E">
        <w:rPr>
          <w:rFonts w:asciiTheme="majorHAnsi" w:hAnsiTheme="majorHAnsi"/>
          <w:color w:val="auto"/>
          <w:szCs w:val="20"/>
          <w:lang w:val="es-US"/>
        </w:rPr>
        <w:t>ón que tuvo sobre el</w:t>
      </w:r>
      <w:r w:rsidR="00887C05" w:rsidRPr="0011380E">
        <w:rPr>
          <w:rFonts w:asciiTheme="majorHAnsi" w:hAnsiTheme="majorHAnsi"/>
          <w:color w:val="auto"/>
          <w:szCs w:val="20"/>
          <w:lang w:val="es-US"/>
        </w:rPr>
        <w:t xml:space="preserve"> asalto fue por parte del Presidente de la República de la época, Jorge Quiroga, quien lo llamó temprano en la mañana del 14 de dicie</w:t>
      </w:r>
      <w:r w:rsidR="003859F2" w:rsidRPr="0011380E">
        <w:rPr>
          <w:rFonts w:asciiTheme="majorHAnsi" w:hAnsiTheme="majorHAnsi"/>
          <w:color w:val="auto"/>
          <w:szCs w:val="20"/>
          <w:lang w:val="es-US"/>
        </w:rPr>
        <w:t>mbre de 2001 indicando que habí</w:t>
      </w:r>
      <w:r w:rsidR="00887C05" w:rsidRPr="0011380E">
        <w:rPr>
          <w:rFonts w:asciiTheme="majorHAnsi" w:hAnsiTheme="majorHAnsi"/>
          <w:color w:val="auto"/>
          <w:szCs w:val="20"/>
          <w:lang w:val="es-US"/>
        </w:rPr>
        <w:t>a oído disparos cerca de la Residencia P</w:t>
      </w:r>
      <w:r w:rsidR="00D36E9B" w:rsidRPr="0011380E">
        <w:rPr>
          <w:rFonts w:asciiTheme="majorHAnsi" w:hAnsiTheme="majorHAnsi"/>
          <w:color w:val="auto"/>
          <w:szCs w:val="20"/>
          <w:lang w:val="es-US"/>
        </w:rPr>
        <w:t>residencial</w:t>
      </w:r>
      <w:r w:rsidR="00C05161" w:rsidRPr="0011380E">
        <w:rPr>
          <w:rFonts w:asciiTheme="majorHAnsi" w:hAnsiTheme="majorHAnsi"/>
          <w:color w:val="auto"/>
          <w:szCs w:val="20"/>
          <w:lang w:val="es-US"/>
        </w:rPr>
        <w:t xml:space="preserve"> y </w:t>
      </w:r>
      <w:r w:rsidR="00F749FA" w:rsidRPr="0011380E">
        <w:rPr>
          <w:rFonts w:asciiTheme="majorHAnsi" w:hAnsiTheme="majorHAnsi"/>
          <w:color w:val="auto"/>
          <w:szCs w:val="20"/>
          <w:lang w:val="es-US"/>
        </w:rPr>
        <w:t xml:space="preserve">le </w:t>
      </w:r>
      <w:r w:rsidR="00C05161" w:rsidRPr="0011380E">
        <w:rPr>
          <w:rFonts w:asciiTheme="majorHAnsi" w:hAnsiTheme="majorHAnsi"/>
          <w:color w:val="auto"/>
          <w:szCs w:val="20"/>
          <w:lang w:val="es-US"/>
        </w:rPr>
        <w:t>pid</w:t>
      </w:r>
      <w:r w:rsidR="00F749FA" w:rsidRPr="0011380E">
        <w:rPr>
          <w:rFonts w:asciiTheme="majorHAnsi" w:hAnsiTheme="majorHAnsi"/>
          <w:color w:val="auto"/>
          <w:szCs w:val="20"/>
          <w:lang w:val="es-US"/>
        </w:rPr>
        <w:t>ió esclarecer</w:t>
      </w:r>
      <w:r w:rsidR="00C05161" w:rsidRPr="0011380E">
        <w:rPr>
          <w:rFonts w:asciiTheme="majorHAnsi" w:hAnsiTheme="majorHAnsi"/>
          <w:color w:val="auto"/>
          <w:szCs w:val="20"/>
          <w:lang w:val="es-US"/>
        </w:rPr>
        <w:t xml:space="preserve"> los hechos</w:t>
      </w:r>
      <w:r w:rsidR="00D138D2" w:rsidRPr="0011380E">
        <w:rPr>
          <w:rStyle w:val="FootnoteReference"/>
          <w:rFonts w:asciiTheme="majorHAnsi" w:hAnsiTheme="majorHAnsi"/>
          <w:color w:val="auto"/>
          <w:szCs w:val="20"/>
          <w:lang w:val="es-US"/>
        </w:rPr>
        <w:footnoteReference w:id="56"/>
      </w:r>
      <w:r w:rsidR="00D36E9B" w:rsidRPr="0011380E">
        <w:rPr>
          <w:rFonts w:asciiTheme="majorHAnsi" w:hAnsiTheme="majorHAnsi"/>
          <w:color w:val="auto"/>
          <w:szCs w:val="20"/>
          <w:lang w:val="es-US"/>
        </w:rPr>
        <w:t xml:space="preserve">. </w:t>
      </w:r>
      <w:r w:rsidR="00A95266" w:rsidRPr="0011380E">
        <w:rPr>
          <w:rFonts w:asciiTheme="majorHAnsi" w:hAnsiTheme="majorHAnsi"/>
          <w:color w:val="auto"/>
          <w:szCs w:val="20"/>
          <w:lang w:val="es-US"/>
        </w:rPr>
        <w:t>Detalla la información que permitió capturar a los acusados</w:t>
      </w:r>
      <w:r w:rsidR="00A95266" w:rsidRPr="0011380E">
        <w:rPr>
          <w:rStyle w:val="FootnoteReference"/>
          <w:rFonts w:asciiTheme="majorHAnsi" w:hAnsiTheme="majorHAnsi"/>
          <w:color w:val="auto"/>
          <w:szCs w:val="20"/>
          <w:lang w:val="es-US"/>
        </w:rPr>
        <w:footnoteReference w:id="57"/>
      </w:r>
      <w:r w:rsidR="00A95266" w:rsidRPr="0011380E">
        <w:rPr>
          <w:rFonts w:asciiTheme="majorHAnsi" w:hAnsiTheme="majorHAnsi"/>
          <w:color w:val="auto"/>
          <w:szCs w:val="20"/>
          <w:lang w:val="es-US"/>
        </w:rPr>
        <w:t>, y explica que, s</w:t>
      </w:r>
      <w:r w:rsidR="00C05161" w:rsidRPr="0011380E">
        <w:rPr>
          <w:rFonts w:asciiTheme="majorHAnsi" w:hAnsiTheme="majorHAnsi"/>
          <w:color w:val="auto"/>
          <w:szCs w:val="20"/>
          <w:lang w:val="es-US"/>
        </w:rPr>
        <w:t xml:space="preserve">iguiendo las órdenes del Presidente y del Ministro de Gobierno, estuvo al mando de la operación </w:t>
      </w:r>
      <w:r w:rsidR="00D36E9B" w:rsidRPr="0011380E">
        <w:rPr>
          <w:rFonts w:asciiTheme="majorHAnsi" w:hAnsiTheme="majorHAnsi"/>
          <w:color w:val="auto"/>
          <w:szCs w:val="20"/>
          <w:lang w:val="es-US"/>
        </w:rPr>
        <w:t>y</w:t>
      </w:r>
      <w:r w:rsidR="00D138D2" w:rsidRPr="0011380E">
        <w:rPr>
          <w:rFonts w:asciiTheme="majorHAnsi" w:hAnsiTheme="majorHAnsi"/>
          <w:color w:val="auto"/>
          <w:szCs w:val="20"/>
          <w:lang w:val="es-US"/>
        </w:rPr>
        <w:t xml:space="preserve"> participó de los allanamientos</w:t>
      </w:r>
      <w:r w:rsidR="00C05161" w:rsidRPr="0011380E">
        <w:rPr>
          <w:rStyle w:val="FootnoteReference"/>
          <w:rFonts w:asciiTheme="majorHAnsi" w:hAnsiTheme="majorHAnsi"/>
          <w:color w:val="auto"/>
          <w:szCs w:val="20"/>
          <w:lang w:val="es-US"/>
        </w:rPr>
        <w:footnoteReference w:id="58"/>
      </w:r>
      <w:r w:rsidR="00D138D2" w:rsidRPr="0011380E">
        <w:rPr>
          <w:rFonts w:asciiTheme="majorHAnsi" w:hAnsiTheme="majorHAnsi"/>
          <w:color w:val="auto"/>
          <w:szCs w:val="20"/>
          <w:lang w:val="es-US"/>
        </w:rPr>
        <w:t xml:space="preserve">, </w:t>
      </w:r>
      <w:r w:rsidR="00D36E9B" w:rsidRPr="0011380E">
        <w:rPr>
          <w:rFonts w:asciiTheme="majorHAnsi" w:hAnsiTheme="majorHAnsi"/>
          <w:color w:val="auto"/>
          <w:szCs w:val="20"/>
          <w:lang w:val="es-US"/>
        </w:rPr>
        <w:t>mant</w:t>
      </w:r>
      <w:r w:rsidR="00D138D2" w:rsidRPr="0011380E">
        <w:rPr>
          <w:rFonts w:asciiTheme="majorHAnsi" w:hAnsiTheme="majorHAnsi"/>
          <w:color w:val="auto"/>
          <w:szCs w:val="20"/>
          <w:lang w:val="es-US"/>
        </w:rPr>
        <w:t>eniendo</w:t>
      </w:r>
      <w:r w:rsidR="00D36E9B" w:rsidRPr="0011380E">
        <w:rPr>
          <w:rFonts w:asciiTheme="majorHAnsi" w:hAnsiTheme="majorHAnsi"/>
          <w:color w:val="auto"/>
          <w:szCs w:val="20"/>
          <w:lang w:val="es-US"/>
        </w:rPr>
        <w:t xml:space="preserve"> al Presidente informado </w:t>
      </w:r>
      <w:r w:rsidR="00D138D2" w:rsidRPr="0011380E">
        <w:rPr>
          <w:rFonts w:asciiTheme="majorHAnsi" w:hAnsiTheme="majorHAnsi"/>
          <w:color w:val="auto"/>
          <w:szCs w:val="20"/>
          <w:lang w:val="es-US"/>
        </w:rPr>
        <w:t xml:space="preserve">permanentemente </w:t>
      </w:r>
      <w:r w:rsidR="00D36E9B" w:rsidRPr="0011380E">
        <w:rPr>
          <w:rFonts w:asciiTheme="majorHAnsi" w:hAnsiTheme="majorHAnsi"/>
          <w:color w:val="auto"/>
          <w:szCs w:val="20"/>
          <w:lang w:val="es-US"/>
        </w:rPr>
        <w:t>de los avances</w:t>
      </w:r>
      <w:r w:rsidR="00D138D2" w:rsidRPr="0011380E">
        <w:rPr>
          <w:rStyle w:val="FootnoteReference"/>
          <w:rFonts w:asciiTheme="majorHAnsi" w:hAnsiTheme="majorHAnsi"/>
          <w:color w:val="auto"/>
          <w:szCs w:val="20"/>
          <w:lang w:val="es-US"/>
        </w:rPr>
        <w:footnoteReference w:id="59"/>
      </w:r>
      <w:r w:rsidR="00C05161" w:rsidRPr="0011380E">
        <w:rPr>
          <w:rFonts w:asciiTheme="majorHAnsi" w:hAnsiTheme="majorHAnsi"/>
          <w:color w:val="auto"/>
          <w:szCs w:val="20"/>
          <w:lang w:val="es-US"/>
        </w:rPr>
        <w:t>.</w:t>
      </w:r>
      <w:r w:rsidRPr="0011380E">
        <w:rPr>
          <w:rFonts w:asciiTheme="majorHAnsi" w:hAnsiTheme="majorHAnsi"/>
          <w:color w:val="auto"/>
          <w:szCs w:val="20"/>
          <w:lang w:val="es-US"/>
        </w:rPr>
        <w:t xml:space="preserve"> </w:t>
      </w:r>
      <w:r w:rsidR="00A95266" w:rsidRPr="0011380E">
        <w:rPr>
          <w:rFonts w:asciiTheme="majorHAnsi" w:hAnsiTheme="majorHAnsi"/>
          <w:color w:val="auto"/>
          <w:szCs w:val="20"/>
          <w:lang w:val="es-US"/>
        </w:rPr>
        <w:t xml:space="preserve">Además, </w:t>
      </w:r>
      <w:r w:rsidR="00C05161" w:rsidRPr="0011380E">
        <w:rPr>
          <w:rFonts w:asciiTheme="majorHAnsi" w:hAnsiTheme="majorHAnsi"/>
          <w:color w:val="auto"/>
          <w:szCs w:val="20"/>
          <w:lang w:val="es-US"/>
        </w:rPr>
        <w:t>r</w:t>
      </w:r>
      <w:r w:rsidR="00D138D2" w:rsidRPr="0011380E">
        <w:rPr>
          <w:rFonts w:asciiTheme="majorHAnsi" w:hAnsiTheme="majorHAnsi"/>
          <w:color w:val="auto"/>
          <w:szCs w:val="20"/>
          <w:lang w:val="es-US"/>
        </w:rPr>
        <w:t>econoce que habían niños en los inmuebles</w:t>
      </w:r>
      <w:r w:rsidR="00A95266" w:rsidRPr="0011380E">
        <w:rPr>
          <w:rFonts w:asciiTheme="majorHAnsi" w:hAnsiTheme="majorHAnsi"/>
          <w:color w:val="auto"/>
          <w:szCs w:val="20"/>
          <w:lang w:val="es-US"/>
        </w:rPr>
        <w:t xml:space="preserve"> allanados</w:t>
      </w:r>
      <w:r w:rsidR="00C05161" w:rsidRPr="0011380E">
        <w:rPr>
          <w:rFonts w:asciiTheme="majorHAnsi" w:hAnsiTheme="majorHAnsi"/>
          <w:color w:val="auto"/>
          <w:szCs w:val="20"/>
          <w:lang w:val="es-US"/>
        </w:rPr>
        <w:t>,</w:t>
      </w:r>
      <w:r w:rsidR="00D138D2" w:rsidRPr="0011380E">
        <w:rPr>
          <w:rFonts w:asciiTheme="majorHAnsi" w:hAnsiTheme="majorHAnsi"/>
          <w:color w:val="auto"/>
          <w:szCs w:val="20"/>
          <w:lang w:val="es-US"/>
        </w:rPr>
        <w:t xml:space="preserve"> pero niega que hayan sido esposados</w:t>
      </w:r>
      <w:r w:rsidR="00D138D2" w:rsidRPr="0011380E">
        <w:rPr>
          <w:rStyle w:val="FootnoteReference"/>
          <w:rFonts w:asciiTheme="majorHAnsi" w:hAnsiTheme="majorHAnsi"/>
          <w:color w:val="auto"/>
          <w:szCs w:val="20"/>
          <w:lang w:val="es-US"/>
        </w:rPr>
        <w:footnoteReference w:id="60"/>
      </w:r>
      <w:r w:rsidR="00D138D2" w:rsidRPr="0011380E">
        <w:rPr>
          <w:rFonts w:asciiTheme="majorHAnsi" w:hAnsiTheme="majorHAnsi"/>
          <w:color w:val="auto"/>
          <w:szCs w:val="20"/>
          <w:lang w:val="es-US"/>
        </w:rPr>
        <w:t xml:space="preserve"> y dice no recordar si fueron presentados a la televisión</w:t>
      </w:r>
      <w:r w:rsidR="00D138D2" w:rsidRPr="0011380E">
        <w:rPr>
          <w:rStyle w:val="FootnoteReference"/>
          <w:rFonts w:asciiTheme="majorHAnsi" w:hAnsiTheme="majorHAnsi"/>
          <w:color w:val="auto"/>
          <w:szCs w:val="20"/>
          <w:lang w:val="es-US"/>
        </w:rPr>
        <w:footnoteReference w:id="61"/>
      </w:r>
      <w:r w:rsidR="00D138D2" w:rsidRPr="0011380E">
        <w:rPr>
          <w:rFonts w:asciiTheme="majorHAnsi" w:hAnsiTheme="majorHAnsi"/>
          <w:color w:val="auto"/>
          <w:szCs w:val="20"/>
          <w:lang w:val="es-US"/>
        </w:rPr>
        <w:t>.</w:t>
      </w:r>
      <w:r w:rsidR="00C05161" w:rsidRPr="0011380E">
        <w:rPr>
          <w:rFonts w:asciiTheme="majorHAnsi" w:hAnsiTheme="majorHAnsi"/>
          <w:color w:val="auto"/>
          <w:szCs w:val="20"/>
          <w:lang w:val="es-US"/>
        </w:rPr>
        <w:t xml:space="preserve"> </w:t>
      </w:r>
      <w:r w:rsidR="000350D0" w:rsidRPr="0011380E">
        <w:rPr>
          <w:rFonts w:asciiTheme="majorHAnsi" w:hAnsiTheme="majorHAnsi"/>
          <w:color w:val="auto"/>
          <w:szCs w:val="20"/>
          <w:lang w:val="es-US"/>
        </w:rPr>
        <w:t xml:space="preserve">En cuanto al maltrato sufrido por los detenidos, </w:t>
      </w:r>
      <w:r w:rsidR="00780168" w:rsidRPr="0011380E">
        <w:rPr>
          <w:rFonts w:asciiTheme="majorHAnsi" w:hAnsiTheme="majorHAnsi"/>
          <w:color w:val="auto"/>
          <w:szCs w:val="20"/>
          <w:lang w:val="es-US"/>
        </w:rPr>
        <w:t xml:space="preserve">sin negar los hechos, </w:t>
      </w:r>
      <w:r w:rsidR="00C05161" w:rsidRPr="0011380E">
        <w:rPr>
          <w:rFonts w:asciiTheme="majorHAnsi" w:hAnsiTheme="majorHAnsi"/>
          <w:color w:val="auto"/>
          <w:szCs w:val="20"/>
          <w:lang w:val="es-US"/>
        </w:rPr>
        <w:t xml:space="preserve">Osinaga dijo desconocer por qué los sujetos estaban golpeados, arguyendo que él </w:t>
      </w:r>
      <w:r w:rsidR="00780168" w:rsidRPr="0011380E">
        <w:rPr>
          <w:rFonts w:asciiTheme="majorHAnsi" w:hAnsiTheme="majorHAnsi"/>
          <w:color w:val="auto"/>
          <w:szCs w:val="20"/>
          <w:lang w:val="es-US"/>
        </w:rPr>
        <w:t>había sido</w:t>
      </w:r>
      <w:r w:rsidR="00C05161" w:rsidRPr="0011380E">
        <w:rPr>
          <w:rFonts w:asciiTheme="majorHAnsi" w:hAnsiTheme="majorHAnsi"/>
          <w:color w:val="auto"/>
          <w:szCs w:val="20"/>
          <w:lang w:val="es-US"/>
        </w:rPr>
        <w:t xml:space="preserve"> siempre el último en entrar a los inmuebles y explicando que el Comandante tenía facultades para dar de baja a los policías que cometieran</w:t>
      </w:r>
      <w:r w:rsidR="000350D0" w:rsidRPr="0011380E">
        <w:rPr>
          <w:rFonts w:asciiTheme="majorHAnsi" w:hAnsiTheme="majorHAnsi"/>
          <w:color w:val="auto"/>
          <w:szCs w:val="20"/>
          <w:lang w:val="es-US"/>
        </w:rPr>
        <w:t xml:space="preserve"> </w:t>
      </w:r>
      <w:r w:rsidR="000350D0" w:rsidRPr="0011380E">
        <w:rPr>
          <w:rFonts w:asciiTheme="majorHAnsi" w:hAnsiTheme="majorHAnsi"/>
          <w:color w:val="auto"/>
          <w:szCs w:val="20"/>
          <w:lang w:val="es-US"/>
        </w:rPr>
        <w:lastRenderedPageBreak/>
        <w:t>abusos</w:t>
      </w:r>
      <w:r w:rsidR="000350D0" w:rsidRPr="0011380E">
        <w:rPr>
          <w:rStyle w:val="FootnoteReference"/>
          <w:rFonts w:asciiTheme="majorHAnsi" w:hAnsiTheme="majorHAnsi"/>
          <w:color w:val="auto"/>
          <w:szCs w:val="20"/>
          <w:lang w:val="es-US"/>
        </w:rPr>
        <w:footnoteReference w:id="62"/>
      </w:r>
      <w:r w:rsidR="000350D0" w:rsidRPr="0011380E">
        <w:rPr>
          <w:rFonts w:asciiTheme="majorHAnsi" w:hAnsiTheme="majorHAnsi"/>
          <w:color w:val="auto"/>
          <w:szCs w:val="20"/>
          <w:lang w:val="es-US"/>
        </w:rPr>
        <w:t>. Sin embargo</w:t>
      </w:r>
      <w:r w:rsidR="00506073" w:rsidRPr="0011380E">
        <w:rPr>
          <w:rFonts w:asciiTheme="majorHAnsi" w:hAnsiTheme="majorHAnsi"/>
          <w:color w:val="auto"/>
          <w:szCs w:val="20"/>
          <w:lang w:val="es-US"/>
        </w:rPr>
        <w:t>,</w:t>
      </w:r>
      <w:r w:rsidR="000350D0" w:rsidRPr="0011380E">
        <w:rPr>
          <w:rFonts w:asciiTheme="majorHAnsi" w:hAnsiTheme="majorHAnsi"/>
          <w:color w:val="auto"/>
          <w:szCs w:val="20"/>
          <w:lang w:val="es-US"/>
        </w:rPr>
        <w:t xml:space="preserve"> reconoció </w:t>
      </w:r>
      <w:r w:rsidR="00780168" w:rsidRPr="0011380E">
        <w:rPr>
          <w:rFonts w:asciiTheme="majorHAnsi" w:hAnsiTheme="majorHAnsi"/>
          <w:color w:val="auto"/>
          <w:szCs w:val="20"/>
          <w:lang w:val="es-US"/>
        </w:rPr>
        <w:t xml:space="preserve">explícitamente ciertos daños </w:t>
      </w:r>
      <w:r w:rsidR="00506073" w:rsidRPr="0011380E">
        <w:rPr>
          <w:rFonts w:asciiTheme="majorHAnsi" w:hAnsiTheme="majorHAnsi"/>
          <w:color w:val="auto"/>
          <w:szCs w:val="20"/>
          <w:lang w:val="es-US"/>
        </w:rPr>
        <w:t>a</w:t>
      </w:r>
      <w:r w:rsidR="00780168" w:rsidRPr="0011380E">
        <w:rPr>
          <w:rFonts w:asciiTheme="majorHAnsi" w:hAnsiTheme="majorHAnsi"/>
          <w:color w:val="auto"/>
          <w:szCs w:val="20"/>
          <w:lang w:val="es-US"/>
        </w:rPr>
        <w:t xml:space="preserve"> los </w:t>
      </w:r>
      <w:r w:rsidR="000350D0" w:rsidRPr="0011380E">
        <w:rPr>
          <w:rFonts w:asciiTheme="majorHAnsi" w:hAnsiTheme="majorHAnsi"/>
          <w:color w:val="auto"/>
          <w:szCs w:val="20"/>
          <w:lang w:val="es-US"/>
        </w:rPr>
        <w:t xml:space="preserve">inmuebles, incluso </w:t>
      </w:r>
      <w:r w:rsidR="00506073" w:rsidRPr="0011380E">
        <w:rPr>
          <w:rFonts w:asciiTheme="majorHAnsi" w:hAnsiTheme="majorHAnsi"/>
          <w:color w:val="auto"/>
          <w:szCs w:val="20"/>
          <w:lang w:val="es-US"/>
        </w:rPr>
        <w:t>indicando</w:t>
      </w:r>
      <w:r w:rsidR="000350D0" w:rsidRPr="0011380E">
        <w:rPr>
          <w:rFonts w:asciiTheme="majorHAnsi" w:hAnsiTheme="majorHAnsi"/>
          <w:color w:val="auto"/>
          <w:szCs w:val="20"/>
          <w:lang w:val="es-US"/>
        </w:rPr>
        <w:t xml:space="preserve"> que </w:t>
      </w:r>
      <w:r w:rsidR="00506073" w:rsidRPr="0011380E">
        <w:rPr>
          <w:rFonts w:asciiTheme="majorHAnsi" w:hAnsiTheme="majorHAnsi"/>
          <w:color w:val="auto"/>
          <w:szCs w:val="20"/>
          <w:lang w:val="es-US"/>
        </w:rPr>
        <w:t xml:space="preserve">la Policía </w:t>
      </w:r>
      <w:r w:rsidR="000350D0" w:rsidRPr="0011380E">
        <w:rPr>
          <w:rFonts w:asciiTheme="majorHAnsi" w:hAnsiTheme="majorHAnsi"/>
          <w:color w:val="auto"/>
          <w:szCs w:val="20"/>
          <w:lang w:val="es-US"/>
        </w:rPr>
        <w:t xml:space="preserve">había tenido que pagar </w:t>
      </w:r>
      <w:r w:rsidR="0057365F" w:rsidRPr="0011380E">
        <w:rPr>
          <w:rFonts w:asciiTheme="majorHAnsi" w:hAnsiTheme="majorHAnsi"/>
          <w:color w:val="auto"/>
          <w:szCs w:val="20"/>
          <w:lang w:val="es-US"/>
        </w:rPr>
        <w:t xml:space="preserve">por </w:t>
      </w:r>
      <w:r w:rsidR="000350D0" w:rsidRPr="0011380E">
        <w:rPr>
          <w:rFonts w:asciiTheme="majorHAnsi" w:hAnsiTheme="majorHAnsi"/>
          <w:color w:val="auto"/>
          <w:szCs w:val="20"/>
          <w:lang w:val="es-US"/>
        </w:rPr>
        <w:t>una puerta</w:t>
      </w:r>
      <w:r w:rsidR="000350D0" w:rsidRPr="0011380E">
        <w:rPr>
          <w:rStyle w:val="FootnoteReference"/>
          <w:rFonts w:asciiTheme="majorHAnsi" w:hAnsiTheme="majorHAnsi"/>
          <w:color w:val="auto"/>
          <w:szCs w:val="20"/>
          <w:lang w:val="es-US"/>
        </w:rPr>
        <w:footnoteReference w:id="63"/>
      </w:r>
      <w:r w:rsidR="00780168" w:rsidRPr="0011380E">
        <w:rPr>
          <w:rFonts w:asciiTheme="majorHAnsi" w:hAnsiTheme="majorHAnsi"/>
          <w:color w:val="auto"/>
          <w:szCs w:val="20"/>
          <w:lang w:val="es-US"/>
        </w:rPr>
        <w:t xml:space="preserve">. </w:t>
      </w:r>
    </w:p>
    <w:p w14:paraId="3929FA4B" w14:textId="77777777" w:rsidR="0046035D" w:rsidRPr="0011380E" w:rsidRDefault="0046035D" w:rsidP="0011380E">
      <w:pPr>
        <w:pStyle w:val="ListParagraph"/>
        <w:numPr>
          <w:ilvl w:val="0"/>
          <w:numId w:val="0"/>
        </w:numPr>
        <w:rPr>
          <w:rFonts w:asciiTheme="majorHAnsi" w:hAnsiTheme="majorHAnsi"/>
          <w:color w:val="auto"/>
          <w:szCs w:val="20"/>
          <w:lang w:val="es-US"/>
        </w:rPr>
      </w:pPr>
    </w:p>
    <w:p w14:paraId="1A73D5C2" w14:textId="77777777" w:rsidR="00F137AC" w:rsidRPr="0011380E" w:rsidRDefault="00780168"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También resulta de relevancia el testimonio de Andrés Sánchez Guegner, Director Nacional de la PTJ</w:t>
      </w:r>
      <w:r w:rsidR="00AA73BD" w:rsidRPr="0011380E">
        <w:rPr>
          <w:rFonts w:asciiTheme="majorHAnsi" w:hAnsiTheme="majorHAnsi"/>
          <w:color w:val="auto"/>
          <w:szCs w:val="20"/>
          <w:lang w:val="es-US"/>
        </w:rPr>
        <w:t xml:space="preserve"> el año 2001, quien otorgó </w:t>
      </w:r>
      <w:r w:rsidR="00A95266" w:rsidRPr="0011380E">
        <w:rPr>
          <w:rFonts w:asciiTheme="majorHAnsi" w:hAnsiTheme="majorHAnsi"/>
          <w:color w:val="auto"/>
          <w:szCs w:val="20"/>
          <w:lang w:val="es-US"/>
        </w:rPr>
        <w:t xml:space="preserve">mayores </w:t>
      </w:r>
      <w:r w:rsidR="00AA73BD" w:rsidRPr="0011380E">
        <w:rPr>
          <w:rFonts w:asciiTheme="majorHAnsi" w:hAnsiTheme="majorHAnsi"/>
          <w:color w:val="auto"/>
          <w:szCs w:val="20"/>
          <w:lang w:val="es-US"/>
        </w:rPr>
        <w:t xml:space="preserve">detalles de las investigaciones </w:t>
      </w:r>
      <w:r w:rsidR="00A95266" w:rsidRPr="0011380E">
        <w:rPr>
          <w:rFonts w:asciiTheme="majorHAnsi" w:hAnsiTheme="majorHAnsi"/>
          <w:color w:val="auto"/>
          <w:szCs w:val="20"/>
          <w:lang w:val="es-US"/>
        </w:rPr>
        <w:t>que permitieron dar con el paradero de los detenidos</w:t>
      </w:r>
      <w:r w:rsidR="00A95266" w:rsidRPr="0011380E">
        <w:rPr>
          <w:rStyle w:val="FootnoteReference"/>
          <w:rFonts w:asciiTheme="majorHAnsi" w:hAnsiTheme="majorHAnsi"/>
          <w:color w:val="auto"/>
          <w:szCs w:val="20"/>
          <w:lang w:val="es-US"/>
        </w:rPr>
        <w:footnoteReference w:id="64"/>
      </w:r>
      <w:r w:rsidR="00A95266" w:rsidRPr="0011380E">
        <w:rPr>
          <w:rFonts w:asciiTheme="majorHAnsi" w:hAnsiTheme="majorHAnsi"/>
          <w:color w:val="auto"/>
          <w:szCs w:val="20"/>
          <w:lang w:val="es-US"/>
        </w:rPr>
        <w:t xml:space="preserve">. </w:t>
      </w:r>
      <w:r w:rsidR="0046035D" w:rsidRPr="0011380E">
        <w:rPr>
          <w:rFonts w:asciiTheme="majorHAnsi" w:hAnsiTheme="majorHAnsi"/>
          <w:color w:val="auto"/>
          <w:szCs w:val="20"/>
          <w:lang w:val="es-US"/>
        </w:rPr>
        <w:t>Respecto de los arrestos, detalla que en la casa de la familia Lulleman, allanada aproximadamente a las 3.30 am</w:t>
      </w:r>
      <w:r w:rsidR="0046035D" w:rsidRPr="0011380E">
        <w:rPr>
          <w:rStyle w:val="FootnoteReference"/>
          <w:rFonts w:asciiTheme="majorHAnsi" w:hAnsiTheme="majorHAnsi"/>
          <w:color w:val="auto"/>
          <w:szCs w:val="20"/>
          <w:lang w:val="es-US"/>
        </w:rPr>
        <w:footnoteReference w:id="65"/>
      </w:r>
      <w:r w:rsidR="0046035D" w:rsidRPr="0011380E">
        <w:rPr>
          <w:rFonts w:asciiTheme="majorHAnsi" w:hAnsiTheme="majorHAnsi"/>
          <w:color w:val="auto"/>
          <w:szCs w:val="20"/>
          <w:lang w:val="es-US"/>
        </w:rPr>
        <w:t>, efectivamente se había arrestado a Raúl Lulleman, su hermana, su madre y una empleada doméstica</w:t>
      </w:r>
      <w:r w:rsidR="0046035D" w:rsidRPr="0011380E">
        <w:rPr>
          <w:rStyle w:val="FootnoteReference"/>
          <w:rFonts w:asciiTheme="majorHAnsi" w:hAnsiTheme="majorHAnsi"/>
          <w:color w:val="auto"/>
          <w:szCs w:val="20"/>
          <w:lang w:val="es-US"/>
        </w:rPr>
        <w:footnoteReference w:id="66"/>
      </w:r>
      <w:r w:rsidR="0046035D" w:rsidRPr="0011380E">
        <w:rPr>
          <w:rFonts w:asciiTheme="majorHAnsi" w:hAnsiTheme="majorHAnsi"/>
          <w:color w:val="auto"/>
          <w:szCs w:val="20"/>
          <w:lang w:val="es-US"/>
        </w:rPr>
        <w:t>. También recuerda que en la casa de Patricia Gallardo se encontraba una de sus hijas y un</w:t>
      </w:r>
      <w:r w:rsidR="00A117B8" w:rsidRPr="0011380E">
        <w:rPr>
          <w:rFonts w:asciiTheme="majorHAnsi" w:hAnsiTheme="majorHAnsi"/>
          <w:color w:val="auto"/>
          <w:szCs w:val="20"/>
          <w:lang w:val="es-US"/>
        </w:rPr>
        <w:t xml:space="preserve"> niño</w:t>
      </w:r>
      <w:r w:rsidR="0046035D" w:rsidRPr="0011380E">
        <w:rPr>
          <w:rStyle w:val="FootnoteReference"/>
          <w:rFonts w:asciiTheme="majorHAnsi" w:hAnsiTheme="majorHAnsi"/>
          <w:color w:val="auto"/>
          <w:szCs w:val="20"/>
          <w:lang w:val="es-US"/>
        </w:rPr>
        <w:footnoteReference w:id="67"/>
      </w:r>
      <w:r w:rsidR="0046035D" w:rsidRPr="0011380E">
        <w:rPr>
          <w:rFonts w:asciiTheme="majorHAnsi" w:hAnsiTheme="majorHAnsi"/>
          <w:color w:val="auto"/>
          <w:szCs w:val="20"/>
          <w:lang w:val="es-US"/>
        </w:rPr>
        <w:t>.</w:t>
      </w:r>
      <w:r w:rsidR="00DD3FE1" w:rsidRPr="0011380E">
        <w:rPr>
          <w:rFonts w:asciiTheme="majorHAnsi" w:hAnsiTheme="majorHAnsi"/>
          <w:color w:val="auto"/>
          <w:szCs w:val="20"/>
          <w:lang w:val="es-US"/>
        </w:rPr>
        <w:t xml:space="preserve"> </w:t>
      </w:r>
      <w:r w:rsidR="004623B0" w:rsidRPr="0011380E">
        <w:rPr>
          <w:rFonts w:asciiTheme="majorHAnsi" w:hAnsiTheme="majorHAnsi"/>
          <w:color w:val="auto"/>
          <w:szCs w:val="20"/>
          <w:lang w:val="es-US"/>
        </w:rPr>
        <w:t>Indica que ingresó a la casa de Blas Valencia, pero que no se había raptado, detenido ni exhibido a la prensa a ningún menor de edad</w:t>
      </w:r>
      <w:r w:rsidR="004623B0" w:rsidRPr="0011380E">
        <w:rPr>
          <w:rStyle w:val="FootnoteReference"/>
          <w:rFonts w:asciiTheme="majorHAnsi" w:hAnsiTheme="majorHAnsi"/>
          <w:color w:val="auto"/>
          <w:szCs w:val="20"/>
          <w:lang w:val="es-US"/>
        </w:rPr>
        <w:footnoteReference w:id="68"/>
      </w:r>
      <w:r w:rsidR="004623B0" w:rsidRPr="0011380E">
        <w:rPr>
          <w:rFonts w:asciiTheme="majorHAnsi" w:hAnsiTheme="majorHAnsi"/>
          <w:color w:val="auto"/>
          <w:szCs w:val="20"/>
          <w:lang w:val="es-US"/>
        </w:rPr>
        <w:t xml:space="preserve">. </w:t>
      </w:r>
      <w:r w:rsidR="00DD3FE1" w:rsidRPr="0011380E">
        <w:rPr>
          <w:rFonts w:asciiTheme="majorHAnsi" w:hAnsiTheme="majorHAnsi"/>
          <w:color w:val="auto"/>
          <w:szCs w:val="20"/>
          <w:lang w:val="es-US"/>
        </w:rPr>
        <w:t xml:space="preserve">Respecto de las alegaciones de los peticionarios, indica que efectivamente vio que varias personas presentaban hematomas e indica que pidió que se convocaran a médicos forenses, pero </w:t>
      </w:r>
      <w:r w:rsidR="00A97286" w:rsidRPr="0011380E">
        <w:rPr>
          <w:rFonts w:asciiTheme="majorHAnsi" w:hAnsiTheme="majorHAnsi"/>
          <w:color w:val="auto"/>
          <w:szCs w:val="20"/>
          <w:lang w:val="es-US"/>
        </w:rPr>
        <w:t xml:space="preserve">insistió en </w:t>
      </w:r>
      <w:r w:rsidR="00DD3FE1" w:rsidRPr="0011380E">
        <w:rPr>
          <w:rFonts w:asciiTheme="majorHAnsi" w:hAnsiTheme="majorHAnsi"/>
          <w:color w:val="auto"/>
          <w:szCs w:val="20"/>
          <w:lang w:val="es-US"/>
        </w:rPr>
        <w:t>que las declaraciones las tomaban los i</w:t>
      </w:r>
      <w:r w:rsidR="004623B0" w:rsidRPr="0011380E">
        <w:rPr>
          <w:rFonts w:asciiTheme="majorHAnsi" w:hAnsiTheme="majorHAnsi"/>
          <w:color w:val="auto"/>
          <w:szCs w:val="20"/>
          <w:lang w:val="es-US"/>
        </w:rPr>
        <w:t>nvestigadores asignados al caso y que él no se encontraba presente</w:t>
      </w:r>
      <w:r w:rsidR="004623B0" w:rsidRPr="0011380E">
        <w:rPr>
          <w:rStyle w:val="FootnoteReference"/>
          <w:rFonts w:asciiTheme="majorHAnsi" w:hAnsiTheme="majorHAnsi"/>
          <w:color w:val="auto"/>
          <w:szCs w:val="20"/>
          <w:lang w:val="es-US"/>
        </w:rPr>
        <w:footnoteReference w:id="69"/>
      </w:r>
      <w:r w:rsidR="004623B0" w:rsidRPr="0011380E">
        <w:rPr>
          <w:rFonts w:asciiTheme="majorHAnsi" w:hAnsiTheme="majorHAnsi"/>
          <w:color w:val="auto"/>
          <w:szCs w:val="20"/>
          <w:lang w:val="es-US"/>
        </w:rPr>
        <w:t>.</w:t>
      </w:r>
    </w:p>
    <w:p w14:paraId="68DC2407" w14:textId="77777777" w:rsidR="00C63ED6" w:rsidRPr="0011380E" w:rsidRDefault="00C63ED6" w:rsidP="0011380E">
      <w:pPr>
        <w:pStyle w:val="ListParagraph"/>
        <w:numPr>
          <w:ilvl w:val="0"/>
          <w:numId w:val="0"/>
        </w:numPr>
        <w:rPr>
          <w:rFonts w:asciiTheme="majorHAnsi" w:hAnsiTheme="majorHAnsi"/>
          <w:color w:val="auto"/>
          <w:szCs w:val="20"/>
          <w:lang w:val="es-US"/>
        </w:rPr>
      </w:pPr>
    </w:p>
    <w:p w14:paraId="605F155B" w14:textId="77777777" w:rsidR="00365B7F" w:rsidRPr="0011380E" w:rsidRDefault="00365B7F"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Blas Valencia</w:t>
      </w:r>
      <w:r w:rsidR="00256B6C" w:rsidRPr="0011380E">
        <w:rPr>
          <w:rFonts w:asciiTheme="majorHAnsi" w:hAnsiTheme="majorHAnsi"/>
          <w:color w:val="auto"/>
          <w:szCs w:val="20"/>
          <w:lang w:val="es-US"/>
        </w:rPr>
        <w:t>, Eladio Cruz Añez, Patricia Gallardo y Francis Primentela Merino renunciaron</w:t>
      </w:r>
      <w:r w:rsidRPr="0011380E">
        <w:rPr>
          <w:rFonts w:asciiTheme="majorHAnsi" w:hAnsiTheme="majorHAnsi"/>
          <w:color w:val="auto"/>
          <w:szCs w:val="20"/>
          <w:lang w:val="es-US"/>
        </w:rPr>
        <w:t xml:space="preserve"> a presentar pruebas de descargo</w:t>
      </w:r>
      <w:r w:rsidRPr="0011380E">
        <w:rPr>
          <w:rStyle w:val="FootnoteReference"/>
          <w:rFonts w:asciiTheme="majorHAnsi" w:hAnsiTheme="majorHAnsi"/>
          <w:color w:val="auto"/>
          <w:szCs w:val="20"/>
          <w:lang w:val="es-US"/>
        </w:rPr>
        <w:footnoteReference w:id="70"/>
      </w:r>
      <w:r w:rsidRPr="0011380E">
        <w:rPr>
          <w:rFonts w:asciiTheme="majorHAnsi" w:hAnsiTheme="majorHAnsi"/>
          <w:color w:val="auto"/>
          <w:szCs w:val="20"/>
          <w:lang w:val="es-US"/>
        </w:rPr>
        <w:t>.</w:t>
      </w:r>
      <w:r w:rsidR="004D4F15" w:rsidRPr="0011380E">
        <w:rPr>
          <w:rFonts w:asciiTheme="majorHAnsi" w:hAnsiTheme="majorHAnsi"/>
          <w:color w:val="auto"/>
          <w:szCs w:val="20"/>
          <w:lang w:val="es-US"/>
        </w:rPr>
        <w:t xml:space="preserve"> Rosario Viscarra Garnica, abogada</w:t>
      </w:r>
      <w:r w:rsidR="0012289E" w:rsidRPr="0011380E">
        <w:rPr>
          <w:rFonts w:asciiTheme="majorHAnsi" w:hAnsiTheme="majorHAnsi"/>
          <w:color w:val="auto"/>
          <w:szCs w:val="20"/>
          <w:lang w:val="es-US"/>
        </w:rPr>
        <w:t xml:space="preserve"> de la Comisión de Derechos Humanos de la Cámara de </w:t>
      </w:r>
      <w:r w:rsidR="0066584F" w:rsidRPr="0011380E">
        <w:rPr>
          <w:rFonts w:asciiTheme="majorHAnsi" w:hAnsiTheme="majorHAnsi"/>
          <w:color w:val="auto"/>
          <w:szCs w:val="20"/>
          <w:lang w:val="es-US"/>
        </w:rPr>
        <w:t xml:space="preserve">Diputados, presentada como </w:t>
      </w:r>
      <w:r w:rsidR="004B70BB" w:rsidRPr="0011380E">
        <w:rPr>
          <w:rFonts w:asciiTheme="majorHAnsi" w:hAnsiTheme="majorHAnsi"/>
          <w:color w:val="auto"/>
          <w:szCs w:val="20"/>
          <w:lang w:val="es-US"/>
        </w:rPr>
        <w:t>testigo</w:t>
      </w:r>
      <w:r w:rsidR="0066584F" w:rsidRPr="0011380E">
        <w:rPr>
          <w:rFonts w:asciiTheme="majorHAnsi" w:hAnsiTheme="majorHAnsi"/>
          <w:color w:val="auto"/>
          <w:szCs w:val="20"/>
          <w:lang w:val="es-US"/>
        </w:rPr>
        <w:t xml:space="preserve"> de descargo</w:t>
      </w:r>
      <w:r w:rsidR="0057365F" w:rsidRPr="0011380E">
        <w:rPr>
          <w:rFonts w:asciiTheme="majorHAnsi" w:hAnsiTheme="majorHAnsi"/>
          <w:color w:val="auto"/>
          <w:szCs w:val="20"/>
          <w:lang w:val="es-US"/>
        </w:rPr>
        <w:t xml:space="preserve"> por otra acusada</w:t>
      </w:r>
      <w:r w:rsidR="00267867" w:rsidRPr="0011380E">
        <w:rPr>
          <w:rFonts w:asciiTheme="majorHAnsi" w:hAnsiTheme="majorHAnsi"/>
          <w:color w:val="auto"/>
          <w:szCs w:val="20"/>
          <w:lang w:val="es-US"/>
        </w:rPr>
        <w:t xml:space="preserve">, declaró que se constituyó en las dependencias de la PTJ y constató que Blas Valencia presentaba un hematoma </w:t>
      </w:r>
      <w:r w:rsidR="0099661E" w:rsidRPr="0011380E">
        <w:rPr>
          <w:rFonts w:asciiTheme="majorHAnsi" w:hAnsiTheme="majorHAnsi"/>
          <w:color w:val="auto"/>
          <w:szCs w:val="20"/>
          <w:lang w:val="es-US"/>
        </w:rPr>
        <w:t>en el pómulo izquierdo</w:t>
      </w:r>
      <w:r w:rsidR="00267867" w:rsidRPr="0011380E">
        <w:rPr>
          <w:rStyle w:val="FootnoteReference"/>
          <w:rFonts w:asciiTheme="majorHAnsi" w:hAnsiTheme="majorHAnsi"/>
          <w:color w:val="auto"/>
          <w:szCs w:val="20"/>
          <w:lang w:val="es-US"/>
        </w:rPr>
        <w:footnoteReference w:id="71"/>
      </w:r>
      <w:r w:rsidR="00267867" w:rsidRPr="0011380E">
        <w:rPr>
          <w:rFonts w:asciiTheme="majorHAnsi" w:hAnsiTheme="majorHAnsi"/>
          <w:color w:val="auto"/>
          <w:szCs w:val="20"/>
          <w:lang w:val="es-US"/>
        </w:rPr>
        <w:t xml:space="preserve">. </w:t>
      </w:r>
      <w:r w:rsidR="000825B7" w:rsidRPr="0011380E">
        <w:rPr>
          <w:rFonts w:asciiTheme="majorHAnsi" w:hAnsiTheme="majorHAnsi"/>
          <w:color w:val="auto"/>
          <w:szCs w:val="20"/>
          <w:lang w:val="es-US"/>
        </w:rPr>
        <w:t>I</w:t>
      </w:r>
      <w:r w:rsidR="00267867" w:rsidRPr="0011380E">
        <w:rPr>
          <w:rFonts w:asciiTheme="majorHAnsi" w:hAnsiTheme="majorHAnsi"/>
          <w:color w:val="auto"/>
          <w:szCs w:val="20"/>
          <w:lang w:val="es-US"/>
        </w:rPr>
        <w:t xml:space="preserve">ndicó que </w:t>
      </w:r>
      <w:r w:rsidR="000825B7" w:rsidRPr="0011380E">
        <w:rPr>
          <w:rFonts w:asciiTheme="majorHAnsi" w:hAnsiTheme="majorHAnsi"/>
          <w:color w:val="auto"/>
          <w:szCs w:val="20"/>
          <w:lang w:val="es-US"/>
        </w:rPr>
        <w:t xml:space="preserve">asistió </w:t>
      </w:r>
      <w:r w:rsidR="00267867" w:rsidRPr="0011380E">
        <w:rPr>
          <w:rFonts w:asciiTheme="majorHAnsi" w:hAnsiTheme="majorHAnsi"/>
          <w:color w:val="auto"/>
          <w:szCs w:val="20"/>
          <w:lang w:val="es-US"/>
        </w:rPr>
        <w:t xml:space="preserve">ante denuncias </w:t>
      </w:r>
      <w:r w:rsidR="004B70BB" w:rsidRPr="0011380E">
        <w:rPr>
          <w:rFonts w:asciiTheme="majorHAnsi" w:hAnsiTheme="majorHAnsi"/>
          <w:color w:val="auto"/>
          <w:szCs w:val="20"/>
          <w:lang w:val="es-US"/>
        </w:rPr>
        <w:t xml:space="preserve">de </w:t>
      </w:r>
      <w:r w:rsidR="00267867" w:rsidRPr="0011380E">
        <w:rPr>
          <w:rFonts w:asciiTheme="majorHAnsi" w:hAnsiTheme="majorHAnsi"/>
          <w:color w:val="auto"/>
          <w:szCs w:val="20"/>
          <w:lang w:val="es-US"/>
        </w:rPr>
        <w:t>que los detenidos no podían utilizar servicios de baño, no contaban con alimentos</w:t>
      </w:r>
      <w:r w:rsidR="0099661E" w:rsidRPr="0011380E">
        <w:rPr>
          <w:rFonts w:asciiTheme="majorHAnsi" w:hAnsiTheme="majorHAnsi"/>
          <w:color w:val="auto"/>
          <w:szCs w:val="20"/>
          <w:lang w:val="es-US"/>
        </w:rPr>
        <w:t xml:space="preserve"> ni medicamentos</w:t>
      </w:r>
      <w:r w:rsidR="00267867" w:rsidRPr="0011380E">
        <w:rPr>
          <w:rFonts w:asciiTheme="majorHAnsi" w:hAnsiTheme="majorHAnsi"/>
          <w:color w:val="auto"/>
          <w:szCs w:val="20"/>
          <w:lang w:val="es-US"/>
        </w:rPr>
        <w:t xml:space="preserve"> y no podían recibir asistencia legal</w:t>
      </w:r>
      <w:r w:rsidR="0099661E" w:rsidRPr="0011380E">
        <w:rPr>
          <w:rStyle w:val="FootnoteReference"/>
          <w:rFonts w:asciiTheme="majorHAnsi" w:hAnsiTheme="majorHAnsi"/>
          <w:color w:val="auto"/>
          <w:szCs w:val="20"/>
          <w:lang w:val="es-US"/>
        </w:rPr>
        <w:footnoteReference w:id="72"/>
      </w:r>
      <w:r w:rsidR="00267867" w:rsidRPr="0011380E">
        <w:rPr>
          <w:rFonts w:asciiTheme="majorHAnsi" w:hAnsiTheme="majorHAnsi"/>
          <w:color w:val="auto"/>
          <w:szCs w:val="20"/>
          <w:lang w:val="es-US"/>
        </w:rPr>
        <w:t>.</w:t>
      </w:r>
      <w:r w:rsidR="0099661E" w:rsidRPr="0011380E">
        <w:rPr>
          <w:rFonts w:asciiTheme="majorHAnsi" w:hAnsiTheme="majorHAnsi"/>
          <w:color w:val="auto"/>
          <w:szCs w:val="20"/>
          <w:lang w:val="es-US"/>
        </w:rPr>
        <w:t xml:space="preserve"> Comentó </w:t>
      </w:r>
      <w:r w:rsidR="004B70BB" w:rsidRPr="0011380E">
        <w:rPr>
          <w:rFonts w:asciiTheme="majorHAnsi" w:hAnsiTheme="majorHAnsi"/>
          <w:color w:val="auto"/>
          <w:szCs w:val="20"/>
          <w:lang w:val="es-US"/>
        </w:rPr>
        <w:t xml:space="preserve">también </w:t>
      </w:r>
      <w:r w:rsidR="0099661E" w:rsidRPr="0011380E">
        <w:rPr>
          <w:rFonts w:asciiTheme="majorHAnsi" w:hAnsiTheme="majorHAnsi"/>
          <w:color w:val="auto"/>
          <w:szCs w:val="20"/>
          <w:lang w:val="es-US"/>
        </w:rPr>
        <w:t xml:space="preserve">que las celdas eran muy pequeñas y que </w:t>
      </w:r>
      <w:r w:rsidR="00D8561C" w:rsidRPr="0011380E">
        <w:rPr>
          <w:rFonts w:asciiTheme="majorHAnsi" w:hAnsiTheme="majorHAnsi"/>
          <w:color w:val="auto"/>
          <w:szCs w:val="20"/>
          <w:lang w:val="es-US"/>
        </w:rPr>
        <w:t>había</w:t>
      </w:r>
      <w:r w:rsidR="0099661E" w:rsidRPr="0011380E">
        <w:rPr>
          <w:rFonts w:asciiTheme="majorHAnsi" w:hAnsiTheme="majorHAnsi"/>
          <w:color w:val="auto"/>
          <w:szCs w:val="20"/>
          <w:lang w:val="es-US"/>
        </w:rPr>
        <w:t xml:space="preserve"> bastantes personas </w:t>
      </w:r>
      <w:r w:rsidR="000825B7" w:rsidRPr="0011380E">
        <w:rPr>
          <w:rFonts w:asciiTheme="majorHAnsi" w:hAnsiTheme="majorHAnsi"/>
          <w:color w:val="auto"/>
          <w:szCs w:val="20"/>
          <w:lang w:val="es-US"/>
        </w:rPr>
        <w:t xml:space="preserve">en ellas, </w:t>
      </w:r>
      <w:r w:rsidR="0099661E" w:rsidRPr="0011380E">
        <w:rPr>
          <w:rFonts w:asciiTheme="majorHAnsi" w:hAnsiTheme="majorHAnsi"/>
          <w:color w:val="auto"/>
          <w:szCs w:val="20"/>
          <w:lang w:val="es-US"/>
        </w:rPr>
        <w:t xml:space="preserve">con solo una cama, </w:t>
      </w:r>
      <w:r w:rsidR="004B70BB" w:rsidRPr="0011380E">
        <w:rPr>
          <w:rFonts w:asciiTheme="majorHAnsi" w:hAnsiTheme="majorHAnsi"/>
          <w:color w:val="auto"/>
          <w:szCs w:val="20"/>
          <w:lang w:val="es-US"/>
        </w:rPr>
        <w:t xml:space="preserve">la que </w:t>
      </w:r>
      <w:r w:rsidR="0099661E" w:rsidRPr="0011380E">
        <w:rPr>
          <w:rFonts w:asciiTheme="majorHAnsi" w:hAnsiTheme="majorHAnsi"/>
          <w:color w:val="auto"/>
          <w:szCs w:val="20"/>
          <w:lang w:val="es-US"/>
        </w:rPr>
        <w:t>no rec</w:t>
      </w:r>
      <w:r w:rsidR="004B70BB" w:rsidRPr="0011380E">
        <w:rPr>
          <w:rFonts w:asciiTheme="majorHAnsi" w:hAnsiTheme="majorHAnsi"/>
          <w:color w:val="auto"/>
          <w:szCs w:val="20"/>
          <w:lang w:val="es-US"/>
        </w:rPr>
        <w:t>o</w:t>
      </w:r>
      <w:r w:rsidR="0099661E" w:rsidRPr="0011380E">
        <w:rPr>
          <w:rFonts w:asciiTheme="majorHAnsi" w:hAnsiTheme="majorHAnsi"/>
          <w:color w:val="auto"/>
          <w:szCs w:val="20"/>
          <w:lang w:val="es-US"/>
        </w:rPr>
        <w:t>rd</w:t>
      </w:r>
      <w:r w:rsidR="004B70BB" w:rsidRPr="0011380E">
        <w:rPr>
          <w:rFonts w:asciiTheme="majorHAnsi" w:hAnsiTheme="majorHAnsi"/>
          <w:color w:val="auto"/>
          <w:szCs w:val="20"/>
          <w:lang w:val="es-US"/>
        </w:rPr>
        <w:t>aba</w:t>
      </w:r>
      <w:r w:rsidR="0099661E" w:rsidRPr="0011380E">
        <w:rPr>
          <w:rFonts w:asciiTheme="majorHAnsi" w:hAnsiTheme="majorHAnsi"/>
          <w:color w:val="auto"/>
          <w:szCs w:val="20"/>
          <w:lang w:val="es-US"/>
        </w:rPr>
        <w:t xml:space="preserve"> si </w:t>
      </w:r>
      <w:r w:rsidR="004B70BB" w:rsidRPr="0011380E">
        <w:rPr>
          <w:rFonts w:asciiTheme="majorHAnsi" w:hAnsiTheme="majorHAnsi"/>
          <w:color w:val="auto"/>
          <w:szCs w:val="20"/>
          <w:lang w:val="es-US"/>
        </w:rPr>
        <w:t xml:space="preserve">se </w:t>
      </w:r>
      <w:r w:rsidR="0099661E" w:rsidRPr="0011380E">
        <w:rPr>
          <w:rFonts w:asciiTheme="majorHAnsi" w:hAnsiTheme="majorHAnsi"/>
          <w:color w:val="auto"/>
          <w:szCs w:val="20"/>
          <w:lang w:val="es-US"/>
        </w:rPr>
        <w:t>en</w:t>
      </w:r>
      <w:r w:rsidR="004B70BB" w:rsidRPr="0011380E">
        <w:rPr>
          <w:rFonts w:asciiTheme="majorHAnsi" w:hAnsiTheme="majorHAnsi"/>
          <w:color w:val="auto"/>
          <w:szCs w:val="20"/>
          <w:lang w:val="es-US"/>
        </w:rPr>
        <w:t>contraba</w:t>
      </w:r>
      <w:r w:rsidR="0099661E" w:rsidRPr="0011380E">
        <w:rPr>
          <w:rFonts w:asciiTheme="majorHAnsi" w:hAnsiTheme="majorHAnsi"/>
          <w:color w:val="auto"/>
          <w:szCs w:val="20"/>
          <w:lang w:val="es-US"/>
        </w:rPr>
        <w:t xml:space="preserve"> </w:t>
      </w:r>
      <w:r w:rsidR="004B70BB" w:rsidRPr="0011380E">
        <w:rPr>
          <w:rFonts w:asciiTheme="majorHAnsi" w:hAnsiTheme="majorHAnsi"/>
          <w:color w:val="auto"/>
          <w:szCs w:val="20"/>
          <w:lang w:val="es-US"/>
        </w:rPr>
        <w:t xml:space="preserve">en </w:t>
      </w:r>
      <w:r w:rsidR="0099661E" w:rsidRPr="0011380E">
        <w:rPr>
          <w:rFonts w:asciiTheme="majorHAnsi" w:hAnsiTheme="majorHAnsi"/>
          <w:color w:val="auto"/>
          <w:szCs w:val="20"/>
          <w:lang w:val="es-US"/>
        </w:rPr>
        <w:t xml:space="preserve">el lado de los hombres o </w:t>
      </w:r>
      <w:r w:rsidR="004B70BB" w:rsidRPr="0011380E">
        <w:rPr>
          <w:rFonts w:asciiTheme="majorHAnsi" w:hAnsiTheme="majorHAnsi"/>
          <w:color w:val="auto"/>
          <w:szCs w:val="20"/>
          <w:lang w:val="es-US"/>
        </w:rPr>
        <w:t xml:space="preserve">en el </w:t>
      </w:r>
      <w:r w:rsidR="0099661E" w:rsidRPr="0011380E">
        <w:rPr>
          <w:rFonts w:asciiTheme="majorHAnsi" w:hAnsiTheme="majorHAnsi"/>
          <w:color w:val="auto"/>
          <w:szCs w:val="20"/>
          <w:lang w:val="es-US"/>
        </w:rPr>
        <w:t>de las mujeres</w:t>
      </w:r>
      <w:r w:rsidR="000825B7" w:rsidRPr="0011380E">
        <w:rPr>
          <w:rFonts w:asciiTheme="majorHAnsi" w:hAnsiTheme="majorHAnsi"/>
          <w:color w:val="auto"/>
          <w:szCs w:val="20"/>
          <w:lang w:val="es-US"/>
        </w:rPr>
        <w:t xml:space="preserve">. Además </w:t>
      </w:r>
      <w:r w:rsidR="004B70BB" w:rsidRPr="0011380E">
        <w:rPr>
          <w:rFonts w:asciiTheme="majorHAnsi" w:hAnsiTheme="majorHAnsi"/>
          <w:color w:val="auto"/>
          <w:szCs w:val="20"/>
          <w:lang w:val="es-ES"/>
        </w:rPr>
        <w:t xml:space="preserve">constató </w:t>
      </w:r>
      <w:r w:rsidR="0099661E" w:rsidRPr="0011380E">
        <w:rPr>
          <w:rFonts w:asciiTheme="majorHAnsi" w:hAnsiTheme="majorHAnsi"/>
          <w:color w:val="auto"/>
          <w:szCs w:val="20"/>
          <w:lang w:val="es-US"/>
        </w:rPr>
        <w:t xml:space="preserve">que </w:t>
      </w:r>
      <w:r w:rsidR="004B70BB" w:rsidRPr="0011380E">
        <w:rPr>
          <w:rFonts w:asciiTheme="majorHAnsi" w:hAnsiTheme="majorHAnsi"/>
          <w:color w:val="auto"/>
          <w:szCs w:val="20"/>
          <w:lang w:val="es-US"/>
        </w:rPr>
        <w:t xml:space="preserve">los detenidos </w:t>
      </w:r>
      <w:r w:rsidR="0099661E" w:rsidRPr="0011380E">
        <w:rPr>
          <w:rFonts w:asciiTheme="majorHAnsi" w:hAnsiTheme="majorHAnsi"/>
          <w:color w:val="auto"/>
          <w:szCs w:val="20"/>
          <w:lang w:val="es-US"/>
        </w:rPr>
        <w:t>se encontraban incomunicados y que sus abogados no podían entrar a las celdas</w:t>
      </w:r>
      <w:r w:rsidR="0099661E" w:rsidRPr="0011380E">
        <w:rPr>
          <w:rStyle w:val="FootnoteReference"/>
          <w:rFonts w:asciiTheme="majorHAnsi" w:hAnsiTheme="majorHAnsi"/>
          <w:color w:val="auto"/>
          <w:szCs w:val="20"/>
          <w:lang w:val="es-US"/>
        </w:rPr>
        <w:footnoteReference w:id="73"/>
      </w:r>
      <w:r w:rsidR="0099661E" w:rsidRPr="0011380E">
        <w:rPr>
          <w:rFonts w:asciiTheme="majorHAnsi" w:hAnsiTheme="majorHAnsi"/>
          <w:color w:val="auto"/>
          <w:szCs w:val="20"/>
          <w:lang w:val="es-US"/>
        </w:rPr>
        <w:t>.</w:t>
      </w:r>
    </w:p>
    <w:p w14:paraId="3AC324B7" w14:textId="77777777" w:rsidR="006D2DF8" w:rsidRPr="0011380E" w:rsidRDefault="006D2DF8" w:rsidP="0011380E">
      <w:pPr>
        <w:pStyle w:val="ListParagraph"/>
        <w:numPr>
          <w:ilvl w:val="0"/>
          <w:numId w:val="0"/>
        </w:numPr>
        <w:rPr>
          <w:rFonts w:asciiTheme="majorHAnsi" w:hAnsiTheme="majorHAnsi"/>
          <w:color w:val="auto"/>
          <w:szCs w:val="20"/>
          <w:lang w:val="es-US"/>
        </w:rPr>
      </w:pPr>
    </w:p>
    <w:p w14:paraId="6B646675" w14:textId="77777777" w:rsidR="006D2DF8" w:rsidRPr="0011380E" w:rsidRDefault="006D2DF8"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 xml:space="preserve">Una de las peticionarias del presente caso, Victoria Gutiérrez de Lulleman, que no fue procesada por el robo a Prosegur pero prestó declaración </w:t>
      </w:r>
      <w:r w:rsidR="004B70BB" w:rsidRPr="0011380E">
        <w:rPr>
          <w:rFonts w:asciiTheme="majorHAnsi" w:hAnsiTheme="majorHAnsi"/>
          <w:color w:val="auto"/>
          <w:szCs w:val="20"/>
          <w:lang w:val="es-US"/>
        </w:rPr>
        <w:t>como testigo de descargo</w:t>
      </w:r>
      <w:r w:rsidRPr="0011380E">
        <w:rPr>
          <w:rFonts w:asciiTheme="majorHAnsi" w:hAnsiTheme="majorHAnsi"/>
          <w:color w:val="auto"/>
          <w:szCs w:val="20"/>
          <w:lang w:val="es-US"/>
        </w:rPr>
        <w:t xml:space="preserve">, se refirió al allanamiento de su casa el 18 de diciembre de 2001 por la policía, incluyendo al General Osinaga. Indicó que </w:t>
      </w:r>
      <w:r w:rsidR="00406A0F" w:rsidRPr="0011380E">
        <w:rPr>
          <w:rFonts w:asciiTheme="majorHAnsi" w:hAnsiTheme="majorHAnsi"/>
          <w:color w:val="auto"/>
          <w:szCs w:val="20"/>
          <w:lang w:val="es-US"/>
        </w:rPr>
        <w:t xml:space="preserve">éste </w:t>
      </w:r>
      <w:r w:rsidRPr="0011380E">
        <w:rPr>
          <w:rFonts w:asciiTheme="majorHAnsi" w:hAnsiTheme="majorHAnsi"/>
          <w:color w:val="auto"/>
          <w:szCs w:val="20"/>
          <w:lang w:val="es-US"/>
        </w:rPr>
        <w:t xml:space="preserve">ocurrió aproximadamente a las 2.00 am, su vivienda y bienes fueron violentados y los habitantes recibieron un trato inhumano, fueron insultados y amenazados, </w:t>
      </w:r>
      <w:r w:rsidR="00235BF2" w:rsidRPr="0011380E">
        <w:rPr>
          <w:rFonts w:asciiTheme="majorHAnsi" w:hAnsiTheme="majorHAnsi"/>
          <w:color w:val="auto"/>
          <w:szCs w:val="20"/>
          <w:lang w:val="es-US"/>
        </w:rPr>
        <w:t xml:space="preserve">su nieto de cuatro años apuntado con un arma en plena lluvia, </w:t>
      </w:r>
      <w:r w:rsidRPr="0011380E">
        <w:rPr>
          <w:rFonts w:asciiTheme="majorHAnsi" w:hAnsiTheme="majorHAnsi"/>
          <w:color w:val="auto"/>
          <w:szCs w:val="20"/>
          <w:lang w:val="es-US"/>
        </w:rPr>
        <w:t xml:space="preserve">su hijo golpeado a patadas fuertemente y todos </w:t>
      </w:r>
      <w:r w:rsidR="00235BF2" w:rsidRPr="0011380E">
        <w:rPr>
          <w:rFonts w:asciiTheme="majorHAnsi" w:hAnsiTheme="majorHAnsi"/>
          <w:color w:val="auto"/>
          <w:szCs w:val="20"/>
          <w:lang w:val="es-US"/>
        </w:rPr>
        <w:t xml:space="preserve">fueron </w:t>
      </w:r>
      <w:r w:rsidRPr="0011380E">
        <w:rPr>
          <w:rFonts w:asciiTheme="majorHAnsi" w:hAnsiTheme="majorHAnsi"/>
          <w:color w:val="auto"/>
          <w:szCs w:val="20"/>
          <w:lang w:val="es-US"/>
        </w:rPr>
        <w:t>arrestados. Luego los condujeron a una celda vacía, donde los trataban muy mal, no pod</w:t>
      </w:r>
      <w:r w:rsidR="00235BF2" w:rsidRPr="0011380E">
        <w:rPr>
          <w:rFonts w:asciiTheme="majorHAnsi" w:hAnsiTheme="majorHAnsi"/>
          <w:color w:val="auto"/>
          <w:szCs w:val="20"/>
          <w:lang w:val="es-US"/>
        </w:rPr>
        <w:t>ían asearse, no podían ir al baño y no tenían comida. Eran 12 mujeres detenidas, las sacaban al pasillo y las hacían desnudarse y abrirse de piernas. Una de ella estuvo</w:t>
      </w:r>
      <w:r w:rsidR="00256B6C" w:rsidRPr="0011380E">
        <w:rPr>
          <w:rFonts w:asciiTheme="majorHAnsi" w:hAnsiTheme="majorHAnsi"/>
          <w:color w:val="auto"/>
          <w:szCs w:val="20"/>
          <w:lang w:val="es-US"/>
        </w:rPr>
        <w:t xml:space="preserve"> muy mal y no fue atendida. </w:t>
      </w:r>
      <w:r w:rsidR="00235BF2" w:rsidRPr="0011380E">
        <w:rPr>
          <w:rFonts w:asciiTheme="majorHAnsi" w:hAnsiTheme="majorHAnsi"/>
          <w:color w:val="auto"/>
          <w:szCs w:val="20"/>
          <w:lang w:val="es-US"/>
        </w:rPr>
        <w:t>N</w:t>
      </w:r>
      <w:r w:rsidRPr="0011380E">
        <w:rPr>
          <w:rFonts w:asciiTheme="majorHAnsi" w:hAnsiTheme="majorHAnsi"/>
          <w:color w:val="auto"/>
          <w:szCs w:val="20"/>
          <w:lang w:val="es-US"/>
        </w:rPr>
        <w:t>o tenían acceso a abogado</w:t>
      </w:r>
      <w:r w:rsidR="00A97286" w:rsidRPr="0011380E">
        <w:rPr>
          <w:rFonts w:asciiTheme="majorHAnsi" w:hAnsiTheme="majorHAnsi"/>
          <w:color w:val="auto"/>
          <w:szCs w:val="20"/>
          <w:lang w:val="es-US"/>
        </w:rPr>
        <w:t xml:space="preserve"> y</w:t>
      </w:r>
      <w:r w:rsidR="00235BF2" w:rsidRPr="0011380E">
        <w:rPr>
          <w:rFonts w:asciiTheme="majorHAnsi" w:hAnsiTheme="majorHAnsi"/>
          <w:color w:val="auto"/>
          <w:szCs w:val="20"/>
          <w:lang w:val="es-US"/>
        </w:rPr>
        <w:t xml:space="preserve"> no hubo un abogado presente cuando ella prestó declaración</w:t>
      </w:r>
      <w:r w:rsidR="00D74720" w:rsidRPr="0011380E">
        <w:rPr>
          <w:rFonts w:asciiTheme="majorHAnsi" w:hAnsiTheme="majorHAnsi"/>
          <w:color w:val="auto"/>
          <w:szCs w:val="20"/>
          <w:lang w:val="es-US"/>
        </w:rPr>
        <w:t>. P</w:t>
      </w:r>
      <w:r w:rsidRPr="0011380E">
        <w:rPr>
          <w:rFonts w:asciiTheme="majorHAnsi" w:hAnsiTheme="majorHAnsi"/>
          <w:color w:val="auto"/>
          <w:szCs w:val="20"/>
          <w:lang w:val="es-US"/>
        </w:rPr>
        <w:t>os</w:t>
      </w:r>
      <w:r w:rsidR="00D74720" w:rsidRPr="0011380E">
        <w:rPr>
          <w:rFonts w:asciiTheme="majorHAnsi" w:hAnsiTheme="majorHAnsi"/>
          <w:color w:val="auto"/>
          <w:szCs w:val="20"/>
          <w:lang w:val="es-US"/>
        </w:rPr>
        <w:t xml:space="preserve">teriormente fueron todos presentaron a la prensa </w:t>
      </w:r>
      <w:r w:rsidR="00235BF2" w:rsidRPr="0011380E">
        <w:rPr>
          <w:rFonts w:asciiTheme="majorHAnsi" w:hAnsiTheme="majorHAnsi"/>
          <w:color w:val="auto"/>
          <w:szCs w:val="20"/>
          <w:lang w:val="es-US"/>
        </w:rPr>
        <w:t>dando a conocer falsedades</w:t>
      </w:r>
      <w:r w:rsidR="00D74720" w:rsidRPr="0011380E">
        <w:rPr>
          <w:rFonts w:asciiTheme="majorHAnsi" w:hAnsiTheme="majorHAnsi"/>
          <w:color w:val="auto"/>
          <w:szCs w:val="20"/>
          <w:lang w:val="es-US"/>
        </w:rPr>
        <w:t xml:space="preserve">, lo que les provocó una muerte civil. Antes del arresto ella no </w:t>
      </w:r>
      <w:r w:rsidR="00235BF2" w:rsidRPr="0011380E">
        <w:rPr>
          <w:rFonts w:asciiTheme="majorHAnsi" w:hAnsiTheme="majorHAnsi"/>
          <w:color w:val="auto"/>
          <w:szCs w:val="20"/>
          <w:lang w:val="es-US"/>
        </w:rPr>
        <w:t>conocía a ninguno de los involucrados; sin embargo, estuvo detenida por dos meses</w:t>
      </w:r>
      <w:r w:rsidR="00D74720" w:rsidRPr="0011380E">
        <w:rPr>
          <w:rStyle w:val="FootnoteReference"/>
          <w:rFonts w:asciiTheme="majorHAnsi" w:hAnsiTheme="majorHAnsi"/>
          <w:color w:val="auto"/>
          <w:szCs w:val="20"/>
          <w:lang w:val="es-US"/>
        </w:rPr>
        <w:footnoteReference w:id="74"/>
      </w:r>
      <w:r w:rsidR="00D74720" w:rsidRPr="0011380E">
        <w:rPr>
          <w:rFonts w:asciiTheme="majorHAnsi" w:hAnsiTheme="majorHAnsi"/>
          <w:color w:val="auto"/>
          <w:szCs w:val="20"/>
          <w:lang w:val="es-US"/>
        </w:rPr>
        <w:t>.</w:t>
      </w:r>
    </w:p>
    <w:p w14:paraId="05BB7884" w14:textId="77777777" w:rsidR="003207E7" w:rsidRPr="0011380E" w:rsidRDefault="003207E7" w:rsidP="0011380E">
      <w:pPr>
        <w:pStyle w:val="ListParagraph"/>
        <w:numPr>
          <w:ilvl w:val="0"/>
          <w:numId w:val="0"/>
        </w:numPr>
        <w:rPr>
          <w:rFonts w:asciiTheme="majorHAnsi" w:hAnsiTheme="majorHAnsi"/>
          <w:color w:val="auto"/>
          <w:szCs w:val="20"/>
          <w:lang w:val="es-US"/>
        </w:rPr>
      </w:pPr>
    </w:p>
    <w:p w14:paraId="040B038C" w14:textId="77777777" w:rsidR="003207E7" w:rsidRPr="0011380E" w:rsidRDefault="003207E7"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 xml:space="preserve">Además de los testimonios, se presentaron múltiples otras pruebas literales </w:t>
      </w:r>
      <w:r w:rsidR="00B46F1C" w:rsidRPr="0011380E">
        <w:rPr>
          <w:rFonts w:asciiTheme="majorHAnsi" w:hAnsiTheme="majorHAnsi"/>
          <w:color w:val="auto"/>
          <w:szCs w:val="20"/>
          <w:lang w:val="es-US"/>
        </w:rPr>
        <w:t xml:space="preserve">y materiales </w:t>
      </w:r>
      <w:r w:rsidRPr="0011380E">
        <w:rPr>
          <w:rFonts w:asciiTheme="majorHAnsi" w:hAnsiTheme="majorHAnsi"/>
          <w:color w:val="auto"/>
          <w:szCs w:val="20"/>
          <w:lang w:val="es-US"/>
        </w:rPr>
        <w:t>de cargo</w:t>
      </w:r>
      <w:r w:rsidR="00B46F1C" w:rsidRPr="0011380E">
        <w:rPr>
          <w:rFonts w:asciiTheme="majorHAnsi" w:hAnsiTheme="majorHAnsi"/>
          <w:color w:val="auto"/>
          <w:szCs w:val="20"/>
          <w:lang w:val="es-US"/>
        </w:rPr>
        <w:t xml:space="preserve"> y descargo</w:t>
      </w:r>
      <w:r w:rsidR="00435BE5" w:rsidRPr="0011380E">
        <w:rPr>
          <w:rStyle w:val="FootnoteReference"/>
          <w:rFonts w:asciiTheme="majorHAnsi" w:hAnsiTheme="majorHAnsi"/>
          <w:color w:val="auto"/>
          <w:szCs w:val="20"/>
          <w:lang w:val="es-US"/>
        </w:rPr>
        <w:footnoteReference w:id="75"/>
      </w:r>
      <w:r w:rsidRPr="0011380E">
        <w:rPr>
          <w:rFonts w:asciiTheme="majorHAnsi" w:hAnsiTheme="majorHAnsi"/>
          <w:color w:val="auto"/>
          <w:szCs w:val="20"/>
          <w:lang w:val="es-US"/>
        </w:rPr>
        <w:t xml:space="preserve">. La inclusión de cada una de ellas fue discutida </w:t>
      </w:r>
      <w:r w:rsidR="00406A0F" w:rsidRPr="0011380E">
        <w:rPr>
          <w:rFonts w:asciiTheme="majorHAnsi" w:hAnsiTheme="majorHAnsi"/>
          <w:color w:val="auto"/>
          <w:szCs w:val="20"/>
          <w:lang w:val="es-US"/>
        </w:rPr>
        <w:t>por</w:t>
      </w:r>
      <w:r w:rsidRPr="0011380E">
        <w:rPr>
          <w:rFonts w:asciiTheme="majorHAnsi" w:hAnsiTheme="majorHAnsi"/>
          <w:color w:val="auto"/>
          <w:szCs w:val="20"/>
          <w:lang w:val="es-US"/>
        </w:rPr>
        <w:t xml:space="preserve"> las partes,</w:t>
      </w:r>
      <w:r w:rsidR="00406A0F" w:rsidRPr="0011380E">
        <w:rPr>
          <w:rFonts w:asciiTheme="majorHAnsi" w:hAnsiTheme="majorHAnsi"/>
          <w:color w:val="auto"/>
          <w:szCs w:val="20"/>
          <w:lang w:val="es-US"/>
        </w:rPr>
        <w:t xml:space="preserve"> y tanto los</w:t>
      </w:r>
      <w:r w:rsidRPr="0011380E">
        <w:rPr>
          <w:rFonts w:asciiTheme="majorHAnsi" w:hAnsiTheme="majorHAnsi"/>
          <w:color w:val="auto"/>
          <w:szCs w:val="20"/>
          <w:lang w:val="es-US"/>
        </w:rPr>
        <w:t xml:space="preserve"> Fiscales </w:t>
      </w:r>
      <w:r w:rsidR="00406A0F" w:rsidRPr="0011380E">
        <w:rPr>
          <w:rFonts w:asciiTheme="majorHAnsi" w:hAnsiTheme="majorHAnsi"/>
          <w:color w:val="auto"/>
          <w:szCs w:val="20"/>
          <w:lang w:val="es-US"/>
        </w:rPr>
        <w:t xml:space="preserve">como los </w:t>
      </w:r>
      <w:r w:rsidRPr="0011380E">
        <w:rPr>
          <w:rFonts w:asciiTheme="majorHAnsi" w:hAnsiTheme="majorHAnsi"/>
          <w:color w:val="auto"/>
          <w:szCs w:val="20"/>
          <w:lang w:val="es-US"/>
        </w:rPr>
        <w:t xml:space="preserve">imputados directamente y/o </w:t>
      </w:r>
      <w:r w:rsidR="00406A0F" w:rsidRPr="0011380E">
        <w:rPr>
          <w:rFonts w:asciiTheme="majorHAnsi" w:hAnsiTheme="majorHAnsi"/>
          <w:color w:val="auto"/>
          <w:szCs w:val="20"/>
          <w:lang w:val="es-US"/>
        </w:rPr>
        <w:t xml:space="preserve">por medio de </w:t>
      </w:r>
      <w:r w:rsidRPr="0011380E">
        <w:rPr>
          <w:rFonts w:asciiTheme="majorHAnsi" w:hAnsiTheme="majorHAnsi"/>
          <w:color w:val="auto"/>
          <w:szCs w:val="20"/>
          <w:lang w:val="es-US"/>
        </w:rPr>
        <w:t>sus abogados, pudieron hacer observaciones sobre la procedencia en la admisión de cada una de ellas. Como consecuencia de dicho procedimiento, una serie de pruebas fueron excluidas por orden del Tribunal, entre las que destaca</w:t>
      </w:r>
      <w:r w:rsidR="00B56DDB" w:rsidRPr="0011380E">
        <w:rPr>
          <w:rFonts w:asciiTheme="majorHAnsi" w:hAnsiTheme="majorHAnsi"/>
          <w:color w:val="auto"/>
          <w:szCs w:val="20"/>
          <w:lang w:val="es-US"/>
        </w:rPr>
        <w:t>n: a)</w:t>
      </w:r>
      <w:r w:rsidRPr="0011380E">
        <w:rPr>
          <w:rFonts w:asciiTheme="majorHAnsi" w:hAnsiTheme="majorHAnsi"/>
          <w:color w:val="auto"/>
          <w:szCs w:val="20"/>
          <w:lang w:val="es-US"/>
        </w:rPr>
        <w:t xml:space="preserve"> las actas del reconocimiento de armas y sus </w:t>
      </w:r>
      <w:r w:rsidRPr="0011380E">
        <w:rPr>
          <w:rFonts w:asciiTheme="majorHAnsi" w:hAnsiTheme="majorHAnsi"/>
          <w:color w:val="auto"/>
          <w:szCs w:val="20"/>
          <w:lang w:val="es-US"/>
        </w:rPr>
        <w:lastRenderedPageBreak/>
        <w:t xml:space="preserve">respectivas placas fotográficas, que fueron excluidas por haberse </w:t>
      </w:r>
      <w:r w:rsidR="00435BE5" w:rsidRPr="0011380E">
        <w:rPr>
          <w:rFonts w:asciiTheme="majorHAnsi" w:hAnsiTheme="majorHAnsi"/>
          <w:color w:val="auto"/>
          <w:szCs w:val="20"/>
          <w:lang w:val="es-US"/>
        </w:rPr>
        <w:t>realizado con posterioridad a las declaraciones de los imputados, contraviniendo el artículo 95 del CPP y haberse re</w:t>
      </w:r>
      <w:r w:rsidRPr="0011380E">
        <w:rPr>
          <w:rFonts w:asciiTheme="majorHAnsi" w:hAnsiTheme="majorHAnsi"/>
          <w:color w:val="auto"/>
          <w:szCs w:val="20"/>
          <w:lang w:val="es-US"/>
        </w:rPr>
        <w:t>colectado en contravención a los artículos 180 del CPP y artículo 21 de la CPE</w:t>
      </w:r>
      <w:r w:rsidR="00435BE5" w:rsidRPr="0011380E">
        <w:rPr>
          <w:rFonts w:asciiTheme="majorHAnsi" w:hAnsiTheme="majorHAnsi"/>
          <w:color w:val="auto"/>
          <w:szCs w:val="20"/>
          <w:lang w:val="es-US"/>
        </w:rPr>
        <w:t>, ya que se obtuvieron en el domicilio de uno de los acusados entre las 3 y 5 de la mañana</w:t>
      </w:r>
      <w:r w:rsidRPr="0011380E">
        <w:rPr>
          <w:rStyle w:val="FootnoteReference"/>
          <w:rFonts w:asciiTheme="majorHAnsi" w:hAnsiTheme="majorHAnsi"/>
          <w:color w:val="auto"/>
          <w:szCs w:val="20"/>
          <w:lang w:val="es-US"/>
        </w:rPr>
        <w:footnoteReference w:id="76"/>
      </w:r>
      <w:r w:rsidR="00B56DDB" w:rsidRPr="0011380E">
        <w:rPr>
          <w:rFonts w:asciiTheme="majorHAnsi" w:hAnsiTheme="majorHAnsi"/>
          <w:color w:val="auto"/>
          <w:szCs w:val="20"/>
          <w:lang w:val="es-US"/>
        </w:rPr>
        <w:t xml:space="preserve">; </w:t>
      </w:r>
      <w:r w:rsidR="00401218" w:rsidRPr="0011380E">
        <w:rPr>
          <w:rFonts w:asciiTheme="majorHAnsi" w:hAnsiTheme="majorHAnsi"/>
          <w:color w:val="auto"/>
          <w:szCs w:val="20"/>
          <w:lang w:val="es-US"/>
        </w:rPr>
        <w:t xml:space="preserve">y </w:t>
      </w:r>
      <w:r w:rsidR="00B56DDB" w:rsidRPr="0011380E">
        <w:rPr>
          <w:rFonts w:asciiTheme="majorHAnsi" w:hAnsiTheme="majorHAnsi"/>
          <w:color w:val="auto"/>
          <w:szCs w:val="20"/>
          <w:lang w:val="es-US"/>
        </w:rPr>
        <w:t>b) documentos suscritos por Oswaldo Lulleman, Raul Lulleman, Leonel Delgadillo y Patricia Gallardo admitiendo hechos vinculantes, que fueron excluidas por orden del Tribunal por haber sido obtenidas bajo promesas e inducción a errores por los representantes del Ministerio Público</w:t>
      </w:r>
      <w:r w:rsidR="00B56DDB" w:rsidRPr="0011380E">
        <w:rPr>
          <w:rStyle w:val="FootnoteReference"/>
          <w:rFonts w:asciiTheme="majorHAnsi" w:hAnsiTheme="majorHAnsi"/>
          <w:color w:val="auto"/>
          <w:szCs w:val="20"/>
          <w:lang w:val="es-US"/>
        </w:rPr>
        <w:footnoteReference w:id="77"/>
      </w:r>
      <w:r w:rsidR="004A696A" w:rsidRPr="0011380E">
        <w:rPr>
          <w:rFonts w:asciiTheme="majorHAnsi" w:hAnsiTheme="majorHAnsi"/>
          <w:color w:val="auto"/>
          <w:szCs w:val="20"/>
          <w:lang w:val="es-US"/>
        </w:rPr>
        <w:t>.</w:t>
      </w:r>
      <w:r w:rsidR="00C92CA3" w:rsidRPr="0011380E">
        <w:rPr>
          <w:rFonts w:asciiTheme="majorHAnsi" w:hAnsiTheme="majorHAnsi"/>
          <w:color w:val="auto"/>
          <w:szCs w:val="20"/>
          <w:lang w:val="es-US"/>
        </w:rPr>
        <w:t xml:space="preserve"> </w:t>
      </w:r>
      <w:r w:rsidR="00FF18D1" w:rsidRPr="0011380E">
        <w:rPr>
          <w:rFonts w:asciiTheme="majorHAnsi" w:hAnsiTheme="majorHAnsi"/>
          <w:color w:val="auto"/>
          <w:szCs w:val="20"/>
          <w:lang w:val="es-US"/>
        </w:rPr>
        <w:t xml:space="preserve">Por último, </w:t>
      </w:r>
      <w:r w:rsidR="00C92CA3" w:rsidRPr="0011380E">
        <w:rPr>
          <w:rFonts w:asciiTheme="majorHAnsi" w:hAnsiTheme="majorHAnsi"/>
          <w:color w:val="auto"/>
          <w:szCs w:val="20"/>
          <w:lang w:val="es-US"/>
        </w:rPr>
        <w:t xml:space="preserve">se realizó una inspección </w:t>
      </w:r>
      <w:r w:rsidR="00E3344F" w:rsidRPr="0011380E">
        <w:rPr>
          <w:rFonts w:asciiTheme="majorHAnsi" w:hAnsiTheme="majorHAnsi"/>
          <w:color w:val="auto"/>
          <w:szCs w:val="20"/>
          <w:lang w:val="es-US"/>
        </w:rPr>
        <w:t xml:space="preserve">ocular </w:t>
      </w:r>
      <w:r w:rsidR="00C92CA3" w:rsidRPr="0011380E">
        <w:rPr>
          <w:rFonts w:asciiTheme="majorHAnsi" w:hAnsiTheme="majorHAnsi"/>
          <w:color w:val="auto"/>
          <w:szCs w:val="20"/>
          <w:lang w:val="es-US"/>
        </w:rPr>
        <w:t>seguida de reconstrucción</w:t>
      </w:r>
      <w:r w:rsidR="00E3344F" w:rsidRPr="0011380E">
        <w:rPr>
          <w:rFonts w:asciiTheme="majorHAnsi" w:hAnsiTheme="majorHAnsi"/>
          <w:color w:val="auto"/>
          <w:szCs w:val="20"/>
          <w:lang w:val="es-US"/>
        </w:rPr>
        <w:t xml:space="preserve"> de escena</w:t>
      </w:r>
      <w:r w:rsidR="003E0E01" w:rsidRPr="0011380E">
        <w:rPr>
          <w:rFonts w:asciiTheme="majorHAnsi" w:hAnsiTheme="majorHAnsi"/>
          <w:color w:val="auto"/>
          <w:szCs w:val="20"/>
          <w:lang w:val="es-US"/>
        </w:rPr>
        <w:t>, con la participación voluntaria de todos los imputados</w:t>
      </w:r>
      <w:r w:rsidR="00C92CA3" w:rsidRPr="0011380E">
        <w:rPr>
          <w:rStyle w:val="FootnoteReference"/>
          <w:rFonts w:asciiTheme="majorHAnsi" w:hAnsiTheme="majorHAnsi"/>
          <w:color w:val="auto"/>
          <w:szCs w:val="20"/>
          <w:lang w:val="es-US"/>
        </w:rPr>
        <w:footnoteReference w:id="78"/>
      </w:r>
      <w:r w:rsidR="003E0E01" w:rsidRPr="0011380E">
        <w:rPr>
          <w:rFonts w:asciiTheme="majorHAnsi" w:hAnsiTheme="majorHAnsi"/>
          <w:color w:val="auto"/>
          <w:szCs w:val="20"/>
          <w:lang w:val="es-US"/>
        </w:rPr>
        <w:t>.</w:t>
      </w:r>
    </w:p>
    <w:p w14:paraId="3593D00D" w14:textId="77777777" w:rsidR="008605B3" w:rsidRPr="0011380E" w:rsidRDefault="008605B3" w:rsidP="0011380E">
      <w:pPr>
        <w:pStyle w:val="ListParagraph"/>
        <w:numPr>
          <w:ilvl w:val="0"/>
          <w:numId w:val="0"/>
        </w:numPr>
        <w:rPr>
          <w:rFonts w:asciiTheme="majorHAnsi" w:hAnsiTheme="majorHAnsi"/>
          <w:color w:val="auto"/>
          <w:szCs w:val="20"/>
          <w:lang w:val="es-US"/>
        </w:rPr>
      </w:pPr>
    </w:p>
    <w:p w14:paraId="02A1536D" w14:textId="77777777" w:rsidR="00FF18D1" w:rsidRPr="0011380E" w:rsidRDefault="008605B3"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 xml:space="preserve">En su </w:t>
      </w:r>
      <w:r w:rsidR="00766285" w:rsidRPr="0011380E">
        <w:rPr>
          <w:rFonts w:asciiTheme="majorHAnsi" w:hAnsiTheme="majorHAnsi"/>
          <w:color w:val="auto"/>
          <w:szCs w:val="20"/>
          <w:lang w:val="es-US"/>
        </w:rPr>
        <w:t>fallo</w:t>
      </w:r>
      <w:r w:rsidRPr="0011380E">
        <w:rPr>
          <w:rFonts w:asciiTheme="majorHAnsi" w:hAnsiTheme="majorHAnsi"/>
          <w:color w:val="auto"/>
          <w:szCs w:val="20"/>
          <w:lang w:val="es-US"/>
        </w:rPr>
        <w:t>, el Tribunal de Sentencia declaró a Blas Valencia Campos, Patricia Catalina Gallardo Ardúz, Carlos Eladio Cruz Añez, Elasio Peña Córdova, Carlos Enrique Castro Ramírez, Alfredo Bazán y Rosas y Victor Manuel Boggiano Bruzzon autores de los delitos de asesinato, robo agravado, asociación delictuosa y daño calificado, condenándolos a cada uno a cumplir una pena de 30 años de presidio. Freddy Cáceres Castro y Norma Lupe Alarcón Castillo d</w:t>
      </w:r>
      <w:r w:rsidR="0022071C" w:rsidRPr="0011380E">
        <w:rPr>
          <w:rFonts w:asciiTheme="majorHAnsi" w:hAnsiTheme="majorHAnsi"/>
          <w:color w:val="auto"/>
          <w:szCs w:val="20"/>
          <w:lang w:val="es-US"/>
        </w:rPr>
        <w:t xml:space="preserve">e Valencia fueron también declarados autores de los delitos de robo agravado y asociación delictuosa y cómplices de los delitos de asesinato y daño calificado, </w:t>
      </w:r>
      <w:r w:rsidR="00766285" w:rsidRPr="0011380E">
        <w:rPr>
          <w:rFonts w:asciiTheme="majorHAnsi" w:hAnsiTheme="majorHAnsi"/>
          <w:color w:val="auto"/>
          <w:szCs w:val="20"/>
          <w:lang w:val="es-US"/>
        </w:rPr>
        <w:t xml:space="preserve">así como Mercedes Valencia Chuquimia, Raúl Oswaldo Lulleman Gutiérrez y Oswaldo Lulleman Antezana, siendo </w:t>
      </w:r>
      <w:r w:rsidR="0022071C" w:rsidRPr="0011380E">
        <w:rPr>
          <w:rFonts w:asciiTheme="majorHAnsi" w:hAnsiTheme="majorHAnsi"/>
          <w:color w:val="auto"/>
          <w:szCs w:val="20"/>
          <w:lang w:val="es-US"/>
        </w:rPr>
        <w:t>conden</w:t>
      </w:r>
      <w:r w:rsidR="00FF18D1" w:rsidRPr="0011380E">
        <w:rPr>
          <w:rFonts w:asciiTheme="majorHAnsi" w:hAnsiTheme="majorHAnsi"/>
          <w:color w:val="auto"/>
          <w:szCs w:val="20"/>
          <w:lang w:val="es-US"/>
        </w:rPr>
        <w:t>ados</w:t>
      </w:r>
      <w:r w:rsidR="0022071C" w:rsidRPr="0011380E">
        <w:rPr>
          <w:rFonts w:asciiTheme="majorHAnsi" w:hAnsiTheme="majorHAnsi"/>
          <w:color w:val="auto"/>
          <w:szCs w:val="20"/>
          <w:lang w:val="es-US"/>
        </w:rPr>
        <w:t xml:space="preserve"> a 22 años de presidio</w:t>
      </w:r>
      <w:r w:rsidR="00766285" w:rsidRPr="0011380E">
        <w:rPr>
          <w:rFonts w:asciiTheme="majorHAnsi" w:hAnsiTheme="majorHAnsi"/>
          <w:color w:val="auto"/>
          <w:szCs w:val="20"/>
          <w:lang w:val="es-US"/>
        </w:rPr>
        <w:t xml:space="preserve"> los primeros y </w:t>
      </w:r>
      <w:r w:rsidR="0022071C" w:rsidRPr="0011380E">
        <w:rPr>
          <w:rFonts w:asciiTheme="majorHAnsi" w:hAnsiTheme="majorHAnsi"/>
          <w:color w:val="auto"/>
          <w:szCs w:val="20"/>
          <w:lang w:val="es-US"/>
        </w:rPr>
        <w:t xml:space="preserve">18 años </w:t>
      </w:r>
      <w:r w:rsidR="00766285" w:rsidRPr="0011380E">
        <w:rPr>
          <w:rFonts w:asciiTheme="majorHAnsi" w:hAnsiTheme="majorHAnsi"/>
          <w:color w:val="auto"/>
          <w:szCs w:val="20"/>
          <w:lang w:val="es-US"/>
        </w:rPr>
        <w:t>los segundos</w:t>
      </w:r>
      <w:r w:rsidR="0022071C" w:rsidRPr="0011380E">
        <w:rPr>
          <w:rFonts w:asciiTheme="majorHAnsi" w:hAnsiTheme="majorHAnsi"/>
          <w:color w:val="auto"/>
          <w:szCs w:val="20"/>
          <w:lang w:val="es-US"/>
        </w:rPr>
        <w:t>. Francis Elida Primentela Merino y Claudia Mariela Valencia Alarcón fueron declaradas cómplices del delito de robo agravado, siendo condenada a 7 años de presidio la primera y 3 años la segunda, quien obtuvo el beneficio de suspensión condicional de la pena. Finalmente, Leonel Eber Delgadillo Salvatierra fue considerado autor del delito de hurto agravado y condenado a 2 años de presidio, obteniendo perdón judicial por ser autor de primer delito</w:t>
      </w:r>
      <w:r w:rsidR="00586AD2" w:rsidRPr="0011380E">
        <w:rPr>
          <w:rStyle w:val="FootnoteReference"/>
          <w:rFonts w:asciiTheme="majorHAnsi" w:hAnsiTheme="majorHAnsi"/>
          <w:color w:val="auto"/>
          <w:szCs w:val="20"/>
          <w:lang w:val="es-US"/>
        </w:rPr>
        <w:footnoteReference w:id="79"/>
      </w:r>
      <w:r w:rsidR="0022071C" w:rsidRPr="0011380E">
        <w:rPr>
          <w:rFonts w:asciiTheme="majorHAnsi" w:hAnsiTheme="majorHAnsi"/>
          <w:color w:val="auto"/>
          <w:szCs w:val="20"/>
          <w:lang w:val="es-US"/>
        </w:rPr>
        <w:t xml:space="preserve">. </w:t>
      </w:r>
    </w:p>
    <w:p w14:paraId="020A21C4" w14:textId="77777777" w:rsidR="00FF18D1" w:rsidRPr="0011380E" w:rsidRDefault="00FF18D1" w:rsidP="0011380E">
      <w:pPr>
        <w:pStyle w:val="ListParagraph"/>
        <w:numPr>
          <w:ilvl w:val="0"/>
          <w:numId w:val="0"/>
        </w:numPr>
        <w:rPr>
          <w:rFonts w:asciiTheme="majorHAnsi" w:hAnsiTheme="majorHAnsi"/>
          <w:color w:val="auto"/>
          <w:szCs w:val="20"/>
          <w:lang w:val="es-US"/>
        </w:rPr>
      </w:pPr>
    </w:p>
    <w:p w14:paraId="59BE1347" w14:textId="77777777" w:rsidR="00794D73" w:rsidRPr="0011380E" w:rsidRDefault="00FD0011"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El fallo se fundó</w:t>
      </w:r>
      <w:r w:rsidR="00BE7CEE" w:rsidRPr="0011380E">
        <w:rPr>
          <w:rFonts w:asciiTheme="majorHAnsi" w:hAnsiTheme="majorHAnsi"/>
          <w:color w:val="auto"/>
          <w:szCs w:val="20"/>
          <w:lang w:val="es-US"/>
        </w:rPr>
        <w:t xml:space="preserve"> </w:t>
      </w:r>
      <w:r w:rsidR="00096C0B" w:rsidRPr="0011380E">
        <w:rPr>
          <w:rFonts w:asciiTheme="majorHAnsi" w:hAnsiTheme="majorHAnsi"/>
          <w:color w:val="auto"/>
          <w:szCs w:val="20"/>
          <w:lang w:val="es-US"/>
        </w:rPr>
        <w:t xml:space="preserve">exclusivamente </w:t>
      </w:r>
      <w:r w:rsidR="00BE7CEE" w:rsidRPr="0011380E">
        <w:rPr>
          <w:rFonts w:asciiTheme="majorHAnsi" w:hAnsiTheme="majorHAnsi"/>
          <w:color w:val="auto"/>
          <w:szCs w:val="20"/>
          <w:lang w:val="es-US"/>
        </w:rPr>
        <w:t>en la prueba presentada durante el juicio oral</w:t>
      </w:r>
      <w:r w:rsidR="00096C0B" w:rsidRPr="0011380E">
        <w:rPr>
          <w:rFonts w:asciiTheme="majorHAnsi" w:hAnsiTheme="majorHAnsi"/>
          <w:color w:val="auto"/>
          <w:szCs w:val="20"/>
          <w:lang w:val="es-US"/>
        </w:rPr>
        <w:t>, la que no incluyó las declaraciones de los imputados con anterioridad al juicio</w:t>
      </w:r>
      <w:r w:rsidR="00BE7CEE" w:rsidRPr="0011380E">
        <w:rPr>
          <w:rStyle w:val="FootnoteReference"/>
          <w:rFonts w:asciiTheme="majorHAnsi" w:hAnsiTheme="majorHAnsi"/>
          <w:color w:val="auto"/>
          <w:szCs w:val="20"/>
          <w:lang w:val="es-US"/>
        </w:rPr>
        <w:footnoteReference w:id="80"/>
      </w:r>
      <w:r w:rsidR="00BE7CEE" w:rsidRPr="0011380E">
        <w:rPr>
          <w:rFonts w:asciiTheme="majorHAnsi" w:hAnsiTheme="majorHAnsi"/>
          <w:color w:val="auto"/>
          <w:szCs w:val="20"/>
          <w:lang w:val="es-US"/>
        </w:rPr>
        <w:t>.</w:t>
      </w:r>
      <w:r w:rsidR="00FF18D1" w:rsidRPr="0011380E">
        <w:rPr>
          <w:rFonts w:asciiTheme="majorHAnsi" w:hAnsiTheme="majorHAnsi"/>
          <w:color w:val="auto"/>
          <w:szCs w:val="20"/>
          <w:lang w:val="es-US"/>
        </w:rPr>
        <w:t xml:space="preserve"> </w:t>
      </w:r>
      <w:r w:rsidR="00096C0B" w:rsidRPr="0011380E">
        <w:rPr>
          <w:rFonts w:asciiTheme="majorHAnsi" w:hAnsiTheme="majorHAnsi"/>
          <w:color w:val="auto"/>
          <w:szCs w:val="20"/>
          <w:lang w:val="es-US"/>
        </w:rPr>
        <w:t>L</w:t>
      </w:r>
      <w:r w:rsidR="00D7474D" w:rsidRPr="0011380E">
        <w:rPr>
          <w:rFonts w:asciiTheme="majorHAnsi" w:hAnsiTheme="majorHAnsi"/>
          <w:color w:val="auto"/>
          <w:szCs w:val="20"/>
          <w:lang w:val="es-US"/>
        </w:rPr>
        <w:t>a Comisión considera importante destacar que el Tribunal de Sentencia decidió no considerar el testimonio de Walter Osinaga Zambrana</w:t>
      </w:r>
      <w:r w:rsidR="00096C0B" w:rsidRPr="0011380E">
        <w:rPr>
          <w:rFonts w:asciiTheme="majorHAnsi" w:hAnsiTheme="majorHAnsi"/>
          <w:color w:val="auto"/>
          <w:szCs w:val="20"/>
          <w:lang w:val="es-US"/>
        </w:rPr>
        <w:t>, Comandante General de la Policía Boliviana,</w:t>
      </w:r>
      <w:r w:rsidR="00D7474D" w:rsidRPr="0011380E">
        <w:rPr>
          <w:rFonts w:asciiTheme="majorHAnsi" w:hAnsiTheme="majorHAnsi"/>
          <w:color w:val="auto"/>
          <w:szCs w:val="20"/>
          <w:lang w:val="es-US"/>
        </w:rPr>
        <w:t xml:space="preserve"> en atención a que </w:t>
      </w:r>
      <w:r w:rsidR="00096C0B" w:rsidRPr="0011380E">
        <w:rPr>
          <w:rFonts w:asciiTheme="majorHAnsi" w:hAnsiTheme="majorHAnsi"/>
          <w:color w:val="auto"/>
          <w:szCs w:val="20"/>
          <w:lang w:val="es-US"/>
        </w:rPr>
        <w:t>lo consideró</w:t>
      </w:r>
      <w:r w:rsidR="00D7474D" w:rsidRPr="0011380E">
        <w:rPr>
          <w:rFonts w:asciiTheme="majorHAnsi" w:hAnsiTheme="majorHAnsi"/>
          <w:color w:val="auto"/>
          <w:szCs w:val="20"/>
          <w:lang w:val="es-US"/>
        </w:rPr>
        <w:t xml:space="preserve"> confuso “y hasta contradictori[o], por lo que no proporción[ó] información creíble y valedera al Tribunal”</w:t>
      </w:r>
      <w:r w:rsidR="00D7474D" w:rsidRPr="0011380E">
        <w:rPr>
          <w:rFonts w:asciiTheme="majorHAnsi" w:hAnsiTheme="majorHAnsi"/>
          <w:color w:val="auto"/>
          <w:szCs w:val="20"/>
          <w:vertAlign w:val="superscript"/>
          <w:lang w:val="es-US"/>
        </w:rPr>
        <w:footnoteReference w:id="81"/>
      </w:r>
      <w:r w:rsidR="00D7474D" w:rsidRPr="0011380E">
        <w:rPr>
          <w:rFonts w:asciiTheme="majorHAnsi" w:hAnsiTheme="majorHAnsi"/>
          <w:color w:val="auto"/>
          <w:szCs w:val="20"/>
          <w:lang w:val="es-US"/>
        </w:rPr>
        <w:t xml:space="preserve">. Además, si bien </w:t>
      </w:r>
      <w:r w:rsidR="00096C0B" w:rsidRPr="0011380E">
        <w:rPr>
          <w:rFonts w:asciiTheme="majorHAnsi" w:hAnsiTheme="majorHAnsi"/>
          <w:color w:val="auto"/>
          <w:szCs w:val="20"/>
          <w:lang w:val="es-US"/>
        </w:rPr>
        <w:t xml:space="preserve">como se indicó en </w:t>
      </w:r>
      <w:r w:rsidR="00A23BD2">
        <w:rPr>
          <w:rFonts w:asciiTheme="majorHAnsi" w:hAnsiTheme="majorHAnsi"/>
          <w:color w:val="auto"/>
          <w:szCs w:val="20"/>
          <w:lang w:val="es-US"/>
        </w:rPr>
        <w:t>e</w:t>
      </w:r>
      <w:r w:rsidR="00096C0B" w:rsidRPr="0011380E">
        <w:rPr>
          <w:rFonts w:asciiTheme="majorHAnsi" w:hAnsiTheme="majorHAnsi"/>
          <w:color w:val="auto"/>
          <w:szCs w:val="20"/>
          <w:lang w:val="es-US"/>
        </w:rPr>
        <w:t>l párrafo 3</w:t>
      </w:r>
      <w:r w:rsidR="00A23BD2">
        <w:rPr>
          <w:rFonts w:asciiTheme="majorHAnsi" w:hAnsiTheme="majorHAnsi"/>
          <w:color w:val="auto"/>
          <w:szCs w:val="20"/>
          <w:lang w:val="es-US"/>
        </w:rPr>
        <w:t>4</w:t>
      </w:r>
      <w:r w:rsidR="00096C0B" w:rsidRPr="0011380E">
        <w:rPr>
          <w:rFonts w:asciiTheme="majorHAnsi" w:hAnsiTheme="majorHAnsi"/>
          <w:color w:val="auto"/>
          <w:szCs w:val="20"/>
          <w:lang w:val="es-US"/>
        </w:rPr>
        <w:t xml:space="preserve"> anterior, </w:t>
      </w:r>
      <w:r w:rsidR="00D7474D" w:rsidRPr="0011380E">
        <w:rPr>
          <w:rFonts w:asciiTheme="majorHAnsi" w:hAnsiTheme="majorHAnsi"/>
          <w:color w:val="auto"/>
          <w:szCs w:val="20"/>
          <w:lang w:val="es-US"/>
        </w:rPr>
        <w:t xml:space="preserve">durante el proceso </w:t>
      </w:r>
      <w:r w:rsidR="00096C0B" w:rsidRPr="0011380E">
        <w:rPr>
          <w:rFonts w:asciiTheme="majorHAnsi" w:hAnsiTheme="majorHAnsi"/>
          <w:color w:val="auto"/>
          <w:szCs w:val="20"/>
          <w:lang w:val="es-US"/>
        </w:rPr>
        <w:t xml:space="preserve">el Tribunal de Sentencia </w:t>
      </w:r>
      <w:r w:rsidR="00D7474D" w:rsidRPr="0011380E">
        <w:rPr>
          <w:rFonts w:asciiTheme="majorHAnsi" w:hAnsiTheme="majorHAnsi"/>
          <w:color w:val="auto"/>
          <w:szCs w:val="20"/>
          <w:lang w:val="es-US"/>
        </w:rPr>
        <w:t>decidió excluir prueba que consideró había sido obtenida en contravención a los artículos 180 del CPP y artículo 21 de la CPE</w:t>
      </w:r>
      <w:r w:rsidR="00D7474D" w:rsidRPr="0011380E">
        <w:rPr>
          <w:rFonts w:asciiTheme="majorHAnsi" w:hAnsiTheme="majorHAnsi"/>
          <w:color w:val="auto"/>
          <w:szCs w:val="20"/>
          <w:vertAlign w:val="superscript"/>
          <w:lang w:val="es-US"/>
        </w:rPr>
        <w:footnoteReference w:id="82"/>
      </w:r>
      <w:r w:rsidR="00D7474D" w:rsidRPr="0011380E">
        <w:rPr>
          <w:rFonts w:asciiTheme="majorHAnsi" w:hAnsiTheme="majorHAnsi"/>
          <w:color w:val="auto"/>
          <w:szCs w:val="20"/>
          <w:lang w:val="es-US"/>
        </w:rPr>
        <w:t>, en el fallo</w:t>
      </w:r>
      <w:r w:rsidR="00794D73" w:rsidRPr="0011380E">
        <w:rPr>
          <w:rFonts w:asciiTheme="majorHAnsi" w:hAnsiTheme="majorHAnsi"/>
          <w:color w:val="auto"/>
          <w:szCs w:val="20"/>
          <w:lang w:val="es-US"/>
        </w:rPr>
        <w:t xml:space="preserve"> indicó: </w:t>
      </w:r>
    </w:p>
    <w:p w14:paraId="6BF668AC" w14:textId="77777777" w:rsidR="00B17E1F" w:rsidRDefault="00B17E1F" w:rsidP="00B17E1F">
      <w:pPr>
        <w:pStyle w:val="Quote"/>
        <w:rPr>
          <w:rFonts w:asciiTheme="majorHAnsi" w:hAnsiTheme="majorHAnsi"/>
          <w:color w:val="auto"/>
          <w:szCs w:val="18"/>
          <w:lang w:val="es-US"/>
        </w:rPr>
      </w:pPr>
    </w:p>
    <w:p w14:paraId="671A7788" w14:textId="77777777" w:rsidR="00D7474D" w:rsidRPr="00B17E1F" w:rsidRDefault="00794D73" w:rsidP="00B17E1F">
      <w:pPr>
        <w:pStyle w:val="Quote"/>
        <w:rPr>
          <w:rFonts w:asciiTheme="majorHAnsi" w:hAnsiTheme="majorHAnsi"/>
          <w:color w:val="auto"/>
          <w:szCs w:val="18"/>
          <w:lang w:val="es-US"/>
        </w:rPr>
      </w:pPr>
      <w:r w:rsidRPr="00B17E1F">
        <w:rPr>
          <w:rFonts w:asciiTheme="majorHAnsi" w:hAnsiTheme="majorHAnsi"/>
          <w:color w:val="auto"/>
          <w:szCs w:val="18"/>
          <w:lang w:val="es-US"/>
        </w:rPr>
        <w:t>En el caso que nos ocupa, aunque de manera indirecta, se ha insinuado que la aprehensión de algunos de los imputados se habría realizado en forma irregular, de ser así, los abogados de los mismos debieron haber denunciado tales hechos en forma oportuna por ante el Juez de la Instrucción Penal (Cautelar), que es precisamente la autoridad encargada del control de tales garantías. De no haber ocurrido así, y al haber dicha autoridad ordenado con facultad propia la detención preventiva de los imputados, se ha regularizado tales supuestas anomalías. Por lo que en la presente etapa de juicio, carecen de todo sustento legal las pretensiones de que los imputados estarían ilegalmente detenidos</w:t>
      </w:r>
      <w:r w:rsidRPr="00B17E1F">
        <w:rPr>
          <w:rStyle w:val="FootnoteReference"/>
          <w:rFonts w:asciiTheme="majorHAnsi" w:hAnsiTheme="majorHAnsi"/>
          <w:color w:val="auto"/>
          <w:szCs w:val="18"/>
          <w:lang w:val="es-US"/>
        </w:rPr>
        <w:footnoteReference w:id="83"/>
      </w:r>
      <w:r w:rsidRPr="00B17E1F">
        <w:rPr>
          <w:rFonts w:asciiTheme="majorHAnsi" w:hAnsiTheme="majorHAnsi"/>
          <w:color w:val="auto"/>
          <w:szCs w:val="18"/>
          <w:lang w:val="es-US"/>
        </w:rPr>
        <w:t xml:space="preserve">. </w:t>
      </w:r>
    </w:p>
    <w:p w14:paraId="7D688FB8" w14:textId="77777777" w:rsidR="00D7474D" w:rsidRPr="0011380E" w:rsidRDefault="00D7474D" w:rsidP="00D7474D">
      <w:pPr>
        <w:pStyle w:val="ListParagraph"/>
        <w:numPr>
          <w:ilvl w:val="0"/>
          <w:numId w:val="0"/>
        </w:numPr>
        <w:rPr>
          <w:rFonts w:asciiTheme="majorHAnsi" w:hAnsiTheme="majorHAnsi"/>
          <w:color w:val="auto"/>
          <w:szCs w:val="20"/>
          <w:lang w:val="es-US"/>
        </w:rPr>
      </w:pPr>
    </w:p>
    <w:p w14:paraId="2F5E7497" w14:textId="77777777" w:rsidR="008605B3" w:rsidRPr="0011380E" w:rsidRDefault="00FF18D1"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D</w:t>
      </w:r>
      <w:r w:rsidR="0022071C" w:rsidRPr="0011380E">
        <w:rPr>
          <w:rFonts w:asciiTheme="majorHAnsi" w:hAnsiTheme="majorHAnsi"/>
          <w:color w:val="auto"/>
          <w:szCs w:val="20"/>
          <w:lang w:val="es-US"/>
        </w:rPr>
        <w:t xml:space="preserve">e gran relevancia para el presente caso </w:t>
      </w:r>
      <w:r w:rsidRPr="0011380E">
        <w:rPr>
          <w:rFonts w:asciiTheme="majorHAnsi" w:hAnsiTheme="majorHAnsi"/>
          <w:color w:val="auto"/>
          <w:szCs w:val="20"/>
          <w:lang w:val="es-US"/>
        </w:rPr>
        <w:t xml:space="preserve">también </w:t>
      </w:r>
      <w:r w:rsidR="0022071C" w:rsidRPr="0011380E">
        <w:rPr>
          <w:rFonts w:asciiTheme="majorHAnsi" w:hAnsiTheme="majorHAnsi"/>
          <w:color w:val="auto"/>
          <w:szCs w:val="20"/>
          <w:lang w:val="es-US"/>
        </w:rPr>
        <w:t xml:space="preserve">resulta la determinación del Tribunal </w:t>
      </w:r>
      <w:r w:rsidR="007D0253" w:rsidRPr="0011380E">
        <w:rPr>
          <w:rFonts w:asciiTheme="majorHAnsi" w:hAnsiTheme="majorHAnsi"/>
          <w:color w:val="auto"/>
          <w:szCs w:val="20"/>
          <w:lang w:val="es-US"/>
        </w:rPr>
        <w:t xml:space="preserve">de Sentencia en su fallo el </w:t>
      </w:r>
      <w:r w:rsidR="0022071C" w:rsidRPr="0011380E">
        <w:rPr>
          <w:rFonts w:asciiTheme="majorHAnsi" w:hAnsiTheme="majorHAnsi"/>
          <w:color w:val="auto"/>
          <w:szCs w:val="20"/>
          <w:lang w:val="es-US"/>
        </w:rPr>
        <w:t>que</w:t>
      </w:r>
      <w:r w:rsidR="00766285" w:rsidRPr="0011380E">
        <w:rPr>
          <w:rFonts w:asciiTheme="majorHAnsi" w:hAnsiTheme="majorHAnsi"/>
          <w:color w:val="auto"/>
          <w:szCs w:val="20"/>
          <w:lang w:val="es-US"/>
        </w:rPr>
        <w:t>,</w:t>
      </w:r>
      <w:r w:rsidR="007D0253" w:rsidRPr="0011380E">
        <w:rPr>
          <w:rFonts w:asciiTheme="majorHAnsi" w:hAnsiTheme="majorHAnsi"/>
          <w:color w:val="auto"/>
          <w:szCs w:val="20"/>
          <w:lang w:val="es-US"/>
        </w:rPr>
        <w:t xml:space="preserve"> teniendo en cuenta que</w:t>
      </w:r>
      <w:r w:rsidR="0022071C" w:rsidRPr="0011380E">
        <w:rPr>
          <w:rFonts w:asciiTheme="majorHAnsi" w:hAnsiTheme="majorHAnsi"/>
          <w:color w:val="auto"/>
          <w:szCs w:val="20"/>
          <w:lang w:val="es-US"/>
        </w:rPr>
        <w:t xml:space="preserve"> durante la sustanciación del</w:t>
      </w:r>
      <w:r w:rsidR="00557B97" w:rsidRPr="0011380E">
        <w:rPr>
          <w:rFonts w:asciiTheme="majorHAnsi" w:hAnsiTheme="majorHAnsi"/>
          <w:color w:val="auto"/>
          <w:szCs w:val="20"/>
          <w:lang w:val="es-US"/>
        </w:rPr>
        <w:t xml:space="preserve"> juicio oral se denunció que </w:t>
      </w:r>
      <w:r w:rsidR="00766285" w:rsidRPr="0011380E">
        <w:rPr>
          <w:rFonts w:asciiTheme="majorHAnsi" w:hAnsiTheme="majorHAnsi"/>
          <w:color w:val="auto"/>
          <w:szCs w:val="20"/>
          <w:lang w:val="es-US"/>
        </w:rPr>
        <w:t>en</w:t>
      </w:r>
      <w:r w:rsidR="00557B97" w:rsidRPr="0011380E">
        <w:rPr>
          <w:rFonts w:asciiTheme="majorHAnsi" w:hAnsiTheme="majorHAnsi"/>
          <w:color w:val="auto"/>
          <w:szCs w:val="20"/>
          <w:lang w:val="es-US"/>
        </w:rPr>
        <w:t xml:space="preserve"> la detención de los imputados y la fase investigativa se habrían cometido violaciones a los derechos humanos por funcionarios públicos, disp</w:t>
      </w:r>
      <w:r w:rsidR="00C40C7C" w:rsidRPr="0011380E">
        <w:rPr>
          <w:rFonts w:asciiTheme="majorHAnsi" w:hAnsiTheme="majorHAnsi"/>
          <w:color w:val="auto"/>
          <w:szCs w:val="20"/>
          <w:lang w:val="es-US"/>
        </w:rPr>
        <w:t>uso</w:t>
      </w:r>
      <w:r w:rsidR="00766285" w:rsidRPr="0011380E">
        <w:rPr>
          <w:rFonts w:asciiTheme="majorHAnsi" w:hAnsiTheme="majorHAnsi"/>
          <w:color w:val="auto"/>
          <w:szCs w:val="20"/>
          <w:lang w:val="es-US"/>
        </w:rPr>
        <w:t xml:space="preserve"> </w:t>
      </w:r>
      <w:r w:rsidR="007D0253" w:rsidRPr="0011380E">
        <w:rPr>
          <w:rFonts w:asciiTheme="majorHAnsi" w:hAnsiTheme="majorHAnsi"/>
          <w:color w:val="auto"/>
          <w:szCs w:val="20"/>
          <w:lang w:val="es-US"/>
        </w:rPr>
        <w:t>que se remit</w:t>
      </w:r>
      <w:r w:rsidR="00C40C7C" w:rsidRPr="0011380E">
        <w:rPr>
          <w:rFonts w:asciiTheme="majorHAnsi" w:hAnsiTheme="majorHAnsi"/>
          <w:color w:val="auto"/>
          <w:szCs w:val="20"/>
          <w:lang w:val="es-US"/>
        </w:rPr>
        <w:t>ieran</w:t>
      </w:r>
      <w:r w:rsidR="00557B97" w:rsidRPr="0011380E">
        <w:rPr>
          <w:rFonts w:asciiTheme="majorHAnsi" w:hAnsiTheme="majorHAnsi"/>
          <w:color w:val="auto"/>
          <w:szCs w:val="20"/>
          <w:lang w:val="es-US"/>
        </w:rPr>
        <w:t xml:space="preserve"> los antecedentes al Ministerio Público para investigación</w:t>
      </w:r>
      <w:r w:rsidR="0022071C" w:rsidRPr="0011380E">
        <w:rPr>
          <w:rStyle w:val="FootnoteReference"/>
          <w:rFonts w:asciiTheme="majorHAnsi" w:hAnsiTheme="majorHAnsi"/>
          <w:color w:val="auto"/>
          <w:szCs w:val="20"/>
          <w:lang w:val="es-US"/>
        </w:rPr>
        <w:footnoteReference w:id="84"/>
      </w:r>
      <w:r w:rsidR="007D0253" w:rsidRPr="0011380E">
        <w:rPr>
          <w:rFonts w:asciiTheme="majorHAnsi" w:hAnsiTheme="majorHAnsi"/>
          <w:color w:val="auto"/>
          <w:szCs w:val="20"/>
          <w:lang w:val="es-US"/>
        </w:rPr>
        <w:t xml:space="preserve">, dejando además constancia de </w:t>
      </w:r>
      <w:r w:rsidRPr="0011380E">
        <w:rPr>
          <w:rFonts w:asciiTheme="majorHAnsi" w:hAnsiTheme="majorHAnsi"/>
          <w:color w:val="auto"/>
          <w:szCs w:val="20"/>
          <w:lang w:val="es-US"/>
        </w:rPr>
        <w:t xml:space="preserve">la </w:t>
      </w:r>
      <w:r w:rsidR="007D0253" w:rsidRPr="0011380E">
        <w:rPr>
          <w:rFonts w:asciiTheme="majorHAnsi" w:hAnsiTheme="majorHAnsi"/>
          <w:color w:val="auto"/>
          <w:szCs w:val="20"/>
          <w:lang w:val="es-US"/>
        </w:rPr>
        <w:t xml:space="preserve">prueba rendida </w:t>
      </w:r>
      <w:r w:rsidR="00794D73" w:rsidRPr="0011380E">
        <w:rPr>
          <w:rFonts w:asciiTheme="majorHAnsi" w:hAnsiTheme="majorHAnsi"/>
          <w:color w:val="auto"/>
          <w:szCs w:val="20"/>
          <w:lang w:val="es-US"/>
        </w:rPr>
        <w:t>respecto de</w:t>
      </w:r>
      <w:r w:rsidR="007D0253" w:rsidRPr="0011380E">
        <w:rPr>
          <w:rFonts w:asciiTheme="majorHAnsi" w:hAnsiTheme="majorHAnsi"/>
          <w:color w:val="auto"/>
          <w:szCs w:val="20"/>
          <w:lang w:val="es-US"/>
        </w:rPr>
        <w:t xml:space="preserve"> tales alegaciones</w:t>
      </w:r>
      <w:r w:rsidR="007D0253" w:rsidRPr="0011380E">
        <w:rPr>
          <w:rStyle w:val="FootnoteReference"/>
          <w:rFonts w:asciiTheme="majorHAnsi" w:hAnsiTheme="majorHAnsi"/>
          <w:color w:val="auto"/>
          <w:szCs w:val="20"/>
          <w:lang w:val="es-US"/>
        </w:rPr>
        <w:footnoteReference w:id="85"/>
      </w:r>
      <w:r w:rsidR="007D0253" w:rsidRPr="0011380E">
        <w:rPr>
          <w:rFonts w:asciiTheme="majorHAnsi" w:hAnsiTheme="majorHAnsi"/>
          <w:color w:val="auto"/>
          <w:szCs w:val="20"/>
          <w:lang w:val="es-US"/>
        </w:rPr>
        <w:t>.</w:t>
      </w:r>
      <w:r w:rsidR="00D7474D" w:rsidRPr="0011380E">
        <w:rPr>
          <w:rFonts w:asciiTheme="majorHAnsi" w:hAnsiTheme="majorHAnsi"/>
          <w:color w:val="auto"/>
          <w:szCs w:val="20"/>
          <w:lang w:val="es-US"/>
        </w:rPr>
        <w:t xml:space="preserve"> </w:t>
      </w:r>
    </w:p>
    <w:p w14:paraId="55AB8A50" w14:textId="77777777" w:rsidR="00590B5F" w:rsidRPr="0011380E" w:rsidRDefault="00590B5F" w:rsidP="0011380E">
      <w:pPr>
        <w:pStyle w:val="ListParagraph"/>
        <w:numPr>
          <w:ilvl w:val="0"/>
          <w:numId w:val="0"/>
        </w:numPr>
        <w:rPr>
          <w:rFonts w:asciiTheme="majorHAnsi" w:hAnsiTheme="majorHAnsi"/>
          <w:color w:val="auto"/>
          <w:szCs w:val="20"/>
          <w:lang w:val="es-US"/>
        </w:rPr>
      </w:pPr>
    </w:p>
    <w:p w14:paraId="30E60784" w14:textId="77777777" w:rsidR="00590B5F" w:rsidRPr="0011380E" w:rsidRDefault="00590B5F"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lastRenderedPageBreak/>
        <w:t>El fallo fue recurrido de apelación restringida por los condenados, quienes reiteraron las alegaciones de violaciones a sus derechos humanos durante la detención e investigación y alegaron, entre otras consideraciones, la ilicitud de la detención y recolección de evidencia, lo que conllevaría la nulidad absoluta de lo obrado. La Sala Penal Primera de la Corte Superior de Justicia, dictó sentencia de la apelación restringida el 21 de agosto de 2003 declarando improcedentes las cuestiones planteadas y confirmando la sentencia apelada</w:t>
      </w:r>
      <w:r w:rsidR="00073869" w:rsidRPr="0011380E">
        <w:rPr>
          <w:rFonts w:asciiTheme="majorHAnsi" w:hAnsiTheme="majorHAnsi"/>
          <w:color w:val="auto"/>
          <w:szCs w:val="20"/>
          <w:lang w:val="es-US"/>
        </w:rPr>
        <w:t>, sin hacer referencia a las alegaciones antes referidas</w:t>
      </w:r>
      <w:r w:rsidR="00073869" w:rsidRPr="0011380E">
        <w:rPr>
          <w:rStyle w:val="FootnoteReference"/>
          <w:rFonts w:asciiTheme="majorHAnsi" w:hAnsiTheme="majorHAnsi"/>
          <w:color w:val="auto"/>
          <w:szCs w:val="20"/>
          <w:lang w:val="es-US"/>
        </w:rPr>
        <w:footnoteReference w:id="86"/>
      </w:r>
      <w:r w:rsidRPr="0011380E">
        <w:rPr>
          <w:rFonts w:asciiTheme="majorHAnsi" w:hAnsiTheme="majorHAnsi"/>
          <w:color w:val="auto"/>
          <w:szCs w:val="20"/>
          <w:lang w:val="es-US"/>
        </w:rPr>
        <w:t>.</w:t>
      </w:r>
      <w:r w:rsidR="00066EA5" w:rsidRPr="0011380E">
        <w:rPr>
          <w:rFonts w:asciiTheme="majorHAnsi" w:hAnsiTheme="majorHAnsi"/>
          <w:color w:val="auto"/>
          <w:szCs w:val="20"/>
          <w:lang w:val="es-US"/>
        </w:rPr>
        <w:t xml:space="preserve"> Los condenados recurrieron de casación contra tal sentencia, esgrimiendo similares argumentos, pero dicho recurso fue considerado inadmisible por la Sala Penal de la Corte Suprema de Justicia con fecha 29 de octubre de 2003</w:t>
      </w:r>
      <w:r w:rsidR="00066EA5" w:rsidRPr="0011380E">
        <w:rPr>
          <w:rStyle w:val="FootnoteReference"/>
          <w:rFonts w:asciiTheme="majorHAnsi" w:hAnsiTheme="majorHAnsi"/>
          <w:color w:val="auto"/>
          <w:szCs w:val="20"/>
          <w:lang w:val="es-US"/>
        </w:rPr>
        <w:footnoteReference w:id="87"/>
      </w:r>
      <w:r w:rsidR="00066EA5" w:rsidRPr="0011380E">
        <w:rPr>
          <w:rFonts w:asciiTheme="majorHAnsi" w:hAnsiTheme="majorHAnsi"/>
          <w:color w:val="auto"/>
          <w:szCs w:val="20"/>
          <w:lang w:val="es-US"/>
        </w:rPr>
        <w:t>.</w:t>
      </w:r>
    </w:p>
    <w:p w14:paraId="03BB0E60" w14:textId="77777777" w:rsidR="00C955D3" w:rsidRPr="0011380E" w:rsidRDefault="00C955D3" w:rsidP="0011380E">
      <w:pPr>
        <w:pStyle w:val="ListParagraph"/>
        <w:numPr>
          <w:ilvl w:val="0"/>
          <w:numId w:val="0"/>
        </w:numPr>
        <w:rPr>
          <w:rFonts w:asciiTheme="majorHAnsi" w:hAnsiTheme="majorHAnsi"/>
          <w:color w:val="auto"/>
          <w:szCs w:val="20"/>
          <w:lang w:val="es-US"/>
        </w:rPr>
      </w:pPr>
    </w:p>
    <w:p w14:paraId="3A232DED" w14:textId="77777777" w:rsidR="00DA71B8" w:rsidRPr="005F3D64" w:rsidRDefault="002C0E7B" w:rsidP="005F3D64">
      <w:pPr>
        <w:pStyle w:val="ListParagraph"/>
        <w:rPr>
          <w:rFonts w:asciiTheme="majorHAnsi" w:hAnsiTheme="majorHAnsi"/>
          <w:color w:val="auto"/>
          <w:szCs w:val="20"/>
          <w:lang w:val="es-US"/>
        </w:rPr>
      </w:pPr>
      <w:r w:rsidRPr="0011380E">
        <w:rPr>
          <w:rFonts w:asciiTheme="majorHAnsi" w:hAnsiTheme="majorHAnsi"/>
          <w:color w:val="auto"/>
          <w:szCs w:val="20"/>
          <w:lang w:val="es-ES"/>
        </w:rPr>
        <w:t xml:space="preserve">El Estado </w:t>
      </w:r>
      <w:r w:rsidR="00E900C3" w:rsidRPr="0011380E">
        <w:rPr>
          <w:rFonts w:asciiTheme="majorHAnsi" w:hAnsiTheme="majorHAnsi"/>
          <w:color w:val="auto"/>
          <w:szCs w:val="20"/>
          <w:lang w:val="es-ES"/>
        </w:rPr>
        <w:t xml:space="preserve">indica que las alegaciones de los peticionarios fueron objeto de una investigación de oficio por el Estado y rechazadas por el Ministerio Público </w:t>
      </w:r>
      <w:r w:rsidR="009434B1" w:rsidRPr="0011380E">
        <w:rPr>
          <w:rFonts w:asciiTheme="majorHAnsi" w:hAnsiTheme="majorHAnsi"/>
          <w:color w:val="auto"/>
          <w:szCs w:val="20"/>
          <w:lang w:val="es-ES"/>
        </w:rPr>
        <w:t xml:space="preserve">en 2014 </w:t>
      </w:r>
      <w:r w:rsidR="00E900C3" w:rsidRPr="0011380E">
        <w:rPr>
          <w:rFonts w:asciiTheme="majorHAnsi" w:hAnsiTheme="majorHAnsi"/>
          <w:color w:val="auto"/>
          <w:szCs w:val="20"/>
          <w:lang w:val="es-ES"/>
        </w:rPr>
        <w:t>por falta de prueba, pero no acompaña do</w:t>
      </w:r>
      <w:r w:rsidR="0057365F" w:rsidRPr="0011380E">
        <w:rPr>
          <w:rFonts w:asciiTheme="majorHAnsi" w:hAnsiTheme="majorHAnsi"/>
          <w:color w:val="auto"/>
          <w:szCs w:val="20"/>
          <w:lang w:val="es-ES"/>
        </w:rPr>
        <w:t>cumento alguno en sustento de tal</w:t>
      </w:r>
      <w:r w:rsidR="00E900C3" w:rsidRPr="0011380E">
        <w:rPr>
          <w:rFonts w:asciiTheme="majorHAnsi" w:hAnsiTheme="majorHAnsi"/>
          <w:color w:val="auto"/>
          <w:szCs w:val="20"/>
          <w:lang w:val="es-ES"/>
        </w:rPr>
        <w:t xml:space="preserve"> afirmación</w:t>
      </w:r>
      <w:r w:rsidR="00E900C3" w:rsidRPr="0011380E">
        <w:rPr>
          <w:rStyle w:val="FootnoteReference"/>
          <w:rFonts w:asciiTheme="majorHAnsi" w:hAnsiTheme="majorHAnsi"/>
          <w:color w:val="auto"/>
          <w:szCs w:val="20"/>
          <w:lang w:val="es-ES"/>
        </w:rPr>
        <w:footnoteReference w:id="88"/>
      </w:r>
      <w:r w:rsidR="00E900C3" w:rsidRPr="0011380E">
        <w:rPr>
          <w:rFonts w:asciiTheme="majorHAnsi" w:hAnsiTheme="majorHAnsi"/>
          <w:color w:val="auto"/>
          <w:szCs w:val="20"/>
          <w:lang w:val="es-ES"/>
        </w:rPr>
        <w:t>.</w:t>
      </w:r>
    </w:p>
    <w:p w14:paraId="72A5A7A6" w14:textId="77777777" w:rsidR="005F3D64" w:rsidRPr="005F3D64" w:rsidRDefault="005F3D64" w:rsidP="005F3D64">
      <w:pPr>
        <w:pStyle w:val="ListParagraph"/>
        <w:numPr>
          <w:ilvl w:val="0"/>
          <w:numId w:val="0"/>
        </w:numPr>
        <w:rPr>
          <w:rFonts w:asciiTheme="majorHAnsi" w:hAnsiTheme="majorHAnsi"/>
          <w:color w:val="auto"/>
          <w:szCs w:val="20"/>
          <w:lang w:val="es-US"/>
        </w:rPr>
      </w:pPr>
    </w:p>
    <w:p w14:paraId="581D813E" w14:textId="77777777" w:rsidR="00D12193" w:rsidRPr="0011380E" w:rsidRDefault="00D12193" w:rsidP="0011380E">
      <w:pPr>
        <w:pStyle w:val="Heading1"/>
        <w:ind w:left="0" w:firstLine="0"/>
        <w:rPr>
          <w:color w:val="auto"/>
        </w:rPr>
      </w:pPr>
      <w:bookmarkStart w:id="13" w:name="_Toc11750405"/>
      <w:r w:rsidRPr="0011380E">
        <w:rPr>
          <w:color w:val="auto"/>
        </w:rPr>
        <w:t>ANÁLISIS DE DERECHO</w:t>
      </w:r>
      <w:bookmarkEnd w:id="13"/>
    </w:p>
    <w:p w14:paraId="7EF3FDC3" w14:textId="77777777" w:rsidR="0011380E" w:rsidRPr="0011380E" w:rsidRDefault="0011380E" w:rsidP="0011380E">
      <w:pPr>
        <w:rPr>
          <w:lang w:val="es-ES_tradnl" w:eastAsia="es-ES"/>
        </w:rPr>
      </w:pPr>
    </w:p>
    <w:p w14:paraId="715B24A9" w14:textId="77777777" w:rsidR="0034633E" w:rsidRPr="0011380E" w:rsidRDefault="0034633E" w:rsidP="0011380E">
      <w:pPr>
        <w:pStyle w:val="Heading2"/>
        <w:numPr>
          <w:ilvl w:val="0"/>
          <w:numId w:val="60"/>
        </w:numPr>
        <w:ind w:left="0" w:firstLine="0"/>
        <w:jc w:val="both"/>
        <w:rPr>
          <w:rFonts w:asciiTheme="majorHAnsi" w:hAnsiTheme="majorHAnsi"/>
          <w:szCs w:val="20"/>
          <w:lang w:val="es-VE"/>
        </w:rPr>
      </w:pPr>
      <w:bookmarkStart w:id="14" w:name="_Toc11750406"/>
      <w:bookmarkStart w:id="15" w:name="_Toc531369297"/>
      <w:bookmarkStart w:id="16" w:name="_Toc485650798"/>
      <w:r w:rsidRPr="0011380E">
        <w:rPr>
          <w:rFonts w:asciiTheme="majorHAnsi" w:hAnsiTheme="majorHAnsi"/>
          <w:szCs w:val="20"/>
          <w:lang w:val="es-VE"/>
        </w:rPr>
        <w:t>Derecho</w:t>
      </w:r>
      <w:r w:rsidR="00D7393F" w:rsidRPr="0011380E">
        <w:rPr>
          <w:rFonts w:asciiTheme="majorHAnsi" w:hAnsiTheme="majorHAnsi"/>
          <w:szCs w:val="20"/>
          <w:lang w:val="es-VE"/>
        </w:rPr>
        <w:t>s</w:t>
      </w:r>
      <w:r w:rsidRPr="0011380E">
        <w:rPr>
          <w:rFonts w:asciiTheme="majorHAnsi" w:hAnsiTheme="majorHAnsi"/>
          <w:szCs w:val="20"/>
          <w:lang w:val="es-VE"/>
        </w:rPr>
        <w:t xml:space="preserve"> a la libertad </w:t>
      </w:r>
      <w:r w:rsidR="00FC08BE" w:rsidRPr="0011380E">
        <w:rPr>
          <w:rFonts w:asciiTheme="majorHAnsi" w:hAnsiTheme="majorHAnsi"/>
          <w:szCs w:val="20"/>
          <w:lang w:val="es-VE"/>
        </w:rPr>
        <w:t>personal</w:t>
      </w:r>
      <w:r w:rsidRPr="0011380E">
        <w:rPr>
          <w:rStyle w:val="FootnoteReference"/>
          <w:rFonts w:asciiTheme="majorHAnsi" w:hAnsiTheme="majorHAnsi"/>
          <w:b w:val="0"/>
          <w:szCs w:val="20"/>
          <w:lang w:val="es-VE"/>
        </w:rPr>
        <w:footnoteReference w:id="89"/>
      </w:r>
      <w:r w:rsidR="001B0DF9" w:rsidRPr="0011380E">
        <w:rPr>
          <w:rFonts w:asciiTheme="majorHAnsi" w:hAnsiTheme="majorHAnsi"/>
          <w:szCs w:val="20"/>
          <w:lang w:val="es-VE"/>
        </w:rPr>
        <w:t xml:space="preserve"> y </w:t>
      </w:r>
      <w:r w:rsidR="00686CB9" w:rsidRPr="0011380E">
        <w:rPr>
          <w:rFonts w:asciiTheme="majorHAnsi" w:hAnsiTheme="majorHAnsi"/>
          <w:szCs w:val="20"/>
          <w:lang w:val="es-VE"/>
        </w:rPr>
        <w:t>a la vida privada y domicilio</w:t>
      </w:r>
      <w:r w:rsidRPr="0011380E">
        <w:rPr>
          <w:rStyle w:val="FootnoteReference"/>
          <w:rFonts w:asciiTheme="majorHAnsi" w:hAnsiTheme="majorHAnsi"/>
          <w:b w:val="0"/>
          <w:szCs w:val="20"/>
          <w:lang w:val="es-VE"/>
        </w:rPr>
        <w:footnoteReference w:id="90"/>
      </w:r>
      <w:r w:rsidRPr="0011380E">
        <w:rPr>
          <w:rFonts w:asciiTheme="majorHAnsi" w:hAnsiTheme="majorHAnsi"/>
          <w:szCs w:val="20"/>
          <w:lang w:val="es-VE"/>
        </w:rPr>
        <w:t>.</w:t>
      </w:r>
      <w:bookmarkEnd w:id="14"/>
      <w:r w:rsidRPr="0011380E">
        <w:rPr>
          <w:rFonts w:asciiTheme="majorHAnsi" w:hAnsiTheme="majorHAnsi"/>
          <w:szCs w:val="20"/>
          <w:lang w:val="es-VE"/>
        </w:rPr>
        <w:t xml:space="preserve"> </w:t>
      </w:r>
    </w:p>
    <w:p w14:paraId="509A6D4A" w14:textId="77777777" w:rsidR="00771834" w:rsidRPr="0011380E" w:rsidRDefault="00771834" w:rsidP="0011380E">
      <w:pPr>
        <w:pStyle w:val="ListParagraph"/>
        <w:numPr>
          <w:ilvl w:val="0"/>
          <w:numId w:val="0"/>
        </w:numPr>
        <w:rPr>
          <w:rFonts w:asciiTheme="majorHAnsi" w:hAnsiTheme="majorHAnsi"/>
          <w:color w:val="auto"/>
          <w:szCs w:val="20"/>
          <w:lang w:val="es-US"/>
        </w:rPr>
      </w:pPr>
    </w:p>
    <w:p w14:paraId="4F5FA080" w14:textId="77777777" w:rsidR="005A6F19" w:rsidRPr="0011380E" w:rsidRDefault="009225C8" w:rsidP="0011380E">
      <w:pPr>
        <w:pStyle w:val="ListParagraph"/>
        <w:rPr>
          <w:rFonts w:asciiTheme="majorHAnsi" w:hAnsiTheme="majorHAnsi"/>
          <w:color w:val="auto"/>
          <w:szCs w:val="20"/>
          <w:lang w:val="es-US"/>
        </w:rPr>
      </w:pPr>
      <w:r w:rsidRPr="0011380E">
        <w:rPr>
          <w:rFonts w:asciiTheme="majorHAnsi" w:hAnsiTheme="majorHAnsi"/>
          <w:color w:val="auto"/>
          <w:szCs w:val="20"/>
          <w:lang w:val="es-VE"/>
        </w:rPr>
        <w:t xml:space="preserve">En cuanto al derecho a la libertad </w:t>
      </w:r>
      <w:r w:rsidR="00CE688F" w:rsidRPr="0011380E">
        <w:rPr>
          <w:rFonts w:asciiTheme="majorHAnsi" w:hAnsiTheme="majorHAnsi"/>
          <w:color w:val="auto"/>
          <w:szCs w:val="20"/>
          <w:lang w:val="es-VE"/>
        </w:rPr>
        <w:t>personal</w:t>
      </w:r>
      <w:r w:rsidRPr="0011380E">
        <w:rPr>
          <w:rFonts w:asciiTheme="majorHAnsi" w:hAnsiTheme="majorHAnsi"/>
          <w:color w:val="auto"/>
          <w:szCs w:val="20"/>
          <w:lang w:val="es-VE"/>
        </w:rPr>
        <w:t xml:space="preserve">, la </w:t>
      </w:r>
      <w:r w:rsidRPr="0011380E">
        <w:rPr>
          <w:rFonts w:asciiTheme="majorHAnsi" w:hAnsiTheme="majorHAnsi"/>
          <w:color w:val="auto"/>
          <w:szCs w:val="20"/>
          <w:lang w:val="es-US"/>
        </w:rPr>
        <w:t xml:space="preserve">Corte Interamericana de Derechos Humanos (en adelante la “Corte Interamericana” o “Corte”) ha </w:t>
      </w:r>
      <w:r w:rsidR="0003211E" w:rsidRPr="0011380E">
        <w:rPr>
          <w:rFonts w:asciiTheme="majorHAnsi" w:hAnsiTheme="majorHAnsi"/>
          <w:color w:val="auto"/>
          <w:szCs w:val="20"/>
          <w:lang w:val="es-US"/>
        </w:rPr>
        <w:t xml:space="preserve">sido consistente en </w:t>
      </w:r>
      <w:r w:rsidRPr="0011380E">
        <w:rPr>
          <w:rFonts w:asciiTheme="majorHAnsi" w:hAnsiTheme="majorHAnsi"/>
          <w:color w:val="auto"/>
          <w:szCs w:val="20"/>
          <w:lang w:val="es-US"/>
        </w:rPr>
        <w:t>indica</w:t>
      </w:r>
      <w:r w:rsidR="0003211E" w:rsidRPr="0011380E">
        <w:rPr>
          <w:rFonts w:asciiTheme="majorHAnsi" w:hAnsiTheme="majorHAnsi"/>
          <w:color w:val="auto"/>
          <w:szCs w:val="20"/>
          <w:lang w:val="es-US"/>
        </w:rPr>
        <w:t>r</w:t>
      </w:r>
      <w:r w:rsidR="00D679C8" w:rsidRPr="0011380E">
        <w:rPr>
          <w:rFonts w:asciiTheme="majorHAnsi" w:hAnsiTheme="majorHAnsi"/>
          <w:color w:val="auto"/>
          <w:szCs w:val="20"/>
          <w:lang w:val="es-US"/>
        </w:rPr>
        <w:t xml:space="preserve"> que “independientemente de la razón de su detención, en la medida en que se trata de una privación de libertad ejecutada por un Estado Parte de la Convención, dicha privación de la libertad debe ajustarse estrictamente a lo que la Convención Americana y la legislación interna establezcan al efecto”</w:t>
      </w:r>
      <w:r w:rsidR="00D679C8" w:rsidRPr="0011380E">
        <w:rPr>
          <w:rStyle w:val="FootnoteReference"/>
          <w:rFonts w:asciiTheme="majorHAnsi" w:hAnsiTheme="majorHAnsi"/>
          <w:color w:val="auto"/>
          <w:szCs w:val="20"/>
          <w:lang w:val="es-US"/>
        </w:rPr>
        <w:footnoteReference w:id="91"/>
      </w:r>
      <w:r w:rsidR="008971BF" w:rsidRPr="0011380E">
        <w:rPr>
          <w:rFonts w:asciiTheme="majorHAnsi" w:hAnsiTheme="majorHAnsi"/>
          <w:color w:val="auto"/>
          <w:szCs w:val="20"/>
          <w:lang w:val="es-US"/>
        </w:rPr>
        <w:t xml:space="preserve">. A este respecto, </w:t>
      </w:r>
      <w:r w:rsidR="00771834" w:rsidRPr="0011380E">
        <w:rPr>
          <w:rFonts w:asciiTheme="majorHAnsi" w:hAnsiTheme="majorHAnsi"/>
          <w:color w:val="auto"/>
          <w:szCs w:val="20"/>
          <w:lang w:val="es-US"/>
        </w:rPr>
        <w:t xml:space="preserve">a fin de determinar la legalidad de la privación de libertad física, </w:t>
      </w:r>
      <w:r w:rsidR="008971BF" w:rsidRPr="0011380E">
        <w:rPr>
          <w:rFonts w:asciiTheme="majorHAnsi" w:hAnsiTheme="majorHAnsi"/>
          <w:color w:val="auto"/>
          <w:szCs w:val="20"/>
          <w:lang w:val="es-US"/>
        </w:rPr>
        <w:t xml:space="preserve">el artículo 7.2 de la Convención remite a las </w:t>
      </w:r>
      <w:r w:rsidR="00771834" w:rsidRPr="0011380E">
        <w:rPr>
          <w:rFonts w:asciiTheme="majorHAnsi" w:hAnsiTheme="majorHAnsi"/>
          <w:color w:val="auto"/>
          <w:szCs w:val="20"/>
          <w:lang w:val="es-US"/>
        </w:rPr>
        <w:t>“</w:t>
      </w:r>
      <w:r w:rsidR="008971BF" w:rsidRPr="0011380E">
        <w:rPr>
          <w:rFonts w:asciiTheme="majorHAnsi" w:hAnsiTheme="majorHAnsi"/>
          <w:color w:val="auto"/>
          <w:szCs w:val="20"/>
          <w:lang w:val="es-US"/>
        </w:rPr>
        <w:t>causas</w:t>
      </w:r>
      <w:r w:rsidR="00771834" w:rsidRPr="0011380E">
        <w:rPr>
          <w:rFonts w:asciiTheme="majorHAnsi" w:hAnsiTheme="majorHAnsi"/>
          <w:color w:val="auto"/>
          <w:szCs w:val="20"/>
          <w:lang w:val="es-US"/>
        </w:rPr>
        <w:t>”</w:t>
      </w:r>
      <w:r w:rsidR="008971BF" w:rsidRPr="0011380E">
        <w:rPr>
          <w:rFonts w:asciiTheme="majorHAnsi" w:hAnsiTheme="majorHAnsi"/>
          <w:color w:val="auto"/>
          <w:szCs w:val="20"/>
          <w:lang w:val="es-US"/>
        </w:rPr>
        <w:t xml:space="preserve"> y </w:t>
      </w:r>
      <w:r w:rsidR="00771834" w:rsidRPr="0011380E">
        <w:rPr>
          <w:rFonts w:asciiTheme="majorHAnsi" w:hAnsiTheme="majorHAnsi"/>
          <w:color w:val="auto"/>
          <w:szCs w:val="20"/>
          <w:lang w:val="es-US"/>
        </w:rPr>
        <w:t>“</w:t>
      </w:r>
      <w:r w:rsidR="008971BF" w:rsidRPr="0011380E">
        <w:rPr>
          <w:rFonts w:asciiTheme="majorHAnsi" w:hAnsiTheme="majorHAnsi"/>
          <w:color w:val="auto"/>
          <w:szCs w:val="20"/>
          <w:lang w:val="es-US"/>
        </w:rPr>
        <w:t>condiciones</w:t>
      </w:r>
      <w:r w:rsidR="00771834" w:rsidRPr="0011380E">
        <w:rPr>
          <w:rFonts w:asciiTheme="majorHAnsi" w:hAnsiTheme="majorHAnsi"/>
          <w:color w:val="auto"/>
          <w:szCs w:val="20"/>
          <w:lang w:val="es-US"/>
        </w:rPr>
        <w:t>” establecidas en las “Constituciones Políticas” o las “leyes dictadas conforme a ellas”</w:t>
      </w:r>
      <w:r w:rsidR="00771834" w:rsidRPr="0011380E">
        <w:rPr>
          <w:rStyle w:val="FootnoteReference"/>
          <w:rFonts w:asciiTheme="majorHAnsi" w:hAnsiTheme="majorHAnsi"/>
          <w:color w:val="auto"/>
          <w:szCs w:val="20"/>
          <w:lang w:val="es-US"/>
        </w:rPr>
        <w:footnoteReference w:id="92"/>
      </w:r>
      <w:r w:rsidR="00771834" w:rsidRPr="0011380E">
        <w:rPr>
          <w:rFonts w:asciiTheme="majorHAnsi" w:hAnsiTheme="majorHAnsi"/>
          <w:color w:val="auto"/>
          <w:szCs w:val="20"/>
          <w:lang w:val="es-US"/>
        </w:rPr>
        <w:t>. En consecuencia, “[s]i la normativa interna, tanto en el aspecto material como en el formal, no es observada al privar a una persona de su libertad, tal privación será ilegal y contraria a la Convención Americana”</w:t>
      </w:r>
      <w:r w:rsidR="00207816" w:rsidRPr="0011380E">
        <w:rPr>
          <w:rStyle w:val="FootnoteReference"/>
          <w:rFonts w:asciiTheme="majorHAnsi" w:hAnsiTheme="majorHAnsi"/>
          <w:color w:val="auto"/>
          <w:szCs w:val="20"/>
          <w:lang w:val="es-US"/>
        </w:rPr>
        <w:footnoteReference w:id="93"/>
      </w:r>
      <w:r w:rsidR="00771834" w:rsidRPr="0011380E">
        <w:rPr>
          <w:rFonts w:asciiTheme="majorHAnsi" w:hAnsiTheme="majorHAnsi"/>
          <w:color w:val="auto"/>
          <w:szCs w:val="20"/>
          <w:lang w:val="es-US"/>
        </w:rPr>
        <w:t>.</w:t>
      </w:r>
      <w:r w:rsidR="0003211E" w:rsidRPr="0011380E">
        <w:rPr>
          <w:rFonts w:asciiTheme="majorHAnsi" w:hAnsiTheme="majorHAnsi"/>
          <w:color w:val="auto"/>
          <w:szCs w:val="20"/>
          <w:lang w:val="es-US"/>
        </w:rPr>
        <w:t xml:space="preserve"> A</w:t>
      </w:r>
      <w:r w:rsidR="00686CB9" w:rsidRPr="0011380E">
        <w:rPr>
          <w:rFonts w:asciiTheme="majorHAnsi" w:hAnsiTheme="majorHAnsi"/>
          <w:color w:val="auto"/>
          <w:szCs w:val="20"/>
          <w:lang w:val="es-US"/>
        </w:rPr>
        <w:t>demás, a</w:t>
      </w:r>
      <w:r w:rsidR="0003211E" w:rsidRPr="0011380E">
        <w:rPr>
          <w:rFonts w:asciiTheme="majorHAnsi" w:hAnsiTheme="majorHAnsi"/>
          <w:color w:val="auto"/>
          <w:szCs w:val="20"/>
          <w:lang w:val="es-US"/>
        </w:rPr>
        <w:t xml:space="preserve"> fin de determinar la legalidad de una detención es necesario establecer si, con anterioridad a esta, se dio cumplimiento a los requisitos materiales y formales establecidos en la normativa interna aplicable. Si esto no ocurrió, la detención será ilegal en violación del artículo 7.2 de la Convención y, por lo tanto, del artículo 7.1, en relación con el artículo 1.1 del mismo tratado</w:t>
      </w:r>
      <w:r w:rsidR="0003211E" w:rsidRPr="0011380E">
        <w:rPr>
          <w:rStyle w:val="FootnoteReference"/>
          <w:rFonts w:asciiTheme="majorHAnsi" w:hAnsiTheme="majorHAnsi"/>
          <w:color w:val="auto"/>
          <w:szCs w:val="20"/>
          <w:lang w:val="es-US"/>
        </w:rPr>
        <w:footnoteReference w:id="94"/>
      </w:r>
      <w:r w:rsidR="0003211E" w:rsidRPr="0011380E">
        <w:rPr>
          <w:rFonts w:asciiTheme="majorHAnsi" w:hAnsiTheme="majorHAnsi"/>
          <w:color w:val="auto"/>
          <w:szCs w:val="20"/>
          <w:lang w:val="es-US"/>
        </w:rPr>
        <w:t>.</w:t>
      </w:r>
      <w:r w:rsidR="00771834" w:rsidRPr="0011380E">
        <w:rPr>
          <w:rFonts w:asciiTheme="majorHAnsi" w:hAnsiTheme="majorHAnsi"/>
          <w:color w:val="auto"/>
          <w:szCs w:val="20"/>
          <w:lang w:val="es-US"/>
        </w:rPr>
        <w:t xml:space="preserve"> </w:t>
      </w:r>
    </w:p>
    <w:p w14:paraId="229D2891" w14:textId="77777777" w:rsidR="005A6F19" w:rsidRPr="0011380E" w:rsidRDefault="005A6F19" w:rsidP="0011380E">
      <w:pPr>
        <w:pStyle w:val="ListParagraph"/>
        <w:numPr>
          <w:ilvl w:val="0"/>
          <w:numId w:val="0"/>
        </w:numPr>
        <w:rPr>
          <w:rFonts w:asciiTheme="majorHAnsi" w:hAnsiTheme="majorHAnsi"/>
          <w:color w:val="auto"/>
          <w:szCs w:val="20"/>
          <w:lang w:val="es-US"/>
        </w:rPr>
      </w:pPr>
    </w:p>
    <w:p w14:paraId="022A02E5" w14:textId="77777777" w:rsidR="00570949" w:rsidRPr="0011380E" w:rsidRDefault="00570949" w:rsidP="0011380E">
      <w:pPr>
        <w:pStyle w:val="ListParagraph"/>
        <w:rPr>
          <w:rFonts w:asciiTheme="majorHAnsi" w:hAnsiTheme="majorHAnsi"/>
          <w:color w:val="auto"/>
          <w:szCs w:val="20"/>
          <w:lang w:val="es-US"/>
        </w:rPr>
      </w:pPr>
      <w:r w:rsidRPr="0011380E">
        <w:rPr>
          <w:rFonts w:asciiTheme="majorHAnsi" w:hAnsiTheme="majorHAnsi" w:cs="Arial"/>
          <w:color w:val="auto"/>
          <w:szCs w:val="20"/>
          <w:lang w:val="es-CO"/>
        </w:rPr>
        <w:t xml:space="preserve">En relación con el artículo 7.3 de la Convención Americana, la Corte ha establecido que </w:t>
      </w:r>
      <w:r w:rsidRPr="0011380E">
        <w:rPr>
          <w:rFonts w:asciiTheme="majorHAnsi" w:hAnsiTheme="majorHAnsi"/>
          <w:color w:val="auto"/>
          <w:szCs w:val="20"/>
          <w:lang w:val="es-CO"/>
        </w:rPr>
        <w:t xml:space="preserve">“nadie puede ser sometido a detención o encarcelamiento por causas y métodos que, aún calificados de legales, puedan reputarse como incompatibles con el respeto a los derechos fundamentales del individuo por ser, entre otras </w:t>
      </w:r>
      <w:r w:rsidRPr="0011380E">
        <w:rPr>
          <w:rFonts w:asciiTheme="majorHAnsi" w:hAnsiTheme="majorHAnsi"/>
          <w:color w:val="auto"/>
          <w:szCs w:val="20"/>
          <w:lang w:val="es-CO"/>
        </w:rPr>
        <w:lastRenderedPageBreak/>
        <w:t>cosas, irrazonables, imprevisibles, o faltos de proporcionalidad”</w:t>
      </w:r>
      <w:r w:rsidRPr="0011380E">
        <w:rPr>
          <w:rStyle w:val="FootnoteReference"/>
          <w:rFonts w:asciiTheme="majorHAnsi" w:hAnsiTheme="majorHAnsi"/>
          <w:color w:val="auto"/>
          <w:szCs w:val="20"/>
        </w:rPr>
        <w:footnoteReference w:id="95"/>
      </w:r>
      <w:r w:rsidRPr="0011380E">
        <w:rPr>
          <w:rFonts w:asciiTheme="majorHAnsi" w:hAnsiTheme="majorHAnsi"/>
          <w:color w:val="auto"/>
          <w:szCs w:val="20"/>
          <w:lang w:val="es-CO"/>
        </w:rPr>
        <w:t xml:space="preserve">. Al referirse a la arbitrariedad de la detención, la Corte </w:t>
      </w:r>
      <w:r w:rsidR="00EB3272" w:rsidRPr="0011380E">
        <w:rPr>
          <w:rFonts w:asciiTheme="majorHAnsi" w:hAnsiTheme="majorHAnsi"/>
          <w:color w:val="auto"/>
          <w:szCs w:val="20"/>
          <w:lang w:val="es-CO"/>
        </w:rPr>
        <w:t>se ha referido a lo indicado por el Comité de Derechos Humanos</w:t>
      </w:r>
      <w:r w:rsidR="00861E43" w:rsidRPr="0011380E">
        <w:rPr>
          <w:rFonts w:asciiTheme="majorHAnsi" w:hAnsiTheme="majorHAnsi"/>
          <w:color w:val="auto"/>
          <w:szCs w:val="20"/>
          <w:lang w:val="es-CO"/>
        </w:rPr>
        <w:t xml:space="preserve"> el que </w:t>
      </w:r>
      <w:r w:rsidRPr="0011380E">
        <w:rPr>
          <w:rFonts w:asciiTheme="majorHAnsi" w:hAnsiTheme="majorHAnsi"/>
          <w:color w:val="auto"/>
          <w:szCs w:val="20"/>
          <w:lang w:val="es-CO"/>
        </w:rPr>
        <w:t xml:space="preserve">ha </w:t>
      </w:r>
      <w:r w:rsidR="00861E43" w:rsidRPr="0011380E">
        <w:rPr>
          <w:rFonts w:asciiTheme="majorHAnsi" w:hAnsiTheme="majorHAnsi"/>
          <w:color w:val="auto"/>
          <w:szCs w:val="20"/>
          <w:lang w:val="es-CO"/>
        </w:rPr>
        <w:t>precisado</w:t>
      </w:r>
      <w:r w:rsidRPr="0011380E">
        <w:rPr>
          <w:rFonts w:asciiTheme="majorHAnsi" w:hAnsiTheme="majorHAnsi"/>
          <w:color w:val="auto"/>
          <w:szCs w:val="20"/>
          <w:lang w:val="es-CO"/>
        </w:rPr>
        <w:t xml:space="preserve"> que “no se debe equiparar el concepto de ‘arbitrariedad’ con el de ‘contrario a la ley’, sino que debe interpretarse de manera más amplia a fin de incluir elementos de incorrección, injusticia e imprevisibilidad, así como también el principio de las garantías procesales”</w:t>
      </w:r>
      <w:r w:rsidRPr="0011380E">
        <w:rPr>
          <w:rStyle w:val="FootnoteReference"/>
          <w:rFonts w:asciiTheme="majorHAnsi" w:hAnsiTheme="majorHAnsi"/>
          <w:color w:val="auto"/>
          <w:szCs w:val="20"/>
        </w:rPr>
        <w:footnoteReference w:id="96"/>
      </w:r>
      <w:r w:rsidRPr="0011380E">
        <w:rPr>
          <w:rFonts w:asciiTheme="majorHAnsi" w:hAnsiTheme="majorHAnsi"/>
          <w:color w:val="auto"/>
          <w:szCs w:val="20"/>
          <w:lang w:val="es-CO"/>
        </w:rPr>
        <w:t xml:space="preserve">.  </w:t>
      </w:r>
    </w:p>
    <w:p w14:paraId="20BDB1DB" w14:textId="77777777" w:rsidR="00D679C8" w:rsidRPr="0011380E" w:rsidRDefault="00771834" w:rsidP="0011380E">
      <w:pPr>
        <w:pStyle w:val="ListParagraph"/>
        <w:numPr>
          <w:ilvl w:val="0"/>
          <w:numId w:val="0"/>
        </w:numPr>
        <w:rPr>
          <w:rFonts w:asciiTheme="majorHAnsi" w:hAnsiTheme="majorHAnsi"/>
          <w:color w:val="auto"/>
          <w:szCs w:val="20"/>
          <w:lang w:val="es-US"/>
        </w:rPr>
      </w:pPr>
      <w:r w:rsidRPr="0011380E">
        <w:rPr>
          <w:rFonts w:asciiTheme="majorHAnsi" w:hAnsiTheme="majorHAnsi"/>
          <w:color w:val="auto"/>
          <w:szCs w:val="20"/>
          <w:lang w:val="es-US"/>
        </w:rPr>
        <w:t xml:space="preserve"> </w:t>
      </w:r>
      <w:r w:rsidR="008971BF" w:rsidRPr="0011380E">
        <w:rPr>
          <w:rFonts w:asciiTheme="majorHAnsi" w:hAnsiTheme="majorHAnsi"/>
          <w:color w:val="auto"/>
          <w:szCs w:val="20"/>
          <w:lang w:val="es-US"/>
        </w:rPr>
        <w:t xml:space="preserve"> </w:t>
      </w:r>
      <w:r w:rsidR="00D679C8" w:rsidRPr="0011380E">
        <w:rPr>
          <w:rFonts w:asciiTheme="majorHAnsi" w:hAnsiTheme="majorHAnsi"/>
          <w:color w:val="auto"/>
          <w:szCs w:val="20"/>
          <w:lang w:val="es-US"/>
        </w:rPr>
        <w:t xml:space="preserve"> </w:t>
      </w:r>
    </w:p>
    <w:p w14:paraId="285CEDE9" w14:textId="77777777" w:rsidR="003D2000" w:rsidRPr="0011380E" w:rsidRDefault="008D311C" w:rsidP="0011380E">
      <w:pPr>
        <w:pStyle w:val="ListParagraph"/>
        <w:rPr>
          <w:rFonts w:asciiTheme="majorHAnsi" w:hAnsiTheme="majorHAnsi"/>
          <w:color w:val="auto"/>
          <w:szCs w:val="20"/>
          <w:lang w:val="es-US"/>
        </w:rPr>
      </w:pPr>
      <w:r w:rsidRPr="0011380E">
        <w:rPr>
          <w:rFonts w:asciiTheme="majorHAnsi" w:hAnsiTheme="majorHAnsi"/>
          <w:color w:val="auto"/>
          <w:szCs w:val="20"/>
          <w:lang w:val="es-VE"/>
        </w:rPr>
        <w:t xml:space="preserve">Como lo ha indicado la Corte, el artículo 7.6 de la Convención protege </w:t>
      </w:r>
      <w:r w:rsidR="00BC5854" w:rsidRPr="0011380E">
        <w:rPr>
          <w:rFonts w:asciiTheme="majorHAnsi" w:hAnsiTheme="majorHAnsi"/>
          <w:color w:val="auto"/>
          <w:szCs w:val="20"/>
          <w:lang w:val="es-VE"/>
        </w:rPr>
        <w:t xml:space="preserve">también </w:t>
      </w:r>
      <w:r w:rsidRPr="0011380E">
        <w:rPr>
          <w:rFonts w:asciiTheme="majorHAnsi" w:hAnsiTheme="majorHAnsi"/>
          <w:color w:val="auto"/>
          <w:szCs w:val="20"/>
          <w:lang w:val="es-VE"/>
        </w:rPr>
        <w:t>el derecho de toda persona privada de libertad a recurrir la legalidad de su detención ante un juez, precisando que “[t]ales recursos</w:t>
      </w:r>
      <w:r w:rsidR="007B312A" w:rsidRPr="0011380E">
        <w:rPr>
          <w:rFonts w:asciiTheme="majorHAnsi" w:hAnsiTheme="majorHAnsi"/>
          <w:color w:val="auto"/>
          <w:szCs w:val="20"/>
          <w:lang w:val="es-VE"/>
        </w:rPr>
        <w:t xml:space="preserve"> no solo deben existir formalmente en la legislación sino que deben ser efectivos, esto es, cumplir con el objetivo de obtener sin demora una decisión sobre la legalidad del arresto o de la detención”</w:t>
      </w:r>
      <w:r w:rsidR="007B312A" w:rsidRPr="0011380E">
        <w:rPr>
          <w:rStyle w:val="FootnoteReference"/>
          <w:rFonts w:asciiTheme="majorHAnsi" w:hAnsiTheme="majorHAnsi"/>
          <w:color w:val="auto"/>
          <w:szCs w:val="20"/>
          <w:lang w:val="es-VE"/>
        </w:rPr>
        <w:footnoteReference w:id="97"/>
      </w:r>
      <w:r w:rsidR="00F965A5" w:rsidRPr="0011380E">
        <w:rPr>
          <w:rFonts w:asciiTheme="majorHAnsi" w:hAnsiTheme="majorHAnsi"/>
          <w:color w:val="auto"/>
          <w:szCs w:val="20"/>
          <w:lang w:val="es-VE"/>
        </w:rPr>
        <w:t>. En este contexto, “[e]l análisis por la autoridad competente de un recurso judicial que controvierte la legalidad de la privación de libertad no</w:t>
      </w:r>
      <w:r w:rsidR="00F965A5" w:rsidRPr="0011380E">
        <w:rPr>
          <w:rFonts w:asciiTheme="majorHAnsi" w:eastAsia="Arial Unicode MS" w:hAnsiTheme="majorHAnsi" w:cs="Verdana"/>
          <w:color w:val="auto"/>
          <w:szCs w:val="20"/>
          <w:lang w:val="es-US"/>
        </w:rPr>
        <w:t xml:space="preserve"> </w:t>
      </w:r>
      <w:r w:rsidR="00F965A5" w:rsidRPr="0011380E">
        <w:rPr>
          <w:rFonts w:asciiTheme="majorHAnsi" w:hAnsiTheme="majorHAnsi"/>
          <w:color w:val="auto"/>
          <w:szCs w:val="20"/>
          <w:lang w:val="es-US"/>
        </w:rPr>
        <w:t>puede reducirse a una mera formalidad, sino debe examinar las razones invocadas por el demandante y manifestarse expresamente sobre ellas, de acuerdo a los parámetros establecidos por la Convención Americana”</w:t>
      </w:r>
      <w:r w:rsidR="00F965A5" w:rsidRPr="0011380E">
        <w:rPr>
          <w:rStyle w:val="FootnoteReference"/>
          <w:rFonts w:asciiTheme="majorHAnsi" w:hAnsiTheme="majorHAnsi"/>
          <w:color w:val="auto"/>
          <w:szCs w:val="20"/>
          <w:lang w:val="es-US"/>
        </w:rPr>
        <w:footnoteReference w:id="98"/>
      </w:r>
      <w:r w:rsidR="00F965A5" w:rsidRPr="0011380E">
        <w:rPr>
          <w:rFonts w:asciiTheme="majorHAnsi" w:hAnsiTheme="majorHAnsi"/>
          <w:color w:val="auto"/>
          <w:szCs w:val="20"/>
          <w:lang w:val="es-US"/>
        </w:rPr>
        <w:t xml:space="preserve">. </w:t>
      </w:r>
      <w:r w:rsidR="00104229" w:rsidRPr="0011380E">
        <w:rPr>
          <w:rFonts w:asciiTheme="majorHAnsi" w:hAnsiTheme="majorHAnsi"/>
          <w:color w:val="auto"/>
          <w:szCs w:val="20"/>
          <w:lang w:val="es-US"/>
        </w:rPr>
        <w:t>La falta de análisis y pronunciamiento sobre alegaciones de ilegalidad de la detención por parte de la autoridad judicial hacen que el recurso sea inefectivo</w:t>
      </w:r>
      <w:r w:rsidR="00104229" w:rsidRPr="0011380E">
        <w:rPr>
          <w:rStyle w:val="FootnoteReference"/>
          <w:rFonts w:asciiTheme="majorHAnsi" w:hAnsiTheme="majorHAnsi"/>
          <w:color w:val="auto"/>
          <w:szCs w:val="20"/>
          <w:lang w:val="es-US"/>
        </w:rPr>
        <w:footnoteReference w:id="99"/>
      </w:r>
      <w:r w:rsidR="00104229" w:rsidRPr="0011380E">
        <w:rPr>
          <w:rFonts w:asciiTheme="majorHAnsi" w:hAnsiTheme="majorHAnsi"/>
          <w:color w:val="auto"/>
          <w:szCs w:val="20"/>
          <w:lang w:val="es-US"/>
        </w:rPr>
        <w:t>.</w:t>
      </w:r>
    </w:p>
    <w:p w14:paraId="101FDBD7" w14:textId="77777777" w:rsidR="007B16D4" w:rsidRPr="0011380E" w:rsidRDefault="007B16D4" w:rsidP="0011380E">
      <w:pPr>
        <w:pStyle w:val="ListParagraph"/>
        <w:numPr>
          <w:ilvl w:val="0"/>
          <w:numId w:val="0"/>
        </w:numPr>
        <w:rPr>
          <w:rFonts w:asciiTheme="majorHAnsi" w:hAnsiTheme="majorHAnsi"/>
          <w:color w:val="auto"/>
          <w:szCs w:val="20"/>
          <w:lang w:val="es-US"/>
        </w:rPr>
      </w:pPr>
    </w:p>
    <w:p w14:paraId="31417291" w14:textId="77777777" w:rsidR="00094327" w:rsidRPr="0011380E" w:rsidRDefault="00524C31" w:rsidP="0011380E">
      <w:pPr>
        <w:pStyle w:val="ListParagraph"/>
        <w:rPr>
          <w:rFonts w:asciiTheme="majorHAnsi" w:hAnsiTheme="majorHAnsi"/>
          <w:color w:val="auto"/>
          <w:szCs w:val="20"/>
          <w:lang w:val="es-US"/>
        </w:rPr>
      </w:pPr>
      <w:r w:rsidRPr="0011380E">
        <w:rPr>
          <w:rFonts w:asciiTheme="majorHAnsi" w:hAnsiTheme="majorHAnsi"/>
          <w:color w:val="auto"/>
          <w:szCs w:val="20"/>
          <w:lang w:val="es-ES"/>
        </w:rPr>
        <w:t>La</w:t>
      </w:r>
      <w:r w:rsidR="00C25459" w:rsidRPr="0011380E">
        <w:rPr>
          <w:rFonts w:asciiTheme="majorHAnsi" w:hAnsiTheme="majorHAnsi"/>
          <w:color w:val="auto"/>
          <w:szCs w:val="20"/>
          <w:lang w:val="es-US"/>
        </w:rPr>
        <w:t xml:space="preserve"> Corte ha indicado </w:t>
      </w:r>
      <w:r w:rsidRPr="0011380E">
        <w:rPr>
          <w:rFonts w:asciiTheme="majorHAnsi" w:hAnsiTheme="majorHAnsi"/>
          <w:color w:val="auto"/>
          <w:szCs w:val="20"/>
          <w:lang w:val="es-US"/>
        </w:rPr>
        <w:t xml:space="preserve">también </w:t>
      </w:r>
      <w:r w:rsidR="00C25459" w:rsidRPr="0011380E">
        <w:rPr>
          <w:rFonts w:asciiTheme="majorHAnsi" w:hAnsiTheme="majorHAnsi"/>
          <w:color w:val="auto"/>
          <w:szCs w:val="20"/>
          <w:lang w:val="es-US"/>
        </w:rPr>
        <w:t>expresamente que el art</w:t>
      </w:r>
      <w:r w:rsidR="0036663C" w:rsidRPr="0011380E">
        <w:rPr>
          <w:rFonts w:asciiTheme="majorHAnsi" w:hAnsiTheme="majorHAnsi"/>
          <w:color w:val="auto"/>
          <w:szCs w:val="20"/>
          <w:lang w:val="es-US"/>
        </w:rPr>
        <w:t>ículo 11.2</w:t>
      </w:r>
      <w:r w:rsidR="00C25459" w:rsidRPr="0011380E">
        <w:rPr>
          <w:rFonts w:asciiTheme="majorHAnsi" w:hAnsiTheme="majorHAnsi"/>
          <w:color w:val="auto"/>
          <w:szCs w:val="20"/>
          <w:lang w:val="es-US"/>
        </w:rPr>
        <w:t xml:space="preserve"> de la Convención protege la vida privada y el domicilio de injerencias arbitrarias o abusivas, reconociendo “que existe un ámbito personal que debe estar a salvo de intromisiones por parte de extraños y que el honor personal y familiar, así como el domicilio, deben estar protegidos de tales interferencias”</w:t>
      </w:r>
      <w:r w:rsidR="0074176E" w:rsidRPr="0011380E">
        <w:rPr>
          <w:rStyle w:val="FootnoteReference"/>
          <w:rFonts w:asciiTheme="majorHAnsi" w:hAnsiTheme="majorHAnsi"/>
          <w:color w:val="auto"/>
          <w:szCs w:val="20"/>
          <w:lang w:val="es-US"/>
        </w:rPr>
        <w:footnoteReference w:id="100"/>
      </w:r>
      <w:r w:rsidR="00C25459" w:rsidRPr="0011380E">
        <w:rPr>
          <w:rFonts w:asciiTheme="majorHAnsi" w:hAnsiTheme="majorHAnsi"/>
          <w:color w:val="auto"/>
          <w:szCs w:val="20"/>
          <w:lang w:val="es-US"/>
        </w:rPr>
        <w:t xml:space="preserve">. </w:t>
      </w:r>
      <w:r w:rsidR="004711AD" w:rsidRPr="0011380E">
        <w:rPr>
          <w:rFonts w:asciiTheme="majorHAnsi" w:hAnsiTheme="majorHAnsi"/>
          <w:color w:val="auto"/>
          <w:szCs w:val="20"/>
          <w:lang w:val="es-US"/>
        </w:rPr>
        <w:t xml:space="preserve">Además, la Corte ha </w:t>
      </w:r>
      <w:r w:rsidRPr="0011380E">
        <w:rPr>
          <w:rFonts w:asciiTheme="majorHAnsi" w:hAnsiTheme="majorHAnsi"/>
          <w:color w:val="auto"/>
          <w:szCs w:val="20"/>
          <w:lang w:val="es-US"/>
        </w:rPr>
        <w:t>determinado</w:t>
      </w:r>
      <w:r w:rsidR="004711AD" w:rsidRPr="0011380E">
        <w:rPr>
          <w:rFonts w:asciiTheme="majorHAnsi" w:hAnsiTheme="majorHAnsi"/>
          <w:color w:val="auto"/>
          <w:szCs w:val="20"/>
          <w:lang w:val="es-US"/>
        </w:rPr>
        <w:t xml:space="preserve"> que, “a la luz del artículo 11.2 de la Convención, la obtención de la debida autorización o de una orden judicial para realizar un registro o allanamiento domiciliario debe ser entendida como la regla general y sus excepciones, tales como la flagrancia, son válidas sólo en las circunstancias establecidas en la ley, las cuales, precisamente en tanto excepciones, deben ser estrictamente interpretadas.”</w:t>
      </w:r>
      <w:r w:rsidR="004711AD" w:rsidRPr="0011380E">
        <w:rPr>
          <w:rStyle w:val="FootnoteReference"/>
          <w:rFonts w:asciiTheme="majorHAnsi" w:hAnsiTheme="majorHAnsi"/>
          <w:color w:val="auto"/>
          <w:szCs w:val="20"/>
          <w:lang w:val="es-US"/>
        </w:rPr>
        <w:footnoteReference w:id="101"/>
      </w:r>
      <w:r w:rsidR="00094327" w:rsidRPr="0011380E">
        <w:rPr>
          <w:rFonts w:asciiTheme="majorHAnsi" w:hAnsiTheme="majorHAnsi"/>
          <w:color w:val="auto"/>
          <w:szCs w:val="20"/>
          <w:lang w:val="es-US"/>
        </w:rPr>
        <w:t>.</w:t>
      </w:r>
    </w:p>
    <w:p w14:paraId="36D4E5A4" w14:textId="77777777" w:rsidR="004711AD" w:rsidRPr="0011380E" w:rsidRDefault="004711AD" w:rsidP="0011380E">
      <w:pPr>
        <w:pStyle w:val="ListParagraph"/>
        <w:numPr>
          <w:ilvl w:val="0"/>
          <w:numId w:val="0"/>
        </w:numPr>
        <w:rPr>
          <w:rFonts w:asciiTheme="majorHAnsi" w:hAnsiTheme="majorHAnsi"/>
          <w:color w:val="auto"/>
          <w:szCs w:val="20"/>
          <w:lang w:val="es-US"/>
        </w:rPr>
      </w:pPr>
      <w:r w:rsidRPr="0011380E">
        <w:rPr>
          <w:rFonts w:asciiTheme="majorHAnsi" w:hAnsiTheme="majorHAnsi"/>
          <w:color w:val="auto"/>
          <w:szCs w:val="20"/>
          <w:lang w:val="es-US"/>
        </w:rPr>
        <w:t xml:space="preserve"> </w:t>
      </w:r>
    </w:p>
    <w:p w14:paraId="207A8A90" w14:textId="77777777" w:rsidR="006970F2" w:rsidRPr="0011380E" w:rsidRDefault="00094327"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 xml:space="preserve">Conforme a la normativa constitucional y legal </w:t>
      </w:r>
      <w:r w:rsidR="006970F2" w:rsidRPr="0011380E">
        <w:rPr>
          <w:rFonts w:asciiTheme="majorHAnsi" w:hAnsiTheme="majorHAnsi"/>
          <w:color w:val="auto"/>
          <w:szCs w:val="20"/>
          <w:lang w:val="es-US"/>
        </w:rPr>
        <w:t xml:space="preserve">relevante y </w:t>
      </w:r>
      <w:r w:rsidRPr="0011380E">
        <w:rPr>
          <w:rFonts w:asciiTheme="majorHAnsi" w:hAnsiTheme="majorHAnsi"/>
          <w:color w:val="auto"/>
          <w:szCs w:val="20"/>
          <w:lang w:val="es-US"/>
        </w:rPr>
        <w:t>vigente en Bolivia a la época de los hechos, transcritas en la sección de Marco Normativo, el arresto de individuos en sus hogares y el allanamiento de los mismos solo podía practicarse durante horas del día, contando con una resolución fundada del juez y la participación obligatoria del fiscal. Durante horas de la noche, es decir, entre las diecinueve horas y la</w:t>
      </w:r>
      <w:r w:rsidR="00D830D7" w:rsidRPr="0011380E">
        <w:rPr>
          <w:rFonts w:asciiTheme="majorHAnsi" w:hAnsiTheme="majorHAnsi"/>
          <w:color w:val="auto"/>
          <w:szCs w:val="20"/>
          <w:lang w:val="es-US"/>
        </w:rPr>
        <w:t>s</w:t>
      </w:r>
      <w:r w:rsidRPr="0011380E">
        <w:rPr>
          <w:rFonts w:asciiTheme="majorHAnsi" w:hAnsiTheme="majorHAnsi"/>
          <w:color w:val="auto"/>
          <w:szCs w:val="20"/>
          <w:lang w:val="es-US"/>
        </w:rPr>
        <w:t xml:space="preserve"> siete de la mañana del día siguiente, </w:t>
      </w:r>
      <w:r w:rsidR="00E561F8" w:rsidRPr="0011380E">
        <w:rPr>
          <w:rFonts w:asciiTheme="majorHAnsi" w:hAnsiTheme="majorHAnsi"/>
          <w:color w:val="auto"/>
          <w:szCs w:val="20"/>
          <w:lang w:val="es-US"/>
        </w:rPr>
        <w:t xml:space="preserve">el allanamiento de domicilios se encontraba absolutamente prohibido y solo era posible entrar a un hogar con el consentimiento de quien lo habitaba o en caso de flagrancia. Como indica </w:t>
      </w:r>
      <w:r w:rsidR="006970F2" w:rsidRPr="0011380E">
        <w:rPr>
          <w:rFonts w:asciiTheme="majorHAnsi" w:hAnsiTheme="majorHAnsi"/>
          <w:color w:val="auto"/>
          <w:szCs w:val="20"/>
          <w:lang w:val="es-US"/>
        </w:rPr>
        <w:t>también la misma normativa, f</w:t>
      </w:r>
      <w:r w:rsidR="00E561F8" w:rsidRPr="0011380E">
        <w:rPr>
          <w:rFonts w:asciiTheme="majorHAnsi" w:hAnsiTheme="majorHAnsi"/>
          <w:color w:val="auto"/>
          <w:szCs w:val="20"/>
          <w:lang w:val="es-US"/>
        </w:rPr>
        <w:t>lagrancia</w:t>
      </w:r>
      <w:r w:rsidR="006970F2" w:rsidRPr="0011380E">
        <w:rPr>
          <w:rFonts w:asciiTheme="majorHAnsi" w:hAnsiTheme="majorHAnsi"/>
          <w:color w:val="auto"/>
          <w:szCs w:val="20"/>
          <w:lang w:val="es-US"/>
        </w:rPr>
        <w:t xml:space="preserve"> ocurre solo cuando el autor del hecho es sorprendido en el momento de intentarlo, de cometerlo o inmediatamente después mientras es perseguido</w:t>
      </w:r>
      <w:r w:rsidR="006970F2" w:rsidRPr="0011380E">
        <w:rPr>
          <w:rFonts w:asciiTheme="majorHAnsi" w:hAnsiTheme="majorHAnsi"/>
          <w:i/>
          <w:color w:val="auto"/>
          <w:szCs w:val="20"/>
          <w:lang w:val="es-US"/>
        </w:rPr>
        <w:t xml:space="preserve"> </w:t>
      </w:r>
      <w:r w:rsidR="006970F2" w:rsidRPr="0011380E">
        <w:rPr>
          <w:rFonts w:asciiTheme="majorHAnsi" w:hAnsiTheme="majorHAnsi"/>
          <w:color w:val="auto"/>
          <w:szCs w:val="20"/>
          <w:lang w:val="es-US"/>
        </w:rPr>
        <w:t xml:space="preserve">por la fuerza pública, el ofendido o los testigos presenciales del hecho. </w:t>
      </w:r>
    </w:p>
    <w:p w14:paraId="182282D1" w14:textId="77777777" w:rsidR="006970F2" w:rsidRPr="0011380E" w:rsidRDefault="006970F2" w:rsidP="0011380E">
      <w:pPr>
        <w:pStyle w:val="ListParagraph"/>
        <w:numPr>
          <w:ilvl w:val="0"/>
          <w:numId w:val="0"/>
        </w:numPr>
        <w:rPr>
          <w:rFonts w:asciiTheme="majorHAnsi" w:hAnsiTheme="majorHAnsi"/>
          <w:color w:val="auto"/>
          <w:szCs w:val="20"/>
          <w:lang w:val="es-US"/>
        </w:rPr>
      </w:pPr>
    </w:p>
    <w:p w14:paraId="7F0150DB" w14:textId="77777777" w:rsidR="00E039AB" w:rsidRPr="00643722" w:rsidRDefault="00E561F8" w:rsidP="00643722">
      <w:pPr>
        <w:pStyle w:val="ListParagraph"/>
        <w:rPr>
          <w:rFonts w:asciiTheme="majorHAnsi" w:hAnsiTheme="majorHAnsi"/>
          <w:color w:val="auto"/>
          <w:szCs w:val="20"/>
          <w:lang w:val="es-US"/>
        </w:rPr>
      </w:pPr>
      <w:r w:rsidRPr="0011380E">
        <w:rPr>
          <w:rFonts w:asciiTheme="majorHAnsi" w:hAnsiTheme="majorHAnsi"/>
          <w:color w:val="auto"/>
          <w:szCs w:val="20"/>
          <w:lang w:val="es-US"/>
        </w:rPr>
        <w:t>E</w:t>
      </w:r>
      <w:r w:rsidR="006970F2" w:rsidRPr="0011380E">
        <w:rPr>
          <w:rFonts w:asciiTheme="majorHAnsi" w:hAnsiTheme="majorHAnsi"/>
          <w:color w:val="auto"/>
          <w:szCs w:val="20"/>
          <w:lang w:val="es-US"/>
        </w:rPr>
        <w:t xml:space="preserve">n consecuencia, los mandamientos emitidos por el Juez de Instrucción con fecha 14 y 17 de diciembre de 2001, </w:t>
      </w:r>
      <w:r w:rsidR="007E3653" w:rsidRPr="0011380E">
        <w:rPr>
          <w:rFonts w:asciiTheme="majorHAnsi" w:hAnsiTheme="majorHAnsi"/>
          <w:color w:val="auto"/>
          <w:szCs w:val="20"/>
          <w:lang w:val="es-US"/>
        </w:rPr>
        <w:t xml:space="preserve">eran </w:t>
      </w:r>
      <w:r w:rsidR="006970F2" w:rsidRPr="0011380E">
        <w:rPr>
          <w:rFonts w:asciiTheme="majorHAnsi" w:hAnsiTheme="majorHAnsi"/>
          <w:color w:val="auto"/>
          <w:szCs w:val="20"/>
          <w:lang w:val="es-US"/>
        </w:rPr>
        <w:t xml:space="preserve">solo válidos para ser usados entre las </w:t>
      </w:r>
      <w:r w:rsidR="003A6D8F" w:rsidRPr="0011380E">
        <w:rPr>
          <w:rFonts w:asciiTheme="majorHAnsi" w:hAnsiTheme="majorHAnsi"/>
          <w:color w:val="auto"/>
          <w:szCs w:val="20"/>
          <w:lang w:val="es-US"/>
        </w:rPr>
        <w:t>siete</w:t>
      </w:r>
      <w:r w:rsidR="006970F2" w:rsidRPr="0011380E">
        <w:rPr>
          <w:rFonts w:asciiTheme="majorHAnsi" w:hAnsiTheme="majorHAnsi"/>
          <w:color w:val="auto"/>
          <w:szCs w:val="20"/>
          <w:lang w:val="es-US"/>
        </w:rPr>
        <w:t xml:space="preserve"> de la mañana y las </w:t>
      </w:r>
      <w:r w:rsidR="003A6D8F" w:rsidRPr="0011380E">
        <w:rPr>
          <w:rFonts w:asciiTheme="majorHAnsi" w:hAnsiTheme="majorHAnsi"/>
          <w:color w:val="auto"/>
          <w:szCs w:val="20"/>
          <w:lang w:val="es-US"/>
        </w:rPr>
        <w:t>siete</w:t>
      </w:r>
      <w:r w:rsidR="006970F2" w:rsidRPr="0011380E">
        <w:rPr>
          <w:rFonts w:asciiTheme="majorHAnsi" w:hAnsiTheme="majorHAnsi"/>
          <w:color w:val="auto"/>
          <w:szCs w:val="20"/>
          <w:lang w:val="es-US"/>
        </w:rPr>
        <w:t xml:space="preserve"> de la tarde</w:t>
      </w:r>
      <w:r w:rsidR="005F3160" w:rsidRPr="0011380E">
        <w:rPr>
          <w:rFonts w:asciiTheme="majorHAnsi" w:hAnsiTheme="majorHAnsi"/>
          <w:color w:val="auto"/>
          <w:szCs w:val="20"/>
          <w:lang w:val="es-US"/>
        </w:rPr>
        <w:t>. E</w:t>
      </w:r>
      <w:r w:rsidR="006970F2" w:rsidRPr="0011380E">
        <w:rPr>
          <w:rFonts w:asciiTheme="majorHAnsi" w:hAnsiTheme="majorHAnsi"/>
          <w:color w:val="auto"/>
          <w:szCs w:val="20"/>
          <w:lang w:val="es-US"/>
        </w:rPr>
        <w:t>n cuanto habilitaban para efectuar operativos durante la noche, éstos eran</w:t>
      </w:r>
      <w:r w:rsidR="00751020" w:rsidRPr="0011380E">
        <w:rPr>
          <w:rFonts w:asciiTheme="majorHAnsi" w:hAnsiTheme="majorHAnsi"/>
          <w:color w:val="auto"/>
          <w:szCs w:val="20"/>
          <w:lang w:val="es-US"/>
        </w:rPr>
        <w:t xml:space="preserve"> violatorios de la Constitución y las demás normas aplicables</w:t>
      </w:r>
      <w:r w:rsidR="006970F2" w:rsidRPr="0011380E">
        <w:rPr>
          <w:rFonts w:asciiTheme="majorHAnsi" w:hAnsiTheme="majorHAnsi"/>
          <w:color w:val="auto"/>
          <w:szCs w:val="20"/>
          <w:lang w:val="es-US"/>
        </w:rPr>
        <w:t>.</w:t>
      </w:r>
      <w:r w:rsidR="005F3160" w:rsidRPr="0011380E">
        <w:rPr>
          <w:rFonts w:asciiTheme="majorHAnsi" w:hAnsiTheme="majorHAnsi"/>
          <w:color w:val="auto"/>
          <w:szCs w:val="20"/>
          <w:lang w:val="es-US"/>
        </w:rPr>
        <w:t xml:space="preserve"> En cuanto a la alegación del Estado boliviano, que el arresto y allanamientos fueron practicados en </w:t>
      </w:r>
      <w:r w:rsidR="00E234F2" w:rsidRPr="0011380E">
        <w:rPr>
          <w:rFonts w:asciiTheme="majorHAnsi" w:hAnsiTheme="majorHAnsi"/>
          <w:color w:val="auto"/>
          <w:szCs w:val="20"/>
          <w:lang w:val="es-US"/>
        </w:rPr>
        <w:t>situación</w:t>
      </w:r>
      <w:r w:rsidR="005F3160" w:rsidRPr="0011380E">
        <w:rPr>
          <w:rFonts w:asciiTheme="majorHAnsi" w:hAnsiTheme="majorHAnsi"/>
          <w:color w:val="auto"/>
          <w:szCs w:val="20"/>
          <w:lang w:val="es-US"/>
        </w:rPr>
        <w:t xml:space="preserve"> de flagrancia, la Comisión </w:t>
      </w:r>
      <w:r w:rsidR="009D76BD" w:rsidRPr="0011380E">
        <w:rPr>
          <w:rFonts w:asciiTheme="majorHAnsi" w:hAnsiTheme="majorHAnsi"/>
          <w:color w:val="auto"/>
          <w:szCs w:val="20"/>
          <w:lang w:val="es-US"/>
        </w:rPr>
        <w:t xml:space="preserve">destaca que </w:t>
      </w:r>
      <w:r w:rsidR="00A51261" w:rsidRPr="0011380E">
        <w:rPr>
          <w:rFonts w:asciiTheme="majorHAnsi" w:hAnsiTheme="majorHAnsi"/>
          <w:color w:val="auto"/>
          <w:szCs w:val="20"/>
          <w:lang w:val="es-US"/>
        </w:rPr>
        <w:t xml:space="preserve">tuvieron lugar </w:t>
      </w:r>
      <w:r w:rsidR="005F3160" w:rsidRPr="0011380E">
        <w:rPr>
          <w:rFonts w:asciiTheme="majorHAnsi" w:hAnsiTheme="majorHAnsi"/>
          <w:color w:val="auto"/>
          <w:szCs w:val="20"/>
          <w:lang w:val="es-US"/>
        </w:rPr>
        <w:t xml:space="preserve">cuatro días después de los hechos y luego de practicarse una serie de acciones investigativas para dar con los responsables, </w:t>
      </w:r>
      <w:r w:rsidR="00D92EB5" w:rsidRPr="0011380E">
        <w:rPr>
          <w:rFonts w:asciiTheme="majorHAnsi" w:hAnsiTheme="majorHAnsi"/>
          <w:color w:val="auto"/>
          <w:szCs w:val="20"/>
          <w:lang w:val="es-US"/>
        </w:rPr>
        <w:t xml:space="preserve">por lo que </w:t>
      </w:r>
      <w:r w:rsidR="005F3160" w:rsidRPr="0011380E">
        <w:rPr>
          <w:rFonts w:asciiTheme="majorHAnsi" w:hAnsiTheme="majorHAnsi"/>
          <w:color w:val="auto"/>
          <w:szCs w:val="20"/>
          <w:lang w:val="es-US"/>
        </w:rPr>
        <w:t>bajo ninguna circunstancia esto puede considerarse como una acción “inmediata” o “mientras [el autor] es perseguido”.</w:t>
      </w:r>
      <w:r w:rsidR="00E039AB" w:rsidRPr="0011380E">
        <w:rPr>
          <w:rFonts w:asciiTheme="majorHAnsi" w:hAnsiTheme="majorHAnsi"/>
          <w:color w:val="auto"/>
          <w:szCs w:val="20"/>
          <w:lang w:val="es-US"/>
        </w:rPr>
        <w:t xml:space="preserve"> </w:t>
      </w:r>
    </w:p>
    <w:p w14:paraId="7087E5F4" w14:textId="77777777" w:rsidR="00FA14E8" w:rsidRPr="0011380E" w:rsidRDefault="00E039AB"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lastRenderedPageBreak/>
        <w:t>En atención a lo anterior, y lo</w:t>
      </w:r>
      <w:r w:rsidR="00FA14E8" w:rsidRPr="0011380E">
        <w:rPr>
          <w:rFonts w:asciiTheme="majorHAnsi" w:hAnsiTheme="majorHAnsi"/>
          <w:color w:val="auto"/>
          <w:szCs w:val="20"/>
          <w:lang w:val="es-US"/>
        </w:rPr>
        <w:t xml:space="preserve"> descrito en los hechos probados, </w:t>
      </w:r>
      <w:r w:rsidRPr="0011380E">
        <w:rPr>
          <w:rFonts w:asciiTheme="majorHAnsi" w:hAnsiTheme="majorHAnsi"/>
          <w:color w:val="auto"/>
          <w:szCs w:val="20"/>
          <w:lang w:val="es-US"/>
        </w:rPr>
        <w:t xml:space="preserve">la Comisión </w:t>
      </w:r>
      <w:r w:rsidR="00FA14E8" w:rsidRPr="0011380E">
        <w:rPr>
          <w:rFonts w:asciiTheme="majorHAnsi" w:hAnsiTheme="majorHAnsi"/>
          <w:color w:val="auto"/>
          <w:szCs w:val="20"/>
          <w:lang w:val="es-US"/>
        </w:rPr>
        <w:t>estima</w:t>
      </w:r>
      <w:r w:rsidRPr="0011380E">
        <w:rPr>
          <w:rFonts w:asciiTheme="majorHAnsi" w:hAnsiTheme="majorHAnsi"/>
          <w:color w:val="auto"/>
          <w:szCs w:val="20"/>
          <w:lang w:val="es-US"/>
        </w:rPr>
        <w:t xml:space="preserve"> que tanto los arrestos como los allanamientos de hogares practicados en </w:t>
      </w:r>
      <w:r w:rsidR="00FA14E8" w:rsidRPr="0011380E">
        <w:rPr>
          <w:rFonts w:asciiTheme="majorHAnsi" w:hAnsiTheme="majorHAnsi"/>
          <w:color w:val="auto"/>
          <w:szCs w:val="20"/>
          <w:lang w:val="es-US"/>
        </w:rPr>
        <w:t>la madrugada del 18 de diciembre de 2001</w:t>
      </w:r>
      <w:r w:rsidRPr="0011380E">
        <w:rPr>
          <w:rFonts w:asciiTheme="majorHAnsi" w:hAnsiTheme="majorHAnsi"/>
          <w:color w:val="auto"/>
          <w:szCs w:val="20"/>
          <w:lang w:val="es-US"/>
        </w:rPr>
        <w:t>, fueron ilegales.</w:t>
      </w:r>
      <w:r w:rsidR="00FA14E8" w:rsidRPr="0011380E">
        <w:rPr>
          <w:rFonts w:asciiTheme="majorHAnsi" w:hAnsiTheme="majorHAnsi"/>
          <w:color w:val="auto"/>
          <w:szCs w:val="20"/>
          <w:lang w:val="es-US"/>
        </w:rPr>
        <w:t xml:space="preserve"> Además, si bien los abogados de los sospechosos hicieron presente tal ilegalidad al Juez de Instrucción en la audiencia de medidas cautelares, éste no se pronunció sobre tales alegaciones en su resolución, por lo que su acción </w:t>
      </w:r>
      <w:r w:rsidR="007014EC" w:rsidRPr="0011380E">
        <w:rPr>
          <w:rFonts w:asciiTheme="majorHAnsi" w:hAnsiTheme="majorHAnsi"/>
          <w:color w:val="auto"/>
          <w:szCs w:val="20"/>
          <w:lang w:val="es-US"/>
        </w:rPr>
        <w:t>ante aut</w:t>
      </w:r>
      <w:r w:rsidR="003A0A9B" w:rsidRPr="0011380E">
        <w:rPr>
          <w:rFonts w:asciiTheme="majorHAnsi" w:hAnsiTheme="majorHAnsi"/>
          <w:color w:val="auto"/>
          <w:szCs w:val="20"/>
          <w:lang w:val="es-US"/>
        </w:rPr>
        <w:t>o</w:t>
      </w:r>
      <w:r w:rsidR="007014EC" w:rsidRPr="0011380E">
        <w:rPr>
          <w:rFonts w:asciiTheme="majorHAnsi" w:hAnsiTheme="majorHAnsi"/>
          <w:color w:val="auto"/>
          <w:szCs w:val="20"/>
          <w:lang w:val="es-US"/>
        </w:rPr>
        <w:t>r</w:t>
      </w:r>
      <w:r w:rsidR="003A0A9B" w:rsidRPr="0011380E">
        <w:rPr>
          <w:rFonts w:asciiTheme="majorHAnsi" w:hAnsiTheme="majorHAnsi"/>
          <w:color w:val="auto"/>
          <w:szCs w:val="20"/>
          <w:lang w:val="es-US"/>
        </w:rPr>
        <w:t>i</w:t>
      </w:r>
      <w:r w:rsidR="007014EC" w:rsidRPr="0011380E">
        <w:rPr>
          <w:rFonts w:asciiTheme="majorHAnsi" w:hAnsiTheme="majorHAnsi"/>
          <w:color w:val="auto"/>
          <w:szCs w:val="20"/>
          <w:lang w:val="es-US"/>
        </w:rPr>
        <w:t>dad</w:t>
      </w:r>
      <w:r w:rsidR="003D1E11" w:rsidRPr="0011380E">
        <w:rPr>
          <w:rFonts w:asciiTheme="majorHAnsi" w:hAnsiTheme="majorHAnsi"/>
          <w:color w:val="auto"/>
          <w:szCs w:val="20"/>
          <w:lang w:val="es-US"/>
        </w:rPr>
        <w:t xml:space="preserve"> ju</w:t>
      </w:r>
      <w:r w:rsidR="00C06456" w:rsidRPr="0011380E">
        <w:rPr>
          <w:rFonts w:asciiTheme="majorHAnsi" w:hAnsiTheme="majorHAnsi"/>
          <w:color w:val="auto"/>
          <w:szCs w:val="20"/>
          <w:lang w:val="es-US"/>
        </w:rPr>
        <w:t>dicial</w:t>
      </w:r>
      <w:r w:rsidR="007014EC" w:rsidRPr="0011380E">
        <w:rPr>
          <w:rFonts w:asciiTheme="majorHAnsi" w:hAnsiTheme="majorHAnsi"/>
          <w:color w:val="auto"/>
          <w:szCs w:val="20"/>
          <w:lang w:val="es-US"/>
        </w:rPr>
        <w:t xml:space="preserve"> </w:t>
      </w:r>
      <w:r w:rsidR="00FA14E8" w:rsidRPr="0011380E">
        <w:rPr>
          <w:rFonts w:asciiTheme="majorHAnsi" w:hAnsiTheme="majorHAnsi"/>
          <w:color w:val="auto"/>
          <w:szCs w:val="20"/>
          <w:lang w:val="es-US"/>
        </w:rPr>
        <w:t>fue absolutamente inefectiva para reestablecer el imperio del derecho.</w:t>
      </w:r>
      <w:r w:rsidR="003D1E11" w:rsidRPr="0011380E">
        <w:rPr>
          <w:rFonts w:asciiTheme="majorHAnsi" w:hAnsiTheme="majorHAnsi"/>
          <w:color w:val="auto"/>
          <w:szCs w:val="20"/>
          <w:lang w:val="es-US"/>
        </w:rPr>
        <w:t xml:space="preserve"> Por otra parte, tal como se analizará en detalle en la siguiente sección, al estar acreditada la violencia mediante la cual se perpetraron tanto los allanamientos como las detenciones, la Comisión considera que también fueron arbitrarios en los términos de los artículos 11.2 y 7.3 de la Convención, respectivamente.</w:t>
      </w:r>
    </w:p>
    <w:p w14:paraId="288DC059" w14:textId="77777777" w:rsidR="00FA14E8" w:rsidRPr="0011380E" w:rsidRDefault="00FA14E8" w:rsidP="0011380E">
      <w:pPr>
        <w:pStyle w:val="ListParagraph"/>
        <w:numPr>
          <w:ilvl w:val="0"/>
          <w:numId w:val="0"/>
        </w:numPr>
        <w:rPr>
          <w:rFonts w:asciiTheme="majorHAnsi" w:hAnsiTheme="majorHAnsi"/>
          <w:color w:val="auto"/>
          <w:szCs w:val="20"/>
          <w:lang w:val="es-US"/>
        </w:rPr>
      </w:pPr>
    </w:p>
    <w:p w14:paraId="6118CFCD" w14:textId="77777777" w:rsidR="0011380E" w:rsidRPr="0011380E" w:rsidRDefault="00FA14E8" w:rsidP="0011380E">
      <w:pPr>
        <w:pStyle w:val="ListParagraph"/>
        <w:rPr>
          <w:rFonts w:asciiTheme="majorHAnsi" w:hAnsiTheme="majorHAnsi"/>
          <w:color w:val="auto"/>
          <w:szCs w:val="20"/>
          <w:lang w:val="es-US"/>
        </w:rPr>
      </w:pPr>
      <w:r w:rsidRPr="0011380E">
        <w:rPr>
          <w:rFonts w:asciiTheme="majorHAnsi" w:hAnsiTheme="majorHAnsi"/>
          <w:color w:val="auto"/>
          <w:szCs w:val="20"/>
          <w:lang w:val="es-US"/>
        </w:rPr>
        <w:t>En consecuenc</w:t>
      </w:r>
      <w:r w:rsidR="00E65925">
        <w:rPr>
          <w:rFonts w:asciiTheme="majorHAnsi" w:hAnsiTheme="majorHAnsi"/>
          <w:color w:val="auto"/>
          <w:szCs w:val="20"/>
          <w:lang w:val="es-US"/>
        </w:rPr>
        <w:t xml:space="preserve">ia, la Comisión concluye que </w:t>
      </w:r>
      <w:r w:rsidRPr="0011380E">
        <w:rPr>
          <w:rFonts w:asciiTheme="majorHAnsi" w:hAnsiTheme="majorHAnsi"/>
          <w:color w:val="auto"/>
          <w:szCs w:val="20"/>
          <w:lang w:val="es-US"/>
        </w:rPr>
        <w:t xml:space="preserve">Bolivia violó los derechos a la libertad </w:t>
      </w:r>
      <w:r w:rsidR="00F9221B" w:rsidRPr="0011380E">
        <w:rPr>
          <w:rFonts w:asciiTheme="majorHAnsi" w:hAnsiTheme="majorHAnsi"/>
          <w:color w:val="auto"/>
          <w:szCs w:val="20"/>
          <w:lang w:val="es-US"/>
        </w:rPr>
        <w:t>personal</w:t>
      </w:r>
      <w:r w:rsidR="00791246" w:rsidRPr="0011380E">
        <w:rPr>
          <w:rFonts w:asciiTheme="majorHAnsi" w:hAnsiTheme="majorHAnsi"/>
          <w:color w:val="auto"/>
          <w:szCs w:val="20"/>
          <w:lang w:val="es-US"/>
        </w:rPr>
        <w:t xml:space="preserve"> de 16</w:t>
      </w:r>
      <w:r w:rsidR="00F9221B" w:rsidRPr="0011380E">
        <w:rPr>
          <w:rFonts w:asciiTheme="majorHAnsi" w:hAnsiTheme="majorHAnsi"/>
          <w:color w:val="auto"/>
          <w:szCs w:val="20"/>
          <w:lang w:val="es-US"/>
        </w:rPr>
        <w:t xml:space="preserve"> personas</w:t>
      </w:r>
      <w:r w:rsidR="00791246" w:rsidRPr="0011380E">
        <w:rPr>
          <w:rStyle w:val="FootnoteReference"/>
          <w:rFonts w:asciiTheme="majorHAnsi" w:hAnsiTheme="majorHAnsi"/>
          <w:color w:val="auto"/>
          <w:szCs w:val="20"/>
          <w:lang w:val="es-US"/>
        </w:rPr>
        <w:footnoteReference w:id="102"/>
      </w:r>
      <w:r w:rsidRPr="0011380E">
        <w:rPr>
          <w:rFonts w:asciiTheme="majorHAnsi" w:hAnsiTheme="majorHAnsi"/>
          <w:color w:val="auto"/>
          <w:szCs w:val="20"/>
          <w:lang w:val="es-US"/>
        </w:rPr>
        <w:t xml:space="preserve"> y </w:t>
      </w:r>
      <w:r w:rsidR="00791246" w:rsidRPr="0011380E">
        <w:rPr>
          <w:rFonts w:asciiTheme="majorHAnsi" w:hAnsiTheme="majorHAnsi"/>
          <w:color w:val="auto"/>
          <w:szCs w:val="20"/>
          <w:lang w:val="es-US"/>
        </w:rPr>
        <w:t xml:space="preserve">el derecho </w:t>
      </w:r>
      <w:r w:rsidRPr="0011380E">
        <w:rPr>
          <w:rFonts w:asciiTheme="majorHAnsi" w:hAnsiTheme="majorHAnsi"/>
          <w:color w:val="auto"/>
          <w:szCs w:val="20"/>
          <w:lang w:val="es-US"/>
        </w:rPr>
        <w:t>a</w:t>
      </w:r>
      <w:r w:rsidR="00F9221B" w:rsidRPr="0011380E">
        <w:rPr>
          <w:rFonts w:asciiTheme="majorHAnsi" w:hAnsiTheme="majorHAnsi"/>
          <w:color w:val="auto"/>
          <w:szCs w:val="20"/>
          <w:lang w:val="es-US"/>
        </w:rPr>
        <w:t xml:space="preserve"> no ser sometido a injerencias arbitrarias en </w:t>
      </w:r>
      <w:r w:rsidRPr="0011380E">
        <w:rPr>
          <w:rFonts w:asciiTheme="majorHAnsi" w:hAnsiTheme="majorHAnsi"/>
          <w:color w:val="auto"/>
          <w:szCs w:val="20"/>
          <w:lang w:val="es-US"/>
        </w:rPr>
        <w:t>la vida privada y domicilio</w:t>
      </w:r>
      <w:r w:rsidR="00791246" w:rsidRPr="0011380E">
        <w:rPr>
          <w:rFonts w:asciiTheme="majorHAnsi" w:hAnsiTheme="majorHAnsi"/>
          <w:color w:val="auto"/>
          <w:szCs w:val="20"/>
          <w:lang w:val="es-US"/>
        </w:rPr>
        <w:t xml:space="preserve"> de 22</w:t>
      </w:r>
      <w:r w:rsidR="009E70B6" w:rsidRPr="0011380E">
        <w:rPr>
          <w:rFonts w:asciiTheme="majorHAnsi" w:hAnsiTheme="majorHAnsi"/>
          <w:color w:val="auto"/>
          <w:szCs w:val="20"/>
          <w:lang w:val="es-US"/>
        </w:rPr>
        <w:t xml:space="preserve"> </w:t>
      </w:r>
      <w:r w:rsidR="009D1378" w:rsidRPr="0011380E">
        <w:rPr>
          <w:rFonts w:asciiTheme="majorHAnsi" w:hAnsiTheme="majorHAnsi"/>
          <w:color w:val="auto"/>
          <w:szCs w:val="20"/>
          <w:lang w:val="es-US"/>
        </w:rPr>
        <w:t>personas</w:t>
      </w:r>
      <w:r w:rsidR="00791246" w:rsidRPr="0011380E">
        <w:rPr>
          <w:rStyle w:val="FootnoteReference"/>
          <w:rFonts w:asciiTheme="majorHAnsi" w:hAnsiTheme="majorHAnsi"/>
          <w:color w:val="auto"/>
          <w:szCs w:val="20"/>
          <w:lang w:val="es-US"/>
        </w:rPr>
        <w:footnoteReference w:id="103"/>
      </w:r>
      <w:r w:rsidR="00791246" w:rsidRPr="0011380E">
        <w:rPr>
          <w:rFonts w:asciiTheme="majorHAnsi" w:hAnsiTheme="majorHAnsi"/>
          <w:color w:val="auto"/>
          <w:szCs w:val="20"/>
          <w:lang w:val="es-US"/>
        </w:rPr>
        <w:t xml:space="preserve">, </w:t>
      </w:r>
      <w:r w:rsidRPr="0011380E">
        <w:rPr>
          <w:rFonts w:asciiTheme="majorHAnsi" w:hAnsiTheme="majorHAnsi"/>
          <w:color w:val="auto"/>
          <w:szCs w:val="20"/>
          <w:lang w:val="es-ES_tradnl"/>
        </w:rPr>
        <w:t xml:space="preserve">conforme a lo </w:t>
      </w:r>
      <w:r w:rsidRPr="0011380E">
        <w:rPr>
          <w:rFonts w:asciiTheme="majorHAnsi" w:hAnsiTheme="majorHAnsi"/>
          <w:color w:val="auto"/>
          <w:szCs w:val="20"/>
          <w:lang w:val="es-US"/>
        </w:rPr>
        <w:t>establecido en los artículos 7</w:t>
      </w:r>
      <w:r w:rsidR="009E1AC5" w:rsidRPr="0011380E">
        <w:rPr>
          <w:rFonts w:asciiTheme="majorHAnsi" w:hAnsiTheme="majorHAnsi"/>
          <w:color w:val="auto"/>
          <w:szCs w:val="20"/>
          <w:lang w:val="es-US"/>
        </w:rPr>
        <w:t>.1, 7.2, 7.3, 7.6</w:t>
      </w:r>
      <w:r w:rsidRPr="0011380E">
        <w:rPr>
          <w:rFonts w:asciiTheme="majorHAnsi" w:hAnsiTheme="majorHAnsi"/>
          <w:color w:val="auto"/>
          <w:szCs w:val="20"/>
          <w:lang w:val="es-US"/>
        </w:rPr>
        <w:t xml:space="preserve"> y 11</w:t>
      </w:r>
      <w:r w:rsidR="009E1AC5" w:rsidRPr="0011380E">
        <w:rPr>
          <w:rFonts w:asciiTheme="majorHAnsi" w:hAnsiTheme="majorHAnsi"/>
          <w:color w:val="auto"/>
          <w:szCs w:val="20"/>
          <w:lang w:val="es-US"/>
        </w:rPr>
        <w:t>.2</w:t>
      </w:r>
      <w:r w:rsidRPr="0011380E">
        <w:rPr>
          <w:rFonts w:asciiTheme="majorHAnsi" w:hAnsiTheme="majorHAnsi"/>
          <w:color w:val="auto"/>
          <w:szCs w:val="20"/>
          <w:lang w:val="es-US"/>
        </w:rPr>
        <w:t xml:space="preserve"> de la Convención Americana, en relación con el artículo 1.1 de la misma</w:t>
      </w:r>
      <w:r w:rsidR="002924F0" w:rsidRPr="0011380E">
        <w:rPr>
          <w:rFonts w:asciiTheme="majorHAnsi" w:hAnsiTheme="majorHAnsi"/>
          <w:color w:val="auto"/>
          <w:szCs w:val="20"/>
          <w:lang w:val="es-US"/>
        </w:rPr>
        <w:t>.</w:t>
      </w:r>
      <w:r w:rsidRPr="0011380E">
        <w:rPr>
          <w:rFonts w:asciiTheme="majorHAnsi" w:hAnsiTheme="majorHAnsi"/>
          <w:color w:val="auto"/>
          <w:szCs w:val="20"/>
          <w:lang w:val="es-US"/>
        </w:rPr>
        <w:t xml:space="preserve"> </w:t>
      </w:r>
      <w:r w:rsidR="005F3160" w:rsidRPr="0011380E">
        <w:rPr>
          <w:rFonts w:asciiTheme="majorHAnsi" w:hAnsiTheme="majorHAnsi"/>
          <w:color w:val="auto"/>
          <w:szCs w:val="20"/>
          <w:lang w:val="es-US"/>
        </w:rPr>
        <w:t xml:space="preserve">   </w:t>
      </w:r>
    </w:p>
    <w:p w14:paraId="0FE8D187" w14:textId="77777777" w:rsidR="00094327" w:rsidRPr="0011380E" w:rsidRDefault="006970F2" w:rsidP="0011380E">
      <w:pPr>
        <w:pStyle w:val="ListParagraph"/>
        <w:numPr>
          <w:ilvl w:val="0"/>
          <w:numId w:val="0"/>
        </w:numPr>
        <w:rPr>
          <w:rFonts w:asciiTheme="majorHAnsi" w:hAnsiTheme="majorHAnsi"/>
          <w:color w:val="auto"/>
          <w:szCs w:val="20"/>
          <w:lang w:val="es-US"/>
        </w:rPr>
      </w:pPr>
      <w:r w:rsidRPr="0011380E">
        <w:rPr>
          <w:rFonts w:asciiTheme="majorHAnsi" w:hAnsiTheme="majorHAnsi"/>
          <w:color w:val="auto"/>
          <w:szCs w:val="20"/>
          <w:lang w:val="es-US"/>
        </w:rPr>
        <w:t xml:space="preserve"> </w:t>
      </w:r>
    </w:p>
    <w:p w14:paraId="71BAEAA7" w14:textId="77777777" w:rsidR="00436570" w:rsidRPr="0011380E" w:rsidRDefault="00BE368D" w:rsidP="0011380E">
      <w:pPr>
        <w:pStyle w:val="Heading2"/>
        <w:numPr>
          <w:ilvl w:val="0"/>
          <w:numId w:val="60"/>
        </w:numPr>
        <w:ind w:left="0" w:firstLine="0"/>
        <w:jc w:val="both"/>
        <w:rPr>
          <w:rFonts w:asciiTheme="majorHAnsi" w:hAnsiTheme="majorHAnsi"/>
          <w:szCs w:val="20"/>
          <w:lang w:val="es-VE"/>
        </w:rPr>
      </w:pPr>
      <w:bookmarkStart w:id="17" w:name="_Toc11750407"/>
      <w:r w:rsidRPr="0011380E">
        <w:rPr>
          <w:rFonts w:asciiTheme="majorHAnsi" w:hAnsiTheme="majorHAnsi"/>
          <w:szCs w:val="20"/>
          <w:lang w:val="es-VE"/>
        </w:rPr>
        <w:t>Derecho</w:t>
      </w:r>
      <w:r w:rsidR="009568E7" w:rsidRPr="0011380E">
        <w:rPr>
          <w:rFonts w:asciiTheme="majorHAnsi" w:hAnsiTheme="majorHAnsi"/>
          <w:szCs w:val="20"/>
          <w:lang w:val="es-VE"/>
        </w:rPr>
        <w:t>s</w:t>
      </w:r>
      <w:r w:rsidRPr="0011380E">
        <w:rPr>
          <w:rFonts w:asciiTheme="majorHAnsi" w:hAnsiTheme="majorHAnsi"/>
          <w:szCs w:val="20"/>
          <w:lang w:val="es-VE"/>
        </w:rPr>
        <w:t xml:space="preserve"> a la vida</w:t>
      </w:r>
      <w:r w:rsidRPr="0011380E">
        <w:rPr>
          <w:rStyle w:val="FootnoteReference"/>
          <w:rFonts w:asciiTheme="majorHAnsi" w:hAnsiTheme="majorHAnsi"/>
          <w:szCs w:val="20"/>
          <w:lang w:val="es-VE"/>
        </w:rPr>
        <w:footnoteReference w:id="104"/>
      </w:r>
      <w:r w:rsidRPr="0011380E">
        <w:rPr>
          <w:rFonts w:asciiTheme="majorHAnsi" w:hAnsiTheme="majorHAnsi"/>
          <w:szCs w:val="20"/>
          <w:lang w:val="es-VE"/>
        </w:rPr>
        <w:t>, a la integridad personal</w:t>
      </w:r>
      <w:r w:rsidRPr="0011380E">
        <w:rPr>
          <w:rStyle w:val="FootnoteReference"/>
          <w:rFonts w:asciiTheme="majorHAnsi" w:hAnsiTheme="majorHAnsi"/>
          <w:szCs w:val="20"/>
          <w:lang w:val="es-VE"/>
        </w:rPr>
        <w:footnoteReference w:id="105"/>
      </w:r>
      <w:r w:rsidR="009F5E04" w:rsidRPr="0011380E">
        <w:rPr>
          <w:rFonts w:asciiTheme="majorHAnsi" w:hAnsiTheme="majorHAnsi"/>
          <w:szCs w:val="20"/>
          <w:lang w:val="es-VE"/>
        </w:rPr>
        <w:t>,</w:t>
      </w:r>
      <w:r w:rsidRPr="0011380E">
        <w:rPr>
          <w:rFonts w:asciiTheme="majorHAnsi" w:hAnsiTheme="majorHAnsi"/>
          <w:szCs w:val="20"/>
          <w:lang w:val="es-VE"/>
        </w:rPr>
        <w:t xml:space="preserve"> </w:t>
      </w:r>
      <w:r w:rsidR="002B24AA" w:rsidRPr="0011380E">
        <w:rPr>
          <w:rFonts w:asciiTheme="majorHAnsi" w:hAnsiTheme="majorHAnsi"/>
          <w:szCs w:val="20"/>
          <w:lang w:val="es-VE"/>
        </w:rPr>
        <w:t xml:space="preserve">derecho a la honra y </w:t>
      </w:r>
      <w:r w:rsidR="00ED53A9" w:rsidRPr="0011380E">
        <w:rPr>
          <w:rFonts w:asciiTheme="majorHAnsi" w:hAnsiTheme="majorHAnsi"/>
          <w:szCs w:val="20"/>
          <w:lang w:val="es-VE"/>
        </w:rPr>
        <w:t xml:space="preserve">a la </w:t>
      </w:r>
      <w:r w:rsidR="002B24AA" w:rsidRPr="0011380E">
        <w:rPr>
          <w:rFonts w:asciiTheme="majorHAnsi" w:hAnsiTheme="majorHAnsi"/>
          <w:szCs w:val="20"/>
          <w:lang w:val="es-VE"/>
        </w:rPr>
        <w:t>dignidad</w:t>
      </w:r>
      <w:r w:rsidR="002B24AA" w:rsidRPr="0011380E">
        <w:rPr>
          <w:rStyle w:val="FootnoteReference"/>
          <w:rFonts w:asciiTheme="majorHAnsi" w:hAnsiTheme="majorHAnsi"/>
          <w:szCs w:val="20"/>
          <w:lang w:val="es-VE"/>
        </w:rPr>
        <w:footnoteReference w:id="106"/>
      </w:r>
      <w:r w:rsidR="002B24AA" w:rsidRPr="0011380E">
        <w:rPr>
          <w:rFonts w:asciiTheme="majorHAnsi" w:hAnsiTheme="majorHAnsi"/>
          <w:szCs w:val="20"/>
          <w:lang w:val="es-VE"/>
        </w:rPr>
        <w:t xml:space="preserve">, </w:t>
      </w:r>
      <w:r w:rsidRPr="0011380E">
        <w:rPr>
          <w:rFonts w:asciiTheme="majorHAnsi" w:hAnsiTheme="majorHAnsi"/>
          <w:szCs w:val="20"/>
          <w:lang w:val="es-VE"/>
        </w:rPr>
        <w:t>derechos del niño</w:t>
      </w:r>
      <w:r w:rsidRPr="0011380E">
        <w:rPr>
          <w:rFonts w:asciiTheme="majorHAnsi" w:hAnsiTheme="majorHAnsi"/>
          <w:szCs w:val="20"/>
          <w:vertAlign w:val="superscript"/>
          <w:lang w:val="es-VE"/>
        </w:rPr>
        <w:footnoteReference w:id="107"/>
      </w:r>
      <w:r w:rsidR="009F5E04" w:rsidRPr="0011380E">
        <w:rPr>
          <w:rFonts w:asciiTheme="majorHAnsi" w:hAnsiTheme="majorHAnsi"/>
          <w:szCs w:val="20"/>
          <w:lang w:val="es-VE"/>
        </w:rPr>
        <w:t xml:space="preserve"> y </w:t>
      </w:r>
      <w:r w:rsidR="00FE65D3" w:rsidRPr="0011380E">
        <w:rPr>
          <w:rFonts w:asciiTheme="majorHAnsi" w:hAnsiTheme="majorHAnsi"/>
          <w:szCs w:val="20"/>
          <w:lang w:val="es-VE"/>
        </w:rPr>
        <w:t>derecho de la mujer a vivir libre de violencia</w:t>
      </w:r>
      <w:r w:rsidR="009F5E04" w:rsidRPr="0011380E">
        <w:rPr>
          <w:rStyle w:val="FootnoteReference"/>
          <w:rFonts w:asciiTheme="majorHAnsi" w:hAnsiTheme="majorHAnsi"/>
          <w:szCs w:val="20"/>
          <w:lang w:val="es-VE"/>
        </w:rPr>
        <w:footnoteReference w:id="108"/>
      </w:r>
      <w:r w:rsidRPr="0011380E">
        <w:rPr>
          <w:rFonts w:asciiTheme="majorHAnsi" w:hAnsiTheme="majorHAnsi"/>
          <w:szCs w:val="20"/>
          <w:lang w:val="es-VE"/>
        </w:rPr>
        <w:t xml:space="preserve"> </w:t>
      </w:r>
      <w:bookmarkEnd w:id="15"/>
      <w:bookmarkEnd w:id="16"/>
      <w:r w:rsidR="009E70B6" w:rsidRPr="0011380E">
        <w:rPr>
          <w:rFonts w:asciiTheme="majorHAnsi" w:hAnsiTheme="majorHAnsi"/>
          <w:szCs w:val="20"/>
          <w:lang w:val="es-VE"/>
        </w:rPr>
        <w:t>.</w:t>
      </w:r>
      <w:bookmarkEnd w:id="17"/>
    </w:p>
    <w:p w14:paraId="2AC8F4DE" w14:textId="77777777" w:rsidR="009B5BDC" w:rsidRPr="0011380E" w:rsidRDefault="009B5BDC" w:rsidP="0011380E">
      <w:pPr>
        <w:pStyle w:val="ListParagraph"/>
        <w:numPr>
          <w:ilvl w:val="0"/>
          <w:numId w:val="0"/>
        </w:numPr>
        <w:rPr>
          <w:rFonts w:asciiTheme="majorHAnsi" w:hAnsiTheme="majorHAnsi"/>
          <w:color w:val="auto"/>
          <w:szCs w:val="20"/>
          <w:lang w:val="es-ES_tradnl"/>
        </w:rPr>
      </w:pPr>
    </w:p>
    <w:p w14:paraId="7A66A736" w14:textId="77777777" w:rsidR="00BE368D" w:rsidRPr="0011380E" w:rsidRDefault="00BE368D" w:rsidP="0011380E">
      <w:pPr>
        <w:pStyle w:val="ListParagraph"/>
        <w:rPr>
          <w:rFonts w:asciiTheme="majorHAnsi" w:hAnsiTheme="majorHAnsi"/>
          <w:color w:val="auto"/>
          <w:szCs w:val="20"/>
          <w:lang w:val="es-ES_tradnl"/>
        </w:rPr>
      </w:pPr>
      <w:r w:rsidRPr="0011380E">
        <w:rPr>
          <w:rFonts w:asciiTheme="majorHAnsi" w:hAnsiTheme="majorHAnsi"/>
          <w:color w:val="auto"/>
          <w:szCs w:val="20"/>
          <w:lang w:val="es-US"/>
        </w:rPr>
        <w:t xml:space="preserve">En cuanto al derecho a la vida, </w:t>
      </w:r>
      <w:r w:rsidR="00364F3E" w:rsidRPr="0011380E">
        <w:rPr>
          <w:rFonts w:asciiTheme="majorHAnsi" w:hAnsiTheme="majorHAnsi"/>
          <w:color w:val="auto"/>
          <w:szCs w:val="20"/>
          <w:lang w:val="es-US"/>
        </w:rPr>
        <w:t xml:space="preserve">la Corte </w:t>
      </w:r>
      <w:r w:rsidR="00861E23" w:rsidRPr="0011380E">
        <w:rPr>
          <w:rFonts w:asciiTheme="majorHAnsi" w:hAnsiTheme="majorHAnsi"/>
          <w:color w:val="auto"/>
          <w:szCs w:val="20"/>
          <w:lang w:val="es-US"/>
        </w:rPr>
        <w:t xml:space="preserve">ha </w:t>
      </w:r>
      <w:r w:rsidR="00F84881" w:rsidRPr="0011380E">
        <w:rPr>
          <w:rFonts w:asciiTheme="majorHAnsi" w:hAnsiTheme="majorHAnsi"/>
          <w:color w:val="auto"/>
          <w:szCs w:val="20"/>
          <w:lang w:val="es-US"/>
        </w:rPr>
        <w:t>indica</w:t>
      </w:r>
      <w:r w:rsidR="00861E23" w:rsidRPr="0011380E">
        <w:rPr>
          <w:rFonts w:asciiTheme="majorHAnsi" w:hAnsiTheme="majorHAnsi"/>
          <w:color w:val="auto"/>
          <w:szCs w:val="20"/>
          <w:lang w:val="es-US"/>
        </w:rPr>
        <w:t>do de manera consistente</w:t>
      </w:r>
      <w:r w:rsidR="00F84881" w:rsidRPr="0011380E">
        <w:rPr>
          <w:rFonts w:asciiTheme="majorHAnsi" w:hAnsiTheme="majorHAnsi"/>
          <w:color w:val="auto"/>
          <w:szCs w:val="20"/>
          <w:lang w:val="es-US"/>
        </w:rPr>
        <w:t xml:space="preserve"> </w:t>
      </w:r>
      <w:r w:rsidRPr="0011380E">
        <w:rPr>
          <w:rFonts w:asciiTheme="majorHAnsi" w:hAnsiTheme="majorHAnsi"/>
          <w:color w:val="auto"/>
          <w:szCs w:val="20"/>
          <w:lang w:val="es-US"/>
        </w:rPr>
        <w:t>que “es un derecho humano fundamental, cuyo goce es un prerrequisito para el disfrute de todos los demás derechos humanos. De no ser respetado, todos los derechos carecen de sentido”</w:t>
      </w:r>
      <w:r w:rsidRPr="0011380E">
        <w:rPr>
          <w:rFonts w:asciiTheme="majorHAnsi" w:hAnsiTheme="majorHAnsi"/>
          <w:color w:val="auto"/>
          <w:szCs w:val="20"/>
          <w:vertAlign w:val="superscript"/>
          <w:lang w:val="es-ES_tradnl"/>
        </w:rPr>
        <w:footnoteReference w:id="109"/>
      </w:r>
      <w:r w:rsidRPr="0011380E">
        <w:rPr>
          <w:rFonts w:asciiTheme="majorHAnsi" w:hAnsiTheme="majorHAnsi"/>
          <w:color w:val="auto"/>
          <w:szCs w:val="20"/>
          <w:lang w:val="es-US"/>
        </w:rPr>
        <w:t>. La observancia del artículo 4 en relación con el artículo 1.1 de la Convención “no sólo presupone que ninguna persona sea privada de su vida arbitrariamente (obligación negativa), sino que además requiere, a la luz de su obligación de garantizar el pleno y libre ejercicio de los derechos humanos, que los Estados adopten todas las medidas apropiadas para proteger y preservar el derecho a la vida (obligación positiva) de quienes se encuentren bajo su jurisdicción.”</w:t>
      </w:r>
      <w:r w:rsidRPr="0011380E">
        <w:rPr>
          <w:rFonts w:asciiTheme="majorHAnsi" w:hAnsiTheme="majorHAnsi"/>
          <w:color w:val="auto"/>
          <w:szCs w:val="20"/>
          <w:vertAlign w:val="superscript"/>
          <w:lang w:val="es-ES_tradnl"/>
        </w:rPr>
        <w:footnoteReference w:id="110"/>
      </w:r>
      <w:r w:rsidRPr="0011380E">
        <w:rPr>
          <w:rFonts w:asciiTheme="majorHAnsi" w:hAnsiTheme="majorHAnsi"/>
          <w:color w:val="auto"/>
          <w:szCs w:val="20"/>
        </w:rPr>
        <w:t xml:space="preserve">. </w:t>
      </w:r>
    </w:p>
    <w:p w14:paraId="4F29B628" w14:textId="77777777" w:rsidR="00F84881" w:rsidRPr="0011380E" w:rsidRDefault="00F84881" w:rsidP="0011380E">
      <w:pPr>
        <w:pStyle w:val="ListParagraph"/>
        <w:numPr>
          <w:ilvl w:val="0"/>
          <w:numId w:val="0"/>
        </w:numPr>
        <w:rPr>
          <w:rFonts w:asciiTheme="majorHAnsi" w:hAnsiTheme="majorHAnsi"/>
          <w:color w:val="auto"/>
          <w:szCs w:val="20"/>
          <w:lang w:val="es-VE"/>
        </w:rPr>
      </w:pPr>
    </w:p>
    <w:p w14:paraId="0E3DF9F8" w14:textId="77777777" w:rsidR="00BE368D" w:rsidRPr="0011380E" w:rsidRDefault="00BE368D" w:rsidP="0011380E">
      <w:pPr>
        <w:pStyle w:val="ListParagraph"/>
        <w:rPr>
          <w:rFonts w:asciiTheme="majorHAnsi" w:hAnsiTheme="majorHAnsi"/>
          <w:color w:val="auto"/>
          <w:szCs w:val="20"/>
          <w:lang w:val="es-VE"/>
        </w:rPr>
      </w:pPr>
      <w:r w:rsidRPr="0011380E">
        <w:rPr>
          <w:rFonts w:asciiTheme="majorHAnsi" w:hAnsiTheme="majorHAnsi"/>
          <w:color w:val="auto"/>
          <w:szCs w:val="20"/>
          <w:lang w:val="es-ES_tradnl"/>
        </w:rPr>
        <w:lastRenderedPageBreak/>
        <w:t>E</w:t>
      </w:r>
      <w:r w:rsidR="00B15B2C" w:rsidRPr="0011380E">
        <w:rPr>
          <w:rFonts w:asciiTheme="majorHAnsi" w:hAnsiTheme="majorHAnsi"/>
          <w:color w:val="auto"/>
          <w:szCs w:val="20"/>
          <w:bdr w:val="none" w:sz="0" w:space="0" w:color="auto"/>
          <w:lang w:val="es-ES"/>
        </w:rPr>
        <w:t>n su condición de garante de los derechos consagrados en la Convención, el</w:t>
      </w:r>
      <w:r w:rsidR="00B15B2C" w:rsidRPr="0011380E">
        <w:rPr>
          <w:rFonts w:asciiTheme="majorHAnsi" w:hAnsiTheme="majorHAnsi"/>
          <w:color w:val="auto"/>
          <w:szCs w:val="20"/>
          <w:lang w:val="es-ES_tradnl"/>
        </w:rPr>
        <w:t xml:space="preserve"> </w:t>
      </w:r>
      <w:r w:rsidRPr="0011380E">
        <w:rPr>
          <w:rFonts w:asciiTheme="majorHAnsi" w:hAnsiTheme="majorHAnsi"/>
          <w:color w:val="auto"/>
          <w:szCs w:val="20"/>
          <w:lang w:val="es-ES_tradnl"/>
        </w:rPr>
        <w:t xml:space="preserve">Estado </w:t>
      </w:r>
      <w:r w:rsidR="00F84881" w:rsidRPr="0011380E">
        <w:rPr>
          <w:rFonts w:asciiTheme="majorHAnsi" w:hAnsiTheme="majorHAnsi"/>
          <w:color w:val="auto"/>
          <w:szCs w:val="20"/>
          <w:bdr w:val="none" w:sz="0" w:space="0" w:color="auto"/>
          <w:lang w:val="es-ES"/>
        </w:rPr>
        <w:t>es responsable de</w:t>
      </w:r>
      <w:r w:rsidR="00082E57" w:rsidRPr="0011380E">
        <w:rPr>
          <w:rFonts w:asciiTheme="majorHAnsi" w:hAnsiTheme="majorHAnsi"/>
          <w:color w:val="auto"/>
          <w:szCs w:val="20"/>
          <w:bdr w:val="none" w:sz="0" w:space="0" w:color="auto"/>
          <w:lang w:val="es-ES"/>
        </w:rPr>
        <w:t xml:space="preserve"> asegurar e</w:t>
      </w:r>
      <w:r w:rsidR="00F84881" w:rsidRPr="0011380E">
        <w:rPr>
          <w:rFonts w:asciiTheme="majorHAnsi" w:hAnsiTheme="majorHAnsi"/>
          <w:color w:val="auto"/>
          <w:szCs w:val="20"/>
          <w:bdr w:val="none" w:sz="0" w:space="0" w:color="auto"/>
          <w:lang w:val="es-ES"/>
        </w:rPr>
        <w:t>l</w:t>
      </w:r>
      <w:r w:rsidR="00A57A90" w:rsidRPr="0011380E">
        <w:rPr>
          <w:rFonts w:asciiTheme="majorHAnsi" w:hAnsiTheme="majorHAnsi"/>
          <w:color w:val="auto"/>
          <w:szCs w:val="20"/>
          <w:bdr w:val="none" w:sz="0" w:space="0" w:color="auto"/>
          <w:lang w:val="es-ES"/>
        </w:rPr>
        <w:t xml:space="preserve"> respeto </w:t>
      </w:r>
      <w:r w:rsidR="00F84881" w:rsidRPr="0011380E">
        <w:rPr>
          <w:rFonts w:asciiTheme="majorHAnsi" w:hAnsiTheme="majorHAnsi"/>
          <w:color w:val="auto"/>
          <w:szCs w:val="20"/>
          <w:bdr w:val="none" w:sz="0" w:space="0" w:color="auto"/>
          <w:lang w:val="es-ES"/>
        </w:rPr>
        <w:t>a la vida de toda persona bajo su custodia</w:t>
      </w:r>
      <w:r w:rsidR="00016CF5" w:rsidRPr="0011380E">
        <w:rPr>
          <w:rFonts w:asciiTheme="majorHAnsi" w:hAnsiTheme="majorHAnsi"/>
          <w:color w:val="auto"/>
          <w:szCs w:val="20"/>
          <w:bdr w:val="none" w:sz="0" w:space="0" w:color="auto"/>
          <w:lang w:val="es-ES"/>
        </w:rPr>
        <w:t xml:space="preserve">. </w:t>
      </w:r>
      <w:r w:rsidR="00B15B2C" w:rsidRPr="0011380E">
        <w:rPr>
          <w:rFonts w:asciiTheme="majorHAnsi" w:hAnsiTheme="majorHAnsi"/>
          <w:color w:val="auto"/>
          <w:szCs w:val="20"/>
          <w:bdr w:val="none" w:sz="0" w:space="0" w:color="auto"/>
          <w:lang w:val="es-ES"/>
        </w:rPr>
        <w:t>S</w:t>
      </w:r>
      <w:r w:rsidR="00016CF5" w:rsidRPr="0011380E">
        <w:rPr>
          <w:rFonts w:asciiTheme="majorHAnsi" w:hAnsiTheme="majorHAnsi"/>
          <w:color w:val="auto"/>
          <w:szCs w:val="20"/>
          <w:bdr w:val="none" w:sz="0" w:space="0" w:color="auto"/>
          <w:lang w:val="es-ES"/>
        </w:rPr>
        <w:t xml:space="preserve">i bien el Estado </w:t>
      </w:r>
      <w:r w:rsidR="00B15B2C" w:rsidRPr="0011380E">
        <w:rPr>
          <w:rFonts w:asciiTheme="majorHAnsi" w:hAnsiTheme="majorHAnsi"/>
          <w:color w:val="auto"/>
          <w:szCs w:val="20"/>
          <w:bdr w:val="none" w:sz="0" w:space="0" w:color="auto"/>
          <w:lang w:val="es-ES"/>
        </w:rPr>
        <w:t>“</w:t>
      </w:r>
      <w:r w:rsidR="00016CF5" w:rsidRPr="0011380E">
        <w:rPr>
          <w:rFonts w:asciiTheme="majorHAnsi" w:hAnsiTheme="majorHAnsi"/>
          <w:color w:val="auto"/>
          <w:szCs w:val="20"/>
          <w:bdr w:val="none" w:sz="0" w:space="0" w:color="auto"/>
          <w:lang w:val="es-ES"/>
        </w:rPr>
        <w:t>tiene el derecho y la obligación de garantizar su seguridad y mantener el orden público, su poder no es ilimitado</w:t>
      </w:r>
      <w:r w:rsidR="00E95613" w:rsidRPr="0011380E">
        <w:rPr>
          <w:rFonts w:asciiTheme="majorHAnsi" w:hAnsiTheme="majorHAnsi"/>
          <w:color w:val="auto"/>
          <w:szCs w:val="20"/>
          <w:bdr w:val="none" w:sz="0" w:space="0" w:color="auto"/>
          <w:lang w:val="es-ES"/>
        </w:rPr>
        <w:t xml:space="preserve"> […] [y debe respetar] </w:t>
      </w:r>
      <w:r w:rsidR="00016CF5" w:rsidRPr="0011380E">
        <w:rPr>
          <w:rFonts w:asciiTheme="majorHAnsi" w:hAnsiTheme="majorHAnsi"/>
          <w:color w:val="auto"/>
          <w:szCs w:val="20"/>
          <w:bdr w:val="none" w:sz="0" w:space="0" w:color="auto"/>
          <w:lang w:val="es-ES"/>
        </w:rPr>
        <w:t>los derechos fundamentales, a todo individuo que se encuentre bajo su jurisdicción”</w:t>
      </w:r>
      <w:r w:rsidR="00F14EBD" w:rsidRPr="0011380E">
        <w:rPr>
          <w:rStyle w:val="FootnoteReference"/>
          <w:rFonts w:asciiTheme="majorHAnsi" w:hAnsiTheme="majorHAnsi"/>
          <w:color w:val="auto"/>
          <w:szCs w:val="20"/>
          <w:bdr w:val="none" w:sz="0" w:space="0" w:color="auto"/>
          <w:lang w:val="es-ES"/>
        </w:rPr>
        <w:footnoteReference w:id="111"/>
      </w:r>
      <w:r w:rsidR="00016CF5" w:rsidRPr="0011380E">
        <w:rPr>
          <w:rFonts w:asciiTheme="majorHAnsi" w:hAnsiTheme="majorHAnsi"/>
          <w:color w:val="auto"/>
          <w:szCs w:val="20"/>
          <w:bdr w:val="none" w:sz="0" w:space="0" w:color="auto"/>
          <w:lang w:val="es-ES"/>
        </w:rPr>
        <w:t>. En consecuencia, “si una persona fuera detenida en buen estado de salud y posteriormente, muriera, recae en el Estado la obligación de proveer una explicación satisfactoria y convincente de lo sucedido y desvirtuar las alegaciones sobre su responsabilidad, mediante elementos probatorios válidos”</w:t>
      </w:r>
      <w:r w:rsidR="00016CF5" w:rsidRPr="0011380E">
        <w:rPr>
          <w:rStyle w:val="FootnoteReference"/>
          <w:rFonts w:asciiTheme="majorHAnsi" w:hAnsiTheme="majorHAnsi"/>
          <w:color w:val="auto"/>
          <w:szCs w:val="20"/>
          <w:bdr w:val="none" w:sz="0" w:space="0" w:color="auto"/>
          <w:lang w:val="es-ES"/>
        </w:rPr>
        <w:footnoteReference w:id="112"/>
      </w:r>
      <w:r w:rsidR="00016CF5" w:rsidRPr="0011380E">
        <w:rPr>
          <w:rFonts w:asciiTheme="majorHAnsi" w:hAnsiTheme="majorHAnsi"/>
          <w:color w:val="auto"/>
          <w:szCs w:val="20"/>
          <w:bdr w:val="none" w:sz="0" w:space="0" w:color="auto"/>
          <w:lang w:val="es-ES"/>
        </w:rPr>
        <w:t>.</w:t>
      </w:r>
    </w:p>
    <w:p w14:paraId="7AAB65F9" w14:textId="77777777" w:rsidR="00A64128" w:rsidRPr="0011380E" w:rsidRDefault="00A64128" w:rsidP="0011380E">
      <w:pPr>
        <w:pStyle w:val="ListParagraph"/>
        <w:numPr>
          <w:ilvl w:val="0"/>
          <w:numId w:val="0"/>
        </w:numPr>
        <w:rPr>
          <w:rFonts w:asciiTheme="majorHAnsi" w:hAnsiTheme="majorHAnsi"/>
          <w:color w:val="auto"/>
          <w:szCs w:val="20"/>
          <w:lang w:val="es-VE"/>
        </w:rPr>
      </w:pPr>
    </w:p>
    <w:p w14:paraId="1C73FB38" w14:textId="77777777" w:rsidR="0064637C" w:rsidRPr="0011380E" w:rsidRDefault="00364F3E" w:rsidP="0011380E">
      <w:pPr>
        <w:pStyle w:val="ListParagraph"/>
        <w:rPr>
          <w:rFonts w:asciiTheme="majorHAnsi" w:hAnsiTheme="majorHAnsi"/>
          <w:color w:val="auto"/>
          <w:szCs w:val="20"/>
          <w:lang w:val="es-VE"/>
        </w:rPr>
      </w:pPr>
      <w:r w:rsidRPr="0011380E">
        <w:rPr>
          <w:rFonts w:asciiTheme="majorHAnsi" w:hAnsiTheme="majorHAnsi"/>
          <w:color w:val="auto"/>
          <w:szCs w:val="20"/>
          <w:lang w:val="es-US"/>
        </w:rPr>
        <w:t xml:space="preserve">En cuanto a la infracción al derecho a la integridad personal, la Corte ha señalado que ésta “es una clase de violación que tiene diversas connotaciones de grado y que abarca desde la </w:t>
      </w:r>
      <w:r w:rsidR="00D8561C" w:rsidRPr="0011380E">
        <w:rPr>
          <w:rFonts w:asciiTheme="majorHAnsi" w:hAnsiTheme="majorHAnsi"/>
          <w:color w:val="auto"/>
          <w:szCs w:val="20"/>
          <w:lang w:val="es-US"/>
        </w:rPr>
        <w:t>tortura</w:t>
      </w:r>
      <w:r w:rsidRPr="0011380E">
        <w:rPr>
          <w:rFonts w:asciiTheme="majorHAnsi" w:hAnsiTheme="majorHAnsi"/>
          <w:color w:val="auto"/>
          <w:szCs w:val="20"/>
          <w:lang w:val="es-US"/>
        </w:rPr>
        <w:t xml:space="preserve"> hasta otro tipo de vejámenes o tratos crueles, inhumanos o degradantes”</w:t>
      </w:r>
      <w:r w:rsidRPr="0011380E">
        <w:rPr>
          <w:rStyle w:val="FootnoteReference"/>
          <w:rFonts w:asciiTheme="majorHAnsi" w:hAnsiTheme="majorHAnsi" w:cs="Verdana"/>
          <w:color w:val="auto"/>
          <w:szCs w:val="20"/>
          <w:lang w:val="es-ES_tradnl"/>
        </w:rPr>
        <w:footnoteReference w:id="113"/>
      </w:r>
      <w:r w:rsidRPr="0011380E">
        <w:rPr>
          <w:rFonts w:asciiTheme="majorHAnsi" w:hAnsiTheme="majorHAnsi"/>
          <w:color w:val="auto"/>
          <w:szCs w:val="20"/>
          <w:lang w:val="es-US"/>
        </w:rPr>
        <w:t xml:space="preserve">. </w:t>
      </w:r>
      <w:r w:rsidR="004A3AA1" w:rsidRPr="0011380E">
        <w:rPr>
          <w:rFonts w:asciiTheme="majorHAnsi" w:hAnsiTheme="majorHAnsi"/>
          <w:color w:val="auto"/>
          <w:szCs w:val="20"/>
          <w:lang w:val="es-US"/>
        </w:rPr>
        <w:t>En particular</w:t>
      </w:r>
      <w:r w:rsidR="00FB6462" w:rsidRPr="0011380E">
        <w:rPr>
          <w:rFonts w:asciiTheme="majorHAnsi" w:hAnsiTheme="majorHAnsi"/>
          <w:color w:val="auto"/>
          <w:szCs w:val="20"/>
          <w:lang w:val="es-US"/>
        </w:rPr>
        <w:t>,</w:t>
      </w:r>
      <w:r w:rsidRPr="0011380E">
        <w:rPr>
          <w:rFonts w:asciiTheme="majorHAnsi" w:hAnsiTheme="majorHAnsi"/>
          <w:color w:val="auto"/>
          <w:szCs w:val="20"/>
          <w:lang w:val="es-US"/>
        </w:rPr>
        <w:t xml:space="preserve"> “[t]</w:t>
      </w:r>
      <w:r w:rsidRPr="0011380E">
        <w:rPr>
          <w:rFonts w:asciiTheme="majorHAnsi" w:hAnsiTheme="majorHAnsi"/>
          <w:color w:val="auto"/>
          <w:szCs w:val="20"/>
          <w:lang w:val="es-VE"/>
        </w:rPr>
        <w:t>odo uso de la fuerza que no sea estrictamente necesario por el propio comportamiento de la persona detenida constituye un atentado a la dignidad humana”</w:t>
      </w:r>
      <w:r w:rsidRPr="0011380E">
        <w:rPr>
          <w:rStyle w:val="FootnoteReference"/>
          <w:rFonts w:asciiTheme="majorHAnsi" w:hAnsiTheme="majorHAnsi"/>
          <w:color w:val="auto"/>
          <w:szCs w:val="20"/>
          <w:lang w:val="es-VE"/>
        </w:rPr>
        <w:footnoteReference w:id="114"/>
      </w:r>
      <w:r w:rsidRPr="0011380E">
        <w:rPr>
          <w:rFonts w:asciiTheme="majorHAnsi" w:hAnsiTheme="majorHAnsi"/>
          <w:color w:val="auto"/>
          <w:szCs w:val="20"/>
          <w:lang w:val="es-VE"/>
        </w:rPr>
        <w:t xml:space="preserve">. </w:t>
      </w:r>
      <w:r w:rsidR="00FB6462" w:rsidRPr="0011380E">
        <w:rPr>
          <w:rFonts w:asciiTheme="majorHAnsi" w:hAnsiTheme="majorHAnsi"/>
          <w:color w:val="auto"/>
          <w:szCs w:val="20"/>
          <w:lang w:val="es-VE"/>
        </w:rPr>
        <w:t>C</w:t>
      </w:r>
      <w:r w:rsidRPr="0011380E">
        <w:rPr>
          <w:rFonts w:asciiTheme="majorHAnsi" w:hAnsiTheme="majorHAnsi"/>
          <w:color w:val="auto"/>
          <w:szCs w:val="20"/>
          <w:lang w:val="es-VE"/>
        </w:rPr>
        <w:t xml:space="preserve">onforme al </w:t>
      </w:r>
      <w:r w:rsidRPr="0011380E">
        <w:rPr>
          <w:rFonts w:asciiTheme="majorHAnsi" w:hAnsiTheme="majorHAnsi"/>
          <w:color w:val="auto"/>
          <w:szCs w:val="20"/>
          <w:bdr w:val="none" w:sz="0" w:space="0" w:color="auto"/>
          <w:lang w:val="es-ES"/>
        </w:rPr>
        <w:t>propio artículo 5.2 de la Convención, las personas privadas de libertad deben ser tratadas con el respeto debido a la dignidad inherente al ser humano</w:t>
      </w:r>
      <w:r w:rsidR="0064637C" w:rsidRPr="0011380E">
        <w:rPr>
          <w:rFonts w:asciiTheme="majorHAnsi" w:hAnsiTheme="majorHAnsi"/>
          <w:color w:val="auto"/>
          <w:szCs w:val="20"/>
          <w:bdr w:val="none" w:sz="0" w:space="0" w:color="auto"/>
          <w:lang w:val="es-ES"/>
        </w:rPr>
        <w:t xml:space="preserve">, </w:t>
      </w:r>
      <w:r w:rsidRPr="0011380E">
        <w:rPr>
          <w:rFonts w:asciiTheme="majorHAnsi" w:hAnsiTheme="majorHAnsi"/>
          <w:color w:val="auto"/>
          <w:szCs w:val="20"/>
          <w:bdr w:val="none" w:sz="0" w:space="0" w:color="auto"/>
          <w:lang w:val="es-ES"/>
        </w:rPr>
        <w:t xml:space="preserve">derecho </w:t>
      </w:r>
      <w:r w:rsidR="0064637C" w:rsidRPr="0011380E">
        <w:rPr>
          <w:rFonts w:asciiTheme="majorHAnsi" w:hAnsiTheme="majorHAnsi"/>
          <w:color w:val="auto"/>
          <w:szCs w:val="20"/>
          <w:bdr w:val="none" w:sz="0" w:space="0" w:color="auto"/>
          <w:lang w:val="es-ES"/>
        </w:rPr>
        <w:t xml:space="preserve">que </w:t>
      </w:r>
      <w:r w:rsidRPr="0011380E">
        <w:rPr>
          <w:rFonts w:asciiTheme="majorHAnsi" w:hAnsiTheme="majorHAnsi"/>
          <w:color w:val="auto"/>
          <w:szCs w:val="20"/>
          <w:bdr w:val="none" w:sz="0" w:space="0" w:color="auto"/>
          <w:lang w:val="es-ES"/>
        </w:rPr>
        <w:t>forma parte del núcleo inderogable</w:t>
      </w:r>
      <w:r w:rsidR="0064637C" w:rsidRPr="0011380E">
        <w:rPr>
          <w:rFonts w:asciiTheme="majorHAnsi" w:hAnsiTheme="majorHAnsi"/>
          <w:color w:val="auto"/>
          <w:szCs w:val="20"/>
          <w:bdr w:val="none" w:sz="0" w:space="0" w:color="auto"/>
          <w:lang w:val="es-ES"/>
        </w:rPr>
        <w:t xml:space="preserve"> que establece el artículo 27.2 de la Convención</w:t>
      </w:r>
      <w:r w:rsidRPr="0011380E">
        <w:rPr>
          <w:rStyle w:val="FootnoteReference"/>
          <w:rFonts w:asciiTheme="majorHAnsi" w:hAnsiTheme="majorHAnsi"/>
          <w:color w:val="auto"/>
          <w:szCs w:val="20"/>
          <w:bdr w:val="none" w:sz="0" w:space="0" w:color="auto"/>
          <w:lang w:val="es-ES"/>
        </w:rPr>
        <w:footnoteReference w:id="115"/>
      </w:r>
      <w:r w:rsidRPr="0011380E">
        <w:rPr>
          <w:rFonts w:asciiTheme="majorHAnsi" w:hAnsiTheme="majorHAnsi"/>
          <w:color w:val="auto"/>
          <w:szCs w:val="20"/>
          <w:bdr w:val="none" w:sz="0" w:space="0" w:color="auto"/>
          <w:lang w:val="es-ES"/>
        </w:rPr>
        <w:t xml:space="preserve">.  </w:t>
      </w:r>
      <w:r w:rsidR="00AC30F9" w:rsidRPr="0011380E">
        <w:rPr>
          <w:rFonts w:asciiTheme="majorHAnsi" w:hAnsiTheme="majorHAnsi"/>
          <w:color w:val="auto"/>
          <w:szCs w:val="20"/>
          <w:bdr w:val="none" w:sz="0" w:space="0" w:color="auto"/>
          <w:lang w:val="es-ES"/>
        </w:rPr>
        <w:t>En efecto, “toda persona privada de libertad tiene derecho a vivir en situación de detención compatible con su dignidad personal […] mantener a una persona detenida en condiciones de hacinamiento, con falta de ventilación y luz natural, sin cama para su reposo ni condiciones adecuadas de higiene, en aislamiento e incomunicación o con restricciones indebidas al régimen de visitas constituye una violación a su integridad personal”</w:t>
      </w:r>
      <w:r w:rsidR="00AC30F9" w:rsidRPr="0011380E">
        <w:rPr>
          <w:rStyle w:val="FootnoteReference"/>
          <w:rFonts w:asciiTheme="majorHAnsi" w:hAnsiTheme="majorHAnsi"/>
          <w:color w:val="auto"/>
          <w:szCs w:val="20"/>
          <w:bdr w:val="none" w:sz="0" w:space="0" w:color="auto"/>
          <w:lang w:val="es-ES"/>
        </w:rPr>
        <w:footnoteReference w:id="116"/>
      </w:r>
      <w:r w:rsidR="00F33FF7" w:rsidRPr="0011380E">
        <w:rPr>
          <w:rFonts w:asciiTheme="majorHAnsi" w:hAnsiTheme="majorHAnsi"/>
          <w:color w:val="auto"/>
          <w:szCs w:val="20"/>
          <w:bdr w:val="none" w:sz="0" w:space="0" w:color="auto"/>
          <w:lang w:val="es-ES"/>
        </w:rPr>
        <w:t>. Del mismo modo, el aislamiento prolongado y la incomunicación coactiva “representan, por sí mismos, formas de tratamiento cruel e inhumano, lesivas de la libertad psíquica y moral de la persona y del derecho de todo detenido al respeto debido a la dignidad inherente al ser humano”</w:t>
      </w:r>
      <w:r w:rsidR="00F33FF7" w:rsidRPr="0011380E">
        <w:rPr>
          <w:rStyle w:val="FootnoteReference"/>
          <w:rFonts w:asciiTheme="majorHAnsi" w:hAnsiTheme="majorHAnsi"/>
          <w:color w:val="auto"/>
          <w:szCs w:val="20"/>
          <w:bdr w:val="none" w:sz="0" w:space="0" w:color="auto"/>
          <w:lang w:val="es-ES"/>
        </w:rPr>
        <w:footnoteReference w:id="117"/>
      </w:r>
    </w:p>
    <w:p w14:paraId="28794D44" w14:textId="77777777" w:rsidR="0064637C" w:rsidRPr="0011380E" w:rsidRDefault="0064637C" w:rsidP="0011380E">
      <w:pPr>
        <w:pStyle w:val="ListParagraph"/>
        <w:numPr>
          <w:ilvl w:val="0"/>
          <w:numId w:val="0"/>
        </w:numPr>
        <w:rPr>
          <w:rFonts w:asciiTheme="majorHAnsi" w:hAnsiTheme="majorHAnsi"/>
          <w:color w:val="auto"/>
          <w:szCs w:val="20"/>
          <w:lang w:val="es-VE"/>
        </w:rPr>
      </w:pPr>
    </w:p>
    <w:p w14:paraId="5095ECD7" w14:textId="77777777" w:rsidR="00B15B2C" w:rsidRPr="0011380E" w:rsidRDefault="004A3AA1" w:rsidP="0011380E">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lang w:val="es-ES"/>
        </w:rPr>
        <w:t xml:space="preserve">En cuanto a la </w:t>
      </w:r>
      <w:r w:rsidR="00565104" w:rsidRPr="0011380E">
        <w:rPr>
          <w:rFonts w:asciiTheme="majorHAnsi" w:hAnsiTheme="majorHAnsi"/>
          <w:color w:val="auto"/>
          <w:szCs w:val="20"/>
          <w:lang w:val="es-ES"/>
        </w:rPr>
        <w:t>tortura</w:t>
      </w:r>
      <w:r w:rsidRPr="0011380E">
        <w:rPr>
          <w:rFonts w:asciiTheme="majorHAnsi" w:hAnsiTheme="majorHAnsi"/>
          <w:color w:val="auto"/>
          <w:szCs w:val="20"/>
          <w:lang w:val="es-ES"/>
        </w:rPr>
        <w:t>,</w:t>
      </w:r>
      <w:r w:rsidR="00565104" w:rsidRPr="0011380E">
        <w:rPr>
          <w:rFonts w:asciiTheme="majorHAnsi" w:hAnsiTheme="majorHAnsi"/>
          <w:color w:val="auto"/>
          <w:szCs w:val="20"/>
          <w:lang w:val="es-ES"/>
        </w:rPr>
        <w:t xml:space="preserve"> </w:t>
      </w:r>
      <w:r w:rsidRPr="0011380E">
        <w:rPr>
          <w:rFonts w:asciiTheme="majorHAnsi" w:hAnsiTheme="majorHAnsi"/>
          <w:color w:val="auto"/>
          <w:szCs w:val="20"/>
          <w:lang w:val="es-ES"/>
        </w:rPr>
        <w:t>é</w:t>
      </w:r>
      <w:r w:rsidR="00565104" w:rsidRPr="0011380E">
        <w:rPr>
          <w:rFonts w:asciiTheme="majorHAnsi" w:hAnsiTheme="majorHAnsi"/>
          <w:color w:val="auto"/>
          <w:szCs w:val="20"/>
          <w:lang w:val="es-ES"/>
        </w:rPr>
        <w:t>st</w:t>
      </w:r>
      <w:r w:rsidRPr="0011380E">
        <w:rPr>
          <w:rFonts w:asciiTheme="majorHAnsi" w:hAnsiTheme="majorHAnsi"/>
          <w:color w:val="auto"/>
          <w:szCs w:val="20"/>
          <w:lang w:val="es-ES"/>
        </w:rPr>
        <w:t>a</w:t>
      </w:r>
      <w:r w:rsidR="00565104" w:rsidRPr="0011380E">
        <w:rPr>
          <w:rFonts w:asciiTheme="majorHAnsi" w:hAnsiTheme="majorHAnsi"/>
          <w:color w:val="auto"/>
          <w:szCs w:val="20"/>
          <w:lang w:val="es-ES"/>
        </w:rPr>
        <w:t xml:space="preserve"> se encuentra estrictamente prohibida por el derecho internacional de los derechos humanos y tal prohibición es absoluta e inderogable, aun en las circunstancias más difíciles</w:t>
      </w:r>
      <w:r w:rsidR="00565104" w:rsidRPr="0011380E">
        <w:rPr>
          <w:rStyle w:val="FootnoteReference"/>
          <w:rFonts w:asciiTheme="majorHAnsi" w:hAnsiTheme="majorHAnsi"/>
          <w:color w:val="auto"/>
          <w:szCs w:val="20"/>
          <w:lang w:val="es-ES"/>
        </w:rPr>
        <w:footnoteReference w:id="118"/>
      </w:r>
      <w:r w:rsidR="00565104" w:rsidRPr="0011380E">
        <w:rPr>
          <w:rFonts w:asciiTheme="majorHAnsi" w:hAnsiTheme="majorHAnsi"/>
          <w:color w:val="auto"/>
          <w:szCs w:val="20"/>
          <w:lang w:val="es-ES"/>
        </w:rPr>
        <w:t xml:space="preserve">. El régimen jurídico internacional de prohibición absoluta de todas las formas de tortura, tanto física como psicológica, pertenece hoy en día al dominio de </w:t>
      </w:r>
      <w:r w:rsidR="00565104" w:rsidRPr="0011380E">
        <w:rPr>
          <w:rFonts w:asciiTheme="majorHAnsi" w:hAnsiTheme="majorHAnsi"/>
          <w:i/>
          <w:iCs/>
          <w:color w:val="auto"/>
          <w:szCs w:val="20"/>
          <w:lang w:val="es-ES"/>
        </w:rPr>
        <w:t xml:space="preserve">jus cogens </w:t>
      </w:r>
      <w:r w:rsidR="00565104" w:rsidRPr="0011380E">
        <w:rPr>
          <w:rFonts w:asciiTheme="majorHAnsi" w:hAnsiTheme="majorHAnsi"/>
          <w:color w:val="auto"/>
          <w:szCs w:val="20"/>
          <w:lang w:val="es-ES"/>
        </w:rPr>
        <w:t>internacional</w:t>
      </w:r>
      <w:r w:rsidR="00565104" w:rsidRPr="0011380E">
        <w:rPr>
          <w:rStyle w:val="FootnoteReference"/>
          <w:rFonts w:asciiTheme="majorHAnsi" w:hAnsiTheme="majorHAnsi"/>
          <w:color w:val="auto"/>
          <w:szCs w:val="20"/>
          <w:lang w:val="es-ES"/>
        </w:rPr>
        <w:footnoteReference w:id="119"/>
      </w:r>
      <w:r w:rsidR="00565104" w:rsidRPr="0011380E">
        <w:rPr>
          <w:rFonts w:asciiTheme="majorHAnsi" w:hAnsiTheme="majorHAnsi"/>
          <w:color w:val="auto"/>
          <w:szCs w:val="20"/>
          <w:lang w:val="es-ES"/>
        </w:rPr>
        <w:t xml:space="preserve">. </w:t>
      </w:r>
      <w:r w:rsidR="00351B3D" w:rsidRPr="0011380E">
        <w:rPr>
          <w:rFonts w:asciiTheme="majorHAnsi" w:hAnsiTheme="majorHAnsi"/>
          <w:color w:val="auto"/>
          <w:szCs w:val="20"/>
          <w:bdr w:val="none" w:sz="0" w:space="0" w:color="auto"/>
          <w:lang w:val="es-ES"/>
        </w:rPr>
        <w:t>L</w:t>
      </w:r>
      <w:r w:rsidR="00CA13C7" w:rsidRPr="0011380E">
        <w:rPr>
          <w:rFonts w:asciiTheme="majorHAnsi" w:hAnsiTheme="majorHAnsi"/>
          <w:color w:val="auto"/>
          <w:szCs w:val="20"/>
          <w:bdr w:val="none" w:sz="0" w:space="0" w:color="auto"/>
          <w:lang w:val="es-ES"/>
        </w:rPr>
        <w:t>a Corte ha indicado que</w:t>
      </w:r>
      <w:r w:rsidR="00B15B2C" w:rsidRPr="0011380E">
        <w:rPr>
          <w:rFonts w:asciiTheme="majorHAnsi" w:hAnsiTheme="majorHAnsi"/>
          <w:color w:val="auto"/>
          <w:szCs w:val="20"/>
          <w:bdr w:val="none" w:sz="0" w:space="0" w:color="auto"/>
          <w:lang w:val="es-ES"/>
        </w:rPr>
        <w:t>,</w:t>
      </w:r>
      <w:r w:rsidR="00CA13C7" w:rsidRPr="0011380E">
        <w:rPr>
          <w:rFonts w:asciiTheme="majorHAnsi" w:hAnsiTheme="majorHAnsi"/>
          <w:color w:val="auto"/>
          <w:szCs w:val="20"/>
          <w:bdr w:val="none" w:sz="0" w:space="0" w:color="auto"/>
          <w:lang w:val="es-ES"/>
        </w:rPr>
        <w:t xml:space="preserve"> a la luz del artículo 5.2 de la</w:t>
      </w:r>
      <w:r w:rsidR="0022079F" w:rsidRPr="0011380E">
        <w:rPr>
          <w:rFonts w:asciiTheme="majorHAnsi" w:hAnsiTheme="majorHAnsi"/>
          <w:color w:val="auto"/>
          <w:szCs w:val="20"/>
          <w:bdr w:val="none" w:sz="0" w:space="0" w:color="auto"/>
          <w:lang w:val="es-ES"/>
        </w:rPr>
        <w:t xml:space="preserve"> Convención</w:t>
      </w:r>
      <w:r w:rsidR="009F2459" w:rsidRPr="0011380E">
        <w:rPr>
          <w:rStyle w:val="FootnoteReference"/>
          <w:rFonts w:asciiTheme="majorHAnsi" w:hAnsiTheme="majorHAnsi"/>
          <w:color w:val="auto"/>
          <w:szCs w:val="20"/>
          <w:bdr w:val="none" w:sz="0" w:space="0" w:color="auto"/>
          <w:lang w:val="es-ES"/>
        </w:rPr>
        <w:footnoteReference w:id="120"/>
      </w:r>
      <w:r w:rsidR="00CA13C7" w:rsidRPr="0011380E">
        <w:rPr>
          <w:rFonts w:asciiTheme="majorHAnsi" w:hAnsiTheme="majorHAnsi"/>
          <w:color w:val="auto"/>
          <w:szCs w:val="20"/>
          <w:bdr w:val="none" w:sz="0" w:space="0" w:color="auto"/>
          <w:lang w:val="es-ES"/>
        </w:rPr>
        <w:t xml:space="preserve">, se está frente a un acto de </w:t>
      </w:r>
      <w:r w:rsidR="00B15B2C" w:rsidRPr="0011380E">
        <w:rPr>
          <w:rFonts w:asciiTheme="majorHAnsi" w:hAnsiTheme="majorHAnsi"/>
          <w:color w:val="auto"/>
          <w:szCs w:val="20"/>
          <w:bdr w:val="none" w:sz="0" w:space="0" w:color="auto"/>
          <w:lang w:val="es-ES"/>
        </w:rPr>
        <w:t>“</w:t>
      </w:r>
      <w:r w:rsidR="00CA13C7" w:rsidRPr="0011380E">
        <w:rPr>
          <w:rFonts w:asciiTheme="majorHAnsi" w:hAnsiTheme="majorHAnsi"/>
          <w:color w:val="auto"/>
          <w:szCs w:val="20"/>
          <w:bdr w:val="none" w:sz="0" w:space="0" w:color="auto"/>
          <w:lang w:val="es-ES"/>
        </w:rPr>
        <w:t>tortura</w:t>
      </w:r>
      <w:r w:rsidR="00B15B2C" w:rsidRPr="0011380E">
        <w:rPr>
          <w:rFonts w:asciiTheme="majorHAnsi" w:hAnsiTheme="majorHAnsi"/>
          <w:color w:val="auto"/>
          <w:szCs w:val="20"/>
          <w:bdr w:val="none" w:sz="0" w:space="0" w:color="auto"/>
          <w:lang w:val="es-ES"/>
        </w:rPr>
        <w:t>”</w:t>
      </w:r>
      <w:r w:rsidR="00CA13C7" w:rsidRPr="0011380E">
        <w:rPr>
          <w:rFonts w:asciiTheme="majorHAnsi" w:hAnsiTheme="majorHAnsi"/>
          <w:color w:val="auto"/>
          <w:szCs w:val="20"/>
          <w:bdr w:val="none" w:sz="0" w:space="0" w:color="auto"/>
          <w:lang w:val="es-ES"/>
        </w:rPr>
        <w:t xml:space="preserve"> cuando el maltrato: i) es intencional; ii) cause severos sufrimientos físicos o mentales, y iii) se cometa con cualquier f</w:t>
      </w:r>
      <w:r w:rsidR="00CD37F2" w:rsidRPr="0011380E">
        <w:rPr>
          <w:rFonts w:asciiTheme="majorHAnsi" w:hAnsiTheme="majorHAnsi"/>
          <w:color w:val="auto"/>
          <w:szCs w:val="20"/>
          <w:bdr w:val="none" w:sz="0" w:space="0" w:color="auto"/>
          <w:lang w:val="es-ES"/>
        </w:rPr>
        <w:t>i</w:t>
      </w:r>
      <w:r w:rsidR="00CA13C7" w:rsidRPr="0011380E">
        <w:rPr>
          <w:rFonts w:asciiTheme="majorHAnsi" w:hAnsiTheme="majorHAnsi"/>
          <w:color w:val="auto"/>
          <w:szCs w:val="20"/>
          <w:bdr w:val="none" w:sz="0" w:space="0" w:color="auto"/>
          <w:lang w:val="es-ES"/>
        </w:rPr>
        <w:t>n o propósito</w:t>
      </w:r>
      <w:r w:rsidR="00CA13C7" w:rsidRPr="0011380E">
        <w:rPr>
          <w:rStyle w:val="FootnoteReference"/>
          <w:rFonts w:asciiTheme="majorHAnsi" w:hAnsiTheme="majorHAnsi"/>
          <w:color w:val="auto"/>
          <w:szCs w:val="20"/>
          <w:bdr w:val="none" w:sz="0" w:space="0" w:color="auto"/>
          <w:lang w:val="es-ES"/>
        </w:rPr>
        <w:footnoteReference w:id="121"/>
      </w:r>
      <w:r w:rsidR="009943C0" w:rsidRPr="0011380E">
        <w:rPr>
          <w:rFonts w:asciiTheme="majorHAnsi" w:hAnsiTheme="majorHAnsi"/>
          <w:color w:val="auto"/>
          <w:szCs w:val="20"/>
          <w:bdr w:val="none" w:sz="0" w:space="0" w:color="auto"/>
          <w:lang w:val="es-ES"/>
        </w:rPr>
        <w:t>.</w:t>
      </w:r>
      <w:r w:rsidR="00A633B5" w:rsidRPr="0011380E">
        <w:rPr>
          <w:rFonts w:asciiTheme="majorHAnsi" w:hAnsiTheme="majorHAnsi"/>
          <w:color w:val="auto"/>
          <w:szCs w:val="20"/>
          <w:bdr w:val="none" w:sz="0" w:space="0" w:color="auto"/>
          <w:lang w:val="es-ES"/>
        </w:rPr>
        <w:t xml:space="preserve"> </w:t>
      </w:r>
      <w:r w:rsidR="00A633B5" w:rsidRPr="0011380E">
        <w:rPr>
          <w:rFonts w:asciiTheme="majorHAnsi" w:hAnsiTheme="majorHAnsi"/>
          <w:color w:val="auto"/>
          <w:szCs w:val="20"/>
          <w:lang w:val="es-ES"/>
        </w:rPr>
        <w:t>A</w:t>
      </w:r>
      <w:r w:rsidR="00513D84" w:rsidRPr="0011380E">
        <w:rPr>
          <w:rFonts w:asciiTheme="majorHAnsi" w:hAnsiTheme="majorHAnsi"/>
          <w:color w:val="auto"/>
          <w:szCs w:val="20"/>
          <w:lang w:val="es-ES"/>
        </w:rPr>
        <w:t>ún más</w:t>
      </w:r>
      <w:r w:rsidR="00A633B5" w:rsidRPr="0011380E">
        <w:rPr>
          <w:rFonts w:asciiTheme="majorHAnsi" w:hAnsiTheme="majorHAnsi"/>
          <w:color w:val="auto"/>
          <w:szCs w:val="20"/>
          <w:bdr w:val="none" w:sz="0" w:space="0" w:color="auto"/>
          <w:lang w:val="es-ES"/>
        </w:rPr>
        <w:t>, las amenazas y el peligro real de someter a una persona a graves lesiones físicas produce, en determinadas circunstancias, una angustia moral de tal grado que puede ser considerada “tortura psicológica”</w:t>
      </w:r>
      <w:r w:rsidR="00A633B5" w:rsidRPr="0011380E">
        <w:rPr>
          <w:rStyle w:val="FootnoteReference"/>
          <w:rFonts w:asciiTheme="majorHAnsi" w:hAnsiTheme="majorHAnsi"/>
          <w:color w:val="auto"/>
          <w:szCs w:val="20"/>
          <w:bdr w:val="none" w:sz="0" w:space="0" w:color="auto"/>
          <w:lang w:val="es-ES"/>
        </w:rPr>
        <w:footnoteReference w:id="122"/>
      </w:r>
      <w:r w:rsidR="00A633B5" w:rsidRPr="0011380E">
        <w:rPr>
          <w:rFonts w:asciiTheme="majorHAnsi" w:hAnsiTheme="majorHAnsi"/>
          <w:color w:val="auto"/>
          <w:szCs w:val="20"/>
          <w:bdr w:val="none" w:sz="0" w:space="0" w:color="auto"/>
          <w:lang w:val="es-ES"/>
        </w:rPr>
        <w:t>.</w:t>
      </w:r>
      <w:r w:rsidR="00513D84" w:rsidRPr="0011380E">
        <w:rPr>
          <w:rFonts w:asciiTheme="majorHAnsi" w:hAnsiTheme="majorHAnsi"/>
          <w:color w:val="auto"/>
          <w:szCs w:val="20"/>
          <w:bdr w:val="none" w:sz="0" w:space="0" w:color="auto"/>
          <w:lang w:val="es-ES"/>
        </w:rPr>
        <w:t xml:space="preserve"> </w:t>
      </w:r>
    </w:p>
    <w:p w14:paraId="22ABC45B" w14:textId="77777777" w:rsidR="00B15B2C" w:rsidRPr="0011380E" w:rsidRDefault="00B15B2C" w:rsidP="0011380E">
      <w:pPr>
        <w:pStyle w:val="ListParagraph"/>
        <w:numPr>
          <w:ilvl w:val="0"/>
          <w:numId w:val="0"/>
        </w:numPr>
        <w:rPr>
          <w:rFonts w:asciiTheme="majorHAnsi" w:hAnsiTheme="majorHAnsi"/>
          <w:color w:val="auto"/>
          <w:szCs w:val="20"/>
          <w:bdr w:val="none" w:sz="0" w:space="0" w:color="auto"/>
          <w:lang w:val="es-ES"/>
        </w:rPr>
      </w:pPr>
    </w:p>
    <w:p w14:paraId="32989F24" w14:textId="77777777" w:rsidR="009729C3" w:rsidRPr="0011380E" w:rsidRDefault="009729C3" w:rsidP="0011380E">
      <w:pPr>
        <w:pStyle w:val="ListParagraph"/>
        <w:rPr>
          <w:rFonts w:asciiTheme="majorHAnsi" w:hAnsiTheme="majorHAnsi"/>
          <w:b/>
          <w:color w:val="auto"/>
          <w:szCs w:val="20"/>
          <w:lang w:val="es-ES"/>
        </w:rPr>
      </w:pPr>
      <w:r w:rsidRPr="0011380E">
        <w:rPr>
          <w:rFonts w:asciiTheme="majorHAnsi" w:hAnsiTheme="majorHAnsi"/>
          <w:color w:val="auto"/>
          <w:szCs w:val="20"/>
          <w:lang w:val="es-ES"/>
        </w:rPr>
        <w:t xml:space="preserve">La CIDH ha establecido de forma consistente que la violación sexual cometida por miembros de las fuerzas de </w:t>
      </w:r>
      <w:r w:rsidRPr="0011380E">
        <w:rPr>
          <w:rFonts w:asciiTheme="majorHAnsi" w:hAnsiTheme="majorHAnsi"/>
          <w:color w:val="auto"/>
          <w:szCs w:val="20"/>
          <w:lang w:val="es-CO"/>
        </w:rPr>
        <w:t>seguridad</w:t>
      </w:r>
      <w:r w:rsidRPr="0011380E">
        <w:rPr>
          <w:rFonts w:asciiTheme="majorHAnsi" w:hAnsiTheme="majorHAnsi"/>
          <w:color w:val="auto"/>
          <w:szCs w:val="20"/>
          <w:lang w:val="es-ES"/>
        </w:rPr>
        <w:t xml:space="preserve"> constituye en todos los casos una grave violación de los derechos humanos protegidos </w:t>
      </w:r>
      <w:r w:rsidRPr="0011380E">
        <w:rPr>
          <w:rFonts w:asciiTheme="majorHAnsi" w:hAnsiTheme="majorHAnsi"/>
          <w:color w:val="auto"/>
          <w:szCs w:val="20"/>
          <w:lang w:val="es-ES"/>
        </w:rPr>
        <w:lastRenderedPageBreak/>
        <w:t>en los artículos 5 y 11 de la Convención Americana</w:t>
      </w:r>
      <w:r w:rsidRPr="0011380E">
        <w:rPr>
          <w:rStyle w:val="FootnoteReference"/>
          <w:rFonts w:asciiTheme="majorHAnsi" w:hAnsiTheme="majorHAnsi"/>
          <w:color w:val="auto"/>
          <w:szCs w:val="20"/>
          <w:lang w:val="es-ES"/>
        </w:rPr>
        <w:footnoteReference w:id="123"/>
      </w:r>
      <w:r w:rsidRPr="0011380E">
        <w:rPr>
          <w:rFonts w:asciiTheme="majorHAnsi" w:hAnsiTheme="majorHAnsi"/>
          <w:color w:val="auto"/>
          <w:szCs w:val="20"/>
          <w:lang w:val="es-ES"/>
        </w:rPr>
        <w:t>. Dicha conducta ilegal presupone un sufrimiento físico y mental severo y duradero, debido a su naturaleza no consensual e invasiva y que afecta a la víctima, su familia y comunidad. Esta situación se agrava cuando el agresor es un agente estatal, por su posición de autoridad y por el poder físico y psicológico que puede ejercer sobre la víctima</w:t>
      </w:r>
      <w:r w:rsidRPr="0011380E">
        <w:rPr>
          <w:rStyle w:val="FootnoteReference"/>
          <w:rFonts w:asciiTheme="majorHAnsi" w:hAnsiTheme="majorHAnsi"/>
          <w:color w:val="auto"/>
          <w:szCs w:val="20"/>
          <w:lang w:val="es-ES"/>
        </w:rPr>
        <w:footnoteReference w:id="124"/>
      </w:r>
      <w:r w:rsidRPr="0011380E">
        <w:rPr>
          <w:rFonts w:asciiTheme="majorHAnsi" w:hAnsiTheme="majorHAnsi"/>
          <w:color w:val="auto"/>
          <w:szCs w:val="20"/>
          <w:lang w:val="es-ES"/>
        </w:rPr>
        <w:t>.</w:t>
      </w:r>
    </w:p>
    <w:p w14:paraId="241DF7E1" w14:textId="77777777" w:rsidR="009729C3" w:rsidRPr="0011380E" w:rsidRDefault="009729C3" w:rsidP="0011380E">
      <w:pPr>
        <w:jc w:val="both"/>
        <w:rPr>
          <w:rFonts w:asciiTheme="majorHAnsi" w:hAnsiTheme="majorHAnsi"/>
          <w:b/>
          <w:sz w:val="20"/>
          <w:szCs w:val="20"/>
          <w:lang w:val="es-ES"/>
        </w:rPr>
      </w:pPr>
    </w:p>
    <w:p w14:paraId="2CBB3760" w14:textId="77777777" w:rsidR="009729C3" w:rsidRPr="0011380E" w:rsidRDefault="009729C3" w:rsidP="0011380E">
      <w:pPr>
        <w:pStyle w:val="ListParagraph"/>
        <w:rPr>
          <w:rFonts w:asciiTheme="majorHAnsi" w:hAnsiTheme="majorHAnsi"/>
          <w:b/>
          <w:color w:val="auto"/>
          <w:szCs w:val="20"/>
          <w:lang w:val="es-ES"/>
        </w:rPr>
      </w:pPr>
      <w:r w:rsidRPr="0011380E">
        <w:rPr>
          <w:rFonts w:asciiTheme="majorHAnsi" w:hAnsiTheme="majorHAnsi" w:cs="Verdana"/>
          <w:color w:val="auto"/>
          <w:szCs w:val="20"/>
          <w:lang w:val="es-ES"/>
        </w:rPr>
        <w:t xml:space="preserve">La Comisión y la Corte Interamericanas han sostenido que la violencia sexual contra las mujeres tiene </w:t>
      </w:r>
      <w:r w:rsidRPr="0011380E">
        <w:rPr>
          <w:rFonts w:asciiTheme="majorHAnsi" w:hAnsiTheme="majorHAnsi"/>
          <w:color w:val="auto"/>
          <w:szCs w:val="20"/>
          <w:lang w:val="es-ES"/>
        </w:rPr>
        <w:t>consecuencias</w:t>
      </w:r>
      <w:r w:rsidRPr="0011380E">
        <w:rPr>
          <w:rFonts w:asciiTheme="majorHAnsi" w:hAnsiTheme="majorHAnsi" w:cs="Verdana"/>
          <w:color w:val="auto"/>
          <w:szCs w:val="20"/>
          <w:lang w:val="es-ES"/>
        </w:rPr>
        <w:t xml:space="preserve"> físicas, emocionales y psicológicas devastadoras para ellas</w:t>
      </w:r>
      <w:r w:rsidRPr="0011380E">
        <w:rPr>
          <w:rStyle w:val="FootnoteReference"/>
          <w:rFonts w:asciiTheme="majorHAnsi" w:hAnsiTheme="majorHAnsi" w:cs="Verdana"/>
          <w:color w:val="auto"/>
          <w:szCs w:val="20"/>
          <w:lang w:val="es-ES"/>
        </w:rPr>
        <w:footnoteReference w:id="125"/>
      </w:r>
      <w:r w:rsidRPr="0011380E">
        <w:rPr>
          <w:rFonts w:asciiTheme="majorHAnsi" w:hAnsiTheme="majorHAnsi" w:cs="Verdana"/>
          <w:color w:val="auto"/>
          <w:szCs w:val="20"/>
          <w:lang w:val="es-ES"/>
        </w:rPr>
        <w:t xml:space="preserve"> y </w:t>
      </w:r>
      <w:r w:rsidRPr="0011380E">
        <w:rPr>
          <w:rFonts w:asciiTheme="majorHAnsi" w:hAnsiTheme="majorHAnsi"/>
          <w:color w:val="auto"/>
          <w:szCs w:val="20"/>
          <w:lang w:val="es-ES"/>
        </w:rPr>
        <w:t>han reconocido que la violación de una detenida por un agente del Estado es un acto especialmente grave y reprobable, tomando en cuenta la vulnerabilidad de la víctima y el abuso de poder que despliega el agente</w:t>
      </w:r>
      <w:r w:rsidRPr="0011380E">
        <w:rPr>
          <w:rStyle w:val="FootnoteReference"/>
          <w:rFonts w:asciiTheme="majorHAnsi" w:hAnsiTheme="majorHAnsi"/>
          <w:color w:val="auto"/>
          <w:szCs w:val="20"/>
          <w:lang w:val="es-ES"/>
        </w:rPr>
        <w:footnoteReference w:id="126"/>
      </w:r>
      <w:r w:rsidRPr="0011380E">
        <w:rPr>
          <w:rFonts w:asciiTheme="majorHAnsi" w:hAnsiTheme="majorHAnsi"/>
          <w:color w:val="auto"/>
          <w:szCs w:val="20"/>
          <w:lang w:val="es-ES"/>
        </w:rPr>
        <w:t>. Además, han sostenido que es una experiencia sumamente traumática que puede tener severas consecuencias</w:t>
      </w:r>
      <w:r w:rsidRPr="0011380E">
        <w:rPr>
          <w:rStyle w:val="FootnoteReference"/>
          <w:rFonts w:asciiTheme="majorHAnsi" w:hAnsiTheme="majorHAnsi"/>
          <w:color w:val="auto"/>
          <w:szCs w:val="20"/>
          <w:lang w:val="es-ES"/>
        </w:rPr>
        <w:footnoteReference w:id="127"/>
      </w:r>
      <w:r w:rsidRPr="0011380E">
        <w:rPr>
          <w:rFonts w:asciiTheme="majorHAnsi" w:hAnsiTheme="majorHAnsi"/>
          <w:color w:val="auto"/>
          <w:szCs w:val="20"/>
          <w:lang w:val="es-ES"/>
        </w:rPr>
        <w:t xml:space="preserve"> y causa gran daño físico y psicológico que deja a la víctima “humillada física y emocionalmente”, situación difícilmente superable por el paso del tiempo</w:t>
      </w:r>
      <w:r w:rsidRPr="0011380E">
        <w:rPr>
          <w:rStyle w:val="FootnoteReference"/>
          <w:rFonts w:asciiTheme="majorHAnsi" w:hAnsiTheme="majorHAnsi"/>
          <w:color w:val="auto"/>
          <w:szCs w:val="20"/>
          <w:lang w:val="es-ES"/>
        </w:rPr>
        <w:footnoteReference w:id="128"/>
      </w:r>
      <w:r w:rsidRPr="0011380E">
        <w:rPr>
          <w:rFonts w:asciiTheme="majorHAnsi" w:hAnsiTheme="majorHAnsi"/>
          <w:color w:val="auto"/>
          <w:szCs w:val="20"/>
          <w:lang w:val="es-ES"/>
        </w:rPr>
        <w:t>.  Asimismo, la Corte ha indicado que:</w:t>
      </w:r>
    </w:p>
    <w:p w14:paraId="2548200A" w14:textId="77777777" w:rsidR="00776D8A" w:rsidRDefault="00776D8A" w:rsidP="003757E4">
      <w:pPr>
        <w:pStyle w:val="Quote"/>
        <w:rPr>
          <w:rFonts w:asciiTheme="majorHAnsi" w:hAnsiTheme="majorHAnsi"/>
          <w:color w:val="auto"/>
          <w:szCs w:val="18"/>
          <w:lang w:val="es-CO"/>
        </w:rPr>
      </w:pPr>
    </w:p>
    <w:p w14:paraId="5B01E205" w14:textId="77777777" w:rsidR="009729C3" w:rsidRPr="003757E4" w:rsidRDefault="009729C3" w:rsidP="003757E4">
      <w:pPr>
        <w:pStyle w:val="Quote"/>
        <w:rPr>
          <w:rFonts w:asciiTheme="majorHAnsi" w:hAnsiTheme="majorHAnsi"/>
          <w:b/>
          <w:color w:val="auto"/>
          <w:szCs w:val="18"/>
          <w:lang w:val="es-ES"/>
        </w:rPr>
      </w:pPr>
      <w:r w:rsidRPr="003757E4">
        <w:rPr>
          <w:rFonts w:asciiTheme="majorHAnsi" w:hAnsiTheme="majorHAnsi"/>
          <w:color w:val="auto"/>
          <w:szCs w:val="18"/>
          <w:lang w:val="es-CO"/>
        </w:rPr>
        <w:t>es inherente a la violación sexual el sufrimiento severo de la víctima, aun cuando no exista evidencia de lesiones o enfermedades físicas. En efecto, no en todos los casos las consecuencias de una violación sexual serán enfermedades o lesiones corporales. Las mujeres víctimas de violación sexual también experimentan severos daños y secuelas psicológicas y aun sociales</w:t>
      </w:r>
      <w:r w:rsidRPr="003757E4">
        <w:rPr>
          <w:rStyle w:val="FootnoteReference"/>
          <w:rFonts w:asciiTheme="majorHAnsi" w:hAnsiTheme="majorHAnsi"/>
          <w:color w:val="auto"/>
          <w:spacing w:val="-2"/>
          <w:szCs w:val="18"/>
        </w:rPr>
        <w:footnoteReference w:id="129"/>
      </w:r>
      <w:r w:rsidRPr="003757E4">
        <w:rPr>
          <w:rFonts w:asciiTheme="majorHAnsi" w:hAnsiTheme="majorHAnsi"/>
          <w:color w:val="auto"/>
          <w:szCs w:val="18"/>
          <w:lang w:val="es-CO"/>
        </w:rPr>
        <w:t xml:space="preserve">. </w:t>
      </w:r>
    </w:p>
    <w:p w14:paraId="7248B11B" w14:textId="77777777" w:rsidR="009729C3" w:rsidRPr="0011380E" w:rsidRDefault="009729C3" w:rsidP="009729C3">
      <w:pPr>
        <w:jc w:val="both"/>
        <w:rPr>
          <w:rFonts w:asciiTheme="majorHAnsi" w:hAnsiTheme="majorHAnsi"/>
          <w:b/>
          <w:sz w:val="20"/>
          <w:szCs w:val="20"/>
          <w:lang w:val="es-ES"/>
        </w:rPr>
      </w:pPr>
    </w:p>
    <w:p w14:paraId="69BF4A19" w14:textId="77777777" w:rsidR="002B7501" w:rsidRPr="0011380E" w:rsidRDefault="002B7501" w:rsidP="00965970">
      <w:pPr>
        <w:pStyle w:val="ListParagraph"/>
        <w:rPr>
          <w:rFonts w:asciiTheme="majorHAnsi" w:hAnsiTheme="majorHAnsi"/>
          <w:color w:val="auto"/>
          <w:szCs w:val="20"/>
          <w:lang w:val="es-CO"/>
        </w:rPr>
      </w:pPr>
      <w:r w:rsidRPr="0011380E">
        <w:rPr>
          <w:rFonts w:asciiTheme="majorHAnsi" w:hAnsiTheme="majorHAnsi"/>
          <w:color w:val="auto"/>
          <w:szCs w:val="20"/>
          <w:lang w:val="es-CO"/>
        </w:rPr>
        <w:t xml:space="preserve">Igualmente, la Corte Interamericana </w:t>
      </w:r>
      <w:r w:rsidRPr="0011380E">
        <w:rPr>
          <w:rFonts w:asciiTheme="majorHAnsi" w:hAnsiTheme="majorHAnsi"/>
          <w:color w:val="auto"/>
          <w:szCs w:val="20"/>
          <w:lang w:val="es-VE"/>
        </w:rPr>
        <w:t>siguiendo el criterio jurisprudencial y normativo que impera tanto en el ámbito del Derecho Penal Internacional como en el Derecho Penal comparado, ha indicado que:</w:t>
      </w:r>
    </w:p>
    <w:p w14:paraId="6A8A937F" w14:textId="77777777" w:rsidR="003757E4" w:rsidRDefault="003757E4" w:rsidP="003757E4">
      <w:pPr>
        <w:pStyle w:val="Quote"/>
        <w:rPr>
          <w:rFonts w:asciiTheme="majorHAnsi" w:eastAsia="Batang" w:hAnsiTheme="majorHAnsi"/>
          <w:color w:val="auto"/>
          <w:szCs w:val="18"/>
          <w:lang w:val="es-VE"/>
        </w:rPr>
      </w:pPr>
    </w:p>
    <w:p w14:paraId="614956FC" w14:textId="77777777" w:rsidR="002B7501" w:rsidRPr="003757E4" w:rsidRDefault="002B7501" w:rsidP="003757E4">
      <w:pPr>
        <w:pStyle w:val="Quote"/>
        <w:rPr>
          <w:rFonts w:asciiTheme="majorHAnsi" w:hAnsiTheme="majorHAnsi" w:cs="Tahoma"/>
          <w:color w:val="auto"/>
          <w:szCs w:val="18"/>
          <w:lang w:val="es-CO"/>
        </w:rPr>
      </w:pPr>
      <w:r w:rsidRPr="003757E4">
        <w:rPr>
          <w:rFonts w:asciiTheme="majorHAnsi" w:eastAsia="Batang" w:hAnsiTheme="majorHAnsi"/>
          <w:color w:val="auto"/>
          <w:szCs w:val="18"/>
          <w:lang w:val="es-VE"/>
        </w:rPr>
        <w:t>(…) la violación sexual no implica necesariamente una relación sexual sin consentimiento, por vía vaginal, como se consideró tradicionalmente. Por violación sexual también debe entenderse actos de penetración vaginal o anal, sin consentimiento de la víctima, mediante la utilización de otras partes del cuerpo del agresor u objetos, así como la penetración bucal mediante el miembro viril</w:t>
      </w:r>
      <w:r w:rsidRPr="003757E4">
        <w:rPr>
          <w:rFonts w:asciiTheme="majorHAnsi" w:eastAsia="Batang" w:hAnsiTheme="majorHAnsi"/>
          <w:color w:val="auto"/>
          <w:szCs w:val="18"/>
          <w:vertAlign w:val="superscript"/>
          <w:lang w:val="es-VE"/>
        </w:rPr>
        <w:footnoteReference w:id="130"/>
      </w:r>
      <w:r w:rsidRPr="003757E4">
        <w:rPr>
          <w:rFonts w:asciiTheme="majorHAnsi" w:eastAsia="Batang" w:hAnsiTheme="majorHAnsi"/>
          <w:color w:val="auto"/>
          <w:szCs w:val="18"/>
          <w:lang w:val="es-VE"/>
        </w:rPr>
        <w:t>. Al respecto, la Corte aclara que para que un acto sea considerado violación sexual, es suficiente que se produzca una penetración, por insignificante que sea, en los términos antes descritos</w:t>
      </w:r>
      <w:r w:rsidRPr="003757E4">
        <w:rPr>
          <w:rFonts w:asciiTheme="majorHAnsi" w:eastAsia="Batang" w:hAnsiTheme="majorHAnsi"/>
          <w:color w:val="auto"/>
          <w:szCs w:val="18"/>
          <w:vertAlign w:val="superscript"/>
          <w:lang w:val="es-VE"/>
        </w:rPr>
        <w:footnoteReference w:id="131"/>
      </w:r>
      <w:r w:rsidRPr="003757E4">
        <w:rPr>
          <w:rFonts w:asciiTheme="majorHAnsi" w:eastAsia="Batang" w:hAnsiTheme="majorHAnsi"/>
          <w:color w:val="auto"/>
          <w:szCs w:val="18"/>
          <w:lang w:val="es-VE"/>
        </w:rPr>
        <w:t>. Además, se debe entender que la penetración vaginal se refiere a la penetración, con cualquier parte del cuerpo del agresor u objetos, de cualquier orificio genital, incluyendo los labios mayores y menores, así como el orificio vaginal. Esta interpretación es acorde a la concepción de que cualquier tipo de penetración, por insignificante que sea, es suficiente para que un acto sea considerado violación sexual</w:t>
      </w:r>
      <w:r w:rsidRPr="003757E4">
        <w:rPr>
          <w:rStyle w:val="FootnoteReference"/>
          <w:rFonts w:asciiTheme="majorHAnsi" w:eastAsia="Batang" w:hAnsiTheme="majorHAnsi"/>
          <w:color w:val="auto"/>
          <w:spacing w:val="-2"/>
          <w:szCs w:val="18"/>
          <w:lang w:val="es-VE"/>
        </w:rPr>
        <w:footnoteReference w:id="132"/>
      </w:r>
      <w:r w:rsidRPr="003757E4">
        <w:rPr>
          <w:rFonts w:asciiTheme="majorHAnsi" w:eastAsia="Batang" w:hAnsiTheme="majorHAnsi"/>
          <w:color w:val="auto"/>
          <w:szCs w:val="18"/>
          <w:lang w:val="es-VE"/>
        </w:rPr>
        <w:t xml:space="preserve">. </w:t>
      </w:r>
    </w:p>
    <w:p w14:paraId="559AF84F" w14:textId="77777777" w:rsidR="00FB21D4" w:rsidRPr="0011380E" w:rsidRDefault="00FB21D4" w:rsidP="00FB21D4">
      <w:pPr>
        <w:pStyle w:val="ListParagraph"/>
        <w:numPr>
          <w:ilvl w:val="0"/>
          <w:numId w:val="0"/>
        </w:numPr>
        <w:ind w:left="360"/>
        <w:rPr>
          <w:rFonts w:asciiTheme="majorHAnsi" w:hAnsiTheme="majorHAnsi"/>
          <w:color w:val="auto"/>
          <w:szCs w:val="20"/>
          <w:bdr w:val="none" w:sz="0" w:space="0" w:color="auto"/>
          <w:lang w:val="es-ES"/>
        </w:rPr>
      </w:pPr>
    </w:p>
    <w:p w14:paraId="3534C4B8" w14:textId="77777777" w:rsidR="00CA13C7" w:rsidRPr="0011380E" w:rsidRDefault="002C41F6" w:rsidP="00B15B2C">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 xml:space="preserve">Además, “una violación sexual puede constituir tortura </w:t>
      </w:r>
      <w:r w:rsidR="00D8561C" w:rsidRPr="0011380E">
        <w:rPr>
          <w:rFonts w:asciiTheme="majorHAnsi" w:hAnsiTheme="majorHAnsi"/>
          <w:color w:val="auto"/>
          <w:szCs w:val="20"/>
          <w:bdr w:val="none" w:sz="0" w:space="0" w:color="auto"/>
          <w:lang w:val="es-ES"/>
        </w:rPr>
        <w:t>aun</w:t>
      </w:r>
      <w:r w:rsidRPr="0011380E">
        <w:rPr>
          <w:rFonts w:asciiTheme="majorHAnsi" w:hAnsiTheme="majorHAnsi"/>
          <w:color w:val="auto"/>
          <w:szCs w:val="20"/>
          <w:bdr w:val="none" w:sz="0" w:space="0" w:color="auto"/>
          <w:lang w:val="es-ES"/>
        </w:rPr>
        <w:t xml:space="preserve"> cuando consista en un solo hecho u ocurra fuera de instalaciones estatales, como puede ser el domicilio de la víctima. Esto es así ya que los elementos objetivos y subjetivos que califican un hecho como tortura no se refieren ni a la acumulación de hechos ni al lugar donde el acto se realiza, sino a la intencionalidad, a la severidad del sufrimiento y a la</w:t>
      </w:r>
      <w:r w:rsidR="008223A6" w:rsidRPr="0011380E">
        <w:rPr>
          <w:rFonts w:asciiTheme="majorHAnsi" w:hAnsiTheme="majorHAnsi"/>
          <w:color w:val="auto"/>
          <w:szCs w:val="20"/>
          <w:bdr w:val="none" w:sz="0" w:space="0" w:color="auto"/>
          <w:lang w:val="es-ES"/>
        </w:rPr>
        <w:t xml:space="preserve"> </w:t>
      </w:r>
      <w:r w:rsidRPr="0011380E">
        <w:rPr>
          <w:rFonts w:asciiTheme="majorHAnsi" w:hAnsiTheme="majorHAnsi"/>
          <w:color w:val="auto"/>
          <w:szCs w:val="20"/>
          <w:bdr w:val="none" w:sz="0" w:space="0" w:color="auto"/>
          <w:lang w:val="es-ES"/>
        </w:rPr>
        <w:t>finalidad del acto”</w:t>
      </w:r>
      <w:r w:rsidRPr="0011380E">
        <w:rPr>
          <w:rStyle w:val="FootnoteReference"/>
          <w:rFonts w:asciiTheme="majorHAnsi" w:hAnsiTheme="majorHAnsi"/>
          <w:color w:val="auto"/>
          <w:szCs w:val="20"/>
          <w:bdr w:val="none" w:sz="0" w:space="0" w:color="auto"/>
          <w:lang w:val="es-ES"/>
        </w:rPr>
        <w:footnoteReference w:id="133"/>
      </w:r>
      <w:r w:rsidRPr="0011380E">
        <w:rPr>
          <w:rFonts w:asciiTheme="majorHAnsi" w:hAnsiTheme="majorHAnsi"/>
          <w:color w:val="auto"/>
          <w:szCs w:val="20"/>
          <w:bdr w:val="none" w:sz="0" w:space="0" w:color="auto"/>
          <w:lang w:val="es-ES"/>
        </w:rPr>
        <w:t>.</w:t>
      </w:r>
    </w:p>
    <w:p w14:paraId="446B8E66" w14:textId="77777777" w:rsidR="0064637C" w:rsidRPr="0011380E" w:rsidRDefault="0064637C" w:rsidP="002C41F6">
      <w:pPr>
        <w:pStyle w:val="ListParagraph"/>
        <w:numPr>
          <w:ilvl w:val="0"/>
          <w:numId w:val="0"/>
        </w:numPr>
        <w:rPr>
          <w:rFonts w:asciiTheme="majorHAnsi" w:hAnsiTheme="majorHAnsi"/>
          <w:color w:val="auto"/>
          <w:szCs w:val="20"/>
          <w:lang w:val="es-VE"/>
        </w:rPr>
      </w:pPr>
    </w:p>
    <w:p w14:paraId="6D42CACD" w14:textId="77777777" w:rsidR="00A648CF" w:rsidRPr="0011380E" w:rsidRDefault="00A648CF" w:rsidP="00A648CF">
      <w:pPr>
        <w:pStyle w:val="ListParagraph"/>
        <w:rPr>
          <w:rFonts w:asciiTheme="majorHAnsi" w:hAnsiTheme="majorHAnsi"/>
          <w:color w:val="auto"/>
          <w:szCs w:val="20"/>
          <w:lang w:val="es-VE"/>
        </w:rPr>
      </w:pPr>
      <w:r w:rsidRPr="0011380E">
        <w:rPr>
          <w:rFonts w:asciiTheme="majorHAnsi" w:hAnsiTheme="majorHAnsi"/>
          <w:color w:val="auto"/>
          <w:szCs w:val="20"/>
          <w:lang w:val="es-ES"/>
        </w:rPr>
        <w:t>En cuanto a la afectación a la vida privada en casos de violación sexual, la Comisión</w:t>
      </w:r>
      <w:r w:rsidRPr="0011380E">
        <w:rPr>
          <w:rStyle w:val="FootnoteReference"/>
          <w:rFonts w:asciiTheme="majorHAnsi" w:hAnsiTheme="majorHAnsi"/>
          <w:color w:val="auto"/>
          <w:szCs w:val="20"/>
          <w:lang w:val="es-ES"/>
        </w:rPr>
        <w:footnoteReference w:id="134"/>
      </w:r>
      <w:r w:rsidRPr="0011380E">
        <w:rPr>
          <w:rFonts w:asciiTheme="majorHAnsi" w:hAnsiTheme="majorHAnsi"/>
          <w:color w:val="auto"/>
          <w:szCs w:val="20"/>
          <w:lang w:val="es-ES"/>
        </w:rPr>
        <w:t xml:space="preserve"> y la Corte </w:t>
      </w:r>
      <w:r w:rsidRPr="0011380E">
        <w:rPr>
          <w:rFonts w:asciiTheme="majorHAnsi" w:hAnsiTheme="majorHAnsi"/>
          <w:color w:val="auto"/>
          <w:szCs w:val="20"/>
          <w:bdr w:val="none" w:sz="0" w:space="0" w:color="auto"/>
          <w:lang w:val="es-ES"/>
        </w:rPr>
        <w:t>Interamericana</w:t>
      </w:r>
      <w:r w:rsidRPr="0011380E">
        <w:rPr>
          <w:rFonts w:asciiTheme="majorHAnsi" w:hAnsiTheme="majorHAnsi"/>
          <w:color w:val="auto"/>
          <w:szCs w:val="20"/>
          <w:lang w:val="es-ES"/>
        </w:rPr>
        <w:t xml:space="preserve"> ha señalado que dicho derecho consagrado en el artículo 11 de la Convención, comprende </w:t>
      </w:r>
      <w:r w:rsidRPr="0011380E">
        <w:rPr>
          <w:rFonts w:asciiTheme="majorHAnsi" w:hAnsiTheme="majorHAnsi"/>
          <w:color w:val="auto"/>
          <w:szCs w:val="20"/>
          <w:lang w:val="es-ES"/>
        </w:rPr>
        <w:lastRenderedPageBreak/>
        <w:t>entre otros ámbitos, “la vida sexual y el derecho de establecer y desarrollar relaciones con otros seres humanos“</w:t>
      </w:r>
      <w:r w:rsidRPr="0011380E">
        <w:rPr>
          <w:rStyle w:val="FootnoteReference"/>
          <w:rFonts w:asciiTheme="majorHAnsi" w:hAnsiTheme="majorHAnsi"/>
          <w:color w:val="auto"/>
          <w:szCs w:val="20"/>
          <w:lang w:val="es-ES"/>
        </w:rPr>
        <w:footnoteReference w:id="135"/>
      </w:r>
      <w:r w:rsidRPr="0011380E">
        <w:rPr>
          <w:rFonts w:asciiTheme="majorHAnsi" w:hAnsiTheme="majorHAnsi"/>
          <w:color w:val="auto"/>
          <w:szCs w:val="20"/>
          <w:lang w:val="es-ES"/>
        </w:rPr>
        <w:t>. El mencionado tribunal ha indicado que la violación sexual implica la vulneración de aspectos esenciales de la vida privada y la anulación del “derecho a tomar libremente las decisiones respecto con quien tener relaciones sexuales […] y sobre las funciones corporales básicas”</w:t>
      </w:r>
      <w:r w:rsidRPr="0011380E">
        <w:rPr>
          <w:rStyle w:val="FootnoteReference"/>
          <w:rFonts w:asciiTheme="majorHAnsi" w:hAnsiTheme="majorHAnsi"/>
          <w:color w:val="auto"/>
          <w:szCs w:val="20"/>
          <w:lang w:val="es-ES"/>
        </w:rPr>
        <w:footnoteReference w:id="136"/>
      </w:r>
      <w:r w:rsidRPr="0011380E">
        <w:rPr>
          <w:rFonts w:asciiTheme="majorHAnsi" w:hAnsiTheme="majorHAnsi"/>
          <w:color w:val="auto"/>
          <w:szCs w:val="20"/>
          <w:lang w:val="es-ES"/>
        </w:rPr>
        <w:t>.</w:t>
      </w:r>
    </w:p>
    <w:p w14:paraId="366AFBF5" w14:textId="77777777" w:rsidR="00A648CF" w:rsidRPr="0011380E" w:rsidRDefault="00A648CF" w:rsidP="002C41F6">
      <w:pPr>
        <w:pStyle w:val="ListParagraph"/>
        <w:numPr>
          <w:ilvl w:val="0"/>
          <w:numId w:val="0"/>
        </w:numPr>
        <w:rPr>
          <w:rFonts w:asciiTheme="majorHAnsi" w:hAnsiTheme="majorHAnsi"/>
          <w:color w:val="auto"/>
          <w:szCs w:val="20"/>
          <w:lang w:val="es-VE"/>
        </w:rPr>
      </w:pPr>
    </w:p>
    <w:p w14:paraId="4150A59E" w14:textId="77777777" w:rsidR="00707226" w:rsidRPr="0011380E" w:rsidRDefault="008223A6" w:rsidP="002C41F6">
      <w:pPr>
        <w:pStyle w:val="ListParagraph"/>
        <w:rPr>
          <w:rFonts w:asciiTheme="majorHAnsi" w:eastAsia="Times New Roman" w:hAnsiTheme="majorHAnsi"/>
          <w:color w:val="auto"/>
          <w:szCs w:val="20"/>
          <w:bdr w:val="none" w:sz="0" w:space="0" w:color="auto"/>
          <w:lang w:val="es-ES"/>
        </w:rPr>
      </w:pPr>
      <w:r w:rsidRPr="0011380E">
        <w:rPr>
          <w:rFonts w:asciiTheme="majorHAnsi" w:hAnsiTheme="majorHAnsi"/>
          <w:color w:val="auto"/>
          <w:szCs w:val="20"/>
          <w:lang w:val="es-VE"/>
        </w:rPr>
        <w:t>A</w:t>
      </w:r>
      <w:r w:rsidR="00A64128" w:rsidRPr="0011380E">
        <w:rPr>
          <w:rFonts w:asciiTheme="majorHAnsi" w:hAnsiTheme="majorHAnsi"/>
          <w:color w:val="auto"/>
          <w:szCs w:val="20"/>
          <w:lang w:val="es-VE"/>
        </w:rPr>
        <w:t xml:space="preserve">l igual que como ocurre con los casos de muerte en custodia estatal, </w:t>
      </w:r>
      <w:r w:rsidR="002C41F6" w:rsidRPr="0011380E">
        <w:rPr>
          <w:rFonts w:asciiTheme="majorHAnsi" w:hAnsiTheme="majorHAnsi"/>
          <w:color w:val="auto"/>
          <w:szCs w:val="20"/>
          <w:lang w:val="es-VE"/>
        </w:rPr>
        <w:t xml:space="preserve">cuando </w:t>
      </w:r>
      <w:r w:rsidR="002C41F6" w:rsidRPr="0011380E">
        <w:rPr>
          <w:rFonts w:asciiTheme="majorHAnsi" w:hAnsiTheme="majorHAnsi"/>
          <w:color w:val="auto"/>
          <w:szCs w:val="20"/>
          <w:lang w:val="es-ES"/>
        </w:rPr>
        <w:t xml:space="preserve">las víctimas </w:t>
      </w:r>
      <w:r w:rsidRPr="0011380E">
        <w:rPr>
          <w:rFonts w:asciiTheme="majorHAnsi" w:hAnsiTheme="majorHAnsi"/>
          <w:color w:val="auto"/>
          <w:szCs w:val="20"/>
          <w:lang w:val="es-ES"/>
        </w:rPr>
        <w:t xml:space="preserve">que </w:t>
      </w:r>
      <w:r w:rsidR="00FF269E" w:rsidRPr="0011380E">
        <w:rPr>
          <w:rFonts w:asciiTheme="majorHAnsi" w:hAnsiTheme="majorHAnsi"/>
          <w:color w:val="auto"/>
          <w:szCs w:val="20"/>
          <w:lang w:val="es-ES"/>
        </w:rPr>
        <w:t xml:space="preserve">han sido </w:t>
      </w:r>
      <w:r w:rsidRPr="0011380E">
        <w:rPr>
          <w:rFonts w:asciiTheme="majorHAnsi" w:hAnsiTheme="majorHAnsi"/>
          <w:color w:val="auto"/>
          <w:szCs w:val="20"/>
          <w:lang w:val="es-ES"/>
        </w:rPr>
        <w:t xml:space="preserve">privadas de la libertad en un estado de salud normal </w:t>
      </w:r>
      <w:r w:rsidR="002C41F6" w:rsidRPr="0011380E">
        <w:rPr>
          <w:rFonts w:asciiTheme="majorHAnsi" w:hAnsiTheme="majorHAnsi"/>
          <w:color w:val="auto"/>
          <w:szCs w:val="20"/>
          <w:lang w:val="es-ES"/>
        </w:rPr>
        <w:t>alegan haber sido torturad</w:t>
      </w:r>
      <w:r w:rsidRPr="0011380E">
        <w:rPr>
          <w:rFonts w:asciiTheme="majorHAnsi" w:hAnsiTheme="majorHAnsi"/>
          <w:color w:val="auto"/>
          <w:szCs w:val="20"/>
          <w:lang w:val="es-ES"/>
        </w:rPr>
        <w:t>a</w:t>
      </w:r>
      <w:r w:rsidR="002C41F6" w:rsidRPr="0011380E">
        <w:rPr>
          <w:rFonts w:asciiTheme="majorHAnsi" w:hAnsiTheme="majorHAnsi"/>
          <w:color w:val="auto"/>
          <w:szCs w:val="20"/>
          <w:lang w:val="es-ES"/>
        </w:rPr>
        <w:t xml:space="preserve">s </w:t>
      </w:r>
      <w:r w:rsidRPr="0011380E">
        <w:rPr>
          <w:rFonts w:asciiTheme="majorHAnsi" w:hAnsiTheme="majorHAnsi"/>
          <w:color w:val="auto"/>
          <w:szCs w:val="20"/>
          <w:lang w:val="es-ES"/>
        </w:rPr>
        <w:t>“</w:t>
      </w:r>
      <w:r w:rsidR="002C41F6" w:rsidRPr="0011380E">
        <w:rPr>
          <w:rFonts w:asciiTheme="majorHAnsi" w:hAnsiTheme="majorHAnsi"/>
          <w:color w:val="auto"/>
          <w:szCs w:val="20"/>
          <w:lang w:val="es-ES"/>
        </w:rPr>
        <w:t>existe una presunción por la cual el Estado es responsable por las lesiones que exhibe una persona que ha estado bajo la custodia de agentes estatales</w:t>
      </w:r>
      <w:r w:rsidRPr="0011380E">
        <w:rPr>
          <w:rFonts w:asciiTheme="majorHAnsi" w:hAnsiTheme="majorHAnsi"/>
          <w:color w:val="auto"/>
          <w:szCs w:val="20"/>
          <w:lang w:val="es-ES"/>
        </w:rPr>
        <w:t xml:space="preserve"> [y] </w:t>
      </w:r>
      <w:r w:rsidR="002C41F6" w:rsidRPr="0011380E">
        <w:rPr>
          <w:rFonts w:asciiTheme="majorHAnsi" w:hAnsiTheme="majorHAnsi"/>
          <w:color w:val="auto"/>
          <w:szCs w:val="20"/>
          <w:lang w:val="es-ES"/>
        </w:rPr>
        <w:t>recae en el Estado la obligación de proveer una explicación satisfactoria y convincente de lo sucedido y desvirtuar las alegaciones sobre su responsabilidad, mediante elementos probatorios adecuados</w:t>
      </w:r>
      <w:r w:rsidRPr="0011380E">
        <w:rPr>
          <w:rFonts w:asciiTheme="majorHAnsi" w:hAnsiTheme="majorHAnsi"/>
          <w:color w:val="auto"/>
          <w:szCs w:val="20"/>
          <w:lang w:val="es-ES"/>
        </w:rPr>
        <w:t>”</w:t>
      </w:r>
      <w:r w:rsidRPr="0011380E">
        <w:rPr>
          <w:rStyle w:val="FootnoteReference"/>
          <w:rFonts w:asciiTheme="majorHAnsi" w:hAnsiTheme="majorHAnsi"/>
          <w:color w:val="auto"/>
          <w:szCs w:val="20"/>
          <w:lang w:val="es-ES"/>
        </w:rPr>
        <w:footnoteReference w:id="137"/>
      </w:r>
      <w:r w:rsidRPr="0011380E">
        <w:rPr>
          <w:rFonts w:asciiTheme="majorHAnsi" w:hAnsiTheme="majorHAnsi"/>
          <w:color w:val="auto"/>
          <w:szCs w:val="20"/>
          <w:lang w:val="es-ES"/>
        </w:rPr>
        <w:t>.</w:t>
      </w:r>
    </w:p>
    <w:p w14:paraId="4DEE8067" w14:textId="77777777" w:rsidR="006F46CB" w:rsidRPr="0011380E" w:rsidRDefault="006F46CB" w:rsidP="00B229B4">
      <w:pPr>
        <w:pStyle w:val="ListParagraph"/>
        <w:numPr>
          <w:ilvl w:val="0"/>
          <w:numId w:val="0"/>
        </w:numPr>
        <w:rPr>
          <w:rFonts w:asciiTheme="majorHAnsi" w:hAnsiTheme="majorHAnsi"/>
          <w:color w:val="auto"/>
          <w:szCs w:val="20"/>
          <w:lang w:val="es-VE"/>
        </w:rPr>
      </w:pPr>
    </w:p>
    <w:p w14:paraId="51C0DFBC" w14:textId="77777777" w:rsidR="006353B9" w:rsidRPr="0011380E" w:rsidRDefault="008F6CE1" w:rsidP="006353B9">
      <w:pPr>
        <w:pStyle w:val="ListParagraph"/>
        <w:rPr>
          <w:rFonts w:asciiTheme="majorHAnsi" w:hAnsiTheme="majorHAnsi"/>
          <w:color w:val="auto"/>
          <w:szCs w:val="20"/>
          <w:lang w:val="es-VE"/>
        </w:rPr>
      </w:pPr>
      <w:r w:rsidRPr="0011380E">
        <w:rPr>
          <w:rFonts w:asciiTheme="majorHAnsi" w:hAnsiTheme="majorHAnsi"/>
          <w:color w:val="auto"/>
          <w:szCs w:val="20"/>
          <w:lang w:val="es-US"/>
        </w:rPr>
        <w:t>L</w:t>
      </w:r>
      <w:r w:rsidR="006353B9" w:rsidRPr="0011380E">
        <w:rPr>
          <w:rFonts w:asciiTheme="majorHAnsi" w:hAnsiTheme="majorHAnsi"/>
          <w:color w:val="auto"/>
          <w:szCs w:val="20"/>
          <w:lang w:val="es-US"/>
        </w:rPr>
        <w:t xml:space="preserve">a Corte </w:t>
      </w:r>
      <w:r w:rsidRPr="0011380E">
        <w:rPr>
          <w:rFonts w:asciiTheme="majorHAnsi" w:hAnsiTheme="majorHAnsi"/>
          <w:color w:val="auto"/>
          <w:szCs w:val="20"/>
          <w:lang w:val="es-US"/>
        </w:rPr>
        <w:t xml:space="preserve">también </w:t>
      </w:r>
      <w:r w:rsidR="006353B9" w:rsidRPr="0011380E">
        <w:rPr>
          <w:rFonts w:asciiTheme="majorHAnsi" w:hAnsiTheme="majorHAnsi"/>
          <w:color w:val="auto"/>
          <w:szCs w:val="20"/>
          <w:lang w:val="es-US"/>
        </w:rPr>
        <w:t>ha indicado que tanto la Convención Americana como la Convención sobre los Derechos del Niño</w:t>
      </w:r>
      <w:r w:rsidR="006353B9" w:rsidRPr="0011380E">
        <w:rPr>
          <w:rStyle w:val="FootnoteReference"/>
          <w:rFonts w:asciiTheme="majorHAnsi" w:hAnsiTheme="majorHAnsi"/>
          <w:color w:val="auto"/>
          <w:szCs w:val="20"/>
          <w:lang w:val="es-ES"/>
        </w:rPr>
        <w:footnoteReference w:id="138"/>
      </w:r>
      <w:r w:rsidR="006353B9" w:rsidRPr="0011380E">
        <w:rPr>
          <w:rFonts w:asciiTheme="majorHAnsi" w:hAnsiTheme="majorHAnsi"/>
          <w:color w:val="auto"/>
          <w:szCs w:val="20"/>
          <w:lang w:val="es-US"/>
        </w:rPr>
        <w:t xml:space="preserve">, “forman parte de un muy comprensivo </w:t>
      </w:r>
      <w:r w:rsidR="006353B9" w:rsidRPr="0011380E">
        <w:rPr>
          <w:rFonts w:asciiTheme="majorHAnsi" w:hAnsiTheme="majorHAnsi"/>
          <w:i/>
          <w:color w:val="auto"/>
          <w:szCs w:val="20"/>
          <w:lang w:val="es-US"/>
        </w:rPr>
        <w:t>corpus juris</w:t>
      </w:r>
      <w:r w:rsidR="006353B9" w:rsidRPr="0011380E">
        <w:rPr>
          <w:rFonts w:asciiTheme="majorHAnsi" w:hAnsiTheme="majorHAnsi"/>
          <w:color w:val="auto"/>
          <w:szCs w:val="20"/>
          <w:lang w:val="es-US"/>
        </w:rPr>
        <w:t xml:space="preserve"> internacional de protección de los niños”</w:t>
      </w:r>
      <w:r w:rsidR="006353B9" w:rsidRPr="0011380E">
        <w:rPr>
          <w:rStyle w:val="FootnoteReference"/>
          <w:rFonts w:asciiTheme="majorHAnsi" w:hAnsiTheme="majorHAnsi"/>
          <w:color w:val="auto"/>
          <w:szCs w:val="20"/>
          <w:lang w:val="es-ES"/>
        </w:rPr>
        <w:footnoteReference w:id="139"/>
      </w:r>
      <w:r w:rsidR="006353B9" w:rsidRPr="0011380E">
        <w:rPr>
          <w:rFonts w:asciiTheme="majorHAnsi" w:hAnsiTheme="majorHAnsi"/>
          <w:color w:val="auto"/>
          <w:szCs w:val="20"/>
          <w:lang w:val="es-US"/>
        </w:rPr>
        <w:t>. Co</w:t>
      </w:r>
      <w:r w:rsidR="007932D9" w:rsidRPr="0011380E">
        <w:rPr>
          <w:rFonts w:asciiTheme="majorHAnsi" w:hAnsiTheme="majorHAnsi"/>
          <w:color w:val="auto"/>
          <w:szCs w:val="20"/>
          <w:lang w:val="es-US"/>
        </w:rPr>
        <w:t>nforme a</w:t>
      </w:r>
      <w:r w:rsidR="006353B9" w:rsidRPr="0011380E">
        <w:rPr>
          <w:rFonts w:asciiTheme="majorHAnsi" w:hAnsiTheme="majorHAnsi"/>
          <w:color w:val="auto"/>
          <w:szCs w:val="20"/>
          <w:lang w:val="es-US"/>
        </w:rPr>
        <w:t>l artículo 19 de la Convención, los niños y niñas son titulares de un derecho adicional y complementario, “que el tratado establece para seres humanos que por su desarrollo físico y emocional necesitan medidas de protección especial”</w:t>
      </w:r>
      <w:r w:rsidR="006353B9" w:rsidRPr="0011380E">
        <w:rPr>
          <w:rStyle w:val="FootnoteReference"/>
          <w:rFonts w:asciiTheme="majorHAnsi" w:hAnsiTheme="majorHAnsi"/>
          <w:color w:val="auto"/>
          <w:szCs w:val="20"/>
          <w:lang w:val="es-ES"/>
        </w:rPr>
        <w:footnoteReference w:id="140"/>
      </w:r>
      <w:r w:rsidR="006353B9" w:rsidRPr="0011380E">
        <w:rPr>
          <w:rFonts w:asciiTheme="majorHAnsi" w:hAnsiTheme="majorHAnsi"/>
          <w:color w:val="auto"/>
          <w:szCs w:val="20"/>
          <w:lang w:val="es-US"/>
        </w:rPr>
        <w:t>. En consecuencia, los niños son titulares tanto de los derechos humanos que corresponden a todas las personas, como de aquellos derechos especiales derivados de su condición</w:t>
      </w:r>
      <w:r w:rsidR="006353B9" w:rsidRPr="0011380E">
        <w:rPr>
          <w:rStyle w:val="FootnoteReference"/>
          <w:rFonts w:asciiTheme="majorHAnsi" w:hAnsiTheme="majorHAnsi"/>
          <w:color w:val="auto"/>
          <w:szCs w:val="20"/>
          <w:lang w:val="es-ES"/>
        </w:rPr>
        <w:footnoteReference w:id="141"/>
      </w:r>
      <w:r w:rsidR="006353B9" w:rsidRPr="0011380E">
        <w:rPr>
          <w:rFonts w:asciiTheme="majorHAnsi" w:hAnsiTheme="majorHAnsi"/>
          <w:color w:val="auto"/>
          <w:szCs w:val="20"/>
          <w:lang w:val="es-US"/>
        </w:rPr>
        <w:t>, tomando en consideración su condición particular de vulnerabilidad</w:t>
      </w:r>
      <w:r w:rsidR="006353B9" w:rsidRPr="0011380E">
        <w:rPr>
          <w:rStyle w:val="FootnoteReference"/>
          <w:rFonts w:asciiTheme="majorHAnsi" w:hAnsiTheme="majorHAnsi"/>
          <w:color w:val="auto"/>
          <w:szCs w:val="20"/>
          <w:lang w:val="es-ES"/>
        </w:rPr>
        <w:footnoteReference w:id="142"/>
      </w:r>
      <w:r w:rsidR="006353B9" w:rsidRPr="0011380E">
        <w:rPr>
          <w:rFonts w:asciiTheme="majorHAnsi" w:hAnsiTheme="majorHAnsi"/>
          <w:color w:val="auto"/>
          <w:szCs w:val="20"/>
          <w:lang w:val="es-US"/>
        </w:rPr>
        <w:t xml:space="preserve">. </w:t>
      </w:r>
    </w:p>
    <w:p w14:paraId="6F5413D9" w14:textId="77777777" w:rsidR="000C5A25" w:rsidRPr="0011380E" w:rsidRDefault="000C5A25" w:rsidP="000C5A25">
      <w:pPr>
        <w:pStyle w:val="ListParagraph"/>
        <w:numPr>
          <w:ilvl w:val="0"/>
          <w:numId w:val="0"/>
        </w:numPr>
        <w:rPr>
          <w:rFonts w:asciiTheme="majorHAnsi" w:hAnsiTheme="majorHAnsi"/>
          <w:color w:val="auto"/>
          <w:szCs w:val="20"/>
          <w:bdr w:val="none" w:sz="0" w:space="0" w:color="auto"/>
          <w:lang w:val="es-ES"/>
        </w:rPr>
      </w:pPr>
    </w:p>
    <w:p w14:paraId="078A62E6" w14:textId="77777777" w:rsidR="00A15AC3" w:rsidRPr="0011380E" w:rsidRDefault="00A15AC3" w:rsidP="00A15AC3">
      <w:pPr>
        <w:pStyle w:val="ListParagraph"/>
        <w:rPr>
          <w:rFonts w:asciiTheme="majorHAnsi" w:hAnsiTheme="majorHAnsi"/>
          <w:color w:val="auto"/>
          <w:szCs w:val="20"/>
          <w:lang w:val="es-CO"/>
        </w:rPr>
      </w:pPr>
      <w:r w:rsidRPr="0011380E">
        <w:rPr>
          <w:rFonts w:asciiTheme="majorHAnsi" w:hAnsiTheme="majorHAnsi"/>
          <w:color w:val="auto"/>
          <w:szCs w:val="20"/>
          <w:lang w:val="es-ES"/>
        </w:rPr>
        <w:t xml:space="preserve">En la misma línea, sobre la relación entre violencia contra la mujer y discriminación, </w:t>
      </w:r>
      <w:r w:rsidRPr="0011380E">
        <w:rPr>
          <w:rFonts w:asciiTheme="majorHAnsi" w:hAnsiTheme="majorHAnsi"/>
          <w:color w:val="auto"/>
          <w:spacing w:val="-2"/>
          <w:szCs w:val="20"/>
          <w:lang w:val="es-CO"/>
        </w:rPr>
        <w:t>el Comité de la CEDAW ha indicado que la definición de la discriminación contra la mujer “incluye la violencia basada en el sexo, es decir, la violencia dirigida contra la mujer [i] porque es mujer o [ii] que la afecta en forma desproporcionada”. También ha señalado que “[l]a violencia contra la mujer es una forma de discriminación que impide gravemente que goce de derechos y libertades en pie de igualdad con el hombre”</w:t>
      </w:r>
      <w:r w:rsidRPr="0011380E">
        <w:rPr>
          <w:rFonts w:asciiTheme="majorHAnsi" w:hAnsiTheme="majorHAnsi"/>
          <w:color w:val="auto"/>
          <w:spacing w:val="-2"/>
          <w:szCs w:val="20"/>
          <w:vertAlign w:val="superscript"/>
        </w:rPr>
        <w:footnoteReference w:id="143"/>
      </w:r>
      <w:r w:rsidRPr="0011380E">
        <w:rPr>
          <w:rFonts w:asciiTheme="majorHAnsi" w:hAnsiTheme="majorHAnsi"/>
          <w:color w:val="auto"/>
          <w:spacing w:val="-2"/>
          <w:szCs w:val="20"/>
          <w:lang w:val="es-CO"/>
        </w:rPr>
        <w:t>.</w:t>
      </w:r>
    </w:p>
    <w:p w14:paraId="6300B6CB" w14:textId="77777777" w:rsidR="00132978" w:rsidRPr="0011380E" w:rsidRDefault="00132978" w:rsidP="00132978">
      <w:pPr>
        <w:pStyle w:val="ListParagraph"/>
        <w:numPr>
          <w:ilvl w:val="0"/>
          <w:numId w:val="0"/>
        </w:numPr>
        <w:ind w:left="360"/>
        <w:rPr>
          <w:rFonts w:asciiTheme="majorHAnsi" w:hAnsiTheme="majorHAnsi"/>
          <w:color w:val="auto"/>
          <w:szCs w:val="20"/>
          <w:lang w:val="es-CO"/>
        </w:rPr>
      </w:pPr>
    </w:p>
    <w:p w14:paraId="2D716E27" w14:textId="77777777" w:rsidR="008167E0" w:rsidRPr="0011380E" w:rsidRDefault="008167E0" w:rsidP="00D96ECC">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 xml:space="preserve">Además, en atención a lo señalado en la </w:t>
      </w:r>
      <w:r w:rsidR="00A613D7" w:rsidRPr="0011380E">
        <w:rPr>
          <w:rFonts w:asciiTheme="majorHAnsi" w:hAnsiTheme="majorHAnsi"/>
          <w:color w:val="auto"/>
          <w:szCs w:val="20"/>
          <w:bdr w:val="none" w:sz="0" w:space="0" w:color="auto"/>
          <w:lang w:val="es-VE"/>
        </w:rPr>
        <w:t>Convención Interamericana para Prevenir, Sancionar y Erradicar la Violencia contra la Mujer (en adelante “Convención de Belem Do Pará”)</w:t>
      </w:r>
      <w:r w:rsidR="00A613D7" w:rsidRPr="0011380E">
        <w:rPr>
          <w:rFonts w:asciiTheme="majorHAnsi" w:hAnsiTheme="majorHAnsi"/>
          <w:color w:val="auto"/>
          <w:szCs w:val="20"/>
          <w:bdr w:val="none" w:sz="0" w:space="0" w:color="auto"/>
          <w:vertAlign w:val="superscript"/>
          <w:lang w:val="es-VE"/>
        </w:rPr>
        <w:footnoteReference w:id="144"/>
      </w:r>
      <w:r w:rsidRPr="0011380E">
        <w:rPr>
          <w:rFonts w:asciiTheme="majorHAnsi" w:hAnsiTheme="majorHAnsi"/>
          <w:color w:val="auto"/>
          <w:szCs w:val="20"/>
          <w:bdr w:val="none" w:sz="0" w:space="0" w:color="auto"/>
          <w:lang w:val="es-ES"/>
        </w:rPr>
        <w:t>, la Corte ha estimado que “la violencia contra la mujer no solo constituye una violación de los</w:t>
      </w:r>
      <w:r w:rsidR="00EF240C" w:rsidRPr="0011380E">
        <w:rPr>
          <w:rFonts w:asciiTheme="majorHAnsi" w:hAnsiTheme="majorHAnsi"/>
          <w:color w:val="auto"/>
          <w:szCs w:val="20"/>
          <w:bdr w:val="none" w:sz="0" w:space="0" w:color="auto"/>
          <w:lang w:val="es-ES"/>
        </w:rPr>
        <w:t xml:space="preserve"> derechos humanos, sino que es ‘</w:t>
      </w:r>
      <w:r w:rsidRPr="0011380E">
        <w:rPr>
          <w:rFonts w:asciiTheme="majorHAnsi" w:hAnsiTheme="majorHAnsi"/>
          <w:color w:val="auto"/>
          <w:szCs w:val="20"/>
          <w:bdr w:val="none" w:sz="0" w:space="0" w:color="auto"/>
          <w:lang w:val="es-ES"/>
        </w:rPr>
        <w:t>una ofensa a la dignidad humana y una manifestación de las relaciones de poder históricamente desiguales entre mujeres y hombres</w:t>
      </w:r>
      <w:r w:rsidR="00EF240C" w:rsidRPr="0011380E">
        <w:rPr>
          <w:rFonts w:asciiTheme="majorHAnsi" w:hAnsiTheme="majorHAnsi"/>
          <w:color w:val="auto"/>
          <w:szCs w:val="20"/>
          <w:bdr w:val="none" w:sz="0" w:space="0" w:color="auto"/>
          <w:lang w:val="es-ES"/>
        </w:rPr>
        <w:t>’</w:t>
      </w:r>
      <w:r w:rsidRPr="0011380E">
        <w:rPr>
          <w:rFonts w:asciiTheme="majorHAnsi" w:hAnsiTheme="majorHAnsi"/>
          <w:color w:val="auto"/>
          <w:szCs w:val="20"/>
          <w:bdr w:val="none" w:sz="0" w:space="0" w:color="auto"/>
          <w:lang w:val="es-ES"/>
        </w:rPr>
        <w:t>”</w:t>
      </w:r>
      <w:r w:rsidR="00EF240C" w:rsidRPr="0011380E">
        <w:rPr>
          <w:rStyle w:val="FootnoteReference"/>
          <w:rFonts w:asciiTheme="majorHAnsi" w:hAnsiTheme="majorHAnsi"/>
          <w:color w:val="auto"/>
          <w:szCs w:val="20"/>
          <w:bdr w:val="none" w:sz="0" w:space="0" w:color="auto"/>
          <w:lang w:val="es-ES"/>
        </w:rPr>
        <w:footnoteReference w:id="145"/>
      </w:r>
      <w:r w:rsidRPr="0011380E">
        <w:rPr>
          <w:rFonts w:asciiTheme="majorHAnsi" w:hAnsiTheme="majorHAnsi"/>
          <w:color w:val="auto"/>
          <w:szCs w:val="20"/>
          <w:bdr w:val="none" w:sz="0" w:space="0" w:color="auto"/>
          <w:lang w:val="es-ES"/>
        </w:rPr>
        <w:t>.</w:t>
      </w:r>
    </w:p>
    <w:p w14:paraId="739B90ED" w14:textId="77777777" w:rsidR="008167E0" w:rsidRPr="0011380E" w:rsidRDefault="008167E0" w:rsidP="00EF240C">
      <w:pPr>
        <w:pStyle w:val="ListParagraph"/>
        <w:numPr>
          <w:ilvl w:val="0"/>
          <w:numId w:val="0"/>
        </w:numPr>
        <w:rPr>
          <w:rFonts w:asciiTheme="majorHAnsi" w:hAnsiTheme="majorHAnsi"/>
          <w:color w:val="auto"/>
          <w:szCs w:val="20"/>
          <w:bdr w:val="none" w:sz="0" w:space="0" w:color="auto"/>
          <w:lang w:val="es-ES"/>
        </w:rPr>
      </w:pPr>
    </w:p>
    <w:p w14:paraId="3213CE3B" w14:textId="77777777" w:rsidR="00457AEC" w:rsidRPr="0011380E" w:rsidRDefault="00457AEC" w:rsidP="00D96ECC">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En particular, las mujeres detenidas o arrestadas “deben ser supervisadas y revisadas por oficiales femeninas y las mujeres embarazadas y en lactancia deben ser proveídas con condiciones especiales durante su detención”</w:t>
      </w:r>
      <w:r w:rsidRPr="0011380E">
        <w:rPr>
          <w:rStyle w:val="FootnoteReference"/>
          <w:rFonts w:asciiTheme="majorHAnsi" w:hAnsiTheme="majorHAnsi"/>
          <w:color w:val="auto"/>
          <w:szCs w:val="20"/>
          <w:bdr w:val="none" w:sz="0" w:space="0" w:color="auto"/>
          <w:lang w:val="es-ES"/>
        </w:rPr>
        <w:footnoteReference w:id="146"/>
      </w:r>
      <w:r w:rsidRPr="0011380E">
        <w:rPr>
          <w:rFonts w:asciiTheme="majorHAnsi" w:hAnsiTheme="majorHAnsi"/>
          <w:color w:val="auto"/>
          <w:szCs w:val="20"/>
          <w:bdr w:val="none" w:sz="0" w:space="0" w:color="auto"/>
          <w:lang w:val="es-ES"/>
        </w:rPr>
        <w:t>.</w:t>
      </w:r>
      <w:r w:rsidR="004E5FB0" w:rsidRPr="0011380E">
        <w:rPr>
          <w:rFonts w:asciiTheme="majorHAnsi" w:hAnsiTheme="majorHAnsi"/>
          <w:color w:val="auto"/>
          <w:szCs w:val="20"/>
          <w:bdr w:val="none" w:sz="0" w:space="0" w:color="auto"/>
          <w:lang w:val="es-ES"/>
        </w:rPr>
        <w:t xml:space="preserve"> </w:t>
      </w:r>
      <w:r w:rsidR="00EF240C" w:rsidRPr="0011380E">
        <w:rPr>
          <w:rFonts w:asciiTheme="majorHAnsi" w:hAnsiTheme="majorHAnsi"/>
          <w:color w:val="auto"/>
          <w:szCs w:val="20"/>
          <w:bdr w:val="none" w:sz="0" w:space="0" w:color="auto"/>
          <w:lang w:val="es-ES"/>
        </w:rPr>
        <w:t xml:space="preserve">Además, siguiendo la línea de la jurisprudencia internacional y lo dispuesto en la Convención de Belém do Pará, la Corte ha indicado que la violencia sexual también se configura con “acciones </w:t>
      </w:r>
      <w:r w:rsidR="00EF240C" w:rsidRPr="0011380E">
        <w:rPr>
          <w:rFonts w:asciiTheme="majorHAnsi" w:hAnsiTheme="majorHAnsi"/>
          <w:color w:val="auto"/>
          <w:szCs w:val="20"/>
          <w:bdr w:val="none" w:sz="0" w:space="0" w:color="auto"/>
          <w:lang w:val="es-ES"/>
        </w:rPr>
        <w:lastRenderedPageBreak/>
        <w:t>de naturaleza sexual que se cometen en una persona sin su consentimiento, que además de comprender la invasión física del cuerpo humano, pueden incluir actos que no involucren penetración o incluso contacto físico alguno”.</w:t>
      </w:r>
      <w:r w:rsidR="00EF240C" w:rsidRPr="0011380E">
        <w:rPr>
          <w:rStyle w:val="FootnoteReference"/>
          <w:rFonts w:asciiTheme="majorHAnsi" w:hAnsiTheme="majorHAnsi"/>
          <w:color w:val="auto"/>
          <w:szCs w:val="20"/>
          <w:bdr w:val="none" w:sz="0" w:space="0" w:color="auto"/>
          <w:lang w:val="es-ES"/>
        </w:rPr>
        <w:footnoteReference w:id="147"/>
      </w:r>
      <w:r w:rsidR="00EF240C" w:rsidRPr="0011380E">
        <w:rPr>
          <w:rFonts w:asciiTheme="majorHAnsi" w:hAnsiTheme="majorHAnsi"/>
          <w:color w:val="auto"/>
          <w:szCs w:val="20"/>
          <w:bdr w:val="none" w:sz="0" w:space="0" w:color="auto"/>
          <w:lang w:val="es-ES"/>
        </w:rPr>
        <w:t xml:space="preserve"> Por lo anterior, someter a mujeres a la desnudez forzosa mientras éstas son constantemente observadas por hombres armados</w:t>
      </w:r>
      <w:r w:rsidR="00442F73" w:rsidRPr="0011380E">
        <w:rPr>
          <w:rFonts w:asciiTheme="majorHAnsi" w:hAnsiTheme="majorHAnsi"/>
          <w:color w:val="auto"/>
          <w:szCs w:val="20"/>
          <w:bdr w:val="none" w:sz="0" w:space="0" w:color="auto"/>
          <w:lang w:val="es-ES"/>
        </w:rPr>
        <w:t>, además de constituir un trato vi</w:t>
      </w:r>
      <w:r w:rsidR="008F6CE1" w:rsidRPr="0011380E">
        <w:rPr>
          <w:rFonts w:asciiTheme="majorHAnsi" w:hAnsiTheme="majorHAnsi"/>
          <w:color w:val="auto"/>
          <w:szCs w:val="20"/>
          <w:bdr w:val="none" w:sz="0" w:space="0" w:color="auto"/>
          <w:lang w:val="es-ES"/>
        </w:rPr>
        <w:t>olatorio de su dignidad personal</w:t>
      </w:r>
      <w:r w:rsidR="00442F73" w:rsidRPr="0011380E">
        <w:rPr>
          <w:rFonts w:asciiTheme="majorHAnsi" w:hAnsiTheme="majorHAnsi"/>
          <w:color w:val="auto"/>
          <w:szCs w:val="20"/>
          <w:bdr w:val="none" w:sz="0" w:space="0" w:color="auto"/>
          <w:lang w:val="es-ES"/>
        </w:rPr>
        <w:t xml:space="preserve"> constituye violencia sexual</w:t>
      </w:r>
      <w:r w:rsidR="00EF240C" w:rsidRPr="0011380E">
        <w:rPr>
          <w:rStyle w:val="FootnoteReference"/>
          <w:rFonts w:asciiTheme="majorHAnsi" w:hAnsiTheme="majorHAnsi"/>
          <w:color w:val="auto"/>
          <w:szCs w:val="20"/>
          <w:bdr w:val="none" w:sz="0" w:space="0" w:color="auto"/>
          <w:lang w:val="es-ES"/>
        </w:rPr>
        <w:footnoteReference w:id="148"/>
      </w:r>
      <w:r w:rsidR="00442F73" w:rsidRPr="0011380E">
        <w:rPr>
          <w:rFonts w:asciiTheme="majorHAnsi" w:hAnsiTheme="majorHAnsi"/>
          <w:color w:val="auto"/>
          <w:szCs w:val="20"/>
          <w:bdr w:val="none" w:sz="0" w:space="0" w:color="auto"/>
          <w:lang w:val="es-ES"/>
        </w:rPr>
        <w:t>.</w:t>
      </w:r>
    </w:p>
    <w:p w14:paraId="3CDB8A45" w14:textId="77777777" w:rsidR="00442F73" w:rsidRPr="0011380E" w:rsidRDefault="00442F73" w:rsidP="00442F73">
      <w:pPr>
        <w:pStyle w:val="ListParagraph"/>
        <w:numPr>
          <w:ilvl w:val="0"/>
          <w:numId w:val="0"/>
        </w:numPr>
        <w:rPr>
          <w:rFonts w:asciiTheme="majorHAnsi" w:hAnsiTheme="majorHAnsi"/>
          <w:color w:val="auto"/>
          <w:szCs w:val="20"/>
          <w:bdr w:val="none" w:sz="0" w:space="0" w:color="auto"/>
          <w:lang w:val="es-ES"/>
        </w:rPr>
      </w:pPr>
    </w:p>
    <w:p w14:paraId="4D5454EE" w14:textId="77777777" w:rsidR="007C53C1" w:rsidRPr="0011380E" w:rsidRDefault="00442F73" w:rsidP="007C53C1">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Como se indicó en los hechos probados</w:t>
      </w:r>
      <w:r w:rsidR="00C656E1" w:rsidRPr="0011380E">
        <w:rPr>
          <w:rFonts w:asciiTheme="majorHAnsi" w:hAnsiTheme="majorHAnsi"/>
          <w:color w:val="auto"/>
          <w:szCs w:val="20"/>
          <w:bdr w:val="none" w:sz="0" w:space="0" w:color="auto"/>
          <w:lang w:val="es-ES"/>
        </w:rPr>
        <w:t>,</w:t>
      </w:r>
      <w:r w:rsidRPr="0011380E">
        <w:rPr>
          <w:rFonts w:asciiTheme="majorHAnsi" w:hAnsiTheme="majorHAnsi"/>
          <w:color w:val="auto"/>
          <w:szCs w:val="20"/>
          <w:bdr w:val="none" w:sz="0" w:space="0" w:color="auto"/>
          <w:lang w:val="es-ES"/>
        </w:rPr>
        <w:t xml:space="preserve"> </w:t>
      </w:r>
      <w:r w:rsidR="00C656E1" w:rsidRPr="0011380E">
        <w:rPr>
          <w:rFonts w:asciiTheme="majorHAnsi" w:hAnsiTheme="majorHAnsi"/>
          <w:color w:val="auto"/>
          <w:szCs w:val="20"/>
          <w:bdr w:val="none" w:sz="0" w:space="0" w:color="auto"/>
          <w:lang w:val="es-ES"/>
        </w:rPr>
        <w:t>se encuentra</w:t>
      </w:r>
      <w:r w:rsidRPr="0011380E">
        <w:rPr>
          <w:rFonts w:asciiTheme="majorHAnsi" w:hAnsiTheme="majorHAnsi"/>
          <w:color w:val="auto"/>
          <w:szCs w:val="20"/>
          <w:bdr w:val="none" w:sz="0" w:space="0" w:color="auto"/>
          <w:lang w:val="es-ES"/>
        </w:rPr>
        <w:t xml:space="preserve"> suficientemente acreditado que </w:t>
      </w:r>
      <w:r w:rsidR="00C656E1" w:rsidRPr="0011380E">
        <w:rPr>
          <w:rFonts w:asciiTheme="majorHAnsi" w:hAnsiTheme="majorHAnsi"/>
          <w:color w:val="auto"/>
          <w:szCs w:val="20"/>
          <w:bdr w:val="none" w:sz="0" w:space="0" w:color="auto"/>
          <w:lang w:val="es-ES"/>
        </w:rPr>
        <w:t>durante el allanamiento a</w:t>
      </w:r>
      <w:r w:rsidRPr="0011380E">
        <w:rPr>
          <w:rFonts w:asciiTheme="majorHAnsi" w:hAnsiTheme="majorHAnsi"/>
          <w:color w:val="auto"/>
          <w:szCs w:val="20"/>
          <w:bdr w:val="none" w:sz="0" w:space="0" w:color="auto"/>
          <w:lang w:val="es-ES"/>
        </w:rPr>
        <w:t xml:space="preserve"> los inmuebles en </w:t>
      </w:r>
      <w:r w:rsidR="00C656E1" w:rsidRPr="0011380E">
        <w:rPr>
          <w:rFonts w:asciiTheme="majorHAnsi" w:hAnsiTheme="majorHAnsi"/>
          <w:color w:val="auto"/>
          <w:szCs w:val="20"/>
          <w:bdr w:val="none" w:sz="0" w:space="0" w:color="auto"/>
          <w:lang w:val="es-ES"/>
        </w:rPr>
        <w:t>los</w:t>
      </w:r>
      <w:r w:rsidRPr="0011380E">
        <w:rPr>
          <w:rFonts w:asciiTheme="majorHAnsi" w:hAnsiTheme="majorHAnsi"/>
          <w:color w:val="auto"/>
          <w:szCs w:val="20"/>
          <w:bdr w:val="none" w:sz="0" w:space="0" w:color="auto"/>
          <w:lang w:val="es-ES"/>
        </w:rPr>
        <w:t xml:space="preserve"> que se encontraban </w:t>
      </w:r>
      <w:r w:rsidR="00327A3F" w:rsidRPr="0011380E">
        <w:rPr>
          <w:rFonts w:asciiTheme="majorHAnsi" w:hAnsiTheme="majorHAnsi"/>
          <w:color w:val="auto"/>
          <w:szCs w:val="20"/>
          <w:bdr w:val="none" w:sz="0" w:space="0" w:color="auto"/>
          <w:lang w:val="es-ES"/>
        </w:rPr>
        <w:t>22</w:t>
      </w:r>
      <w:r w:rsidR="007C53C1" w:rsidRPr="0011380E">
        <w:rPr>
          <w:rFonts w:asciiTheme="majorHAnsi" w:hAnsiTheme="majorHAnsi"/>
          <w:color w:val="auto"/>
          <w:szCs w:val="20"/>
          <w:bdr w:val="none" w:sz="0" w:space="0" w:color="auto"/>
          <w:lang w:val="es-ES"/>
        </w:rPr>
        <w:t xml:space="preserve"> </w:t>
      </w:r>
      <w:r w:rsidR="00263E99" w:rsidRPr="0011380E">
        <w:rPr>
          <w:rFonts w:asciiTheme="majorHAnsi" w:hAnsiTheme="majorHAnsi"/>
          <w:color w:val="auto"/>
          <w:szCs w:val="20"/>
          <w:bdr w:val="none" w:sz="0" w:space="0" w:color="auto"/>
          <w:lang w:val="es-ES"/>
        </w:rPr>
        <w:t>personas</w:t>
      </w:r>
      <w:r w:rsidR="007C53C1" w:rsidRPr="0011380E">
        <w:rPr>
          <w:rStyle w:val="FootnoteReference"/>
          <w:rFonts w:asciiTheme="majorHAnsi" w:hAnsiTheme="majorHAnsi"/>
          <w:color w:val="auto"/>
          <w:szCs w:val="20"/>
          <w:bdr w:val="none" w:sz="0" w:space="0" w:color="auto"/>
          <w:lang w:val="es-ES"/>
        </w:rPr>
        <w:footnoteReference w:id="149"/>
      </w:r>
      <w:r w:rsidRPr="0011380E">
        <w:rPr>
          <w:rFonts w:asciiTheme="majorHAnsi" w:hAnsiTheme="majorHAnsi"/>
          <w:color w:val="auto"/>
          <w:szCs w:val="20"/>
          <w:bdr w:val="none" w:sz="0" w:space="0" w:color="auto"/>
          <w:lang w:val="es-ES"/>
        </w:rPr>
        <w:t xml:space="preserve">, agentes del Estado fuertemente armados ejercieron un alto grado de violencia </w:t>
      </w:r>
      <w:r w:rsidR="00A34AE4" w:rsidRPr="0011380E">
        <w:rPr>
          <w:rFonts w:asciiTheme="majorHAnsi" w:hAnsiTheme="majorHAnsi"/>
          <w:color w:val="auto"/>
          <w:szCs w:val="20"/>
          <w:bdr w:val="none" w:sz="0" w:space="0" w:color="auto"/>
          <w:lang w:val="es-ES"/>
        </w:rPr>
        <w:t>física y psíquica</w:t>
      </w:r>
      <w:r w:rsidR="00170924" w:rsidRPr="0011380E">
        <w:rPr>
          <w:rFonts w:asciiTheme="majorHAnsi" w:hAnsiTheme="majorHAnsi"/>
          <w:color w:val="auto"/>
          <w:szCs w:val="20"/>
          <w:bdr w:val="none" w:sz="0" w:space="0" w:color="auto"/>
          <w:lang w:val="es-ES"/>
        </w:rPr>
        <w:t>, violando la integridad personal</w:t>
      </w:r>
      <w:r w:rsidR="00A34AE4" w:rsidRPr="0011380E">
        <w:rPr>
          <w:rFonts w:asciiTheme="majorHAnsi" w:hAnsiTheme="majorHAnsi"/>
          <w:color w:val="auto"/>
          <w:szCs w:val="20"/>
          <w:bdr w:val="none" w:sz="0" w:space="0" w:color="auto"/>
          <w:lang w:val="es-ES"/>
        </w:rPr>
        <w:t xml:space="preserve"> de todas</w:t>
      </w:r>
      <w:r w:rsidRPr="0011380E">
        <w:rPr>
          <w:rFonts w:asciiTheme="majorHAnsi" w:hAnsiTheme="majorHAnsi"/>
          <w:color w:val="auto"/>
          <w:szCs w:val="20"/>
          <w:bdr w:val="none" w:sz="0" w:space="0" w:color="auto"/>
          <w:lang w:val="es-ES"/>
        </w:rPr>
        <w:t xml:space="preserve"> las personas que allí se encontraban, incluyendo niños</w:t>
      </w:r>
      <w:r w:rsidR="00854423" w:rsidRPr="0011380E">
        <w:rPr>
          <w:rFonts w:asciiTheme="majorHAnsi" w:hAnsiTheme="majorHAnsi"/>
          <w:color w:val="auto"/>
          <w:szCs w:val="20"/>
          <w:bdr w:val="none" w:sz="0" w:space="0" w:color="auto"/>
          <w:lang w:val="es-ES"/>
        </w:rPr>
        <w:t xml:space="preserve">. </w:t>
      </w:r>
      <w:r w:rsidR="00170924" w:rsidRPr="0011380E">
        <w:rPr>
          <w:rFonts w:asciiTheme="majorHAnsi" w:hAnsiTheme="majorHAnsi"/>
          <w:color w:val="auto"/>
          <w:szCs w:val="20"/>
          <w:bdr w:val="none" w:sz="0" w:space="0" w:color="auto"/>
          <w:lang w:val="es-ES"/>
        </w:rPr>
        <w:t>En efecto, m</w:t>
      </w:r>
      <w:r w:rsidR="00854423" w:rsidRPr="0011380E">
        <w:rPr>
          <w:rFonts w:asciiTheme="majorHAnsi" w:hAnsiTheme="majorHAnsi"/>
          <w:color w:val="auto"/>
          <w:szCs w:val="20"/>
          <w:bdr w:val="none" w:sz="0" w:space="0" w:color="auto"/>
          <w:lang w:val="es-ES"/>
        </w:rPr>
        <w:t xml:space="preserve">últiples </w:t>
      </w:r>
      <w:r w:rsidR="001832CD" w:rsidRPr="0011380E">
        <w:rPr>
          <w:rFonts w:asciiTheme="majorHAnsi" w:hAnsiTheme="majorHAnsi"/>
          <w:color w:val="auto"/>
          <w:szCs w:val="20"/>
          <w:bdr w:val="none" w:sz="0" w:space="0" w:color="auto"/>
          <w:lang w:val="es-ES"/>
        </w:rPr>
        <w:t>hombres y mujeres</w:t>
      </w:r>
      <w:r w:rsidR="00854423" w:rsidRPr="0011380E">
        <w:rPr>
          <w:rFonts w:asciiTheme="majorHAnsi" w:hAnsiTheme="majorHAnsi"/>
          <w:color w:val="auto"/>
          <w:szCs w:val="20"/>
          <w:bdr w:val="none" w:sz="0" w:space="0" w:color="auto"/>
          <w:lang w:val="es-ES"/>
        </w:rPr>
        <w:t xml:space="preserve"> fueron fuertemente golpeados, maniatados con esposas en sus espaldas y reducidos en el suelo boca abajo, donde recibían más golpes. </w:t>
      </w:r>
      <w:r w:rsidR="00F62781" w:rsidRPr="0011380E">
        <w:rPr>
          <w:rFonts w:asciiTheme="majorHAnsi" w:hAnsiTheme="majorHAnsi"/>
          <w:color w:val="auto"/>
          <w:szCs w:val="20"/>
          <w:bdr w:val="none" w:sz="0" w:space="0" w:color="auto"/>
          <w:lang w:val="es-ES"/>
        </w:rPr>
        <w:t>La CIDH estima que en el presente caso el Estado no ha</w:t>
      </w:r>
      <w:r w:rsidR="005E57A9" w:rsidRPr="0011380E">
        <w:rPr>
          <w:rFonts w:asciiTheme="majorHAnsi" w:hAnsiTheme="majorHAnsi"/>
          <w:color w:val="auto"/>
          <w:szCs w:val="20"/>
          <w:bdr w:val="none" w:sz="0" w:space="0" w:color="auto"/>
          <w:lang w:val="es-ES"/>
        </w:rPr>
        <w:t xml:space="preserve"> argumentado ni </w:t>
      </w:r>
      <w:r w:rsidR="00F62781" w:rsidRPr="0011380E">
        <w:rPr>
          <w:rFonts w:asciiTheme="majorHAnsi" w:hAnsiTheme="majorHAnsi"/>
          <w:color w:val="auto"/>
          <w:szCs w:val="20"/>
          <w:bdr w:val="none" w:sz="0" w:space="0" w:color="auto"/>
          <w:lang w:val="es-ES"/>
        </w:rPr>
        <w:t>demostrado que la fuerza utilizada al momento del allanamiento fuera racional ni necesaria</w:t>
      </w:r>
      <w:r w:rsidR="005E57A9" w:rsidRPr="0011380E">
        <w:rPr>
          <w:rFonts w:asciiTheme="majorHAnsi" w:hAnsiTheme="majorHAnsi"/>
          <w:color w:val="auto"/>
          <w:szCs w:val="20"/>
          <w:bdr w:val="none" w:sz="0" w:space="0" w:color="auto"/>
          <w:lang w:val="es-ES"/>
        </w:rPr>
        <w:t>, más allá de la referencia genérica a la supuesta peligrosidad</w:t>
      </w:r>
      <w:r w:rsidR="00A24C82" w:rsidRPr="0011380E">
        <w:rPr>
          <w:rFonts w:asciiTheme="majorHAnsi" w:hAnsiTheme="majorHAnsi"/>
          <w:color w:val="auto"/>
          <w:szCs w:val="20"/>
          <w:bdr w:val="none" w:sz="0" w:space="0" w:color="auto"/>
          <w:lang w:val="es-ES"/>
        </w:rPr>
        <w:t xml:space="preserve"> de los detenidos</w:t>
      </w:r>
      <w:r w:rsidR="00F62781" w:rsidRPr="0011380E">
        <w:rPr>
          <w:rFonts w:asciiTheme="majorHAnsi" w:hAnsiTheme="majorHAnsi"/>
          <w:color w:val="auto"/>
          <w:szCs w:val="20"/>
          <w:bdr w:val="none" w:sz="0" w:space="0" w:color="auto"/>
          <w:lang w:val="es-ES"/>
        </w:rPr>
        <w:t xml:space="preserve">. </w:t>
      </w:r>
      <w:r w:rsidR="00170924" w:rsidRPr="0011380E">
        <w:rPr>
          <w:rFonts w:asciiTheme="majorHAnsi" w:hAnsiTheme="majorHAnsi"/>
          <w:color w:val="auto"/>
          <w:szCs w:val="20"/>
          <w:bdr w:val="none" w:sz="0" w:space="0" w:color="auto"/>
          <w:lang w:val="es-ES"/>
        </w:rPr>
        <w:t>Además, s</w:t>
      </w:r>
      <w:r w:rsidR="00854423" w:rsidRPr="0011380E">
        <w:rPr>
          <w:rFonts w:asciiTheme="majorHAnsi" w:hAnsiTheme="majorHAnsi"/>
          <w:color w:val="auto"/>
          <w:szCs w:val="20"/>
          <w:bdr w:val="none" w:sz="0" w:space="0" w:color="auto"/>
          <w:lang w:val="es-ES"/>
        </w:rPr>
        <w:t xml:space="preserve">i bien no </w:t>
      </w:r>
      <w:r w:rsidR="00282B1F" w:rsidRPr="0011380E">
        <w:rPr>
          <w:rFonts w:asciiTheme="majorHAnsi" w:hAnsiTheme="majorHAnsi"/>
          <w:color w:val="auto"/>
          <w:szCs w:val="20"/>
          <w:bdr w:val="none" w:sz="0" w:space="0" w:color="auto"/>
          <w:lang w:val="es-ES"/>
        </w:rPr>
        <w:t>existe suficiente prueba de</w:t>
      </w:r>
      <w:r w:rsidR="00854423" w:rsidRPr="0011380E">
        <w:rPr>
          <w:rFonts w:asciiTheme="majorHAnsi" w:hAnsiTheme="majorHAnsi"/>
          <w:color w:val="auto"/>
          <w:szCs w:val="20"/>
          <w:bdr w:val="none" w:sz="0" w:space="0" w:color="auto"/>
          <w:lang w:val="es-ES"/>
        </w:rPr>
        <w:t xml:space="preserve"> que</w:t>
      </w:r>
      <w:r w:rsidR="00A2752D" w:rsidRPr="0011380E">
        <w:rPr>
          <w:rFonts w:asciiTheme="majorHAnsi" w:hAnsiTheme="majorHAnsi"/>
          <w:color w:val="auto"/>
          <w:szCs w:val="20"/>
          <w:bdr w:val="none" w:sz="0" w:space="0" w:color="auto"/>
          <w:lang w:val="es-ES"/>
        </w:rPr>
        <w:t xml:space="preserve"> </w:t>
      </w:r>
      <w:r w:rsidR="00170924" w:rsidRPr="0011380E">
        <w:rPr>
          <w:rFonts w:asciiTheme="majorHAnsi" w:hAnsiTheme="majorHAnsi"/>
          <w:color w:val="auto"/>
          <w:szCs w:val="20"/>
          <w:bdr w:val="none" w:sz="0" w:space="0" w:color="auto"/>
          <w:lang w:val="es-ES"/>
        </w:rPr>
        <w:t xml:space="preserve">los </w:t>
      </w:r>
      <w:r w:rsidR="00854423" w:rsidRPr="0011380E">
        <w:rPr>
          <w:rFonts w:asciiTheme="majorHAnsi" w:hAnsiTheme="majorHAnsi"/>
          <w:color w:val="auto"/>
          <w:szCs w:val="20"/>
          <w:bdr w:val="none" w:sz="0" w:space="0" w:color="auto"/>
          <w:lang w:val="es-ES"/>
        </w:rPr>
        <w:t xml:space="preserve">niños fueron </w:t>
      </w:r>
      <w:r w:rsidR="00A24C82" w:rsidRPr="0011380E">
        <w:rPr>
          <w:rFonts w:asciiTheme="majorHAnsi" w:hAnsiTheme="majorHAnsi"/>
          <w:color w:val="auto"/>
          <w:szCs w:val="20"/>
          <w:bdr w:val="none" w:sz="0" w:space="0" w:color="auto"/>
          <w:lang w:val="es-ES"/>
        </w:rPr>
        <w:t xml:space="preserve">víctimas de violencia física, o fueron </w:t>
      </w:r>
      <w:r w:rsidR="00854423" w:rsidRPr="0011380E">
        <w:rPr>
          <w:rFonts w:asciiTheme="majorHAnsi" w:hAnsiTheme="majorHAnsi"/>
          <w:color w:val="auto"/>
          <w:szCs w:val="20"/>
          <w:bdr w:val="none" w:sz="0" w:space="0" w:color="auto"/>
          <w:lang w:val="es-ES"/>
        </w:rPr>
        <w:t>maniatados o secuestrados</w:t>
      </w:r>
      <w:r w:rsidR="001832CD" w:rsidRPr="0011380E">
        <w:rPr>
          <w:rFonts w:asciiTheme="majorHAnsi" w:hAnsiTheme="majorHAnsi"/>
          <w:color w:val="auto"/>
          <w:szCs w:val="20"/>
          <w:bdr w:val="none" w:sz="0" w:space="0" w:color="auto"/>
          <w:lang w:val="es-ES"/>
        </w:rPr>
        <w:t>, sí</w:t>
      </w:r>
      <w:r w:rsidR="00854423" w:rsidRPr="0011380E">
        <w:rPr>
          <w:rFonts w:asciiTheme="majorHAnsi" w:hAnsiTheme="majorHAnsi"/>
          <w:color w:val="auto"/>
          <w:szCs w:val="20"/>
          <w:bdr w:val="none" w:sz="0" w:space="0" w:color="auto"/>
          <w:lang w:val="es-ES"/>
        </w:rPr>
        <w:t xml:space="preserve"> ha sido </w:t>
      </w:r>
      <w:r w:rsidR="001832CD" w:rsidRPr="0011380E">
        <w:rPr>
          <w:rFonts w:asciiTheme="majorHAnsi" w:hAnsiTheme="majorHAnsi"/>
          <w:color w:val="auto"/>
          <w:szCs w:val="20"/>
          <w:bdr w:val="none" w:sz="0" w:space="0" w:color="auto"/>
          <w:lang w:val="es-ES"/>
        </w:rPr>
        <w:t xml:space="preserve">demostrado que éstos se encontraban en </w:t>
      </w:r>
      <w:r w:rsidR="00854423" w:rsidRPr="0011380E">
        <w:rPr>
          <w:rFonts w:asciiTheme="majorHAnsi" w:hAnsiTheme="majorHAnsi"/>
          <w:color w:val="auto"/>
          <w:szCs w:val="20"/>
          <w:bdr w:val="none" w:sz="0" w:space="0" w:color="auto"/>
          <w:lang w:val="es-ES"/>
        </w:rPr>
        <w:t>l</w:t>
      </w:r>
      <w:r w:rsidR="001832CD" w:rsidRPr="0011380E">
        <w:rPr>
          <w:rFonts w:asciiTheme="majorHAnsi" w:hAnsiTheme="majorHAnsi"/>
          <w:color w:val="auto"/>
          <w:szCs w:val="20"/>
          <w:bdr w:val="none" w:sz="0" w:space="0" w:color="auto"/>
          <w:lang w:val="es-ES"/>
        </w:rPr>
        <w:t>os</w:t>
      </w:r>
      <w:r w:rsidR="00854423" w:rsidRPr="0011380E">
        <w:rPr>
          <w:rFonts w:asciiTheme="majorHAnsi" w:hAnsiTheme="majorHAnsi"/>
          <w:color w:val="auto"/>
          <w:szCs w:val="20"/>
          <w:bdr w:val="none" w:sz="0" w:space="0" w:color="auto"/>
          <w:lang w:val="es-ES"/>
        </w:rPr>
        <w:t xml:space="preserve"> inmueble</w:t>
      </w:r>
      <w:r w:rsidR="001832CD" w:rsidRPr="0011380E">
        <w:rPr>
          <w:rFonts w:asciiTheme="majorHAnsi" w:hAnsiTheme="majorHAnsi"/>
          <w:color w:val="auto"/>
          <w:szCs w:val="20"/>
          <w:bdr w:val="none" w:sz="0" w:space="0" w:color="auto"/>
          <w:lang w:val="es-ES"/>
        </w:rPr>
        <w:t>s</w:t>
      </w:r>
      <w:r w:rsidR="0028087A" w:rsidRPr="0011380E">
        <w:rPr>
          <w:rFonts w:asciiTheme="majorHAnsi" w:hAnsiTheme="majorHAnsi"/>
          <w:color w:val="auto"/>
          <w:szCs w:val="20"/>
          <w:bdr w:val="none" w:sz="0" w:space="0" w:color="auto"/>
          <w:lang w:val="es-ES"/>
        </w:rPr>
        <w:t xml:space="preserve">, lo que permite inferir </w:t>
      </w:r>
      <w:r w:rsidR="00E14F7A" w:rsidRPr="0011380E">
        <w:rPr>
          <w:rFonts w:asciiTheme="majorHAnsi" w:hAnsiTheme="majorHAnsi"/>
          <w:color w:val="auto"/>
          <w:szCs w:val="20"/>
          <w:bdr w:val="none" w:sz="0" w:space="0" w:color="auto"/>
          <w:lang w:val="es-ES"/>
        </w:rPr>
        <w:t>e</w:t>
      </w:r>
      <w:r w:rsidR="007911EE" w:rsidRPr="0011380E">
        <w:rPr>
          <w:rFonts w:asciiTheme="majorHAnsi" w:hAnsiTheme="majorHAnsi"/>
          <w:color w:val="auto"/>
          <w:szCs w:val="20"/>
          <w:bdr w:val="none" w:sz="0" w:space="0" w:color="auto"/>
          <w:lang w:val="es-ES"/>
        </w:rPr>
        <w:t>l</w:t>
      </w:r>
      <w:r w:rsidR="001832CD" w:rsidRPr="0011380E">
        <w:rPr>
          <w:rFonts w:asciiTheme="majorHAnsi" w:hAnsiTheme="majorHAnsi"/>
          <w:color w:val="auto"/>
          <w:szCs w:val="20"/>
          <w:bdr w:val="none" w:sz="0" w:space="0" w:color="auto"/>
          <w:lang w:val="es-ES"/>
        </w:rPr>
        <w:t xml:space="preserve"> temor y </w:t>
      </w:r>
      <w:r w:rsidR="00E1459B" w:rsidRPr="0011380E">
        <w:rPr>
          <w:rFonts w:asciiTheme="majorHAnsi" w:hAnsiTheme="majorHAnsi"/>
          <w:color w:val="auto"/>
          <w:szCs w:val="20"/>
          <w:bdr w:val="none" w:sz="0" w:space="0" w:color="auto"/>
          <w:lang w:val="es-ES"/>
        </w:rPr>
        <w:t xml:space="preserve">la </w:t>
      </w:r>
      <w:r w:rsidR="001832CD" w:rsidRPr="0011380E">
        <w:rPr>
          <w:rFonts w:asciiTheme="majorHAnsi" w:hAnsiTheme="majorHAnsi"/>
          <w:color w:val="auto"/>
          <w:szCs w:val="20"/>
          <w:bdr w:val="none" w:sz="0" w:space="0" w:color="auto"/>
          <w:lang w:val="es-ES"/>
        </w:rPr>
        <w:t xml:space="preserve">angustia que </w:t>
      </w:r>
      <w:r w:rsidR="007911EE" w:rsidRPr="0011380E">
        <w:rPr>
          <w:rFonts w:asciiTheme="majorHAnsi" w:hAnsiTheme="majorHAnsi"/>
          <w:color w:val="auto"/>
          <w:szCs w:val="20"/>
          <w:bdr w:val="none" w:sz="0" w:space="0" w:color="auto"/>
          <w:lang w:val="es-ES"/>
        </w:rPr>
        <w:t xml:space="preserve">los niños </w:t>
      </w:r>
      <w:r w:rsidR="00882744" w:rsidRPr="0011380E">
        <w:rPr>
          <w:rFonts w:asciiTheme="majorHAnsi" w:hAnsiTheme="majorHAnsi"/>
          <w:color w:val="auto"/>
          <w:szCs w:val="20"/>
          <w:bdr w:val="none" w:sz="0" w:space="0" w:color="auto"/>
          <w:lang w:val="es-ES"/>
        </w:rPr>
        <w:t xml:space="preserve">y niñas </w:t>
      </w:r>
      <w:r w:rsidR="00B40BD0" w:rsidRPr="0011380E">
        <w:rPr>
          <w:rFonts w:asciiTheme="majorHAnsi" w:hAnsiTheme="majorHAnsi"/>
          <w:color w:val="auto"/>
          <w:szCs w:val="20"/>
          <w:bdr w:val="none" w:sz="0" w:space="0" w:color="auto"/>
          <w:lang w:val="es-ES"/>
        </w:rPr>
        <w:t>sufrieron</w:t>
      </w:r>
      <w:r w:rsidR="001832CD" w:rsidRPr="0011380E">
        <w:rPr>
          <w:rFonts w:asciiTheme="majorHAnsi" w:hAnsiTheme="majorHAnsi"/>
          <w:color w:val="auto"/>
          <w:szCs w:val="20"/>
          <w:bdr w:val="none" w:sz="0" w:space="0" w:color="auto"/>
          <w:lang w:val="es-ES"/>
        </w:rPr>
        <w:t xml:space="preserve"> al ver a sus padres, familiares y adultos que los rodeaban sufrir tales vejaciones, dada su condición especial de vulnerabilidad</w:t>
      </w:r>
      <w:r w:rsidR="00F82433" w:rsidRPr="0011380E">
        <w:rPr>
          <w:rFonts w:asciiTheme="majorHAnsi" w:hAnsiTheme="majorHAnsi"/>
          <w:color w:val="auto"/>
          <w:szCs w:val="20"/>
          <w:bdr w:val="none" w:sz="0" w:space="0" w:color="auto"/>
          <w:lang w:val="es-ES"/>
        </w:rPr>
        <w:t xml:space="preserve">. En ese sentido, </w:t>
      </w:r>
      <w:r w:rsidR="00A2752D" w:rsidRPr="0011380E">
        <w:rPr>
          <w:rFonts w:asciiTheme="majorHAnsi" w:hAnsiTheme="majorHAnsi"/>
          <w:color w:val="auto"/>
          <w:szCs w:val="20"/>
          <w:bdr w:val="none" w:sz="0" w:space="0" w:color="auto"/>
          <w:lang w:val="es-ES"/>
        </w:rPr>
        <w:t xml:space="preserve">la CIDH estima que </w:t>
      </w:r>
      <w:r w:rsidR="006E047A" w:rsidRPr="0011380E">
        <w:rPr>
          <w:rFonts w:asciiTheme="majorHAnsi" w:hAnsiTheme="majorHAnsi"/>
          <w:color w:val="auto"/>
          <w:szCs w:val="20"/>
          <w:bdr w:val="none" w:sz="0" w:space="0" w:color="auto"/>
          <w:lang w:val="es-ES"/>
        </w:rPr>
        <w:t xml:space="preserve">los niños y niñas presentes </w:t>
      </w:r>
      <w:r w:rsidR="00A2752D" w:rsidRPr="0011380E">
        <w:rPr>
          <w:rFonts w:asciiTheme="majorHAnsi" w:hAnsiTheme="majorHAnsi"/>
          <w:color w:val="auto"/>
          <w:szCs w:val="20"/>
          <w:bdr w:val="none" w:sz="0" w:space="0" w:color="auto"/>
          <w:lang w:val="es-ES"/>
        </w:rPr>
        <w:t>sufrieron</w:t>
      </w:r>
      <w:r w:rsidR="00170924" w:rsidRPr="0011380E">
        <w:rPr>
          <w:rFonts w:asciiTheme="majorHAnsi" w:hAnsiTheme="majorHAnsi"/>
          <w:color w:val="auto"/>
          <w:szCs w:val="20"/>
          <w:bdr w:val="none" w:sz="0" w:space="0" w:color="auto"/>
          <w:lang w:val="es-ES"/>
        </w:rPr>
        <w:t>,</w:t>
      </w:r>
      <w:r w:rsidR="00A2752D" w:rsidRPr="0011380E">
        <w:rPr>
          <w:rFonts w:asciiTheme="majorHAnsi" w:hAnsiTheme="majorHAnsi"/>
          <w:color w:val="auto"/>
          <w:szCs w:val="20"/>
          <w:bdr w:val="none" w:sz="0" w:space="0" w:color="auto"/>
          <w:lang w:val="es-ES"/>
        </w:rPr>
        <w:t xml:space="preserve"> al menos</w:t>
      </w:r>
      <w:r w:rsidR="00170924" w:rsidRPr="0011380E">
        <w:rPr>
          <w:rFonts w:asciiTheme="majorHAnsi" w:hAnsiTheme="majorHAnsi"/>
          <w:color w:val="auto"/>
          <w:szCs w:val="20"/>
          <w:bdr w:val="none" w:sz="0" w:space="0" w:color="auto"/>
          <w:lang w:val="es-ES"/>
        </w:rPr>
        <w:t>,</w:t>
      </w:r>
      <w:r w:rsidR="001832CD" w:rsidRPr="0011380E">
        <w:rPr>
          <w:rFonts w:asciiTheme="majorHAnsi" w:hAnsiTheme="majorHAnsi"/>
          <w:color w:val="auto"/>
          <w:szCs w:val="20"/>
          <w:bdr w:val="none" w:sz="0" w:space="0" w:color="auto"/>
          <w:lang w:val="es-ES"/>
        </w:rPr>
        <w:t xml:space="preserve"> </w:t>
      </w:r>
      <w:r w:rsidR="004B1819" w:rsidRPr="0011380E">
        <w:rPr>
          <w:rFonts w:asciiTheme="majorHAnsi" w:hAnsiTheme="majorHAnsi"/>
          <w:color w:val="auto"/>
          <w:szCs w:val="20"/>
          <w:bdr w:val="none" w:sz="0" w:space="0" w:color="auto"/>
          <w:lang w:val="es-ES"/>
        </w:rPr>
        <w:t xml:space="preserve">afectaciones a su integridad </w:t>
      </w:r>
      <w:r w:rsidR="001832CD" w:rsidRPr="0011380E">
        <w:rPr>
          <w:rFonts w:asciiTheme="majorHAnsi" w:hAnsiTheme="majorHAnsi"/>
          <w:color w:val="auto"/>
          <w:szCs w:val="20"/>
          <w:bdr w:val="none" w:sz="0" w:space="0" w:color="auto"/>
          <w:lang w:val="es-ES"/>
        </w:rPr>
        <w:t>psicológica</w:t>
      </w:r>
      <w:r w:rsidR="00170924" w:rsidRPr="0011380E">
        <w:rPr>
          <w:rFonts w:asciiTheme="majorHAnsi" w:hAnsiTheme="majorHAnsi"/>
          <w:color w:val="auto"/>
          <w:szCs w:val="20"/>
          <w:bdr w:val="none" w:sz="0" w:space="0" w:color="auto"/>
          <w:lang w:val="es-ES"/>
        </w:rPr>
        <w:t xml:space="preserve"> </w:t>
      </w:r>
      <w:r w:rsidR="004B1819" w:rsidRPr="0011380E">
        <w:rPr>
          <w:rFonts w:asciiTheme="majorHAnsi" w:hAnsiTheme="majorHAnsi"/>
          <w:color w:val="auto"/>
          <w:szCs w:val="20"/>
          <w:bdr w:val="none" w:sz="0" w:space="0" w:color="auto"/>
          <w:lang w:val="es-ES"/>
        </w:rPr>
        <w:t xml:space="preserve">en incumplimiento de </w:t>
      </w:r>
      <w:r w:rsidR="00170924" w:rsidRPr="0011380E">
        <w:rPr>
          <w:rFonts w:asciiTheme="majorHAnsi" w:hAnsiTheme="majorHAnsi"/>
          <w:color w:val="auto"/>
          <w:szCs w:val="20"/>
          <w:bdr w:val="none" w:sz="0" w:space="0" w:color="auto"/>
          <w:lang w:val="es-ES"/>
        </w:rPr>
        <w:t xml:space="preserve">la especial protección que éstos merecían </w:t>
      </w:r>
      <w:r w:rsidR="00847A34" w:rsidRPr="0011380E">
        <w:rPr>
          <w:rFonts w:asciiTheme="majorHAnsi" w:hAnsiTheme="majorHAnsi"/>
          <w:color w:val="auto"/>
          <w:szCs w:val="20"/>
          <w:bdr w:val="none" w:sz="0" w:space="0" w:color="auto"/>
          <w:lang w:val="es-ES"/>
        </w:rPr>
        <w:t xml:space="preserve">por su edad. </w:t>
      </w:r>
    </w:p>
    <w:p w14:paraId="374AFC76" w14:textId="77777777" w:rsidR="006A548C" w:rsidRPr="0011380E" w:rsidRDefault="006A548C" w:rsidP="006A548C">
      <w:pPr>
        <w:pStyle w:val="ListParagraph"/>
        <w:numPr>
          <w:ilvl w:val="0"/>
          <w:numId w:val="0"/>
        </w:numPr>
        <w:rPr>
          <w:rFonts w:asciiTheme="majorHAnsi" w:hAnsiTheme="majorHAnsi"/>
          <w:color w:val="auto"/>
          <w:szCs w:val="20"/>
          <w:bdr w:val="none" w:sz="0" w:space="0" w:color="auto"/>
          <w:lang w:val="es-ES"/>
        </w:rPr>
      </w:pPr>
    </w:p>
    <w:p w14:paraId="52C41814" w14:textId="77777777" w:rsidR="00170924" w:rsidRPr="0011380E" w:rsidRDefault="004466D0" w:rsidP="006A548C">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 xml:space="preserve">Se encuentra también probado que </w:t>
      </w:r>
      <w:r w:rsidR="00ED7505" w:rsidRPr="0011380E">
        <w:rPr>
          <w:rFonts w:asciiTheme="majorHAnsi" w:hAnsiTheme="majorHAnsi"/>
          <w:color w:val="auto"/>
          <w:szCs w:val="20"/>
          <w:bdr w:val="none" w:sz="0" w:space="0" w:color="auto"/>
          <w:lang w:val="es-ES"/>
        </w:rPr>
        <w:t>16</w:t>
      </w:r>
      <w:r w:rsidR="00170924" w:rsidRPr="0011380E">
        <w:rPr>
          <w:rStyle w:val="FootnoteReference"/>
          <w:rFonts w:asciiTheme="majorHAnsi" w:hAnsiTheme="majorHAnsi"/>
          <w:color w:val="auto"/>
          <w:szCs w:val="20"/>
          <w:bdr w:val="none" w:sz="0" w:space="0" w:color="auto"/>
          <w:lang w:val="es-ES"/>
        </w:rPr>
        <w:footnoteReference w:id="150"/>
      </w:r>
      <w:r w:rsidRPr="0011380E">
        <w:rPr>
          <w:rFonts w:asciiTheme="majorHAnsi" w:hAnsiTheme="majorHAnsi"/>
          <w:color w:val="auto"/>
          <w:szCs w:val="20"/>
          <w:bdr w:val="none" w:sz="0" w:space="0" w:color="auto"/>
          <w:lang w:val="es-ES"/>
        </w:rPr>
        <w:t xml:space="preserve"> </w:t>
      </w:r>
      <w:r w:rsidR="00436E30" w:rsidRPr="0011380E">
        <w:rPr>
          <w:rFonts w:asciiTheme="majorHAnsi" w:hAnsiTheme="majorHAnsi"/>
          <w:color w:val="auto"/>
          <w:szCs w:val="20"/>
          <w:bdr w:val="none" w:sz="0" w:space="0" w:color="auto"/>
          <w:lang w:val="es-ES"/>
        </w:rPr>
        <w:t>personas</w:t>
      </w:r>
      <w:r w:rsidRPr="0011380E">
        <w:rPr>
          <w:rFonts w:asciiTheme="majorHAnsi" w:hAnsiTheme="majorHAnsi"/>
          <w:color w:val="auto"/>
          <w:szCs w:val="20"/>
          <w:bdr w:val="none" w:sz="0" w:space="0" w:color="auto"/>
          <w:lang w:val="es-ES"/>
        </w:rPr>
        <w:t xml:space="preserve"> </w:t>
      </w:r>
      <w:r w:rsidR="00442F73" w:rsidRPr="0011380E">
        <w:rPr>
          <w:rFonts w:asciiTheme="majorHAnsi" w:hAnsiTheme="majorHAnsi"/>
          <w:color w:val="auto"/>
          <w:szCs w:val="20"/>
          <w:bdr w:val="none" w:sz="0" w:space="0" w:color="auto"/>
          <w:lang w:val="es-ES"/>
        </w:rPr>
        <w:t>fueron trasladad</w:t>
      </w:r>
      <w:r w:rsidR="00BA47FF" w:rsidRPr="0011380E">
        <w:rPr>
          <w:rFonts w:asciiTheme="majorHAnsi" w:hAnsiTheme="majorHAnsi"/>
          <w:color w:val="auto"/>
          <w:szCs w:val="20"/>
          <w:bdr w:val="none" w:sz="0" w:space="0" w:color="auto"/>
          <w:lang w:val="es-ES"/>
        </w:rPr>
        <w:t>a</w:t>
      </w:r>
      <w:r w:rsidR="00442F73" w:rsidRPr="0011380E">
        <w:rPr>
          <w:rFonts w:asciiTheme="majorHAnsi" w:hAnsiTheme="majorHAnsi"/>
          <w:color w:val="auto"/>
          <w:szCs w:val="20"/>
          <w:bdr w:val="none" w:sz="0" w:space="0" w:color="auto"/>
          <w:lang w:val="es-ES"/>
        </w:rPr>
        <w:t>s a las dependencias de la PTJ donde fueron interrogad</w:t>
      </w:r>
      <w:r w:rsidR="00483513" w:rsidRPr="0011380E">
        <w:rPr>
          <w:rFonts w:asciiTheme="majorHAnsi" w:hAnsiTheme="majorHAnsi"/>
          <w:color w:val="auto"/>
          <w:szCs w:val="20"/>
          <w:bdr w:val="none" w:sz="0" w:space="0" w:color="auto"/>
          <w:lang w:val="es-ES"/>
        </w:rPr>
        <w:t>a</w:t>
      </w:r>
      <w:r w:rsidR="00442F73" w:rsidRPr="0011380E">
        <w:rPr>
          <w:rFonts w:asciiTheme="majorHAnsi" w:hAnsiTheme="majorHAnsi"/>
          <w:color w:val="auto"/>
          <w:szCs w:val="20"/>
          <w:bdr w:val="none" w:sz="0" w:space="0" w:color="auto"/>
          <w:lang w:val="es-ES"/>
        </w:rPr>
        <w:t xml:space="preserve">s en un contexto de alta violencia y agresión, </w:t>
      </w:r>
      <w:r w:rsidR="00B40BD0" w:rsidRPr="0011380E">
        <w:rPr>
          <w:rFonts w:asciiTheme="majorHAnsi" w:hAnsiTheme="majorHAnsi"/>
          <w:color w:val="auto"/>
          <w:szCs w:val="20"/>
          <w:bdr w:val="none" w:sz="0" w:space="0" w:color="auto"/>
          <w:lang w:val="es-ES"/>
        </w:rPr>
        <w:t xml:space="preserve">sin asistencia legal efectiva y </w:t>
      </w:r>
      <w:r w:rsidRPr="0011380E">
        <w:rPr>
          <w:rFonts w:asciiTheme="majorHAnsi" w:hAnsiTheme="majorHAnsi"/>
          <w:color w:val="auto"/>
          <w:szCs w:val="20"/>
          <w:bdr w:val="none" w:sz="0" w:space="0" w:color="auto"/>
          <w:lang w:val="es-ES"/>
        </w:rPr>
        <w:t>quedando</w:t>
      </w:r>
      <w:r w:rsidR="00442F73" w:rsidRPr="0011380E">
        <w:rPr>
          <w:rFonts w:asciiTheme="majorHAnsi" w:hAnsiTheme="majorHAnsi"/>
          <w:color w:val="auto"/>
          <w:szCs w:val="20"/>
          <w:bdr w:val="none" w:sz="0" w:space="0" w:color="auto"/>
          <w:lang w:val="es-ES"/>
        </w:rPr>
        <w:t xml:space="preserve"> detenidos en pequeñas celdas sobrepobladas, sin camas, sin acceso a baños, alimentos, medicinas ni atención médica, </w:t>
      </w:r>
      <w:r w:rsidR="00170924" w:rsidRPr="0011380E">
        <w:rPr>
          <w:rFonts w:asciiTheme="majorHAnsi" w:hAnsiTheme="majorHAnsi"/>
          <w:color w:val="auto"/>
          <w:szCs w:val="20"/>
          <w:bdr w:val="none" w:sz="0" w:space="0" w:color="auto"/>
          <w:lang w:val="es-ES"/>
        </w:rPr>
        <w:t xml:space="preserve">donde además </w:t>
      </w:r>
      <w:r w:rsidR="00442F73" w:rsidRPr="0011380E">
        <w:rPr>
          <w:rFonts w:asciiTheme="majorHAnsi" w:hAnsiTheme="majorHAnsi"/>
          <w:color w:val="auto"/>
          <w:szCs w:val="20"/>
          <w:bdr w:val="none" w:sz="0" w:space="0" w:color="auto"/>
          <w:lang w:val="es-ES"/>
        </w:rPr>
        <w:t>no podían ser visitados por familiares ni abogados y continuaron siendo agredidos y golpeados</w:t>
      </w:r>
      <w:r w:rsidR="00170924" w:rsidRPr="0011380E">
        <w:rPr>
          <w:rFonts w:asciiTheme="majorHAnsi" w:hAnsiTheme="majorHAnsi"/>
          <w:color w:val="auto"/>
          <w:szCs w:val="20"/>
          <w:bdr w:val="none" w:sz="0" w:space="0" w:color="auto"/>
          <w:lang w:val="es-ES"/>
        </w:rPr>
        <w:t xml:space="preserve">. </w:t>
      </w:r>
      <w:r w:rsidR="00442F73" w:rsidRPr="0011380E">
        <w:rPr>
          <w:rFonts w:asciiTheme="majorHAnsi" w:hAnsiTheme="majorHAnsi"/>
          <w:color w:val="auto"/>
          <w:szCs w:val="20"/>
          <w:bdr w:val="none" w:sz="0" w:space="0" w:color="auto"/>
          <w:lang w:val="es-ES"/>
        </w:rPr>
        <w:t xml:space="preserve">Una vez trasladados a las diversas penitenciarias, </w:t>
      </w:r>
      <w:r w:rsidR="00282B1F" w:rsidRPr="0011380E">
        <w:rPr>
          <w:rFonts w:asciiTheme="majorHAnsi" w:hAnsiTheme="majorHAnsi"/>
          <w:color w:val="auto"/>
          <w:szCs w:val="20"/>
          <w:bdr w:val="none" w:sz="0" w:space="0" w:color="auto"/>
          <w:lang w:val="es-ES"/>
        </w:rPr>
        <w:t>ocho</w:t>
      </w:r>
      <w:r w:rsidR="00442F73" w:rsidRPr="0011380E">
        <w:rPr>
          <w:rFonts w:asciiTheme="majorHAnsi" w:hAnsiTheme="majorHAnsi"/>
          <w:color w:val="auto"/>
          <w:szCs w:val="20"/>
          <w:bdr w:val="none" w:sz="0" w:space="0" w:color="auto"/>
          <w:lang w:val="es-ES"/>
        </w:rPr>
        <w:t xml:space="preserve"> </w:t>
      </w:r>
      <w:r w:rsidR="00483513" w:rsidRPr="0011380E">
        <w:rPr>
          <w:rFonts w:asciiTheme="majorHAnsi" w:hAnsiTheme="majorHAnsi"/>
          <w:color w:val="auto"/>
          <w:szCs w:val="20"/>
          <w:bdr w:val="none" w:sz="0" w:space="0" w:color="auto"/>
          <w:lang w:val="es-ES"/>
        </w:rPr>
        <w:t>personas</w:t>
      </w:r>
      <w:r w:rsidR="00170924" w:rsidRPr="0011380E">
        <w:rPr>
          <w:rStyle w:val="FootnoteReference"/>
          <w:rFonts w:asciiTheme="majorHAnsi" w:hAnsiTheme="majorHAnsi"/>
          <w:color w:val="auto"/>
          <w:szCs w:val="20"/>
          <w:bdr w:val="none" w:sz="0" w:space="0" w:color="auto"/>
          <w:lang w:val="es-ES"/>
        </w:rPr>
        <w:footnoteReference w:id="151"/>
      </w:r>
      <w:r w:rsidR="00442F73" w:rsidRPr="0011380E">
        <w:rPr>
          <w:rFonts w:asciiTheme="majorHAnsi" w:hAnsiTheme="majorHAnsi"/>
          <w:color w:val="auto"/>
          <w:szCs w:val="20"/>
          <w:bdr w:val="none" w:sz="0" w:space="0" w:color="auto"/>
          <w:lang w:val="es-ES"/>
        </w:rPr>
        <w:t xml:space="preserve"> estuvieron en régimen de aislamient</w:t>
      </w:r>
      <w:r w:rsidR="00282B1F" w:rsidRPr="0011380E">
        <w:rPr>
          <w:rFonts w:asciiTheme="majorHAnsi" w:hAnsiTheme="majorHAnsi"/>
          <w:color w:val="auto"/>
          <w:szCs w:val="20"/>
          <w:bdr w:val="none" w:sz="0" w:space="0" w:color="auto"/>
          <w:lang w:val="es-ES"/>
        </w:rPr>
        <w:t>o e incomunicación, sin acceso</w:t>
      </w:r>
      <w:r w:rsidR="00442F73" w:rsidRPr="0011380E">
        <w:rPr>
          <w:rFonts w:asciiTheme="majorHAnsi" w:hAnsiTheme="majorHAnsi"/>
          <w:color w:val="auto"/>
          <w:szCs w:val="20"/>
          <w:bdr w:val="none" w:sz="0" w:space="0" w:color="auto"/>
          <w:lang w:val="es-ES"/>
        </w:rPr>
        <w:t xml:space="preserve"> luz natural por más de 60 días. </w:t>
      </w:r>
      <w:r w:rsidR="00976227" w:rsidRPr="0011380E">
        <w:rPr>
          <w:rFonts w:asciiTheme="majorHAnsi" w:hAnsiTheme="majorHAnsi"/>
          <w:color w:val="auto"/>
          <w:szCs w:val="20"/>
          <w:bdr w:val="none" w:sz="0" w:space="0" w:color="auto"/>
          <w:lang w:val="es-ES"/>
        </w:rPr>
        <w:t>La Comisión estima</w:t>
      </w:r>
      <w:r w:rsidR="00282B1F" w:rsidRPr="0011380E">
        <w:rPr>
          <w:rFonts w:asciiTheme="majorHAnsi" w:hAnsiTheme="majorHAnsi"/>
          <w:color w:val="auto"/>
          <w:szCs w:val="20"/>
          <w:bdr w:val="none" w:sz="0" w:space="0" w:color="auto"/>
          <w:lang w:val="es-ES"/>
        </w:rPr>
        <w:t>,</w:t>
      </w:r>
      <w:r w:rsidR="00976227" w:rsidRPr="0011380E">
        <w:rPr>
          <w:rFonts w:asciiTheme="majorHAnsi" w:hAnsiTheme="majorHAnsi"/>
          <w:color w:val="auto"/>
          <w:szCs w:val="20"/>
          <w:bdr w:val="none" w:sz="0" w:space="0" w:color="auto"/>
          <w:lang w:val="es-ES"/>
        </w:rPr>
        <w:t xml:space="preserve"> por tanto</w:t>
      </w:r>
      <w:r w:rsidR="00282B1F" w:rsidRPr="0011380E">
        <w:rPr>
          <w:rFonts w:asciiTheme="majorHAnsi" w:hAnsiTheme="majorHAnsi"/>
          <w:color w:val="auto"/>
          <w:szCs w:val="20"/>
          <w:bdr w:val="none" w:sz="0" w:space="0" w:color="auto"/>
          <w:lang w:val="es-ES"/>
        </w:rPr>
        <w:t>,</w:t>
      </w:r>
      <w:r w:rsidR="00976227" w:rsidRPr="0011380E">
        <w:rPr>
          <w:rFonts w:asciiTheme="majorHAnsi" w:hAnsiTheme="majorHAnsi"/>
          <w:color w:val="auto"/>
          <w:szCs w:val="20"/>
          <w:bdr w:val="none" w:sz="0" w:space="0" w:color="auto"/>
          <w:lang w:val="es-ES"/>
        </w:rPr>
        <w:t xml:space="preserve"> que todos ellos fueron víctimas de torturas y tratos crueles, inhumanos y degradantes</w:t>
      </w:r>
      <w:r w:rsidR="00D777D1" w:rsidRPr="0011380E">
        <w:rPr>
          <w:rFonts w:asciiTheme="majorHAnsi" w:hAnsiTheme="majorHAnsi"/>
          <w:color w:val="auto"/>
          <w:szCs w:val="20"/>
          <w:bdr w:val="none" w:sz="0" w:space="0" w:color="auto"/>
          <w:lang w:val="es-ES"/>
        </w:rPr>
        <w:t xml:space="preserve"> de manos de agentes del Estado</w:t>
      </w:r>
      <w:r w:rsidR="00282B1F" w:rsidRPr="0011380E">
        <w:rPr>
          <w:rFonts w:asciiTheme="majorHAnsi" w:hAnsiTheme="majorHAnsi"/>
          <w:color w:val="auto"/>
          <w:szCs w:val="20"/>
          <w:bdr w:val="none" w:sz="0" w:space="0" w:color="auto"/>
          <w:lang w:val="es-ES"/>
        </w:rPr>
        <w:t>,</w:t>
      </w:r>
      <w:r w:rsidR="00D777D1" w:rsidRPr="0011380E">
        <w:rPr>
          <w:rFonts w:asciiTheme="majorHAnsi" w:hAnsiTheme="majorHAnsi"/>
          <w:color w:val="auto"/>
          <w:szCs w:val="20"/>
          <w:bdr w:val="none" w:sz="0" w:space="0" w:color="auto"/>
          <w:lang w:val="es-ES"/>
        </w:rPr>
        <w:t xml:space="preserve"> quienes violaron</w:t>
      </w:r>
      <w:r w:rsidR="00976227" w:rsidRPr="0011380E">
        <w:rPr>
          <w:rFonts w:asciiTheme="majorHAnsi" w:hAnsiTheme="majorHAnsi"/>
          <w:color w:val="auto"/>
          <w:szCs w:val="20"/>
          <w:bdr w:val="none" w:sz="0" w:space="0" w:color="auto"/>
          <w:lang w:val="es-ES"/>
        </w:rPr>
        <w:t xml:space="preserve"> a su derecho a la integridad personal.</w:t>
      </w:r>
      <w:r w:rsidR="00CC6049" w:rsidRPr="0011380E">
        <w:rPr>
          <w:rFonts w:asciiTheme="majorHAnsi" w:hAnsiTheme="majorHAnsi"/>
          <w:color w:val="auto"/>
          <w:szCs w:val="20"/>
          <w:bdr w:val="none" w:sz="0" w:space="0" w:color="auto"/>
          <w:lang w:val="es-ES"/>
        </w:rPr>
        <w:t xml:space="preserve"> La Comisión considera que todos estos hechos, agravados por la situación de incomunicación posterior de varias de las personas detenidas, cumplen con los parámetros de severidad, intencionalidad y de haber sido perpetrados con determinado fin y propósito, de manera que alcanzan el nivel para ser calificados como actos de tortura. </w:t>
      </w:r>
    </w:p>
    <w:p w14:paraId="47DC8F9B" w14:textId="77777777" w:rsidR="00170924" w:rsidRPr="0011380E" w:rsidRDefault="00170924" w:rsidP="00170924">
      <w:pPr>
        <w:pStyle w:val="ListParagraph"/>
        <w:numPr>
          <w:ilvl w:val="0"/>
          <w:numId w:val="0"/>
        </w:numPr>
        <w:rPr>
          <w:rFonts w:asciiTheme="majorHAnsi" w:hAnsiTheme="majorHAnsi"/>
          <w:color w:val="auto"/>
          <w:szCs w:val="20"/>
          <w:bdr w:val="none" w:sz="0" w:space="0" w:color="auto"/>
          <w:lang w:val="es-ES"/>
        </w:rPr>
      </w:pPr>
    </w:p>
    <w:p w14:paraId="737E0D10" w14:textId="77777777" w:rsidR="00170924" w:rsidRPr="0011380E" w:rsidRDefault="00282B1F" w:rsidP="00F70D1B">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También se encuentra acreditado que l</w:t>
      </w:r>
      <w:r w:rsidR="00170924" w:rsidRPr="0011380E">
        <w:rPr>
          <w:rFonts w:asciiTheme="majorHAnsi" w:hAnsiTheme="majorHAnsi"/>
          <w:color w:val="auto"/>
          <w:szCs w:val="20"/>
          <w:bdr w:val="none" w:sz="0" w:space="0" w:color="auto"/>
          <w:lang w:val="es-ES"/>
        </w:rPr>
        <w:t>as mujeres</w:t>
      </w:r>
      <w:r w:rsidR="003641DB" w:rsidRPr="0011380E">
        <w:rPr>
          <w:rFonts w:asciiTheme="majorHAnsi" w:hAnsiTheme="majorHAnsi"/>
          <w:color w:val="auto"/>
          <w:szCs w:val="20"/>
          <w:bdr w:val="none" w:sz="0" w:space="0" w:color="auto"/>
          <w:lang w:val="es-ES"/>
        </w:rPr>
        <w:t xml:space="preserve"> capturadas y detenidas</w:t>
      </w:r>
      <w:r w:rsidR="003641DB" w:rsidRPr="0011380E">
        <w:rPr>
          <w:rStyle w:val="FootnoteReference"/>
          <w:rFonts w:asciiTheme="majorHAnsi" w:hAnsiTheme="majorHAnsi"/>
          <w:color w:val="auto"/>
          <w:szCs w:val="20"/>
          <w:bdr w:val="none" w:sz="0" w:space="0" w:color="auto"/>
          <w:lang w:val="es-ES"/>
        </w:rPr>
        <w:footnoteReference w:id="152"/>
      </w:r>
      <w:r w:rsidR="00170924" w:rsidRPr="0011380E">
        <w:rPr>
          <w:rFonts w:asciiTheme="majorHAnsi" w:hAnsiTheme="majorHAnsi"/>
          <w:color w:val="auto"/>
          <w:szCs w:val="20"/>
          <w:bdr w:val="none" w:sz="0" w:space="0" w:color="auto"/>
          <w:lang w:val="es-ES"/>
        </w:rPr>
        <w:t xml:space="preserve"> </w:t>
      </w:r>
      <w:r w:rsidRPr="0011380E">
        <w:rPr>
          <w:rFonts w:asciiTheme="majorHAnsi" w:hAnsiTheme="majorHAnsi"/>
          <w:color w:val="auto"/>
          <w:szCs w:val="20"/>
          <w:bdr w:val="none" w:sz="0" w:space="0" w:color="auto"/>
          <w:lang w:val="es-ES"/>
        </w:rPr>
        <w:t xml:space="preserve">fueron </w:t>
      </w:r>
      <w:r w:rsidR="00F70D1B" w:rsidRPr="0011380E">
        <w:rPr>
          <w:rFonts w:asciiTheme="majorHAnsi" w:hAnsiTheme="majorHAnsi"/>
          <w:color w:val="auto"/>
          <w:szCs w:val="20"/>
          <w:bdr w:val="none" w:sz="0" w:space="0" w:color="auto"/>
          <w:lang w:val="es-ES"/>
        </w:rPr>
        <w:t xml:space="preserve">víctimas de particulares insultos y fueron </w:t>
      </w:r>
      <w:r w:rsidR="00E04B89" w:rsidRPr="0011380E">
        <w:rPr>
          <w:rFonts w:asciiTheme="majorHAnsi" w:hAnsiTheme="majorHAnsi"/>
          <w:color w:val="auto"/>
          <w:szCs w:val="20"/>
          <w:bdr w:val="none" w:sz="0" w:space="0" w:color="auto"/>
          <w:lang w:val="es-ES"/>
        </w:rPr>
        <w:t>obligadas a desnudarse y a abrir</w:t>
      </w:r>
      <w:r w:rsidR="00F70D1B" w:rsidRPr="0011380E">
        <w:rPr>
          <w:rFonts w:asciiTheme="majorHAnsi" w:hAnsiTheme="majorHAnsi"/>
          <w:color w:val="auto"/>
          <w:szCs w:val="20"/>
          <w:bdr w:val="none" w:sz="0" w:space="0" w:color="auto"/>
          <w:lang w:val="es-ES"/>
        </w:rPr>
        <w:t>se</w:t>
      </w:r>
      <w:r w:rsidR="00E04B89" w:rsidRPr="0011380E">
        <w:rPr>
          <w:rFonts w:asciiTheme="majorHAnsi" w:hAnsiTheme="majorHAnsi"/>
          <w:color w:val="auto"/>
          <w:szCs w:val="20"/>
          <w:bdr w:val="none" w:sz="0" w:space="0" w:color="auto"/>
          <w:lang w:val="es-ES"/>
        </w:rPr>
        <w:t xml:space="preserve"> </w:t>
      </w:r>
      <w:r w:rsidR="00F70D1B" w:rsidRPr="0011380E">
        <w:rPr>
          <w:rFonts w:asciiTheme="majorHAnsi" w:hAnsiTheme="majorHAnsi"/>
          <w:color w:val="auto"/>
          <w:szCs w:val="20"/>
          <w:bdr w:val="none" w:sz="0" w:space="0" w:color="auto"/>
          <w:lang w:val="es-ES"/>
        </w:rPr>
        <w:t>de</w:t>
      </w:r>
      <w:r w:rsidR="00E04B89" w:rsidRPr="0011380E">
        <w:rPr>
          <w:rFonts w:asciiTheme="majorHAnsi" w:hAnsiTheme="majorHAnsi"/>
          <w:color w:val="auto"/>
          <w:szCs w:val="20"/>
          <w:bdr w:val="none" w:sz="0" w:space="0" w:color="auto"/>
          <w:lang w:val="es-ES"/>
        </w:rPr>
        <w:t xml:space="preserve"> piernas, </w:t>
      </w:r>
      <w:r w:rsidR="00F70D1B" w:rsidRPr="0011380E">
        <w:rPr>
          <w:rFonts w:asciiTheme="majorHAnsi" w:hAnsiTheme="majorHAnsi"/>
          <w:color w:val="auto"/>
          <w:szCs w:val="20"/>
          <w:bdr w:val="none" w:sz="0" w:space="0" w:color="auto"/>
          <w:lang w:val="es-US"/>
        </w:rPr>
        <w:t>siendo además víctimas de toca</w:t>
      </w:r>
      <w:r w:rsidR="00466A7E" w:rsidRPr="0011380E">
        <w:rPr>
          <w:rFonts w:asciiTheme="majorHAnsi" w:hAnsiTheme="majorHAnsi"/>
          <w:color w:val="auto"/>
          <w:szCs w:val="20"/>
          <w:bdr w:val="none" w:sz="0" w:space="0" w:color="auto"/>
          <w:lang w:val="es-US"/>
        </w:rPr>
        <w:t>mientos</w:t>
      </w:r>
      <w:r w:rsidR="00F70D1B" w:rsidRPr="0011380E">
        <w:rPr>
          <w:rFonts w:asciiTheme="majorHAnsi" w:hAnsiTheme="majorHAnsi"/>
          <w:color w:val="auto"/>
          <w:szCs w:val="20"/>
          <w:bdr w:val="none" w:sz="0" w:space="0" w:color="auto"/>
          <w:lang w:val="es-US"/>
        </w:rPr>
        <w:t xml:space="preserve"> e introducción de dedos y armas en sus genitales,</w:t>
      </w:r>
      <w:r w:rsidR="00F70D1B" w:rsidRPr="0011380E">
        <w:rPr>
          <w:rFonts w:asciiTheme="majorHAnsi" w:hAnsiTheme="majorHAnsi"/>
          <w:color w:val="auto"/>
          <w:szCs w:val="20"/>
          <w:bdr w:val="none" w:sz="0" w:space="0" w:color="auto"/>
          <w:lang w:val="es-ES"/>
        </w:rPr>
        <w:t xml:space="preserve"> </w:t>
      </w:r>
      <w:r w:rsidRPr="0011380E">
        <w:rPr>
          <w:rFonts w:asciiTheme="majorHAnsi" w:hAnsiTheme="majorHAnsi"/>
          <w:color w:val="auto"/>
          <w:szCs w:val="20"/>
          <w:bdr w:val="none" w:sz="0" w:space="0" w:color="auto"/>
          <w:lang w:val="es-ES"/>
        </w:rPr>
        <w:t xml:space="preserve">tanto en sus hogares al momento de la </w:t>
      </w:r>
      <w:r w:rsidR="00C50D09" w:rsidRPr="0011380E">
        <w:rPr>
          <w:rFonts w:asciiTheme="majorHAnsi" w:hAnsiTheme="majorHAnsi"/>
          <w:color w:val="auto"/>
          <w:szCs w:val="20"/>
          <w:bdr w:val="none" w:sz="0" w:space="0" w:color="auto"/>
          <w:lang w:val="es-ES"/>
        </w:rPr>
        <w:t>captura</w:t>
      </w:r>
      <w:r w:rsidRPr="0011380E">
        <w:rPr>
          <w:rFonts w:asciiTheme="majorHAnsi" w:hAnsiTheme="majorHAnsi"/>
          <w:color w:val="auto"/>
          <w:szCs w:val="20"/>
          <w:bdr w:val="none" w:sz="0" w:space="0" w:color="auto"/>
          <w:lang w:val="es-ES"/>
        </w:rPr>
        <w:t xml:space="preserve"> como durante la</w:t>
      </w:r>
      <w:r w:rsidR="00C50D09" w:rsidRPr="0011380E">
        <w:rPr>
          <w:rFonts w:asciiTheme="majorHAnsi" w:hAnsiTheme="majorHAnsi"/>
          <w:color w:val="auto"/>
          <w:szCs w:val="20"/>
          <w:bdr w:val="none" w:sz="0" w:space="0" w:color="auto"/>
          <w:lang w:val="es-ES"/>
        </w:rPr>
        <w:t xml:space="preserve"> detención</w:t>
      </w:r>
      <w:r w:rsidR="00170924" w:rsidRPr="0011380E">
        <w:rPr>
          <w:rFonts w:asciiTheme="majorHAnsi" w:hAnsiTheme="majorHAnsi"/>
          <w:color w:val="auto"/>
          <w:szCs w:val="20"/>
          <w:bdr w:val="none" w:sz="0" w:space="0" w:color="auto"/>
          <w:lang w:val="es-ES"/>
        </w:rPr>
        <w:t xml:space="preserve">. </w:t>
      </w:r>
      <w:r w:rsidRPr="0011380E">
        <w:rPr>
          <w:rFonts w:asciiTheme="majorHAnsi" w:hAnsiTheme="majorHAnsi"/>
          <w:color w:val="auto"/>
          <w:szCs w:val="20"/>
          <w:bdr w:val="none" w:sz="0" w:space="0" w:color="auto"/>
          <w:lang w:val="es-ES"/>
        </w:rPr>
        <w:t xml:space="preserve">Además, </w:t>
      </w:r>
      <w:r w:rsidR="00170924" w:rsidRPr="0011380E">
        <w:rPr>
          <w:rFonts w:asciiTheme="majorHAnsi" w:hAnsiTheme="majorHAnsi"/>
          <w:color w:val="auto"/>
          <w:szCs w:val="20"/>
          <w:bdr w:val="none" w:sz="0" w:space="0" w:color="auto"/>
          <w:lang w:val="es-ES"/>
        </w:rPr>
        <w:t xml:space="preserve">Francis Primentela Merino perdió un embarazo y no recibió atención médica oportuna. </w:t>
      </w:r>
      <w:r w:rsidRPr="0011380E">
        <w:rPr>
          <w:rFonts w:asciiTheme="majorHAnsi" w:hAnsiTheme="majorHAnsi"/>
          <w:color w:val="auto"/>
          <w:szCs w:val="20"/>
          <w:bdr w:val="none" w:sz="0" w:space="0" w:color="auto"/>
          <w:lang w:val="es-ES"/>
        </w:rPr>
        <w:t>Tales actos fueron realizados cuando las mujeres se encontraban sujetas al completo control del poder de agentes del Estado, estando absolutamente indefensas</w:t>
      </w:r>
      <w:r w:rsidR="00E04B89" w:rsidRPr="0011380E">
        <w:rPr>
          <w:rFonts w:asciiTheme="majorHAnsi" w:hAnsiTheme="majorHAnsi"/>
          <w:color w:val="auto"/>
          <w:szCs w:val="20"/>
          <w:bdr w:val="none" w:sz="0" w:space="0" w:color="auto"/>
          <w:lang w:val="es-ES"/>
        </w:rPr>
        <w:t xml:space="preserve">. </w:t>
      </w:r>
      <w:r w:rsidR="00F70D1B" w:rsidRPr="0011380E">
        <w:rPr>
          <w:rFonts w:asciiTheme="majorHAnsi" w:hAnsiTheme="majorHAnsi"/>
          <w:color w:val="auto"/>
          <w:szCs w:val="20"/>
          <w:bdr w:val="none" w:sz="0" w:space="0" w:color="auto"/>
          <w:lang w:val="es-ES"/>
        </w:rPr>
        <w:t xml:space="preserve">Conforme a los estándares antes </w:t>
      </w:r>
      <w:r w:rsidR="00F70D1B" w:rsidRPr="0011380E">
        <w:rPr>
          <w:rFonts w:asciiTheme="majorHAnsi" w:hAnsiTheme="majorHAnsi"/>
          <w:color w:val="auto"/>
          <w:szCs w:val="20"/>
          <w:bdr w:val="none" w:sz="0" w:space="0" w:color="auto"/>
          <w:lang w:val="es-ES"/>
        </w:rPr>
        <w:lastRenderedPageBreak/>
        <w:t>referidos, tales</w:t>
      </w:r>
      <w:r w:rsidR="00E04B89" w:rsidRPr="0011380E">
        <w:rPr>
          <w:rFonts w:asciiTheme="majorHAnsi" w:hAnsiTheme="majorHAnsi"/>
          <w:color w:val="auto"/>
          <w:szCs w:val="20"/>
          <w:bdr w:val="none" w:sz="0" w:space="0" w:color="auto"/>
          <w:lang w:val="es-ES"/>
        </w:rPr>
        <w:t xml:space="preserve"> vejaciones </w:t>
      </w:r>
      <w:r w:rsidR="00F70D1B" w:rsidRPr="0011380E">
        <w:rPr>
          <w:rFonts w:asciiTheme="majorHAnsi" w:hAnsiTheme="majorHAnsi"/>
          <w:color w:val="auto"/>
          <w:szCs w:val="20"/>
          <w:bdr w:val="none" w:sz="0" w:space="0" w:color="auto"/>
          <w:lang w:val="es-ES"/>
        </w:rPr>
        <w:t xml:space="preserve">constituyen violencia y violación sexual, </w:t>
      </w:r>
      <w:r w:rsidR="00172F6D" w:rsidRPr="0011380E">
        <w:rPr>
          <w:rFonts w:asciiTheme="majorHAnsi" w:hAnsiTheme="majorHAnsi"/>
          <w:color w:val="auto"/>
          <w:szCs w:val="20"/>
          <w:bdr w:val="none" w:sz="0" w:space="0" w:color="auto"/>
          <w:lang w:val="es-ES"/>
        </w:rPr>
        <w:t xml:space="preserve">las que fueron dirigidas en contra de ellas por ser mujeres </w:t>
      </w:r>
      <w:r w:rsidR="00C50D09" w:rsidRPr="0011380E">
        <w:rPr>
          <w:rFonts w:asciiTheme="majorHAnsi" w:hAnsiTheme="majorHAnsi"/>
          <w:color w:val="auto"/>
          <w:szCs w:val="20"/>
          <w:bdr w:val="none" w:sz="0" w:space="0" w:color="auto"/>
          <w:lang w:val="es-ES"/>
        </w:rPr>
        <w:t xml:space="preserve">y en su condición de tales, </w:t>
      </w:r>
      <w:r w:rsidR="00172F6D" w:rsidRPr="0011380E">
        <w:rPr>
          <w:rFonts w:asciiTheme="majorHAnsi" w:hAnsiTheme="majorHAnsi"/>
          <w:color w:val="auto"/>
          <w:szCs w:val="20"/>
          <w:bdr w:val="none" w:sz="0" w:space="0" w:color="auto"/>
          <w:lang w:val="es-ES"/>
        </w:rPr>
        <w:t xml:space="preserve">afectándoles de manera desproporcionada y </w:t>
      </w:r>
      <w:r w:rsidR="00F70D1B" w:rsidRPr="0011380E">
        <w:rPr>
          <w:rFonts w:asciiTheme="majorHAnsi" w:hAnsiTheme="majorHAnsi"/>
          <w:color w:val="auto"/>
          <w:szCs w:val="20"/>
          <w:bdr w:val="none" w:sz="0" w:space="0" w:color="auto"/>
          <w:lang w:val="es-ES"/>
        </w:rPr>
        <w:t>ocasion</w:t>
      </w:r>
      <w:r w:rsidR="00172F6D" w:rsidRPr="0011380E">
        <w:rPr>
          <w:rFonts w:asciiTheme="majorHAnsi" w:hAnsiTheme="majorHAnsi"/>
          <w:color w:val="auto"/>
          <w:szCs w:val="20"/>
          <w:bdr w:val="none" w:sz="0" w:space="0" w:color="auto"/>
          <w:lang w:val="es-ES"/>
        </w:rPr>
        <w:t xml:space="preserve">ándoles </w:t>
      </w:r>
      <w:r w:rsidR="00F70D1B" w:rsidRPr="0011380E">
        <w:rPr>
          <w:rFonts w:asciiTheme="majorHAnsi" w:hAnsiTheme="majorHAnsi"/>
          <w:color w:val="auto"/>
          <w:szCs w:val="20"/>
          <w:bdr w:val="none" w:sz="0" w:space="0" w:color="auto"/>
          <w:lang w:val="es-ES"/>
        </w:rPr>
        <w:t>un grave sufrimiento psicológico y moral</w:t>
      </w:r>
      <w:r w:rsidR="00172F6D" w:rsidRPr="0011380E">
        <w:rPr>
          <w:rFonts w:asciiTheme="majorHAnsi" w:hAnsiTheme="majorHAnsi"/>
          <w:color w:val="auto"/>
          <w:szCs w:val="20"/>
          <w:bdr w:val="none" w:sz="0" w:space="0" w:color="auto"/>
          <w:lang w:val="es-ES"/>
        </w:rPr>
        <w:t>,</w:t>
      </w:r>
      <w:r w:rsidR="00F70D1B" w:rsidRPr="0011380E">
        <w:rPr>
          <w:rFonts w:asciiTheme="majorHAnsi" w:hAnsiTheme="majorHAnsi"/>
          <w:color w:val="auto"/>
          <w:szCs w:val="20"/>
          <w:bdr w:val="none" w:sz="0" w:space="0" w:color="auto"/>
          <w:lang w:val="es-ES"/>
        </w:rPr>
        <w:t xml:space="preserve"> que se añad</w:t>
      </w:r>
      <w:r w:rsidR="00B40BD0" w:rsidRPr="0011380E">
        <w:rPr>
          <w:rFonts w:asciiTheme="majorHAnsi" w:hAnsiTheme="majorHAnsi"/>
          <w:color w:val="auto"/>
          <w:szCs w:val="20"/>
          <w:bdr w:val="none" w:sz="0" w:space="0" w:color="auto"/>
          <w:lang w:val="es-ES"/>
        </w:rPr>
        <w:t>e</w:t>
      </w:r>
      <w:r w:rsidR="00F70D1B" w:rsidRPr="0011380E">
        <w:rPr>
          <w:rFonts w:asciiTheme="majorHAnsi" w:hAnsiTheme="majorHAnsi"/>
          <w:color w:val="auto"/>
          <w:szCs w:val="20"/>
          <w:bdr w:val="none" w:sz="0" w:space="0" w:color="auto"/>
          <w:lang w:val="es-ES"/>
        </w:rPr>
        <w:t xml:space="preserve"> al sufrimiento físico sufrido</w:t>
      </w:r>
      <w:r w:rsidR="00172F6D" w:rsidRPr="0011380E">
        <w:rPr>
          <w:rFonts w:asciiTheme="majorHAnsi" w:hAnsiTheme="majorHAnsi"/>
          <w:color w:val="auto"/>
          <w:szCs w:val="20"/>
          <w:bdr w:val="none" w:sz="0" w:space="0" w:color="auto"/>
          <w:lang w:val="es-ES"/>
        </w:rPr>
        <w:t xml:space="preserve">. </w:t>
      </w:r>
      <w:r w:rsidR="00C50D09" w:rsidRPr="0011380E">
        <w:rPr>
          <w:rFonts w:asciiTheme="majorHAnsi" w:hAnsiTheme="majorHAnsi"/>
          <w:color w:val="auto"/>
          <w:szCs w:val="20"/>
          <w:bdr w:val="none" w:sz="0" w:space="0" w:color="auto"/>
          <w:lang w:val="es-ES"/>
        </w:rPr>
        <w:t>D</w:t>
      </w:r>
      <w:r w:rsidR="00172F6D" w:rsidRPr="0011380E">
        <w:rPr>
          <w:rFonts w:asciiTheme="majorHAnsi" w:hAnsiTheme="majorHAnsi"/>
          <w:color w:val="auto"/>
          <w:szCs w:val="20"/>
          <w:bdr w:val="none" w:sz="0" w:space="0" w:color="auto"/>
          <w:lang w:val="es-ES"/>
        </w:rPr>
        <w:t>ichos actos atentaron directamente en contra de la dignidad de esas mujeres y constituyen</w:t>
      </w:r>
      <w:r w:rsidR="009669D6" w:rsidRPr="0011380E">
        <w:rPr>
          <w:rFonts w:asciiTheme="majorHAnsi" w:hAnsiTheme="majorHAnsi"/>
          <w:color w:val="auto"/>
          <w:szCs w:val="20"/>
          <w:bdr w:val="none" w:sz="0" w:space="0" w:color="auto"/>
          <w:lang w:val="es-ES"/>
        </w:rPr>
        <w:t xml:space="preserve"> graves actos de tortura y de violencia </w:t>
      </w:r>
      <w:r w:rsidR="00172F6D" w:rsidRPr="0011380E">
        <w:rPr>
          <w:rFonts w:asciiTheme="majorHAnsi" w:hAnsiTheme="majorHAnsi"/>
          <w:color w:val="auto"/>
          <w:szCs w:val="20"/>
          <w:bdr w:val="none" w:sz="0" w:space="0" w:color="auto"/>
          <w:lang w:val="es-ES"/>
        </w:rPr>
        <w:t>contra la mujer.</w:t>
      </w:r>
    </w:p>
    <w:p w14:paraId="45C82442" w14:textId="77777777" w:rsidR="00170924" w:rsidRPr="0011380E" w:rsidRDefault="00170924" w:rsidP="003F7120">
      <w:pPr>
        <w:pStyle w:val="ListParagraph"/>
        <w:numPr>
          <w:ilvl w:val="0"/>
          <w:numId w:val="0"/>
        </w:numPr>
        <w:rPr>
          <w:rFonts w:asciiTheme="majorHAnsi" w:hAnsiTheme="majorHAnsi"/>
          <w:color w:val="auto"/>
          <w:szCs w:val="20"/>
          <w:bdr w:val="none" w:sz="0" w:space="0" w:color="auto"/>
          <w:lang w:val="es-ES"/>
        </w:rPr>
      </w:pPr>
    </w:p>
    <w:p w14:paraId="2A23E526" w14:textId="77777777" w:rsidR="00FF1F17" w:rsidRPr="0011380E" w:rsidRDefault="00170924" w:rsidP="00FF1F17">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bdr w:val="none" w:sz="0" w:space="0" w:color="auto"/>
          <w:lang w:val="es-ES"/>
        </w:rPr>
        <w:t xml:space="preserve">Por último, </w:t>
      </w:r>
      <w:r w:rsidR="003F7120" w:rsidRPr="0011380E">
        <w:rPr>
          <w:rFonts w:asciiTheme="majorHAnsi" w:hAnsiTheme="majorHAnsi"/>
          <w:color w:val="auto"/>
          <w:szCs w:val="20"/>
          <w:bdr w:val="none" w:sz="0" w:space="0" w:color="auto"/>
          <w:lang w:val="es-US"/>
        </w:rPr>
        <w:t xml:space="preserve">Genaro Ahuacho Luna o </w:t>
      </w:r>
      <w:r w:rsidR="00C656E1" w:rsidRPr="0011380E">
        <w:rPr>
          <w:rFonts w:asciiTheme="majorHAnsi" w:hAnsiTheme="majorHAnsi"/>
          <w:color w:val="auto"/>
          <w:szCs w:val="20"/>
          <w:bdr w:val="none" w:sz="0" w:space="0" w:color="auto"/>
          <w:lang w:val="es-ES"/>
        </w:rPr>
        <w:t xml:space="preserve">Walter Herrera </w:t>
      </w:r>
      <w:r w:rsidR="003F7120" w:rsidRPr="0011380E">
        <w:rPr>
          <w:rFonts w:asciiTheme="majorHAnsi" w:hAnsiTheme="majorHAnsi"/>
          <w:color w:val="auto"/>
          <w:szCs w:val="20"/>
          <w:bdr w:val="none" w:sz="0" w:space="0" w:color="auto"/>
          <w:lang w:val="es-ES"/>
        </w:rPr>
        <w:t>Flores</w:t>
      </w:r>
      <w:r w:rsidR="00FF1F17" w:rsidRPr="0011380E">
        <w:rPr>
          <w:rFonts w:asciiTheme="majorHAnsi" w:hAnsiTheme="majorHAnsi"/>
          <w:color w:val="auto"/>
          <w:szCs w:val="20"/>
          <w:bdr w:val="none" w:sz="0" w:space="0" w:color="auto"/>
          <w:lang w:val="es-ES"/>
        </w:rPr>
        <w:t xml:space="preserve"> o Walter Herrera Ríos,</w:t>
      </w:r>
      <w:r w:rsidR="00C656E1" w:rsidRPr="0011380E">
        <w:rPr>
          <w:rFonts w:asciiTheme="majorHAnsi" w:hAnsiTheme="majorHAnsi"/>
          <w:color w:val="auto"/>
          <w:szCs w:val="20"/>
          <w:bdr w:val="none" w:sz="0" w:space="0" w:color="auto"/>
          <w:lang w:val="es-ES"/>
        </w:rPr>
        <w:t xml:space="preserve"> falleció mientras se encontraba recluido en el penal de Chonchocoro</w:t>
      </w:r>
      <w:r w:rsidR="003F7120" w:rsidRPr="0011380E">
        <w:rPr>
          <w:rFonts w:asciiTheme="majorHAnsi" w:hAnsiTheme="majorHAnsi"/>
          <w:color w:val="auto"/>
          <w:szCs w:val="20"/>
          <w:bdr w:val="none" w:sz="0" w:space="0" w:color="auto"/>
          <w:lang w:val="es-ES"/>
        </w:rPr>
        <w:t xml:space="preserve">, </w:t>
      </w:r>
      <w:r w:rsidR="0078045D" w:rsidRPr="0011380E">
        <w:rPr>
          <w:rFonts w:asciiTheme="majorHAnsi" w:hAnsiTheme="majorHAnsi"/>
          <w:color w:val="auto"/>
          <w:szCs w:val="20"/>
          <w:bdr w:val="none" w:sz="0" w:space="0" w:color="auto"/>
          <w:lang w:val="es-ES"/>
        </w:rPr>
        <w:t>tras haber ingresado</w:t>
      </w:r>
      <w:r w:rsidR="003F7120" w:rsidRPr="0011380E">
        <w:rPr>
          <w:rFonts w:asciiTheme="majorHAnsi" w:hAnsiTheme="majorHAnsi"/>
          <w:color w:val="auto"/>
          <w:szCs w:val="20"/>
          <w:bdr w:val="none" w:sz="0" w:space="0" w:color="auto"/>
          <w:lang w:val="es-ES"/>
        </w:rPr>
        <w:t xml:space="preserve"> al penal </w:t>
      </w:r>
      <w:r w:rsidR="0078045D" w:rsidRPr="0011380E">
        <w:rPr>
          <w:rFonts w:asciiTheme="majorHAnsi" w:hAnsiTheme="majorHAnsi"/>
          <w:color w:val="auto"/>
          <w:szCs w:val="20"/>
          <w:bdr w:val="none" w:sz="0" w:space="0" w:color="auto"/>
          <w:lang w:val="es-ES"/>
        </w:rPr>
        <w:t>con severos golpes y vejaciones propinados</w:t>
      </w:r>
      <w:r w:rsidR="00B40BD0" w:rsidRPr="0011380E">
        <w:rPr>
          <w:rFonts w:asciiTheme="majorHAnsi" w:hAnsiTheme="majorHAnsi"/>
          <w:color w:val="auto"/>
          <w:szCs w:val="20"/>
          <w:bdr w:val="none" w:sz="0" w:space="0" w:color="auto"/>
          <w:lang w:val="es-ES"/>
        </w:rPr>
        <w:t xml:space="preserve"> </w:t>
      </w:r>
      <w:r w:rsidR="00A24C82" w:rsidRPr="0011380E">
        <w:rPr>
          <w:rFonts w:asciiTheme="majorHAnsi" w:hAnsiTheme="majorHAnsi"/>
          <w:color w:val="auto"/>
          <w:szCs w:val="20"/>
          <w:bdr w:val="none" w:sz="0" w:space="0" w:color="auto"/>
          <w:lang w:val="es-ES"/>
        </w:rPr>
        <w:t xml:space="preserve">por </w:t>
      </w:r>
      <w:r w:rsidR="00B40BD0" w:rsidRPr="0011380E">
        <w:rPr>
          <w:rFonts w:asciiTheme="majorHAnsi" w:hAnsiTheme="majorHAnsi"/>
          <w:color w:val="auto"/>
          <w:szCs w:val="20"/>
          <w:bdr w:val="none" w:sz="0" w:space="0" w:color="auto"/>
          <w:lang w:val="es-ES"/>
        </w:rPr>
        <w:t xml:space="preserve">agentes del Estado durante su captura, pero </w:t>
      </w:r>
      <w:r w:rsidR="003F7120" w:rsidRPr="0011380E">
        <w:rPr>
          <w:rFonts w:asciiTheme="majorHAnsi" w:hAnsiTheme="majorHAnsi"/>
          <w:color w:val="auto"/>
          <w:szCs w:val="20"/>
          <w:bdr w:val="none" w:sz="0" w:space="0" w:color="auto"/>
          <w:lang w:val="es-ES"/>
        </w:rPr>
        <w:t xml:space="preserve">sin antecedentes de </w:t>
      </w:r>
      <w:r w:rsidR="00B976DF" w:rsidRPr="0011380E">
        <w:rPr>
          <w:rFonts w:asciiTheme="majorHAnsi" w:hAnsiTheme="majorHAnsi"/>
          <w:color w:val="auto"/>
          <w:szCs w:val="20"/>
          <w:bdr w:val="none" w:sz="0" w:space="0" w:color="auto"/>
          <w:lang w:val="es-ES"/>
        </w:rPr>
        <w:t xml:space="preserve">salud que pudieran explicar lo sucedido. No consta que el Estado hubiera brindado atención en salud a esta persona antes de su muerte y tampoco </w:t>
      </w:r>
      <w:r w:rsidR="003F7120" w:rsidRPr="0011380E">
        <w:rPr>
          <w:rFonts w:asciiTheme="majorHAnsi" w:hAnsiTheme="majorHAnsi"/>
          <w:color w:val="auto"/>
          <w:szCs w:val="20"/>
          <w:bdr w:val="none" w:sz="0" w:space="0" w:color="auto"/>
          <w:lang w:val="es-ES"/>
        </w:rPr>
        <w:t>ha otorgado una explicación satisfactoria ni convincente de lo sucedido,</w:t>
      </w:r>
      <w:r w:rsidR="0087651B" w:rsidRPr="0011380E">
        <w:rPr>
          <w:rFonts w:asciiTheme="majorHAnsi" w:hAnsiTheme="majorHAnsi"/>
          <w:color w:val="auto"/>
          <w:szCs w:val="20"/>
          <w:bdr w:val="none" w:sz="0" w:space="0" w:color="auto"/>
          <w:lang w:val="es-ES"/>
        </w:rPr>
        <w:t xml:space="preserve"> por lo que </w:t>
      </w:r>
      <w:r w:rsidR="00FF1F17" w:rsidRPr="0011380E">
        <w:rPr>
          <w:rFonts w:asciiTheme="majorHAnsi" w:hAnsiTheme="majorHAnsi"/>
          <w:color w:val="auto"/>
          <w:szCs w:val="20"/>
          <w:bdr w:val="none" w:sz="0" w:space="0" w:color="auto"/>
          <w:lang w:val="es-ES"/>
        </w:rPr>
        <w:t xml:space="preserve">también </w:t>
      </w:r>
      <w:r w:rsidR="003F7120" w:rsidRPr="0011380E">
        <w:rPr>
          <w:rFonts w:asciiTheme="majorHAnsi" w:hAnsiTheme="majorHAnsi"/>
          <w:color w:val="auto"/>
          <w:szCs w:val="20"/>
          <w:bdr w:val="none" w:sz="0" w:space="0" w:color="auto"/>
          <w:lang w:val="es-ES"/>
        </w:rPr>
        <w:t>resulta responsable de la violaci</w:t>
      </w:r>
      <w:r w:rsidR="00FF1F17" w:rsidRPr="0011380E">
        <w:rPr>
          <w:rFonts w:asciiTheme="majorHAnsi" w:hAnsiTheme="majorHAnsi"/>
          <w:color w:val="auto"/>
          <w:szCs w:val="20"/>
          <w:bdr w:val="none" w:sz="0" w:space="0" w:color="auto"/>
          <w:lang w:val="es-ES"/>
        </w:rPr>
        <w:t>ón al derecho a la vida</w:t>
      </w:r>
      <w:r w:rsidR="00C50D09" w:rsidRPr="0011380E">
        <w:rPr>
          <w:rFonts w:asciiTheme="majorHAnsi" w:hAnsiTheme="majorHAnsi"/>
          <w:color w:val="auto"/>
          <w:szCs w:val="20"/>
          <w:bdr w:val="none" w:sz="0" w:space="0" w:color="auto"/>
          <w:lang w:val="es-ES"/>
        </w:rPr>
        <w:t xml:space="preserve"> de est</w:t>
      </w:r>
      <w:r w:rsidR="00CD7B9A" w:rsidRPr="0011380E">
        <w:rPr>
          <w:rFonts w:asciiTheme="majorHAnsi" w:hAnsiTheme="majorHAnsi"/>
          <w:color w:val="auto"/>
          <w:szCs w:val="20"/>
          <w:bdr w:val="none" w:sz="0" w:space="0" w:color="auto"/>
          <w:lang w:val="es-ES"/>
        </w:rPr>
        <w:t>a persona</w:t>
      </w:r>
      <w:r w:rsidR="00FF1F17" w:rsidRPr="0011380E">
        <w:rPr>
          <w:rFonts w:asciiTheme="majorHAnsi" w:hAnsiTheme="majorHAnsi"/>
          <w:color w:val="auto"/>
          <w:szCs w:val="20"/>
          <w:bdr w:val="none" w:sz="0" w:space="0" w:color="auto"/>
          <w:lang w:val="es-ES"/>
        </w:rPr>
        <w:t>.</w:t>
      </w:r>
    </w:p>
    <w:p w14:paraId="3E1AAF3B" w14:textId="77777777" w:rsidR="00FF1F17" w:rsidRPr="0011380E" w:rsidRDefault="00FF1F17" w:rsidP="00FF1F17">
      <w:pPr>
        <w:pStyle w:val="ListParagraph"/>
        <w:numPr>
          <w:ilvl w:val="0"/>
          <w:numId w:val="0"/>
        </w:numPr>
        <w:rPr>
          <w:rFonts w:asciiTheme="majorHAnsi" w:hAnsiTheme="majorHAnsi"/>
          <w:color w:val="auto"/>
          <w:szCs w:val="20"/>
          <w:lang w:val="es-US"/>
        </w:rPr>
      </w:pPr>
    </w:p>
    <w:p w14:paraId="20C14EC4" w14:textId="77777777" w:rsidR="00643722" w:rsidRPr="00643722" w:rsidRDefault="00442F73" w:rsidP="00643722">
      <w:pPr>
        <w:pStyle w:val="ListParagraph"/>
        <w:rPr>
          <w:rFonts w:asciiTheme="majorHAnsi" w:hAnsiTheme="majorHAnsi"/>
          <w:color w:val="auto"/>
          <w:szCs w:val="20"/>
          <w:bdr w:val="none" w:sz="0" w:space="0" w:color="auto"/>
          <w:lang w:val="es-ES"/>
        </w:rPr>
      </w:pPr>
      <w:r w:rsidRPr="0011380E">
        <w:rPr>
          <w:rFonts w:asciiTheme="majorHAnsi" w:hAnsiTheme="majorHAnsi"/>
          <w:color w:val="auto"/>
          <w:szCs w:val="20"/>
          <w:lang w:val="es-US"/>
        </w:rPr>
        <w:t>En virtud de lo anterior, la Comisión concluye que el</w:t>
      </w:r>
      <w:r w:rsidR="002C74C2" w:rsidRPr="0011380E">
        <w:rPr>
          <w:rFonts w:asciiTheme="majorHAnsi" w:hAnsiTheme="majorHAnsi"/>
          <w:color w:val="auto"/>
          <w:szCs w:val="20"/>
          <w:lang w:val="es-US"/>
        </w:rPr>
        <w:t xml:space="preserve"> Estado de </w:t>
      </w:r>
      <w:r w:rsidR="00976227" w:rsidRPr="0011380E">
        <w:rPr>
          <w:rFonts w:asciiTheme="majorHAnsi" w:hAnsiTheme="majorHAnsi"/>
          <w:color w:val="auto"/>
          <w:szCs w:val="20"/>
          <w:lang w:val="es-US"/>
        </w:rPr>
        <w:t>Bolivia</w:t>
      </w:r>
      <w:r w:rsidRPr="0011380E">
        <w:rPr>
          <w:rFonts w:asciiTheme="majorHAnsi" w:hAnsiTheme="majorHAnsi"/>
          <w:color w:val="auto"/>
          <w:szCs w:val="20"/>
          <w:lang w:val="es-US"/>
        </w:rPr>
        <w:t xml:space="preserve"> violó los derechos a la vida, a la integridad personal</w:t>
      </w:r>
      <w:r w:rsidR="00FF1F17" w:rsidRPr="0011380E">
        <w:rPr>
          <w:rFonts w:asciiTheme="majorHAnsi" w:hAnsiTheme="majorHAnsi"/>
          <w:color w:val="auto"/>
          <w:szCs w:val="20"/>
          <w:lang w:val="es-US"/>
        </w:rPr>
        <w:t xml:space="preserve">, </w:t>
      </w:r>
      <w:r w:rsidR="006C589D" w:rsidRPr="0011380E">
        <w:rPr>
          <w:rFonts w:asciiTheme="majorHAnsi" w:hAnsiTheme="majorHAnsi"/>
          <w:color w:val="auto"/>
          <w:szCs w:val="20"/>
          <w:lang w:val="es-US"/>
        </w:rPr>
        <w:t xml:space="preserve">vida privada, autonomía y dignidad, </w:t>
      </w:r>
      <w:r w:rsidRPr="0011380E">
        <w:rPr>
          <w:rFonts w:asciiTheme="majorHAnsi" w:hAnsiTheme="majorHAnsi"/>
          <w:color w:val="auto"/>
          <w:szCs w:val="20"/>
          <w:lang w:val="es-US"/>
        </w:rPr>
        <w:t>el deber de especial protección de los niños y niñas</w:t>
      </w:r>
      <w:r w:rsidR="00FF1F17" w:rsidRPr="0011380E">
        <w:rPr>
          <w:rFonts w:asciiTheme="majorHAnsi" w:hAnsiTheme="majorHAnsi"/>
          <w:color w:val="auto"/>
          <w:szCs w:val="20"/>
          <w:lang w:val="es-US"/>
        </w:rPr>
        <w:t xml:space="preserve"> y el </w:t>
      </w:r>
      <w:r w:rsidR="00022C1D" w:rsidRPr="0011380E">
        <w:rPr>
          <w:rFonts w:asciiTheme="majorHAnsi" w:hAnsiTheme="majorHAnsi"/>
          <w:color w:val="auto"/>
          <w:szCs w:val="20"/>
          <w:lang w:val="es-US"/>
        </w:rPr>
        <w:t>derecho de las mujeres a vivir libres de violencia</w:t>
      </w:r>
      <w:r w:rsidR="00FA14E8" w:rsidRPr="0011380E">
        <w:rPr>
          <w:rFonts w:asciiTheme="majorHAnsi" w:hAnsiTheme="majorHAnsi"/>
          <w:color w:val="auto"/>
          <w:szCs w:val="20"/>
          <w:lang w:val="es-US"/>
        </w:rPr>
        <w:t xml:space="preserve"> en perjuicio de </w:t>
      </w:r>
      <w:r w:rsidR="002F467E" w:rsidRPr="0011380E">
        <w:rPr>
          <w:rFonts w:asciiTheme="majorHAnsi" w:hAnsiTheme="majorHAnsi"/>
          <w:color w:val="auto"/>
          <w:szCs w:val="20"/>
          <w:lang w:val="es-US"/>
        </w:rPr>
        <w:t>las personas indicadas en cada uno de los párrafos de la presente</w:t>
      </w:r>
      <w:r w:rsidR="00643722">
        <w:rPr>
          <w:rFonts w:asciiTheme="majorHAnsi" w:hAnsiTheme="majorHAnsi"/>
          <w:color w:val="auto"/>
          <w:szCs w:val="20"/>
          <w:lang w:val="es-US"/>
        </w:rPr>
        <w:t xml:space="preserve"> sección</w:t>
      </w:r>
      <w:r w:rsidRPr="0011380E">
        <w:rPr>
          <w:rFonts w:asciiTheme="majorHAnsi" w:hAnsiTheme="majorHAnsi"/>
          <w:color w:val="auto"/>
          <w:szCs w:val="20"/>
          <w:lang w:val="es-ES_tradnl"/>
        </w:rPr>
        <w:t xml:space="preserve">. Todo lo anterior, conforme a lo </w:t>
      </w:r>
      <w:r w:rsidRPr="0011380E">
        <w:rPr>
          <w:rFonts w:asciiTheme="majorHAnsi" w:hAnsiTheme="majorHAnsi"/>
          <w:color w:val="auto"/>
          <w:szCs w:val="20"/>
          <w:lang w:val="es-US"/>
        </w:rPr>
        <w:t>establecido en los artículos 4.1, 5.1, 5.2</w:t>
      </w:r>
      <w:r w:rsidR="00DC0663" w:rsidRPr="0011380E">
        <w:rPr>
          <w:rFonts w:asciiTheme="majorHAnsi" w:hAnsiTheme="majorHAnsi"/>
          <w:color w:val="auto"/>
          <w:szCs w:val="20"/>
          <w:lang w:val="es-US"/>
        </w:rPr>
        <w:t>, 11</w:t>
      </w:r>
      <w:r w:rsidRPr="0011380E">
        <w:rPr>
          <w:rFonts w:asciiTheme="majorHAnsi" w:hAnsiTheme="majorHAnsi"/>
          <w:color w:val="auto"/>
          <w:szCs w:val="20"/>
          <w:lang w:val="es-US"/>
        </w:rPr>
        <w:t xml:space="preserve"> y 19 de la Convención Americana, en relación con el artículo 1.1 de la misma, </w:t>
      </w:r>
      <w:r w:rsidR="00FF1F17" w:rsidRPr="0011380E">
        <w:rPr>
          <w:rFonts w:asciiTheme="majorHAnsi" w:hAnsiTheme="majorHAnsi"/>
          <w:color w:val="auto"/>
          <w:szCs w:val="20"/>
          <w:lang w:val="es-US"/>
        </w:rPr>
        <w:t>y el artículo 7 de la Convención de Belem Do Pará</w:t>
      </w:r>
      <w:r w:rsidRPr="0011380E">
        <w:rPr>
          <w:rFonts w:asciiTheme="majorHAnsi" w:hAnsiTheme="majorHAnsi"/>
          <w:color w:val="auto"/>
          <w:szCs w:val="20"/>
          <w:lang w:val="es-US"/>
        </w:rPr>
        <w:t xml:space="preserve">. </w:t>
      </w:r>
      <w:bookmarkStart w:id="18" w:name="_Toc535172809"/>
    </w:p>
    <w:p w14:paraId="32F770FF" w14:textId="77777777" w:rsidR="00643722" w:rsidRPr="00A4478F" w:rsidRDefault="00643722" w:rsidP="00A4478F">
      <w:pPr>
        <w:pStyle w:val="ListParagraph"/>
        <w:numPr>
          <w:ilvl w:val="0"/>
          <w:numId w:val="0"/>
        </w:numPr>
        <w:rPr>
          <w:rFonts w:asciiTheme="majorHAnsi" w:hAnsiTheme="majorHAnsi"/>
          <w:color w:val="auto"/>
          <w:szCs w:val="20"/>
          <w:bdr w:val="none" w:sz="0" w:space="0" w:color="auto"/>
          <w:lang w:val="es-ES"/>
        </w:rPr>
      </w:pPr>
    </w:p>
    <w:p w14:paraId="59B6BE87" w14:textId="77777777" w:rsidR="00500B94" w:rsidRPr="0011380E" w:rsidRDefault="00686CB9" w:rsidP="00500B94">
      <w:pPr>
        <w:pStyle w:val="Heading2"/>
        <w:ind w:left="0" w:firstLine="0"/>
        <w:jc w:val="both"/>
        <w:rPr>
          <w:rFonts w:asciiTheme="majorHAnsi" w:hAnsiTheme="majorHAnsi"/>
          <w:szCs w:val="20"/>
          <w:lang w:val="es-ES"/>
        </w:rPr>
      </w:pPr>
      <w:bookmarkStart w:id="19" w:name="_Toc11750408"/>
      <w:r w:rsidRPr="0011380E">
        <w:rPr>
          <w:rFonts w:asciiTheme="majorHAnsi" w:hAnsiTheme="majorHAnsi"/>
          <w:szCs w:val="20"/>
          <w:lang w:val="es-ES"/>
        </w:rPr>
        <w:t>G</w:t>
      </w:r>
      <w:r w:rsidR="00500B94" w:rsidRPr="0011380E">
        <w:rPr>
          <w:rFonts w:asciiTheme="majorHAnsi" w:hAnsiTheme="majorHAnsi"/>
          <w:szCs w:val="20"/>
          <w:lang w:val="es-ES"/>
        </w:rPr>
        <w:t>arantías judiciales</w:t>
      </w:r>
      <w:r w:rsidR="00500B94" w:rsidRPr="0011380E">
        <w:rPr>
          <w:rStyle w:val="FootnoteReference"/>
          <w:rFonts w:asciiTheme="majorHAnsi" w:hAnsiTheme="majorHAnsi"/>
          <w:szCs w:val="20"/>
        </w:rPr>
        <w:footnoteReference w:id="153"/>
      </w:r>
      <w:r w:rsidR="00500B94" w:rsidRPr="0011380E">
        <w:rPr>
          <w:rFonts w:asciiTheme="majorHAnsi" w:hAnsiTheme="majorHAnsi"/>
          <w:szCs w:val="20"/>
          <w:lang w:val="es-ES"/>
        </w:rPr>
        <w:t xml:space="preserve"> y protección judicial</w:t>
      </w:r>
      <w:r w:rsidR="00500B94" w:rsidRPr="0011380E">
        <w:rPr>
          <w:rStyle w:val="FootnoteReference"/>
          <w:rFonts w:asciiTheme="majorHAnsi" w:hAnsiTheme="majorHAnsi"/>
          <w:szCs w:val="20"/>
        </w:rPr>
        <w:footnoteReference w:id="154"/>
      </w:r>
      <w:bookmarkEnd w:id="18"/>
      <w:r w:rsidR="002D7742" w:rsidRPr="0011380E">
        <w:rPr>
          <w:rFonts w:asciiTheme="majorHAnsi" w:hAnsiTheme="majorHAnsi"/>
          <w:szCs w:val="20"/>
          <w:lang w:val="es-ES"/>
        </w:rPr>
        <w:t xml:space="preserve"> y </w:t>
      </w:r>
      <w:r w:rsidR="00CC08E2" w:rsidRPr="0011380E">
        <w:rPr>
          <w:rFonts w:asciiTheme="majorHAnsi" w:hAnsiTheme="majorHAnsi"/>
          <w:szCs w:val="20"/>
          <w:lang w:val="es-ES"/>
        </w:rPr>
        <w:t>deber</w:t>
      </w:r>
      <w:r w:rsidR="002D7742" w:rsidRPr="0011380E">
        <w:rPr>
          <w:rFonts w:asciiTheme="majorHAnsi" w:hAnsiTheme="majorHAnsi"/>
          <w:szCs w:val="20"/>
          <w:lang w:val="es-ES"/>
        </w:rPr>
        <w:t xml:space="preserve"> de investigar y sancionar actos de tortura</w:t>
      </w:r>
      <w:r w:rsidR="002D7742" w:rsidRPr="0011380E">
        <w:rPr>
          <w:rStyle w:val="FootnoteReference"/>
          <w:rFonts w:asciiTheme="majorHAnsi" w:hAnsiTheme="majorHAnsi"/>
          <w:szCs w:val="20"/>
          <w:lang w:val="es-ES"/>
        </w:rPr>
        <w:footnoteReference w:id="155"/>
      </w:r>
      <w:bookmarkEnd w:id="19"/>
    </w:p>
    <w:p w14:paraId="52B81D5B" w14:textId="77777777" w:rsidR="00500B94" w:rsidRPr="0011380E" w:rsidRDefault="00500B94" w:rsidP="00500B94">
      <w:pPr>
        <w:jc w:val="both"/>
        <w:rPr>
          <w:rFonts w:asciiTheme="majorHAnsi" w:hAnsiTheme="majorHAnsi"/>
          <w:sz w:val="20"/>
          <w:szCs w:val="20"/>
          <w:lang w:val="es-ES"/>
        </w:rPr>
      </w:pPr>
    </w:p>
    <w:p w14:paraId="7C4AFD81" w14:textId="77777777" w:rsidR="00500B94" w:rsidRPr="0011380E" w:rsidRDefault="00500B94" w:rsidP="000651AF">
      <w:pPr>
        <w:pStyle w:val="ListParagraph"/>
        <w:rPr>
          <w:rFonts w:asciiTheme="majorHAnsi" w:hAnsiTheme="majorHAnsi"/>
          <w:color w:val="auto"/>
          <w:szCs w:val="20"/>
          <w:lang w:val="es-ES"/>
        </w:rPr>
      </w:pPr>
      <w:r w:rsidRPr="0011380E">
        <w:rPr>
          <w:rFonts w:asciiTheme="majorHAnsi" w:hAnsiTheme="majorHAnsi"/>
          <w:color w:val="auto"/>
          <w:szCs w:val="20"/>
          <w:lang w:val="es-US"/>
        </w:rPr>
        <w:t>Conforme ha determinado de manera consistente la Corte</w:t>
      </w:r>
      <w:r w:rsidR="0007021D" w:rsidRPr="0011380E">
        <w:rPr>
          <w:rFonts w:asciiTheme="majorHAnsi" w:hAnsiTheme="majorHAnsi"/>
          <w:color w:val="auto"/>
          <w:szCs w:val="20"/>
          <w:lang w:val="es-US"/>
        </w:rPr>
        <w:t>, conforme a los artículos 25 y 8.1</w:t>
      </w:r>
      <w:r w:rsidR="007D3ACB" w:rsidRPr="0011380E">
        <w:rPr>
          <w:rFonts w:asciiTheme="majorHAnsi" w:hAnsiTheme="majorHAnsi"/>
          <w:color w:val="auto"/>
          <w:szCs w:val="20"/>
          <w:lang w:val="es-US"/>
        </w:rPr>
        <w:t xml:space="preserve"> de la Convención, los Estados deben suministrar recursos judiciales efectivos a las víctimas de violaciones de derechos humanos, los que deben ser sustanciados de conformidad con las reglas del debido proceso legal</w:t>
      </w:r>
      <w:r w:rsidR="007D3ACB" w:rsidRPr="0011380E">
        <w:rPr>
          <w:rStyle w:val="FootnoteReference"/>
          <w:rFonts w:asciiTheme="majorHAnsi" w:hAnsiTheme="majorHAnsi"/>
          <w:color w:val="auto"/>
          <w:szCs w:val="20"/>
          <w:lang w:val="es-US"/>
        </w:rPr>
        <w:footnoteReference w:id="156"/>
      </w:r>
      <w:r w:rsidR="007D3ACB" w:rsidRPr="0011380E">
        <w:rPr>
          <w:rFonts w:asciiTheme="majorHAnsi" w:hAnsiTheme="majorHAnsi"/>
          <w:color w:val="auto"/>
          <w:szCs w:val="20"/>
          <w:lang w:val="es-US"/>
        </w:rPr>
        <w:t>.</w:t>
      </w:r>
      <w:r w:rsidR="000651AF" w:rsidRPr="0011380E">
        <w:rPr>
          <w:rFonts w:asciiTheme="majorHAnsi" w:hAnsiTheme="majorHAnsi"/>
          <w:color w:val="auto"/>
          <w:szCs w:val="20"/>
          <w:lang w:val="es-ES"/>
        </w:rPr>
        <w:t xml:space="preserve"> </w:t>
      </w:r>
      <w:r w:rsidRPr="0011380E">
        <w:rPr>
          <w:rFonts w:asciiTheme="majorHAnsi" w:hAnsiTheme="majorHAnsi"/>
          <w:color w:val="auto"/>
          <w:szCs w:val="20"/>
          <w:lang w:val="es-US"/>
        </w:rPr>
        <w:t>Si bien la obligación del Estado es de medios y no de resultados, esto “no significa que ella pueda ser emprendida como una simple formalidad condenada de antemano a ser infructuosa”</w:t>
      </w:r>
      <w:r w:rsidRPr="0011380E">
        <w:rPr>
          <w:rStyle w:val="FootnoteReference"/>
          <w:rFonts w:asciiTheme="majorHAnsi" w:hAnsiTheme="majorHAnsi"/>
          <w:color w:val="auto"/>
          <w:szCs w:val="20"/>
          <w:lang w:val="es-ES"/>
        </w:rPr>
        <w:footnoteReference w:id="157"/>
      </w:r>
      <w:r w:rsidRPr="0011380E">
        <w:rPr>
          <w:rFonts w:asciiTheme="majorHAnsi" w:hAnsiTheme="majorHAnsi"/>
          <w:color w:val="auto"/>
          <w:szCs w:val="20"/>
          <w:lang w:val="es-US"/>
        </w:rPr>
        <w:t xml:space="preserve">. En efecto, tal obligación “deber ser asumida por el Estado como un deber jurídico propio y no como una simple gestión de </w:t>
      </w:r>
      <w:r w:rsidRPr="0011380E">
        <w:rPr>
          <w:rFonts w:asciiTheme="majorHAnsi" w:hAnsiTheme="majorHAnsi"/>
          <w:color w:val="auto"/>
          <w:szCs w:val="20"/>
          <w:lang w:val="es-US"/>
        </w:rPr>
        <w:lastRenderedPageBreak/>
        <w:t>intereses particulares, que dependa de la iniciativa procesal de la víctima o de sus familiares o de la aportación privada de elementos probatorios, sin que la autoridad pública busque efectivamente la verdad”</w:t>
      </w:r>
      <w:r w:rsidRPr="0011380E">
        <w:rPr>
          <w:rStyle w:val="FootnoteReference"/>
          <w:rFonts w:asciiTheme="majorHAnsi" w:hAnsiTheme="majorHAnsi"/>
          <w:color w:val="auto"/>
          <w:szCs w:val="20"/>
          <w:lang w:val="es-ES"/>
        </w:rPr>
        <w:footnoteReference w:id="158"/>
      </w:r>
      <w:r w:rsidRPr="0011380E">
        <w:rPr>
          <w:rFonts w:asciiTheme="majorHAnsi" w:hAnsiTheme="majorHAnsi"/>
          <w:color w:val="auto"/>
          <w:szCs w:val="20"/>
          <w:lang w:val="es-US"/>
        </w:rPr>
        <w:t xml:space="preserve">. Además, la jurisprudencia ha sido clara en destacar que, “[a] la luz de ese deber, una vez que las autoridades estatales tengan conocimiento del hecho, deben iniciar </w:t>
      </w:r>
      <w:r w:rsidRPr="0011380E">
        <w:rPr>
          <w:rFonts w:asciiTheme="majorHAnsi" w:hAnsiTheme="majorHAnsi"/>
          <w:i/>
          <w:color w:val="auto"/>
          <w:szCs w:val="20"/>
          <w:lang w:val="es-US"/>
        </w:rPr>
        <w:t xml:space="preserve">ex officio </w:t>
      </w:r>
      <w:r w:rsidRPr="0011380E">
        <w:rPr>
          <w:rFonts w:asciiTheme="majorHAnsi" w:hAnsiTheme="majorHAnsi"/>
          <w:color w:val="auto"/>
          <w:szCs w:val="20"/>
          <w:lang w:val="es-US"/>
        </w:rPr>
        <w:t>y sin dilación, una investigación seria, imparcial y efectiva […] por todos los medios legales disponibles y orientada a la determinación de la verdad”</w:t>
      </w:r>
      <w:r w:rsidRPr="0011380E">
        <w:rPr>
          <w:rStyle w:val="FootnoteReference"/>
          <w:rFonts w:asciiTheme="majorHAnsi" w:hAnsiTheme="majorHAnsi"/>
          <w:color w:val="auto"/>
          <w:szCs w:val="20"/>
          <w:lang w:val="es-ES"/>
        </w:rPr>
        <w:footnoteReference w:id="159"/>
      </w:r>
      <w:r w:rsidRPr="0011380E">
        <w:rPr>
          <w:rFonts w:asciiTheme="majorHAnsi" w:hAnsiTheme="majorHAnsi"/>
          <w:color w:val="auto"/>
          <w:szCs w:val="20"/>
          <w:lang w:val="es-US"/>
        </w:rPr>
        <w:t xml:space="preserve">. </w:t>
      </w:r>
    </w:p>
    <w:p w14:paraId="63EC28B6" w14:textId="77777777" w:rsidR="00500B94" w:rsidRPr="0011380E" w:rsidRDefault="00500B94" w:rsidP="00500B94">
      <w:pPr>
        <w:ind w:left="629"/>
        <w:jc w:val="both"/>
        <w:rPr>
          <w:rFonts w:asciiTheme="majorHAnsi" w:hAnsiTheme="majorHAnsi"/>
          <w:sz w:val="20"/>
          <w:szCs w:val="20"/>
          <w:lang w:val="es-ES"/>
        </w:rPr>
      </w:pPr>
      <w:r w:rsidRPr="0011380E">
        <w:rPr>
          <w:rFonts w:asciiTheme="majorHAnsi" w:hAnsiTheme="majorHAnsi"/>
          <w:sz w:val="20"/>
          <w:szCs w:val="20"/>
          <w:lang w:val="es-ES"/>
        </w:rPr>
        <w:t xml:space="preserve"> </w:t>
      </w:r>
    </w:p>
    <w:p w14:paraId="75E2A8DA" w14:textId="77777777" w:rsidR="00D70C0A" w:rsidRPr="0011380E" w:rsidRDefault="0003553F" w:rsidP="00B05650">
      <w:pPr>
        <w:pStyle w:val="ListParagraph"/>
        <w:rPr>
          <w:rFonts w:asciiTheme="majorHAnsi" w:hAnsiTheme="majorHAnsi"/>
          <w:color w:val="auto"/>
          <w:szCs w:val="20"/>
          <w:lang w:val="es-US"/>
        </w:rPr>
      </w:pPr>
      <w:r w:rsidRPr="0011380E">
        <w:rPr>
          <w:rFonts w:asciiTheme="majorHAnsi" w:hAnsiTheme="majorHAnsi"/>
          <w:color w:val="auto"/>
          <w:szCs w:val="20"/>
          <w:lang w:val="es-US"/>
        </w:rPr>
        <w:t>L</w:t>
      </w:r>
      <w:r w:rsidR="00D70C0A" w:rsidRPr="0011380E">
        <w:rPr>
          <w:rFonts w:asciiTheme="majorHAnsi" w:hAnsiTheme="majorHAnsi"/>
          <w:color w:val="auto"/>
          <w:szCs w:val="20"/>
          <w:lang w:val="es-US"/>
        </w:rPr>
        <w:t xml:space="preserve">a Corte </w:t>
      </w:r>
      <w:r w:rsidRPr="0011380E">
        <w:rPr>
          <w:rFonts w:asciiTheme="majorHAnsi" w:hAnsiTheme="majorHAnsi"/>
          <w:color w:val="auto"/>
          <w:szCs w:val="20"/>
          <w:lang w:val="es-US"/>
        </w:rPr>
        <w:t xml:space="preserve">ha también indicado </w:t>
      </w:r>
      <w:r w:rsidR="00D70C0A" w:rsidRPr="0011380E">
        <w:rPr>
          <w:rFonts w:asciiTheme="majorHAnsi" w:hAnsiTheme="majorHAnsi"/>
          <w:color w:val="auto"/>
          <w:szCs w:val="20"/>
          <w:lang w:val="es-US"/>
        </w:rPr>
        <w:t>de manera categórica</w:t>
      </w:r>
      <w:r w:rsidRPr="0011380E">
        <w:rPr>
          <w:rFonts w:asciiTheme="majorHAnsi" w:hAnsiTheme="majorHAnsi"/>
          <w:color w:val="auto"/>
          <w:szCs w:val="20"/>
          <w:lang w:val="es-US"/>
        </w:rPr>
        <w:t xml:space="preserve"> que</w:t>
      </w:r>
      <w:r w:rsidR="00B05650" w:rsidRPr="0011380E">
        <w:rPr>
          <w:rFonts w:asciiTheme="majorHAnsi" w:hAnsiTheme="majorHAnsi"/>
          <w:color w:val="auto"/>
          <w:szCs w:val="20"/>
          <w:lang w:val="es-US"/>
        </w:rPr>
        <w:t xml:space="preserve"> la presunta comisión del delito de tortura “</w:t>
      </w:r>
      <w:r w:rsidR="00D70C0A" w:rsidRPr="0011380E">
        <w:rPr>
          <w:rFonts w:asciiTheme="majorHAnsi" w:hAnsiTheme="majorHAnsi"/>
          <w:color w:val="auto"/>
          <w:szCs w:val="20"/>
          <w:lang w:val="es-ES"/>
        </w:rPr>
        <w:t>impone un deber especial de investigación por parte del Estado”</w:t>
      </w:r>
      <w:r w:rsidR="00B05650" w:rsidRPr="0011380E">
        <w:rPr>
          <w:rStyle w:val="FootnoteReference"/>
          <w:rFonts w:asciiTheme="majorHAnsi" w:hAnsiTheme="majorHAnsi"/>
          <w:color w:val="auto"/>
          <w:szCs w:val="20"/>
          <w:lang w:val="es-ES"/>
        </w:rPr>
        <w:footnoteReference w:id="160"/>
      </w:r>
      <w:r w:rsidR="00B05650" w:rsidRPr="0011380E">
        <w:rPr>
          <w:rFonts w:asciiTheme="majorHAnsi" w:hAnsiTheme="majorHAnsi"/>
          <w:color w:val="auto"/>
          <w:szCs w:val="20"/>
          <w:lang w:val="es-ES"/>
        </w:rPr>
        <w:t>. En efecto, a la luz de la obligación general de respeto y garantía prevista en el artículo 1.1 de la Convención, “el Estado tiene el deber de iniciar de oficio e inmediatamente una investigación efectiva que permita identificar, juzgar y sancionar a los responsables cuando existe denuncia o razón fundada que se ha cometido un acto de tortura”</w:t>
      </w:r>
      <w:r w:rsidR="00B05650" w:rsidRPr="0011380E">
        <w:rPr>
          <w:rStyle w:val="FootnoteReference"/>
          <w:rFonts w:asciiTheme="majorHAnsi" w:hAnsiTheme="majorHAnsi"/>
          <w:color w:val="auto"/>
          <w:szCs w:val="20"/>
          <w:lang w:val="es-ES"/>
        </w:rPr>
        <w:footnoteReference w:id="161"/>
      </w:r>
      <w:r w:rsidR="00B05650" w:rsidRPr="0011380E">
        <w:rPr>
          <w:rFonts w:asciiTheme="majorHAnsi" w:hAnsiTheme="majorHAnsi"/>
          <w:color w:val="auto"/>
          <w:szCs w:val="20"/>
          <w:lang w:val="es-ES"/>
        </w:rPr>
        <w:t>.</w:t>
      </w:r>
      <w:r w:rsidR="008D4E4E" w:rsidRPr="0011380E">
        <w:rPr>
          <w:rFonts w:asciiTheme="majorHAnsi" w:hAnsiTheme="majorHAnsi"/>
          <w:color w:val="auto"/>
          <w:szCs w:val="20"/>
          <w:lang w:val="es-ES"/>
        </w:rPr>
        <w:t xml:space="preserve"> Particularmente cuando no exista denuncia por parte de la víctima, pero “existan indicios de su ocurrencia, el Estado deberá iniciar de oficio y de inmediato una investigación imparcial, independiente y minuciosa que permita determinar la naturaleza y el origen de las lesiones advertidas, identificar a los responsables e iniciar su procesamiento”</w:t>
      </w:r>
      <w:r w:rsidR="008D4E4E" w:rsidRPr="0011380E">
        <w:rPr>
          <w:rStyle w:val="FootnoteReference"/>
          <w:rFonts w:asciiTheme="majorHAnsi" w:hAnsiTheme="majorHAnsi"/>
          <w:color w:val="auto"/>
          <w:szCs w:val="20"/>
          <w:lang w:val="es-ES"/>
        </w:rPr>
        <w:footnoteReference w:id="162"/>
      </w:r>
      <w:r w:rsidR="008D4E4E" w:rsidRPr="0011380E">
        <w:rPr>
          <w:rFonts w:asciiTheme="majorHAnsi" w:hAnsiTheme="majorHAnsi"/>
          <w:color w:val="auto"/>
          <w:szCs w:val="20"/>
          <w:lang w:val="es-ES"/>
        </w:rPr>
        <w:t>. Ahora bien, en los casos en los que una persona alegue que su declaración o confesión ha sido obtenida mediante coacción “</w:t>
      </w:r>
      <w:r w:rsidR="00D70C0A" w:rsidRPr="0011380E">
        <w:rPr>
          <w:rFonts w:asciiTheme="majorHAnsi" w:hAnsiTheme="majorHAnsi"/>
          <w:color w:val="auto"/>
          <w:szCs w:val="20"/>
          <w:lang w:val="es-ES"/>
        </w:rPr>
        <w:t>los Estados tienen la obligación de verificar, en primer lugar, la veracidad de dicha denuncia a través de una investigación llevada a cabo con la debida diligencia</w:t>
      </w:r>
      <w:r w:rsidR="008D4E4E" w:rsidRPr="0011380E">
        <w:rPr>
          <w:rFonts w:asciiTheme="majorHAnsi" w:hAnsiTheme="majorHAnsi"/>
          <w:color w:val="auto"/>
          <w:szCs w:val="20"/>
          <w:lang w:val="es-ES"/>
        </w:rPr>
        <w:t>”</w:t>
      </w:r>
      <w:r w:rsidR="008D4E4E" w:rsidRPr="0011380E">
        <w:rPr>
          <w:rStyle w:val="FootnoteReference"/>
          <w:rFonts w:asciiTheme="majorHAnsi" w:hAnsiTheme="majorHAnsi"/>
          <w:color w:val="auto"/>
          <w:szCs w:val="20"/>
          <w:lang w:val="es-ES"/>
        </w:rPr>
        <w:footnoteReference w:id="163"/>
      </w:r>
      <w:r w:rsidR="008D4E4E" w:rsidRPr="0011380E">
        <w:rPr>
          <w:rFonts w:asciiTheme="majorHAnsi" w:hAnsiTheme="majorHAnsi"/>
          <w:color w:val="auto"/>
          <w:szCs w:val="20"/>
          <w:lang w:val="es-ES"/>
        </w:rPr>
        <w:t>.</w:t>
      </w:r>
      <w:r w:rsidRPr="0011380E">
        <w:rPr>
          <w:rFonts w:asciiTheme="majorHAnsi" w:hAnsiTheme="majorHAnsi"/>
          <w:color w:val="auto"/>
          <w:szCs w:val="20"/>
          <w:lang w:val="es-ES"/>
        </w:rPr>
        <w:t xml:space="preserve"> Pero además, “la carga probatoria no puede recaer </w:t>
      </w:r>
      <w:r w:rsidR="005B7C8F" w:rsidRPr="0011380E">
        <w:rPr>
          <w:rFonts w:asciiTheme="majorHAnsi" w:hAnsiTheme="majorHAnsi"/>
          <w:color w:val="auto"/>
          <w:szCs w:val="20"/>
          <w:lang w:val="es-ES"/>
        </w:rPr>
        <w:t>en el denunciante, sino que el E</w:t>
      </w:r>
      <w:r w:rsidRPr="0011380E">
        <w:rPr>
          <w:rFonts w:asciiTheme="majorHAnsi" w:hAnsiTheme="majorHAnsi"/>
          <w:color w:val="auto"/>
          <w:szCs w:val="20"/>
          <w:lang w:val="es-ES"/>
        </w:rPr>
        <w:t>stado debe demostrar que la confesión fue voluntaria”</w:t>
      </w:r>
      <w:r w:rsidRPr="0011380E">
        <w:rPr>
          <w:rStyle w:val="FootnoteReference"/>
          <w:rFonts w:asciiTheme="majorHAnsi" w:hAnsiTheme="majorHAnsi"/>
          <w:color w:val="auto"/>
          <w:szCs w:val="20"/>
          <w:lang w:val="es-ES"/>
        </w:rPr>
        <w:footnoteReference w:id="164"/>
      </w:r>
      <w:r w:rsidRPr="0011380E">
        <w:rPr>
          <w:rFonts w:asciiTheme="majorHAnsi" w:hAnsiTheme="majorHAnsi"/>
          <w:color w:val="auto"/>
          <w:szCs w:val="20"/>
          <w:lang w:val="es-ES"/>
        </w:rPr>
        <w:t>.</w:t>
      </w:r>
      <w:r w:rsidR="008D4E4E" w:rsidRPr="0011380E">
        <w:rPr>
          <w:rFonts w:asciiTheme="majorHAnsi" w:hAnsiTheme="majorHAnsi"/>
          <w:color w:val="auto"/>
          <w:szCs w:val="20"/>
          <w:lang w:val="es-ES"/>
        </w:rPr>
        <w:t xml:space="preserve">   </w:t>
      </w:r>
    </w:p>
    <w:p w14:paraId="1374B220" w14:textId="77777777" w:rsidR="00F932BE" w:rsidRPr="0011380E" w:rsidRDefault="00F932BE" w:rsidP="00F932BE">
      <w:pPr>
        <w:pStyle w:val="ListParagraph"/>
        <w:numPr>
          <w:ilvl w:val="0"/>
          <w:numId w:val="0"/>
        </w:numPr>
        <w:rPr>
          <w:rFonts w:asciiTheme="majorHAnsi" w:hAnsiTheme="majorHAnsi"/>
          <w:color w:val="auto"/>
          <w:szCs w:val="20"/>
          <w:lang w:val="es-US"/>
        </w:rPr>
      </w:pPr>
    </w:p>
    <w:p w14:paraId="7EE24412" w14:textId="77777777" w:rsidR="00D70C0A" w:rsidRPr="0011380E" w:rsidRDefault="00F932BE" w:rsidP="00F932BE">
      <w:pPr>
        <w:pStyle w:val="ListParagraph"/>
        <w:rPr>
          <w:rFonts w:asciiTheme="majorHAnsi" w:hAnsiTheme="majorHAnsi"/>
          <w:color w:val="auto"/>
          <w:szCs w:val="20"/>
          <w:lang w:val="es-ES"/>
        </w:rPr>
      </w:pPr>
      <w:r w:rsidRPr="0011380E">
        <w:rPr>
          <w:rFonts w:asciiTheme="majorHAnsi" w:hAnsiTheme="majorHAnsi"/>
          <w:color w:val="auto"/>
          <w:szCs w:val="20"/>
          <w:lang w:val="es-US"/>
        </w:rPr>
        <w:t>L</w:t>
      </w:r>
      <w:r w:rsidRPr="0011380E">
        <w:rPr>
          <w:rFonts w:asciiTheme="majorHAnsi" w:hAnsiTheme="majorHAnsi"/>
          <w:color w:val="auto"/>
          <w:szCs w:val="20"/>
          <w:lang w:val="es-ES"/>
        </w:rPr>
        <w:t xml:space="preserve">a Corte ha sido también clara en establecer que, “[e]l derecho a la presunción de inocencia, tal y como se desprende del artículo 8.2 de la Convención, </w:t>
      </w:r>
      <w:r w:rsidRPr="0011380E">
        <w:rPr>
          <w:rFonts w:asciiTheme="majorHAnsi" w:hAnsiTheme="majorHAnsi"/>
          <w:color w:val="auto"/>
          <w:szCs w:val="20"/>
          <w:lang w:val="es-US"/>
        </w:rPr>
        <w:t>exige que el Estado no condene informalmente a una persona o emita juicio ante la sociedad, contribuyendo así a formar una opinión pública, mientras no se acredite conforme a la ley la responsabilidad penal de aquella”</w:t>
      </w:r>
      <w:r w:rsidRPr="0011380E">
        <w:rPr>
          <w:rStyle w:val="FootnoteReference"/>
          <w:rFonts w:asciiTheme="majorHAnsi" w:hAnsiTheme="majorHAnsi"/>
          <w:color w:val="auto"/>
          <w:szCs w:val="20"/>
          <w:lang w:val="es-US"/>
        </w:rPr>
        <w:footnoteReference w:id="165"/>
      </w:r>
      <w:r w:rsidRPr="0011380E">
        <w:rPr>
          <w:rFonts w:asciiTheme="majorHAnsi" w:hAnsiTheme="majorHAnsi"/>
          <w:color w:val="auto"/>
          <w:szCs w:val="20"/>
          <w:lang w:val="es-US"/>
        </w:rPr>
        <w:t>. En consecuencia, el hecho que una persona sea exhibida ante los medios de comunicación como autora de un delito</w:t>
      </w:r>
      <w:r w:rsidR="005B7C8F" w:rsidRPr="0011380E">
        <w:rPr>
          <w:rFonts w:asciiTheme="majorHAnsi" w:hAnsiTheme="majorHAnsi"/>
          <w:color w:val="auto"/>
          <w:szCs w:val="20"/>
          <w:lang w:val="es-US"/>
        </w:rPr>
        <w:t>,</w:t>
      </w:r>
      <w:r w:rsidRPr="0011380E">
        <w:rPr>
          <w:rFonts w:asciiTheme="majorHAnsi" w:hAnsiTheme="majorHAnsi"/>
          <w:color w:val="auto"/>
          <w:szCs w:val="20"/>
          <w:lang w:val="es-US"/>
        </w:rPr>
        <w:t xml:space="preserve"> cuando aún n</w:t>
      </w:r>
      <w:r w:rsidR="005B7C8F" w:rsidRPr="0011380E">
        <w:rPr>
          <w:rFonts w:asciiTheme="majorHAnsi" w:hAnsiTheme="majorHAnsi"/>
          <w:color w:val="auto"/>
          <w:szCs w:val="20"/>
          <w:lang w:val="es-US"/>
        </w:rPr>
        <w:t>o ha sido legalmente procesada ni</w:t>
      </w:r>
      <w:r w:rsidRPr="0011380E">
        <w:rPr>
          <w:rFonts w:asciiTheme="majorHAnsi" w:hAnsiTheme="majorHAnsi"/>
          <w:color w:val="auto"/>
          <w:szCs w:val="20"/>
          <w:lang w:val="es-US"/>
        </w:rPr>
        <w:t xml:space="preserve"> condenada</w:t>
      </w:r>
      <w:r w:rsidR="005B7C8F" w:rsidRPr="0011380E">
        <w:rPr>
          <w:rFonts w:asciiTheme="majorHAnsi" w:hAnsiTheme="majorHAnsi"/>
          <w:color w:val="auto"/>
          <w:szCs w:val="20"/>
          <w:lang w:val="es-US"/>
        </w:rPr>
        <w:t>,</w:t>
      </w:r>
      <w:r w:rsidRPr="0011380E">
        <w:rPr>
          <w:rFonts w:asciiTheme="majorHAnsi" w:hAnsiTheme="majorHAnsi"/>
          <w:color w:val="auto"/>
          <w:szCs w:val="20"/>
          <w:lang w:val="es-US"/>
        </w:rPr>
        <w:t xml:space="preserve"> constituye una violación al artículo 8.2 de la Convención</w:t>
      </w:r>
      <w:r w:rsidRPr="0011380E">
        <w:rPr>
          <w:rStyle w:val="FootnoteReference"/>
          <w:rFonts w:asciiTheme="majorHAnsi" w:hAnsiTheme="majorHAnsi"/>
          <w:color w:val="auto"/>
          <w:szCs w:val="20"/>
          <w:lang w:val="es-US"/>
        </w:rPr>
        <w:footnoteReference w:id="166"/>
      </w:r>
      <w:r w:rsidRPr="0011380E">
        <w:rPr>
          <w:rFonts w:asciiTheme="majorHAnsi" w:hAnsiTheme="majorHAnsi"/>
          <w:color w:val="auto"/>
          <w:szCs w:val="20"/>
          <w:lang w:val="es-US"/>
        </w:rPr>
        <w:t xml:space="preserve">.   </w:t>
      </w:r>
      <w:r w:rsidRPr="0011380E">
        <w:rPr>
          <w:rFonts w:asciiTheme="majorHAnsi" w:hAnsiTheme="majorHAnsi"/>
          <w:color w:val="auto"/>
          <w:szCs w:val="20"/>
          <w:lang w:val="es-ES"/>
        </w:rPr>
        <w:t xml:space="preserve">  </w:t>
      </w:r>
    </w:p>
    <w:p w14:paraId="495A6D8F" w14:textId="77777777" w:rsidR="00500B94" w:rsidRPr="0011380E" w:rsidRDefault="00500B94" w:rsidP="00500B94">
      <w:pPr>
        <w:jc w:val="both"/>
        <w:rPr>
          <w:rFonts w:asciiTheme="majorHAnsi" w:hAnsiTheme="majorHAnsi" w:cs="Arial"/>
          <w:sz w:val="20"/>
          <w:szCs w:val="20"/>
          <w:lang w:val="es-CO"/>
        </w:rPr>
      </w:pPr>
    </w:p>
    <w:p w14:paraId="2D29ED14" w14:textId="77777777" w:rsidR="003521E2" w:rsidRPr="0011380E" w:rsidRDefault="003521E2" w:rsidP="00500B94">
      <w:pPr>
        <w:pStyle w:val="ListParagraph"/>
        <w:rPr>
          <w:rFonts w:asciiTheme="majorHAnsi" w:hAnsiTheme="majorHAnsi"/>
          <w:color w:val="auto"/>
          <w:szCs w:val="20"/>
          <w:lang w:val="es-CL"/>
        </w:rPr>
      </w:pPr>
      <w:r w:rsidRPr="0011380E">
        <w:rPr>
          <w:rFonts w:asciiTheme="majorHAnsi" w:hAnsiTheme="majorHAnsi"/>
          <w:color w:val="auto"/>
          <w:szCs w:val="20"/>
          <w:lang w:val="es-CL"/>
        </w:rPr>
        <w:t xml:space="preserve">Tal como quedó establecido en los hechos probados, los peticionarios denunciaron en repetidas oportunidades que éstos habían sido víctimas de torturas y tratos crueles, inhumanos y degradantes y que sus declaraciones habían sido obtenidas bajo coacción. El Estado alega que los hechos fueron investigados, pero no acompaña prueba alguna en sustento de tal afirmación. De la misma manera, se encuentra acreditado que, inmediatamente luego de haber sido capturados, los detenidos fueron presentados a la prensa como los responsables del atraco a Prosegur, antes de haber sido procesados o condenados. Algunos de ellos, no fueron siquiera acusados posteriormente por el Ministerio Público y fueron liberados en el curso de la investigación.     </w:t>
      </w:r>
    </w:p>
    <w:p w14:paraId="3C78E1D9" w14:textId="77777777" w:rsidR="003521E2" w:rsidRPr="0011380E" w:rsidRDefault="003521E2" w:rsidP="003521E2">
      <w:pPr>
        <w:pStyle w:val="ListParagraph"/>
        <w:numPr>
          <w:ilvl w:val="0"/>
          <w:numId w:val="0"/>
        </w:numPr>
        <w:rPr>
          <w:rFonts w:asciiTheme="majorHAnsi" w:hAnsiTheme="majorHAnsi"/>
          <w:color w:val="auto"/>
          <w:szCs w:val="20"/>
          <w:lang w:val="es-CL"/>
        </w:rPr>
      </w:pPr>
    </w:p>
    <w:p w14:paraId="047D038C" w14:textId="77777777" w:rsidR="00CC08E2" w:rsidRPr="0011380E" w:rsidRDefault="00500B94" w:rsidP="00CC08E2">
      <w:pPr>
        <w:pStyle w:val="ListParagraph"/>
        <w:rPr>
          <w:rFonts w:asciiTheme="majorHAnsi" w:hAnsiTheme="majorHAnsi"/>
          <w:color w:val="auto"/>
          <w:szCs w:val="20"/>
          <w:lang w:val="es-CL"/>
        </w:rPr>
      </w:pPr>
      <w:r w:rsidRPr="0011380E">
        <w:rPr>
          <w:rFonts w:asciiTheme="majorHAnsi" w:hAnsiTheme="majorHAnsi"/>
          <w:color w:val="auto"/>
          <w:szCs w:val="20"/>
          <w:lang w:val="es-US"/>
        </w:rPr>
        <w:t xml:space="preserve">Por lo tanto, el Estado violó los derechos a </w:t>
      </w:r>
      <w:r w:rsidR="005B7C8F" w:rsidRPr="0011380E">
        <w:rPr>
          <w:rFonts w:asciiTheme="majorHAnsi" w:hAnsiTheme="majorHAnsi"/>
          <w:color w:val="auto"/>
          <w:szCs w:val="20"/>
          <w:lang w:val="es-US"/>
        </w:rPr>
        <w:t xml:space="preserve">las </w:t>
      </w:r>
      <w:r w:rsidRPr="0011380E">
        <w:rPr>
          <w:rFonts w:asciiTheme="majorHAnsi" w:hAnsiTheme="majorHAnsi"/>
          <w:color w:val="auto"/>
          <w:szCs w:val="20"/>
          <w:lang w:val="es-US"/>
        </w:rPr>
        <w:t>garantías judiciales y protección judicial, garantizados en los artículos 8.1 y 25.1 de la Convención Americana, en relación con el deber de respeto establecido en el artículo 1.1 del mismo instrumento, en contra de</w:t>
      </w:r>
      <w:r w:rsidR="00142A18" w:rsidRPr="0011380E">
        <w:rPr>
          <w:rFonts w:asciiTheme="majorHAnsi" w:hAnsiTheme="majorHAnsi"/>
          <w:color w:val="auto"/>
          <w:szCs w:val="20"/>
          <w:lang w:val="es-US"/>
        </w:rPr>
        <w:t xml:space="preserve"> la totalidad de los peticionarios del presente caso</w:t>
      </w:r>
      <w:r w:rsidR="00142A18" w:rsidRPr="0011380E">
        <w:rPr>
          <w:rStyle w:val="FootnoteReference"/>
          <w:rFonts w:asciiTheme="majorHAnsi" w:hAnsiTheme="majorHAnsi"/>
          <w:color w:val="auto"/>
          <w:szCs w:val="20"/>
          <w:lang w:val="es-US"/>
        </w:rPr>
        <w:footnoteReference w:id="167"/>
      </w:r>
      <w:r w:rsidRPr="0011380E">
        <w:rPr>
          <w:rFonts w:asciiTheme="majorHAnsi" w:hAnsiTheme="majorHAnsi"/>
          <w:color w:val="auto"/>
          <w:szCs w:val="20"/>
          <w:lang w:val="es-US"/>
        </w:rPr>
        <w:t>.</w:t>
      </w:r>
      <w:r w:rsidRPr="0011380E" w:rsidDel="00542DA9">
        <w:rPr>
          <w:rFonts w:asciiTheme="majorHAnsi" w:hAnsiTheme="majorHAnsi"/>
          <w:color w:val="auto"/>
          <w:szCs w:val="20"/>
          <w:lang w:val="es-US"/>
        </w:rPr>
        <w:t xml:space="preserve"> </w:t>
      </w:r>
      <w:r w:rsidR="00CC08E2" w:rsidRPr="0011380E">
        <w:rPr>
          <w:rFonts w:asciiTheme="majorHAnsi" w:hAnsiTheme="majorHAnsi"/>
          <w:color w:val="auto"/>
          <w:szCs w:val="20"/>
          <w:lang w:val="es-CL"/>
        </w:rPr>
        <w:t xml:space="preserve">En ese </w:t>
      </w:r>
      <w:r w:rsidR="00CC08E2" w:rsidRPr="0011380E">
        <w:rPr>
          <w:rFonts w:asciiTheme="majorHAnsi" w:hAnsiTheme="majorHAnsi"/>
          <w:color w:val="auto"/>
          <w:szCs w:val="20"/>
          <w:lang w:val="es-CL"/>
        </w:rPr>
        <w:lastRenderedPageBreak/>
        <w:t xml:space="preserve">sentido, la Comisión considera que la falta de investigación </w:t>
      </w:r>
      <w:r w:rsidR="003C5636" w:rsidRPr="0011380E">
        <w:rPr>
          <w:rFonts w:asciiTheme="majorHAnsi" w:hAnsiTheme="majorHAnsi"/>
          <w:color w:val="auto"/>
          <w:szCs w:val="20"/>
          <w:lang w:val="es-CL"/>
        </w:rPr>
        <w:t xml:space="preserve">y sanción </w:t>
      </w:r>
      <w:r w:rsidR="00CC08E2" w:rsidRPr="0011380E">
        <w:rPr>
          <w:rFonts w:asciiTheme="majorHAnsi" w:hAnsiTheme="majorHAnsi"/>
          <w:color w:val="auto"/>
          <w:szCs w:val="20"/>
          <w:lang w:val="es-CL"/>
        </w:rPr>
        <w:t>de las denuncias de tortura en este caso también constituyó una violación de las obligaciones contenidas en los artículos 1, 6 y 8 de la Convención Interamericana para Prevenir y Sancionar la Tortura, desde la entrada en vigencia de dicho instrumento para el Estado.</w:t>
      </w:r>
    </w:p>
    <w:p w14:paraId="4AFDD0CC" w14:textId="77777777" w:rsidR="00A14323" w:rsidRPr="0011380E" w:rsidRDefault="00A14323" w:rsidP="00A14323">
      <w:pPr>
        <w:rPr>
          <w:rFonts w:asciiTheme="majorHAnsi" w:hAnsiTheme="majorHAnsi"/>
          <w:sz w:val="20"/>
          <w:szCs w:val="20"/>
          <w:lang w:val="es-ES"/>
        </w:rPr>
      </w:pPr>
    </w:p>
    <w:p w14:paraId="06401222" w14:textId="77777777" w:rsidR="00D12193" w:rsidRPr="0011380E" w:rsidRDefault="00D12193" w:rsidP="0011380E">
      <w:pPr>
        <w:pStyle w:val="Heading1"/>
        <w:ind w:left="0" w:firstLine="0"/>
        <w:rPr>
          <w:color w:val="auto"/>
        </w:rPr>
      </w:pPr>
      <w:bookmarkStart w:id="20" w:name="_Toc11750409"/>
      <w:r w:rsidRPr="0011380E">
        <w:rPr>
          <w:color w:val="auto"/>
        </w:rPr>
        <w:t>CONCLUSIONES Y RECOMENDACIONES</w:t>
      </w:r>
      <w:bookmarkEnd w:id="20"/>
      <w:r w:rsidRPr="0011380E">
        <w:rPr>
          <w:color w:val="auto"/>
        </w:rPr>
        <w:t xml:space="preserve"> </w:t>
      </w:r>
    </w:p>
    <w:p w14:paraId="630444AB" w14:textId="77777777" w:rsidR="00D12193" w:rsidRPr="0011380E" w:rsidRDefault="00D12193" w:rsidP="0011380E">
      <w:pPr>
        <w:suppressAutoHyphens/>
        <w:rPr>
          <w:rFonts w:asciiTheme="majorHAnsi" w:hAnsiTheme="majorHAnsi"/>
          <w:b/>
          <w:sz w:val="20"/>
          <w:szCs w:val="20"/>
          <w:lang w:val="es-ES_tradnl"/>
        </w:rPr>
      </w:pPr>
    </w:p>
    <w:p w14:paraId="35CB354E" w14:textId="77777777" w:rsidR="00D7393F" w:rsidRPr="0011380E" w:rsidRDefault="00D7393F" w:rsidP="0032793C">
      <w:pPr>
        <w:pStyle w:val="ListParagraph"/>
        <w:rPr>
          <w:lang w:val="es-ES"/>
        </w:rPr>
      </w:pPr>
      <w:r w:rsidRPr="0011380E">
        <w:rPr>
          <w:lang w:val="es-ES"/>
        </w:rPr>
        <w:t xml:space="preserve">De conformidad con las consideraciones de hecho y de derecho </w:t>
      </w:r>
      <w:r w:rsidR="005B7C8F" w:rsidRPr="0011380E">
        <w:rPr>
          <w:lang w:val="es-ES"/>
        </w:rPr>
        <w:t>vertidas</w:t>
      </w:r>
      <w:r w:rsidRPr="0011380E">
        <w:rPr>
          <w:lang w:val="es-ES"/>
        </w:rPr>
        <w:t xml:space="preserve"> en el presente informe de fondo, la Comisión concluye que el Estado boliviano es responsable por la violación de los derechos a la libertad individual, vida privada y domicilio, vida, integridad personal, del niño, garantías judiciales y protección judicial, establecidos en los artículos 4, 5, 7, 8, 11, 19 y 25 de la Convención Americana en relación con las obligaciones establecidas en el artículo 1.1 del mismo instrumento, así como el deber de evitar la violencia contra la mujer previsto en el artículo 7 de</w:t>
      </w:r>
      <w:r w:rsidR="0032793C">
        <w:rPr>
          <w:lang w:val="es-ES"/>
        </w:rPr>
        <w:t xml:space="preserve"> la Convención de Belém do Pará y de los</w:t>
      </w:r>
      <w:r w:rsidRPr="0011380E">
        <w:rPr>
          <w:lang w:val="es-ES"/>
        </w:rPr>
        <w:t xml:space="preserve"> </w:t>
      </w:r>
      <w:r w:rsidR="00172149">
        <w:rPr>
          <w:lang w:val="es-ES"/>
        </w:rPr>
        <w:t xml:space="preserve">artículos </w:t>
      </w:r>
      <w:r w:rsidR="0032793C" w:rsidRPr="0032793C">
        <w:rPr>
          <w:rFonts w:asciiTheme="majorHAnsi" w:hAnsiTheme="majorHAnsi"/>
          <w:color w:val="auto"/>
          <w:szCs w:val="20"/>
          <w:lang w:val="es-ES"/>
        </w:rPr>
        <w:t>1, 6 y 8 de la Convención Interamericana para Prevenir y Sancionar la Tortura</w:t>
      </w:r>
      <w:r w:rsidR="00172149">
        <w:rPr>
          <w:rFonts w:asciiTheme="majorHAnsi" w:hAnsiTheme="majorHAnsi"/>
          <w:color w:val="auto"/>
          <w:szCs w:val="20"/>
          <w:lang w:val="es-ES"/>
        </w:rPr>
        <w:t>,</w:t>
      </w:r>
      <w:r w:rsidR="0032793C">
        <w:rPr>
          <w:rFonts w:asciiTheme="majorHAnsi" w:hAnsiTheme="majorHAnsi"/>
          <w:color w:val="auto"/>
          <w:szCs w:val="20"/>
          <w:lang w:val="es-ES"/>
        </w:rPr>
        <w:t xml:space="preserve"> en atención a</w:t>
      </w:r>
      <w:r w:rsidR="0032793C" w:rsidRPr="0032793C">
        <w:rPr>
          <w:lang w:val="es-US"/>
        </w:rPr>
        <w:t xml:space="preserve"> </w:t>
      </w:r>
      <w:r w:rsidR="0032793C" w:rsidRPr="0032793C">
        <w:rPr>
          <w:rFonts w:asciiTheme="majorHAnsi" w:hAnsiTheme="majorHAnsi"/>
          <w:color w:val="auto"/>
          <w:szCs w:val="20"/>
          <w:lang w:val="es-ES"/>
        </w:rPr>
        <w:t>la falta de investigación y sanción de las denuncias de tortura</w:t>
      </w:r>
      <w:r w:rsidR="0032793C">
        <w:rPr>
          <w:rFonts w:asciiTheme="majorHAnsi" w:hAnsiTheme="majorHAnsi"/>
          <w:color w:val="auto"/>
          <w:szCs w:val="20"/>
          <w:lang w:val="es-ES"/>
        </w:rPr>
        <w:t>, todo lo anterior</w:t>
      </w:r>
      <w:r w:rsidR="0032793C" w:rsidRPr="0032793C">
        <w:rPr>
          <w:rFonts w:asciiTheme="majorHAnsi" w:hAnsiTheme="majorHAnsi"/>
          <w:color w:val="auto"/>
          <w:szCs w:val="20"/>
          <w:lang w:val="es-ES"/>
        </w:rPr>
        <w:t xml:space="preserve"> </w:t>
      </w:r>
      <w:r w:rsidRPr="0011380E">
        <w:rPr>
          <w:lang w:val="es-ES"/>
        </w:rPr>
        <w:t>en perjuicio de las víctimas identificadas en el presente informe.</w:t>
      </w:r>
    </w:p>
    <w:p w14:paraId="4FC8BB5D" w14:textId="77777777" w:rsidR="00D7393F" w:rsidRPr="0011380E" w:rsidRDefault="00D7393F" w:rsidP="0011380E">
      <w:pPr>
        <w:pStyle w:val="ListParagraph"/>
        <w:numPr>
          <w:ilvl w:val="0"/>
          <w:numId w:val="0"/>
        </w:numPr>
        <w:rPr>
          <w:rFonts w:asciiTheme="majorHAnsi" w:hAnsiTheme="majorHAnsi"/>
          <w:color w:val="auto"/>
          <w:szCs w:val="20"/>
          <w:lang w:val="es-ES"/>
        </w:rPr>
      </w:pPr>
    </w:p>
    <w:p w14:paraId="62C8CA4E" w14:textId="77777777" w:rsidR="00D7393F" w:rsidRPr="0011380E" w:rsidRDefault="00D7393F" w:rsidP="0011380E">
      <w:pPr>
        <w:pStyle w:val="ListParagraph"/>
        <w:rPr>
          <w:rFonts w:asciiTheme="majorHAnsi" w:hAnsiTheme="majorHAnsi"/>
          <w:color w:val="auto"/>
          <w:szCs w:val="20"/>
          <w:lang w:val="es-ES"/>
        </w:rPr>
      </w:pPr>
      <w:r w:rsidRPr="0011380E">
        <w:rPr>
          <w:rFonts w:asciiTheme="majorHAnsi" w:hAnsiTheme="majorHAnsi"/>
          <w:color w:val="auto"/>
          <w:szCs w:val="20"/>
          <w:lang w:val="es-ES"/>
        </w:rPr>
        <w:t xml:space="preserve">En virtud de lo anterior,  </w:t>
      </w:r>
    </w:p>
    <w:p w14:paraId="4C060547" w14:textId="77777777" w:rsidR="0032793C" w:rsidRDefault="0032793C" w:rsidP="0031160D">
      <w:pPr>
        <w:jc w:val="both"/>
        <w:rPr>
          <w:rFonts w:asciiTheme="majorHAnsi" w:hAnsiTheme="majorHAnsi"/>
          <w:b/>
          <w:sz w:val="20"/>
          <w:szCs w:val="20"/>
          <w:lang w:val="es-ES_tradnl"/>
        </w:rPr>
      </w:pPr>
    </w:p>
    <w:p w14:paraId="1E0540B3" w14:textId="77777777" w:rsidR="00006896" w:rsidRPr="0011380E" w:rsidRDefault="00006896" w:rsidP="0031160D">
      <w:pPr>
        <w:jc w:val="both"/>
        <w:rPr>
          <w:rFonts w:asciiTheme="majorHAnsi" w:hAnsiTheme="majorHAnsi"/>
          <w:b/>
          <w:sz w:val="20"/>
          <w:szCs w:val="20"/>
          <w:lang w:val="es-ES_tradnl"/>
        </w:rPr>
      </w:pPr>
      <w:r w:rsidRPr="0011380E">
        <w:rPr>
          <w:rFonts w:asciiTheme="majorHAnsi" w:hAnsiTheme="majorHAnsi"/>
          <w:b/>
          <w:sz w:val="20"/>
          <w:szCs w:val="20"/>
          <w:lang w:val="es-ES_tradnl"/>
        </w:rPr>
        <w:t xml:space="preserve">LA COMISIÓN INTERAMERICANA DE DERECHOS HUMANOS, RECOMIENDA AL ESTADO DE </w:t>
      </w:r>
      <w:r w:rsidR="00D7393F" w:rsidRPr="0011380E">
        <w:rPr>
          <w:rFonts w:asciiTheme="majorHAnsi" w:hAnsiTheme="majorHAnsi"/>
          <w:b/>
          <w:sz w:val="20"/>
          <w:szCs w:val="20"/>
          <w:lang w:val="es-ES_tradnl"/>
        </w:rPr>
        <w:t>BOLIVIA</w:t>
      </w:r>
      <w:r w:rsidRPr="0011380E">
        <w:rPr>
          <w:rFonts w:asciiTheme="majorHAnsi" w:hAnsiTheme="majorHAnsi"/>
          <w:b/>
          <w:sz w:val="20"/>
          <w:szCs w:val="20"/>
          <w:lang w:val="es-ES_tradnl"/>
        </w:rPr>
        <w:t>,</w:t>
      </w:r>
    </w:p>
    <w:p w14:paraId="4A8FC694" w14:textId="77777777" w:rsidR="00006896" w:rsidRPr="0011380E" w:rsidRDefault="00006896" w:rsidP="00006896">
      <w:pPr>
        <w:ind w:firstLine="720"/>
        <w:jc w:val="both"/>
        <w:rPr>
          <w:rFonts w:asciiTheme="majorHAnsi" w:hAnsiTheme="majorHAnsi"/>
          <w:b/>
          <w:sz w:val="20"/>
          <w:szCs w:val="20"/>
          <w:lang w:val="es-ES_tradnl"/>
        </w:rPr>
      </w:pPr>
    </w:p>
    <w:p w14:paraId="08C1F469" w14:textId="77777777" w:rsidR="00006896" w:rsidRPr="0011380E" w:rsidRDefault="00006896" w:rsidP="00006896">
      <w:pPr>
        <w:jc w:val="both"/>
        <w:rPr>
          <w:rFonts w:asciiTheme="majorHAnsi" w:hAnsiTheme="majorHAnsi"/>
          <w:sz w:val="20"/>
          <w:szCs w:val="20"/>
          <w:lang w:val="es-US"/>
        </w:rPr>
      </w:pPr>
      <w:r w:rsidRPr="0011380E">
        <w:rPr>
          <w:rFonts w:asciiTheme="majorHAnsi" w:hAnsiTheme="majorHAnsi"/>
          <w:sz w:val="20"/>
          <w:szCs w:val="20"/>
          <w:lang w:val="es-US"/>
        </w:rPr>
        <w:t> </w:t>
      </w:r>
    </w:p>
    <w:p w14:paraId="13CA0F0D" w14:textId="77777777" w:rsidR="005F309E" w:rsidRPr="0011380E" w:rsidRDefault="005F309E" w:rsidP="001138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s="Tahoma"/>
          <w:color w:val="auto"/>
          <w:szCs w:val="20"/>
          <w:bdr w:val="none" w:sz="0" w:space="0" w:color="auto"/>
          <w:lang w:val="es-ES"/>
        </w:rPr>
      </w:pPr>
      <w:r w:rsidRPr="0011380E">
        <w:rPr>
          <w:rFonts w:asciiTheme="majorHAnsi" w:eastAsia="Times New Roman" w:hAnsiTheme="majorHAnsi" w:cs="Tahoma"/>
          <w:color w:val="auto"/>
          <w:szCs w:val="20"/>
          <w:bdr w:val="none" w:sz="0" w:space="0" w:color="auto"/>
          <w:lang w:val="es-ES"/>
        </w:rPr>
        <w:t xml:space="preserve">Reparar integralmente las violaciones de derechos humanos declaradas en el presente informe tanto en el aspecto material como inmaterial. El Estado deberá adoptar las medidas de compensación económica y satisfacción. </w:t>
      </w:r>
    </w:p>
    <w:p w14:paraId="49B03452" w14:textId="77777777" w:rsidR="00DE4700" w:rsidRPr="0011380E" w:rsidRDefault="00DE4700" w:rsidP="0011380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s="Tahoma"/>
          <w:color w:val="auto"/>
          <w:szCs w:val="20"/>
          <w:bdr w:val="none" w:sz="0" w:space="0" w:color="auto"/>
          <w:lang w:val="es-ES"/>
        </w:rPr>
      </w:pPr>
    </w:p>
    <w:p w14:paraId="07D41C63" w14:textId="77777777" w:rsidR="00DE4700" w:rsidRPr="0011380E" w:rsidRDefault="00DE4700" w:rsidP="001138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es-ES"/>
        </w:rPr>
      </w:pPr>
      <w:r w:rsidRPr="0011380E">
        <w:rPr>
          <w:rFonts w:asciiTheme="majorHAnsi" w:eastAsia="Times New Roman" w:hAnsiTheme="majorHAnsi" w:cs="Tahoma"/>
          <w:color w:val="auto"/>
          <w:szCs w:val="20"/>
          <w:bdr w:val="none" w:sz="0" w:space="0" w:color="auto"/>
          <w:lang w:val="es-ES"/>
        </w:rPr>
        <w:t>Disponer las medidas de atención en salud física y mental necesarias para la rehabilitación de las víctimas del presente caso, de ser su voluntad y de manera concertada.</w:t>
      </w:r>
    </w:p>
    <w:p w14:paraId="6F51B956" w14:textId="77777777" w:rsidR="005F309E" w:rsidRPr="0011380E" w:rsidRDefault="005F309E" w:rsidP="0011380E">
      <w:pPr>
        <w:pStyle w:val="ListParagraph"/>
        <w:numPr>
          <w:ilvl w:val="0"/>
          <w:numId w:val="0"/>
        </w:numPr>
        <w:ind w:firstLine="720"/>
        <w:rPr>
          <w:rFonts w:asciiTheme="majorHAnsi" w:eastAsia="Times New Roman" w:hAnsiTheme="majorHAnsi" w:cs="Tahoma"/>
          <w:color w:val="auto"/>
          <w:szCs w:val="20"/>
          <w:bdr w:val="none" w:sz="0" w:space="0" w:color="auto"/>
          <w:lang w:val="es-ES"/>
        </w:rPr>
      </w:pPr>
    </w:p>
    <w:p w14:paraId="2D3FFB00" w14:textId="77777777" w:rsidR="0033028D" w:rsidRPr="0011380E" w:rsidRDefault="0033028D" w:rsidP="001138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es-ES"/>
        </w:rPr>
      </w:pPr>
      <w:r w:rsidRPr="0011380E">
        <w:rPr>
          <w:rFonts w:asciiTheme="majorHAnsi" w:eastAsia="Times New Roman" w:hAnsiTheme="majorHAnsi" w:cs="Tahoma"/>
          <w:color w:val="auto"/>
          <w:szCs w:val="20"/>
          <w:bdr w:val="none" w:sz="0" w:space="0" w:color="auto"/>
          <w:lang w:val="es-AR"/>
        </w:rPr>
        <w:t>Iniciar</w:t>
      </w:r>
      <w:r w:rsidR="00106B7B" w:rsidRPr="0011380E">
        <w:rPr>
          <w:rFonts w:asciiTheme="majorHAnsi" w:eastAsia="Times New Roman" w:hAnsiTheme="majorHAnsi" w:cs="Tahoma"/>
          <w:color w:val="auto"/>
          <w:szCs w:val="20"/>
          <w:bdr w:val="none" w:sz="0" w:space="0" w:color="auto"/>
          <w:lang w:val="es-AR"/>
        </w:rPr>
        <w:t xml:space="preserve"> una</w:t>
      </w:r>
      <w:r w:rsidR="00006896" w:rsidRPr="0011380E">
        <w:rPr>
          <w:rFonts w:asciiTheme="majorHAnsi" w:eastAsia="Times New Roman" w:hAnsiTheme="majorHAnsi" w:cs="Tahoma"/>
          <w:color w:val="auto"/>
          <w:szCs w:val="20"/>
          <w:bdr w:val="none" w:sz="0" w:space="0" w:color="auto"/>
          <w:lang w:val="es-AR"/>
        </w:rPr>
        <w:t xml:space="preserve"> investigación penal de manera diligente, efectiva y dentro de un plazo razonable con el objeto de esclarecer los hechos en forma completa, identificar todas las posibles responsabilidades e imponer las sanciones que correspondan respecto de las </w:t>
      </w:r>
      <w:r w:rsidR="002100C1" w:rsidRPr="0011380E">
        <w:rPr>
          <w:rFonts w:asciiTheme="majorHAnsi" w:eastAsia="Times New Roman" w:hAnsiTheme="majorHAnsi" w:cs="Tahoma"/>
          <w:color w:val="auto"/>
          <w:szCs w:val="20"/>
          <w:bdr w:val="none" w:sz="0" w:space="0" w:color="auto"/>
          <w:lang w:val="es-AR"/>
        </w:rPr>
        <w:t xml:space="preserve">graves </w:t>
      </w:r>
      <w:r w:rsidR="00006896" w:rsidRPr="0011380E">
        <w:rPr>
          <w:rFonts w:asciiTheme="majorHAnsi" w:eastAsia="Times New Roman" w:hAnsiTheme="majorHAnsi" w:cs="Tahoma"/>
          <w:color w:val="auto"/>
          <w:szCs w:val="20"/>
          <w:bdr w:val="none" w:sz="0" w:space="0" w:color="auto"/>
          <w:lang w:val="es-AR"/>
        </w:rPr>
        <w:t xml:space="preserve">violaciones de derechos humanos </w:t>
      </w:r>
      <w:r w:rsidR="005B7C8F" w:rsidRPr="0011380E">
        <w:rPr>
          <w:rFonts w:asciiTheme="majorHAnsi" w:eastAsia="Times New Roman" w:hAnsiTheme="majorHAnsi" w:cs="Tahoma"/>
          <w:color w:val="auto"/>
          <w:szCs w:val="20"/>
          <w:bdr w:val="none" w:sz="0" w:space="0" w:color="auto"/>
          <w:lang w:val="es-AR"/>
        </w:rPr>
        <w:t>reconocidas</w:t>
      </w:r>
      <w:r w:rsidR="00006896" w:rsidRPr="0011380E">
        <w:rPr>
          <w:rFonts w:asciiTheme="majorHAnsi" w:eastAsia="Times New Roman" w:hAnsiTheme="majorHAnsi" w:cs="Tahoma"/>
          <w:color w:val="auto"/>
          <w:szCs w:val="20"/>
          <w:bdr w:val="none" w:sz="0" w:space="0" w:color="auto"/>
          <w:lang w:val="es-AR"/>
        </w:rPr>
        <w:t xml:space="preserve"> en el presente informe. </w:t>
      </w:r>
      <w:r w:rsidR="002100C1" w:rsidRPr="0011380E">
        <w:rPr>
          <w:rFonts w:asciiTheme="majorHAnsi" w:eastAsia="Times New Roman" w:hAnsiTheme="majorHAnsi" w:cs="Tahoma"/>
          <w:color w:val="auto"/>
          <w:szCs w:val="20"/>
          <w:bdr w:val="none" w:sz="0" w:space="0" w:color="auto"/>
          <w:lang w:val="es-AR"/>
        </w:rPr>
        <w:t>Al tratarse de graves violaciones de derechos humanos, el Estado no podrá oponer prescripción u otras eximentes de responsabilidad penal para incumplir esta recomendación. Además, la investigación de los actos de tortura deberán cumplir con los parámetros de debida diligencia establecidos en el presente informe, incluyendo los del Protocolo de Estambul</w:t>
      </w:r>
      <w:r w:rsidR="00087ACD" w:rsidRPr="0011380E">
        <w:rPr>
          <w:rFonts w:asciiTheme="majorHAnsi" w:eastAsia="Times New Roman" w:hAnsiTheme="majorHAnsi" w:cs="Tahoma"/>
          <w:color w:val="auto"/>
          <w:szCs w:val="20"/>
          <w:bdr w:val="none" w:sz="0" w:space="0" w:color="auto"/>
          <w:lang w:val="es-AR"/>
        </w:rPr>
        <w:t xml:space="preserve"> y la perspectiva de género en el caso de las mujeres víctima de tortura sexual. </w:t>
      </w:r>
    </w:p>
    <w:p w14:paraId="0A8CF210" w14:textId="77777777" w:rsidR="00106B7B" w:rsidRPr="0011380E" w:rsidRDefault="00106B7B" w:rsidP="0011380E">
      <w:pPr>
        <w:pStyle w:val="ListParagraph"/>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Theme="majorHAnsi" w:eastAsia="Times New Roman" w:hAnsiTheme="majorHAnsi"/>
          <w:color w:val="auto"/>
          <w:szCs w:val="20"/>
          <w:bdr w:val="none" w:sz="0" w:space="0" w:color="auto"/>
          <w:lang w:val="es-ES"/>
        </w:rPr>
      </w:pPr>
    </w:p>
    <w:p w14:paraId="5C2F1917" w14:textId="77777777" w:rsidR="00106B7B" w:rsidRPr="0011380E" w:rsidRDefault="00106B7B" w:rsidP="0011380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720"/>
        <w:rPr>
          <w:rFonts w:asciiTheme="majorHAnsi" w:eastAsia="Times New Roman" w:hAnsiTheme="majorHAnsi"/>
          <w:color w:val="auto"/>
          <w:szCs w:val="20"/>
          <w:bdr w:val="none" w:sz="0" w:space="0" w:color="auto"/>
          <w:lang w:val="es-ES"/>
        </w:rPr>
      </w:pPr>
      <w:r w:rsidRPr="0011380E">
        <w:rPr>
          <w:rFonts w:asciiTheme="majorHAnsi" w:hAnsiTheme="majorHAnsi"/>
          <w:color w:val="auto"/>
          <w:szCs w:val="20"/>
          <w:lang w:val="es-CO"/>
        </w:rPr>
        <w:t xml:space="preserve">Adoptar las medidas necesarias para evitar que en el futuro se produzcan hechos similares. En particular, implementar programas permanentes de formación en derechos humanos para las diversas policías, los funcionarios del Ministerio Público y la Judicatura, a fin de erradicar el uso indiscriminado de la fuerza en la investigación de hechos delictivos y en la captura y detención de los responsables de los mismos y asegurar que, en el caso en que tales conductas ocurran, </w:t>
      </w:r>
      <w:r w:rsidR="00D70C0A" w:rsidRPr="0011380E">
        <w:rPr>
          <w:rFonts w:asciiTheme="majorHAnsi" w:hAnsiTheme="majorHAnsi"/>
          <w:color w:val="auto"/>
          <w:szCs w:val="20"/>
          <w:lang w:val="es-ES"/>
        </w:rPr>
        <w:t xml:space="preserve">de oficio e inmediatamente </w:t>
      </w:r>
      <w:r w:rsidRPr="0011380E">
        <w:rPr>
          <w:rFonts w:asciiTheme="majorHAnsi" w:hAnsiTheme="majorHAnsi"/>
          <w:color w:val="auto"/>
          <w:szCs w:val="20"/>
          <w:lang w:val="es-ES"/>
        </w:rPr>
        <w:t xml:space="preserve">se inicien </w:t>
      </w:r>
      <w:r w:rsidR="00D70C0A" w:rsidRPr="0011380E">
        <w:rPr>
          <w:rFonts w:asciiTheme="majorHAnsi" w:hAnsiTheme="majorHAnsi"/>
          <w:color w:val="auto"/>
          <w:szCs w:val="20"/>
          <w:lang w:val="es-ES"/>
        </w:rPr>
        <w:t>investigaci</w:t>
      </w:r>
      <w:r w:rsidRPr="0011380E">
        <w:rPr>
          <w:rFonts w:asciiTheme="majorHAnsi" w:hAnsiTheme="majorHAnsi"/>
          <w:color w:val="auto"/>
          <w:szCs w:val="20"/>
          <w:lang w:val="es-ES"/>
        </w:rPr>
        <w:t>ones efectivas</w:t>
      </w:r>
      <w:r w:rsidR="0032793C">
        <w:rPr>
          <w:rFonts w:asciiTheme="majorHAnsi" w:hAnsiTheme="majorHAnsi"/>
          <w:color w:val="auto"/>
          <w:szCs w:val="20"/>
          <w:lang w:val="es-ES"/>
        </w:rPr>
        <w:t>, con perspectiva de género cuando corresponda,</w:t>
      </w:r>
      <w:r w:rsidRPr="0011380E">
        <w:rPr>
          <w:rFonts w:asciiTheme="majorHAnsi" w:hAnsiTheme="majorHAnsi"/>
          <w:color w:val="auto"/>
          <w:szCs w:val="20"/>
          <w:lang w:val="es-ES"/>
        </w:rPr>
        <w:t xml:space="preserve"> </w:t>
      </w:r>
      <w:r w:rsidR="00D70C0A" w:rsidRPr="0011380E">
        <w:rPr>
          <w:rFonts w:asciiTheme="majorHAnsi" w:hAnsiTheme="majorHAnsi"/>
          <w:color w:val="auto"/>
          <w:szCs w:val="20"/>
          <w:lang w:val="es-ES"/>
        </w:rPr>
        <w:t>que permita identificar, juzgar y sancionar a los responsables</w:t>
      </w:r>
      <w:r w:rsidRPr="0011380E">
        <w:rPr>
          <w:rFonts w:asciiTheme="majorHAnsi" w:hAnsiTheme="majorHAnsi"/>
          <w:color w:val="auto"/>
          <w:szCs w:val="20"/>
          <w:lang w:val="es-ES"/>
        </w:rPr>
        <w:t xml:space="preserve"> de los mismos</w:t>
      </w:r>
      <w:r w:rsidRPr="0011380E">
        <w:rPr>
          <w:rFonts w:asciiTheme="majorHAnsi" w:hAnsiTheme="majorHAnsi"/>
          <w:color w:val="auto"/>
          <w:szCs w:val="20"/>
          <w:lang w:val="es-CO"/>
        </w:rPr>
        <w:t>.</w:t>
      </w:r>
    </w:p>
    <w:p w14:paraId="15E279EC" w14:textId="77777777" w:rsidR="0033028D" w:rsidRPr="0011380E" w:rsidRDefault="0033028D" w:rsidP="005876F0">
      <w:pPr>
        <w:pStyle w:val="ListParagraph"/>
        <w:numPr>
          <w:ilvl w:val="0"/>
          <w:numId w:val="0"/>
        </w:numPr>
        <w:rPr>
          <w:rFonts w:asciiTheme="majorHAnsi" w:eastAsia="Times New Roman" w:hAnsiTheme="majorHAnsi" w:cs="Tahoma"/>
          <w:color w:val="auto"/>
          <w:szCs w:val="20"/>
          <w:bdr w:val="none" w:sz="0" w:space="0" w:color="auto"/>
          <w:lang w:val="es-US"/>
        </w:rPr>
      </w:pPr>
    </w:p>
    <w:sectPr w:rsidR="0033028D" w:rsidRPr="0011380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9562" w14:textId="77777777" w:rsidR="002B3220" w:rsidRDefault="002B3220">
      <w:r>
        <w:separator/>
      </w:r>
    </w:p>
  </w:endnote>
  <w:endnote w:type="continuationSeparator" w:id="0">
    <w:p w14:paraId="1D8D35FF" w14:textId="77777777" w:rsidR="002B3220" w:rsidRDefault="002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4533A304" w14:textId="77777777" w:rsidR="005F3D64" w:rsidRPr="00934A2C" w:rsidRDefault="005F3D6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A4472">
          <w:rPr>
            <w:noProof/>
            <w:sz w:val="16"/>
            <w:szCs w:val="22"/>
          </w:rPr>
          <w:t>1</w:t>
        </w:r>
        <w:r w:rsidRPr="00934A2C">
          <w:rPr>
            <w:noProof/>
            <w:sz w:val="16"/>
            <w:szCs w:val="22"/>
          </w:rPr>
          <w:fldChar w:fldCharType="end"/>
        </w:r>
      </w:p>
    </w:sdtContent>
  </w:sdt>
  <w:p w14:paraId="6901A858" w14:textId="77777777" w:rsidR="005F3D64" w:rsidRDefault="005F3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DF9A" w14:textId="77777777" w:rsidR="005F3D64" w:rsidRPr="00934A2C" w:rsidRDefault="005F3D64">
    <w:pPr>
      <w:pStyle w:val="Footer"/>
      <w:jc w:val="center"/>
      <w:rPr>
        <w:sz w:val="16"/>
        <w:szCs w:val="22"/>
      </w:rPr>
    </w:pPr>
  </w:p>
  <w:p w14:paraId="3A5101DE" w14:textId="77777777" w:rsidR="005F3D64" w:rsidRDefault="005F3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22CFB" w14:textId="77777777" w:rsidR="002B3220" w:rsidRPr="000F35ED" w:rsidRDefault="002B322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17CBC03" w14:textId="77777777" w:rsidR="002B3220" w:rsidRPr="000F35ED" w:rsidRDefault="002B3220" w:rsidP="000F35ED">
      <w:pPr>
        <w:rPr>
          <w:rFonts w:asciiTheme="majorHAnsi" w:hAnsiTheme="majorHAnsi"/>
          <w:sz w:val="16"/>
          <w:szCs w:val="16"/>
        </w:rPr>
      </w:pPr>
      <w:r w:rsidRPr="000F35ED">
        <w:rPr>
          <w:rFonts w:asciiTheme="majorHAnsi" w:hAnsiTheme="majorHAnsi"/>
          <w:sz w:val="16"/>
          <w:szCs w:val="16"/>
        </w:rPr>
        <w:separator/>
      </w:r>
    </w:p>
    <w:p w14:paraId="2945642E" w14:textId="77777777" w:rsidR="002B3220" w:rsidRPr="000F35ED" w:rsidRDefault="002B322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D502E38" w14:textId="77777777" w:rsidR="002B3220" w:rsidRPr="000F35ED" w:rsidRDefault="002B322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445FF18" w14:textId="77777777" w:rsidR="005F3D64" w:rsidRPr="00643722" w:rsidRDefault="005F3D64">
      <w:pPr>
        <w:pStyle w:val="FootnoteText"/>
        <w:rPr>
          <w:color w:val="auto"/>
          <w:lang w:val="es-US"/>
        </w:rPr>
      </w:pPr>
      <w:r w:rsidRPr="00643722">
        <w:rPr>
          <w:rStyle w:val="FootnoteReference"/>
        </w:rPr>
        <w:footnoteRef/>
      </w:r>
      <w:r w:rsidRPr="00643722">
        <w:rPr>
          <w:lang w:val="es-US"/>
        </w:rPr>
        <w:t xml:space="preserve"> Estas personas son: Norma Lupe Alarcón de Valencia; Mercedes Valencia Chuquimia; Mauricio Valenzuela Valencia; Alvaro Taboada Valencia; Claudia Valencia Alarcón; Carlos Eladio Cruz Añez; Patricia Catalina Gallardo Ardúz; María Fernanda Peña Gallardo; Freddy Cáceres Castro; Oswaldo Lulleman Antezana; Raúl Oswaldo Lulleman Gutiérrez; Victoria Gutiérrez de Lulleman; Paola Lulleman de Zaconeta; Luis F. Lulleman Gutiérrez; Julia Mamanu Mamani; Genaro Ahuacho Luna (Walter Herrera Flores), fallecido; Carlos Enrique Castro Ramírez; Alfredo Bazán la Rosas (José Miguel Abildo Díaz); Víctor Manuel Boggiano Bruzon (Juan Ramírez Ortega); Elacio Peña Córdoba; Francis Elida Primentela Merino; Edwin Rodríguez Alarcón; Gabriel Valencia Alarcón, Alexis Valencia Alarcón y Claudio Valencia. Cabe mencionar que con posterioridad, se constituyeron en representantes de algunas presuntas víctimas Williams Gonzalo Orihuela Peñaranda y la Asociación Interamericana de Defensorías Públicas (AIDEF), conforme se detalla en notas al pie 4 y 6.    </w:t>
      </w:r>
    </w:p>
  </w:footnote>
  <w:footnote w:id="3">
    <w:p w14:paraId="0C57F771" w14:textId="77777777" w:rsidR="005F3D64" w:rsidRPr="00643722" w:rsidRDefault="005F3D64" w:rsidP="00A03A30">
      <w:pPr>
        <w:pStyle w:val="FootnoteText"/>
        <w:rPr>
          <w:color w:val="FF0000"/>
          <w:lang w:val="es-CO"/>
        </w:rPr>
      </w:pPr>
      <w:r w:rsidRPr="00643722">
        <w:rPr>
          <w:rStyle w:val="FootnoteReference"/>
          <w:color w:val="auto"/>
        </w:rPr>
        <w:footnoteRef/>
      </w:r>
      <w:r w:rsidRPr="00643722">
        <w:rPr>
          <w:color w:val="auto"/>
          <w:lang w:val="es-US"/>
        </w:rPr>
        <w:t xml:space="preserve"> CIDH. Informe No. 84/08. Petición 40-03. Blas Valencia Campos y otros. Bolivia, 30 de octubre de 2008</w:t>
      </w:r>
      <w:r w:rsidRPr="00643722">
        <w:rPr>
          <w:color w:val="auto"/>
          <w:lang w:val="es-CO"/>
        </w:rPr>
        <w:t xml:space="preserve">. </w:t>
      </w:r>
      <w:r w:rsidRPr="00643722">
        <w:rPr>
          <w:lang w:val="es-ES"/>
        </w:rPr>
        <w:t>La CIDH declaró admisible la petición con relación a los derechos consagrados en los artículos 4, 5, 7, 11, 19, 8 y 25 de la Convención Americana en conexión con las obligaciones establecidas en el artículo 1.1 del mismo instrumento; así como el derecho consagrado en el artículo 7 de la Convención de Belém do Pará y de lo establecido en los artículos 1, 6 y 8 de la Convención Interamericana para Prevenir y Sancionar la Tortura.</w:t>
      </w:r>
    </w:p>
  </w:footnote>
  <w:footnote w:id="4">
    <w:p w14:paraId="25BC549D" w14:textId="77777777" w:rsidR="005F3D64" w:rsidRPr="00643722" w:rsidRDefault="005F3D64">
      <w:pPr>
        <w:pStyle w:val="FootnoteText"/>
        <w:rPr>
          <w:lang w:val="es-US"/>
        </w:rPr>
      </w:pPr>
      <w:r w:rsidRPr="00643722">
        <w:rPr>
          <w:rStyle w:val="FootnoteReference"/>
        </w:rPr>
        <w:footnoteRef/>
      </w:r>
      <w:r w:rsidRPr="00643722">
        <w:rPr>
          <w:lang w:val="es-US"/>
        </w:rPr>
        <w:t xml:space="preserve"> Escrito presentado por Williams Gonzalo Orihuela Peñaranda, en representación de Francis Elida Primentela Merino y Eladio Cruz Añez.</w:t>
      </w:r>
    </w:p>
  </w:footnote>
  <w:footnote w:id="5">
    <w:p w14:paraId="4506C51B" w14:textId="77777777" w:rsidR="005F3D64" w:rsidRPr="00643722" w:rsidRDefault="005F3D64">
      <w:pPr>
        <w:pStyle w:val="FootnoteText"/>
        <w:rPr>
          <w:lang w:val="es-US"/>
        </w:rPr>
      </w:pPr>
      <w:r w:rsidRPr="00643722">
        <w:rPr>
          <w:rStyle w:val="FootnoteReference"/>
        </w:rPr>
        <w:footnoteRef/>
      </w:r>
      <w:r w:rsidRPr="00643722">
        <w:rPr>
          <w:lang w:val="es-US"/>
        </w:rPr>
        <w:t xml:space="preserve"> Escrito presentado por Blas Valencia Campos, asumiendo su propia representación por falta de recursos económicos. </w:t>
      </w:r>
    </w:p>
  </w:footnote>
  <w:footnote w:id="6">
    <w:p w14:paraId="2FC46DE2" w14:textId="77777777" w:rsidR="005F3D64" w:rsidRPr="00643722" w:rsidRDefault="005F3D64">
      <w:pPr>
        <w:pStyle w:val="FootnoteText"/>
        <w:rPr>
          <w:lang w:val="es-ES"/>
        </w:rPr>
      </w:pPr>
      <w:r w:rsidRPr="00643722">
        <w:rPr>
          <w:rStyle w:val="FootnoteReference"/>
        </w:rPr>
        <w:footnoteRef/>
      </w:r>
      <w:r w:rsidRPr="00643722">
        <w:rPr>
          <w:lang w:val="es-ES"/>
        </w:rPr>
        <w:t xml:space="preserve"> Escrito presentado por la Asociación Interamericana de Defensorías Públicas, en representación de Víctor Manuel Boggiano Bruzzón, también conocido como Juan Ramírez Ortega.</w:t>
      </w:r>
    </w:p>
  </w:footnote>
  <w:footnote w:id="7">
    <w:p w14:paraId="1DB83F1C"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01. </w:t>
      </w:r>
      <w:r w:rsidRPr="00643722">
        <w:rPr>
          <w:lang w:val="es-ES"/>
        </w:rPr>
        <w:t xml:space="preserve">Expediente Caso Prosegur. </w:t>
      </w:r>
      <w:r w:rsidRPr="00643722">
        <w:rPr>
          <w:lang w:val="es-US"/>
        </w:rPr>
        <w:t>Sentencia de fecha 16 de mayo de 2003. Tribunal de Sentencia Segundo de El Alto. Caso No. 1014. Resolución 12/2003 (en adelante “Sentencia 16 de mayo de 2003”), fojas 1603-1614.</w:t>
      </w:r>
    </w:p>
  </w:footnote>
  <w:footnote w:id="8">
    <w:p w14:paraId="4059DE01" w14:textId="77777777" w:rsidR="005F3D64" w:rsidRPr="00643722" w:rsidRDefault="005F3D64">
      <w:pPr>
        <w:pStyle w:val="FootnoteText"/>
        <w:rPr>
          <w:lang w:val="es-US"/>
        </w:rPr>
      </w:pPr>
      <w:r w:rsidRPr="00643722">
        <w:rPr>
          <w:rStyle w:val="FootnoteReference"/>
        </w:rPr>
        <w:footnoteRef/>
      </w:r>
      <w:r w:rsidRPr="00643722">
        <w:rPr>
          <w:lang w:val="es-US"/>
        </w:rPr>
        <w:t xml:space="preserve"> Inmuebles ubicados en calles: Virgen del Rosario 55; y 11 # 120, Villa Dolores, El Alto de La Paz.</w:t>
      </w:r>
    </w:p>
  </w:footnote>
  <w:footnote w:id="9">
    <w:p w14:paraId="52A6951E"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02. Resolución No. 180/2001. Juzgado Octavo de Instrucción en lo Penal Cautelar dentro de la denuncia seguida por el Ministerio Público contra los autores por el supuesto delito de asesinato y robo agravado. La Paz, 14 de diciembre de 2001.</w:t>
      </w:r>
    </w:p>
  </w:footnote>
  <w:footnote w:id="10">
    <w:p w14:paraId="5BB3880C" w14:textId="77777777" w:rsidR="005F3D64" w:rsidRPr="00643722" w:rsidRDefault="005F3D64" w:rsidP="00621AA4">
      <w:pPr>
        <w:pStyle w:val="FootnoteText"/>
        <w:rPr>
          <w:lang w:val="es-US"/>
        </w:rPr>
      </w:pPr>
      <w:r w:rsidRPr="00643722">
        <w:rPr>
          <w:rStyle w:val="FootnoteReference"/>
        </w:rPr>
        <w:footnoteRef/>
      </w:r>
      <w:r w:rsidRPr="00643722">
        <w:rPr>
          <w:lang w:val="es-US"/>
        </w:rPr>
        <w:t xml:space="preserve"> Inmuebles ubicados en: Avenida Cívica 75, El Alto; Presbitero Medina 2525, Sopocachi; Presbitero Medina 2523, Sopocachi; Las Rosas 2315, Sopocachi; Plaza Literal 6568-B, Irpavi; y Zarzuela 600, Achachicala.</w:t>
      </w:r>
    </w:p>
  </w:footnote>
  <w:footnote w:id="11">
    <w:p w14:paraId="117720A2"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03. Resolución No. 186/2001. Juzgado Octavo de Instrucción en lo Penal Cautelar dentro de la denuncia seguida por el Ministerio Público contra los autores por el supuesto delito de asesinato y robo agravado. La Paz, 17 de diciembre de 2001. Se deja expresa constancia que la única copia de esta resolución acompañada por el Estado se encuentra prácticamente ilegible en su segunda página.</w:t>
      </w:r>
    </w:p>
  </w:footnote>
  <w:footnote w:id="12">
    <w:p w14:paraId="222BAC63" w14:textId="77777777" w:rsidR="005F3D64" w:rsidRPr="00643722" w:rsidRDefault="005F3D64" w:rsidP="00E039AB">
      <w:pPr>
        <w:pStyle w:val="FootnoteText"/>
        <w:rPr>
          <w:lang w:val="es-US"/>
        </w:rPr>
      </w:pPr>
      <w:r w:rsidRPr="00643722">
        <w:rPr>
          <w:rStyle w:val="FootnoteReference"/>
        </w:rPr>
        <w:footnoteRef/>
      </w:r>
      <w:r w:rsidRPr="00643722">
        <w:rPr>
          <w:lang w:val="es-US"/>
        </w:rPr>
        <w:t xml:space="preserve"> Denuncia de los peticionarios de 24 de enero de 2003.</w:t>
      </w:r>
    </w:p>
  </w:footnote>
  <w:footnote w:id="13">
    <w:p w14:paraId="00811B06"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 xml:space="preserve">Anexo 01. Expediente Caso Prosegur. </w:t>
      </w:r>
      <w:r w:rsidRPr="00643722">
        <w:rPr>
          <w:lang w:val="es-US"/>
        </w:rPr>
        <w:t xml:space="preserve">Declaración de Francis Elida Primentela Merino. Audiencia de 17 de enero de 2003, fojas 1141 vuelta y 1142; Declaración de Claudia Mariela Valencia Alarcón. Audiencia de 21 de enero de 2003, fojas 1148; </w:t>
      </w:r>
      <w:r w:rsidRPr="00643722">
        <w:rPr>
          <w:lang w:val="es-ES"/>
        </w:rPr>
        <w:t xml:space="preserve">Declaración de Andres Sanchez Guegner. Audiencia de 11 de marzo de 2003, fojas 1252(a); </w:t>
      </w:r>
      <w:r w:rsidRPr="00643722">
        <w:rPr>
          <w:lang w:val="es-US"/>
        </w:rPr>
        <w:t>Declaración de Victoria Gutierrez Aguilar de Lulleman. Audiencia de 8 de abril de 2003, fojas 1332;</w:t>
      </w:r>
      <w:r w:rsidRPr="00643722">
        <w:rPr>
          <w:lang w:val="es-ES"/>
        </w:rPr>
        <w:t xml:space="preserve"> Declaración de Carlos Eladio Cruz </w:t>
      </w:r>
      <w:r w:rsidRPr="00643722">
        <w:rPr>
          <w:lang w:val="es-US"/>
        </w:rPr>
        <w:t>Añez. Audiencia de 15 de abril de 2003, fojas 1378.</w:t>
      </w:r>
    </w:p>
  </w:footnote>
  <w:footnote w:id="14">
    <w:p w14:paraId="73F66C79" w14:textId="77777777" w:rsidR="005F3D64" w:rsidRPr="00643722" w:rsidRDefault="005F3D64" w:rsidP="004D2CE9">
      <w:pPr>
        <w:pStyle w:val="FootnoteText"/>
        <w:rPr>
          <w:lang w:val="es-US"/>
        </w:rPr>
      </w:pPr>
      <w:r w:rsidRPr="00643722">
        <w:rPr>
          <w:rStyle w:val="FootnoteReference"/>
        </w:rPr>
        <w:footnoteRef/>
      </w:r>
      <w:r w:rsidRPr="00643722">
        <w:rPr>
          <w:lang w:val="es-US"/>
        </w:rPr>
        <w:t xml:space="preserve"> Conforme a lo detallado por los peticionarios, las viviendas allanadas y víctimas de las vejaciones incluirían a: a) Vivienda de calle Las Rosas 2319, Sopocachi, La Paz, </w:t>
      </w:r>
      <w:r w:rsidRPr="00643722">
        <w:rPr>
          <w:lang w:val="es-ES_tradnl"/>
        </w:rPr>
        <w:t>domicilio de la familia Valencia Alarcón, en el que se encontraba Blas Valencia Campos, su esposa Norma Alarcón, sus hijos Edwin, Claudia, Gabriel y Alexis y su nieto Claudio, los dos últimos de 11 y 3 años de edad; b) Domicilio de calle Presbitero Medina, en el que</w:t>
      </w:r>
      <w:r w:rsidRPr="00643722">
        <w:rPr>
          <w:color w:val="auto"/>
          <w:lang w:val="es-ES_tradnl"/>
        </w:rPr>
        <w:t xml:space="preserve"> </w:t>
      </w:r>
      <w:r w:rsidRPr="00643722">
        <w:rPr>
          <w:lang w:val="es-ES_tradnl"/>
        </w:rPr>
        <w:t xml:space="preserve">se encontraba Victor Manuel Boggiano Bruzon (Juan Ramírez Ortega), </w:t>
      </w:r>
      <w:r w:rsidRPr="00643722">
        <w:rPr>
          <w:lang w:val="es-US"/>
        </w:rPr>
        <w:t xml:space="preserve">Genaro Ahuacho Luna (Walter Herrera Flores), Alfredo Bazán la Rosas (José Miguel Abildo Díaz), Mercedes Valencia Chuquimia y Mauricio Valenzuela Valencia, de 15 años de edad; c) Domicilio de Avenida Cívica Ciudad del Alto, </w:t>
      </w:r>
      <w:r w:rsidRPr="00643722">
        <w:rPr>
          <w:lang w:val="es-ES_tradnl"/>
        </w:rPr>
        <w:t xml:space="preserve">de la familia Lulleman, donde agredieron a todos los presentes, incluyendo mujeres, y detuvieron a </w:t>
      </w:r>
      <w:r w:rsidRPr="00643722">
        <w:rPr>
          <w:lang w:val="es-US"/>
        </w:rPr>
        <w:t>Oswaldo Lulleman Antezana y Raúl Oswaldo Lulleman Gutiérrez; y d) Domicilio de calle Juan Manuel Cáceres, pasaje Cáceres</w:t>
      </w:r>
      <w:r w:rsidRPr="00643722">
        <w:rPr>
          <w:rFonts w:eastAsia="Arial Unicode MS" w:cs="Times New Roman"/>
          <w:color w:val="auto"/>
          <w:lang w:val="es-US" w:eastAsia="en-US"/>
        </w:rPr>
        <w:t xml:space="preserve">, </w:t>
      </w:r>
      <w:r w:rsidRPr="00643722">
        <w:rPr>
          <w:lang w:val="es-US"/>
        </w:rPr>
        <w:t>en la que se encontraba Francis Elida Primentela Merino, Carlos Eladio Cruz Añez y Carlos Enrique Castro Ramírez. Ver: Denuncia de los peticionarios de 24 de enero de 2003.</w:t>
      </w:r>
    </w:p>
  </w:footnote>
  <w:footnote w:id="15">
    <w:p w14:paraId="4FAC601C"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 xml:space="preserve">Anexo 04. Actas Declaraciones Imputados Caso Prosegur (en adelante “Declaraciones Caso Prosegur”). </w:t>
      </w:r>
      <w:r w:rsidRPr="00643722">
        <w:rPr>
          <w:lang w:val="es-US"/>
        </w:rPr>
        <w:t>Freddy Cáceres Castro,</w:t>
      </w:r>
      <w:r w:rsidRPr="00643722">
        <w:rPr>
          <w:lang w:val="es-ES"/>
        </w:rPr>
        <w:t xml:space="preserve"> fojas 4 a 21; Patricia Catalina Gallardo Arduz, fojas 22 a 39; Blas Valencia Campos, fojas 40 a 55; Mercedes Valencia Chuquimia, fojas 56 a 66; Norma Alarcón de Valencia, fojas 67 a 74; Oswaldo Lulleman Antezana, fojas 75 a 81; Eladio Cruz Añez, fojas 82 a 87; Carlos Enrique Castro Ramírez, fojas 88</w:t>
      </w:r>
      <w:r w:rsidRPr="00643722">
        <w:rPr>
          <w:lang w:val="es-US"/>
        </w:rPr>
        <w:t xml:space="preserve"> a 94; Alfredo Bazán y Rozas o José Miguel Avildo Díaz, fojas 95 a 101 vuelta; Víctor Boggiano Bruzón o Juan Ramírez Ortega, fojas 102 a 105; Elacio Peña Córdova, fojas 106 a 112 vuelta; Leonel Eber Delgadillo Salvatierra, fojas 114 a 126; Raúl Lulleman Gutiérrez, fojas 127 a 134; Francis Elida Primentel Merino, fojas 131 a 137; María Fernanda Peña Gallardo, fojas 138 a 141; y Claudia Mariela Valencia Alarcón, fojas 143 a 153.  </w:t>
      </w:r>
    </w:p>
  </w:footnote>
  <w:footnote w:id="16">
    <w:p w14:paraId="22EFE4D2" w14:textId="77777777" w:rsidR="005F3D64" w:rsidRPr="00643722" w:rsidRDefault="005F3D64">
      <w:pPr>
        <w:pStyle w:val="FootnoteText"/>
        <w:rPr>
          <w:lang w:val="es-ES"/>
        </w:rPr>
      </w:pPr>
      <w:r w:rsidRPr="00643722">
        <w:rPr>
          <w:rStyle w:val="FootnoteReference"/>
        </w:rPr>
        <w:footnoteRef/>
      </w:r>
      <w:r w:rsidRPr="00643722">
        <w:rPr>
          <w:lang w:val="es-US"/>
        </w:rPr>
        <w:t xml:space="preserve"> </w:t>
      </w:r>
      <w:r w:rsidRPr="00643722">
        <w:rPr>
          <w:lang w:val="es-ES"/>
        </w:rPr>
        <w:t>Anexo 04. Declaraciones Caso Prosegur. Ampliatoria Mercedes Valencia, 16 de enero de 2002, fojas 61 y 66.</w:t>
      </w:r>
    </w:p>
  </w:footnote>
  <w:footnote w:id="17">
    <w:p w14:paraId="682A0D2D"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04. Declaraciones Caso Prosegur. José Miguel Alvildo Diaz, 18 de diciembre de 2001, fojas 101 vuelta.</w:t>
      </w:r>
    </w:p>
  </w:footnote>
  <w:footnote w:id="18">
    <w:p w14:paraId="30485CBA" w14:textId="77777777" w:rsidR="005F3D64" w:rsidRPr="00643722" w:rsidRDefault="005F3D64" w:rsidP="00B910A6">
      <w:pPr>
        <w:pStyle w:val="FootnoteText"/>
        <w:rPr>
          <w:lang w:val="es-ES"/>
        </w:rPr>
      </w:pPr>
      <w:r w:rsidRPr="00643722">
        <w:rPr>
          <w:rStyle w:val="FootnoteReference"/>
        </w:rPr>
        <w:footnoteRef/>
      </w:r>
      <w:r w:rsidRPr="00643722">
        <w:rPr>
          <w:lang w:val="es-ES"/>
        </w:rPr>
        <w:t xml:space="preserve"> Anexo 04. Declaraciones Caso Prosegur. Juan Ramírez Ortega, 18 de diciembre de 2001, fojas 105.</w:t>
      </w:r>
    </w:p>
  </w:footnote>
  <w:footnote w:id="19">
    <w:p w14:paraId="631A1C31"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04. Declaraciones Caso Prosegur. Juan Ramírez Ortega, 20 de marzo de 2002, fojas 103.</w:t>
      </w:r>
    </w:p>
  </w:footnote>
  <w:footnote w:id="20">
    <w:p w14:paraId="7BB86EB8"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04. Declaraciones Caso Prosegur. Francis Primentela Merino, 18 de diciembre de 2001 y 17 de enero de 2002 fojas 132, 133, 135, 136 y 137.</w:t>
      </w:r>
    </w:p>
  </w:footnote>
  <w:footnote w:id="21">
    <w:p w14:paraId="6D7C90C3"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04. Declaraciones Caso Prosegur. Claudia Valencia Alarcón, 16 de enero y 20 de junio de 2002, fojas 151 y 152.</w:t>
      </w:r>
    </w:p>
  </w:footnote>
  <w:footnote w:id="22">
    <w:p w14:paraId="5ECA75DC" w14:textId="77777777" w:rsidR="005F3D64" w:rsidRPr="00643722" w:rsidRDefault="005F3D64">
      <w:pPr>
        <w:pStyle w:val="FootnoteText"/>
        <w:rPr>
          <w:lang w:val="es-US"/>
        </w:rPr>
      </w:pPr>
      <w:r w:rsidRPr="00643722">
        <w:rPr>
          <w:rStyle w:val="FootnoteReference"/>
        </w:rPr>
        <w:footnoteRef/>
      </w:r>
      <w:r w:rsidRPr="00643722">
        <w:rPr>
          <w:lang w:val="es-US"/>
        </w:rPr>
        <w:t xml:space="preserve"> Los detenidos presentados en dicha audiencia eran: Enrique Castro Ramírez, Alberto Farfán Larrosa o José Miguel Aroldo Díaz, Juan Ramírez Organi, Walter Herrera Ríos, Alfredo Rodríguez Vives, Mercedes Valencia Chuquimia, Victoria Gutiérrez Aguilar, Blas Valencia Campos, Oswaldo Lullelam Antezana, Claudia Valencia Alarcón, Francis Pimentel Medina, Norma de Valencia, Carlos Cruz Añez, Elacio Peña Córdova, Freddy Cáceres, Patricia Gallardo Arduz y Raúl Lulleman Gutiérrez.</w:t>
      </w:r>
    </w:p>
  </w:footnote>
  <w:footnote w:id="23">
    <w:p w14:paraId="18185DDA" w14:textId="77777777" w:rsidR="005F3D64" w:rsidRPr="00643722" w:rsidRDefault="005F3D64">
      <w:pPr>
        <w:pStyle w:val="FootnoteText"/>
        <w:rPr>
          <w:lang w:val="es-US"/>
        </w:rPr>
      </w:pPr>
      <w:r w:rsidRPr="00643722">
        <w:rPr>
          <w:rStyle w:val="FootnoteReference"/>
        </w:rPr>
        <w:footnoteRef/>
      </w:r>
      <w:r w:rsidRPr="00643722">
        <w:rPr>
          <w:lang w:val="es-VE"/>
        </w:rPr>
        <w:t xml:space="preserve"> Anexo 05. Acta Audiencia Pública de Medidas Cautelares. </w:t>
      </w:r>
      <w:r w:rsidRPr="00643722">
        <w:rPr>
          <w:lang w:val="es-US"/>
        </w:rPr>
        <w:t>Juzgado Octavo de Instrucción en lo Penal – Cautelar. 19 de diciembre de 2001.</w:t>
      </w:r>
    </w:p>
  </w:footnote>
  <w:footnote w:id="24">
    <w:p w14:paraId="79D5415E"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06. Resolución Nro. 189/2001. Auto Motivado. Juzgado Octavo de Instrucción en lo Penal – Cautelar. 19 de diciembre de 2001.</w:t>
      </w:r>
    </w:p>
  </w:footnote>
  <w:footnote w:id="25">
    <w:p w14:paraId="0539B6CD" w14:textId="77777777" w:rsidR="005F3D64" w:rsidRPr="00643722" w:rsidRDefault="005F3D64">
      <w:pPr>
        <w:pStyle w:val="FootnoteText"/>
        <w:rPr>
          <w:lang w:val="es-ES"/>
        </w:rPr>
      </w:pPr>
      <w:r w:rsidRPr="00643722">
        <w:rPr>
          <w:rStyle w:val="FootnoteReference"/>
        </w:rPr>
        <w:footnoteRef/>
      </w:r>
      <w:r w:rsidRPr="00643722">
        <w:rPr>
          <w:lang w:val="es-ES"/>
        </w:rPr>
        <w:t xml:space="preserve"> </w:t>
      </w:r>
      <w:r w:rsidRPr="00643722">
        <w:rPr>
          <w:lang w:val="es-ES_tradnl"/>
        </w:rPr>
        <w:t>Blas Valencia, Norma de Valencia, Carlos E. Castro, Juan Ramírez O., Eliceo Peña C., Alberto Farfán, Walter Herrera Ríos y Carlos Cruz Añez.</w:t>
      </w:r>
    </w:p>
  </w:footnote>
  <w:footnote w:id="26">
    <w:p w14:paraId="12268F7F"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07. Diversos extractos de los periódicos “La Prensa”, de 18 de diciembre de 2001 y “El Diario”, de 19 de diciembre de 2001; y semanario “El Pulso”, del 21 al 27 de diciembre de 2001. Todos acompañados como anexos a la Denuncia de los peticionarios de 24 de enero de 2003.</w:t>
      </w:r>
    </w:p>
  </w:footnote>
  <w:footnote w:id="27">
    <w:p w14:paraId="6C5BB760" w14:textId="77777777" w:rsidR="005F3D64" w:rsidRPr="00643722" w:rsidRDefault="005F3D64">
      <w:pPr>
        <w:pStyle w:val="FootnoteText"/>
        <w:rPr>
          <w:lang w:val="es-US"/>
        </w:rPr>
      </w:pPr>
      <w:r w:rsidRPr="00643722">
        <w:rPr>
          <w:rStyle w:val="FootnoteReference"/>
        </w:rPr>
        <w:footnoteRef/>
      </w:r>
      <w:r w:rsidRPr="00643722">
        <w:rPr>
          <w:lang w:val="es-US"/>
        </w:rPr>
        <w:t xml:space="preserve"> Freddy Cáceres, Raúl Lulleman Gutiérrez, Enrique o Carlos Castro Ramírez, Carlos Eladio Cruz Añez, Alfredo Farfán Larrosa o José Miguel Abildo Díaz, Blas Valencia Campos, Juan Ramírez Ortega, Oswaldo Lulleman Antezana, Walter Herrera Ríos, Elacio Peña Córdova, Alfredo Rodríguez Vives, Mercedes Valencua Chuquimia, Claudia Valencia Alarcón, Norma Alarcón de Valencia, Francis Elida Pimentela Merino, Victoria Gutiérrez Aguilar y Patricia Gallardo Arduz. </w:t>
      </w:r>
    </w:p>
  </w:footnote>
  <w:footnote w:id="28">
    <w:p w14:paraId="1596DF94"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08. Extracto del periódico “La Prensa” de fecha 30 de enero de 2002, Anexo Denuncia de los peticionarios de 24 de enero de 2003.</w:t>
      </w:r>
    </w:p>
  </w:footnote>
  <w:footnote w:id="29">
    <w:p w14:paraId="580BF46D"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09. Extracto del periódico “La Razón” de fecha 2 de mayo de 2002, Anexo Denuncia de los peticionarios de 24 de enero de 2003.</w:t>
      </w:r>
    </w:p>
  </w:footnote>
  <w:footnote w:id="30">
    <w:p w14:paraId="5DACD442"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20:55, 27:30-30:16, 30:40-30:52, 31:45-32:05, 32:00-33:00, 34:30, 38:15, 38:45.</w:t>
      </w:r>
    </w:p>
  </w:footnote>
  <w:footnote w:id="31">
    <w:p w14:paraId="4A57DFF0"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28:00-30:17.</w:t>
      </w:r>
    </w:p>
  </w:footnote>
  <w:footnote w:id="32">
    <w:p w14:paraId="2836CC9C"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9:05-12:17, 26:25, 26:35.</w:t>
      </w:r>
    </w:p>
  </w:footnote>
  <w:footnote w:id="33">
    <w:p w14:paraId="59544F04"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 38:40.</w:t>
      </w:r>
    </w:p>
  </w:footnote>
  <w:footnote w:id="34">
    <w:p w14:paraId="12683E33"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39:10, 39:30, 39:50-40:32, 41:30-41:47, 42:45-45:32.</w:t>
      </w:r>
    </w:p>
  </w:footnote>
  <w:footnote w:id="35">
    <w:p w14:paraId="4426D3AA"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20:30, 21:04, 21:45, 28:38-29:22, 30:25-30:32, 31:08, 31:30-31:42, 35:58-36:20, 38:10, 38:30, 39:20, 39:30, 40:45-41:12, 48:00-49:30.</w:t>
      </w:r>
    </w:p>
  </w:footnote>
  <w:footnote w:id="36">
    <w:p w14:paraId="2092EFE2"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36:20-37:02, 46:20, 50:30-51:32.</w:t>
      </w:r>
    </w:p>
  </w:footnote>
  <w:footnote w:id="37">
    <w:p w14:paraId="400983BF"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22:30, 22:50-23:42, 31:00, 33:20-34:31, 34:45, 34:58, 37:00-38:02, 49:45-52:17.</w:t>
      </w:r>
    </w:p>
  </w:footnote>
  <w:footnote w:id="38">
    <w:p w14:paraId="48101DA3"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46:26-47:52.</w:t>
      </w:r>
    </w:p>
  </w:footnote>
  <w:footnote w:id="39">
    <w:p w14:paraId="2D4DDB98"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40:45-41:12.</w:t>
      </w:r>
    </w:p>
  </w:footnote>
  <w:footnote w:id="40">
    <w:p w14:paraId="1EEE26D8"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10. Video (sin audio) en formato VHS del operativo policial y la reconstrucción de los hechos, minutos 35:10-35:42.</w:t>
      </w:r>
    </w:p>
  </w:footnote>
  <w:footnote w:id="41">
    <w:p w14:paraId="3154F108"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11. Informe de Gestión Directa de la Defensoría del Pueblo. Caso No. 0277-ALT-2002. 6 de marzo de 2002; Anexo 12. Informe PA/ALT/00081/2002/DH de la Defensoría del Pueblo. Caso No. 0277-ALT-2002. 20 de marzo de 2002.</w:t>
      </w:r>
    </w:p>
  </w:footnote>
  <w:footnote w:id="42">
    <w:p w14:paraId="22AF7B1A" w14:textId="77777777" w:rsidR="005F3D64" w:rsidRPr="00643722" w:rsidRDefault="005F3D64" w:rsidP="00756566">
      <w:pPr>
        <w:pStyle w:val="FootnoteText"/>
        <w:rPr>
          <w:lang w:val="es-US"/>
        </w:rPr>
      </w:pPr>
      <w:r w:rsidRPr="00643722">
        <w:rPr>
          <w:rStyle w:val="FootnoteReference"/>
        </w:rPr>
        <w:footnoteRef/>
      </w:r>
      <w:r w:rsidRPr="00643722">
        <w:rPr>
          <w:lang w:val="es-US"/>
        </w:rPr>
        <w:t xml:space="preserve"> Blas Valencia Campos, Oswaldo Lulleman, Carlos Cruz Añez, Alfredo Rodríguez Vives, Enrique Castro Ramírez, Ignacio Peña Córdoba, Juan Ramirez Ortega, Walter Herrera Ríos y José Miguel Albidio Diaz.</w:t>
      </w:r>
    </w:p>
  </w:footnote>
  <w:footnote w:id="43">
    <w:p w14:paraId="41125AF4"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13. Informe médico de fecha 12 de abril de 2002, suscrito por el médico de penitenciaría, Dr. Angel E. Yujra Alavarez e Informe médico No. 001380 sin fecha, suscrito por los médicos neurólogo e internista Dr. Jorge Perdager y Dr. Juan Carlos Zapata M.</w:t>
      </w:r>
    </w:p>
  </w:footnote>
  <w:footnote w:id="44">
    <w:p w14:paraId="7838198E"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14. Certificado Médico Forense de fecha 19 de junio de 2002, suscrito por el médico legista Dr. Freddy Torrejón.</w:t>
      </w:r>
    </w:p>
  </w:footnote>
  <w:footnote w:id="45">
    <w:p w14:paraId="1B395167" w14:textId="77777777" w:rsidR="005F3D64" w:rsidRPr="00643722" w:rsidRDefault="005F3D64" w:rsidP="009C502D">
      <w:pPr>
        <w:pStyle w:val="FootnoteText"/>
        <w:rPr>
          <w:lang w:val="es-US"/>
        </w:rPr>
      </w:pPr>
      <w:r w:rsidRPr="00643722">
        <w:rPr>
          <w:rStyle w:val="FootnoteReference"/>
        </w:rPr>
        <w:footnoteRef/>
      </w:r>
      <w:r w:rsidRPr="00643722">
        <w:rPr>
          <w:lang w:val="es-US"/>
        </w:rPr>
        <w:t xml:space="preserve"> Anexo 15. Acta de Suspensión de Audiencia de Declaración Informativa. Ministerio Público de la Nación, Fiscalía de Distrito. La Paz, Bolivia.</w:t>
      </w:r>
    </w:p>
  </w:footnote>
  <w:footnote w:id="46">
    <w:p w14:paraId="00F496CB"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Acusación Fiscal, fojas 157 a 186.</w:t>
      </w:r>
    </w:p>
  </w:footnote>
  <w:footnote w:id="47">
    <w:p w14:paraId="424989F7" w14:textId="77777777" w:rsidR="005F3D64" w:rsidRPr="00643722" w:rsidRDefault="005F3D64">
      <w:pPr>
        <w:pStyle w:val="FootnoteText"/>
        <w:rPr>
          <w:lang w:val="es-US"/>
        </w:rPr>
      </w:pPr>
      <w:r w:rsidRPr="00643722">
        <w:rPr>
          <w:rStyle w:val="FootnoteReference"/>
        </w:rPr>
        <w:footnoteRef/>
      </w:r>
      <w:r w:rsidRPr="00643722">
        <w:rPr>
          <w:lang w:val="es-US"/>
        </w:rPr>
        <w:t xml:space="preserve"> Los acusados incluyen a : Patricia Catalina Gallardo Arduz, Freddy Cáceres Castro, Blas Valencia Campos, Mercedes Valencia Chuquimia, Norma Lupe Alarcón Castillo de Valencia, Oswaldo Lulleman Antezana, Carlos Eladio Cruz Añez, Carlos Enrique Castro Ramírez, Alfredo Bazán Y Rosas o José Miguel Abildo Diaz, Víctor Manuel Boggiano Bruzón o Juan Ramírez Ortega, Elasio Peña Córdoba, Leonel Eber Delgadillo Gutiérrez, Raúl Oswaldo Lulleman Gutiérrez, Francis Elida Primentela Merino, Miguel Aguilar, Ángel León Arévalo y José Alexander Reguera Isuiza (Camilo). Los tres últimos prófugos y en rebeldía.</w:t>
      </w:r>
    </w:p>
  </w:footnote>
  <w:footnote w:id="48">
    <w:p w14:paraId="1A3EA69F" w14:textId="77777777" w:rsidR="005F3D64" w:rsidRPr="00643722" w:rsidRDefault="005F3D64" w:rsidP="00860526">
      <w:pPr>
        <w:pStyle w:val="FootnoteText"/>
        <w:rPr>
          <w:lang w:val="es-US"/>
        </w:rPr>
      </w:pPr>
      <w:r w:rsidRPr="00643722">
        <w:rPr>
          <w:rStyle w:val="FootnoteReference"/>
        </w:rPr>
        <w:footnoteRef/>
      </w:r>
      <w:r w:rsidRPr="00643722">
        <w:rPr>
          <w:lang w:val="es-US"/>
        </w:rPr>
        <w:t xml:space="preserve"> Por tales conductas se presentó acusación en contra de María Fernanda Peña Gallardo y Claudia Mariela Valencia Alarcón. Consta en el proceso que María Fernanda Peña Gallardo falleció el 14 de julio de 2002.</w:t>
      </w:r>
    </w:p>
  </w:footnote>
  <w:footnote w:id="49">
    <w:p w14:paraId="708AD130" w14:textId="77777777" w:rsidR="005F3D64" w:rsidRPr="00643722" w:rsidRDefault="005F3D64">
      <w:pPr>
        <w:pStyle w:val="FootnoteText"/>
        <w:rPr>
          <w:lang w:val="es-US"/>
        </w:rPr>
      </w:pPr>
      <w:r w:rsidRPr="00643722">
        <w:rPr>
          <w:rStyle w:val="FootnoteReference"/>
        </w:rPr>
        <w:footnoteRef/>
      </w:r>
      <w:r w:rsidRPr="00643722">
        <w:rPr>
          <w:lang w:val="es-US"/>
        </w:rPr>
        <w:t xml:space="preserve"> Los imputados sometidos a juicio oral fueron: Blas Valencia Campos, Norma Alarcón de Valencia, Claudia Valencia Alarcón, Elasio Peña Córdova, Oswaldo Lulleman Antezana, Raúl Oswaldo Lulleman Gutiérrez, Freddy Cáceres Castro, Leonel Delgadillo Gutiérrez, Mercedes Valencia Chuquimia, Francis Elida Primentela Merino, Carlos Eladio Cruz Añez, Patricia Catalina Gallardo Arduz, Carlos Enrique Castro Ramírez, Alfredo Bazan y Rosas (José Miguel Abildo Diaz) y Víctor Manuel Boggiano Bruzon (Juan Ramírez Ortega). </w:t>
      </w:r>
    </w:p>
  </w:footnote>
  <w:footnote w:id="50">
    <w:p w14:paraId="18881DD1"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Audiencias de 15 y 29 de enero, 13 de mayo de 2003, fojas 1115 vuelta, 1118, 1118 vuelta, 1155, 1158, 1160, 1162, 1163, 1164, 1165, 1167, 1539, 1541, 1547-1549, 1552-1553, 1557, 1559, 1562, 1565, 1567, 1571-1572</w:t>
      </w:r>
    </w:p>
  </w:footnote>
  <w:footnote w:id="51">
    <w:p w14:paraId="38ECACAC" w14:textId="77777777" w:rsidR="005F3D64" w:rsidRPr="00643722" w:rsidRDefault="005F3D64" w:rsidP="002F2FCF">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17 de enero de 2003, fojas 1138 vuelta, 1139, 1141, 1141 vuelta; y Sentencia 16 de mayo de 2003, fojas 1590.</w:t>
      </w:r>
    </w:p>
  </w:footnote>
  <w:footnote w:id="52">
    <w:p w14:paraId="6AA922D7"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21 de enero de 2003, fojas 1148, 1148 vuelta, 1149; y Sentencia 16 de mayo de 2003, fojas 1595.</w:t>
      </w:r>
    </w:p>
  </w:footnote>
  <w:footnote w:id="53">
    <w:p w14:paraId="75AA8292" w14:textId="77777777" w:rsidR="005F3D64" w:rsidRPr="00643722" w:rsidRDefault="005F3D64" w:rsidP="004A696A">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Audiencias de 28 de abril y 7 de mayo de 2003, fojas 1411 y 1440.</w:t>
      </w:r>
    </w:p>
  </w:footnote>
  <w:footnote w:id="54">
    <w:p w14:paraId="29600D88" w14:textId="77777777" w:rsidR="005F3D64" w:rsidRPr="00643722" w:rsidRDefault="005F3D64" w:rsidP="0087359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21 de abril de 2003, fojas 1378.</w:t>
      </w:r>
    </w:p>
  </w:footnote>
  <w:footnote w:id="55">
    <w:p w14:paraId="64F3E2DC" w14:textId="77777777" w:rsidR="005F3D64" w:rsidRPr="00643722" w:rsidRDefault="005F3D64" w:rsidP="00D1086E">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21 de enero de 2003, fojas 1144 y 1145 vuelta.</w:t>
      </w:r>
    </w:p>
  </w:footnote>
  <w:footnote w:id="56">
    <w:p w14:paraId="7B53048F" w14:textId="77777777" w:rsidR="005F3D64" w:rsidRPr="00643722" w:rsidRDefault="005F3D64" w:rsidP="00D138D2">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1234, 1240, 1245.</w:t>
      </w:r>
    </w:p>
  </w:footnote>
  <w:footnote w:id="57">
    <w:p w14:paraId="3AE2DEB5" w14:textId="77777777" w:rsidR="005F3D64" w:rsidRPr="00643722" w:rsidRDefault="005F3D64" w:rsidP="00A95266">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1234-1236.</w:t>
      </w:r>
    </w:p>
  </w:footnote>
  <w:footnote w:id="58">
    <w:p w14:paraId="2C8689DE"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1238, 1245.</w:t>
      </w:r>
    </w:p>
  </w:footnote>
  <w:footnote w:id="59">
    <w:p w14:paraId="4063C165" w14:textId="77777777" w:rsidR="005F3D64" w:rsidRPr="00643722" w:rsidRDefault="005F3D64" w:rsidP="00D138D2">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1234, 1235, 1236, 1240</w:t>
      </w:r>
    </w:p>
  </w:footnote>
  <w:footnote w:id="60">
    <w:p w14:paraId="4DFF1EED" w14:textId="77777777" w:rsidR="005F3D64" w:rsidRPr="00643722" w:rsidRDefault="005F3D64" w:rsidP="00D138D2">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1238</w:t>
      </w:r>
    </w:p>
  </w:footnote>
  <w:footnote w:id="61">
    <w:p w14:paraId="4F523EC4"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1243</w:t>
      </w:r>
    </w:p>
  </w:footnote>
  <w:footnote w:id="62">
    <w:p w14:paraId="213EC8C9"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1239, 1240, 1245.</w:t>
      </w:r>
    </w:p>
  </w:footnote>
  <w:footnote w:id="63">
    <w:p w14:paraId="00A989DC"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10 de marzo de 2003, fojas 1240.</w:t>
      </w:r>
    </w:p>
  </w:footnote>
  <w:footnote w:id="64">
    <w:p w14:paraId="031A714D" w14:textId="77777777" w:rsidR="005F3D64" w:rsidRPr="00643722" w:rsidRDefault="005F3D64" w:rsidP="00A95266">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1248-1251.</w:t>
      </w:r>
    </w:p>
  </w:footnote>
  <w:footnote w:id="65">
    <w:p w14:paraId="2879492D" w14:textId="77777777" w:rsidR="005F3D64" w:rsidRPr="00643722" w:rsidRDefault="005F3D64" w:rsidP="0046035D">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1252(a).</w:t>
      </w:r>
    </w:p>
  </w:footnote>
  <w:footnote w:id="66">
    <w:p w14:paraId="4FF91D25" w14:textId="77777777" w:rsidR="005F3D64" w:rsidRPr="00643722" w:rsidRDefault="005F3D64" w:rsidP="0046035D">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1250.</w:t>
      </w:r>
    </w:p>
  </w:footnote>
  <w:footnote w:id="67">
    <w:p w14:paraId="22E0052C"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1255.</w:t>
      </w:r>
    </w:p>
  </w:footnote>
  <w:footnote w:id="68">
    <w:p w14:paraId="07333A5C"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1258.</w:t>
      </w:r>
    </w:p>
  </w:footnote>
  <w:footnote w:id="69">
    <w:p w14:paraId="535298F0"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11 de marzo de 2003, fojas 1257.</w:t>
      </w:r>
    </w:p>
  </w:footnote>
  <w:footnote w:id="70">
    <w:p w14:paraId="22C20DE6"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Audiencias de 7, 8 y 10 de abril de 2003, fojas 1320, 1336-1337, 1345.</w:t>
      </w:r>
    </w:p>
  </w:footnote>
  <w:footnote w:id="71">
    <w:p w14:paraId="099BFAD0"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7 de abril de 2003, fojas 1322.</w:t>
      </w:r>
    </w:p>
  </w:footnote>
  <w:footnote w:id="72">
    <w:p w14:paraId="3FF1B143"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7 de abril de 2003, fojas 1322-1323.</w:t>
      </w:r>
    </w:p>
  </w:footnote>
  <w:footnote w:id="73">
    <w:p w14:paraId="362A3DEB"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7 de abril de 2003, fojas 1322-1323.</w:t>
      </w:r>
    </w:p>
  </w:footnote>
  <w:footnote w:id="74">
    <w:p w14:paraId="0D962D67"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8 de abril de 2003, fojas 1332-1334.</w:t>
      </w:r>
    </w:p>
  </w:footnote>
  <w:footnote w:id="75">
    <w:p w14:paraId="55587167" w14:textId="77777777" w:rsidR="005F3D64" w:rsidRPr="00643722" w:rsidRDefault="005F3D64" w:rsidP="00435BE5">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Audiencias de 15, 16, 21, 22, 23, 28 y 30 de abril y 5 de mayo de 2003, fojas 1356-1433.</w:t>
      </w:r>
    </w:p>
  </w:footnote>
  <w:footnote w:id="76">
    <w:p w14:paraId="3D0363F8" w14:textId="77777777" w:rsidR="005F3D64" w:rsidRPr="00643722" w:rsidRDefault="005F3D64" w:rsidP="003207E7">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22 de abril de 2003, fojas 1385-1389.</w:t>
      </w:r>
    </w:p>
  </w:footnote>
  <w:footnote w:id="77">
    <w:p w14:paraId="461EFBFB"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23 de abril de 2003, fojas 1392-1398.</w:t>
      </w:r>
    </w:p>
  </w:footnote>
  <w:footnote w:id="78">
    <w:p w14:paraId="2DB5B2B0" w14:textId="77777777" w:rsidR="005F3D64" w:rsidRPr="00643722" w:rsidRDefault="005F3D64" w:rsidP="00C92CA3">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7 de mayo de 2003, fojas 1434-1511.</w:t>
      </w:r>
    </w:p>
  </w:footnote>
  <w:footnote w:id="79">
    <w:p w14:paraId="2E94CFFF"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Parte Dispositiva Sentencia. Audiencia de 16 de mayo de 2003, fojas 1580(a)-(h).</w:t>
      </w:r>
    </w:p>
  </w:footnote>
  <w:footnote w:id="80">
    <w:p w14:paraId="1DFC3D1C" w14:textId="77777777" w:rsidR="005F3D64" w:rsidRPr="00643722" w:rsidRDefault="005F3D64">
      <w:pPr>
        <w:pStyle w:val="FootnoteText"/>
        <w:rPr>
          <w:lang w:val="es-ES"/>
        </w:rPr>
      </w:pPr>
      <w:r w:rsidRPr="00643722">
        <w:rPr>
          <w:rStyle w:val="FootnoteReference"/>
        </w:rPr>
        <w:footnoteRef/>
      </w:r>
      <w:r w:rsidRPr="00643722">
        <w:rPr>
          <w:lang w:val="es-ES"/>
        </w:rPr>
        <w:t xml:space="preserve"> Anexo 01. Expediente Caso Prosegur. Sentencia 16 de mayo de 2003, fojas 1603-1671.</w:t>
      </w:r>
    </w:p>
  </w:footnote>
  <w:footnote w:id="81">
    <w:p w14:paraId="70C11BFB" w14:textId="77777777" w:rsidR="005F3D64" w:rsidRPr="00643722" w:rsidRDefault="005F3D64" w:rsidP="00D7474D">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Sentencia 16 de mayo de 2003, fojas 1653.</w:t>
      </w:r>
    </w:p>
  </w:footnote>
  <w:footnote w:id="82">
    <w:p w14:paraId="3B5B70F5" w14:textId="77777777" w:rsidR="005F3D64" w:rsidRPr="00643722" w:rsidRDefault="005F3D64" w:rsidP="00D7474D">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Audiencia de 22 de abril de 2003, fojas 1385-1389.</w:t>
      </w:r>
    </w:p>
  </w:footnote>
  <w:footnote w:id="83">
    <w:p w14:paraId="3E093BC0"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Sentencia 16 de mayo de 2003, fojas 1660-1661.</w:t>
      </w:r>
    </w:p>
  </w:footnote>
  <w:footnote w:id="84">
    <w:p w14:paraId="0345F8F0"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Parte Dispositiva Sentencia. Audiencia de 16 de mayo de 2003, fojas 1580(g) y Sentencia de fecha 16 de mayo de 2003, fojas 1670.</w:t>
      </w:r>
    </w:p>
  </w:footnote>
  <w:footnote w:id="85">
    <w:p w14:paraId="2E6BCDE7"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Anexo 01. Expediente Caso Prosegur. Sentencia 16 de mayo de 2003, fojas 1624 y 1635.</w:t>
      </w:r>
    </w:p>
  </w:footnote>
  <w:footnote w:id="86">
    <w:p w14:paraId="78C6F208" w14:textId="77777777" w:rsidR="005F3D64" w:rsidRPr="00643722" w:rsidRDefault="005F3D64">
      <w:pPr>
        <w:pStyle w:val="FootnoteText"/>
        <w:rPr>
          <w:lang w:val="es-US"/>
        </w:rPr>
      </w:pPr>
      <w:r w:rsidRPr="00643722">
        <w:rPr>
          <w:rStyle w:val="FootnoteReference"/>
        </w:rPr>
        <w:footnoteRef/>
      </w:r>
      <w:r w:rsidRPr="00643722">
        <w:rPr>
          <w:lang w:val="es-US"/>
        </w:rPr>
        <w:t xml:space="preserve"> Anexo 01. </w:t>
      </w:r>
      <w:r w:rsidRPr="00643722">
        <w:rPr>
          <w:lang w:val="es-ES"/>
        </w:rPr>
        <w:t xml:space="preserve">Expediente Caso Prosegur. </w:t>
      </w:r>
      <w:r w:rsidRPr="00643722">
        <w:rPr>
          <w:lang w:val="es-US"/>
        </w:rPr>
        <w:t>Sentencia de fecha 21 de agosto de 2003. Sala Penal Primera. Corte Superior de Justicia. La Paz, Bolivia. Resolución 539/03, fojas 1999-2000.</w:t>
      </w:r>
    </w:p>
  </w:footnote>
  <w:footnote w:id="87">
    <w:p w14:paraId="034008F5" w14:textId="77777777" w:rsidR="005F3D64" w:rsidRPr="00643722" w:rsidRDefault="005F3D64">
      <w:pPr>
        <w:pStyle w:val="FootnoteText"/>
        <w:rPr>
          <w:lang w:val="pt-BR"/>
        </w:rPr>
      </w:pPr>
      <w:r w:rsidRPr="00643722">
        <w:rPr>
          <w:rStyle w:val="FootnoteReference"/>
        </w:rPr>
        <w:footnoteRef/>
      </w:r>
      <w:r w:rsidRPr="00643722">
        <w:rPr>
          <w:lang w:val="es-US"/>
        </w:rPr>
        <w:t xml:space="preserve"> Anexo 01. </w:t>
      </w:r>
      <w:r w:rsidRPr="00643722">
        <w:rPr>
          <w:lang w:val="es-ES"/>
        </w:rPr>
        <w:t xml:space="preserve">Expediente Caso Prosegur. </w:t>
      </w:r>
      <w:r w:rsidRPr="00643722">
        <w:rPr>
          <w:lang w:val="es-US"/>
        </w:rPr>
        <w:t xml:space="preserve">Sentencia de fecha 29 de octubre de 2003. </w:t>
      </w:r>
      <w:r w:rsidRPr="00643722">
        <w:rPr>
          <w:lang w:val="pt-BR"/>
        </w:rPr>
        <w:t>Sala Penal. Corte Suprema de Justicia. Bolivia. Auto Supremo 541, foja ilegible.</w:t>
      </w:r>
    </w:p>
  </w:footnote>
  <w:footnote w:id="88">
    <w:p w14:paraId="4AA44FC8" w14:textId="77777777" w:rsidR="005F3D64" w:rsidRPr="00643722" w:rsidRDefault="005F3D64">
      <w:pPr>
        <w:pStyle w:val="FootnoteText"/>
        <w:rPr>
          <w:lang w:val="es-US"/>
        </w:rPr>
      </w:pPr>
      <w:r w:rsidRPr="00643722">
        <w:rPr>
          <w:rStyle w:val="FootnoteReference"/>
        </w:rPr>
        <w:footnoteRef/>
      </w:r>
      <w:r w:rsidRPr="00643722">
        <w:rPr>
          <w:lang w:val="es-US"/>
        </w:rPr>
        <w:t xml:space="preserve"> Escrito de Observaciones Caso Blas Valencia y Otros. La Paz, 31 de octubre de 2016, párr. 36.</w:t>
      </w:r>
    </w:p>
  </w:footnote>
  <w:footnote w:id="89">
    <w:p w14:paraId="1C958F04" w14:textId="77777777" w:rsidR="005F3D64" w:rsidRPr="00643722" w:rsidRDefault="005F3D64">
      <w:pPr>
        <w:pStyle w:val="FootnoteText"/>
        <w:rPr>
          <w:lang w:val="es-US"/>
        </w:rPr>
      </w:pPr>
      <w:r w:rsidRPr="00643722">
        <w:rPr>
          <w:rStyle w:val="FootnoteReference"/>
        </w:rPr>
        <w:footnoteRef/>
      </w:r>
      <w:r w:rsidRPr="00643722">
        <w:rPr>
          <w:lang w:val="es-US"/>
        </w:rPr>
        <w:t xml:space="preserve"> El artículo 7 de la Convención Americana establece, en lo pertinente, lo siguiente: “</w:t>
      </w:r>
      <w:r w:rsidRPr="00643722">
        <w:rPr>
          <w:bCs/>
          <w:lang w:val="es-US"/>
        </w:rPr>
        <w:t xml:space="preserve">Artículo 7.  Derecho a la Libertad Personal. </w:t>
      </w:r>
      <w:r w:rsidRPr="00643722">
        <w:rPr>
          <w:lang w:val="es-US"/>
        </w:rPr>
        <w:t>1. Toda persona tiene derecho a la libertad y a la seguridad personales. 2. Nadie puede ser privado de su libertad física, salvo por las causas y en las condiciones fijadas de antemano por las Constituciones Políticas de los Estados Partes o por las leyes dictadas conforme a ellas. 3. Nadie puede ser sometido a detención o encarcelamiento arbitrarios. […] 6. Toda persona privada de libertad tiene derecho a recurrir ante un juez o tribunal competente, a fin de que éste decida, sin demora, sobre la legalidad de su arresto o detención y ordene su libertad si el arresto o la detención fueran ilegales. […].”.</w:t>
      </w:r>
    </w:p>
  </w:footnote>
  <w:footnote w:id="90">
    <w:p w14:paraId="309C5163" w14:textId="77777777" w:rsidR="005F3D64" w:rsidRPr="00643722" w:rsidRDefault="005F3D64">
      <w:pPr>
        <w:pStyle w:val="FootnoteText"/>
        <w:rPr>
          <w:lang w:val="es-US"/>
        </w:rPr>
      </w:pPr>
      <w:r w:rsidRPr="00643722">
        <w:rPr>
          <w:rStyle w:val="FootnoteReference"/>
        </w:rPr>
        <w:footnoteRef/>
      </w:r>
      <w:r w:rsidRPr="00643722">
        <w:rPr>
          <w:lang w:val="es-US"/>
        </w:rPr>
        <w:t xml:space="preserve"> El artículo 11 de la Convención Americana establece, en lo pertinente, lo siguiente: “</w:t>
      </w:r>
      <w:r w:rsidRPr="00643722">
        <w:rPr>
          <w:bCs/>
          <w:lang w:val="es-US"/>
        </w:rPr>
        <w:t xml:space="preserve">Artículo 11.  Protección de la Honra y de la Dignidad. </w:t>
      </w:r>
      <w:r w:rsidRPr="00643722">
        <w:rPr>
          <w:lang w:val="es-US"/>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 […]”.</w:t>
      </w:r>
    </w:p>
  </w:footnote>
  <w:footnote w:id="91">
    <w:p w14:paraId="77EB20FF" w14:textId="77777777" w:rsidR="005F3D64" w:rsidRPr="00643722" w:rsidRDefault="005F3D64" w:rsidP="00D679C8">
      <w:pPr>
        <w:pStyle w:val="FootnoteText"/>
        <w:rPr>
          <w:lang w:val="es-US"/>
        </w:rPr>
      </w:pPr>
      <w:r w:rsidRPr="00643722">
        <w:rPr>
          <w:rStyle w:val="FootnoteReference"/>
        </w:rPr>
        <w:footnoteRef/>
      </w:r>
      <w:r w:rsidRPr="00643722">
        <w:rPr>
          <w:lang w:val="es-US"/>
        </w:rPr>
        <w:t xml:space="preserve"> Ver, entre otros, </w:t>
      </w:r>
      <w:r w:rsidRPr="00643722">
        <w:rPr>
          <w:bCs/>
          <w:lang w:val="es-US"/>
        </w:rPr>
        <w:t xml:space="preserve">Corte IDH. </w:t>
      </w:r>
      <w:r w:rsidRPr="00643722">
        <w:rPr>
          <w:bCs/>
          <w:i/>
          <w:lang w:val="es-US"/>
        </w:rPr>
        <w:t>Caso Wong Ho Wing Vs. Perú</w:t>
      </w:r>
      <w:r w:rsidRPr="00643722">
        <w:rPr>
          <w:bCs/>
          <w:lang w:val="es-US"/>
        </w:rPr>
        <w:t>. Excepción Preliminar, Fondo, Reparaciones y Costas. Sentencia de 30 de junio de 2015. Serie C No. 297</w:t>
      </w:r>
      <w:r w:rsidRPr="00643722">
        <w:rPr>
          <w:rFonts w:eastAsia="Times New Roman" w:cs="Times New Roman"/>
          <w:color w:val="auto"/>
          <w:bdr w:val="none" w:sz="0" w:space="0" w:color="auto"/>
          <w:lang w:val="es-US" w:eastAsia="en-US"/>
        </w:rPr>
        <w:t xml:space="preserve"> </w:t>
      </w:r>
      <w:r w:rsidRPr="00643722">
        <w:rPr>
          <w:bCs/>
          <w:lang w:val="es-US"/>
        </w:rPr>
        <w:t xml:space="preserve">(Sentencia </w:t>
      </w:r>
      <w:r w:rsidRPr="00643722">
        <w:rPr>
          <w:bCs/>
          <w:i/>
          <w:lang w:val="es-US"/>
        </w:rPr>
        <w:t>Wong Ho Wing)</w:t>
      </w:r>
      <w:r w:rsidRPr="00643722">
        <w:rPr>
          <w:bCs/>
          <w:lang w:val="es-US"/>
        </w:rPr>
        <w:t>, párr. 235.</w:t>
      </w:r>
    </w:p>
  </w:footnote>
  <w:footnote w:id="92">
    <w:p w14:paraId="125DD545" w14:textId="77777777" w:rsidR="005F3D64" w:rsidRPr="00643722" w:rsidRDefault="005F3D64" w:rsidP="00771834">
      <w:pPr>
        <w:pStyle w:val="FootnoteText"/>
        <w:rPr>
          <w:lang w:val="es-US"/>
        </w:rPr>
      </w:pPr>
      <w:r w:rsidRPr="00643722">
        <w:rPr>
          <w:rStyle w:val="FootnoteReference"/>
        </w:rPr>
        <w:footnoteRef/>
      </w:r>
      <w:r w:rsidRPr="00643722">
        <w:rPr>
          <w:lang w:val="es-US"/>
        </w:rPr>
        <w:t xml:space="preserve"> </w:t>
      </w:r>
      <w:r w:rsidRPr="00643722">
        <w:rPr>
          <w:bCs/>
          <w:lang w:val="es-US"/>
        </w:rPr>
        <w:t xml:space="preserve">Corte IDH. </w:t>
      </w:r>
      <w:r w:rsidRPr="00643722">
        <w:rPr>
          <w:bCs/>
          <w:i/>
          <w:lang w:val="es-US"/>
        </w:rPr>
        <w:t>Caso Galindo Cárdenas y otros Vs. Perú.</w:t>
      </w:r>
      <w:r w:rsidRPr="00643722">
        <w:rPr>
          <w:bCs/>
          <w:lang w:val="es-US"/>
        </w:rPr>
        <w:t xml:space="preserve"> Excepciones Preliminares, Fondo, Reparaciones y Costas. Sentencia de 2 de octubre de 2015. Serie C No. 301 (Sentencia </w:t>
      </w:r>
      <w:r w:rsidRPr="00643722">
        <w:rPr>
          <w:bCs/>
          <w:i/>
          <w:lang w:val="es-US"/>
        </w:rPr>
        <w:t>Galindo Cárdenas y otros</w:t>
      </w:r>
      <w:r w:rsidRPr="00643722">
        <w:rPr>
          <w:bCs/>
          <w:lang w:val="es-US"/>
        </w:rPr>
        <w:t>), párr. 181.</w:t>
      </w:r>
    </w:p>
  </w:footnote>
  <w:footnote w:id="93">
    <w:p w14:paraId="34CB6AA5" w14:textId="77777777" w:rsidR="005F3D64" w:rsidRPr="00643722" w:rsidRDefault="005F3D64" w:rsidP="00D021E0">
      <w:pPr>
        <w:pStyle w:val="FootnoteText"/>
        <w:rPr>
          <w:bCs/>
          <w:lang w:val="es-US"/>
        </w:rPr>
      </w:pPr>
      <w:r w:rsidRPr="00643722">
        <w:rPr>
          <w:rStyle w:val="FootnoteReference"/>
        </w:rPr>
        <w:footnoteRef/>
      </w:r>
      <w:r w:rsidRPr="00643722">
        <w:rPr>
          <w:lang w:val="es-CO"/>
        </w:rPr>
        <w:t xml:space="preserve"> Corte IDH. Sentencia </w:t>
      </w:r>
      <w:r w:rsidRPr="00643722">
        <w:rPr>
          <w:bCs/>
          <w:i/>
          <w:lang w:val="es-CO"/>
        </w:rPr>
        <w:t>Wong Ho Wing</w:t>
      </w:r>
      <w:r w:rsidRPr="00643722">
        <w:rPr>
          <w:bCs/>
          <w:lang w:val="es-CO"/>
        </w:rPr>
        <w:t xml:space="preserve">, párr. </w:t>
      </w:r>
      <w:r w:rsidRPr="00643722">
        <w:rPr>
          <w:bCs/>
          <w:lang w:val="es-US"/>
        </w:rPr>
        <w:t xml:space="preserve">237. Ver también: </w:t>
      </w:r>
      <w:r w:rsidRPr="00643722">
        <w:rPr>
          <w:bCs/>
          <w:i/>
          <w:lang w:val="es-US"/>
        </w:rPr>
        <w:t>Caso Ticona Estrada y otros Vs. Bolivia</w:t>
      </w:r>
      <w:r w:rsidRPr="00643722">
        <w:rPr>
          <w:bCs/>
          <w:lang w:val="es-US"/>
        </w:rPr>
        <w:t>. Fondo, Reparaciones y Costas. Sentencia de 27 de noviembre de 2008. Serie C No. 191 (Sentencia</w:t>
      </w:r>
      <w:r w:rsidRPr="00643722">
        <w:rPr>
          <w:bCs/>
          <w:i/>
          <w:lang w:val="es-US"/>
        </w:rPr>
        <w:t xml:space="preserve"> Ticona Estrada</w:t>
      </w:r>
      <w:r w:rsidRPr="00643722">
        <w:rPr>
          <w:bCs/>
          <w:lang w:val="es-US"/>
        </w:rPr>
        <w:t>), párr. 57.</w:t>
      </w:r>
    </w:p>
  </w:footnote>
  <w:footnote w:id="94">
    <w:p w14:paraId="7AC706B7" w14:textId="77777777" w:rsidR="005F3D64" w:rsidRPr="00643722" w:rsidRDefault="005F3D64" w:rsidP="00222DD8">
      <w:pPr>
        <w:pStyle w:val="FootnoteText"/>
        <w:rPr>
          <w:lang w:val="pt-BR"/>
        </w:rPr>
      </w:pPr>
      <w:r w:rsidRPr="00643722">
        <w:rPr>
          <w:rStyle w:val="FootnoteReference"/>
        </w:rPr>
        <w:footnoteRef/>
      </w:r>
      <w:r w:rsidRPr="00643722">
        <w:rPr>
          <w:lang w:val="es-US"/>
        </w:rPr>
        <w:t xml:space="preserve"> Por una determinación similar, ver: </w:t>
      </w:r>
      <w:r w:rsidRPr="00643722">
        <w:rPr>
          <w:bCs/>
          <w:lang w:val="es-US"/>
        </w:rPr>
        <w:t xml:space="preserve">Corte IDH. </w:t>
      </w:r>
      <w:r w:rsidRPr="00643722">
        <w:rPr>
          <w:bCs/>
          <w:i/>
          <w:lang w:val="es-US"/>
        </w:rPr>
        <w:t>Caso Herrera Espinoza y otros Vs. Ecuador.</w:t>
      </w:r>
      <w:r w:rsidRPr="00643722">
        <w:rPr>
          <w:bCs/>
          <w:lang w:val="es-US"/>
        </w:rPr>
        <w:t xml:space="preserve"> Excepciones Preliminares, Fondo, Reparaciones y Costas. Sentencia de 1 de septiembre de 2016. </w:t>
      </w:r>
      <w:r w:rsidRPr="00643722">
        <w:rPr>
          <w:bCs/>
          <w:lang w:val="pt-BR"/>
        </w:rPr>
        <w:t>Serie C No. 316, párrs. 138-140.</w:t>
      </w:r>
    </w:p>
  </w:footnote>
  <w:footnote w:id="95">
    <w:p w14:paraId="4059A553" w14:textId="77777777" w:rsidR="005F3D64" w:rsidRPr="00643722" w:rsidRDefault="005F3D64" w:rsidP="00431AE0">
      <w:pPr>
        <w:jc w:val="both"/>
        <w:rPr>
          <w:rFonts w:asciiTheme="majorHAnsi" w:hAnsiTheme="majorHAnsi"/>
          <w:sz w:val="16"/>
          <w:szCs w:val="16"/>
          <w:lang w:val="pt-BR"/>
        </w:rPr>
      </w:pPr>
      <w:r w:rsidRPr="00643722">
        <w:rPr>
          <w:rStyle w:val="FootnoteReference"/>
          <w:rFonts w:asciiTheme="majorHAnsi" w:hAnsiTheme="majorHAnsi"/>
          <w:sz w:val="16"/>
          <w:szCs w:val="16"/>
          <w:lang w:val="es-ES"/>
        </w:rPr>
        <w:footnoteRef/>
      </w:r>
      <w:r w:rsidRPr="00643722">
        <w:rPr>
          <w:rFonts w:asciiTheme="majorHAnsi" w:hAnsiTheme="majorHAnsi"/>
          <w:sz w:val="16"/>
          <w:szCs w:val="16"/>
          <w:lang w:val="pt-BR"/>
        </w:rPr>
        <w:t xml:space="preserve"> Corte IDH., </w:t>
      </w:r>
      <w:r w:rsidRPr="00643722">
        <w:rPr>
          <w:rFonts w:asciiTheme="majorHAnsi" w:hAnsiTheme="majorHAnsi"/>
          <w:i/>
          <w:sz w:val="16"/>
          <w:szCs w:val="16"/>
          <w:lang w:val="pt-BR"/>
        </w:rPr>
        <w:t>Caso Gangaram Panday Vs. Surinam</w:t>
      </w:r>
      <w:r w:rsidRPr="00643722">
        <w:rPr>
          <w:rFonts w:asciiTheme="majorHAnsi" w:hAnsiTheme="majorHAnsi"/>
          <w:sz w:val="16"/>
          <w:szCs w:val="16"/>
          <w:lang w:val="pt-BR"/>
        </w:rPr>
        <w:t>. Sentencia de 21 de enero de 1994. Serie C No. 16, párr. 47.</w:t>
      </w:r>
    </w:p>
  </w:footnote>
  <w:footnote w:id="96">
    <w:p w14:paraId="4A282AF5" w14:textId="77777777" w:rsidR="005F3D64" w:rsidRPr="00643722" w:rsidRDefault="005F3D64" w:rsidP="00431AE0">
      <w:pPr>
        <w:jc w:val="both"/>
        <w:rPr>
          <w:rFonts w:asciiTheme="majorHAnsi" w:hAnsiTheme="majorHAnsi"/>
          <w:color w:val="000000"/>
          <w:sz w:val="16"/>
          <w:szCs w:val="16"/>
          <w:lang w:val="es-ES"/>
        </w:rPr>
      </w:pPr>
      <w:r w:rsidRPr="00643722">
        <w:rPr>
          <w:rStyle w:val="FootnoteReference"/>
          <w:rFonts w:asciiTheme="majorHAnsi" w:hAnsiTheme="majorHAnsi"/>
          <w:sz w:val="16"/>
          <w:szCs w:val="16"/>
          <w:lang w:val="es-ES"/>
        </w:rPr>
        <w:footnoteRef/>
      </w:r>
      <w:r w:rsidRPr="00643722">
        <w:rPr>
          <w:rFonts w:asciiTheme="majorHAnsi" w:hAnsiTheme="majorHAnsi"/>
          <w:sz w:val="16"/>
          <w:szCs w:val="16"/>
          <w:lang w:val="pt-BR"/>
        </w:rPr>
        <w:t xml:space="preserve"> Corte IDH. </w:t>
      </w:r>
      <w:r w:rsidRPr="00643722">
        <w:rPr>
          <w:rFonts w:asciiTheme="majorHAnsi" w:hAnsiTheme="majorHAnsi"/>
          <w:bCs/>
          <w:i/>
          <w:sz w:val="16"/>
          <w:szCs w:val="16"/>
          <w:lang w:val="pt-BR"/>
        </w:rPr>
        <w:t>Caso Chaparro Álvarez y Lapo Íñiguez. Vs. Ecuador.</w:t>
      </w:r>
      <w:r w:rsidRPr="00643722">
        <w:rPr>
          <w:rFonts w:asciiTheme="majorHAnsi" w:hAnsiTheme="majorHAnsi"/>
          <w:bCs/>
          <w:sz w:val="16"/>
          <w:szCs w:val="16"/>
          <w:lang w:val="pt-BR"/>
        </w:rPr>
        <w:t xml:space="preserve"> </w:t>
      </w:r>
      <w:r w:rsidRPr="00643722">
        <w:rPr>
          <w:rFonts w:asciiTheme="majorHAnsi" w:hAnsiTheme="majorHAnsi"/>
          <w:sz w:val="16"/>
          <w:szCs w:val="16"/>
          <w:lang w:val="es-CO"/>
        </w:rPr>
        <w:t xml:space="preserve">Excepciones Preliminares, Fondo, Reparaciones y Costas. </w:t>
      </w:r>
      <w:r w:rsidRPr="00643722">
        <w:rPr>
          <w:rFonts w:asciiTheme="majorHAnsi" w:hAnsiTheme="majorHAnsi"/>
          <w:sz w:val="16"/>
          <w:szCs w:val="16"/>
          <w:lang w:val="es-ES"/>
        </w:rPr>
        <w:t>Sentencia de 21 de noviembre de 2007. Serie C No. 170, párr. 92.</w:t>
      </w:r>
    </w:p>
  </w:footnote>
  <w:footnote w:id="97">
    <w:p w14:paraId="0204CFA0" w14:textId="77777777" w:rsidR="005F3D64" w:rsidRPr="00643722" w:rsidRDefault="005F3D64" w:rsidP="00222DD8">
      <w:pPr>
        <w:pStyle w:val="FootnoteText"/>
        <w:rPr>
          <w:bCs/>
          <w:lang w:val="es-US"/>
        </w:rPr>
      </w:pPr>
      <w:r w:rsidRPr="00643722">
        <w:rPr>
          <w:rStyle w:val="FootnoteReference"/>
        </w:rPr>
        <w:footnoteRef/>
      </w:r>
      <w:r w:rsidRPr="00643722">
        <w:rPr>
          <w:lang w:val="es-US"/>
        </w:rPr>
        <w:t xml:space="preserve"> </w:t>
      </w:r>
      <w:r w:rsidRPr="00643722">
        <w:rPr>
          <w:bCs/>
          <w:lang w:val="es-ES"/>
        </w:rPr>
        <w:t xml:space="preserve">Corte IDH. </w:t>
      </w:r>
      <w:r w:rsidRPr="00643722">
        <w:rPr>
          <w:bCs/>
          <w:i/>
          <w:lang w:val="es-ES"/>
        </w:rPr>
        <w:t>Caso Espinoza Gonzáles Vs. Perú.</w:t>
      </w:r>
      <w:r w:rsidRPr="00643722">
        <w:rPr>
          <w:bCs/>
          <w:lang w:val="es-ES"/>
        </w:rPr>
        <w:t xml:space="preserve"> Excepciones Preliminares, Fondo, Reparaciones y Costas. Sentencia de 20 de noviembre de 2014. Serie C No. 289 (Sentencia </w:t>
      </w:r>
      <w:r w:rsidRPr="00643722">
        <w:rPr>
          <w:bCs/>
          <w:i/>
          <w:lang w:val="es-ES"/>
        </w:rPr>
        <w:t>Espinoza Gonzáles</w:t>
      </w:r>
      <w:r w:rsidRPr="00643722">
        <w:rPr>
          <w:bCs/>
          <w:lang w:val="es-ES"/>
        </w:rPr>
        <w:t xml:space="preserve">), </w:t>
      </w:r>
      <w:r w:rsidRPr="00643722">
        <w:rPr>
          <w:lang w:val="es-ES"/>
        </w:rPr>
        <w:t xml:space="preserve">párr. 135. Ver también: </w:t>
      </w:r>
      <w:r w:rsidRPr="00643722">
        <w:rPr>
          <w:bCs/>
          <w:i/>
          <w:lang w:val="es-US"/>
        </w:rPr>
        <w:t>Caso Acosta Calderón Vs. Ecuador.</w:t>
      </w:r>
      <w:r w:rsidRPr="00643722">
        <w:rPr>
          <w:bCs/>
          <w:lang w:val="es-US"/>
        </w:rPr>
        <w:t xml:space="preserve"> Fondo, Reparaciones y Costas. Sentencia de 24 de junio de 2005. Serie C No. 129, párr. 97; </w:t>
      </w:r>
      <w:r w:rsidRPr="00643722">
        <w:rPr>
          <w:bCs/>
          <w:i/>
          <w:lang w:val="es-US"/>
        </w:rPr>
        <w:t>Caso Vélez Loor Vs. Panamá.</w:t>
      </w:r>
      <w:r w:rsidRPr="00643722">
        <w:rPr>
          <w:bCs/>
          <w:lang w:val="es-US"/>
        </w:rPr>
        <w:t xml:space="preserve"> Excepciones Preliminares, Fondo, Reparaciones y Costas. Sentencia de 23 de noviembre de 2010. Serie C No. 218, párr. 129.</w:t>
      </w:r>
    </w:p>
  </w:footnote>
  <w:footnote w:id="98">
    <w:p w14:paraId="0D9DDFB4" w14:textId="77777777" w:rsidR="005F3D64" w:rsidRPr="00643722" w:rsidRDefault="005F3D64" w:rsidP="00F965A5">
      <w:pPr>
        <w:pStyle w:val="FootnoteText"/>
        <w:rPr>
          <w:lang w:val="es-US"/>
        </w:rPr>
      </w:pPr>
      <w:r w:rsidRPr="00643722">
        <w:rPr>
          <w:rStyle w:val="FootnoteReference"/>
        </w:rPr>
        <w:footnoteRef/>
      </w:r>
      <w:r w:rsidRPr="00643722">
        <w:rPr>
          <w:lang w:val="es-CO"/>
        </w:rPr>
        <w:t xml:space="preserve"> </w:t>
      </w:r>
      <w:r w:rsidRPr="00643722">
        <w:rPr>
          <w:bCs/>
          <w:lang w:val="es-CO"/>
        </w:rPr>
        <w:t xml:space="preserve">Corte IDH. </w:t>
      </w:r>
      <w:r w:rsidRPr="00643722">
        <w:rPr>
          <w:bCs/>
          <w:i/>
          <w:lang w:val="es-CO"/>
        </w:rPr>
        <w:t xml:space="preserve">Caso López Álvarez Vs. </w:t>
      </w:r>
      <w:r w:rsidRPr="00643722">
        <w:rPr>
          <w:bCs/>
          <w:i/>
          <w:lang w:val="es-US"/>
        </w:rPr>
        <w:t xml:space="preserve">Honduras. </w:t>
      </w:r>
      <w:r w:rsidRPr="00643722">
        <w:rPr>
          <w:bCs/>
          <w:lang w:val="es-US"/>
        </w:rPr>
        <w:t xml:space="preserve">Fondo, Reparaciones y Costas. Sentencia de 1 de febrero de 2006. Serie C No. 141 (Sentencia </w:t>
      </w:r>
      <w:r w:rsidRPr="00643722">
        <w:rPr>
          <w:bCs/>
          <w:i/>
          <w:lang w:val="es-US"/>
        </w:rPr>
        <w:t>López Álvarez</w:t>
      </w:r>
      <w:r w:rsidRPr="00643722">
        <w:rPr>
          <w:bCs/>
          <w:lang w:val="es-US"/>
        </w:rPr>
        <w:t>), párr. 96.</w:t>
      </w:r>
    </w:p>
  </w:footnote>
  <w:footnote w:id="99">
    <w:p w14:paraId="7C9BC72B"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bCs/>
          <w:lang w:val="es-US"/>
        </w:rPr>
        <w:t xml:space="preserve">Corte IDH. Sentencia </w:t>
      </w:r>
      <w:r w:rsidRPr="00643722">
        <w:rPr>
          <w:bCs/>
          <w:i/>
          <w:lang w:val="es-US"/>
        </w:rPr>
        <w:t>López Álvarez</w:t>
      </w:r>
      <w:r w:rsidRPr="00643722">
        <w:rPr>
          <w:bCs/>
          <w:lang w:val="es-US"/>
        </w:rPr>
        <w:t>, párr. 97.</w:t>
      </w:r>
    </w:p>
  </w:footnote>
  <w:footnote w:id="100">
    <w:p w14:paraId="7F34B819"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CL"/>
        </w:rPr>
        <w:t xml:space="preserve">Corte IDH. </w:t>
      </w:r>
      <w:r w:rsidRPr="00643722">
        <w:rPr>
          <w:i/>
          <w:lang w:val="es-CL"/>
        </w:rPr>
        <w:t>Caso de las Masacres de Ituango Vs. Colombia</w:t>
      </w:r>
      <w:r w:rsidRPr="00643722">
        <w:rPr>
          <w:lang w:val="es-CL"/>
        </w:rPr>
        <w:t>. Sentencia de 1 de julio 2006. Series C No. 148, párr. 193.</w:t>
      </w:r>
    </w:p>
  </w:footnote>
  <w:footnote w:id="101">
    <w:p w14:paraId="2487A479" w14:textId="77777777" w:rsidR="005F3D64" w:rsidRPr="00643722" w:rsidRDefault="005F3D64" w:rsidP="004711AD">
      <w:pPr>
        <w:pStyle w:val="FootnoteText"/>
        <w:rPr>
          <w:lang w:val="es-US"/>
        </w:rPr>
      </w:pPr>
      <w:r w:rsidRPr="00643722">
        <w:rPr>
          <w:rStyle w:val="FootnoteReference"/>
        </w:rPr>
        <w:footnoteRef/>
      </w:r>
      <w:r w:rsidRPr="00643722">
        <w:rPr>
          <w:lang w:val="es-US"/>
        </w:rPr>
        <w:t xml:space="preserve"> </w:t>
      </w:r>
      <w:r w:rsidRPr="00643722">
        <w:rPr>
          <w:bCs/>
          <w:lang w:val="es-US"/>
        </w:rPr>
        <w:t xml:space="preserve">Corte IDH. </w:t>
      </w:r>
      <w:r w:rsidRPr="00643722">
        <w:rPr>
          <w:bCs/>
          <w:i/>
          <w:lang w:val="es-US"/>
        </w:rPr>
        <w:t>Caso Pollo Rivera y otros Vs. Perú.</w:t>
      </w:r>
      <w:r w:rsidRPr="00643722">
        <w:rPr>
          <w:bCs/>
          <w:lang w:val="es-US"/>
        </w:rPr>
        <w:t xml:space="preserve"> Fondo, Reparaciones y Costas. Sentencia de 21 de octubre de 2016. Serie C No. 319, párr. 116.</w:t>
      </w:r>
    </w:p>
  </w:footnote>
  <w:footnote w:id="102">
    <w:p w14:paraId="02BD8682"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Blas Valencia Campos, Norma Lupe Alarcón de Valencia, Claudia Valencia Alarcón, </w:t>
      </w:r>
      <w:r w:rsidRPr="00643722">
        <w:rPr>
          <w:lang w:val="es-US"/>
        </w:rPr>
        <w:t>Elacio Peña Córdoba</w:t>
      </w:r>
      <w:r w:rsidRPr="00643722">
        <w:rPr>
          <w:lang w:val="es-ES_tradnl"/>
        </w:rPr>
        <w:t xml:space="preserve">, Víctor Manuel Boggiano Bruzon (Juan Ramírez Ortega), </w:t>
      </w:r>
      <w:r w:rsidRPr="00643722">
        <w:rPr>
          <w:lang w:val="es-US"/>
        </w:rPr>
        <w:t>Genaro Ahuacho Luna (Walter Herrera Flores), Alfredo Bazán la Rosas (José Miguel Abildo Díaz), Mercedes Valencia Chuquimia, Oswaldo Lulleman Antezana, Raúl Oswaldo Lulleman Gutiérrez, Victoria Gutiérrez de Lulleman, Francis Elida Primentela Merino, Carlos Eladio Cruz Añez, Carlos Enrique Castro Ramírez, Freddy Cáceres Castro y Patricia Catalina Gallardo Arduz.</w:t>
      </w:r>
    </w:p>
  </w:footnote>
  <w:footnote w:id="103">
    <w:p w14:paraId="3BDDE6D1"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Blas Valencia Campos, Norma Lupe Alarcón de Valencia, Edwin Rodríguez Alarcón, Claudia Valencia Alarcón, Gabriel Valencia Alarcón, Alexis Valencia Alarcón (de 11 años de edad), Claudio Valencia (de 3 años de edad), </w:t>
      </w:r>
      <w:r w:rsidRPr="00643722">
        <w:rPr>
          <w:lang w:val="es-US"/>
        </w:rPr>
        <w:t>Elacio Peña Córdoba</w:t>
      </w:r>
      <w:r w:rsidRPr="00643722">
        <w:rPr>
          <w:lang w:val="es-ES_tradnl"/>
        </w:rPr>
        <w:t xml:space="preserve">, Víctor Manuel Boggiano Bruzon (Juan Ramírez Ortega), </w:t>
      </w:r>
      <w:r w:rsidRPr="00643722">
        <w:rPr>
          <w:lang w:val="es-US"/>
        </w:rPr>
        <w:t>Genaro Ahuacho Luna (Walter Herrera Flores), Alfredo Bazán la Rosas (José Miguel Abildo Díaz), Mercedes Valencia Chuquimia, Mauricio Valenzuela Valencia (de 15 años de edad), Oswaldo Lulleman Antezana, Raúl Oswaldo Lulleman Gutiérrez, Victoria Gutiérrez de Lulleman, Paola Lulleman de Zaconeta, Luis F. Lulleman Gutiérrez, Julia Mamanu Mamani, Francis Elida Primentela Merino, Carlos Eladio Cruz Añez y Carlos Enrique Castro Ramírez.</w:t>
      </w:r>
    </w:p>
  </w:footnote>
  <w:footnote w:id="104">
    <w:p w14:paraId="4AECC59B" w14:textId="77777777" w:rsidR="005F3D64" w:rsidRPr="00643722" w:rsidRDefault="005F3D64" w:rsidP="00BE368D">
      <w:pPr>
        <w:pStyle w:val="FootnoteText"/>
        <w:rPr>
          <w:lang w:val="es-US"/>
        </w:rPr>
      </w:pPr>
      <w:r w:rsidRPr="00643722">
        <w:rPr>
          <w:rStyle w:val="FootnoteReference"/>
        </w:rPr>
        <w:footnoteRef/>
      </w:r>
      <w:r w:rsidRPr="00643722">
        <w:rPr>
          <w:lang w:val="es-US"/>
        </w:rPr>
        <w:t xml:space="preserve"> El artículo 4.1 de la Convención Americana establece, en lo pertinente, lo siguiente: “Toda persona tiene derecho a que se respete su vida.  Este derecho estará protegido por la ley y, en general, a partir del momento de la concepción. Nadie puede ser privado de la vida arbitrariamente.”. </w:t>
      </w:r>
    </w:p>
  </w:footnote>
  <w:footnote w:id="105">
    <w:p w14:paraId="7865A871" w14:textId="77777777" w:rsidR="005F3D64" w:rsidRPr="00643722" w:rsidRDefault="005F3D64" w:rsidP="00FB6462">
      <w:pPr>
        <w:pStyle w:val="FootnoteText"/>
        <w:rPr>
          <w:lang w:val="es-US"/>
        </w:rPr>
      </w:pPr>
      <w:r w:rsidRPr="00643722">
        <w:rPr>
          <w:rStyle w:val="FootnoteReference"/>
        </w:rPr>
        <w:footnoteRef/>
      </w:r>
      <w:r w:rsidRPr="00643722">
        <w:rPr>
          <w:lang w:val="es-US"/>
        </w:rPr>
        <w:t xml:space="preserve"> El artículo 5.1 y 5.2 de la Convención Americana establece, en lo pertinente, lo siguiente: “1. Toda persona tiene derecho a que se respete su integridad física, psíquica y moral. 2. Nadie debe ser sometido a torturas ni a penas o tratos crueles, inhumanos o degradantes. </w:t>
      </w:r>
      <w:r w:rsidRPr="00643722">
        <w:rPr>
          <w:lang w:val="es-ES"/>
        </w:rPr>
        <w:t>Toda persona privada de libertad será tratada con el respeto debido a la dignidad inherente al ser humano.</w:t>
      </w:r>
      <w:r w:rsidRPr="00643722">
        <w:rPr>
          <w:lang w:val="es-US"/>
        </w:rPr>
        <w:t>”.</w:t>
      </w:r>
    </w:p>
  </w:footnote>
  <w:footnote w:id="106">
    <w:p w14:paraId="6EFBEEC9" w14:textId="77777777" w:rsidR="005F3D64" w:rsidRPr="00643722" w:rsidRDefault="005F3D64">
      <w:pPr>
        <w:pStyle w:val="FootnoteText"/>
        <w:rPr>
          <w:lang w:val="es-ES"/>
        </w:rPr>
      </w:pPr>
      <w:r w:rsidRPr="00643722">
        <w:rPr>
          <w:rStyle w:val="FootnoteReference"/>
        </w:rPr>
        <w:footnoteRef/>
      </w:r>
      <w:r w:rsidRPr="00643722">
        <w:rPr>
          <w:lang w:val="es-ES"/>
        </w:rPr>
        <w:t xml:space="preserve"> El artículo 11</w:t>
      </w:r>
      <w:r w:rsidRPr="00643722">
        <w:rPr>
          <w:lang w:val="es-US"/>
        </w:rPr>
        <w:t xml:space="preserve"> de la Convención Americana establece, en lo pertinente, lo siguiente: “</w:t>
      </w:r>
      <w:r w:rsidRPr="00643722">
        <w:rPr>
          <w:lang w:val="es-ES"/>
        </w:rPr>
        <w:t>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107">
    <w:p w14:paraId="5204790C" w14:textId="77777777" w:rsidR="005F3D64" w:rsidRPr="00643722" w:rsidRDefault="005F3D64" w:rsidP="00BE368D">
      <w:pPr>
        <w:pStyle w:val="FootnoteText"/>
        <w:rPr>
          <w:lang w:val="es-US"/>
        </w:rPr>
      </w:pPr>
      <w:r w:rsidRPr="00643722">
        <w:rPr>
          <w:rStyle w:val="FootnoteReference"/>
        </w:rPr>
        <w:footnoteRef/>
      </w:r>
      <w:r w:rsidRPr="00643722">
        <w:rPr>
          <w:lang w:val="es-US"/>
        </w:rPr>
        <w:t xml:space="preserve"> El artículo 19 de la Convención Americana establece lo siguiente: “Artículo 19.  Derechos del Niño. Todo niño tiene derecho a las medidas de protección que su condición de menor requiere por parte de su familia, de la sociedad y del Estado.”</w:t>
      </w:r>
    </w:p>
  </w:footnote>
  <w:footnote w:id="108">
    <w:p w14:paraId="10A4AE15" w14:textId="77777777" w:rsidR="005F3D64" w:rsidRPr="00643722" w:rsidRDefault="005F3D64" w:rsidP="009F5E04">
      <w:pPr>
        <w:pStyle w:val="FootnoteText"/>
        <w:rPr>
          <w:lang w:val="es-US"/>
        </w:rPr>
      </w:pPr>
      <w:r w:rsidRPr="00643722">
        <w:rPr>
          <w:rStyle w:val="FootnoteReference"/>
        </w:rPr>
        <w:footnoteRef/>
      </w:r>
      <w:r w:rsidRPr="00643722">
        <w:rPr>
          <w:lang w:val="es-US"/>
        </w:rPr>
        <w:t xml:space="preserve"> El artículo 7 de la Convención de Belem do Pará establece, en lo pertinente, lo siguiente: “Artículo 7. Los Estados Partes condenan todas las formas de violencia contra la mujer y convienen en adoptar, por todos los medios apropiados y sin dilaciones, políticas orientadas a prevenir, sancionar y erradicar dicha violencia y en llevar a cabo lo siguiente: a. Abstenerse de cualquier acción o práctica de violencia contra la mujer y velar por que las autoridades, sus funcionarios, personal y agentes e instituciones se comporten de conformidad con esta obligación; b. actuar con la debida diligencia para prevenir, investigar y sancionar la violencia contra la mujer; […]”.</w:t>
      </w:r>
    </w:p>
  </w:footnote>
  <w:footnote w:id="109">
    <w:p w14:paraId="18B7249D" w14:textId="77777777" w:rsidR="005F3D64" w:rsidRPr="00643722" w:rsidRDefault="005F3D64" w:rsidP="00BE368D">
      <w:pPr>
        <w:pStyle w:val="FootnoteText"/>
        <w:rPr>
          <w:lang w:val="es-ES"/>
        </w:rPr>
      </w:pPr>
      <w:r w:rsidRPr="00643722">
        <w:rPr>
          <w:rStyle w:val="FootnoteReference"/>
          <w:lang w:val="es-ES"/>
        </w:rPr>
        <w:footnoteRef/>
      </w:r>
      <w:r w:rsidRPr="00643722">
        <w:rPr>
          <w:lang w:val="es-ES"/>
        </w:rPr>
        <w:t xml:space="preserve"> </w:t>
      </w:r>
      <w:r w:rsidRPr="00643722">
        <w:rPr>
          <w:rFonts w:cs="Times"/>
          <w:lang w:val="es-ES"/>
        </w:rPr>
        <w:t xml:space="preserve">Corte IDH. </w:t>
      </w:r>
      <w:r w:rsidRPr="00643722">
        <w:rPr>
          <w:rFonts w:cs="Times"/>
          <w:i/>
          <w:iCs/>
          <w:lang w:val="es-ES"/>
        </w:rPr>
        <w:t>Caso de los “Niños de la Calle” (Villagrán Morales y otros) Vs. Guatemala.</w:t>
      </w:r>
      <w:r w:rsidRPr="00643722">
        <w:rPr>
          <w:rFonts w:cs="Times"/>
          <w:lang w:val="es-ES"/>
        </w:rPr>
        <w:t xml:space="preserve"> Fondo. Sentencia de 19 de noviembre de 1999. Serie C No. 63 </w:t>
      </w:r>
      <w:r w:rsidRPr="00643722">
        <w:rPr>
          <w:lang w:val="es-ES"/>
        </w:rPr>
        <w:t>(</w:t>
      </w:r>
      <w:r w:rsidRPr="00643722">
        <w:rPr>
          <w:i/>
          <w:lang w:val="es-ES"/>
        </w:rPr>
        <w:t>Sentencia Niños de la Calle</w:t>
      </w:r>
      <w:r w:rsidRPr="00643722">
        <w:rPr>
          <w:lang w:val="es-ES"/>
        </w:rPr>
        <w:t xml:space="preserve">), párr. 144. </w:t>
      </w:r>
    </w:p>
  </w:footnote>
  <w:footnote w:id="110">
    <w:p w14:paraId="45044B5D" w14:textId="77777777" w:rsidR="005F3D64" w:rsidRPr="00643722" w:rsidRDefault="005F3D64" w:rsidP="00BE368D">
      <w:pPr>
        <w:pStyle w:val="FootnoteText"/>
        <w:tabs>
          <w:tab w:val="left" w:pos="720"/>
          <w:tab w:val="left" w:pos="900"/>
          <w:tab w:val="left" w:pos="1080"/>
        </w:tabs>
        <w:rPr>
          <w:lang w:val="es-ES_tradnl"/>
        </w:rPr>
      </w:pPr>
      <w:r w:rsidRPr="00643722">
        <w:rPr>
          <w:rStyle w:val="FootnoteReference"/>
        </w:rPr>
        <w:footnoteRef/>
      </w:r>
      <w:r w:rsidRPr="00643722">
        <w:rPr>
          <w:lang w:val="es-ES_tradnl"/>
        </w:rPr>
        <w:t xml:space="preserve"> Ver, entre otros: Corte IDH. </w:t>
      </w:r>
      <w:r w:rsidRPr="00643722">
        <w:rPr>
          <w:bCs/>
          <w:i/>
          <w:lang w:val="es-ES_tradnl"/>
        </w:rPr>
        <w:t>Caso Zambrano Vélez y otros Vs. Ecuador.</w:t>
      </w:r>
      <w:r w:rsidRPr="00643722">
        <w:rPr>
          <w:bCs/>
          <w:lang w:val="es-ES_tradnl"/>
        </w:rPr>
        <w:t xml:space="preserve"> </w:t>
      </w:r>
      <w:r w:rsidRPr="00643722">
        <w:rPr>
          <w:lang w:val="es-ES_tradnl"/>
        </w:rPr>
        <w:t xml:space="preserve">Fondo, Reparaciones y Costas. Sentencia de 4 de julio de 2007. Serie C No. 166 (Sentencia </w:t>
      </w:r>
      <w:r w:rsidRPr="00643722">
        <w:rPr>
          <w:i/>
          <w:lang w:val="es-ES_tradnl"/>
        </w:rPr>
        <w:t>Zambrano Vélez y otros</w:t>
      </w:r>
      <w:r w:rsidRPr="00643722">
        <w:rPr>
          <w:lang w:val="es-ES_tradnl"/>
        </w:rPr>
        <w:t>), párr. 80</w:t>
      </w:r>
      <w:r w:rsidRPr="00643722">
        <w:rPr>
          <w:rFonts w:cs="Arial"/>
          <w:lang w:val="es-ES_tradnl"/>
        </w:rPr>
        <w:t xml:space="preserve">; </w:t>
      </w:r>
      <w:r w:rsidRPr="00643722">
        <w:rPr>
          <w:i/>
          <w:lang w:val="es-ES_tradnl"/>
        </w:rPr>
        <w:t>Caso Montero Aranguren y otros (Retén de Catia) Vs. Venezuela</w:t>
      </w:r>
      <w:r w:rsidRPr="00643722">
        <w:rPr>
          <w:lang w:val="es-ES_tradnl"/>
        </w:rPr>
        <w:t xml:space="preserve">. Excepción Preliminar, Fondo, Reparaciones y Costas. Sentencia de 5 de julio de 2006. Serie C No. 150 (Sentencia </w:t>
      </w:r>
      <w:r w:rsidRPr="00643722">
        <w:rPr>
          <w:i/>
          <w:lang w:val="es-ES_tradnl"/>
        </w:rPr>
        <w:t>Retén de Catia</w:t>
      </w:r>
      <w:r w:rsidRPr="00643722">
        <w:rPr>
          <w:lang w:val="es-ES_tradnl"/>
        </w:rPr>
        <w:t xml:space="preserve">), párr. </w:t>
      </w:r>
      <w:r w:rsidRPr="00643722">
        <w:rPr>
          <w:rFonts w:cs="Arial"/>
          <w:lang w:val="es-ES_tradnl"/>
        </w:rPr>
        <w:t xml:space="preserve">65. </w:t>
      </w:r>
    </w:p>
  </w:footnote>
  <w:footnote w:id="111">
    <w:p w14:paraId="50CC0EB1" w14:textId="77777777" w:rsidR="005F3D64" w:rsidRPr="00643722" w:rsidRDefault="005F3D64">
      <w:pPr>
        <w:pStyle w:val="FootnoteText"/>
        <w:rPr>
          <w:lang w:val="es-ES"/>
        </w:rPr>
      </w:pPr>
      <w:r w:rsidRPr="00643722">
        <w:rPr>
          <w:rStyle w:val="FootnoteReference"/>
        </w:rPr>
        <w:footnoteRef/>
      </w:r>
      <w:r w:rsidRPr="00643722">
        <w:rPr>
          <w:lang w:val="es-ES_tradnl"/>
        </w:rPr>
        <w:t xml:space="preserve"> </w:t>
      </w:r>
      <w:r w:rsidRPr="00643722">
        <w:rPr>
          <w:bCs/>
          <w:lang w:val="es-ES_tradnl"/>
        </w:rPr>
        <w:t xml:space="preserve">Corte IDH. </w:t>
      </w:r>
      <w:r w:rsidRPr="00643722">
        <w:rPr>
          <w:bCs/>
          <w:i/>
          <w:lang w:val="es-ES_tradnl"/>
        </w:rPr>
        <w:t xml:space="preserve">Caso Bámaca Velásquez Vs. </w:t>
      </w:r>
      <w:r w:rsidRPr="00643722">
        <w:rPr>
          <w:bCs/>
          <w:i/>
          <w:lang w:val="es-ES"/>
        </w:rPr>
        <w:t>Guatemala.</w:t>
      </w:r>
      <w:r w:rsidRPr="00643722">
        <w:rPr>
          <w:bCs/>
          <w:lang w:val="es-ES"/>
        </w:rPr>
        <w:t xml:space="preserve"> Fondo. Sentencia de 25 de noviembre de 2000. Serie C No. 70, párr. 174. </w:t>
      </w:r>
    </w:p>
  </w:footnote>
  <w:footnote w:id="112">
    <w:p w14:paraId="3F5C8952" w14:textId="77777777" w:rsidR="005F3D64" w:rsidRPr="00643722" w:rsidRDefault="005F3D64">
      <w:pPr>
        <w:pStyle w:val="FootnoteText"/>
        <w:rPr>
          <w:lang w:val="es-ES"/>
        </w:rPr>
      </w:pPr>
      <w:r w:rsidRPr="00643722">
        <w:rPr>
          <w:rStyle w:val="FootnoteReference"/>
        </w:rPr>
        <w:footnoteRef/>
      </w:r>
      <w:r w:rsidRPr="00643722">
        <w:rPr>
          <w:lang w:val="es-ES"/>
        </w:rPr>
        <w:t xml:space="preserve"> Ver, entre otros, </w:t>
      </w:r>
      <w:r w:rsidRPr="00643722">
        <w:rPr>
          <w:bCs/>
          <w:lang w:val="es-ES"/>
        </w:rPr>
        <w:t xml:space="preserve">Corte IDH. </w:t>
      </w:r>
      <w:r w:rsidRPr="00643722">
        <w:rPr>
          <w:bCs/>
          <w:i/>
          <w:lang w:val="es-ES"/>
        </w:rPr>
        <w:t>Caso Juan Humberto Sánchez Vs. Honduras</w:t>
      </w:r>
      <w:r w:rsidRPr="00643722">
        <w:rPr>
          <w:bCs/>
          <w:lang w:val="es-ES"/>
        </w:rPr>
        <w:t>. Excepción Preliminar, Fondo, Reparaciones y Costas. Sentencia de 7 de junio de 2003. Serie C No. 99, párr. 111.</w:t>
      </w:r>
    </w:p>
  </w:footnote>
  <w:footnote w:id="113">
    <w:p w14:paraId="5C0CF3A4" w14:textId="77777777" w:rsidR="005F3D64" w:rsidRPr="00643722" w:rsidRDefault="005F3D64" w:rsidP="00364F3E">
      <w:pPr>
        <w:pStyle w:val="FootnoteText"/>
        <w:rPr>
          <w:lang w:val="es-US"/>
        </w:rPr>
      </w:pPr>
      <w:r w:rsidRPr="00643722">
        <w:rPr>
          <w:rStyle w:val="FootnoteReference"/>
        </w:rPr>
        <w:footnoteRef/>
      </w:r>
      <w:r w:rsidRPr="00643722">
        <w:rPr>
          <w:lang w:val="es-CO"/>
        </w:rPr>
        <w:t xml:space="preserve"> </w:t>
      </w:r>
      <w:r w:rsidRPr="00643722">
        <w:rPr>
          <w:bCs/>
          <w:lang w:val="es-CO"/>
        </w:rPr>
        <w:t xml:space="preserve">Corte IDH. </w:t>
      </w:r>
      <w:r w:rsidRPr="00643722">
        <w:rPr>
          <w:bCs/>
          <w:i/>
          <w:lang w:val="es-CO"/>
        </w:rPr>
        <w:t xml:space="preserve">Caso Loayza Tamayo Vs. </w:t>
      </w:r>
      <w:r w:rsidRPr="00643722">
        <w:rPr>
          <w:bCs/>
          <w:i/>
          <w:lang w:val="es-ES"/>
        </w:rPr>
        <w:t>Perú</w:t>
      </w:r>
      <w:r w:rsidRPr="00643722">
        <w:rPr>
          <w:bCs/>
          <w:lang w:val="es-ES"/>
        </w:rPr>
        <w:t xml:space="preserve">. Fondo. Sentencia de 17 de septiembre de 1997. Serie C No. 33 (Sentencia </w:t>
      </w:r>
      <w:r w:rsidRPr="00643722">
        <w:rPr>
          <w:bCs/>
          <w:i/>
          <w:lang w:val="es-ES"/>
        </w:rPr>
        <w:t>Loayza Tamayo</w:t>
      </w:r>
      <w:r w:rsidRPr="00643722">
        <w:rPr>
          <w:bCs/>
          <w:lang w:val="es-ES"/>
        </w:rPr>
        <w:t>), párr. 57</w:t>
      </w:r>
      <w:r w:rsidRPr="00643722">
        <w:rPr>
          <w:lang w:val="es-US"/>
        </w:rPr>
        <w:t>.</w:t>
      </w:r>
    </w:p>
  </w:footnote>
  <w:footnote w:id="114">
    <w:p w14:paraId="77EBC725" w14:textId="77777777" w:rsidR="005F3D64" w:rsidRPr="00643722" w:rsidRDefault="005F3D64" w:rsidP="00364F3E">
      <w:pPr>
        <w:pStyle w:val="FootnoteText"/>
        <w:rPr>
          <w:lang w:val="es-ES"/>
        </w:rPr>
      </w:pPr>
      <w:r w:rsidRPr="00643722">
        <w:rPr>
          <w:rStyle w:val="FootnoteReference"/>
        </w:rPr>
        <w:footnoteRef/>
      </w:r>
      <w:r w:rsidRPr="00643722">
        <w:rPr>
          <w:lang w:val="es-ES"/>
        </w:rPr>
        <w:t xml:space="preserve"> </w:t>
      </w:r>
      <w:r w:rsidRPr="00643722">
        <w:rPr>
          <w:bCs/>
          <w:lang w:val="es-ES"/>
        </w:rPr>
        <w:t xml:space="preserve">Corte IDH. Sentencia </w:t>
      </w:r>
      <w:r w:rsidRPr="00643722">
        <w:rPr>
          <w:bCs/>
          <w:i/>
          <w:lang w:val="es-ES"/>
        </w:rPr>
        <w:t>Loayza Tamayo</w:t>
      </w:r>
      <w:r w:rsidRPr="00643722">
        <w:rPr>
          <w:bCs/>
          <w:lang w:val="es-ES"/>
        </w:rPr>
        <w:t>, párr. 57</w:t>
      </w:r>
      <w:r w:rsidRPr="00643722">
        <w:rPr>
          <w:lang w:val="es-US"/>
        </w:rPr>
        <w:t>.</w:t>
      </w:r>
    </w:p>
  </w:footnote>
  <w:footnote w:id="115">
    <w:p w14:paraId="2B43DE37" w14:textId="77777777" w:rsidR="005F3D64" w:rsidRPr="00643722" w:rsidRDefault="005F3D64" w:rsidP="00364F3E">
      <w:pPr>
        <w:pStyle w:val="FootnoteText"/>
        <w:rPr>
          <w:lang w:val="pt-BR"/>
        </w:rPr>
      </w:pPr>
      <w:r w:rsidRPr="00643722">
        <w:rPr>
          <w:rStyle w:val="FootnoteReference"/>
        </w:rPr>
        <w:footnoteRef/>
      </w:r>
      <w:r w:rsidRPr="00643722">
        <w:rPr>
          <w:lang w:val="es-US"/>
        </w:rPr>
        <w:t xml:space="preserve"> </w:t>
      </w:r>
      <w:r w:rsidRPr="00643722">
        <w:rPr>
          <w:bCs/>
          <w:lang w:val="es-US"/>
        </w:rPr>
        <w:t>Corte IDH. Sentencia</w:t>
      </w:r>
      <w:r w:rsidRPr="00643722">
        <w:rPr>
          <w:bCs/>
          <w:i/>
          <w:lang w:val="es-US"/>
        </w:rPr>
        <w:t xml:space="preserve"> Retén de Catia</w:t>
      </w:r>
      <w:r w:rsidRPr="00643722">
        <w:rPr>
          <w:bCs/>
          <w:lang w:val="es-US"/>
        </w:rPr>
        <w:t xml:space="preserve">, </w:t>
      </w:r>
      <w:r w:rsidRPr="00643722">
        <w:rPr>
          <w:lang w:val="es-US"/>
        </w:rPr>
        <w:t xml:space="preserve">párr. </w:t>
      </w:r>
      <w:r w:rsidRPr="00643722">
        <w:rPr>
          <w:lang w:val="pt-BR"/>
        </w:rPr>
        <w:t>85</w:t>
      </w:r>
    </w:p>
  </w:footnote>
  <w:footnote w:id="116">
    <w:p w14:paraId="65B09C8D" w14:textId="77777777" w:rsidR="005F3D64" w:rsidRPr="00643722" w:rsidRDefault="005F3D64">
      <w:pPr>
        <w:pStyle w:val="FootnoteText"/>
        <w:rPr>
          <w:lang w:val="es-ES"/>
        </w:rPr>
      </w:pPr>
      <w:r w:rsidRPr="00643722">
        <w:rPr>
          <w:rStyle w:val="FootnoteReference"/>
        </w:rPr>
        <w:footnoteRef/>
      </w:r>
      <w:r w:rsidRPr="00643722">
        <w:rPr>
          <w:lang w:val="pt-BR"/>
        </w:rPr>
        <w:t xml:space="preserve"> </w:t>
      </w:r>
      <w:r w:rsidRPr="00643722">
        <w:rPr>
          <w:bCs/>
          <w:lang w:val="pt-BR"/>
        </w:rPr>
        <w:t xml:space="preserve">Corte IDH. </w:t>
      </w:r>
      <w:r w:rsidRPr="00643722">
        <w:rPr>
          <w:bCs/>
          <w:i/>
          <w:lang w:val="pt-BR"/>
        </w:rPr>
        <w:t xml:space="preserve">Caso Tibi Vs. </w:t>
      </w:r>
      <w:r w:rsidRPr="00643722">
        <w:rPr>
          <w:bCs/>
          <w:i/>
          <w:lang w:val="es-ES"/>
        </w:rPr>
        <w:t>Ecuador.</w:t>
      </w:r>
      <w:r w:rsidRPr="00643722">
        <w:rPr>
          <w:bCs/>
          <w:lang w:val="es-ES"/>
        </w:rPr>
        <w:t xml:space="preserve"> Excepciones Preliminares, Fondo, Reparaciones y Costas. Sentencia de 7 de septiembre de 2004. Serie C No. 114, (Sentencia </w:t>
      </w:r>
      <w:r w:rsidRPr="00643722">
        <w:rPr>
          <w:bCs/>
          <w:i/>
          <w:lang w:val="es-ES"/>
        </w:rPr>
        <w:t>Tibi</w:t>
      </w:r>
      <w:r w:rsidRPr="00643722">
        <w:rPr>
          <w:bCs/>
          <w:lang w:val="es-ES"/>
        </w:rPr>
        <w:t xml:space="preserve">), párr. 150. Ver también: Sentencia </w:t>
      </w:r>
      <w:r w:rsidRPr="00643722">
        <w:rPr>
          <w:bCs/>
          <w:i/>
          <w:lang w:val="es-ES"/>
        </w:rPr>
        <w:t>Loayza Tamayo</w:t>
      </w:r>
      <w:r w:rsidRPr="00643722">
        <w:rPr>
          <w:bCs/>
          <w:lang w:val="es-ES"/>
        </w:rPr>
        <w:t xml:space="preserve">, párr. 58; </w:t>
      </w:r>
      <w:r w:rsidRPr="00643722">
        <w:rPr>
          <w:bCs/>
          <w:i/>
          <w:lang w:val="es-ES"/>
        </w:rPr>
        <w:t>Caso del Penal Miguel Castro Castro Vs. Perú.</w:t>
      </w:r>
      <w:r w:rsidRPr="00643722">
        <w:rPr>
          <w:bCs/>
          <w:lang w:val="es-ES"/>
        </w:rPr>
        <w:t xml:space="preserve"> Fondo, Reparaciones y Costas. Sentencia de 25 de noviembre de 2006. Serie C No. 160 (Sentencia </w:t>
      </w:r>
      <w:r w:rsidRPr="00643722">
        <w:rPr>
          <w:bCs/>
          <w:i/>
          <w:lang w:val="es-ES"/>
        </w:rPr>
        <w:t>Penal Miguel Castro Castro</w:t>
      </w:r>
      <w:r w:rsidRPr="00643722">
        <w:rPr>
          <w:bCs/>
          <w:lang w:val="es-ES"/>
        </w:rPr>
        <w:t>), párr. 315</w:t>
      </w:r>
      <w:r w:rsidRPr="00643722">
        <w:rPr>
          <w:lang w:val="es-US"/>
        </w:rPr>
        <w:t xml:space="preserve">; </w:t>
      </w:r>
      <w:r w:rsidRPr="00643722">
        <w:rPr>
          <w:bCs/>
          <w:i/>
          <w:lang w:val="es-ES"/>
        </w:rPr>
        <w:t>Caso Neira Alegría y otros Vs. Perú.</w:t>
      </w:r>
      <w:r w:rsidRPr="00643722">
        <w:rPr>
          <w:bCs/>
          <w:lang w:val="es-ES"/>
        </w:rPr>
        <w:t xml:space="preserve"> Fondo. Sentencia de 19 de enero de 1995. Serie C No. 20, párr 60.</w:t>
      </w:r>
    </w:p>
  </w:footnote>
  <w:footnote w:id="117">
    <w:p w14:paraId="4372AC62" w14:textId="77777777" w:rsidR="005F3D64" w:rsidRPr="00643722" w:rsidRDefault="005F3D64">
      <w:pPr>
        <w:pStyle w:val="FootnoteText"/>
        <w:rPr>
          <w:lang w:val="es-ES"/>
        </w:rPr>
      </w:pPr>
      <w:r w:rsidRPr="00643722">
        <w:rPr>
          <w:rStyle w:val="FootnoteReference"/>
        </w:rPr>
        <w:footnoteRef/>
      </w:r>
      <w:r w:rsidRPr="00643722">
        <w:rPr>
          <w:lang w:val="es-ES"/>
        </w:rPr>
        <w:t xml:space="preserve"> </w:t>
      </w:r>
      <w:r w:rsidRPr="00643722">
        <w:rPr>
          <w:bCs/>
          <w:lang w:val="es-ES"/>
        </w:rPr>
        <w:t xml:space="preserve">Corte IDH. </w:t>
      </w:r>
      <w:r w:rsidRPr="00643722">
        <w:rPr>
          <w:bCs/>
          <w:i/>
          <w:lang w:val="es-ES"/>
        </w:rPr>
        <w:t>Caso Velásquez Rodríguez Vs. Honduras</w:t>
      </w:r>
      <w:r w:rsidRPr="00643722">
        <w:rPr>
          <w:bCs/>
          <w:lang w:val="es-ES"/>
        </w:rPr>
        <w:t xml:space="preserve">. Fondo. Sentencia de 29 de julio de 1988. Serie C No. 4 (Sentencia </w:t>
      </w:r>
      <w:r w:rsidRPr="00643722">
        <w:rPr>
          <w:bCs/>
          <w:i/>
          <w:lang w:val="es-ES"/>
        </w:rPr>
        <w:t>Velásquez Rodríguez</w:t>
      </w:r>
      <w:r w:rsidRPr="00643722">
        <w:rPr>
          <w:bCs/>
          <w:lang w:val="es-ES"/>
        </w:rPr>
        <w:t>), párr. 156.</w:t>
      </w:r>
    </w:p>
  </w:footnote>
  <w:footnote w:id="118">
    <w:p w14:paraId="214BF94E" w14:textId="77777777" w:rsidR="005F3D64" w:rsidRPr="00643722" w:rsidRDefault="005F3D64" w:rsidP="00565104">
      <w:pPr>
        <w:pStyle w:val="FootnoteText"/>
        <w:rPr>
          <w:rFonts w:cs="Univers"/>
          <w:lang w:val="pt-BR"/>
        </w:rPr>
      </w:pPr>
      <w:r w:rsidRPr="00643722">
        <w:rPr>
          <w:rStyle w:val="FootnoteReference"/>
          <w:lang w:val="es-ES"/>
        </w:rPr>
        <w:footnoteRef/>
      </w:r>
      <w:r w:rsidRPr="00643722">
        <w:rPr>
          <w:lang w:val="es-CO"/>
        </w:rPr>
        <w:t xml:space="preserve"> Corte IDH. </w:t>
      </w:r>
      <w:r w:rsidRPr="00643722">
        <w:rPr>
          <w:i/>
          <w:iCs/>
          <w:lang w:val="es-CO"/>
        </w:rPr>
        <w:t xml:space="preserve">Caso Maritza Urrutia Vs. </w:t>
      </w:r>
      <w:r w:rsidRPr="00643722">
        <w:rPr>
          <w:i/>
          <w:iCs/>
          <w:lang w:val="es-ES"/>
        </w:rPr>
        <w:t>Guatemala</w:t>
      </w:r>
      <w:r w:rsidRPr="00643722">
        <w:rPr>
          <w:lang w:val="es-ES"/>
        </w:rPr>
        <w:t xml:space="preserve">. Fondo, Reparaciones y Costas. Sentencia de 27 de noviembre de 2003. Serie C No. 103 (Sentencia </w:t>
      </w:r>
      <w:r w:rsidRPr="00643722">
        <w:rPr>
          <w:i/>
          <w:lang w:val="es-ES"/>
        </w:rPr>
        <w:t>Maritza Urrutia</w:t>
      </w:r>
      <w:r w:rsidRPr="00643722">
        <w:rPr>
          <w:lang w:val="es-ES"/>
        </w:rPr>
        <w:t xml:space="preserve">), párr. 89; y </w:t>
      </w:r>
      <w:r w:rsidRPr="00643722">
        <w:rPr>
          <w:i/>
          <w:iCs/>
          <w:lang w:val="es-ES"/>
        </w:rPr>
        <w:t>Caso Cantoral Benavides Vs. Perú</w:t>
      </w:r>
      <w:r w:rsidRPr="00643722">
        <w:rPr>
          <w:lang w:val="es-ES"/>
        </w:rPr>
        <w:t xml:space="preserve">. </w:t>
      </w:r>
      <w:r w:rsidRPr="00643722">
        <w:rPr>
          <w:i/>
          <w:iCs/>
          <w:lang w:val="es-ES"/>
        </w:rPr>
        <w:t>Reparaciones</w:t>
      </w:r>
      <w:r w:rsidRPr="00643722">
        <w:rPr>
          <w:lang w:val="es-ES"/>
        </w:rPr>
        <w:t xml:space="preserve">. Sentencia de 3 de diciembre de 2001, Serie C No. 88 (Reparaciones </w:t>
      </w:r>
      <w:r w:rsidRPr="00643722">
        <w:rPr>
          <w:i/>
          <w:lang w:val="es-ES"/>
        </w:rPr>
        <w:t>Cantoral Benavides</w:t>
      </w:r>
      <w:r w:rsidRPr="00643722">
        <w:rPr>
          <w:lang w:val="es-ES"/>
        </w:rPr>
        <w:t>)</w:t>
      </w:r>
      <w:r w:rsidRPr="00643722">
        <w:rPr>
          <w:i/>
          <w:iCs/>
          <w:lang w:val="es-ES"/>
        </w:rPr>
        <w:t xml:space="preserve">, </w:t>
      </w:r>
      <w:r w:rsidRPr="00643722">
        <w:rPr>
          <w:lang w:val="es-ES"/>
        </w:rPr>
        <w:t xml:space="preserve">párr. </w:t>
      </w:r>
      <w:r w:rsidRPr="00643722">
        <w:rPr>
          <w:lang w:val="pt-BR"/>
        </w:rPr>
        <w:t xml:space="preserve">95.  </w:t>
      </w:r>
    </w:p>
  </w:footnote>
  <w:footnote w:id="119">
    <w:p w14:paraId="7AA7E6AC" w14:textId="77777777" w:rsidR="005F3D64" w:rsidRPr="00643722" w:rsidRDefault="005F3D64" w:rsidP="00565104">
      <w:pPr>
        <w:pStyle w:val="FootnoteText"/>
        <w:rPr>
          <w:lang w:val="es-ES"/>
        </w:rPr>
      </w:pPr>
      <w:r w:rsidRPr="00643722">
        <w:rPr>
          <w:rStyle w:val="FootnoteReference"/>
          <w:lang w:val="es-ES"/>
        </w:rPr>
        <w:footnoteRef/>
      </w:r>
      <w:r w:rsidRPr="00643722">
        <w:rPr>
          <w:lang w:val="pt-BR"/>
        </w:rPr>
        <w:t xml:space="preserve"> Corte IDH. Sentencia </w:t>
      </w:r>
      <w:r w:rsidRPr="00643722">
        <w:rPr>
          <w:i/>
          <w:iCs/>
          <w:lang w:val="pt-BR"/>
        </w:rPr>
        <w:t>Maritza Urrutia</w:t>
      </w:r>
      <w:r w:rsidRPr="00643722">
        <w:rPr>
          <w:lang w:val="pt-BR"/>
        </w:rPr>
        <w:t xml:space="preserve">, párr. 92; Reparaciones </w:t>
      </w:r>
      <w:r w:rsidRPr="00643722">
        <w:rPr>
          <w:i/>
          <w:iCs/>
          <w:lang w:val="pt-BR"/>
        </w:rPr>
        <w:t xml:space="preserve">Cantoral Benavides, </w:t>
      </w:r>
      <w:r w:rsidRPr="00643722">
        <w:rPr>
          <w:lang w:val="pt-BR"/>
        </w:rPr>
        <w:t xml:space="preserve">párrs. </w:t>
      </w:r>
      <w:r w:rsidRPr="00643722">
        <w:rPr>
          <w:lang w:val="es-ES"/>
        </w:rPr>
        <w:t xml:space="preserve">102 y 103.  </w:t>
      </w:r>
    </w:p>
  </w:footnote>
  <w:footnote w:id="120">
    <w:p w14:paraId="16493D50"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
        </w:rPr>
        <w:t xml:space="preserve">En atención a que la prohibición de tortura se encuentra expresamente incluida en el artículo 5.2 de la Convención, la Comisión estima innecesario en el presente caso analizar el concepto de tortura a la luz de lo previsto en la </w:t>
      </w:r>
      <w:r w:rsidRPr="00643722">
        <w:rPr>
          <w:lang w:val="es-VE"/>
        </w:rPr>
        <w:t>Convención Interamericana para prevenir y Sancionar la Tortura, que fue ratificada por Bolivia con posterioridad a los hechos.</w:t>
      </w:r>
    </w:p>
  </w:footnote>
  <w:footnote w:id="121">
    <w:p w14:paraId="12C1DE09" w14:textId="77777777" w:rsidR="005F3D64" w:rsidRPr="00643722" w:rsidRDefault="005F3D64" w:rsidP="00CD37F2">
      <w:pPr>
        <w:pStyle w:val="FootnoteText"/>
        <w:rPr>
          <w:lang w:val="pt-BR"/>
        </w:rPr>
      </w:pPr>
      <w:r w:rsidRPr="00643722">
        <w:rPr>
          <w:rStyle w:val="FootnoteReference"/>
        </w:rPr>
        <w:footnoteRef/>
      </w:r>
      <w:r w:rsidRPr="00643722">
        <w:rPr>
          <w:lang w:val="es-ES"/>
        </w:rPr>
        <w:t xml:space="preserve"> </w:t>
      </w:r>
      <w:r w:rsidRPr="00643722">
        <w:rPr>
          <w:bCs/>
          <w:lang w:val="es-ES"/>
        </w:rPr>
        <w:t xml:space="preserve">Corte IDH. Sentencia </w:t>
      </w:r>
      <w:r w:rsidRPr="00643722">
        <w:rPr>
          <w:bCs/>
          <w:i/>
          <w:lang w:val="es-ES"/>
        </w:rPr>
        <w:t>Espinoza Gonzáles</w:t>
      </w:r>
      <w:r w:rsidRPr="00643722">
        <w:rPr>
          <w:bCs/>
          <w:lang w:val="es-ES"/>
        </w:rPr>
        <w:t xml:space="preserve">, </w:t>
      </w:r>
      <w:r w:rsidRPr="00643722">
        <w:rPr>
          <w:lang w:val="es-ES"/>
        </w:rPr>
        <w:t xml:space="preserve">párr. </w:t>
      </w:r>
      <w:r w:rsidRPr="00643722">
        <w:rPr>
          <w:lang w:val="pt-BR"/>
        </w:rPr>
        <w:t>143.</w:t>
      </w:r>
    </w:p>
  </w:footnote>
  <w:footnote w:id="122">
    <w:p w14:paraId="326FCD0C" w14:textId="77777777" w:rsidR="005F3D64" w:rsidRPr="00643722" w:rsidRDefault="005F3D64" w:rsidP="00A633B5">
      <w:pPr>
        <w:pStyle w:val="FootnoteText"/>
        <w:rPr>
          <w:lang w:val="es-US"/>
        </w:rPr>
      </w:pPr>
      <w:r w:rsidRPr="00643722">
        <w:rPr>
          <w:rStyle w:val="FootnoteReference"/>
        </w:rPr>
        <w:footnoteRef/>
      </w:r>
      <w:r w:rsidRPr="00643722">
        <w:rPr>
          <w:lang w:val="pt-BR"/>
        </w:rPr>
        <w:t xml:space="preserve"> Corte IDH. </w:t>
      </w:r>
      <w:r w:rsidRPr="00643722">
        <w:rPr>
          <w:i/>
          <w:lang w:val="pt-BR"/>
        </w:rPr>
        <w:t xml:space="preserve">Caso Familia Barrios Vs. </w:t>
      </w:r>
      <w:r w:rsidRPr="00643722">
        <w:rPr>
          <w:i/>
          <w:lang w:val="es-US"/>
        </w:rPr>
        <w:t>Venezuela</w:t>
      </w:r>
      <w:r w:rsidRPr="00643722">
        <w:rPr>
          <w:lang w:val="es-US"/>
        </w:rPr>
        <w:t xml:space="preserve">. Fondo, Reparaciones y Costas. Sentencia de 24 de noviembre de 2011. Serie C No. 237 (Sentencia </w:t>
      </w:r>
      <w:r w:rsidRPr="00643722">
        <w:rPr>
          <w:i/>
          <w:lang w:val="es-US"/>
        </w:rPr>
        <w:t>Familia Barrios)</w:t>
      </w:r>
      <w:r w:rsidRPr="00643722">
        <w:rPr>
          <w:lang w:val="es-US"/>
        </w:rPr>
        <w:t>, párr. 51.</w:t>
      </w:r>
    </w:p>
  </w:footnote>
  <w:footnote w:id="123">
    <w:p w14:paraId="061A0DAB" w14:textId="77777777" w:rsidR="005F3D64" w:rsidRPr="00643722" w:rsidRDefault="005F3D64" w:rsidP="00431AE0">
      <w:pPr>
        <w:pStyle w:val="FootnoteText"/>
        <w:rPr>
          <w:lang w:val="es-ES"/>
        </w:rPr>
      </w:pPr>
      <w:r w:rsidRPr="00643722">
        <w:rPr>
          <w:rStyle w:val="FootnoteReference"/>
          <w:lang w:val="es-ES"/>
        </w:rPr>
        <w:footnoteRef/>
      </w:r>
      <w:r w:rsidRPr="00643722">
        <w:rPr>
          <w:lang w:val="it-IT"/>
        </w:rPr>
        <w:t xml:space="preserve"> CIDH. Demanda ante la Corte Interamericana de Derechos Humanos. </w:t>
      </w:r>
      <w:r w:rsidRPr="00643722">
        <w:rPr>
          <w:i/>
          <w:lang w:val="it-IT"/>
        </w:rPr>
        <w:t>Caso 12.579, Valentina Rosendo Cantú y otra</w:t>
      </w:r>
      <w:r w:rsidRPr="00643722">
        <w:rPr>
          <w:lang w:val="it-IT"/>
        </w:rPr>
        <w:t xml:space="preserve">, México, 2 de agosto de 2009 (Demanda </w:t>
      </w:r>
      <w:r w:rsidRPr="00643722">
        <w:rPr>
          <w:i/>
          <w:lang w:val="it-IT"/>
        </w:rPr>
        <w:t>Valentina Rosendo Cantú y otra</w:t>
      </w:r>
      <w:r w:rsidRPr="00643722">
        <w:rPr>
          <w:lang w:val="it-IT"/>
        </w:rPr>
        <w:t xml:space="preserve">), párr. 60, Demanda ante la Corte Interamericana de Derechos Humanos. </w:t>
      </w:r>
      <w:r w:rsidRPr="00643722">
        <w:rPr>
          <w:i/>
          <w:lang w:val="it-IT"/>
        </w:rPr>
        <w:t>Caso 12.580. Inés Fernández Ortega</w:t>
      </w:r>
      <w:r w:rsidRPr="00643722">
        <w:rPr>
          <w:lang w:val="it-IT"/>
        </w:rPr>
        <w:t xml:space="preserve">, México, 7 de mayo de 2009 (Demanda </w:t>
      </w:r>
      <w:r w:rsidRPr="00643722">
        <w:rPr>
          <w:i/>
          <w:lang w:val="it-IT"/>
        </w:rPr>
        <w:t>Inés Fernández Ortega</w:t>
      </w:r>
      <w:r w:rsidRPr="00643722">
        <w:rPr>
          <w:lang w:val="it-IT"/>
        </w:rPr>
        <w:t xml:space="preserve">), párr. </w:t>
      </w:r>
      <w:r w:rsidRPr="00643722">
        <w:rPr>
          <w:lang w:val="es-ES_tradnl"/>
        </w:rPr>
        <w:t>88</w:t>
      </w:r>
      <w:r w:rsidRPr="00643722">
        <w:rPr>
          <w:lang w:val="es-CO"/>
        </w:rPr>
        <w:t>,</w:t>
      </w:r>
      <w:r w:rsidRPr="00643722">
        <w:rPr>
          <w:lang w:val="es-ES"/>
        </w:rPr>
        <w:t xml:space="preserve"> Informe No. 53/01, Caso 11.565, Fondo, Ana, Beatriz y Cecilia González Pérez, México, 4 de abril de 2001, párr. 45; y CIDH, Informe No. 5/96, Caso 10.970, Fondo, Raquel Martin Mejía, Perú, 1 de marzo de 1996, sección 3. análisis.</w:t>
      </w:r>
    </w:p>
  </w:footnote>
  <w:footnote w:id="124">
    <w:p w14:paraId="308B1776" w14:textId="77777777" w:rsidR="005F3D64" w:rsidRPr="00643722" w:rsidRDefault="005F3D64" w:rsidP="00431AE0">
      <w:pPr>
        <w:pStyle w:val="FootnoteText"/>
        <w:rPr>
          <w:lang w:val="es-ES"/>
        </w:rPr>
      </w:pPr>
      <w:r w:rsidRPr="00643722">
        <w:rPr>
          <w:rStyle w:val="FootnoteReference"/>
        </w:rPr>
        <w:footnoteRef/>
      </w:r>
      <w:r w:rsidRPr="00643722">
        <w:rPr>
          <w:lang w:val="es-ES"/>
        </w:rPr>
        <w:t xml:space="preserve">  CIDH. Demanda </w:t>
      </w:r>
      <w:r w:rsidRPr="00643722">
        <w:rPr>
          <w:i/>
          <w:lang w:val="it-IT"/>
        </w:rPr>
        <w:t>Valentina Rosendo Cantú y otra</w:t>
      </w:r>
      <w:r w:rsidRPr="00643722">
        <w:rPr>
          <w:lang w:val="es-ES"/>
        </w:rPr>
        <w:t xml:space="preserve">, párr. 90, Demanda </w:t>
      </w:r>
      <w:r w:rsidRPr="00643722">
        <w:rPr>
          <w:i/>
          <w:lang w:val="es-ES"/>
        </w:rPr>
        <w:t>Inés Fernández Ortega</w:t>
      </w:r>
      <w:r w:rsidRPr="00643722">
        <w:rPr>
          <w:lang w:val="es-ES"/>
        </w:rPr>
        <w:t>, párr. 117.</w:t>
      </w:r>
    </w:p>
  </w:footnote>
  <w:footnote w:id="125">
    <w:p w14:paraId="630FE880" w14:textId="77777777" w:rsidR="005F3D64" w:rsidRPr="00643722" w:rsidRDefault="005F3D64" w:rsidP="00431AE0">
      <w:pPr>
        <w:autoSpaceDE w:val="0"/>
        <w:autoSpaceDN w:val="0"/>
        <w:adjustRightInd w:val="0"/>
        <w:jc w:val="both"/>
        <w:rPr>
          <w:rFonts w:asciiTheme="majorHAnsi" w:hAnsiTheme="majorHAnsi"/>
          <w:sz w:val="16"/>
          <w:szCs w:val="16"/>
          <w:lang w:val="pt-BR"/>
        </w:rPr>
      </w:pPr>
      <w:r w:rsidRPr="00643722">
        <w:rPr>
          <w:rStyle w:val="FootnoteReference"/>
          <w:rFonts w:asciiTheme="majorHAnsi" w:hAnsiTheme="majorHAnsi"/>
          <w:sz w:val="16"/>
          <w:szCs w:val="16"/>
          <w:lang w:val="es-ES"/>
        </w:rPr>
        <w:footnoteRef/>
      </w:r>
      <w:r w:rsidRPr="00643722">
        <w:rPr>
          <w:rFonts w:asciiTheme="majorHAnsi" w:hAnsiTheme="majorHAnsi"/>
          <w:sz w:val="16"/>
          <w:szCs w:val="16"/>
          <w:lang w:val="es-ES"/>
        </w:rPr>
        <w:t xml:space="preserve"> CIDH. Informe No 53/01.  Caso 11.565. Ana, Beatriz y Celia González Pérez. </w:t>
      </w:r>
      <w:r w:rsidRPr="00643722">
        <w:rPr>
          <w:rFonts w:asciiTheme="majorHAnsi" w:hAnsiTheme="majorHAnsi"/>
          <w:sz w:val="16"/>
          <w:szCs w:val="16"/>
          <w:lang w:val="pt-BR"/>
        </w:rPr>
        <w:t xml:space="preserve">México. 4 de abril de 2001. Párr. 45; </w:t>
      </w:r>
      <w:r w:rsidRPr="00643722">
        <w:rPr>
          <w:rFonts w:asciiTheme="majorHAnsi" w:hAnsiTheme="majorHAnsi"/>
          <w:color w:val="000000"/>
          <w:sz w:val="16"/>
          <w:szCs w:val="16"/>
          <w:lang w:val="pt-BR"/>
        </w:rPr>
        <w:t xml:space="preserve">Corte IDH. </w:t>
      </w:r>
      <w:r w:rsidRPr="00643722">
        <w:rPr>
          <w:rFonts w:asciiTheme="majorHAnsi" w:hAnsiTheme="majorHAnsi"/>
          <w:bCs/>
          <w:color w:val="000000"/>
          <w:sz w:val="16"/>
          <w:szCs w:val="16"/>
          <w:lang w:val="pt-BR"/>
        </w:rPr>
        <w:t xml:space="preserve">Sentencia </w:t>
      </w:r>
      <w:r w:rsidRPr="00643722">
        <w:rPr>
          <w:rFonts w:asciiTheme="majorHAnsi" w:hAnsiTheme="majorHAnsi"/>
          <w:bCs/>
          <w:i/>
          <w:color w:val="000000"/>
          <w:sz w:val="16"/>
          <w:szCs w:val="16"/>
          <w:lang w:val="pt-BR"/>
        </w:rPr>
        <w:t>Penal Miguel Castro Castro</w:t>
      </w:r>
      <w:r w:rsidRPr="00643722">
        <w:rPr>
          <w:rFonts w:asciiTheme="majorHAnsi" w:hAnsiTheme="majorHAnsi"/>
          <w:sz w:val="16"/>
          <w:szCs w:val="16"/>
          <w:lang w:val="pt-BR"/>
        </w:rPr>
        <w:t>, párr. 313.</w:t>
      </w:r>
    </w:p>
  </w:footnote>
  <w:footnote w:id="126">
    <w:p w14:paraId="74576025" w14:textId="77777777" w:rsidR="005F3D64" w:rsidRPr="00643722" w:rsidRDefault="005F3D64" w:rsidP="00431AE0">
      <w:pPr>
        <w:pStyle w:val="FootnoteText"/>
        <w:rPr>
          <w:lang w:val="pt-BR"/>
        </w:rPr>
      </w:pPr>
      <w:r w:rsidRPr="00643722">
        <w:rPr>
          <w:rStyle w:val="FootnoteReference"/>
          <w:lang w:val="es-ES"/>
        </w:rPr>
        <w:footnoteRef/>
      </w:r>
      <w:r w:rsidRPr="00643722">
        <w:rPr>
          <w:lang w:val="pt-BR"/>
        </w:rPr>
        <w:t xml:space="preserve"> Corte IDH. </w:t>
      </w:r>
      <w:r w:rsidRPr="00643722">
        <w:rPr>
          <w:bCs/>
          <w:lang w:val="pt-BR"/>
        </w:rPr>
        <w:t xml:space="preserve">Sentencia </w:t>
      </w:r>
      <w:r w:rsidRPr="00643722">
        <w:rPr>
          <w:bCs/>
          <w:i/>
          <w:lang w:val="pt-BR"/>
        </w:rPr>
        <w:t>Penal Miguel Castro Castro</w:t>
      </w:r>
      <w:r w:rsidRPr="00643722">
        <w:rPr>
          <w:lang w:val="pt-BR"/>
        </w:rPr>
        <w:t>, párr. 311.</w:t>
      </w:r>
    </w:p>
  </w:footnote>
  <w:footnote w:id="127">
    <w:p w14:paraId="57106FFD" w14:textId="77777777" w:rsidR="005F3D64" w:rsidRPr="00643722" w:rsidRDefault="005F3D64" w:rsidP="00431AE0">
      <w:pPr>
        <w:jc w:val="both"/>
        <w:rPr>
          <w:rFonts w:asciiTheme="majorHAnsi" w:hAnsiTheme="majorHAnsi"/>
          <w:sz w:val="16"/>
          <w:szCs w:val="16"/>
          <w:lang w:val="pt-BR"/>
        </w:rPr>
      </w:pPr>
      <w:r w:rsidRPr="00643722">
        <w:rPr>
          <w:rStyle w:val="FootnoteReference"/>
          <w:rFonts w:asciiTheme="majorHAnsi" w:hAnsiTheme="majorHAnsi"/>
          <w:sz w:val="16"/>
          <w:szCs w:val="16"/>
          <w:lang w:val="es-ES"/>
        </w:rPr>
        <w:footnoteRef/>
      </w:r>
      <w:r w:rsidRPr="00643722">
        <w:rPr>
          <w:rFonts w:asciiTheme="majorHAnsi" w:hAnsiTheme="majorHAnsi"/>
          <w:sz w:val="16"/>
          <w:szCs w:val="16"/>
          <w:lang w:val="pt-BR"/>
        </w:rPr>
        <w:t xml:space="preserve"> </w:t>
      </w:r>
      <w:r w:rsidRPr="00643722">
        <w:rPr>
          <w:rFonts w:asciiTheme="majorHAnsi" w:hAnsiTheme="majorHAnsi"/>
          <w:color w:val="000000"/>
          <w:sz w:val="16"/>
          <w:szCs w:val="16"/>
          <w:lang w:val="pt-BR"/>
        </w:rPr>
        <w:t xml:space="preserve">Corte IDH. </w:t>
      </w:r>
      <w:r w:rsidRPr="00643722">
        <w:rPr>
          <w:rFonts w:asciiTheme="majorHAnsi" w:hAnsiTheme="majorHAnsi"/>
          <w:bCs/>
          <w:color w:val="000000"/>
          <w:sz w:val="16"/>
          <w:szCs w:val="16"/>
          <w:lang w:val="pt-BR"/>
        </w:rPr>
        <w:t xml:space="preserve">Sentencia </w:t>
      </w:r>
      <w:r w:rsidRPr="00643722">
        <w:rPr>
          <w:rFonts w:asciiTheme="majorHAnsi" w:hAnsiTheme="majorHAnsi"/>
          <w:bCs/>
          <w:i/>
          <w:color w:val="000000"/>
          <w:sz w:val="16"/>
          <w:szCs w:val="16"/>
          <w:lang w:val="pt-BR"/>
        </w:rPr>
        <w:t>Penal Miguel Castro Castro</w:t>
      </w:r>
      <w:r w:rsidRPr="00643722">
        <w:rPr>
          <w:rFonts w:asciiTheme="majorHAnsi" w:hAnsiTheme="majorHAnsi"/>
          <w:sz w:val="16"/>
          <w:szCs w:val="16"/>
          <w:lang w:val="pt-BR"/>
        </w:rPr>
        <w:t>, párr. 311.</w:t>
      </w:r>
    </w:p>
  </w:footnote>
  <w:footnote w:id="128">
    <w:p w14:paraId="2CA52330" w14:textId="77777777" w:rsidR="005F3D64" w:rsidRPr="00643722" w:rsidRDefault="005F3D64" w:rsidP="00431AE0">
      <w:pPr>
        <w:jc w:val="both"/>
        <w:rPr>
          <w:rFonts w:asciiTheme="majorHAnsi" w:hAnsiTheme="majorHAnsi"/>
          <w:sz w:val="16"/>
          <w:szCs w:val="16"/>
          <w:lang w:val="es-ES"/>
        </w:rPr>
      </w:pPr>
      <w:r w:rsidRPr="00643722">
        <w:rPr>
          <w:rStyle w:val="FootnoteReference"/>
          <w:rFonts w:asciiTheme="majorHAnsi" w:hAnsiTheme="majorHAnsi"/>
          <w:sz w:val="16"/>
          <w:szCs w:val="16"/>
          <w:lang w:val="es-ES"/>
        </w:rPr>
        <w:footnoteRef/>
      </w:r>
      <w:r w:rsidRPr="00643722">
        <w:rPr>
          <w:rFonts w:asciiTheme="majorHAnsi" w:hAnsiTheme="majorHAnsi"/>
          <w:sz w:val="16"/>
          <w:szCs w:val="16"/>
          <w:lang w:val="pt-BR"/>
        </w:rPr>
        <w:t xml:space="preserve"> </w:t>
      </w:r>
      <w:r w:rsidRPr="00643722">
        <w:rPr>
          <w:rFonts w:asciiTheme="majorHAnsi" w:hAnsiTheme="majorHAnsi"/>
          <w:color w:val="000000"/>
          <w:sz w:val="16"/>
          <w:szCs w:val="16"/>
          <w:lang w:val="pt-BR"/>
        </w:rPr>
        <w:t xml:space="preserve">Corte IDH. </w:t>
      </w:r>
      <w:r w:rsidRPr="00643722">
        <w:rPr>
          <w:rFonts w:asciiTheme="majorHAnsi" w:hAnsiTheme="majorHAnsi"/>
          <w:bCs/>
          <w:color w:val="000000"/>
          <w:sz w:val="16"/>
          <w:szCs w:val="16"/>
          <w:lang w:val="pt-BR"/>
        </w:rPr>
        <w:t xml:space="preserve">Sentencia </w:t>
      </w:r>
      <w:r w:rsidRPr="00643722">
        <w:rPr>
          <w:rFonts w:asciiTheme="majorHAnsi" w:hAnsiTheme="majorHAnsi"/>
          <w:bCs/>
          <w:i/>
          <w:color w:val="000000"/>
          <w:sz w:val="16"/>
          <w:szCs w:val="16"/>
          <w:lang w:val="pt-BR"/>
        </w:rPr>
        <w:t>Penal Miguel Castro Castro</w:t>
      </w:r>
      <w:r w:rsidRPr="00643722">
        <w:rPr>
          <w:rFonts w:asciiTheme="majorHAnsi" w:hAnsiTheme="majorHAnsi"/>
          <w:sz w:val="16"/>
          <w:szCs w:val="16"/>
          <w:lang w:val="pt-BR"/>
        </w:rPr>
        <w:t xml:space="preserve">, párr. 311, citando Eur.C.H.R., Case of Aydin v. Turkey (GC), Judgment of 25 September 1997, App. No. 57/1996/676/866, para. </w:t>
      </w:r>
      <w:r w:rsidRPr="00643722">
        <w:rPr>
          <w:rFonts w:asciiTheme="majorHAnsi" w:hAnsiTheme="majorHAnsi"/>
          <w:sz w:val="16"/>
          <w:szCs w:val="16"/>
          <w:lang w:val="es-ES"/>
        </w:rPr>
        <w:t xml:space="preserve">83. </w:t>
      </w:r>
    </w:p>
  </w:footnote>
  <w:footnote w:id="129">
    <w:p w14:paraId="5643BFF4" w14:textId="77777777" w:rsidR="005F3D64" w:rsidRPr="00643722" w:rsidRDefault="005F3D64" w:rsidP="00431AE0">
      <w:pPr>
        <w:pStyle w:val="FootnoteText"/>
        <w:rPr>
          <w:lang w:val="es-ES_tradnl"/>
        </w:rPr>
      </w:pPr>
      <w:r w:rsidRPr="00643722">
        <w:rPr>
          <w:rStyle w:val="FootnoteReference"/>
        </w:rPr>
        <w:footnoteRef/>
      </w:r>
      <w:r w:rsidRPr="00643722">
        <w:rPr>
          <w:lang w:val="es-CO"/>
        </w:rPr>
        <w:t xml:space="preserve"> </w:t>
      </w:r>
      <w:r w:rsidRPr="00643722">
        <w:rPr>
          <w:rFonts w:cs="Verdana"/>
          <w:bCs/>
          <w:lang w:val="es-CO"/>
        </w:rPr>
        <w:t xml:space="preserve">Corte IDH. </w:t>
      </w:r>
      <w:r w:rsidRPr="00643722">
        <w:rPr>
          <w:bCs/>
          <w:lang w:val="es-ES"/>
        </w:rPr>
        <w:t xml:space="preserve">Sentencia </w:t>
      </w:r>
      <w:r w:rsidRPr="00643722">
        <w:rPr>
          <w:bCs/>
          <w:i/>
          <w:lang w:val="es-ES"/>
        </w:rPr>
        <w:t>Espinoza Gonzáles</w:t>
      </w:r>
      <w:r w:rsidRPr="00643722">
        <w:rPr>
          <w:bCs/>
          <w:lang w:val="es-ES"/>
        </w:rPr>
        <w:t xml:space="preserve">, </w:t>
      </w:r>
      <w:r w:rsidRPr="00643722">
        <w:rPr>
          <w:rFonts w:cs="Verdana"/>
          <w:bCs/>
          <w:lang w:val="es-CO"/>
        </w:rPr>
        <w:t>p</w:t>
      </w:r>
      <w:r w:rsidRPr="00643722">
        <w:rPr>
          <w:lang w:val="es-ES_tradnl"/>
        </w:rPr>
        <w:t xml:space="preserve">árr. 193. </w:t>
      </w:r>
    </w:p>
  </w:footnote>
  <w:footnote w:id="130">
    <w:p w14:paraId="0027D37A" w14:textId="77777777" w:rsidR="005F3D64" w:rsidRPr="00643722" w:rsidRDefault="005F3D64" w:rsidP="00431AE0">
      <w:pPr>
        <w:pStyle w:val="FootnoteText"/>
        <w:tabs>
          <w:tab w:val="left" w:pos="426"/>
        </w:tabs>
        <w:rPr>
          <w:spacing w:val="-4"/>
          <w:lang w:val="es-CR"/>
        </w:rPr>
      </w:pPr>
      <w:r w:rsidRPr="00643722">
        <w:rPr>
          <w:rStyle w:val="FootnoteReference"/>
          <w:spacing w:val="-4"/>
        </w:rPr>
        <w:footnoteRef/>
      </w:r>
      <w:r w:rsidRPr="00643722">
        <w:rPr>
          <w:spacing w:val="-4"/>
          <w:lang w:val="es-CO"/>
        </w:rPr>
        <w:t xml:space="preserve"> </w:t>
      </w:r>
      <w:r w:rsidRPr="00643722">
        <w:rPr>
          <w:rFonts w:cs="Verdana"/>
          <w:bCs/>
          <w:lang w:val="es-CO"/>
        </w:rPr>
        <w:t xml:space="preserve">Corte IDH. </w:t>
      </w:r>
      <w:r w:rsidRPr="00643722">
        <w:rPr>
          <w:rFonts w:cs="Verdana"/>
          <w:bCs/>
          <w:i/>
          <w:lang w:val="es-CO"/>
        </w:rPr>
        <w:t>Caso J. Vs. Perú.</w:t>
      </w:r>
      <w:r w:rsidRPr="00643722">
        <w:rPr>
          <w:rFonts w:cs="Verdana"/>
          <w:bCs/>
          <w:lang w:val="es-CO"/>
        </w:rPr>
        <w:t xml:space="preserve"> Excepción Preliminar, Fondo, Reparaciones y Costas. Sentencia de 27 de noviembre de 2013. Serie C No. 275 (Sentencia </w:t>
      </w:r>
      <w:r w:rsidRPr="00643722">
        <w:rPr>
          <w:rFonts w:cs="Verdana"/>
          <w:bCs/>
          <w:i/>
          <w:lang w:val="es-CO"/>
        </w:rPr>
        <w:t>J.</w:t>
      </w:r>
      <w:r w:rsidRPr="00643722">
        <w:rPr>
          <w:rFonts w:cs="Verdana"/>
          <w:bCs/>
          <w:lang w:val="es-CO"/>
        </w:rPr>
        <w:t xml:space="preserve">), párr. </w:t>
      </w:r>
      <w:r w:rsidRPr="00643722">
        <w:rPr>
          <w:spacing w:val="-4"/>
          <w:lang w:val="es-VE"/>
        </w:rPr>
        <w:t xml:space="preserve">359. Citando. </w:t>
      </w:r>
      <w:r w:rsidRPr="00643722">
        <w:rPr>
          <w:bCs/>
          <w:lang w:val="es-ES"/>
        </w:rPr>
        <w:t xml:space="preserve">Sentencia </w:t>
      </w:r>
      <w:r w:rsidRPr="00643722">
        <w:rPr>
          <w:bCs/>
          <w:i/>
          <w:lang w:val="es-ES"/>
        </w:rPr>
        <w:t>Penal Miguel Castro Castro</w:t>
      </w:r>
      <w:r w:rsidRPr="00643722">
        <w:rPr>
          <w:lang w:val="es-ES"/>
        </w:rPr>
        <w:t xml:space="preserve">, </w:t>
      </w:r>
      <w:r w:rsidRPr="00643722">
        <w:rPr>
          <w:spacing w:val="-4"/>
          <w:lang w:val="es-MX"/>
        </w:rPr>
        <w:t xml:space="preserve">párr. </w:t>
      </w:r>
      <w:r w:rsidRPr="00643722">
        <w:rPr>
          <w:spacing w:val="-4"/>
          <w:lang w:val="es-CR"/>
        </w:rPr>
        <w:t>310.</w:t>
      </w:r>
    </w:p>
  </w:footnote>
  <w:footnote w:id="131">
    <w:p w14:paraId="12E8AF03" w14:textId="77777777" w:rsidR="005F3D64" w:rsidRPr="00643722" w:rsidRDefault="005F3D64" w:rsidP="00431AE0">
      <w:pPr>
        <w:pStyle w:val="FootnoteText"/>
        <w:tabs>
          <w:tab w:val="left" w:pos="426"/>
        </w:tabs>
        <w:rPr>
          <w:spacing w:val="-4"/>
          <w:lang w:val="es-CO"/>
        </w:rPr>
      </w:pPr>
      <w:r w:rsidRPr="00643722">
        <w:rPr>
          <w:rStyle w:val="FootnoteReference"/>
          <w:spacing w:val="-4"/>
        </w:rPr>
        <w:footnoteRef/>
      </w:r>
      <w:r w:rsidRPr="00643722">
        <w:rPr>
          <w:spacing w:val="-4"/>
          <w:lang w:val="es-CR"/>
        </w:rPr>
        <w:t xml:space="preserve"> </w:t>
      </w:r>
      <w:r w:rsidRPr="00643722">
        <w:rPr>
          <w:rFonts w:cs="Verdana"/>
          <w:bCs/>
          <w:lang w:val="es-CO"/>
        </w:rPr>
        <w:t xml:space="preserve">Corte Sentencia </w:t>
      </w:r>
      <w:r w:rsidRPr="00643722">
        <w:rPr>
          <w:rFonts w:cs="Verdana"/>
          <w:bCs/>
          <w:i/>
          <w:lang w:val="es-CO"/>
        </w:rPr>
        <w:t>J.</w:t>
      </w:r>
      <w:r w:rsidRPr="00643722">
        <w:rPr>
          <w:rFonts w:cs="Verdana"/>
          <w:bCs/>
          <w:lang w:val="es-CO"/>
        </w:rPr>
        <w:t xml:space="preserve"> , párr. </w:t>
      </w:r>
      <w:r w:rsidRPr="00643722">
        <w:rPr>
          <w:spacing w:val="-4"/>
          <w:lang w:val="es-CO"/>
        </w:rPr>
        <w:t>359.</w:t>
      </w:r>
    </w:p>
  </w:footnote>
  <w:footnote w:id="132">
    <w:p w14:paraId="038EC8B5" w14:textId="77777777" w:rsidR="005F3D64" w:rsidRPr="00643722" w:rsidRDefault="005F3D64" w:rsidP="00431AE0">
      <w:pPr>
        <w:pStyle w:val="FootnoteText"/>
        <w:rPr>
          <w:lang w:val="es-VE"/>
        </w:rPr>
      </w:pPr>
      <w:r w:rsidRPr="00643722">
        <w:rPr>
          <w:rStyle w:val="FootnoteReference"/>
        </w:rPr>
        <w:footnoteRef/>
      </w:r>
      <w:r w:rsidRPr="00643722">
        <w:rPr>
          <w:lang w:val="pt-BR"/>
        </w:rPr>
        <w:t xml:space="preserve"> </w:t>
      </w:r>
      <w:r w:rsidRPr="00643722">
        <w:rPr>
          <w:rFonts w:cs="Verdana"/>
          <w:bCs/>
          <w:lang w:val="pt-BR"/>
        </w:rPr>
        <w:t xml:space="preserve">Corte IDH. Sentencia </w:t>
      </w:r>
      <w:r w:rsidRPr="00643722">
        <w:rPr>
          <w:rFonts w:cs="Verdana"/>
          <w:bCs/>
          <w:i/>
          <w:lang w:val="pt-BR"/>
        </w:rPr>
        <w:t>J.</w:t>
      </w:r>
      <w:r w:rsidRPr="00643722">
        <w:rPr>
          <w:rFonts w:cs="Verdana"/>
          <w:bCs/>
          <w:lang w:val="pt-BR"/>
        </w:rPr>
        <w:t xml:space="preserve"> , párr. </w:t>
      </w:r>
      <w:r w:rsidRPr="00643722">
        <w:rPr>
          <w:lang w:val="es-VE"/>
        </w:rPr>
        <w:t xml:space="preserve">359. </w:t>
      </w:r>
    </w:p>
  </w:footnote>
  <w:footnote w:id="133">
    <w:p w14:paraId="17B67598" w14:textId="77777777" w:rsidR="005F3D64" w:rsidRPr="00643722" w:rsidRDefault="005F3D64">
      <w:pPr>
        <w:pStyle w:val="FootnoteText"/>
        <w:rPr>
          <w:lang w:val="es-CO"/>
        </w:rPr>
      </w:pPr>
      <w:r w:rsidRPr="00643722">
        <w:rPr>
          <w:rStyle w:val="FootnoteReference"/>
        </w:rPr>
        <w:footnoteRef/>
      </w:r>
      <w:r w:rsidRPr="00643722">
        <w:rPr>
          <w:lang w:val="es-VE"/>
        </w:rPr>
        <w:t xml:space="preserve"> </w:t>
      </w:r>
      <w:r w:rsidRPr="00643722">
        <w:rPr>
          <w:rFonts w:eastAsia="Times New Roman"/>
          <w:bdr w:val="none" w:sz="0" w:space="0" w:color="auto"/>
          <w:lang w:val="es-VE"/>
        </w:rPr>
        <w:t xml:space="preserve">Corte IDH. </w:t>
      </w:r>
      <w:r w:rsidRPr="00643722">
        <w:rPr>
          <w:rFonts w:eastAsia="Times New Roman"/>
          <w:i/>
          <w:bdr w:val="none" w:sz="0" w:space="0" w:color="auto"/>
          <w:lang w:val="es-US"/>
        </w:rPr>
        <w:t>Caso Fernández Ortega y otros Vs. México</w:t>
      </w:r>
      <w:r w:rsidRPr="00643722">
        <w:rPr>
          <w:rFonts w:eastAsia="Times New Roman"/>
          <w:bdr w:val="none" w:sz="0" w:space="0" w:color="auto"/>
          <w:lang w:val="es-US"/>
        </w:rPr>
        <w:t xml:space="preserve">. Excepción Preliminar, Fondo, Reparaciones y Costas. Sentencia de 30 de agosto de 2010. Serie C No. 215 (Sentencia </w:t>
      </w:r>
      <w:r w:rsidRPr="00643722">
        <w:rPr>
          <w:rFonts w:eastAsia="Times New Roman"/>
          <w:i/>
          <w:bdr w:val="none" w:sz="0" w:space="0" w:color="auto"/>
          <w:lang w:val="es-US"/>
        </w:rPr>
        <w:t>Fernández Ortega)</w:t>
      </w:r>
      <w:r w:rsidRPr="00643722">
        <w:rPr>
          <w:rFonts w:eastAsia="Times New Roman"/>
          <w:bdr w:val="none" w:sz="0" w:space="0" w:color="auto"/>
          <w:lang w:val="es-US"/>
        </w:rPr>
        <w:t xml:space="preserve">, párr. </w:t>
      </w:r>
      <w:r w:rsidRPr="00643722">
        <w:rPr>
          <w:rFonts w:eastAsia="Times New Roman"/>
          <w:bdr w:val="none" w:sz="0" w:space="0" w:color="auto"/>
          <w:lang w:val="es-CO"/>
        </w:rPr>
        <w:t>128.</w:t>
      </w:r>
    </w:p>
  </w:footnote>
  <w:footnote w:id="134">
    <w:p w14:paraId="4DCA09D6" w14:textId="77777777" w:rsidR="005F3D64" w:rsidRPr="00643722" w:rsidRDefault="005F3D64" w:rsidP="00431AE0">
      <w:pPr>
        <w:pStyle w:val="FootnoteText"/>
        <w:rPr>
          <w:lang w:val="es-CO"/>
        </w:rPr>
      </w:pPr>
      <w:r w:rsidRPr="00643722">
        <w:rPr>
          <w:rStyle w:val="FootnoteReference"/>
        </w:rPr>
        <w:footnoteRef/>
      </w:r>
      <w:r w:rsidRPr="00643722">
        <w:rPr>
          <w:lang w:val="es-CO"/>
        </w:rPr>
        <w:t xml:space="preserve"> CIDH. Informe 5/96. Caso 10.970. Perú. Raquel Martín de Mejía. 1 de marzo de 1996. </w:t>
      </w:r>
    </w:p>
  </w:footnote>
  <w:footnote w:id="135">
    <w:p w14:paraId="5AE83CED" w14:textId="77777777" w:rsidR="005F3D64" w:rsidRPr="00643722" w:rsidRDefault="005F3D64" w:rsidP="00431AE0">
      <w:pPr>
        <w:pStyle w:val="FootnoteText"/>
        <w:rPr>
          <w:lang w:val="es-ES_tradnl"/>
        </w:rPr>
      </w:pPr>
      <w:r w:rsidRPr="00643722">
        <w:rPr>
          <w:rStyle w:val="FootnoteReference"/>
        </w:rPr>
        <w:footnoteRef/>
      </w:r>
      <w:r w:rsidRPr="00643722">
        <w:rPr>
          <w:lang w:val="es-CO"/>
        </w:rPr>
        <w:t xml:space="preserve"> Corte IDH, </w:t>
      </w:r>
      <w:r w:rsidRPr="00643722">
        <w:rPr>
          <w:i/>
          <w:lang w:val="es-CO"/>
        </w:rPr>
        <w:t>Caso Rosendo Cantú y otra Vs. México</w:t>
      </w:r>
      <w:r w:rsidRPr="00643722">
        <w:rPr>
          <w:lang w:val="es-CO"/>
        </w:rPr>
        <w:t xml:space="preserve">. Excepción Preliminar, Fondo, Reparaciones y Costas, Sentencia de 31 de agosto de 2010. Serie C No. 216 (Sentencia </w:t>
      </w:r>
      <w:r w:rsidRPr="00643722">
        <w:rPr>
          <w:i/>
          <w:lang w:val="es-CO"/>
        </w:rPr>
        <w:t>Rosendo Cantú y otra</w:t>
      </w:r>
      <w:r w:rsidRPr="00643722">
        <w:rPr>
          <w:lang w:val="es-CO"/>
        </w:rPr>
        <w:t xml:space="preserve">), párr. 119; </w:t>
      </w:r>
      <w:r w:rsidRPr="00643722">
        <w:rPr>
          <w:rFonts w:eastAsia="Times New Roman"/>
          <w:bdr w:val="none" w:sz="0" w:space="0" w:color="auto"/>
          <w:lang w:val="es-CO"/>
        </w:rPr>
        <w:t xml:space="preserve">Sentencia </w:t>
      </w:r>
      <w:r w:rsidRPr="00643722">
        <w:rPr>
          <w:rFonts w:eastAsia="Times New Roman"/>
          <w:i/>
          <w:bdr w:val="none" w:sz="0" w:space="0" w:color="auto"/>
          <w:lang w:val="es-CO"/>
        </w:rPr>
        <w:t>Fernández Ortega</w:t>
      </w:r>
      <w:r w:rsidRPr="00643722">
        <w:rPr>
          <w:rFonts w:eastAsia="Times New Roman"/>
          <w:bdr w:val="none" w:sz="0" w:space="0" w:color="auto"/>
          <w:lang w:val="es-CO"/>
        </w:rPr>
        <w:t xml:space="preserve">, </w:t>
      </w:r>
      <w:r w:rsidRPr="00643722">
        <w:rPr>
          <w:lang w:val="es-CO"/>
        </w:rPr>
        <w:t>párr. 129.</w:t>
      </w:r>
    </w:p>
  </w:footnote>
  <w:footnote w:id="136">
    <w:p w14:paraId="1A762884" w14:textId="77777777" w:rsidR="005F3D64" w:rsidRPr="00643722" w:rsidRDefault="005F3D64" w:rsidP="00431AE0">
      <w:pPr>
        <w:pStyle w:val="FootnoteText"/>
        <w:rPr>
          <w:lang w:val="pt-BR"/>
        </w:rPr>
      </w:pPr>
      <w:r w:rsidRPr="00643722">
        <w:rPr>
          <w:rStyle w:val="FootnoteReference"/>
        </w:rPr>
        <w:footnoteRef/>
      </w:r>
      <w:r w:rsidRPr="00643722">
        <w:rPr>
          <w:lang w:val="es-CO"/>
        </w:rPr>
        <w:t xml:space="preserve"> Corte IDH. Sentencia </w:t>
      </w:r>
      <w:r w:rsidRPr="00643722">
        <w:rPr>
          <w:i/>
          <w:lang w:val="es-CO"/>
        </w:rPr>
        <w:t>Rosendo Cantú y otra</w:t>
      </w:r>
      <w:r w:rsidRPr="00643722">
        <w:rPr>
          <w:lang w:val="es-CO"/>
        </w:rPr>
        <w:t xml:space="preserve">, párr. </w:t>
      </w:r>
      <w:r w:rsidRPr="00643722">
        <w:rPr>
          <w:lang w:val="pt-BR"/>
        </w:rPr>
        <w:t xml:space="preserve">119; </w:t>
      </w:r>
      <w:r w:rsidRPr="00643722">
        <w:rPr>
          <w:rFonts w:eastAsia="Times New Roman"/>
          <w:bdr w:val="none" w:sz="0" w:space="0" w:color="auto"/>
          <w:lang w:val="pt-BR"/>
        </w:rPr>
        <w:t xml:space="preserve">Sentencia </w:t>
      </w:r>
      <w:r w:rsidRPr="00643722">
        <w:rPr>
          <w:rFonts w:eastAsia="Times New Roman"/>
          <w:i/>
          <w:bdr w:val="none" w:sz="0" w:space="0" w:color="auto"/>
          <w:lang w:val="pt-BR"/>
        </w:rPr>
        <w:t>Fernández Ortega</w:t>
      </w:r>
      <w:r w:rsidRPr="00643722">
        <w:rPr>
          <w:rFonts w:eastAsia="Times New Roman"/>
          <w:bdr w:val="none" w:sz="0" w:space="0" w:color="auto"/>
          <w:lang w:val="pt-BR"/>
        </w:rPr>
        <w:t xml:space="preserve">, </w:t>
      </w:r>
      <w:r w:rsidRPr="00643722">
        <w:rPr>
          <w:lang w:val="pt-BR"/>
        </w:rPr>
        <w:t>párr. 129.</w:t>
      </w:r>
    </w:p>
  </w:footnote>
  <w:footnote w:id="137">
    <w:p w14:paraId="41FD1051" w14:textId="77777777" w:rsidR="005F3D64" w:rsidRPr="00643722" w:rsidRDefault="005F3D64">
      <w:pPr>
        <w:pStyle w:val="FootnoteText"/>
        <w:rPr>
          <w:lang w:val="es-ES"/>
        </w:rPr>
      </w:pPr>
      <w:r w:rsidRPr="00643722">
        <w:rPr>
          <w:rStyle w:val="FootnoteReference"/>
        </w:rPr>
        <w:footnoteRef/>
      </w:r>
      <w:r w:rsidRPr="00643722">
        <w:rPr>
          <w:lang w:val="pt-BR"/>
        </w:rPr>
        <w:t xml:space="preserve"> Corte IDH. </w:t>
      </w:r>
      <w:r w:rsidRPr="00643722">
        <w:rPr>
          <w:bCs/>
          <w:lang w:val="es-ES"/>
        </w:rPr>
        <w:t xml:space="preserve">Sentencia </w:t>
      </w:r>
      <w:r w:rsidRPr="00643722">
        <w:rPr>
          <w:bCs/>
          <w:i/>
          <w:lang w:val="es-ES"/>
        </w:rPr>
        <w:t>Espinoza Gonzáles</w:t>
      </w:r>
      <w:r w:rsidRPr="00643722">
        <w:rPr>
          <w:bCs/>
          <w:lang w:val="es-ES"/>
        </w:rPr>
        <w:t xml:space="preserve">, </w:t>
      </w:r>
      <w:r w:rsidRPr="00643722">
        <w:rPr>
          <w:lang w:val="es-ES"/>
        </w:rPr>
        <w:t>párr. 177.</w:t>
      </w:r>
    </w:p>
  </w:footnote>
  <w:footnote w:id="138">
    <w:p w14:paraId="2467CE64" w14:textId="77777777" w:rsidR="005F3D64" w:rsidRPr="00643722" w:rsidRDefault="005F3D64" w:rsidP="006353B9">
      <w:pPr>
        <w:pStyle w:val="FootnoteText"/>
        <w:rPr>
          <w:lang w:val="es-US"/>
        </w:rPr>
      </w:pPr>
      <w:r w:rsidRPr="00643722">
        <w:rPr>
          <w:rStyle w:val="FootnoteReference"/>
        </w:rPr>
        <w:footnoteRef/>
      </w:r>
      <w:r w:rsidRPr="00643722">
        <w:rPr>
          <w:lang w:val="es-US"/>
        </w:rPr>
        <w:t xml:space="preserve"> </w:t>
      </w:r>
      <w:r w:rsidRPr="00643722">
        <w:rPr>
          <w:lang w:val="es-ES_tradnl"/>
        </w:rPr>
        <w:t>Ratificada por Bolivia el 26 de junio de 1990. Resulta relevante en esta sección el artículo 37 a) y b) que, en lo pertinente, establece: “Articulo 37. Los Estados Partes velarán por que: a) Ningún niño sea sometido a torturas ni a otros tratos o penas crueles, inhumanos o degradantes. […] b) Ningún niño sea privado de su libertad</w:t>
      </w:r>
      <w:r w:rsidRPr="00643722">
        <w:rPr>
          <w:rFonts w:eastAsia="Times New Roman" w:cs="Segoe UI"/>
          <w:color w:val="444444"/>
          <w:bdr w:val="none" w:sz="0" w:space="0" w:color="auto"/>
          <w:lang w:val="es-US" w:eastAsia="en-US"/>
        </w:rPr>
        <w:t xml:space="preserve"> </w:t>
      </w:r>
      <w:r w:rsidRPr="00643722">
        <w:rPr>
          <w:lang w:val="es-US"/>
        </w:rPr>
        <w:t>ilegal o arbitrariamente. La detención, el encarcelamiento o la prisión de un niño se llevará a cabo de conformidad con la ley y se utilizará tan sólo como medida de último recurso y durante el período más breve que proceda.</w:t>
      </w:r>
      <w:r w:rsidRPr="00643722">
        <w:rPr>
          <w:lang w:val="es-ES_tradnl"/>
        </w:rPr>
        <w:t>”.</w:t>
      </w:r>
    </w:p>
  </w:footnote>
  <w:footnote w:id="139">
    <w:p w14:paraId="3D659970" w14:textId="77777777" w:rsidR="005F3D64" w:rsidRPr="00643722" w:rsidRDefault="005F3D64" w:rsidP="006353B9">
      <w:pPr>
        <w:pStyle w:val="FootnoteText"/>
        <w:rPr>
          <w:lang w:val="es-ES_tradnl"/>
        </w:rPr>
      </w:pPr>
      <w:r w:rsidRPr="00643722">
        <w:rPr>
          <w:rStyle w:val="FootnoteReference"/>
        </w:rPr>
        <w:footnoteRef/>
      </w:r>
      <w:r w:rsidRPr="00643722">
        <w:rPr>
          <w:lang w:val="es-ES_tradnl"/>
        </w:rPr>
        <w:t xml:space="preserve"> Corte IDH. Sentencia </w:t>
      </w:r>
      <w:r w:rsidRPr="00643722">
        <w:rPr>
          <w:i/>
          <w:lang w:val="es-ES_tradnl"/>
        </w:rPr>
        <w:t>Niños de la Calle</w:t>
      </w:r>
      <w:r w:rsidRPr="00643722">
        <w:rPr>
          <w:lang w:val="es-ES_tradnl"/>
        </w:rPr>
        <w:t xml:space="preserve">, párr. 194. Ver también: </w:t>
      </w:r>
      <w:r w:rsidRPr="00643722">
        <w:rPr>
          <w:i/>
          <w:lang w:val="es-US"/>
        </w:rPr>
        <w:t xml:space="preserve">Condición jurídica y derechos humanos del niño. </w:t>
      </w:r>
      <w:r w:rsidRPr="00643722">
        <w:rPr>
          <w:lang w:val="es-US"/>
        </w:rPr>
        <w:t>Opinión Consultiva OC-17/02 de 28 de agosto de 2002. Serie A No. 17 (en adelante “Opinión Consultiva</w:t>
      </w:r>
      <w:r w:rsidRPr="00643722">
        <w:rPr>
          <w:i/>
          <w:lang w:val="es-US"/>
        </w:rPr>
        <w:t xml:space="preserve"> Condición jurídica y derechos humanos del niño</w:t>
      </w:r>
      <w:r w:rsidRPr="00643722">
        <w:rPr>
          <w:lang w:val="es-US"/>
        </w:rPr>
        <w:t>”), párr. 24.</w:t>
      </w:r>
    </w:p>
  </w:footnote>
  <w:footnote w:id="140">
    <w:p w14:paraId="7DBC1F9F" w14:textId="77777777" w:rsidR="005F3D64" w:rsidRPr="00643722" w:rsidRDefault="005F3D64" w:rsidP="006353B9">
      <w:pPr>
        <w:pStyle w:val="FootnoteText"/>
        <w:rPr>
          <w:lang w:val="es-ES_tradnl"/>
        </w:rPr>
      </w:pPr>
      <w:r w:rsidRPr="00643722">
        <w:rPr>
          <w:rStyle w:val="FootnoteReference"/>
          <w:lang w:val="es-ES"/>
        </w:rPr>
        <w:footnoteRef/>
      </w:r>
      <w:r w:rsidRPr="00643722">
        <w:rPr>
          <w:lang w:val="es-US"/>
        </w:rPr>
        <w:t xml:space="preserve"> </w:t>
      </w:r>
      <w:r w:rsidRPr="00643722">
        <w:rPr>
          <w:lang w:val="es-ES_tradnl"/>
        </w:rPr>
        <w:t xml:space="preserve">Corte IDH. </w:t>
      </w:r>
      <w:r w:rsidRPr="00643722">
        <w:rPr>
          <w:i/>
          <w:lang w:val="es-ES_tradnl"/>
        </w:rPr>
        <w:t>Caso "Instituto de Reeducación del Menor" Vs. Paraguay</w:t>
      </w:r>
      <w:r w:rsidRPr="00643722">
        <w:rPr>
          <w:lang w:val="es-ES_tradnl"/>
        </w:rPr>
        <w:t xml:space="preserve">. Excepciones Preliminares, Fondo, Reparaciones y Costas. Sentencia de 2 de septiembre de 2004. Serie C No. 112, párr. 147; </w:t>
      </w:r>
      <w:r w:rsidRPr="00643722">
        <w:rPr>
          <w:i/>
          <w:lang w:val="es-ES_tradnl"/>
        </w:rPr>
        <w:t>Caso Servellón García y otros Vs. Honduras</w:t>
      </w:r>
      <w:r w:rsidRPr="00643722">
        <w:rPr>
          <w:lang w:val="es-ES_tradnl"/>
        </w:rPr>
        <w:t>. Sentencia de 21 de septiembre de 2006. Serie C No. 152, párr. 113.</w:t>
      </w:r>
    </w:p>
  </w:footnote>
  <w:footnote w:id="141">
    <w:p w14:paraId="351610F9" w14:textId="77777777" w:rsidR="005F3D64" w:rsidRPr="00643722" w:rsidRDefault="005F3D64" w:rsidP="006353B9">
      <w:pPr>
        <w:pStyle w:val="FootnoteText"/>
        <w:rPr>
          <w:lang w:val="es-US"/>
        </w:rPr>
      </w:pPr>
      <w:r w:rsidRPr="00643722">
        <w:rPr>
          <w:rStyle w:val="FootnoteReference"/>
        </w:rPr>
        <w:footnoteRef/>
      </w:r>
      <w:r w:rsidRPr="00643722">
        <w:rPr>
          <w:lang w:val="es-US"/>
        </w:rPr>
        <w:t xml:space="preserve"> Corte IDH. Opinión Consultiva</w:t>
      </w:r>
      <w:r w:rsidRPr="00643722">
        <w:rPr>
          <w:i/>
          <w:lang w:val="es-US"/>
        </w:rPr>
        <w:t xml:space="preserve"> Condición jurídica y derechos humanos del niño</w:t>
      </w:r>
      <w:r w:rsidRPr="00643722">
        <w:rPr>
          <w:lang w:val="es-US"/>
        </w:rPr>
        <w:t>, párr. 54.</w:t>
      </w:r>
    </w:p>
  </w:footnote>
  <w:footnote w:id="142">
    <w:p w14:paraId="2A95DDD3" w14:textId="77777777" w:rsidR="005F3D64" w:rsidRPr="00643722" w:rsidRDefault="005F3D64" w:rsidP="006353B9">
      <w:pPr>
        <w:pStyle w:val="FootnoteText"/>
        <w:rPr>
          <w:lang w:val="es-US"/>
        </w:rPr>
      </w:pPr>
      <w:r w:rsidRPr="00643722">
        <w:rPr>
          <w:rStyle w:val="FootnoteReference"/>
        </w:rPr>
        <w:footnoteRef/>
      </w:r>
      <w:r w:rsidRPr="00643722">
        <w:rPr>
          <w:lang w:val="es-US"/>
        </w:rPr>
        <w:t xml:space="preserve"> </w:t>
      </w:r>
      <w:r w:rsidRPr="00643722">
        <w:rPr>
          <w:lang w:val="es-CL"/>
        </w:rPr>
        <w:t xml:space="preserve">Corte IDH. </w:t>
      </w:r>
      <w:r w:rsidRPr="00643722">
        <w:rPr>
          <w:i/>
          <w:lang w:val="es-CL"/>
        </w:rPr>
        <w:t>Caso de la Masacre de las Dos Erres Vs. Guatemala</w:t>
      </w:r>
      <w:r w:rsidRPr="00643722">
        <w:rPr>
          <w:lang w:val="es-CL"/>
        </w:rPr>
        <w:t xml:space="preserve">. Excepción Preliminar, Fondo, Reparaciones y Costas. Sentencia de 24 de noviembre de 2009. Series C No. 211 (Sentencia </w:t>
      </w:r>
      <w:r w:rsidRPr="00643722">
        <w:rPr>
          <w:i/>
          <w:lang w:val="es-CL"/>
        </w:rPr>
        <w:t>Masacre de las Dos Erres</w:t>
      </w:r>
      <w:r w:rsidRPr="00643722">
        <w:rPr>
          <w:lang w:val="es-CL"/>
        </w:rPr>
        <w:t>), párr.</w:t>
      </w:r>
      <w:r w:rsidRPr="00643722">
        <w:rPr>
          <w:lang w:val="es-US"/>
        </w:rPr>
        <w:t xml:space="preserve"> 184.</w:t>
      </w:r>
    </w:p>
  </w:footnote>
  <w:footnote w:id="143">
    <w:p w14:paraId="526BB86D" w14:textId="77777777" w:rsidR="005F3D64" w:rsidRPr="00643722" w:rsidRDefault="005F3D64" w:rsidP="00431AE0">
      <w:pPr>
        <w:pStyle w:val="FootnoteText"/>
        <w:tabs>
          <w:tab w:val="left" w:pos="567"/>
        </w:tabs>
        <w:contextualSpacing/>
        <w:rPr>
          <w:rFonts w:cs="Vrinda"/>
          <w:spacing w:val="-4"/>
          <w:lang w:val="es-CO"/>
        </w:rPr>
      </w:pPr>
      <w:r w:rsidRPr="00643722">
        <w:rPr>
          <w:rStyle w:val="FootnoteReference"/>
          <w:rFonts w:cs="Vrinda"/>
          <w:spacing w:val="-4"/>
        </w:rPr>
        <w:footnoteRef/>
      </w:r>
      <w:r w:rsidRPr="00643722">
        <w:rPr>
          <w:rFonts w:cs="Vrinda"/>
          <w:spacing w:val="-4"/>
          <w:lang w:val="es-GT"/>
        </w:rPr>
        <w:t xml:space="preserve"> Corte IDH. Sentencia </w:t>
      </w:r>
      <w:r w:rsidRPr="00643722">
        <w:rPr>
          <w:rFonts w:cs="Verdana"/>
          <w:bCs/>
          <w:i/>
          <w:lang w:val="es-CO"/>
        </w:rPr>
        <w:t>Espinoza Gonzáles</w:t>
      </w:r>
      <w:r w:rsidRPr="00643722">
        <w:rPr>
          <w:rFonts w:cs="Verdana"/>
          <w:bCs/>
          <w:lang w:val="es-CO"/>
        </w:rPr>
        <w:t>, p</w:t>
      </w:r>
      <w:r w:rsidRPr="00643722">
        <w:rPr>
          <w:lang w:val="es-ES_tradnl"/>
        </w:rPr>
        <w:t xml:space="preserve">árr. </w:t>
      </w:r>
      <w:r w:rsidRPr="00643722">
        <w:rPr>
          <w:rFonts w:cs="Vrinda"/>
          <w:spacing w:val="-4"/>
          <w:lang w:val="es-GT"/>
        </w:rPr>
        <w:t xml:space="preserve">221. </w:t>
      </w:r>
    </w:p>
  </w:footnote>
  <w:footnote w:id="144">
    <w:p w14:paraId="098F0019" w14:textId="77777777" w:rsidR="005F3D64" w:rsidRPr="00643722" w:rsidRDefault="005F3D64" w:rsidP="00A613D7">
      <w:pPr>
        <w:pStyle w:val="FootnoteText"/>
        <w:rPr>
          <w:lang w:val="es-US"/>
        </w:rPr>
      </w:pPr>
      <w:r w:rsidRPr="00643722">
        <w:rPr>
          <w:rStyle w:val="FootnoteReference"/>
        </w:rPr>
        <w:footnoteRef/>
      </w:r>
      <w:r w:rsidRPr="00643722">
        <w:rPr>
          <w:lang w:val="es-US"/>
        </w:rPr>
        <w:t xml:space="preserve"> Ratificada por Bolivia el 5 de diciembre de 1994.</w:t>
      </w:r>
    </w:p>
  </w:footnote>
  <w:footnote w:id="145">
    <w:p w14:paraId="4E037208" w14:textId="77777777" w:rsidR="005F3D64" w:rsidRPr="00643722" w:rsidRDefault="005F3D64">
      <w:pPr>
        <w:pStyle w:val="FootnoteText"/>
        <w:rPr>
          <w:lang w:val="pt-BR"/>
        </w:rPr>
      </w:pPr>
      <w:r w:rsidRPr="00643722">
        <w:rPr>
          <w:rStyle w:val="FootnoteReference"/>
        </w:rPr>
        <w:footnoteRef/>
      </w:r>
      <w:r w:rsidRPr="00643722">
        <w:rPr>
          <w:lang w:val="es-US"/>
        </w:rPr>
        <w:t xml:space="preserve"> Corte IDH. </w:t>
      </w:r>
      <w:r w:rsidRPr="00643722">
        <w:rPr>
          <w:bCs/>
          <w:lang w:val="es-ES"/>
        </w:rPr>
        <w:t xml:space="preserve">Sentencia </w:t>
      </w:r>
      <w:r w:rsidRPr="00643722">
        <w:rPr>
          <w:bCs/>
          <w:i/>
          <w:lang w:val="es-ES"/>
        </w:rPr>
        <w:t>Espinoza Gonzáles</w:t>
      </w:r>
      <w:r w:rsidRPr="00643722">
        <w:rPr>
          <w:bCs/>
          <w:lang w:val="es-ES"/>
        </w:rPr>
        <w:t xml:space="preserve">, </w:t>
      </w:r>
      <w:r w:rsidRPr="00643722">
        <w:rPr>
          <w:lang w:val="es-ES"/>
        </w:rPr>
        <w:t xml:space="preserve">párr. </w:t>
      </w:r>
      <w:r w:rsidRPr="00643722">
        <w:rPr>
          <w:lang w:val="pt-BR"/>
        </w:rPr>
        <w:t>190.</w:t>
      </w:r>
    </w:p>
  </w:footnote>
  <w:footnote w:id="146">
    <w:p w14:paraId="753A8A86" w14:textId="77777777" w:rsidR="005F3D64" w:rsidRPr="00643722" w:rsidRDefault="005F3D64" w:rsidP="00457AEC">
      <w:pPr>
        <w:pStyle w:val="FootnoteText"/>
        <w:rPr>
          <w:lang w:val="pt-BR"/>
        </w:rPr>
      </w:pPr>
      <w:r w:rsidRPr="00643722">
        <w:rPr>
          <w:rStyle w:val="FootnoteReference"/>
        </w:rPr>
        <w:footnoteRef/>
      </w:r>
      <w:r w:rsidRPr="00643722">
        <w:rPr>
          <w:lang w:val="pt-BR"/>
        </w:rPr>
        <w:t xml:space="preserve"> Corte IDH. </w:t>
      </w:r>
      <w:r w:rsidRPr="00643722">
        <w:rPr>
          <w:bCs/>
          <w:lang w:val="pt-BR"/>
        </w:rPr>
        <w:t xml:space="preserve">Sentencia </w:t>
      </w:r>
      <w:r w:rsidRPr="00643722">
        <w:rPr>
          <w:bCs/>
          <w:i/>
          <w:lang w:val="pt-BR"/>
        </w:rPr>
        <w:t>Penal Miguel Castro Castro</w:t>
      </w:r>
      <w:r w:rsidRPr="00643722">
        <w:rPr>
          <w:bCs/>
          <w:lang w:val="pt-BR"/>
        </w:rPr>
        <w:t>, párr. 303.</w:t>
      </w:r>
    </w:p>
  </w:footnote>
  <w:footnote w:id="147">
    <w:p w14:paraId="61E12CEA" w14:textId="77777777" w:rsidR="005F3D64" w:rsidRPr="00643722" w:rsidRDefault="005F3D64">
      <w:pPr>
        <w:pStyle w:val="FootnoteText"/>
        <w:rPr>
          <w:lang w:val="pt-BR"/>
        </w:rPr>
      </w:pPr>
      <w:r w:rsidRPr="00643722">
        <w:rPr>
          <w:rStyle w:val="FootnoteReference"/>
        </w:rPr>
        <w:footnoteRef/>
      </w:r>
      <w:r w:rsidRPr="00643722">
        <w:rPr>
          <w:lang w:val="pt-BR"/>
        </w:rPr>
        <w:t xml:space="preserve"> Corte IDH. </w:t>
      </w:r>
      <w:r w:rsidRPr="00643722">
        <w:rPr>
          <w:bCs/>
          <w:lang w:val="pt-BR"/>
        </w:rPr>
        <w:t xml:space="preserve">Sentencia </w:t>
      </w:r>
      <w:r w:rsidRPr="00643722">
        <w:rPr>
          <w:bCs/>
          <w:i/>
          <w:lang w:val="pt-BR"/>
        </w:rPr>
        <w:t>Penal Miguel Castro Castro</w:t>
      </w:r>
      <w:r w:rsidRPr="00643722">
        <w:rPr>
          <w:bCs/>
          <w:lang w:val="pt-BR"/>
        </w:rPr>
        <w:t>, párr. 306.</w:t>
      </w:r>
    </w:p>
  </w:footnote>
  <w:footnote w:id="148">
    <w:p w14:paraId="1684FF20" w14:textId="77777777" w:rsidR="005F3D64" w:rsidRPr="00643722" w:rsidRDefault="005F3D64">
      <w:pPr>
        <w:pStyle w:val="FootnoteText"/>
        <w:rPr>
          <w:lang w:val="es-US"/>
        </w:rPr>
      </w:pPr>
      <w:r w:rsidRPr="00643722">
        <w:rPr>
          <w:rStyle w:val="FootnoteReference"/>
        </w:rPr>
        <w:footnoteRef/>
      </w:r>
      <w:r w:rsidRPr="00643722">
        <w:rPr>
          <w:lang w:val="pt-BR"/>
        </w:rPr>
        <w:t xml:space="preserve"> Corte IDH. </w:t>
      </w:r>
      <w:r w:rsidRPr="00643722">
        <w:rPr>
          <w:bCs/>
          <w:lang w:val="pt-BR"/>
        </w:rPr>
        <w:t xml:space="preserve">Sentencia </w:t>
      </w:r>
      <w:r w:rsidRPr="00643722">
        <w:rPr>
          <w:bCs/>
          <w:i/>
          <w:lang w:val="pt-BR"/>
        </w:rPr>
        <w:t>Penal Miguel Castro Castro</w:t>
      </w:r>
      <w:r w:rsidRPr="00643722">
        <w:rPr>
          <w:bCs/>
          <w:lang w:val="pt-BR"/>
        </w:rPr>
        <w:t xml:space="preserve">, párr. </w:t>
      </w:r>
      <w:r w:rsidRPr="00643722">
        <w:rPr>
          <w:bCs/>
          <w:lang w:val="es-ES"/>
        </w:rPr>
        <w:t xml:space="preserve">306; Sentencia </w:t>
      </w:r>
      <w:r w:rsidRPr="00643722">
        <w:rPr>
          <w:bCs/>
          <w:i/>
          <w:lang w:val="es-ES"/>
        </w:rPr>
        <w:t>Espinoza Gonzáles</w:t>
      </w:r>
      <w:r w:rsidRPr="00643722">
        <w:rPr>
          <w:bCs/>
          <w:lang w:val="es-ES"/>
        </w:rPr>
        <w:t xml:space="preserve">, </w:t>
      </w:r>
      <w:r w:rsidRPr="00643722">
        <w:rPr>
          <w:lang w:val="es-ES"/>
        </w:rPr>
        <w:t xml:space="preserve">párr. </w:t>
      </w:r>
      <w:r w:rsidRPr="00643722">
        <w:rPr>
          <w:lang w:val="es-US"/>
        </w:rPr>
        <w:t>191.</w:t>
      </w:r>
    </w:p>
  </w:footnote>
  <w:footnote w:id="149">
    <w:p w14:paraId="073C3A9B"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Blas Valencia Campos, Norma Lupe Alarcón de Valencia, Edwin Rodríguez Alarcón, Claudia Valencia Alarcón, Gabriel Valencia Alarcón, Alexis Valencia Alarcón (de 11 años de edad), Claudio Valencia (de 3 años de edad), </w:t>
      </w:r>
      <w:r w:rsidRPr="00643722">
        <w:rPr>
          <w:lang w:val="es-US"/>
        </w:rPr>
        <w:t>Elacio Peña Córdoba</w:t>
      </w:r>
      <w:r w:rsidRPr="00643722">
        <w:rPr>
          <w:lang w:val="es-ES_tradnl"/>
        </w:rPr>
        <w:t xml:space="preserve">, Víctor Manuel Boggiano Bruzon (Juan Ramírez Ortega), </w:t>
      </w:r>
      <w:r w:rsidRPr="00643722">
        <w:rPr>
          <w:lang w:val="es-US"/>
        </w:rPr>
        <w:t>Genaro Ahuacho Luna (Walter Herrera Flores), Alfredo Bazán la Rosas (José Miguel Abildo Díaz), Mercedes Valencia Chuquimia, Mauricio Valenzuela Valencia (de 15 años de edad), Oswaldo Lulleman Antezana, Raúl Oswaldo Lulleman Gutiérrez, Victoria Gutiérrez de Lulleman, Paola Lulleman de Zaconeta, Luis F. Lulleman Gutiérrez, Julia Mamanu Mamani, Francis Elida Primentela Merino, Carlos Eladio Cruz Añez y Carlos Enrique Castro Ramírez.</w:t>
      </w:r>
    </w:p>
  </w:footnote>
  <w:footnote w:id="150">
    <w:p w14:paraId="2CA106D4"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Blas Valencia Campos, Norma Lupe Alarcón de Valencia, Claudia Valencia Alarcón, </w:t>
      </w:r>
      <w:r w:rsidRPr="00643722">
        <w:rPr>
          <w:lang w:val="es-US"/>
        </w:rPr>
        <w:t>Elacio Peña Córdoba</w:t>
      </w:r>
      <w:r w:rsidRPr="00643722">
        <w:rPr>
          <w:lang w:val="es-ES_tradnl"/>
        </w:rPr>
        <w:t xml:space="preserve">, Víctor Manuel Boggiano Bruzon (Juan Ramírez Ortega), </w:t>
      </w:r>
      <w:r w:rsidRPr="00643722">
        <w:rPr>
          <w:lang w:val="es-US"/>
        </w:rPr>
        <w:t>Genaro Ahuacho Luna (Walter Herrera Flores), Alfredo Bazán la Rosas (José Miguel Abildo Díaz), Mercedes Valencia Chuquimia, Oswaldo Lulleman Antezana, Raúl Oswaldo Lulleman Gutiérrez, Victoria Gutiérrez de Lulleman, Francis Elida Primentela Merino, Carlos Eladio Cruz Añez, Carlos Enrique Castro Ramírez, Freddy Cáceres Castro y Patricia Catalina Gallardo Arduz.</w:t>
      </w:r>
    </w:p>
  </w:footnote>
  <w:footnote w:id="151">
    <w:p w14:paraId="388FC789" w14:textId="77777777" w:rsidR="005F3D64" w:rsidRPr="00643722" w:rsidRDefault="005F3D64">
      <w:pPr>
        <w:pStyle w:val="FootnoteText"/>
        <w:rPr>
          <w:lang w:val="es-US"/>
        </w:rPr>
      </w:pPr>
      <w:r w:rsidRPr="00643722">
        <w:rPr>
          <w:rStyle w:val="FootnoteReference"/>
        </w:rPr>
        <w:footnoteRef/>
      </w:r>
      <w:r w:rsidRPr="00643722">
        <w:rPr>
          <w:lang w:val="es-US"/>
        </w:rPr>
        <w:t xml:space="preserve"> Blas Valencia Campos, Oswaldo Lulleman Antezana, Carlos Eladio Cruz Añez, Carlos Enrique Castro Ramírez, Elacio Peña Córdoba, Víctor Manuel Boggiano Bruzon (Juan Ramirez Ortega), Genaro Ahuacho Luna (Walter Herrera Ríos) y Alfredo Bazán la Rosas (José Miguel Albidio Diaz).</w:t>
      </w:r>
    </w:p>
  </w:footnote>
  <w:footnote w:id="152">
    <w:p w14:paraId="7EE6A869"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Norma Lupe Alarcón de Valencia, Claudia Valencia Alarcón, </w:t>
      </w:r>
      <w:r w:rsidRPr="00643722">
        <w:rPr>
          <w:lang w:val="es-US"/>
        </w:rPr>
        <w:t>Mercedes Valencia Chuquimia, Victoria Gutiérrez de Lulleman, Paola Lulleman de Zaconeta, Julia Mamanu Mamani, Francis Elida Primentela Merino y Patricia Catalina Gallardo Arduz.</w:t>
      </w:r>
    </w:p>
  </w:footnote>
  <w:footnote w:id="153">
    <w:p w14:paraId="71D7B595" w14:textId="77777777" w:rsidR="005F3D64" w:rsidRPr="00643722" w:rsidRDefault="005F3D64" w:rsidP="00500B94">
      <w:pPr>
        <w:pStyle w:val="FootnoteText"/>
        <w:rPr>
          <w:lang w:val="es-ES"/>
        </w:rPr>
      </w:pPr>
      <w:r w:rsidRPr="00643722">
        <w:rPr>
          <w:rStyle w:val="FootnoteReference"/>
        </w:rPr>
        <w:footnoteRef/>
      </w:r>
      <w:r w:rsidRPr="00643722">
        <w:rPr>
          <w:lang w:val="es-ES"/>
        </w:rPr>
        <w:t xml:space="preserve"> </w:t>
      </w:r>
      <w:r w:rsidRPr="00643722">
        <w:rPr>
          <w:lang w:val="es-US"/>
        </w:rPr>
        <w:t>El artículo 8 de la Convención Americana establece, en lo pertinente, lo siguiente: “</w:t>
      </w:r>
      <w:r w:rsidRPr="00643722">
        <w:rPr>
          <w:bCs/>
          <w:lang w:val="es-ES"/>
        </w:rPr>
        <w:t xml:space="preserve">Artículo 8.  Garantías Judiciales. </w:t>
      </w:r>
      <w:r w:rsidRPr="00643722">
        <w:rPr>
          <w:lang w:val="es-ES"/>
        </w:rPr>
        <w:t xml:space="preserve">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r w:rsidRPr="00643722">
        <w:rPr>
          <w:lang w:val="es-US"/>
        </w:rPr>
        <w:t>2. Toda persona inculpada de delito tiene derecho a que se presuma su inocencia mientras no se establezca legalmente su culpabilidad. […]”</w:t>
      </w:r>
      <w:r w:rsidRPr="00643722">
        <w:rPr>
          <w:lang w:val="es-ES"/>
        </w:rPr>
        <w:t>.</w:t>
      </w:r>
    </w:p>
  </w:footnote>
  <w:footnote w:id="154">
    <w:p w14:paraId="7B5E15A1" w14:textId="77777777" w:rsidR="005F3D64" w:rsidRPr="00643722" w:rsidRDefault="005F3D64" w:rsidP="00500B94">
      <w:pPr>
        <w:pStyle w:val="FootnoteText"/>
        <w:rPr>
          <w:lang w:val="es-ES"/>
        </w:rPr>
      </w:pPr>
      <w:r w:rsidRPr="00643722">
        <w:rPr>
          <w:rStyle w:val="FootnoteReference"/>
        </w:rPr>
        <w:footnoteRef/>
      </w:r>
      <w:r w:rsidRPr="00643722">
        <w:rPr>
          <w:lang w:val="es-ES"/>
        </w:rPr>
        <w:t xml:space="preserve"> </w:t>
      </w:r>
      <w:r w:rsidRPr="00643722">
        <w:rPr>
          <w:lang w:val="es-US"/>
        </w:rPr>
        <w:t>El artículo 25 párrafo 1 de la Convención Americana establece, en lo pertinente, lo siguiente: “</w:t>
      </w:r>
      <w:r w:rsidRPr="00643722">
        <w:rPr>
          <w:bCs/>
          <w:lang w:val="es-ES"/>
        </w:rPr>
        <w:t xml:space="preserve">Artículo 25.  Protección Judicial. </w:t>
      </w:r>
      <w:r w:rsidRPr="00643722">
        <w:rPr>
          <w:lang w:val="es-ES"/>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55">
    <w:p w14:paraId="6370AF1B" w14:textId="77777777" w:rsidR="005F3D64" w:rsidRPr="00643722" w:rsidRDefault="005F3D64" w:rsidP="002D7742">
      <w:pPr>
        <w:pStyle w:val="FootnoteText"/>
        <w:rPr>
          <w:lang w:val="es-ES"/>
        </w:rPr>
      </w:pPr>
      <w:r w:rsidRPr="00643722">
        <w:rPr>
          <w:rStyle w:val="FootnoteReference"/>
        </w:rPr>
        <w:footnoteRef/>
      </w:r>
      <w:r w:rsidRPr="00643722">
        <w:rPr>
          <w:lang w:val="es-ES"/>
        </w:rPr>
        <w:t xml:space="preserve"> La Convención Interamericana para Prevenir y Sancionar la Tortura establece, en lo pertinente, lo siguiente: “Artículo 1. Los Estados partes se obligan a prevenir y a sancionar la tortura en los términos de la presente Convención. […] Artículo 6. De conformidad con lo dispuesto en el artículo 1, los Estados partes tomarán medidas efectivas para prevenir y sancionar la tortura en el ámbito de su jurisdicción.</w:t>
      </w:r>
    </w:p>
    <w:p w14:paraId="74FA951E" w14:textId="77777777" w:rsidR="005F3D64" w:rsidRPr="00643722" w:rsidRDefault="005F3D64" w:rsidP="004B4B5E">
      <w:pPr>
        <w:pStyle w:val="FootnoteText"/>
        <w:rPr>
          <w:lang w:val="es-ES"/>
        </w:rPr>
      </w:pPr>
      <w:r w:rsidRPr="00643722">
        <w:rPr>
          <w:lang w:val="es-ES"/>
        </w:rPr>
        <w:t xml:space="preserve">Los Estados partes se asegurarán de que todos los actos de tortura y los intentos de cometer tales actos constituyan delitos conforme a su derecho penal, estableciendo para castigarlos sanciones severas que tengan en cuenta su gravedad. Igualmente, los Estados partes tomarán medidas efectivas para prevenir y sancionar, además, otros tratos o penas crueles, inhumanos o degradantes en el ámbito de su jurisdicción. […] Artículo 8. Los Estados partes garantizarán a toda persona que denuncie haber sido sometida a tortura en el ámbito de su jurisdicción el derecho a que el caso sea examinado imparcialmente. 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 Una vez agotado el ordenamiento jurídico interno del respectivo Estado y los recursos que éste prevé, el caso podrá ser sometido a instancias internacionales cuya competencia haya sido aceptada por ese Estado.” El </w:t>
      </w:r>
      <w:r w:rsidRPr="00643722">
        <w:rPr>
          <w:lang w:val="es-VE"/>
        </w:rPr>
        <w:t>Estado Plurinacional de Bolivia depositó el instrumento de ratificación de dicha Convención el 21 de noviembre de 2006.</w:t>
      </w:r>
      <w:r w:rsidRPr="00643722">
        <w:rPr>
          <w:lang w:val="es-ES"/>
        </w:rPr>
        <w:t xml:space="preserve"> </w:t>
      </w:r>
    </w:p>
  </w:footnote>
  <w:footnote w:id="156">
    <w:p w14:paraId="4C3798D5" w14:textId="77777777" w:rsidR="005F3D64" w:rsidRPr="00643722" w:rsidRDefault="005F3D64">
      <w:pPr>
        <w:pStyle w:val="FootnoteText"/>
        <w:rPr>
          <w:lang w:val="pt-BR"/>
        </w:rPr>
      </w:pPr>
      <w:r w:rsidRPr="00643722">
        <w:rPr>
          <w:rStyle w:val="FootnoteReference"/>
        </w:rPr>
        <w:footnoteRef/>
      </w:r>
      <w:r w:rsidRPr="00643722">
        <w:rPr>
          <w:lang w:val="pt-BR"/>
        </w:rPr>
        <w:t xml:space="preserve"> Corte IDH. Sentencia </w:t>
      </w:r>
      <w:r w:rsidRPr="00643722">
        <w:rPr>
          <w:i/>
          <w:lang w:val="pt-BR"/>
        </w:rPr>
        <w:t>Masacre de las Dos Erres</w:t>
      </w:r>
      <w:r w:rsidRPr="00643722">
        <w:rPr>
          <w:lang w:val="pt-BR"/>
        </w:rPr>
        <w:t xml:space="preserve">, párr. 104; </w:t>
      </w:r>
      <w:r w:rsidRPr="00643722">
        <w:rPr>
          <w:bCs/>
          <w:lang w:val="pt-BR"/>
        </w:rPr>
        <w:t xml:space="preserve">Corte IDH. </w:t>
      </w:r>
      <w:r w:rsidRPr="00643722">
        <w:rPr>
          <w:bCs/>
          <w:lang w:val="es-US"/>
        </w:rPr>
        <w:t>Caso Velásquez Rodríguez Vs. Honduras. Excepciones Preliminares. Sentencia de 26 de junio de 1987. Serie C No. 1</w:t>
      </w:r>
      <w:r w:rsidRPr="00643722">
        <w:rPr>
          <w:bCs/>
          <w:lang w:val="es-ES"/>
        </w:rPr>
        <w:t>, párr. 91;</w:t>
      </w:r>
      <w:r w:rsidRPr="00643722">
        <w:rPr>
          <w:lang w:val="es-ES_tradnl"/>
        </w:rPr>
        <w:t xml:space="preserve"> Sentencia </w:t>
      </w:r>
      <w:r w:rsidRPr="00643722">
        <w:rPr>
          <w:bCs/>
          <w:i/>
          <w:lang w:val="es-ES_tradnl"/>
        </w:rPr>
        <w:t xml:space="preserve">Zambrano Vélez y otros, </w:t>
      </w:r>
      <w:r w:rsidRPr="00643722">
        <w:rPr>
          <w:bCs/>
          <w:lang w:val="es-ES_tradnl"/>
        </w:rPr>
        <w:t>párr.</w:t>
      </w:r>
      <w:r w:rsidRPr="00643722">
        <w:rPr>
          <w:lang w:val="es-ES_tradnl"/>
        </w:rPr>
        <w:t xml:space="preserve"> </w:t>
      </w:r>
      <w:r w:rsidRPr="00643722">
        <w:rPr>
          <w:lang w:val="pt-BR"/>
        </w:rPr>
        <w:t xml:space="preserve">114; Sentencia </w:t>
      </w:r>
      <w:r w:rsidRPr="00643722">
        <w:rPr>
          <w:i/>
          <w:lang w:val="pt-BR"/>
        </w:rPr>
        <w:t>Penal Miguel Castro Castro</w:t>
      </w:r>
      <w:r w:rsidRPr="00643722">
        <w:rPr>
          <w:lang w:val="pt-BR"/>
        </w:rPr>
        <w:t>, párr. 381.</w:t>
      </w:r>
    </w:p>
  </w:footnote>
  <w:footnote w:id="157">
    <w:p w14:paraId="0BEF03D1" w14:textId="77777777" w:rsidR="005F3D64" w:rsidRPr="00643722" w:rsidRDefault="005F3D64" w:rsidP="00500B94">
      <w:pPr>
        <w:pStyle w:val="FootnoteText"/>
        <w:rPr>
          <w:lang w:val="es-ES"/>
        </w:rPr>
      </w:pPr>
      <w:r w:rsidRPr="00643722">
        <w:rPr>
          <w:rStyle w:val="FootnoteReference"/>
        </w:rPr>
        <w:footnoteRef/>
      </w:r>
      <w:r w:rsidRPr="00643722">
        <w:rPr>
          <w:lang w:val="pt-BR"/>
        </w:rPr>
        <w:t xml:space="preserve"> </w:t>
      </w:r>
      <w:r w:rsidRPr="00643722">
        <w:rPr>
          <w:bCs/>
          <w:lang w:val="pt-BR"/>
        </w:rPr>
        <w:t xml:space="preserve">Corte IDH. </w:t>
      </w:r>
      <w:r w:rsidRPr="00643722">
        <w:rPr>
          <w:bCs/>
          <w:i/>
          <w:lang w:val="pt-BR"/>
        </w:rPr>
        <w:t xml:space="preserve">Caso Kawas Fernández Vs. </w:t>
      </w:r>
      <w:r w:rsidRPr="00643722">
        <w:rPr>
          <w:bCs/>
          <w:i/>
          <w:lang w:val="es-US"/>
        </w:rPr>
        <w:t>Honduras</w:t>
      </w:r>
      <w:r w:rsidRPr="00643722">
        <w:rPr>
          <w:bCs/>
          <w:lang w:val="es-US"/>
        </w:rPr>
        <w:t xml:space="preserve">. Fondo, Reparaciones y Costas. Sentencia de 3 de abril de 2009. Serie C No. 196, párr. 101; </w:t>
      </w:r>
      <w:r w:rsidRPr="00643722">
        <w:rPr>
          <w:lang w:val="es-US"/>
        </w:rPr>
        <w:t xml:space="preserve">Sentencia </w:t>
      </w:r>
      <w:r w:rsidRPr="00643722">
        <w:rPr>
          <w:i/>
          <w:lang w:val="es-US"/>
        </w:rPr>
        <w:t>Velásquez Rodríguez</w:t>
      </w:r>
      <w:r w:rsidRPr="00643722">
        <w:rPr>
          <w:lang w:val="es-US"/>
        </w:rPr>
        <w:t xml:space="preserve">, párr. 177; </w:t>
      </w:r>
      <w:r w:rsidRPr="00643722">
        <w:rPr>
          <w:bCs/>
          <w:i/>
          <w:lang w:val="es-ES"/>
        </w:rPr>
        <w:t>Caso Heliodoro Portugal Vs. Panamá</w:t>
      </w:r>
      <w:r w:rsidRPr="00643722">
        <w:rPr>
          <w:bCs/>
          <w:lang w:val="es-ES"/>
        </w:rPr>
        <w:t>. Excepciones Preliminares, Fondo, Reparaciones y Costas. Sentencia de 12 de agosto de 2008. Serie C No. 186, párr. 144;</w:t>
      </w:r>
      <w:r w:rsidRPr="00643722">
        <w:rPr>
          <w:bCs/>
          <w:lang w:val="es-US"/>
        </w:rPr>
        <w:t xml:space="preserve"> </w:t>
      </w:r>
      <w:r w:rsidRPr="00643722">
        <w:rPr>
          <w:bCs/>
          <w:i/>
          <w:lang w:val="es-US"/>
        </w:rPr>
        <w:t>Caso Valle Jaramillo y otros Vs. Colombia</w:t>
      </w:r>
      <w:r w:rsidRPr="00643722">
        <w:rPr>
          <w:bCs/>
          <w:lang w:val="es-US"/>
        </w:rPr>
        <w:t>. Fondo, Reparaciones y Costas. Sentencia de 27 de noviembre de 2008. Serie C No. 192</w:t>
      </w:r>
      <w:r w:rsidRPr="00643722">
        <w:rPr>
          <w:noProof/>
          <w:lang w:val="es-ES"/>
        </w:rPr>
        <w:t>, párr.</w:t>
      </w:r>
      <w:r w:rsidRPr="00643722">
        <w:rPr>
          <w:lang w:val="es-ES_tradnl"/>
        </w:rPr>
        <w:t xml:space="preserve"> 100.</w:t>
      </w:r>
    </w:p>
  </w:footnote>
  <w:footnote w:id="158">
    <w:p w14:paraId="6B7213A2" w14:textId="77777777" w:rsidR="005F3D64" w:rsidRPr="00643722" w:rsidRDefault="005F3D64" w:rsidP="00500B94">
      <w:pPr>
        <w:pStyle w:val="FootnoteText"/>
        <w:rPr>
          <w:lang w:val="es-ES"/>
        </w:rPr>
      </w:pPr>
      <w:r w:rsidRPr="00643722">
        <w:rPr>
          <w:rStyle w:val="FootnoteReference"/>
        </w:rPr>
        <w:footnoteRef/>
      </w:r>
      <w:r w:rsidRPr="00643722">
        <w:rPr>
          <w:lang w:val="es-ES"/>
        </w:rPr>
        <w:t xml:space="preserve"> Corte IDH. Sentencia </w:t>
      </w:r>
      <w:r w:rsidRPr="00643722">
        <w:rPr>
          <w:i/>
          <w:lang w:val="es-ES"/>
        </w:rPr>
        <w:t>Velásquez Rodríguez</w:t>
      </w:r>
      <w:r w:rsidRPr="00643722">
        <w:rPr>
          <w:lang w:val="es-ES"/>
        </w:rPr>
        <w:t>, párr.</w:t>
      </w:r>
      <w:r w:rsidRPr="00643722">
        <w:rPr>
          <w:lang w:val="es-US"/>
        </w:rPr>
        <w:t xml:space="preserve"> 177.</w:t>
      </w:r>
    </w:p>
  </w:footnote>
  <w:footnote w:id="159">
    <w:p w14:paraId="12681C39" w14:textId="77777777" w:rsidR="005F3D64" w:rsidRPr="00643722" w:rsidRDefault="005F3D64" w:rsidP="00500B94">
      <w:pPr>
        <w:pStyle w:val="FootnoteText"/>
        <w:rPr>
          <w:lang w:val="pt-BR"/>
        </w:rPr>
      </w:pPr>
      <w:r w:rsidRPr="00643722">
        <w:rPr>
          <w:rStyle w:val="FootnoteReference"/>
        </w:rPr>
        <w:footnoteRef/>
      </w:r>
      <w:r w:rsidRPr="00643722">
        <w:rPr>
          <w:lang w:val="es-ES"/>
        </w:rPr>
        <w:t xml:space="preserve"> </w:t>
      </w:r>
      <w:r w:rsidRPr="00643722">
        <w:rPr>
          <w:bCs/>
          <w:lang w:val="es-ES"/>
        </w:rPr>
        <w:t xml:space="preserve">Corte IDH. </w:t>
      </w:r>
      <w:r w:rsidRPr="00643722">
        <w:rPr>
          <w:bCs/>
          <w:i/>
          <w:lang w:val="es-ES"/>
        </w:rPr>
        <w:t>Caso García Prieto y otro Vs. El Salvador</w:t>
      </w:r>
      <w:r w:rsidRPr="00643722">
        <w:rPr>
          <w:bCs/>
          <w:lang w:val="es-ES"/>
        </w:rPr>
        <w:t xml:space="preserve">. Excepciones Preliminares, Fondo, Reparaciones y Costas. </w:t>
      </w:r>
      <w:r w:rsidRPr="00643722">
        <w:rPr>
          <w:bCs/>
          <w:lang w:val="pt-BR"/>
        </w:rPr>
        <w:t>Sentencia de 20 de noviembre de 2007. Serie C No. 168, párr. 101.</w:t>
      </w:r>
    </w:p>
  </w:footnote>
  <w:footnote w:id="160">
    <w:p w14:paraId="3F0F7F9D" w14:textId="77777777" w:rsidR="005F3D64" w:rsidRPr="00643722" w:rsidRDefault="005F3D64" w:rsidP="00B05650">
      <w:pPr>
        <w:pStyle w:val="FootnoteText"/>
        <w:rPr>
          <w:lang w:val="pt-BR"/>
        </w:rPr>
      </w:pPr>
      <w:r w:rsidRPr="00643722">
        <w:rPr>
          <w:rStyle w:val="FootnoteReference"/>
        </w:rPr>
        <w:footnoteRef/>
      </w:r>
      <w:r w:rsidRPr="00643722">
        <w:rPr>
          <w:lang w:val="pt-BR"/>
        </w:rPr>
        <w:t xml:space="preserve"> Corte IDH. </w:t>
      </w:r>
      <w:r w:rsidRPr="00643722">
        <w:rPr>
          <w:bCs/>
          <w:lang w:val="pt-BR"/>
        </w:rPr>
        <w:t xml:space="preserve">Sentencia </w:t>
      </w:r>
      <w:r w:rsidRPr="00643722">
        <w:rPr>
          <w:bCs/>
          <w:i/>
          <w:lang w:val="pt-BR"/>
        </w:rPr>
        <w:t>Maritza Urrutia</w:t>
      </w:r>
      <w:r w:rsidRPr="00643722">
        <w:rPr>
          <w:bCs/>
          <w:lang w:val="pt-BR"/>
        </w:rPr>
        <w:t>, párr. 127.</w:t>
      </w:r>
    </w:p>
  </w:footnote>
  <w:footnote w:id="161">
    <w:p w14:paraId="509F79C2" w14:textId="77777777" w:rsidR="005F3D64" w:rsidRPr="00643722" w:rsidRDefault="005F3D64" w:rsidP="00D25E90">
      <w:pPr>
        <w:pStyle w:val="FootnoteText"/>
        <w:rPr>
          <w:bCs/>
          <w:lang w:val="es-US"/>
        </w:rPr>
      </w:pPr>
      <w:r w:rsidRPr="00643722">
        <w:rPr>
          <w:rStyle w:val="FootnoteReference"/>
        </w:rPr>
        <w:footnoteRef/>
      </w:r>
      <w:r w:rsidRPr="00643722">
        <w:rPr>
          <w:lang w:val="pt-BR"/>
        </w:rPr>
        <w:t xml:space="preserve"> </w:t>
      </w:r>
      <w:r w:rsidRPr="00643722">
        <w:rPr>
          <w:bCs/>
          <w:lang w:val="pt-BR"/>
        </w:rPr>
        <w:t xml:space="preserve">Corte IDH. </w:t>
      </w:r>
      <w:r w:rsidRPr="00643722">
        <w:rPr>
          <w:bCs/>
          <w:i/>
          <w:lang w:val="es-CO"/>
        </w:rPr>
        <w:t xml:space="preserve">Caso Gutiérrez Soler Vs. </w:t>
      </w:r>
      <w:r w:rsidRPr="00643722">
        <w:rPr>
          <w:bCs/>
          <w:i/>
          <w:lang w:val="es-US"/>
        </w:rPr>
        <w:t xml:space="preserve">Colombia. </w:t>
      </w:r>
      <w:r w:rsidRPr="00643722">
        <w:rPr>
          <w:bCs/>
          <w:lang w:val="es-US"/>
        </w:rPr>
        <w:t xml:space="preserve">Sentencia de 12 de septiembre de 2005. Serie C No. 132, párr. 54; Sentencia </w:t>
      </w:r>
      <w:r w:rsidRPr="00643722">
        <w:rPr>
          <w:bCs/>
          <w:i/>
          <w:lang w:val="es-US"/>
        </w:rPr>
        <w:t>Ticona Estrada</w:t>
      </w:r>
      <w:r w:rsidRPr="00643722">
        <w:rPr>
          <w:bCs/>
          <w:lang w:val="es-US"/>
        </w:rPr>
        <w:t xml:space="preserve">, párr 94; </w:t>
      </w:r>
      <w:r w:rsidRPr="00643722">
        <w:rPr>
          <w:bCs/>
          <w:i/>
          <w:lang w:val="es-US"/>
        </w:rPr>
        <w:t>Caso Mendoza y otros Vs. Argentina.</w:t>
      </w:r>
      <w:r w:rsidRPr="00643722">
        <w:rPr>
          <w:bCs/>
          <w:lang w:val="es-US"/>
        </w:rPr>
        <w:t xml:space="preserve"> Excepciones Preliminares, Fondo y Reparaciones. Sentencia de 14 de mayo de 2013. Serie C No. 260, párr. 234.</w:t>
      </w:r>
    </w:p>
  </w:footnote>
  <w:footnote w:id="162">
    <w:p w14:paraId="110EEB82" w14:textId="77777777" w:rsidR="005F3D64" w:rsidRPr="00643722" w:rsidRDefault="005F3D64" w:rsidP="008D4E4E">
      <w:pPr>
        <w:pStyle w:val="FootnoteText"/>
        <w:rPr>
          <w:lang w:val="es-US"/>
        </w:rPr>
      </w:pPr>
      <w:r w:rsidRPr="00643722">
        <w:rPr>
          <w:rStyle w:val="FootnoteReference"/>
        </w:rPr>
        <w:footnoteRef/>
      </w:r>
      <w:r w:rsidRPr="00643722">
        <w:rPr>
          <w:lang w:val="es-US"/>
        </w:rPr>
        <w:t xml:space="preserve"> </w:t>
      </w:r>
      <w:r w:rsidRPr="00643722">
        <w:rPr>
          <w:bCs/>
          <w:lang w:val="es-US"/>
        </w:rPr>
        <w:t xml:space="preserve">Corte IDH. Sentencia </w:t>
      </w:r>
      <w:r w:rsidRPr="00643722">
        <w:rPr>
          <w:bCs/>
          <w:i/>
          <w:lang w:val="es-US"/>
        </w:rPr>
        <w:t>Galindo Cárdenas y otros</w:t>
      </w:r>
      <w:r w:rsidRPr="00643722">
        <w:rPr>
          <w:bCs/>
          <w:lang w:val="es-US"/>
        </w:rPr>
        <w:t>, párr. 261 y nota al pie 231.</w:t>
      </w:r>
    </w:p>
  </w:footnote>
  <w:footnote w:id="163">
    <w:p w14:paraId="046DA083" w14:textId="77777777" w:rsidR="005F3D64" w:rsidRPr="00643722" w:rsidRDefault="005F3D64" w:rsidP="008D4E4E">
      <w:pPr>
        <w:pStyle w:val="FootnoteText"/>
        <w:rPr>
          <w:lang w:val="es-CO"/>
        </w:rPr>
      </w:pPr>
      <w:r w:rsidRPr="00643722">
        <w:rPr>
          <w:rStyle w:val="FootnoteReference"/>
        </w:rPr>
        <w:footnoteRef/>
      </w:r>
      <w:r w:rsidRPr="00643722">
        <w:rPr>
          <w:lang w:val="es-US"/>
        </w:rPr>
        <w:t xml:space="preserve"> </w:t>
      </w:r>
      <w:r w:rsidRPr="00643722">
        <w:rPr>
          <w:bCs/>
          <w:lang w:val="es-US"/>
        </w:rPr>
        <w:t xml:space="preserve">Corte IDH. </w:t>
      </w:r>
      <w:r w:rsidRPr="00643722">
        <w:rPr>
          <w:bCs/>
          <w:i/>
          <w:lang w:val="es-US"/>
        </w:rPr>
        <w:t>Caso Maldonado Vargas y otros Vs. Chile.</w:t>
      </w:r>
      <w:r w:rsidRPr="00643722">
        <w:rPr>
          <w:bCs/>
          <w:lang w:val="es-US"/>
        </w:rPr>
        <w:t xml:space="preserve"> Fondo, Reparaciones y Costas. Sentencia de 2 de septiembre de 2015. Serie C No. 300 (Sentencia </w:t>
      </w:r>
      <w:r w:rsidRPr="00643722">
        <w:rPr>
          <w:bCs/>
          <w:i/>
          <w:lang w:val="es-US"/>
        </w:rPr>
        <w:t>Maldonado Vargas y otros</w:t>
      </w:r>
      <w:r w:rsidRPr="00643722">
        <w:rPr>
          <w:bCs/>
          <w:lang w:val="es-US"/>
        </w:rPr>
        <w:t xml:space="preserve">), párr. </w:t>
      </w:r>
      <w:r w:rsidRPr="00643722">
        <w:rPr>
          <w:bCs/>
          <w:lang w:val="es-CO"/>
        </w:rPr>
        <w:t>86.</w:t>
      </w:r>
    </w:p>
  </w:footnote>
  <w:footnote w:id="164">
    <w:p w14:paraId="7CB38399" w14:textId="77777777" w:rsidR="005F3D64" w:rsidRPr="00643722" w:rsidRDefault="005F3D64">
      <w:pPr>
        <w:pStyle w:val="FootnoteText"/>
        <w:rPr>
          <w:lang w:val="es-US"/>
        </w:rPr>
      </w:pPr>
      <w:r w:rsidRPr="00643722">
        <w:rPr>
          <w:rStyle w:val="FootnoteReference"/>
        </w:rPr>
        <w:footnoteRef/>
      </w:r>
      <w:r w:rsidRPr="00643722">
        <w:rPr>
          <w:lang w:val="es-US"/>
        </w:rPr>
        <w:t xml:space="preserve"> Corte IDH. Sentencia </w:t>
      </w:r>
      <w:r w:rsidRPr="00643722">
        <w:rPr>
          <w:i/>
          <w:lang w:val="es-US"/>
        </w:rPr>
        <w:t>Maldonado Vargas y otros</w:t>
      </w:r>
      <w:r w:rsidRPr="00643722">
        <w:rPr>
          <w:lang w:val="es-US"/>
        </w:rPr>
        <w:t>, párr. 86.</w:t>
      </w:r>
    </w:p>
  </w:footnote>
  <w:footnote w:id="165">
    <w:p w14:paraId="0DCC85C3" w14:textId="77777777" w:rsidR="005F3D64" w:rsidRPr="00643722" w:rsidRDefault="005F3D64" w:rsidP="00F932BE">
      <w:pPr>
        <w:pStyle w:val="FootnoteText"/>
        <w:rPr>
          <w:lang w:val="es-US"/>
        </w:rPr>
      </w:pPr>
      <w:r w:rsidRPr="00643722">
        <w:rPr>
          <w:rStyle w:val="FootnoteReference"/>
        </w:rPr>
        <w:footnoteRef/>
      </w:r>
      <w:r w:rsidRPr="00643722">
        <w:rPr>
          <w:lang w:val="es-US"/>
        </w:rPr>
        <w:t xml:space="preserve"> </w:t>
      </w:r>
      <w:r w:rsidRPr="00643722">
        <w:rPr>
          <w:bCs/>
          <w:lang w:val="es-US"/>
        </w:rPr>
        <w:t>Corte IDH</w:t>
      </w:r>
      <w:r w:rsidRPr="00643722">
        <w:rPr>
          <w:bCs/>
          <w:i/>
          <w:lang w:val="es-US"/>
        </w:rPr>
        <w:t xml:space="preserve">. Caso Lori Berenson Mejía Vs. Perú. </w:t>
      </w:r>
      <w:r w:rsidRPr="00643722">
        <w:rPr>
          <w:bCs/>
          <w:lang w:val="es-US"/>
        </w:rPr>
        <w:t xml:space="preserve">Fondo, Reparaciones y Costas. Sentencia de 25 de noviembre de 2004. Serie C No. 119, (Sentencia </w:t>
      </w:r>
      <w:r w:rsidRPr="00643722">
        <w:rPr>
          <w:bCs/>
          <w:i/>
          <w:lang w:val="es-US"/>
        </w:rPr>
        <w:t>Lori Berenson</w:t>
      </w:r>
      <w:r w:rsidRPr="00643722">
        <w:rPr>
          <w:bCs/>
          <w:lang w:val="es-US"/>
        </w:rPr>
        <w:t>), párr. 160.</w:t>
      </w:r>
    </w:p>
  </w:footnote>
  <w:footnote w:id="166">
    <w:p w14:paraId="7A344302"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bCs/>
          <w:lang w:val="es-US"/>
        </w:rPr>
        <w:t xml:space="preserve">Corte IDH. </w:t>
      </w:r>
      <w:r w:rsidRPr="00643722">
        <w:rPr>
          <w:lang w:val="es-US"/>
        </w:rPr>
        <w:t xml:space="preserve">Sentencia </w:t>
      </w:r>
      <w:r w:rsidRPr="00643722">
        <w:rPr>
          <w:i/>
          <w:lang w:val="es-US"/>
        </w:rPr>
        <w:t>Lori Berenson</w:t>
      </w:r>
      <w:r w:rsidRPr="00643722">
        <w:rPr>
          <w:lang w:val="es-US"/>
        </w:rPr>
        <w:t>, párrs. 158-161.</w:t>
      </w:r>
    </w:p>
  </w:footnote>
  <w:footnote w:id="167">
    <w:p w14:paraId="41FB9445" w14:textId="77777777" w:rsidR="005F3D64" w:rsidRPr="00643722" w:rsidRDefault="005F3D64">
      <w:pPr>
        <w:pStyle w:val="FootnoteText"/>
        <w:rPr>
          <w:lang w:val="es-US"/>
        </w:rPr>
      </w:pPr>
      <w:r w:rsidRPr="00643722">
        <w:rPr>
          <w:rStyle w:val="FootnoteReference"/>
        </w:rPr>
        <w:footnoteRef/>
      </w:r>
      <w:r w:rsidRPr="00643722">
        <w:rPr>
          <w:lang w:val="es-US"/>
        </w:rPr>
        <w:t xml:space="preserve"> </w:t>
      </w:r>
      <w:r w:rsidRPr="00643722">
        <w:rPr>
          <w:lang w:val="es-ES_tradnl"/>
        </w:rPr>
        <w:t xml:space="preserve">Blas Valencia Campos, Norma Lupe Alarcón de Valencia, Edwin Rodríguez Alarcón, Claudia Valencia Alarcón, Gabriel Valencia Alarcón, Alexis Valencia Alarcón (de 11 años de edad), Claudio Valencia (de 3 años de edad), </w:t>
      </w:r>
      <w:r w:rsidRPr="00643722">
        <w:rPr>
          <w:lang w:val="es-US"/>
        </w:rPr>
        <w:t>Elacio Peña Córdoba</w:t>
      </w:r>
      <w:r w:rsidRPr="00643722">
        <w:rPr>
          <w:lang w:val="es-ES_tradnl"/>
        </w:rPr>
        <w:t xml:space="preserve">, Víctor Manuel Boggiano Bruzon (Juan Ramírez Ortega), </w:t>
      </w:r>
      <w:r w:rsidRPr="00643722">
        <w:rPr>
          <w:lang w:val="es-US"/>
        </w:rPr>
        <w:t>Genaro Ahuacho Luna (Walter Herrera Flores), Alfredo Bazán la Rosas (José Miguel Abildo Díaz), Mercedes Valencia Chuquimia, Mauricio Valenzuela Valencia (de 15 años de edad), Oswaldo Lulleman Antezana, Raúl Oswaldo Lulleman Gutiérrez, Victoria Gutiérrez de Lulleman, Paola Lulleman de Zaconeta, Luis F. Lulleman Gutiérrez, Julia Mamanu Mamani, Francis Elida Primentela Merino, Carlos Eladio Cruz Añez, Carlos Enrique Castro Ramírez, Alvaro Taboada Valencia, Patricia Catalina Gallardo Ardúz, María Fernanda Peña Gallardo y Freddy Cáceres Castro.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2999" w14:textId="77777777" w:rsidR="005F3D64" w:rsidRDefault="005F3D64" w:rsidP="000C19D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D9F91F9" w14:textId="77777777" w:rsidR="005F3D64" w:rsidRDefault="005F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A644" w14:textId="77777777" w:rsidR="005F3D64" w:rsidRDefault="005F3D64" w:rsidP="00A50FCF">
    <w:pPr>
      <w:pStyle w:val="Header"/>
      <w:tabs>
        <w:tab w:val="clear" w:pos="4320"/>
        <w:tab w:val="clear" w:pos="8640"/>
      </w:tabs>
      <w:jc w:val="center"/>
      <w:rPr>
        <w:sz w:val="22"/>
        <w:szCs w:val="22"/>
      </w:rPr>
    </w:pPr>
    <w:r>
      <w:rPr>
        <w:noProof/>
        <w:sz w:val="22"/>
        <w:szCs w:val="22"/>
      </w:rPr>
      <w:drawing>
        <wp:inline distT="0" distB="0" distL="0" distR="0" wp14:anchorId="078165C3" wp14:editId="0A2991EE">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9C96222" w14:textId="77777777" w:rsidR="005F3D64" w:rsidRPr="00EC7D62" w:rsidRDefault="00DC5337" w:rsidP="00A50FCF">
    <w:pPr>
      <w:pStyle w:val="Header"/>
      <w:tabs>
        <w:tab w:val="clear" w:pos="4320"/>
        <w:tab w:val="clear" w:pos="8640"/>
      </w:tabs>
      <w:jc w:val="center"/>
      <w:rPr>
        <w:sz w:val="22"/>
        <w:szCs w:val="22"/>
      </w:rPr>
    </w:pPr>
    <w:r>
      <w:rPr>
        <w:noProof/>
        <w:sz w:val="22"/>
        <w:szCs w:val="22"/>
        <w:bdr w:val="nil"/>
      </w:rPr>
      <w:pict w14:anchorId="77D011C1">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F76"/>
    <w:multiLevelType w:val="hybridMultilevel"/>
    <w:tmpl w:val="37088EFC"/>
    <w:lvl w:ilvl="0" w:tplc="AC2245F4">
      <w:start w:val="1"/>
      <w:numFmt w:val="decimal"/>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C5107"/>
    <w:multiLevelType w:val="hybridMultilevel"/>
    <w:tmpl w:val="74C66616"/>
    <w:lvl w:ilvl="0" w:tplc="BCE67EDA">
      <w:start w:val="1"/>
      <w:numFmt w:val="upperLetter"/>
      <w:pStyle w:val="Heading2"/>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A6329"/>
    <w:multiLevelType w:val="hybridMultilevel"/>
    <w:tmpl w:val="ADC4A8D2"/>
    <w:lvl w:ilvl="0" w:tplc="D59A369E">
      <w:start w:val="1"/>
      <w:numFmt w:val="decimal"/>
      <w:lvlText w:val="%1."/>
      <w:lvlJc w:val="left"/>
      <w:pPr>
        <w:ind w:left="720" w:hanging="360"/>
      </w:pPr>
      <w:rPr>
        <w:rFonts w:ascii="Cambria" w:hAnsi="Cambria" w:hint="default"/>
        <w:b w:val="0"/>
        <w:i w:val="0"/>
        <w:sz w:val="20"/>
      </w:rPr>
    </w:lvl>
    <w:lvl w:ilvl="1" w:tplc="D59A369E">
      <w:start w:val="1"/>
      <w:numFmt w:val="decimal"/>
      <w:lvlText w:val="%2."/>
      <w:lvlJc w:val="left"/>
      <w:pPr>
        <w:ind w:left="1440" w:hanging="360"/>
      </w:pPr>
      <w:rPr>
        <w:rFonts w:ascii="Cambria" w:hAnsi="Cambria" w:hint="default"/>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E66AAC"/>
    <w:multiLevelType w:val="hybridMultilevel"/>
    <w:tmpl w:val="39E695A6"/>
    <w:lvl w:ilvl="0" w:tplc="AE78BD1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2A0BA1"/>
    <w:multiLevelType w:val="hybridMultilevel"/>
    <w:tmpl w:val="5194EE92"/>
    <w:lvl w:ilvl="0" w:tplc="1534EA50">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C61D90"/>
    <w:multiLevelType w:val="hybridMultilevel"/>
    <w:tmpl w:val="416A0490"/>
    <w:lvl w:ilvl="0" w:tplc="91C6FCC8">
      <w:start w:val="1"/>
      <w:numFmt w:val="decimal"/>
      <w:lvlText w:val="%1."/>
      <w:lvlJc w:val="left"/>
      <w:pPr>
        <w:tabs>
          <w:tab w:val="num" w:pos="1080"/>
        </w:tabs>
        <w:ind w:left="1080" w:hanging="360"/>
      </w:pPr>
      <w:rPr>
        <w:rFonts w:ascii="Cambria" w:hAnsi="Cambria" w:cs="Times New Roman" w:hint="default"/>
        <w:b w:val="0"/>
        <w:i w:val="0"/>
        <w:sz w:val="20"/>
        <w:szCs w:val="20"/>
        <w:lang w:val="es-VE"/>
      </w:rPr>
    </w:lvl>
    <w:lvl w:ilvl="1" w:tplc="41189D3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E871FA"/>
    <w:multiLevelType w:val="hybridMultilevel"/>
    <w:tmpl w:val="D3E44D62"/>
    <w:lvl w:ilvl="0" w:tplc="342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A681F10"/>
    <w:multiLevelType w:val="hybridMultilevel"/>
    <w:tmpl w:val="A8D6BFA0"/>
    <w:lvl w:ilvl="0" w:tplc="E20A29CA">
      <w:start w:val="1"/>
      <w:numFmt w:val="decimal"/>
      <w:lvlText w:val="%1."/>
      <w:lvlJc w:val="left"/>
      <w:pPr>
        <w:ind w:left="1425" w:hanging="705"/>
      </w:pPr>
      <w:rPr>
        <w:rFonts w:hint="default"/>
        <w:sz w:val="20"/>
        <w:szCs w:val="20"/>
        <w:lang w:val="es-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D7D4B9D"/>
    <w:multiLevelType w:val="hybridMultilevel"/>
    <w:tmpl w:val="961E8CC4"/>
    <w:lvl w:ilvl="0" w:tplc="9E0CAF0C">
      <w:start w:val="1"/>
      <w:numFmt w:val="decimal"/>
      <w:lvlText w:val="%1."/>
      <w:lvlJc w:val="left"/>
      <w:pPr>
        <w:ind w:left="360" w:hanging="360"/>
      </w:pPr>
      <w:rPr>
        <w:rFonts w:ascii="Cambria" w:hAnsi="Cambria"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09321D"/>
    <w:multiLevelType w:val="hybridMultilevel"/>
    <w:tmpl w:val="86A25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E32DA4"/>
    <w:multiLevelType w:val="hybridMultilevel"/>
    <w:tmpl w:val="6D48BB92"/>
    <w:lvl w:ilvl="0" w:tplc="72E41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50C2010"/>
    <w:multiLevelType w:val="hybridMultilevel"/>
    <w:tmpl w:val="63EE06C6"/>
    <w:lvl w:ilvl="0" w:tplc="3FE0DB0E">
      <w:start w:val="1"/>
      <w:numFmt w:val="decimal"/>
      <w:pStyle w:val="ListParagraph"/>
      <w:lvlText w:val="%1."/>
      <w:lvlJc w:val="left"/>
      <w:pPr>
        <w:ind w:left="360" w:hanging="360"/>
      </w:pPr>
      <w:rPr>
        <w:rFonts w:ascii="Cambria" w:hAnsi="Cambria"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3873D3"/>
    <w:multiLevelType w:val="hybridMultilevel"/>
    <w:tmpl w:val="21F654D8"/>
    <w:lvl w:ilvl="0" w:tplc="D49294CA">
      <w:start w:val="1"/>
      <w:numFmt w:val="decimal"/>
      <w:lvlText w:val="%1."/>
      <w:lvlJc w:val="left"/>
      <w:pPr>
        <w:tabs>
          <w:tab w:val="num" w:pos="1287"/>
        </w:tabs>
        <w:ind w:left="747" w:firstLine="720"/>
      </w:pPr>
      <w:rPr>
        <w:rFonts w:ascii="Cambria" w:hAnsi="Cambria" w:hint="default"/>
        <w:b w:val="0"/>
        <w:i w:val="0"/>
        <w:color w:val="auto"/>
        <w:sz w:val="20"/>
        <w:szCs w:val="20"/>
      </w:rPr>
    </w:lvl>
    <w:lvl w:ilvl="1" w:tplc="68EE0C1E">
      <w:start w:val="2"/>
      <w:numFmt w:val="upperRoman"/>
      <w:lvlText w:val="%2."/>
      <w:lvlJc w:val="left"/>
      <w:pPr>
        <w:tabs>
          <w:tab w:val="num" w:pos="3087"/>
        </w:tabs>
        <w:ind w:left="3087" w:hanging="720"/>
      </w:pPr>
      <w:rPr>
        <w:rFonts w:hint="default"/>
      </w:rPr>
    </w:lvl>
    <w:lvl w:ilvl="2" w:tplc="A510F0CC">
      <w:start w:val="3"/>
      <w:numFmt w:val="decimal"/>
      <w:lvlText w:val="%3"/>
      <w:lvlJc w:val="left"/>
      <w:pPr>
        <w:tabs>
          <w:tab w:val="num" w:pos="3627"/>
        </w:tabs>
        <w:ind w:left="3627" w:hanging="360"/>
      </w:pPr>
      <w:rPr>
        <w:rFonts w:hint="default"/>
      </w:rPr>
    </w:lvl>
    <w:lvl w:ilvl="3" w:tplc="0409000F" w:tentative="1">
      <w:start w:val="1"/>
      <w:numFmt w:val="decimal"/>
      <w:lvlText w:val="%4."/>
      <w:lvlJc w:val="left"/>
      <w:pPr>
        <w:tabs>
          <w:tab w:val="num" w:pos="4167"/>
        </w:tabs>
        <w:ind w:left="4167" w:hanging="360"/>
      </w:pPr>
    </w:lvl>
    <w:lvl w:ilvl="4" w:tplc="04090019" w:tentative="1">
      <w:start w:val="1"/>
      <w:numFmt w:val="lowerLetter"/>
      <w:lvlText w:val="%5."/>
      <w:lvlJc w:val="left"/>
      <w:pPr>
        <w:tabs>
          <w:tab w:val="num" w:pos="4887"/>
        </w:tabs>
        <w:ind w:left="4887" w:hanging="360"/>
      </w:pPr>
    </w:lvl>
    <w:lvl w:ilvl="5" w:tplc="0409001B" w:tentative="1">
      <w:start w:val="1"/>
      <w:numFmt w:val="lowerRoman"/>
      <w:lvlText w:val="%6."/>
      <w:lvlJc w:val="right"/>
      <w:pPr>
        <w:tabs>
          <w:tab w:val="num" w:pos="5607"/>
        </w:tabs>
        <w:ind w:left="5607" w:hanging="180"/>
      </w:pPr>
    </w:lvl>
    <w:lvl w:ilvl="6" w:tplc="0409000F" w:tentative="1">
      <w:start w:val="1"/>
      <w:numFmt w:val="decimal"/>
      <w:lvlText w:val="%7."/>
      <w:lvlJc w:val="left"/>
      <w:pPr>
        <w:tabs>
          <w:tab w:val="num" w:pos="6327"/>
        </w:tabs>
        <w:ind w:left="6327" w:hanging="360"/>
      </w:pPr>
    </w:lvl>
    <w:lvl w:ilvl="7" w:tplc="04090019" w:tentative="1">
      <w:start w:val="1"/>
      <w:numFmt w:val="lowerLetter"/>
      <w:lvlText w:val="%8."/>
      <w:lvlJc w:val="left"/>
      <w:pPr>
        <w:tabs>
          <w:tab w:val="num" w:pos="7047"/>
        </w:tabs>
        <w:ind w:left="7047" w:hanging="360"/>
      </w:pPr>
    </w:lvl>
    <w:lvl w:ilvl="8" w:tplc="0409001B" w:tentative="1">
      <w:start w:val="1"/>
      <w:numFmt w:val="lowerRoman"/>
      <w:lvlText w:val="%9."/>
      <w:lvlJc w:val="right"/>
      <w:pPr>
        <w:tabs>
          <w:tab w:val="num" w:pos="7767"/>
        </w:tabs>
        <w:ind w:left="7767" w:hanging="180"/>
      </w:p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CC36F6"/>
    <w:multiLevelType w:val="hybridMultilevel"/>
    <w:tmpl w:val="8F0A16AA"/>
    <w:lvl w:ilvl="0" w:tplc="FC52580C">
      <w:start w:val="1"/>
      <w:numFmt w:val="decimal"/>
      <w:lvlText w:val="%1."/>
      <w:lvlJc w:val="left"/>
      <w:pPr>
        <w:tabs>
          <w:tab w:val="num" w:pos="2160"/>
        </w:tabs>
        <w:ind w:left="2160" w:hanging="1440"/>
      </w:pPr>
      <w:rPr>
        <w:rFonts w:ascii="Univers" w:hAnsi="Univers"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60"/>
  </w:num>
  <w:num w:numId="4">
    <w:abstractNumId w:val="22"/>
  </w:num>
  <w:num w:numId="5">
    <w:abstractNumId w:val="52"/>
  </w:num>
  <w:num w:numId="6">
    <w:abstractNumId w:val="29"/>
  </w:num>
  <w:num w:numId="7">
    <w:abstractNumId w:val="6"/>
  </w:num>
  <w:num w:numId="8">
    <w:abstractNumId w:val="17"/>
  </w:num>
  <w:num w:numId="9">
    <w:abstractNumId w:val="45"/>
  </w:num>
  <w:num w:numId="10">
    <w:abstractNumId w:val="1"/>
  </w:num>
  <w:num w:numId="11">
    <w:abstractNumId w:val="40"/>
  </w:num>
  <w:num w:numId="12">
    <w:abstractNumId w:val="41"/>
  </w:num>
  <w:num w:numId="13">
    <w:abstractNumId w:val="47"/>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20"/>
  </w:num>
  <w:num w:numId="27">
    <w:abstractNumId w:val="24"/>
  </w:num>
  <w:num w:numId="28">
    <w:abstractNumId w:val="25"/>
  </w:num>
  <w:num w:numId="29">
    <w:abstractNumId w:val="26"/>
  </w:num>
  <w:num w:numId="30">
    <w:abstractNumId w:val="28"/>
  </w:num>
  <w:num w:numId="31">
    <w:abstractNumId w:val="30"/>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2"/>
  </w:num>
  <w:num w:numId="40">
    <w:abstractNumId w:val="43"/>
  </w:num>
  <w:num w:numId="41">
    <w:abstractNumId w:val="50"/>
  </w:num>
  <w:num w:numId="42">
    <w:abstractNumId w:val="53"/>
  </w:num>
  <w:num w:numId="43">
    <w:abstractNumId w:val="55"/>
  </w:num>
  <w:num w:numId="44">
    <w:abstractNumId w:val="56"/>
  </w:num>
  <w:num w:numId="45">
    <w:abstractNumId w:val="59"/>
  </w:num>
  <w:num w:numId="46">
    <w:abstractNumId w:val="61"/>
  </w:num>
  <w:num w:numId="47">
    <w:abstractNumId w:val="62"/>
  </w:num>
  <w:num w:numId="48">
    <w:abstractNumId w:val="63"/>
  </w:num>
  <w:num w:numId="49">
    <w:abstractNumId w:val="64"/>
  </w:num>
  <w:num w:numId="50">
    <w:abstractNumId w:val="66"/>
  </w:num>
  <w:num w:numId="51">
    <w:abstractNumId w:val="21"/>
  </w:num>
  <w:num w:numId="52">
    <w:abstractNumId w:val="44"/>
  </w:num>
  <w:num w:numId="53">
    <w:abstractNumId w:val="48"/>
  </w:num>
  <w:num w:numId="54">
    <w:abstractNumId w:val="27"/>
  </w:num>
  <w:num w:numId="55">
    <w:abstractNumId w:val="49"/>
  </w:num>
  <w:num w:numId="56">
    <w:abstractNumId w:val="46"/>
  </w:num>
  <w:num w:numId="57">
    <w:abstractNumId w:val="57"/>
  </w:num>
  <w:num w:numId="58">
    <w:abstractNumId w:val="23"/>
    <w:lvlOverride w:ilvl="0">
      <w:startOverride w:val="1"/>
    </w:lvlOverride>
  </w:num>
  <w:num w:numId="59">
    <w:abstractNumId w:val="16"/>
  </w:num>
  <w:num w:numId="60">
    <w:abstractNumId w:val="16"/>
    <w:lvlOverride w:ilvl="0">
      <w:startOverride w:val="1"/>
    </w:lvlOverride>
  </w:num>
  <w:num w:numId="61">
    <w:abstractNumId w:val="39"/>
  </w:num>
  <w:num w:numId="62">
    <w:abstractNumId w:val="19"/>
  </w:num>
  <w:num w:numId="63">
    <w:abstractNumId w:val="51"/>
  </w:num>
  <w:num w:numId="64">
    <w:abstractNumId w:val="54"/>
  </w:num>
  <w:num w:numId="65">
    <w:abstractNumId w:val="31"/>
  </w:num>
  <w:num w:numId="66">
    <w:abstractNumId w:val="65"/>
  </w:num>
  <w:num w:numId="67">
    <w:abstractNumId w:val="57"/>
  </w:num>
  <w:num w:numId="68">
    <w:abstractNumId w:val="58"/>
  </w:num>
  <w:num w:numId="69">
    <w:abstractNumId w:val="57"/>
  </w:num>
  <w:num w:numId="70">
    <w:abstractNumId w:val="57"/>
  </w:num>
  <w:num w:numId="71">
    <w:abstractNumId w:val="57"/>
  </w:num>
  <w:num w:numId="72">
    <w:abstractNumId w:val="57"/>
  </w:num>
  <w:num w:numId="73">
    <w:abstractNumId w:val="57"/>
  </w:num>
  <w:num w:numId="74">
    <w:abstractNumId w:val="57"/>
  </w:num>
  <w:num w:numId="75">
    <w:abstractNumId w:val="0"/>
  </w:num>
  <w:num w:numId="76">
    <w:abstractNumId w:val="16"/>
  </w:num>
  <w:num w:numId="77">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501E"/>
    <w:rsid w:val="00006896"/>
    <w:rsid w:val="00006DD2"/>
    <w:rsid w:val="00006E1F"/>
    <w:rsid w:val="000070D7"/>
    <w:rsid w:val="00007604"/>
    <w:rsid w:val="0001180B"/>
    <w:rsid w:val="00015540"/>
    <w:rsid w:val="000158FD"/>
    <w:rsid w:val="00016CF5"/>
    <w:rsid w:val="0001788C"/>
    <w:rsid w:val="0002223E"/>
    <w:rsid w:val="00022C1D"/>
    <w:rsid w:val="00025DD7"/>
    <w:rsid w:val="00032034"/>
    <w:rsid w:val="0003211E"/>
    <w:rsid w:val="00034B75"/>
    <w:rsid w:val="000350D0"/>
    <w:rsid w:val="0003553F"/>
    <w:rsid w:val="00037C6D"/>
    <w:rsid w:val="00040C3A"/>
    <w:rsid w:val="000411B9"/>
    <w:rsid w:val="00042141"/>
    <w:rsid w:val="0004637B"/>
    <w:rsid w:val="00050BB2"/>
    <w:rsid w:val="00050EC3"/>
    <w:rsid w:val="0005136A"/>
    <w:rsid w:val="00053662"/>
    <w:rsid w:val="00055391"/>
    <w:rsid w:val="0006466A"/>
    <w:rsid w:val="000651AF"/>
    <w:rsid w:val="00066EA5"/>
    <w:rsid w:val="00067A5D"/>
    <w:rsid w:val="00067FE5"/>
    <w:rsid w:val="0007021D"/>
    <w:rsid w:val="000716C5"/>
    <w:rsid w:val="00073869"/>
    <w:rsid w:val="00075E23"/>
    <w:rsid w:val="0008061F"/>
    <w:rsid w:val="000825B7"/>
    <w:rsid w:val="00082E57"/>
    <w:rsid w:val="0008415E"/>
    <w:rsid w:val="00084521"/>
    <w:rsid w:val="00084A09"/>
    <w:rsid w:val="00086510"/>
    <w:rsid w:val="0008768F"/>
    <w:rsid w:val="00087ACD"/>
    <w:rsid w:val="000904A5"/>
    <w:rsid w:val="00091F6C"/>
    <w:rsid w:val="0009344A"/>
    <w:rsid w:val="00094327"/>
    <w:rsid w:val="00095DEB"/>
    <w:rsid w:val="00096C0B"/>
    <w:rsid w:val="000A1E62"/>
    <w:rsid w:val="000A2400"/>
    <w:rsid w:val="000A392E"/>
    <w:rsid w:val="000A575F"/>
    <w:rsid w:val="000A576A"/>
    <w:rsid w:val="000B1B03"/>
    <w:rsid w:val="000B2272"/>
    <w:rsid w:val="000B6CDB"/>
    <w:rsid w:val="000B77AA"/>
    <w:rsid w:val="000C19D9"/>
    <w:rsid w:val="000C558C"/>
    <w:rsid w:val="000C5A25"/>
    <w:rsid w:val="000D06D9"/>
    <w:rsid w:val="000D09C4"/>
    <w:rsid w:val="000D10DB"/>
    <w:rsid w:val="000D27C5"/>
    <w:rsid w:val="000D2E67"/>
    <w:rsid w:val="000D5A42"/>
    <w:rsid w:val="000E0448"/>
    <w:rsid w:val="000E11AF"/>
    <w:rsid w:val="000E2999"/>
    <w:rsid w:val="000E3E49"/>
    <w:rsid w:val="000E4B76"/>
    <w:rsid w:val="000E58EE"/>
    <w:rsid w:val="000E5EB5"/>
    <w:rsid w:val="000E7E90"/>
    <w:rsid w:val="000F0A1E"/>
    <w:rsid w:val="000F35ED"/>
    <w:rsid w:val="00103A6C"/>
    <w:rsid w:val="00104229"/>
    <w:rsid w:val="00106B7B"/>
    <w:rsid w:val="00106C7A"/>
    <w:rsid w:val="00107131"/>
    <w:rsid w:val="0010736F"/>
    <w:rsid w:val="0011380E"/>
    <w:rsid w:val="00113F73"/>
    <w:rsid w:val="001142B0"/>
    <w:rsid w:val="00121CC2"/>
    <w:rsid w:val="00121D63"/>
    <w:rsid w:val="0012289E"/>
    <w:rsid w:val="00131FD6"/>
    <w:rsid w:val="00132978"/>
    <w:rsid w:val="00132CEB"/>
    <w:rsid w:val="00133EE5"/>
    <w:rsid w:val="001349CC"/>
    <w:rsid w:val="0014006E"/>
    <w:rsid w:val="00142A18"/>
    <w:rsid w:val="00143165"/>
    <w:rsid w:val="00144470"/>
    <w:rsid w:val="00144BE6"/>
    <w:rsid w:val="00152CDF"/>
    <w:rsid w:val="001564E1"/>
    <w:rsid w:val="00157AE7"/>
    <w:rsid w:val="00162332"/>
    <w:rsid w:val="00162560"/>
    <w:rsid w:val="00165529"/>
    <w:rsid w:val="00165D91"/>
    <w:rsid w:val="00166189"/>
    <w:rsid w:val="00167A34"/>
    <w:rsid w:val="00170924"/>
    <w:rsid w:val="00170B1F"/>
    <w:rsid w:val="00172149"/>
    <w:rsid w:val="0017252D"/>
    <w:rsid w:val="0017268B"/>
    <w:rsid w:val="00172F6D"/>
    <w:rsid w:val="00174C6B"/>
    <w:rsid w:val="00175769"/>
    <w:rsid w:val="00181ACA"/>
    <w:rsid w:val="00181F34"/>
    <w:rsid w:val="001826CD"/>
    <w:rsid w:val="00182C08"/>
    <w:rsid w:val="001832CD"/>
    <w:rsid w:val="001873A1"/>
    <w:rsid w:val="001A1250"/>
    <w:rsid w:val="001A4D23"/>
    <w:rsid w:val="001A763F"/>
    <w:rsid w:val="001A7870"/>
    <w:rsid w:val="001A7E53"/>
    <w:rsid w:val="001B0DF9"/>
    <w:rsid w:val="001B2E2F"/>
    <w:rsid w:val="001C103F"/>
    <w:rsid w:val="001C12D2"/>
    <w:rsid w:val="001C1B41"/>
    <w:rsid w:val="001C4345"/>
    <w:rsid w:val="001C5852"/>
    <w:rsid w:val="001D18C7"/>
    <w:rsid w:val="001D4434"/>
    <w:rsid w:val="001D65EF"/>
    <w:rsid w:val="001D7534"/>
    <w:rsid w:val="001D75CE"/>
    <w:rsid w:val="001D7931"/>
    <w:rsid w:val="001E0C83"/>
    <w:rsid w:val="001E15B6"/>
    <w:rsid w:val="001E5640"/>
    <w:rsid w:val="001E6479"/>
    <w:rsid w:val="001E78F1"/>
    <w:rsid w:val="001F0A5B"/>
    <w:rsid w:val="001F2565"/>
    <w:rsid w:val="001F3FBB"/>
    <w:rsid w:val="001F461D"/>
    <w:rsid w:val="001F4C97"/>
    <w:rsid w:val="00204B61"/>
    <w:rsid w:val="00207816"/>
    <w:rsid w:val="002100C1"/>
    <w:rsid w:val="002121C4"/>
    <w:rsid w:val="00213710"/>
    <w:rsid w:val="002202CE"/>
    <w:rsid w:val="0022071C"/>
    <w:rsid w:val="0022079F"/>
    <w:rsid w:val="0022273F"/>
    <w:rsid w:val="00222DD8"/>
    <w:rsid w:val="002250A3"/>
    <w:rsid w:val="0022562D"/>
    <w:rsid w:val="00230EC7"/>
    <w:rsid w:val="00231DB6"/>
    <w:rsid w:val="00235217"/>
    <w:rsid w:val="00235BF2"/>
    <w:rsid w:val="00237482"/>
    <w:rsid w:val="00245CCA"/>
    <w:rsid w:val="00245FAA"/>
    <w:rsid w:val="00246D1F"/>
    <w:rsid w:val="00247403"/>
    <w:rsid w:val="00247542"/>
    <w:rsid w:val="00247CA0"/>
    <w:rsid w:val="00252696"/>
    <w:rsid w:val="00256B6C"/>
    <w:rsid w:val="00257B8D"/>
    <w:rsid w:val="00261BA0"/>
    <w:rsid w:val="00263389"/>
    <w:rsid w:val="00263E99"/>
    <w:rsid w:val="00266B61"/>
    <w:rsid w:val="0026712A"/>
    <w:rsid w:val="00267867"/>
    <w:rsid w:val="002704DB"/>
    <w:rsid w:val="00272A79"/>
    <w:rsid w:val="00272E75"/>
    <w:rsid w:val="0027487D"/>
    <w:rsid w:val="00276BD5"/>
    <w:rsid w:val="00276DF8"/>
    <w:rsid w:val="00276FB1"/>
    <w:rsid w:val="00277E90"/>
    <w:rsid w:val="00277EF9"/>
    <w:rsid w:val="00277F7E"/>
    <w:rsid w:val="002804A2"/>
    <w:rsid w:val="0028087A"/>
    <w:rsid w:val="00281153"/>
    <w:rsid w:val="002824D1"/>
    <w:rsid w:val="002827DD"/>
    <w:rsid w:val="00282B1F"/>
    <w:rsid w:val="00283C77"/>
    <w:rsid w:val="00286DBB"/>
    <w:rsid w:val="002870AA"/>
    <w:rsid w:val="002905F7"/>
    <w:rsid w:val="002916A2"/>
    <w:rsid w:val="002924F0"/>
    <w:rsid w:val="00293EB1"/>
    <w:rsid w:val="002A019D"/>
    <w:rsid w:val="002A0AAE"/>
    <w:rsid w:val="002A17DF"/>
    <w:rsid w:val="002A5820"/>
    <w:rsid w:val="002A6670"/>
    <w:rsid w:val="002A7A30"/>
    <w:rsid w:val="002B02E2"/>
    <w:rsid w:val="002B1BF0"/>
    <w:rsid w:val="002B2030"/>
    <w:rsid w:val="002B2354"/>
    <w:rsid w:val="002B24AA"/>
    <w:rsid w:val="002B3220"/>
    <w:rsid w:val="002B7501"/>
    <w:rsid w:val="002C0E7B"/>
    <w:rsid w:val="002C3FE1"/>
    <w:rsid w:val="002C41F6"/>
    <w:rsid w:val="002C5731"/>
    <w:rsid w:val="002C74C2"/>
    <w:rsid w:val="002C7C85"/>
    <w:rsid w:val="002D2B26"/>
    <w:rsid w:val="002D5C27"/>
    <w:rsid w:val="002D7742"/>
    <w:rsid w:val="002D7EA2"/>
    <w:rsid w:val="002E187C"/>
    <w:rsid w:val="002E4AEA"/>
    <w:rsid w:val="002E5664"/>
    <w:rsid w:val="002E5FB5"/>
    <w:rsid w:val="002E79DB"/>
    <w:rsid w:val="002F2FCF"/>
    <w:rsid w:val="002F467E"/>
    <w:rsid w:val="002F5303"/>
    <w:rsid w:val="00302733"/>
    <w:rsid w:val="00303D52"/>
    <w:rsid w:val="00307ABC"/>
    <w:rsid w:val="00307F8D"/>
    <w:rsid w:val="0031160D"/>
    <w:rsid w:val="00311C36"/>
    <w:rsid w:val="00314078"/>
    <w:rsid w:val="0031535D"/>
    <w:rsid w:val="003176D2"/>
    <w:rsid w:val="003207E7"/>
    <w:rsid w:val="003225B4"/>
    <w:rsid w:val="00322B86"/>
    <w:rsid w:val="0032317F"/>
    <w:rsid w:val="003237E1"/>
    <w:rsid w:val="003242FB"/>
    <w:rsid w:val="0032742E"/>
    <w:rsid w:val="0032793C"/>
    <w:rsid w:val="00327A3F"/>
    <w:rsid w:val="0033028D"/>
    <w:rsid w:val="0033169F"/>
    <w:rsid w:val="00335E6B"/>
    <w:rsid w:val="003362C3"/>
    <w:rsid w:val="003421CA"/>
    <w:rsid w:val="00345653"/>
    <w:rsid w:val="0034633E"/>
    <w:rsid w:val="00346C95"/>
    <w:rsid w:val="00350D39"/>
    <w:rsid w:val="00351B3D"/>
    <w:rsid w:val="00351C25"/>
    <w:rsid w:val="003521E2"/>
    <w:rsid w:val="00356185"/>
    <w:rsid w:val="00356C6A"/>
    <w:rsid w:val="003573A6"/>
    <w:rsid w:val="00357DB0"/>
    <w:rsid w:val="00360380"/>
    <w:rsid w:val="00361415"/>
    <w:rsid w:val="00361608"/>
    <w:rsid w:val="00362A1D"/>
    <w:rsid w:val="00363EA4"/>
    <w:rsid w:val="003641DB"/>
    <w:rsid w:val="00364F3E"/>
    <w:rsid w:val="00365872"/>
    <w:rsid w:val="00365B7F"/>
    <w:rsid w:val="0036663C"/>
    <w:rsid w:val="00372D08"/>
    <w:rsid w:val="00374291"/>
    <w:rsid w:val="0037519E"/>
    <w:rsid w:val="003757E4"/>
    <w:rsid w:val="00381DFA"/>
    <w:rsid w:val="003859F2"/>
    <w:rsid w:val="00386CF0"/>
    <w:rsid w:val="00387BA5"/>
    <w:rsid w:val="00391A6F"/>
    <w:rsid w:val="00392474"/>
    <w:rsid w:val="003924B6"/>
    <w:rsid w:val="00393A5A"/>
    <w:rsid w:val="00395842"/>
    <w:rsid w:val="003958BF"/>
    <w:rsid w:val="00397A97"/>
    <w:rsid w:val="003A0A9B"/>
    <w:rsid w:val="003A4F10"/>
    <w:rsid w:val="003A6D8F"/>
    <w:rsid w:val="003A7D23"/>
    <w:rsid w:val="003B0CEB"/>
    <w:rsid w:val="003B1C01"/>
    <w:rsid w:val="003C17A8"/>
    <w:rsid w:val="003C185C"/>
    <w:rsid w:val="003C3025"/>
    <w:rsid w:val="003C5636"/>
    <w:rsid w:val="003C5975"/>
    <w:rsid w:val="003C676B"/>
    <w:rsid w:val="003D1E11"/>
    <w:rsid w:val="003D1F6B"/>
    <w:rsid w:val="003D2000"/>
    <w:rsid w:val="003D3BC2"/>
    <w:rsid w:val="003D67C7"/>
    <w:rsid w:val="003D7C03"/>
    <w:rsid w:val="003E0E01"/>
    <w:rsid w:val="003E432F"/>
    <w:rsid w:val="003E6CA1"/>
    <w:rsid w:val="003E7C7B"/>
    <w:rsid w:val="003F04B8"/>
    <w:rsid w:val="003F330D"/>
    <w:rsid w:val="003F4F55"/>
    <w:rsid w:val="003F50BF"/>
    <w:rsid w:val="003F7120"/>
    <w:rsid w:val="003F7F64"/>
    <w:rsid w:val="00401218"/>
    <w:rsid w:val="00402125"/>
    <w:rsid w:val="00405E62"/>
    <w:rsid w:val="00406258"/>
    <w:rsid w:val="00406A0F"/>
    <w:rsid w:val="00407620"/>
    <w:rsid w:val="00407BCD"/>
    <w:rsid w:val="00410202"/>
    <w:rsid w:val="00411636"/>
    <w:rsid w:val="004165C2"/>
    <w:rsid w:val="00426114"/>
    <w:rsid w:val="004266BA"/>
    <w:rsid w:val="0042749E"/>
    <w:rsid w:val="00431AE0"/>
    <w:rsid w:val="00432BAF"/>
    <w:rsid w:val="00434DA4"/>
    <w:rsid w:val="00435BE5"/>
    <w:rsid w:val="00436570"/>
    <w:rsid w:val="00436E30"/>
    <w:rsid w:val="00437655"/>
    <w:rsid w:val="004405D3"/>
    <w:rsid w:val="00441ECB"/>
    <w:rsid w:val="00442F73"/>
    <w:rsid w:val="004466D0"/>
    <w:rsid w:val="00453C2C"/>
    <w:rsid w:val="0045550A"/>
    <w:rsid w:val="00457AEC"/>
    <w:rsid w:val="0046035D"/>
    <w:rsid w:val="004623B0"/>
    <w:rsid w:val="00466819"/>
    <w:rsid w:val="00466A7E"/>
    <w:rsid w:val="00466E61"/>
    <w:rsid w:val="00467B7E"/>
    <w:rsid w:val="00467D73"/>
    <w:rsid w:val="0047010B"/>
    <w:rsid w:val="004711AD"/>
    <w:rsid w:val="00471A5E"/>
    <w:rsid w:val="00474DAF"/>
    <w:rsid w:val="004755F6"/>
    <w:rsid w:val="0047577F"/>
    <w:rsid w:val="00476EE0"/>
    <w:rsid w:val="00477592"/>
    <w:rsid w:val="00477B9B"/>
    <w:rsid w:val="00482288"/>
    <w:rsid w:val="00482EC8"/>
    <w:rsid w:val="00483513"/>
    <w:rsid w:val="00486F1C"/>
    <w:rsid w:val="004936A9"/>
    <w:rsid w:val="00493CBF"/>
    <w:rsid w:val="0049419D"/>
    <w:rsid w:val="00495CB1"/>
    <w:rsid w:val="00496604"/>
    <w:rsid w:val="004A146C"/>
    <w:rsid w:val="004A3AA1"/>
    <w:rsid w:val="004A530F"/>
    <w:rsid w:val="004A696A"/>
    <w:rsid w:val="004A6A8B"/>
    <w:rsid w:val="004A7F6E"/>
    <w:rsid w:val="004B03E6"/>
    <w:rsid w:val="004B16C3"/>
    <w:rsid w:val="004B1819"/>
    <w:rsid w:val="004B4B5E"/>
    <w:rsid w:val="004B5223"/>
    <w:rsid w:val="004B70BB"/>
    <w:rsid w:val="004C1CAB"/>
    <w:rsid w:val="004C20D2"/>
    <w:rsid w:val="004C4B62"/>
    <w:rsid w:val="004C5063"/>
    <w:rsid w:val="004C54C9"/>
    <w:rsid w:val="004C790D"/>
    <w:rsid w:val="004D195F"/>
    <w:rsid w:val="004D2720"/>
    <w:rsid w:val="004D2CE9"/>
    <w:rsid w:val="004D4F15"/>
    <w:rsid w:val="004D50BF"/>
    <w:rsid w:val="004D6025"/>
    <w:rsid w:val="004D634E"/>
    <w:rsid w:val="004D6618"/>
    <w:rsid w:val="004D6CC4"/>
    <w:rsid w:val="004D6F70"/>
    <w:rsid w:val="004D7791"/>
    <w:rsid w:val="004E13C2"/>
    <w:rsid w:val="004E2649"/>
    <w:rsid w:val="004E5FB0"/>
    <w:rsid w:val="004E6F1D"/>
    <w:rsid w:val="004F0360"/>
    <w:rsid w:val="004F0CF7"/>
    <w:rsid w:val="004F41EF"/>
    <w:rsid w:val="004F47A6"/>
    <w:rsid w:val="004F520C"/>
    <w:rsid w:val="004F5719"/>
    <w:rsid w:val="004F627D"/>
    <w:rsid w:val="004F6366"/>
    <w:rsid w:val="004F6C5C"/>
    <w:rsid w:val="00500B94"/>
    <w:rsid w:val="00501399"/>
    <w:rsid w:val="00501577"/>
    <w:rsid w:val="00501AA9"/>
    <w:rsid w:val="00506073"/>
    <w:rsid w:val="0050633D"/>
    <w:rsid w:val="00506575"/>
    <w:rsid w:val="00507171"/>
    <w:rsid w:val="00507BC4"/>
    <w:rsid w:val="005102B8"/>
    <w:rsid w:val="0051063A"/>
    <w:rsid w:val="005128E4"/>
    <w:rsid w:val="005133DB"/>
    <w:rsid w:val="00513D84"/>
    <w:rsid w:val="005243B2"/>
    <w:rsid w:val="005247D6"/>
    <w:rsid w:val="00524C31"/>
    <w:rsid w:val="00525560"/>
    <w:rsid w:val="00526D89"/>
    <w:rsid w:val="00527E08"/>
    <w:rsid w:val="005324B1"/>
    <w:rsid w:val="00535212"/>
    <w:rsid w:val="005354F3"/>
    <w:rsid w:val="00535B49"/>
    <w:rsid w:val="00536923"/>
    <w:rsid w:val="00537241"/>
    <w:rsid w:val="00540BCE"/>
    <w:rsid w:val="00540DCD"/>
    <w:rsid w:val="005430CE"/>
    <w:rsid w:val="00544C49"/>
    <w:rsid w:val="005516A1"/>
    <w:rsid w:val="00553064"/>
    <w:rsid w:val="00553C5E"/>
    <w:rsid w:val="00557B97"/>
    <w:rsid w:val="005605E2"/>
    <w:rsid w:val="00563625"/>
    <w:rsid w:val="00563F2E"/>
    <w:rsid w:val="0056423D"/>
    <w:rsid w:val="00565104"/>
    <w:rsid w:val="00565744"/>
    <w:rsid w:val="00570949"/>
    <w:rsid w:val="00570AD5"/>
    <w:rsid w:val="0057365F"/>
    <w:rsid w:val="0057402A"/>
    <w:rsid w:val="00576266"/>
    <w:rsid w:val="005771D0"/>
    <w:rsid w:val="0057762E"/>
    <w:rsid w:val="00580B2D"/>
    <w:rsid w:val="0058449C"/>
    <w:rsid w:val="00585393"/>
    <w:rsid w:val="00586AD2"/>
    <w:rsid w:val="005876F0"/>
    <w:rsid w:val="00590B5F"/>
    <w:rsid w:val="0059191A"/>
    <w:rsid w:val="005921FF"/>
    <w:rsid w:val="0059253B"/>
    <w:rsid w:val="005937F1"/>
    <w:rsid w:val="00595C1D"/>
    <w:rsid w:val="00597523"/>
    <w:rsid w:val="005A4472"/>
    <w:rsid w:val="005A5D82"/>
    <w:rsid w:val="005A6D0E"/>
    <w:rsid w:val="005A6F19"/>
    <w:rsid w:val="005A71D3"/>
    <w:rsid w:val="005A78EE"/>
    <w:rsid w:val="005B0F68"/>
    <w:rsid w:val="005B1F83"/>
    <w:rsid w:val="005B50E0"/>
    <w:rsid w:val="005B52B0"/>
    <w:rsid w:val="005B5643"/>
    <w:rsid w:val="005B5A35"/>
    <w:rsid w:val="005B6806"/>
    <w:rsid w:val="005B7AB2"/>
    <w:rsid w:val="005B7C8F"/>
    <w:rsid w:val="005C1938"/>
    <w:rsid w:val="005C1942"/>
    <w:rsid w:val="005C4225"/>
    <w:rsid w:val="005C4CA5"/>
    <w:rsid w:val="005C5C9B"/>
    <w:rsid w:val="005D0DB1"/>
    <w:rsid w:val="005D24AC"/>
    <w:rsid w:val="005D3DE1"/>
    <w:rsid w:val="005E2960"/>
    <w:rsid w:val="005E2A02"/>
    <w:rsid w:val="005E57A9"/>
    <w:rsid w:val="005E589E"/>
    <w:rsid w:val="005E59FF"/>
    <w:rsid w:val="005F0DAD"/>
    <w:rsid w:val="005F0F33"/>
    <w:rsid w:val="005F309E"/>
    <w:rsid w:val="005F3160"/>
    <w:rsid w:val="005F3D64"/>
    <w:rsid w:val="00600692"/>
    <w:rsid w:val="00600DEB"/>
    <w:rsid w:val="00603A05"/>
    <w:rsid w:val="006104B0"/>
    <w:rsid w:val="006125C3"/>
    <w:rsid w:val="00613DAD"/>
    <w:rsid w:val="00615FBF"/>
    <w:rsid w:val="00616C25"/>
    <w:rsid w:val="00621AA4"/>
    <w:rsid w:val="00622105"/>
    <w:rsid w:val="00622C92"/>
    <w:rsid w:val="00627C9F"/>
    <w:rsid w:val="006311E9"/>
    <w:rsid w:val="00632354"/>
    <w:rsid w:val="006351E1"/>
    <w:rsid w:val="006353B9"/>
    <w:rsid w:val="00636377"/>
    <w:rsid w:val="00637B6A"/>
    <w:rsid w:val="0064044A"/>
    <w:rsid w:val="00641279"/>
    <w:rsid w:val="00642810"/>
    <w:rsid w:val="0064303A"/>
    <w:rsid w:val="00643722"/>
    <w:rsid w:val="00644A53"/>
    <w:rsid w:val="00645038"/>
    <w:rsid w:val="00645117"/>
    <w:rsid w:val="00645348"/>
    <w:rsid w:val="0064637C"/>
    <w:rsid w:val="00652333"/>
    <w:rsid w:val="00655B8E"/>
    <w:rsid w:val="006618B7"/>
    <w:rsid w:val="006635F2"/>
    <w:rsid w:val="0066367B"/>
    <w:rsid w:val="00663F58"/>
    <w:rsid w:val="0066584F"/>
    <w:rsid w:val="006703BE"/>
    <w:rsid w:val="00673128"/>
    <w:rsid w:val="006754EF"/>
    <w:rsid w:val="0068009E"/>
    <w:rsid w:val="006812BF"/>
    <w:rsid w:val="00681BE8"/>
    <w:rsid w:val="00682381"/>
    <w:rsid w:val="00686CB9"/>
    <w:rsid w:val="00692219"/>
    <w:rsid w:val="00694F62"/>
    <w:rsid w:val="00695096"/>
    <w:rsid w:val="006970F2"/>
    <w:rsid w:val="006A0C89"/>
    <w:rsid w:val="006A17D2"/>
    <w:rsid w:val="006A4B39"/>
    <w:rsid w:val="006A5414"/>
    <w:rsid w:val="006A548C"/>
    <w:rsid w:val="006A73E6"/>
    <w:rsid w:val="006B011A"/>
    <w:rsid w:val="006B0835"/>
    <w:rsid w:val="006B2D5C"/>
    <w:rsid w:val="006B3692"/>
    <w:rsid w:val="006B48F5"/>
    <w:rsid w:val="006B4D40"/>
    <w:rsid w:val="006B5E2F"/>
    <w:rsid w:val="006B603C"/>
    <w:rsid w:val="006C0FEF"/>
    <w:rsid w:val="006C1A20"/>
    <w:rsid w:val="006C3717"/>
    <w:rsid w:val="006C3831"/>
    <w:rsid w:val="006C4EB1"/>
    <w:rsid w:val="006C571F"/>
    <w:rsid w:val="006C589D"/>
    <w:rsid w:val="006C5C33"/>
    <w:rsid w:val="006C63E1"/>
    <w:rsid w:val="006C68F3"/>
    <w:rsid w:val="006D2DF8"/>
    <w:rsid w:val="006D31A6"/>
    <w:rsid w:val="006D3E4E"/>
    <w:rsid w:val="006D54A1"/>
    <w:rsid w:val="006D7862"/>
    <w:rsid w:val="006E0166"/>
    <w:rsid w:val="006E047A"/>
    <w:rsid w:val="006E064B"/>
    <w:rsid w:val="006E0B0C"/>
    <w:rsid w:val="006E627F"/>
    <w:rsid w:val="006E7B34"/>
    <w:rsid w:val="006F1651"/>
    <w:rsid w:val="006F2A76"/>
    <w:rsid w:val="006F46CB"/>
    <w:rsid w:val="007014EC"/>
    <w:rsid w:val="0070685A"/>
    <w:rsid w:val="0070697F"/>
    <w:rsid w:val="00707226"/>
    <w:rsid w:val="00713544"/>
    <w:rsid w:val="00715F91"/>
    <w:rsid w:val="00717ED3"/>
    <w:rsid w:val="007218BC"/>
    <w:rsid w:val="0072199C"/>
    <w:rsid w:val="00722C9F"/>
    <w:rsid w:val="0072443C"/>
    <w:rsid w:val="00724BDD"/>
    <w:rsid w:val="007253B8"/>
    <w:rsid w:val="00726B29"/>
    <w:rsid w:val="0073016D"/>
    <w:rsid w:val="0073083E"/>
    <w:rsid w:val="007308D6"/>
    <w:rsid w:val="00733500"/>
    <w:rsid w:val="0073631B"/>
    <w:rsid w:val="0073741F"/>
    <w:rsid w:val="0074176E"/>
    <w:rsid w:val="00741872"/>
    <w:rsid w:val="00751020"/>
    <w:rsid w:val="007521E0"/>
    <w:rsid w:val="007533EA"/>
    <w:rsid w:val="00754DEF"/>
    <w:rsid w:val="00756566"/>
    <w:rsid w:val="00762BD6"/>
    <w:rsid w:val="00763F55"/>
    <w:rsid w:val="00765217"/>
    <w:rsid w:val="00766285"/>
    <w:rsid w:val="0076643F"/>
    <w:rsid w:val="00767A63"/>
    <w:rsid w:val="00770B32"/>
    <w:rsid w:val="00771834"/>
    <w:rsid w:val="00771A6A"/>
    <w:rsid w:val="00772101"/>
    <w:rsid w:val="00774416"/>
    <w:rsid w:val="00776D8A"/>
    <w:rsid w:val="00777795"/>
    <w:rsid w:val="00777F63"/>
    <w:rsid w:val="00780168"/>
    <w:rsid w:val="0078045D"/>
    <w:rsid w:val="007911EE"/>
    <w:rsid w:val="00791246"/>
    <w:rsid w:val="007932D9"/>
    <w:rsid w:val="00794D73"/>
    <w:rsid w:val="0079704C"/>
    <w:rsid w:val="007976A0"/>
    <w:rsid w:val="007A5817"/>
    <w:rsid w:val="007B1211"/>
    <w:rsid w:val="007B16D4"/>
    <w:rsid w:val="007B1FB7"/>
    <w:rsid w:val="007B312A"/>
    <w:rsid w:val="007B4C02"/>
    <w:rsid w:val="007B54C9"/>
    <w:rsid w:val="007B60E9"/>
    <w:rsid w:val="007B6CC3"/>
    <w:rsid w:val="007C251C"/>
    <w:rsid w:val="007C2A3A"/>
    <w:rsid w:val="007C3334"/>
    <w:rsid w:val="007C53C1"/>
    <w:rsid w:val="007C6AC2"/>
    <w:rsid w:val="007C6B47"/>
    <w:rsid w:val="007C756A"/>
    <w:rsid w:val="007D0253"/>
    <w:rsid w:val="007D0DED"/>
    <w:rsid w:val="007D1552"/>
    <w:rsid w:val="007D2B98"/>
    <w:rsid w:val="007D3ACB"/>
    <w:rsid w:val="007D4074"/>
    <w:rsid w:val="007D4295"/>
    <w:rsid w:val="007E21BC"/>
    <w:rsid w:val="007E3653"/>
    <w:rsid w:val="007E5490"/>
    <w:rsid w:val="007F1426"/>
    <w:rsid w:val="007F4F54"/>
    <w:rsid w:val="007F7E9A"/>
    <w:rsid w:val="00801AAE"/>
    <w:rsid w:val="00803F1C"/>
    <w:rsid w:val="008056AC"/>
    <w:rsid w:val="0080600E"/>
    <w:rsid w:val="00815021"/>
    <w:rsid w:val="008163CF"/>
    <w:rsid w:val="008167E0"/>
    <w:rsid w:val="00817612"/>
    <w:rsid w:val="00820B4D"/>
    <w:rsid w:val="008217E6"/>
    <w:rsid w:val="008223A6"/>
    <w:rsid w:val="008231C1"/>
    <w:rsid w:val="0082505D"/>
    <w:rsid w:val="008266A7"/>
    <w:rsid w:val="00827831"/>
    <w:rsid w:val="008338A4"/>
    <w:rsid w:val="00837C45"/>
    <w:rsid w:val="008401DE"/>
    <w:rsid w:val="008427AF"/>
    <w:rsid w:val="00844730"/>
    <w:rsid w:val="008457C2"/>
    <w:rsid w:val="00847A34"/>
    <w:rsid w:val="00851E5D"/>
    <w:rsid w:val="00854423"/>
    <w:rsid w:val="00857A82"/>
    <w:rsid w:val="00860526"/>
    <w:rsid w:val="008605B3"/>
    <w:rsid w:val="00861E23"/>
    <w:rsid w:val="00861E43"/>
    <w:rsid w:val="008622A6"/>
    <w:rsid w:val="00863A43"/>
    <w:rsid w:val="00865679"/>
    <w:rsid w:val="008714CF"/>
    <w:rsid w:val="00872E7E"/>
    <w:rsid w:val="00873594"/>
    <w:rsid w:val="00873836"/>
    <w:rsid w:val="0087651B"/>
    <w:rsid w:val="00882744"/>
    <w:rsid w:val="00884D49"/>
    <w:rsid w:val="0088538F"/>
    <w:rsid w:val="00885737"/>
    <w:rsid w:val="00887C05"/>
    <w:rsid w:val="00890650"/>
    <w:rsid w:val="008946B2"/>
    <w:rsid w:val="008971BF"/>
    <w:rsid w:val="00897E12"/>
    <w:rsid w:val="008A078F"/>
    <w:rsid w:val="008A2BE1"/>
    <w:rsid w:val="008A406A"/>
    <w:rsid w:val="008A5DE2"/>
    <w:rsid w:val="008A7E0F"/>
    <w:rsid w:val="008B0F96"/>
    <w:rsid w:val="008B12F5"/>
    <w:rsid w:val="008B198F"/>
    <w:rsid w:val="008B7B8D"/>
    <w:rsid w:val="008C1594"/>
    <w:rsid w:val="008C3098"/>
    <w:rsid w:val="008C7E1A"/>
    <w:rsid w:val="008D311C"/>
    <w:rsid w:val="008D4314"/>
    <w:rsid w:val="008D4E4E"/>
    <w:rsid w:val="008D768D"/>
    <w:rsid w:val="008E3759"/>
    <w:rsid w:val="008E654D"/>
    <w:rsid w:val="008F1912"/>
    <w:rsid w:val="008F1B28"/>
    <w:rsid w:val="008F604B"/>
    <w:rsid w:val="008F6598"/>
    <w:rsid w:val="008F6CE1"/>
    <w:rsid w:val="0090134E"/>
    <w:rsid w:val="009014A4"/>
    <w:rsid w:val="0090270B"/>
    <w:rsid w:val="009041DC"/>
    <w:rsid w:val="0091078E"/>
    <w:rsid w:val="00910791"/>
    <w:rsid w:val="00910C1D"/>
    <w:rsid w:val="00913885"/>
    <w:rsid w:val="009147F5"/>
    <w:rsid w:val="00917B5A"/>
    <w:rsid w:val="00920A58"/>
    <w:rsid w:val="00920A8C"/>
    <w:rsid w:val="0092111F"/>
    <w:rsid w:val="009225C8"/>
    <w:rsid w:val="00930E6E"/>
    <w:rsid w:val="00933DE4"/>
    <w:rsid w:val="00934A2C"/>
    <w:rsid w:val="00934E46"/>
    <w:rsid w:val="009355EE"/>
    <w:rsid w:val="0093689E"/>
    <w:rsid w:val="009376FC"/>
    <w:rsid w:val="009410C0"/>
    <w:rsid w:val="00941C6B"/>
    <w:rsid w:val="009434B1"/>
    <w:rsid w:val="009437C2"/>
    <w:rsid w:val="0094648E"/>
    <w:rsid w:val="00951CBC"/>
    <w:rsid w:val="00952E6A"/>
    <w:rsid w:val="009530A1"/>
    <w:rsid w:val="00955152"/>
    <w:rsid w:val="00955C6A"/>
    <w:rsid w:val="00955C6C"/>
    <w:rsid w:val="00955FDF"/>
    <w:rsid w:val="009568E7"/>
    <w:rsid w:val="00957C51"/>
    <w:rsid w:val="00960286"/>
    <w:rsid w:val="009609E8"/>
    <w:rsid w:val="00965797"/>
    <w:rsid w:val="00965970"/>
    <w:rsid w:val="00965DDD"/>
    <w:rsid w:val="00965FE0"/>
    <w:rsid w:val="009669D6"/>
    <w:rsid w:val="0096706E"/>
    <w:rsid w:val="009729C3"/>
    <w:rsid w:val="00975C4E"/>
    <w:rsid w:val="00976227"/>
    <w:rsid w:val="00977833"/>
    <w:rsid w:val="00981E6A"/>
    <w:rsid w:val="00981FBA"/>
    <w:rsid w:val="009866C8"/>
    <w:rsid w:val="00993720"/>
    <w:rsid w:val="009943C0"/>
    <w:rsid w:val="0099661E"/>
    <w:rsid w:val="00997BC5"/>
    <w:rsid w:val="009A0BE3"/>
    <w:rsid w:val="009A4F41"/>
    <w:rsid w:val="009B28CF"/>
    <w:rsid w:val="009B34F4"/>
    <w:rsid w:val="009B381B"/>
    <w:rsid w:val="009B5BDC"/>
    <w:rsid w:val="009B5C50"/>
    <w:rsid w:val="009B6DF1"/>
    <w:rsid w:val="009C265B"/>
    <w:rsid w:val="009C4EAA"/>
    <w:rsid w:val="009C502D"/>
    <w:rsid w:val="009D1378"/>
    <w:rsid w:val="009D1753"/>
    <w:rsid w:val="009D42BD"/>
    <w:rsid w:val="009D6B3F"/>
    <w:rsid w:val="009D7611"/>
    <w:rsid w:val="009D76BD"/>
    <w:rsid w:val="009D7D0B"/>
    <w:rsid w:val="009E0B61"/>
    <w:rsid w:val="009E0F8D"/>
    <w:rsid w:val="009E1AC5"/>
    <w:rsid w:val="009E53DE"/>
    <w:rsid w:val="009E6A9E"/>
    <w:rsid w:val="009E70B6"/>
    <w:rsid w:val="009F2459"/>
    <w:rsid w:val="009F4B8D"/>
    <w:rsid w:val="009F5E04"/>
    <w:rsid w:val="009F7798"/>
    <w:rsid w:val="00A0374C"/>
    <w:rsid w:val="00A03A30"/>
    <w:rsid w:val="00A064F7"/>
    <w:rsid w:val="00A10248"/>
    <w:rsid w:val="00A10466"/>
    <w:rsid w:val="00A117B8"/>
    <w:rsid w:val="00A13668"/>
    <w:rsid w:val="00A14323"/>
    <w:rsid w:val="00A15AC3"/>
    <w:rsid w:val="00A23BD2"/>
    <w:rsid w:val="00A24C82"/>
    <w:rsid w:val="00A2598E"/>
    <w:rsid w:val="00A26037"/>
    <w:rsid w:val="00A26AE4"/>
    <w:rsid w:val="00A2752D"/>
    <w:rsid w:val="00A328B3"/>
    <w:rsid w:val="00A32EA9"/>
    <w:rsid w:val="00A33B1E"/>
    <w:rsid w:val="00A34AE4"/>
    <w:rsid w:val="00A4478F"/>
    <w:rsid w:val="00A50239"/>
    <w:rsid w:val="00A506AE"/>
    <w:rsid w:val="00A50FCF"/>
    <w:rsid w:val="00A511DD"/>
    <w:rsid w:val="00A51261"/>
    <w:rsid w:val="00A528D1"/>
    <w:rsid w:val="00A56290"/>
    <w:rsid w:val="00A57382"/>
    <w:rsid w:val="00A57A90"/>
    <w:rsid w:val="00A610CD"/>
    <w:rsid w:val="00A613D7"/>
    <w:rsid w:val="00A633B5"/>
    <w:rsid w:val="00A64128"/>
    <w:rsid w:val="00A648CF"/>
    <w:rsid w:val="00A65251"/>
    <w:rsid w:val="00A65B75"/>
    <w:rsid w:val="00A67E8C"/>
    <w:rsid w:val="00A710FA"/>
    <w:rsid w:val="00A7212D"/>
    <w:rsid w:val="00A727B8"/>
    <w:rsid w:val="00A727FB"/>
    <w:rsid w:val="00A72B52"/>
    <w:rsid w:val="00A74E57"/>
    <w:rsid w:val="00A75E63"/>
    <w:rsid w:val="00A772DE"/>
    <w:rsid w:val="00A814FA"/>
    <w:rsid w:val="00A867FA"/>
    <w:rsid w:val="00A92978"/>
    <w:rsid w:val="00A95266"/>
    <w:rsid w:val="00A9586B"/>
    <w:rsid w:val="00A9671D"/>
    <w:rsid w:val="00A97286"/>
    <w:rsid w:val="00AA09A2"/>
    <w:rsid w:val="00AA1FF6"/>
    <w:rsid w:val="00AA63BE"/>
    <w:rsid w:val="00AA73BD"/>
    <w:rsid w:val="00AA7996"/>
    <w:rsid w:val="00AA7CAD"/>
    <w:rsid w:val="00AC000B"/>
    <w:rsid w:val="00AC19CB"/>
    <w:rsid w:val="00AC1FA5"/>
    <w:rsid w:val="00AC30F9"/>
    <w:rsid w:val="00AC4A6D"/>
    <w:rsid w:val="00AC55D4"/>
    <w:rsid w:val="00AC7DCD"/>
    <w:rsid w:val="00AD0041"/>
    <w:rsid w:val="00AD68B1"/>
    <w:rsid w:val="00AE0967"/>
    <w:rsid w:val="00AE5488"/>
    <w:rsid w:val="00AE6F91"/>
    <w:rsid w:val="00AE7353"/>
    <w:rsid w:val="00AF5571"/>
    <w:rsid w:val="00AF5B87"/>
    <w:rsid w:val="00AF7988"/>
    <w:rsid w:val="00B0179B"/>
    <w:rsid w:val="00B03FB3"/>
    <w:rsid w:val="00B045DE"/>
    <w:rsid w:val="00B05650"/>
    <w:rsid w:val="00B07184"/>
    <w:rsid w:val="00B07341"/>
    <w:rsid w:val="00B15B2C"/>
    <w:rsid w:val="00B16BE9"/>
    <w:rsid w:val="00B17E1F"/>
    <w:rsid w:val="00B222C9"/>
    <w:rsid w:val="00B229B4"/>
    <w:rsid w:val="00B256A5"/>
    <w:rsid w:val="00B25DB9"/>
    <w:rsid w:val="00B303AF"/>
    <w:rsid w:val="00B30539"/>
    <w:rsid w:val="00B314DB"/>
    <w:rsid w:val="00B34CE7"/>
    <w:rsid w:val="00B361F2"/>
    <w:rsid w:val="00B36BCE"/>
    <w:rsid w:val="00B3718B"/>
    <w:rsid w:val="00B405AB"/>
    <w:rsid w:val="00B40896"/>
    <w:rsid w:val="00B40BD0"/>
    <w:rsid w:val="00B42A18"/>
    <w:rsid w:val="00B4632A"/>
    <w:rsid w:val="00B46F1C"/>
    <w:rsid w:val="00B513B1"/>
    <w:rsid w:val="00B52C05"/>
    <w:rsid w:val="00B530F1"/>
    <w:rsid w:val="00B53D21"/>
    <w:rsid w:val="00B54A0C"/>
    <w:rsid w:val="00B55EEE"/>
    <w:rsid w:val="00B56DDB"/>
    <w:rsid w:val="00B60253"/>
    <w:rsid w:val="00B632D6"/>
    <w:rsid w:val="00B66AB5"/>
    <w:rsid w:val="00B67999"/>
    <w:rsid w:val="00B704EE"/>
    <w:rsid w:val="00B70D71"/>
    <w:rsid w:val="00B71451"/>
    <w:rsid w:val="00B77980"/>
    <w:rsid w:val="00B82FA7"/>
    <w:rsid w:val="00B8668E"/>
    <w:rsid w:val="00B910A6"/>
    <w:rsid w:val="00B921B1"/>
    <w:rsid w:val="00B976DF"/>
    <w:rsid w:val="00B97C02"/>
    <w:rsid w:val="00BA276C"/>
    <w:rsid w:val="00BA30BC"/>
    <w:rsid w:val="00BA461E"/>
    <w:rsid w:val="00BA47FF"/>
    <w:rsid w:val="00BB103F"/>
    <w:rsid w:val="00BB2264"/>
    <w:rsid w:val="00BB306F"/>
    <w:rsid w:val="00BB3ABE"/>
    <w:rsid w:val="00BB5D00"/>
    <w:rsid w:val="00BB75FA"/>
    <w:rsid w:val="00BC1180"/>
    <w:rsid w:val="00BC4303"/>
    <w:rsid w:val="00BC504F"/>
    <w:rsid w:val="00BC5854"/>
    <w:rsid w:val="00BC773E"/>
    <w:rsid w:val="00BD0810"/>
    <w:rsid w:val="00BD2561"/>
    <w:rsid w:val="00BD4B89"/>
    <w:rsid w:val="00BD5103"/>
    <w:rsid w:val="00BD5DDF"/>
    <w:rsid w:val="00BE368D"/>
    <w:rsid w:val="00BE5B4A"/>
    <w:rsid w:val="00BE7CEE"/>
    <w:rsid w:val="00BF02CB"/>
    <w:rsid w:val="00BF11D3"/>
    <w:rsid w:val="00BF1664"/>
    <w:rsid w:val="00BF3092"/>
    <w:rsid w:val="00BF5C21"/>
    <w:rsid w:val="00BF6FD8"/>
    <w:rsid w:val="00C03680"/>
    <w:rsid w:val="00C03863"/>
    <w:rsid w:val="00C04B2D"/>
    <w:rsid w:val="00C05161"/>
    <w:rsid w:val="00C054DF"/>
    <w:rsid w:val="00C05A45"/>
    <w:rsid w:val="00C06456"/>
    <w:rsid w:val="00C06EC9"/>
    <w:rsid w:val="00C11DC1"/>
    <w:rsid w:val="00C146AF"/>
    <w:rsid w:val="00C152E5"/>
    <w:rsid w:val="00C20581"/>
    <w:rsid w:val="00C214AE"/>
    <w:rsid w:val="00C21762"/>
    <w:rsid w:val="00C22BCC"/>
    <w:rsid w:val="00C24543"/>
    <w:rsid w:val="00C25459"/>
    <w:rsid w:val="00C256A2"/>
    <w:rsid w:val="00C307E6"/>
    <w:rsid w:val="00C318CC"/>
    <w:rsid w:val="00C3379D"/>
    <w:rsid w:val="00C36479"/>
    <w:rsid w:val="00C36F4F"/>
    <w:rsid w:val="00C40789"/>
    <w:rsid w:val="00C40C7C"/>
    <w:rsid w:val="00C43429"/>
    <w:rsid w:val="00C46EE5"/>
    <w:rsid w:val="00C50D09"/>
    <w:rsid w:val="00C51515"/>
    <w:rsid w:val="00C51BB3"/>
    <w:rsid w:val="00C5660B"/>
    <w:rsid w:val="00C57E86"/>
    <w:rsid w:val="00C606D1"/>
    <w:rsid w:val="00C6109F"/>
    <w:rsid w:val="00C61516"/>
    <w:rsid w:val="00C62A75"/>
    <w:rsid w:val="00C63ED6"/>
    <w:rsid w:val="00C656E1"/>
    <w:rsid w:val="00C66B72"/>
    <w:rsid w:val="00C66E28"/>
    <w:rsid w:val="00C67768"/>
    <w:rsid w:val="00C70B4D"/>
    <w:rsid w:val="00C75282"/>
    <w:rsid w:val="00C810D8"/>
    <w:rsid w:val="00C8474C"/>
    <w:rsid w:val="00C85AE6"/>
    <w:rsid w:val="00C85BFD"/>
    <w:rsid w:val="00C92CA3"/>
    <w:rsid w:val="00C955D3"/>
    <w:rsid w:val="00C9567A"/>
    <w:rsid w:val="00C97129"/>
    <w:rsid w:val="00CA13C7"/>
    <w:rsid w:val="00CA4801"/>
    <w:rsid w:val="00CA5AC0"/>
    <w:rsid w:val="00CB1009"/>
    <w:rsid w:val="00CB212D"/>
    <w:rsid w:val="00CB244D"/>
    <w:rsid w:val="00CB2583"/>
    <w:rsid w:val="00CB2660"/>
    <w:rsid w:val="00CC08E2"/>
    <w:rsid w:val="00CC47BB"/>
    <w:rsid w:val="00CC4B48"/>
    <w:rsid w:val="00CC573A"/>
    <w:rsid w:val="00CC5E90"/>
    <w:rsid w:val="00CC6049"/>
    <w:rsid w:val="00CC63CF"/>
    <w:rsid w:val="00CC6C2B"/>
    <w:rsid w:val="00CC7216"/>
    <w:rsid w:val="00CD046C"/>
    <w:rsid w:val="00CD05AD"/>
    <w:rsid w:val="00CD37F2"/>
    <w:rsid w:val="00CD4B36"/>
    <w:rsid w:val="00CD5B28"/>
    <w:rsid w:val="00CD7B9A"/>
    <w:rsid w:val="00CE076C"/>
    <w:rsid w:val="00CE17FF"/>
    <w:rsid w:val="00CE5199"/>
    <w:rsid w:val="00CE66D5"/>
    <w:rsid w:val="00CE688F"/>
    <w:rsid w:val="00CE73B2"/>
    <w:rsid w:val="00CF3ADA"/>
    <w:rsid w:val="00CF637A"/>
    <w:rsid w:val="00CF66C3"/>
    <w:rsid w:val="00D00C4D"/>
    <w:rsid w:val="00D0187E"/>
    <w:rsid w:val="00D021E0"/>
    <w:rsid w:val="00D04CA5"/>
    <w:rsid w:val="00D059DE"/>
    <w:rsid w:val="00D06FA4"/>
    <w:rsid w:val="00D1086E"/>
    <w:rsid w:val="00D1181E"/>
    <w:rsid w:val="00D12193"/>
    <w:rsid w:val="00D12278"/>
    <w:rsid w:val="00D138D2"/>
    <w:rsid w:val="00D13FCE"/>
    <w:rsid w:val="00D14368"/>
    <w:rsid w:val="00D16950"/>
    <w:rsid w:val="00D17B40"/>
    <w:rsid w:val="00D21A4E"/>
    <w:rsid w:val="00D22066"/>
    <w:rsid w:val="00D229E4"/>
    <w:rsid w:val="00D24B55"/>
    <w:rsid w:val="00D254B3"/>
    <w:rsid w:val="00D255E8"/>
    <w:rsid w:val="00D25C77"/>
    <w:rsid w:val="00D25E90"/>
    <w:rsid w:val="00D306D1"/>
    <w:rsid w:val="00D327BE"/>
    <w:rsid w:val="00D32D92"/>
    <w:rsid w:val="00D34440"/>
    <w:rsid w:val="00D34786"/>
    <w:rsid w:val="00D36273"/>
    <w:rsid w:val="00D36E9B"/>
    <w:rsid w:val="00D37BFC"/>
    <w:rsid w:val="00D40E61"/>
    <w:rsid w:val="00D41094"/>
    <w:rsid w:val="00D41E25"/>
    <w:rsid w:val="00D43440"/>
    <w:rsid w:val="00D457A0"/>
    <w:rsid w:val="00D46BCC"/>
    <w:rsid w:val="00D47A8E"/>
    <w:rsid w:val="00D52D14"/>
    <w:rsid w:val="00D53A31"/>
    <w:rsid w:val="00D6649A"/>
    <w:rsid w:val="00D6702C"/>
    <w:rsid w:val="00D6752C"/>
    <w:rsid w:val="00D679C8"/>
    <w:rsid w:val="00D67E04"/>
    <w:rsid w:val="00D67FDA"/>
    <w:rsid w:val="00D70C0A"/>
    <w:rsid w:val="00D712D3"/>
    <w:rsid w:val="00D71422"/>
    <w:rsid w:val="00D728F6"/>
    <w:rsid w:val="00D72DC6"/>
    <w:rsid w:val="00D7393F"/>
    <w:rsid w:val="00D7457D"/>
    <w:rsid w:val="00D74720"/>
    <w:rsid w:val="00D7474D"/>
    <w:rsid w:val="00D7558D"/>
    <w:rsid w:val="00D757C2"/>
    <w:rsid w:val="00D75FEC"/>
    <w:rsid w:val="00D7716D"/>
    <w:rsid w:val="00D777D1"/>
    <w:rsid w:val="00D80DFF"/>
    <w:rsid w:val="00D81D92"/>
    <w:rsid w:val="00D830D7"/>
    <w:rsid w:val="00D83D73"/>
    <w:rsid w:val="00D8561C"/>
    <w:rsid w:val="00D9070F"/>
    <w:rsid w:val="00D90A6F"/>
    <w:rsid w:val="00D91A92"/>
    <w:rsid w:val="00D92B96"/>
    <w:rsid w:val="00D92EB5"/>
    <w:rsid w:val="00D932AD"/>
    <w:rsid w:val="00D94635"/>
    <w:rsid w:val="00D96E66"/>
    <w:rsid w:val="00D96ECC"/>
    <w:rsid w:val="00DA0A50"/>
    <w:rsid w:val="00DA0D1B"/>
    <w:rsid w:val="00DA0DAC"/>
    <w:rsid w:val="00DA6FCF"/>
    <w:rsid w:val="00DA71B8"/>
    <w:rsid w:val="00DA7B5F"/>
    <w:rsid w:val="00DB0E0E"/>
    <w:rsid w:val="00DC0663"/>
    <w:rsid w:val="00DC11E7"/>
    <w:rsid w:val="00DC42C1"/>
    <w:rsid w:val="00DC5337"/>
    <w:rsid w:val="00DC667A"/>
    <w:rsid w:val="00DC6F35"/>
    <w:rsid w:val="00DC7023"/>
    <w:rsid w:val="00DC769A"/>
    <w:rsid w:val="00DD3D86"/>
    <w:rsid w:val="00DD3FE1"/>
    <w:rsid w:val="00DD6387"/>
    <w:rsid w:val="00DD6C24"/>
    <w:rsid w:val="00DD791A"/>
    <w:rsid w:val="00DE1318"/>
    <w:rsid w:val="00DE2927"/>
    <w:rsid w:val="00DE2B3D"/>
    <w:rsid w:val="00DE4700"/>
    <w:rsid w:val="00DE51A3"/>
    <w:rsid w:val="00DE7D3D"/>
    <w:rsid w:val="00DF1EC4"/>
    <w:rsid w:val="00DF35D4"/>
    <w:rsid w:val="00DF47DE"/>
    <w:rsid w:val="00DF48B9"/>
    <w:rsid w:val="00DF4CDF"/>
    <w:rsid w:val="00DF6D91"/>
    <w:rsid w:val="00E017D2"/>
    <w:rsid w:val="00E01A94"/>
    <w:rsid w:val="00E01D2E"/>
    <w:rsid w:val="00E021C1"/>
    <w:rsid w:val="00E0340B"/>
    <w:rsid w:val="00E0362E"/>
    <w:rsid w:val="00E039AB"/>
    <w:rsid w:val="00E04A90"/>
    <w:rsid w:val="00E04B89"/>
    <w:rsid w:val="00E126B7"/>
    <w:rsid w:val="00E130E2"/>
    <w:rsid w:val="00E13A5F"/>
    <w:rsid w:val="00E1459B"/>
    <w:rsid w:val="00E14F7A"/>
    <w:rsid w:val="00E1570D"/>
    <w:rsid w:val="00E161CD"/>
    <w:rsid w:val="00E1639A"/>
    <w:rsid w:val="00E163CA"/>
    <w:rsid w:val="00E219C7"/>
    <w:rsid w:val="00E234F2"/>
    <w:rsid w:val="00E23E4F"/>
    <w:rsid w:val="00E24E28"/>
    <w:rsid w:val="00E303E8"/>
    <w:rsid w:val="00E3344F"/>
    <w:rsid w:val="00E35A9C"/>
    <w:rsid w:val="00E37F67"/>
    <w:rsid w:val="00E43157"/>
    <w:rsid w:val="00E461CE"/>
    <w:rsid w:val="00E5217F"/>
    <w:rsid w:val="00E5488D"/>
    <w:rsid w:val="00E561F8"/>
    <w:rsid w:val="00E5635D"/>
    <w:rsid w:val="00E56EE0"/>
    <w:rsid w:val="00E65925"/>
    <w:rsid w:val="00E660F4"/>
    <w:rsid w:val="00E720CA"/>
    <w:rsid w:val="00E769CC"/>
    <w:rsid w:val="00E807EA"/>
    <w:rsid w:val="00E810C3"/>
    <w:rsid w:val="00E81D85"/>
    <w:rsid w:val="00E84EB5"/>
    <w:rsid w:val="00E85662"/>
    <w:rsid w:val="00E856A9"/>
    <w:rsid w:val="00E85B71"/>
    <w:rsid w:val="00E85BC3"/>
    <w:rsid w:val="00E861EA"/>
    <w:rsid w:val="00E8789F"/>
    <w:rsid w:val="00E900C3"/>
    <w:rsid w:val="00E909AA"/>
    <w:rsid w:val="00E95613"/>
    <w:rsid w:val="00E95A08"/>
    <w:rsid w:val="00E97B71"/>
    <w:rsid w:val="00EA1836"/>
    <w:rsid w:val="00EA375B"/>
    <w:rsid w:val="00EA3D34"/>
    <w:rsid w:val="00EA3E9E"/>
    <w:rsid w:val="00EA5466"/>
    <w:rsid w:val="00EA6831"/>
    <w:rsid w:val="00EB3272"/>
    <w:rsid w:val="00EB454D"/>
    <w:rsid w:val="00EB53F1"/>
    <w:rsid w:val="00EB640E"/>
    <w:rsid w:val="00EC033F"/>
    <w:rsid w:val="00EC29AD"/>
    <w:rsid w:val="00ED39A8"/>
    <w:rsid w:val="00ED3B1E"/>
    <w:rsid w:val="00ED53A9"/>
    <w:rsid w:val="00ED7264"/>
    <w:rsid w:val="00ED7505"/>
    <w:rsid w:val="00ED76BE"/>
    <w:rsid w:val="00EE21F5"/>
    <w:rsid w:val="00EE2B43"/>
    <w:rsid w:val="00EE5D3F"/>
    <w:rsid w:val="00EE5FF2"/>
    <w:rsid w:val="00EF240C"/>
    <w:rsid w:val="00EF50D7"/>
    <w:rsid w:val="00EF52FB"/>
    <w:rsid w:val="00EF619B"/>
    <w:rsid w:val="00EF6BA7"/>
    <w:rsid w:val="00EF7A8F"/>
    <w:rsid w:val="00F00B55"/>
    <w:rsid w:val="00F01CFE"/>
    <w:rsid w:val="00F02AD1"/>
    <w:rsid w:val="00F02FF5"/>
    <w:rsid w:val="00F0467D"/>
    <w:rsid w:val="00F04865"/>
    <w:rsid w:val="00F07CE3"/>
    <w:rsid w:val="00F137AC"/>
    <w:rsid w:val="00F14EBD"/>
    <w:rsid w:val="00F253CC"/>
    <w:rsid w:val="00F31BC4"/>
    <w:rsid w:val="00F32133"/>
    <w:rsid w:val="00F33FF7"/>
    <w:rsid w:val="00F34338"/>
    <w:rsid w:val="00F37106"/>
    <w:rsid w:val="00F416F6"/>
    <w:rsid w:val="00F44367"/>
    <w:rsid w:val="00F44424"/>
    <w:rsid w:val="00F47B76"/>
    <w:rsid w:val="00F502FF"/>
    <w:rsid w:val="00F50B8C"/>
    <w:rsid w:val="00F519CF"/>
    <w:rsid w:val="00F537A2"/>
    <w:rsid w:val="00F56BA5"/>
    <w:rsid w:val="00F60E22"/>
    <w:rsid w:val="00F62781"/>
    <w:rsid w:val="00F657EC"/>
    <w:rsid w:val="00F70D1B"/>
    <w:rsid w:val="00F72492"/>
    <w:rsid w:val="00F73104"/>
    <w:rsid w:val="00F749FA"/>
    <w:rsid w:val="00F805FB"/>
    <w:rsid w:val="00F81395"/>
    <w:rsid w:val="00F82433"/>
    <w:rsid w:val="00F83586"/>
    <w:rsid w:val="00F84881"/>
    <w:rsid w:val="00F87309"/>
    <w:rsid w:val="00F902EB"/>
    <w:rsid w:val="00F911AF"/>
    <w:rsid w:val="00F917D1"/>
    <w:rsid w:val="00F9221B"/>
    <w:rsid w:val="00F925B4"/>
    <w:rsid w:val="00F932BE"/>
    <w:rsid w:val="00F961A0"/>
    <w:rsid w:val="00F9653B"/>
    <w:rsid w:val="00F965A5"/>
    <w:rsid w:val="00FA14E8"/>
    <w:rsid w:val="00FB0D44"/>
    <w:rsid w:val="00FB1F25"/>
    <w:rsid w:val="00FB21D4"/>
    <w:rsid w:val="00FB5D6B"/>
    <w:rsid w:val="00FB62CF"/>
    <w:rsid w:val="00FB6462"/>
    <w:rsid w:val="00FB7CB6"/>
    <w:rsid w:val="00FC08B3"/>
    <w:rsid w:val="00FC08BE"/>
    <w:rsid w:val="00FC0A6D"/>
    <w:rsid w:val="00FC16DC"/>
    <w:rsid w:val="00FC6D5C"/>
    <w:rsid w:val="00FD0011"/>
    <w:rsid w:val="00FD2B4C"/>
    <w:rsid w:val="00FD3C3B"/>
    <w:rsid w:val="00FD5A99"/>
    <w:rsid w:val="00FE07DD"/>
    <w:rsid w:val="00FE27F0"/>
    <w:rsid w:val="00FE3DEC"/>
    <w:rsid w:val="00FE65D3"/>
    <w:rsid w:val="00FE6B45"/>
    <w:rsid w:val="00FE7F97"/>
    <w:rsid w:val="00FF18D1"/>
    <w:rsid w:val="00FF1F17"/>
    <w:rsid w:val="00FF269E"/>
    <w:rsid w:val="00FF55F3"/>
    <w:rsid w:val="00FF5851"/>
    <w:rsid w:val="00FF6A6A"/>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1AB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ListParagraph"/>
    <w:next w:val="Normal"/>
    <w:link w:val="Heading1Char"/>
    <w:uiPriority w:val="9"/>
    <w:qFormat/>
    <w:rsid w:val="00941C6B"/>
    <w:pPr>
      <w:numPr>
        <w:numId w:val="54"/>
      </w:numPr>
      <w:suppressAutoHyphens/>
      <w:ind w:left="1440" w:hanging="810"/>
      <w:outlineLvl w:val="0"/>
    </w:pPr>
    <w:rPr>
      <w:rFonts w:asciiTheme="majorHAnsi" w:hAnsiTheme="majorHAnsi"/>
      <w:b/>
      <w:szCs w:val="20"/>
      <w:lang w:val="es-ES_tradnl"/>
    </w:rPr>
  </w:style>
  <w:style w:type="paragraph" w:styleId="Heading2">
    <w:name w:val="heading 2"/>
    <w:basedOn w:val="Normal"/>
    <w:next w:val="Normal"/>
    <w:link w:val="Heading2Char"/>
    <w:qFormat/>
    <w:rsid w:val="00771834"/>
    <w:pPr>
      <w:keepNext/>
      <w:numPr>
        <w:numId w:val="59"/>
      </w:numPr>
      <w:outlineLvl w:val="1"/>
    </w:pPr>
    <w:rPr>
      <w:rFonts w:ascii="Cambria" w:hAnsi="Cambria" w:cs="Arial"/>
      <w:b/>
      <w:bCs/>
      <w:iCs/>
      <w:sz w:val="20"/>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
    <w:link w:val="ListParagraphChar"/>
    <w:uiPriority w:val="34"/>
    <w:qFormat/>
    <w:rsid w:val="00741872"/>
    <w:pPr>
      <w:numPr>
        <w:numId w:val="57"/>
      </w:numPr>
      <w:ind w:left="0" w:firstLine="0"/>
      <w:jc w:val="both"/>
    </w:pPr>
    <w:rPr>
      <w:rFonts w:ascii="Cambria" w:eastAsia="Cambria" w:hAnsi="Cambria" w:cs="Cambria"/>
      <w:color w:val="000000"/>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941C6B"/>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Footnote Reference Ch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771834"/>
    <w:rPr>
      <w:rFonts w:ascii="Cambria" w:eastAsia="Times New Roman" w:hAnsi="Cambria" w:cs="Arial"/>
      <w:b/>
      <w:bCs/>
      <w:iCs/>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spacing w:before="200" w:after="160" w:line="240" w:lineRule="exact"/>
    </w:pPr>
    <w:rPr>
      <w:rFonts w:ascii="Verdana" w:hAnsi="Verdana"/>
      <w:sz w:val="22"/>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
    <w:link w:val="ListParagraph"/>
    <w:uiPriority w:val="34"/>
    <w:locked/>
    <w:rsid w:val="00741872"/>
    <w:rPr>
      <w:rFonts w:ascii="Cambria" w:eastAsia="Cambria" w:hAnsi="Cambria" w:cs="Cambria"/>
      <w:color w:val="000000"/>
      <w:szCs w:val="24"/>
      <w:u w:color="000000"/>
      <w:lang w:val="en-US"/>
    </w:rPr>
  </w:style>
  <w:style w:type="paragraph" w:styleId="Quote">
    <w:name w:val="Quote"/>
    <w:basedOn w:val="Normal"/>
    <w:next w:val="Normal"/>
    <w:link w:val="QuoteChar"/>
    <w:uiPriority w:val="29"/>
    <w:qFormat/>
    <w:rsid w:val="00E23E4F"/>
    <w:pPr>
      <w:ind w:left="360" w:right="360"/>
      <w:jc w:val="both"/>
    </w:pPr>
    <w:rPr>
      <w:rFonts w:ascii="Cambria" w:hAnsi="Cambria"/>
      <w:iCs/>
      <w:color w:val="404040" w:themeColor="text1" w:themeTint="BF"/>
      <w:sz w:val="18"/>
    </w:rPr>
  </w:style>
  <w:style w:type="character" w:customStyle="1" w:styleId="QuoteChar">
    <w:name w:val="Quote Char"/>
    <w:basedOn w:val="DefaultParagraphFont"/>
    <w:link w:val="Quote"/>
    <w:uiPriority w:val="29"/>
    <w:rsid w:val="00E23E4F"/>
    <w:rPr>
      <w:rFonts w:ascii="Cambria" w:eastAsia="Times New Roman" w:hAnsi="Cambria"/>
      <w:iCs/>
      <w:color w:val="404040" w:themeColor="text1" w:themeTint="BF"/>
      <w:sz w:val="18"/>
      <w:szCs w:val="24"/>
      <w:bdr w:val="none" w:sz="0" w:space="0" w:color="auto"/>
      <w:lang w:val="en-US" w:eastAsia="en-US"/>
    </w:rPr>
  </w:style>
  <w:style w:type="character" w:styleId="Strong">
    <w:name w:val="Strong"/>
    <w:basedOn w:val="DefaultParagraphFont"/>
    <w:uiPriority w:val="22"/>
    <w:qFormat/>
    <w:rsid w:val="00513D84"/>
    <w:rPr>
      <w:b/>
      <w:bCs/>
    </w:rPr>
  </w:style>
  <w:style w:type="paragraph" w:styleId="NormalWeb">
    <w:name w:val="Normal (Web)"/>
    <w:basedOn w:val="Normal"/>
    <w:uiPriority w:val="99"/>
    <w:semiHidden/>
    <w:unhideWhenUsed/>
    <w:rsid w:val="0034633E"/>
  </w:style>
  <w:style w:type="character" w:customStyle="1" w:styleId="BodyTextIndentChar">
    <w:name w:val="Body Text Indent Char"/>
    <w:basedOn w:val="DefaultParagraphFont"/>
    <w:link w:val="BodyTextIndent"/>
    <w:rsid w:val="00500B94"/>
    <w:rPr>
      <w:rFonts w:eastAsia="Times New Roman"/>
      <w:color w:val="000000"/>
      <w:sz w:val="24"/>
      <w:szCs w:val="24"/>
      <w:u w:color="000000"/>
      <w:lang w:val="es-ES_tradnl"/>
    </w:rPr>
  </w:style>
  <w:style w:type="character" w:styleId="CommentReference">
    <w:name w:val="annotation reference"/>
    <w:basedOn w:val="DefaultParagraphFont"/>
    <w:uiPriority w:val="99"/>
    <w:semiHidden/>
    <w:unhideWhenUsed/>
    <w:rsid w:val="00B66AB5"/>
    <w:rPr>
      <w:sz w:val="16"/>
      <w:szCs w:val="16"/>
    </w:rPr>
  </w:style>
  <w:style w:type="paragraph" w:styleId="CommentText">
    <w:name w:val="annotation text"/>
    <w:basedOn w:val="Normal"/>
    <w:link w:val="CommentTextChar"/>
    <w:uiPriority w:val="99"/>
    <w:semiHidden/>
    <w:unhideWhenUsed/>
    <w:rsid w:val="00B66AB5"/>
    <w:rPr>
      <w:sz w:val="20"/>
      <w:szCs w:val="20"/>
    </w:rPr>
  </w:style>
  <w:style w:type="character" w:customStyle="1" w:styleId="CommentTextChar">
    <w:name w:val="Comment Text Char"/>
    <w:basedOn w:val="DefaultParagraphFont"/>
    <w:link w:val="CommentText"/>
    <w:uiPriority w:val="99"/>
    <w:semiHidden/>
    <w:rsid w:val="00B66AB5"/>
    <w:rPr>
      <w:rFonts w:eastAsia="Times New Roman"/>
      <w:bdr w:val="none" w:sz="0" w:space="0" w:color="auto"/>
      <w:lang w:val="en-US" w:eastAsia="en-US"/>
    </w:rPr>
  </w:style>
  <w:style w:type="paragraph" w:styleId="CommentSubject">
    <w:name w:val="annotation subject"/>
    <w:basedOn w:val="CommentText"/>
    <w:next w:val="CommentText"/>
    <w:link w:val="CommentSubjectChar"/>
    <w:uiPriority w:val="99"/>
    <w:semiHidden/>
    <w:unhideWhenUsed/>
    <w:rsid w:val="00B66AB5"/>
    <w:rPr>
      <w:b/>
      <w:bCs/>
    </w:rPr>
  </w:style>
  <w:style w:type="character" w:customStyle="1" w:styleId="CommentSubjectChar">
    <w:name w:val="Comment Subject Char"/>
    <w:basedOn w:val="CommentTextChar"/>
    <w:link w:val="CommentSubject"/>
    <w:uiPriority w:val="99"/>
    <w:semiHidden/>
    <w:rsid w:val="00B66AB5"/>
    <w:rPr>
      <w:rFonts w:eastAsia="Times New Roman"/>
      <w:b/>
      <w:bCs/>
      <w:bdr w:val="none" w:sz="0" w:space="0" w:color="auto"/>
      <w:lang w:val="en-US" w:eastAsia="en-US"/>
    </w:rPr>
  </w:style>
  <w:style w:type="paragraph" w:styleId="Revision">
    <w:name w:val="Revision"/>
    <w:hidden/>
    <w:uiPriority w:val="99"/>
    <w:semiHidden/>
    <w:rsid w:val="009D7D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122697461">
      <w:bodyDiv w:val="1"/>
      <w:marLeft w:val="0"/>
      <w:marRight w:val="0"/>
      <w:marTop w:val="0"/>
      <w:marBottom w:val="0"/>
      <w:divBdr>
        <w:top w:val="none" w:sz="0" w:space="0" w:color="auto"/>
        <w:left w:val="none" w:sz="0" w:space="0" w:color="auto"/>
        <w:bottom w:val="none" w:sz="0" w:space="0" w:color="auto"/>
        <w:right w:val="none" w:sz="0" w:space="0" w:color="auto"/>
      </w:divBdr>
    </w:div>
    <w:div w:id="135726993">
      <w:bodyDiv w:val="1"/>
      <w:marLeft w:val="0"/>
      <w:marRight w:val="0"/>
      <w:marTop w:val="0"/>
      <w:marBottom w:val="0"/>
      <w:divBdr>
        <w:top w:val="none" w:sz="0" w:space="0" w:color="auto"/>
        <w:left w:val="none" w:sz="0" w:space="0" w:color="auto"/>
        <w:bottom w:val="none" w:sz="0" w:space="0" w:color="auto"/>
        <w:right w:val="none" w:sz="0" w:space="0" w:color="auto"/>
      </w:divBdr>
    </w:div>
    <w:div w:id="161699800">
      <w:bodyDiv w:val="1"/>
      <w:marLeft w:val="0"/>
      <w:marRight w:val="0"/>
      <w:marTop w:val="0"/>
      <w:marBottom w:val="0"/>
      <w:divBdr>
        <w:top w:val="none" w:sz="0" w:space="0" w:color="auto"/>
        <w:left w:val="none" w:sz="0" w:space="0" w:color="auto"/>
        <w:bottom w:val="none" w:sz="0" w:space="0" w:color="auto"/>
        <w:right w:val="none" w:sz="0" w:space="0" w:color="auto"/>
      </w:divBdr>
    </w:div>
    <w:div w:id="216285644">
      <w:bodyDiv w:val="1"/>
      <w:marLeft w:val="0"/>
      <w:marRight w:val="0"/>
      <w:marTop w:val="0"/>
      <w:marBottom w:val="0"/>
      <w:divBdr>
        <w:top w:val="none" w:sz="0" w:space="0" w:color="auto"/>
        <w:left w:val="none" w:sz="0" w:space="0" w:color="auto"/>
        <w:bottom w:val="none" w:sz="0" w:space="0" w:color="auto"/>
        <w:right w:val="none" w:sz="0" w:space="0" w:color="auto"/>
      </w:divBdr>
    </w:div>
    <w:div w:id="335809216">
      <w:bodyDiv w:val="1"/>
      <w:marLeft w:val="0"/>
      <w:marRight w:val="0"/>
      <w:marTop w:val="0"/>
      <w:marBottom w:val="0"/>
      <w:divBdr>
        <w:top w:val="none" w:sz="0" w:space="0" w:color="auto"/>
        <w:left w:val="none" w:sz="0" w:space="0" w:color="auto"/>
        <w:bottom w:val="none" w:sz="0" w:space="0" w:color="auto"/>
        <w:right w:val="none" w:sz="0" w:space="0" w:color="auto"/>
      </w:divBdr>
    </w:div>
    <w:div w:id="373772720">
      <w:bodyDiv w:val="1"/>
      <w:marLeft w:val="0"/>
      <w:marRight w:val="0"/>
      <w:marTop w:val="0"/>
      <w:marBottom w:val="0"/>
      <w:divBdr>
        <w:top w:val="none" w:sz="0" w:space="0" w:color="auto"/>
        <w:left w:val="none" w:sz="0" w:space="0" w:color="auto"/>
        <w:bottom w:val="none" w:sz="0" w:space="0" w:color="auto"/>
        <w:right w:val="none" w:sz="0" w:space="0" w:color="auto"/>
      </w:divBdr>
    </w:div>
    <w:div w:id="439571371">
      <w:bodyDiv w:val="1"/>
      <w:marLeft w:val="0"/>
      <w:marRight w:val="0"/>
      <w:marTop w:val="0"/>
      <w:marBottom w:val="0"/>
      <w:divBdr>
        <w:top w:val="none" w:sz="0" w:space="0" w:color="auto"/>
        <w:left w:val="none" w:sz="0" w:space="0" w:color="auto"/>
        <w:bottom w:val="none" w:sz="0" w:space="0" w:color="auto"/>
        <w:right w:val="none" w:sz="0" w:space="0" w:color="auto"/>
      </w:divBdr>
    </w:div>
    <w:div w:id="546916731">
      <w:bodyDiv w:val="1"/>
      <w:marLeft w:val="0"/>
      <w:marRight w:val="0"/>
      <w:marTop w:val="0"/>
      <w:marBottom w:val="0"/>
      <w:divBdr>
        <w:top w:val="none" w:sz="0" w:space="0" w:color="auto"/>
        <w:left w:val="none" w:sz="0" w:space="0" w:color="auto"/>
        <w:bottom w:val="none" w:sz="0" w:space="0" w:color="auto"/>
        <w:right w:val="none" w:sz="0" w:space="0" w:color="auto"/>
      </w:divBdr>
    </w:div>
    <w:div w:id="547569904">
      <w:bodyDiv w:val="1"/>
      <w:marLeft w:val="0"/>
      <w:marRight w:val="0"/>
      <w:marTop w:val="0"/>
      <w:marBottom w:val="0"/>
      <w:divBdr>
        <w:top w:val="none" w:sz="0" w:space="0" w:color="auto"/>
        <w:left w:val="none" w:sz="0" w:space="0" w:color="auto"/>
        <w:bottom w:val="none" w:sz="0" w:space="0" w:color="auto"/>
        <w:right w:val="none" w:sz="0" w:space="0" w:color="auto"/>
      </w:divBdr>
    </w:div>
    <w:div w:id="610284828">
      <w:bodyDiv w:val="1"/>
      <w:marLeft w:val="0"/>
      <w:marRight w:val="0"/>
      <w:marTop w:val="0"/>
      <w:marBottom w:val="0"/>
      <w:divBdr>
        <w:top w:val="none" w:sz="0" w:space="0" w:color="auto"/>
        <w:left w:val="none" w:sz="0" w:space="0" w:color="auto"/>
        <w:bottom w:val="none" w:sz="0" w:space="0" w:color="auto"/>
        <w:right w:val="none" w:sz="0" w:space="0" w:color="auto"/>
      </w:divBdr>
    </w:div>
    <w:div w:id="690306415">
      <w:bodyDiv w:val="1"/>
      <w:marLeft w:val="0"/>
      <w:marRight w:val="0"/>
      <w:marTop w:val="0"/>
      <w:marBottom w:val="0"/>
      <w:divBdr>
        <w:top w:val="none" w:sz="0" w:space="0" w:color="auto"/>
        <w:left w:val="none" w:sz="0" w:space="0" w:color="auto"/>
        <w:bottom w:val="none" w:sz="0" w:space="0" w:color="auto"/>
        <w:right w:val="none" w:sz="0" w:space="0" w:color="auto"/>
      </w:divBdr>
    </w:div>
    <w:div w:id="704255512">
      <w:bodyDiv w:val="1"/>
      <w:marLeft w:val="0"/>
      <w:marRight w:val="0"/>
      <w:marTop w:val="0"/>
      <w:marBottom w:val="0"/>
      <w:divBdr>
        <w:top w:val="none" w:sz="0" w:space="0" w:color="auto"/>
        <w:left w:val="none" w:sz="0" w:space="0" w:color="auto"/>
        <w:bottom w:val="none" w:sz="0" w:space="0" w:color="auto"/>
        <w:right w:val="none" w:sz="0" w:space="0" w:color="auto"/>
      </w:divBdr>
    </w:div>
    <w:div w:id="907811258">
      <w:bodyDiv w:val="1"/>
      <w:marLeft w:val="0"/>
      <w:marRight w:val="0"/>
      <w:marTop w:val="0"/>
      <w:marBottom w:val="0"/>
      <w:divBdr>
        <w:top w:val="none" w:sz="0" w:space="0" w:color="auto"/>
        <w:left w:val="none" w:sz="0" w:space="0" w:color="auto"/>
        <w:bottom w:val="none" w:sz="0" w:space="0" w:color="auto"/>
        <w:right w:val="none" w:sz="0" w:space="0" w:color="auto"/>
      </w:divBdr>
    </w:div>
    <w:div w:id="980236894">
      <w:bodyDiv w:val="1"/>
      <w:marLeft w:val="0"/>
      <w:marRight w:val="0"/>
      <w:marTop w:val="0"/>
      <w:marBottom w:val="0"/>
      <w:divBdr>
        <w:top w:val="none" w:sz="0" w:space="0" w:color="auto"/>
        <w:left w:val="none" w:sz="0" w:space="0" w:color="auto"/>
        <w:bottom w:val="none" w:sz="0" w:space="0" w:color="auto"/>
        <w:right w:val="none" w:sz="0" w:space="0" w:color="auto"/>
      </w:divBdr>
    </w:div>
    <w:div w:id="999577467">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35891257">
      <w:bodyDiv w:val="1"/>
      <w:marLeft w:val="0"/>
      <w:marRight w:val="0"/>
      <w:marTop w:val="0"/>
      <w:marBottom w:val="0"/>
      <w:divBdr>
        <w:top w:val="none" w:sz="0" w:space="0" w:color="auto"/>
        <w:left w:val="none" w:sz="0" w:space="0" w:color="auto"/>
        <w:bottom w:val="none" w:sz="0" w:space="0" w:color="auto"/>
        <w:right w:val="none" w:sz="0" w:space="0" w:color="auto"/>
      </w:divBdr>
    </w:div>
    <w:div w:id="1058816904">
      <w:bodyDiv w:val="1"/>
      <w:marLeft w:val="0"/>
      <w:marRight w:val="0"/>
      <w:marTop w:val="0"/>
      <w:marBottom w:val="0"/>
      <w:divBdr>
        <w:top w:val="none" w:sz="0" w:space="0" w:color="auto"/>
        <w:left w:val="none" w:sz="0" w:space="0" w:color="auto"/>
        <w:bottom w:val="none" w:sz="0" w:space="0" w:color="auto"/>
        <w:right w:val="none" w:sz="0" w:space="0" w:color="auto"/>
      </w:divBdr>
    </w:div>
    <w:div w:id="1059860746">
      <w:bodyDiv w:val="1"/>
      <w:marLeft w:val="0"/>
      <w:marRight w:val="0"/>
      <w:marTop w:val="0"/>
      <w:marBottom w:val="0"/>
      <w:divBdr>
        <w:top w:val="none" w:sz="0" w:space="0" w:color="auto"/>
        <w:left w:val="none" w:sz="0" w:space="0" w:color="auto"/>
        <w:bottom w:val="none" w:sz="0" w:space="0" w:color="auto"/>
        <w:right w:val="none" w:sz="0" w:space="0" w:color="auto"/>
      </w:divBdr>
    </w:div>
    <w:div w:id="1094278381">
      <w:bodyDiv w:val="1"/>
      <w:marLeft w:val="0"/>
      <w:marRight w:val="0"/>
      <w:marTop w:val="0"/>
      <w:marBottom w:val="0"/>
      <w:divBdr>
        <w:top w:val="none" w:sz="0" w:space="0" w:color="auto"/>
        <w:left w:val="none" w:sz="0" w:space="0" w:color="auto"/>
        <w:bottom w:val="none" w:sz="0" w:space="0" w:color="auto"/>
        <w:right w:val="none" w:sz="0" w:space="0" w:color="auto"/>
      </w:divBdr>
    </w:div>
    <w:div w:id="1132215452">
      <w:bodyDiv w:val="1"/>
      <w:marLeft w:val="0"/>
      <w:marRight w:val="0"/>
      <w:marTop w:val="0"/>
      <w:marBottom w:val="0"/>
      <w:divBdr>
        <w:top w:val="none" w:sz="0" w:space="0" w:color="auto"/>
        <w:left w:val="none" w:sz="0" w:space="0" w:color="auto"/>
        <w:bottom w:val="none" w:sz="0" w:space="0" w:color="auto"/>
        <w:right w:val="none" w:sz="0" w:space="0" w:color="auto"/>
      </w:divBdr>
    </w:div>
    <w:div w:id="1136684914">
      <w:bodyDiv w:val="1"/>
      <w:marLeft w:val="0"/>
      <w:marRight w:val="0"/>
      <w:marTop w:val="0"/>
      <w:marBottom w:val="0"/>
      <w:divBdr>
        <w:top w:val="none" w:sz="0" w:space="0" w:color="auto"/>
        <w:left w:val="none" w:sz="0" w:space="0" w:color="auto"/>
        <w:bottom w:val="none" w:sz="0" w:space="0" w:color="auto"/>
        <w:right w:val="none" w:sz="0" w:space="0" w:color="auto"/>
      </w:divBdr>
    </w:div>
    <w:div w:id="1145121876">
      <w:bodyDiv w:val="1"/>
      <w:marLeft w:val="0"/>
      <w:marRight w:val="0"/>
      <w:marTop w:val="0"/>
      <w:marBottom w:val="0"/>
      <w:divBdr>
        <w:top w:val="none" w:sz="0" w:space="0" w:color="auto"/>
        <w:left w:val="none" w:sz="0" w:space="0" w:color="auto"/>
        <w:bottom w:val="none" w:sz="0" w:space="0" w:color="auto"/>
        <w:right w:val="none" w:sz="0" w:space="0" w:color="auto"/>
      </w:divBdr>
    </w:div>
    <w:div w:id="1220938084">
      <w:bodyDiv w:val="1"/>
      <w:marLeft w:val="0"/>
      <w:marRight w:val="0"/>
      <w:marTop w:val="0"/>
      <w:marBottom w:val="0"/>
      <w:divBdr>
        <w:top w:val="none" w:sz="0" w:space="0" w:color="auto"/>
        <w:left w:val="none" w:sz="0" w:space="0" w:color="auto"/>
        <w:bottom w:val="none" w:sz="0" w:space="0" w:color="auto"/>
        <w:right w:val="none" w:sz="0" w:space="0" w:color="auto"/>
      </w:divBdr>
    </w:div>
    <w:div w:id="1237976013">
      <w:bodyDiv w:val="1"/>
      <w:marLeft w:val="0"/>
      <w:marRight w:val="0"/>
      <w:marTop w:val="0"/>
      <w:marBottom w:val="0"/>
      <w:divBdr>
        <w:top w:val="none" w:sz="0" w:space="0" w:color="auto"/>
        <w:left w:val="none" w:sz="0" w:space="0" w:color="auto"/>
        <w:bottom w:val="none" w:sz="0" w:space="0" w:color="auto"/>
        <w:right w:val="none" w:sz="0" w:space="0" w:color="auto"/>
      </w:divBdr>
    </w:div>
    <w:div w:id="1239755144">
      <w:bodyDiv w:val="1"/>
      <w:marLeft w:val="0"/>
      <w:marRight w:val="0"/>
      <w:marTop w:val="0"/>
      <w:marBottom w:val="0"/>
      <w:divBdr>
        <w:top w:val="none" w:sz="0" w:space="0" w:color="auto"/>
        <w:left w:val="none" w:sz="0" w:space="0" w:color="auto"/>
        <w:bottom w:val="none" w:sz="0" w:space="0" w:color="auto"/>
        <w:right w:val="none" w:sz="0" w:space="0" w:color="auto"/>
      </w:divBdr>
    </w:div>
    <w:div w:id="1252816693">
      <w:bodyDiv w:val="1"/>
      <w:marLeft w:val="0"/>
      <w:marRight w:val="0"/>
      <w:marTop w:val="0"/>
      <w:marBottom w:val="0"/>
      <w:divBdr>
        <w:top w:val="none" w:sz="0" w:space="0" w:color="auto"/>
        <w:left w:val="none" w:sz="0" w:space="0" w:color="auto"/>
        <w:bottom w:val="none" w:sz="0" w:space="0" w:color="auto"/>
        <w:right w:val="none" w:sz="0" w:space="0" w:color="auto"/>
      </w:divBdr>
    </w:div>
    <w:div w:id="1264262633">
      <w:bodyDiv w:val="1"/>
      <w:marLeft w:val="0"/>
      <w:marRight w:val="0"/>
      <w:marTop w:val="0"/>
      <w:marBottom w:val="0"/>
      <w:divBdr>
        <w:top w:val="none" w:sz="0" w:space="0" w:color="auto"/>
        <w:left w:val="none" w:sz="0" w:space="0" w:color="auto"/>
        <w:bottom w:val="none" w:sz="0" w:space="0" w:color="auto"/>
        <w:right w:val="none" w:sz="0" w:space="0" w:color="auto"/>
      </w:divBdr>
    </w:div>
    <w:div w:id="1350059171">
      <w:bodyDiv w:val="1"/>
      <w:marLeft w:val="0"/>
      <w:marRight w:val="0"/>
      <w:marTop w:val="0"/>
      <w:marBottom w:val="0"/>
      <w:divBdr>
        <w:top w:val="none" w:sz="0" w:space="0" w:color="auto"/>
        <w:left w:val="none" w:sz="0" w:space="0" w:color="auto"/>
        <w:bottom w:val="none" w:sz="0" w:space="0" w:color="auto"/>
        <w:right w:val="none" w:sz="0" w:space="0" w:color="auto"/>
      </w:divBdr>
    </w:div>
    <w:div w:id="1359505983">
      <w:bodyDiv w:val="1"/>
      <w:marLeft w:val="0"/>
      <w:marRight w:val="0"/>
      <w:marTop w:val="0"/>
      <w:marBottom w:val="0"/>
      <w:divBdr>
        <w:top w:val="none" w:sz="0" w:space="0" w:color="auto"/>
        <w:left w:val="none" w:sz="0" w:space="0" w:color="auto"/>
        <w:bottom w:val="none" w:sz="0" w:space="0" w:color="auto"/>
        <w:right w:val="none" w:sz="0" w:space="0" w:color="auto"/>
      </w:divBdr>
    </w:div>
    <w:div w:id="1396927392">
      <w:bodyDiv w:val="1"/>
      <w:marLeft w:val="0"/>
      <w:marRight w:val="0"/>
      <w:marTop w:val="0"/>
      <w:marBottom w:val="0"/>
      <w:divBdr>
        <w:top w:val="none" w:sz="0" w:space="0" w:color="auto"/>
        <w:left w:val="none" w:sz="0" w:space="0" w:color="auto"/>
        <w:bottom w:val="none" w:sz="0" w:space="0" w:color="auto"/>
        <w:right w:val="none" w:sz="0" w:space="0" w:color="auto"/>
      </w:divBdr>
    </w:div>
    <w:div w:id="1402558776">
      <w:bodyDiv w:val="1"/>
      <w:marLeft w:val="0"/>
      <w:marRight w:val="0"/>
      <w:marTop w:val="0"/>
      <w:marBottom w:val="0"/>
      <w:divBdr>
        <w:top w:val="none" w:sz="0" w:space="0" w:color="auto"/>
        <w:left w:val="none" w:sz="0" w:space="0" w:color="auto"/>
        <w:bottom w:val="none" w:sz="0" w:space="0" w:color="auto"/>
        <w:right w:val="none" w:sz="0" w:space="0" w:color="auto"/>
      </w:divBdr>
    </w:div>
    <w:div w:id="1406026302">
      <w:bodyDiv w:val="1"/>
      <w:marLeft w:val="0"/>
      <w:marRight w:val="0"/>
      <w:marTop w:val="0"/>
      <w:marBottom w:val="0"/>
      <w:divBdr>
        <w:top w:val="none" w:sz="0" w:space="0" w:color="auto"/>
        <w:left w:val="none" w:sz="0" w:space="0" w:color="auto"/>
        <w:bottom w:val="none" w:sz="0" w:space="0" w:color="auto"/>
        <w:right w:val="none" w:sz="0" w:space="0" w:color="auto"/>
      </w:divBdr>
    </w:div>
    <w:div w:id="1444110309">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541166572">
      <w:bodyDiv w:val="1"/>
      <w:marLeft w:val="0"/>
      <w:marRight w:val="0"/>
      <w:marTop w:val="0"/>
      <w:marBottom w:val="0"/>
      <w:divBdr>
        <w:top w:val="none" w:sz="0" w:space="0" w:color="auto"/>
        <w:left w:val="none" w:sz="0" w:space="0" w:color="auto"/>
        <w:bottom w:val="none" w:sz="0" w:space="0" w:color="auto"/>
        <w:right w:val="none" w:sz="0" w:space="0" w:color="auto"/>
      </w:divBdr>
    </w:div>
    <w:div w:id="1547257260">
      <w:bodyDiv w:val="1"/>
      <w:marLeft w:val="0"/>
      <w:marRight w:val="0"/>
      <w:marTop w:val="0"/>
      <w:marBottom w:val="0"/>
      <w:divBdr>
        <w:top w:val="none" w:sz="0" w:space="0" w:color="auto"/>
        <w:left w:val="none" w:sz="0" w:space="0" w:color="auto"/>
        <w:bottom w:val="none" w:sz="0" w:space="0" w:color="auto"/>
        <w:right w:val="none" w:sz="0" w:space="0" w:color="auto"/>
      </w:divBdr>
    </w:div>
    <w:div w:id="1573927406">
      <w:bodyDiv w:val="1"/>
      <w:marLeft w:val="0"/>
      <w:marRight w:val="0"/>
      <w:marTop w:val="0"/>
      <w:marBottom w:val="0"/>
      <w:divBdr>
        <w:top w:val="none" w:sz="0" w:space="0" w:color="auto"/>
        <w:left w:val="none" w:sz="0" w:space="0" w:color="auto"/>
        <w:bottom w:val="none" w:sz="0" w:space="0" w:color="auto"/>
        <w:right w:val="none" w:sz="0" w:space="0" w:color="auto"/>
      </w:divBdr>
    </w:div>
    <w:div w:id="1587808513">
      <w:bodyDiv w:val="1"/>
      <w:marLeft w:val="0"/>
      <w:marRight w:val="0"/>
      <w:marTop w:val="0"/>
      <w:marBottom w:val="0"/>
      <w:divBdr>
        <w:top w:val="none" w:sz="0" w:space="0" w:color="auto"/>
        <w:left w:val="none" w:sz="0" w:space="0" w:color="auto"/>
        <w:bottom w:val="none" w:sz="0" w:space="0" w:color="auto"/>
        <w:right w:val="none" w:sz="0" w:space="0" w:color="auto"/>
      </w:divBdr>
    </w:div>
    <w:div w:id="1650011372">
      <w:bodyDiv w:val="1"/>
      <w:marLeft w:val="0"/>
      <w:marRight w:val="0"/>
      <w:marTop w:val="0"/>
      <w:marBottom w:val="0"/>
      <w:divBdr>
        <w:top w:val="none" w:sz="0" w:space="0" w:color="auto"/>
        <w:left w:val="none" w:sz="0" w:space="0" w:color="auto"/>
        <w:bottom w:val="none" w:sz="0" w:space="0" w:color="auto"/>
        <w:right w:val="none" w:sz="0" w:space="0" w:color="auto"/>
      </w:divBdr>
    </w:div>
    <w:div w:id="1684433441">
      <w:bodyDiv w:val="1"/>
      <w:marLeft w:val="0"/>
      <w:marRight w:val="0"/>
      <w:marTop w:val="0"/>
      <w:marBottom w:val="0"/>
      <w:divBdr>
        <w:top w:val="none" w:sz="0" w:space="0" w:color="auto"/>
        <w:left w:val="none" w:sz="0" w:space="0" w:color="auto"/>
        <w:bottom w:val="none" w:sz="0" w:space="0" w:color="auto"/>
        <w:right w:val="none" w:sz="0" w:space="0" w:color="auto"/>
      </w:divBdr>
    </w:div>
    <w:div w:id="1702852672">
      <w:bodyDiv w:val="1"/>
      <w:marLeft w:val="0"/>
      <w:marRight w:val="0"/>
      <w:marTop w:val="0"/>
      <w:marBottom w:val="0"/>
      <w:divBdr>
        <w:top w:val="none" w:sz="0" w:space="0" w:color="auto"/>
        <w:left w:val="none" w:sz="0" w:space="0" w:color="auto"/>
        <w:bottom w:val="none" w:sz="0" w:space="0" w:color="auto"/>
        <w:right w:val="none" w:sz="0" w:space="0" w:color="auto"/>
      </w:divBdr>
    </w:div>
    <w:div w:id="1703433972">
      <w:bodyDiv w:val="1"/>
      <w:marLeft w:val="0"/>
      <w:marRight w:val="0"/>
      <w:marTop w:val="0"/>
      <w:marBottom w:val="0"/>
      <w:divBdr>
        <w:top w:val="none" w:sz="0" w:space="0" w:color="auto"/>
        <w:left w:val="none" w:sz="0" w:space="0" w:color="auto"/>
        <w:bottom w:val="none" w:sz="0" w:space="0" w:color="auto"/>
        <w:right w:val="none" w:sz="0" w:space="0" w:color="auto"/>
      </w:divBdr>
    </w:div>
    <w:div w:id="177956748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0339649">
      <w:bodyDiv w:val="1"/>
      <w:marLeft w:val="0"/>
      <w:marRight w:val="0"/>
      <w:marTop w:val="0"/>
      <w:marBottom w:val="0"/>
      <w:divBdr>
        <w:top w:val="none" w:sz="0" w:space="0" w:color="auto"/>
        <w:left w:val="none" w:sz="0" w:space="0" w:color="auto"/>
        <w:bottom w:val="none" w:sz="0" w:space="0" w:color="auto"/>
        <w:right w:val="none" w:sz="0" w:space="0" w:color="auto"/>
      </w:divBdr>
    </w:div>
    <w:div w:id="1805195177">
      <w:bodyDiv w:val="1"/>
      <w:marLeft w:val="0"/>
      <w:marRight w:val="0"/>
      <w:marTop w:val="0"/>
      <w:marBottom w:val="0"/>
      <w:divBdr>
        <w:top w:val="none" w:sz="0" w:space="0" w:color="auto"/>
        <w:left w:val="none" w:sz="0" w:space="0" w:color="auto"/>
        <w:bottom w:val="none" w:sz="0" w:space="0" w:color="auto"/>
        <w:right w:val="none" w:sz="0" w:space="0" w:color="auto"/>
      </w:divBdr>
    </w:div>
    <w:div w:id="1809204489">
      <w:bodyDiv w:val="1"/>
      <w:marLeft w:val="0"/>
      <w:marRight w:val="0"/>
      <w:marTop w:val="0"/>
      <w:marBottom w:val="0"/>
      <w:divBdr>
        <w:top w:val="none" w:sz="0" w:space="0" w:color="auto"/>
        <w:left w:val="none" w:sz="0" w:space="0" w:color="auto"/>
        <w:bottom w:val="none" w:sz="0" w:space="0" w:color="auto"/>
        <w:right w:val="none" w:sz="0" w:space="0" w:color="auto"/>
      </w:divBdr>
    </w:div>
    <w:div w:id="1839080660">
      <w:bodyDiv w:val="1"/>
      <w:marLeft w:val="0"/>
      <w:marRight w:val="0"/>
      <w:marTop w:val="0"/>
      <w:marBottom w:val="0"/>
      <w:divBdr>
        <w:top w:val="none" w:sz="0" w:space="0" w:color="auto"/>
        <w:left w:val="none" w:sz="0" w:space="0" w:color="auto"/>
        <w:bottom w:val="none" w:sz="0" w:space="0" w:color="auto"/>
        <w:right w:val="none" w:sz="0" w:space="0" w:color="auto"/>
      </w:divBdr>
    </w:div>
    <w:div w:id="1851068988">
      <w:bodyDiv w:val="1"/>
      <w:marLeft w:val="0"/>
      <w:marRight w:val="0"/>
      <w:marTop w:val="0"/>
      <w:marBottom w:val="0"/>
      <w:divBdr>
        <w:top w:val="none" w:sz="0" w:space="0" w:color="auto"/>
        <w:left w:val="none" w:sz="0" w:space="0" w:color="auto"/>
        <w:bottom w:val="none" w:sz="0" w:space="0" w:color="auto"/>
        <w:right w:val="none" w:sz="0" w:space="0" w:color="auto"/>
      </w:divBdr>
    </w:div>
    <w:div w:id="2021615241">
      <w:bodyDiv w:val="1"/>
      <w:marLeft w:val="0"/>
      <w:marRight w:val="0"/>
      <w:marTop w:val="0"/>
      <w:marBottom w:val="0"/>
      <w:divBdr>
        <w:top w:val="none" w:sz="0" w:space="0" w:color="auto"/>
        <w:left w:val="none" w:sz="0" w:space="0" w:color="auto"/>
        <w:bottom w:val="none" w:sz="0" w:space="0" w:color="auto"/>
        <w:right w:val="none" w:sz="0" w:space="0" w:color="auto"/>
      </w:divBdr>
    </w:div>
    <w:div w:id="2062748140">
      <w:bodyDiv w:val="1"/>
      <w:marLeft w:val="0"/>
      <w:marRight w:val="0"/>
      <w:marTop w:val="0"/>
      <w:marBottom w:val="0"/>
      <w:divBdr>
        <w:top w:val="none" w:sz="0" w:space="0" w:color="auto"/>
        <w:left w:val="none" w:sz="0" w:space="0" w:color="auto"/>
        <w:bottom w:val="none" w:sz="0" w:space="0" w:color="auto"/>
        <w:right w:val="none" w:sz="0" w:space="0" w:color="auto"/>
      </w:divBdr>
    </w:div>
    <w:div w:id="2112780458">
      <w:bodyDiv w:val="1"/>
      <w:marLeft w:val="0"/>
      <w:marRight w:val="0"/>
      <w:marTop w:val="0"/>
      <w:marBottom w:val="0"/>
      <w:divBdr>
        <w:top w:val="none" w:sz="0" w:space="0" w:color="auto"/>
        <w:left w:val="none" w:sz="0" w:space="0" w:color="auto"/>
        <w:bottom w:val="none" w:sz="0" w:space="0" w:color="auto"/>
        <w:right w:val="none" w:sz="0" w:space="0" w:color="auto"/>
      </w:divBdr>
    </w:div>
    <w:div w:id="2118715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D8E47-3C94-4676-8C48-9CAC1514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10812</Words>
  <Characters>61630</Characters>
  <Application>Microsoft Office Word</Application>
  <DocSecurity>0</DocSecurity>
  <Lines>513</Lines>
  <Paragraphs>144</Paragraphs>
  <ScaleCrop>false</ScaleCrop>
  <Company/>
  <LinksUpToDate>false</LinksUpToDate>
  <CharactersWithSpaces>72298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2021-06-22T15:04:00Z</dcterms:created>
  <dcterms:modified xsi:type="dcterms:W3CDTF">2021-06-22T15:04:00Z</dcterms:modified>
</cp:coreProperties>
</file>