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F82A" w14:textId="77777777" w:rsidR="00040C3A" w:rsidRPr="00AD7158" w:rsidRDefault="00D306D1" w:rsidP="00B419FB">
      <w:pPr>
        <w:jc w:val="both"/>
        <w:rPr>
          <w:rFonts w:asciiTheme="majorHAnsi" w:hAnsiTheme="majorHAnsi" w:cs="Univers"/>
          <w:b/>
          <w:bCs/>
          <w:sz w:val="20"/>
          <w:szCs w:val="20"/>
          <w:lang w:val="es-ES_tradnl"/>
        </w:rPr>
      </w:pPr>
      <w:r w:rsidRPr="00AD715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5141195" wp14:editId="2DF3501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A68C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D715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A54E084" wp14:editId="5536177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31A7E" w14:textId="77777777" w:rsidR="003F0CB9" w:rsidRDefault="003F0CB9" w:rsidP="00AE5488">
                            <w:r>
                              <w:rPr>
                                <w:noProof/>
                              </w:rPr>
                              <w:drawing>
                                <wp:inline distT="0" distB="0" distL="0" distR="0" wp14:anchorId="31685A14" wp14:editId="0B546D7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4E08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8C31A7E" w14:textId="77777777" w:rsidR="003F0CB9" w:rsidRDefault="003F0CB9" w:rsidP="00AE5488">
                      <w:r>
                        <w:rPr>
                          <w:noProof/>
                        </w:rPr>
                        <w:drawing>
                          <wp:inline distT="0" distB="0" distL="0" distR="0" wp14:anchorId="31685A14" wp14:editId="0B546D7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C8D4364" w14:textId="77777777" w:rsidR="00040C3A" w:rsidRPr="00AD7158" w:rsidRDefault="00040C3A" w:rsidP="00B419FB">
      <w:pPr>
        <w:tabs>
          <w:tab w:val="center" w:pos="5400"/>
        </w:tabs>
        <w:suppressAutoHyphens/>
        <w:jc w:val="both"/>
        <w:rPr>
          <w:rFonts w:asciiTheme="majorHAnsi" w:hAnsiTheme="majorHAnsi"/>
          <w:sz w:val="20"/>
          <w:szCs w:val="20"/>
          <w:lang w:val="es-ES"/>
        </w:rPr>
      </w:pPr>
    </w:p>
    <w:p w14:paraId="425F2EE4" w14:textId="77777777" w:rsidR="00040C3A" w:rsidRPr="00AD7158" w:rsidRDefault="00040C3A" w:rsidP="00B419FB">
      <w:pPr>
        <w:tabs>
          <w:tab w:val="center" w:pos="5400"/>
        </w:tabs>
        <w:suppressAutoHyphens/>
        <w:jc w:val="both"/>
        <w:rPr>
          <w:rFonts w:asciiTheme="majorHAnsi" w:hAnsiTheme="majorHAnsi"/>
          <w:sz w:val="20"/>
          <w:szCs w:val="20"/>
          <w:lang w:val="es-ES"/>
        </w:rPr>
      </w:pPr>
    </w:p>
    <w:p w14:paraId="5896B951" w14:textId="77777777" w:rsidR="005128E4" w:rsidRPr="00AD7158" w:rsidRDefault="005128E4" w:rsidP="00B419FB">
      <w:pPr>
        <w:tabs>
          <w:tab w:val="center" w:pos="5400"/>
        </w:tabs>
        <w:suppressAutoHyphens/>
        <w:rPr>
          <w:rFonts w:asciiTheme="majorHAnsi" w:hAnsiTheme="majorHAnsi"/>
          <w:sz w:val="20"/>
          <w:szCs w:val="20"/>
          <w:lang w:val="es-ES_tradnl"/>
        </w:rPr>
      </w:pPr>
    </w:p>
    <w:p w14:paraId="2950461F" w14:textId="77777777" w:rsidR="005128E4" w:rsidRPr="00AD7158" w:rsidRDefault="005128E4" w:rsidP="00B419FB">
      <w:pPr>
        <w:tabs>
          <w:tab w:val="center" w:pos="5400"/>
        </w:tabs>
        <w:suppressAutoHyphens/>
        <w:rPr>
          <w:rFonts w:asciiTheme="majorHAnsi" w:hAnsiTheme="majorHAnsi"/>
          <w:sz w:val="20"/>
          <w:szCs w:val="20"/>
          <w:lang w:val="es-ES_tradnl"/>
        </w:rPr>
      </w:pPr>
    </w:p>
    <w:p w14:paraId="079EEA1B" w14:textId="77777777" w:rsidR="005128E4" w:rsidRPr="00AD7158" w:rsidRDefault="005128E4" w:rsidP="00B419FB">
      <w:pPr>
        <w:tabs>
          <w:tab w:val="center" w:pos="5400"/>
        </w:tabs>
        <w:suppressAutoHyphens/>
        <w:rPr>
          <w:rFonts w:asciiTheme="majorHAnsi" w:hAnsiTheme="majorHAnsi"/>
          <w:sz w:val="20"/>
          <w:szCs w:val="20"/>
          <w:lang w:val="es-ES_tradnl"/>
        </w:rPr>
      </w:pPr>
    </w:p>
    <w:p w14:paraId="7687D54A" w14:textId="77777777" w:rsidR="00040C3A" w:rsidRPr="00AD7158" w:rsidRDefault="00040C3A" w:rsidP="00B419FB">
      <w:pPr>
        <w:tabs>
          <w:tab w:val="center" w:pos="5400"/>
        </w:tabs>
        <w:suppressAutoHyphens/>
        <w:jc w:val="center"/>
        <w:rPr>
          <w:rFonts w:asciiTheme="majorHAnsi" w:hAnsiTheme="majorHAnsi"/>
          <w:sz w:val="20"/>
          <w:szCs w:val="20"/>
          <w:lang w:val="es-ES_tradnl"/>
        </w:rPr>
      </w:pPr>
    </w:p>
    <w:p w14:paraId="540E5CA9" w14:textId="77777777" w:rsidR="00040C3A" w:rsidRPr="00AD7158" w:rsidRDefault="00040C3A" w:rsidP="00B419FB">
      <w:pPr>
        <w:tabs>
          <w:tab w:val="center" w:pos="5400"/>
        </w:tabs>
        <w:suppressAutoHyphens/>
        <w:jc w:val="center"/>
        <w:rPr>
          <w:rFonts w:asciiTheme="majorHAnsi" w:hAnsiTheme="majorHAnsi"/>
          <w:sz w:val="20"/>
          <w:szCs w:val="20"/>
          <w:lang w:val="es-ES_tradnl"/>
        </w:rPr>
      </w:pPr>
    </w:p>
    <w:p w14:paraId="4605A512" w14:textId="77777777" w:rsidR="005B52B0" w:rsidRPr="00AD7158" w:rsidRDefault="005B52B0" w:rsidP="00B419FB">
      <w:pPr>
        <w:tabs>
          <w:tab w:val="center" w:pos="5400"/>
        </w:tabs>
        <w:suppressAutoHyphens/>
        <w:jc w:val="center"/>
        <w:rPr>
          <w:rFonts w:asciiTheme="majorHAnsi" w:hAnsiTheme="majorHAnsi"/>
          <w:sz w:val="20"/>
          <w:szCs w:val="20"/>
          <w:lang w:val="es-ES_tradnl"/>
        </w:rPr>
      </w:pPr>
    </w:p>
    <w:p w14:paraId="619A9009" w14:textId="77777777" w:rsidR="005B52B0" w:rsidRPr="00AD7158" w:rsidRDefault="005B52B0" w:rsidP="00B419FB">
      <w:pPr>
        <w:tabs>
          <w:tab w:val="center" w:pos="5400"/>
        </w:tabs>
        <w:suppressAutoHyphens/>
        <w:jc w:val="center"/>
        <w:rPr>
          <w:rFonts w:asciiTheme="majorHAnsi" w:hAnsiTheme="majorHAnsi"/>
          <w:sz w:val="20"/>
          <w:szCs w:val="20"/>
          <w:lang w:val="es-ES_tradnl"/>
        </w:rPr>
      </w:pPr>
    </w:p>
    <w:p w14:paraId="019483B6" w14:textId="77777777" w:rsidR="005B52B0" w:rsidRPr="00AD7158" w:rsidRDefault="005B52B0" w:rsidP="00B419FB">
      <w:pPr>
        <w:tabs>
          <w:tab w:val="center" w:pos="5400"/>
        </w:tabs>
        <w:suppressAutoHyphens/>
        <w:jc w:val="center"/>
        <w:rPr>
          <w:rFonts w:asciiTheme="majorHAnsi" w:hAnsiTheme="majorHAnsi"/>
          <w:sz w:val="20"/>
          <w:szCs w:val="20"/>
          <w:lang w:val="es-ES_tradnl"/>
        </w:rPr>
      </w:pPr>
    </w:p>
    <w:p w14:paraId="398D99CF" w14:textId="77777777" w:rsidR="00040C3A" w:rsidRPr="00AD7158" w:rsidRDefault="00040C3A" w:rsidP="00B419FB">
      <w:pPr>
        <w:tabs>
          <w:tab w:val="center" w:pos="5400"/>
        </w:tabs>
        <w:suppressAutoHyphens/>
        <w:jc w:val="center"/>
        <w:rPr>
          <w:rFonts w:asciiTheme="majorHAnsi" w:hAnsiTheme="majorHAnsi"/>
          <w:sz w:val="20"/>
          <w:szCs w:val="20"/>
          <w:lang w:val="es-ES_tradnl"/>
        </w:rPr>
      </w:pPr>
    </w:p>
    <w:p w14:paraId="085278FD" w14:textId="77777777" w:rsidR="00040C3A" w:rsidRPr="00AD7158" w:rsidRDefault="00040C3A" w:rsidP="00B419FB">
      <w:pPr>
        <w:tabs>
          <w:tab w:val="center" w:pos="5400"/>
        </w:tabs>
        <w:suppressAutoHyphens/>
        <w:jc w:val="center"/>
        <w:rPr>
          <w:rFonts w:asciiTheme="majorHAnsi" w:hAnsiTheme="majorHAnsi"/>
          <w:sz w:val="20"/>
          <w:szCs w:val="20"/>
          <w:lang w:val="es-ES_tradnl"/>
        </w:rPr>
      </w:pPr>
    </w:p>
    <w:p w14:paraId="5EF8383B" w14:textId="77777777" w:rsidR="00040C3A" w:rsidRPr="00AD7158" w:rsidRDefault="003D3BC2" w:rsidP="00B419FB">
      <w:pPr>
        <w:tabs>
          <w:tab w:val="center" w:pos="5400"/>
        </w:tabs>
        <w:suppressAutoHyphens/>
        <w:jc w:val="center"/>
        <w:rPr>
          <w:rFonts w:asciiTheme="majorHAnsi" w:hAnsiTheme="majorHAnsi"/>
          <w:sz w:val="20"/>
          <w:szCs w:val="20"/>
          <w:lang w:val="es-ES_tradnl"/>
        </w:rPr>
      </w:pPr>
      <w:r w:rsidRPr="00AD715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172E550C" wp14:editId="67815EA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F80DC" w14:textId="77777777" w:rsidR="003F0CB9" w:rsidRPr="00595F18" w:rsidRDefault="003F0CB9" w:rsidP="00997BC5">
                            <w:pPr>
                              <w:spacing w:line="276" w:lineRule="auto"/>
                              <w:rPr>
                                <w:rFonts w:asciiTheme="majorHAnsi" w:hAnsiTheme="majorHAnsi" w:cs="Arial"/>
                                <w:b/>
                                <w:bCs/>
                                <w:color w:val="0D0D0D" w:themeColor="text1" w:themeTint="F2"/>
                                <w:sz w:val="36"/>
                                <w:szCs w:val="22"/>
                                <w:lang w:val="es-ES"/>
                              </w:rPr>
                            </w:pPr>
                            <w:r w:rsidRPr="00595F18">
                              <w:rPr>
                                <w:rFonts w:asciiTheme="majorHAnsi" w:hAnsiTheme="majorHAnsi" w:cs="Arial"/>
                                <w:b/>
                                <w:bCs/>
                                <w:color w:val="0D0D0D" w:themeColor="text1" w:themeTint="F2"/>
                                <w:sz w:val="36"/>
                                <w:szCs w:val="22"/>
                                <w:lang w:val="es-ES"/>
                              </w:rPr>
                              <w:t xml:space="preserve">INFORME </w:t>
                            </w:r>
                            <w:r w:rsidRPr="00595F18">
                              <w:rPr>
                                <w:rFonts w:asciiTheme="majorHAnsi" w:hAnsiTheme="majorHAnsi" w:cs="Arial"/>
                                <w:b/>
                                <w:bCs/>
                                <w:color w:val="0D0D0D" w:themeColor="text1" w:themeTint="F2"/>
                                <w:sz w:val="36"/>
                                <w:szCs w:val="40"/>
                                <w:lang w:val="es-ES"/>
                              </w:rPr>
                              <w:t>No.</w:t>
                            </w:r>
                            <w:r w:rsidR="000E174E">
                              <w:rPr>
                                <w:rFonts w:asciiTheme="majorHAnsi" w:hAnsiTheme="majorHAnsi" w:cs="Arial"/>
                                <w:b/>
                                <w:bCs/>
                                <w:color w:val="0D0D0D" w:themeColor="text1" w:themeTint="F2"/>
                                <w:sz w:val="36"/>
                                <w:szCs w:val="22"/>
                                <w:lang w:val="es-ES"/>
                              </w:rPr>
                              <w:t xml:space="preserve"> 237</w:t>
                            </w:r>
                            <w:r w:rsidRPr="00595F18">
                              <w:rPr>
                                <w:rFonts w:asciiTheme="majorHAnsi" w:hAnsiTheme="majorHAnsi" w:cs="Arial"/>
                                <w:b/>
                                <w:bCs/>
                                <w:color w:val="0D0D0D" w:themeColor="text1" w:themeTint="F2"/>
                                <w:sz w:val="36"/>
                                <w:szCs w:val="22"/>
                                <w:lang w:val="es-ES"/>
                              </w:rPr>
                              <w:t>/19</w:t>
                            </w:r>
                          </w:p>
                          <w:p w14:paraId="502F210F" w14:textId="77777777" w:rsidR="003F0CB9" w:rsidRPr="00595F18" w:rsidRDefault="003F0CB9" w:rsidP="00997BC5">
                            <w:pPr>
                              <w:spacing w:line="276" w:lineRule="auto"/>
                              <w:rPr>
                                <w:rFonts w:asciiTheme="majorHAnsi" w:hAnsiTheme="majorHAnsi" w:cs="Arial"/>
                                <w:b/>
                                <w:color w:val="0D0D0D" w:themeColor="text1" w:themeTint="F2"/>
                                <w:sz w:val="36"/>
                                <w:szCs w:val="22"/>
                                <w:lang w:val="es-ES"/>
                              </w:rPr>
                            </w:pPr>
                            <w:r w:rsidRPr="00595F18">
                              <w:rPr>
                                <w:rFonts w:asciiTheme="majorHAnsi" w:hAnsiTheme="majorHAnsi" w:cs="Arial"/>
                                <w:b/>
                                <w:color w:val="0D0D0D" w:themeColor="text1" w:themeTint="F2"/>
                                <w:sz w:val="36"/>
                                <w:szCs w:val="22"/>
                                <w:lang w:val="es-ES"/>
                              </w:rPr>
                              <w:t>CASO 13.041</w:t>
                            </w:r>
                          </w:p>
                          <w:p w14:paraId="3B140B93" w14:textId="77777777" w:rsidR="003F0CB9" w:rsidRPr="00647FCE" w:rsidRDefault="003F0CB9" w:rsidP="000158FD">
                            <w:pPr>
                              <w:spacing w:line="276" w:lineRule="auto"/>
                              <w:rPr>
                                <w:rFonts w:asciiTheme="majorHAnsi" w:hAnsiTheme="majorHAnsi" w:cs="Arial"/>
                                <w:szCs w:val="22"/>
                                <w:lang w:val="es-ES_tradnl"/>
                              </w:rPr>
                            </w:pPr>
                            <w:r w:rsidRPr="00D00FC9">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0B0CD90D" w14:textId="77777777" w:rsidR="003F0CB9" w:rsidRPr="0010736F" w:rsidRDefault="003F0CB9" w:rsidP="00997BC5">
                            <w:pPr>
                              <w:spacing w:line="276" w:lineRule="auto"/>
                              <w:rPr>
                                <w:rFonts w:asciiTheme="majorHAnsi" w:hAnsiTheme="majorHAnsi" w:cs="Arial"/>
                                <w:color w:val="0D0D0D" w:themeColor="text1" w:themeTint="F2"/>
                                <w:szCs w:val="22"/>
                                <w:lang w:val="es-ES_tradnl"/>
                              </w:rPr>
                            </w:pPr>
                            <w:bookmarkStart w:id="0" w:name="_ftnref1"/>
                          </w:p>
                          <w:p w14:paraId="06EF889D" w14:textId="77777777" w:rsidR="003F0CB9" w:rsidRPr="0010736F" w:rsidRDefault="003F0CB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GUILLERMO ANTONIO ÁLVAREZ</w:t>
                            </w:r>
                          </w:p>
                          <w:bookmarkEnd w:id="0"/>
                          <w:p w14:paraId="2E58AE0D" w14:textId="77777777" w:rsidR="003F0CB9" w:rsidRPr="0010736F" w:rsidRDefault="003F0CB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1B19F959" w14:textId="77777777" w:rsidR="003F0CB9" w:rsidRPr="00AE5488" w:rsidRDefault="003F0CB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E550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5EF80DC" w14:textId="77777777" w:rsidR="003F0CB9" w:rsidRPr="00595F18" w:rsidRDefault="003F0CB9" w:rsidP="00997BC5">
                      <w:pPr>
                        <w:spacing w:line="276" w:lineRule="auto"/>
                        <w:rPr>
                          <w:rFonts w:asciiTheme="majorHAnsi" w:hAnsiTheme="majorHAnsi" w:cs="Arial"/>
                          <w:b/>
                          <w:bCs/>
                          <w:color w:val="0D0D0D" w:themeColor="text1" w:themeTint="F2"/>
                          <w:sz w:val="36"/>
                          <w:szCs w:val="22"/>
                          <w:lang w:val="es-ES"/>
                        </w:rPr>
                      </w:pPr>
                      <w:r w:rsidRPr="00595F18">
                        <w:rPr>
                          <w:rFonts w:asciiTheme="majorHAnsi" w:hAnsiTheme="majorHAnsi" w:cs="Arial"/>
                          <w:b/>
                          <w:bCs/>
                          <w:color w:val="0D0D0D" w:themeColor="text1" w:themeTint="F2"/>
                          <w:sz w:val="36"/>
                          <w:szCs w:val="22"/>
                          <w:lang w:val="es-ES"/>
                        </w:rPr>
                        <w:t xml:space="preserve">INFORME </w:t>
                      </w:r>
                      <w:r w:rsidRPr="00595F18">
                        <w:rPr>
                          <w:rFonts w:asciiTheme="majorHAnsi" w:hAnsiTheme="majorHAnsi" w:cs="Arial"/>
                          <w:b/>
                          <w:bCs/>
                          <w:color w:val="0D0D0D" w:themeColor="text1" w:themeTint="F2"/>
                          <w:sz w:val="36"/>
                          <w:szCs w:val="40"/>
                          <w:lang w:val="es-ES"/>
                        </w:rPr>
                        <w:t>No.</w:t>
                      </w:r>
                      <w:r w:rsidR="000E174E">
                        <w:rPr>
                          <w:rFonts w:asciiTheme="majorHAnsi" w:hAnsiTheme="majorHAnsi" w:cs="Arial"/>
                          <w:b/>
                          <w:bCs/>
                          <w:color w:val="0D0D0D" w:themeColor="text1" w:themeTint="F2"/>
                          <w:sz w:val="36"/>
                          <w:szCs w:val="22"/>
                          <w:lang w:val="es-ES"/>
                        </w:rPr>
                        <w:t xml:space="preserve"> 237</w:t>
                      </w:r>
                      <w:r w:rsidRPr="00595F18">
                        <w:rPr>
                          <w:rFonts w:asciiTheme="majorHAnsi" w:hAnsiTheme="majorHAnsi" w:cs="Arial"/>
                          <w:b/>
                          <w:bCs/>
                          <w:color w:val="0D0D0D" w:themeColor="text1" w:themeTint="F2"/>
                          <w:sz w:val="36"/>
                          <w:szCs w:val="22"/>
                          <w:lang w:val="es-ES"/>
                        </w:rPr>
                        <w:t>/19</w:t>
                      </w:r>
                    </w:p>
                    <w:p w14:paraId="502F210F" w14:textId="77777777" w:rsidR="003F0CB9" w:rsidRPr="00595F18" w:rsidRDefault="003F0CB9" w:rsidP="00997BC5">
                      <w:pPr>
                        <w:spacing w:line="276" w:lineRule="auto"/>
                        <w:rPr>
                          <w:rFonts w:asciiTheme="majorHAnsi" w:hAnsiTheme="majorHAnsi" w:cs="Arial"/>
                          <w:b/>
                          <w:color w:val="0D0D0D" w:themeColor="text1" w:themeTint="F2"/>
                          <w:sz w:val="36"/>
                          <w:szCs w:val="22"/>
                          <w:lang w:val="es-ES"/>
                        </w:rPr>
                      </w:pPr>
                      <w:r w:rsidRPr="00595F18">
                        <w:rPr>
                          <w:rFonts w:asciiTheme="majorHAnsi" w:hAnsiTheme="majorHAnsi" w:cs="Arial"/>
                          <w:b/>
                          <w:color w:val="0D0D0D" w:themeColor="text1" w:themeTint="F2"/>
                          <w:sz w:val="36"/>
                          <w:szCs w:val="22"/>
                          <w:lang w:val="es-ES"/>
                        </w:rPr>
                        <w:t>CASO 13.041</w:t>
                      </w:r>
                    </w:p>
                    <w:p w14:paraId="3B140B93" w14:textId="77777777" w:rsidR="003F0CB9" w:rsidRPr="00647FCE" w:rsidRDefault="003F0CB9" w:rsidP="000158FD">
                      <w:pPr>
                        <w:spacing w:line="276" w:lineRule="auto"/>
                        <w:rPr>
                          <w:rFonts w:asciiTheme="majorHAnsi" w:hAnsiTheme="majorHAnsi" w:cs="Arial"/>
                          <w:szCs w:val="22"/>
                          <w:lang w:val="es-ES_tradnl"/>
                        </w:rPr>
                      </w:pPr>
                      <w:r w:rsidRPr="00D00FC9">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0B0CD90D" w14:textId="77777777" w:rsidR="003F0CB9" w:rsidRPr="0010736F" w:rsidRDefault="003F0CB9" w:rsidP="00997BC5">
                      <w:pPr>
                        <w:spacing w:line="276" w:lineRule="auto"/>
                        <w:rPr>
                          <w:rFonts w:asciiTheme="majorHAnsi" w:hAnsiTheme="majorHAnsi" w:cs="Arial"/>
                          <w:color w:val="0D0D0D" w:themeColor="text1" w:themeTint="F2"/>
                          <w:szCs w:val="22"/>
                          <w:lang w:val="es-ES_tradnl"/>
                        </w:rPr>
                      </w:pPr>
                      <w:bookmarkStart w:id="1" w:name="_ftnref1"/>
                    </w:p>
                    <w:p w14:paraId="06EF889D" w14:textId="77777777" w:rsidR="003F0CB9" w:rsidRPr="0010736F" w:rsidRDefault="003F0CB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GUILLERMO ANTONIO ÁLVAREZ</w:t>
                      </w:r>
                    </w:p>
                    <w:bookmarkEnd w:id="1"/>
                    <w:p w14:paraId="2E58AE0D" w14:textId="77777777" w:rsidR="003F0CB9" w:rsidRPr="0010736F" w:rsidRDefault="003F0CB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1B19F959" w14:textId="77777777" w:rsidR="003F0CB9" w:rsidRPr="00AE5488" w:rsidRDefault="003F0CB9" w:rsidP="007A5817">
                      <w:pPr>
                        <w:rPr>
                          <w:color w:val="0D0D0D" w:themeColor="text1" w:themeTint="F2"/>
                          <w:lang w:val="es-ES_tradnl"/>
                        </w:rPr>
                      </w:pPr>
                    </w:p>
                  </w:txbxContent>
                </v:textbox>
              </v:shape>
            </w:pict>
          </mc:Fallback>
        </mc:AlternateContent>
      </w:r>
      <w:r w:rsidR="004E2649" w:rsidRPr="00AD7158">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919672A" wp14:editId="0E97941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FFF63" w14:textId="77777777" w:rsidR="003F0CB9" w:rsidRPr="004E2649" w:rsidRDefault="000E174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6B53F78" w14:textId="77777777" w:rsidR="003F0CB9" w:rsidRPr="004E2649" w:rsidRDefault="000E174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w:t>
                            </w:r>
                            <w:r w:rsidR="00DD2470">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265</w:t>
                            </w:r>
                          </w:p>
                          <w:p w14:paraId="2250DBE0" w14:textId="77777777" w:rsidR="003F0CB9" w:rsidRPr="007C756A" w:rsidRDefault="000E174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5 diciembre 2019</w:t>
                            </w:r>
                          </w:p>
                          <w:p w14:paraId="130FEED4" w14:textId="77777777" w:rsidR="003F0CB9" w:rsidRPr="007C756A" w:rsidRDefault="003F0CB9"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9672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EBFFF63" w14:textId="77777777" w:rsidR="003F0CB9" w:rsidRPr="004E2649" w:rsidRDefault="000E174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6B53F78" w14:textId="77777777" w:rsidR="003F0CB9" w:rsidRPr="004E2649" w:rsidRDefault="000E174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w:t>
                      </w:r>
                      <w:r w:rsidR="00DD2470">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265</w:t>
                      </w:r>
                    </w:p>
                    <w:p w14:paraId="2250DBE0" w14:textId="77777777" w:rsidR="003F0CB9" w:rsidRPr="007C756A" w:rsidRDefault="000E174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5 diciembre 2019</w:t>
                      </w:r>
                    </w:p>
                    <w:p w14:paraId="130FEED4" w14:textId="77777777" w:rsidR="003F0CB9" w:rsidRPr="007C756A" w:rsidRDefault="003F0CB9"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739223B8" w14:textId="77777777" w:rsidR="00040C3A" w:rsidRPr="00AD7158" w:rsidRDefault="00040C3A" w:rsidP="00B419FB">
      <w:pPr>
        <w:tabs>
          <w:tab w:val="center" w:pos="5400"/>
        </w:tabs>
        <w:suppressAutoHyphens/>
        <w:jc w:val="center"/>
        <w:rPr>
          <w:rFonts w:asciiTheme="majorHAnsi" w:hAnsiTheme="majorHAnsi"/>
          <w:sz w:val="20"/>
          <w:szCs w:val="20"/>
          <w:lang w:val="es-ES_tradnl"/>
        </w:rPr>
      </w:pPr>
    </w:p>
    <w:p w14:paraId="48714673" w14:textId="77777777" w:rsidR="00040C3A" w:rsidRPr="00AD7158" w:rsidRDefault="00040C3A" w:rsidP="00B419FB">
      <w:pPr>
        <w:tabs>
          <w:tab w:val="center" w:pos="5400"/>
        </w:tabs>
        <w:suppressAutoHyphens/>
        <w:jc w:val="center"/>
        <w:rPr>
          <w:rFonts w:asciiTheme="majorHAnsi" w:hAnsiTheme="majorHAnsi"/>
          <w:sz w:val="20"/>
          <w:szCs w:val="20"/>
          <w:lang w:val="es-ES_tradnl"/>
        </w:rPr>
      </w:pPr>
    </w:p>
    <w:p w14:paraId="3CA88650" w14:textId="77777777" w:rsidR="00040C3A" w:rsidRPr="00AD7158" w:rsidRDefault="00040C3A" w:rsidP="00B419FB">
      <w:pPr>
        <w:tabs>
          <w:tab w:val="center" w:pos="5400"/>
        </w:tabs>
        <w:suppressAutoHyphens/>
        <w:jc w:val="center"/>
        <w:rPr>
          <w:rFonts w:asciiTheme="majorHAnsi" w:hAnsiTheme="majorHAnsi" w:cs="Arial"/>
          <w:sz w:val="20"/>
          <w:szCs w:val="20"/>
          <w:lang w:val="es-ES_tradnl"/>
        </w:rPr>
      </w:pPr>
    </w:p>
    <w:p w14:paraId="2835916B" w14:textId="77777777" w:rsidR="00040C3A" w:rsidRPr="00AD7158" w:rsidRDefault="00040C3A" w:rsidP="00B419FB">
      <w:pPr>
        <w:tabs>
          <w:tab w:val="center" w:pos="5400"/>
        </w:tabs>
        <w:suppressAutoHyphens/>
        <w:jc w:val="center"/>
        <w:rPr>
          <w:rFonts w:asciiTheme="majorHAnsi" w:hAnsiTheme="majorHAnsi"/>
          <w:sz w:val="20"/>
          <w:szCs w:val="20"/>
          <w:lang w:val="es-ES_tradnl"/>
        </w:rPr>
      </w:pPr>
    </w:p>
    <w:p w14:paraId="2A186DFE" w14:textId="77777777" w:rsidR="00040C3A" w:rsidRPr="00AD7158" w:rsidRDefault="00040C3A" w:rsidP="00B419FB">
      <w:pPr>
        <w:tabs>
          <w:tab w:val="center" w:pos="5400"/>
        </w:tabs>
        <w:suppressAutoHyphens/>
        <w:jc w:val="center"/>
        <w:rPr>
          <w:rFonts w:asciiTheme="majorHAnsi" w:hAnsiTheme="majorHAnsi"/>
          <w:sz w:val="20"/>
          <w:szCs w:val="20"/>
          <w:lang w:val="es-ES_tradnl"/>
        </w:rPr>
      </w:pPr>
    </w:p>
    <w:p w14:paraId="064084FD" w14:textId="77777777" w:rsidR="00040C3A" w:rsidRPr="00AD7158" w:rsidRDefault="00040C3A" w:rsidP="00B419FB">
      <w:pPr>
        <w:tabs>
          <w:tab w:val="center" w:pos="5400"/>
        </w:tabs>
        <w:suppressAutoHyphens/>
        <w:jc w:val="center"/>
        <w:rPr>
          <w:rFonts w:asciiTheme="majorHAnsi" w:hAnsiTheme="majorHAnsi"/>
          <w:sz w:val="20"/>
          <w:szCs w:val="20"/>
          <w:lang w:val="es-ES_tradnl"/>
        </w:rPr>
      </w:pPr>
    </w:p>
    <w:p w14:paraId="743A9DF9" w14:textId="77777777" w:rsidR="00040C3A" w:rsidRPr="00AD7158" w:rsidRDefault="00040C3A" w:rsidP="00B419FB">
      <w:pPr>
        <w:tabs>
          <w:tab w:val="center" w:pos="5400"/>
        </w:tabs>
        <w:suppressAutoHyphens/>
        <w:jc w:val="center"/>
        <w:rPr>
          <w:rFonts w:asciiTheme="majorHAnsi" w:hAnsiTheme="majorHAnsi"/>
          <w:sz w:val="20"/>
          <w:szCs w:val="20"/>
          <w:lang w:val="es-ES_tradnl"/>
        </w:rPr>
      </w:pPr>
    </w:p>
    <w:p w14:paraId="07CB3EEA" w14:textId="77777777" w:rsidR="005128E4" w:rsidRPr="00AD7158" w:rsidRDefault="005128E4" w:rsidP="00B419FB">
      <w:pPr>
        <w:tabs>
          <w:tab w:val="center" w:pos="5400"/>
        </w:tabs>
        <w:suppressAutoHyphens/>
        <w:jc w:val="center"/>
        <w:rPr>
          <w:rFonts w:asciiTheme="majorHAnsi" w:hAnsiTheme="majorHAnsi"/>
          <w:sz w:val="20"/>
          <w:szCs w:val="20"/>
          <w:lang w:val="es-ES_tradnl"/>
        </w:rPr>
      </w:pPr>
    </w:p>
    <w:p w14:paraId="1B394863" w14:textId="77777777" w:rsidR="00040C3A" w:rsidRPr="00AD7158" w:rsidRDefault="00040C3A" w:rsidP="00B419FB">
      <w:pPr>
        <w:tabs>
          <w:tab w:val="center" w:pos="5400"/>
        </w:tabs>
        <w:suppressAutoHyphens/>
        <w:jc w:val="center"/>
        <w:rPr>
          <w:rFonts w:asciiTheme="majorHAnsi" w:hAnsiTheme="majorHAnsi"/>
          <w:sz w:val="20"/>
          <w:szCs w:val="20"/>
          <w:lang w:val="es-ES_tradnl"/>
        </w:rPr>
      </w:pPr>
    </w:p>
    <w:p w14:paraId="7F9ACC56" w14:textId="77777777" w:rsidR="005128E4" w:rsidRPr="00AD7158" w:rsidRDefault="005128E4" w:rsidP="00B419FB">
      <w:pPr>
        <w:tabs>
          <w:tab w:val="center" w:pos="5400"/>
        </w:tabs>
        <w:suppressAutoHyphens/>
        <w:jc w:val="center"/>
        <w:rPr>
          <w:rFonts w:asciiTheme="majorHAnsi" w:hAnsiTheme="majorHAnsi"/>
          <w:sz w:val="20"/>
          <w:szCs w:val="20"/>
          <w:lang w:val="es-ES_tradnl"/>
        </w:rPr>
      </w:pPr>
    </w:p>
    <w:p w14:paraId="709DFF4B" w14:textId="77777777" w:rsidR="005128E4" w:rsidRPr="00AD7158" w:rsidRDefault="005128E4" w:rsidP="00B419FB">
      <w:pPr>
        <w:tabs>
          <w:tab w:val="center" w:pos="5400"/>
        </w:tabs>
        <w:suppressAutoHyphens/>
        <w:jc w:val="center"/>
        <w:rPr>
          <w:rFonts w:asciiTheme="majorHAnsi" w:hAnsiTheme="majorHAnsi"/>
          <w:sz w:val="20"/>
          <w:szCs w:val="20"/>
          <w:lang w:val="es-ES_tradnl"/>
        </w:rPr>
      </w:pPr>
    </w:p>
    <w:p w14:paraId="7857CA6B" w14:textId="77777777" w:rsidR="005128E4" w:rsidRPr="00AD7158" w:rsidRDefault="005128E4" w:rsidP="00B419FB">
      <w:pPr>
        <w:tabs>
          <w:tab w:val="center" w:pos="5400"/>
        </w:tabs>
        <w:suppressAutoHyphens/>
        <w:jc w:val="center"/>
        <w:rPr>
          <w:rFonts w:asciiTheme="majorHAnsi" w:hAnsiTheme="majorHAnsi"/>
          <w:sz w:val="20"/>
          <w:szCs w:val="20"/>
          <w:lang w:val="es-ES_tradnl"/>
        </w:rPr>
      </w:pPr>
    </w:p>
    <w:p w14:paraId="5AFD538B" w14:textId="77777777" w:rsidR="00040C3A" w:rsidRPr="00AD7158" w:rsidRDefault="00040C3A" w:rsidP="00B419FB">
      <w:pPr>
        <w:tabs>
          <w:tab w:val="center" w:pos="5400"/>
        </w:tabs>
        <w:suppressAutoHyphens/>
        <w:jc w:val="center"/>
        <w:rPr>
          <w:rFonts w:asciiTheme="majorHAnsi" w:hAnsiTheme="majorHAnsi"/>
          <w:sz w:val="20"/>
          <w:szCs w:val="20"/>
          <w:lang w:val="es-ES_tradnl"/>
        </w:rPr>
      </w:pPr>
    </w:p>
    <w:p w14:paraId="437AF242" w14:textId="77777777" w:rsidR="00040C3A" w:rsidRPr="00AD7158" w:rsidRDefault="00040C3A" w:rsidP="00B419FB">
      <w:pPr>
        <w:tabs>
          <w:tab w:val="center" w:pos="5400"/>
        </w:tabs>
        <w:suppressAutoHyphens/>
        <w:jc w:val="center"/>
        <w:rPr>
          <w:rFonts w:asciiTheme="majorHAnsi" w:hAnsiTheme="majorHAnsi"/>
          <w:sz w:val="20"/>
          <w:szCs w:val="20"/>
          <w:lang w:val="es-ES_tradnl"/>
        </w:rPr>
      </w:pPr>
    </w:p>
    <w:p w14:paraId="5EACA3FE"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201C3532"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7531848B"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07B6D058"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0B637F96"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03225924"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57C25DAB"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56904DAD"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7900CD8C"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2EDA5CAF"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0A2283EA"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692B4F6B"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3D92AA8A"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3EA554D6"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67B47460" w14:textId="77777777" w:rsidR="00A50FCF" w:rsidRPr="00AD7158" w:rsidRDefault="0090270B" w:rsidP="00B419FB">
      <w:pPr>
        <w:tabs>
          <w:tab w:val="center" w:pos="5400"/>
        </w:tabs>
        <w:suppressAutoHyphens/>
        <w:jc w:val="center"/>
        <w:rPr>
          <w:rFonts w:asciiTheme="majorHAnsi" w:hAnsiTheme="majorHAnsi"/>
          <w:sz w:val="20"/>
          <w:szCs w:val="20"/>
          <w:lang w:val="es-ES_tradnl"/>
        </w:rPr>
      </w:pPr>
      <w:r w:rsidRPr="00AD7158">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81839E6" wp14:editId="047211B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4BDAD" w14:textId="77777777" w:rsidR="003F0CB9" w:rsidRPr="00027A6B" w:rsidRDefault="003F0CB9"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w:t>
                            </w:r>
                            <w:r w:rsidR="000E174E">
                              <w:rPr>
                                <w:rFonts w:asciiTheme="majorHAnsi" w:hAnsiTheme="majorHAnsi"/>
                                <w:color w:val="0D0D0D" w:themeColor="text1" w:themeTint="F2"/>
                                <w:sz w:val="18"/>
                                <w:szCs w:val="20"/>
                                <w:lang w:val="es-ES"/>
                              </w:rPr>
                              <w:t>San Salvador, El Salvador, el 5 de diciembre de 2019</w:t>
                            </w:r>
                            <w:r w:rsidRPr="00890650">
                              <w:rPr>
                                <w:rFonts w:asciiTheme="majorHAnsi" w:hAnsiTheme="majorHAnsi"/>
                                <w:color w:val="0D0D0D" w:themeColor="text1" w:themeTint="F2"/>
                                <w:sz w:val="18"/>
                                <w:szCs w:val="20"/>
                                <w:lang w:val="es-E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839E6"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154BDAD" w14:textId="77777777" w:rsidR="003F0CB9" w:rsidRPr="00027A6B" w:rsidRDefault="003F0CB9"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w:t>
                      </w:r>
                      <w:r w:rsidR="000E174E">
                        <w:rPr>
                          <w:rFonts w:asciiTheme="majorHAnsi" w:hAnsiTheme="majorHAnsi"/>
                          <w:color w:val="0D0D0D" w:themeColor="text1" w:themeTint="F2"/>
                          <w:sz w:val="18"/>
                          <w:szCs w:val="20"/>
                          <w:lang w:val="es-ES"/>
                        </w:rPr>
                        <w:t>San Salvador, El Salvador, el 5 de diciembre de 2019</w:t>
                      </w:r>
                      <w:r w:rsidRPr="00890650">
                        <w:rPr>
                          <w:rFonts w:asciiTheme="majorHAnsi" w:hAnsiTheme="majorHAnsi"/>
                          <w:color w:val="0D0D0D" w:themeColor="text1" w:themeTint="F2"/>
                          <w:sz w:val="18"/>
                          <w:szCs w:val="20"/>
                          <w:lang w:val="es-ES"/>
                        </w:rPr>
                        <w:br/>
                      </w:r>
                    </w:p>
                  </w:txbxContent>
                </v:textbox>
              </v:shape>
            </w:pict>
          </mc:Fallback>
        </mc:AlternateContent>
      </w:r>
    </w:p>
    <w:p w14:paraId="10E17087"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33A6A2DE"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1AC2DE7D"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40DE31F5"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272F67F6" w14:textId="77777777" w:rsidR="00A50FCF" w:rsidRPr="00AD7158" w:rsidRDefault="0090270B" w:rsidP="00B419FB">
      <w:pPr>
        <w:tabs>
          <w:tab w:val="center" w:pos="5400"/>
        </w:tabs>
        <w:suppressAutoHyphens/>
        <w:jc w:val="center"/>
        <w:rPr>
          <w:rFonts w:asciiTheme="majorHAnsi" w:hAnsiTheme="majorHAnsi"/>
          <w:sz w:val="20"/>
          <w:szCs w:val="20"/>
          <w:lang w:val="es-ES_tradnl"/>
        </w:rPr>
      </w:pPr>
      <w:r w:rsidRPr="00AD7158">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71E2ED6" wp14:editId="4BF798A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BD683" w14:textId="77777777" w:rsidR="003F0CB9" w:rsidRPr="007C756A" w:rsidRDefault="003F0CB9"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w:t>
                            </w:r>
                            <w:r w:rsidRPr="000E174E">
                              <w:rPr>
                                <w:rFonts w:asciiTheme="majorHAnsi" w:hAnsiTheme="majorHAnsi"/>
                                <w:color w:val="595959" w:themeColor="text1" w:themeTint="A6"/>
                                <w:sz w:val="18"/>
                                <w:szCs w:val="18"/>
                                <w:lang w:val="pt-BR"/>
                              </w:rPr>
                              <w:t xml:space="preserve">. </w:t>
                            </w:r>
                            <w:r w:rsidR="000E174E">
                              <w:rPr>
                                <w:rFonts w:asciiTheme="majorHAnsi" w:hAnsiTheme="majorHAnsi"/>
                                <w:color w:val="595959" w:themeColor="text1" w:themeTint="A6"/>
                                <w:sz w:val="18"/>
                                <w:szCs w:val="18"/>
                                <w:lang w:val="pt-BR"/>
                              </w:rPr>
                              <w:t>237</w:t>
                            </w:r>
                            <w:r w:rsidRPr="000E174E">
                              <w:rPr>
                                <w:rFonts w:asciiTheme="majorHAnsi" w:hAnsiTheme="majorHAnsi"/>
                                <w:color w:val="595959" w:themeColor="text1" w:themeTint="A6"/>
                                <w:sz w:val="18"/>
                                <w:szCs w:val="18"/>
                                <w:lang w:val="pt-BR"/>
                              </w:rPr>
                              <w:t>/</w:t>
                            </w:r>
                            <w:r w:rsidRPr="00595F18">
                              <w:rPr>
                                <w:rFonts w:asciiTheme="majorHAnsi" w:hAnsiTheme="majorHAnsi"/>
                                <w:color w:val="595959" w:themeColor="text1" w:themeTint="A6"/>
                                <w:sz w:val="18"/>
                                <w:szCs w:val="18"/>
                                <w:lang w:val="pt-BR"/>
                              </w:rPr>
                              <w:t xml:space="preserve">19. </w:t>
                            </w:r>
                            <w:r>
                              <w:rPr>
                                <w:rFonts w:asciiTheme="majorHAnsi" w:hAnsiTheme="majorHAnsi"/>
                                <w:color w:val="595959" w:themeColor="text1" w:themeTint="A6"/>
                                <w:sz w:val="18"/>
                                <w:szCs w:val="18"/>
                                <w:lang w:val="es-ES_tradnl"/>
                              </w:rPr>
                              <w:t xml:space="preserve">Caso </w:t>
                            </w:r>
                            <w:r w:rsidRPr="00F81F16">
                              <w:rPr>
                                <w:rFonts w:asciiTheme="majorHAnsi" w:hAnsiTheme="majorHAnsi"/>
                                <w:color w:val="595959" w:themeColor="text1" w:themeTint="A6"/>
                                <w:sz w:val="18"/>
                                <w:szCs w:val="18"/>
                                <w:lang w:val="es-ES_tradnl"/>
                              </w:rPr>
                              <w:t>13.041</w:t>
                            </w:r>
                            <w:r>
                              <w:rPr>
                                <w:rFonts w:asciiTheme="majorHAnsi" w:hAnsiTheme="majorHAnsi"/>
                                <w:color w:val="595959" w:themeColor="text1" w:themeTint="A6"/>
                                <w:sz w:val="18"/>
                                <w:szCs w:val="18"/>
                                <w:lang w:val="es-ES_tradnl"/>
                              </w:rPr>
                              <w:t xml:space="preserve">. </w:t>
                            </w:r>
                            <w:r w:rsidRPr="00F81F16">
                              <w:rPr>
                                <w:rFonts w:asciiTheme="majorHAnsi" w:hAnsiTheme="majorHAnsi"/>
                                <w:color w:val="595959" w:themeColor="text1" w:themeTint="A6"/>
                                <w:sz w:val="18"/>
                                <w:szCs w:val="18"/>
                                <w:lang w:val="es-ES_tradnl"/>
                              </w:rPr>
                              <w:t>Fondo. Guillermo Antonio Álvarez. Argentina</w:t>
                            </w:r>
                            <w:r w:rsidR="000E174E">
                              <w:rPr>
                                <w:rFonts w:asciiTheme="majorHAnsi" w:hAnsiTheme="majorHAnsi"/>
                                <w:color w:val="595959" w:themeColor="text1" w:themeTint="A6"/>
                                <w:sz w:val="18"/>
                                <w:szCs w:val="18"/>
                                <w:lang w:val="es-ES_tradnl"/>
                              </w:rPr>
                              <w:t>, 5 de diciembre de</w:t>
                            </w:r>
                            <w:r>
                              <w:rPr>
                                <w:rFonts w:asciiTheme="majorHAnsi" w:hAnsiTheme="majorHAnsi"/>
                                <w:color w:val="595959" w:themeColor="text1" w:themeTint="A6"/>
                                <w:sz w:val="18"/>
                                <w:szCs w:val="18"/>
                                <w:lang w:val="es-ES_tradnl"/>
                              </w:rPr>
                              <w:t xml:space="preserve"> 2019.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E2ED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8EBD683" w14:textId="77777777" w:rsidR="003F0CB9" w:rsidRPr="007C756A" w:rsidRDefault="003F0CB9"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w:t>
                      </w:r>
                      <w:r w:rsidRPr="000E174E">
                        <w:rPr>
                          <w:rFonts w:asciiTheme="majorHAnsi" w:hAnsiTheme="majorHAnsi"/>
                          <w:color w:val="595959" w:themeColor="text1" w:themeTint="A6"/>
                          <w:sz w:val="18"/>
                          <w:szCs w:val="18"/>
                          <w:lang w:val="pt-BR"/>
                        </w:rPr>
                        <w:t xml:space="preserve">. </w:t>
                      </w:r>
                      <w:r w:rsidR="000E174E">
                        <w:rPr>
                          <w:rFonts w:asciiTheme="majorHAnsi" w:hAnsiTheme="majorHAnsi"/>
                          <w:color w:val="595959" w:themeColor="text1" w:themeTint="A6"/>
                          <w:sz w:val="18"/>
                          <w:szCs w:val="18"/>
                          <w:lang w:val="pt-BR"/>
                        </w:rPr>
                        <w:t>237</w:t>
                      </w:r>
                      <w:r w:rsidRPr="000E174E">
                        <w:rPr>
                          <w:rFonts w:asciiTheme="majorHAnsi" w:hAnsiTheme="majorHAnsi"/>
                          <w:color w:val="595959" w:themeColor="text1" w:themeTint="A6"/>
                          <w:sz w:val="18"/>
                          <w:szCs w:val="18"/>
                          <w:lang w:val="pt-BR"/>
                        </w:rPr>
                        <w:t>/</w:t>
                      </w:r>
                      <w:r w:rsidRPr="00595F18">
                        <w:rPr>
                          <w:rFonts w:asciiTheme="majorHAnsi" w:hAnsiTheme="majorHAnsi"/>
                          <w:color w:val="595959" w:themeColor="text1" w:themeTint="A6"/>
                          <w:sz w:val="18"/>
                          <w:szCs w:val="18"/>
                          <w:lang w:val="pt-BR"/>
                        </w:rPr>
                        <w:t xml:space="preserve">19. </w:t>
                      </w:r>
                      <w:r>
                        <w:rPr>
                          <w:rFonts w:asciiTheme="majorHAnsi" w:hAnsiTheme="majorHAnsi"/>
                          <w:color w:val="595959" w:themeColor="text1" w:themeTint="A6"/>
                          <w:sz w:val="18"/>
                          <w:szCs w:val="18"/>
                          <w:lang w:val="es-ES_tradnl"/>
                        </w:rPr>
                        <w:t xml:space="preserve">Caso </w:t>
                      </w:r>
                      <w:r w:rsidRPr="00F81F16">
                        <w:rPr>
                          <w:rFonts w:asciiTheme="majorHAnsi" w:hAnsiTheme="majorHAnsi"/>
                          <w:color w:val="595959" w:themeColor="text1" w:themeTint="A6"/>
                          <w:sz w:val="18"/>
                          <w:szCs w:val="18"/>
                          <w:lang w:val="es-ES_tradnl"/>
                        </w:rPr>
                        <w:t>13.041</w:t>
                      </w:r>
                      <w:r>
                        <w:rPr>
                          <w:rFonts w:asciiTheme="majorHAnsi" w:hAnsiTheme="majorHAnsi"/>
                          <w:color w:val="595959" w:themeColor="text1" w:themeTint="A6"/>
                          <w:sz w:val="18"/>
                          <w:szCs w:val="18"/>
                          <w:lang w:val="es-ES_tradnl"/>
                        </w:rPr>
                        <w:t xml:space="preserve">. </w:t>
                      </w:r>
                      <w:r w:rsidRPr="00F81F16">
                        <w:rPr>
                          <w:rFonts w:asciiTheme="majorHAnsi" w:hAnsiTheme="majorHAnsi"/>
                          <w:color w:val="595959" w:themeColor="text1" w:themeTint="A6"/>
                          <w:sz w:val="18"/>
                          <w:szCs w:val="18"/>
                          <w:lang w:val="es-ES_tradnl"/>
                        </w:rPr>
                        <w:t>Fondo. Guillermo Antonio Álvarez. Argentina</w:t>
                      </w:r>
                      <w:r w:rsidR="000E174E">
                        <w:rPr>
                          <w:rFonts w:asciiTheme="majorHAnsi" w:hAnsiTheme="majorHAnsi"/>
                          <w:color w:val="595959" w:themeColor="text1" w:themeTint="A6"/>
                          <w:sz w:val="18"/>
                          <w:szCs w:val="18"/>
                          <w:lang w:val="es-ES_tradnl"/>
                        </w:rPr>
                        <w:t>, 5 de diciembre de</w:t>
                      </w:r>
                      <w:r>
                        <w:rPr>
                          <w:rFonts w:asciiTheme="majorHAnsi" w:hAnsiTheme="majorHAnsi"/>
                          <w:color w:val="595959" w:themeColor="text1" w:themeTint="A6"/>
                          <w:sz w:val="18"/>
                          <w:szCs w:val="18"/>
                          <w:lang w:val="es-ES_tradnl"/>
                        </w:rPr>
                        <w:t xml:space="preserve"> 2019. </w:t>
                      </w:r>
                    </w:p>
                  </w:txbxContent>
                </v:textbox>
              </v:shape>
            </w:pict>
          </mc:Fallback>
        </mc:AlternateContent>
      </w:r>
    </w:p>
    <w:p w14:paraId="60B407AE" w14:textId="77777777" w:rsidR="00A50FCF" w:rsidRPr="00AD7158" w:rsidRDefault="00A50FCF" w:rsidP="00B419FB">
      <w:pPr>
        <w:tabs>
          <w:tab w:val="center" w:pos="5400"/>
        </w:tabs>
        <w:suppressAutoHyphens/>
        <w:jc w:val="center"/>
        <w:rPr>
          <w:rFonts w:asciiTheme="majorHAnsi" w:hAnsiTheme="majorHAnsi"/>
          <w:sz w:val="20"/>
          <w:szCs w:val="20"/>
          <w:lang w:val="es-ES_tradnl"/>
        </w:rPr>
      </w:pPr>
    </w:p>
    <w:p w14:paraId="75978AB4" w14:textId="77777777" w:rsidR="0090270B" w:rsidRPr="00AD7158" w:rsidRDefault="00D306D1" w:rsidP="00B419FB">
      <w:pPr>
        <w:tabs>
          <w:tab w:val="center" w:pos="5400"/>
        </w:tabs>
        <w:suppressAutoHyphens/>
        <w:jc w:val="center"/>
        <w:rPr>
          <w:rFonts w:asciiTheme="majorHAnsi" w:hAnsiTheme="majorHAnsi"/>
          <w:b/>
          <w:sz w:val="20"/>
          <w:szCs w:val="20"/>
          <w:lang w:val="es-ES_tradnl"/>
        </w:rPr>
      </w:pPr>
      <w:r w:rsidRPr="00AD7158">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4A89230" wp14:editId="01FD32E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01024" w14:textId="77777777" w:rsidR="003F0CB9" w:rsidRPr="00D72DC6" w:rsidRDefault="003F0CB9" w:rsidP="00F02AD1">
                            <w:pPr>
                              <w:rPr>
                                <w:color w:val="FFFFFF" w:themeColor="background1"/>
                                <w14:textFill>
                                  <w14:noFill/>
                                </w14:textFill>
                              </w:rPr>
                            </w:pPr>
                            <w:r>
                              <w:rPr>
                                <w:noProof/>
                                <w:color w:val="FFFFFF" w:themeColor="background1"/>
                              </w:rPr>
                              <w:drawing>
                                <wp:inline distT="0" distB="0" distL="0" distR="0" wp14:anchorId="40F70FB2" wp14:editId="6121E75E">
                                  <wp:extent cx="1658203" cy="4265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8923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1F01024" w14:textId="77777777" w:rsidR="003F0CB9" w:rsidRPr="00D72DC6" w:rsidRDefault="003F0CB9" w:rsidP="00F02AD1">
                      <w:pPr>
                        <w:rPr>
                          <w:color w:val="FFFFFF" w:themeColor="background1"/>
                          <w14:textFill>
                            <w14:noFill/>
                          </w14:textFill>
                        </w:rPr>
                      </w:pPr>
                      <w:r>
                        <w:rPr>
                          <w:noProof/>
                          <w:color w:val="FFFFFF" w:themeColor="background1"/>
                        </w:rPr>
                        <w:drawing>
                          <wp:inline distT="0" distB="0" distL="0" distR="0" wp14:anchorId="40F70FB2" wp14:editId="6121E75E">
                            <wp:extent cx="1658203" cy="4265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AD7158">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9958387" wp14:editId="27E3CF2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C17BF" w14:textId="77777777" w:rsidR="003F0CB9" w:rsidRPr="004B7EB6" w:rsidRDefault="003F0CB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5838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52C17BF" w14:textId="77777777" w:rsidR="003F0CB9" w:rsidRPr="004B7EB6" w:rsidRDefault="003F0CB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1B11C31" w14:textId="77777777" w:rsidR="0070697F" w:rsidRPr="00AD7158" w:rsidRDefault="0070697F" w:rsidP="00B419FB">
      <w:pPr>
        <w:tabs>
          <w:tab w:val="center" w:pos="5400"/>
        </w:tabs>
        <w:suppressAutoHyphens/>
        <w:rPr>
          <w:rFonts w:asciiTheme="majorHAnsi" w:hAnsiTheme="majorHAnsi"/>
          <w:b/>
          <w:sz w:val="20"/>
          <w:szCs w:val="20"/>
          <w:lang w:val="es-ES_tradnl"/>
        </w:rPr>
        <w:sectPr w:rsidR="0070697F" w:rsidRPr="00AD715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129366EF" w14:textId="77777777" w:rsidR="00722C9F" w:rsidRPr="00AD7158" w:rsidRDefault="00722C9F" w:rsidP="00B419FB">
      <w:pPr>
        <w:tabs>
          <w:tab w:val="center" w:pos="5400"/>
        </w:tabs>
        <w:suppressAutoHyphens/>
        <w:rPr>
          <w:rFonts w:asciiTheme="majorHAnsi" w:hAnsiTheme="majorHAnsi"/>
          <w:sz w:val="20"/>
          <w:szCs w:val="20"/>
          <w:lang w:val="es-ES_tradnl"/>
        </w:rPr>
      </w:pPr>
    </w:p>
    <w:p w14:paraId="3BE09E37" w14:textId="77777777" w:rsidR="00722C9F" w:rsidRPr="00AD7158" w:rsidRDefault="00722C9F" w:rsidP="00B419FB">
      <w:pPr>
        <w:tabs>
          <w:tab w:val="center" w:pos="5400"/>
        </w:tabs>
        <w:suppressAutoHyphens/>
        <w:jc w:val="center"/>
        <w:rPr>
          <w:rFonts w:asciiTheme="majorHAnsi" w:hAnsiTheme="majorHAnsi"/>
          <w:b/>
          <w:sz w:val="20"/>
          <w:szCs w:val="20"/>
          <w:lang w:val="es-ES_tradnl"/>
        </w:rPr>
      </w:pPr>
      <w:r w:rsidRPr="00AD7158">
        <w:rPr>
          <w:rFonts w:asciiTheme="majorHAnsi" w:hAnsiTheme="majorHAnsi"/>
          <w:b/>
          <w:sz w:val="20"/>
          <w:szCs w:val="20"/>
          <w:lang w:val="es-ES_tradnl"/>
        </w:rPr>
        <w:t>ÍNDICE</w:t>
      </w:r>
    </w:p>
    <w:p w14:paraId="33227115" w14:textId="77777777" w:rsidR="008D768D" w:rsidRPr="00AD7158" w:rsidRDefault="008D768D" w:rsidP="00B419FB">
      <w:pPr>
        <w:tabs>
          <w:tab w:val="center" w:pos="5400"/>
        </w:tabs>
        <w:suppressAutoHyphens/>
        <w:rPr>
          <w:rFonts w:asciiTheme="majorHAnsi" w:hAnsiTheme="majorHAnsi"/>
          <w:sz w:val="20"/>
          <w:szCs w:val="20"/>
          <w:lang w:val="es-ES_tradnl"/>
        </w:rPr>
      </w:pPr>
    </w:p>
    <w:sdt>
      <w:sdtPr>
        <w:rPr>
          <w:rFonts w:ascii="Times New Roman" w:eastAsia="Times New Roman" w:hAnsi="Times New Roman" w:cs="Times New Roman"/>
          <w:color w:val="auto"/>
          <w:sz w:val="24"/>
          <w:szCs w:val="24"/>
        </w:rPr>
        <w:id w:val="1945955339"/>
        <w:docPartObj>
          <w:docPartGallery w:val="Table of Contents"/>
          <w:docPartUnique/>
        </w:docPartObj>
      </w:sdtPr>
      <w:sdtEndPr>
        <w:rPr>
          <w:b/>
          <w:bCs/>
          <w:noProof/>
        </w:rPr>
      </w:sdtEndPr>
      <w:sdtContent>
        <w:p w14:paraId="4B5908F2" w14:textId="77777777" w:rsidR="00AD7158" w:rsidRPr="00AD7158" w:rsidRDefault="00AD7158">
          <w:pPr>
            <w:pStyle w:val="TOCHeading"/>
            <w:rPr>
              <w:sz w:val="22"/>
              <w:szCs w:val="22"/>
            </w:rPr>
          </w:pPr>
        </w:p>
        <w:p w14:paraId="31B90F58" w14:textId="6F60984E" w:rsidR="00AD7158" w:rsidRPr="00AD7158" w:rsidRDefault="00AD7158">
          <w:pPr>
            <w:pStyle w:val="TOC1"/>
            <w:tabs>
              <w:tab w:val="left" w:pos="1440"/>
              <w:tab w:val="right" w:leader="dot" w:pos="9350"/>
            </w:tabs>
            <w:rPr>
              <w:rFonts w:asciiTheme="majorHAnsi" w:eastAsiaTheme="minorEastAsia" w:hAnsiTheme="majorHAnsi" w:cstheme="minorBidi"/>
              <w:noProof/>
              <w:szCs w:val="22"/>
              <w:bdr w:val="none" w:sz="0" w:space="0" w:color="auto"/>
            </w:rPr>
          </w:pPr>
          <w:r w:rsidRPr="00AD7158">
            <w:rPr>
              <w:rFonts w:asciiTheme="majorHAnsi" w:hAnsiTheme="majorHAnsi"/>
              <w:szCs w:val="22"/>
            </w:rPr>
            <w:fldChar w:fldCharType="begin"/>
          </w:r>
          <w:r w:rsidRPr="00AD7158">
            <w:rPr>
              <w:rFonts w:asciiTheme="majorHAnsi" w:hAnsiTheme="majorHAnsi"/>
              <w:szCs w:val="22"/>
            </w:rPr>
            <w:instrText xml:space="preserve"> TOC \o "1-3" \h \z \u </w:instrText>
          </w:r>
          <w:r w:rsidRPr="00AD7158">
            <w:rPr>
              <w:rFonts w:asciiTheme="majorHAnsi" w:hAnsiTheme="majorHAnsi"/>
              <w:szCs w:val="22"/>
            </w:rPr>
            <w:fldChar w:fldCharType="separate"/>
          </w:r>
          <w:hyperlink w:anchor="_Toc30670575" w:history="1">
            <w:r w:rsidRPr="00AD7158">
              <w:rPr>
                <w:rStyle w:val="Hyperlink"/>
                <w:rFonts w:asciiTheme="majorHAnsi" w:hAnsiTheme="majorHAnsi"/>
                <w:noProof/>
                <w:szCs w:val="22"/>
              </w:rPr>
              <w:t>I.</w:t>
            </w:r>
            <w:r w:rsidRPr="00AD7158">
              <w:rPr>
                <w:rFonts w:asciiTheme="majorHAnsi" w:eastAsiaTheme="minorEastAsia" w:hAnsiTheme="majorHAnsi" w:cstheme="minorBidi"/>
                <w:noProof/>
                <w:szCs w:val="22"/>
                <w:bdr w:val="none" w:sz="0" w:space="0" w:color="auto"/>
              </w:rPr>
              <w:tab/>
            </w:r>
            <w:r w:rsidRPr="00AD7158">
              <w:rPr>
                <w:rStyle w:val="Hyperlink"/>
                <w:rFonts w:asciiTheme="majorHAnsi" w:hAnsiTheme="majorHAnsi"/>
                <w:noProof/>
                <w:szCs w:val="22"/>
              </w:rPr>
              <w:t>INTRODUCCIÓN</w:t>
            </w:r>
            <w:r w:rsidRPr="00AD7158">
              <w:rPr>
                <w:rFonts w:asciiTheme="majorHAnsi" w:hAnsiTheme="majorHAnsi"/>
                <w:noProof/>
                <w:webHidden/>
                <w:szCs w:val="22"/>
              </w:rPr>
              <w:tab/>
            </w:r>
            <w:r w:rsidRPr="00AD7158">
              <w:rPr>
                <w:rFonts w:asciiTheme="majorHAnsi" w:hAnsiTheme="majorHAnsi"/>
                <w:noProof/>
                <w:webHidden/>
                <w:szCs w:val="22"/>
              </w:rPr>
              <w:fldChar w:fldCharType="begin"/>
            </w:r>
            <w:r w:rsidRPr="00AD7158">
              <w:rPr>
                <w:rFonts w:asciiTheme="majorHAnsi" w:hAnsiTheme="majorHAnsi"/>
                <w:noProof/>
                <w:webHidden/>
                <w:szCs w:val="22"/>
              </w:rPr>
              <w:instrText xml:space="preserve"> PAGEREF _Toc30670575 \h </w:instrText>
            </w:r>
            <w:r w:rsidRPr="00AD7158">
              <w:rPr>
                <w:rFonts w:asciiTheme="majorHAnsi" w:hAnsiTheme="majorHAnsi"/>
                <w:noProof/>
                <w:webHidden/>
                <w:szCs w:val="22"/>
              </w:rPr>
            </w:r>
            <w:r w:rsidRPr="00AD7158">
              <w:rPr>
                <w:rFonts w:asciiTheme="majorHAnsi" w:hAnsiTheme="majorHAnsi"/>
                <w:noProof/>
                <w:webHidden/>
                <w:szCs w:val="22"/>
              </w:rPr>
              <w:fldChar w:fldCharType="separate"/>
            </w:r>
            <w:r w:rsidR="00F3014A">
              <w:rPr>
                <w:rFonts w:asciiTheme="majorHAnsi" w:hAnsiTheme="majorHAnsi"/>
                <w:noProof/>
                <w:webHidden/>
                <w:szCs w:val="22"/>
              </w:rPr>
              <w:t>2</w:t>
            </w:r>
            <w:r w:rsidRPr="00AD7158">
              <w:rPr>
                <w:rFonts w:asciiTheme="majorHAnsi" w:hAnsiTheme="majorHAnsi"/>
                <w:noProof/>
                <w:webHidden/>
                <w:szCs w:val="22"/>
              </w:rPr>
              <w:fldChar w:fldCharType="end"/>
            </w:r>
          </w:hyperlink>
        </w:p>
        <w:p w14:paraId="238E7E3C" w14:textId="2706807B" w:rsidR="00AD7158" w:rsidRPr="00AD7158" w:rsidRDefault="00F3014A">
          <w:pPr>
            <w:pStyle w:val="TOC1"/>
            <w:tabs>
              <w:tab w:val="left" w:pos="1440"/>
              <w:tab w:val="right" w:leader="dot" w:pos="9350"/>
            </w:tabs>
            <w:rPr>
              <w:rFonts w:asciiTheme="majorHAnsi" w:eastAsiaTheme="minorEastAsia" w:hAnsiTheme="majorHAnsi" w:cstheme="minorBidi"/>
              <w:noProof/>
              <w:szCs w:val="22"/>
              <w:bdr w:val="none" w:sz="0" w:space="0" w:color="auto"/>
            </w:rPr>
          </w:pPr>
          <w:hyperlink w:anchor="_Toc30670576" w:history="1">
            <w:r w:rsidR="00AD7158" w:rsidRPr="00AD7158">
              <w:rPr>
                <w:rStyle w:val="Hyperlink"/>
                <w:rFonts w:asciiTheme="majorHAnsi" w:hAnsiTheme="majorHAnsi"/>
                <w:noProof/>
                <w:szCs w:val="22"/>
              </w:rPr>
              <w:t>II.</w:t>
            </w:r>
            <w:r w:rsidR="00AD7158" w:rsidRPr="00AD7158">
              <w:rPr>
                <w:rFonts w:asciiTheme="majorHAnsi" w:eastAsiaTheme="minorEastAsia" w:hAnsiTheme="majorHAnsi" w:cstheme="minorBidi"/>
                <w:noProof/>
                <w:szCs w:val="22"/>
                <w:bdr w:val="none" w:sz="0" w:space="0" w:color="auto"/>
              </w:rPr>
              <w:tab/>
            </w:r>
            <w:r w:rsidR="00AD7158" w:rsidRPr="00AD7158">
              <w:rPr>
                <w:rStyle w:val="Hyperlink"/>
                <w:rFonts w:asciiTheme="majorHAnsi" w:hAnsiTheme="majorHAnsi"/>
                <w:noProof/>
                <w:szCs w:val="22"/>
              </w:rPr>
              <w:t>ALEGATOS DE LAS PARTES</w:t>
            </w:r>
            <w:r w:rsidR="00AD7158" w:rsidRPr="00AD7158">
              <w:rPr>
                <w:rFonts w:asciiTheme="majorHAnsi" w:hAnsiTheme="majorHAnsi"/>
                <w:noProof/>
                <w:webHidden/>
                <w:szCs w:val="22"/>
              </w:rPr>
              <w:tab/>
            </w:r>
            <w:r w:rsidR="00AD7158" w:rsidRPr="00AD7158">
              <w:rPr>
                <w:rFonts w:asciiTheme="majorHAnsi" w:hAnsiTheme="majorHAnsi"/>
                <w:noProof/>
                <w:webHidden/>
                <w:szCs w:val="22"/>
              </w:rPr>
              <w:fldChar w:fldCharType="begin"/>
            </w:r>
            <w:r w:rsidR="00AD7158" w:rsidRPr="00AD7158">
              <w:rPr>
                <w:rFonts w:asciiTheme="majorHAnsi" w:hAnsiTheme="majorHAnsi"/>
                <w:noProof/>
                <w:webHidden/>
                <w:szCs w:val="22"/>
              </w:rPr>
              <w:instrText xml:space="preserve"> PAGEREF _Toc30670576 \h </w:instrText>
            </w:r>
            <w:r w:rsidR="00AD7158" w:rsidRPr="00AD7158">
              <w:rPr>
                <w:rFonts w:asciiTheme="majorHAnsi" w:hAnsiTheme="majorHAnsi"/>
                <w:noProof/>
                <w:webHidden/>
                <w:szCs w:val="22"/>
              </w:rPr>
            </w:r>
            <w:r w:rsidR="00AD7158" w:rsidRPr="00AD7158">
              <w:rPr>
                <w:rFonts w:asciiTheme="majorHAnsi" w:hAnsiTheme="majorHAnsi"/>
                <w:noProof/>
                <w:webHidden/>
                <w:szCs w:val="22"/>
              </w:rPr>
              <w:fldChar w:fldCharType="separate"/>
            </w:r>
            <w:r>
              <w:rPr>
                <w:rFonts w:asciiTheme="majorHAnsi" w:hAnsiTheme="majorHAnsi"/>
                <w:noProof/>
                <w:webHidden/>
                <w:szCs w:val="22"/>
              </w:rPr>
              <w:t>2</w:t>
            </w:r>
            <w:r w:rsidR="00AD7158" w:rsidRPr="00AD7158">
              <w:rPr>
                <w:rFonts w:asciiTheme="majorHAnsi" w:hAnsiTheme="majorHAnsi"/>
                <w:noProof/>
                <w:webHidden/>
                <w:szCs w:val="22"/>
              </w:rPr>
              <w:fldChar w:fldCharType="end"/>
            </w:r>
          </w:hyperlink>
        </w:p>
        <w:p w14:paraId="2C8D806A" w14:textId="063F429A" w:rsidR="00AD7158" w:rsidRPr="00AD7158" w:rsidRDefault="00F3014A">
          <w:pPr>
            <w:pStyle w:val="TOC2"/>
            <w:rPr>
              <w:rFonts w:asciiTheme="majorHAnsi" w:eastAsiaTheme="minorEastAsia" w:hAnsiTheme="majorHAnsi" w:cstheme="minorBidi"/>
              <w:noProof/>
              <w:sz w:val="22"/>
              <w:szCs w:val="22"/>
              <w:bdr w:val="none" w:sz="0" w:space="0" w:color="auto"/>
            </w:rPr>
          </w:pPr>
          <w:hyperlink w:anchor="_Toc30670577" w:history="1">
            <w:r w:rsidR="00AD7158" w:rsidRPr="00AD7158">
              <w:rPr>
                <w:rStyle w:val="Hyperlink"/>
                <w:rFonts w:asciiTheme="majorHAnsi" w:hAnsiTheme="majorHAnsi"/>
                <w:noProof/>
                <w:sz w:val="22"/>
                <w:szCs w:val="22"/>
              </w:rPr>
              <w:t xml:space="preserve">A. </w:t>
            </w:r>
            <w:r w:rsidR="00AD7158" w:rsidRPr="00AD7158">
              <w:rPr>
                <w:rFonts w:asciiTheme="majorHAnsi" w:eastAsiaTheme="minorEastAsia" w:hAnsiTheme="majorHAnsi" w:cstheme="minorBidi"/>
                <w:noProof/>
                <w:sz w:val="22"/>
                <w:szCs w:val="22"/>
                <w:bdr w:val="none" w:sz="0" w:space="0" w:color="auto"/>
              </w:rPr>
              <w:tab/>
            </w:r>
            <w:r w:rsidR="00AD7158" w:rsidRPr="00AD7158">
              <w:rPr>
                <w:rStyle w:val="Hyperlink"/>
                <w:rFonts w:asciiTheme="majorHAnsi" w:hAnsiTheme="majorHAnsi"/>
                <w:noProof/>
                <w:sz w:val="22"/>
                <w:szCs w:val="22"/>
              </w:rPr>
              <w:t>Parte peticionaria</w:t>
            </w:r>
            <w:r w:rsidR="00AD7158" w:rsidRPr="00AD7158">
              <w:rPr>
                <w:rFonts w:asciiTheme="majorHAnsi" w:hAnsiTheme="majorHAnsi"/>
                <w:noProof/>
                <w:webHidden/>
                <w:sz w:val="22"/>
                <w:szCs w:val="22"/>
              </w:rPr>
              <w:tab/>
            </w:r>
            <w:r w:rsidR="00AD7158" w:rsidRPr="00AD7158">
              <w:rPr>
                <w:rFonts w:asciiTheme="majorHAnsi" w:hAnsiTheme="majorHAnsi"/>
                <w:noProof/>
                <w:webHidden/>
                <w:sz w:val="22"/>
                <w:szCs w:val="22"/>
              </w:rPr>
              <w:fldChar w:fldCharType="begin"/>
            </w:r>
            <w:r w:rsidR="00AD7158" w:rsidRPr="00AD7158">
              <w:rPr>
                <w:rFonts w:asciiTheme="majorHAnsi" w:hAnsiTheme="majorHAnsi"/>
                <w:noProof/>
                <w:webHidden/>
                <w:sz w:val="22"/>
                <w:szCs w:val="22"/>
              </w:rPr>
              <w:instrText xml:space="preserve"> PAGEREF _Toc30670577 \h </w:instrText>
            </w:r>
            <w:r w:rsidR="00AD7158" w:rsidRPr="00AD7158">
              <w:rPr>
                <w:rFonts w:asciiTheme="majorHAnsi" w:hAnsiTheme="majorHAnsi"/>
                <w:noProof/>
                <w:webHidden/>
                <w:sz w:val="22"/>
                <w:szCs w:val="22"/>
              </w:rPr>
            </w:r>
            <w:r w:rsidR="00AD7158" w:rsidRPr="00AD7158">
              <w:rPr>
                <w:rFonts w:asciiTheme="majorHAnsi" w:hAnsiTheme="majorHAnsi"/>
                <w:noProof/>
                <w:webHidden/>
                <w:sz w:val="22"/>
                <w:szCs w:val="22"/>
              </w:rPr>
              <w:fldChar w:fldCharType="separate"/>
            </w:r>
            <w:r>
              <w:rPr>
                <w:rFonts w:asciiTheme="majorHAnsi" w:hAnsiTheme="majorHAnsi"/>
                <w:noProof/>
                <w:webHidden/>
                <w:sz w:val="22"/>
                <w:szCs w:val="22"/>
              </w:rPr>
              <w:t>2</w:t>
            </w:r>
            <w:r w:rsidR="00AD7158" w:rsidRPr="00AD7158">
              <w:rPr>
                <w:rFonts w:asciiTheme="majorHAnsi" w:hAnsiTheme="majorHAnsi"/>
                <w:noProof/>
                <w:webHidden/>
                <w:sz w:val="22"/>
                <w:szCs w:val="22"/>
              </w:rPr>
              <w:fldChar w:fldCharType="end"/>
            </w:r>
          </w:hyperlink>
        </w:p>
        <w:p w14:paraId="4B843A53" w14:textId="2244444D" w:rsidR="00AD7158" w:rsidRPr="00AD7158" w:rsidRDefault="00F3014A">
          <w:pPr>
            <w:pStyle w:val="TOC2"/>
            <w:rPr>
              <w:rFonts w:asciiTheme="majorHAnsi" w:eastAsiaTheme="minorEastAsia" w:hAnsiTheme="majorHAnsi" w:cstheme="minorBidi"/>
              <w:noProof/>
              <w:sz w:val="22"/>
              <w:szCs w:val="22"/>
              <w:bdr w:val="none" w:sz="0" w:space="0" w:color="auto"/>
            </w:rPr>
          </w:pPr>
          <w:hyperlink w:anchor="_Toc30670578" w:history="1">
            <w:r w:rsidR="00AD7158" w:rsidRPr="00AD7158">
              <w:rPr>
                <w:rStyle w:val="Hyperlink"/>
                <w:rFonts w:asciiTheme="majorHAnsi" w:hAnsiTheme="majorHAnsi"/>
                <w:noProof/>
                <w:sz w:val="22"/>
                <w:szCs w:val="22"/>
              </w:rPr>
              <w:t xml:space="preserve">B. </w:t>
            </w:r>
            <w:r w:rsidR="00AD7158" w:rsidRPr="00AD7158">
              <w:rPr>
                <w:rFonts w:asciiTheme="majorHAnsi" w:eastAsiaTheme="minorEastAsia" w:hAnsiTheme="majorHAnsi" w:cstheme="minorBidi"/>
                <w:noProof/>
                <w:sz w:val="22"/>
                <w:szCs w:val="22"/>
                <w:bdr w:val="none" w:sz="0" w:space="0" w:color="auto"/>
              </w:rPr>
              <w:tab/>
            </w:r>
            <w:r w:rsidR="00AD7158" w:rsidRPr="00AD7158">
              <w:rPr>
                <w:rStyle w:val="Hyperlink"/>
                <w:rFonts w:asciiTheme="majorHAnsi" w:hAnsiTheme="majorHAnsi"/>
                <w:noProof/>
                <w:sz w:val="22"/>
                <w:szCs w:val="22"/>
              </w:rPr>
              <w:t>Estado</w:t>
            </w:r>
            <w:r w:rsidR="00AD7158" w:rsidRPr="00AD7158">
              <w:rPr>
                <w:rFonts w:asciiTheme="majorHAnsi" w:hAnsiTheme="majorHAnsi"/>
                <w:noProof/>
                <w:webHidden/>
                <w:sz w:val="22"/>
                <w:szCs w:val="22"/>
              </w:rPr>
              <w:tab/>
            </w:r>
            <w:r w:rsidR="00AD7158" w:rsidRPr="00AD7158">
              <w:rPr>
                <w:rFonts w:asciiTheme="majorHAnsi" w:hAnsiTheme="majorHAnsi"/>
                <w:noProof/>
                <w:webHidden/>
                <w:sz w:val="22"/>
                <w:szCs w:val="22"/>
              </w:rPr>
              <w:fldChar w:fldCharType="begin"/>
            </w:r>
            <w:r w:rsidR="00AD7158" w:rsidRPr="00AD7158">
              <w:rPr>
                <w:rFonts w:asciiTheme="majorHAnsi" w:hAnsiTheme="majorHAnsi"/>
                <w:noProof/>
                <w:webHidden/>
                <w:sz w:val="22"/>
                <w:szCs w:val="22"/>
              </w:rPr>
              <w:instrText xml:space="preserve"> PAGEREF _Toc30670578 \h </w:instrText>
            </w:r>
            <w:r w:rsidR="00AD7158" w:rsidRPr="00AD7158">
              <w:rPr>
                <w:rFonts w:asciiTheme="majorHAnsi" w:hAnsiTheme="majorHAnsi"/>
                <w:noProof/>
                <w:webHidden/>
                <w:sz w:val="22"/>
                <w:szCs w:val="22"/>
              </w:rPr>
            </w:r>
            <w:r w:rsidR="00AD7158" w:rsidRPr="00AD7158">
              <w:rPr>
                <w:rFonts w:asciiTheme="majorHAnsi" w:hAnsiTheme="majorHAnsi"/>
                <w:noProof/>
                <w:webHidden/>
                <w:sz w:val="22"/>
                <w:szCs w:val="22"/>
              </w:rPr>
              <w:fldChar w:fldCharType="separate"/>
            </w:r>
            <w:r>
              <w:rPr>
                <w:rFonts w:asciiTheme="majorHAnsi" w:hAnsiTheme="majorHAnsi"/>
                <w:noProof/>
                <w:webHidden/>
                <w:sz w:val="22"/>
                <w:szCs w:val="22"/>
              </w:rPr>
              <w:t>4</w:t>
            </w:r>
            <w:r w:rsidR="00AD7158" w:rsidRPr="00AD7158">
              <w:rPr>
                <w:rFonts w:asciiTheme="majorHAnsi" w:hAnsiTheme="majorHAnsi"/>
                <w:noProof/>
                <w:webHidden/>
                <w:sz w:val="22"/>
                <w:szCs w:val="22"/>
              </w:rPr>
              <w:fldChar w:fldCharType="end"/>
            </w:r>
          </w:hyperlink>
        </w:p>
        <w:p w14:paraId="2ABE577F" w14:textId="19E96ADC" w:rsidR="00AD7158" w:rsidRPr="00AD7158" w:rsidRDefault="00F3014A">
          <w:pPr>
            <w:pStyle w:val="TOC1"/>
            <w:tabs>
              <w:tab w:val="left" w:pos="1440"/>
              <w:tab w:val="right" w:leader="dot" w:pos="9350"/>
            </w:tabs>
            <w:rPr>
              <w:rFonts w:asciiTheme="majorHAnsi" w:eastAsiaTheme="minorEastAsia" w:hAnsiTheme="majorHAnsi" w:cstheme="minorBidi"/>
              <w:noProof/>
              <w:szCs w:val="22"/>
              <w:bdr w:val="none" w:sz="0" w:space="0" w:color="auto"/>
            </w:rPr>
          </w:pPr>
          <w:hyperlink w:anchor="_Toc30670579" w:history="1">
            <w:r w:rsidR="00AD7158" w:rsidRPr="00AD7158">
              <w:rPr>
                <w:rStyle w:val="Hyperlink"/>
                <w:rFonts w:asciiTheme="majorHAnsi" w:hAnsiTheme="majorHAnsi"/>
                <w:noProof/>
                <w:szCs w:val="22"/>
              </w:rPr>
              <w:t>III.</w:t>
            </w:r>
            <w:r w:rsidR="00AD7158" w:rsidRPr="00AD7158">
              <w:rPr>
                <w:rFonts w:asciiTheme="majorHAnsi" w:eastAsiaTheme="minorEastAsia" w:hAnsiTheme="majorHAnsi" w:cstheme="minorBidi"/>
                <w:noProof/>
                <w:szCs w:val="22"/>
                <w:bdr w:val="none" w:sz="0" w:space="0" w:color="auto"/>
              </w:rPr>
              <w:tab/>
            </w:r>
            <w:r w:rsidR="00AD7158" w:rsidRPr="00AD7158">
              <w:rPr>
                <w:rStyle w:val="Hyperlink"/>
                <w:rFonts w:asciiTheme="majorHAnsi" w:hAnsiTheme="majorHAnsi"/>
                <w:noProof/>
                <w:szCs w:val="22"/>
              </w:rPr>
              <w:t>DETERMINACIONES DE HECHO</w:t>
            </w:r>
            <w:r w:rsidR="00AD7158" w:rsidRPr="00AD7158">
              <w:rPr>
                <w:rFonts w:asciiTheme="majorHAnsi" w:hAnsiTheme="majorHAnsi"/>
                <w:noProof/>
                <w:webHidden/>
                <w:szCs w:val="22"/>
              </w:rPr>
              <w:tab/>
            </w:r>
            <w:r w:rsidR="00AD7158" w:rsidRPr="00AD7158">
              <w:rPr>
                <w:rFonts w:asciiTheme="majorHAnsi" w:hAnsiTheme="majorHAnsi"/>
                <w:noProof/>
                <w:webHidden/>
                <w:szCs w:val="22"/>
              </w:rPr>
              <w:fldChar w:fldCharType="begin"/>
            </w:r>
            <w:r w:rsidR="00AD7158" w:rsidRPr="00AD7158">
              <w:rPr>
                <w:rFonts w:asciiTheme="majorHAnsi" w:hAnsiTheme="majorHAnsi"/>
                <w:noProof/>
                <w:webHidden/>
                <w:szCs w:val="22"/>
              </w:rPr>
              <w:instrText xml:space="preserve"> PAGEREF _Toc30670579 \h </w:instrText>
            </w:r>
            <w:r w:rsidR="00AD7158" w:rsidRPr="00AD7158">
              <w:rPr>
                <w:rFonts w:asciiTheme="majorHAnsi" w:hAnsiTheme="majorHAnsi"/>
                <w:noProof/>
                <w:webHidden/>
                <w:szCs w:val="22"/>
              </w:rPr>
            </w:r>
            <w:r w:rsidR="00AD7158" w:rsidRPr="00AD7158">
              <w:rPr>
                <w:rFonts w:asciiTheme="majorHAnsi" w:hAnsiTheme="majorHAnsi"/>
                <w:noProof/>
                <w:webHidden/>
                <w:szCs w:val="22"/>
              </w:rPr>
              <w:fldChar w:fldCharType="separate"/>
            </w:r>
            <w:r>
              <w:rPr>
                <w:rFonts w:asciiTheme="majorHAnsi" w:hAnsiTheme="majorHAnsi"/>
                <w:noProof/>
                <w:webHidden/>
                <w:szCs w:val="22"/>
              </w:rPr>
              <w:t>5</w:t>
            </w:r>
            <w:r w:rsidR="00AD7158" w:rsidRPr="00AD7158">
              <w:rPr>
                <w:rFonts w:asciiTheme="majorHAnsi" w:hAnsiTheme="majorHAnsi"/>
                <w:noProof/>
                <w:webHidden/>
                <w:szCs w:val="22"/>
              </w:rPr>
              <w:fldChar w:fldCharType="end"/>
            </w:r>
          </w:hyperlink>
        </w:p>
        <w:p w14:paraId="632F78B4" w14:textId="063C1578" w:rsidR="00AD7158" w:rsidRPr="00AD7158" w:rsidRDefault="00F3014A">
          <w:pPr>
            <w:pStyle w:val="TOC2"/>
            <w:rPr>
              <w:rFonts w:asciiTheme="majorHAnsi" w:eastAsiaTheme="minorEastAsia" w:hAnsiTheme="majorHAnsi" w:cstheme="minorBidi"/>
              <w:noProof/>
              <w:sz w:val="22"/>
              <w:szCs w:val="22"/>
              <w:bdr w:val="none" w:sz="0" w:space="0" w:color="auto"/>
            </w:rPr>
          </w:pPr>
          <w:hyperlink w:anchor="_Toc30670580" w:history="1">
            <w:r w:rsidR="00AD7158" w:rsidRPr="00AD7158">
              <w:rPr>
                <w:rStyle w:val="Hyperlink"/>
                <w:rFonts w:asciiTheme="majorHAnsi" w:hAnsiTheme="majorHAnsi"/>
                <w:noProof/>
                <w:sz w:val="22"/>
                <w:szCs w:val="22"/>
                <w:lang w:val="es-AR"/>
              </w:rPr>
              <w:t xml:space="preserve">A. </w:t>
            </w:r>
            <w:r w:rsidR="00AD7158" w:rsidRPr="00AD7158">
              <w:rPr>
                <w:rStyle w:val="Hyperlink"/>
                <w:rFonts w:asciiTheme="majorHAnsi" w:hAnsiTheme="majorHAnsi"/>
                <w:noProof/>
                <w:sz w:val="22"/>
                <w:szCs w:val="22"/>
              </w:rPr>
              <w:t>Marco normativo relevante</w:t>
            </w:r>
            <w:r w:rsidR="00AD7158" w:rsidRPr="00AD7158">
              <w:rPr>
                <w:rFonts w:asciiTheme="majorHAnsi" w:hAnsiTheme="majorHAnsi"/>
                <w:noProof/>
                <w:webHidden/>
                <w:sz w:val="22"/>
                <w:szCs w:val="22"/>
              </w:rPr>
              <w:tab/>
            </w:r>
            <w:r w:rsidR="00AD7158" w:rsidRPr="00AD7158">
              <w:rPr>
                <w:rFonts w:asciiTheme="majorHAnsi" w:hAnsiTheme="majorHAnsi"/>
                <w:noProof/>
                <w:webHidden/>
                <w:sz w:val="22"/>
                <w:szCs w:val="22"/>
              </w:rPr>
              <w:fldChar w:fldCharType="begin"/>
            </w:r>
            <w:r w:rsidR="00AD7158" w:rsidRPr="00AD7158">
              <w:rPr>
                <w:rFonts w:asciiTheme="majorHAnsi" w:hAnsiTheme="majorHAnsi"/>
                <w:noProof/>
                <w:webHidden/>
                <w:sz w:val="22"/>
                <w:szCs w:val="22"/>
              </w:rPr>
              <w:instrText xml:space="preserve"> PAGEREF _Toc30670580 \h </w:instrText>
            </w:r>
            <w:r w:rsidR="00AD7158" w:rsidRPr="00AD7158">
              <w:rPr>
                <w:rFonts w:asciiTheme="majorHAnsi" w:hAnsiTheme="majorHAnsi"/>
                <w:noProof/>
                <w:webHidden/>
                <w:sz w:val="22"/>
                <w:szCs w:val="22"/>
              </w:rPr>
            </w:r>
            <w:r w:rsidR="00AD7158" w:rsidRPr="00AD7158">
              <w:rPr>
                <w:rFonts w:asciiTheme="majorHAnsi" w:hAnsiTheme="majorHAnsi"/>
                <w:noProof/>
                <w:webHidden/>
                <w:sz w:val="22"/>
                <w:szCs w:val="22"/>
              </w:rPr>
              <w:fldChar w:fldCharType="separate"/>
            </w:r>
            <w:r>
              <w:rPr>
                <w:rFonts w:asciiTheme="majorHAnsi" w:hAnsiTheme="majorHAnsi"/>
                <w:noProof/>
                <w:webHidden/>
                <w:sz w:val="22"/>
                <w:szCs w:val="22"/>
              </w:rPr>
              <w:t>5</w:t>
            </w:r>
            <w:r w:rsidR="00AD7158" w:rsidRPr="00AD7158">
              <w:rPr>
                <w:rFonts w:asciiTheme="majorHAnsi" w:hAnsiTheme="majorHAnsi"/>
                <w:noProof/>
                <w:webHidden/>
                <w:sz w:val="22"/>
                <w:szCs w:val="22"/>
              </w:rPr>
              <w:fldChar w:fldCharType="end"/>
            </w:r>
          </w:hyperlink>
        </w:p>
        <w:p w14:paraId="2F367BDD" w14:textId="6E021E0A" w:rsidR="00AD7158" w:rsidRPr="00AD7158" w:rsidRDefault="00F3014A">
          <w:pPr>
            <w:pStyle w:val="TOC2"/>
            <w:rPr>
              <w:rFonts w:asciiTheme="majorHAnsi" w:eastAsiaTheme="minorEastAsia" w:hAnsiTheme="majorHAnsi" w:cstheme="minorBidi"/>
              <w:noProof/>
              <w:sz w:val="22"/>
              <w:szCs w:val="22"/>
              <w:bdr w:val="none" w:sz="0" w:space="0" w:color="auto"/>
            </w:rPr>
          </w:pPr>
          <w:hyperlink w:anchor="_Toc30670581" w:history="1">
            <w:r w:rsidR="00AD7158" w:rsidRPr="00AD7158">
              <w:rPr>
                <w:rStyle w:val="Hyperlink"/>
                <w:rFonts w:asciiTheme="majorHAnsi" w:hAnsiTheme="majorHAnsi"/>
                <w:noProof/>
                <w:sz w:val="22"/>
                <w:szCs w:val="22"/>
                <w:lang w:val="es-AR"/>
              </w:rPr>
              <w:t>B. La</w:t>
            </w:r>
            <w:r w:rsidR="00AD7158" w:rsidRPr="00AD7158">
              <w:rPr>
                <w:rStyle w:val="Hyperlink"/>
                <w:rFonts w:asciiTheme="majorHAnsi" w:hAnsiTheme="majorHAnsi"/>
                <w:noProof/>
                <w:sz w:val="22"/>
                <w:szCs w:val="22"/>
              </w:rPr>
              <w:t xml:space="preserve"> práctica judicial en Argentina y el fallo “Casal” de 2005</w:t>
            </w:r>
            <w:r w:rsidR="00AD7158" w:rsidRPr="00AD7158">
              <w:rPr>
                <w:rFonts w:asciiTheme="majorHAnsi" w:hAnsiTheme="majorHAnsi"/>
                <w:noProof/>
                <w:webHidden/>
                <w:sz w:val="22"/>
                <w:szCs w:val="22"/>
              </w:rPr>
              <w:tab/>
            </w:r>
            <w:r w:rsidR="00AD7158" w:rsidRPr="00AD7158">
              <w:rPr>
                <w:rFonts w:asciiTheme="majorHAnsi" w:hAnsiTheme="majorHAnsi"/>
                <w:noProof/>
                <w:webHidden/>
                <w:sz w:val="22"/>
                <w:szCs w:val="22"/>
              </w:rPr>
              <w:fldChar w:fldCharType="begin"/>
            </w:r>
            <w:r w:rsidR="00AD7158" w:rsidRPr="00AD7158">
              <w:rPr>
                <w:rFonts w:asciiTheme="majorHAnsi" w:hAnsiTheme="majorHAnsi"/>
                <w:noProof/>
                <w:webHidden/>
                <w:sz w:val="22"/>
                <w:szCs w:val="22"/>
              </w:rPr>
              <w:instrText xml:space="preserve"> PAGEREF _Toc30670581 \h </w:instrText>
            </w:r>
            <w:r w:rsidR="00AD7158" w:rsidRPr="00AD7158">
              <w:rPr>
                <w:rFonts w:asciiTheme="majorHAnsi" w:hAnsiTheme="majorHAnsi"/>
                <w:noProof/>
                <w:webHidden/>
                <w:sz w:val="22"/>
                <w:szCs w:val="22"/>
              </w:rPr>
            </w:r>
            <w:r w:rsidR="00AD7158" w:rsidRPr="00AD7158">
              <w:rPr>
                <w:rFonts w:asciiTheme="majorHAnsi" w:hAnsiTheme="majorHAnsi"/>
                <w:noProof/>
                <w:webHidden/>
                <w:sz w:val="22"/>
                <w:szCs w:val="22"/>
              </w:rPr>
              <w:fldChar w:fldCharType="separate"/>
            </w:r>
            <w:r>
              <w:rPr>
                <w:rFonts w:asciiTheme="majorHAnsi" w:hAnsiTheme="majorHAnsi"/>
                <w:noProof/>
                <w:webHidden/>
                <w:sz w:val="22"/>
                <w:szCs w:val="22"/>
              </w:rPr>
              <w:t>6</w:t>
            </w:r>
            <w:r w:rsidR="00AD7158" w:rsidRPr="00AD7158">
              <w:rPr>
                <w:rFonts w:asciiTheme="majorHAnsi" w:hAnsiTheme="majorHAnsi"/>
                <w:noProof/>
                <w:webHidden/>
                <w:sz w:val="22"/>
                <w:szCs w:val="22"/>
              </w:rPr>
              <w:fldChar w:fldCharType="end"/>
            </w:r>
          </w:hyperlink>
        </w:p>
        <w:p w14:paraId="583AAB65" w14:textId="633B0C9D" w:rsidR="00AD7158" w:rsidRPr="00AD7158" w:rsidRDefault="00F3014A">
          <w:pPr>
            <w:pStyle w:val="TOC2"/>
            <w:rPr>
              <w:rFonts w:asciiTheme="majorHAnsi" w:eastAsiaTheme="minorEastAsia" w:hAnsiTheme="majorHAnsi" w:cstheme="minorBidi"/>
              <w:noProof/>
              <w:sz w:val="22"/>
              <w:szCs w:val="22"/>
              <w:bdr w:val="none" w:sz="0" w:space="0" w:color="auto"/>
            </w:rPr>
          </w:pPr>
          <w:hyperlink w:anchor="_Toc30670582" w:history="1">
            <w:r w:rsidR="00AD7158" w:rsidRPr="00AD7158">
              <w:rPr>
                <w:rStyle w:val="Hyperlink"/>
                <w:rFonts w:asciiTheme="majorHAnsi" w:hAnsiTheme="majorHAnsi" w:cstheme="majorHAnsi"/>
                <w:noProof/>
                <w:sz w:val="22"/>
                <w:szCs w:val="22"/>
                <w:lang w:val="es-ES_tradnl"/>
              </w:rPr>
              <w:t xml:space="preserve">C. </w:t>
            </w:r>
            <w:r w:rsidR="00AD7158" w:rsidRPr="00AD7158">
              <w:rPr>
                <w:rStyle w:val="Hyperlink"/>
                <w:rFonts w:asciiTheme="majorHAnsi" w:hAnsiTheme="majorHAnsi" w:cstheme="majorHAnsi"/>
                <w:noProof/>
                <w:sz w:val="22"/>
                <w:szCs w:val="22"/>
                <w:lang w:val="es-AR"/>
              </w:rPr>
              <w:t>La práctica judicial en Argentina y el fallo “Gramajo” de 2006</w:t>
            </w:r>
            <w:r w:rsidR="00AD7158" w:rsidRPr="00AD7158">
              <w:rPr>
                <w:rFonts w:asciiTheme="majorHAnsi" w:hAnsiTheme="majorHAnsi"/>
                <w:noProof/>
                <w:webHidden/>
                <w:sz w:val="22"/>
                <w:szCs w:val="22"/>
              </w:rPr>
              <w:tab/>
            </w:r>
            <w:r w:rsidR="00AD7158" w:rsidRPr="00AD7158">
              <w:rPr>
                <w:rFonts w:asciiTheme="majorHAnsi" w:hAnsiTheme="majorHAnsi"/>
                <w:noProof/>
                <w:webHidden/>
                <w:sz w:val="22"/>
                <w:szCs w:val="22"/>
              </w:rPr>
              <w:fldChar w:fldCharType="begin"/>
            </w:r>
            <w:r w:rsidR="00AD7158" w:rsidRPr="00AD7158">
              <w:rPr>
                <w:rFonts w:asciiTheme="majorHAnsi" w:hAnsiTheme="majorHAnsi"/>
                <w:noProof/>
                <w:webHidden/>
                <w:sz w:val="22"/>
                <w:szCs w:val="22"/>
              </w:rPr>
              <w:instrText xml:space="preserve"> PAGEREF _Toc30670582 \h </w:instrText>
            </w:r>
            <w:r w:rsidR="00AD7158" w:rsidRPr="00AD7158">
              <w:rPr>
                <w:rFonts w:asciiTheme="majorHAnsi" w:hAnsiTheme="majorHAnsi"/>
                <w:noProof/>
                <w:webHidden/>
                <w:sz w:val="22"/>
                <w:szCs w:val="22"/>
              </w:rPr>
            </w:r>
            <w:r w:rsidR="00AD7158" w:rsidRPr="00AD7158">
              <w:rPr>
                <w:rFonts w:asciiTheme="majorHAnsi" w:hAnsiTheme="majorHAnsi"/>
                <w:noProof/>
                <w:webHidden/>
                <w:sz w:val="22"/>
                <w:szCs w:val="22"/>
              </w:rPr>
              <w:fldChar w:fldCharType="separate"/>
            </w:r>
            <w:r>
              <w:rPr>
                <w:rFonts w:asciiTheme="majorHAnsi" w:hAnsiTheme="majorHAnsi"/>
                <w:noProof/>
                <w:webHidden/>
                <w:sz w:val="22"/>
                <w:szCs w:val="22"/>
              </w:rPr>
              <w:t>7</w:t>
            </w:r>
            <w:r w:rsidR="00AD7158" w:rsidRPr="00AD7158">
              <w:rPr>
                <w:rFonts w:asciiTheme="majorHAnsi" w:hAnsiTheme="majorHAnsi"/>
                <w:noProof/>
                <w:webHidden/>
                <w:sz w:val="22"/>
                <w:szCs w:val="22"/>
              </w:rPr>
              <w:fldChar w:fldCharType="end"/>
            </w:r>
          </w:hyperlink>
        </w:p>
        <w:p w14:paraId="5DCE20EC" w14:textId="5769DAAB" w:rsidR="00AD7158" w:rsidRPr="00AD7158" w:rsidRDefault="00F3014A">
          <w:pPr>
            <w:pStyle w:val="TOC2"/>
            <w:rPr>
              <w:rFonts w:asciiTheme="majorHAnsi" w:eastAsiaTheme="minorEastAsia" w:hAnsiTheme="majorHAnsi" w:cstheme="minorBidi"/>
              <w:noProof/>
              <w:sz w:val="22"/>
              <w:szCs w:val="22"/>
              <w:bdr w:val="none" w:sz="0" w:space="0" w:color="auto"/>
            </w:rPr>
          </w:pPr>
          <w:hyperlink w:anchor="_Toc30670583" w:history="1">
            <w:r w:rsidR="00AD7158" w:rsidRPr="00AD7158">
              <w:rPr>
                <w:rStyle w:val="Hyperlink"/>
                <w:rFonts w:asciiTheme="majorHAnsi" w:hAnsiTheme="majorHAnsi" w:cstheme="majorHAnsi"/>
                <w:noProof/>
                <w:sz w:val="22"/>
                <w:szCs w:val="22"/>
                <w:lang w:val="es-AR"/>
              </w:rPr>
              <w:t>D. Hechos del caso</w:t>
            </w:r>
            <w:r w:rsidR="00AD7158" w:rsidRPr="00AD7158">
              <w:rPr>
                <w:rFonts w:asciiTheme="majorHAnsi" w:hAnsiTheme="majorHAnsi"/>
                <w:noProof/>
                <w:webHidden/>
                <w:sz w:val="22"/>
                <w:szCs w:val="22"/>
              </w:rPr>
              <w:tab/>
            </w:r>
            <w:r w:rsidR="00AD7158" w:rsidRPr="00AD7158">
              <w:rPr>
                <w:rFonts w:asciiTheme="majorHAnsi" w:hAnsiTheme="majorHAnsi"/>
                <w:noProof/>
                <w:webHidden/>
                <w:sz w:val="22"/>
                <w:szCs w:val="22"/>
              </w:rPr>
              <w:fldChar w:fldCharType="begin"/>
            </w:r>
            <w:r w:rsidR="00AD7158" w:rsidRPr="00AD7158">
              <w:rPr>
                <w:rFonts w:asciiTheme="majorHAnsi" w:hAnsiTheme="majorHAnsi"/>
                <w:noProof/>
                <w:webHidden/>
                <w:sz w:val="22"/>
                <w:szCs w:val="22"/>
              </w:rPr>
              <w:instrText xml:space="preserve"> PAGEREF _Toc30670583 \h </w:instrText>
            </w:r>
            <w:r w:rsidR="00AD7158" w:rsidRPr="00AD7158">
              <w:rPr>
                <w:rFonts w:asciiTheme="majorHAnsi" w:hAnsiTheme="majorHAnsi"/>
                <w:noProof/>
                <w:webHidden/>
                <w:sz w:val="22"/>
                <w:szCs w:val="22"/>
              </w:rPr>
            </w:r>
            <w:r w:rsidR="00AD7158" w:rsidRPr="00AD7158">
              <w:rPr>
                <w:rFonts w:asciiTheme="majorHAnsi" w:hAnsiTheme="majorHAnsi"/>
                <w:noProof/>
                <w:webHidden/>
                <w:sz w:val="22"/>
                <w:szCs w:val="22"/>
              </w:rPr>
              <w:fldChar w:fldCharType="separate"/>
            </w:r>
            <w:r>
              <w:rPr>
                <w:rFonts w:asciiTheme="majorHAnsi" w:hAnsiTheme="majorHAnsi"/>
                <w:noProof/>
                <w:webHidden/>
                <w:sz w:val="22"/>
                <w:szCs w:val="22"/>
              </w:rPr>
              <w:t>7</w:t>
            </w:r>
            <w:r w:rsidR="00AD7158" w:rsidRPr="00AD7158">
              <w:rPr>
                <w:rFonts w:asciiTheme="majorHAnsi" w:hAnsiTheme="majorHAnsi"/>
                <w:noProof/>
                <w:webHidden/>
                <w:sz w:val="22"/>
                <w:szCs w:val="22"/>
              </w:rPr>
              <w:fldChar w:fldCharType="end"/>
            </w:r>
          </w:hyperlink>
        </w:p>
        <w:p w14:paraId="47D1F8C4" w14:textId="1EF8ADF8" w:rsidR="00AD7158" w:rsidRPr="00AD7158" w:rsidRDefault="00F3014A">
          <w:pPr>
            <w:pStyle w:val="TOC1"/>
            <w:tabs>
              <w:tab w:val="left" w:pos="1440"/>
              <w:tab w:val="right" w:leader="dot" w:pos="9350"/>
            </w:tabs>
            <w:rPr>
              <w:rFonts w:asciiTheme="majorHAnsi" w:eastAsiaTheme="minorEastAsia" w:hAnsiTheme="majorHAnsi" w:cstheme="minorBidi"/>
              <w:noProof/>
              <w:szCs w:val="22"/>
              <w:bdr w:val="none" w:sz="0" w:space="0" w:color="auto"/>
            </w:rPr>
          </w:pPr>
          <w:hyperlink w:anchor="_Toc30670584" w:history="1">
            <w:r w:rsidR="00AD7158" w:rsidRPr="00AD7158">
              <w:rPr>
                <w:rStyle w:val="Hyperlink"/>
                <w:rFonts w:asciiTheme="majorHAnsi" w:hAnsiTheme="majorHAnsi"/>
                <w:noProof/>
                <w:szCs w:val="22"/>
              </w:rPr>
              <w:t>IV.</w:t>
            </w:r>
            <w:r w:rsidR="00AD7158" w:rsidRPr="00AD7158">
              <w:rPr>
                <w:rFonts w:asciiTheme="majorHAnsi" w:eastAsiaTheme="minorEastAsia" w:hAnsiTheme="majorHAnsi" w:cstheme="minorBidi"/>
                <w:noProof/>
                <w:szCs w:val="22"/>
                <w:bdr w:val="none" w:sz="0" w:space="0" w:color="auto"/>
              </w:rPr>
              <w:tab/>
            </w:r>
            <w:r w:rsidR="00AD7158" w:rsidRPr="00AD7158">
              <w:rPr>
                <w:rStyle w:val="Hyperlink"/>
                <w:rFonts w:asciiTheme="majorHAnsi" w:hAnsiTheme="majorHAnsi"/>
                <w:noProof/>
                <w:szCs w:val="22"/>
              </w:rPr>
              <w:t>ANÁLISIS DE DERECHO</w:t>
            </w:r>
            <w:r w:rsidR="00AD7158" w:rsidRPr="00AD7158">
              <w:rPr>
                <w:rFonts w:asciiTheme="majorHAnsi" w:hAnsiTheme="majorHAnsi"/>
                <w:noProof/>
                <w:webHidden/>
                <w:szCs w:val="22"/>
              </w:rPr>
              <w:tab/>
            </w:r>
            <w:r w:rsidR="00AD7158" w:rsidRPr="00AD7158">
              <w:rPr>
                <w:rFonts w:asciiTheme="majorHAnsi" w:hAnsiTheme="majorHAnsi"/>
                <w:noProof/>
                <w:webHidden/>
                <w:szCs w:val="22"/>
              </w:rPr>
              <w:fldChar w:fldCharType="begin"/>
            </w:r>
            <w:r w:rsidR="00AD7158" w:rsidRPr="00AD7158">
              <w:rPr>
                <w:rFonts w:asciiTheme="majorHAnsi" w:hAnsiTheme="majorHAnsi"/>
                <w:noProof/>
                <w:webHidden/>
                <w:szCs w:val="22"/>
              </w:rPr>
              <w:instrText xml:space="preserve"> PAGEREF _Toc30670584 \h </w:instrText>
            </w:r>
            <w:r w:rsidR="00AD7158" w:rsidRPr="00AD7158">
              <w:rPr>
                <w:rFonts w:asciiTheme="majorHAnsi" w:hAnsiTheme="majorHAnsi"/>
                <w:noProof/>
                <w:webHidden/>
                <w:szCs w:val="22"/>
              </w:rPr>
            </w:r>
            <w:r w:rsidR="00AD7158" w:rsidRPr="00AD7158">
              <w:rPr>
                <w:rFonts w:asciiTheme="majorHAnsi" w:hAnsiTheme="majorHAnsi"/>
                <w:noProof/>
                <w:webHidden/>
                <w:szCs w:val="22"/>
              </w:rPr>
              <w:fldChar w:fldCharType="separate"/>
            </w:r>
            <w:r>
              <w:rPr>
                <w:rFonts w:asciiTheme="majorHAnsi" w:hAnsiTheme="majorHAnsi"/>
                <w:noProof/>
                <w:webHidden/>
                <w:szCs w:val="22"/>
              </w:rPr>
              <w:t>13</w:t>
            </w:r>
            <w:r w:rsidR="00AD7158" w:rsidRPr="00AD7158">
              <w:rPr>
                <w:rFonts w:asciiTheme="majorHAnsi" w:hAnsiTheme="majorHAnsi"/>
                <w:noProof/>
                <w:webHidden/>
                <w:szCs w:val="22"/>
              </w:rPr>
              <w:fldChar w:fldCharType="end"/>
            </w:r>
          </w:hyperlink>
        </w:p>
        <w:p w14:paraId="5D415AC8" w14:textId="610679B0" w:rsidR="00AD7158" w:rsidRPr="00AD7158" w:rsidRDefault="00F3014A">
          <w:pPr>
            <w:pStyle w:val="TOC2"/>
            <w:rPr>
              <w:rFonts w:asciiTheme="majorHAnsi" w:eastAsiaTheme="minorEastAsia" w:hAnsiTheme="majorHAnsi" w:cstheme="minorBidi"/>
              <w:noProof/>
              <w:sz w:val="22"/>
              <w:szCs w:val="22"/>
              <w:bdr w:val="none" w:sz="0" w:space="0" w:color="auto"/>
            </w:rPr>
          </w:pPr>
          <w:hyperlink w:anchor="_Toc30670585" w:history="1">
            <w:r w:rsidR="00AD7158" w:rsidRPr="00AD7158">
              <w:rPr>
                <w:rStyle w:val="Hyperlink"/>
                <w:rFonts w:asciiTheme="majorHAnsi" w:hAnsiTheme="majorHAnsi"/>
                <w:noProof/>
                <w:sz w:val="22"/>
                <w:szCs w:val="22"/>
              </w:rPr>
              <w:t>A.</w:t>
            </w:r>
            <w:r w:rsidR="00AD7158" w:rsidRPr="00AD7158">
              <w:rPr>
                <w:rFonts w:asciiTheme="majorHAnsi" w:eastAsiaTheme="minorEastAsia" w:hAnsiTheme="majorHAnsi" w:cstheme="minorBidi"/>
                <w:noProof/>
                <w:sz w:val="22"/>
                <w:szCs w:val="22"/>
                <w:bdr w:val="none" w:sz="0" w:space="0" w:color="auto"/>
              </w:rPr>
              <w:tab/>
            </w:r>
            <w:r w:rsidR="00AD7158" w:rsidRPr="00AD7158">
              <w:rPr>
                <w:rStyle w:val="Hyperlink"/>
                <w:rFonts w:asciiTheme="majorHAnsi" w:hAnsiTheme="majorHAnsi"/>
                <w:noProof/>
                <w:sz w:val="22"/>
                <w:szCs w:val="22"/>
              </w:rPr>
              <w:t>Derechos a las garantías judiciales y protección judicial,</w:t>
            </w:r>
            <w:r w:rsidR="00AD7158" w:rsidRPr="00AD7158">
              <w:rPr>
                <w:rStyle w:val="Hyperlink"/>
                <w:rFonts w:asciiTheme="majorHAnsi" w:hAnsiTheme="majorHAnsi"/>
                <w:noProof/>
                <w:sz w:val="22"/>
                <w:szCs w:val="22"/>
                <w:lang w:val="es-AR"/>
              </w:rPr>
              <w:t xml:space="preserve"> en relación con el artículo 1.1 de la Convención Americana sobre Derechos Humanos</w:t>
            </w:r>
            <w:r w:rsidR="00AD7158" w:rsidRPr="00AD7158">
              <w:rPr>
                <w:rFonts w:asciiTheme="majorHAnsi" w:hAnsiTheme="majorHAnsi"/>
                <w:noProof/>
                <w:webHidden/>
                <w:sz w:val="22"/>
                <w:szCs w:val="22"/>
              </w:rPr>
              <w:tab/>
            </w:r>
            <w:r w:rsidR="00AD7158" w:rsidRPr="00AD7158">
              <w:rPr>
                <w:rFonts w:asciiTheme="majorHAnsi" w:hAnsiTheme="majorHAnsi"/>
                <w:noProof/>
                <w:webHidden/>
                <w:sz w:val="22"/>
                <w:szCs w:val="22"/>
              </w:rPr>
              <w:fldChar w:fldCharType="begin"/>
            </w:r>
            <w:r w:rsidR="00AD7158" w:rsidRPr="00AD7158">
              <w:rPr>
                <w:rFonts w:asciiTheme="majorHAnsi" w:hAnsiTheme="majorHAnsi"/>
                <w:noProof/>
                <w:webHidden/>
                <w:sz w:val="22"/>
                <w:szCs w:val="22"/>
              </w:rPr>
              <w:instrText xml:space="preserve"> PAGEREF _Toc30670585 \h </w:instrText>
            </w:r>
            <w:r w:rsidR="00AD7158" w:rsidRPr="00AD7158">
              <w:rPr>
                <w:rFonts w:asciiTheme="majorHAnsi" w:hAnsiTheme="majorHAnsi"/>
                <w:noProof/>
                <w:webHidden/>
                <w:sz w:val="22"/>
                <w:szCs w:val="22"/>
              </w:rPr>
            </w:r>
            <w:r w:rsidR="00AD7158" w:rsidRPr="00AD7158">
              <w:rPr>
                <w:rFonts w:asciiTheme="majorHAnsi" w:hAnsiTheme="majorHAnsi"/>
                <w:noProof/>
                <w:webHidden/>
                <w:sz w:val="22"/>
                <w:szCs w:val="22"/>
              </w:rPr>
              <w:fldChar w:fldCharType="separate"/>
            </w:r>
            <w:r>
              <w:rPr>
                <w:rFonts w:asciiTheme="majorHAnsi" w:hAnsiTheme="majorHAnsi"/>
                <w:noProof/>
                <w:webHidden/>
                <w:sz w:val="22"/>
                <w:szCs w:val="22"/>
              </w:rPr>
              <w:t>13</w:t>
            </w:r>
            <w:r w:rsidR="00AD7158" w:rsidRPr="00AD7158">
              <w:rPr>
                <w:rFonts w:asciiTheme="majorHAnsi" w:hAnsiTheme="majorHAnsi"/>
                <w:noProof/>
                <w:webHidden/>
                <w:sz w:val="22"/>
                <w:szCs w:val="22"/>
              </w:rPr>
              <w:fldChar w:fldCharType="end"/>
            </w:r>
          </w:hyperlink>
        </w:p>
        <w:p w14:paraId="2F4493DB" w14:textId="0C46A08C" w:rsidR="00AD7158" w:rsidRPr="00AD7158" w:rsidRDefault="00F3014A">
          <w:pPr>
            <w:pStyle w:val="TOC2"/>
            <w:rPr>
              <w:rFonts w:asciiTheme="majorHAnsi" w:eastAsiaTheme="minorEastAsia" w:hAnsiTheme="majorHAnsi" w:cstheme="minorBidi"/>
              <w:noProof/>
              <w:sz w:val="22"/>
              <w:szCs w:val="22"/>
              <w:bdr w:val="none" w:sz="0" w:space="0" w:color="auto"/>
            </w:rPr>
          </w:pPr>
          <w:hyperlink w:anchor="_Toc30670586" w:history="1">
            <w:r w:rsidR="00AD7158" w:rsidRPr="00AD7158">
              <w:rPr>
                <w:rStyle w:val="Hyperlink"/>
                <w:rFonts w:asciiTheme="majorHAnsi" w:hAnsiTheme="majorHAnsi"/>
                <w:noProof/>
                <w:sz w:val="22"/>
                <w:szCs w:val="22"/>
              </w:rPr>
              <w:t>B.</w:t>
            </w:r>
            <w:r w:rsidR="00AD7158" w:rsidRPr="00AD7158">
              <w:rPr>
                <w:rFonts w:asciiTheme="majorHAnsi" w:eastAsiaTheme="minorEastAsia" w:hAnsiTheme="majorHAnsi" w:cstheme="minorBidi"/>
                <w:noProof/>
                <w:sz w:val="22"/>
                <w:szCs w:val="22"/>
                <w:bdr w:val="none" w:sz="0" w:space="0" w:color="auto"/>
              </w:rPr>
              <w:tab/>
            </w:r>
            <w:r w:rsidR="00AD7158" w:rsidRPr="00AD7158">
              <w:rPr>
                <w:rStyle w:val="Hyperlink"/>
                <w:rFonts w:asciiTheme="majorHAnsi" w:hAnsiTheme="majorHAnsi"/>
                <w:noProof/>
                <w:sz w:val="22"/>
                <w:szCs w:val="22"/>
              </w:rPr>
              <w:t>Derechos a recurrir el fallo ante juez o tribunal superior y derecho a la protección judicial, en relación con los artículos 1.1 y 2 de la Convención Americana sobre Derechos Humanos</w:t>
            </w:r>
            <w:r w:rsidR="00AD7158" w:rsidRPr="00AD7158">
              <w:rPr>
                <w:rFonts w:asciiTheme="majorHAnsi" w:hAnsiTheme="majorHAnsi"/>
                <w:noProof/>
                <w:webHidden/>
                <w:sz w:val="22"/>
                <w:szCs w:val="22"/>
              </w:rPr>
              <w:tab/>
            </w:r>
            <w:r w:rsidR="00AD7158" w:rsidRPr="00AD7158">
              <w:rPr>
                <w:rFonts w:asciiTheme="majorHAnsi" w:hAnsiTheme="majorHAnsi"/>
                <w:noProof/>
                <w:webHidden/>
                <w:sz w:val="22"/>
                <w:szCs w:val="22"/>
              </w:rPr>
              <w:fldChar w:fldCharType="begin"/>
            </w:r>
            <w:r w:rsidR="00AD7158" w:rsidRPr="00AD7158">
              <w:rPr>
                <w:rFonts w:asciiTheme="majorHAnsi" w:hAnsiTheme="majorHAnsi"/>
                <w:noProof/>
                <w:webHidden/>
                <w:sz w:val="22"/>
                <w:szCs w:val="22"/>
              </w:rPr>
              <w:instrText xml:space="preserve"> PAGEREF _Toc30670586 \h </w:instrText>
            </w:r>
            <w:r w:rsidR="00AD7158" w:rsidRPr="00AD7158">
              <w:rPr>
                <w:rFonts w:asciiTheme="majorHAnsi" w:hAnsiTheme="majorHAnsi"/>
                <w:noProof/>
                <w:webHidden/>
                <w:sz w:val="22"/>
                <w:szCs w:val="22"/>
              </w:rPr>
            </w:r>
            <w:r w:rsidR="00AD7158" w:rsidRPr="00AD7158">
              <w:rPr>
                <w:rFonts w:asciiTheme="majorHAnsi" w:hAnsiTheme="majorHAnsi"/>
                <w:noProof/>
                <w:webHidden/>
                <w:sz w:val="22"/>
                <w:szCs w:val="22"/>
              </w:rPr>
              <w:fldChar w:fldCharType="separate"/>
            </w:r>
            <w:r>
              <w:rPr>
                <w:rFonts w:asciiTheme="majorHAnsi" w:hAnsiTheme="majorHAnsi"/>
                <w:noProof/>
                <w:webHidden/>
                <w:sz w:val="22"/>
                <w:szCs w:val="22"/>
              </w:rPr>
              <w:t>17</w:t>
            </w:r>
            <w:r w:rsidR="00AD7158" w:rsidRPr="00AD7158">
              <w:rPr>
                <w:rFonts w:asciiTheme="majorHAnsi" w:hAnsiTheme="majorHAnsi"/>
                <w:noProof/>
                <w:webHidden/>
                <w:sz w:val="22"/>
                <w:szCs w:val="22"/>
              </w:rPr>
              <w:fldChar w:fldCharType="end"/>
            </w:r>
          </w:hyperlink>
        </w:p>
        <w:p w14:paraId="74E9134B" w14:textId="1F6CB784" w:rsidR="00AD7158" w:rsidRPr="00AD7158" w:rsidRDefault="00F3014A">
          <w:pPr>
            <w:pStyle w:val="TOC2"/>
            <w:rPr>
              <w:rFonts w:asciiTheme="majorHAnsi" w:eastAsiaTheme="minorEastAsia" w:hAnsiTheme="majorHAnsi" w:cstheme="minorBidi"/>
              <w:noProof/>
              <w:sz w:val="22"/>
              <w:szCs w:val="22"/>
              <w:bdr w:val="none" w:sz="0" w:space="0" w:color="auto"/>
            </w:rPr>
          </w:pPr>
          <w:hyperlink w:anchor="_Toc30670587" w:history="1">
            <w:r w:rsidR="00AD7158" w:rsidRPr="00AD7158">
              <w:rPr>
                <w:rStyle w:val="Hyperlink"/>
                <w:rFonts w:asciiTheme="majorHAnsi" w:hAnsiTheme="majorHAnsi"/>
                <w:noProof/>
                <w:sz w:val="22"/>
                <w:szCs w:val="22"/>
              </w:rPr>
              <w:t>C.</w:t>
            </w:r>
            <w:r w:rsidR="00AD7158" w:rsidRPr="00AD7158">
              <w:rPr>
                <w:rFonts w:asciiTheme="majorHAnsi" w:eastAsiaTheme="minorEastAsia" w:hAnsiTheme="majorHAnsi" w:cstheme="minorBidi"/>
                <w:noProof/>
                <w:sz w:val="22"/>
                <w:szCs w:val="22"/>
                <w:bdr w:val="none" w:sz="0" w:space="0" w:color="auto"/>
              </w:rPr>
              <w:tab/>
            </w:r>
            <w:r w:rsidR="00AD7158" w:rsidRPr="00AD7158">
              <w:rPr>
                <w:rStyle w:val="Hyperlink"/>
                <w:rFonts w:asciiTheme="majorHAnsi" w:hAnsiTheme="majorHAnsi"/>
                <w:noProof/>
                <w:sz w:val="22"/>
                <w:szCs w:val="22"/>
              </w:rPr>
              <w:t>Derecho a la integridad personal, libertad personal, derecho a la igualdad ante la ley, reclusión perpetua y reclusión por tiempo indeterminado</w:t>
            </w:r>
            <w:r w:rsidR="00AD7158" w:rsidRPr="00AD7158">
              <w:rPr>
                <w:rFonts w:asciiTheme="majorHAnsi" w:hAnsiTheme="majorHAnsi"/>
                <w:noProof/>
                <w:webHidden/>
                <w:sz w:val="22"/>
                <w:szCs w:val="22"/>
              </w:rPr>
              <w:tab/>
            </w:r>
            <w:r w:rsidR="00AD7158" w:rsidRPr="00AD7158">
              <w:rPr>
                <w:rFonts w:asciiTheme="majorHAnsi" w:hAnsiTheme="majorHAnsi"/>
                <w:noProof/>
                <w:webHidden/>
                <w:sz w:val="22"/>
                <w:szCs w:val="22"/>
              </w:rPr>
              <w:fldChar w:fldCharType="begin"/>
            </w:r>
            <w:r w:rsidR="00AD7158" w:rsidRPr="00AD7158">
              <w:rPr>
                <w:rFonts w:asciiTheme="majorHAnsi" w:hAnsiTheme="majorHAnsi"/>
                <w:noProof/>
                <w:webHidden/>
                <w:sz w:val="22"/>
                <w:szCs w:val="22"/>
              </w:rPr>
              <w:instrText xml:space="preserve"> PAGEREF _Toc30670587 \h </w:instrText>
            </w:r>
            <w:r w:rsidR="00AD7158" w:rsidRPr="00AD7158">
              <w:rPr>
                <w:rFonts w:asciiTheme="majorHAnsi" w:hAnsiTheme="majorHAnsi"/>
                <w:noProof/>
                <w:webHidden/>
                <w:sz w:val="22"/>
                <w:szCs w:val="22"/>
              </w:rPr>
            </w:r>
            <w:r w:rsidR="00AD7158" w:rsidRPr="00AD7158">
              <w:rPr>
                <w:rFonts w:asciiTheme="majorHAnsi" w:hAnsiTheme="majorHAnsi"/>
                <w:noProof/>
                <w:webHidden/>
                <w:sz w:val="22"/>
                <w:szCs w:val="22"/>
              </w:rPr>
              <w:fldChar w:fldCharType="separate"/>
            </w:r>
            <w:r>
              <w:rPr>
                <w:rFonts w:asciiTheme="majorHAnsi" w:hAnsiTheme="majorHAnsi"/>
                <w:noProof/>
                <w:webHidden/>
                <w:sz w:val="22"/>
                <w:szCs w:val="22"/>
              </w:rPr>
              <w:t>21</w:t>
            </w:r>
            <w:r w:rsidR="00AD7158" w:rsidRPr="00AD7158">
              <w:rPr>
                <w:rFonts w:asciiTheme="majorHAnsi" w:hAnsiTheme="majorHAnsi"/>
                <w:noProof/>
                <w:webHidden/>
                <w:sz w:val="22"/>
                <w:szCs w:val="22"/>
              </w:rPr>
              <w:fldChar w:fldCharType="end"/>
            </w:r>
          </w:hyperlink>
        </w:p>
        <w:p w14:paraId="2C96232D" w14:textId="45AA71B2" w:rsidR="00AD7158" w:rsidRPr="00AD7158" w:rsidRDefault="00F3014A">
          <w:pPr>
            <w:pStyle w:val="TOC1"/>
            <w:tabs>
              <w:tab w:val="left" w:pos="1440"/>
              <w:tab w:val="right" w:leader="dot" w:pos="9350"/>
            </w:tabs>
            <w:rPr>
              <w:rFonts w:asciiTheme="majorHAnsi" w:eastAsiaTheme="minorEastAsia" w:hAnsiTheme="majorHAnsi" w:cstheme="minorBidi"/>
              <w:noProof/>
              <w:szCs w:val="22"/>
              <w:bdr w:val="none" w:sz="0" w:space="0" w:color="auto"/>
            </w:rPr>
          </w:pPr>
          <w:hyperlink w:anchor="_Toc30670588" w:history="1">
            <w:r w:rsidR="00AD7158" w:rsidRPr="00AD7158">
              <w:rPr>
                <w:rStyle w:val="Hyperlink"/>
                <w:rFonts w:asciiTheme="majorHAnsi" w:hAnsiTheme="majorHAnsi"/>
                <w:noProof/>
                <w:szCs w:val="22"/>
              </w:rPr>
              <w:t>V.</w:t>
            </w:r>
            <w:r w:rsidR="00AD7158" w:rsidRPr="00AD7158">
              <w:rPr>
                <w:rFonts w:asciiTheme="majorHAnsi" w:eastAsiaTheme="minorEastAsia" w:hAnsiTheme="majorHAnsi" w:cstheme="minorBidi"/>
                <w:noProof/>
                <w:szCs w:val="22"/>
                <w:bdr w:val="none" w:sz="0" w:space="0" w:color="auto"/>
              </w:rPr>
              <w:tab/>
            </w:r>
            <w:r w:rsidR="00AD7158" w:rsidRPr="00AD7158">
              <w:rPr>
                <w:rStyle w:val="Hyperlink"/>
                <w:rFonts w:asciiTheme="majorHAnsi" w:hAnsiTheme="majorHAnsi"/>
                <w:noProof/>
                <w:szCs w:val="22"/>
              </w:rPr>
              <w:t>CONCLUSIONES Y RECOMENDACIONES</w:t>
            </w:r>
            <w:r w:rsidR="00AD7158" w:rsidRPr="00AD7158">
              <w:rPr>
                <w:rFonts w:asciiTheme="majorHAnsi" w:hAnsiTheme="majorHAnsi"/>
                <w:noProof/>
                <w:webHidden/>
                <w:szCs w:val="22"/>
              </w:rPr>
              <w:tab/>
            </w:r>
            <w:r w:rsidR="00AD7158" w:rsidRPr="00AD7158">
              <w:rPr>
                <w:rFonts w:asciiTheme="majorHAnsi" w:hAnsiTheme="majorHAnsi"/>
                <w:noProof/>
                <w:webHidden/>
                <w:szCs w:val="22"/>
              </w:rPr>
              <w:fldChar w:fldCharType="begin"/>
            </w:r>
            <w:r w:rsidR="00AD7158" w:rsidRPr="00AD7158">
              <w:rPr>
                <w:rFonts w:asciiTheme="majorHAnsi" w:hAnsiTheme="majorHAnsi"/>
                <w:noProof/>
                <w:webHidden/>
                <w:szCs w:val="22"/>
              </w:rPr>
              <w:instrText xml:space="preserve"> PAGEREF _Toc30670588 \h </w:instrText>
            </w:r>
            <w:r w:rsidR="00AD7158" w:rsidRPr="00AD7158">
              <w:rPr>
                <w:rFonts w:asciiTheme="majorHAnsi" w:hAnsiTheme="majorHAnsi"/>
                <w:noProof/>
                <w:webHidden/>
                <w:szCs w:val="22"/>
              </w:rPr>
            </w:r>
            <w:r w:rsidR="00AD7158" w:rsidRPr="00AD7158">
              <w:rPr>
                <w:rFonts w:asciiTheme="majorHAnsi" w:hAnsiTheme="majorHAnsi"/>
                <w:noProof/>
                <w:webHidden/>
                <w:szCs w:val="22"/>
              </w:rPr>
              <w:fldChar w:fldCharType="separate"/>
            </w:r>
            <w:r>
              <w:rPr>
                <w:rFonts w:asciiTheme="majorHAnsi" w:hAnsiTheme="majorHAnsi"/>
                <w:noProof/>
                <w:webHidden/>
                <w:szCs w:val="22"/>
              </w:rPr>
              <w:t>24</w:t>
            </w:r>
            <w:r w:rsidR="00AD7158" w:rsidRPr="00AD7158">
              <w:rPr>
                <w:rFonts w:asciiTheme="majorHAnsi" w:hAnsiTheme="majorHAnsi"/>
                <w:noProof/>
                <w:webHidden/>
                <w:szCs w:val="22"/>
              </w:rPr>
              <w:fldChar w:fldCharType="end"/>
            </w:r>
          </w:hyperlink>
        </w:p>
        <w:p w14:paraId="16D043CD" w14:textId="77777777" w:rsidR="00AD7158" w:rsidRPr="00AD7158" w:rsidRDefault="00AD7158">
          <w:r w:rsidRPr="00AD7158">
            <w:rPr>
              <w:rFonts w:asciiTheme="majorHAnsi" w:hAnsiTheme="majorHAnsi"/>
              <w:b/>
              <w:bCs/>
              <w:noProof/>
              <w:sz w:val="22"/>
              <w:szCs w:val="22"/>
            </w:rPr>
            <w:fldChar w:fldCharType="end"/>
          </w:r>
        </w:p>
      </w:sdtContent>
    </w:sdt>
    <w:p w14:paraId="4EC5C9C4" w14:textId="77777777" w:rsidR="00E909AA" w:rsidRPr="00AD7158" w:rsidRDefault="00E909AA" w:rsidP="00B419FB">
      <w:pPr>
        <w:suppressAutoHyphens/>
        <w:rPr>
          <w:rFonts w:asciiTheme="majorHAnsi" w:hAnsiTheme="majorHAnsi"/>
          <w:b/>
          <w:sz w:val="20"/>
          <w:szCs w:val="20"/>
          <w:lang w:val="es-ES_tradnl"/>
        </w:rPr>
      </w:pPr>
    </w:p>
    <w:p w14:paraId="14DA4A2F" w14:textId="77777777" w:rsidR="00E909AA" w:rsidRPr="00AD7158" w:rsidRDefault="006125C3" w:rsidP="00B419FB">
      <w:pPr>
        <w:tabs>
          <w:tab w:val="left" w:pos="720"/>
          <w:tab w:val="left" w:pos="1440"/>
          <w:tab w:val="right" w:leader="dot" w:pos="9350"/>
        </w:tabs>
        <w:spacing w:after="100"/>
        <w:ind w:left="720" w:hanging="720"/>
        <w:rPr>
          <w:rFonts w:asciiTheme="majorHAnsi" w:hAnsiTheme="majorHAnsi"/>
          <w:b/>
          <w:noProof/>
          <w:sz w:val="20"/>
          <w:szCs w:val="20"/>
          <w:lang w:val="es-ES"/>
        </w:rPr>
      </w:pPr>
      <w:r w:rsidRPr="00AD7158">
        <w:rPr>
          <w:rFonts w:asciiTheme="majorHAnsi" w:hAnsiTheme="majorHAnsi"/>
          <w:b/>
          <w:sz w:val="20"/>
          <w:szCs w:val="20"/>
          <w:lang w:val="es-ES_tradnl"/>
        </w:rPr>
        <w:fldChar w:fldCharType="begin"/>
      </w:r>
      <w:r w:rsidRPr="00AD7158">
        <w:rPr>
          <w:rFonts w:asciiTheme="majorHAnsi" w:hAnsiTheme="majorHAnsi"/>
          <w:b/>
          <w:sz w:val="20"/>
          <w:szCs w:val="20"/>
          <w:lang w:val="es-ES_tradnl"/>
        </w:rPr>
        <w:instrText xml:space="preserve"> TOC \o "1-7" \h \z \u </w:instrText>
      </w:r>
      <w:r w:rsidRPr="00AD7158">
        <w:rPr>
          <w:rFonts w:asciiTheme="majorHAnsi" w:hAnsiTheme="majorHAnsi"/>
          <w:b/>
          <w:sz w:val="20"/>
          <w:szCs w:val="20"/>
          <w:lang w:val="es-ES_tradnl"/>
        </w:rPr>
        <w:fldChar w:fldCharType="separate"/>
      </w:r>
    </w:p>
    <w:p w14:paraId="155CA8B8" w14:textId="77777777" w:rsidR="006125C3" w:rsidRPr="00AD7158" w:rsidRDefault="006125C3" w:rsidP="00B419FB">
      <w:pPr>
        <w:tabs>
          <w:tab w:val="left" w:pos="720"/>
          <w:tab w:val="left" w:pos="1440"/>
          <w:tab w:val="right" w:leader="dot" w:pos="9350"/>
        </w:tabs>
        <w:spacing w:after="100"/>
        <w:ind w:left="720" w:hanging="720"/>
        <w:rPr>
          <w:rFonts w:asciiTheme="majorHAnsi" w:hAnsiTheme="majorHAnsi"/>
          <w:b/>
          <w:noProof/>
          <w:sz w:val="20"/>
          <w:szCs w:val="20"/>
          <w:lang w:val="es-ES"/>
        </w:rPr>
      </w:pPr>
    </w:p>
    <w:p w14:paraId="1EC164CD" w14:textId="77777777" w:rsidR="008D768D" w:rsidRPr="00AD7158" w:rsidRDefault="006125C3" w:rsidP="00B419FB">
      <w:pPr>
        <w:tabs>
          <w:tab w:val="center" w:pos="5400"/>
        </w:tabs>
        <w:suppressAutoHyphens/>
        <w:rPr>
          <w:rFonts w:asciiTheme="majorHAnsi" w:hAnsiTheme="majorHAnsi"/>
          <w:sz w:val="20"/>
          <w:szCs w:val="20"/>
          <w:lang w:val="es-ES_tradnl"/>
        </w:rPr>
      </w:pPr>
      <w:r w:rsidRPr="00AD7158">
        <w:rPr>
          <w:rFonts w:asciiTheme="majorHAnsi" w:hAnsiTheme="majorHAnsi"/>
          <w:b/>
          <w:sz w:val="20"/>
          <w:szCs w:val="20"/>
          <w:lang w:val="es-ES_tradnl"/>
        </w:rPr>
        <w:fldChar w:fldCharType="end"/>
      </w:r>
    </w:p>
    <w:p w14:paraId="7C44CAA9" w14:textId="77777777" w:rsidR="00722C9F" w:rsidRPr="00AD7158" w:rsidRDefault="00722C9F" w:rsidP="00B419FB">
      <w:pPr>
        <w:rPr>
          <w:rFonts w:asciiTheme="majorHAnsi" w:hAnsiTheme="majorHAnsi" w:cs="Calibri"/>
          <w:sz w:val="20"/>
          <w:szCs w:val="20"/>
          <w:lang w:val="es-ES"/>
        </w:rPr>
      </w:pPr>
      <w:r w:rsidRPr="00AD7158">
        <w:rPr>
          <w:rFonts w:asciiTheme="majorHAnsi" w:hAnsiTheme="majorHAnsi" w:cs="Calibri"/>
          <w:sz w:val="20"/>
          <w:szCs w:val="20"/>
          <w:lang w:val="es-ES"/>
        </w:rPr>
        <w:br w:type="page"/>
      </w:r>
    </w:p>
    <w:p w14:paraId="761FAC74" w14:textId="77777777" w:rsidR="00D12193" w:rsidRPr="00AD7158" w:rsidRDefault="00A03A30" w:rsidP="002D46B7">
      <w:pPr>
        <w:pStyle w:val="Heading1"/>
      </w:pPr>
      <w:bookmarkStart w:id="2" w:name="_Toc30670575"/>
      <w:r w:rsidRPr="00AD7158">
        <w:lastRenderedPageBreak/>
        <w:t>INTRODUCCIÓN</w:t>
      </w:r>
      <w:bookmarkEnd w:id="2"/>
    </w:p>
    <w:p w14:paraId="3827D01B" w14:textId="77777777" w:rsidR="005C4CA5" w:rsidRPr="00AD7158" w:rsidRDefault="005C4CA5" w:rsidP="00B419FB">
      <w:pPr>
        <w:tabs>
          <w:tab w:val="left" w:pos="360"/>
        </w:tabs>
        <w:suppressAutoHyphens/>
        <w:rPr>
          <w:rFonts w:asciiTheme="majorHAnsi" w:hAnsiTheme="majorHAnsi"/>
          <w:b/>
          <w:sz w:val="20"/>
          <w:szCs w:val="20"/>
          <w:lang w:val="es-ES_tradnl"/>
        </w:rPr>
      </w:pPr>
    </w:p>
    <w:p w14:paraId="6A678049" w14:textId="77777777" w:rsidR="001B62CA" w:rsidRPr="00AD7158" w:rsidRDefault="005C4CA5" w:rsidP="00B419FB">
      <w:pPr>
        <w:pStyle w:val="parrafos"/>
        <w:ind w:left="0" w:firstLine="0"/>
      </w:pPr>
      <w:r w:rsidRPr="00AD7158">
        <w:t xml:space="preserve">El </w:t>
      </w:r>
      <w:r w:rsidR="004D4C3B" w:rsidRPr="00AD7158">
        <w:t>15</w:t>
      </w:r>
      <w:r w:rsidRPr="00AD7158">
        <w:t xml:space="preserve"> de </w:t>
      </w:r>
      <w:r w:rsidR="004D4C3B" w:rsidRPr="00AD7158">
        <w:t>abril d</w:t>
      </w:r>
      <w:r w:rsidRPr="00AD7158">
        <w:t xml:space="preserve">e </w:t>
      </w:r>
      <w:r w:rsidR="004D4C3B" w:rsidRPr="00AD7158">
        <w:t>2002</w:t>
      </w:r>
      <w:r w:rsidR="00F551E4" w:rsidRPr="00AD7158">
        <w:t xml:space="preserve"> </w:t>
      </w:r>
      <w:r w:rsidRPr="00AD7158">
        <w:t xml:space="preserve">la Comisión Interamericana de Derechos Humanos (en adelante “la Comisión Interamericana”, “la Comisión” o “la CIDH”) recibió una petición presentada por </w:t>
      </w:r>
      <w:r w:rsidR="004D4C3B" w:rsidRPr="00AD7158">
        <w:t>Guillermo Antonio Álvarez</w:t>
      </w:r>
      <w:r w:rsidR="006F131F" w:rsidRPr="00AD7158">
        <w:t>,</w:t>
      </w:r>
      <w:r w:rsidR="00417458" w:rsidRPr="00AD7158">
        <w:t xml:space="preserve"> presunta víctima </w:t>
      </w:r>
      <w:r w:rsidR="00D97302" w:rsidRPr="00AD7158">
        <w:t>en el</w:t>
      </w:r>
      <w:r w:rsidR="00417458" w:rsidRPr="00AD7158">
        <w:t xml:space="preserve"> presente asunto,</w:t>
      </w:r>
      <w:r w:rsidR="006F131F" w:rsidRPr="00AD7158">
        <w:t xml:space="preserve"> a la cual se incorporó </w:t>
      </w:r>
      <w:r w:rsidR="00417458" w:rsidRPr="00AD7158">
        <w:t xml:space="preserve">posteriormente </w:t>
      </w:r>
      <w:r w:rsidR="006F131F" w:rsidRPr="00AD7158">
        <w:t xml:space="preserve">como peticionaria la Defensoría Oficial ante la Corte Suprema de Justicia de la Nación </w:t>
      </w:r>
      <w:r w:rsidRPr="00AD7158">
        <w:t>(en adelante “la parte peticionaria”)</w:t>
      </w:r>
      <w:r w:rsidR="00761682" w:rsidRPr="00AD7158">
        <w:rPr>
          <w:rStyle w:val="FootnoteReference"/>
          <w:sz w:val="20"/>
        </w:rPr>
        <w:footnoteReference w:id="2"/>
      </w:r>
      <w:r w:rsidR="001B103F" w:rsidRPr="00AD7158">
        <w:rPr>
          <w:vertAlign w:val="superscript"/>
        </w:rPr>
        <w:t xml:space="preserve">. </w:t>
      </w:r>
      <w:r w:rsidR="001B103F" w:rsidRPr="00AD7158">
        <w:t>La parte peticionaria arguye</w:t>
      </w:r>
      <w:r w:rsidRPr="00AD7158">
        <w:t xml:space="preserve"> la responsabilidad internacional de </w:t>
      </w:r>
      <w:r w:rsidR="004D4C3B" w:rsidRPr="00AD7158">
        <w:t>Argentina</w:t>
      </w:r>
      <w:r w:rsidRPr="00AD7158">
        <w:t xml:space="preserve"> (en adelante “el Estado </w:t>
      </w:r>
      <w:r w:rsidR="004D4C3B" w:rsidRPr="00AD7158">
        <w:t>argentino</w:t>
      </w:r>
      <w:r w:rsidRPr="00AD7158">
        <w:t>”, “el Estado” o “</w:t>
      </w:r>
      <w:r w:rsidR="004D4C3B" w:rsidRPr="00AD7158">
        <w:t>Argentina</w:t>
      </w:r>
      <w:r w:rsidRPr="00AD7158">
        <w:t xml:space="preserve">”) </w:t>
      </w:r>
      <w:r w:rsidR="007A0A4D" w:rsidRPr="00AD7158">
        <w:t xml:space="preserve">por la </w:t>
      </w:r>
      <w:r w:rsidR="0032742E" w:rsidRPr="00AD7158">
        <w:t xml:space="preserve">alegada </w:t>
      </w:r>
      <w:r w:rsidR="00813005" w:rsidRPr="00AD7158">
        <w:t>vulneración de su</w:t>
      </w:r>
      <w:r w:rsidR="00F950E4" w:rsidRPr="00AD7158">
        <w:t xml:space="preserve"> derecho</w:t>
      </w:r>
      <w:r w:rsidR="008E2E59" w:rsidRPr="00AD7158">
        <w:t xml:space="preserve"> </w:t>
      </w:r>
      <w:r w:rsidR="007A0A4D" w:rsidRPr="00AD7158">
        <w:t>a</w:t>
      </w:r>
      <w:r w:rsidR="00B26A2E" w:rsidRPr="00AD7158">
        <w:t xml:space="preserve"> la</w:t>
      </w:r>
      <w:r w:rsidR="00E746D5" w:rsidRPr="00AD7158">
        <w:t xml:space="preserve">s garantías judiciales, honra y dignidad, y </w:t>
      </w:r>
      <w:r w:rsidR="007A0A4D" w:rsidRPr="00AD7158">
        <w:t>protección judicial</w:t>
      </w:r>
      <w:r w:rsidR="00F950E4" w:rsidRPr="00AD7158">
        <w:t xml:space="preserve"> en el marco de un proceso penal seguido en su contra</w:t>
      </w:r>
      <w:r w:rsidR="00E746D5" w:rsidRPr="00AD7158">
        <w:t>.</w:t>
      </w:r>
    </w:p>
    <w:p w14:paraId="1FB1609D" w14:textId="77777777" w:rsidR="001B62CA" w:rsidRPr="00AD7158" w:rsidRDefault="001B62CA" w:rsidP="00B419FB">
      <w:pPr>
        <w:pStyle w:val="parrafos"/>
        <w:numPr>
          <w:ilvl w:val="0"/>
          <w:numId w:val="0"/>
        </w:numPr>
      </w:pPr>
    </w:p>
    <w:p w14:paraId="72D436AE" w14:textId="77777777" w:rsidR="00865597" w:rsidRPr="00AD7158" w:rsidRDefault="00865597" w:rsidP="00B419FB">
      <w:pPr>
        <w:pStyle w:val="parrafos"/>
        <w:ind w:left="0" w:firstLine="0"/>
      </w:pPr>
      <w:r w:rsidRPr="00AD7158">
        <w:t xml:space="preserve">La Comisión aprobó el informe de admisibilidad No. </w:t>
      </w:r>
      <w:r w:rsidR="00EB32DB" w:rsidRPr="00AD7158">
        <w:t>55/16</w:t>
      </w:r>
      <w:r w:rsidRPr="00AD7158">
        <w:t xml:space="preserve"> el </w:t>
      </w:r>
      <w:r w:rsidR="00EB32DB" w:rsidRPr="00AD7158">
        <w:t xml:space="preserve">6 </w:t>
      </w:r>
      <w:r w:rsidRPr="00AD7158">
        <w:t xml:space="preserve">de </w:t>
      </w:r>
      <w:r w:rsidR="00EB32DB" w:rsidRPr="00AD7158">
        <w:t xml:space="preserve">diciembre </w:t>
      </w:r>
      <w:r w:rsidRPr="00AD7158">
        <w:t xml:space="preserve">de </w:t>
      </w:r>
      <w:r w:rsidR="00EB32DB" w:rsidRPr="00AD7158">
        <w:t>2016</w:t>
      </w:r>
      <w:r w:rsidRPr="00AD7158">
        <w:rPr>
          <w:rStyle w:val="FootnoteReference"/>
          <w:sz w:val="20"/>
        </w:rPr>
        <w:footnoteReference w:id="3"/>
      </w:r>
      <w:r w:rsidRPr="00AD7158">
        <w:t>. El</w:t>
      </w:r>
      <w:r w:rsidR="008C7015" w:rsidRPr="00AD7158">
        <w:t xml:space="preserve"> </w:t>
      </w:r>
      <w:r w:rsidR="00BA561F" w:rsidRPr="00AD7158">
        <w:t>19</w:t>
      </w:r>
      <w:r w:rsidRPr="00AD7158">
        <w:t xml:space="preserve"> de </w:t>
      </w:r>
      <w:r w:rsidR="00BA561F" w:rsidRPr="00AD7158">
        <w:t xml:space="preserve">diciembre </w:t>
      </w:r>
      <w:r w:rsidRPr="00AD7158">
        <w:t xml:space="preserve">de </w:t>
      </w:r>
      <w:r w:rsidR="00BA561F" w:rsidRPr="00AD7158">
        <w:t>2016</w:t>
      </w:r>
      <w:r w:rsidR="008C7015" w:rsidRPr="00AD7158">
        <w:t xml:space="preserve"> </w:t>
      </w:r>
      <w:r w:rsidRPr="00AD7158">
        <w:t xml:space="preserve">la Comisión notificó dicho informe a las partes y se puso a disposición </w:t>
      </w:r>
      <w:r w:rsidR="00D97302" w:rsidRPr="00AD7158">
        <w:t xml:space="preserve">de estas </w:t>
      </w:r>
      <w:r w:rsidRPr="00AD7158">
        <w:t>a fin de llegar a una solución amistosa</w:t>
      </w:r>
      <w:r w:rsidR="00A66E7F" w:rsidRPr="00AD7158">
        <w:t>, sin que se dieran las condiciones para iniciar dicho procedimiento</w:t>
      </w:r>
      <w:r w:rsidRPr="00AD7158">
        <w:t xml:space="preserve">. Las </w:t>
      </w:r>
      <w:r w:rsidRPr="00AD7158">
        <w:rPr>
          <w:lang w:val="es-ES_tradnl"/>
        </w:rPr>
        <w:t xml:space="preserve">partes </w:t>
      </w:r>
      <w:r w:rsidRPr="00AD7158">
        <w:t>contaron</w:t>
      </w:r>
      <w:r w:rsidRPr="00AD7158">
        <w:rPr>
          <w:lang w:val="es-ES_tradnl"/>
        </w:rPr>
        <w:t xml:space="preserve"> con los plazos reglamentarios para presentar sus observaciones adicionales sobre el fondo. Toda la información recibida fue debidamente trasladada </w:t>
      </w:r>
      <w:r w:rsidR="00D5558C" w:rsidRPr="00AD7158">
        <w:rPr>
          <w:lang w:val="es-ES_tradnl"/>
        </w:rPr>
        <w:t>a</w:t>
      </w:r>
      <w:r w:rsidRPr="00AD7158">
        <w:rPr>
          <w:lang w:val="es-ES_tradnl"/>
        </w:rPr>
        <w:t xml:space="preserve"> las partes.</w:t>
      </w:r>
      <w:r w:rsidRPr="00AD7158">
        <w:rPr>
          <w:lang w:val="es-ES" w:eastAsia="es-ES"/>
        </w:rPr>
        <w:t xml:space="preserve"> </w:t>
      </w:r>
    </w:p>
    <w:p w14:paraId="5242B4A2" w14:textId="77777777" w:rsidR="0006565A" w:rsidRPr="00AD7158" w:rsidRDefault="0006565A" w:rsidP="00B419FB">
      <w:pPr>
        <w:tabs>
          <w:tab w:val="left" w:pos="360"/>
        </w:tabs>
        <w:suppressAutoHyphens/>
        <w:jc w:val="both"/>
        <w:rPr>
          <w:rFonts w:asciiTheme="majorHAnsi" w:hAnsiTheme="majorHAnsi"/>
          <w:sz w:val="20"/>
          <w:szCs w:val="20"/>
          <w:lang w:val="es-VE"/>
        </w:rPr>
      </w:pPr>
    </w:p>
    <w:p w14:paraId="64189BC4" w14:textId="77777777" w:rsidR="006B4D40" w:rsidRPr="00AD7158" w:rsidRDefault="00D12193" w:rsidP="002D46B7">
      <w:pPr>
        <w:pStyle w:val="Heading1"/>
      </w:pPr>
      <w:bookmarkStart w:id="3" w:name="_Toc30670576"/>
      <w:r w:rsidRPr="00AD7158">
        <w:t>ALEGATOS DE LAS PARTES</w:t>
      </w:r>
      <w:bookmarkEnd w:id="3"/>
    </w:p>
    <w:p w14:paraId="1F1CA425" w14:textId="77777777" w:rsidR="00397933" w:rsidRPr="00AD7158" w:rsidRDefault="00397933" w:rsidP="00B419FB">
      <w:pPr>
        <w:rPr>
          <w:rFonts w:asciiTheme="majorHAnsi" w:hAnsiTheme="majorHAnsi"/>
          <w:sz w:val="20"/>
          <w:szCs w:val="20"/>
        </w:rPr>
      </w:pPr>
    </w:p>
    <w:p w14:paraId="28D1CF2C" w14:textId="77777777" w:rsidR="003C18F7" w:rsidRPr="00AD7158" w:rsidRDefault="008501BA" w:rsidP="00B419FB">
      <w:pPr>
        <w:pStyle w:val="Heading2"/>
      </w:pPr>
      <w:bookmarkStart w:id="4" w:name="_Toc30670577"/>
      <w:r w:rsidRPr="00AD7158">
        <w:t xml:space="preserve">A. </w:t>
      </w:r>
      <w:r w:rsidRPr="00AD7158">
        <w:tab/>
      </w:r>
      <w:r w:rsidR="0022273F" w:rsidRPr="00AD7158">
        <w:t>Parte peticionaria</w:t>
      </w:r>
      <w:bookmarkEnd w:id="4"/>
      <w:r w:rsidR="0022273F" w:rsidRPr="00AD7158">
        <w:t xml:space="preserve"> </w:t>
      </w:r>
    </w:p>
    <w:p w14:paraId="14059983" w14:textId="77777777" w:rsidR="00242BC1" w:rsidRPr="00AD7158" w:rsidRDefault="00242BC1" w:rsidP="00B419FB">
      <w:pPr>
        <w:pStyle w:val="parrafos"/>
        <w:numPr>
          <w:ilvl w:val="0"/>
          <w:numId w:val="0"/>
        </w:numPr>
      </w:pPr>
    </w:p>
    <w:p w14:paraId="35DEF7DA" w14:textId="77777777" w:rsidR="00185826" w:rsidRPr="00AD7158" w:rsidRDefault="00A74CE9" w:rsidP="00171F49">
      <w:pPr>
        <w:pStyle w:val="parrafos"/>
        <w:ind w:left="0" w:firstLine="0"/>
      </w:pPr>
      <w:r w:rsidRPr="00AD7158">
        <w:t xml:space="preserve">La parte peticionaria afirmó </w:t>
      </w:r>
      <w:r w:rsidR="00905B0E" w:rsidRPr="00AD7158">
        <w:rPr>
          <w:lang w:val="es-ES"/>
        </w:rPr>
        <w:t xml:space="preserve">que </w:t>
      </w:r>
      <w:r w:rsidR="005F7829" w:rsidRPr="00AD7158">
        <w:t>Guillermo Antonio Álvarez,</w:t>
      </w:r>
      <w:r w:rsidR="00DB3E0F" w:rsidRPr="00AD7158">
        <w:t xml:space="preserve"> </w:t>
      </w:r>
      <w:r w:rsidR="00905C85" w:rsidRPr="00AD7158">
        <w:rPr>
          <w:lang w:val="es-ES"/>
        </w:rPr>
        <w:t xml:space="preserve">fue </w:t>
      </w:r>
      <w:r w:rsidR="00DB3E0F" w:rsidRPr="00AD7158">
        <w:rPr>
          <w:lang w:val="es-ES"/>
        </w:rPr>
        <w:t>sometido</w:t>
      </w:r>
      <w:r w:rsidR="00E4422B" w:rsidRPr="00AD7158">
        <w:rPr>
          <w:lang w:val="es-ES"/>
        </w:rPr>
        <w:t xml:space="preserve"> </w:t>
      </w:r>
      <w:r w:rsidR="00D5558C" w:rsidRPr="00AD7158">
        <w:rPr>
          <w:lang w:val="es-ES"/>
        </w:rPr>
        <w:t xml:space="preserve">a </w:t>
      </w:r>
      <w:r w:rsidR="009B1106" w:rsidRPr="00AD7158">
        <w:rPr>
          <w:lang w:val="es-ES"/>
        </w:rPr>
        <w:t>un</w:t>
      </w:r>
      <w:r w:rsidR="00E4422B" w:rsidRPr="00AD7158">
        <w:rPr>
          <w:lang w:val="es-ES"/>
        </w:rPr>
        <w:t xml:space="preserve"> proceso penal, </w:t>
      </w:r>
      <w:r w:rsidR="00905B0E" w:rsidRPr="00AD7158">
        <w:rPr>
          <w:lang w:val="es-ES"/>
        </w:rPr>
        <w:t xml:space="preserve">seguido en su contra </w:t>
      </w:r>
      <w:r w:rsidR="00475DCA" w:rsidRPr="00AD7158">
        <w:rPr>
          <w:lang w:val="es-ES"/>
        </w:rPr>
        <w:t xml:space="preserve">y contra </w:t>
      </w:r>
      <w:r w:rsidR="005C3558" w:rsidRPr="00AD7158">
        <w:rPr>
          <w:lang w:val="es-ES"/>
        </w:rPr>
        <w:t xml:space="preserve">su coimputado, </w:t>
      </w:r>
      <w:r w:rsidR="00E4422B" w:rsidRPr="00AD7158">
        <w:rPr>
          <w:lang w:val="es-ES"/>
        </w:rPr>
        <w:t>por el T</w:t>
      </w:r>
      <w:r w:rsidR="00905B0E" w:rsidRPr="00AD7158">
        <w:rPr>
          <w:lang w:val="es-ES"/>
        </w:rPr>
        <w:t xml:space="preserve">ribunal </w:t>
      </w:r>
      <w:r w:rsidR="00E4422B" w:rsidRPr="00AD7158">
        <w:rPr>
          <w:lang w:val="es-ES"/>
        </w:rPr>
        <w:t>Oral en lo Criminal de Menores No. 1</w:t>
      </w:r>
      <w:r w:rsidR="000E0E5E" w:rsidRPr="00AD7158">
        <w:rPr>
          <w:lang w:val="es-ES"/>
        </w:rPr>
        <w:t xml:space="preserve"> de la ciudad Autónoma de Buenos Aires</w:t>
      </w:r>
      <w:r w:rsidR="00EA361B" w:rsidRPr="00AD7158">
        <w:rPr>
          <w:lang w:val="es-ES"/>
        </w:rPr>
        <w:t xml:space="preserve"> (en adelante “TOM” o “tribunal”)</w:t>
      </w:r>
      <w:r w:rsidR="00905B0E" w:rsidRPr="00AD7158">
        <w:rPr>
          <w:lang w:val="es-ES"/>
        </w:rPr>
        <w:t xml:space="preserve">. </w:t>
      </w:r>
      <w:r w:rsidR="00905B0E" w:rsidRPr="00AD7158">
        <w:t>Refiri</w:t>
      </w:r>
      <w:r w:rsidR="00932C05" w:rsidRPr="00AD7158">
        <w:t xml:space="preserve">ó </w:t>
      </w:r>
      <w:r w:rsidR="002E0803" w:rsidRPr="00AD7158">
        <w:t>q</w:t>
      </w:r>
      <w:r w:rsidR="00932C05" w:rsidRPr="00AD7158">
        <w:t xml:space="preserve">ue </w:t>
      </w:r>
      <w:r w:rsidR="006A3D1F" w:rsidRPr="00AD7158">
        <w:t>el</w:t>
      </w:r>
      <w:r w:rsidR="00932C05" w:rsidRPr="00AD7158">
        <w:t xml:space="preserve"> </w:t>
      </w:r>
      <w:r w:rsidR="009838CE" w:rsidRPr="00AD7158">
        <w:t>8 de octubre de 1999</w:t>
      </w:r>
      <w:r w:rsidR="002E0803" w:rsidRPr="00AD7158">
        <w:t>,</w:t>
      </w:r>
      <w:r w:rsidR="009838CE" w:rsidRPr="00AD7158">
        <w:t xml:space="preserve"> la presunta víctima revocó el poder otorgado a sus representantes, solicitando plazo suficiente para designar un nuevo defensor. A</w:t>
      </w:r>
      <w:r w:rsidR="002E0803" w:rsidRPr="00AD7158">
        <w:t>firmó</w:t>
      </w:r>
      <w:r w:rsidR="009838CE" w:rsidRPr="00AD7158">
        <w:t xml:space="preserve"> que el 12 de octubre de 1999, </w:t>
      </w:r>
      <w:r w:rsidR="006C7439" w:rsidRPr="00AD7158">
        <w:t xml:space="preserve">día en que se daba inicio al juicio oral, </w:t>
      </w:r>
      <w:r w:rsidR="009838CE" w:rsidRPr="00AD7158">
        <w:t>el tribunal design</w:t>
      </w:r>
      <w:r w:rsidR="00F97EB2" w:rsidRPr="00AD7158">
        <w:t>ó</w:t>
      </w:r>
      <w:r w:rsidR="009838CE" w:rsidRPr="00AD7158">
        <w:t xml:space="preserve"> a una </w:t>
      </w:r>
      <w:r w:rsidR="00C3066E" w:rsidRPr="00AD7158">
        <w:t>d</w:t>
      </w:r>
      <w:r w:rsidR="009838CE" w:rsidRPr="00AD7158">
        <w:t xml:space="preserve">efensora </w:t>
      </w:r>
      <w:r w:rsidR="00C3066E" w:rsidRPr="00AD7158">
        <w:t>p</w:t>
      </w:r>
      <w:r w:rsidR="00C966D4" w:rsidRPr="00AD7158">
        <w:t>ública oficial adjunta a la D</w:t>
      </w:r>
      <w:r w:rsidR="009838CE" w:rsidRPr="00AD7158">
        <w:t xml:space="preserve">efensoría General de la Nación, </w:t>
      </w:r>
      <w:r w:rsidR="00DB3E0F" w:rsidRPr="00AD7158">
        <w:t xml:space="preserve">quien era defensora del coimputado de </w:t>
      </w:r>
      <w:r w:rsidR="00F97EB2" w:rsidRPr="00AD7158">
        <w:t>Álvarez</w:t>
      </w:r>
      <w:r w:rsidR="00DB3E0F" w:rsidRPr="00AD7158">
        <w:t xml:space="preserve">, </w:t>
      </w:r>
      <w:r w:rsidR="009838CE" w:rsidRPr="00AD7158">
        <w:t>a fin de que asumiera su defensa.</w:t>
      </w:r>
      <w:r w:rsidR="00C3066E" w:rsidRPr="00AD7158">
        <w:t xml:space="preserve"> </w:t>
      </w:r>
      <w:r w:rsidR="00DC0690" w:rsidRPr="00AD7158">
        <w:t>Indicó</w:t>
      </w:r>
      <w:r w:rsidR="00C3066E" w:rsidRPr="00AD7158">
        <w:t xml:space="preserve"> que </w:t>
      </w:r>
      <w:r w:rsidR="002E0803" w:rsidRPr="00AD7158">
        <w:t>la</w:t>
      </w:r>
      <w:r w:rsidR="00595F18" w:rsidRPr="00AD7158">
        <w:t xml:space="preserve"> defensora solicitó la</w:t>
      </w:r>
      <w:r w:rsidR="00C3066E" w:rsidRPr="00AD7158">
        <w:t xml:space="preserve"> suspensión de la audiencia para </w:t>
      </w:r>
      <w:r w:rsidR="004A1877" w:rsidRPr="00AD7158">
        <w:t>reunirse</w:t>
      </w:r>
      <w:r w:rsidR="00C3066E" w:rsidRPr="00AD7158">
        <w:t xml:space="preserve"> con </w:t>
      </w:r>
      <w:r w:rsidR="009B1106" w:rsidRPr="00AD7158">
        <w:t>Álvarez</w:t>
      </w:r>
      <w:r w:rsidR="00C3066E" w:rsidRPr="00AD7158">
        <w:t>,</w:t>
      </w:r>
      <w:r w:rsidR="006625E2" w:rsidRPr="00AD7158">
        <w:t xml:space="preserve"> y que reanudada</w:t>
      </w:r>
      <w:r w:rsidR="00595F18" w:rsidRPr="00AD7158">
        <w:t>,</w:t>
      </w:r>
      <w:r w:rsidR="00C3066E" w:rsidRPr="00AD7158">
        <w:t xml:space="preserve"> </w:t>
      </w:r>
      <w:r w:rsidR="00F97EB2" w:rsidRPr="00AD7158">
        <w:t>pidi</w:t>
      </w:r>
      <w:r w:rsidR="00C3066E" w:rsidRPr="00AD7158">
        <w:t xml:space="preserve">ó suspensión del juicio oral </w:t>
      </w:r>
      <w:r w:rsidR="006625E2" w:rsidRPr="00AD7158">
        <w:t xml:space="preserve">a fin de </w:t>
      </w:r>
      <w:r w:rsidR="00770866" w:rsidRPr="00AD7158">
        <w:t>preparar una a</w:t>
      </w:r>
      <w:r w:rsidR="00905B0E" w:rsidRPr="00AD7158">
        <w:t>decuada estrategia de defensa. Señal</w:t>
      </w:r>
      <w:r w:rsidR="002E0803" w:rsidRPr="00AD7158">
        <w:t>ó</w:t>
      </w:r>
      <w:r w:rsidR="00770866" w:rsidRPr="00AD7158">
        <w:t xml:space="preserve"> que </w:t>
      </w:r>
      <w:r w:rsidR="00595F18" w:rsidRPr="00AD7158">
        <w:t>dicha</w:t>
      </w:r>
      <w:r w:rsidR="00770866" w:rsidRPr="00AD7158">
        <w:t xml:space="preserve"> solicitud fue rechazada </w:t>
      </w:r>
      <w:r w:rsidR="002E0803" w:rsidRPr="00AD7158">
        <w:t xml:space="preserve">por el tribunal, </w:t>
      </w:r>
      <w:r w:rsidR="006625E2" w:rsidRPr="00AD7158">
        <w:t>y que</w:t>
      </w:r>
      <w:r w:rsidR="00595F18" w:rsidRPr="00AD7158">
        <w:t xml:space="preserve"> </w:t>
      </w:r>
      <w:r w:rsidR="00B95694" w:rsidRPr="00AD7158">
        <w:t>la</w:t>
      </w:r>
      <w:r w:rsidR="00595F18" w:rsidRPr="00AD7158">
        <w:t xml:space="preserve"> defensa presentó u</w:t>
      </w:r>
      <w:r w:rsidR="00C966D4" w:rsidRPr="00AD7158">
        <w:t xml:space="preserve">n recurso de reposición, </w:t>
      </w:r>
      <w:r w:rsidR="00826FF4" w:rsidRPr="00AD7158">
        <w:t>que</w:t>
      </w:r>
      <w:r w:rsidR="00763C2C" w:rsidRPr="00AD7158">
        <w:t xml:space="preserve"> fue desestimado</w:t>
      </w:r>
      <w:r w:rsidRPr="00AD7158">
        <w:t>.</w:t>
      </w:r>
      <w:r w:rsidR="00A21251" w:rsidRPr="00AD7158">
        <w:t xml:space="preserve"> Alegó que durante la audiencia de juicio, </w:t>
      </w:r>
      <w:r w:rsidR="009B1106" w:rsidRPr="00AD7158">
        <w:t>que</w:t>
      </w:r>
      <w:r w:rsidR="00A21251" w:rsidRPr="00AD7158">
        <w:t xml:space="preserve"> prosiguió en las fechas programadas, </w:t>
      </w:r>
      <w:r w:rsidR="00826FF4" w:rsidRPr="00AD7158">
        <w:t xml:space="preserve">la presunta víctima </w:t>
      </w:r>
      <w:r w:rsidR="00A21251" w:rsidRPr="00AD7158">
        <w:t>permaneció esposad</w:t>
      </w:r>
      <w:r w:rsidR="00826FF4" w:rsidRPr="00AD7158">
        <w:t>a</w:t>
      </w:r>
      <w:r w:rsidR="00A21251" w:rsidRPr="00AD7158">
        <w:t xml:space="preserve"> por disposición del tribunal</w:t>
      </w:r>
      <w:r w:rsidR="00C966D4" w:rsidRPr="00AD7158">
        <w:t xml:space="preserve">, </w:t>
      </w:r>
      <w:r w:rsidR="009B1106" w:rsidRPr="00AD7158">
        <w:t xml:space="preserve">y </w:t>
      </w:r>
      <w:r w:rsidR="00A21251" w:rsidRPr="00AD7158">
        <w:t xml:space="preserve">que </w:t>
      </w:r>
      <w:r w:rsidR="00DC0690" w:rsidRPr="00AD7158">
        <w:t xml:space="preserve">pese a que este aspecto fue </w:t>
      </w:r>
      <w:r w:rsidR="00A21251" w:rsidRPr="00AD7158">
        <w:t>cuestionado por la defensa, el tribunal mantuvo su decisión.</w:t>
      </w:r>
    </w:p>
    <w:p w14:paraId="45D7480D" w14:textId="77777777" w:rsidR="00A74CE9" w:rsidRPr="00AD7158" w:rsidRDefault="00A74CE9" w:rsidP="00B419FB">
      <w:pPr>
        <w:pStyle w:val="parrafos"/>
        <w:numPr>
          <w:ilvl w:val="0"/>
          <w:numId w:val="0"/>
        </w:numPr>
      </w:pPr>
    </w:p>
    <w:p w14:paraId="6EF3FD1A" w14:textId="77777777" w:rsidR="00C75B0A" w:rsidRPr="00AD7158" w:rsidRDefault="005F7829" w:rsidP="00B419FB">
      <w:pPr>
        <w:pStyle w:val="parrafos"/>
        <w:ind w:left="0" w:firstLine="0"/>
      </w:pPr>
      <w:r w:rsidRPr="00AD7158">
        <w:t>Indicó</w:t>
      </w:r>
      <w:r w:rsidR="00C966D4" w:rsidRPr="00AD7158">
        <w:t xml:space="preserve"> que la presunta víctima</w:t>
      </w:r>
      <w:r w:rsidR="00A74CE9" w:rsidRPr="00AD7158">
        <w:t xml:space="preserve"> fue condenada</w:t>
      </w:r>
      <w:r w:rsidR="00A74CE9" w:rsidRPr="00AD7158">
        <w:rPr>
          <w:color w:val="auto"/>
          <w:lang w:val="es-ES"/>
        </w:rPr>
        <w:t xml:space="preserve"> </w:t>
      </w:r>
      <w:r w:rsidR="00A74CE9" w:rsidRPr="00AD7158">
        <w:rPr>
          <w:lang w:val="es-ES"/>
        </w:rPr>
        <w:t>el 28 de octubre de 1999,</w:t>
      </w:r>
      <w:r w:rsidR="00A74CE9" w:rsidRPr="00AD7158">
        <w:t xml:space="preserve"> a la pena única de reclusión perpetua más la accesoria de reclusión por tiempo indeterminado de efectivo cumplimiento, por los delitos de robo calificado por haber sido perpetrado con armas en cuatro opor</w:t>
      </w:r>
      <w:r w:rsidR="00341B9D" w:rsidRPr="00AD7158">
        <w:t>tunidades, una de ellas en grado</w:t>
      </w:r>
      <w:r w:rsidR="00A74CE9" w:rsidRPr="00AD7158">
        <w:t xml:space="preserve"> de tentativa, homicidio calificado por haber sido perpetrado para consumarlo y, consecuentemente, lograr la impunidad y, lesiones graves, los cuales concurren materialmente entre sí.</w:t>
      </w:r>
    </w:p>
    <w:p w14:paraId="2141BB3E" w14:textId="77777777" w:rsidR="00E6515D" w:rsidRPr="00AD7158" w:rsidRDefault="00E6515D" w:rsidP="00B419FB">
      <w:pPr>
        <w:pStyle w:val="parrafos"/>
        <w:numPr>
          <w:ilvl w:val="0"/>
          <w:numId w:val="0"/>
        </w:numPr>
      </w:pPr>
    </w:p>
    <w:p w14:paraId="71B90978" w14:textId="77777777" w:rsidR="002E0803" w:rsidRPr="00AD7158" w:rsidRDefault="00C75B0A" w:rsidP="00B419FB">
      <w:pPr>
        <w:pStyle w:val="parrafos"/>
        <w:ind w:left="0" w:firstLine="0"/>
      </w:pPr>
      <w:r w:rsidRPr="00AD7158">
        <w:t>Por los hechos descritos,</w:t>
      </w:r>
      <w:r w:rsidR="004E23F2" w:rsidRPr="00AD7158">
        <w:t xml:space="preserve"> </w:t>
      </w:r>
      <w:r w:rsidRPr="00AD7158">
        <w:t xml:space="preserve">alegó </w:t>
      </w:r>
      <w:r w:rsidR="009172BE" w:rsidRPr="00AD7158">
        <w:t>violación</w:t>
      </w:r>
      <w:r w:rsidR="00762342" w:rsidRPr="00AD7158">
        <w:t xml:space="preserve"> al derecho a ser oído con las debidas garantías</w:t>
      </w:r>
      <w:r w:rsidR="004E23F2" w:rsidRPr="00AD7158">
        <w:t xml:space="preserve">, </w:t>
      </w:r>
      <w:r w:rsidR="00762342" w:rsidRPr="00AD7158">
        <w:t>a elegir a un defensor de confianza</w:t>
      </w:r>
      <w:r w:rsidR="005C4C67" w:rsidRPr="00AD7158">
        <w:t xml:space="preserve">, y </w:t>
      </w:r>
      <w:r w:rsidR="00762342" w:rsidRPr="00AD7158">
        <w:t>a ser asistido por un defensor proporcionado por el Estado si el inculpado no nombrase defensor dentro del plazo establecido por la ley</w:t>
      </w:r>
      <w:r w:rsidR="00762342" w:rsidRPr="00AD7158">
        <w:rPr>
          <w:b/>
        </w:rPr>
        <w:t>.</w:t>
      </w:r>
      <w:r w:rsidR="00762342" w:rsidRPr="00AD7158">
        <w:t xml:space="preserve"> </w:t>
      </w:r>
      <w:r w:rsidR="005C4C67" w:rsidRPr="00AD7158">
        <w:t>S</w:t>
      </w:r>
      <w:r w:rsidR="00762342" w:rsidRPr="00AD7158">
        <w:t xml:space="preserve">ostuvo que </w:t>
      </w:r>
      <w:r w:rsidR="00BB1E7E" w:rsidRPr="00AD7158">
        <w:t xml:space="preserve">no se le concedieron si quiera tres días conforme </w:t>
      </w:r>
      <w:r w:rsidR="001B54BD" w:rsidRPr="00AD7158">
        <w:t>a</w:t>
      </w:r>
      <w:r w:rsidR="00BB1E7E" w:rsidRPr="00AD7158">
        <w:t xml:space="preserve">l artículo 104 </w:t>
      </w:r>
      <w:r w:rsidR="001C2B3A" w:rsidRPr="00AD7158">
        <w:rPr>
          <w:lang w:val="es-ES_tradnl"/>
        </w:rPr>
        <w:t xml:space="preserve">Código Procesal Penal de la Nación (en adelante “el CPPN”) </w:t>
      </w:r>
      <w:r w:rsidR="00BB1E7E" w:rsidRPr="00AD7158">
        <w:t xml:space="preserve">para designar nuevo </w:t>
      </w:r>
      <w:r w:rsidR="005C4C67" w:rsidRPr="00AD7158">
        <w:t>representante, sino que se</w:t>
      </w:r>
      <w:r w:rsidR="00BB1E7E" w:rsidRPr="00AD7158">
        <w:t xml:space="preserve"> dio intervención a la defensoría </w:t>
      </w:r>
      <w:r w:rsidR="00CA428D" w:rsidRPr="00AD7158">
        <w:t>pública</w:t>
      </w:r>
      <w:r w:rsidR="00BB1E7E" w:rsidRPr="00AD7158">
        <w:t xml:space="preserve"> oficial, </w:t>
      </w:r>
      <w:r w:rsidR="005C4C67" w:rsidRPr="00AD7158">
        <w:t xml:space="preserve">aplicando </w:t>
      </w:r>
      <w:r w:rsidR="00BB1E7E" w:rsidRPr="00AD7158">
        <w:t xml:space="preserve">las reglas del artículo 112 del CPPN </w:t>
      </w:r>
      <w:r w:rsidR="00F60E29" w:rsidRPr="00AD7158">
        <w:t>sobre</w:t>
      </w:r>
      <w:r w:rsidR="00BB1E7E" w:rsidRPr="00AD7158">
        <w:t xml:space="preserve"> abandono del defensor.</w:t>
      </w:r>
      <w:r w:rsidR="00BA3299" w:rsidRPr="00AD7158">
        <w:t xml:space="preserve"> </w:t>
      </w:r>
      <w:r w:rsidR="00C966D4" w:rsidRPr="00AD7158">
        <w:t>Esgrimi</w:t>
      </w:r>
      <w:r w:rsidR="008878E3" w:rsidRPr="00AD7158">
        <w:t xml:space="preserve">ó que la libertad de </w:t>
      </w:r>
      <w:r w:rsidR="00F60E29" w:rsidRPr="00AD7158">
        <w:t>elegir al defensor de confianza</w:t>
      </w:r>
      <w:r w:rsidR="008878E3" w:rsidRPr="00AD7158">
        <w:t xml:space="preserve"> incluye la libertad de reemplazarlo</w:t>
      </w:r>
      <w:r w:rsidR="00867060" w:rsidRPr="00AD7158">
        <w:t>,</w:t>
      </w:r>
      <w:r w:rsidR="005C4C67" w:rsidRPr="00AD7158">
        <w:t xml:space="preserve"> voluntad que en este caso f</w:t>
      </w:r>
      <w:r w:rsidR="00867060" w:rsidRPr="00AD7158">
        <w:t>ue subrogada</w:t>
      </w:r>
      <w:r w:rsidR="00C966D4" w:rsidRPr="00AD7158">
        <w:t xml:space="preserve"> por el tribunal</w:t>
      </w:r>
      <w:r w:rsidR="008878E3" w:rsidRPr="00AD7158">
        <w:t xml:space="preserve">. Afirmó que la restricción impuesta careció de necesidad y proporcionalidad, pues no se requería restringir los derechos del acusado para garantizar que el proceso se desarrollara normalmente y con celeridad, </w:t>
      </w:r>
      <w:r w:rsidR="00F60E29" w:rsidRPr="00AD7158">
        <w:t>pues</w:t>
      </w:r>
      <w:r w:rsidR="008878E3" w:rsidRPr="00AD7158">
        <w:t xml:space="preserve"> de los once días fijados para la audiencia</w:t>
      </w:r>
      <w:r w:rsidR="00E43931" w:rsidRPr="00AD7158">
        <w:t>,</w:t>
      </w:r>
      <w:r w:rsidR="008878E3" w:rsidRPr="00AD7158">
        <w:t xml:space="preserve"> se utilizó sol</w:t>
      </w:r>
      <w:r w:rsidR="00F60E29" w:rsidRPr="00AD7158">
        <w:t>o</w:t>
      </w:r>
      <w:r w:rsidR="008878E3" w:rsidRPr="00AD7158">
        <w:t xml:space="preserve"> siete</w:t>
      </w:r>
      <w:r w:rsidR="00C85255" w:rsidRPr="00AD7158">
        <w:t xml:space="preserve">, </w:t>
      </w:r>
      <w:r w:rsidR="00E43931" w:rsidRPr="00AD7158">
        <w:t>pudiendo haber concedido</w:t>
      </w:r>
      <w:r w:rsidR="00C85255" w:rsidRPr="00AD7158">
        <w:t xml:space="preserve"> el plazo legal sin </w:t>
      </w:r>
      <w:r w:rsidR="00F60E29" w:rsidRPr="00AD7158">
        <w:t>dila</w:t>
      </w:r>
      <w:r w:rsidR="00E43931" w:rsidRPr="00AD7158">
        <w:t>tar</w:t>
      </w:r>
      <w:r w:rsidR="00F60E29" w:rsidRPr="00AD7158">
        <w:t xml:space="preserve"> d</w:t>
      </w:r>
      <w:r w:rsidR="00C85255" w:rsidRPr="00AD7158">
        <w:t>el proceso</w:t>
      </w:r>
      <w:r w:rsidR="008878E3" w:rsidRPr="00AD7158">
        <w:t>.</w:t>
      </w:r>
      <w:r w:rsidR="00AF4E2C" w:rsidRPr="00AD7158">
        <w:t xml:space="preserve"> </w:t>
      </w:r>
    </w:p>
    <w:p w14:paraId="62AD3987" w14:textId="77777777" w:rsidR="00214C43" w:rsidRPr="00AD7158" w:rsidRDefault="00214C43" w:rsidP="00B419FB">
      <w:pPr>
        <w:rPr>
          <w:rFonts w:asciiTheme="majorHAnsi" w:hAnsiTheme="majorHAnsi"/>
          <w:sz w:val="20"/>
          <w:szCs w:val="20"/>
          <w:lang w:val="es-ES"/>
        </w:rPr>
      </w:pPr>
    </w:p>
    <w:p w14:paraId="2A84D07A" w14:textId="77777777" w:rsidR="00C05171" w:rsidRPr="00AD7158" w:rsidRDefault="004E23F2" w:rsidP="00B419FB">
      <w:pPr>
        <w:pStyle w:val="parrafos"/>
        <w:ind w:left="0" w:firstLine="0"/>
      </w:pPr>
      <w:r w:rsidRPr="00AD7158">
        <w:lastRenderedPageBreak/>
        <w:t>A</w:t>
      </w:r>
      <w:r w:rsidR="009172BE" w:rsidRPr="00AD7158">
        <w:t xml:space="preserve">legó </w:t>
      </w:r>
      <w:r w:rsidR="00D5558C" w:rsidRPr="00AD7158">
        <w:t>violación de</w:t>
      </w:r>
      <w:r w:rsidR="009172BE" w:rsidRPr="00AD7158">
        <w:t>l derecho a contar con el tiempo y los medios necesarios para la defensa</w:t>
      </w:r>
      <w:r w:rsidRPr="00AD7158">
        <w:t xml:space="preserve">, </w:t>
      </w:r>
      <w:r w:rsidR="009172BE" w:rsidRPr="00AD7158">
        <w:t>a c</w:t>
      </w:r>
      <w:r w:rsidR="00D27A9D" w:rsidRPr="00AD7158">
        <w:t xml:space="preserve">omunicarse libre y privadamente </w:t>
      </w:r>
      <w:r w:rsidRPr="00AD7158">
        <w:t xml:space="preserve">con su defensor, </w:t>
      </w:r>
      <w:r w:rsidR="001842A4" w:rsidRPr="00AD7158">
        <w:t xml:space="preserve">e </w:t>
      </w:r>
      <w:r w:rsidR="009172BE" w:rsidRPr="00AD7158">
        <w:t>interrogar testigos</w:t>
      </w:r>
      <w:r w:rsidR="00D27A9D" w:rsidRPr="00AD7158">
        <w:t>.</w:t>
      </w:r>
      <w:r w:rsidR="00D27A9D" w:rsidRPr="00AD7158">
        <w:rPr>
          <w:b/>
        </w:rPr>
        <w:t xml:space="preserve"> </w:t>
      </w:r>
      <w:r w:rsidR="00D27A9D" w:rsidRPr="00AD7158">
        <w:t>A</w:t>
      </w:r>
      <w:r w:rsidR="00A54A3D" w:rsidRPr="00AD7158">
        <w:t xml:space="preserve">firmó que la ventaja en términos de celeridad en que se fundó la decisión </w:t>
      </w:r>
      <w:r w:rsidR="006566D7" w:rsidRPr="00AD7158">
        <w:t>de no suspender la audiencia</w:t>
      </w:r>
      <w:r w:rsidR="00A54A3D" w:rsidRPr="00AD7158">
        <w:t>, no result</w:t>
      </w:r>
      <w:r w:rsidR="003003E1" w:rsidRPr="00AD7158">
        <w:t>ó</w:t>
      </w:r>
      <w:r w:rsidR="00A37F78" w:rsidRPr="00AD7158">
        <w:t xml:space="preserve"> justificable en relación</w:t>
      </w:r>
      <w:r w:rsidR="00A54A3D" w:rsidRPr="00AD7158">
        <w:t xml:space="preserve"> </w:t>
      </w:r>
      <w:r w:rsidR="00F22665" w:rsidRPr="00AD7158">
        <w:t xml:space="preserve">con </w:t>
      </w:r>
      <w:r w:rsidR="00A54A3D" w:rsidRPr="00AD7158">
        <w:t xml:space="preserve">la restricción a derechos que sufrió la presunta víctima. </w:t>
      </w:r>
      <w:r w:rsidR="00513629" w:rsidRPr="00AD7158">
        <w:t>S</w:t>
      </w:r>
      <w:r w:rsidR="00B35447" w:rsidRPr="00AD7158">
        <w:t xml:space="preserve">ostuvo que si bien la defensora oficial conocía la causa por asistir al coimputado, </w:t>
      </w:r>
      <w:r w:rsidR="001842A4" w:rsidRPr="00AD7158">
        <w:t>ello</w:t>
      </w:r>
      <w:r w:rsidR="00B35447" w:rsidRPr="00AD7158">
        <w:t xml:space="preserve"> no implicaba conocimiento acabado de las alegaciones contra Álvarez, </w:t>
      </w:r>
      <w:r w:rsidR="00D257BA" w:rsidRPr="00AD7158">
        <w:t xml:space="preserve">ni su versión de los hechos. </w:t>
      </w:r>
      <w:r w:rsidR="00D359B3" w:rsidRPr="00AD7158">
        <w:t>A</w:t>
      </w:r>
      <w:r w:rsidR="00D257BA" w:rsidRPr="00AD7158">
        <w:t xml:space="preserve">firmó que </w:t>
      </w:r>
      <w:r w:rsidR="001423F3" w:rsidRPr="00AD7158">
        <w:t xml:space="preserve">la prueba de cargo de los imputados era </w:t>
      </w:r>
      <w:r w:rsidR="00F94D16" w:rsidRPr="00AD7158">
        <w:t>distinta</w:t>
      </w:r>
      <w:r w:rsidR="001423F3" w:rsidRPr="00AD7158">
        <w:t>, y que los letrados de confianza de la presunta víctima habían citado a nuevos testigos que no surgían del expediente, por lo que la defensora se vio imposibilitada de inte</w:t>
      </w:r>
      <w:r w:rsidR="004765C6" w:rsidRPr="00AD7158">
        <w:t>rrogarlos adecuadamente. Agregó</w:t>
      </w:r>
      <w:r w:rsidR="001423F3" w:rsidRPr="00AD7158">
        <w:t xml:space="preserve"> que la condición de niño y adulto de los imputados </w:t>
      </w:r>
      <w:r w:rsidR="00BE401C" w:rsidRPr="00AD7158">
        <w:t xml:space="preserve">requería abordajes diferenciales, y que el hecho de que la defensora oficial </w:t>
      </w:r>
      <w:r w:rsidR="006A6C05" w:rsidRPr="00AD7158">
        <w:t>fu</w:t>
      </w:r>
      <w:r w:rsidR="00BE401C" w:rsidRPr="00AD7158">
        <w:t>era la defensora del coimputado, era un argumento para posponer</w:t>
      </w:r>
      <w:r w:rsidR="00D359B3" w:rsidRPr="00AD7158">
        <w:t xml:space="preserve"> </w:t>
      </w:r>
      <w:r w:rsidR="00BE401C" w:rsidRPr="00AD7158">
        <w:t>la</w:t>
      </w:r>
      <w:r w:rsidR="00D359B3" w:rsidRPr="00AD7158">
        <w:t xml:space="preserve"> audiencia</w:t>
      </w:r>
      <w:r w:rsidR="00BE401C" w:rsidRPr="00AD7158">
        <w:t xml:space="preserve"> e identificar posibles conflictos de interés entre sus asistidos.</w:t>
      </w:r>
      <w:r w:rsidR="00151E24" w:rsidRPr="00AD7158">
        <w:t xml:space="preserve"> Esgrimió que </w:t>
      </w:r>
      <w:r w:rsidR="002F32A6" w:rsidRPr="00AD7158">
        <w:t xml:space="preserve">atendido que la pena que arriesgaba </w:t>
      </w:r>
      <w:r w:rsidR="006A6C05" w:rsidRPr="00AD7158">
        <w:t xml:space="preserve">el señor </w:t>
      </w:r>
      <w:r w:rsidR="00151E24" w:rsidRPr="00AD7158">
        <w:t xml:space="preserve">Álvarez era la máxima contemplada en el ordenamiento jurídico, ello </w:t>
      </w:r>
      <w:r w:rsidR="00F94D16" w:rsidRPr="00AD7158">
        <w:t>requer</w:t>
      </w:r>
      <w:r w:rsidR="00582FDF" w:rsidRPr="00AD7158">
        <w:t>ía</w:t>
      </w:r>
      <w:r w:rsidR="00151E24" w:rsidRPr="00AD7158">
        <w:t xml:space="preserve"> </w:t>
      </w:r>
      <w:r w:rsidR="00582FDF" w:rsidRPr="00AD7158">
        <w:t>proteger el derecho a defensa de la manera más exigente posible.</w:t>
      </w:r>
    </w:p>
    <w:p w14:paraId="443EA965" w14:textId="77777777" w:rsidR="00C05171" w:rsidRPr="00AD7158" w:rsidRDefault="00C05171" w:rsidP="00B419FB">
      <w:pPr>
        <w:pStyle w:val="parrafos"/>
        <w:numPr>
          <w:ilvl w:val="0"/>
          <w:numId w:val="0"/>
        </w:numPr>
      </w:pPr>
    </w:p>
    <w:p w14:paraId="32F54FB3" w14:textId="77777777" w:rsidR="003D681B" w:rsidRPr="00AD7158" w:rsidRDefault="007C3290" w:rsidP="00B419FB">
      <w:pPr>
        <w:pStyle w:val="parrafos"/>
        <w:ind w:left="0" w:firstLine="0"/>
      </w:pPr>
      <w:r w:rsidRPr="00AD7158">
        <w:t xml:space="preserve">Afirmó que mediante la </w:t>
      </w:r>
      <w:r w:rsidR="00CB7D1E" w:rsidRPr="00AD7158">
        <w:t>denegación</w:t>
      </w:r>
      <w:r w:rsidRPr="00AD7158">
        <w:t xml:space="preserve"> del tiempo solicitado, el poder judicial privó</w:t>
      </w:r>
      <w:r w:rsidR="00207DB9" w:rsidRPr="00AD7158">
        <w:t xml:space="preserve"> a </w:t>
      </w:r>
      <w:r w:rsidR="001B4117" w:rsidRPr="00AD7158">
        <w:t>Álvarez</w:t>
      </w:r>
      <w:r w:rsidR="00207DB9" w:rsidRPr="00AD7158">
        <w:t xml:space="preserve"> de su principal acto de defensa </w:t>
      </w:r>
      <w:r w:rsidR="001B4117" w:rsidRPr="00AD7158">
        <w:t>material en el debate</w:t>
      </w:r>
      <w:r w:rsidR="00802DCA" w:rsidRPr="00AD7158">
        <w:t xml:space="preserve">, por lo que la </w:t>
      </w:r>
      <w:r w:rsidR="001B4117" w:rsidRPr="00AD7158">
        <w:t xml:space="preserve">restricción </w:t>
      </w:r>
      <w:r w:rsidR="008E7EB0" w:rsidRPr="00AD7158">
        <w:t>implicó</w:t>
      </w:r>
      <w:r w:rsidR="00802DCA" w:rsidRPr="00AD7158">
        <w:t xml:space="preserve"> violación de su</w:t>
      </w:r>
      <w:r w:rsidR="001B4117" w:rsidRPr="00AD7158">
        <w:t xml:space="preserve"> derecho a ser oído y a no declarar contra sí mismo ni a declararse culpable, </w:t>
      </w:r>
      <w:r w:rsidR="00852091" w:rsidRPr="00AD7158">
        <w:t>lo que incluiría</w:t>
      </w:r>
      <w:r w:rsidR="00802DCA" w:rsidRPr="00AD7158">
        <w:t>,</w:t>
      </w:r>
      <w:r w:rsidR="00852091" w:rsidRPr="00AD7158">
        <w:t xml:space="preserve"> que las declaraciones no sean condicionadas de modo alguno.</w:t>
      </w:r>
      <w:r w:rsidR="00B347FF" w:rsidRPr="00AD7158">
        <w:t xml:space="preserve"> </w:t>
      </w:r>
      <w:r w:rsidR="00F5757F" w:rsidRPr="00AD7158">
        <w:t xml:space="preserve">Afirmó que la declaración </w:t>
      </w:r>
      <w:r w:rsidR="00770EA7" w:rsidRPr="00AD7158">
        <w:t>indagatoria</w:t>
      </w:r>
      <w:r w:rsidR="00C95B0F" w:rsidRPr="00AD7158">
        <w:t xml:space="preserve"> fue reducida a una mera formalidad</w:t>
      </w:r>
      <w:r w:rsidR="00770EA7" w:rsidRPr="00AD7158">
        <w:t>,</w:t>
      </w:r>
      <w:r w:rsidR="00B528F2" w:rsidRPr="00AD7158">
        <w:t xml:space="preserve"> y </w:t>
      </w:r>
      <w:r w:rsidR="00EA50D1" w:rsidRPr="00AD7158">
        <w:t>que al negarse</w:t>
      </w:r>
      <w:r w:rsidR="00E57C39" w:rsidRPr="00AD7158">
        <w:t xml:space="preserve"> el aplazamiento requerido por la de</w:t>
      </w:r>
      <w:r w:rsidR="005D2644" w:rsidRPr="00AD7158">
        <w:t>fensa</w:t>
      </w:r>
      <w:r w:rsidR="00E57C39" w:rsidRPr="00AD7158">
        <w:t xml:space="preserve"> </w:t>
      </w:r>
      <w:r w:rsidR="005D2644" w:rsidRPr="00AD7158">
        <w:t xml:space="preserve">se </w:t>
      </w:r>
      <w:r w:rsidR="005256FF" w:rsidRPr="00AD7158">
        <w:t>colocó</w:t>
      </w:r>
      <w:r w:rsidR="00E57C39" w:rsidRPr="00AD7158">
        <w:t xml:space="preserve"> a </w:t>
      </w:r>
      <w:r w:rsidR="005256FF" w:rsidRPr="00AD7158">
        <w:t>Álvarez</w:t>
      </w:r>
      <w:r w:rsidR="00E57C39" w:rsidRPr="00AD7158">
        <w:t xml:space="preserve"> en la situación de “elegir” negarse a declarar en esa oportunidad y perder una chance </w:t>
      </w:r>
      <w:r w:rsidR="005256FF" w:rsidRPr="00AD7158">
        <w:t>única de ejercer su defensa material,</w:t>
      </w:r>
      <w:r w:rsidR="00E57C39" w:rsidRPr="00AD7158">
        <w:t xml:space="preserve"> o declarar sin haber sido asistido técnicamente</w:t>
      </w:r>
      <w:r w:rsidR="005D2644" w:rsidRPr="00AD7158">
        <w:t>.</w:t>
      </w:r>
      <w:r w:rsidR="00E57C39" w:rsidRPr="00AD7158">
        <w:t xml:space="preserve"> </w:t>
      </w:r>
      <w:r w:rsidR="000C6E32" w:rsidRPr="00AD7158">
        <w:t>Aleg</w:t>
      </w:r>
      <w:r w:rsidR="00107252" w:rsidRPr="00AD7158">
        <w:t>ó</w:t>
      </w:r>
      <w:r w:rsidR="00F40D5C" w:rsidRPr="00AD7158">
        <w:t xml:space="preserve"> que el derecho a negarse a declarar fue impuesto por el tribunal. </w:t>
      </w:r>
      <w:r w:rsidR="00EB4D9B" w:rsidRPr="00AD7158">
        <w:t>Además, a</w:t>
      </w:r>
      <w:r w:rsidR="0051193C" w:rsidRPr="00AD7158">
        <w:t>firm</w:t>
      </w:r>
      <w:r w:rsidR="003E7D8C" w:rsidRPr="00AD7158">
        <w:t xml:space="preserve">ó que la imposición compulsiva de </w:t>
      </w:r>
      <w:r w:rsidR="000B6DDD" w:rsidRPr="00AD7158">
        <w:t>la</w:t>
      </w:r>
      <w:r w:rsidR="003E7D8C" w:rsidRPr="00AD7158">
        <w:t xml:space="preserve"> defensa oficial, negó la independencia insti</w:t>
      </w:r>
      <w:r w:rsidR="00AE1D46" w:rsidRPr="00AD7158">
        <w:t xml:space="preserve">tucional de la defensa pública, </w:t>
      </w:r>
      <w:r w:rsidR="003E7D8C" w:rsidRPr="00AD7158">
        <w:t>pues al verse Álvarez en la obligación de no declarar, se condicionó la estrategia defensiva a seguir.</w:t>
      </w:r>
    </w:p>
    <w:p w14:paraId="07FF4EDD" w14:textId="77777777" w:rsidR="0017762F" w:rsidRPr="00AD7158" w:rsidRDefault="0017762F" w:rsidP="00B419FB">
      <w:pPr>
        <w:pStyle w:val="parrafos"/>
        <w:numPr>
          <w:ilvl w:val="0"/>
          <w:numId w:val="0"/>
        </w:numPr>
      </w:pPr>
    </w:p>
    <w:p w14:paraId="688116AD" w14:textId="77777777" w:rsidR="001F18B0" w:rsidRPr="00AD7158" w:rsidRDefault="000E2936" w:rsidP="00B419FB">
      <w:pPr>
        <w:pStyle w:val="parrafos"/>
        <w:ind w:left="0" w:firstLine="0"/>
      </w:pPr>
      <w:r w:rsidRPr="00AD7158">
        <w:t xml:space="preserve">Sobre </w:t>
      </w:r>
      <w:r w:rsidR="00AE53EF" w:rsidRPr="00AD7158">
        <w:t>la aplic</w:t>
      </w:r>
      <w:r w:rsidR="00EB4D9B" w:rsidRPr="00AD7158">
        <w:t xml:space="preserve">ación de medidas de sujeción </w:t>
      </w:r>
      <w:r w:rsidR="00AE53EF" w:rsidRPr="00AD7158">
        <w:t>duran</w:t>
      </w:r>
      <w:r w:rsidR="003223A8" w:rsidRPr="00AD7158">
        <w:t>te la audiencia</w:t>
      </w:r>
      <w:r w:rsidRPr="00AD7158">
        <w:t>, esgrimió que</w:t>
      </w:r>
      <w:r w:rsidR="003223A8" w:rsidRPr="00AD7158">
        <w:t xml:space="preserve"> afectó</w:t>
      </w:r>
      <w:r w:rsidR="00AE53EF" w:rsidRPr="00AD7158">
        <w:t xml:space="preserve"> su</w:t>
      </w:r>
      <w:r w:rsidR="00AF4E2C" w:rsidRPr="00AD7158">
        <w:t xml:space="preserve"> </w:t>
      </w:r>
      <w:r w:rsidR="0017762F" w:rsidRPr="00AD7158">
        <w:t>derecho a la presunción de inocencia</w:t>
      </w:r>
      <w:r w:rsidR="00666043" w:rsidRPr="00AD7158">
        <w:t xml:space="preserve"> y</w:t>
      </w:r>
      <w:r w:rsidR="0017762F" w:rsidRPr="00AD7158">
        <w:t xml:space="preserve"> derecho a la honra y dignidad</w:t>
      </w:r>
      <w:r w:rsidR="00666043" w:rsidRPr="00AD7158">
        <w:t>,</w:t>
      </w:r>
      <w:r w:rsidR="0017762F" w:rsidRPr="00AD7158">
        <w:t xml:space="preserve"> </w:t>
      </w:r>
      <w:r w:rsidR="00666043" w:rsidRPr="00AD7158">
        <w:t xml:space="preserve">así como </w:t>
      </w:r>
      <w:r w:rsidR="0017762F" w:rsidRPr="00AD7158">
        <w:t>a las garantías judiciales</w:t>
      </w:r>
      <w:r w:rsidR="00E93AEC" w:rsidRPr="00AD7158">
        <w:t>,</w:t>
      </w:r>
      <w:r w:rsidR="003223A8" w:rsidRPr="00AD7158">
        <w:t xml:space="preserve"> en tanto no se le posibilit</w:t>
      </w:r>
      <w:r w:rsidR="0062771A" w:rsidRPr="00AD7158">
        <w:t>ó</w:t>
      </w:r>
      <w:r w:rsidR="003223A8" w:rsidRPr="00AD7158">
        <w:t xml:space="preserve"> tomar notas para la debida conducción de su defensa</w:t>
      </w:r>
      <w:r w:rsidR="0017762F" w:rsidRPr="00AD7158">
        <w:t xml:space="preserve">. </w:t>
      </w:r>
      <w:r w:rsidR="002B7FBD" w:rsidRPr="00AD7158">
        <w:t>A</w:t>
      </w:r>
      <w:r w:rsidR="0017762F" w:rsidRPr="00AD7158">
        <w:t xml:space="preserve">firmó que </w:t>
      </w:r>
      <w:r w:rsidR="003223A8" w:rsidRPr="00AD7158">
        <w:t>el haber permanecido esposado construye la ide</w:t>
      </w:r>
      <w:r w:rsidRPr="00AD7158">
        <w:t xml:space="preserve">a de que es culpable, y </w:t>
      </w:r>
      <w:r w:rsidR="0062771A" w:rsidRPr="00AD7158">
        <w:t>que</w:t>
      </w:r>
      <w:r w:rsidR="00AB42B9" w:rsidRPr="00AD7158">
        <w:t xml:space="preserve"> la medida se convirtió en una </w:t>
      </w:r>
      <w:r w:rsidR="00087485" w:rsidRPr="00AD7158">
        <w:t xml:space="preserve">sanción anticipada </w:t>
      </w:r>
      <w:r w:rsidR="00EB4D9B" w:rsidRPr="00AD7158">
        <w:t>colocándole</w:t>
      </w:r>
      <w:r w:rsidR="00087485" w:rsidRPr="00AD7158">
        <w:t xml:space="preserve"> en un estado de condena previo a la sustanciación del juicio, lo que </w:t>
      </w:r>
      <w:r w:rsidR="00931532" w:rsidRPr="00AD7158">
        <w:t>i</w:t>
      </w:r>
      <w:r w:rsidR="00087485" w:rsidRPr="00AD7158">
        <w:t xml:space="preserve">nvolucra </w:t>
      </w:r>
      <w:r w:rsidR="00087485" w:rsidRPr="00AD7158">
        <w:rPr>
          <w:i/>
        </w:rPr>
        <w:t xml:space="preserve">per se </w:t>
      </w:r>
      <w:r w:rsidR="00087485" w:rsidRPr="00AD7158">
        <w:t xml:space="preserve">una vulneración de su honra y dignidad. </w:t>
      </w:r>
      <w:r w:rsidRPr="00AD7158">
        <w:t>Además, a</w:t>
      </w:r>
      <w:r w:rsidR="00E10490" w:rsidRPr="00AD7158">
        <w:t xml:space="preserve">legó que </w:t>
      </w:r>
      <w:r w:rsidRPr="00AD7158">
        <w:t>la medida</w:t>
      </w:r>
      <w:r w:rsidR="00E10490" w:rsidRPr="00AD7158">
        <w:t xml:space="preserve"> no fue razonable pues el juicio se dio a puerta cerrada y con despliegue policial de cuerpos especiales, lo que tornaba imposible cualquier intento de evasión y daño a las personas presentes.</w:t>
      </w:r>
      <w:r w:rsidR="006D4948" w:rsidRPr="00AD7158">
        <w:t xml:space="preserve"> </w:t>
      </w:r>
      <w:r w:rsidR="002B7FBD" w:rsidRPr="00AD7158">
        <w:t>A</w:t>
      </w:r>
      <w:r w:rsidR="00CC2652" w:rsidRPr="00AD7158">
        <w:t>greg</w:t>
      </w:r>
      <w:r w:rsidR="002B7FBD" w:rsidRPr="00AD7158">
        <w:t>ó que, contrario a lo sostenido por el Estado, el artículo 366 del CPPN señala que el imputado asistirá a la audiencia libre en su persona</w:t>
      </w:r>
      <w:r w:rsidR="006D4948" w:rsidRPr="00AD7158">
        <w:t>.</w:t>
      </w:r>
    </w:p>
    <w:p w14:paraId="3B4FD300" w14:textId="77777777" w:rsidR="00A37F78" w:rsidRPr="00AD7158" w:rsidRDefault="00A37F78" w:rsidP="00A37F78">
      <w:pPr>
        <w:ind w:left="360"/>
        <w:rPr>
          <w:rFonts w:asciiTheme="majorHAnsi" w:hAnsiTheme="majorHAnsi"/>
          <w:sz w:val="20"/>
          <w:szCs w:val="20"/>
          <w:lang w:val="es-ES"/>
        </w:rPr>
      </w:pPr>
    </w:p>
    <w:p w14:paraId="005E6CEA" w14:textId="77777777" w:rsidR="00227343" w:rsidRPr="00AD7158" w:rsidRDefault="00E2609B" w:rsidP="00B419FB">
      <w:pPr>
        <w:pStyle w:val="parrafos"/>
        <w:ind w:left="0" w:firstLine="0"/>
      </w:pPr>
      <w:r w:rsidRPr="00AD7158">
        <w:t>A</w:t>
      </w:r>
      <w:r w:rsidR="001F18B0" w:rsidRPr="00AD7158">
        <w:t>legó</w:t>
      </w:r>
      <w:r w:rsidR="00E10490" w:rsidRPr="00AD7158">
        <w:t xml:space="preserve"> </w:t>
      </w:r>
      <w:r w:rsidR="00F94D16" w:rsidRPr="00AD7158">
        <w:t>violación de</w:t>
      </w:r>
      <w:r w:rsidR="001F18B0" w:rsidRPr="00AD7158">
        <w:t xml:space="preserve">l derecho al recurso contra la condena, </w:t>
      </w:r>
      <w:r w:rsidR="00D55A58" w:rsidRPr="00AD7158">
        <w:t>y</w:t>
      </w:r>
      <w:r w:rsidR="001F18B0" w:rsidRPr="00AD7158">
        <w:t xml:space="preserve"> a la protección judicial. </w:t>
      </w:r>
      <w:r w:rsidR="008E11FA" w:rsidRPr="00AD7158">
        <w:t>Indicó que</w:t>
      </w:r>
      <w:r w:rsidR="00E93AEC" w:rsidRPr="00AD7158">
        <w:t xml:space="preserve"> el señor</w:t>
      </w:r>
      <w:r w:rsidR="008E11FA" w:rsidRPr="00AD7158">
        <w:t xml:space="preserve"> </w:t>
      </w:r>
      <w:r w:rsidR="001E5F62" w:rsidRPr="00AD7158">
        <w:t>Álvarez</w:t>
      </w:r>
      <w:r w:rsidR="008E11FA" w:rsidRPr="00AD7158">
        <w:t xml:space="preserve"> tuvo </w:t>
      </w:r>
      <w:r w:rsidR="001E5F62" w:rsidRPr="00AD7158">
        <w:t>disponible</w:t>
      </w:r>
      <w:r w:rsidR="008E11FA" w:rsidRPr="00AD7158">
        <w:t xml:space="preserve"> el recurso de casación, cuya regulación se limita a dos hipótesis</w:t>
      </w:r>
      <w:r w:rsidR="000856FE" w:rsidRPr="00AD7158">
        <w:t xml:space="preserve"> de procedencia</w:t>
      </w:r>
      <w:r w:rsidR="00264C51" w:rsidRPr="00AD7158">
        <w:t xml:space="preserve">, lo </w:t>
      </w:r>
      <w:r w:rsidR="000856FE" w:rsidRPr="00AD7158">
        <w:t xml:space="preserve">que </w:t>
      </w:r>
      <w:r w:rsidR="008E11FA" w:rsidRPr="00AD7158">
        <w:t>ha sido objeto de análisis por parte de la Corte Interamericana de Derechos Humanos</w:t>
      </w:r>
      <w:r w:rsidR="00FD6E69" w:rsidRPr="00AD7158">
        <w:t xml:space="preserve"> (en adelante “Corte” o “Corte IDH”)</w:t>
      </w:r>
      <w:r w:rsidR="008E11FA" w:rsidRPr="00AD7158">
        <w:t xml:space="preserve">, en el caso Mendoza y otros vs. Argentina, </w:t>
      </w:r>
      <w:r w:rsidR="00264C51" w:rsidRPr="00AD7158">
        <w:t xml:space="preserve">en que </w:t>
      </w:r>
      <w:r w:rsidR="00CA6A2B" w:rsidRPr="00AD7158">
        <w:t>estimó</w:t>
      </w:r>
      <w:r w:rsidR="00933ECF" w:rsidRPr="00AD7158">
        <w:t xml:space="preserve"> que</w:t>
      </w:r>
      <w:r w:rsidR="008E11FA" w:rsidRPr="00AD7158">
        <w:t xml:space="preserve"> el </w:t>
      </w:r>
      <w:r w:rsidR="008F2F25" w:rsidRPr="00AD7158">
        <w:t>recurso</w:t>
      </w:r>
      <w:r w:rsidR="008E11FA" w:rsidRPr="00AD7158">
        <w:t xml:space="preserve"> no permit</w:t>
      </w:r>
      <w:r w:rsidR="00CA6A2B" w:rsidRPr="00AD7158">
        <w:t>ía</w:t>
      </w:r>
      <w:r w:rsidR="008E11FA" w:rsidRPr="00AD7158">
        <w:t xml:space="preserve"> la revisión de cuestiones fácticas y/o probatorias por un tribunal superior.</w:t>
      </w:r>
      <w:r w:rsidR="00CA6A2B" w:rsidRPr="00AD7158">
        <w:t xml:space="preserve"> </w:t>
      </w:r>
      <w:r w:rsidR="00643770" w:rsidRPr="00AD7158">
        <w:t>Agregó</w:t>
      </w:r>
      <w:r w:rsidR="00133F39" w:rsidRPr="00AD7158">
        <w:t xml:space="preserve"> que la </w:t>
      </w:r>
      <w:r w:rsidR="00CA3735" w:rsidRPr="00AD7158">
        <w:t>sentencia impugn</w:t>
      </w:r>
      <w:r w:rsidR="008466F9" w:rsidRPr="00AD7158">
        <w:t>ada</w:t>
      </w:r>
      <w:r w:rsidR="00CA3735" w:rsidRPr="00AD7158">
        <w:t>, fue la misma que impugnó</w:t>
      </w:r>
      <w:r w:rsidR="00133F39" w:rsidRPr="00AD7158">
        <w:t xml:space="preserve"> </w:t>
      </w:r>
      <w:r w:rsidR="00E75ED2" w:rsidRPr="00AD7158">
        <w:t xml:space="preserve">su coimputado, </w:t>
      </w:r>
      <w:r w:rsidR="00133F39" w:rsidRPr="00AD7158">
        <w:t xml:space="preserve">Cesar Mendoza, y que dio lugar al pronunciamiento de la Corte. </w:t>
      </w:r>
      <w:r w:rsidR="00D77154" w:rsidRPr="00AD7158">
        <w:t xml:space="preserve">Por ello, adujo que se negó el derecho a una revisión integral de la condena, dadas las restricciones del recurso. </w:t>
      </w:r>
      <w:r w:rsidR="00133F39" w:rsidRPr="00AD7158">
        <w:t xml:space="preserve">En </w:t>
      </w:r>
      <w:r w:rsidR="008F2F25" w:rsidRPr="00AD7158">
        <w:t>el caso de la presunta víctima</w:t>
      </w:r>
      <w:r w:rsidR="00133F39" w:rsidRPr="00AD7158">
        <w:t xml:space="preserve">, el recurso se declaró admisible </w:t>
      </w:r>
      <w:r w:rsidR="008E22CB" w:rsidRPr="00AD7158">
        <w:t xml:space="preserve">sobre </w:t>
      </w:r>
      <w:r w:rsidR="00133F39" w:rsidRPr="00AD7158">
        <w:t xml:space="preserve">la pena de reclusión por tiempo indeterminado, </w:t>
      </w:r>
      <w:r w:rsidR="00EF3829" w:rsidRPr="00AD7158">
        <w:t>e</w:t>
      </w:r>
      <w:r w:rsidR="00133F39" w:rsidRPr="00AD7158">
        <w:t xml:space="preserve"> inadmisible </w:t>
      </w:r>
      <w:r w:rsidR="00EF3829" w:rsidRPr="00AD7158">
        <w:t xml:space="preserve">sobre </w:t>
      </w:r>
      <w:r w:rsidR="00133F39" w:rsidRPr="00AD7158">
        <w:t>l</w:t>
      </w:r>
      <w:r w:rsidR="008466F9" w:rsidRPr="00AD7158">
        <w:t>os demás alegatos</w:t>
      </w:r>
      <w:r w:rsidR="00133F39" w:rsidRPr="00AD7158">
        <w:t xml:space="preserve">. </w:t>
      </w:r>
      <w:r w:rsidR="00440518" w:rsidRPr="00AD7158">
        <w:t xml:space="preserve">La Sala II de Casación confirmó </w:t>
      </w:r>
      <w:r w:rsidR="00264C51" w:rsidRPr="00AD7158">
        <w:t xml:space="preserve">la pena, </w:t>
      </w:r>
      <w:r w:rsidR="00440518" w:rsidRPr="00AD7158">
        <w:t>argumentando que el examen de la plataforma fáctica y pruebas era</w:t>
      </w:r>
      <w:r w:rsidR="008E22CB" w:rsidRPr="00AD7158">
        <w:t>n ajenos</w:t>
      </w:r>
      <w:r w:rsidR="00CA3735" w:rsidRPr="00AD7158">
        <w:t xml:space="preserve"> al control casatorio</w:t>
      </w:r>
      <w:r w:rsidR="00C10F96" w:rsidRPr="00AD7158">
        <w:t>. A</w:t>
      </w:r>
      <w:r w:rsidR="00D77154" w:rsidRPr="00AD7158">
        <w:t>le</w:t>
      </w:r>
      <w:r w:rsidR="00C10F96" w:rsidRPr="00AD7158">
        <w:t>gó</w:t>
      </w:r>
      <w:r w:rsidR="00440518" w:rsidRPr="00AD7158">
        <w:t xml:space="preserve"> que el déficit no fue subsanado</w:t>
      </w:r>
      <w:r w:rsidR="008E22CB" w:rsidRPr="00AD7158">
        <w:t>,</w:t>
      </w:r>
      <w:r w:rsidR="00440518" w:rsidRPr="00AD7158">
        <w:t xml:space="preserve"> pues el recurso </w:t>
      </w:r>
      <w:r w:rsidR="00C258AF" w:rsidRPr="00AD7158">
        <w:t>extraordinar</w:t>
      </w:r>
      <w:r w:rsidR="00440518" w:rsidRPr="00AD7158">
        <w:t>io federal</w:t>
      </w:r>
      <w:r w:rsidR="00C258AF" w:rsidRPr="00AD7158">
        <w:t xml:space="preserve"> </w:t>
      </w:r>
      <w:r w:rsidR="00264C51" w:rsidRPr="00AD7158">
        <w:t>fue</w:t>
      </w:r>
      <w:r w:rsidR="00C258AF" w:rsidRPr="00AD7158">
        <w:t xml:space="preserve"> inadmisible y </w:t>
      </w:r>
      <w:r w:rsidR="000268EC" w:rsidRPr="00AD7158">
        <w:t>la</w:t>
      </w:r>
      <w:r w:rsidR="00C258AF" w:rsidRPr="00AD7158">
        <w:t xml:space="preserve"> queja</w:t>
      </w:r>
      <w:r w:rsidR="007C3484" w:rsidRPr="00AD7158">
        <w:t xml:space="preserve"> </w:t>
      </w:r>
      <w:r w:rsidR="00C258AF" w:rsidRPr="00AD7158">
        <w:t>desestimada. A</w:t>
      </w:r>
      <w:r w:rsidR="009B398C" w:rsidRPr="00AD7158">
        <w:t>greg</w:t>
      </w:r>
      <w:r w:rsidR="00C258AF" w:rsidRPr="00AD7158">
        <w:t>ó que</w:t>
      </w:r>
      <w:r w:rsidR="00AF4E2C" w:rsidRPr="00AD7158">
        <w:t xml:space="preserve"> </w:t>
      </w:r>
      <w:r w:rsidR="00C258AF" w:rsidRPr="00AD7158">
        <w:t>el recurso extr</w:t>
      </w:r>
      <w:r w:rsidR="00933ECF" w:rsidRPr="00AD7158">
        <w:t xml:space="preserve">aordinario federal tiene </w:t>
      </w:r>
      <w:r w:rsidR="00C258AF" w:rsidRPr="00AD7158">
        <w:t>alcance restringido</w:t>
      </w:r>
      <w:r w:rsidR="009B398C" w:rsidRPr="00AD7158">
        <w:t>,</w:t>
      </w:r>
      <w:r w:rsidR="00C258AF" w:rsidRPr="00AD7158">
        <w:t xml:space="preserve"> pues sus limitaciones formales y materiales impiden un examen amplio y eficaz de la sentencia recurrida como </w:t>
      </w:r>
      <w:r w:rsidR="007C3484" w:rsidRPr="00AD7158">
        <w:t>concluyó</w:t>
      </w:r>
      <w:r w:rsidR="00C258AF" w:rsidRPr="00AD7158">
        <w:t xml:space="preserve"> la Corte </w:t>
      </w:r>
      <w:r w:rsidR="00FD6E69" w:rsidRPr="00AD7158">
        <w:t>IDH</w:t>
      </w:r>
      <w:r w:rsidR="00C258AF" w:rsidRPr="00AD7158">
        <w:t xml:space="preserve"> en el caso Mohamed vs. Argentina.</w:t>
      </w:r>
      <w:r w:rsidR="007107EE" w:rsidRPr="00AD7158">
        <w:t xml:space="preserve"> Señal</w:t>
      </w:r>
      <w:r w:rsidR="00933ECF" w:rsidRPr="00AD7158">
        <w:t>ó</w:t>
      </w:r>
      <w:r w:rsidR="00C258AF" w:rsidRPr="00AD7158">
        <w:t xml:space="preserve"> que esto, se </w:t>
      </w:r>
      <w:r w:rsidR="008466F9" w:rsidRPr="00AD7158">
        <w:t>a</w:t>
      </w:r>
      <w:r w:rsidR="00C258AF" w:rsidRPr="00AD7158">
        <w:t>grav</w:t>
      </w:r>
      <w:r w:rsidR="008466F9" w:rsidRPr="00AD7158">
        <w:t>ó</w:t>
      </w:r>
      <w:r w:rsidR="00C258AF" w:rsidRPr="00AD7158">
        <w:t xml:space="preserve"> por las actuaciones ineficaces de las defensas intervinientes.</w:t>
      </w:r>
    </w:p>
    <w:p w14:paraId="4184EC2E" w14:textId="77777777" w:rsidR="00227343" w:rsidRPr="00AD7158" w:rsidRDefault="00227343" w:rsidP="00B419FB">
      <w:pPr>
        <w:pStyle w:val="parrafos"/>
        <w:numPr>
          <w:ilvl w:val="0"/>
          <w:numId w:val="0"/>
        </w:numPr>
      </w:pPr>
    </w:p>
    <w:p w14:paraId="236569C5" w14:textId="77777777" w:rsidR="009226B6" w:rsidRPr="00AD7158" w:rsidRDefault="00626C0E" w:rsidP="00B419FB">
      <w:pPr>
        <w:pStyle w:val="parrafos"/>
        <w:ind w:left="0" w:firstLine="0"/>
      </w:pPr>
      <w:r w:rsidRPr="00AD7158">
        <w:t>Aleg</w:t>
      </w:r>
      <w:r w:rsidR="00227343" w:rsidRPr="00AD7158">
        <w:t>ó afect</w:t>
      </w:r>
      <w:r w:rsidRPr="00AD7158">
        <w:t>aci</w:t>
      </w:r>
      <w:r w:rsidR="00227343" w:rsidRPr="00AD7158">
        <w:t>ó</w:t>
      </w:r>
      <w:r w:rsidRPr="00AD7158">
        <w:t>n a</w:t>
      </w:r>
      <w:r w:rsidR="00227343" w:rsidRPr="00AD7158">
        <w:t>l</w:t>
      </w:r>
      <w:r w:rsidR="00227343" w:rsidRPr="00AD7158">
        <w:rPr>
          <w:b/>
        </w:rPr>
        <w:t xml:space="preserve"> </w:t>
      </w:r>
      <w:r w:rsidR="00227343" w:rsidRPr="00AD7158">
        <w:t>derecho a la defensa técnica eficaz durante el procedimiento recursivo.</w:t>
      </w:r>
      <w:r w:rsidR="00227343" w:rsidRPr="00AD7158">
        <w:rPr>
          <w:b/>
        </w:rPr>
        <w:t xml:space="preserve"> </w:t>
      </w:r>
      <w:r w:rsidR="00227343" w:rsidRPr="00AD7158">
        <w:t xml:space="preserve">Sostuvo que la actuación del defensor oficial ante la Cámara de Casación Penal fue insuficiente, pues llamado a intervenir tras la decisión de la Sala II de </w:t>
      </w:r>
      <w:r w:rsidR="00CC79EC" w:rsidRPr="00AD7158">
        <w:t>dicho tribunal</w:t>
      </w:r>
      <w:r w:rsidR="008B2CD8" w:rsidRPr="00AD7158">
        <w:t>, no continuó</w:t>
      </w:r>
      <w:r w:rsidR="00B42D93" w:rsidRPr="00AD7158">
        <w:t xml:space="preserve"> la voluntad recursiva de la </w:t>
      </w:r>
      <w:r w:rsidR="00F63205" w:rsidRPr="00AD7158">
        <w:t xml:space="preserve">presunta </w:t>
      </w:r>
      <w:r w:rsidR="00B42D93" w:rsidRPr="00AD7158">
        <w:t>víctima</w:t>
      </w:r>
      <w:r w:rsidR="002855D8" w:rsidRPr="00AD7158">
        <w:t>, e</w:t>
      </w:r>
      <w:r w:rsidR="00B42D93" w:rsidRPr="00AD7158">
        <w:t xml:space="preserve"> indic</w:t>
      </w:r>
      <w:r w:rsidR="008B2CD8" w:rsidRPr="00AD7158">
        <w:t>ó</w:t>
      </w:r>
      <w:r w:rsidR="00B42D93" w:rsidRPr="00AD7158">
        <w:t xml:space="preserve"> que se encontraba agotada la posibilidad de un procedimiento recursivo. </w:t>
      </w:r>
      <w:r w:rsidR="00364273" w:rsidRPr="00AD7158">
        <w:t>Además, afirm</w:t>
      </w:r>
      <w:r w:rsidR="000C572C" w:rsidRPr="00AD7158">
        <w:t>ó</w:t>
      </w:r>
      <w:r w:rsidR="00950D89" w:rsidRPr="00AD7158">
        <w:t xml:space="preserve"> que </w:t>
      </w:r>
      <w:r w:rsidR="000C572C" w:rsidRPr="00AD7158">
        <w:t>el defensor ofici</w:t>
      </w:r>
      <w:r w:rsidR="00364273" w:rsidRPr="00AD7158">
        <w:t>al interinamente a cargo de la Defensoría O</w:t>
      </w:r>
      <w:r w:rsidR="000C572C" w:rsidRPr="00AD7158">
        <w:t>ficial ante la Corte Suprema de Justicia de la Nación</w:t>
      </w:r>
      <w:r w:rsidR="00F41040" w:rsidRPr="00AD7158">
        <w:t xml:space="preserve"> (en adelante “Corte Suprema” o “CSJN”)</w:t>
      </w:r>
      <w:r w:rsidR="000C572C" w:rsidRPr="00AD7158">
        <w:t>, coadyuv</w:t>
      </w:r>
      <w:r w:rsidR="00F94D16" w:rsidRPr="00AD7158">
        <w:t>ó</w:t>
      </w:r>
      <w:r w:rsidR="000C572C" w:rsidRPr="00AD7158">
        <w:t xml:space="preserve"> a coartar la revisión del fallo condenatorio al adherir a un recurso de queja por recurso extraordinario federal denegado</w:t>
      </w:r>
      <w:r w:rsidR="00827412" w:rsidRPr="00AD7158">
        <w:t xml:space="preserve">, </w:t>
      </w:r>
      <w:r w:rsidR="005B3B54" w:rsidRPr="00AD7158">
        <w:t>presentado</w:t>
      </w:r>
      <w:r w:rsidR="00827412" w:rsidRPr="00AD7158">
        <w:t xml:space="preserve"> defectuosamente por la defensa particular</w:t>
      </w:r>
      <w:r w:rsidR="000C572C" w:rsidRPr="00AD7158">
        <w:t>.</w:t>
      </w:r>
      <w:r w:rsidR="00827412" w:rsidRPr="00AD7158">
        <w:t xml:space="preserve"> Afirmó que </w:t>
      </w:r>
      <w:r w:rsidR="00AC0448" w:rsidRPr="00AD7158">
        <w:t>la</w:t>
      </w:r>
      <w:r w:rsidR="00827412" w:rsidRPr="00AD7158">
        <w:t xml:space="preserve"> </w:t>
      </w:r>
      <w:r w:rsidR="00827412" w:rsidRPr="00AD7158">
        <w:lastRenderedPageBreak/>
        <w:t>adhesión, además de no estar</w:t>
      </w:r>
      <w:r w:rsidR="00364273" w:rsidRPr="00AD7158">
        <w:t xml:space="preserve"> prevista procesalmente, </w:t>
      </w:r>
      <w:r w:rsidR="00F94D16" w:rsidRPr="00AD7158">
        <w:t>co</w:t>
      </w:r>
      <w:r w:rsidR="00D3255D" w:rsidRPr="00AD7158">
        <w:t>nllev</w:t>
      </w:r>
      <w:r w:rsidR="00364273" w:rsidRPr="00AD7158">
        <w:t>ó</w:t>
      </w:r>
      <w:r w:rsidR="00827412" w:rsidRPr="00AD7158">
        <w:t xml:space="preserve"> la imposibilidad de encausar la pretensión y precipitó su rechazo.</w:t>
      </w:r>
      <w:r w:rsidR="000C572C" w:rsidRPr="00AD7158">
        <w:t xml:space="preserve"> </w:t>
      </w:r>
      <w:r w:rsidR="00FE5CF6" w:rsidRPr="00AD7158">
        <w:t xml:space="preserve">Adujo que las distintas falencias de la defensa particular ante la instancia extraordinaria no </w:t>
      </w:r>
      <w:r w:rsidR="00315BF7" w:rsidRPr="00AD7158">
        <w:t>fueron</w:t>
      </w:r>
      <w:r w:rsidR="00FE5CF6" w:rsidRPr="00AD7158">
        <w:t xml:space="preserve"> </w:t>
      </w:r>
      <w:r w:rsidR="00315BF7" w:rsidRPr="00AD7158">
        <w:t>subsanadas</w:t>
      </w:r>
      <w:r w:rsidR="00DD4D8D" w:rsidRPr="00AD7158">
        <w:t xml:space="preserve"> </w:t>
      </w:r>
      <w:r w:rsidR="00FE5CF6" w:rsidRPr="00AD7158">
        <w:t>por la defensoría oficial ante la CSJN, que adhirió a los planteos recursivos deficientes.</w:t>
      </w:r>
      <w:r w:rsidR="001D54A5" w:rsidRPr="00AD7158">
        <w:t xml:space="preserve"> Aseguró que el recurso extraordinario federal no </w:t>
      </w:r>
      <w:r w:rsidR="001E4084" w:rsidRPr="00AD7158">
        <w:t>contenía</w:t>
      </w:r>
      <w:r w:rsidR="001D54A5" w:rsidRPr="00AD7158">
        <w:t xml:space="preserve"> requisitos comunes regulados en las leyes 48 y 4055</w:t>
      </w:r>
      <w:r w:rsidR="00D73891" w:rsidRPr="00AD7158">
        <w:t>,</w:t>
      </w:r>
      <w:r w:rsidR="001D54A5" w:rsidRPr="00AD7158">
        <w:t xml:space="preserve"> ni requisitos técnicos como el debate de la cuestión federal</w:t>
      </w:r>
      <w:r w:rsidR="00D73891" w:rsidRPr="00AD7158">
        <w:t xml:space="preserve">, </w:t>
      </w:r>
      <w:r w:rsidR="001E4084" w:rsidRPr="00AD7158">
        <w:t xml:space="preserve">o la necesidad de que la resolución recurrida </w:t>
      </w:r>
      <w:r w:rsidR="00D73891" w:rsidRPr="00AD7158">
        <w:t>emane d</w:t>
      </w:r>
      <w:r w:rsidR="001E4084" w:rsidRPr="00AD7158">
        <w:t>el tribunal</w:t>
      </w:r>
      <w:r w:rsidR="00AF4E2C" w:rsidRPr="00AD7158">
        <w:t xml:space="preserve"> </w:t>
      </w:r>
      <w:r w:rsidR="001E4084" w:rsidRPr="00AD7158">
        <w:t xml:space="preserve">superior. </w:t>
      </w:r>
      <w:r w:rsidR="00495776" w:rsidRPr="00AD7158">
        <w:t>Indicó que las falencias se reflejaron en las intimaciones cursadas al defensor particular para que acompañ</w:t>
      </w:r>
      <w:r w:rsidR="00E2134D" w:rsidRPr="00AD7158">
        <w:t>as</w:t>
      </w:r>
      <w:r w:rsidR="00495776" w:rsidRPr="00AD7158">
        <w:t xml:space="preserve">e las </w:t>
      </w:r>
      <w:r w:rsidR="00E2134D" w:rsidRPr="00AD7158">
        <w:t xml:space="preserve">copias </w:t>
      </w:r>
      <w:r w:rsidR="00495776" w:rsidRPr="00AD7158">
        <w:t>exigidas para su presentación</w:t>
      </w:r>
      <w:r w:rsidR="00E2134D" w:rsidRPr="00AD7158">
        <w:t>,</w:t>
      </w:r>
      <w:r w:rsidR="00495776" w:rsidRPr="00AD7158">
        <w:t xml:space="preserve"> y en la resolución final </w:t>
      </w:r>
      <w:r w:rsidR="00E2134D" w:rsidRPr="00AD7158">
        <w:t xml:space="preserve">de la CSJN </w:t>
      </w:r>
      <w:r w:rsidR="00495776" w:rsidRPr="00AD7158">
        <w:t xml:space="preserve">que rechazó el recurso extraordinario porque no se dirigió contra una sentencia dictada por el tribunal superior, </w:t>
      </w:r>
      <w:r w:rsidR="009B741A" w:rsidRPr="00AD7158">
        <w:t>cuestión</w:t>
      </w:r>
      <w:r w:rsidR="00495776" w:rsidRPr="00AD7158">
        <w:t xml:space="preserve"> indispensable para habilitar su jurisdicción. </w:t>
      </w:r>
    </w:p>
    <w:p w14:paraId="04977041" w14:textId="77777777" w:rsidR="0024639B" w:rsidRPr="00AD7158" w:rsidRDefault="0024639B" w:rsidP="00B419FB">
      <w:pPr>
        <w:pStyle w:val="parrafos"/>
        <w:numPr>
          <w:ilvl w:val="0"/>
          <w:numId w:val="0"/>
        </w:numPr>
      </w:pPr>
    </w:p>
    <w:p w14:paraId="40BA1E3E" w14:textId="77777777" w:rsidR="00763C2C" w:rsidRPr="00AD7158" w:rsidRDefault="003C18F7" w:rsidP="00B419FB">
      <w:pPr>
        <w:pStyle w:val="parrafos"/>
        <w:ind w:left="0" w:firstLine="0"/>
      </w:pPr>
      <w:r w:rsidRPr="00AD7158">
        <w:t xml:space="preserve">Por lo </w:t>
      </w:r>
      <w:r w:rsidR="00DD267C" w:rsidRPr="00AD7158">
        <w:t>referido</w:t>
      </w:r>
      <w:r w:rsidRPr="00AD7158">
        <w:t xml:space="preserve">, </w:t>
      </w:r>
      <w:r w:rsidR="00F90CFE" w:rsidRPr="00AD7158">
        <w:t xml:space="preserve">adujo violación de los artículos 8.1, 8.2 letras c, d, </w:t>
      </w:r>
      <w:r w:rsidR="00B95694" w:rsidRPr="00AD7158">
        <w:t xml:space="preserve">e, </w:t>
      </w:r>
      <w:r w:rsidR="00F90CFE" w:rsidRPr="00AD7158">
        <w:t>f, g, h, 8.3, 11</w:t>
      </w:r>
      <w:r w:rsidR="006A63EC" w:rsidRPr="00AD7158">
        <w:t>.1</w:t>
      </w:r>
      <w:r w:rsidR="002878D3" w:rsidRPr="00AD7158">
        <w:t xml:space="preserve"> y 11.3</w:t>
      </w:r>
      <w:r w:rsidR="00F90CFE" w:rsidRPr="00AD7158">
        <w:t>, y 25 de la Convención Americana sobre Derechos Humanos</w:t>
      </w:r>
      <w:r w:rsidR="00550921" w:rsidRPr="00AD7158">
        <w:t xml:space="preserve"> (en adelante “Convención Americana”</w:t>
      </w:r>
      <w:r w:rsidR="002855D8" w:rsidRPr="00AD7158">
        <w:t xml:space="preserve"> o “CADH”</w:t>
      </w:r>
      <w:r w:rsidR="00550921" w:rsidRPr="00AD7158">
        <w:t>)</w:t>
      </w:r>
      <w:r w:rsidR="00F90CFE" w:rsidRPr="00AD7158">
        <w:t xml:space="preserve">. </w:t>
      </w:r>
    </w:p>
    <w:p w14:paraId="3F2705F1" w14:textId="77777777" w:rsidR="00361415" w:rsidRPr="00AD7158" w:rsidRDefault="00361415" w:rsidP="00B419FB">
      <w:pPr>
        <w:tabs>
          <w:tab w:val="left" w:pos="360"/>
        </w:tabs>
        <w:suppressAutoHyphens/>
        <w:rPr>
          <w:rFonts w:asciiTheme="majorHAnsi" w:hAnsiTheme="majorHAnsi"/>
          <w:color w:val="548DD4" w:themeColor="text2" w:themeTint="99"/>
          <w:sz w:val="20"/>
          <w:szCs w:val="20"/>
          <w:lang w:val="es-VE"/>
        </w:rPr>
      </w:pPr>
    </w:p>
    <w:p w14:paraId="571BCB16" w14:textId="77777777" w:rsidR="00D12193" w:rsidRPr="00AD7158" w:rsidRDefault="008501BA" w:rsidP="00B419FB">
      <w:pPr>
        <w:pStyle w:val="Heading2"/>
      </w:pPr>
      <w:bookmarkStart w:id="5" w:name="_Toc30670578"/>
      <w:r w:rsidRPr="00AD7158">
        <w:t xml:space="preserve">B. </w:t>
      </w:r>
      <w:r w:rsidRPr="00AD7158">
        <w:tab/>
      </w:r>
      <w:r w:rsidR="0022273F" w:rsidRPr="00AD7158">
        <w:t>Estado</w:t>
      </w:r>
      <w:bookmarkEnd w:id="5"/>
      <w:r w:rsidR="00CC63CF" w:rsidRPr="00AD7158">
        <w:t xml:space="preserve"> </w:t>
      </w:r>
    </w:p>
    <w:p w14:paraId="604AF158" w14:textId="77777777" w:rsidR="007F7E9A" w:rsidRPr="00AD7158" w:rsidRDefault="007F7E9A" w:rsidP="00B419FB">
      <w:pPr>
        <w:tabs>
          <w:tab w:val="left" w:pos="360"/>
        </w:tabs>
        <w:jc w:val="both"/>
        <w:rPr>
          <w:rFonts w:asciiTheme="majorHAnsi" w:hAnsiTheme="majorHAnsi"/>
          <w:color w:val="000000" w:themeColor="text1"/>
          <w:sz w:val="20"/>
          <w:szCs w:val="20"/>
          <w:lang w:val="es-VE"/>
        </w:rPr>
      </w:pPr>
    </w:p>
    <w:p w14:paraId="36199B74" w14:textId="77777777" w:rsidR="00277EF9" w:rsidRPr="00AD7158" w:rsidRDefault="00277EF9" w:rsidP="00B419FB">
      <w:pPr>
        <w:numPr>
          <w:ilvl w:val="0"/>
          <w:numId w:val="55"/>
        </w:numPr>
        <w:tabs>
          <w:tab w:val="left" w:pos="360"/>
        </w:tabs>
        <w:ind w:left="0" w:firstLine="0"/>
        <w:jc w:val="both"/>
        <w:rPr>
          <w:rFonts w:asciiTheme="majorHAnsi" w:hAnsiTheme="majorHAnsi"/>
          <w:sz w:val="20"/>
          <w:szCs w:val="20"/>
          <w:lang w:val="es-AR"/>
        </w:rPr>
      </w:pPr>
      <w:r w:rsidRPr="00AD7158">
        <w:rPr>
          <w:rFonts w:asciiTheme="majorHAnsi" w:hAnsiTheme="majorHAnsi"/>
          <w:sz w:val="20"/>
          <w:szCs w:val="20"/>
          <w:lang w:val="es-AR"/>
        </w:rPr>
        <w:t xml:space="preserve">El Estado no presentó observaciones en </w:t>
      </w:r>
      <w:r w:rsidR="008A078F" w:rsidRPr="00AD7158">
        <w:rPr>
          <w:rFonts w:asciiTheme="majorHAnsi" w:hAnsiTheme="majorHAnsi"/>
          <w:sz w:val="20"/>
          <w:szCs w:val="20"/>
          <w:lang w:val="es-AR"/>
        </w:rPr>
        <w:t xml:space="preserve">esta </w:t>
      </w:r>
      <w:r w:rsidRPr="00AD7158">
        <w:rPr>
          <w:rFonts w:asciiTheme="majorHAnsi" w:hAnsiTheme="majorHAnsi"/>
          <w:sz w:val="20"/>
          <w:szCs w:val="20"/>
          <w:lang w:val="es-AR"/>
        </w:rPr>
        <w:t xml:space="preserve">etapa, por lo que la presente sección se basa en los argumentos </w:t>
      </w:r>
      <w:r w:rsidR="00645348" w:rsidRPr="00AD7158">
        <w:rPr>
          <w:rFonts w:asciiTheme="majorHAnsi" w:hAnsiTheme="majorHAnsi"/>
          <w:sz w:val="20"/>
          <w:szCs w:val="20"/>
          <w:lang w:val="es-AR"/>
        </w:rPr>
        <w:t xml:space="preserve">de fondo </w:t>
      </w:r>
      <w:r w:rsidRPr="00AD7158">
        <w:rPr>
          <w:rFonts w:asciiTheme="majorHAnsi" w:hAnsiTheme="majorHAnsi"/>
          <w:sz w:val="20"/>
          <w:szCs w:val="20"/>
          <w:lang w:val="es-AR"/>
        </w:rPr>
        <w:t>esgrimidos du</w:t>
      </w:r>
      <w:r w:rsidR="00645348" w:rsidRPr="00AD7158">
        <w:rPr>
          <w:rFonts w:asciiTheme="majorHAnsi" w:hAnsiTheme="majorHAnsi"/>
          <w:sz w:val="20"/>
          <w:szCs w:val="20"/>
          <w:lang w:val="es-AR"/>
        </w:rPr>
        <w:t>rante la etapa de admisibilidad.</w:t>
      </w:r>
    </w:p>
    <w:p w14:paraId="0F6D8CDB" w14:textId="77777777" w:rsidR="00F224ED" w:rsidRPr="00AD7158" w:rsidRDefault="00F224ED" w:rsidP="007463B8">
      <w:pPr>
        <w:rPr>
          <w:lang w:val="es-ES"/>
        </w:rPr>
      </w:pPr>
    </w:p>
    <w:p w14:paraId="78C16D9F" w14:textId="77777777" w:rsidR="00F224ED" w:rsidRPr="00AD7158" w:rsidRDefault="000D37B5" w:rsidP="00B419FB">
      <w:pPr>
        <w:numPr>
          <w:ilvl w:val="0"/>
          <w:numId w:val="55"/>
        </w:numPr>
        <w:tabs>
          <w:tab w:val="left" w:pos="360"/>
        </w:tabs>
        <w:ind w:left="0" w:firstLine="0"/>
        <w:jc w:val="both"/>
        <w:rPr>
          <w:rFonts w:asciiTheme="majorHAnsi" w:hAnsiTheme="majorHAnsi"/>
          <w:sz w:val="20"/>
          <w:szCs w:val="20"/>
          <w:lang w:val="es-ES"/>
        </w:rPr>
      </w:pPr>
      <w:r w:rsidRPr="00AD7158">
        <w:rPr>
          <w:rFonts w:asciiTheme="majorHAnsi" w:hAnsiTheme="majorHAnsi"/>
          <w:sz w:val="20"/>
          <w:szCs w:val="20"/>
          <w:lang w:val="es-AR"/>
        </w:rPr>
        <w:t>E</w:t>
      </w:r>
      <w:r w:rsidR="00475DCA" w:rsidRPr="00AD7158">
        <w:rPr>
          <w:rFonts w:asciiTheme="majorHAnsi" w:hAnsiTheme="majorHAnsi"/>
          <w:sz w:val="20"/>
          <w:szCs w:val="20"/>
          <w:lang w:val="es-AR"/>
        </w:rPr>
        <w:t>n cuanto</w:t>
      </w:r>
      <w:r w:rsidR="00F22665" w:rsidRPr="00AD7158">
        <w:rPr>
          <w:rFonts w:asciiTheme="majorHAnsi" w:hAnsiTheme="majorHAnsi"/>
          <w:sz w:val="20"/>
          <w:szCs w:val="20"/>
          <w:lang w:val="es-AR"/>
        </w:rPr>
        <w:t xml:space="preserve"> a</w:t>
      </w:r>
      <w:r w:rsidR="00475DCA" w:rsidRPr="00AD7158">
        <w:rPr>
          <w:rFonts w:asciiTheme="majorHAnsi" w:hAnsiTheme="majorHAnsi"/>
          <w:sz w:val="20"/>
          <w:szCs w:val="20"/>
          <w:lang w:val="es-AR"/>
        </w:rPr>
        <w:t xml:space="preserve"> </w:t>
      </w:r>
      <w:r w:rsidR="00C26CB2" w:rsidRPr="00AD7158">
        <w:rPr>
          <w:rFonts w:asciiTheme="majorHAnsi" w:hAnsiTheme="majorHAnsi"/>
          <w:sz w:val="20"/>
          <w:szCs w:val="20"/>
          <w:lang w:val="es-AR"/>
        </w:rPr>
        <w:t>los alegatos relativos a que se</w:t>
      </w:r>
      <w:r w:rsidR="00475DCA" w:rsidRPr="00AD7158">
        <w:rPr>
          <w:rFonts w:asciiTheme="majorHAnsi" w:hAnsiTheme="majorHAnsi"/>
          <w:sz w:val="20"/>
          <w:szCs w:val="20"/>
          <w:lang w:val="es-AR"/>
        </w:rPr>
        <w:t xml:space="preserve"> mantuvo </w:t>
      </w:r>
      <w:r w:rsidR="00C26CB2" w:rsidRPr="00AD7158">
        <w:rPr>
          <w:rFonts w:asciiTheme="majorHAnsi" w:hAnsiTheme="majorHAnsi"/>
          <w:sz w:val="20"/>
          <w:szCs w:val="20"/>
          <w:lang w:val="es-AR"/>
        </w:rPr>
        <w:t xml:space="preserve">esposado </w:t>
      </w:r>
      <w:r w:rsidR="00475DCA" w:rsidRPr="00AD7158">
        <w:rPr>
          <w:rFonts w:asciiTheme="majorHAnsi" w:hAnsiTheme="majorHAnsi"/>
          <w:sz w:val="20"/>
          <w:szCs w:val="20"/>
          <w:lang w:val="es-AR"/>
        </w:rPr>
        <w:t>a</w:t>
      </w:r>
      <w:r w:rsidR="00AF4E2C" w:rsidRPr="00AD7158">
        <w:rPr>
          <w:rFonts w:asciiTheme="majorHAnsi" w:hAnsiTheme="majorHAnsi"/>
          <w:sz w:val="20"/>
          <w:szCs w:val="20"/>
          <w:lang w:val="es-AR"/>
        </w:rPr>
        <w:t xml:space="preserve"> </w:t>
      </w:r>
      <w:r w:rsidR="00475DCA" w:rsidRPr="00AD7158">
        <w:rPr>
          <w:rFonts w:asciiTheme="majorHAnsi" w:hAnsiTheme="majorHAnsi"/>
          <w:sz w:val="20"/>
          <w:szCs w:val="20"/>
          <w:lang w:val="es-ES"/>
        </w:rPr>
        <w:t>Guillermo Antonio Álvarez</w:t>
      </w:r>
      <w:r w:rsidR="00487B50" w:rsidRPr="00AD7158">
        <w:rPr>
          <w:rFonts w:asciiTheme="majorHAnsi" w:hAnsiTheme="majorHAnsi"/>
          <w:sz w:val="20"/>
          <w:szCs w:val="20"/>
          <w:lang w:val="es-ES"/>
        </w:rPr>
        <w:t xml:space="preserve"> durante las audiencias de debate, </w:t>
      </w:r>
      <w:r w:rsidRPr="00AD7158">
        <w:rPr>
          <w:rFonts w:asciiTheme="majorHAnsi" w:hAnsiTheme="majorHAnsi"/>
          <w:sz w:val="20"/>
          <w:szCs w:val="20"/>
          <w:lang w:val="es-ES"/>
        </w:rPr>
        <w:t xml:space="preserve">adujo que </w:t>
      </w:r>
      <w:r w:rsidR="00487B50" w:rsidRPr="00AD7158">
        <w:rPr>
          <w:rFonts w:asciiTheme="majorHAnsi" w:hAnsiTheme="majorHAnsi"/>
          <w:sz w:val="20"/>
          <w:szCs w:val="20"/>
          <w:lang w:val="es-ES"/>
        </w:rPr>
        <w:t>la decisión del tribunal no fue arbitraria o sin fundamento.</w:t>
      </w:r>
      <w:r w:rsidR="009D2EE0" w:rsidRPr="00AD7158">
        <w:rPr>
          <w:rFonts w:asciiTheme="majorHAnsi" w:hAnsiTheme="majorHAnsi"/>
          <w:sz w:val="20"/>
          <w:szCs w:val="20"/>
          <w:lang w:val="es-ES"/>
        </w:rPr>
        <w:t xml:space="preserve"> A</w:t>
      </w:r>
      <w:r w:rsidR="00510858" w:rsidRPr="00AD7158">
        <w:rPr>
          <w:rFonts w:asciiTheme="majorHAnsi" w:hAnsiTheme="majorHAnsi"/>
          <w:sz w:val="20"/>
          <w:szCs w:val="20"/>
          <w:lang w:val="es-ES"/>
        </w:rPr>
        <w:t>firmó</w:t>
      </w:r>
      <w:r w:rsidR="009D2EE0" w:rsidRPr="00AD7158">
        <w:rPr>
          <w:rFonts w:asciiTheme="majorHAnsi" w:hAnsiTheme="majorHAnsi"/>
          <w:sz w:val="20"/>
          <w:szCs w:val="20"/>
          <w:lang w:val="es-ES"/>
        </w:rPr>
        <w:t xml:space="preserve"> que </w:t>
      </w:r>
      <w:r w:rsidR="00AE5F52" w:rsidRPr="00AD7158">
        <w:rPr>
          <w:rFonts w:asciiTheme="majorHAnsi" w:hAnsiTheme="majorHAnsi"/>
          <w:sz w:val="20"/>
          <w:szCs w:val="20"/>
          <w:lang w:val="es-ES"/>
        </w:rPr>
        <w:t>la</w:t>
      </w:r>
      <w:r w:rsidR="009D2EE0" w:rsidRPr="00AD7158">
        <w:rPr>
          <w:rFonts w:asciiTheme="majorHAnsi" w:hAnsiTheme="majorHAnsi"/>
          <w:sz w:val="20"/>
          <w:szCs w:val="20"/>
          <w:lang w:val="es-ES"/>
        </w:rPr>
        <w:t xml:space="preserve"> decisión se </w:t>
      </w:r>
      <w:r w:rsidR="003D499B" w:rsidRPr="00AD7158">
        <w:rPr>
          <w:rFonts w:asciiTheme="majorHAnsi" w:hAnsiTheme="majorHAnsi"/>
          <w:sz w:val="20"/>
          <w:szCs w:val="20"/>
          <w:lang w:val="es-ES"/>
        </w:rPr>
        <w:t>fund</w:t>
      </w:r>
      <w:r w:rsidR="009D2EE0" w:rsidRPr="00AD7158">
        <w:rPr>
          <w:rFonts w:asciiTheme="majorHAnsi" w:hAnsiTheme="majorHAnsi"/>
          <w:sz w:val="20"/>
          <w:szCs w:val="20"/>
          <w:lang w:val="es-ES"/>
        </w:rPr>
        <w:t xml:space="preserve">ó en </w:t>
      </w:r>
      <w:r w:rsidR="00510858" w:rsidRPr="00AD7158">
        <w:rPr>
          <w:rFonts w:asciiTheme="majorHAnsi" w:hAnsiTheme="majorHAnsi"/>
          <w:sz w:val="20"/>
          <w:szCs w:val="20"/>
          <w:lang w:val="es-ES"/>
        </w:rPr>
        <w:t xml:space="preserve">lo informado por el cuerpo de seguridad especializado en custodia de personas sometidas a proceso, y en los antecedentes de reiterados intentos de evasión del imputado, los que se dieron en concurso con el </w:t>
      </w:r>
      <w:r w:rsidR="00D0755B" w:rsidRPr="00AD7158">
        <w:rPr>
          <w:rFonts w:asciiTheme="majorHAnsi" w:hAnsiTheme="majorHAnsi"/>
          <w:sz w:val="20"/>
          <w:szCs w:val="20"/>
          <w:lang w:val="es-ES"/>
        </w:rPr>
        <w:t>delito de lesiones</w:t>
      </w:r>
      <w:r w:rsidR="00857C79" w:rsidRPr="00AD7158">
        <w:rPr>
          <w:rFonts w:asciiTheme="majorHAnsi" w:hAnsiTheme="majorHAnsi"/>
          <w:sz w:val="20"/>
          <w:szCs w:val="20"/>
          <w:lang w:val="es-ES"/>
        </w:rPr>
        <w:t>.</w:t>
      </w:r>
      <w:r w:rsidR="00D0755B" w:rsidRPr="00AD7158">
        <w:rPr>
          <w:rFonts w:asciiTheme="majorHAnsi" w:hAnsiTheme="majorHAnsi"/>
          <w:sz w:val="20"/>
          <w:szCs w:val="20"/>
          <w:lang w:val="es-ES"/>
        </w:rPr>
        <w:t xml:space="preserve"> </w:t>
      </w:r>
      <w:r w:rsidR="003978EA" w:rsidRPr="00AD7158">
        <w:rPr>
          <w:rFonts w:asciiTheme="majorHAnsi" w:hAnsiTheme="majorHAnsi"/>
          <w:sz w:val="20"/>
          <w:szCs w:val="20"/>
          <w:lang w:val="es-AR"/>
        </w:rPr>
        <w:t xml:space="preserve">Afirmó que </w:t>
      </w:r>
      <w:r w:rsidR="00F224ED" w:rsidRPr="00AD7158">
        <w:rPr>
          <w:rFonts w:asciiTheme="majorHAnsi" w:hAnsiTheme="majorHAnsi"/>
          <w:sz w:val="20"/>
          <w:szCs w:val="20"/>
          <w:lang w:val="es-AR"/>
        </w:rPr>
        <w:t>el tribunal orden</w:t>
      </w:r>
      <w:r w:rsidR="00857C79" w:rsidRPr="00AD7158">
        <w:rPr>
          <w:rFonts w:asciiTheme="majorHAnsi" w:hAnsiTheme="majorHAnsi"/>
          <w:sz w:val="20"/>
          <w:szCs w:val="20"/>
          <w:lang w:val="es-AR"/>
        </w:rPr>
        <w:t>ó</w:t>
      </w:r>
      <w:r w:rsidR="00F224ED" w:rsidRPr="00AD7158">
        <w:rPr>
          <w:rFonts w:asciiTheme="majorHAnsi" w:hAnsiTheme="majorHAnsi"/>
          <w:sz w:val="20"/>
          <w:szCs w:val="20"/>
          <w:lang w:val="es-AR"/>
        </w:rPr>
        <w:t xml:space="preserve"> que la presunta víctima se mantuviese esposada durante el curso de la audiencia, y desestim</w:t>
      </w:r>
      <w:r w:rsidR="005E063D" w:rsidRPr="00AD7158">
        <w:rPr>
          <w:rFonts w:asciiTheme="majorHAnsi" w:hAnsiTheme="majorHAnsi"/>
          <w:sz w:val="20"/>
          <w:szCs w:val="20"/>
          <w:lang w:val="es-AR"/>
        </w:rPr>
        <w:t>ó</w:t>
      </w:r>
      <w:r w:rsidR="00F224ED" w:rsidRPr="00AD7158">
        <w:rPr>
          <w:rFonts w:asciiTheme="majorHAnsi" w:hAnsiTheme="majorHAnsi"/>
          <w:sz w:val="20"/>
          <w:szCs w:val="20"/>
          <w:lang w:val="es-AR"/>
        </w:rPr>
        <w:t xml:space="preserve"> la solicitud de la defensa </w:t>
      </w:r>
      <w:r w:rsidR="00F12719" w:rsidRPr="00AD7158">
        <w:rPr>
          <w:rFonts w:asciiTheme="majorHAnsi" w:hAnsiTheme="majorHAnsi"/>
          <w:sz w:val="20"/>
          <w:szCs w:val="20"/>
          <w:lang w:val="es-AR"/>
        </w:rPr>
        <w:t xml:space="preserve">sobre </w:t>
      </w:r>
      <w:r w:rsidR="00F224ED" w:rsidRPr="00AD7158">
        <w:rPr>
          <w:rFonts w:asciiTheme="majorHAnsi" w:hAnsiTheme="majorHAnsi"/>
          <w:sz w:val="20"/>
          <w:szCs w:val="20"/>
          <w:lang w:val="es-AR"/>
        </w:rPr>
        <w:t>este aspecto, basado en que dicha decisión era “resorte del tribunal” y se fundaba en dos intentos de evasión previos de Álvarez, uno de ellos en el marco de otro proceso.</w:t>
      </w:r>
      <w:r w:rsidR="00D577B5" w:rsidRPr="00AD7158">
        <w:rPr>
          <w:rFonts w:asciiTheme="majorHAnsi" w:hAnsiTheme="majorHAnsi"/>
          <w:sz w:val="20"/>
          <w:szCs w:val="20"/>
          <w:lang w:val="es-AR"/>
        </w:rPr>
        <w:t xml:space="preserve"> Afirmó además, que el artículo 366 del CPPN contempla la posibilidad de decretar medidas de </w:t>
      </w:r>
      <w:r w:rsidR="00D577B5" w:rsidRPr="00AD7158">
        <w:rPr>
          <w:rFonts w:asciiTheme="majorHAnsi" w:hAnsiTheme="majorHAnsi"/>
          <w:sz w:val="20"/>
          <w:szCs w:val="20"/>
          <w:lang w:val="es-ES"/>
        </w:rPr>
        <w:t>vigilancia o cautelares para evitar fuga o violencia durante la audiencia</w:t>
      </w:r>
      <w:r w:rsidR="007463B8" w:rsidRPr="00AD7158">
        <w:rPr>
          <w:rFonts w:asciiTheme="majorHAnsi" w:hAnsiTheme="majorHAnsi"/>
          <w:sz w:val="20"/>
          <w:szCs w:val="20"/>
          <w:lang w:val="es-ES"/>
        </w:rPr>
        <w:t xml:space="preserve">, y </w:t>
      </w:r>
      <w:r w:rsidR="00D577B5" w:rsidRPr="00AD7158">
        <w:rPr>
          <w:rFonts w:asciiTheme="majorHAnsi" w:hAnsiTheme="majorHAnsi"/>
          <w:sz w:val="20"/>
          <w:szCs w:val="20"/>
          <w:lang w:val="es-ES"/>
        </w:rPr>
        <w:t>que conforme al artículo 370 del mismo, compete al tribunal el ejercicio del poder de policía y disciplinario.</w:t>
      </w:r>
    </w:p>
    <w:p w14:paraId="2F975237" w14:textId="77777777" w:rsidR="00F224ED" w:rsidRPr="00AD7158" w:rsidRDefault="00F224ED" w:rsidP="002D46B7">
      <w:pPr>
        <w:pStyle w:val="ListParagraph"/>
      </w:pPr>
    </w:p>
    <w:p w14:paraId="5B39DFB8" w14:textId="77777777" w:rsidR="00FB0D2B" w:rsidRPr="00AD7158" w:rsidRDefault="0061320C" w:rsidP="00B419FB">
      <w:pPr>
        <w:numPr>
          <w:ilvl w:val="0"/>
          <w:numId w:val="55"/>
        </w:numPr>
        <w:tabs>
          <w:tab w:val="left" w:pos="360"/>
        </w:tabs>
        <w:ind w:left="0" w:firstLine="0"/>
        <w:jc w:val="both"/>
        <w:rPr>
          <w:rFonts w:asciiTheme="majorHAnsi" w:hAnsiTheme="majorHAnsi"/>
          <w:sz w:val="20"/>
          <w:szCs w:val="20"/>
          <w:lang w:val="es-AR"/>
        </w:rPr>
      </w:pPr>
      <w:r w:rsidRPr="00AD7158">
        <w:rPr>
          <w:rFonts w:asciiTheme="majorHAnsi" w:hAnsiTheme="majorHAnsi"/>
          <w:sz w:val="20"/>
          <w:szCs w:val="20"/>
          <w:lang w:val="es-AR"/>
        </w:rPr>
        <w:t>S</w:t>
      </w:r>
      <w:r w:rsidR="005E063D" w:rsidRPr="00AD7158">
        <w:rPr>
          <w:rFonts w:asciiTheme="majorHAnsi" w:hAnsiTheme="majorHAnsi"/>
          <w:sz w:val="20"/>
          <w:szCs w:val="20"/>
          <w:lang w:val="es-AR"/>
        </w:rPr>
        <w:t xml:space="preserve">obre la alegada violación de los derechos consagrados en </w:t>
      </w:r>
      <w:r w:rsidR="00836365" w:rsidRPr="00AD7158">
        <w:rPr>
          <w:rFonts w:asciiTheme="majorHAnsi" w:hAnsiTheme="majorHAnsi"/>
          <w:sz w:val="20"/>
          <w:szCs w:val="20"/>
          <w:lang w:val="es-AR"/>
        </w:rPr>
        <w:t>el artículo 8.2 letras a, b, c, d,</w:t>
      </w:r>
      <w:r w:rsidR="00AF4E2C" w:rsidRPr="00AD7158">
        <w:rPr>
          <w:rFonts w:asciiTheme="majorHAnsi" w:hAnsiTheme="majorHAnsi"/>
          <w:sz w:val="20"/>
          <w:szCs w:val="20"/>
          <w:lang w:val="es-AR"/>
        </w:rPr>
        <w:t xml:space="preserve"> </w:t>
      </w:r>
      <w:r w:rsidR="00836365" w:rsidRPr="00AD7158">
        <w:rPr>
          <w:rFonts w:asciiTheme="majorHAnsi" w:hAnsiTheme="majorHAnsi"/>
          <w:sz w:val="20"/>
          <w:szCs w:val="20"/>
          <w:lang w:val="es-AR"/>
        </w:rPr>
        <w:t>e, f y g de la CADH,</w:t>
      </w:r>
      <w:r w:rsidR="00FD106F" w:rsidRPr="00AD7158">
        <w:rPr>
          <w:rFonts w:asciiTheme="majorHAnsi" w:hAnsiTheme="majorHAnsi"/>
          <w:sz w:val="20"/>
          <w:szCs w:val="20"/>
          <w:lang w:val="es-AR"/>
        </w:rPr>
        <w:t xml:space="preserve"> afirmó</w:t>
      </w:r>
      <w:r w:rsidR="00836365" w:rsidRPr="00AD7158">
        <w:rPr>
          <w:rFonts w:asciiTheme="majorHAnsi" w:hAnsiTheme="majorHAnsi"/>
          <w:sz w:val="20"/>
          <w:szCs w:val="20"/>
          <w:lang w:val="es-AR"/>
        </w:rPr>
        <w:t xml:space="preserve"> que las mismas no fueron </w:t>
      </w:r>
      <w:r w:rsidR="00836365" w:rsidRPr="00AD7158">
        <w:rPr>
          <w:rFonts w:asciiTheme="majorHAnsi" w:hAnsiTheme="majorHAnsi"/>
          <w:i/>
          <w:sz w:val="20"/>
          <w:szCs w:val="20"/>
          <w:lang w:val="es-AR"/>
        </w:rPr>
        <w:t>prima facie</w:t>
      </w:r>
      <w:r w:rsidR="00836365" w:rsidRPr="00AD7158">
        <w:rPr>
          <w:rFonts w:asciiTheme="majorHAnsi" w:hAnsiTheme="majorHAnsi"/>
          <w:sz w:val="20"/>
          <w:szCs w:val="20"/>
          <w:lang w:val="es-AR"/>
        </w:rPr>
        <w:t xml:space="preserve"> c</w:t>
      </w:r>
      <w:r w:rsidR="007463B8" w:rsidRPr="00AD7158">
        <w:rPr>
          <w:rFonts w:asciiTheme="majorHAnsi" w:hAnsiTheme="majorHAnsi"/>
          <w:sz w:val="20"/>
          <w:szCs w:val="20"/>
          <w:lang w:val="es-AR"/>
        </w:rPr>
        <w:t>omprobadas por la peticionaria. Afirmó que el escrito de 8 de octubre de 1999, mediante el cual la presunta víctima revocaba el poder de sus representantes y pedía un plazo de 10 días para designar nueva defensa técnica, fue recibido en la sede del tribunal el 12 de octubre de 1999, día en que se daba inicio a la audiencia de debate. S</w:t>
      </w:r>
      <w:r w:rsidR="00836365" w:rsidRPr="00AD7158">
        <w:rPr>
          <w:rFonts w:asciiTheme="majorHAnsi" w:hAnsiTheme="majorHAnsi"/>
          <w:sz w:val="20"/>
          <w:szCs w:val="20"/>
          <w:lang w:val="es-AR"/>
        </w:rPr>
        <w:t xml:space="preserve">ostuvo que la designación de la defensora oficial pretendió garantizar </w:t>
      </w:r>
      <w:r w:rsidRPr="00AD7158">
        <w:rPr>
          <w:rFonts w:asciiTheme="majorHAnsi" w:hAnsiTheme="majorHAnsi"/>
          <w:sz w:val="20"/>
          <w:szCs w:val="20"/>
          <w:lang w:val="es-AR"/>
        </w:rPr>
        <w:t>una</w:t>
      </w:r>
      <w:r w:rsidR="00FD106F" w:rsidRPr="00AD7158">
        <w:rPr>
          <w:rFonts w:asciiTheme="majorHAnsi" w:hAnsiTheme="majorHAnsi"/>
          <w:sz w:val="20"/>
          <w:szCs w:val="20"/>
          <w:lang w:val="es-AR"/>
        </w:rPr>
        <w:t xml:space="preserve"> debida y efectiva defensa</w:t>
      </w:r>
      <w:r w:rsidR="009A5574" w:rsidRPr="00AD7158">
        <w:rPr>
          <w:rFonts w:asciiTheme="majorHAnsi" w:hAnsiTheme="majorHAnsi"/>
          <w:sz w:val="20"/>
          <w:szCs w:val="20"/>
          <w:lang w:val="es-AR"/>
        </w:rPr>
        <w:t>, siendo una medida subsidiaria y de emergencia, a fin de asegurar el desarrollo del proceso</w:t>
      </w:r>
      <w:r w:rsidR="00FB0D2B" w:rsidRPr="00AD7158">
        <w:rPr>
          <w:rFonts w:asciiTheme="majorHAnsi" w:hAnsiTheme="majorHAnsi"/>
          <w:sz w:val="20"/>
          <w:szCs w:val="20"/>
          <w:lang w:val="es-AR"/>
        </w:rPr>
        <w:t>. Afirmó que</w:t>
      </w:r>
      <w:r w:rsidR="007463B8" w:rsidRPr="00AD7158">
        <w:rPr>
          <w:rFonts w:asciiTheme="majorHAnsi" w:hAnsiTheme="majorHAnsi"/>
          <w:sz w:val="20"/>
          <w:szCs w:val="20"/>
          <w:lang w:val="es-AR"/>
        </w:rPr>
        <w:t>,</w:t>
      </w:r>
      <w:r w:rsidR="00FB0D2B" w:rsidRPr="00AD7158">
        <w:rPr>
          <w:rFonts w:asciiTheme="majorHAnsi" w:hAnsiTheme="majorHAnsi"/>
          <w:sz w:val="20"/>
          <w:szCs w:val="20"/>
          <w:lang w:val="es-AR"/>
        </w:rPr>
        <w:t xml:space="preserve"> la designación oficiosa</w:t>
      </w:r>
      <w:r w:rsidR="006F3C9D" w:rsidRPr="00AD7158">
        <w:rPr>
          <w:rFonts w:asciiTheme="majorHAnsi" w:hAnsiTheme="majorHAnsi"/>
          <w:sz w:val="20"/>
          <w:szCs w:val="20"/>
          <w:lang w:val="es-AR"/>
        </w:rPr>
        <w:t>,</w:t>
      </w:r>
      <w:r w:rsidR="00FB0D2B" w:rsidRPr="00AD7158">
        <w:rPr>
          <w:rFonts w:asciiTheme="majorHAnsi" w:hAnsiTheme="majorHAnsi"/>
          <w:sz w:val="20"/>
          <w:szCs w:val="20"/>
          <w:lang w:val="es-AR"/>
        </w:rPr>
        <w:t xml:space="preserve"> </w:t>
      </w:r>
      <w:r w:rsidR="002A4AED" w:rsidRPr="00AD7158">
        <w:rPr>
          <w:rFonts w:asciiTheme="majorHAnsi" w:hAnsiTheme="majorHAnsi"/>
          <w:sz w:val="20"/>
          <w:szCs w:val="20"/>
          <w:lang w:val="es-AR"/>
        </w:rPr>
        <w:t>operó</w:t>
      </w:r>
      <w:r w:rsidR="00FB0D2B" w:rsidRPr="00AD7158">
        <w:rPr>
          <w:rFonts w:asciiTheme="majorHAnsi" w:hAnsiTheme="majorHAnsi"/>
          <w:sz w:val="20"/>
          <w:szCs w:val="20"/>
          <w:lang w:val="es-AR"/>
        </w:rPr>
        <w:t xml:space="preserve"> una vez que la presu</w:t>
      </w:r>
      <w:r w:rsidR="007463B8" w:rsidRPr="00AD7158">
        <w:rPr>
          <w:rFonts w:asciiTheme="majorHAnsi" w:hAnsiTheme="majorHAnsi"/>
          <w:sz w:val="20"/>
          <w:szCs w:val="20"/>
          <w:lang w:val="es-AR"/>
        </w:rPr>
        <w:t>nta víctima revocó</w:t>
      </w:r>
      <w:r w:rsidR="00FB0D2B" w:rsidRPr="00AD7158">
        <w:rPr>
          <w:rFonts w:asciiTheme="majorHAnsi" w:hAnsiTheme="majorHAnsi"/>
          <w:sz w:val="20"/>
          <w:szCs w:val="20"/>
          <w:lang w:val="es-AR"/>
        </w:rPr>
        <w:t xml:space="preserve"> el patrocinio a sus defensores particulares, lo que </w:t>
      </w:r>
      <w:r w:rsidR="007463B8" w:rsidRPr="00AD7158">
        <w:rPr>
          <w:rFonts w:asciiTheme="majorHAnsi" w:hAnsiTheme="majorHAnsi"/>
          <w:sz w:val="20"/>
          <w:szCs w:val="20"/>
          <w:lang w:val="es-AR"/>
        </w:rPr>
        <w:t xml:space="preserve">ocurrió </w:t>
      </w:r>
      <w:r w:rsidR="00FB0D2B" w:rsidRPr="00AD7158">
        <w:rPr>
          <w:rFonts w:asciiTheme="majorHAnsi" w:hAnsiTheme="majorHAnsi"/>
          <w:sz w:val="20"/>
          <w:szCs w:val="20"/>
          <w:lang w:val="es-AR"/>
        </w:rPr>
        <w:t>en una fecha muy próxima al</w:t>
      </w:r>
      <w:r w:rsidR="007463B8" w:rsidRPr="00AD7158">
        <w:rPr>
          <w:rFonts w:asciiTheme="majorHAnsi" w:hAnsiTheme="majorHAnsi"/>
          <w:sz w:val="20"/>
          <w:szCs w:val="20"/>
          <w:lang w:val="es-AR"/>
        </w:rPr>
        <w:t xml:space="preserve"> </w:t>
      </w:r>
      <w:r w:rsidR="003A78F1" w:rsidRPr="00AD7158">
        <w:rPr>
          <w:rFonts w:asciiTheme="majorHAnsi" w:hAnsiTheme="majorHAnsi"/>
          <w:sz w:val="20"/>
          <w:szCs w:val="20"/>
          <w:lang w:val="es-AR"/>
        </w:rPr>
        <w:t>inicio de la audiencia. Agregó</w:t>
      </w:r>
      <w:r w:rsidR="00FB0D2B" w:rsidRPr="00AD7158">
        <w:rPr>
          <w:rFonts w:asciiTheme="majorHAnsi" w:hAnsiTheme="majorHAnsi"/>
          <w:sz w:val="20"/>
          <w:szCs w:val="20"/>
          <w:lang w:val="es-AR"/>
        </w:rPr>
        <w:t xml:space="preserve"> que</w:t>
      </w:r>
      <w:r w:rsidR="003A78F1" w:rsidRPr="00AD7158">
        <w:rPr>
          <w:rFonts w:asciiTheme="majorHAnsi" w:hAnsiTheme="majorHAnsi"/>
          <w:sz w:val="20"/>
          <w:szCs w:val="20"/>
          <w:lang w:val="es-AR"/>
        </w:rPr>
        <w:t>,</w:t>
      </w:r>
      <w:r w:rsidR="00FB0D2B" w:rsidRPr="00AD7158">
        <w:rPr>
          <w:rFonts w:asciiTheme="majorHAnsi" w:hAnsiTheme="majorHAnsi"/>
          <w:sz w:val="20"/>
          <w:szCs w:val="20"/>
          <w:lang w:val="es-AR"/>
        </w:rPr>
        <w:t xml:space="preserve"> el hecho de que la presunta v</w:t>
      </w:r>
      <w:r w:rsidRPr="00AD7158">
        <w:rPr>
          <w:rFonts w:asciiTheme="majorHAnsi" w:hAnsiTheme="majorHAnsi"/>
          <w:sz w:val="20"/>
          <w:szCs w:val="20"/>
          <w:lang w:val="es-AR"/>
        </w:rPr>
        <w:t>íctima volviese a designar a quienes</w:t>
      </w:r>
      <w:r w:rsidR="00FB0D2B" w:rsidRPr="00AD7158">
        <w:rPr>
          <w:rFonts w:asciiTheme="majorHAnsi" w:hAnsiTheme="majorHAnsi"/>
          <w:sz w:val="20"/>
          <w:szCs w:val="20"/>
          <w:lang w:val="es-AR"/>
        </w:rPr>
        <w:t xml:space="preserve"> habían sido s</w:t>
      </w:r>
      <w:r w:rsidR="00262C54" w:rsidRPr="00AD7158">
        <w:rPr>
          <w:rFonts w:asciiTheme="majorHAnsi" w:hAnsiTheme="majorHAnsi"/>
          <w:sz w:val="20"/>
          <w:szCs w:val="20"/>
          <w:lang w:val="es-AR"/>
        </w:rPr>
        <w:t xml:space="preserve">us abogados, ratifica que </w:t>
      </w:r>
      <w:r w:rsidR="00FB0D2B" w:rsidRPr="00AD7158">
        <w:rPr>
          <w:rFonts w:asciiTheme="majorHAnsi" w:hAnsiTheme="majorHAnsi"/>
          <w:sz w:val="20"/>
          <w:szCs w:val="20"/>
          <w:lang w:val="es-AR"/>
        </w:rPr>
        <w:t>no</w:t>
      </w:r>
      <w:r w:rsidR="00262C54" w:rsidRPr="00AD7158">
        <w:rPr>
          <w:rFonts w:asciiTheme="majorHAnsi" w:hAnsiTheme="majorHAnsi"/>
          <w:sz w:val="20"/>
          <w:szCs w:val="20"/>
          <w:lang w:val="es-AR"/>
        </w:rPr>
        <w:t xml:space="preserve"> se</w:t>
      </w:r>
      <w:r w:rsidR="00FB0D2B" w:rsidRPr="00AD7158">
        <w:rPr>
          <w:rFonts w:asciiTheme="majorHAnsi" w:hAnsiTheme="majorHAnsi"/>
          <w:sz w:val="20"/>
          <w:szCs w:val="20"/>
          <w:lang w:val="es-AR"/>
        </w:rPr>
        <w:t xml:space="preserve"> restringió en ningún momento su facultad de designar a su defensa.</w:t>
      </w:r>
      <w:r w:rsidR="00A9301A" w:rsidRPr="00AD7158">
        <w:rPr>
          <w:rFonts w:asciiTheme="majorHAnsi" w:hAnsiTheme="majorHAnsi"/>
          <w:sz w:val="20"/>
          <w:szCs w:val="20"/>
          <w:lang w:val="es-AR"/>
        </w:rPr>
        <w:t xml:space="preserve"> </w:t>
      </w:r>
      <w:r w:rsidR="006525FB" w:rsidRPr="00AD7158">
        <w:rPr>
          <w:rFonts w:asciiTheme="majorHAnsi" w:hAnsiTheme="majorHAnsi"/>
          <w:sz w:val="20"/>
          <w:szCs w:val="20"/>
          <w:lang w:val="es-AR"/>
        </w:rPr>
        <w:t>Asimismo, sostuvo que la defensora asignada había tenido contacto previo con la causa, por lo</w:t>
      </w:r>
      <w:r w:rsidR="00262C54" w:rsidRPr="00AD7158">
        <w:rPr>
          <w:rFonts w:asciiTheme="majorHAnsi" w:hAnsiTheme="majorHAnsi"/>
          <w:sz w:val="20"/>
          <w:szCs w:val="20"/>
          <w:lang w:val="es-AR"/>
        </w:rPr>
        <w:t xml:space="preserve"> que no era ajena al sustrato fá</w:t>
      </w:r>
      <w:r w:rsidR="006525FB" w:rsidRPr="00AD7158">
        <w:rPr>
          <w:rFonts w:asciiTheme="majorHAnsi" w:hAnsiTheme="majorHAnsi"/>
          <w:sz w:val="20"/>
          <w:szCs w:val="20"/>
          <w:lang w:val="es-AR"/>
        </w:rPr>
        <w:t xml:space="preserve">ctico y procesal de la misma. </w:t>
      </w:r>
    </w:p>
    <w:p w14:paraId="56488A95" w14:textId="77777777" w:rsidR="00262C54" w:rsidRPr="00AD7158" w:rsidRDefault="00262C54" w:rsidP="00262C54">
      <w:pPr>
        <w:tabs>
          <w:tab w:val="left" w:pos="360"/>
        </w:tabs>
        <w:jc w:val="both"/>
        <w:rPr>
          <w:rFonts w:asciiTheme="majorHAnsi" w:hAnsiTheme="majorHAnsi"/>
          <w:sz w:val="20"/>
          <w:szCs w:val="20"/>
          <w:lang w:val="es-AR"/>
        </w:rPr>
      </w:pPr>
    </w:p>
    <w:p w14:paraId="37F94FD2" w14:textId="77777777" w:rsidR="006525FB" w:rsidRPr="00AD7158" w:rsidRDefault="00262C54" w:rsidP="00B419FB">
      <w:pPr>
        <w:numPr>
          <w:ilvl w:val="0"/>
          <w:numId w:val="55"/>
        </w:numPr>
        <w:tabs>
          <w:tab w:val="left" w:pos="360"/>
        </w:tabs>
        <w:ind w:left="0" w:firstLine="0"/>
        <w:jc w:val="both"/>
        <w:rPr>
          <w:rFonts w:asciiTheme="majorHAnsi" w:hAnsiTheme="majorHAnsi"/>
          <w:sz w:val="20"/>
          <w:szCs w:val="20"/>
          <w:lang w:val="es-AR"/>
        </w:rPr>
      </w:pPr>
      <w:r w:rsidRPr="00AD7158">
        <w:rPr>
          <w:rFonts w:asciiTheme="majorHAnsi" w:hAnsiTheme="majorHAnsi"/>
          <w:sz w:val="20"/>
          <w:szCs w:val="20"/>
          <w:lang w:val="es-AR"/>
        </w:rPr>
        <w:t xml:space="preserve">Adicionalmente, en cuanto al alegato planteado por la parte peticionaria sobre lo dispuesto en el artículo 112 del CPPN, sostuvo que la peticionaria </w:t>
      </w:r>
      <w:r w:rsidR="009F5419" w:rsidRPr="00AD7158">
        <w:rPr>
          <w:rFonts w:asciiTheme="majorHAnsi" w:hAnsiTheme="majorHAnsi"/>
          <w:sz w:val="20"/>
          <w:szCs w:val="20"/>
          <w:lang w:val="es-AR"/>
        </w:rPr>
        <w:t xml:space="preserve">invoca </w:t>
      </w:r>
      <w:r w:rsidRPr="00AD7158">
        <w:rPr>
          <w:rFonts w:asciiTheme="majorHAnsi" w:hAnsiTheme="majorHAnsi"/>
          <w:sz w:val="20"/>
          <w:szCs w:val="20"/>
          <w:lang w:val="es-AR"/>
        </w:rPr>
        <w:t xml:space="preserve">una norma </w:t>
      </w:r>
      <w:r w:rsidR="009F5419" w:rsidRPr="00AD7158">
        <w:rPr>
          <w:rFonts w:asciiTheme="majorHAnsi" w:hAnsiTheme="majorHAnsi"/>
          <w:sz w:val="20"/>
          <w:szCs w:val="20"/>
          <w:lang w:val="es-AR"/>
        </w:rPr>
        <w:t>in</w:t>
      </w:r>
      <w:r w:rsidR="00933857" w:rsidRPr="00AD7158">
        <w:rPr>
          <w:rFonts w:asciiTheme="majorHAnsi" w:hAnsiTheme="majorHAnsi"/>
          <w:sz w:val="20"/>
          <w:szCs w:val="20"/>
          <w:lang w:val="es-AR"/>
        </w:rPr>
        <w:t xml:space="preserve">aplicable al caso, pues </w:t>
      </w:r>
      <w:r w:rsidR="009F5419" w:rsidRPr="00AD7158">
        <w:rPr>
          <w:rFonts w:asciiTheme="majorHAnsi" w:hAnsiTheme="majorHAnsi"/>
          <w:sz w:val="20"/>
          <w:szCs w:val="20"/>
          <w:lang w:val="es-AR"/>
        </w:rPr>
        <w:t>la misma se</w:t>
      </w:r>
      <w:r w:rsidRPr="00AD7158">
        <w:rPr>
          <w:rFonts w:asciiTheme="majorHAnsi" w:hAnsiTheme="majorHAnsi"/>
          <w:sz w:val="20"/>
          <w:szCs w:val="20"/>
          <w:lang w:val="es-AR"/>
        </w:rPr>
        <w:t xml:space="preserve"> refiere al supuesto de abandono del abogado defensor, y </w:t>
      </w:r>
      <w:r w:rsidR="00933857" w:rsidRPr="00AD7158">
        <w:rPr>
          <w:rFonts w:asciiTheme="majorHAnsi" w:hAnsiTheme="majorHAnsi"/>
          <w:sz w:val="20"/>
          <w:szCs w:val="20"/>
          <w:lang w:val="es-AR"/>
        </w:rPr>
        <w:t xml:space="preserve">este </w:t>
      </w:r>
      <w:r w:rsidR="009F5419" w:rsidRPr="00AD7158">
        <w:rPr>
          <w:rFonts w:asciiTheme="majorHAnsi" w:hAnsiTheme="majorHAnsi"/>
          <w:sz w:val="20"/>
          <w:szCs w:val="20"/>
          <w:lang w:val="es-AR"/>
        </w:rPr>
        <w:t xml:space="preserve">asunto </w:t>
      </w:r>
      <w:r w:rsidRPr="00AD7158">
        <w:rPr>
          <w:rFonts w:asciiTheme="majorHAnsi" w:hAnsiTheme="majorHAnsi"/>
          <w:sz w:val="20"/>
          <w:szCs w:val="20"/>
          <w:lang w:val="es-AR"/>
        </w:rPr>
        <w:t xml:space="preserve">trata de “desapoderamiento” voluntario por parte de la presunta víctima </w:t>
      </w:r>
      <w:r w:rsidR="00F94D16" w:rsidRPr="00AD7158">
        <w:rPr>
          <w:rFonts w:asciiTheme="majorHAnsi" w:hAnsiTheme="majorHAnsi"/>
          <w:sz w:val="20"/>
          <w:szCs w:val="20"/>
          <w:lang w:val="es-AR"/>
        </w:rPr>
        <w:t>respecto de sus letrados. Agregó</w:t>
      </w:r>
      <w:r w:rsidRPr="00AD7158">
        <w:rPr>
          <w:rFonts w:asciiTheme="majorHAnsi" w:hAnsiTheme="majorHAnsi"/>
          <w:sz w:val="20"/>
          <w:szCs w:val="20"/>
          <w:lang w:val="es-AR"/>
        </w:rPr>
        <w:t xml:space="preserve"> que, dicha norma prevé la suspensión del inicio de la audiencia por un máximo de tres días, mientras que la suspensión solicitada por </w:t>
      </w:r>
      <w:r w:rsidR="00590707" w:rsidRPr="00AD7158">
        <w:rPr>
          <w:rFonts w:asciiTheme="majorHAnsi" w:hAnsiTheme="majorHAnsi"/>
          <w:sz w:val="20"/>
          <w:szCs w:val="20"/>
          <w:lang w:val="es-ES"/>
        </w:rPr>
        <w:t>la defensa</w:t>
      </w:r>
      <w:r w:rsidRPr="00AD7158">
        <w:rPr>
          <w:rFonts w:asciiTheme="majorHAnsi" w:hAnsiTheme="majorHAnsi"/>
          <w:sz w:val="20"/>
          <w:szCs w:val="20"/>
          <w:lang w:val="es-ES"/>
        </w:rPr>
        <w:t xml:space="preserve"> fue de siete días.</w:t>
      </w:r>
      <w:r w:rsidR="007C0F70" w:rsidRPr="00AD7158">
        <w:rPr>
          <w:rFonts w:asciiTheme="majorHAnsi" w:hAnsiTheme="majorHAnsi"/>
          <w:sz w:val="20"/>
          <w:szCs w:val="20"/>
          <w:lang w:val="es-ES"/>
        </w:rPr>
        <w:t xml:space="preserve"> A</w:t>
      </w:r>
      <w:r w:rsidR="00F94D16" w:rsidRPr="00AD7158">
        <w:rPr>
          <w:rFonts w:asciiTheme="majorHAnsi" w:hAnsiTheme="majorHAnsi"/>
          <w:sz w:val="20"/>
          <w:szCs w:val="20"/>
          <w:lang w:val="es-ES"/>
        </w:rPr>
        <w:t>gregó</w:t>
      </w:r>
      <w:r w:rsidR="00590707" w:rsidRPr="00AD7158">
        <w:rPr>
          <w:rFonts w:asciiTheme="majorHAnsi" w:hAnsiTheme="majorHAnsi"/>
          <w:sz w:val="20"/>
          <w:szCs w:val="20"/>
          <w:lang w:val="es-ES"/>
        </w:rPr>
        <w:t xml:space="preserve"> que </w:t>
      </w:r>
      <w:r w:rsidR="006525FB" w:rsidRPr="00AD7158">
        <w:rPr>
          <w:rFonts w:asciiTheme="majorHAnsi" w:hAnsiTheme="majorHAnsi"/>
          <w:sz w:val="20"/>
          <w:szCs w:val="20"/>
          <w:lang w:val="es-AR"/>
        </w:rPr>
        <w:t>l</w:t>
      </w:r>
      <w:r w:rsidR="003C45A5" w:rsidRPr="00AD7158">
        <w:rPr>
          <w:rFonts w:asciiTheme="majorHAnsi" w:hAnsiTheme="majorHAnsi"/>
          <w:sz w:val="20"/>
          <w:szCs w:val="20"/>
          <w:lang w:val="es-AR"/>
        </w:rPr>
        <w:t xml:space="preserve">a circunstancia </w:t>
      </w:r>
      <w:r w:rsidR="006525FB" w:rsidRPr="00AD7158">
        <w:rPr>
          <w:rFonts w:asciiTheme="majorHAnsi" w:hAnsiTheme="majorHAnsi"/>
          <w:sz w:val="20"/>
          <w:szCs w:val="20"/>
          <w:lang w:val="es-AR"/>
        </w:rPr>
        <w:t>alegad</w:t>
      </w:r>
      <w:r w:rsidR="003C45A5" w:rsidRPr="00AD7158">
        <w:rPr>
          <w:rFonts w:asciiTheme="majorHAnsi" w:hAnsiTheme="majorHAnsi"/>
          <w:sz w:val="20"/>
          <w:szCs w:val="20"/>
          <w:lang w:val="es-AR"/>
        </w:rPr>
        <w:t>a</w:t>
      </w:r>
      <w:r w:rsidR="00590707" w:rsidRPr="00AD7158">
        <w:rPr>
          <w:rFonts w:asciiTheme="majorHAnsi" w:hAnsiTheme="majorHAnsi"/>
          <w:sz w:val="20"/>
          <w:szCs w:val="20"/>
          <w:lang w:val="es-AR"/>
        </w:rPr>
        <w:t xml:space="preserve"> por la presunta víctima</w:t>
      </w:r>
      <w:r w:rsidR="006525FB" w:rsidRPr="00AD7158">
        <w:rPr>
          <w:rFonts w:asciiTheme="majorHAnsi" w:hAnsiTheme="majorHAnsi"/>
          <w:sz w:val="20"/>
          <w:szCs w:val="20"/>
          <w:lang w:val="es-AR"/>
        </w:rPr>
        <w:t xml:space="preserve"> no </w:t>
      </w:r>
      <w:r w:rsidR="003C45A5" w:rsidRPr="00AD7158">
        <w:rPr>
          <w:rFonts w:asciiTheme="majorHAnsi" w:hAnsiTheme="majorHAnsi"/>
          <w:sz w:val="20"/>
          <w:szCs w:val="20"/>
          <w:lang w:val="es-AR"/>
        </w:rPr>
        <w:t>se</w:t>
      </w:r>
      <w:r w:rsidR="003242C5" w:rsidRPr="00AD7158">
        <w:rPr>
          <w:rFonts w:asciiTheme="majorHAnsi" w:hAnsiTheme="majorHAnsi"/>
          <w:sz w:val="20"/>
          <w:szCs w:val="20"/>
          <w:lang w:val="es-AR"/>
        </w:rPr>
        <w:t xml:space="preserve"> contemplada como causal de suspensión de la audiencia</w:t>
      </w:r>
      <w:r w:rsidR="003C45A5" w:rsidRPr="00AD7158">
        <w:rPr>
          <w:rFonts w:asciiTheme="majorHAnsi" w:hAnsiTheme="majorHAnsi"/>
          <w:sz w:val="20"/>
          <w:szCs w:val="20"/>
          <w:lang w:val="es-AR"/>
        </w:rPr>
        <w:t>. Afirm</w:t>
      </w:r>
      <w:r w:rsidR="00590707" w:rsidRPr="00AD7158">
        <w:rPr>
          <w:rFonts w:asciiTheme="majorHAnsi" w:hAnsiTheme="majorHAnsi"/>
          <w:sz w:val="20"/>
          <w:szCs w:val="20"/>
          <w:lang w:val="es-AR"/>
        </w:rPr>
        <w:t>ó</w:t>
      </w:r>
      <w:r w:rsidR="003C45A5" w:rsidRPr="00AD7158">
        <w:rPr>
          <w:rFonts w:asciiTheme="majorHAnsi" w:hAnsiTheme="majorHAnsi"/>
          <w:sz w:val="20"/>
          <w:szCs w:val="20"/>
          <w:lang w:val="es-AR"/>
        </w:rPr>
        <w:t xml:space="preserve"> </w:t>
      </w:r>
      <w:r w:rsidR="003242C5" w:rsidRPr="00AD7158">
        <w:rPr>
          <w:rFonts w:asciiTheme="majorHAnsi" w:hAnsiTheme="majorHAnsi"/>
          <w:sz w:val="20"/>
          <w:szCs w:val="20"/>
          <w:lang w:val="es-AR"/>
        </w:rPr>
        <w:t xml:space="preserve">que la decisión del tribunal fue razonable, pues la audiencia es un acto procesal que concentra distintos sujetos procesales intervinientes, entre otros aspectos, y </w:t>
      </w:r>
      <w:r w:rsidR="003C45A5" w:rsidRPr="00AD7158">
        <w:rPr>
          <w:rFonts w:asciiTheme="majorHAnsi" w:hAnsiTheme="majorHAnsi"/>
          <w:sz w:val="20"/>
          <w:szCs w:val="20"/>
          <w:lang w:val="es-AR"/>
        </w:rPr>
        <w:t xml:space="preserve">cuya realización </w:t>
      </w:r>
      <w:r w:rsidR="003242C5" w:rsidRPr="00AD7158">
        <w:rPr>
          <w:rFonts w:asciiTheme="majorHAnsi" w:hAnsiTheme="majorHAnsi"/>
          <w:sz w:val="20"/>
          <w:szCs w:val="20"/>
          <w:lang w:val="es-AR"/>
        </w:rPr>
        <w:t>se había fijado durante 11 días, con las implicancias dilatorias que una modificación de las fechas podría haber ocasionado.</w:t>
      </w:r>
      <w:r w:rsidR="00560958" w:rsidRPr="00AD7158">
        <w:rPr>
          <w:rFonts w:asciiTheme="majorHAnsi" w:hAnsiTheme="majorHAnsi"/>
          <w:sz w:val="20"/>
          <w:szCs w:val="20"/>
          <w:lang w:val="es-AR"/>
        </w:rPr>
        <w:t xml:space="preserve"> </w:t>
      </w:r>
    </w:p>
    <w:p w14:paraId="7277EF06" w14:textId="77777777" w:rsidR="00FB0D2B" w:rsidRPr="00AD7158" w:rsidRDefault="00FB0D2B" w:rsidP="002D46B7">
      <w:pPr>
        <w:pStyle w:val="ListParagraph"/>
      </w:pPr>
    </w:p>
    <w:p w14:paraId="7E199ACF" w14:textId="77777777" w:rsidR="00F224ED" w:rsidRPr="00AD7158" w:rsidRDefault="007D2C53" w:rsidP="00B419FB">
      <w:pPr>
        <w:numPr>
          <w:ilvl w:val="0"/>
          <w:numId w:val="55"/>
        </w:numPr>
        <w:tabs>
          <w:tab w:val="left" w:pos="360"/>
        </w:tabs>
        <w:ind w:left="0" w:firstLine="0"/>
        <w:jc w:val="both"/>
        <w:rPr>
          <w:rFonts w:asciiTheme="majorHAnsi" w:hAnsiTheme="majorHAnsi"/>
          <w:sz w:val="20"/>
          <w:szCs w:val="20"/>
          <w:lang w:val="es-AR"/>
        </w:rPr>
      </w:pPr>
      <w:r w:rsidRPr="00AD7158">
        <w:rPr>
          <w:rFonts w:asciiTheme="majorHAnsi" w:hAnsiTheme="majorHAnsi"/>
          <w:sz w:val="20"/>
          <w:szCs w:val="20"/>
          <w:lang w:val="es-AR"/>
        </w:rPr>
        <w:t xml:space="preserve">Respecto de la </w:t>
      </w:r>
      <w:r w:rsidR="000C07E7" w:rsidRPr="00AD7158">
        <w:rPr>
          <w:rFonts w:asciiTheme="majorHAnsi" w:hAnsiTheme="majorHAnsi"/>
          <w:sz w:val="20"/>
          <w:szCs w:val="20"/>
          <w:lang w:val="es-AR"/>
        </w:rPr>
        <w:t>efectividad</w:t>
      </w:r>
      <w:r w:rsidRPr="00AD7158">
        <w:rPr>
          <w:rFonts w:asciiTheme="majorHAnsi" w:hAnsiTheme="majorHAnsi"/>
          <w:sz w:val="20"/>
          <w:szCs w:val="20"/>
          <w:lang w:val="es-AR"/>
        </w:rPr>
        <w:t xml:space="preserve"> de</w:t>
      </w:r>
      <w:r w:rsidR="000C07E7" w:rsidRPr="00AD7158">
        <w:rPr>
          <w:rFonts w:asciiTheme="majorHAnsi" w:hAnsiTheme="majorHAnsi"/>
          <w:sz w:val="20"/>
          <w:szCs w:val="20"/>
          <w:lang w:val="es-AR"/>
        </w:rPr>
        <w:t xml:space="preserve"> los recursos judiciales, adujo que las vías intentadas por sus representantes fueron debidamente sustanciadas y recibieron respuesta por parte de la magistratura. Agreg</w:t>
      </w:r>
      <w:r w:rsidR="00A57A44" w:rsidRPr="00AD7158">
        <w:rPr>
          <w:rFonts w:asciiTheme="majorHAnsi" w:hAnsiTheme="majorHAnsi"/>
          <w:sz w:val="20"/>
          <w:szCs w:val="20"/>
          <w:lang w:val="es-AR"/>
        </w:rPr>
        <w:t>ó</w:t>
      </w:r>
      <w:r w:rsidR="000C07E7" w:rsidRPr="00AD7158">
        <w:rPr>
          <w:rFonts w:asciiTheme="majorHAnsi" w:hAnsiTheme="majorHAnsi"/>
          <w:sz w:val="20"/>
          <w:szCs w:val="20"/>
          <w:lang w:val="es-AR"/>
        </w:rPr>
        <w:t xml:space="preserve"> que</w:t>
      </w:r>
      <w:r w:rsidR="00EC5561" w:rsidRPr="00AD7158">
        <w:rPr>
          <w:rFonts w:asciiTheme="majorHAnsi" w:hAnsiTheme="majorHAnsi"/>
          <w:sz w:val="20"/>
          <w:szCs w:val="20"/>
          <w:lang w:val="es-AR"/>
        </w:rPr>
        <w:t>,</w:t>
      </w:r>
      <w:r w:rsidR="000C07E7" w:rsidRPr="00AD7158">
        <w:rPr>
          <w:rFonts w:asciiTheme="majorHAnsi" w:hAnsiTheme="majorHAnsi"/>
          <w:sz w:val="20"/>
          <w:szCs w:val="20"/>
          <w:lang w:val="es-AR"/>
        </w:rPr>
        <w:t xml:space="preserve"> el hecho de que las respuestas a sus recursos no le fuesen favorables, no supone una vulneración a la </w:t>
      </w:r>
      <w:r w:rsidR="00A91219" w:rsidRPr="00AD7158">
        <w:rPr>
          <w:rFonts w:asciiTheme="majorHAnsi" w:hAnsiTheme="majorHAnsi"/>
          <w:sz w:val="20"/>
          <w:szCs w:val="20"/>
          <w:lang w:val="es-AR"/>
        </w:rPr>
        <w:t>C</w:t>
      </w:r>
      <w:r w:rsidR="002C4467" w:rsidRPr="00AD7158">
        <w:rPr>
          <w:rFonts w:asciiTheme="majorHAnsi" w:hAnsiTheme="majorHAnsi"/>
          <w:sz w:val="20"/>
          <w:szCs w:val="20"/>
          <w:lang w:val="es-AR"/>
        </w:rPr>
        <w:t>ADH</w:t>
      </w:r>
      <w:r w:rsidR="00A91219" w:rsidRPr="00AD7158">
        <w:rPr>
          <w:rFonts w:asciiTheme="majorHAnsi" w:hAnsiTheme="majorHAnsi"/>
          <w:sz w:val="20"/>
          <w:szCs w:val="20"/>
          <w:lang w:val="es-AR"/>
        </w:rPr>
        <w:t>,</w:t>
      </w:r>
      <w:r w:rsidR="000C07E7" w:rsidRPr="00AD7158">
        <w:rPr>
          <w:rFonts w:asciiTheme="majorHAnsi" w:hAnsiTheme="majorHAnsi"/>
          <w:sz w:val="20"/>
          <w:szCs w:val="20"/>
          <w:lang w:val="es-AR"/>
        </w:rPr>
        <w:t xml:space="preserve"> y que de </w:t>
      </w:r>
      <w:r w:rsidR="000C07E7" w:rsidRPr="00AD7158">
        <w:rPr>
          <w:rFonts w:asciiTheme="majorHAnsi" w:hAnsiTheme="majorHAnsi"/>
          <w:sz w:val="20"/>
          <w:szCs w:val="20"/>
          <w:lang w:val="es-AR"/>
        </w:rPr>
        <w:lastRenderedPageBreak/>
        <w:t xml:space="preserve">acogerse dichos alegatos, se </w:t>
      </w:r>
      <w:r w:rsidR="009D4179" w:rsidRPr="00AD7158">
        <w:rPr>
          <w:rFonts w:asciiTheme="majorHAnsi" w:hAnsiTheme="majorHAnsi"/>
          <w:sz w:val="20"/>
          <w:szCs w:val="20"/>
          <w:lang w:val="es-AR"/>
        </w:rPr>
        <w:t>estaría</w:t>
      </w:r>
      <w:r w:rsidR="00315878" w:rsidRPr="00AD7158">
        <w:rPr>
          <w:rFonts w:asciiTheme="majorHAnsi" w:hAnsiTheme="majorHAnsi"/>
          <w:sz w:val="20"/>
          <w:szCs w:val="20"/>
          <w:lang w:val="es-AR"/>
        </w:rPr>
        <w:t xml:space="preserve"> abriendo una nueva instancia de </w:t>
      </w:r>
      <w:r w:rsidR="009D4179" w:rsidRPr="00AD7158">
        <w:rPr>
          <w:rFonts w:asciiTheme="majorHAnsi" w:hAnsiTheme="majorHAnsi"/>
          <w:sz w:val="20"/>
          <w:szCs w:val="20"/>
          <w:lang w:val="es-AR"/>
        </w:rPr>
        <w:t>revisión sobre cuestiones excluidas</w:t>
      </w:r>
      <w:r w:rsidR="00315878" w:rsidRPr="00AD7158">
        <w:rPr>
          <w:rFonts w:asciiTheme="majorHAnsi" w:hAnsiTheme="majorHAnsi"/>
          <w:sz w:val="20"/>
          <w:szCs w:val="20"/>
          <w:lang w:val="es-AR"/>
        </w:rPr>
        <w:t xml:space="preserve"> de la competencia de la CIDH fundado en la doctrina de la cuarta instancia</w:t>
      </w:r>
      <w:r w:rsidR="000C07E7" w:rsidRPr="00AD7158">
        <w:rPr>
          <w:rFonts w:asciiTheme="majorHAnsi" w:hAnsiTheme="majorHAnsi"/>
          <w:sz w:val="20"/>
          <w:szCs w:val="20"/>
          <w:lang w:val="es-AR"/>
        </w:rPr>
        <w:t>.</w:t>
      </w:r>
      <w:r w:rsidR="00560958" w:rsidRPr="00AD7158">
        <w:rPr>
          <w:rFonts w:asciiTheme="majorHAnsi" w:hAnsiTheme="majorHAnsi"/>
          <w:sz w:val="20"/>
          <w:szCs w:val="20"/>
          <w:lang w:val="es-AR"/>
        </w:rPr>
        <w:t xml:space="preserve"> </w:t>
      </w:r>
    </w:p>
    <w:p w14:paraId="3754EB1D" w14:textId="77777777" w:rsidR="008266A7" w:rsidRPr="00AD7158" w:rsidRDefault="008266A7" w:rsidP="001341A7">
      <w:pPr>
        <w:rPr>
          <w:lang w:val="es-ES"/>
        </w:rPr>
      </w:pPr>
    </w:p>
    <w:p w14:paraId="4FCC9160" w14:textId="77777777" w:rsidR="00D12193" w:rsidRPr="00AD7158" w:rsidRDefault="00D12193" w:rsidP="002D46B7">
      <w:pPr>
        <w:pStyle w:val="Heading1"/>
      </w:pPr>
      <w:bookmarkStart w:id="6" w:name="_Toc30670579"/>
      <w:r w:rsidRPr="00AD7158">
        <w:t>DETERMINACIONES DE HECHO</w:t>
      </w:r>
      <w:bookmarkEnd w:id="6"/>
      <w:r w:rsidR="008A078F" w:rsidRPr="00AD7158">
        <w:t xml:space="preserve"> </w:t>
      </w:r>
    </w:p>
    <w:p w14:paraId="75F1E18B" w14:textId="77777777" w:rsidR="007C756A" w:rsidRPr="00AD7158" w:rsidRDefault="007C756A" w:rsidP="00B419FB">
      <w:pPr>
        <w:tabs>
          <w:tab w:val="left" w:pos="360"/>
        </w:tabs>
        <w:rPr>
          <w:rFonts w:asciiTheme="majorHAnsi" w:hAnsiTheme="majorHAnsi"/>
          <w:b/>
          <w:color w:val="FF0000"/>
          <w:sz w:val="20"/>
          <w:szCs w:val="20"/>
          <w:lang w:val="es-ES_tradnl"/>
        </w:rPr>
      </w:pPr>
    </w:p>
    <w:p w14:paraId="5B66913F" w14:textId="77777777" w:rsidR="00F0247F" w:rsidRPr="00AD7158" w:rsidRDefault="00F968A1" w:rsidP="00B419FB">
      <w:pPr>
        <w:numPr>
          <w:ilvl w:val="0"/>
          <w:numId w:val="55"/>
        </w:numPr>
        <w:tabs>
          <w:tab w:val="left" w:pos="360"/>
        </w:tabs>
        <w:ind w:left="0" w:firstLine="0"/>
        <w:jc w:val="both"/>
        <w:rPr>
          <w:rFonts w:asciiTheme="majorHAnsi" w:hAnsiTheme="majorHAnsi" w:cstheme="majorHAnsi"/>
          <w:sz w:val="20"/>
          <w:szCs w:val="20"/>
          <w:lang w:val="es-AR"/>
        </w:rPr>
      </w:pPr>
      <w:r w:rsidRPr="00AD7158">
        <w:rPr>
          <w:rFonts w:asciiTheme="majorHAnsi" w:hAnsiTheme="majorHAnsi" w:cstheme="majorHAnsi"/>
          <w:sz w:val="20"/>
          <w:szCs w:val="20"/>
          <w:lang w:val="es-AR"/>
        </w:rPr>
        <w:t>La Comisión presentará los hechos que da por establecidos con base en la prueba obrante en el expediente, a partir del siguiente orden: A) Marco normativo relevante; B)</w:t>
      </w:r>
      <w:r w:rsidRPr="00AD7158">
        <w:rPr>
          <w:rFonts w:asciiTheme="majorHAnsi" w:hAnsiTheme="majorHAnsi"/>
          <w:sz w:val="20"/>
          <w:szCs w:val="20"/>
          <w:lang w:val="es-MX"/>
        </w:rPr>
        <w:t xml:space="preserve"> </w:t>
      </w:r>
      <w:r w:rsidRPr="00AD7158">
        <w:rPr>
          <w:rFonts w:asciiTheme="majorHAnsi" w:hAnsiTheme="majorHAnsi" w:cstheme="majorHAnsi"/>
          <w:sz w:val="20"/>
          <w:szCs w:val="20"/>
          <w:lang w:val="es-AR"/>
        </w:rPr>
        <w:t xml:space="preserve">La práctica judicial en Argentina y el fallo “Casal” de 2005; </w:t>
      </w:r>
      <w:r w:rsidR="001B1EA5" w:rsidRPr="00AD7158">
        <w:rPr>
          <w:rFonts w:asciiTheme="majorHAnsi" w:hAnsiTheme="majorHAnsi" w:cstheme="majorHAnsi"/>
          <w:sz w:val="20"/>
          <w:szCs w:val="20"/>
          <w:lang w:val="es-AR"/>
        </w:rPr>
        <w:t xml:space="preserve">C) La práctica judicial en Argentina y el fallo “Gramajo” de </w:t>
      </w:r>
      <w:r w:rsidR="00974A4D" w:rsidRPr="00AD7158">
        <w:rPr>
          <w:rFonts w:asciiTheme="majorHAnsi" w:hAnsiTheme="majorHAnsi" w:cstheme="majorHAnsi"/>
          <w:sz w:val="20"/>
          <w:szCs w:val="20"/>
          <w:lang w:val="es-AR"/>
        </w:rPr>
        <w:t>2006</w:t>
      </w:r>
      <w:r w:rsidR="009C1355" w:rsidRPr="00AD7158">
        <w:rPr>
          <w:rFonts w:asciiTheme="majorHAnsi" w:hAnsiTheme="majorHAnsi" w:cstheme="majorHAnsi"/>
          <w:sz w:val="20"/>
          <w:szCs w:val="20"/>
          <w:lang w:val="es-AR"/>
        </w:rPr>
        <w:t>; y</w:t>
      </w:r>
      <w:r w:rsidRPr="00AD7158">
        <w:rPr>
          <w:rFonts w:asciiTheme="majorHAnsi" w:hAnsiTheme="majorHAnsi" w:cstheme="majorHAnsi"/>
          <w:sz w:val="20"/>
          <w:szCs w:val="20"/>
          <w:lang w:val="es-AR"/>
        </w:rPr>
        <w:t xml:space="preserve"> </w:t>
      </w:r>
      <w:r w:rsidR="001B1EA5" w:rsidRPr="00AD7158">
        <w:rPr>
          <w:rFonts w:asciiTheme="majorHAnsi" w:hAnsiTheme="majorHAnsi" w:cstheme="majorHAnsi"/>
          <w:sz w:val="20"/>
          <w:szCs w:val="20"/>
          <w:lang w:val="es-AR"/>
        </w:rPr>
        <w:t>D</w:t>
      </w:r>
      <w:r w:rsidRPr="00AD7158">
        <w:rPr>
          <w:rFonts w:asciiTheme="majorHAnsi" w:hAnsiTheme="majorHAnsi" w:cstheme="majorHAnsi"/>
          <w:sz w:val="20"/>
          <w:szCs w:val="20"/>
          <w:lang w:val="es-AR"/>
        </w:rPr>
        <w:t>) Hechos del caso.</w:t>
      </w:r>
    </w:p>
    <w:p w14:paraId="08DF128E" w14:textId="77777777" w:rsidR="00F31FDE" w:rsidRPr="00AD7158" w:rsidRDefault="00F31FDE" w:rsidP="00B419FB">
      <w:pPr>
        <w:tabs>
          <w:tab w:val="left" w:pos="360"/>
        </w:tabs>
        <w:jc w:val="both"/>
        <w:rPr>
          <w:rFonts w:asciiTheme="majorHAnsi" w:hAnsiTheme="majorHAnsi" w:cstheme="majorHAnsi"/>
          <w:sz w:val="20"/>
          <w:szCs w:val="20"/>
          <w:lang w:val="es-AR"/>
        </w:rPr>
      </w:pPr>
    </w:p>
    <w:p w14:paraId="70D77DF1" w14:textId="77777777" w:rsidR="00AA29EA" w:rsidRPr="00AD7158" w:rsidRDefault="00D70CCB" w:rsidP="00D70CCB">
      <w:pPr>
        <w:pStyle w:val="Heading2"/>
      </w:pPr>
      <w:bookmarkStart w:id="7" w:name="_Toc30670580"/>
      <w:r w:rsidRPr="00AD7158">
        <w:rPr>
          <w:lang w:val="es-AR"/>
        </w:rPr>
        <w:t xml:space="preserve">A. </w:t>
      </w:r>
      <w:r w:rsidR="00F0247F" w:rsidRPr="00AD7158">
        <w:t>Marco normativo relevante</w:t>
      </w:r>
      <w:bookmarkEnd w:id="7"/>
    </w:p>
    <w:p w14:paraId="160774C6" w14:textId="77777777" w:rsidR="00AA29EA" w:rsidRPr="00AD7158" w:rsidRDefault="00AA29EA" w:rsidP="00B419FB">
      <w:pPr>
        <w:rPr>
          <w:rFonts w:asciiTheme="majorHAnsi" w:hAnsiTheme="majorHAnsi"/>
          <w:sz w:val="20"/>
          <w:szCs w:val="20"/>
          <w:lang w:val="es-AR"/>
        </w:rPr>
      </w:pPr>
    </w:p>
    <w:p w14:paraId="37178AE6" w14:textId="77777777" w:rsidR="00C47CB1" w:rsidRPr="00AD7158" w:rsidRDefault="00C47CB1" w:rsidP="00B419FB">
      <w:pPr>
        <w:numPr>
          <w:ilvl w:val="0"/>
          <w:numId w:val="55"/>
        </w:numPr>
        <w:tabs>
          <w:tab w:val="left" w:pos="360"/>
        </w:tabs>
        <w:ind w:left="0" w:firstLine="0"/>
        <w:jc w:val="both"/>
        <w:rPr>
          <w:rFonts w:asciiTheme="majorHAnsi" w:hAnsiTheme="majorHAnsi" w:cstheme="majorHAnsi"/>
          <w:sz w:val="20"/>
          <w:szCs w:val="20"/>
          <w:lang w:val="es-AR"/>
        </w:rPr>
      </w:pPr>
      <w:r w:rsidRPr="00AD7158">
        <w:rPr>
          <w:rFonts w:asciiTheme="majorHAnsi" w:hAnsiTheme="majorHAnsi"/>
          <w:sz w:val="20"/>
          <w:szCs w:val="20"/>
          <w:lang w:val="es-ES_tradnl"/>
        </w:rPr>
        <w:t>En esta sección, se describirá el marco legal relevante a los</w:t>
      </w:r>
      <w:r w:rsidR="001A3772" w:rsidRPr="00AD7158">
        <w:rPr>
          <w:rFonts w:asciiTheme="majorHAnsi" w:hAnsiTheme="majorHAnsi"/>
          <w:sz w:val="20"/>
          <w:szCs w:val="20"/>
          <w:lang w:val="es-ES_tradnl"/>
        </w:rPr>
        <w:t xml:space="preserve"> efectos de la pena, así como</w:t>
      </w:r>
      <w:r w:rsidRPr="00AD7158">
        <w:rPr>
          <w:rFonts w:asciiTheme="majorHAnsi" w:hAnsiTheme="majorHAnsi"/>
          <w:sz w:val="20"/>
          <w:szCs w:val="20"/>
          <w:lang w:val="es-ES_tradnl"/>
        </w:rPr>
        <w:t xml:space="preserve"> recursos interpuestos por la defensa de la presunta víctima contra la sentencia condenatoria de primera instancia</w:t>
      </w:r>
      <w:r w:rsidRPr="00AD7158">
        <w:rPr>
          <w:rFonts w:asciiTheme="majorHAnsi" w:hAnsiTheme="majorHAnsi" w:cstheme="majorHAnsi"/>
          <w:sz w:val="20"/>
          <w:szCs w:val="20"/>
          <w:lang w:val="es-ES"/>
        </w:rPr>
        <w:t>.</w:t>
      </w:r>
    </w:p>
    <w:p w14:paraId="1D387186" w14:textId="77777777" w:rsidR="00E920ED" w:rsidRPr="00AD7158" w:rsidRDefault="00E920ED" w:rsidP="00B419FB">
      <w:pPr>
        <w:tabs>
          <w:tab w:val="left" w:pos="360"/>
        </w:tabs>
        <w:jc w:val="both"/>
        <w:rPr>
          <w:rFonts w:asciiTheme="majorHAnsi" w:hAnsiTheme="majorHAnsi" w:cstheme="majorHAnsi"/>
          <w:sz w:val="20"/>
          <w:szCs w:val="20"/>
          <w:lang w:val="es-AR"/>
        </w:rPr>
      </w:pPr>
    </w:p>
    <w:p w14:paraId="1967DE99" w14:textId="77777777" w:rsidR="009B1049" w:rsidRPr="00AD7158" w:rsidRDefault="009B1049" w:rsidP="00B419FB">
      <w:pPr>
        <w:numPr>
          <w:ilvl w:val="0"/>
          <w:numId w:val="55"/>
        </w:numPr>
        <w:tabs>
          <w:tab w:val="left" w:pos="360"/>
        </w:tabs>
        <w:ind w:left="0" w:firstLine="0"/>
        <w:jc w:val="both"/>
        <w:rPr>
          <w:rFonts w:asciiTheme="majorHAnsi" w:hAnsiTheme="majorHAnsi"/>
          <w:sz w:val="20"/>
          <w:szCs w:val="20"/>
          <w:lang w:val="es-ES_tradnl"/>
        </w:rPr>
      </w:pPr>
      <w:r w:rsidRPr="00AD7158">
        <w:rPr>
          <w:rFonts w:asciiTheme="majorHAnsi" w:hAnsiTheme="majorHAnsi"/>
          <w:sz w:val="20"/>
          <w:szCs w:val="20"/>
          <w:lang w:val="es-ES_tradnl"/>
        </w:rPr>
        <w:t xml:space="preserve">Respecto de la pena impuesta a la presunta víctima, el artículo 80 del Código Penal </w:t>
      </w:r>
      <w:r w:rsidR="006A3B43" w:rsidRPr="00AD7158">
        <w:rPr>
          <w:rFonts w:asciiTheme="majorHAnsi" w:hAnsiTheme="majorHAnsi"/>
          <w:sz w:val="20"/>
          <w:szCs w:val="20"/>
          <w:lang w:val="es-ES_tradnl"/>
        </w:rPr>
        <w:t xml:space="preserve">de la Nación (en adelante “CPN”) </w:t>
      </w:r>
      <w:r w:rsidRPr="00AD7158">
        <w:rPr>
          <w:rFonts w:asciiTheme="majorHAnsi" w:hAnsiTheme="majorHAnsi"/>
          <w:sz w:val="20"/>
          <w:szCs w:val="20"/>
          <w:lang w:val="es-ES_tradnl"/>
        </w:rPr>
        <w:t>prescribe que:</w:t>
      </w:r>
    </w:p>
    <w:p w14:paraId="40D360E9" w14:textId="77777777" w:rsidR="009B1049" w:rsidRPr="00AD7158" w:rsidRDefault="009B1049" w:rsidP="00C404C6">
      <w:pPr>
        <w:rPr>
          <w:lang w:val="es-ES"/>
        </w:rPr>
      </w:pPr>
    </w:p>
    <w:p w14:paraId="08398F82" w14:textId="77777777" w:rsidR="009B1049" w:rsidRPr="00AD7158" w:rsidRDefault="009B1049" w:rsidP="002D46B7">
      <w:pPr>
        <w:pStyle w:val="ListParagraph"/>
      </w:pPr>
      <w:r w:rsidRPr="00AD7158">
        <w:t xml:space="preserve">Se impondrá reclusión perpetua o prisión perpetua, pudiendo aplicarse </w:t>
      </w:r>
      <w:r w:rsidR="004E1DFD" w:rsidRPr="00AD7158">
        <w:t xml:space="preserve">lo dispuesto en el artículo 52, </w:t>
      </w:r>
      <w:r w:rsidRPr="00AD7158">
        <w:t>al que matare:</w:t>
      </w:r>
    </w:p>
    <w:p w14:paraId="23431EEF" w14:textId="77777777" w:rsidR="009B1049" w:rsidRPr="00AD7158" w:rsidRDefault="009B1049" w:rsidP="002D46B7">
      <w:pPr>
        <w:pStyle w:val="ListParagraph"/>
      </w:pPr>
      <w:r w:rsidRPr="00AD7158">
        <w:t>2º Con ensañamiento, alevosía, veneno u otro procedimiento insidioso.</w:t>
      </w:r>
    </w:p>
    <w:p w14:paraId="61066CD9" w14:textId="77777777" w:rsidR="004238FA" w:rsidRPr="00AD7158" w:rsidRDefault="004238FA" w:rsidP="002D46B7">
      <w:pPr>
        <w:pStyle w:val="ListParagraph"/>
      </w:pPr>
      <w:r w:rsidRPr="00AD7158">
        <w:t>7º Para preparar, facilitar, consumar u ocultar otro delito o para asegurar sus resultados o procurar la impunidad para sí o para otro o por no haber logrado el fin propue</w:t>
      </w:r>
      <w:r w:rsidR="00F31FDE" w:rsidRPr="00AD7158">
        <w:t>sto al intentar otro delito</w:t>
      </w:r>
      <w:r w:rsidRPr="00AD7158">
        <w:t>.</w:t>
      </w:r>
    </w:p>
    <w:p w14:paraId="4E8A993F" w14:textId="77777777" w:rsidR="009A6CB6" w:rsidRPr="00AD7158" w:rsidRDefault="009A6CB6" w:rsidP="002D46B7">
      <w:pPr>
        <w:pStyle w:val="ListParagraph"/>
      </w:pPr>
    </w:p>
    <w:p w14:paraId="3625EC9D" w14:textId="77777777" w:rsidR="009A6CB6" w:rsidRPr="00AD7158" w:rsidRDefault="009A6CB6" w:rsidP="00B419FB">
      <w:pPr>
        <w:numPr>
          <w:ilvl w:val="0"/>
          <w:numId w:val="55"/>
        </w:numPr>
        <w:tabs>
          <w:tab w:val="left" w:pos="360"/>
        </w:tabs>
        <w:ind w:left="0" w:firstLine="0"/>
        <w:jc w:val="both"/>
        <w:rPr>
          <w:rFonts w:asciiTheme="majorHAnsi" w:hAnsiTheme="majorHAnsi"/>
          <w:sz w:val="20"/>
          <w:szCs w:val="20"/>
          <w:lang w:val="es-ES_tradnl"/>
        </w:rPr>
      </w:pPr>
      <w:r w:rsidRPr="00AD7158">
        <w:rPr>
          <w:rFonts w:asciiTheme="majorHAnsi" w:hAnsiTheme="majorHAnsi"/>
          <w:sz w:val="20"/>
          <w:szCs w:val="20"/>
          <w:lang w:val="es-ES_tradnl"/>
        </w:rPr>
        <w:t>Adicionalmente, los artículos 13</w:t>
      </w:r>
      <w:r w:rsidRPr="00AD7158">
        <w:rPr>
          <w:rStyle w:val="FootnoteReference"/>
          <w:sz w:val="20"/>
          <w:szCs w:val="20"/>
          <w:lang w:val="es-ES_tradnl"/>
        </w:rPr>
        <w:footnoteReference w:id="4"/>
      </w:r>
      <w:r w:rsidRPr="00AD7158">
        <w:rPr>
          <w:rFonts w:asciiTheme="majorHAnsi" w:hAnsiTheme="majorHAnsi"/>
          <w:sz w:val="20"/>
          <w:szCs w:val="20"/>
          <w:lang w:val="es-ES_tradnl"/>
        </w:rPr>
        <w:t xml:space="preserve"> y 14 del </w:t>
      </w:r>
      <w:r w:rsidR="006A3B43" w:rsidRPr="00AD7158">
        <w:rPr>
          <w:rFonts w:asciiTheme="majorHAnsi" w:hAnsiTheme="majorHAnsi"/>
          <w:sz w:val="20"/>
          <w:szCs w:val="20"/>
          <w:lang w:val="es-ES_tradnl"/>
        </w:rPr>
        <w:t>CPN</w:t>
      </w:r>
      <w:r w:rsidRPr="00AD7158">
        <w:rPr>
          <w:rFonts w:asciiTheme="majorHAnsi" w:hAnsiTheme="majorHAnsi"/>
          <w:sz w:val="20"/>
          <w:szCs w:val="20"/>
          <w:lang w:val="es-ES_tradnl"/>
        </w:rPr>
        <w:t xml:space="preserve"> vigentes al momento de los hechos establecían que: </w:t>
      </w:r>
    </w:p>
    <w:p w14:paraId="67F31DFF" w14:textId="77777777" w:rsidR="009A6CB6" w:rsidRPr="00AD7158" w:rsidRDefault="009A6CB6" w:rsidP="00B419FB">
      <w:pPr>
        <w:tabs>
          <w:tab w:val="left" w:pos="1440"/>
          <w:tab w:val="left" w:pos="1890"/>
          <w:tab w:val="right" w:pos="8640"/>
        </w:tabs>
        <w:ind w:right="720"/>
        <w:rPr>
          <w:rFonts w:asciiTheme="majorHAnsi" w:hAnsiTheme="majorHAnsi" w:cs="Arial"/>
          <w:color w:val="000000"/>
          <w:sz w:val="20"/>
          <w:szCs w:val="20"/>
          <w:shd w:val="clear" w:color="auto" w:fill="FCFCFC"/>
          <w:lang w:val="es-AR"/>
        </w:rPr>
      </w:pPr>
      <w:r w:rsidRPr="00AD7158">
        <w:rPr>
          <w:rFonts w:asciiTheme="majorHAnsi" w:hAnsiTheme="majorHAnsi" w:cs="Arial"/>
          <w:sz w:val="20"/>
          <w:szCs w:val="20"/>
          <w:shd w:val="clear" w:color="auto" w:fill="FCFCFC"/>
          <w:lang w:val="es-AR"/>
        </w:rPr>
        <w:tab/>
      </w:r>
    </w:p>
    <w:p w14:paraId="74D2AD1B" w14:textId="77777777" w:rsidR="009A6CB6" w:rsidRPr="00AD7158" w:rsidRDefault="009A6CB6" w:rsidP="002D46B7">
      <w:pPr>
        <w:pStyle w:val="ListParagraph"/>
      </w:pPr>
      <w:r w:rsidRPr="00AD7158">
        <w:t>Art. 13. El condenado a reclusión o prisión perpetua que hubiere</w:t>
      </w:r>
      <w:r w:rsidR="00AF4E2C" w:rsidRPr="00AD7158">
        <w:t xml:space="preserve"> </w:t>
      </w:r>
      <w:r w:rsidRPr="00AD7158">
        <w:t xml:space="preserve">cumplido veinte años de condena [,…] observando con regularidad los reglamentos carcelarios, podr[á] obtener la libertad por resolución judicial previo informe de la dirección del establecimiento bajo las siguientes condiciones […]. </w:t>
      </w:r>
    </w:p>
    <w:p w14:paraId="5147CD1C" w14:textId="77777777" w:rsidR="009A6CB6" w:rsidRPr="00AD7158" w:rsidRDefault="009A6CB6" w:rsidP="004203FA">
      <w:pPr>
        <w:rPr>
          <w:lang w:val="es-AR"/>
        </w:rPr>
      </w:pPr>
    </w:p>
    <w:p w14:paraId="4A947F04" w14:textId="77777777" w:rsidR="00B3334E" w:rsidRPr="00AD7158" w:rsidRDefault="009A6CB6" w:rsidP="002D46B7">
      <w:pPr>
        <w:pStyle w:val="ListParagraph"/>
      </w:pPr>
      <w:r w:rsidRPr="00AD7158">
        <w:t>Art. 14. La libertad condicional no se concederá a los reincidentes.</w:t>
      </w:r>
      <w:r w:rsidR="00AF4E2C" w:rsidRPr="00AD7158">
        <w:t xml:space="preserve"> </w:t>
      </w:r>
    </w:p>
    <w:p w14:paraId="3DD9A01C" w14:textId="77777777" w:rsidR="009B1049" w:rsidRPr="00AD7158" w:rsidRDefault="009B1049" w:rsidP="00B419FB">
      <w:pPr>
        <w:tabs>
          <w:tab w:val="left" w:pos="360"/>
        </w:tabs>
        <w:jc w:val="both"/>
        <w:rPr>
          <w:rFonts w:asciiTheme="majorHAnsi" w:hAnsiTheme="majorHAnsi"/>
          <w:sz w:val="20"/>
          <w:szCs w:val="20"/>
          <w:lang w:val="es-AR"/>
        </w:rPr>
      </w:pPr>
    </w:p>
    <w:p w14:paraId="60E01BF9" w14:textId="77777777" w:rsidR="00341B9D" w:rsidRPr="00AD7158" w:rsidRDefault="00303AA8" w:rsidP="00B419FB">
      <w:pPr>
        <w:numPr>
          <w:ilvl w:val="0"/>
          <w:numId w:val="55"/>
        </w:numPr>
        <w:tabs>
          <w:tab w:val="left" w:pos="360"/>
        </w:tabs>
        <w:ind w:left="0" w:firstLine="0"/>
        <w:jc w:val="both"/>
        <w:rPr>
          <w:rFonts w:asciiTheme="majorHAnsi" w:hAnsiTheme="majorHAnsi"/>
          <w:sz w:val="20"/>
          <w:szCs w:val="20"/>
          <w:lang w:val="es-ES_tradnl"/>
        </w:rPr>
      </w:pPr>
      <w:r w:rsidRPr="00AD7158">
        <w:rPr>
          <w:rFonts w:asciiTheme="majorHAnsi" w:hAnsiTheme="majorHAnsi"/>
          <w:sz w:val="20"/>
          <w:szCs w:val="20"/>
          <w:lang w:val="es-ES_tradnl"/>
        </w:rPr>
        <w:t>En cuanto a</w:t>
      </w:r>
      <w:r w:rsidR="001639F4" w:rsidRPr="00AD7158">
        <w:rPr>
          <w:rFonts w:asciiTheme="majorHAnsi" w:hAnsiTheme="majorHAnsi"/>
          <w:sz w:val="20"/>
          <w:szCs w:val="20"/>
          <w:lang w:val="es-ES_tradnl"/>
        </w:rPr>
        <w:t xml:space="preserve"> la </w:t>
      </w:r>
      <w:r w:rsidR="00C04BF2" w:rsidRPr="00AD7158">
        <w:rPr>
          <w:rFonts w:asciiTheme="majorHAnsi" w:hAnsiTheme="majorHAnsi"/>
          <w:sz w:val="20"/>
          <w:szCs w:val="20"/>
          <w:lang w:val="es-ES_tradnl"/>
        </w:rPr>
        <w:t>reclusión</w:t>
      </w:r>
      <w:r w:rsidR="001639F4" w:rsidRPr="00AD7158">
        <w:rPr>
          <w:rFonts w:asciiTheme="majorHAnsi" w:hAnsiTheme="majorHAnsi"/>
          <w:sz w:val="20"/>
          <w:szCs w:val="20"/>
          <w:lang w:val="es-ES_tradnl"/>
        </w:rPr>
        <w:t xml:space="preserve"> </w:t>
      </w:r>
      <w:r w:rsidRPr="00AD7158">
        <w:rPr>
          <w:rFonts w:asciiTheme="majorHAnsi" w:hAnsiTheme="majorHAnsi"/>
          <w:sz w:val="20"/>
          <w:szCs w:val="20"/>
          <w:lang w:val="es-ES_tradnl"/>
        </w:rPr>
        <w:t xml:space="preserve">accesoria impuesta a la presunta víctima, el </w:t>
      </w:r>
      <w:r w:rsidR="006A3B43" w:rsidRPr="00AD7158">
        <w:rPr>
          <w:rFonts w:asciiTheme="majorHAnsi" w:hAnsiTheme="majorHAnsi"/>
          <w:sz w:val="20"/>
          <w:szCs w:val="20"/>
          <w:lang w:val="es-ES_tradnl"/>
        </w:rPr>
        <w:t>CPN</w:t>
      </w:r>
      <w:r w:rsidRPr="00AD7158">
        <w:rPr>
          <w:rFonts w:asciiTheme="majorHAnsi" w:hAnsiTheme="majorHAnsi"/>
          <w:sz w:val="20"/>
          <w:szCs w:val="20"/>
          <w:lang w:val="es-ES_tradnl"/>
        </w:rPr>
        <w:t xml:space="preserve"> en su artículo 52 </w:t>
      </w:r>
      <w:r w:rsidR="00291424" w:rsidRPr="00AD7158">
        <w:rPr>
          <w:rFonts w:asciiTheme="majorHAnsi" w:hAnsiTheme="majorHAnsi"/>
          <w:sz w:val="20"/>
          <w:szCs w:val="20"/>
          <w:lang w:val="es-ES_tradnl"/>
        </w:rPr>
        <w:t xml:space="preserve">establece </w:t>
      </w:r>
      <w:r w:rsidRPr="00AD7158">
        <w:rPr>
          <w:rFonts w:asciiTheme="majorHAnsi" w:hAnsiTheme="majorHAnsi"/>
          <w:sz w:val="20"/>
          <w:szCs w:val="20"/>
          <w:lang w:val="es-ES_tradnl"/>
        </w:rPr>
        <w:t>que:</w:t>
      </w:r>
    </w:p>
    <w:p w14:paraId="109E1C71" w14:textId="77777777" w:rsidR="00303AA8" w:rsidRPr="00AD7158" w:rsidRDefault="00303AA8" w:rsidP="002D46B7">
      <w:pPr>
        <w:pStyle w:val="ListParagraph"/>
      </w:pPr>
    </w:p>
    <w:p w14:paraId="1CB5CDA1" w14:textId="77777777" w:rsidR="00341B9D" w:rsidRPr="00AD7158" w:rsidRDefault="00341B9D" w:rsidP="002D46B7">
      <w:pPr>
        <w:pStyle w:val="ListParagraph"/>
      </w:pPr>
      <w:r w:rsidRPr="00AD7158">
        <w:t>Se impondrá reclusión por tiempo indeterminado como accesoria de la última condena, cuando la reincidencia fuere múltiple en forma tal que mediaren las siguientes penas anteriores:</w:t>
      </w:r>
    </w:p>
    <w:p w14:paraId="059E6445" w14:textId="77777777" w:rsidR="00341B9D" w:rsidRPr="00AD7158" w:rsidRDefault="00341B9D" w:rsidP="002D46B7">
      <w:pPr>
        <w:pStyle w:val="ListParagraph"/>
      </w:pPr>
      <w:r w:rsidRPr="00AD7158">
        <w:t>1. Cuatro penas privativas de libertad, siendo una de ellas mayor de tres años;</w:t>
      </w:r>
    </w:p>
    <w:p w14:paraId="2879692F" w14:textId="77777777" w:rsidR="00341B9D" w:rsidRPr="00AD7158" w:rsidRDefault="00341B9D" w:rsidP="002D46B7">
      <w:pPr>
        <w:pStyle w:val="ListParagraph"/>
      </w:pPr>
      <w:r w:rsidRPr="00AD7158">
        <w:t>2. Cinco penas privativas de libertad, de tres años o menores.</w:t>
      </w:r>
    </w:p>
    <w:p w14:paraId="54C4F9CD" w14:textId="77777777" w:rsidR="00F0247F" w:rsidRPr="00AD7158" w:rsidRDefault="00341B9D" w:rsidP="002D46B7">
      <w:pPr>
        <w:pStyle w:val="ListParagraph"/>
      </w:pPr>
      <w:r w:rsidRPr="00AD7158">
        <w:t>Los tribunales podrán, por una única vez, dejar en suspenso la aplicación de esta medida accesoria, fundando expresamente su decisión en la forma prevista en el artícu</w:t>
      </w:r>
      <w:r w:rsidR="00BB447D" w:rsidRPr="00AD7158">
        <w:t>lo 26.</w:t>
      </w:r>
    </w:p>
    <w:p w14:paraId="23B0237D" w14:textId="77777777" w:rsidR="002E774E" w:rsidRPr="00AD7158" w:rsidRDefault="002E774E" w:rsidP="002D46B7">
      <w:pPr>
        <w:pStyle w:val="ListParagraph"/>
      </w:pPr>
    </w:p>
    <w:p w14:paraId="374E291C" w14:textId="77777777" w:rsidR="00D8555E" w:rsidRPr="00AD7158" w:rsidRDefault="009A6CB6" w:rsidP="00D8555E">
      <w:pPr>
        <w:numPr>
          <w:ilvl w:val="0"/>
          <w:numId w:val="55"/>
        </w:numPr>
        <w:tabs>
          <w:tab w:val="left" w:pos="360"/>
        </w:tabs>
        <w:ind w:left="0" w:firstLine="0"/>
        <w:jc w:val="both"/>
        <w:rPr>
          <w:rFonts w:asciiTheme="majorHAnsi" w:hAnsiTheme="majorHAnsi" w:cs="Arial"/>
          <w:sz w:val="20"/>
          <w:szCs w:val="20"/>
          <w:shd w:val="clear" w:color="auto" w:fill="FCFCFC"/>
          <w:lang w:val="es-AR"/>
        </w:rPr>
      </w:pPr>
      <w:r w:rsidRPr="00AD7158">
        <w:rPr>
          <w:rFonts w:asciiTheme="majorHAnsi" w:hAnsiTheme="majorHAnsi" w:cs="Arial"/>
          <w:sz w:val="20"/>
          <w:szCs w:val="20"/>
          <w:shd w:val="clear" w:color="auto" w:fill="FCFCFC"/>
          <w:lang w:val="es-AR"/>
        </w:rPr>
        <w:t xml:space="preserve">Adicionalmente, el artículo 53 del </w:t>
      </w:r>
      <w:r w:rsidR="006A3B43" w:rsidRPr="00AD7158">
        <w:rPr>
          <w:rFonts w:asciiTheme="majorHAnsi" w:hAnsiTheme="majorHAnsi"/>
          <w:sz w:val="20"/>
          <w:szCs w:val="20"/>
          <w:lang w:val="es-ES_tradnl"/>
        </w:rPr>
        <w:t>CPN</w:t>
      </w:r>
      <w:r w:rsidRPr="00AD7158">
        <w:rPr>
          <w:rFonts w:asciiTheme="majorHAnsi" w:hAnsiTheme="majorHAnsi"/>
          <w:sz w:val="20"/>
          <w:szCs w:val="20"/>
          <w:lang w:val="es-ES_tradnl"/>
        </w:rPr>
        <w:t xml:space="preserve"> determina que: </w:t>
      </w:r>
    </w:p>
    <w:p w14:paraId="4C8BE193" w14:textId="77777777" w:rsidR="00D8555E" w:rsidRPr="00AD7158" w:rsidRDefault="00D8555E" w:rsidP="00D8555E">
      <w:pPr>
        <w:tabs>
          <w:tab w:val="left" w:pos="360"/>
        </w:tabs>
        <w:jc w:val="both"/>
        <w:rPr>
          <w:rFonts w:asciiTheme="majorHAnsi" w:hAnsiTheme="majorHAnsi" w:cs="Arial"/>
          <w:sz w:val="20"/>
          <w:szCs w:val="20"/>
          <w:shd w:val="clear" w:color="auto" w:fill="FCFCFC"/>
          <w:lang w:val="es-AR"/>
        </w:rPr>
      </w:pPr>
    </w:p>
    <w:p w14:paraId="2D59AC67" w14:textId="77777777" w:rsidR="007D2C53" w:rsidRPr="00AD7158" w:rsidRDefault="009A6CB6" w:rsidP="007D2C53">
      <w:pPr>
        <w:pStyle w:val="ListParagraph"/>
      </w:pPr>
      <w:r w:rsidRPr="00AD7158">
        <w:t>En los casos del artículo anterior, transcurridos cinco años del cumplimiento de la reclusión accesoria, el tribunal que hubiera dictado la última condena o impuesto la pena única estará facultado para otorgarle la libertad condicional, previo informe de la autoridad penitenciaria, en las condiciones compromisorias previstas en el artículo 13, y siempre que el condenado hubiera mantenido buena conducta, demostrando aptitud y hábito para el trabajo, y demás actitudes que permitan suponer verosímilmente que no constituirá un peligro para la sociedad. Transcurridos cinco años de obtenida la libertad condicional el condenado podrá solicitar su libertad definitiva al tribunal que la concedió, el que decidirá según sea el resultado obtenido en el período de prueba y previo informe del patronato, institución o persona digna de confianza, a cuyo cargo haya estado el control de la actividad del liberado. Los condenados con la reclusión accesoria por tiempo indeterminado deberán cumplirla</w:t>
      </w:r>
      <w:r w:rsidR="000A7B59" w:rsidRPr="00AD7158">
        <w:t xml:space="preserve"> en establecimientos federales.</w:t>
      </w:r>
    </w:p>
    <w:p w14:paraId="6437C9C0" w14:textId="77777777" w:rsidR="00FF769E" w:rsidRPr="00AD7158" w:rsidRDefault="009A6CB6" w:rsidP="002D46B7">
      <w:pPr>
        <w:pStyle w:val="ListParagraph"/>
      </w:pPr>
      <w:r w:rsidRPr="00AD7158">
        <w:t xml:space="preserve">La violación por parte del liberado de cualquiera de las condiciones establecidas en el artículo 13 podrá determinar la revocatoria del beneficio acordado y su reintegro al régimen carcelario anterior. Después </w:t>
      </w:r>
      <w:r w:rsidRPr="00AD7158">
        <w:lastRenderedPageBreak/>
        <w:t>de transcurridos cinco años de su reintegro al régimen carcelario podrá en los casos de los incisos 1º, 2º, 3º y 5º del artículo 13, solicitar nuevamente su libertad condicional.</w:t>
      </w:r>
    </w:p>
    <w:p w14:paraId="4B43BEE3" w14:textId="77777777" w:rsidR="00FF769E" w:rsidRPr="00AD7158" w:rsidRDefault="00FF769E" w:rsidP="002D46B7">
      <w:pPr>
        <w:pStyle w:val="ListParagraph"/>
      </w:pPr>
    </w:p>
    <w:p w14:paraId="00FEF923" w14:textId="77777777" w:rsidR="00FF769E" w:rsidRPr="00AD7158" w:rsidRDefault="009347A4" w:rsidP="00C0381A">
      <w:pPr>
        <w:numPr>
          <w:ilvl w:val="0"/>
          <w:numId w:val="55"/>
        </w:numPr>
        <w:tabs>
          <w:tab w:val="left" w:pos="360"/>
        </w:tabs>
        <w:ind w:left="0" w:firstLine="0"/>
        <w:jc w:val="both"/>
        <w:rPr>
          <w:rFonts w:asciiTheme="majorHAnsi" w:hAnsiTheme="majorHAnsi"/>
          <w:sz w:val="20"/>
          <w:szCs w:val="20"/>
          <w:lang w:val="es-ES_tradnl"/>
        </w:rPr>
      </w:pPr>
      <w:r w:rsidRPr="00AD7158">
        <w:rPr>
          <w:rFonts w:asciiTheme="majorHAnsi" w:hAnsiTheme="majorHAnsi"/>
          <w:sz w:val="20"/>
          <w:szCs w:val="20"/>
          <w:lang w:val="es-ES_tradnl"/>
        </w:rPr>
        <w:t>El Código Procesal Penal de la Nación prevé el recurso de casación en los siguientes t</w:t>
      </w:r>
      <w:r w:rsidR="00C0381A" w:rsidRPr="00AD7158">
        <w:rPr>
          <w:rFonts w:asciiTheme="majorHAnsi" w:hAnsiTheme="majorHAnsi"/>
          <w:sz w:val="20"/>
          <w:szCs w:val="20"/>
          <w:lang w:val="es-ES_tradnl"/>
        </w:rPr>
        <w:t>érminos:</w:t>
      </w:r>
    </w:p>
    <w:p w14:paraId="50A8720E" w14:textId="77777777" w:rsidR="00FF769E" w:rsidRPr="00AD7158" w:rsidRDefault="00FF769E" w:rsidP="002D46B7">
      <w:pPr>
        <w:pStyle w:val="ListParagraph"/>
      </w:pPr>
    </w:p>
    <w:p w14:paraId="692C61B8" w14:textId="77777777" w:rsidR="00C0381A" w:rsidRPr="00AD7158" w:rsidRDefault="00C0381A" w:rsidP="002D46B7">
      <w:pPr>
        <w:pStyle w:val="ListParagraph"/>
      </w:pPr>
      <w:r w:rsidRPr="00AD7158">
        <w:t>Artículo 456 del CPPN. Procedencia.</w:t>
      </w:r>
    </w:p>
    <w:p w14:paraId="66ADC4F4" w14:textId="77777777" w:rsidR="00FF769E" w:rsidRPr="00AD7158" w:rsidRDefault="00FF769E" w:rsidP="002D46B7">
      <w:pPr>
        <w:pStyle w:val="ListParagraph"/>
      </w:pPr>
      <w:r w:rsidRPr="00AD7158">
        <w:t>El recurso de casación podrá ser interpuesto por los siguientes motivos:</w:t>
      </w:r>
    </w:p>
    <w:p w14:paraId="3369C12C" w14:textId="77777777" w:rsidR="00FF769E" w:rsidRPr="00AD7158" w:rsidRDefault="00FF769E" w:rsidP="002D46B7">
      <w:pPr>
        <w:pStyle w:val="ListParagraph"/>
      </w:pPr>
      <w:r w:rsidRPr="00AD7158">
        <w:t>1°) Inobservancia o errónea aplicación de la ley sustantiva.</w:t>
      </w:r>
    </w:p>
    <w:p w14:paraId="7B248A79" w14:textId="77777777" w:rsidR="00FF769E" w:rsidRPr="00AD7158" w:rsidRDefault="00FF769E" w:rsidP="002D46B7">
      <w:pPr>
        <w:pStyle w:val="ListParagraph"/>
      </w:pPr>
      <w:r w:rsidRPr="00AD7158">
        <w:t>2°) Inobservancia de las normas que este Código establece bajo pena de inadmisibilidad, caducidad o nulidad, siempre que, con excepción de los casos de nulidad absoluta, el recurrente haya reclamado oportunamente la subsanación del defecto, si era posible, o hecho protesta de recurrir en casación.</w:t>
      </w:r>
    </w:p>
    <w:p w14:paraId="43E14DD3" w14:textId="77777777" w:rsidR="00FF769E" w:rsidRPr="00AD7158" w:rsidRDefault="00FF769E" w:rsidP="00C0381A">
      <w:pPr>
        <w:pStyle w:val="parrafos"/>
        <w:numPr>
          <w:ilvl w:val="0"/>
          <w:numId w:val="0"/>
        </w:numPr>
        <w:ind w:left="360" w:hanging="360"/>
      </w:pPr>
    </w:p>
    <w:p w14:paraId="357379E2" w14:textId="77777777" w:rsidR="00C0381A" w:rsidRPr="00AD7158" w:rsidRDefault="00C0381A" w:rsidP="002D46B7">
      <w:pPr>
        <w:pStyle w:val="ListParagraph"/>
      </w:pPr>
      <w:r w:rsidRPr="00AD7158">
        <w:t xml:space="preserve">Artículo 457 del CPPN. </w:t>
      </w:r>
      <w:r w:rsidR="00FF769E" w:rsidRPr="00AD7158">
        <w:t xml:space="preserve">Resoluciones recurribles. </w:t>
      </w:r>
    </w:p>
    <w:p w14:paraId="2A17B1F6" w14:textId="77777777" w:rsidR="00FF769E" w:rsidRPr="00AD7158" w:rsidRDefault="00FF769E" w:rsidP="002D46B7">
      <w:pPr>
        <w:pStyle w:val="ListParagraph"/>
      </w:pPr>
      <w:r w:rsidRPr="00AD7158">
        <w:t>Además de los casos especialmente previstos por la ley y con las limitaciones establecidas en los artículos siguientes, podrá deducirse este recurso contra las sentencias definitivas y los autos que pongan fin a la acción o a la pena, o hagan imposible que continúen las actuaciones o denieguen la extinción, conmutación o suspensión de la pena.</w:t>
      </w:r>
    </w:p>
    <w:p w14:paraId="6A13028E" w14:textId="77777777" w:rsidR="00C0381A" w:rsidRPr="00AD7158" w:rsidRDefault="00C0381A" w:rsidP="00C0381A">
      <w:pPr>
        <w:pStyle w:val="ListParagraph"/>
        <w:rPr>
          <w:rFonts w:eastAsia="Times New Roman" w:cs="Times New Roman"/>
          <w:color w:val="auto"/>
          <w:sz w:val="20"/>
          <w:szCs w:val="20"/>
          <w:bdr w:val="none" w:sz="0" w:space="0" w:color="auto"/>
          <w:shd w:val="clear" w:color="auto" w:fill="auto"/>
          <w:lang w:val="es-ES_tradnl" w:eastAsia="en-US"/>
        </w:rPr>
      </w:pPr>
    </w:p>
    <w:p w14:paraId="7655F9C5" w14:textId="77777777" w:rsidR="00FF769E" w:rsidRPr="00AD7158" w:rsidRDefault="00C0381A" w:rsidP="00C0381A">
      <w:pPr>
        <w:pStyle w:val="ListParagraph"/>
      </w:pPr>
      <w:r w:rsidRPr="00AD7158">
        <w:t>Artículo</w:t>
      </w:r>
      <w:r w:rsidR="00470B39" w:rsidRPr="00AD7158">
        <w:t xml:space="preserve"> </w:t>
      </w:r>
      <w:r w:rsidRPr="00AD7158">
        <w:t>463 del CPPN. Interposición.</w:t>
      </w:r>
    </w:p>
    <w:p w14:paraId="5B5BE1E4" w14:textId="77777777" w:rsidR="00FF769E" w:rsidRPr="00AD7158" w:rsidRDefault="00FF769E" w:rsidP="00C404C6">
      <w:pPr>
        <w:pStyle w:val="ListParagraph"/>
      </w:pPr>
      <w:r w:rsidRPr="00AD7158">
        <w:t>El recurso de casación será interpuesto ante el tribunal que dictó la resolución, dentro del término de diez (10) días de notificada y mediante escrito con firma de letrado, en el cual se citarán concretamente las disposiciones legales que se consideren violadas o erróneamente aplicadas y se expresará cuál es la aplicación que se pretende. Deberá indicarse separadamente cada motivo. Fuera de esta oportunidad,</w:t>
      </w:r>
      <w:r w:rsidR="00C404C6" w:rsidRPr="00AD7158">
        <w:t xml:space="preserve"> no podrá alegarse ningún otro</w:t>
      </w:r>
      <w:r w:rsidR="003F2C23" w:rsidRPr="00AD7158">
        <w:rPr>
          <w:rStyle w:val="FootnoteReference"/>
          <w:szCs w:val="20"/>
          <w:lang w:val="es-ES_tradnl"/>
        </w:rPr>
        <w:footnoteReference w:id="5"/>
      </w:r>
      <w:r w:rsidR="00C404C6" w:rsidRPr="00AD7158">
        <w:t>.</w:t>
      </w:r>
    </w:p>
    <w:p w14:paraId="6EF5D43F" w14:textId="77777777" w:rsidR="00FF769E" w:rsidRPr="00AD7158" w:rsidRDefault="00FF769E" w:rsidP="00FF769E">
      <w:pPr>
        <w:tabs>
          <w:tab w:val="left" w:pos="360"/>
        </w:tabs>
        <w:jc w:val="both"/>
        <w:rPr>
          <w:rFonts w:asciiTheme="majorHAnsi" w:hAnsiTheme="majorHAnsi"/>
          <w:sz w:val="20"/>
          <w:szCs w:val="20"/>
          <w:lang w:val="es-ES_tradnl"/>
        </w:rPr>
      </w:pPr>
    </w:p>
    <w:p w14:paraId="67DC6EB8" w14:textId="77777777" w:rsidR="00FF769E" w:rsidRPr="00AD7158" w:rsidRDefault="00C1672B" w:rsidP="00FF769E">
      <w:pPr>
        <w:numPr>
          <w:ilvl w:val="0"/>
          <w:numId w:val="55"/>
        </w:numPr>
        <w:tabs>
          <w:tab w:val="left" w:pos="360"/>
        </w:tabs>
        <w:ind w:left="0" w:firstLine="0"/>
        <w:jc w:val="both"/>
        <w:rPr>
          <w:rFonts w:asciiTheme="majorHAnsi" w:hAnsiTheme="majorHAnsi"/>
          <w:sz w:val="20"/>
          <w:szCs w:val="20"/>
          <w:lang w:val="es-ES_tradnl"/>
        </w:rPr>
      </w:pPr>
      <w:r w:rsidRPr="00AD7158">
        <w:rPr>
          <w:rFonts w:asciiTheme="majorHAnsi" w:hAnsiTheme="majorHAnsi"/>
          <w:sz w:val="20"/>
          <w:szCs w:val="20"/>
          <w:lang w:val="es-ES_tradnl"/>
        </w:rPr>
        <w:t>E</w:t>
      </w:r>
      <w:r w:rsidR="00FF769E" w:rsidRPr="00AD7158">
        <w:rPr>
          <w:rFonts w:asciiTheme="majorHAnsi" w:hAnsiTheme="majorHAnsi"/>
          <w:sz w:val="20"/>
          <w:szCs w:val="20"/>
          <w:lang w:val="es-ES_tradnl"/>
        </w:rPr>
        <w:t xml:space="preserve">l recurso extraordinario está regulado en el Código Procesal Civil y Comercial de la Nación que, a su vez, remite a la Ley 48 de 1863, la cual establece las siguientes causales de procedencia en su artículo 14: </w:t>
      </w:r>
    </w:p>
    <w:p w14:paraId="0E90702C" w14:textId="77777777" w:rsidR="00FF769E" w:rsidRPr="00AD7158" w:rsidRDefault="00FF769E" w:rsidP="00FF769E">
      <w:pPr>
        <w:tabs>
          <w:tab w:val="left" w:pos="360"/>
        </w:tabs>
        <w:jc w:val="both"/>
        <w:rPr>
          <w:rFonts w:asciiTheme="majorHAnsi" w:hAnsiTheme="majorHAnsi"/>
          <w:sz w:val="20"/>
          <w:szCs w:val="20"/>
          <w:lang w:val="es-ES_tradnl"/>
        </w:rPr>
      </w:pPr>
    </w:p>
    <w:p w14:paraId="562C0DF7" w14:textId="77777777" w:rsidR="00FF769E" w:rsidRPr="00AD7158" w:rsidRDefault="00FF769E" w:rsidP="002D46B7">
      <w:pPr>
        <w:pStyle w:val="ListParagraph"/>
      </w:pPr>
      <w:r w:rsidRPr="00AD7158">
        <w:t>1° Cuando en el pleito se haya puesto en cuestión la validez de un Tratado, de una ley del Congreso, o de una autoridad ejercida en nombre de la Nación y la decisión haya sido contra su validez.</w:t>
      </w:r>
    </w:p>
    <w:p w14:paraId="7320AF98" w14:textId="77777777" w:rsidR="00FF769E" w:rsidRPr="00AD7158" w:rsidRDefault="00FF769E" w:rsidP="002D46B7">
      <w:pPr>
        <w:pStyle w:val="ListParagraph"/>
      </w:pPr>
      <w:r w:rsidRPr="00AD7158">
        <w:t>2° Cuando la validez de una ley, decreto o autoridad de Provincia se haya puesto en cuestión bajo la pretensión de ser repugnante a la Constitución Nacional, a los Tratados o leyes del Congreso, y la decisión haya sido en favor de la validez de la ley o autoridad de provincia.</w:t>
      </w:r>
    </w:p>
    <w:p w14:paraId="47FD4584" w14:textId="77777777" w:rsidR="00FF769E" w:rsidRPr="00AD7158" w:rsidRDefault="00FF769E" w:rsidP="002D46B7">
      <w:pPr>
        <w:pStyle w:val="ListParagraph"/>
      </w:pPr>
      <w:r w:rsidRPr="00AD7158">
        <w:t>3° Cuando la inteligencia de alguna cláusula de la Constitución, o de un Tratado o ley del Congreso, o una comisión ejercida en nombre de la autoridad nacional haya sido cuestionada y la decisión sea contra la validez del título, derecho; privilegio o exención que se funda en dicha cláusula y sea materia de litigio.</w:t>
      </w:r>
    </w:p>
    <w:p w14:paraId="5A60B6FD" w14:textId="77777777" w:rsidR="009B1049" w:rsidRPr="00AD7158" w:rsidRDefault="009B1049" w:rsidP="00B419FB">
      <w:pPr>
        <w:tabs>
          <w:tab w:val="left" w:pos="1440"/>
          <w:tab w:val="left" w:pos="1890"/>
        </w:tabs>
        <w:ind w:right="720"/>
        <w:rPr>
          <w:rFonts w:asciiTheme="majorHAnsi" w:hAnsiTheme="majorHAnsi" w:cs="Arial"/>
          <w:sz w:val="20"/>
          <w:szCs w:val="20"/>
          <w:shd w:val="clear" w:color="auto" w:fill="FCFCFC"/>
          <w:lang w:val="es-AR"/>
        </w:rPr>
      </w:pPr>
    </w:p>
    <w:p w14:paraId="4B58E02D" w14:textId="77777777" w:rsidR="00F37296" w:rsidRPr="00AD7158" w:rsidRDefault="00D70CCB" w:rsidP="00D70CCB">
      <w:pPr>
        <w:pStyle w:val="Heading2"/>
      </w:pPr>
      <w:bookmarkStart w:id="8" w:name="_Toc489610454"/>
      <w:bookmarkStart w:id="9" w:name="_Toc30670581"/>
      <w:r w:rsidRPr="00AD7158">
        <w:rPr>
          <w:lang w:val="es-AR"/>
        </w:rPr>
        <w:t xml:space="preserve">B. </w:t>
      </w:r>
      <w:r w:rsidR="00F0247F" w:rsidRPr="00AD7158">
        <w:rPr>
          <w:lang w:val="es-AR"/>
        </w:rPr>
        <w:t>La</w:t>
      </w:r>
      <w:r w:rsidR="00F0247F" w:rsidRPr="00AD7158">
        <w:t xml:space="preserve"> práctica judicial en Argentina y el fallo “Casal” de 2005</w:t>
      </w:r>
      <w:bookmarkEnd w:id="8"/>
      <w:bookmarkEnd w:id="9"/>
      <w:r w:rsidR="00AF4E2C" w:rsidRPr="00AD7158">
        <w:t xml:space="preserve"> </w:t>
      </w:r>
    </w:p>
    <w:p w14:paraId="2B9CF724" w14:textId="77777777" w:rsidR="005F47E6" w:rsidRPr="00AD7158" w:rsidRDefault="005F47E6" w:rsidP="00B419FB">
      <w:pPr>
        <w:rPr>
          <w:rFonts w:asciiTheme="majorHAnsi" w:hAnsiTheme="majorHAnsi"/>
          <w:sz w:val="20"/>
          <w:szCs w:val="20"/>
          <w:lang w:val="es-ES_tradnl"/>
        </w:rPr>
      </w:pPr>
    </w:p>
    <w:p w14:paraId="3FC1DCEC" w14:textId="77777777" w:rsidR="00D1268A" w:rsidRPr="00AD7158" w:rsidRDefault="00D1268A" w:rsidP="006412DC">
      <w:pPr>
        <w:pStyle w:val="parrafos"/>
        <w:ind w:left="0" w:firstLine="0"/>
      </w:pPr>
      <w:r w:rsidRPr="00AD7158">
        <w:t xml:space="preserve">Como la </w:t>
      </w:r>
      <w:r w:rsidR="00F870ED" w:rsidRPr="00AD7158">
        <w:t>CIDH</w:t>
      </w:r>
      <w:r w:rsidRPr="00AD7158">
        <w:t xml:space="preserve"> ha referido en casos anteriores</w:t>
      </w:r>
      <w:r w:rsidR="00E85ACA" w:rsidRPr="00AD7158">
        <w:rPr>
          <w:rStyle w:val="FootnoteReference"/>
          <w:sz w:val="20"/>
        </w:rPr>
        <w:footnoteReference w:id="6"/>
      </w:r>
      <w:r w:rsidRPr="00AD7158">
        <w:t xml:space="preserve">, la </w:t>
      </w:r>
      <w:r w:rsidR="00550921" w:rsidRPr="00AD7158">
        <w:t xml:space="preserve">CSJN </w:t>
      </w:r>
      <w:r w:rsidRPr="00AD7158">
        <w:t xml:space="preserve">en la sentencia conocida como “fallo Casal”, </w:t>
      </w:r>
      <w:r w:rsidR="00451187" w:rsidRPr="00AD7158">
        <w:t>de</w:t>
      </w:r>
      <w:r w:rsidRPr="00AD7158">
        <w:t xml:space="preserve"> 20 de septiembre de 2005, se refirió a la forma restrictiva como los jueces y, en particular, la Cámara Nacional de Casación Penal, interpretaron el alcance de la materia revisable a través del recurso de casación. En palabras de la </w:t>
      </w:r>
      <w:r w:rsidR="00F41040" w:rsidRPr="00AD7158">
        <w:t>CSJN</w:t>
      </w:r>
      <w:r w:rsidRPr="00AD7158">
        <w:t>:</w:t>
      </w:r>
    </w:p>
    <w:p w14:paraId="0B451018" w14:textId="77777777" w:rsidR="00D1268A" w:rsidRPr="00AD7158" w:rsidRDefault="00D1268A" w:rsidP="007B0855">
      <w:pPr>
        <w:tabs>
          <w:tab w:val="left" w:pos="1440"/>
          <w:tab w:val="left" w:pos="1890"/>
        </w:tabs>
        <w:ind w:right="720"/>
        <w:jc w:val="both"/>
        <w:rPr>
          <w:rFonts w:asciiTheme="majorHAnsi" w:hAnsiTheme="majorHAnsi" w:cstheme="majorHAnsi"/>
          <w:sz w:val="20"/>
          <w:szCs w:val="20"/>
          <w:lang w:val="es-VE"/>
        </w:rPr>
      </w:pPr>
    </w:p>
    <w:p w14:paraId="738731B2" w14:textId="77777777" w:rsidR="00D1268A" w:rsidRPr="00AD7158" w:rsidRDefault="00D1268A" w:rsidP="00B419FB">
      <w:pPr>
        <w:tabs>
          <w:tab w:val="left" w:pos="1440"/>
          <w:tab w:val="left" w:pos="1890"/>
        </w:tabs>
        <w:ind w:left="720" w:right="720"/>
        <w:jc w:val="both"/>
        <w:rPr>
          <w:rFonts w:asciiTheme="majorHAnsi" w:hAnsiTheme="majorHAnsi" w:cstheme="majorHAnsi"/>
          <w:sz w:val="18"/>
          <w:szCs w:val="18"/>
          <w:lang w:val="es-AR"/>
        </w:rPr>
      </w:pPr>
      <w:r w:rsidRPr="00AD7158">
        <w:rPr>
          <w:rFonts w:asciiTheme="majorHAnsi" w:hAnsiTheme="majorHAnsi" w:cstheme="majorHAnsi"/>
          <w:sz w:val="18"/>
          <w:szCs w:val="18"/>
          <w:lang w:val="es-AR"/>
        </w:rPr>
        <w:t xml:space="preserve">Resulta ilustrativo a los fines expositivos, destacar que este concepto de diferenciación entre cuestiones de hecho y derecho, vicios </w:t>
      </w:r>
      <w:r w:rsidRPr="00AD7158">
        <w:rPr>
          <w:rFonts w:asciiTheme="majorHAnsi" w:hAnsiTheme="majorHAnsi" w:cstheme="majorHAnsi"/>
          <w:i/>
          <w:sz w:val="18"/>
          <w:szCs w:val="18"/>
          <w:lang w:val="es-AR"/>
        </w:rPr>
        <w:t>in iudicando</w:t>
      </w:r>
      <w:r w:rsidRPr="00AD7158">
        <w:rPr>
          <w:rFonts w:asciiTheme="majorHAnsi" w:hAnsiTheme="majorHAnsi" w:cstheme="majorHAnsi"/>
          <w:sz w:val="18"/>
          <w:szCs w:val="18"/>
          <w:lang w:val="es-AR"/>
        </w:rPr>
        <w:t xml:space="preserve"> y vicios </w:t>
      </w:r>
      <w:r w:rsidRPr="00AD7158">
        <w:rPr>
          <w:rFonts w:asciiTheme="majorHAnsi" w:hAnsiTheme="majorHAnsi" w:cstheme="majorHAnsi"/>
          <w:i/>
          <w:sz w:val="18"/>
          <w:szCs w:val="18"/>
          <w:lang w:val="es-AR"/>
        </w:rPr>
        <w:t>in procedendo</w:t>
      </w:r>
      <w:r w:rsidRPr="00AD7158">
        <w:rPr>
          <w:rFonts w:asciiTheme="majorHAnsi" w:hAnsiTheme="majorHAnsi" w:cstheme="majorHAnsi"/>
          <w:sz w:val="18"/>
          <w:szCs w:val="18"/>
          <w:lang w:val="es-AR"/>
        </w:rPr>
        <w:t xml:space="preserve">, vicios de la actividad y vicios del juicio, o cualquier otra clasificación diferencial sobre las materias atendibles, ha deformado la práctica recursiva ante la Casación Nacional. </w:t>
      </w:r>
    </w:p>
    <w:p w14:paraId="248A76B9" w14:textId="77777777" w:rsidR="00D1268A" w:rsidRPr="00AD7158" w:rsidRDefault="00D1268A" w:rsidP="00B419FB">
      <w:pPr>
        <w:tabs>
          <w:tab w:val="left" w:pos="1440"/>
          <w:tab w:val="left" w:pos="1890"/>
        </w:tabs>
        <w:ind w:left="720" w:right="720"/>
        <w:jc w:val="both"/>
        <w:rPr>
          <w:rFonts w:asciiTheme="majorHAnsi" w:hAnsiTheme="majorHAnsi" w:cstheme="majorHAnsi"/>
          <w:sz w:val="18"/>
          <w:szCs w:val="18"/>
          <w:lang w:val="es-AR"/>
        </w:rPr>
      </w:pPr>
    </w:p>
    <w:p w14:paraId="6EF950D3" w14:textId="77777777" w:rsidR="00D1268A" w:rsidRPr="00AD7158" w:rsidRDefault="00D1268A" w:rsidP="00B419FB">
      <w:pPr>
        <w:tabs>
          <w:tab w:val="left" w:pos="1440"/>
          <w:tab w:val="left" w:pos="1890"/>
        </w:tabs>
        <w:ind w:left="720" w:right="720"/>
        <w:jc w:val="both"/>
        <w:rPr>
          <w:rFonts w:asciiTheme="majorHAnsi" w:hAnsiTheme="majorHAnsi" w:cstheme="majorHAnsi"/>
          <w:sz w:val="18"/>
          <w:szCs w:val="18"/>
          <w:lang w:val="es-AR"/>
        </w:rPr>
      </w:pPr>
      <w:r w:rsidRPr="00AD7158">
        <w:rPr>
          <w:rFonts w:asciiTheme="majorHAnsi" w:hAnsiTheme="majorHAnsi" w:cstheme="majorHAnsi"/>
          <w:sz w:val="18"/>
          <w:szCs w:val="18"/>
          <w:lang w:val="es-AR"/>
        </w:rPr>
        <w:t xml:space="preserve">Los recurrentes en general, advertidos de la política restrictiva en la admisión de recursos, intentan centrar los agravios que desarrollan bajo la fórmula del inc. 1 del art. 456 del Código Procesal Penal de la Nación, es decir, bajo el supuesto de inobservancia o errónea aplicación de la ley sustantiva, en casos en los cuales se discuten problemas de subsunción. La verdad, es que gran parte de estos planteos </w:t>
      </w:r>
      <w:r w:rsidRPr="00AD7158">
        <w:rPr>
          <w:rFonts w:asciiTheme="majorHAnsi" w:hAnsiTheme="majorHAnsi" w:cstheme="majorHAnsi"/>
          <w:sz w:val="18"/>
          <w:szCs w:val="18"/>
          <w:lang w:val="es-AR"/>
        </w:rPr>
        <w:lastRenderedPageBreak/>
        <w:t xml:space="preserve">introducen y a su vez versan sobre problemas vinculados con los hechos, con la prueba y la valoración que se haga de éstas, sea para demostrar la existencia o inexistencia de algún elemento del tipo objetivo, del dolo o de elementos subjetivos distintos del dolo que conforman el tipo penal. </w:t>
      </w:r>
    </w:p>
    <w:p w14:paraId="6D9EA2A4" w14:textId="77777777" w:rsidR="00D1268A" w:rsidRPr="00AD7158" w:rsidRDefault="00D1268A" w:rsidP="00B419FB">
      <w:pPr>
        <w:tabs>
          <w:tab w:val="left" w:pos="1440"/>
          <w:tab w:val="left" w:pos="1890"/>
        </w:tabs>
        <w:ind w:left="720" w:right="720"/>
        <w:jc w:val="both"/>
        <w:rPr>
          <w:rFonts w:asciiTheme="majorHAnsi" w:hAnsiTheme="majorHAnsi" w:cstheme="majorHAnsi"/>
          <w:sz w:val="18"/>
          <w:szCs w:val="18"/>
          <w:lang w:val="es-AR"/>
        </w:rPr>
      </w:pPr>
    </w:p>
    <w:p w14:paraId="79D24E4F" w14:textId="77777777" w:rsidR="00D1268A" w:rsidRPr="00AD7158" w:rsidRDefault="00D1268A" w:rsidP="00B419FB">
      <w:pPr>
        <w:tabs>
          <w:tab w:val="left" w:pos="1440"/>
          <w:tab w:val="left" w:pos="1890"/>
        </w:tabs>
        <w:ind w:left="720" w:right="720"/>
        <w:jc w:val="both"/>
        <w:rPr>
          <w:rFonts w:asciiTheme="majorHAnsi" w:hAnsiTheme="majorHAnsi" w:cstheme="majorHAnsi"/>
          <w:sz w:val="18"/>
          <w:szCs w:val="18"/>
          <w:lang w:val="es-AR"/>
        </w:rPr>
      </w:pPr>
      <w:r w:rsidRPr="00AD7158">
        <w:rPr>
          <w:rFonts w:asciiTheme="majorHAnsi" w:hAnsiTheme="majorHAnsi" w:cstheme="majorHAnsi"/>
          <w:sz w:val="18"/>
          <w:szCs w:val="18"/>
          <w:lang w:val="es-AR"/>
        </w:rPr>
        <w:t>[…] es sabido que los defensores, conociendo la renuencia jurisprudencial a discutir agravios vinculados con el hecho o con la prueba y su valoración en el ámbito casacional, tiendan a forzar el alcance del inc. 1 del art. 456 del Código Procesal Penal de la Nación</w:t>
      </w:r>
      <w:r w:rsidRPr="00AD7158">
        <w:rPr>
          <w:rStyle w:val="FootnoteReference"/>
          <w:sz w:val="18"/>
          <w:szCs w:val="18"/>
          <w:lang w:val="es-AR"/>
        </w:rPr>
        <w:footnoteReference w:id="7"/>
      </w:r>
      <w:r w:rsidRPr="00AD7158">
        <w:rPr>
          <w:rFonts w:asciiTheme="majorHAnsi" w:hAnsiTheme="majorHAnsi" w:cstheme="majorHAnsi"/>
          <w:sz w:val="18"/>
          <w:szCs w:val="18"/>
          <w:lang w:val="es-AR"/>
        </w:rPr>
        <w:t xml:space="preserve">. </w:t>
      </w:r>
    </w:p>
    <w:p w14:paraId="141319B9" w14:textId="77777777" w:rsidR="00D1268A" w:rsidRPr="00AD7158" w:rsidRDefault="00D1268A" w:rsidP="00B419FB">
      <w:pPr>
        <w:tabs>
          <w:tab w:val="left" w:pos="1440"/>
          <w:tab w:val="left" w:pos="1890"/>
        </w:tabs>
        <w:jc w:val="both"/>
        <w:rPr>
          <w:rFonts w:asciiTheme="majorHAnsi" w:hAnsiTheme="majorHAnsi" w:cstheme="majorHAnsi"/>
          <w:sz w:val="20"/>
          <w:szCs w:val="20"/>
          <w:lang w:val="es-AR"/>
        </w:rPr>
      </w:pPr>
    </w:p>
    <w:p w14:paraId="3BCE8CC6" w14:textId="77777777" w:rsidR="00E94F44" w:rsidRPr="00AD7158" w:rsidRDefault="007B0855" w:rsidP="00F870ED">
      <w:pPr>
        <w:pStyle w:val="parrafos"/>
        <w:ind w:left="0" w:firstLine="0"/>
      </w:pPr>
      <w:r w:rsidRPr="00AD7158">
        <w:t>T</w:t>
      </w:r>
      <w:r w:rsidR="00D1268A" w:rsidRPr="00AD7158">
        <w:t>ras considerar que la distinción entre cuestiones de derecho por un lado y de hecho o valoración probatoria por el otro, no debe</w:t>
      </w:r>
      <w:r w:rsidRPr="00AD7158">
        <w:t>n</w:t>
      </w:r>
      <w:r w:rsidR="00D1268A" w:rsidRPr="00AD7158">
        <w:t xml:space="preserve"> determinar el alcance de la revisión en casación, la </w:t>
      </w:r>
      <w:r w:rsidR="00F41040" w:rsidRPr="00AD7158">
        <w:t>CSJN</w:t>
      </w:r>
      <w:r w:rsidR="00D1268A" w:rsidRPr="00AD7158">
        <w:t xml:space="preserve"> emitió el fallo Casal, a través del cual efectuó una interpretación más amplia. </w:t>
      </w:r>
      <w:r w:rsidR="00E85ACA" w:rsidRPr="00AD7158">
        <w:t xml:space="preserve">Teniendo en cuenta que </w:t>
      </w:r>
      <w:r w:rsidR="004165BB" w:rsidRPr="00AD7158">
        <w:t xml:space="preserve">el </w:t>
      </w:r>
      <w:r w:rsidR="00E85ACA" w:rsidRPr="00AD7158">
        <w:t>proceso relevante para el presente caso culmin</w:t>
      </w:r>
      <w:r w:rsidR="004165BB" w:rsidRPr="00AD7158">
        <w:t>ó</w:t>
      </w:r>
      <w:r w:rsidR="00E85ACA" w:rsidRPr="00AD7158">
        <w:t xml:space="preserve"> antes de la emisión del fallo Casal, la Comisión no estima necesario detallar en este momento el alcance de dicha decisión. </w:t>
      </w:r>
    </w:p>
    <w:p w14:paraId="7DFB551A" w14:textId="77777777" w:rsidR="00E85ACA" w:rsidRPr="00AD7158" w:rsidRDefault="00E85ACA" w:rsidP="00B419FB">
      <w:pPr>
        <w:tabs>
          <w:tab w:val="left" w:pos="360"/>
        </w:tabs>
        <w:rPr>
          <w:rFonts w:asciiTheme="majorHAnsi" w:hAnsiTheme="majorHAnsi"/>
          <w:color w:val="FF0000"/>
          <w:sz w:val="20"/>
          <w:szCs w:val="20"/>
          <w:lang w:val="es-ES_tradnl"/>
        </w:rPr>
      </w:pPr>
    </w:p>
    <w:p w14:paraId="2DFCCA19" w14:textId="77777777" w:rsidR="00D70CCB" w:rsidRPr="00AD7158" w:rsidRDefault="00D70CCB" w:rsidP="00D70CCB">
      <w:pPr>
        <w:pStyle w:val="Heading2"/>
        <w:rPr>
          <w:rFonts w:cstheme="majorHAnsi"/>
          <w:lang w:val="es-AR"/>
        </w:rPr>
      </w:pPr>
      <w:bookmarkStart w:id="10" w:name="_Toc30670582"/>
      <w:r w:rsidRPr="00AD7158">
        <w:rPr>
          <w:rFonts w:cstheme="majorHAnsi"/>
          <w:lang w:val="es-ES_tradnl"/>
        </w:rPr>
        <w:t xml:space="preserve">C. </w:t>
      </w:r>
      <w:r w:rsidRPr="00AD7158">
        <w:rPr>
          <w:rFonts w:cstheme="majorHAnsi"/>
          <w:lang w:val="es-AR"/>
        </w:rPr>
        <w:t>La práctica judicial en Argentina y el fallo “Gramajo” de 2006</w:t>
      </w:r>
      <w:bookmarkEnd w:id="10"/>
    </w:p>
    <w:p w14:paraId="55E1DA1A" w14:textId="77777777" w:rsidR="00D70CCB" w:rsidRPr="00AD7158" w:rsidRDefault="00D70CCB" w:rsidP="00D70CCB">
      <w:pPr>
        <w:pStyle w:val="parrafos"/>
        <w:numPr>
          <w:ilvl w:val="0"/>
          <w:numId w:val="0"/>
        </w:numPr>
        <w:rPr>
          <w:color w:val="auto"/>
          <w:lang w:val="es-ES_tradnl"/>
        </w:rPr>
      </w:pPr>
    </w:p>
    <w:p w14:paraId="5478FA0D" w14:textId="77777777" w:rsidR="00D70CCB" w:rsidRPr="00AD7158" w:rsidRDefault="003A2D19" w:rsidP="003A2D19">
      <w:pPr>
        <w:pStyle w:val="parrafos"/>
        <w:ind w:left="0" w:firstLine="0"/>
      </w:pPr>
      <w:r w:rsidRPr="00AD7158">
        <w:rPr>
          <w:lang w:val="es-ES_tradnl"/>
        </w:rPr>
        <w:t xml:space="preserve">El </w:t>
      </w:r>
      <w:r w:rsidRPr="00AD7158">
        <w:t>5 de septiembre de 2006,</w:t>
      </w:r>
      <w:r w:rsidRPr="00AD7158">
        <w:rPr>
          <w:lang w:val="es-ES_tradnl"/>
        </w:rPr>
        <w:t xml:space="preserve"> l</w:t>
      </w:r>
      <w:r w:rsidR="00D70CCB" w:rsidRPr="00AD7158">
        <w:t xml:space="preserve">a </w:t>
      </w:r>
      <w:r w:rsidR="00550921" w:rsidRPr="00AD7158">
        <w:t>CSJN</w:t>
      </w:r>
      <w:r w:rsidR="00D70CCB" w:rsidRPr="00AD7158">
        <w:t xml:space="preserve">, </w:t>
      </w:r>
      <w:r w:rsidRPr="00AD7158">
        <w:t>conociendo de un recurso extraordinario, dictó una sentencia</w:t>
      </w:r>
      <w:r w:rsidR="00D70CCB" w:rsidRPr="00AD7158">
        <w:t xml:space="preserve"> conocida como “fallo Gramajo</w:t>
      </w:r>
      <w:r w:rsidRPr="00AD7158">
        <w:t>”. En dicho asunto, declaró en el caso concreto, que la pena de reclusión por tiempo indeterminado prevista en el art. 52 del Código Penal era inconstitucional.</w:t>
      </w:r>
      <w:r w:rsidR="00513629" w:rsidRPr="00AD7158">
        <w:t xml:space="preserve"> </w:t>
      </w:r>
      <w:r w:rsidRPr="00AD7158">
        <w:t>L</w:t>
      </w:r>
      <w:r w:rsidR="00D70CCB" w:rsidRPr="00AD7158">
        <w:t xml:space="preserve">a </w:t>
      </w:r>
      <w:r w:rsidR="00F41040" w:rsidRPr="00AD7158">
        <w:t>CSJN</w:t>
      </w:r>
      <w:r w:rsidR="00D70CCB" w:rsidRPr="00AD7158">
        <w:t xml:space="preserve"> estableció que:</w:t>
      </w:r>
    </w:p>
    <w:p w14:paraId="401DA010" w14:textId="77777777" w:rsidR="0035627E" w:rsidRPr="00AD7158" w:rsidRDefault="0035627E" w:rsidP="00C1672B">
      <w:pPr>
        <w:tabs>
          <w:tab w:val="left" w:pos="1440"/>
          <w:tab w:val="left" w:pos="1890"/>
        </w:tabs>
        <w:ind w:right="720"/>
        <w:jc w:val="both"/>
        <w:rPr>
          <w:rFonts w:asciiTheme="majorHAnsi" w:hAnsiTheme="majorHAnsi" w:cstheme="majorHAnsi"/>
          <w:sz w:val="18"/>
          <w:szCs w:val="18"/>
          <w:lang w:val="es-AR"/>
        </w:rPr>
      </w:pPr>
    </w:p>
    <w:p w14:paraId="4B924966" w14:textId="77777777" w:rsidR="002B60D3" w:rsidRPr="00AD7158" w:rsidRDefault="002B60D3" w:rsidP="002B60D3">
      <w:pPr>
        <w:tabs>
          <w:tab w:val="left" w:pos="1440"/>
          <w:tab w:val="left" w:pos="1890"/>
        </w:tabs>
        <w:ind w:left="720" w:right="720"/>
        <w:jc w:val="both"/>
        <w:rPr>
          <w:rFonts w:asciiTheme="majorHAnsi" w:hAnsiTheme="majorHAnsi" w:cstheme="majorHAnsi"/>
          <w:sz w:val="18"/>
          <w:szCs w:val="18"/>
          <w:lang w:val="es-AR"/>
        </w:rPr>
      </w:pPr>
      <w:r w:rsidRPr="00AD7158">
        <w:rPr>
          <w:rFonts w:asciiTheme="majorHAnsi" w:hAnsiTheme="majorHAnsi" w:cstheme="majorHAnsi"/>
          <w:sz w:val="18"/>
          <w:szCs w:val="18"/>
          <w:lang w:val="es-AR"/>
        </w:rPr>
        <w:t>17) Que la pena de reclusión indeterminada del art. 52 del Código Penal es una clara manifestación de derecho penal de autor, sea que se la llame medida de seguridad o que se respete el digno nombre de pena, sea que se la quiera fundar en la culpabilidad o en la peligrosidad. En cualquier caso, resulta claro que no se está retribuyendo la lesión a un bien jurídico ajeno causada por un acto, sino que en realidad</w:t>
      </w:r>
    </w:p>
    <w:p w14:paraId="4616A1C0" w14:textId="77777777" w:rsidR="00D135CD" w:rsidRPr="00AD7158" w:rsidRDefault="002B60D3" w:rsidP="00870B97">
      <w:pPr>
        <w:tabs>
          <w:tab w:val="left" w:pos="1440"/>
          <w:tab w:val="left" w:pos="1890"/>
        </w:tabs>
        <w:ind w:left="720" w:right="720"/>
        <w:jc w:val="both"/>
        <w:rPr>
          <w:rFonts w:asciiTheme="majorHAnsi" w:hAnsiTheme="majorHAnsi" w:cstheme="majorHAnsi"/>
          <w:sz w:val="18"/>
          <w:szCs w:val="18"/>
          <w:lang w:val="es-AR"/>
        </w:rPr>
      </w:pPr>
      <w:r w:rsidRPr="00AD7158">
        <w:rPr>
          <w:rFonts w:asciiTheme="majorHAnsi" w:hAnsiTheme="majorHAnsi" w:cstheme="majorHAnsi"/>
          <w:sz w:val="18"/>
          <w:szCs w:val="18"/>
          <w:lang w:val="es-AR"/>
        </w:rPr>
        <w:t>se apunta a encerrar a una persona en una prisión, bajo un régimen carcelario y por un tiempo mucho mayor al que correspondería de acuerdo con la pena establecida para el delito cometido, debido a la forma en que conduce su vida, que el estado decide considerar culpable o peligrosa.</w:t>
      </w:r>
      <w:r w:rsidR="003345B2" w:rsidRPr="00AD7158">
        <w:rPr>
          <w:rFonts w:asciiTheme="majorHAnsi" w:hAnsiTheme="majorHAnsi" w:cstheme="majorHAnsi"/>
          <w:sz w:val="18"/>
          <w:szCs w:val="18"/>
          <w:lang w:val="es-AR"/>
        </w:rPr>
        <w:t xml:space="preserve"> (…)</w:t>
      </w:r>
    </w:p>
    <w:p w14:paraId="6D481877" w14:textId="77777777" w:rsidR="00F1700D" w:rsidRPr="00AD7158" w:rsidRDefault="00F1700D" w:rsidP="0035627E">
      <w:pPr>
        <w:tabs>
          <w:tab w:val="left" w:pos="1440"/>
          <w:tab w:val="left" w:pos="1890"/>
        </w:tabs>
        <w:ind w:left="720" w:right="720"/>
        <w:jc w:val="both"/>
        <w:rPr>
          <w:rFonts w:asciiTheme="majorHAnsi" w:hAnsiTheme="majorHAnsi" w:cstheme="majorHAnsi"/>
          <w:sz w:val="18"/>
          <w:szCs w:val="18"/>
          <w:lang w:val="es-AR"/>
        </w:rPr>
      </w:pPr>
    </w:p>
    <w:p w14:paraId="01DF85A5" w14:textId="77777777" w:rsidR="00F1700D" w:rsidRPr="00AD7158" w:rsidRDefault="00F1700D" w:rsidP="00F1700D">
      <w:pPr>
        <w:tabs>
          <w:tab w:val="left" w:pos="1440"/>
          <w:tab w:val="left" w:pos="1890"/>
        </w:tabs>
        <w:ind w:left="720" w:right="720"/>
        <w:jc w:val="both"/>
        <w:rPr>
          <w:rFonts w:asciiTheme="majorHAnsi" w:hAnsiTheme="majorHAnsi" w:cstheme="majorHAnsi"/>
          <w:sz w:val="18"/>
          <w:szCs w:val="18"/>
          <w:lang w:val="es-ES"/>
        </w:rPr>
      </w:pPr>
      <w:r w:rsidRPr="00AD7158">
        <w:rPr>
          <w:rFonts w:asciiTheme="majorHAnsi" w:hAnsiTheme="majorHAnsi" w:cstheme="majorHAnsi"/>
          <w:sz w:val="18"/>
          <w:szCs w:val="18"/>
          <w:lang w:val="es-AR"/>
        </w:rPr>
        <w:t>32) Que de acuerdo con lo hasta aquí expuesto, habrá de declararse que, en el caso concreto, la pena de reclusión por tiempo indeterminado prevista en el art. 52 del Código Penal resulta inconstitucional por cuanto viola el principio de culpabilidad, el principio de proporcionalidad de la pena, el principio de reserva, el principio de legalidad, el principio de derecho penal de acto, el principio de prohibición de</w:t>
      </w:r>
      <w:r w:rsidR="009E4DEE" w:rsidRPr="00AD7158">
        <w:rPr>
          <w:rFonts w:asciiTheme="majorHAnsi" w:hAnsiTheme="majorHAnsi" w:cstheme="majorHAnsi"/>
          <w:sz w:val="18"/>
          <w:szCs w:val="18"/>
          <w:lang w:val="es-AR"/>
        </w:rPr>
        <w:t xml:space="preserve"> </w:t>
      </w:r>
      <w:r w:rsidRPr="00AD7158">
        <w:rPr>
          <w:rFonts w:asciiTheme="majorHAnsi" w:hAnsiTheme="majorHAnsi" w:cstheme="majorHAnsi"/>
          <w:sz w:val="18"/>
          <w:szCs w:val="18"/>
          <w:lang w:val="es-AR"/>
        </w:rPr>
        <w:t>persecución penal múltiple (</w:t>
      </w:r>
      <w:r w:rsidRPr="00AD7158">
        <w:rPr>
          <w:rFonts w:asciiTheme="majorHAnsi" w:hAnsiTheme="majorHAnsi" w:cstheme="majorHAnsi"/>
          <w:i/>
          <w:sz w:val="18"/>
          <w:szCs w:val="18"/>
          <w:lang w:val="es-AR"/>
        </w:rPr>
        <w:t>ne bis in idem</w:t>
      </w:r>
      <w:r w:rsidRPr="00AD7158">
        <w:rPr>
          <w:rFonts w:asciiTheme="majorHAnsi" w:hAnsiTheme="majorHAnsi" w:cstheme="majorHAnsi"/>
          <w:sz w:val="18"/>
          <w:szCs w:val="18"/>
          <w:lang w:val="es-AR"/>
        </w:rPr>
        <w:t>) y el principio de prohibición de imposición de penas crueles, inhumanas y degradantes, todos los cuales aparecen reconocidos en las garantías constitucio</w:t>
      </w:r>
      <w:r w:rsidR="009E4DEE" w:rsidRPr="00AD7158">
        <w:rPr>
          <w:rFonts w:asciiTheme="majorHAnsi" w:hAnsiTheme="majorHAnsi" w:cstheme="majorHAnsi"/>
          <w:sz w:val="18"/>
          <w:szCs w:val="18"/>
          <w:lang w:val="es-AR"/>
        </w:rPr>
        <w:t xml:space="preserve">nales consagradas </w:t>
      </w:r>
      <w:r w:rsidRPr="00AD7158">
        <w:rPr>
          <w:rFonts w:asciiTheme="majorHAnsi" w:hAnsiTheme="majorHAnsi" w:cstheme="majorHAnsi"/>
          <w:sz w:val="18"/>
          <w:szCs w:val="18"/>
          <w:lang w:val="es-AR"/>
        </w:rPr>
        <w:t xml:space="preserve">de manera expresa o </w:t>
      </w:r>
      <w:r w:rsidR="009E4DEE" w:rsidRPr="00AD7158">
        <w:rPr>
          <w:rFonts w:asciiTheme="majorHAnsi" w:hAnsiTheme="majorHAnsi" w:cstheme="majorHAnsi"/>
          <w:sz w:val="18"/>
          <w:szCs w:val="18"/>
          <w:lang w:val="es-AR"/>
        </w:rPr>
        <w:t>por derivación</w:t>
      </w:r>
      <w:r w:rsidRPr="00AD7158">
        <w:rPr>
          <w:rFonts w:asciiTheme="majorHAnsi" w:hAnsiTheme="majorHAnsi" w:cstheme="majorHAnsi"/>
          <w:sz w:val="18"/>
          <w:szCs w:val="18"/>
          <w:lang w:val="es-AR"/>
        </w:rPr>
        <w:t xml:space="preserve"> en los arts. 18 y 19 de la Constitución Nacional y en diversos instrumentos internacionales sobre derechos humanos, que forman parte de nuestro bloque de constitucionalidad, conforme la incorporación efectuada por el art. 75, inc. 22 de nuestra ley fundamental, entre los que cabe mencionar la convención Americana sobre Derechos Humanos (art.</w:t>
      </w:r>
      <w:r w:rsidRPr="00AD7158">
        <w:rPr>
          <w:rFonts w:asciiTheme="majorHAnsi" w:hAnsiTheme="majorHAnsi"/>
          <w:sz w:val="18"/>
          <w:szCs w:val="18"/>
          <w:lang w:val="es-ES"/>
        </w:rPr>
        <w:t xml:space="preserve"> </w:t>
      </w:r>
      <w:r w:rsidRPr="00AD7158">
        <w:rPr>
          <w:rFonts w:asciiTheme="majorHAnsi" w:hAnsiTheme="majorHAnsi" w:cstheme="majorHAnsi"/>
          <w:sz w:val="18"/>
          <w:szCs w:val="18"/>
          <w:lang w:val="es-AR"/>
        </w:rPr>
        <w:t xml:space="preserve">9), el Pacto Internacional de Derechos Civiles y Políticos (art. 7) y la Convención contra la Tortura y otros tratos o </w:t>
      </w:r>
      <w:r w:rsidRPr="00AD7158">
        <w:rPr>
          <w:rFonts w:asciiTheme="majorHAnsi" w:hAnsiTheme="majorHAnsi" w:cstheme="majorHAnsi"/>
          <w:sz w:val="18"/>
          <w:szCs w:val="18"/>
          <w:lang w:val="es-ES"/>
        </w:rPr>
        <w:t>Penas Crueles, Inhumanos o Degradantes.</w:t>
      </w:r>
    </w:p>
    <w:p w14:paraId="7716BA85" w14:textId="77777777" w:rsidR="0035627E" w:rsidRPr="00AD7158" w:rsidRDefault="0035627E" w:rsidP="00D70CCB">
      <w:pPr>
        <w:pStyle w:val="parrafos"/>
        <w:numPr>
          <w:ilvl w:val="0"/>
          <w:numId w:val="0"/>
        </w:numPr>
        <w:rPr>
          <w:color w:val="FF0000"/>
          <w:lang w:val="es-ES"/>
        </w:rPr>
      </w:pPr>
    </w:p>
    <w:p w14:paraId="3DFE6745" w14:textId="77777777" w:rsidR="004D195F" w:rsidRPr="00AD7158" w:rsidRDefault="00D70CCB" w:rsidP="00D70CCB">
      <w:pPr>
        <w:pStyle w:val="Heading2"/>
        <w:rPr>
          <w:rFonts w:cstheme="majorHAnsi"/>
          <w:lang w:val="es-AR"/>
        </w:rPr>
      </w:pPr>
      <w:bookmarkStart w:id="11" w:name="_Toc30670583"/>
      <w:r w:rsidRPr="00AD7158">
        <w:rPr>
          <w:rFonts w:cstheme="majorHAnsi"/>
          <w:lang w:val="es-AR"/>
        </w:rPr>
        <w:t xml:space="preserve">D. </w:t>
      </w:r>
      <w:r w:rsidR="0022273F" w:rsidRPr="00AD7158">
        <w:rPr>
          <w:rFonts w:cstheme="majorHAnsi"/>
          <w:lang w:val="es-AR"/>
        </w:rPr>
        <w:t>Hechos del caso</w:t>
      </w:r>
      <w:bookmarkEnd w:id="11"/>
    </w:p>
    <w:p w14:paraId="63CCA2A6" w14:textId="77777777" w:rsidR="00D0672E" w:rsidRPr="00AD7158" w:rsidRDefault="00D0672E" w:rsidP="00B419FB">
      <w:pPr>
        <w:tabs>
          <w:tab w:val="left" w:pos="360"/>
        </w:tabs>
        <w:jc w:val="both"/>
        <w:rPr>
          <w:rFonts w:asciiTheme="majorHAnsi" w:hAnsiTheme="majorHAnsi"/>
          <w:sz w:val="20"/>
          <w:szCs w:val="20"/>
          <w:lang w:val="es-AR"/>
        </w:rPr>
      </w:pPr>
    </w:p>
    <w:p w14:paraId="3C889950" w14:textId="77777777" w:rsidR="00273926" w:rsidRPr="00AD7158" w:rsidRDefault="004B7A1E" w:rsidP="00222BD0">
      <w:pPr>
        <w:pStyle w:val="parrafos"/>
        <w:ind w:left="0" w:firstLine="0"/>
        <w:rPr>
          <w:lang w:val="es-AR"/>
        </w:rPr>
      </w:pPr>
      <w:r w:rsidRPr="00AD7158">
        <w:t>Guillermo</w:t>
      </w:r>
      <w:r w:rsidRPr="00AD7158">
        <w:rPr>
          <w:lang w:val="es-AR"/>
        </w:rPr>
        <w:t xml:space="preserve"> Antonio Álvarez</w:t>
      </w:r>
      <w:r w:rsidR="00BC1D4B" w:rsidRPr="00AD7158">
        <w:rPr>
          <w:lang w:val="es-AR"/>
        </w:rPr>
        <w:t>, presunta víctima,</w:t>
      </w:r>
      <w:r w:rsidRPr="00AD7158">
        <w:rPr>
          <w:lang w:val="es-AR"/>
        </w:rPr>
        <w:t xml:space="preserve"> es a</w:t>
      </w:r>
      <w:r w:rsidR="00D86E51" w:rsidRPr="00AD7158">
        <w:rPr>
          <w:lang w:val="es-AR"/>
        </w:rPr>
        <w:t>rgentino</w:t>
      </w:r>
      <w:r w:rsidR="00273926" w:rsidRPr="00AD7158">
        <w:rPr>
          <w:lang w:val="es-AR"/>
        </w:rPr>
        <w:t>, nacido el 21 de marzo de 1978</w:t>
      </w:r>
      <w:r w:rsidR="00273926" w:rsidRPr="00AD7158">
        <w:rPr>
          <w:rStyle w:val="FootnoteReference"/>
          <w:sz w:val="20"/>
          <w:lang w:val="es-AR"/>
        </w:rPr>
        <w:footnoteReference w:id="8"/>
      </w:r>
      <w:r w:rsidR="00273926" w:rsidRPr="00AD7158">
        <w:rPr>
          <w:lang w:val="es-AR"/>
        </w:rPr>
        <w:t>.</w:t>
      </w:r>
      <w:r w:rsidR="00F22665" w:rsidRPr="00AD7158">
        <w:rPr>
          <w:lang w:val="es-AR"/>
        </w:rPr>
        <w:t xml:space="preserve"> Se le inició</w:t>
      </w:r>
      <w:r w:rsidR="002D0BA4" w:rsidRPr="00AD7158">
        <w:rPr>
          <w:lang w:val="es-AR"/>
        </w:rPr>
        <w:t xml:space="preserve"> un</w:t>
      </w:r>
      <w:r w:rsidRPr="00AD7158">
        <w:rPr>
          <w:lang w:val="es-AR"/>
        </w:rPr>
        <w:t xml:space="preserve"> proceso penal</w:t>
      </w:r>
      <w:r w:rsidR="00CC5AB4" w:rsidRPr="00AD7158">
        <w:rPr>
          <w:lang w:val="es-AR"/>
        </w:rPr>
        <w:t xml:space="preserve"> ante el TOM</w:t>
      </w:r>
      <w:r w:rsidR="002136D9" w:rsidRPr="00AD7158">
        <w:rPr>
          <w:lang w:val="es-AR"/>
        </w:rPr>
        <w:t>,</w:t>
      </w:r>
      <w:r w:rsidR="002136D9" w:rsidRPr="00AD7158">
        <w:rPr>
          <w:lang w:val="es-ES"/>
        </w:rPr>
        <w:t xml:space="preserve"> Causa </w:t>
      </w:r>
      <w:r w:rsidR="002136D9" w:rsidRPr="00AD7158">
        <w:rPr>
          <w:lang w:val="es-AR"/>
        </w:rPr>
        <w:t xml:space="preserve">No. 1048, </w:t>
      </w:r>
      <w:r w:rsidRPr="00AD7158">
        <w:rPr>
          <w:lang w:val="es-AR"/>
        </w:rPr>
        <w:t>por los delitos de robo y homicidio ocurridos entre los días 27 y 28 de julio de 1996</w:t>
      </w:r>
      <w:r w:rsidR="00210FA9" w:rsidRPr="00AD7158">
        <w:rPr>
          <w:rStyle w:val="FootnoteReference"/>
          <w:sz w:val="20"/>
          <w:lang w:val="es-AR"/>
        </w:rPr>
        <w:footnoteReference w:id="9"/>
      </w:r>
      <w:r w:rsidRPr="00AD7158">
        <w:rPr>
          <w:lang w:val="es-AR"/>
        </w:rPr>
        <w:t xml:space="preserve">. </w:t>
      </w:r>
      <w:r w:rsidR="00BC1D4B" w:rsidRPr="00AD7158">
        <w:rPr>
          <w:lang w:val="es-AR"/>
        </w:rPr>
        <w:t>A la fecha del juicio oral se encontraba alojado en la U1 del S.P.F</w:t>
      </w:r>
      <w:r w:rsidR="00BC1D4B" w:rsidRPr="00AD7158">
        <w:rPr>
          <w:rStyle w:val="FootnoteReference"/>
          <w:sz w:val="20"/>
          <w:lang w:val="es-AR"/>
        </w:rPr>
        <w:footnoteReference w:id="10"/>
      </w:r>
      <w:r w:rsidR="00BC1D4B" w:rsidRPr="00AD7158">
        <w:rPr>
          <w:lang w:val="es-AR"/>
        </w:rPr>
        <w:t>.</w:t>
      </w:r>
    </w:p>
    <w:p w14:paraId="5F6E7830" w14:textId="77777777" w:rsidR="00273926" w:rsidRPr="00AD7158" w:rsidRDefault="00273926" w:rsidP="00B419FB">
      <w:pPr>
        <w:tabs>
          <w:tab w:val="left" w:pos="360"/>
        </w:tabs>
        <w:jc w:val="both"/>
        <w:rPr>
          <w:rFonts w:asciiTheme="majorHAnsi" w:hAnsiTheme="majorHAnsi"/>
          <w:sz w:val="20"/>
          <w:szCs w:val="20"/>
          <w:lang w:val="es-AR"/>
        </w:rPr>
      </w:pPr>
    </w:p>
    <w:p w14:paraId="2C05B962" w14:textId="77777777" w:rsidR="003C1AA4" w:rsidRPr="00AD7158" w:rsidRDefault="00D0672E" w:rsidP="00960796">
      <w:pPr>
        <w:pStyle w:val="parrafos"/>
        <w:ind w:left="0" w:firstLine="0"/>
        <w:rPr>
          <w:lang w:val="es-AR"/>
        </w:rPr>
      </w:pPr>
      <w:r w:rsidRPr="00AD7158">
        <w:rPr>
          <w:lang w:val="es-AR"/>
        </w:rPr>
        <w:t>El 22 de septiembre de 1999</w:t>
      </w:r>
      <w:r w:rsidR="00FA0C8B" w:rsidRPr="00AD7158">
        <w:rPr>
          <w:lang w:val="es-AR"/>
        </w:rPr>
        <w:t>, el</w:t>
      </w:r>
      <w:r w:rsidRPr="00AD7158">
        <w:rPr>
          <w:lang w:val="es-AR"/>
        </w:rPr>
        <w:t xml:space="preserve"> </w:t>
      </w:r>
      <w:r w:rsidR="008E2D5B" w:rsidRPr="00AD7158">
        <w:rPr>
          <w:lang w:val="es-AR"/>
        </w:rPr>
        <w:t>TOM</w:t>
      </w:r>
      <w:r w:rsidRPr="00AD7158">
        <w:rPr>
          <w:lang w:val="es-AR"/>
        </w:rPr>
        <w:t xml:space="preserve"> fijó audiencia de debate para los días 12, 13, 15, 18, 19, 20, 22, 25, 26, 27 y 29 de octubre de 1999 para juzgar oral y reservadamente a los procesados Guillermo Antonio Álvarez y Cesar Alberto Mendoza</w:t>
      </w:r>
      <w:r w:rsidR="008C26B6" w:rsidRPr="00AD7158">
        <w:rPr>
          <w:rStyle w:val="FootnoteReference"/>
          <w:sz w:val="20"/>
          <w:lang w:val="es-AR"/>
        </w:rPr>
        <w:footnoteReference w:id="11"/>
      </w:r>
      <w:r w:rsidRPr="00AD7158">
        <w:rPr>
          <w:lang w:val="es-AR"/>
        </w:rPr>
        <w:t>.</w:t>
      </w:r>
      <w:r w:rsidR="00960796" w:rsidRPr="00AD7158">
        <w:rPr>
          <w:lang w:val="es-AR"/>
        </w:rPr>
        <w:t xml:space="preserve"> </w:t>
      </w:r>
      <w:r w:rsidR="00EE1CC3" w:rsidRPr="00AD7158">
        <w:rPr>
          <w:lang w:val="es-AR"/>
        </w:rPr>
        <w:t xml:space="preserve">El 8 de octubre de 1999, Guillermo Antonio Álvarez suscribió un escrito revocando </w:t>
      </w:r>
      <w:r w:rsidR="00EE1CC3" w:rsidRPr="00AD7158">
        <w:rPr>
          <w:lang w:val="es-AR"/>
        </w:rPr>
        <w:lastRenderedPageBreak/>
        <w:t xml:space="preserve">el poder </w:t>
      </w:r>
      <w:r w:rsidR="005C4137" w:rsidRPr="00AD7158">
        <w:rPr>
          <w:lang w:val="es-AR"/>
        </w:rPr>
        <w:t>otorgado</w:t>
      </w:r>
      <w:r w:rsidR="00EE1CC3" w:rsidRPr="00AD7158">
        <w:rPr>
          <w:lang w:val="es-AR"/>
        </w:rPr>
        <w:t xml:space="preserve"> a sus representantes, Enrique A. Piragini y Teodoro </w:t>
      </w:r>
      <w:r w:rsidR="005C4137" w:rsidRPr="00AD7158">
        <w:rPr>
          <w:lang w:val="es-AR"/>
        </w:rPr>
        <w:t>Álvarez</w:t>
      </w:r>
      <w:r w:rsidR="00A52DD8" w:rsidRPr="00AD7158">
        <w:rPr>
          <w:lang w:val="es-AR"/>
        </w:rPr>
        <w:t xml:space="preserve">, y </w:t>
      </w:r>
      <w:r w:rsidR="00E36BA1" w:rsidRPr="00AD7158">
        <w:rPr>
          <w:lang w:val="es-AR"/>
        </w:rPr>
        <w:t>solicitó</w:t>
      </w:r>
      <w:r w:rsidR="005C4137" w:rsidRPr="00AD7158">
        <w:rPr>
          <w:lang w:val="es-AR"/>
        </w:rPr>
        <w:t xml:space="preserve"> 10 días para designar nuevo defensor</w:t>
      </w:r>
      <w:r w:rsidR="005C4137" w:rsidRPr="00AD7158">
        <w:rPr>
          <w:rStyle w:val="FootnoteReference"/>
          <w:sz w:val="20"/>
          <w:lang w:val="es-AR"/>
        </w:rPr>
        <w:footnoteReference w:id="12"/>
      </w:r>
      <w:r w:rsidR="005C4137" w:rsidRPr="00AD7158">
        <w:rPr>
          <w:lang w:val="es-AR"/>
        </w:rPr>
        <w:t xml:space="preserve">. </w:t>
      </w:r>
    </w:p>
    <w:p w14:paraId="72A5A650" w14:textId="77777777" w:rsidR="003C1AA4" w:rsidRPr="00AD7158" w:rsidRDefault="003C1AA4" w:rsidP="003C1AA4">
      <w:pPr>
        <w:pStyle w:val="ListParagraph"/>
      </w:pPr>
    </w:p>
    <w:p w14:paraId="57EA305D" w14:textId="77777777" w:rsidR="001B70C0" w:rsidRPr="00AD7158" w:rsidRDefault="00961363" w:rsidP="003C1AA4">
      <w:pPr>
        <w:pStyle w:val="parrafos"/>
        <w:ind w:left="0" w:firstLine="0"/>
        <w:rPr>
          <w:lang w:val="es-AR"/>
        </w:rPr>
      </w:pPr>
      <w:r w:rsidRPr="00AD7158">
        <w:rPr>
          <w:lang w:val="es-AR"/>
        </w:rPr>
        <w:t>E</w:t>
      </w:r>
      <w:r w:rsidR="00E36BA1" w:rsidRPr="00AD7158">
        <w:rPr>
          <w:lang w:val="es-AR"/>
        </w:rPr>
        <w:t>l 12 de octubre de 1999,</w:t>
      </w:r>
      <w:r w:rsidRPr="00AD7158">
        <w:rPr>
          <w:lang w:val="es-AR"/>
        </w:rPr>
        <w:t xml:space="preserve"> el tribunal tuvo</w:t>
      </w:r>
      <w:r w:rsidR="00E36BA1" w:rsidRPr="00AD7158">
        <w:rPr>
          <w:lang w:val="es-AR"/>
        </w:rPr>
        <w:t xml:space="preserve"> por separados de la defensa a los defensores</w:t>
      </w:r>
      <w:r w:rsidRPr="00AD7158">
        <w:rPr>
          <w:lang w:val="es-AR"/>
        </w:rPr>
        <w:t xml:space="preserve">, y </w:t>
      </w:r>
      <w:r w:rsidR="00E36BA1" w:rsidRPr="00AD7158">
        <w:rPr>
          <w:lang w:val="es-AR"/>
        </w:rPr>
        <w:t>resolvió que mientras no se designase defensor</w:t>
      </w:r>
      <w:r w:rsidR="0071226E" w:rsidRPr="00AD7158">
        <w:rPr>
          <w:lang w:val="es-AR"/>
        </w:rPr>
        <w:t xml:space="preserve">, </w:t>
      </w:r>
      <w:r w:rsidR="00BC349D" w:rsidRPr="00AD7158">
        <w:rPr>
          <w:lang w:val="es-AR"/>
        </w:rPr>
        <w:t>el imputado</w:t>
      </w:r>
      <w:r w:rsidR="004F608D" w:rsidRPr="00AD7158">
        <w:rPr>
          <w:lang w:val="es-AR"/>
        </w:rPr>
        <w:t xml:space="preserve"> fuese representado por la Defensora Pública Oficial Adjunta, Nelly Amalia Allende</w:t>
      </w:r>
      <w:r w:rsidR="00351E51" w:rsidRPr="00AD7158">
        <w:rPr>
          <w:lang w:val="es-AR"/>
        </w:rPr>
        <w:t xml:space="preserve"> o quien legalmente la reemplace</w:t>
      </w:r>
      <w:r w:rsidR="00A52DD8" w:rsidRPr="00AD7158">
        <w:rPr>
          <w:lang w:val="es-AR"/>
        </w:rPr>
        <w:t xml:space="preserve"> en tal carácter</w:t>
      </w:r>
      <w:r w:rsidR="004F608D" w:rsidRPr="00AD7158">
        <w:rPr>
          <w:rStyle w:val="FootnoteReference"/>
          <w:sz w:val="20"/>
          <w:lang w:val="es-AR"/>
        </w:rPr>
        <w:footnoteReference w:id="13"/>
      </w:r>
      <w:r w:rsidR="004F608D" w:rsidRPr="00AD7158">
        <w:rPr>
          <w:lang w:val="es-AR"/>
        </w:rPr>
        <w:t>.</w:t>
      </w:r>
      <w:r w:rsidR="003C1AA4" w:rsidRPr="00AD7158">
        <w:rPr>
          <w:lang w:val="es-AR"/>
        </w:rPr>
        <w:t xml:space="preserve"> El mismo día</w:t>
      </w:r>
      <w:r w:rsidR="00CB7782" w:rsidRPr="00AD7158">
        <w:rPr>
          <w:lang w:val="es-AR"/>
        </w:rPr>
        <w:t xml:space="preserve">, el tribunal </w:t>
      </w:r>
      <w:r w:rsidR="00B2559D" w:rsidRPr="00AD7158">
        <w:rPr>
          <w:lang w:val="es-AR"/>
        </w:rPr>
        <w:t>adopt</w:t>
      </w:r>
      <w:r w:rsidR="00933253" w:rsidRPr="00AD7158">
        <w:rPr>
          <w:lang w:val="es-AR"/>
        </w:rPr>
        <w:t>ó</w:t>
      </w:r>
      <w:r w:rsidR="00B2559D" w:rsidRPr="00AD7158">
        <w:rPr>
          <w:lang w:val="es-AR"/>
        </w:rPr>
        <w:t xml:space="preserve"> una medida de sujeción respecto de Guillermo Antonio Álvarez, que consistía en la colocación de esposas durante la totalidad del transcurso del juicio</w:t>
      </w:r>
      <w:r w:rsidR="003C1AA4" w:rsidRPr="00AD7158">
        <w:rPr>
          <w:lang w:val="es-AR"/>
        </w:rPr>
        <w:t xml:space="preserve">, </w:t>
      </w:r>
      <w:r w:rsidR="00B2559D" w:rsidRPr="00AD7158">
        <w:rPr>
          <w:lang w:val="es-AR"/>
        </w:rPr>
        <w:t>funda</w:t>
      </w:r>
      <w:r w:rsidR="00F22665" w:rsidRPr="00AD7158">
        <w:rPr>
          <w:lang w:val="es-AR"/>
        </w:rPr>
        <w:t>do en</w:t>
      </w:r>
      <w:r w:rsidR="00B2559D" w:rsidRPr="00AD7158">
        <w:rPr>
          <w:lang w:val="es-AR"/>
        </w:rPr>
        <w:t xml:space="preserve"> lo informado por el Jefe del Grupo Especial de Intervención de la Dirección de Seguridad y Traslados del Servicio Penitenciario Federal; la causa No. 1680 del Registro del Juzgado en lo Criminal y Correccional </w:t>
      </w:r>
      <w:r w:rsidR="00D16829" w:rsidRPr="00AD7158">
        <w:rPr>
          <w:lang w:val="es-AR"/>
        </w:rPr>
        <w:t>Federal No. 2 de la Ciudad de Morón, caratulada “</w:t>
      </w:r>
      <w:r w:rsidR="00554209" w:rsidRPr="00AD7158">
        <w:rPr>
          <w:lang w:val="es-AR"/>
        </w:rPr>
        <w:t>Álvarez, Guillermo Antonio y otros, s/evasión, en grado de tentat</w:t>
      </w:r>
      <w:r w:rsidR="00293F4D" w:rsidRPr="00AD7158">
        <w:rPr>
          <w:lang w:val="es-AR"/>
        </w:rPr>
        <w:t>iva cometido en forma reiterada”</w:t>
      </w:r>
      <w:r w:rsidR="00B4429C" w:rsidRPr="00AD7158">
        <w:rPr>
          <w:lang w:val="es-AR"/>
        </w:rPr>
        <w:t>; lo informado por médicos; y lo preceptuado por el artículo 366 del C</w:t>
      </w:r>
      <w:r w:rsidR="00B17B22" w:rsidRPr="00AD7158">
        <w:rPr>
          <w:lang w:val="es-AR"/>
        </w:rPr>
        <w:t>PPN</w:t>
      </w:r>
      <w:r w:rsidR="008C26B6" w:rsidRPr="00AD7158">
        <w:rPr>
          <w:rStyle w:val="FootnoteReference"/>
          <w:sz w:val="20"/>
          <w:lang w:val="es-AR"/>
        </w:rPr>
        <w:footnoteReference w:id="14"/>
      </w:r>
      <w:r w:rsidR="00B4429C" w:rsidRPr="00AD7158">
        <w:rPr>
          <w:lang w:val="es-AR"/>
        </w:rPr>
        <w:t xml:space="preserve">. </w:t>
      </w:r>
      <w:r w:rsidR="00D86E51" w:rsidRPr="00AD7158">
        <w:rPr>
          <w:lang w:val="es-AR"/>
        </w:rPr>
        <w:t xml:space="preserve">La presunta víctima fue notificada de </w:t>
      </w:r>
      <w:r w:rsidR="003C1AA4" w:rsidRPr="00AD7158">
        <w:rPr>
          <w:lang w:val="es-AR"/>
        </w:rPr>
        <w:t>ambas</w:t>
      </w:r>
      <w:r w:rsidR="00D86E51" w:rsidRPr="00AD7158">
        <w:rPr>
          <w:lang w:val="es-AR"/>
        </w:rPr>
        <w:t xml:space="preserve"> resoluciones, e</w:t>
      </w:r>
      <w:r w:rsidR="009B525A" w:rsidRPr="00AD7158">
        <w:rPr>
          <w:lang w:val="es-AR"/>
        </w:rPr>
        <w:t>n la audiencia de debate</w:t>
      </w:r>
      <w:r w:rsidR="001B70C0" w:rsidRPr="00AD7158">
        <w:rPr>
          <w:lang w:val="es-AR"/>
        </w:rPr>
        <w:t xml:space="preserve">, </w:t>
      </w:r>
      <w:r w:rsidR="00BE0DA5" w:rsidRPr="00AD7158">
        <w:rPr>
          <w:lang w:val="es-AR"/>
        </w:rPr>
        <w:t>iniciada</w:t>
      </w:r>
      <w:r w:rsidR="001B70C0" w:rsidRPr="00AD7158">
        <w:rPr>
          <w:lang w:val="es-AR"/>
        </w:rPr>
        <w:t xml:space="preserve"> </w:t>
      </w:r>
      <w:r w:rsidR="009B525A" w:rsidRPr="00AD7158">
        <w:rPr>
          <w:lang w:val="es-AR"/>
        </w:rPr>
        <w:t>ese</w:t>
      </w:r>
      <w:r w:rsidR="00D86E51" w:rsidRPr="00AD7158">
        <w:rPr>
          <w:lang w:val="es-AR"/>
        </w:rPr>
        <w:t xml:space="preserve"> mismo día</w:t>
      </w:r>
      <w:r w:rsidR="00D86E51" w:rsidRPr="00AD7158">
        <w:rPr>
          <w:rStyle w:val="FootnoteReference"/>
          <w:sz w:val="20"/>
          <w:lang w:val="es-AR"/>
        </w:rPr>
        <w:footnoteReference w:id="15"/>
      </w:r>
      <w:r w:rsidR="002C3498" w:rsidRPr="00AD7158">
        <w:rPr>
          <w:lang w:val="es-AR"/>
        </w:rPr>
        <w:t>.</w:t>
      </w:r>
      <w:r w:rsidR="009B525A" w:rsidRPr="00AD7158">
        <w:rPr>
          <w:lang w:val="es-AR"/>
        </w:rPr>
        <w:t xml:space="preserve"> </w:t>
      </w:r>
    </w:p>
    <w:p w14:paraId="4E4E4FCD" w14:textId="77777777" w:rsidR="001B70C0" w:rsidRPr="00AD7158" w:rsidRDefault="001B70C0" w:rsidP="002D46B7">
      <w:pPr>
        <w:pStyle w:val="ListParagraph"/>
      </w:pPr>
    </w:p>
    <w:p w14:paraId="2D585A85" w14:textId="77777777" w:rsidR="00735C38" w:rsidRPr="00AD7158" w:rsidRDefault="009B525A" w:rsidP="00222BD0">
      <w:pPr>
        <w:pStyle w:val="parrafos"/>
        <w:ind w:left="0" w:firstLine="0"/>
        <w:rPr>
          <w:lang w:val="es-AR"/>
        </w:rPr>
      </w:pPr>
      <w:r w:rsidRPr="00AD7158">
        <w:rPr>
          <w:lang w:val="es-AR"/>
        </w:rPr>
        <w:t>En el contexto de la primera audiencia de debate, la defensora Nelly Amalia Allende, solicitó un receso de una hora, a fin de dialogar con la presunta víctima, cuestión a la que el Presidente del tribunal accedió</w:t>
      </w:r>
      <w:r w:rsidRPr="00AD7158">
        <w:rPr>
          <w:rStyle w:val="FootnoteReference"/>
          <w:sz w:val="20"/>
          <w:lang w:val="es-AR"/>
        </w:rPr>
        <w:footnoteReference w:id="16"/>
      </w:r>
      <w:r w:rsidRPr="00AD7158">
        <w:rPr>
          <w:lang w:val="es-AR"/>
        </w:rPr>
        <w:t xml:space="preserve">. </w:t>
      </w:r>
      <w:r w:rsidR="0040260F" w:rsidRPr="00AD7158">
        <w:rPr>
          <w:lang w:val="es-AR"/>
        </w:rPr>
        <w:t>En la audiencia</w:t>
      </w:r>
      <w:r w:rsidR="00B07ED5" w:rsidRPr="00AD7158">
        <w:rPr>
          <w:lang w:val="es-AR"/>
        </w:rPr>
        <w:t>,</w:t>
      </w:r>
      <w:r w:rsidR="0040260F" w:rsidRPr="00AD7158">
        <w:rPr>
          <w:lang w:val="es-AR"/>
        </w:rPr>
        <w:t xml:space="preserve"> la defensora repuso la decisión del tribunal </w:t>
      </w:r>
      <w:r w:rsidR="00BC24A7" w:rsidRPr="00AD7158">
        <w:rPr>
          <w:lang w:val="es-AR"/>
        </w:rPr>
        <w:t>sobre</w:t>
      </w:r>
      <w:r w:rsidR="0040260F" w:rsidRPr="00AD7158">
        <w:rPr>
          <w:lang w:val="es-AR"/>
        </w:rPr>
        <w:t xml:space="preserve"> la utilización de esposas</w:t>
      </w:r>
      <w:r w:rsidR="00F22665" w:rsidRPr="00AD7158">
        <w:rPr>
          <w:lang w:val="es-AR"/>
        </w:rPr>
        <w:t xml:space="preserve"> durante el debate, lo que alegó</w:t>
      </w:r>
      <w:r w:rsidR="0040260F" w:rsidRPr="00AD7158">
        <w:rPr>
          <w:lang w:val="es-AR"/>
        </w:rPr>
        <w:t xml:space="preserve"> afectaría la presunción de inocencia </w:t>
      </w:r>
      <w:r w:rsidR="000E3983" w:rsidRPr="00AD7158">
        <w:rPr>
          <w:lang w:val="es-AR"/>
        </w:rPr>
        <w:t xml:space="preserve">y dignidad </w:t>
      </w:r>
      <w:r w:rsidR="0040260F" w:rsidRPr="00AD7158">
        <w:rPr>
          <w:lang w:val="es-AR"/>
        </w:rPr>
        <w:t>de</w:t>
      </w:r>
      <w:r w:rsidR="00BC24A7" w:rsidRPr="00AD7158">
        <w:rPr>
          <w:lang w:val="es-AR"/>
        </w:rPr>
        <w:t>l señor</w:t>
      </w:r>
      <w:r w:rsidR="0040260F" w:rsidRPr="00AD7158">
        <w:rPr>
          <w:lang w:val="es-AR"/>
        </w:rPr>
        <w:t xml:space="preserve"> Álvarez</w:t>
      </w:r>
      <w:r w:rsidR="000E3983" w:rsidRPr="00AD7158">
        <w:rPr>
          <w:lang w:val="es-AR"/>
        </w:rPr>
        <w:t xml:space="preserve">. Asimismo, </w:t>
      </w:r>
      <w:r w:rsidR="00BC24A7" w:rsidRPr="00AD7158">
        <w:rPr>
          <w:lang w:val="es-AR"/>
        </w:rPr>
        <w:t>solicitó</w:t>
      </w:r>
      <w:r w:rsidR="000E3983" w:rsidRPr="00AD7158">
        <w:rPr>
          <w:lang w:val="es-AR"/>
        </w:rPr>
        <w:t xml:space="preserve"> una prórroga o suspensión del debate hasta el 19 de octubre de ese año, para una “apropiada estrategia respecto de la declaración de su reciente designado ahijado procesal”</w:t>
      </w:r>
      <w:r w:rsidR="008B2C01" w:rsidRPr="00AD7158">
        <w:rPr>
          <w:rStyle w:val="FootnoteReference"/>
          <w:sz w:val="20"/>
          <w:lang w:val="es-AR"/>
        </w:rPr>
        <w:t xml:space="preserve"> </w:t>
      </w:r>
      <w:r w:rsidR="008B2C01" w:rsidRPr="00AD7158">
        <w:rPr>
          <w:rStyle w:val="FootnoteReference"/>
          <w:sz w:val="20"/>
          <w:lang w:val="es-AR"/>
        </w:rPr>
        <w:footnoteReference w:id="17"/>
      </w:r>
      <w:r w:rsidR="000E3983" w:rsidRPr="00AD7158">
        <w:rPr>
          <w:lang w:val="es-AR"/>
        </w:rPr>
        <w:t>.</w:t>
      </w:r>
      <w:r w:rsidR="00B07ED5" w:rsidRPr="00AD7158">
        <w:rPr>
          <w:lang w:val="es-AR"/>
        </w:rPr>
        <w:t xml:space="preserve"> La presidencia del tribunal </w:t>
      </w:r>
      <w:r w:rsidR="00BE5C7E" w:rsidRPr="00AD7158">
        <w:rPr>
          <w:lang w:val="es-AR"/>
        </w:rPr>
        <w:t xml:space="preserve">decidió </w:t>
      </w:r>
      <w:r w:rsidR="00B07ED5" w:rsidRPr="00AD7158">
        <w:rPr>
          <w:lang w:val="es-AR"/>
        </w:rPr>
        <w:t>continuar con el debate,</w:t>
      </w:r>
      <w:r w:rsidR="00DA1300" w:rsidRPr="00AD7158">
        <w:rPr>
          <w:lang w:val="es-AR"/>
        </w:rPr>
        <w:t xml:space="preserve"> “y resolver lo planteado en su oportunidad”,</w:t>
      </w:r>
      <w:r w:rsidR="00B07ED5" w:rsidRPr="00AD7158">
        <w:rPr>
          <w:lang w:val="es-AR"/>
        </w:rPr>
        <w:t xml:space="preserve"> fundado en que lo solicitado no </w:t>
      </w:r>
      <w:r w:rsidR="00883541" w:rsidRPr="00AD7158">
        <w:rPr>
          <w:lang w:val="es-AR"/>
        </w:rPr>
        <w:t>se comprendía</w:t>
      </w:r>
      <w:r w:rsidR="00B07ED5" w:rsidRPr="00AD7158">
        <w:rPr>
          <w:lang w:val="es-AR"/>
        </w:rPr>
        <w:t xml:space="preserve"> en el ar</w:t>
      </w:r>
      <w:r w:rsidR="00F60398" w:rsidRPr="00AD7158">
        <w:rPr>
          <w:lang w:val="es-AR"/>
        </w:rPr>
        <w:t>tículo 376 del código de forma</w:t>
      </w:r>
      <w:r w:rsidR="00DA1300" w:rsidRPr="00AD7158">
        <w:rPr>
          <w:lang w:val="es-AR"/>
        </w:rPr>
        <w:t xml:space="preserve">. </w:t>
      </w:r>
      <w:r w:rsidR="008A017C" w:rsidRPr="00AD7158">
        <w:rPr>
          <w:lang w:val="es-AR"/>
        </w:rPr>
        <w:t>T</w:t>
      </w:r>
      <w:r w:rsidR="00233131" w:rsidRPr="00AD7158">
        <w:rPr>
          <w:lang w:val="es-AR"/>
        </w:rPr>
        <w:t>ras la lectura de sus derechos</w:t>
      </w:r>
      <w:r w:rsidR="00DE1C3F" w:rsidRPr="00AD7158">
        <w:rPr>
          <w:lang w:val="es-AR"/>
        </w:rPr>
        <w:t>, la presunta víctima</w:t>
      </w:r>
      <w:r w:rsidR="00233131" w:rsidRPr="00AD7158">
        <w:rPr>
          <w:lang w:val="es-AR"/>
        </w:rPr>
        <w:t xml:space="preserve"> decidió no declarar</w:t>
      </w:r>
      <w:r w:rsidR="00DE1C3F" w:rsidRPr="00AD7158">
        <w:rPr>
          <w:rStyle w:val="FootnoteReference"/>
          <w:sz w:val="20"/>
          <w:lang w:val="es-AR"/>
        </w:rPr>
        <w:footnoteReference w:id="18"/>
      </w:r>
      <w:r w:rsidR="00233131" w:rsidRPr="00AD7158">
        <w:rPr>
          <w:lang w:val="es-AR"/>
        </w:rPr>
        <w:t>.</w:t>
      </w:r>
    </w:p>
    <w:p w14:paraId="31955B23" w14:textId="77777777" w:rsidR="00325C70" w:rsidRPr="00AD7158" w:rsidRDefault="00325C70" w:rsidP="002D46B7">
      <w:pPr>
        <w:pStyle w:val="ListParagraph"/>
      </w:pPr>
    </w:p>
    <w:p w14:paraId="49D617BE" w14:textId="77777777" w:rsidR="00717B63" w:rsidRPr="00AD7158" w:rsidRDefault="00325C70" w:rsidP="00222BD0">
      <w:pPr>
        <w:pStyle w:val="parrafos"/>
        <w:ind w:left="0" w:firstLine="0"/>
        <w:rPr>
          <w:lang w:val="es-AR"/>
        </w:rPr>
      </w:pPr>
      <w:r w:rsidRPr="00AD7158">
        <w:rPr>
          <w:lang w:val="es-AR"/>
        </w:rPr>
        <w:t>A</w:t>
      </w:r>
      <w:r w:rsidR="00E05130" w:rsidRPr="00AD7158">
        <w:rPr>
          <w:lang w:val="es-AR"/>
        </w:rPr>
        <w:t>dicionalmente,</w:t>
      </w:r>
      <w:r w:rsidRPr="00AD7158">
        <w:rPr>
          <w:lang w:val="es-AR"/>
        </w:rPr>
        <w:t xml:space="preserve"> el tribunal emitió el mismo 12 de octubre de 1999 una resolución </w:t>
      </w:r>
      <w:r w:rsidR="00135EFD" w:rsidRPr="00AD7158">
        <w:rPr>
          <w:lang w:val="es-AR"/>
        </w:rPr>
        <w:t>r</w:t>
      </w:r>
      <w:r w:rsidR="00951977" w:rsidRPr="00AD7158">
        <w:rPr>
          <w:lang w:val="es-AR"/>
        </w:rPr>
        <w:t>echazando</w:t>
      </w:r>
      <w:r w:rsidR="000246DD" w:rsidRPr="00AD7158">
        <w:rPr>
          <w:lang w:val="es-AR"/>
        </w:rPr>
        <w:t xml:space="preserve"> la</w:t>
      </w:r>
      <w:r w:rsidR="00135EFD" w:rsidRPr="00AD7158">
        <w:rPr>
          <w:lang w:val="es-AR"/>
        </w:rPr>
        <w:t xml:space="preserve"> solicitud de</w:t>
      </w:r>
      <w:r w:rsidR="000246DD" w:rsidRPr="00AD7158">
        <w:rPr>
          <w:lang w:val="es-AR"/>
        </w:rPr>
        <w:t xml:space="preserve"> revisión </w:t>
      </w:r>
      <w:r w:rsidR="00951977" w:rsidRPr="00AD7158">
        <w:rPr>
          <w:lang w:val="es-AR"/>
        </w:rPr>
        <w:t>de</w:t>
      </w:r>
      <w:r w:rsidR="000246DD" w:rsidRPr="00AD7158">
        <w:rPr>
          <w:lang w:val="es-AR"/>
        </w:rPr>
        <w:t xml:space="preserve"> la decisión</w:t>
      </w:r>
      <w:r w:rsidR="00B93E79" w:rsidRPr="00AD7158">
        <w:rPr>
          <w:lang w:val="es-AR"/>
        </w:rPr>
        <w:t xml:space="preserve"> </w:t>
      </w:r>
      <w:r w:rsidR="00F07955" w:rsidRPr="00AD7158">
        <w:rPr>
          <w:lang w:val="es-AR"/>
        </w:rPr>
        <w:t xml:space="preserve">de </w:t>
      </w:r>
      <w:r w:rsidR="00B93E79" w:rsidRPr="00AD7158">
        <w:rPr>
          <w:lang w:val="es-AR"/>
        </w:rPr>
        <w:t>esposa</w:t>
      </w:r>
      <w:r w:rsidR="00951977" w:rsidRPr="00AD7158">
        <w:rPr>
          <w:lang w:val="es-AR"/>
        </w:rPr>
        <w:t>r</w:t>
      </w:r>
      <w:r w:rsidR="00B93E79" w:rsidRPr="00AD7158">
        <w:rPr>
          <w:lang w:val="es-AR"/>
        </w:rPr>
        <w:t xml:space="preserve"> a la presunta víctima durante la audiencia de juicio</w:t>
      </w:r>
      <w:r w:rsidR="00135EFD" w:rsidRPr="00AD7158">
        <w:rPr>
          <w:lang w:val="es-AR"/>
        </w:rPr>
        <w:t>. El</w:t>
      </w:r>
      <w:r w:rsidR="000246DD" w:rsidRPr="00AD7158">
        <w:rPr>
          <w:lang w:val="es-AR"/>
        </w:rPr>
        <w:t xml:space="preserve"> tribunal sostuvo</w:t>
      </w:r>
      <w:r w:rsidR="00135EFD" w:rsidRPr="00AD7158">
        <w:rPr>
          <w:lang w:val="es-AR"/>
        </w:rPr>
        <w:t xml:space="preserve"> que la decisión</w:t>
      </w:r>
      <w:r w:rsidR="00B93E79" w:rsidRPr="00AD7158">
        <w:rPr>
          <w:lang w:val="es-AR"/>
        </w:rPr>
        <w:t xml:space="preserve"> era irrecurrible por “ser de </w:t>
      </w:r>
      <w:r w:rsidR="00135EFD" w:rsidRPr="00AD7158">
        <w:rPr>
          <w:lang w:val="es-AR"/>
        </w:rPr>
        <w:t>resorte exclusivo del tribunal”</w:t>
      </w:r>
      <w:r w:rsidR="00B93E79" w:rsidRPr="00AD7158">
        <w:rPr>
          <w:lang w:val="es-AR"/>
        </w:rPr>
        <w:t xml:space="preserve"> conforme a los artículos 36</w:t>
      </w:r>
      <w:r w:rsidR="00E50EAA" w:rsidRPr="00AD7158">
        <w:rPr>
          <w:lang w:val="es-AR"/>
        </w:rPr>
        <w:t>3 y 366 del código de ritos</w:t>
      </w:r>
      <w:r w:rsidR="00B93E79" w:rsidRPr="00AD7158">
        <w:rPr>
          <w:rStyle w:val="FootnoteReference"/>
          <w:sz w:val="20"/>
          <w:lang w:val="es-AR"/>
        </w:rPr>
        <w:footnoteReference w:id="19"/>
      </w:r>
      <w:r w:rsidR="00B93E79" w:rsidRPr="00AD7158">
        <w:rPr>
          <w:lang w:val="es-AR"/>
        </w:rPr>
        <w:t xml:space="preserve">. </w:t>
      </w:r>
      <w:r w:rsidR="007C04E9" w:rsidRPr="00AD7158">
        <w:rPr>
          <w:lang w:val="es-AR"/>
        </w:rPr>
        <w:t xml:space="preserve">Adicionalmente, denegó la solicitud de suspensión de la audiencia de debate, afirmando que “el imputado puede declarar </w:t>
      </w:r>
      <w:r w:rsidR="00DF661D" w:rsidRPr="00AD7158">
        <w:rPr>
          <w:lang w:val="es-AR"/>
        </w:rPr>
        <w:t>(en cualquier momento del acto procesal</w:t>
      </w:r>
      <w:r w:rsidR="007C04E9" w:rsidRPr="00AD7158">
        <w:rPr>
          <w:lang w:val="es-AR"/>
        </w:rPr>
        <w:t xml:space="preserve">) </w:t>
      </w:r>
      <w:r w:rsidR="00DF661D" w:rsidRPr="00AD7158">
        <w:rPr>
          <w:lang w:val="es-AR"/>
        </w:rPr>
        <w:t>o no hacerlo, sin que ello implique presunción alguna</w:t>
      </w:r>
      <w:r w:rsidR="000246DD" w:rsidRPr="00AD7158">
        <w:rPr>
          <w:lang w:val="es-AR"/>
        </w:rPr>
        <w:t>”</w:t>
      </w:r>
      <w:r w:rsidR="00435963" w:rsidRPr="00AD7158">
        <w:rPr>
          <w:rStyle w:val="FootnoteReference"/>
          <w:sz w:val="20"/>
          <w:lang w:val="es-AR"/>
        </w:rPr>
        <w:footnoteReference w:id="20"/>
      </w:r>
      <w:r w:rsidR="00DF661D" w:rsidRPr="00AD7158">
        <w:rPr>
          <w:lang w:val="es-AR"/>
        </w:rPr>
        <w:t>.</w:t>
      </w:r>
      <w:r w:rsidR="00717B63" w:rsidRPr="00AD7158">
        <w:rPr>
          <w:lang w:val="es-AR"/>
        </w:rPr>
        <w:t xml:space="preserve"> </w:t>
      </w:r>
    </w:p>
    <w:p w14:paraId="3559BF8C" w14:textId="77777777" w:rsidR="00717B63" w:rsidRPr="00AD7158" w:rsidRDefault="00717B63" w:rsidP="002D46B7">
      <w:pPr>
        <w:pStyle w:val="ListParagraph"/>
      </w:pPr>
    </w:p>
    <w:p w14:paraId="4F162A6F" w14:textId="77777777" w:rsidR="00012223" w:rsidRPr="00AD7158" w:rsidRDefault="008451A6" w:rsidP="000173B0">
      <w:pPr>
        <w:pStyle w:val="parrafos"/>
        <w:ind w:left="0" w:firstLine="0"/>
        <w:rPr>
          <w:lang w:val="es-AR"/>
        </w:rPr>
      </w:pPr>
      <w:r w:rsidRPr="00AD7158">
        <w:rPr>
          <w:lang w:val="es-AR"/>
        </w:rPr>
        <w:t>L</w:t>
      </w:r>
      <w:r w:rsidR="00717B63" w:rsidRPr="00AD7158">
        <w:rPr>
          <w:lang w:val="es-AR"/>
        </w:rPr>
        <w:t xml:space="preserve">a Defensora Pública Oficial, </w:t>
      </w:r>
      <w:r w:rsidR="00AC1D28" w:rsidRPr="00AD7158">
        <w:rPr>
          <w:lang w:val="es-AR"/>
        </w:rPr>
        <w:t>presentó</w:t>
      </w:r>
      <w:r w:rsidR="00B3696C" w:rsidRPr="00AD7158">
        <w:rPr>
          <w:lang w:val="es-AR"/>
        </w:rPr>
        <w:t xml:space="preserve"> recurso de reposición </w:t>
      </w:r>
      <w:r w:rsidR="00393E94" w:rsidRPr="00AD7158">
        <w:rPr>
          <w:lang w:val="es-AR"/>
        </w:rPr>
        <w:t>contra</w:t>
      </w:r>
      <w:r w:rsidR="00B3696C" w:rsidRPr="00AD7158">
        <w:rPr>
          <w:lang w:val="es-AR"/>
        </w:rPr>
        <w:t xml:space="preserve"> la resolución </w:t>
      </w:r>
      <w:r w:rsidR="00AE3366" w:rsidRPr="00AD7158">
        <w:rPr>
          <w:lang w:val="es-AR"/>
        </w:rPr>
        <w:t xml:space="preserve">que </w:t>
      </w:r>
      <w:r w:rsidR="00B3696C" w:rsidRPr="00AD7158">
        <w:rPr>
          <w:lang w:val="es-AR"/>
        </w:rPr>
        <w:t xml:space="preserve">negaba </w:t>
      </w:r>
      <w:r w:rsidR="00393E94" w:rsidRPr="00AD7158">
        <w:rPr>
          <w:lang w:val="es-AR"/>
        </w:rPr>
        <w:t>la</w:t>
      </w:r>
      <w:r w:rsidR="00B3696C" w:rsidRPr="00AD7158">
        <w:rPr>
          <w:lang w:val="es-AR"/>
        </w:rPr>
        <w:t xml:space="preserve"> suspensión de la audiencia de debate</w:t>
      </w:r>
      <w:r w:rsidR="000173B0" w:rsidRPr="00AD7158">
        <w:rPr>
          <w:rStyle w:val="FootnoteReference"/>
          <w:lang w:val="es-AR"/>
        </w:rPr>
        <w:footnoteReference w:id="21"/>
      </w:r>
      <w:r w:rsidR="00B3696C" w:rsidRPr="00AD7158">
        <w:rPr>
          <w:lang w:val="es-AR"/>
        </w:rPr>
        <w:t xml:space="preserve">. </w:t>
      </w:r>
      <w:r w:rsidR="00012223" w:rsidRPr="00AD7158">
        <w:rPr>
          <w:lang w:val="es-AR"/>
        </w:rPr>
        <w:t xml:space="preserve">El 13 de octubre de 1999, el </w:t>
      </w:r>
      <w:r w:rsidR="00515D8E" w:rsidRPr="00AD7158">
        <w:rPr>
          <w:lang w:val="es-AR"/>
        </w:rPr>
        <w:t>TOM</w:t>
      </w:r>
      <w:r w:rsidR="00012223" w:rsidRPr="00AD7158">
        <w:rPr>
          <w:lang w:val="es-AR"/>
        </w:rPr>
        <w:t xml:space="preserve"> re</w:t>
      </w:r>
      <w:r w:rsidR="006D5B51" w:rsidRPr="00AD7158">
        <w:rPr>
          <w:lang w:val="es-AR"/>
        </w:rPr>
        <w:t>chaz</w:t>
      </w:r>
      <w:r w:rsidR="00012223" w:rsidRPr="00AD7158">
        <w:rPr>
          <w:lang w:val="es-AR"/>
        </w:rPr>
        <w:t xml:space="preserve">ó el recurso, fundado en que el derecho a defensa en juicio debía ser armonizado con otros principios de rango constitucional, </w:t>
      </w:r>
      <w:r w:rsidR="000313D2" w:rsidRPr="00AD7158">
        <w:rPr>
          <w:lang w:val="es-AR"/>
        </w:rPr>
        <w:t>como el de “afianzar justicia”</w:t>
      </w:r>
      <w:r w:rsidR="00E36154" w:rsidRPr="00AD7158">
        <w:rPr>
          <w:rStyle w:val="FootnoteReference"/>
          <w:lang w:val="es-AR"/>
        </w:rPr>
        <w:footnoteReference w:id="22"/>
      </w:r>
      <w:r w:rsidR="000313D2" w:rsidRPr="00AD7158">
        <w:rPr>
          <w:lang w:val="es-AR"/>
        </w:rPr>
        <w:t xml:space="preserve">. </w:t>
      </w:r>
    </w:p>
    <w:p w14:paraId="2066D698" w14:textId="77777777" w:rsidR="00E22239" w:rsidRPr="00AD7158" w:rsidRDefault="00E22239" w:rsidP="00B419FB">
      <w:pPr>
        <w:tabs>
          <w:tab w:val="left" w:pos="360"/>
        </w:tabs>
        <w:jc w:val="both"/>
        <w:rPr>
          <w:rFonts w:asciiTheme="majorHAnsi" w:hAnsiTheme="majorHAnsi"/>
          <w:sz w:val="20"/>
          <w:szCs w:val="20"/>
          <w:lang w:val="es-AR"/>
        </w:rPr>
      </w:pPr>
    </w:p>
    <w:p w14:paraId="244338C5" w14:textId="77777777" w:rsidR="00E22239" w:rsidRPr="00AD7158" w:rsidRDefault="00E22239" w:rsidP="00222BD0">
      <w:pPr>
        <w:pStyle w:val="parrafos"/>
        <w:ind w:left="0" w:firstLine="0"/>
        <w:rPr>
          <w:lang w:val="es-AR"/>
        </w:rPr>
      </w:pPr>
      <w:r w:rsidRPr="00AD7158">
        <w:rPr>
          <w:lang w:val="es-AR"/>
        </w:rPr>
        <w:t>E</w:t>
      </w:r>
      <w:r w:rsidR="007926E4" w:rsidRPr="00AD7158">
        <w:rPr>
          <w:lang w:val="es-AR"/>
        </w:rPr>
        <w:t>l</w:t>
      </w:r>
      <w:r w:rsidRPr="00AD7158">
        <w:rPr>
          <w:lang w:val="es-AR"/>
        </w:rPr>
        <w:t xml:space="preserve"> 13 de octub</w:t>
      </w:r>
      <w:r w:rsidR="007926E4" w:rsidRPr="00AD7158">
        <w:rPr>
          <w:lang w:val="es-AR"/>
        </w:rPr>
        <w:t>re de 1999, la presunta víctima</w:t>
      </w:r>
      <w:r w:rsidRPr="00AD7158">
        <w:rPr>
          <w:lang w:val="es-AR"/>
        </w:rPr>
        <w:t xml:space="preserve"> manifestó </w:t>
      </w:r>
      <w:r w:rsidR="007926E4" w:rsidRPr="00AD7158">
        <w:rPr>
          <w:lang w:val="es-AR"/>
        </w:rPr>
        <w:t xml:space="preserve">en la audiencia </w:t>
      </w:r>
      <w:r w:rsidR="00557797" w:rsidRPr="00AD7158">
        <w:rPr>
          <w:lang w:val="es-AR"/>
        </w:rPr>
        <w:t xml:space="preserve">su voluntad de no declarar. Además, </w:t>
      </w:r>
      <w:r w:rsidR="00286479" w:rsidRPr="00AD7158">
        <w:rPr>
          <w:lang w:val="es-AR"/>
        </w:rPr>
        <w:t>expresó</w:t>
      </w:r>
      <w:r w:rsidR="00557797" w:rsidRPr="00AD7158">
        <w:rPr>
          <w:lang w:val="es-AR"/>
        </w:rPr>
        <w:t xml:space="preserve"> su voluntad de recurrir de casación</w:t>
      </w:r>
      <w:r w:rsidR="00814608" w:rsidRPr="00AD7158">
        <w:rPr>
          <w:lang w:val="es-AR"/>
        </w:rPr>
        <w:t>,</w:t>
      </w:r>
      <w:r w:rsidR="003F2242" w:rsidRPr="00AD7158">
        <w:rPr>
          <w:lang w:val="es-AR"/>
        </w:rPr>
        <w:t xml:space="preserve"> y dej</w:t>
      </w:r>
      <w:r w:rsidR="00F22665" w:rsidRPr="00AD7158">
        <w:rPr>
          <w:lang w:val="es-AR"/>
        </w:rPr>
        <w:t>ó</w:t>
      </w:r>
      <w:r w:rsidR="003F2242" w:rsidRPr="00AD7158">
        <w:rPr>
          <w:lang w:val="es-AR"/>
        </w:rPr>
        <w:t xml:space="preserve"> planteado el caso federal, </w:t>
      </w:r>
      <w:r w:rsidR="00C07324" w:rsidRPr="00AD7158">
        <w:rPr>
          <w:lang w:val="es-AR"/>
        </w:rPr>
        <w:t xml:space="preserve">alegando </w:t>
      </w:r>
      <w:r w:rsidR="003F2242" w:rsidRPr="00AD7158">
        <w:rPr>
          <w:lang w:val="es-AR"/>
        </w:rPr>
        <w:t>no poder escog</w:t>
      </w:r>
      <w:r w:rsidR="002B2814" w:rsidRPr="00AD7158">
        <w:rPr>
          <w:lang w:val="es-AR"/>
        </w:rPr>
        <w:t>er a su defensor de confianza, así como la</w:t>
      </w:r>
      <w:r w:rsidR="003F2242" w:rsidRPr="00AD7158">
        <w:rPr>
          <w:lang w:val="es-AR"/>
        </w:rPr>
        <w:t xml:space="preserve"> </w:t>
      </w:r>
      <w:r w:rsidR="00286479" w:rsidRPr="00AD7158">
        <w:rPr>
          <w:lang w:val="es-AR"/>
        </w:rPr>
        <w:t xml:space="preserve">falta de concesión de tiempo a </w:t>
      </w:r>
      <w:r w:rsidR="00C07324" w:rsidRPr="00AD7158">
        <w:rPr>
          <w:lang w:val="es-AR"/>
        </w:rPr>
        <w:t>la defensora de oficio</w:t>
      </w:r>
      <w:r w:rsidR="003F2242" w:rsidRPr="00AD7158">
        <w:rPr>
          <w:lang w:val="es-AR"/>
        </w:rPr>
        <w:t xml:space="preserve"> para estudiar su situación.</w:t>
      </w:r>
      <w:r w:rsidR="00046B19" w:rsidRPr="00AD7158">
        <w:rPr>
          <w:rStyle w:val="FootnoteReference"/>
          <w:sz w:val="20"/>
          <w:lang w:val="es-AR"/>
        </w:rPr>
        <w:footnoteReference w:id="23"/>
      </w:r>
      <w:r w:rsidR="003F2242" w:rsidRPr="00AD7158">
        <w:rPr>
          <w:lang w:val="es-AR"/>
        </w:rPr>
        <w:t xml:space="preserve"> </w:t>
      </w:r>
      <w:r w:rsidR="007220D4" w:rsidRPr="00AD7158">
        <w:rPr>
          <w:lang w:val="es-AR"/>
        </w:rPr>
        <w:t>Durante</w:t>
      </w:r>
      <w:r w:rsidR="00112D53" w:rsidRPr="00AD7158">
        <w:rPr>
          <w:lang w:val="es-AR"/>
        </w:rPr>
        <w:t xml:space="preserve"> las audiencias realizadas </w:t>
      </w:r>
      <w:r w:rsidR="00286479" w:rsidRPr="00AD7158">
        <w:rPr>
          <w:lang w:val="es-AR"/>
        </w:rPr>
        <w:t>ese día,</w:t>
      </w:r>
      <w:r w:rsidR="00112D53" w:rsidRPr="00AD7158">
        <w:rPr>
          <w:lang w:val="es-AR"/>
        </w:rPr>
        <w:t xml:space="preserve"> así como el </w:t>
      </w:r>
      <w:r w:rsidR="00EC1CF3" w:rsidRPr="00AD7158">
        <w:rPr>
          <w:lang w:val="es-AR"/>
        </w:rPr>
        <w:t>18</w:t>
      </w:r>
      <w:r w:rsidR="007220D4" w:rsidRPr="00AD7158">
        <w:rPr>
          <w:lang w:val="es-AR"/>
        </w:rPr>
        <w:t>, 19</w:t>
      </w:r>
      <w:r w:rsidR="007364B4" w:rsidRPr="00AD7158">
        <w:rPr>
          <w:lang w:val="es-AR"/>
        </w:rPr>
        <w:t>, 25</w:t>
      </w:r>
      <w:r w:rsidR="007220D4" w:rsidRPr="00AD7158">
        <w:rPr>
          <w:lang w:val="es-AR"/>
        </w:rPr>
        <w:t xml:space="preserve"> </w:t>
      </w:r>
      <w:r w:rsidR="00EC1CF3" w:rsidRPr="00AD7158">
        <w:rPr>
          <w:lang w:val="es-AR"/>
        </w:rPr>
        <w:t>de octubre de 1997</w:t>
      </w:r>
      <w:r w:rsidR="00112D53" w:rsidRPr="00AD7158">
        <w:rPr>
          <w:lang w:val="es-AR"/>
        </w:rPr>
        <w:t xml:space="preserve">, </w:t>
      </w:r>
      <w:r w:rsidR="007220D4" w:rsidRPr="00AD7158">
        <w:rPr>
          <w:lang w:val="es-AR"/>
        </w:rPr>
        <w:t xml:space="preserve">algunos de </w:t>
      </w:r>
      <w:r w:rsidR="00112D53" w:rsidRPr="00AD7158">
        <w:rPr>
          <w:lang w:val="es-AR"/>
        </w:rPr>
        <w:t>los</w:t>
      </w:r>
      <w:r w:rsidR="00EC1CF3" w:rsidRPr="00AD7158">
        <w:rPr>
          <w:lang w:val="es-AR"/>
        </w:rPr>
        <w:t xml:space="preserve"> testigos comparecientes</w:t>
      </w:r>
      <w:r w:rsidR="003633F1" w:rsidRPr="00AD7158">
        <w:rPr>
          <w:lang w:val="es-AR"/>
        </w:rPr>
        <w:t>, atendida su solicitud,</w:t>
      </w:r>
      <w:r w:rsidR="00EC1CF3" w:rsidRPr="00AD7158">
        <w:rPr>
          <w:lang w:val="es-AR"/>
        </w:rPr>
        <w:t xml:space="preserve"> declara</w:t>
      </w:r>
      <w:r w:rsidR="00174D40" w:rsidRPr="00AD7158">
        <w:rPr>
          <w:lang w:val="es-AR"/>
        </w:rPr>
        <w:t>ro</w:t>
      </w:r>
      <w:r w:rsidR="00EC1CF3" w:rsidRPr="00AD7158">
        <w:rPr>
          <w:lang w:val="es-AR"/>
        </w:rPr>
        <w:t>n en ausencia de los imputados</w:t>
      </w:r>
      <w:r w:rsidR="00EC1CF3" w:rsidRPr="00AD7158">
        <w:rPr>
          <w:rStyle w:val="FootnoteReference"/>
          <w:sz w:val="20"/>
          <w:lang w:val="es-AR"/>
        </w:rPr>
        <w:footnoteReference w:id="24"/>
      </w:r>
      <w:r w:rsidR="00490FD7" w:rsidRPr="00AD7158">
        <w:rPr>
          <w:lang w:val="es-AR"/>
        </w:rPr>
        <w:t>.</w:t>
      </w:r>
      <w:r w:rsidR="00814608" w:rsidRPr="00AD7158">
        <w:rPr>
          <w:lang w:val="es-AR"/>
        </w:rPr>
        <w:t xml:space="preserve"> </w:t>
      </w:r>
      <w:r w:rsidR="0007506B" w:rsidRPr="00AD7158">
        <w:rPr>
          <w:lang w:val="es-AR"/>
        </w:rPr>
        <w:t xml:space="preserve">Asimismo, ante la imposibilidad de hallar a determinados testigos, la Fiscalía </w:t>
      </w:r>
      <w:r w:rsidR="00286479" w:rsidRPr="00AD7158">
        <w:rPr>
          <w:lang w:val="es-AR"/>
        </w:rPr>
        <w:t xml:space="preserve">pidió </w:t>
      </w:r>
      <w:r w:rsidR="0007506B" w:rsidRPr="00AD7158">
        <w:rPr>
          <w:lang w:val="es-AR"/>
        </w:rPr>
        <w:t>la incorporación a la audiencia por lectura de sus declaraciones, cuestión a la que la defensa se opuso, a</w:t>
      </w:r>
      <w:r w:rsidR="00AD3D05" w:rsidRPr="00AD7158">
        <w:rPr>
          <w:lang w:val="es-AR"/>
        </w:rPr>
        <w:t xml:space="preserve">legando </w:t>
      </w:r>
      <w:r w:rsidR="0007506B" w:rsidRPr="00AD7158">
        <w:rPr>
          <w:lang w:val="es-AR"/>
        </w:rPr>
        <w:t>afectación al derecho a defensa al no poder realizar preguntas a los te</w:t>
      </w:r>
      <w:r w:rsidR="003633F1" w:rsidRPr="00AD7158">
        <w:rPr>
          <w:lang w:val="es-AR"/>
        </w:rPr>
        <w:t>stigos. La p</w:t>
      </w:r>
      <w:r w:rsidR="0007506B" w:rsidRPr="00AD7158">
        <w:rPr>
          <w:lang w:val="es-AR"/>
        </w:rPr>
        <w:t>residencia del tribunal resolvió incorporar las declaraciones</w:t>
      </w:r>
      <w:r w:rsidR="00C96F6F" w:rsidRPr="00AD7158">
        <w:rPr>
          <w:lang w:val="es-AR"/>
        </w:rPr>
        <w:t>, por lo que la defensora</w:t>
      </w:r>
      <w:r w:rsidR="00AF4E2C" w:rsidRPr="00AD7158">
        <w:rPr>
          <w:lang w:val="es-AR"/>
        </w:rPr>
        <w:t xml:space="preserve"> </w:t>
      </w:r>
      <w:r w:rsidR="00C96F6F" w:rsidRPr="00AD7158">
        <w:rPr>
          <w:lang w:val="es-AR"/>
        </w:rPr>
        <w:t>repuso, siendo confirmada la decisión por el tribunal. La defensa hizo reserva del recurso de casación y</w:t>
      </w:r>
      <w:r w:rsidR="00DA4EF9" w:rsidRPr="00AD7158">
        <w:rPr>
          <w:lang w:val="es-AR"/>
        </w:rPr>
        <w:t xml:space="preserve"> dej</w:t>
      </w:r>
      <w:r w:rsidR="00F22665" w:rsidRPr="00AD7158">
        <w:rPr>
          <w:lang w:val="es-AR"/>
        </w:rPr>
        <w:t>ó</w:t>
      </w:r>
      <w:r w:rsidR="00DA4EF9" w:rsidRPr="00AD7158">
        <w:rPr>
          <w:lang w:val="es-AR"/>
        </w:rPr>
        <w:t xml:space="preserve"> planteado el caso federal</w:t>
      </w:r>
      <w:r w:rsidR="00C96F6F" w:rsidRPr="00AD7158">
        <w:rPr>
          <w:rStyle w:val="FootnoteReference"/>
          <w:sz w:val="20"/>
          <w:lang w:val="es-AR"/>
        </w:rPr>
        <w:footnoteReference w:id="25"/>
      </w:r>
      <w:r w:rsidR="00DA4EF9" w:rsidRPr="00AD7158">
        <w:rPr>
          <w:lang w:val="es-AR"/>
        </w:rPr>
        <w:t>.</w:t>
      </w:r>
      <w:r w:rsidR="0062275A" w:rsidRPr="00AD7158">
        <w:rPr>
          <w:lang w:val="es-AR"/>
        </w:rPr>
        <w:t xml:space="preserve"> </w:t>
      </w:r>
      <w:r w:rsidR="00AC7CC5" w:rsidRPr="00AD7158">
        <w:rPr>
          <w:lang w:val="es-AR"/>
        </w:rPr>
        <w:t>Además, e</w:t>
      </w:r>
      <w:r w:rsidR="004014C0" w:rsidRPr="00AD7158">
        <w:rPr>
          <w:lang w:val="es-AR"/>
        </w:rPr>
        <w:t xml:space="preserve">n la audiencia de 28 de octubre de 1999, la defensora pidió el mínimo legal para </w:t>
      </w:r>
      <w:r w:rsidR="00B7691A" w:rsidRPr="00AD7158">
        <w:rPr>
          <w:lang w:val="es-AR"/>
        </w:rPr>
        <w:t>Álvarez</w:t>
      </w:r>
      <w:r w:rsidR="004014C0" w:rsidRPr="00AD7158">
        <w:rPr>
          <w:lang w:val="es-AR"/>
        </w:rPr>
        <w:t>, y</w:t>
      </w:r>
      <w:r w:rsidR="00B7691A" w:rsidRPr="00AD7158">
        <w:rPr>
          <w:lang w:val="es-AR"/>
        </w:rPr>
        <w:t xml:space="preserve"> refirió</w:t>
      </w:r>
      <w:r w:rsidR="004014C0" w:rsidRPr="00AD7158">
        <w:rPr>
          <w:lang w:val="es-AR"/>
        </w:rPr>
        <w:t xml:space="preserve"> que de aplicarse las agravantes </w:t>
      </w:r>
      <w:r w:rsidR="00B7691A" w:rsidRPr="00AD7158">
        <w:rPr>
          <w:lang w:val="es-AR"/>
        </w:rPr>
        <w:t xml:space="preserve">conforme el artículo </w:t>
      </w:r>
      <w:r w:rsidR="004014C0" w:rsidRPr="00AD7158">
        <w:rPr>
          <w:lang w:val="es-AR"/>
        </w:rPr>
        <w:t xml:space="preserve">52 del </w:t>
      </w:r>
      <w:r w:rsidR="00B061A1" w:rsidRPr="00AD7158">
        <w:rPr>
          <w:lang w:val="es-AR"/>
        </w:rPr>
        <w:t>CPN</w:t>
      </w:r>
      <w:r w:rsidR="004014C0" w:rsidRPr="00AD7158">
        <w:rPr>
          <w:lang w:val="es-AR"/>
        </w:rPr>
        <w:t>,</w:t>
      </w:r>
      <w:r w:rsidR="0080708D" w:rsidRPr="00AD7158">
        <w:rPr>
          <w:lang w:val="es-AR"/>
        </w:rPr>
        <w:t xml:space="preserve"> </w:t>
      </w:r>
      <w:r w:rsidR="00C511E7" w:rsidRPr="00AD7158">
        <w:rPr>
          <w:lang w:val="es-AR"/>
        </w:rPr>
        <w:t xml:space="preserve">ello sería </w:t>
      </w:r>
      <w:r w:rsidR="00B7691A" w:rsidRPr="00AD7158">
        <w:rPr>
          <w:lang w:val="es-AR"/>
        </w:rPr>
        <w:t>inconstitucional</w:t>
      </w:r>
      <w:r w:rsidR="0080708D" w:rsidRPr="00AD7158">
        <w:rPr>
          <w:lang w:val="es-AR"/>
        </w:rPr>
        <w:t xml:space="preserve"> pues afecta toda posibilidad de posterior reinserción social</w:t>
      </w:r>
      <w:r w:rsidR="0080708D" w:rsidRPr="00AD7158">
        <w:rPr>
          <w:rStyle w:val="FootnoteReference"/>
          <w:sz w:val="20"/>
          <w:lang w:val="es-AR"/>
        </w:rPr>
        <w:footnoteReference w:id="26"/>
      </w:r>
      <w:r w:rsidR="00253007" w:rsidRPr="00AD7158">
        <w:rPr>
          <w:lang w:val="es-AR"/>
        </w:rPr>
        <w:t>.</w:t>
      </w:r>
    </w:p>
    <w:p w14:paraId="41E5B635" w14:textId="77777777" w:rsidR="00253007" w:rsidRPr="00AD7158" w:rsidRDefault="00253007" w:rsidP="00B419FB">
      <w:pPr>
        <w:tabs>
          <w:tab w:val="left" w:pos="360"/>
        </w:tabs>
        <w:jc w:val="both"/>
        <w:rPr>
          <w:rFonts w:asciiTheme="majorHAnsi" w:hAnsiTheme="majorHAnsi"/>
          <w:sz w:val="20"/>
          <w:szCs w:val="20"/>
          <w:lang w:val="es-AR"/>
        </w:rPr>
      </w:pPr>
    </w:p>
    <w:p w14:paraId="248BE486" w14:textId="77777777" w:rsidR="00BC1787" w:rsidRPr="00AD7158" w:rsidRDefault="00253007" w:rsidP="00AE2BA3">
      <w:pPr>
        <w:pStyle w:val="parrafos"/>
        <w:ind w:left="0" w:firstLine="0"/>
        <w:rPr>
          <w:lang w:val="es-AR"/>
        </w:rPr>
      </w:pPr>
      <w:r w:rsidRPr="00AD7158">
        <w:rPr>
          <w:lang w:val="es-AR"/>
        </w:rPr>
        <w:t xml:space="preserve">El 28 de octubre de 1999, el </w:t>
      </w:r>
      <w:r w:rsidR="00EA361B" w:rsidRPr="00AD7158">
        <w:rPr>
          <w:lang w:val="es-AR"/>
        </w:rPr>
        <w:t>TOM</w:t>
      </w:r>
      <w:r w:rsidR="00FC78E7" w:rsidRPr="00AD7158">
        <w:rPr>
          <w:lang w:val="es-AR"/>
        </w:rPr>
        <w:t xml:space="preserve"> dictó sentencia</w:t>
      </w:r>
      <w:r w:rsidR="00955A53" w:rsidRPr="00AD7158">
        <w:rPr>
          <w:rStyle w:val="FootnoteReference"/>
          <w:sz w:val="20"/>
          <w:lang w:val="es-AR"/>
        </w:rPr>
        <w:footnoteReference w:id="27"/>
      </w:r>
      <w:r w:rsidR="00FC78E7" w:rsidRPr="00AD7158">
        <w:rPr>
          <w:lang w:val="es-AR"/>
        </w:rPr>
        <w:t xml:space="preserve">, </w:t>
      </w:r>
      <w:r w:rsidR="008B257A" w:rsidRPr="00AD7158">
        <w:rPr>
          <w:lang w:val="es-AR"/>
        </w:rPr>
        <w:t>condenando</w:t>
      </w:r>
      <w:r w:rsidR="00955A53" w:rsidRPr="00AD7158">
        <w:rPr>
          <w:lang w:val="es-AR"/>
        </w:rPr>
        <w:t xml:space="preserve"> a la presunta </w:t>
      </w:r>
      <w:r w:rsidR="00AE2BA3" w:rsidRPr="00AD7158">
        <w:rPr>
          <w:lang w:val="es-AR"/>
        </w:rPr>
        <w:t>víctima</w:t>
      </w:r>
      <w:r w:rsidR="002B2814" w:rsidRPr="00AD7158">
        <w:rPr>
          <w:lang w:val="es-AR"/>
        </w:rPr>
        <w:t xml:space="preserve"> en los siguientes términos</w:t>
      </w:r>
      <w:r w:rsidR="00AE2BA3" w:rsidRPr="00AD7158">
        <w:rPr>
          <w:lang w:val="es-AR"/>
        </w:rPr>
        <w:t>:</w:t>
      </w:r>
    </w:p>
    <w:p w14:paraId="25CAB748" w14:textId="77777777" w:rsidR="00AE2BA3" w:rsidRPr="00AD7158" w:rsidRDefault="00AE2BA3" w:rsidP="00AE2BA3">
      <w:pPr>
        <w:pStyle w:val="parrafos"/>
        <w:numPr>
          <w:ilvl w:val="0"/>
          <w:numId w:val="0"/>
        </w:numPr>
        <w:rPr>
          <w:lang w:val="es-AR"/>
        </w:rPr>
      </w:pPr>
    </w:p>
    <w:p w14:paraId="6CE60D62" w14:textId="77777777" w:rsidR="00955A53" w:rsidRPr="00AD7158" w:rsidRDefault="00955A53" w:rsidP="00955A53">
      <w:pPr>
        <w:tabs>
          <w:tab w:val="left" w:pos="1440"/>
          <w:tab w:val="left" w:pos="1890"/>
        </w:tabs>
        <w:ind w:left="720" w:right="720"/>
        <w:jc w:val="both"/>
        <w:rPr>
          <w:sz w:val="18"/>
          <w:szCs w:val="18"/>
          <w:lang w:val="es-AR"/>
        </w:rPr>
      </w:pPr>
      <w:r w:rsidRPr="00AD7158">
        <w:rPr>
          <w:rFonts w:asciiTheme="majorHAnsi" w:hAnsiTheme="majorHAnsi"/>
          <w:sz w:val="18"/>
          <w:szCs w:val="18"/>
          <w:lang w:val="es-AR"/>
        </w:rPr>
        <w:t xml:space="preserve">5. condenando a Guillermo Antonio Álvarez, por ser </w:t>
      </w:r>
      <w:r w:rsidR="007E17BE" w:rsidRPr="00AD7158">
        <w:rPr>
          <w:rFonts w:asciiTheme="majorHAnsi" w:hAnsiTheme="majorHAnsi"/>
          <w:sz w:val="18"/>
          <w:szCs w:val="18"/>
          <w:lang w:val="es-AR"/>
        </w:rPr>
        <w:t xml:space="preserve">coautor penalmente responsable por los delitos de robo calificado por haber sido perpetrado con armas en cuatro oportunidades, una de ellas en grado de tentativa, homicidio calificado por haber sido perpetrado para consumarlo y, consecuentemente, lograr </w:t>
      </w:r>
      <w:r w:rsidR="00187301" w:rsidRPr="00AD7158">
        <w:rPr>
          <w:rFonts w:asciiTheme="majorHAnsi" w:hAnsiTheme="majorHAnsi"/>
          <w:sz w:val="18"/>
          <w:szCs w:val="18"/>
          <w:lang w:val="es-AR"/>
        </w:rPr>
        <w:t xml:space="preserve">la impunidad y con alevosía, homicidio calificado por haber sido perpetrado para consumarlo y, consecuentemente, lograr la impunidad y lesiones graves, todos los cuales concurren materialmente entre sí, a la pena de reclusión perpetua con más la accesoria de reclusión por tiempo indeterminado de efectivo cumplimiento, accesorias legales y costas (artículos 12, 29 inciso 3, 42, 44, 45, 52, 55, 80 incisos 2 y 7, 90 y 166 inciso 2 del </w:t>
      </w:r>
      <w:r w:rsidR="00B82515" w:rsidRPr="00AD7158">
        <w:rPr>
          <w:rFonts w:asciiTheme="majorHAnsi" w:hAnsiTheme="majorHAnsi"/>
          <w:sz w:val="18"/>
          <w:szCs w:val="18"/>
          <w:lang w:val="es-AR"/>
        </w:rPr>
        <w:t>CPN</w:t>
      </w:r>
      <w:r w:rsidR="00E53367" w:rsidRPr="00AD7158">
        <w:rPr>
          <w:rFonts w:asciiTheme="majorHAnsi" w:hAnsiTheme="majorHAnsi"/>
          <w:sz w:val="18"/>
          <w:szCs w:val="18"/>
          <w:lang w:val="es-AR"/>
        </w:rPr>
        <w:t>).</w:t>
      </w:r>
      <w:r w:rsidR="0003548A" w:rsidRPr="00AD7158">
        <w:rPr>
          <w:rStyle w:val="FootnoteReference"/>
          <w:sz w:val="18"/>
          <w:szCs w:val="18"/>
          <w:lang w:val="es-AR"/>
        </w:rPr>
        <w:t xml:space="preserve"> </w:t>
      </w:r>
    </w:p>
    <w:p w14:paraId="509C6CB3" w14:textId="77777777" w:rsidR="00955A53" w:rsidRPr="00AD7158" w:rsidRDefault="00955A53" w:rsidP="00955A53">
      <w:pPr>
        <w:tabs>
          <w:tab w:val="left" w:pos="1440"/>
          <w:tab w:val="left" w:pos="1890"/>
        </w:tabs>
        <w:ind w:left="720" w:right="720"/>
        <w:jc w:val="both"/>
        <w:rPr>
          <w:sz w:val="18"/>
          <w:szCs w:val="18"/>
          <w:lang w:val="es-AR"/>
        </w:rPr>
      </w:pPr>
    </w:p>
    <w:p w14:paraId="1C02F1DC" w14:textId="77777777" w:rsidR="00955A53" w:rsidRPr="00AD7158" w:rsidRDefault="00955A53" w:rsidP="00955A53">
      <w:pPr>
        <w:tabs>
          <w:tab w:val="left" w:pos="1440"/>
          <w:tab w:val="left" w:pos="1890"/>
        </w:tabs>
        <w:ind w:left="720" w:right="720"/>
        <w:jc w:val="both"/>
        <w:rPr>
          <w:rFonts w:asciiTheme="majorHAnsi" w:hAnsiTheme="majorHAnsi"/>
          <w:sz w:val="18"/>
          <w:szCs w:val="18"/>
          <w:lang w:val="es-AR"/>
        </w:rPr>
      </w:pPr>
      <w:r w:rsidRPr="00AD7158">
        <w:rPr>
          <w:rFonts w:asciiTheme="majorHAnsi" w:hAnsiTheme="majorHAnsi"/>
          <w:sz w:val="18"/>
          <w:szCs w:val="18"/>
          <w:lang w:val="es-AR"/>
        </w:rPr>
        <w:t>6.</w:t>
      </w:r>
      <w:r w:rsidR="00513629" w:rsidRPr="00AD7158">
        <w:rPr>
          <w:rFonts w:asciiTheme="majorHAnsi" w:hAnsiTheme="majorHAnsi"/>
          <w:sz w:val="18"/>
          <w:szCs w:val="18"/>
          <w:lang w:val="es-AR"/>
        </w:rPr>
        <w:t xml:space="preserve"> </w:t>
      </w:r>
      <w:r w:rsidRPr="00AD7158">
        <w:rPr>
          <w:rFonts w:asciiTheme="majorHAnsi" w:hAnsiTheme="majorHAnsi"/>
          <w:sz w:val="18"/>
          <w:szCs w:val="18"/>
          <w:lang w:val="es-AR"/>
        </w:rPr>
        <w:t xml:space="preserve">condenando a Guillermo Antonio Álvarez a </w:t>
      </w:r>
      <w:r w:rsidR="00D7428C" w:rsidRPr="00AD7158">
        <w:rPr>
          <w:rFonts w:asciiTheme="majorHAnsi" w:hAnsiTheme="majorHAnsi"/>
          <w:sz w:val="18"/>
          <w:szCs w:val="18"/>
          <w:lang w:val="es-AR"/>
        </w:rPr>
        <w:t xml:space="preserve">la pena </w:t>
      </w:r>
      <w:r w:rsidR="00E07C4C" w:rsidRPr="00AD7158">
        <w:rPr>
          <w:rFonts w:asciiTheme="majorHAnsi" w:hAnsiTheme="majorHAnsi"/>
          <w:sz w:val="18"/>
          <w:szCs w:val="18"/>
          <w:lang w:val="es-AR"/>
        </w:rPr>
        <w:t xml:space="preserve">única de reclusión perpetua, con más la accesoria de reclusión por tiempo indeterminado de efectivo cumplimiento, accesorias legales y costas, comprensiva de la sanción impuesta al nombrado en el punto dispositivo que antecede y de la pena de seis meses de prisión y costas que se le impuso –por sentencia definitiva de 7 de octubre de 1996- en la causa No. </w:t>
      </w:r>
      <w:r w:rsidR="00A15B5E" w:rsidRPr="00AD7158">
        <w:rPr>
          <w:rFonts w:asciiTheme="majorHAnsi" w:hAnsiTheme="majorHAnsi"/>
          <w:sz w:val="18"/>
          <w:szCs w:val="18"/>
          <w:lang w:val="es-AR"/>
        </w:rPr>
        <w:t>1680 del registro del Juzgado Nacional en lo Criminal y Correccional Federal Nro. 2</w:t>
      </w:r>
      <w:r w:rsidR="00F57E94" w:rsidRPr="00AD7158">
        <w:rPr>
          <w:rFonts w:asciiTheme="majorHAnsi" w:hAnsiTheme="majorHAnsi"/>
          <w:sz w:val="18"/>
          <w:szCs w:val="18"/>
          <w:lang w:val="es-AR"/>
        </w:rPr>
        <w:t xml:space="preserve"> </w:t>
      </w:r>
      <w:r w:rsidR="0003548A" w:rsidRPr="00AD7158">
        <w:rPr>
          <w:rFonts w:asciiTheme="majorHAnsi" w:hAnsiTheme="majorHAnsi"/>
          <w:sz w:val="18"/>
          <w:szCs w:val="18"/>
          <w:lang w:val="es-AR"/>
        </w:rPr>
        <w:t>de Morón (Provincia de Buenos Aires) Secretaría Nro. 5 en orden al delito de evasión, en grado de tentativa cometido en forma reiterada (dos oportunidades) en concurso ideal con lesiones leves (artículos 12, 29 inciso 3, 52, 55 y 58</w:t>
      </w:r>
      <w:r w:rsidR="00E53367" w:rsidRPr="00AD7158">
        <w:rPr>
          <w:rFonts w:asciiTheme="majorHAnsi" w:hAnsiTheme="majorHAnsi"/>
          <w:sz w:val="18"/>
          <w:szCs w:val="18"/>
          <w:lang w:val="es-AR"/>
        </w:rPr>
        <w:t xml:space="preserve"> del Código Penal de la Nación)</w:t>
      </w:r>
      <w:r w:rsidR="0003548A" w:rsidRPr="00AD7158">
        <w:rPr>
          <w:rStyle w:val="FootnoteReference"/>
          <w:sz w:val="18"/>
          <w:szCs w:val="18"/>
          <w:lang w:val="es-AR"/>
        </w:rPr>
        <w:footnoteReference w:id="28"/>
      </w:r>
      <w:r w:rsidR="0003548A" w:rsidRPr="00AD7158">
        <w:rPr>
          <w:rFonts w:asciiTheme="majorHAnsi" w:hAnsiTheme="majorHAnsi"/>
          <w:sz w:val="18"/>
          <w:szCs w:val="18"/>
          <w:lang w:val="es-AR"/>
        </w:rPr>
        <w:t>.</w:t>
      </w:r>
      <w:r w:rsidR="00775AC2" w:rsidRPr="00AD7158">
        <w:rPr>
          <w:rFonts w:asciiTheme="majorHAnsi" w:hAnsiTheme="majorHAnsi"/>
          <w:sz w:val="18"/>
          <w:szCs w:val="18"/>
          <w:lang w:val="es-AR"/>
        </w:rPr>
        <w:t xml:space="preserve"> </w:t>
      </w:r>
    </w:p>
    <w:p w14:paraId="38054ECD" w14:textId="77777777" w:rsidR="00955A53" w:rsidRPr="00AD7158" w:rsidRDefault="00955A53" w:rsidP="00955A53">
      <w:pPr>
        <w:tabs>
          <w:tab w:val="left" w:pos="1440"/>
          <w:tab w:val="left" w:pos="1890"/>
        </w:tabs>
        <w:ind w:right="720"/>
        <w:jc w:val="both"/>
        <w:rPr>
          <w:lang w:val="es-AR"/>
        </w:rPr>
      </w:pPr>
    </w:p>
    <w:p w14:paraId="3EACEC0F" w14:textId="77777777" w:rsidR="00253007" w:rsidRPr="00AD7158" w:rsidRDefault="00955A53" w:rsidP="00955A53">
      <w:pPr>
        <w:pStyle w:val="parrafos"/>
        <w:ind w:left="0" w:firstLine="0"/>
        <w:rPr>
          <w:sz w:val="18"/>
          <w:szCs w:val="18"/>
          <w:lang w:val="es-AR"/>
        </w:rPr>
      </w:pPr>
      <w:r w:rsidRPr="00AD7158">
        <w:rPr>
          <w:lang w:val="es-AR"/>
        </w:rPr>
        <w:t>Adicionalmente</w:t>
      </w:r>
      <w:r w:rsidR="00775AC2" w:rsidRPr="00AD7158">
        <w:rPr>
          <w:lang w:val="es-AR"/>
        </w:rPr>
        <w:t>, le abs</w:t>
      </w:r>
      <w:r w:rsidR="0022460E" w:rsidRPr="00AD7158">
        <w:rPr>
          <w:lang w:val="es-AR"/>
        </w:rPr>
        <w:t>olvió</w:t>
      </w:r>
      <w:r w:rsidR="00775AC2" w:rsidRPr="00AD7158">
        <w:rPr>
          <w:lang w:val="es-AR"/>
        </w:rPr>
        <w:t xml:space="preserve"> del delito previsto en el artículo </w:t>
      </w:r>
      <w:r w:rsidR="00D06554" w:rsidRPr="00AD7158">
        <w:rPr>
          <w:lang w:val="es-AR"/>
        </w:rPr>
        <w:t xml:space="preserve">165 del </w:t>
      </w:r>
      <w:r w:rsidR="0029017A" w:rsidRPr="00AD7158">
        <w:rPr>
          <w:lang w:val="es-AR"/>
        </w:rPr>
        <w:t>CPN</w:t>
      </w:r>
      <w:r w:rsidR="00D06554" w:rsidRPr="00AD7158">
        <w:rPr>
          <w:lang w:val="es-AR"/>
        </w:rPr>
        <w:t>, “por el que fue acusado en la oportunidad prevista en el artículo 393 del Código Penal de la Nación, debiendo estarse en punto a las costas a lo anteriormente decidido”</w:t>
      </w:r>
      <w:r w:rsidR="00E95277" w:rsidRPr="00AD7158">
        <w:rPr>
          <w:rStyle w:val="FootnoteReference"/>
          <w:sz w:val="20"/>
          <w:lang w:val="es-AR"/>
        </w:rPr>
        <w:footnoteReference w:id="29"/>
      </w:r>
      <w:r w:rsidR="00D06554" w:rsidRPr="00AD7158">
        <w:rPr>
          <w:lang w:val="es-AR"/>
        </w:rPr>
        <w:t>.</w:t>
      </w:r>
      <w:r w:rsidR="00E95277" w:rsidRPr="00AD7158">
        <w:rPr>
          <w:lang w:val="es-AR"/>
        </w:rPr>
        <w:t xml:space="preserve"> </w:t>
      </w:r>
      <w:r w:rsidR="00824B83" w:rsidRPr="00AD7158">
        <w:rPr>
          <w:lang w:val="es-AR"/>
        </w:rPr>
        <w:t xml:space="preserve">Finalmente, el tribunal dispuso </w:t>
      </w:r>
      <w:r w:rsidR="00740CBE" w:rsidRPr="00AD7158">
        <w:rPr>
          <w:lang w:val="es-AR"/>
        </w:rPr>
        <w:t xml:space="preserve">la devolución de los autos al tribunal de instrucción, a fin de que se </w:t>
      </w:r>
      <w:r w:rsidR="0048462A" w:rsidRPr="00AD7158">
        <w:rPr>
          <w:lang w:val="es-AR"/>
        </w:rPr>
        <w:t>investigase la posible comisión</w:t>
      </w:r>
      <w:r w:rsidR="00740CBE" w:rsidRPr="00AD7158">
        <w:rPr>
          <w:lang w:val="es-AR"/>
        </w:rPr>
        <w:t xml:space="preserve"> por parte de la presunta víctima y su coprocesado, de los delitos de asociación ilícita y tenencia ilegal de armas de guerra</w:t>
      </w:r>
      <w:r w:rsidR="00740CBE" w:rsidRPr="00AD7158">
        <w:rPr>
          <w:rStyle w:val="FootnoteReference"/>
          <w:sz w:val="20"/>
          <w:lang w:val="es-AR"/>
        </w:rPr>
        <w:footnoteReference w:id="30"/>
      </w:r>
      <w:r w:rsidR="00740CBE" w:rsidRPr="00AD7158">
        <w:rPr>
          <w:lang w:val="es-AR"/>
        </w:rPr>
        <w:t>.</w:t>
      </w:r>
      <w:r w:rsidR="00AE1F68" w:rsidRPr="00AD7158">
        <w:rPr>
          <w:lang w:val="es-AR"/>
        </w:rPr>
        <w:t xml:space="preserve"> </w:t>
      </w:r>
      <w:r w:rsidR="00C91B6C" w:rsidRPr="00AD7158">
        <w:rPr>
          <w:lang w:val="es-AR"/>
        </w:rPr>
        <w:t>Además</w:t>
      </w:r>
      <w:r w:rsidR="00FC78E7" w:rsidRPr="00AD7158">
        <w:rPr>
          <w:lang w:val="es-AR"/>
        </w:rPr>
        <w:t>, denegó los planteos de nulidad formulados por la defensa de la presunta víctima</w:t>
      </w:r>
      <w:r w:rsidR="004365B6" w:rsidRPr="00AD7158">
        <w:rPr>
          <w:rStyle w:val="FootnoteReference"/>
          <w:sz w:val="20"/>
          <w:lang w:val="es-AR"/>
        </w:rPr>
        <w:footnoteReference w:id="31"/>
      </w:r>
      <w:r w:rsidR="00FC78E7" w:rsidRPr="00AD7158">
        <w:rPr>
          <w:lang w:val="es-AR"/>
        </w:rPr>
        <w:t xml:space="preserve">. </w:t>
      </w:r>
    </w:p>
    <w:p w14:paraId="0AE8D046" w14:textId="77777777" w:rsidR="008557EE" w:rsidRPr="00AD7158" w:rsidRDefault="008557EE" w:rsidP="00B419FB">
      <w:pPr>
        <w:tabs>
          <w:tab w:val="left" w:pos="360"/>
        </w:tabs>
        <w:jc w:val="both"/>
        <w:rPr>
          <w:rFonts w:asciiTheme="majorHAnsi" w:hAnsiTheme="majorHAnsi"/>
          <w:sz w:val="20"/>
          <w:szCs w:val="20"/>
          <w:lang w:val="es-AR"/>
        </w:rPr>
      </w:pPr>
    </w:p>
    <w:p w14:paraId="208AB239" w14:textId="77777777" w:rsidR="00D0672E" w:rsidRPr="00AD7158" w:rsidRDefault="000F20B0" w:rsidP="00222BD0">
      <w:pPr>
        <w:pStyle w:val="parrafos"/>
        <w:ind w:left="0" w:firstLine="0"/>
        <w:rPr>
          <w:lang w:val="es-AR"/>
        </w:rPr>
      </w:pPr>
      <w:r w:rsidRPr="00AD7158">
        <w:rPr>
          <w:lang w:val="es-AR"/>
        </w:rPr>
        <w:lastRenderedPageBreak/>
        <w:t xml:space="preserve">El 19 de noviembre de 1999, </w:t>
      </w:r>
      <w:r w:rsidR="008557EE" w:rsidRPr="00AD7158">
        <w:rPr>
          <w:lang w:val="es-AR"/>
        </w:rPr>
        <w:t>el defensor particular, Teodoro Álvarez, interpuso</w:t>
      </w:r>
      <w:r w:rsidR="008557EE" w:rsidRPr="00AD7158">
        <w:rPr>
          <w:b/>
          <w:lang w:val="es-AR"/>
        </w:rPr>
        <w:t xml:space="preserve"> </w:t>
      </w:r>
      <w:r w:rsidR="008557EE" w:rsidRPr="00AD7158">
        <w:rPr>
          <w:lang w:val="es-AR"/>
        </w:rPr>
        <w:t>un recurso de casación</w:t>
      </w:r>
      <w:r w:rsidR="000C33FA" w:rsidRPr="00AD7158">
        <w:rPr>
          <w:lang w:val="es-AR"/>
        </w:rPr>
        <w:t>, alegando la nulidad de la sentencia y del juicio</w:t>
      </w:r>
      <w:r w:rsidR="008557EE" w:rsidRPr="00AD7158">
        <w:rPr>
          <w:rStyle w:val="FootnoteReference"/>
          <w:sz w:val="20"/>
          <w:lang w:val="es-AR"/>
        </w:rPr>
        <w:footnoteReference w:id="32"/>
      </w:r>
      <w:r w:rsidR="008557EE" w:rsidRPr="00AD7158">
        <w:rPr>
          <w:lang w:val="es-AR"/>
        </w:rPr>
        <w:t xml:space="preserve">. </w:t>
      </w:r>
      <w:r w:rsidR="006D68AA" w:rsidRPr="00AD7158">
        <w:rPr>
          <w:lang w:val="es-AR"/>
        </w:rPr>
        <w:t>Aleg</w:t>
      </w:r>
      <w:r w:rsidR="00E53367" w:rsidRPr="00AD7158">
        <w:rPr>
          <w:lang w:val="es-AR"/>
        </w:rPr>
        <w:t>ó</w:t>
      </w:r>
      <w:r w:rsidR="006D68AA" w:rsidRPr="00AD7158">
        <w:rPr>
          <w:lang w:val="es-AR"/>
        </w:rPr>
        <w:t xml:space="preserve"> </w:t>
      </w:r>
      <w:r w:rsidR="00FD23D2" w:rsidRPr="00AD7158">
        <w:rPr>
          <w:lang w:val="es-AR"/>
        </w:rPr>
        <w:t>violación d</w:t>
      </w:r>
      <w:r w:rsidR="001453C0" w:rsidRPr="00AD7158">
        <w:rPr>
          <w:lang w:val="es-AR"/>
        </w:rPr>
        <w:t xml:space="preserve">el derecho a defensa </w:t>
      </w:r>
      <w:r w:rsidR="009D3CE6" w:rsidRPr="00AD7158">
        <w:rPr>
          <w:lang w:val="es-AR"/>
        </w:rPr>
        <w:t xml:space="preserve">por violarse </w:t>
      </w:r>
      <w:r w:rsidR="00595FF5" w:rsidRPr="00AD7158">
        <w:rPr>
          <w:lang w:val="es-AR"/>
        </w:rPr>
        <w:t>el</w:t>
      </w:r>
      <w:r w:rsidR="006D68AA" w:rsidRPr="00AD7158">
        <w:rPr>
          <w:lang w:val="es-AR"/>
        </w:rPr>
        <w:t xml:space="preserve"> derecho </w:t>
      </w:r>
      <w:r w:rsidR="009D3CE6" w:rsidRPr="00AD7158">
        <w:rPr>
          <w:lang w:val="es-AR"/>
        </w:rPr>
        <w:t>a nombrar defensor, imponiéndo</w:t>
      </w:r>
      <w:r w:rsidR="001453C0" w:rsidRPr="00AD7158">
        <w:rPr>
          <w:lang w:val="es-AR"/>
        </w:rPr>
        <w:t>se</w:t>
      </w:r>
      <w:r w:rsidR="00B17D01" w:rsidRPr="00AD7158">
        <w:rPr>
          <w:lang w:val="es-AR"/>
        </w:rPr>
        <w:t xml:space="preserve"> </w:t>
      </w:r>
      <w:r w:rsidR="00ED0FB5" w:rsidRPr="00AD7158">
        <w:rPr>
          <w:lang w:val="es-AR"/>
        </w:rPr>
        <w:t xml:space="preserve">un </w:t>
      </w:r>
      <w:r w:rsidR="00B17D01" w:rsidRPr="00AD7158">
        <w:rPr>
          <w:lang w:val="es-AR"/>
        </w:rPr>
        <w:t>defensor</w:t>
      </w:r>
      <w:r w:rsidR="009D3CE6" w:rsidRPr="00AD7158">
        <w:rPr>
          <w:lang w:val="es-AR"/>
        </w:rPr>
        <w:t xml:space="preserve"> de oficio</w:t>
      </w:r>
      <w:r w:rsidR="006D68AA" w:rsidRPr="00AD7158">
        <w:rPr>
          <w:lang w:val="es-AR"/>
        </w:rPr>
        <w:t xml:space="preserve">. </w:t>
      </w:r>
      <w:r w:rsidR="008E2FE7" w:rsidRPr="00AD7158">
        <w:rPr>
          <w:lang w:val="es-AR"/>
        </w:rPr>
        <w:t>Planteó</w:t>
      </w:r>
      <w:r w:rsidR="006D68AA" w:rsidRPr="00AD7158">
        <w:rPr>
          <w:lang w:val="es-AR"/>
        </w:rPr>
        <w:t xml:space="preserve"> que se</w:t>
      </w:r>
      <w:r w:rsidR="00AF4E2C" w:rsidRPr="00AD7158">
        <w:rPr>
          <w:lang w:val="es-AR"/>
        </w:rPr>
        <w:t xml:space="preserve"> </w:t>
      </w:r>
      <w:r w:rsidR="00FE43E6" w:rsidRPr="00AD7158">
        <w:rPr>
          <w:lang w:val="es-AR"/>
        </w:rPr>
        <w:t>oblig</w:t>
      </w:r>
      <w:r w:rsidR="006D68AA" w:rsidRPr="00AD7158">
        <w:rPr>
          <w:lang w:val="es-AR"/>
        </w:rPr>
        <w:t>ó</w:t>
      </w:r>
      <w:r w:rsidR="00FE43E6" w:rsidRPr="00AD7158">
        <w:rPr>
          <w:lang w:val="es-AR"/>
        </w:rPr>
        <w:t xml:space="preserve"> a la defensa a ejercer su función sin conocimiento de los hechos que afectaban a la presunta v</w:t>
      </w:r>
      <w:r w:rsidR="00194A78" w:rsidRPr="00AD7158">
        <w:rPr>
          <w:lang w:val="es-AR"/>
        </w:rPr>
        <w:t>íc</w:t>
      </w:r>
      <w:r w:rsidR="001453C0" w:rsidRPr="00AD7158">
        <w:rPr>
          <w:lang w:val="es-AR"/>
        </w:rPr>
        <w:t xml:space="preserve">tima, lo que </w:t>
      </w:r>
      <w:r w:rsidR="00FD23D2" w:rsidRPr="00AD7158">
        <w:rPr>
          <w:lang w:val="es-AR"/>
        </w:rPr>
        <w:t>produjo</w:t>
      </w:r>
      <w:r w:rsidR="001453C0" w:rsidRPr="00AD7158">
        <w:rPr>
          <w:lang w:val="es-AR"/>
        </w:rPr>
        <w:t xml:space="preserve"> </w:t>
      </w:r>
      <w:r w:rsidR="00D7622D" w:rsidRPr="00AD7158">
        <w:rPr>
          <w:lang w:val="es-AR"/>
        </w:rPr>
        <w:t>su</w:t>
      </w:r>
      <w:r w:rsidR="00194A78" w:rsidRPr="00AD7158">
        <w:rPr>
          <w:lang w:val="es-AR"/>
        </w:rPr>
        <w:t xml:space="preserve"> indefensión </w:t>
      </w:r>
      <w:r w:rsidR="00FD23D2" w:rsidRPr="00AD7158">
        <w:rPr>
          <w:lang w:val="es-AR"/>
        </w:rPr>
        <w:t>por</w:t>
      </w:r>
      <w:r w:rsidR="0034290F" w:rsidRPr="00AD7158">
        <w:rPr>
          <w:lang w:val="es-AR"/>
        </w:rPr>
        <w:t xml:space="preserve"> </w:t>
      </w:r>
      <w:r w:rsidR="008E2FE7" w:rsidRPr="00AD7158">
        <w:rPr>
          <w:lang w:val="es-AR"/>
        </w:rPr>
        <w:t xml:space="preserve">falta </w:t>
      </w:r>
      <w:r w:rsidR="00FD23D2" w:rsidRPr="00AD7158">
        <w:rPr>
          <w:lang w:val="es-AR"/>
        </w:rPr>
        <w:t xml:space="preserve">de </w:t>
      </w:r>
      <w:r w:rsidR="00194A78" w:rsidRPr="00AD7158">
        <w:rPr>
          <w:lang w:val="es-AR"/>
        </w:rPr>
        <w:t xml:space="preserve">tiempo </w:t>
      </w:r>
      <w:r w:rsidR="00AF6054" w:rsidRPr="00AD7158">
        <w:rPr>
          <w:lang w:val="es-AR"/>
        </w:rPr>
        <w:t>para preparar la defensa</w:t>
      </w:r>
      <w:r w:rsidR="006929E7" w:rsidRPr="00AD7158">
        <w:rPr>
          <w:rStyle w:val="FootnoteReference"/>
          <w:sz w:val="20"/>
          <w:lang w:val="es-AR"/>
        </w:rPr>
        <w:footnoteReference w:id="33"/>
      </w:r>
      <w:r w:rsidR="003346E2" w:rsidRPr="00AD7158">
        <w:rPr>
          <w:lang w:val="es-AR"/>
        </w:rPr>
        <w:t xml:space="preserve">. </w:t>
      </w:r>
      <w:r w:rsidR="008E2FE7" w:rsidRPr="00AD7158">
        <w:rPr>
          <w:lang w:val="es-AR"/>
        </w:rPr>
        <w:t>Arguy</w:t>
      </w:r>
      <w:r w:rsidR="00E53367" w:rsidRPr="00AD7158">
        <w:rPr>
          <w:lang w:val="es-AR"/>
        </w:rPr>
        <w:t>ó</w:t>
      </w:r>
      <w:r w:rsidR="000C2BF9" w:rsidRPr="00AD7158">
        <w:rPr>
          <w:lang w:val="es-AR"/>
        </w:rPr>
        <w:t xml:space="preserve"> que </w:t>
      </w:r>
      <w:r w:rsidR="00833D2A" w:rsidRPr="00AD7158">
        <w:rPr>
          <w:lang w:val="es-AR"/>
        </w:rPr>
        <w:t xml:space="preserve">se </w:t>
      </w:r>
      <w:r w:rsidR="000C2BF9" w:rsidRPr="00AD7158">
        <w:rPr>
          <w:lang w:val="es-AR"/>
        </w:rPr>
        <w:t>conculc</w:t>
      </w:r>
      <w:r w:rsidR="00FD6BA0" w:rsidRPr="00AD7158">
        <w:rPr>
          <w:lang w:val="es-AR"/>
        </w:rPr>
        <w:t>ó</w:t>
      </w:r>
      <w:r w:rsidR="000C2BF9" w:rsidRPr="00AD7158">
        <w:rPr>
          <w:lang w:val="es-AR"/>
        </w:rPr>
        <w:t xml:space="preserve"> la libre comunicación de la presunta víctima con su defensora </w:t>
      </w:r>
      <w:r w:rsidR="00E53367" w:rsidRPr="00AD7158">
        <w:rPr>
          <w:lang w:val="es-AR"/>
        </w:rPr>
        <w:t>y se le prejuzgó al mantenérsele esposada</w:t>
      </w:r>
      <w:r w:rsidR="00D02D4D" w:rsidRPr="00AD7158">
        <w:rPr>
          <w:lang w:val="es-AR"/>
        </w:rPr>
        <w:t xml:space="preserve"> durante el juicio. </w:t>
      </w:r>
      <w:r w:rsidR="00F35E76" w:rsidRPr="00AD7158">
        <w:rPr>
          <w:lang w:val="es-AR"/>
        </w:rPr>
        <w:t>A</w:t>
      </w:r>
      <w:r w:rsidR="00FD6BA0" w:rsidRPr="00AD7158">
        <w:rPr>
          <w:lang w:val="es-AR"/>
        </w:rPr>
        <w:t>legó</w:t>
      </w:r>
      <w:r w:rsidR="000275DE" w:rsidRPr="00AD7158">
        <w:rPr>
          <w:lang w:val="es-AR"/>
        </w:rPr>
        <w:t xml:space="preserve"> errónea aplicación de </w:t>
      </w:r>
      <w:r w:rsidR="005F145A" w:rsidRPr="00AD7158">
        <w:rPr>
          <w:lang w:val="es-AR"/>
        </w:rPr>
        <w:t>la ley sustantiva, por haberse cometido un error en el juicio de tipicidad, pues se habría aplicado un tipo penal equivalente</w:t>
      </w:r>
      <w:r w:rsidR="00A06AA4" w:rsidRPr="00AD7158">
        <w:rPr>
          <w:lang w:val="es-AR"/>
        </w:rPr>
        <w:t xml:space="preserve"> en relación con la alevosía</w:t>
      </w:r>
      <w:r w:rsidR="00DB197D" w:rsidRPr="00AD7158">
        <w:rPr>
          <w:lang w:val="es-AR"/>
        </w:rPr>
        <w:t xml:space="preserve">. </w:t>
      </w:r>
      <w:r w:rsidR="004F4AE3" w:rsidRPr="00AD7158">
        <w:rPr>
          <w:lang w:val="es-AR"/>
        </w:rPr>
        <w:t xml:space="preserve">Sobre </w:t>
      </w:r>
      <w:r w:rsidR="00D93A1A" w:rsidRPr="00AD7158">
        <w:rPr>
          <w:lang w:val="es-AR"/>
        </w:rPr>
        <w:t>la agravante</w:t>
      </w:r>
      <w:r w:rsidR="00454A97" w:rsidRPr="00AD7158">
        <w:rPr>
          <w:lang w:val="es-AR"/>
        </w:rPr>
        <w:t xml:space="preserve"> “homicidio </w:t>
      </w:r>
      <w:r w:rsidR="00454A97" w:rsidRPr="00AD7158">
        <w:rPr>
          <w:i/>
          <w:lang w:val="es-AR"/>
        </w:rPr>
        <w:t>criminis causa</w:t>
      </w:r>
      <w:r w:rsidR="00454A97" w:rsidRPr="00AD7158">
        <w:rPr>
          <w:lang w:val="es-AR"/>
        </w:rPr>
        <w:t>”</w:t>
      </w:r>
      <w:r w:rsidR="00D93A1A" w:rsidRPr="00AD7158">
        <w:rPr>
          <w:lang w:val="es-AR"/>
        </w:rPr>
        <w:t xml:space="preserve"> del artículo</w:t>
      </w:r>
      <w:r w:rsidR="005F145A" w:rsidRPr="00AD7158">
        <w:rPr>
          <w:lang w:val="es-AR"/>
        </w:rPr>
        <w:t xml:space="preserve"> </w:t>
      </w:r>
      <w:r w:rsidR="00DB197D" w:rsidRPr="00AD7158">
        <w:rPr>
          <w:lang w:val="es-AR"/>
        </w:rPr>
        <w:t>80 inc</w:t>
      </w:r>
      <w:r w:rsidR="0067442E" w:rsidRPr="00AD7158">
        <w:rPr>
          <w:lang w:val="es-AR"/>
        </w:rPr>
        <w:t>iso</w:t>
      </w:r>
      <w:r w:rsidR="00DB197D" w:rsidRPr="00AD7158">
        <w:rPr>
          <w:lang w:val="es-AR"/>
        </w:rPr>
        <w:t xml:space="preserve"> 7 del C</w:t>
      </w:r>
      <w:r w:rsidR="0033495F" w:rsidRPr="00AD7158">
        <w:rPr>
          <w:lang w:val="es-AR"/>
        </w:rPr>
        <w:t>PN</w:t>
      </w:r>
      <w:r w:rsidR="00DB197D" w:rsidRPr="00AD7158">
        <w:rPr>
          <w:lang w:val="es-AR"/>
        </w:rPr>
        <w:t xml:space="preserve">, </w:t>
      </w:r>
      <w:r w:rsidR="0033495F" w:rsidRPr="00AD7158">
        <w:rPr>
          <w:lang w:val="es-AR"/>
        </w:rPr>
        <w:t xml:space="preserve">alegó que </w:t>
      </w:r>
      <w:r w:rsidR="00DB197D" w:rsidRPr="00AD7158">
        <w:rPr>
          <w:lang w:val="es-AR"/>
        </w:rPr>
        <w:t xml:space="preserve">la misma se </w:t>
      </w:r>
      <w:r w:rsidR="004F4AE3" w:rsidRPr="00AD7158">
        <w:rPr>
          <w:lang w:val="es-AR"/>
        </w:rPr>
        <w:t>aplicó</w:t>
      </w:r>
      <w:r w:rsidR="00DB197D" w:rsidRPr="00AD7158">
        <w:rPr>
          <w:lang w:val="es-AR"/>
        </w:rPr>
        <w:t xml:space="preserve"> incorrectamente</w:t>
      </w:r>
      <w:r w:rsidR="00577D5B" w:rsidRPr="00AD7158">
        <w:rPr>
          <w:lang w:val="es-AR"/>
        </w:rPr>
        <w:t xml:space="preserve"> y sin </w:t>
      </w:r>
      <w:r w:rsidR="0067442E" w:rsidRPr="00AD7158">
        <w:rPr>
          <w:lang w:val="es-AR"/>
        </w:rPr>
        <w:t xml:space="preserve">fundamentación. </w:t>
      </w:r>
      <w:r w:rsidR="00DE623D" w:rsidRPr="00AD7158">
        <w:rPr>
          <w:lang w:val="es-AR"/>
        </w:rPr>
        <w:t>Sostuvo</w:t>
      </w:r>
      <w:r w:rsidR="00D630EC" w:rsidRPr="00AD7158">
        <w:rPr>
          <w:lang w:val="es-AR"/>
        </w:rPr>
        <w:t xml:space="preserve"> que la aplicación del artículo 52 del C</w:t>
      </w:r>
      <w:r w:rsidR="00FE3C23" w:rsidRPr="00AD7158">
        <w:rPr>
          <w:lang w:val="es-AR"/>
        </w:rPr>
        <w:t xml:space="preserve">PN </w:t>
      </w:r>
      <w:r w:rsidR="00D630EC" w:rsidRPr="00AD7158">
        <w:rPr>
          <w:lang w:val="es-AR"/>
        </w:rPr>
        <w:t>era improcedente e inconstitucional</w:t>
      </w:r>
      <w:r w:rsidR="00DE623D" w:rsidRPr="00AD7158">
        <w:rPr>
          <w:lang w:val="es-AR"/>
        </w:rPr>
        <w:t>,</w:t>
      </w:r>
      <w:r w:rsidR="00D630EC" w:rsidRPr="00AD7158">
        <w:rPr>
          <w:lang w:val="es-AR"/>
        </w:rPr>
        <w:t xml:space="preserve"> </w:t>
      </w:r>
      <w:r w:rsidR="00AD084B" w:rsidRPr="00AD7158">
        <w:rPr>
          <w:lang w:val="es-AR"/>
        </w:rPr>
        <w:t>pues</w:t>
      </w:r>
      <w:r w:rsidR="00D630EC" w:rsidRPr="00AD7158">
        <w:rPr>
          <w:lang w:val="es-AR"/>
        </w:rPr>
        <w:t xml:space="preserve"> se </w:t>
      </w:r>
      <w:r w:rsidR="00AD084B" w:rsidRPr="00AD7158">
        <w:rPr>
          <w:lang w:val="es-AR"/>
        </w:rPr>
        <w:t>basó</w:t>
      </w:r>
      <w:r w:rsidR="00D630EC" w:rsidRPr="00AD7158">
        <w:rPr>
          <w:lang w:val="es-AR"/>
        </w:rPr>
        <w:t xml:space="preserve"> únicamente en la peligrosidad del autor sin referir a condenas anteriores al hecho</w:t>
      </w:r>
      <w:r w:rsidR="00373363" w:rsidRPr="00AD7158">
        <w:rPr>
          <w:lang w:val="es-AR"/>
        </w:rPr>
        <w:t xml:space="preserve">. Sostuvo además, </w:t>
      </w:r>
      <w:r w:rsidR="00D630EC" w:rsidRPr="00AD7158">
        <w:rPr>
          <w:lang w:val="es-AR"/>
        </w:rPr>
        <w:t xml:space="preserve">que conforme </w:t>
      </w:r>
      <w:r w:rsidR="00373363" w:rsidRPr="00AD7158">
        <w:rPr>
          <w:lang w:val="es-AR"/>
        </w:rPr>
        <w:t xml:space="preserve">a </w:t>
      </w:r>
      <w:r w:rsidR="00FE3C23" w:rsidRPr="00AD7158">
        <w:rPr>
          <w:lang w:val="es-AR"/>
        </w:rPr>
        <w:t>la reforma introducida por la L</w:t>
      </w:r>
      <w:r w:rsidR="00D630EC" w:rsidRPr="00AD7158">
        <w:rPr>
          <w:lang w:val="es-AR"/>
        </w:rPr>
        <w:t>ey 23.057, la norma solo dice relación con la reincidencia múltiple</w:t>
      </w:r>
      <w:r w:rsidR="00373363" w:rsidRPr="00AD7158">
        <w:rPr>
          <w:lang w:val="es-AR"/>
        </w:rPr>
        <w:t>, finalizando la discusión sobre si se refería únicamente a la forma de cumplir la pena</w:t>
      </w:r>
      <w:r w:rsidR="00373363" w:rsidRPr="00AD7158">
        <w:rPr>
          <w:rStyle w:val="FootnoteReference"/>
          <w:sz w:val="20"/>
          <w:lang w:val="es-AR"/>
        </w:rPr>
        <w:footnoteReference w:id="34"/>
      </w:r>
      <w:r w:rsidR="00D630EC" w:rsidRPr="00AD7158">
        <w:rPr>
          <w:lang w:val="es-AR"/>
        </w:rPr>
        <w:t xml:space="preserve">. </w:t>
      </w:r>
      <w:r w:rsidR="00FE3C23" w:rsidRPr="00AD7158">
        <w:rPr>
          <w:lang w:val="es-AR"/>
        </w:rPr>
        <w:t>A</w:t>
      </w:r>
      <w:r w:rsidR="00E32D02" w:rsidRPr="00AD7158">
        <w:rPr>
          <w:lang w:val="es-AR"/>
        </w:rPr>
        <w:t>dujo</w:t>
      </w:r>
      <w:r w:rsidR="001C65C4" w:rsidRPr="00AD7158">
        <w:rPr>
          <w:lang w:val="es-AR"/>
        </w:rPr>
        <w:t xml:space="preserve"> falta de fundamentación del fallo, </w:t>
      </w:r>
      <w:r w:rsidR="00FE3C23" w:rsidRPr="00AD7158">
        <w:rPr>
          <w:lang w:val="es-AR"/>
        </w:rPr>
        <w:t>pues se</w:t>
      </w:r>
      <w:r w:rsidR="001C65C4" w:rsidRPr="00AD7158">
        <w:rPr>
          <w:lang w:val="es-AR"/>
        </w:rPr>
        <w:t xml:space="preserve"> habría aplicado prisión perpetua al imputado haciendo únicamente referencia al ilícito,</w:t>
      </w:r>
      <w:r w:rsidR="00D54E05" w:rsidRPr="00AD7158">
        <w:rPr>
          <w:lang w:val="es-AR"/>
        </w:rPr>
        <w:t xml:space="preserve"> m</w:t>
      </w:r>
      <w:r w:rsidR="003B4AFA" w:rsidRPr="00AD7158">
        <w:rPr>
          <w:lang w:val="es-AR"/>
        </w:rPr>
        <w:t>á</w:t>
      </w:r>
      <w:r w:rsidR="001C65C4" w:rsidRPr="00AD7158">
        <w:rPr>
          <w:lang w:val="es-AR"/>
        </w:rPr>
        <w:t xml:space="preserve">s no </w:t>
      </w:r>
      <w:r w:rsidR="00D54E05" w:rsidRPr="00AD7158">
        <w:rPr>
          <w:lang w:val="es-AR"/>
        </w:rPr>
        <w:t xml:space="preserve">a elementos como la edad </w:t>
      </w:r>
      <w:r w:rsidR="00262F12" w:rsidRPr="00AD7158">
        <w:rPr>
          <w:lang w:val="es-AR"/>
        </w:rPr>
        <w:t xml:space="preserve">de procesado en la época del hecho </w:t>
      </w:r>
      <w:r w:rsidR="00D54E05" w:rsidRPr="00AD7158">
        <w:rPr>
          <w:lang w:val="es-AR"/>
        </w:rPr>
        <w:t>(18 años) o la pericia psiquiátrica</w:t>
      </w:r>
      <w:r w:rsidR="00C07C28" w:rsidRPr="00AD7158">
        <w:rPr>
          <w:rStyle w:val="FootnoteReference"/>
          <w:sz w:val="20"/>
          <w:lang w:val="es-AR"/>
        </w:rPr>
        <w:footnoteReference w:id="35"/>
      </w:r>
      <w:r w:rsidR="00C07C28" w:rsidRPr="00AD7158">
        <w:rPr>
          <w:lang w:val="es-AR"/>
        </w:rPr>
        <w:t>.</w:t>
      </w:r>
    </w:p>
    <w:p w14:paraId="03E3EF4E" w14:textId="77777777" w:rsidR="00031840" w:rsidRPr="00AD7158" w:rsidRDefault="00031840" w:rsidP="00B419FB">
      <w:pPr>
        <w:tabs>
          <w:tab w:val="left" w:pos="360"/>
        </w:tabs>
        <w:jc w:val="both"/>
        <w:rPr>
          <w:rFonts w:asciiTheme="majorHAnsi" w:hAnsiTheme="majorHAnsi"/>
          <w:sz w:val="20"/>
          <w:szCs w:val="20"/>
          <w:lang w:val="es-AR"/>
        </w:rPr>
      </w:pPr>
    </w:p>
    <w:p w14:paraId="5A603875" w14:textId="77777777" w:rsidR="00031840" w:rsidRPr="00AD7158" w:rsidRDefault="00031840" w:rsidP="00222BD0">
      <w:pPr>
        <w:pStyle w:val="parrafos"/>
        <w:ind w:left="0" w:firstLine="0"/>
        <w:rPr>
          <w:lang w:val="es-AR"/>
        </w:rPr>
      </w:pPr>
      <w:r w:rsidRPr="00AD7158">
        <w:rPr>
          <w:lang w:val="es-AR"/>
        </w:rPr>
        <w:t xml:space="preserve">El 30 de noviembre de 1999, el </w:t>
      </w:r>
      <w:r w:rsidR="008E2D5B" w:rsidRPr="00AD7158">
        <w:rPr>
          <w:lang w:val="es-AR"/>
        </w:rPr>
        <w:t>TOM</w:t>
      </w:r>
      <w:r w:rsidRPr="00AD7158">
        <w:rPr>
          <w:lang w:val="es-AR"/>
        </w:rPr>
        <w:t>, actuando como habilitado</w:t>
      </w:r>
      <w:r w:rsidR="00F80BF1" w:rsidRPr="00AD7158">
        <w:rPr>
          <w:lang w:val="es-AR"/>
        </w:rPr>
        <w:t>r</w:t>
      </w:r>
      <w:r w:rsidRPr="00AD7158">
        <w:rPr>
          <w:lang w:val="es-AR"/>
        </w:rPr>
        <w:t xml:space="preserve"> </w:t>
      </w:r>
      <w:r w:rsidR="00FD2038" w:rsidRPr="00AD7158">
        <w:rPr>
          <w:lang w:val="es-AR"/>
        </w:rPr>
        <w:t xml:space="preserve">de la instancia superior, </w:t>
      </w:r>
      <w:r w:rsidR="00F80BF1" w:rsidRPr="00AD7158">
        <w:rPr>
          <w:lang w:val="es-AR"/>
        </w:rPr>
        <w:t>rechaz</w:t>
      </w:r>
      <w:r w:rsidR="00F35E76" w:rsidRPr="00AD7158">
        <w:rPr>
          <w:lang w:val="es-AR"/>
        </w:rPr>
        <w:t>ó</w:t>
      </w:r>
      <w:r w:rsidR="00F80BF1" w:rsidRPr="00AD7158">
        <w:rPr>
          <w:lang w:val="es-AR"/>
        </w:rPr>
        <w:t xml:space="preserve"> </w:t>
      </w:r>
      <w:r w:rsidR="00807019" w:rsidRPr="00AD7158">
        <w:rPr>
          <w:lang w:val="es-AR"/>
        </w:rPr>
        <w:t xml:space="preserve">parcialmente </w:t>
      </w:r>
      <w:r w:rsidR="00F80BF1" w:rsidRPr="00AD7158">
        <w:rPr>
          <w:lang w:val="es-AR"/>
        </w:rPr>
        <w:t>el recurso de casación</w:t>
      </w:r>
      <w:r w:rsidR="00CE2A5E" w:rsidRPr="00AD7158">
        <w:rPr>
          <w:lang w:val="es-AR"/>
        </w:rPr>
        <w:t xml:space="preserve">. </w:t>
      </w:r>
      <w:r w:rsidR="00807019" w:rsidRPr="00AD7158">
        <w:rPr>
          <w:lang w:val="es-AR"/>
        </w:rPr>
        <w:t>S</w:t>
      </w:r>
      <w:r w:rsidR="00F80BF1" w:rsidRPr="00AD7158">
        <w:rPr>
          <w:lang w:val="es-AR"/>
        </w:rPr>
        <w:t>ost</w:t>
      </w:r>
      <w:r w:rsidR="00CE2A5E" w:rsidRPr="00AD7158">
        <w:rPr>
          <w:lang w:val="es-AR"/>
        </w:rPr>
        <w:t>uvo que la defensora pú</w:t>
      </w:r>
      <w:r w:rsidR="00F80BF1" w:rsidRPr="00AD7158">
        <w:rPr>
          <w:lang w:val="es-AR"/>
        </w:rPr>
        <w:t xml:space="preserve">blica ya venía desempeñándose como defensora del coprocesado, imputado </w:t>
      </w:r>
      <w:r w:rsidR="0051071B" w:rsidRPr="00AD7158">
        <w:rPr>
          <w:lang w:val="es-AR"/>
        </w:rPr>
        <w:t>por los mismos sucesos, y que</w:t>
      </w:r>
      <w:r w:rsidR="00F80BF1" w:rsidRPr="00AD7158">
        <w:rPr>
          <w:lang w:val="es-AR"/>
        </w:rPr>
        <w:t xml:space="preserve"> había </w:t>
      </w:r>
      <w:r w:rsidR="0051071B" w:rsidRPr="00AD7158">
        <w:rPr>
          <w:lang w:val="es-AR"/>
        </w:rPr>
        <w:t>sido</w:t>
      </w:r>
      <w:r w:rsidR="00F80BF1" w:rsidRPr="00AD7158">
        <w:rPr>
          <w:lang w:val="es-AR"/>
        </w:rPr>
        <w:t xml:space="preserve"> defensora de Álvarez </w:t>
      </w:r>
      <w:r w:rsidR="00554160" w:rsidRPr="00AD7158">
        <w:rPr>
          <w:lang w:val="es-AR"/>
        </w:rPr>
        <w:t>entre el 12 y el</w:t>
      </w:r>
      <w:r w:rsidR="00F80BF1" w:rsidRPr="00AD7158">
        <w:rPr>
          <w:lang w:val="es-AR"/>
        </w:rPr>
        <w:t xml:space="preserve"> 24 de agosto de 1999. </w:t>
      </w:r>
      <w:r w:rsidR="00F832D6" w:rsidRPr="00AD7158">
        <w:rPr>
          <w:lang w:val="es-AR"/>
        </w:rPr>
        <w:t>Agreg</w:t>
      </w:r>
      <w:r w:rsidR="00807019" w:rsidRPr="00AD7158">
        <w:rPr>
          <w:lang w:val="es-AR"/>
        </w:rPr>
        <w:t>ó</w:t>
      </w:r>
      <w:r w:rsidR="00F832D6" w:rsidRPr="00AD7158">
        <w:rPr>
          <w:lang w:val="es-AR"/>
        </w:rPr>
        <w:t xml:space="preserve"> que</w:t>
      </w:r>
      <w:r w:rsidR="00CE2A5E" w:rsidRPr="00AD7158">
        <w:rPr>
          <w:lang w:val="es-AR"/>
        </w:rPr>
        <w:t xml:space="preserve">, </w:t>
      </w:r>
      <w:r w:rsidR="00A63EAD" w:rsidRPr="00AD7158">
        <w:rPr>
          <w:lang w:val="es-AR"/>
        </w:rPr>
        <w:t xml:space="preserve">la </w:t>
      </w:r>
      <w:r w:rsidR="00CE2A5E" w:rsidRPr="00AD7158">
        <w:rPr>
          <w:lang w:val="es-AR"/>
        </w:rPr>
        <w:t>defensa pú</w:t>
      </w:r>
      <w:r w:rsidR="00F832D6" w:rsidRPr="00AD7158">
        <w:rPr>
          <w:lang w:val="es-AR"/>
        </w:rPr>
        <w:t>blica en la audiencia de debate</w:t>
      </w:r>
      <w:r w:rsidR="002D1E2A" w:rsidRPr="00AD7158">
        <w:rPr>
          <w:lang w:val="es-AR"/>
        </w:rPr>
        <w:t xml:space="preserve"> </w:t>
      </w:r>
      <w:r w:rsidR="00FD5EEE" w:rsidRPr="00AD7158">
        <w:rPr>
          <w:lang w:val="es-AR"/>
        </w:rPr>
        <w:t>demostró</w:t>
      </w:r>
      <w:r w:rsidR="00F832D6" w:rsidRPr="00AD7158">
        <w:rPr>
          <w:lang w:val="es-AR"/>
        </w:rPr>
        <w:t xml:space="preserve"> acabado conocimiento sobre lo actuado en </w:t>
      </w:r>
      <w:r w:rsidR="00B64ADD" w:rsidRPr="00AD7158">
        <w:rPr>
          <w:lang w:val="es-AR"/>
        </w:rPr>
        <w:t>autos</w:t>
      </w:r>
      <w:r w:rsidR="00F832D6" w:rsidRPr="00AD7158">
        <w:rPr>
          <w:lang w:val="es-AR"/>
        </w:rPr>
        <w:t xml:space="preserve"> y la situación de los procesados</w:t>
      </w:r>
      <w:r w:rsidR="002D1E2A" w:rsidRPr="00AD7158">
        <w:rPr>
          <w:lang w:val="es-AR"/>
        </w:rPr>
        <w:t>, lo que</w:t>
      </w:r>
      <w:r w:rsidR="00F832D6" w:rsidRPr="00AD7158">
        <w:rPr>
          <w:lang w:val="es-AR"/>
        </w:rPr>
        <w:t xml:space="preserve"> “da por tierra con el argumento respecto a que </w:t>
      </w:r>
      <w:r w:rsidR="00D834EA" w:rsidRPr="00AD7158">
        <w:rPr>
          <w:lang w:val="es-AR"/>
        </w:rPr>
        <w:t>Álvarez</w:t>
      </w:r>
      <w:r w:rsidR="00F832D6" w:rsidRPr="00AD7158">
        <w:rPr>
          <w:lang w:val="es-AR"/>
        </w:rPr>
        <w:t xml:space="preserve"> habría padecido un estado de indefensión”</w:t>
      </w:r>
      <w:r w:rsidR="00F832D6" w:rsidRPr="00AD7158">
        <w:rPr>
          <w:rStyle w:val="FootnoteReference"/>
          <w:sz w:val="20"/>
          <w:lang w:val="es-AR"/>
        </w:rPr>
        <w:footnoteReference w:id="36"/>
      </w:r>
      <w:r w:rsidR="00F832D6" w:rsidRPr="00AD7158">
        <w:rPr>
          <w:lang w:val="es-AR"/>
        </w:rPr>
        <w:t xml:space="preserve">. </w:t>
      </w:r>
      <w:r w:rsidR="00204201" w:rsidRPr="00AD7158">
        <w:rPr>
          <w:lang w:val="es-AR"/>
        </w:rPr>
        <w:t>Sobre el alegato de que la</w:t>
      </w:r>
      <w:r w:rsidR="00FD5EEE" w:rsidRPr="00AD7158">
        <w:rPr>
          <w:lang w:val="es-AR"/>
        </w:rPr>
        <w:t xml:space="preserve"> defensora pú</w:t>
      </w:r>
      <w:r w:rsidR="007501E2" w:rsidRPr="00AD7158">
        <w:rPr>
          <w:lang w:val="es-AR"/>
        </w:rPr>
        <w:t xml:space="preserve">blica asumió la defensa sin haber leído la causa, </w:t>
      </w:r>
      <w:r w:rsidR="00204201" w:rsidRPr="00AD7158">
        <w:rPr>
          <w:lang w:val="es-AR"/>
        </w:rPr>
        <w:t xml:space="preserve">afirmó que ello </w:t>
      </w:r>
      <w:r w:rsidR="007501E2" w:rsidRPr="00AD7158">
        <w:rPr>
          <w:lang w:val="es-AR"/>
        </w:rPr>
        <w:t>carecería de asidero y</w:t>
      </w:r>
      <w:r w:rsidR="00204201" w:rsidRPr="00AD7158">
        <w:rPr>
          <w:lang w:val="es-AR"/>
        </w:rPr>
        <w:t xml:space="preserve"> que</w:t>
      </w:r>
      <w:r w:rsidR="007501E2" w:rsidRPr="00AD7158">
        <w:rPr>
          <w:lang w:val="es-AR"/>
        </w:rPr>
        <w:t xml:space="preserve"> no fue esgrimido por la defensa a fin de</w:t>
      </w:r>
      <w:r w:rsidR="00204201" w:rsidRPr="00AD7158">
        <w:rPr>
          <w:lang w:val="es-AR"/>
        </w:rPr>
        <w:t xml:space="preserve"> postergar el juicio. Afirmó</w:t>
      </w:r>
      <w:r w:rsidR="00E53367" w:rsidRPr="00AD7158">
        <w:rPr>
          <w:lang w:val="es-AR"/>
        </w:rPr>
        <w:t xml:space="preserve"> que la defensora </w:t>
      </w:r>
      <w:r w:rsidR="007501E2" w:rsidRPr="00AD7158">
        <w:rPr>
          <w:lang w:val="es-AR"/>
        </w:rPr>
        <w:t>pudo dialogar con su representado durante el reces</w:t>
      </w:r>
      <w:r w:rsidR="001104E2" w:rsidRPr="00AD7158">
        <w:rPr>
          <w:lang w:val="es-AR"/>
        </w:rPr>
        <w:t>o que solicitó</w:t>
      </w:r>
      <w:r w:rsidR="000E38CF" w:rsidRPr="00AD7158">
        <w:rPr>
          <w:lang w:val="es-AR"/>
        </w:rPr>
        <w:t xml:space="preserve">. </w:t>
      </w:r>
      <w:r w:rsidR="00B64ADD" w:rsidRPr="00AD7158">
        <w:rPr>
          <w:lang w:val="es-AR"/>
        </w:rPr>
        <w:t>Sobre</w:t>
      </w:r>
      <w:r w:rsidR="004310D3" w:rsidRPr="00AD7158">
        <w:rPr>
          <w:lang w:val="es-AR"/>
        </w:rPr>
        <w:t xml:space="preserve"> l</w:t>
      </w:r>
      <w:r w:rsidR="000E38CF" w:rsidRPr="00AD7158">
        <w:rPr>
          <w:lang w:val="es-AR"/>
        </w:rPr>
        <w:t xml:space="preserve">as medidas de seguridad decretadas durante la audiencia, </w:t>
      </w:r>
      <w:r w:rsidR="00B64ADD" w:rsidRPr="00AD7158">
        <w:rPr>
          <w:lang w:val="es-AR"/>
        </w:rPr>
        <w:t xml:space="preserve">sostuvo que </w:t>
      </w:r>
      <w:r w:rsidR="000E38CF" w:rsidRPr="00AD7158">
        <w:rPr>
          <w:lang w:val="es-AR"/>
        </w:rPr>
        <w:t xml:space="preserve">fueron decididas por el tribunal a la luz </w:t>
      </w:r>
      <w:r w:rsidR="00D3377A" w:rsidRPr="00AD7158">
        <w:rPr>
          <w:lang w:val="es-AR"/>
        </w:rPr>
        <w:t>de los artículos 363 y 366 del C</w:t>
      </w:r>
      <w:r w:rsidR="000E38CF" w:rsidRPr="00AD7158">
        <w:rPr>
          <w:lang w:val="es-AR"/>
        </w:rPr>
        <w:t xml:space="preserve">ódigo de rito y fundamentadas. </w:t>
      </w:r>
      <w:r w:rsidR="00296B0B" w:rsidRPr="00AD7158">
        <w:rPr>
          <w:lang w:val="es-AR"/>
        </w:rPr>
        <w:t>Además,</w:t>
      </w:r>
      <w:r w:rsidR="00C6642E" w:rsidRPr="00AD7158">
        <w:rPr>
          <w:lang w:val="es-AR"/>
        </w:rPr>
        <w:t xml:space="preserve"> afirmó</w:t>
      </w:r>
      <w:r w:rsidR="00296B0B" w:rsidRPr="00AD7158">
        <w:rPr>
          <w:lang w:val="es-AR"/>
        </w:rPr>
        <w:t xml:space="preserve"> q</w:t>
      </w:r>
      <w:r w:rsidR="00D3377A" w:rsidRPr="00AD7158">
        <w:rPr>
          <w:lang w:val="es-AR"/>
        </w:rPr>
        <w:t>ue la defensora oficial no alegó</w:t>
      </w:r>
      <w:r w:rsidR="00296B0B" w:rsidRPr="00AD7158">
        <w:rPr>
          <w:lang w:val="es-AR"/>
        </w:rPr>
        <w:t xml:space="preserve"> durante el transcurso de la audiencia que el </w:t>
      </w:r>
      <w:r w:rsidR="00B64ADD" w:rsidRPr="00AD7158">
        <w:rPr>
          <w:lang w:val="es-AR"/>
        </w:rPr>
        <w:t>mantener esposado el imputado</w:t>
      </w:r>
      <w:r w:rsidR="00296B0B" w:rsidRPr="00AD7158">
        <w:rPr>
          <w:lang w:val="es-AR"/>
        </w:rPr>
        <w:t xml:space="preserve"> hubiese dificultado la comunicación entre ambos. Sobre los alegatos relativos a la errónea aplicación de la ley sustantiva, así como la agravante “homicidio criminis causa” del artículo 80 inciso 7 del C</w:t>
      </w:r>
      <w:r w:rsidR="00D3377A" w:rsidRPr="00AD7158">
        <w:rPr>
          <w:lang w:val="es-AR"/>
        </w:rPr>
        <w:t>PN</w:t>
      </w:r>
      <w:r w:rsidR="00C2419E" w:rsidRPr="00AD7158">
        <w:rPr>
          <w:lang w:val="es-AR"/>
        </w:rPr>
        <w:t>, el tribunal indicó</w:t>
      </w:r>
      <w:r w:rsidR="00296B0B" w:rsidRPr="00AD7158">
        <w:rPr>
          <w:lang w:val="es-AR"/>
        </w:rPr>
        <w:t xml:space="preserve"> que el recurrente</w:t>
      </w:r>
      <w:r w:rsidR="00D3377A" w:rsidRPr="00AD7158">
        <w:rPr>
          <w:lang w:val="es-AR"/>
        </w:rPr>
        <w:t>,</w:t>
      </w:r>
      <w:r w:rsidR="00296B0B" w:rsidRPr="00AD7158">
        <w:rPr>
          <w:lang w:val="es-AR"/>
        </w:rPr>
        <w:t xml:space="preserve"> </w:t>
      </w:r>
      <w:r w:rsidR="00C2419E" w:rsidRPr="00AD7158">
        <w:rPr>
          <w:lang w:val="es-AR"/>
        </w:rPr>
        <w:t>para cuestionar la significación jurídica, tiene po</w:t>
      </w:r>
      <w:r w:rsidR="002D5E39" w:rsidRPr="00AD7158">
        <w:rPr>
          <w:lang w:val="es-AR"/>
        </w:rPr>
        <w:t xml:space="preserve">r ciertos los hechos </w:t>
      </w:r>
      <w:r w:rsidR="00C2419E" w:rsidRPr="00AD7158">
        <w:rPr>
          <w:lang w:val="es-AR"/>
        </w:rPr>
        <w:t>de una forma diversa a la narrada por el tribunal</w:t>
      </w:r>
      <w:r w:rsidR="00E53367" w:rsidRPr="00AD7158">
        <w:rPr>
          <w:lang w:val="es-AR"/>
        </w:rPr>
        <w:t>. Afirmó que</w:t>
      </w:r>
      <w:r w:rsidR="00C2419E" w:rsidRPr="00AD7158">
        <w:rPr>
          <w:lang w:val="es-AR"/>
        </w:rPr>
        <w:t xml:space="preserve"> </w:t>
      </w:r>
      <w:r w:rsidR="003D4D2E" w:rsidRPr="00AD7158">
        <w:rPr>
          <w:lang w:val="es-AR"/>
        </w:rPr>
        <w:t>las referidas</w:t>
      </w:r>
      <w:r w:rsidR="00C2419E" w:rsidRPr="00AD7158">
        <w:rPr>
          <w:lang w:val="es-AR"/>
        </w:rPr>
        <w:t xml:space="preserve"> cuestiones son irrevisables por vía casación</w:t>
      </w:r>
      <w:r w:rsidR="002D5E39" w:rsidRPr="00AD7158">
        <w:rPr>
          <w:lang w:val="es-AR"/>
        </w:rPr>
        <w:t xml:space="preserve">, y </w:t>
      </w:r>
      <w:r w:rsidR="00C2419E" w:rsidRPr="00AD7158">
        <w:rPr>
          <w:lang w:val="es-AR"/>
        </w:rPr>
        <w:t>concedió el recurso de c</w:t>
      </w:r>
      <w:r w:rsidR="003D4D2E" w:rsidRPr="00AD7158">
        <w:rPr>
          <w:lang w:val="es-AR"/>
        </w:rPr>
        <w:t>asación</w:t>
      </w:r>
      <w:r w:rsidR="00C2419E" w:rsidRPr="00AD7158">
        <w:rPr>
          <w:lang w:val="es-AR"/>
        </w:rPr>
        <w:t xml:space="preserve"> exclusiv</w:t>
      </w:r>
      <w:r w:rsidR="003D4D2E" w:rsidRPr="00AD7158">
        <w:rPr>
          <w:lang w:val="es-AR"/>
        </w:rPr>
        <w:t xml:space="preserve">amente sobre </w:t>
      </w:r>
      <w:r w:rsidR="00C2419E" w:rsidRPr="00AD7158">
        <w:rPr>
          <w:lang w:val="es-AR"/>
        </w:rPr>
        <w:t>la aplicación del artículo 52 del C</w:t>
      </w:r>
      <w:r w:rsidR="003D4D2E" w:rsidRPr="00AD7158">
        <w:rPr>
          <w:lang w:val="es-AR"/>
        </w:rPr>
        <w:t>PN</w:t>
      </w:r>
      <w:r w:rsidR="00C2419E" w:rsidRPr="00AD7158">
        <w:rPr>
          <w:lang w:val="es-AR"/>
        </w:rPr>
        <w:t>, por ser un aspecto de aplicación del derecho</w:t>
      </w:r>
      <w:r w:rsidR="003D2D02" w:rsidRPr="00AD7158">
        <w:rPr>
          <w:lang w:val="es-AR"/>
        </w:rPr>
        <w:t>, emplazándole al defensor a comparecer ante el tribunal de alzada para mantener el recurso dentro de tres días</w:t>
      </w:r>
      <w:r w:rsidR="00C2419E" w:rsidRPr="00AD7158">
        <w:rPr>
          <w:lang w:val="es-AR"/>
        </w:rPr>
        <w:t>.</w:t>
      </w:r>
      <w:r w:rsidR="003D2D02" w:rsidRPr="00AD7158">
        <w:rPr>
          <w:lang w:val="es-AR"/>
        </w:rPr>
        <w:t xml:space="preserve"> </w:t>
      </w:r>
    </w:p>
    <w:p w14:paraId="3862D864" w14:textId="77777777" w:rsidR="00A254E9" w:rsidRPr="00AD7158" w:rsidRDefault="00A254E9" w:rsidP="00A254E9">
      <w:pPr>
        <w:pStyle w:val="parrafos"/>
        <w:numPr>
          <w:ilvl w:val="0"/>
          <w:numId w:val="0"/>
        </w:numPr>
        <w:rPr>
          <w:lang w:val="es-AR"/>
        </w:rPr>
      </w:pPr>
    </w:p>
    <w:p w14:paraId="43143FC8" w14:textId="77777777" w:rsidR="00746C33" w:rsidRPr="00AD7158" w:rsidRDefault="00305823" w:rsidP="00222BD0">
      <w:pPr>
        <w:pStyle w:val="parrafos"/>
        <w:ind w:left="0" w:firstLine="0"/>
        <w:rPr>
          <w:lang w:val="es-AR"/>
        </w:rPr>
      </w:pPr>
      <w:r w:rsidRPr="00AD7158">
        <w:rPr>
          <w:lang w:val="es-AR"/>
        </w:rPr>
        <w:t>Por otra parte, la defensa</w:t>
      </w:r>
      <w:r w:rsidR="00486E17" w:rsidRPr="00AD7158">
        <w:rPr>
          <w:lang w:val="es-AR"/>
        </w:rPr>
        <w:t xml:space="preserve"> de la presunta v</w:t>
      </w:r>
      <w:r w:rsidR="00556A71" w:rsidRPr="00AD7158">
        <w:rPr>
          <w:lang w:val="es-AR"/>
        </w:rPr>
        <w:t>íctima presentó</w:t>
      </w:r>
      <w:r w:rsidR="00486E17" w:rsidRPr="00AD7158">
        <w:rPr>
          <w:lang w:val="es-AR"/>
        </w:rPr>
        <w:t xml:space="preserve"> </w:t>
      </w:r>
      <w:r w:rsidR="00B87418" w:rsidRPr="00AD7158">
        <w:rPr>
          <w:lang w:val="es-AR"/>
        </w:rPr>
        <w:t>e</w:t>
      </w:r>
      <w:r w:rsidR="00D015CF" w:rsidRPr="00AD7158">
        <w:rPr>
          <w:lang w:val="es-AR"/>
        </w:rPr>
        <w:t>l</w:t>
      </w:r>
      <w:r w:rsidR="00B87418" w:rsidRPr="00AD7158">
        <w:rPr>
          <w:lang w:val="es-AR"/>
        </w:rPr>
        <w:t xml:space="preserve"> 15 de diciembre de 1999</w:t>
      </w:r>
      <w:r w:rsidR="009F419A" w:rsidRPr="00AD7158">
        <w:rPr>
          <w:lang w:val="es-AR"/>
        </w:rPr>
        <w:t>, un recurso de queja</w:t>
      </w:r>
      <w:r w:rsidR="00486E17" w:rsidRPr="00AD7158">
        <w:rPr>
          <w:lang w:val="es-AR"/>
        </w:rPr>
        <w:t xml:space="preserve"> c</w:t>
      </w:r>
      <w:r w:rsidR="006F0FE4" w:rsidRPr="00AD7158">
        <w:rPr>
          <w:lang w:val="es-AR"/>
        </w:rPr>
        <w:t xml:space="preserve">ontra la resolución de 30 de noviembre de 1999 del </w:t>
      </w:r>
      <w:r w:rsidR="008E2D5B" w:rsidRPr="00AD7158">
        <w:rPr>
          <w:lang w:val="es-AR"/>
        </w:rPr>
        <w:t>TOM</w:t>
      </w:r>
      <w:r w:rsidR="006F0FE4" w:rsidRPr="00AD7158">
        <w:rPr>
          <w:lang w:val="es-AR"/>
        </w:rPr>
        <w:t xml:space="preserve">, </w:t>
      </w:r>
      <w:r w:rsidR="00625BDB" w:rsidRPr="00AD7158">
        <w:rPr>
          <w:lang w:val="es-AR"/>
        </w:rPr>
        <w:t xml:space="preserve">en cuanto </w:t>
      </w:r>
      <w:r w:rsidR="006F0FE4" w:rsidRPr="00AD7158">
        <w:rPr>
          <w:lang w:val="es-AR"/>
        </w:rPr>
        <w:t xml:space="preserve">no hizo lugar </w:t>
      </w:r>
      <w:r w:rsidR="00D015CF" w:rsidRPr="00AD7158">
        <w:rPr>
          <w:lang w:val="es-AR"/>
        </w:rPr>
        <w:t xml:space="preserve">parcialmente </w:t>
      </w:r>
      <w:r w:rsidR="006F0FE4" w:rsidRPr="00AD7158">
        <w:rPr>
          <w:lang w:val="es-AR"/>
        </w:rPr>
        <w:t xml:space="preserve">al recurso de casación interpuesto </w:t>
      </w:r>
      <w:r w:rsidR="00155AAF" w:rsidRPr="00AD7158">
        <w:rPr>
          <w:lang w:val="es-AR"/>
        </w:rPr>
        <w:t>por</w:t>
      </w:r>
      <w:r w:rsidR="00486E17" w:rsidRPr="00AD7158">
        <w:rPr>
          <w:lang w:val="es-AR"/>
        </w:rPr>
        <w:t xml:space="preserve"> el rechazo</w:t>
      </w:r>
      <w:r w:rsidR="006F0FE4" w:rsidRPr="00AD7158">
        <w:rPr>
          <w:lang w:val="es-AR"/>
        </w:rPr>
        <w:t xml:space="preserve"> al pedido de suspensión de juicio</w:t>
      </w:r>
      <w:r w:rsidR="009C2EDC" w:rsidRPr="00AD7158">
        <w:rPr>
          <w:rStyle w:val="FootnoteReference"/>
          <w:sz w:val="20"/>
          <w:lang w:val="es-AR"/>
        </w:rPr>
        <w:footnoteReference w:id="37"/>
      </w:r>
      <w:r w:rsidR="006F0FE4" w:rsidRPr="00AD7158">
        <w:rPr>
          <w:lang w:val="es-AR"/>
        </w:rPr>
        <w:t>.</w:t>
      </w:r>
      <w:r w:rsidR="00513629" w:rsidRPr="00AD7158">
        <w:rPr>
          <w:lang w:val="es-AR"/>
        </w:rPr>
        <w:t xml:space="preserve"> </w:t>
      </w:r>
    </w:p>
    <w:p w14:paraId="7ADFB21F" w14:textId="77777777" w:rsidR="00746C33" w:rsidRPr="00AD7158" w:rsidRDefault="00746C33" w:rsidP="00746C33">
      <w:pPr>
        <w:pStyle w:val="parrafos"/>
        <w:numPr>
          <w:ilvl w:val="0"/>
          <w:numId w:val="0"/>
        </w:numPr>
        <w:rPr>
          <w:lang w:val="es-AR"/>
        </w:rPr>
      </w:pPr>
    </w:p>
    <w:p w14:paraId="72C140A0" w14:textId="77777777" w:rsidR="0042214F" w:rsidRPr="00AD7158" w:rsidRDefault="00A77C8A" w:rsidP="00222BD0">
      <w:pPr>
        <w:pStyle w:val="parrafos"/>
        <w:ind w:left="0" w:firstLine="0"/>
        <w:rPr>
          <w:lang w:val="es-AR"/>
        </w:rPr>
      </w:pPr>
      <w:r w:rsidRPr="00AD7158">
        <w:rPr>
          <w:lang w:val="es-AR"/>
        </w:rPr>
        <w:t xml:space="preserve">El 14 de marzo de 2000, </w:t>
      </w:r>
      <w:r w:rsidR="004167C6" w:rsidRPr="00AD7158">
        <w:rPr>
          <w:lang w:val="es-AR"/>
        </w:rPr>
        <w:t>la Cámara Nacional de Casación Penal desestimó condena</w:t>
      </w:r>
      <w:r w:rsidR="00F97C59" w:rsidRPr="00AD7158">
        <w:rPr>
          <w:lang w:val="es-AR"/>
        </w:rPr>
        <w:t>ndo</w:t>
      </w:r>
      <w:r w:rsidR="004167C6" w:rsidRPr="00AD7158">
        <w:rPr>
          <w:lang w:val="es-AR"/>
        </w:rPr>
        <w:t xml:space="preserve"> en costas el recurso antes referido. </w:t>
      </w:r>
      <w:r w:rsidR="008F7033" w:rsidRPr="00AD7158">
        <w:rPr>
          <w:lang w:val="es-AR"/>
        </w:rPr>
        <w:t xml:space="preserve">Consideró que el </w:t>
      </w:r>
      <w:r w:rsidR="008E2D5B" w:rsidRPr="00AD7158">
        <w:rPr>
          <w:lang w:val="es-AR"/>
        </w:rPr>
        <w:t xml:space="preserve">TOM </w:t>
      </w:r>
      <w:r w:rsidR="008F7033" w:rsidRPr="00AD7158">
        <w:rPr>
          <w:lang w:val="es-AR"/>
        </w:rPr>
        <w:t>tenía la facultad de efectuar la primera revisión de las condiciones formales</w:t>
      </w:r>
      <w:r w:rsidR="00296C02" w:rsidRPr="00AD7158">
        <w:rPr>
          <w:lang w:val="es-AR"/>
        </w:rPr>
        <w:t xml:space="preserve"> del recurso.</w:t>
      </w:r>
      <w:r w:rsidR="00AF4E2C" w:rsidRPr="00AD7158">
        <w:rPr>
          <w:lang w:val="es-AR"/>
        </w:rPr>
        <w:t xml:space="preserve"> </w:t>
      </w:r>
      <w:r w:rsidR="00F97C59" w:rsidRPr="00AD7158">
        <w:rPr>
          <w:lang w:val="es-AR"/>
        </w:rPr>
        <w:t>E</w:t>
      </w:r>
      <w:r w:rsidR="006436FF" w:rsidRPr="00AD7158">
        <w:rPr>
          <w:lang w:val="es-AR"/>
        </w:rPr>
        <w:t>stimó que no surgía que la defensora oficial haya sido obligada a asumir la defens</w:t>
      </w:r>
      <w:r w:rsidR="00676A08" w:rsidRPr="00AD7158">
        <w:rPr>
          <w:lang w:val="es-AR"/>
        </w:rPr>
        <w:t>a sin haber leído la causa</w:t>
      </w:r>
      <w:r w:rsidR="007D612D" w:rsidRPr="00AD7158">
        <w:rPr>
          <w:lang w:val="es-AR"/>
        </w:rPr>
        <w:t xml:space="preserve">, y </w:t>
      </w:r>
      <w:r w:rsidR="007D2882" w:rsidRPr="00AD7158">
        <w:rPr>
          <w:lang w:val="es-AR"/>
        </w:rPr>
        <w:t xml:space="preserve">que no </w:t>
      </w:r>
      <w:r w:rsidR="007D612D" w:rsidRPr="00AD7158">
        <w:rPr>
          <w:lang w:val="es-AR"/>
        </w:rPr>
        <w:t xml:space="preserve">se </w:t>
      </w:r>
      <w:r w:rsidR="007D2882" w:rsidRPr="00AD7158">
        <w:rPr>
          <w:lang w:val="es-AR"/>
        </w:rPr>
        <w:t>identific</w:t>
      </w:r>
      <w:r w:rsidR="003B5AE8" w:rsidRPr="00AD7158">
        <w:rPr>
          <w:lang w:val="es-AR"/>
        </w:rPr>
        <w:t>ó</w:t>
      </w:r>
      <w:r w:rsidR="007D2882" w:rsidRPr="00AD7158">
        <w:rPr>
          <w:lang w:val="es-AR"/>
        </w:rPr>
        <w:t xml:space="preserve"> agravios concretos que ameritaran la nulidad que habría ocasionado </w:t>
      </w:r>
      <w:r w:rsidR="00481B09" w:rsidRPr="00AD7158">
        <w:rPr>
          <w:lang w:val="es-AR"/>
        </w:rPr>
        <w:t>la participación d</w:t>
      </w:r>
      <w:r w:rsidR="00380647" w:rsidRPr="00AD7158">
        <w:rPr>
          <w:lang w:val="es-AR"/>
        </w:rPr>
        <w:t xml:space="preserve">e </w:t>
      </w:r>
      <w:r w:rsidR="003B5AE8" w:rsidRPr="00AD7158">
        <w:rPr>
          <w:lang w:val="es-AR"/>
        </w:rPr>
        <w:t>la defensora oficial</w:t>
      </w:r>
      <w:r w:rsidR="0056701B" w:rsidRPr="00AD7158">
        <w:rPr>
          <w:lang w:val="es-AR"/>
        </w:rPr>
        <w:t>, quien conoc</w:t>
      </w:r>
      <w:r w:rsidR="007D612D" w:rsidRPr="00AD7158">
        <w:rPr>
          <w:lang w:val="es-AR"/>
        </w:rPr>
        <w:t>ía</w:t>
      </w:r>
      <w:r w:rsidR="0056701B" w:rsidRPr="00AD7158">
        <w:rPr>
          <w:lang w:val="es-AR"/>
        </w:rPr>
        <w:t xml:space="preserve"> las actuaciones </w:t>
      </w:r>
      <w:r w:rsidR="002B08B6" w:rsidRPr="00AD7158">
        <w:rPr>
          <w:lang w:val="es-AR"/>
        </w:rPr>
        <w:t xml:space="preserve">por </w:t>
      </w:r>
      <w:r w:rsidR="0056701B" w:rsidRPr="00AD7158">
        <w:rPr>
          <w:lang w:val="es-AR"/>
        </w:rPr>
        <w:t>defen</w:t>
      </w:r>
      <w:r w:rsidR="007D612D" w:rsidRPr="00AD7158">
        <w:rPr>
          <w:lang w:val="es-AR"/>
        </w:rPr>
        <w:t>der a</w:t>
      </w:r>
      <w:r w:rsidR="0056701B" w:rsidRPr="00AD7158">
        <w:rPr>
          <w:lang w:val="es-AR"/>
        </w:rPr>
        <w:t>l coprocesado</w:t>
      </w:r>
      <w:r w:rsidR="003B5AE8" w:rsidRPr="00AD7158">
        <w:rPr>
          <w:lang w:val="es-AR"/>
        </w:rPr>
        <w:t xml:space="preserve">. </w:t>
      </w:r>
      <w:r w:rsidR="00760813" w:rsidRPr="00AD7158">
        <w:rPr>
          <w:lang w:val="es-AR"/>
        </w:rPr>
        <w:t>Sobre la utilización de esposas,</w:t>
      </w:r>
      <w:r w:rsidR="00C620F4" w:rsidRPr="00AD7158">
        <w:rPr>
          <w:lang w:val="es-AR"/>
        </w:rPr>
        <w:t xml:space="preserve"> </w:t>
      </w:r>
      <w:r w:rsidR="00380647" w:rsidRPr="00AD7158">
        <w:rPr>
          <w:lang w:val="es-AR"/>
        </w:rPr>
        <w:t xml:space="preserve">sostuvo </w:t>
      </w:r>
      <w:r w:rsidR="00C620F4" w:rsidRPr="00AD7158">
        <w:rPr>
          <w:lang w:val="es-AR"/>
        </w:rPr>
        <w:t xml:space="preserve">que la hipótesis </w:t>
      </w:r>
      <w:r w:rsidR="00380647" w:rsidRPr="00AD7158">
        <w:rPr>
          <w:lang w:val="es-AR"/>
        </w:rPr>
        <w:t xml:space="preserve">alegada por </w:t>
      </w:r>
      <w:r w:rsidR="00C620F4" w:rsidRPr="00AD7158">
        <w:rPr>
          <w:lang w:val="es-AR"/>
        </w:rPr>
        <w:t>la defensa no se contempla en</w:t>
      </w:r>
      <w:r w:rsidR="00380647" w:rsidRPr="00AD7158">
        <w:rPr>
          <w:lang w:val="es-AR"/>
        </w:rPr>
        <w:t xml:space="preserve"> </w:t>
      </w:r>
      <w:r w:rsidR="00C620F4" w:rsidRPr="00AD7158">
        <w:rPr>
          <w:lang w:val="es-AR"/>
        </w:rPr>
        <w:t>el ordenamiento como forma de sanción de nulidad, caducidad o inadmisibilidad requeridas para la configuración de un vicio procesal subsanable en</w:t>
      </w:r>
      <w:r w:rsidR="00380647" w:rsidRPr="00AD7158">
        <w:rPr>
          <w:lang w:val="es-AR"/>
        </w:rPr>
        <w:t xml:space="preserve"> esta instancia. </w:t>
      </w:r>
      <w:r w:rsidR="002B08B6" w:rsidRPr="00AD7158">
        <w:rPr>
          <w:lang w:val="es-AR"/>
        </w:rPr>
        <w:t>R</w:t>
      </w:r>
      <w:r w:rsidR="00380647" w:rsidRPr="00AD7158">
        <w:rPr>
          <w:lang w:val="es-AR"/>
        </w:rPr>
        <w:t>eiteró</w:t>
      </w:r>
      <w:r w:rsidR="00C620F4" w:rsidRPr="00AD7158">
        <w:rPr>
          <w:lang w:val="es-AR"/>
        </w:rPr>
        <w:t xml:space="preserve"> que </w:t>
      </w:r>
      <w:r w:rsidR="00D47EB1" w:rsidRPr="00AD7158">
        <w:rPr>
          <w:lang w:val="es-AR"/>
        </w:rPr>
        <w:t>el tribunal</w:t>
      </w:r>
      <w:r w:rsidR="00380647" w:rsidRPr="00AD7158">
        <w:rPr>
          <w:lang w:val="es-AR"/>
        </w:rPr>
        <w:t xml:space="preserve"> debe</w:t>
      </w:r>
      <w:r w:rsidR="00D47EB1" w:rsidRPr="00AD7158">
        <w:rPr>
          <w:lang w:val="es-AR"/>
        </w:rPr>
        <w:t xml:space="preserve"> disponer medidas de seguridad durante el </w:t>
      </w:r>
      <w:r w:rsidR="00D47EB1" w:rsidRPr="00AD7158">
        <w:rPr>
          <w:lang w:val="es-AR"/>
        </w:rPr>
        <w:lastRenderedPageBreak/>
        <w:t>debate</w:t>
      </w:r>
      <w:r w:rsidR="00380647" w:rsidRPr="00AD7158">
        <w:rPr>
          <w:lang w:val="es-AR"/>
        </w:rPr>
        <w:t>,</w:t>
      </w:r>
      <w:r w:rsidR="00D47EB1" w:rsidRPr="00AD7158">
        <w:rPr>
          <w:lang w:val="es-AR"/>
        </w:rPr>
        <w:t xml:space="preserve"> y prevenir la fuga del acusado</w:t>
      </w:r>
      <w:r w:rsidR="002E76FF" w:rsidRPr="00AD7158">
        <w:rPr>
          <w:lang w:val="es-AR"/>
        </w:rPr>
        <w:t>, sin que la utilización razonable de ese mandato pueda interpretarse como un obstáculo para la comunicación con el defensor o indicio de prejuzgamiento</w:t>
      </w:r>
      <w:r w:rsidR="00D47EB1" w:rsidRPr="00AD7158">
        <w:rPr>
          <w:lang w:val="es-AR"/>
        </w:rPr>
        <w:t xml:space="preserve">. </w:t>
      </w:r>
      <w:r w:rsidR="002348B7" w:rsidRPr="00AD7158">
        <w:rPr>
          <w:lang w:val="es-AR"/>
        </w:rPr>
        <w:t>Sobre la agravante del artículo 80 inciso 2</w:t>
      </w:r>
      <w:r w:rsidR="009D1D5D" w:rsidRPr="00AD7158">
        <w:rPr>
          <w:lang w:val="es-AR"/>
        </w:rPr>
        <w:t xml:space="preserve"> del CP</w:t>
      </w:r>
      <w:r w:rsidR="006C2512" w:rsidRPr="00AD7158">
        <w:rPr>
          <w:lang w:val="es-AR"/>
        </w:rPr>
        <w:t>N</w:t>
      </w:r>
      <w:r w:rsidR="002348B7" w:rsidRPr="00AD7158">
        <w:rPr>
          <w:lang w:val="es-AR"/>
        </w:rPr>
        <w:t>, s</w:t>
      </w:r>
      <w:r w:rsidR="00E53367" w:rsidRPr="00AD7158">
        <w:rPr>
          <w:lang w:val="es-AR"/>
        </w:rPr>
        <w:t>ostuvo que el recurrente intentó</w:t>
      </w:r>
      <w:r w:rsidR="002348B7" w:rsidRPr="00AD7158">
        <w:rPr>
          <w:lang w:val="es-AR"/>
        </w:rPr>
        <w:t xml:space="preserve"> desvirtuar la valoración que el tribunal</w:t>
      </w:r>
      <w:r w:rsidR="00F31FDE" w:rsidRPr="00AD7158">
        <w:rPr>
          <w:lang w:val="es-AR"/>
        </w:rPr>
        <w:t xml:space="preserve"> realizó</w:t>
      </w:r>
      <w:r w:rsidR="009D1D5D" w:rsidRPr="00AD7158">
        <w:rPr>
          <w:lang w:val="es-AR"/>
        </w:rPr>
        <w:t xml:space="preserve"> sobre los hechos probados de la causa. </w:t>
      </w:r>
      <w:r w:rsidR="001A79F6" w:rsidRPr="00AD7158">
        <w:rPr>
          <w:lang w:val="es-AR"/>
        </w:rPr>
        <w:t>En cuanto a</w:t>
      </w:r>
      <w:r w:rsidR="006003A0" w:rsidRPr="00AD7158">
        <w:rPr>
          <w:lang w:val="es-AR"/>
        </w:rPr>
        <w:t xml:space="preserve"> la agravante del </w:t>
      </w:r>
      <w:r w:rsidR="009D1D5D" w:rsidRPr="00AD7158">
        <w:rPr>
          <w:lang w:val="es-AR"/>
        </w:rPr>
        <w:t>artículo 80 inciso 7 del CP</w:t>
      </w:r>
      <w:r w:rsidR="006C2512" w:rsidRPr="00AD7158">
        <w:rPr>
          <w:lang w:val="es-AR"/>
        </w:rPr>
        <w:t>N</w:t>
      </w:r>
      <w:r w:rsidR="005636BB" w:rsidRPr="00AD7158">
        <w:rPr>
          <w:lang w:val="es-AR"/>
        </w:rPr>
        <w:t xml:space="preserve">, afirmó que </w:t>
      </w:r>
      <w:r w:rsidR="00825124" w:rsidRPr="00AD7158">
        <w:rPr>
          <w:lang w:val="es-AR"/>
        </w:rPr>
        <w:t>se</w:t>
      </w:r>
      <w:r w:rsidR="005636BB" w:rsidRPr="00AD7158">
        <w:rPr>
          <w:lang w:val="es-AR"/>
        </w:rPr>
        <w:t xml:space="preserve"> pretendía conmover la plataforma fáctica en que se sustentó la calificación </w:t>
      </w:r>
      <w:r w:rsidR="00191F95" w:rsidRPr="00AD7158">
        <w:rPr>
          <w:lang w:val="es-AR"/>
        </w:rPr>
        <w:t xml:space="preserve">de los hechos </w:t>
      </w:r>
      <w:r w:rsidR="005636BB" w:rsidRPr="00AD7158">
        <w:rPr>
          <w:lang w:val="es-AR"/>
        </w:rPr>
        <w:t xml:space="preserve">efectuada por el </w:t>
      </w:r>
      <w:r w:rsidR="008E2D5B" w:rsidRPr="00AD7158">
        <w:rPr>
          <w:lang w:val="es-AR"/>
        </w:rPr>
        <w:t>TOM</w:t>
      </w:r>
      <w:r w:rsidR="005636BB" w:rsidRPr="00AD7158">
        <w:rPr>
          <w:lang w:val="es-AR"/>
        </w:rPr>
        <w:t>, lo que escaparía del control de casación.</w:t>
      </w:r>
      <w:r w:rsidR="00545107" w:rsidRPr="00AD7158">
        <w:rPr>
          <w:lang w:val="es-AR"/>
        </w:rPr>
        <w:t xml:space="preserve"> </w:t>
      </w:r>
      <w:r w:rsidR="008B17FC" w:rsidRPr="00AD7158">
        <w:rPr>
          <w:lang w:val="es-AR"/>
        </w:rPr>
        <w:t>R</w:t>
      </w:r>
      <w:r w:rsidR="00545107" w:rsidRPr="00AD7158">
        <w:rPr>
          <w:lang w:val="es-AR"/>
        </w:rPr>
        <w:t xml:space="preserve">efirió </w:t>
      </w:r>
      <w:r w:rsidR="00166294" w:rsidRPr="00AD7158">
        <w:rPr>
          <w:lang w:val="es-AR"/>
        </w:rPr>
        <w:t>que era</w:t>
      </w:r>
      <w:r w:rsidR="00545107" w:rsidRPr="00AD7158">
        <w:rPr>
          <w:lang w:val="es-AR"/>
        </w:rPr>
        <w:t xml:space="preserve"> improcedente </w:t>
      </w:r>
      <w:r w:rsidR="00166294" w:rsidRPr="00AD7158">
        <w:rPr>
          <w:lang w:val="es-AR"/>
        </w:rPr>
        <w:t>“</w:t>
      </w:r>
      <w:r w:rsidR="00545107" w:rsidRPr="00AD7158">
        <w:rPr>
          <w:lang w:val="es-AR"/>
        </w:rPr>
        <w:t xml:space="preserve">provocar un nuevo examen crítico de los medios probatorios que dan base a la sentencia, toda vez que el valor de las pruebas no está </w:t>
      </w:r>
      <w:r w:rsidR="002864FF" w:rsidRPr="00AD7158">
        <w:rPr>
          <w:lang w:val="es-AR"/>
        </w:rPr>
        <w:t>prefijado y corresponde a la propia apreciación del tribunal de mérito determinar el grado de convencimiento que aquellas pueden producir, quedando dicho examen excluido de la inspección casacional</w:t>
      </w:r>
      <w:r w:rsidR="00975A05" w:rsidRPr="00AD7158">
        <w:rPr>
          <w:lang w:val="es-AR"/>
        </w:rPr>
        <w:t xml:space="preserve"> (…) salvo casos de arbitrariedad o absurdo notorio que no se verifican</w:t>
      </w:r>
      <w:r w:rsidR="002864FF" w:rsidRPr="00AD7158">
        <w:rPr>
          <w:lang w:val="es-AR"/>
        </w:rPr>
        <w:t>”</w:t>
      </w:r>
      <w:r w:rsidR="002864FF" w:rsidRPr="00AD7158">
        <w:rPr>
          <w:rStyle w:val="FootnoteReference"/>
          <w:sz w:val="20"/>
          <w:lang w:val="es-AR"/>
        </w:rPr>
        <w:footnoteReference w:id="38"/>
      </w:r>
      <w:r w:rsidR="002864FF" w:rsidRPr="00AD7158">
        <w:rPr>
          <w:lang w:val="es-AR"/>
        </w:rPr>
        <w:t>.</w:t>
      </w:r>
      <w:r w:rsidR="003D4CAE" w:rsidRPr="00AD7158">
        <w:rPr>
          <w:lang w:val="es-AR"/>
        </w:rPr>
        <w:t xml:space="preserve"> </w:t>
      </w:r>
      <w:r w:rsidR="00166294" w:rsidRPr="00AD7158">
        <w:rPr>
          <w:lang w:val="es-AR"/>
        </w:rPr>
        <w:t>S</w:t>
      </w:r>
      <w:r w:rsidR="003D4CAE" w:rsidRPr="00AD7158">
        <w:rPr>
          <w:lang w:val="es-AR"/>
        </w:rPr>
        <w:t xml:space="preserve">obre </w:t>
      </w:r>
      <w:r w:rsidR="00B422E6" w:rsidRPr="00AD7158">
        <w:rPr>
          <w:lang w:val="es-AR"/>
        </w:rPr>
        <w:t>la</w:t>
      </w:r>
      <w:r w:rsidR="003D4CAE" w:rsidRPr="00AD7158">
        <w:rPr>
          <w:lang w:val="es-AR"/>
        </w:rPr>
        <w:t xml:space="preserve"> </w:t>
      </w:r>
      <w:r w:rsidR="004B5234" w:rsidRPr="00AD7158">
        <w:rPr>
          <w:lang w:val="es-AR"/>
        </w:rPr>
        <w:t>falta de</w:t>
      </w:r>
      <w:r w:rsidR="003D4CAE" w:rsidRPr="00AD7158">
        <w:rPr>
          <w:lang w:val="es-AR"/>
        </w:rPr>
        <w:t xml:space="preserve"> </w:t>
      </w:r>
      <w:r w:rsidR="00EE2974" w:rsidRPr="00AD7158">
        <w:rPr>
          <w:lang w:val="es-AR"/>
        </w:rPr>
        <w:t>consider</w:t>
      </w:r>
      <w:r w:rsidR="00B422E6" w:rsidRPr="00AD7158">
        <w:rPr>
          <w:lang w:val="es-AR"/>
        </w:rPr>
        <w:t>aci</w:t>
      </w:r>
      <w:r w:rsidR="00EE2974" w:rsidRPr="00AD7158">
        <w:rPr>
          <w:lang w:val="es-AR"/>
        </w:rPr>
        <w:t>ó</w:t>
      </w:r>
      <w:r w:rsidR="00B422E6" w:rsidRPr="00AD7158">
        <w:rPr>
          <w:lang w:val="es-AR"/>
        </w:rPr>
        <w:t>n de</w:t>
      </w:r>
      <w:r w:rsidR="00EE2974" w:rsidRPr="00AD7158">
        <w:rPr>
          <w:lang w:val="es-AR"/>
        </w:rPr>
        <w:t xml:space="preserve"> </w:t>
      </w:r>
      <w:r w:rsidR="00B422E6" w:rsidRPr="00AD7158">
        <w:rPr>
          <w:lang w:val="es-AR"/>
        </w:rPr>
        <w:t>la edad y</w:t>
      </w:r>
      <w:r w:rsidR="003D4CAE" w:rsidRPr="00AD7158">
        <w:rPr>
          <w:lang w:val="es-AR"/>
        </w:rPr>
        <w:t xml:space="preserve"> personalidad de </w:t>
      </w:r>
      <w:r w:rsidR="00166294" w:rsidRPr="00AD7158">
        <w:rPr>
          <w:lang w:val="es-AR"/>
        </w:rPr>
        <w:t xml:space="preserve">Álvarez </w:t>
      </w:r>
      <w:r w:rsidR="00EE2974" w:rsidRPr="00AD7158">
        <w:rPr>
          <w:lang w:val="es-AR"/>
        </w:rPr>
        <w:t xml:space="preserve">para </w:t>
      </w:r>
      <w:r w:rsidR="00B422E6" w:rsidRPr="00AD7158">
        <w:rPr>
          <w:lang w:val="es-AR"/>
        </w:rPr>
        <w:t xml:space="preserve">la </w:t>
      </w:r>
      <w:r w:rsidR="00EE2974" w:rsidRPr="00AD7158">
        <w:rPr>
          <w:lang w:val="es-AR"/>
        </w:rPr>
        <w:t>determina</w:t>
      </w:r>
      <w:r w:rsidR="00166294" w:rsidRPr="00AD7158">
        <w:rPr>
          <w:lang w:val="es-AR"/>
        </w:rPr>
        <w:t>r</w:t>
      </w:r>
      <w:r w:rsidR="00B422E6" w:rsidRPr="00AD7158">
        <w:rPr>
          <w:lang w:val="es-AR"/>
        </w:rPr>
        <w:t xml:space="preserve"> la pena</w:t>
      </w:r>
      <w:r w:rsidR="003D4CAE" w:rsidRPr="00AD7158">
        <w:rPr>
          <w:lang w:val="es-AR"/>
        </w:rPr>
        <w:t>,</w:t>
      </w:r>
      <w:r w:rsidR="00C0022E" w:rsidRPr="00AD7158">
        <w:rPr>
          <w:lang w:val="es-AR"/>
        </w:rPr>
        <w:t xml:space="preserve"> </w:t>
      </w:r>
      <w:r w:rsidR="004B5234" w:rsidRPr="00AD7158">
        <w:rPr>
          <w:lang w:val="es-AR"/>
        </w:rPr>
        <w:t>sostuvo</w:t>
      </w:r>
      <w:r w:rsidR="00166294" w:rsidRPr="00AD7158">
        <w:rPr>
          <w:lang w:val="es-AR"/>
        </w:rPr>
        <w:t xml:space="preserve"> que </w:t>
      </w:r>
      <w:r w:rsidR="00EE2974" w:rsidRPr="00AD7158">
        <w:rPr>
          <w:lang w:val="es-AR"/>
        </w:rPr>
        <w:t xml:space="preserve">ello </w:t>
      </w:r>
      <w:r w:rsidR="00C0022E" w:rsidRPr="00AD7158">
        <w:rPr>
          <w:lang w:val="es-AR"/>
        </w:rPr>
        <w:t>no se ajusta a las constancias de la causa.</w:t>
      </w:r>
      <w:r w:rsidR="00EE2974" w:rsidRPr="00AD7158">
        <w:rPr>
          <w:lang w:val="es-AR"/>
        </w:rPr>
        <w:t xml:space="preserve"> </w:t>
      </w:r>
      <w:r w:rsidR="007D612D" w:rsidRPr="00AD7158">
        <w:rPr>
          <w:lang w:val="es-AR"/>
        </w:rPr>
        <w:t>A</w:t>
      </w:r>
      <w:r w:rsidR="00EE2974" w:rsidRPr="00AD7158">
        <w:rPr>
          <w:lang w:val="es-AR"/>
        </w:rPr>
        <w:t>firmó</w:t>
      </w:r>
      <w:r w:rsidR="004B2FE1" w:rsidRPr="00AD7158">
        <w:rPr>
          <w:lang w:val="es-AR"/>
        </w:rPr>
        <w:t xml:space="preserve"> que las valoraciones </w:t>
      </w:r>
      <w:r w:rsidR="00EE2974" w:rsidRPr="00AD7158">
        <w:rPr>
          <w:lang w:val="es-AR"/>
        </w:rPr>
        <w:t>d</w:t>
      </w:r>
      <w:r w:rsidR="004B2FE1" w:rsidRPr="00AD7158">
        <w:rPr>
          <w:lang w:val="es-AR"/>
        </w:rPr>
        <w:t>el tribunal sobre las pautas contempladas en los artículos 40 y 41 del CP</w:t>
      </w:r>
      <w:r w:rsidR="006D0D64" w:rsidRPr="00AD7158">
        <w:rPr>
          <w:lang w:val="es-AR"/>
        </w:rPr>
        <w:t>N</w:t>
      </w:r>
      <w:r w:rsidR="004B2FE1" w:rsidRPr="00AD7158">
        <w:rPr>
          <w:lang w:val="es-AR"/>
        </w:rPr>
        <w:t xml:space="preserve"> </w:t>
      </w:r>
      <w:r w:rsidR="00595BE1" w:rsidRPr="00AD7158">
        <w:rPr>
          <w:lang w:val="es-AR"/>
        </w:rPr>
        <w:t>para graduar la pena a imponer, quedan en general, fuera del control de casación.</w:t>
      </w:r>
    </w:p>
    <w:p w14:paraId="7AD93395" w14:textId="77777777" w:rsidR="0038154F" w:rsidRPr="00AD7158" w:rsidRDefault="0038154F" w:rsidP="00B419FB">
      <w:pPr>
        <w:tabs>
          <w:tab w:val="left" w:pos="360"/>
        </w:tabs>
        <w:jc w:val="both"/>
        <w:rPr>
          <w:rFonts w:asciiTheme="majorHAnsi" w:hAnsiTheme="majorHAnsi"/>
          <w:sz w:val="20"/>
          <w:szCs w:val="20"/>
          <w:lang w:val="es-AR"/>
        </w:rPr>
      </w:pPr>
    </w:p>
    <w:p w14:paraId="799CC5E6" w14:textId="77777777" w:rsidR="00364F1B" w:rsidRPr="00AD7158" w:rsidRDefault="0038154F" w:rsidP="005357E9">
      <w:pPr>
        <w:pStyle w:val="parrafos"/>
        <w:ind w:left="0" w:firstLine="0"/>
        <w:rPr>
          <w:lang w:val="es-AR"/>
        </w:rPr>
      </w:pPr>
      <w:r w:rsidRPr="00AD7158">
        <w:rPr>
          <w:lang w:val="es-AR"/>
        </w:rPr>
        <w:t>El</w:t>
      </w:r>
      <w:r w:rsidRPr="00AD7158">
        <w:rPr>
          <w:b/>
          <w:lang w:val="es-AR"/>
        </w:rPr>
        <w:t xml:space="preserve"> </w:t>
      </w:r>
      <w:r w:rsidR="00026058" w:rsidRPr="00AD7158">
        <w:rPr>
          <w:lang w:val="es-AR"/>
        </w:rPr>
        <w:t>10 de abril</w:t>
      </w:r>
      <w:r w:rsidR="0086278B" w:rsidRPr="00AD7158">
        <w:rPr>
          <w:lang w:val="es-AR"/>
        </w:rPr>
        <w:t xml:space="preserve"> de </w:t>
      </w:r>
      <w:r w:rsidR="00AF3B50" w:rsidRPr="00AD7158">
        <w:rPr>
          <w:lang w:val="es-AR"/>
        </w:rPr>
        <w:t>2000</w:t>
      </w:r>
      <w:r w:rsidR="00842CBB" w:rsidRPr="00AD7158">
        <w:rPr>
          <w:lang w:val="es-AR"/>
        </w:rPr>
        <w:t>, la defensa de la presunta víctima presentó</w:t>
      </w:r>
      <w:r w:rsidR="0086278B" w:rsidRPr="00AD7158">
        <w:rPr>
          <w:b/>
          <w:lang w:val="es-AR"/>
        </w:rPr>
        <w:t xml:space="preserve"> </w:t>
      </w:r>
      <w:r w:rsidR="0086278B" w:rsidRPr="00AD7158">
        <w:rPr>
          <w:lang w:val="es-AR"/>
        </w:rPr>
        <w:t xml:space="preserve">recurso extraordinario, </w:t>
      </w:r>
      <w:r w:rsidR="00026058" w:rsidRPr="00AD7158">
        <w:rPr>
          <w:lang w:val="es-AR"/>
        </w:rPr>
        <w:t>alegando arbitrariedad de la decisión de no hacer lugar a la queja interpuesta</w:t>
      </w:r>
      <w:r w:rsidR="00B87418" w:rsidRPr="00AD7158">
        <w:rPr>
          <w:lang w:val="es-AR"/>
        </w:rPr>
        <w:t xml:space="preserve"> el 15 de diciembre de 1999</w:t>
      </w:r>
      <w:r w:rsidR="00ED040C" w:rsidRPr="00AD7158">
        <w:rPr>
          <w:rStyle w:val="FootnoteReference"/>
          <w:sz w:val="20"/>
          <w:lang w:val="es-AR"/>
        </w:rPr>
        <w:footnoteReference w:id="39"/>
      </w:r>
      <w:r w:rsidR="007F732D" w:rsidRPr="00AD7158">
        <w:rPr>
          <w:lang w:val="es-AR"/>
        </w:rPr>
        <w:t>.</w:t>
      </w:r>
      <w:r w:rsidR="005357E9" w:rsidRPr="00AD7158">
        <w:rPr>
          <w:lang w:val="es-AR"/>
        </w:rPr>
        <w:t xml:space="preserve"> </w:t>
      </w:r>
      <w:r w:rsidR="00364F1B" w:rsidRPr="00AD7158">
        <w:rPr>
          <w:color w:val="auto"/>
          <w:lang w:val="es-AR"/>
        </w:rPr>
        <w:t>El 28 de junio de 2000, la Cámara Nacional de Casación Penal declaró inadmisible el recurso extraordinario interpuesto</w:t>
      </w:r>
      <w:r w:rsidR="00595FF5" w:rsidRPr="00AD7158">
        <w:rPr>
          <w:color w:val="auto"/>
          <w:lang w:val="es-AR"/>
        </w:rPr>
        <w:t xml:space="preserve"> por defectos formales</w:t>
      </w:r>
      <w:r w:rsidR="00364F1B" w:rsidRPr="00AD7158">
        <w:rPr>
          <w:rStyle w:val="FootnoteReference"/>
          <w:color w:val="auto"/>
          <w:sz w:val="20"/>
          <w:lang w:val="es-AR"/>
        </w:rPr>
        <w:footnoteReference w:id="40"/>
      </w:r>
      <w:r w:rsidR="00364F1B" w:rsidRPr="00AD7158">
        <w:rPr>
          <w:color w:val="auto"/>
          <w:lang w:val="es-AR"/>
        </w:rPr>
        <w:t xml:space="preserve">. </w:t>
      </w:r>
      <w:r w:rsidR="00F51F8D" w:rsidRPr="00AD7158">
        <w:rPr>
          <w:color w:val="auto"/>
          <w:lang w:val="es-AR"/>
        </w:rPr>
        <w:t>S</w:t>
      </w:r>
      <w:r w:rsidR="00364F1B" w:rsidRPr="00AD7158">
        <w:rPr>
          <w:color w:val="auto"/>
          <w:lang w:val="es-AR"/>
        </w:rPr>
        <w:t>ostuvo que “el recurrente omitió efectuar una crítica relevante de todos y cada uno de los argumentos utilizados por esta Sala para desestimar la queja y reitera sus agravios contra lo resuelto por el tribunal de mérito”</w:t>
      </w:r>
      <w:r w:rsidR="00364F1B" w:rsidRPr="00AD7158">
        <w:rPr>
          <w:rStyle w:val="FootnoteReference"/>
          <w:color w:val="auto"/>
          <w:sz w:val="20"/>
          <w:lang w:val="es-AR"/>
        </w:rPr>
        <w:footnoteReference w:id="41"/>
      </w:r>
      <w:r w:rsidR="00364F1B" w:rsidRPr="00AD7158">
        <w:rPr>
          <w:color w:val="auto"/>
          <w:lang w:val="es-AR"/>
        </w:rPr>
        <w:t>. A</w:t>
      </w:r>
      <w:r w:rsidR="00867E69" w:rsidRPr="00AD7158">
        <w:rPr>
          <w:color w:val="auto"/>
          <w:lang w:val="es-AR"/>
        </w:rPr>
        <w:t xml:space="preserve">firmó </w:t>
      </w:r>
      <w:r w:rsidR="00364F1B" w:rsidRPr="00AD7158">
        <w:rPr>
          <w:color w:val="auto"/>
          <w:lang w:val="es-AR"/>
        </w:rPr>
        <w:t xml:space="preserve">que, conforme a lo establecido por la </w:t>
      </w:r>
      <w:r w:rsidR="00F41040" w:rsidRPr="00AD7158">
        <w:t>CSJN</w:t>
      </w:r>
      <w:r w:rsidR="00364F1B" w:rsidRPr="00AD7158">
        <w:rPr>
          <w:color w:val="auto"/>
          <w:lang w:val="es-AR"/>
        </w:rPr>
        <w:t>, “para habilitar el recurso extraordinario los agravios deben expresarse sobre el pronunciamiento objetado y no sobre la sentencia del tribunal inferior”</w:t>
      </w:r>
      <w:r w:rsidR="00364F1B" w:rsidRPr="00AD7158">
        <w:rPr>
          <w:rStyle w:val="FootnoteReference"/>
          <w:color w:val="auto"/>
          <w:sz w:val="20"/>
          <w:lang w:val="es-AR"/>
        </w:rPr>
        <w:footnoteReference w:id="42"/>
      </w:r>
      <w:r w:rsidR="00364F1B" w:rsidRPr="00AD7158">
        <w:rPr>
          <w:color w:val="auto"/>
          <w:lang w:val="es-AR"/>
        </w:rPr>
        <w:t xml:space="preserve">. </w:t>
      </w:r>
      <w:r w:rsidR="00567D17" w:rsidRPr="00AD7158">
        <w:rPr>
          <w:color w:val="auto"/>
          <w:lang w:val="es-AR"/>
        </w:rPr>
        <w:t>E</w:t>
      </w:r>
      <w:r w:rsidR="00364F1B" w:rsidRPr="00AD7158">
        <w:rPr>
          <w:color w:val="auto"/>
          <w:lang w:val="es-AR"/>
        </w:rPr>
        <w:t>stimó que el recurso carecía de fundamentación autónoma, conforme lo establecido por el artículo 15 de la ley 48, pues no introdujo adecuadamente la cuestión federal “en tanto si bien señala una supuesta arbitrariedad de la resolución de esta sala sólo reitera los planteos referidos a la sentencia del tribunal de mérito que ya fueron contestados (…) lo que torna inadmisible la vía intentada”</w:t>
      </w:r>
      <w:r w:rsidR="00364F1B" w:rsidRPr="00AD7158">
        <w:rPr>
          <w:rStyle w:val="FootnoteReference"/>
          <w:color w:val="auto"/>
          <w:sz w:val="20"/>
          <w:lang w:val="es-AR"/>
        </w:rPr>
        <w:footnoteReference w:id="43"/>
      </w:r>
      <w:r w:rsidR="00364F1B" w:rsidRPr="00AD7158">
        <w:rPr>
          <w:color w:val="auto"/>
          <w:lang w:val="es-AR"/>
        </w:rPr>
        <w:t xml:space="preserve">. </w:t>
      </w:r>
    </w:p>
    <w:p w14:paraId="0E61029E" w14:textId="77777777" w:rsidR="00557064" w:rsidRPr="00AD7158" w:rsidRDefault="00557064" w:rsidP="002D46B7">
      <w:pPr>
        <w:pStyle w:val="ListParagraph"/>
      </w:pPr>
    </w:p>
    <w:p w14:paraId="3AAE16D4" w14:textId="77777777" w:rsidR="00B14359" w:rsidRPr="00AD7158" w:rsidRDefault="00557064" w:rsidP="00364F1B">
      <w:pPr>
        <w:pStyle w:val="parrafos"/>
        <w:ind w:left="0" w:firstLine="0"/>
        <w:rPr>
          <w:color w:val="auto"/>
          <w:lang w:val="es-AR"/>
        </w:rPr>
      </w:pPr>
      <w:r w:rsidRPr="00AD7158">
        <w:rPr>
          <w:color w:val="auto"/>
          <w:lang w:val="es-AR"/>
        </w:rPr>
        <w:t xml:space="preserve">El 31 de julio de 2000, Enrique Piragini, defensor particular de </w:t>
      </w:r>
      <w:r w:rsidR="00734677" w:rsidRPr="00AD7158">
        <w:rPr>
          <w:color w:val="auto"/>
          <w:lang w:val="es-AR"/>
        </w:rPr>
        <w:t>Álvarez</w:t>
      </w:r>
      <w:r w:rsidRPr="00AD7158">
        <w:rPr>
          <w:color w:val="auto"/>
          <w:lang w:val="es-AR"/>
        </w:rPr>
        <w:t>, present</w:t>
      </w:r>
      <w:r w:rsidR="0020176C" w:rsidRPr="00AD7158">
        <w:rPr>
          <w:color w:val="auto"/>
          <w:lang w:val="es-AR"/>
        </w:rPr>
        <w:t>ó</w:t>
      </w:r>
      <w:r w:rsidRPr="00AD7158">
        <w:rPr>
          <w:color w:val="auto"/>
          <w:lang w:val="es-AR"/>
        </w:rPr>
        <w:t xml:space="preserve"> recurso directo </w:t>
      </w:r>
      <w:r w:rsidR="005D7C04" w:rsidRPr="00AD7158">
        <w:rPr>
          <w:color w:val="auto"/>
          <w:lang w:val="es-AR"/>
        </w:rPr>
        <w:t xml:space="preserve">(queja) </w:t>
      </w:r>
      <w:r w:rsidRPr="00AD7158">
        <w:rPr>
          <w:color w:val="auto"/>
          <w:lang w:val="es-AR"/>
        </w:rPr>
        <w:t>ante la Corte Suprema,</w:t>
      </w:r>
      <w:r w:rsidR="005D7C04" w:rsidRPr="00AD7158">
        <w:rPr>
          <w:color w:val="auto"/>
          <w:lang w:val="es-AR"/>
        </w:rPr>
        <w:t xml:space="preserve"> contra la sentencia de 28 de junio de 2000,</w:t>
      </w:r>
      <w:r w:rsidR="00513629" w:rsidRPr="00AD7158">
        <w:rPr>
          <w:b/>
          <w:color w:val="auto"/>
          <w:lang w:val="es-AR"/>
        </w:rPr>
        <w:t xml:space="preserve"> </w:t>
      </w:r>
      <w:r w:rsidRPr="00AD7158">
        <w:rPr>
          <w:color w:val="auto"/>
          <w:lang w:val="es-AR"/>
        </w:rPr>
        <w:t>agraviándose entre otras cosas del derecho a defensa de Álvarez</w:t>
      </w:r>
      <w:r w:rsidR="00F07430" w:rsidRPr="00AD7158">
        <w:rPr>
          <w:rStyle w:val="FootnoteReference"/>
          <w:color w:val="auto"/>
          <w:lang w:val="es-AR"/>
        </w:rPr>
        <w:footnoteReference w:id="44"/>
      </w:r>
      <w:r w:rsidRPr="00AD7158">
        <w:rPr>
          <w:color w:val="auto"/>
          <w:lang w:val="es-AR"/>
        </w:rPr>
        <w:t xml:space="preserve">. </w:t>
      </w:r>
      <w:r w:rsidR="00455F00" w:rsidRPr="00AD7158">
        <w:rPr>
          <w:color w:val="auto"/>
          <w:lang w:val="es-AR"/>
        </w:rPr>
        <w:t>Según consta en un escrito de la Defensoría Penal Pública presentado a nivel interno, e</w:t>
      </w:r>
      <w:r w:rsidR="00B14359" w:rsidRPr="00AD7158">
        <w:rPr>
          <w:color w:val="auto"/>
          <w:lang w:val="es-AR"/>
        </w:rPr>
        <w:t>l 10 de agosto de 2</w:t>
      </w:r>
      <w:r w:rsidR="00266865" w:rsidRPr="00AD7158">
        <w:rPr>
          <w:color w:val="auto"/>
          <w:lang w:val="es-AR"/>
        </w:rPr>
        <w:t>000</w:t>
      </w:r>
      <w:r w:rsidR="00E26B0E" w:rsidRPr="00AD7158">
        <w:rPr>
          <w:color w:val="auto"/>
          <w:lang w:val="es-AR"/>
        </w:rPr>
        <w:t>, el tribunal</w:t>
      </w:r>
      <w:r w:rsidR="00266865" w:rsidRPr="00AD7158">
        <w:rPr>
          <w:color w:val="auto"/>
          <w:lang w:val="es-AR"/>
        </w:rPr>
        <w:t xml:space="preserve"> intimó</w:t>
      </w:r>
      <w:r w:rsidR="00B14359" w:rsidRPr="00AD7158">
        <w:rPr>
          <w:color w:val="auto"/>
          <w:lang w:val="es-AR"/>
        </w:rPr>
        <w:t xml:space="preserve"> a Pira</w:t>
      </w:r>
      <w:r w:rsidR="00A173E4" w:rsidRPr="00AD7158">
        <w:rPr>
          <w:color w:val="auto"/>
          <w:lang w:val="es-AR"/>
        </w:rPr>
        <w:t>gi</w:t>
      </w:r>
      <w:r w:rsidR="00B14359" w:rsidRPr="00AD7158">
        <w:rPr>
          <w:color w:val="auto"/>
          <w:lang w:val="es-AR"/>
        </w:rPr>
        <w:t>ni</w:t>
      </w:r>
      <w:r w:rsidR="00266865" w:rsidRPr="00AD7158">
        <w:rPr>
          <w:color w:val="auto"/>
          <w:lang w:val="es-AR"/>
        </w:rPr>
        <w:t xml:space="preserve"> a aportar copia de diversas decisiones adoptadas en el proceso</w:t>
      </w:r>
      <w:r w:rsidR="00A173E4" w:rsidRPr="00AD7158">
        <w:rPr>
          <w:color w:val="auto"/>
          <w:lang w:val="es-AR"/>
        </w:rPr>
        <w:t xml:space="preserve">, </w:t>
      </w:r>
      <w:r w:rsidR="00C21CF0" w:rsidRPr="00AD7158">
        <w:rPr>
          <w:color w:val="auto"/>
          <w:lang w:val="es-AR"/>
        </w:rPr>
        <w:t>e</w:t>
      </w:r>
      <w:r w:rsidR="00E26B0E" w:rsidRPr="00AD7158">
        <w:rPr>
          <w:color w:val="auto"/>
          <w:lang w:val="es-AR"/>
        </w:rPr>
        <w:t xml:space="preserve"> </w:t>
      </w:r>
      <w:r w:rsidR="00A173E4" w:rsidRPr="00AD7158">
        <w:rPr>
          <w:color w:val="auto"/>
          <w:lang w:val="es-AR"/>
        </w:rPr>
        <w:t>indica</w:t>
      </w:r>
      <w:r w:rsidR="00C21CF0" w:rsidRPr="00AD7158">
        <w:rPr>
          <w:color w:val="auto"/>
          <w:lang w:val="es-AR"/>
        </w:rPr>
        <w:t>r</w:t>
      </w:r>
      <w:r w:rsidR="00A173E4" w:rsidRPr="00AD7158">
        <w:rPr>
          <w:color w:val="auto"/>
          <w:lang w:val="es-AR"/>
        </w:rPr>
        <w:t xml:space="preserve"> la fecha de notificación de la denegatoria de recurso extraordinario</w:t>
      </w:r>
      <w:r w:rsidR="003A5F29" w:rsidRPr="00AD7158">
        <w:rPr>
          <w:rStyle w:val="FootnoteReference"/>
          <w:color w:val="auto"/>
          <w:lang w:val="es-AR"/>
        </w:rPr>
        <w:footnoteReference w:id="45"/>
      </w:r>
      <w:r w:rsidR="00266865" w:rsidRPr="00AD7158">
        <w:rPr>
          <w:color w:val="auto"/>
          <w:lang w:val="es-AR"/>
        </w:rPr>
        <w:t xml:space="preserve">. </w:t>
      </w:r>
      <w:r w:rsidR="008F0523" w:rsidRPr="00AD7158">
        <w:rPr>
          <w:color w:val="auto"/>
          <w:lang w:val="es-AR"/>
        </w:rPr>
        <w:t xml:space="preserve">El 6 de marzo de 2001, y ante la renuncia </w:t>
      </w:r>
      <w:r w:rsidR="00587727" w:rsidRPr="00AD7158">
        <w:rPr>
          <w:color w:val="auto"/>
          <w:lang w:val="es-AR"/>
        </w:rPr>
        <w:t>de</w:t>
      </w:r>
      <w:r w:rsidR="001E6719" w:rsidRPr="00AD7158">
        <w:rPr>
          <w:color w:val="auto"/>
          <w:lang w:val="es-AR"/>
        </w:rPr>
        <w:t xml:space="preserve"> </w:t>
      </w:r>
      <w:r w:rsidR="00587727" w:rsidRPr="00AD7158">
        <w:rPr>
          <w:color w:val="auto"/>
          <w:lang w:val="es-AR"/>
        </w:rPr>
        <w:t>l</w:t>
      </w:r>
      <w:r w:rsidR="001E6719" w:rsidRPr="00AD7158">
        <w:rPr>
          <w:color w:val="auto"/>
          <w:lang w:val="es-AR"/>
        </w:rPr>
        <w:t>os</w:t>
      </w:r>
      <w:r w:rsidR="00587727" w:rsidRPr="00AD7158">
        <w:rPr>
          <w:color w:val="auto"/>
          <w:lang w:val="es-AR"/>
        </w:rPr>
        <w:t xml:space="preserve"> defensor</w:t>
      </w:r>
      <w:r w:rsidR="001E6719" w:rsidRPr="00AD7158">
        <w:rPr>
          <w:color w:val="auto"/>
          <w:lang w:val="es-AR"/>
        </w:rPr>
        <w:t>es</w:t>
      </w:r>
      <w:r w:rsidR="00587727" w:rsidRPr="00AD7158">
        <w:rPr>
          <w:color w:val="auto"/>
          <w:lang w:val="es-AR"/>
        </w:rPr>
        <w:t xml:space="preserve"> </w:t>
      </w:r>
      <w:r w:rsidR="00C21CF0" w:rsidRPr="00AD7158">
        <w:rPr>
          <w:color w:val="auto"/>
          <w:lang w:val="es-AR"/>
        </w:rPr>
        <w:t>particulares</w:t>
      </w:r>
      <w:r w:rsidR="00587727" w:rsidRPr="00AD7158">
        <w:rPr>
          <w:color w:val="auto"/>
          <w:lang w:val="es-AR"/>
        </w:rPr>
        <w:t xml:space="preserve">, la </w:t>
      </w:r>
      <w:r w:rsidR="00F41040" w:rsidRPr="00AD7158">
        <w:t>CSJN</w:t>
      </w:r>
      <w:r w:rsidR="00F41040" w:rsidRPr="00AD7158">
        <w:rPr>
          <w:color w:val="auto"/>
          <w:lang w:val="es-AR"/>
        </w:rPr>
        <w:t xml:space="preserve"> </w:t>
      </w:r>
      <w:r w:rsidR="00C21CF0" w:rsidRPr="00AD7158">
        <w:rPr>
          <w:color w:val="auto"/>
          <w:lang w:val="es-AR"/>
        </w:rPr>
        <w:t>dio</w:t>
      </w:r>
      <w:r w:rsidR="00587727" w:rsidRPr="00AD7158">
        <w:rPr>
          <w:color w:val="auto"/>
          <w:lang w:val="es-AR"/>
        </w:rPr>
        <w:t xml:space="preserve"> vista al defensor público oficial</w:t>
      </w:r>
      <w:r w:rsidR="00587727" w:rsidRPr="00AD7158">
        <w:rPr>
          <w:rStyle w:val="FootnoteReference"/>
          <w:color w:val="auto"/>
          <w:lang w:val="es-AR"/>
        </w:rPr>
        <w:footnoteReference w:id="46"/>
      </w:r>
      <w:r w:rsidR="00467DC6" w:rsidRPr="00AD7158">
        <w:rPr>
          <w:color w:val="auto"/>
          <w:lang w:val="es-AR"/>
        </w:rPr>
        <w:t>, quien se adhirió al planteo recursivo intentado por la defensa particular planteado en el recurso de queja</w:t>
      </w:r>
      <w:r w:rsidR="00467DC6" w:rsidRPr="00AD7158">
        <w:rPr>
          <w:rStyle w:val="FootnoteReference"/>
          <w:color w:val="auto"/>
          <w:lang w:val="es-AR"/>
        </w:rPr>
        <w:footnoteReference w:id="47"/>
      </w:r>
      <w:r w:rsidR="00587727" w:rsidRPr="00AD7158">
        <w:rPr>
          <w:color w:val="auto"/>
          <w:lang w:val="es-AR"/>
        </w:rPr>
        <w:t>.</w:t>
      </w:r>
      <w:r w:rsidR="0079412B" w:rsidRPr="00AD7158">
        <w:rPr>
          <w:color w:val="auto"/>
          <w:lang w:val="es-AR"/>
        </w:rPr>
        <w:t xml:space="preserve"> El 18 de septiembre </w:t>
      </w:r>
      <w:r w:rsidR="0079412B" w:rsidRPr="00AD7158">
        <w:rPr>
          <w:color w:val="auto"/>
          <w:lang w:val="es-AR"/>
        </w:rPr>
        <w:lastRenderedPageBreak/>
        <w:t xml:space="preserve">de 2001, la </w:t>
      </w:r>
      <w:r w:rsidR="00F41040" w:rsidRPr="00AD7158">
        <w:t>CSJN</w:t>
      </w:r>
      <w:r w:rsidR="00F41040" w:rsidRPr="00AD7158">
        <w:rPr>
          <w:color w:val="auto"/>
          <w:lang w:val="es-AR"/>
        </w:rPr>
        <w:t xml:space="preserve"> </w:t>
      </w:r>
      <w:r w:rsidR="0079412B" w:rsidRPr="00AD7158">
        <w:rPr>
          <w:color w:val="auto"/>
          <w:lang w:val="es-AR"/>
        </w:rPr>
        <w:t>desestimó la queja</w:t>
      </w:r>
      <w:r w:rsidR="0079412B" w:rsidRPr="00AD7158">
        <w:rPr>
          <w:b/>
          <w:color w:val="auto"/>
          <w:lang w:val="es-AR"/>
        </w:rPr>
        <w:t xml:space="preserve"> </w:t>
      </w:r>
      <w:r w:rsidR="0079412B" w:rsidRPr="00AD7158">
        <w:rPr>
          <w:color w:val="auto"/>
          <w:lang w:val="es-AR"/>
        </w:rPr>
        <w:t>porque “no se dirig[uía] contra la sentencia dictada por el tribunal superior, según el artículo 14 de la ley 48”</w:t>
      </w:r>
      <w:r w:rsidR="00CF1672" w:rsidRPr="00AD7158">
        <w:rPr>
          <w:color w:val="auto"/>
          <w:lang w:val="es-AR"/>
        </w:rPr>
        <w:t>.</w:t>
      </w:r>
    </w:p>
    <w:p w14:paraId="43AE9C08" w14:textId="77777777" w:rsidR="00A254E9" w:rsidRPr="00AD7158" w:rsidRDefault="00A254E9" w:rsidP="002D46B7">
      <w:pPr>
        <w:pStyle w:val="ListParagraph"/>
      </w:pPr>
    </w:p>
    <w:p w14:paraId="1CA4B0A8" w14:textId="77777777" w:rsidR="00A254E9" w:rsidRPr="00AD7158" w:rsidRDefault="00A254E9" w:rsidP="00A254E9">
      <w:pPr>
        <w:pStyle w:val="parrafos"/>
        <w:ind w:left="0" w:firstLine="0"/>
        <w:rPr>
          <w:color w:val="auto"/>
          <w:lang w:val="es-AR"/>
        </w:rPr>
      </w:pPr>
      <w:r w:rsidRPr="00AD7158">
        <w:rPr>
          <w:color w:val="auto"/>
          <w:lang w:val="es-AR"/>
        </w:rPr>
        <w:t>Por otra parte, y en cuanto a la parte del recurso de casación declarado parcialmente procedente, el 23 de junio de 2000, la Cámara Nacional de Casación Penal, Sala II, desestimó el recurso de casación,</w:t>
      </w:r>
      <w:r w:rsidRPr="00AD7158">
        <w:rPr>
          <w:b/>
          <w:color w:val="auto"/>
          <w:lang w:val="es-AR"/>
        </w:rPr>
        <w:t xml:space="preserve"> </w:t>
      </w:r>
      <w:r w:rsidRPr="00AD7158">
        <w:rPr>
          <w:color w:val="auto"/>
          <w:lang w:val="es-AR"/>
        </w:rPr>
        <w:t>condenando en costas</w:t>
      </w:r>
      <w:r w:rsidRPr="00AD7158">
        <w:rPr>
          <w:rStyle w:val="FootnoteReference"/>
          <w:color w:val="auto"/>
          <w:sz w:val="20"/>
          <w:lang w:val="es-AR"/>
        </w:rPr>
        <w:footnoteReference w:id="48"/>
      </w:r>
      <w:r w:rsidRPr="00AD7158">
        <w:rPr>
          <w:color w:val="auto"/>
          <w:lang w:val="es-AR"/>
        </w:rPr>
        <w:t xml:space="preserve">. Indicó que </w:t>
      </w:r>
      <w:r w:rsidR="009C6657" w:rsidRPr="00AD7158">
        <w:rPr>
          <w:color w:val="auto"/>
          <w:lang w:val="es-AR"/>
        </w:rPr>
        <w:t>ya</w:t>
      </w:r>
      <w:r w:rsidRPr="00AD7158">
        <w:rPr>
          <w:color w:val="auto"/>
          <w:lang w:val="es-AR"/>
        </w:rPr>
        <w:t xml:space="preserve"> se había pronunciado </w:t>
      </w:r>
      <w:r w:rsidR="0067796C" w:rsidRPr="00AD7158">
        <w:rPr>
          <w:color w:val="auto"/>
          <w:lang w:val="es-AR"/>
        </w:rPr>
        <w:t xml:space="preserve">anteriormente </w:t>
      </w:r>
      <w:r w:rsidRPr="00AD7158">
        <w:rPr>
          <w:color w:val="auto"/>
          <w:lang w:val="es-AR"/>
        </w:rPr>
        <w:t xml:space="preserve">a favor de la constitucionalidad de la reclusión por </w:t>
      </w:r>
      <w:r w:rsidR="009C6657" w:rsidRPr="00AD7158">
        <w:rPr>
          <w:color w:val="auto"/>
          <w:lang w:val="es-AR"/>
        </w:rPr>
        <w:t>tiempo indeterminado</w:t>
      </w:r>
      <w:r w:rsidRPr="00AD7158">
        <w:rPr>
          <w:rStyle w:val="FootnoteReference"/>
          <w:color w:val="auto"/>
          <w:sz w:val="20"/>
          <w:lang w:val="es-AR"/>
        </w:rPr>
        <w:footnoteReference w:id="49"/>
      </w:r>
      <w:r w:rsidRPr="00AD7158">
        <w:rPr>
          <w:color w:val="auto"/>
          <w:lang w:val="es-AR"/>
        </w:rPr>
        <w:t xml:space="preserve">. Citando el caso “Sosa, Claudio Marcelo s/ recurso de inconstitucionalidad” (causa No. 1568 de 1998), </w:t>
      </w:r>
      <w:r w:rsidR="00710EFE" w:rsidRPr="00AD7158">
        <w:rPr>
          <w:color w:val="auto"/>
          <w:lang w:val="es-AR"/>
        </w:rPr>
        <w:t>sostuvo</w:t>
      </w:r>
      <w:r w:rsidRPr="00AD7158">
        <w:rPr>
          <w:color w:val="auto"/>
          <w:lang w:val="es-AR"/>
        </w:rPr>
        <w:t xml:space="preserve"> que el instituto contemplado en el artículo 52 del CPN </w:t>
      </w:r>
      <w:r w:rsidR="009C6657" w:rsidRPr="00AD7158">
        <w:rPr>
          <w:color w:val="auto"/>
          <w:lang w:val="es-AR"/>
        </w:rPr>
        <w:t>era</w:t>
      </w:r>
      <w:r w:rsidRPr="00AD7158">
        <w:rPr>
          <w:color w:val="auto"/>
          <w:lang w:val="es-AR"/>
        </w:rPr>
        <w:t xml:space="preserve"> una medida de seguridad, por lo que tendría un carácter estrictamente administrativo</w:t>
      </w:r>
      <w:r w:rsidRPr="00AD7158">
        <w:rPr>
          <w:rStyle w:val="FootnoteReference"/>
          <w:color w:val="auto"/>
          <w:sz w:val="20"/>
          <w:lang w:val="es-AR"/>
        </w:rPr>
        <w:footnoteReference w:id="50"/>
      </w:r>
      <w:r w:rsidRPr="00AD7158">
        <w:rPr>
          <w:color w:val="auto"/>
          <w:lang w:val="es-AR"/>
        </w:rPr>
        <w:t>. A</w:t>
      </w:r>
      <w:r w:rsidR="0094238F" w:rsidRPr="00AD7158">
        <w:rPr>
          <w:color w:val="auto"/>
          <w:lang w:val="es-AR"/>
        </w:rPr>
        <w:t>firmó</w:t>
      </w:r>
      <w:r w:rsidRPr="00AD7158">
        <w:rPr>
          <w:color w:val="auto"/>
          <w:lang w:val="es-AR"/>
        </w:rPr>
        <w:t xml:space="preserve"> que:</w:t>
      </w:r>
    </w:p>
    <w:p w14:paraId="7519D706" w14:textId="77777777" w:rsidR="00A254E9" w:rsidRPr="00AD7158" w:rsidRDefault="00A254E9" w:rsidP="002D46B7">
      <w:pPr>
        <w:pStyle w:val="ListParagraph"/>
      </w:pPr>
    </w:p>
    <w:p w14:paraId="7B5AF1A5" w14:textId="77777777" w:rsidR="00A254E9" w:rsidRPr="00AD7158" w:rsidRDefault="0000474F" w:rsidP="003D27ED">
      <w:pPr>
        <w:tabs>
          <w:tab w:val="left" w:pos="1440"/>
          <w:tab w:val="left" w:pos="1890"/>
        </w:tabs>
        <w:ind w:left="720" w:right="720"/>
        <w:jc w:val="both"/>
        <w:rPr>
          <w:rFonts w:asciiTheme="majorHAnsi" w:hAnsiTheme="majorHAnsi"/>
          <w:sz w:val="18"/>
          <w:szCs w:val="18"/>
          <w:lang w:val="es-ES"/>
        </w:rPr>
      </w:pPr>
      <w:r w:rsidRPr="00AD7158">
        <w:rPr>
          <w:rFonts w:asciiTheme="majorHAnsi" w:hAnsiTheme="majorHAnsi"/>
          <w:sz w:val="18"/>
          <w:szCs w:val="18"/>
          <w:lang w:val="es-ES"/>
        </w:rPr>
        <w:t xml:space="preserve"> </w:t>
      </w:r>
      <w:r w:rsidR="00415671" w:rsidRPr="00AD7158">
        <w:rPr>
          <w:rFonts w:asciiTheme="majorHAnsi" w:hAnsiTheme="majorHAnsi"/>
          <w:sz w:val="18"/>
          <w:szCs w:val="18"/>
          <w:lang w:val="es-ES"/>
        </w:rPr>
        <w:t>(…)</w:t>
      </w:r>
      <w:r w:rsidR="00A254E9" w:rsidRPr="00AD7158">
        <w:rPr>
          <w:rFonts w:asciiTheme="majorHAnsi" w:hAnsiTheme="majorHAnsi"/>
          <w:sz w:val="18"/>
          <w:szCs w:val="18"/>
          <w:lang w:val="es-ES"/>
        </w:rPr>
        <w:t xml:space="preserve"> la Corte Suprema de Justicia de la Nación sostuvo que la accesoria por tiempo indeterminado establecida en el art. 52 del Código Penal no reviste el carácter de pena sino de medida de seguridad que se aplica a los delincuentes habituales o considerados incorregibles en razón del número de condenas y</w:t>
      </w:r>
      <w:r w:rsidR="00E53367" w:rsidRPr="00AD7158">
        <w:rPr>
          <w:rFonts w:asciiTheme="majorHAnsi" w:hAnsiTheme="majorHAnsi"/>
          <w:sz w:val="18"/>
          <w:szCs w:val="18"/>
          <w:lang w:val="es-ES"/>
        </w:rPr>
        <w:t xml:space="preserve"> de la clase de penas impuestas</w:t>
      </w:r>
      <w:r w:rsidRPr="00AD7158">
        <w:rPr>
          <w:rFonts w:asciiTheme="majorHAnsi" w:hAnsiTheme="majorHAnsi"/>
          <w:sz w:val="18"/>
          <w:szCs w:val="18"/>
          <w:lang w:val="es-ES"/>
        </w:rPr>
        <w:t>.</w:t>
      </w:r>
      <w:r w:rsidR="003D27ED" w:rsidRPr="00AD7158">
        <w:rPr>
          <w:rFonts w:asciiTheme="majorHAnsi" w:hAnsiTheme="majorHAnsi"/>
          <w:sz w:val="18"/>
          <w:szCs w:val="18"/>
          <w:lang w:val="es-ES"/>
        </w:rPr>
        <w:t xml:space="preserve"> </w:t>
      </w:r>
      <w:r w:rsidR="00A254E9" w:rsidRPr="00AD7158">
        <w:rPr>
          <w:rFonts w:asciiTheme="majorHAnsi" w:hAnsiTheme="majorHAnsi"/>
          <w:sz w:val="18"/>
          <w:szCs w:val="18"/>
          <w:lang w:val="es-ES"/>
        </w:rPr>
        <w:t>(…) en cuanto a la necesidad de multireincidencia para la aplicación de la accesoria del art. 52 del C.P., es necesario poner de manifiesto que en el caso que nos ocupa, la medida de reclusión por tiempo indeterminado fue impuesta en el marco del art. 80 del C.P. (…) el fin perseguido ha sido permitir su aplicación en los casos de homicidio cualificado en que a su juicio resulte necesaria una medida de seguridad de este tipo, lo cual no habría sido posible de no decirlo la ley expresa</w:t>
      </w:r>
      <w:r w:rsidR="00E53367" w:rsidRPr="00AD7158">
        <w:rPr>
          <w:rFonts w:asciiTheme="majorHAnsi" w:hAnsiTheme="majorHAnsi"/>
          <w:sz w:val="18"/>
          <w:szCs w:val="18"/>
          <w:lang w:val="es-ES"/>
        </w:rPr>
        <w:t>mente</w:t>
      </w:r>
      <w:r w:rsidRPr="00AD7158">
        <w:rPr>
          <w:rFonts w:asciiTheme="majorHAnsi" w:hAnsiTheme="majorHAnsi"/>
          <w:sz w:val="18"/>
          <w:szCs w:val="18"/>
          <w:lang w:val="es-ES"/>
        </w:rPr>
        <w:t>.</w:t>
      </w:r>
    </w:p>
    <w:p w14:paraId="6AF53981" w14:textId="77777777" w:rsidR="00A254E9" w:rsidRPr="00AD7158" w:rsidRDefault="00A254E9" w:rsidP="00A254E9">
      <w:pPr>
        <w:pStyle w:val="parrafos"/>
        <w:numPr>
          <w:ilvl w:val="0"/>
          <w:numId w:val="0"/>
        </w:numPr>
        <w:ind w:left="360"/>
        <w:rPr>
          <w:color w:val="auto"/>
          <w:sz w:val="18"/>
          <w:szCs w:val="18"/>
          <w:lang w:val="es-ES"/>
        </w:rPr>
      </w:pPr>
    </w:p>
    <w:p w14:paraId="5CABFFB9" w14:textId="77777777" w:rsidR="00A254E9" w:rsidRPr="00AD7158" w:rsidRDefault="00A254E9" w:rsidP="00A254E9">
      <w:pPr>
        <w:tabs>
          <w:tab w:val="left" w:pos="1440"/>
          <w:tab w:val="left" w:pos="1890"/>
        </w:tabs>
        <w:ind w:left="720" w:right="720"/>
        <w:jc w:val="both"/>
        <w:rPr>
          <w:rFonts w:asciiTheme="majorHAnsi" w:hAnsiTheme="majorHAnsi"/>
          <w:sz w:val="18"/>
          <w:szCs w:val="18"/>
          <w:lang w:val="es-ES"/>
        </w:rPr>
      </w:pPr>
      <w:r w:rsidRPr="00AD7158">
        <w:rPr>
          <w:rFonts w:asciiTheme="majorHAnsi" w:hAnsiTheme="majorHAnsi"/>
          <w:sz w:val="18"/>
          <w:szCs w:val="18"/>
          <w:lang w:val="es-ES"/>
        </w:rPr>
        <w:t>con respecto a la supuesta derogación implícita del agregado en el art. 80 en relación a la situación accesoria por tiempo indeterminado prevista en el art. 52 –dada la supresión de la referencia al cumplimiento de la medida en los parajes del sud y a la falta de contemplación de la ley 24.660 de un establecimiento especial para el cumplimiento de la medida- cabe decir que el planteo carece de fundamentación suficiente ya que no se desprende, de la lectura del escrito, como una modificación en el modo de ejecución de la pena de reclusión puede afectar la existencia misma del instituto previsto en el art. 52, “que contempla una medida de seguridad por tiempo indeterminado, con independencia del término de la pena y sometida a un régimen jurídico dist</w:t>
      </w:r>
      <w:r w:rsidR="00E53367" w:rsidRPr="00AD7158">
        <w:rPr>
          <w:rFonts w:asciiTheme="majorHAnsi" w:hAnsiTheme="majorHAnsi"/>
          <w:sz w:val="18"/>
          <w:szCs w:val="18"/>
          <w:lang w:val="es-ES"/>
        </w:rPr>
        <w:t>into de ella”</w:t>
      </w:r>
      <w:r w:rsidRPr="00AD7158">
        <w:rPr>
          <w:rStyle w:val="FootnoteReference"/>
          <w:sz w:val="18"/>
          <w:szCs w:val="18"/>
        </w:rPr>
        <w:footnoteReference w:id="51"/>
      </w:r>
      <w:r w:rsidRPr="00AD7158">
        <w:rPr>
          <w:rFonts w:asciiTheme="majorHAnsi" w:hAnsiTheme="majorHAnsi"/>
          <w:sz w:val="18"/>
          <w:szCs w:val="18"/>
          <w:lang w:val="es-ES"/>
        </w:rPr>
        <w:t xml:space="preserve">. </w:t>
      </w:r>
    </w:p>
    <w:p w14:paraId="4D7E51C5" w14:textId="77777777" w:rsidR="00A254E9" w:rsidRPr="00AD7158" w:rsidRDefault="00A254E9" w:rsidP="002D46B7">
      <w:pPr>
        <w:pStyle w:val="ListParagraph"/>
      </w:pPr>
    </w:p>
    <w:p w14:paraId="0213CC2F" w14:textId="77777777" w:rsidR="002A43A0" w:rsidRPr="00AD7158" w:rsidRDefault="00FF3715" w:rsidP="0074092A">
      <w:pPr>
        <w:pStyle w:val="parrafos"/>
        <w:ind w:left="0" w:firstLine="0"/>
        <w:rPr>
          <w:color w:val="auto"/>
          <w:lang w:val="es-AR"/>
        </w:rPr>
      </w:pPr>
      <w:r w:rsidRPr="00AD7158">
        <w:rPr>
          <w:color w:val="auto"/>
          <w:lang w:val="es-AR"/>
        </w:rPr>
        <w:t>El 26 de octubre 2000, mediante escritos dirigidos a la Cámara Nacional de Casación Penal, Teodoro Álvarez y Enrique Piragini renunciaron al cargo de defensores</w:t>
      </w:r>
      <w:r w:rsidR="00F53532" w:rsidRPr="00AD7158">
        <w:rPr>
          <w:color w:val="auto"/>
          <w:lang w:val="es-AR"/>
        </w:rPr>
        <w:t xml:space="preserve"> de la presunta víctima</w:t>
      </w:r>
      <w:r w:rsidRPr="00AD7158">
        <w:rPr>
          <w:rStyle w:val="FootnoteReference"/>
          <w:color w:val="auto"/>
          <w:lang w:val="es-AR"/>
        </w:rPr>
        <w:footnoteReference w:id="52"/>
      </w:r>
      <w:r w:rsidRPr="00AD7158">
        <w:rPr>
          <w:color w:val="auto"/>
          <w:lang w:val="es-AR"/>
        </w:rPr>
        <w:t xml:space="preserve">. </w:t>
      </w:r>
      <w:r w:rsidR="00F53532" w:rsidRPr="00AD7158">
        <w:rPr>
          <w:color w:val="auto"/>
          <w:lang w:val="es-AR"/>
        </w:rPr>
        <w:t>El 22 de diciembre de 2000, y ante el rechazo</w:t>
      </w:r>
      <w:r w:rsidR="00784048" w:rsidRPr="00AD7158">
        <w:rPr>
          <w:color w:val="auto"/>
          <w:lang w:val="es-AR"/>
        </w:rPr>
        <w:t xml:space="preserve"> del cargo por parte</w:t>
      </w:r>
      <w:r w:rsidR="00F53532" w:rsidRPr="00AD7158">
        <w:rPr>
          <w:color w:val="auto"/>
          <w:lang w:val="es-AR"/>
        </w:rPr>
        <w:t xml:space="preserve"> del nuevo abogado designado</w:t>
      </w:r>
      <w:r w:rsidR="00F53532" w:rsidRPr="00AD7158">
        <w:rPr>
          <w:rStyle w:val="FootnoteReference"/>
          <w:color w:val="auto"/>
          <w:lang w:val="es-AR"/>
        </w:rPr>
        <w:footnoteReference w:id="53"/>
      </w:r>
      <w:r w:rsidR="00F53532" w:rsidRPr="00AD7158">
        <w:rPr>
          <w:color w:val="auto"/>
          <w:lang w:val="es-AR"/>
        </w:rPr>
        <w:t>, se intimó a</w:t>
      </w:r>
      <w:r w:rsidR="00C83FF8" w:rsidRPr="00AD7158">
        <w:rPr>
          <w:color w:val="auto"/>
          <w:lang w:val="es-AR"/>
        </w:rPr>
        <w:t>l señor</w:t>
      </w:r>
      <w:r w:rsidR="00F53532" w:rsidRPr="00AD7158">
        <w:rPr>
          <w:color w:val="auto"/>
          <w:lang w:val="es-AR"/>
        </w:rPr>
        <w:t xml:space="preserve"> Álvar</w:t>
      </w:r>
      <w:r w:rsidR="00C83FF8" w:rsidRPr="00AD7158">
        <w:rPr>
          <w:color w:val="auto"/>
          <w:lang w:val="es-AR"/>
        </w:rPr>
        <w:t>ez a designa</w:t>
      </w:r>
      <w:r w:rsidR="00843031" w:rsidRPr="00AD7158">
        <w:rPr>
          <w:color w:val="auto"/>
          <w:lang w:val="es-AR"/>
        </w:rPr>
        <w:t>r</w:t>
      </w:r>
      <w:r w:rsidR="00C83FF8" w:rsidRPr="00AD7158">
        <w:rPr>
          <w:color w:val="auto"/>
          <w:lang w:val="es-AR"/>
        </w:rPr>
        <w:t xml:space="preserve"> nuevo</w:t>
      </w:r>
      <w:r w:rsidR="00F53532" w:rsidRPr="00AD7158">
        <w:rPr>
          <w:color w:val="auto"/>
          <w:lang w:val="es-AR"/>
        </w:rPr>
        <w:t xml:space="preserve"> defensor dentro de cinco días bajo apercibimiento de </w:t>
      </w:r>
      <w:r w:rsidR="00843031" w:rsidRPr="00AD7158">
        <w:rPr>
          <w:color w:val="auto"/>
          <w:lang w:val="es-AR"/>
        </w:rPr>
        <w:t>as</w:t>
      </w:r>
      <w:r w:rsidR="00F53532" w:rsidRPr="00AD7158">
        <w:rPr>
          <w:color w:val="auto"/>
          <w:lang w:val="es-AR"/>
        </w:rPr>
        <w:t>ignársele defensor oficial</w:t>
      </w:r>
      <w:r w:rsidR="00F53532" w:rsidRPr="00AD7158">
        <w:rPr>
          <w:rStyle w:val="FootnoteReference"/>
          <w:color w:val="auto"/>
          <w:lang w:val="es-AR"/>
        </w:rPr>
        <w:footnoteReference w:id="54"/>
      </w:r>
      <w:r w:rsidR="00F53532" w:rsidRPr="00AD7158">
        <w:rPr>
          <w:color w:val="auto"/>
          <w:lang w:val="es-AR"/>
        </w:rPr>
        <w:t xml:space="preserve">. </w:t>
      </w:r>
      <w:r w:rsidRPr="00AD7158">
        <w:rPr>
          <w:color w:val="auto"/>
          <w:lang w:val="es-AR"/>
        </w:rPr>
        <w:t xml:space="preserve">El 15 de marzo de 2001, </w:t>
      </w:r>
      <w:r w:rsidR="00A260D8" w:rsidRPr="00AD7158">
        <w:rPr>
          <w:color w:val="auto"/>
          <w:lang w:val="es-AR"/>
        </w:rPr>
        <w:t xml:space="preserve">y </w:t>
      </w:r>
      <w:r w:rsidRPr="00AD7158">
        <w:rPr>
          <w:color w:val="auto"/>
          <w:lang w:val="es-AR"/>
        </w:rPr>
        <w:t xml:space="preserve">ante el silencio de los </w:t>
      </w:r>
      <w:r w:rsidR="00784048" w:rsidRPr="00AD7158">
        <w:rPr>
          <w:color w:val="auto"/>
          <w:lang w:val="es-AR"/>
        </w:rPr>
        <w:t xml:space="preserve">nuevos </w:t>
      </w:r>
      <w:r w:rsidRPr="00AD7158">
        <w:rPr>
          <w:color w:val="auto"/>
          <w:lang w:val="es-AR"/>
        </w:rPr>
        <w:t xml:space="preserve">defensores designados por </w:t>
      </w:r>
      <w:r w:rsidR="00A260D8" w:rsidRPr="00AD7158">
        <w:rPr>
          <w:color w:val="auto"/>
          <w:lang w:val="es-AR"/>
        </w:rPr>
        <w:t xml:space="preserve">el señor </w:t>
      </w:r>
      <w:r w:rsidRPr="00AD7158">
        <w:rPr>
          <w:color w:val="auto"/>
          <w:lang w:val="es-AR"/>
        </w:rPr>
        <w:t xml:space="preserve">Álvarez, </w:t>
      </w:r>
      <w:r w:rsidR="00A260D8" w:rsidRPr="00AD7158">
        <w:rPr>
          <w:color w:val="auto"/>
          <w:lang w:val="es-AR"/>
        </w:rPr>
        <w:t xml:space="preserve">el tribunal </w:t>
      </w:r>
      <w:r w:rsidRPr="00AD7158">
        <w:rPr>
          <w:color w:val="auto"/>
          <w:lang w:val="es-AR"/>
        </w:rPr>
        <w:t>dio intervención al defensor oficial</w:t>
      </w:r>
      <w:r w:rsidRPr="00AD7158">
        <w:rPr>
          <w:rStyle w:val="FootnoteReference"/>
          <w:color w:val="auto"/>
          <w:lang w:val="es-AR"/>
        </w:rPr>
        <w:footnoteReference w:id="55"/>
      </w:r>
      <w:r w:rsidRPr="00AD7158">
        <w:rPr>
          <w:color w:val="auto"/>
          <w:lang w:val="es-AR"/>
        </w:rPr>
        <w:t xml:space="preserve">. </w:t>
      </w:r>
      <w:r w:rsidR="005F4D85" w:rsidRPr="00AD7158">
        <w:rPr>
          <w:color w:val="auto"/>
          <w:lang w:val="es-AR"/>
        </w:rPr>
        <w:t>El 21 de marzo de 2001, Guillermo Lozano, Defensor Público Oficial, presentó escrito contestando la vista que le fue dada el 15 de marzo de 2001</w:t>
      </w:r>
      <w:r w:rsidR="005F4D85" w:rsidRPr="00AD7158">
        <w:rPr>
          <w:rStyle w:val="FootnoteReference"/>
          <w:color w:val="auto"/>
          <w:lang w:val="es-AR"/>
        </w:rPr>
        <w:footnoteReference w:id="56"/>
      </w:r>
      <w:r w:rsidR="005F4D85" w:rsidRPr="00AD7158">
        <w:rPr>
          <w:color w:val="auto"/>
          <w:lang w:val="es-AR"/>
        </w:rPr>
        <w:t>, refiriendo que la defensa particular de Álvarez fue notificada del rechazo del recurso de casación el 26 de junio de 2000 y que su asistido fue notificado el 26 de agosto de 2000</w:t>
      </w:r>
      <w:r w:rsidR="005F4D85" w:rsidRPr="00AD7158">
        <w:rPr>
          <w:rStyle w:val="FootnoteReference"/>
          <w:color w:val="auto"/>
          <w:sz w:val="20"/>
          <w:lang w:val="es-AR"/>
        </w:rPr>
        <w:footnoteReference w:id="57"/>
      </w:r>
      <w:r w:rsidR="005F4D85" w:rsidRPr="00AD7158">
        <w:rPr>
          <w:color w:val="auto"/>
          <w:lang w:val="es-AR"/>
        </w:rPr>
        <w:t>. Asimismo, sostuvo que “en fecha muy posterior (26 de octubre de 2000) y sin haber articulado apelación alguna contra el fallo de mención</w:t>
      </w:r>
      <w:r w:rsidR="00A260D8" w:rsidRPr="00AD7158">
        <w:rPr>
          <w:color w:val="auto"/>
          <w:lang w:val="es-AR"/>
        </w:rPr>
        <w:t>,</w:t>
      </w:r>
      <w:r w:rsidR="005F4D85" w:rsidRPr="00AD7158">
        <w:rPr>
          <w:color w:val="auto"/>
          <w:lang w:val="es-AR"/>
        </w:rPr>
        <w:t xml:space="preserve"> el letrado de confianza de Álvarez renunci</w:t>
      </w:r>
      <w:r w:rsidR="00A260D8" w:rsidRPr="00AD7158">
        <w:rPr>
          <w:color w:val="auto"/>
          <w:lang w:val="es-AR"/>
        </w:rPr>
        <w:t>ó</w:t>
      </w:r>
      <w:r w:rsidR="005F4D85" w:rsidRPr="00AD7158">
        <w:rPr>
          <w:color w:val="auto"/>
          <w:lang w:val="es-AR"/>
        </w:rPr>
        <w:t xml:space="preserve"> al cargo encontrándose ya holgadamente vencidos los plazos para la deducción del remedio federal”</w:t>
      </w:r>
      <w:r w:rsidR="005F4D85" w:rsidRPr="00AD7158">
        <w:rPr>
          <w:rStyle w:val="FootnoteReference"/>
          <w:color w:val="auto"/>
          <w:sz w:val="20"/>
          <w:lang w:val="es-AR"/>
        </w:rPr>
        <w:footnoteReference w:id="58"/>
      </w:r>
      <w:r w:rsidR="005F4D85" w:rsidRPr="00AD7158">
        <w:rPr>
          <w:color w:val="auto"/>
          <w:lang w:val="es-AR"/>
        </w:rPr>
        <w:t xml:space="preserve">. Así, concluyó que el término para la interposición válida de una apelación ante la </w:t>
      </w:r>
      <w:r w:rsidR="00550921" w:rsidRPr="00AD7158">
        <w:t>CSJN</w:t>
      </w:r>
      <w:r w:rsidR="005F4D85" w:rsidRPr="00AD7158">
        <w:rPr>
          <w:color w:val="auto"/>
          <w:lang w:val="es-AR"/>
        </w:rPr>
        <w:t xml:space="preserve"> se encontraba vencido, lo que impedía la intervención válida de la asistencia pública oficial</w:t>
      </w:r>
      <w:r w:rsidR="005F4D85" w:rsidRPr="00AD7158">
        <w:rPr>
          <w:rStyle w:val="FootnoteReference"/>
          <w:color w:val="auto"/>
          <w:sz w:val="20"/>
          <w:lang w:val="es-AR"/>
        </w:rPr>
        <w:footnoteReference w:id="59"/>
      </w:r>
      <w:r w:rsidR="00A260D8" w:rsidRPr="00AD7158">
        <w:rPr>
          <w:color w:val="auto"/>
          <w:lang w:val="es-AR"/>
        </w:rPr>
        <w:t>. El 26 de marzo de 2001</w:t>
      </w:r>
      <w:r w:rsidR="005F4D85" w:rsidRPr="00AD7158">
        <w:rPr>
          <w:color w:val="auto"/>
          <w:lang w:val="es-AR"/>
        </w:rPr>
        <w:t xml:space="preserve"> el tribunal tuvo presente lo referido por el defensor oficial y decretó cúmplase con la devolución ordenada en la sentencia de casación</w:t>
      </w:r>
      <w:r w:rsidR="005F4D85" w:rsidRPr="00AD7158">
        <w:rPr>
          <w:rStyle w:val="FootnoteReference"/>
          <w:color w:val="auto"/>
          <w:sz w:val="20"/>
          <w:lang w:val="es-AR"/>
        </w:rPr>
        <w:footnoteReference w:id="60"/>
      </w:r>
      <w:r w:rsidR="005F4D85" w:rsidRPr="00AD7158">
        <w:rPr>
          <w:color w:val="auto"/>
          <w:lang w:val="es-AR"/>
        </w:rPr>
        <w:t>.</w:t>
      </w:r>
    </w:p>
    <w:p w14:paraId="4C8CE3D7" w14:textId="77777777" w:rsidR="002A43A0" w:rsidRPr="00AD7158" w:rsidRDefault="002A43A0" w:rsidP="002A43A0">
      <w:pPr>
        <w:pStyle w:val="parrafos"/>
        <w:numPr>
          <w:ilvl w:val="0"/>
          <w:numId w:val="0"/>
        </w:numPr>
        <w:rPr>
          <w:color w:val="auto"/>
          <w:lang w:val="es-AR"/>
        </w:rPr>
      </w:pPr>
    </w:p>
    <w:p w14:paraId="540D94DC" w14:textId="77777777" w:rsidR="00A45023" w:rsidRPr="00AD7158" w:rsidRDefault="00235527" w:rsidP="0074092A">
      <w:pPr>
        <w:pStyle w:val="parrafos"/>
        <w:ind w:left="0" w:firstLine="0"/>
        <w:rPr>
          <w:color w:val="auto"/>
          <w:lang w:val="es-AR"/>
        </w:rPr>
      </w:pPr>
      <w:r w:rsidRPr="00AD7158">
        <w:rPr>
          <w:color w:val="auto"/>
          <w:lang w:val="es-AR"/>
        </w:rPr>
        <w:lastRenderedPageBreak/>
        <w:t xml:space="preserve">Con posterioridad, y </w:t>
      </w:r>
      <w:r w:rsidR="00CF6925" w:rsidRPr="00AD7158">
        <w:rPr>
          <w:color w:val="auto"/>
          <w:lang w:val="es-AR"/>
        </w:rPr>
        <w:t>tras</w:t>
      </w:r>
      <w:r w:rsidRPr="00AD7158">
        <w:rPr>
          <w:color w:val="auto"/>
          <w:lang w:val="es-AR"/>
        </w:rPr>
        <w:t xml:space="preserve"> un escrito presentado por el señor Álvarez </w:t>
      </w:r>
      <w:r w:rsidR="00951B61" w:rsidRPr="00AD7158">
        <w:rPr>
          <w:color w:val="auto"/>
          <w:lang w:val="es-AR"/>
        </w:rPr>
        <w:t xml:space="preserve">ante la CSJN </w:t>
      </w:r>
      <w:r w:rsidRPr="00AD7158">
        <w:rPr>
          <w:color w:val="auto"/>
          <w:lang w:val="es-AR"/>
        </w:rPr>
        <w:t>refiriendo la violación a sus derechos en el marco del proceso penal seguido en su contra</w:t>
      </w:r>
      <w:r w:rsidRPr="00AD7158">
        <w:rPr>
          <w:rStyle w:val="FootnoteReference"/>
          <w:color w:val="auto"/>
          <w:lang w:val="es-AR"/>
        </w:rPr>
        <w:footnoteReference w:id="61"/>
      </w:r>
      <w:r w:rsidRPr="00AD7158">
        <w:rPr>
          <w:color w:val="auto"/>
          <w:lang w:val="es-AR"/>
        </w:rPr>
        <w:t>, la Defensora Oficial ante la CSJN</w:t>
      </w:r>
      <w:r w:rsidR="00F968A8" w:rsidRPr="00AD7158">
        <w:rPr>
          <w:color w:val="auto"/>
          <w:lang w:val="es-AR"/>
        </w:rPr>
        <w:t>,</w:t>
      </w:r>
      <w:r w:rsidRPr="00AD7158">
        <w:rPr>
          <w:color w:val="auto"/>
          <w:lang w:val="es-AR"/>
        </w:rPr>
        <w:t xml:space="preserve"> contestó la vista que le fuera dada</w:t>
      </w:r>
      <w:r w:rsidR="00A2745F" w:rsidRPr="00AD7158">
        <w:rPr>
          <w:color w:val="auto"/>
          <w:lang w:val="es-AR"/>
        </w:rPr>
        <w:t xml:space="preserve"> por el tribunal</w:t>
      </w:r>
      <w:r w:rsidRPr="00AD7158">
        <w:rPr>
          <w:color w:val="auto"/>
          <w:lang w:val="es-AR"/>
        </w:rPr>
        <w:t xml:space="preserve">. </w:t>
      </w:r>
      <w:r w:rsidR="00951B61" w:rsidRPr="00AD7158">
        <w:rPr>
          <w:color w:val="auto"/>
          <w:lang w:val="es-AR"/>
        </w:rPr>
        <w:t>La defensora</w:t>
      </w:r>
      <w:r w:rsidR="004A3345" w:rsidRPr="00AD7158">
        <w:rPr>
          <w:color w:val="auto"/>
          <w:lang w:val="es-AR"/>
        </w:rPr>
        <w:t>,</w:t>
      </w:r>
      <w:r w:rsidR="00951B61" w:rsidRPr="00AD7158">
        <w:rPr>
          <w:color w:val="auto"/>
          <w:lang w:val="es-AR"/>
        </w:rPr>
        <w:t xml:space="preserve"> sin desconocer el</w:t>
      </w:r>
      <w:r w:rsidRPr="00AD7158">
        <w:rPr>
          <w:color w:val="auto"/>
          <w:lang w:val="es-AR"/>
        </w:rPr>
        <w:t xml:space="preserve"> </w:t>
      </w:r>
      <w:r w:rsidR="00951B61" w:rsidRPr="00AD7158">
        <w:rPr>
          <w:color w:val="auto"/>
          <w:lang w:val="es-AR"/>
        </w:rPr>
        <w:t>carácter de cosa juzgada que revestía la sentencia condenatoria, destacó “el sostenido cercenamiento a la garantía de defensa en juicio” que habría ocurrido en el proceso seguido contra la presunta víctima</w:t>
      </w:r>
      <w:r w:rsidR="00F968A8" w:rsidRPr="00AD7158">
        <w:rPr>
          <w:rStyle w:val="FootnoteReference"/>
          <w:color w:val="auto"/>
          <w:lang w:val="es-AR"/>
        </w:rPr>
        <w:footnoteReference w:id="62"/>
      </w:r>
      <w:r w:rsidR="00951B61" w:rsidRPr="00AD7158">
        <w:rPr>
          <w:color w:val="auto"/>
          <w:lang w:val="es-AR"/>
        </w:rPr>
        <w:t>.</w:t>
      </w:r>
      <w:r w:rsidR="00560476" w:rsidRPr="00AD7158">
        <w:rPr>
          <w:color w:val="auto"/>
          <w:lang w:val="es-AR"/>
        </w:rPr>
        <w:t xml:space="preserve"> </w:t>
      </w:r>
      <w:r w:rsidR="005F4D85" w:rsidRPr="00AD7158">
        <w:rPr>
          <w:color w:val="auto"/>
          <w:lang w:val="es-AR"/>
        </w:rPr>
        <w:t xml:space="preserve"> </w:t>
      </w:r>
    </w:p>
    <w:p w14:paraId="2814A007" w14:textId="77777777" w:rsidR="0023062A" w:rsidRPr="00AD7158" w:rsidRDefault="0023062A" w:rsidP="00145D18">
      <w:pPr>
        <w:tabs>
          <w:tab w:val="left" w:pos="360"/>
        </w:tabs>
        <w:rPr>
          <w:rFonts w:asciiTheme="majorHAnsi" w:hAnsiTheme="majorHAnsi"/>
          <w:color w:val="548DD4" w:themeColor="text2" w:themeTint="99"/>
          <w:sz w:val="20"/>
          <w:szCs w:val="20"/>
          <w:lang w:val="es-AR"/>
        </w:rPr>
      </w:pPr>
    </w:p>
    <w:p w14:paraId="3A4BF9CB" w14:textId="77777777" w:rsidR="00454E20" w:rsidRPr="00AD7158" w:rsidRDefault="00D12193" w:rsidP="00454E20">
      <w:pPr>
        <w:pStyle w:val="Heading1"/>
      </w:pPr>
      <w:bookmarkStart w:id="12" w:name="_Toc30670584"/>
      <w:r w:rsidRPr="00AD7158">
        <w:t>ANÁLISIS DE DERECHO</w:t>
      </w:r>
      <w:bookmarkEnd w:id="12"/>
    </w:p>
    <w:p w14:paraId="0FBAC501" w14:textId="77777777" w:rsidR="00C838EE" w:rsidRPr="00AD7158" w:rsidRDefault="00C838EE" w:rsidP="00C838EE">
      <w:pPr>
        <w:rPr>
          <w:lang w:val="es-ES_tradnl" w:eastAsia="es-ES"/>
        </w:rPr>
      </w:pPr>
    </w:p>
    <w:p w14:paraId="0B246C31" w14:textId="77777777" w:rsidR="00F47746" w:rsidRPr="00AD7158" w:rsidRDefault="00F47746" w:rsidP="00B419FB">
      <w:pPr>
        <w:pStyle w:val="Heading2"/>
        <w:numPr>
          <w:ilvl w:val="0"/>
          <w:numId w:val="58"/>
        </w:numPr>
      </w:pPr>
      <w:bookmarkStart w:id="13" w:name="_Toc30670585"/>
      <w:bookmarkStart w:id="14" w:name="_Toc485650798"/>
      <w:r w:rsidRPr="00AD7158">
        <w:t>Derechos a las garantías judiciales</w:t>
      </w:r>
      <w:r w:rsidRPr="00AD7158">
        <w:rPr>
          <w:rStyle w:val="FootnoteReference"/>
          <w:sz w:val="20"/>
        </w:rPr>
        <w:footnoteReference w:id="63"/>
      </w:r>
      <w:r w:rsidRPr="00AD7158">
        <w:t xml:space="preserve"> </w:t>
      </w:r>
      <w:r w:rsidR="002135B3" w:rsidRPr="00AD7158">
        <w:t xml:space="preserve">y </w:t>
      </w:r>
      <w:r w:rsidRPr="00AD7158">
        <w:t>protección judicial</w:t>
      </w:r>
      <w:r w:rsidRPr="00AD7158">
        <w:rPr>
          <w:rStyle w:val="FootnoteReference"/>
          <w:sz w:val="20"/>
        </w:rPr>
        <w:footnoteReference w:id="64"/>
      </w:r>
      <w:r w:rsidR="00E5510B" w:rsidRPr="00AD7158">
        <w:t>,</w:t>
      </w:r>
      <w:r w:rsidR="00E5510B" w:rsidRPr="00AD7158">
        <w:rPr>
          <w:lang w:val="es-AR"/>
        </w:rPr>
        <w:t xml:space="preserve"> en relación con </w:t>
      </w:r>
      <w:r w:rsidR="00E00303" w:rsidRPr="00AD7158">
        <w:rPr>
          <w:lang w:val="es-AR"/>
        </w:rPr>
        <w:t>el artículo</w:t>
      </w:r>
      <w:r w:rsidR="00E5510B" w:rsidRPr="00AD7158">
        <w:rPr>
          <w:lang w:val="es-AR"/>
        </w:rPr>
        <w:t xml:space="preserve"> 1.1</w:t>
      </w:r>
      <w:r w:rsidR="00E5510B" w:rsidRPr="00AD7158">
        <w:rPr>
          <w:rStyle w:val="FootnoteReference"/>
          <w:sz w:val="20"/>
        </w:rPr>
        <w:footnoteReference w:id="65"/>
      </w:r>
      <w:r w:rsidR="00E00303" w:rsidRPr="00AD7158">
        <w:rPr>
          <w:lang w:val="es-AR"/>
        </w:rPr>
        <w:t xml:space="preserve"> </w:t>
      </w:r>
      <w:r w:rsidR="00E5510B" w:rsidRPr="00AD7158">
        <w:rPr>
          <w:lang w:val="es-AR"/>
        </w:rPr>
        <w:t>de la Convención Americana sobre Derechos Humanos</w:t>
      </w:r>
      <w:bookmarkEnd w:id="13"/>
    </w:p>
    <w:p w14:paraId="0F574974" w14:textId="77777777" w:rsidR="006B58FC" w:rsidRPr="00AD7158" w:rsidRDefault="006B58FC" w:rsidP="00B419FB">
      <w:pPr>
        <w:rPr>
          <w:rFonts w:asciiTheme="majorHAnsi" w:hAnsiTheme="majorHAnsi"/>
          <w:b/>
          <w:sz w:val="20"/>
          <w:szCs w:val="20"/>
          <w:lang w:val="es-ES"/>
        </w:rPr>
      </w:pPr>
    </w:p>
    <w:p w14:paraId="22A99CB7" w14:textId="77777777" w:rsidR="006B58FC" w:rsidRPr="00AD7158" w:rsidRDefault="006B58FC" w:rsidP="006063B5">
      <w:pPr>
        <w:pStyle w:val="ListParagraph"/>
        <w:numPr>
          <w:ilvl w:val="0"/>
          <w:numId w:val="61"/>
        </w:numPr>
        <w:rPr>
          <w:b/>
          <w:sz w:val="20"/>
          <w:szCs w:val="20"/>
        </w:rPr>
      </w:pPr>
      <w:r w:rsidRPr="00AD7158">
        <w:rPr>
          <w:b/>
          <w:sz w:val="20"/>
          <w:szCs w:val="20"/>
        </w:rPr>
        <w:t>Consideraciones generales sobre el derecho a las garantías judiciales</w:t>
      </w:r>
      <w:r w:rsidR="006063B5" w:rsidRPr="00AD7158">
        <w:rPr>
          <w:b/>
          <w:sz w:val="20"/>
          <w:szCs w:val="20"/>
        </w:rPr>
        <w:t>, protección judicial</w:t>
      </w:r>
      <w:r w:rsidRPr="00AD7158">
        <w:rPr>
          <w:b/>
          <w:sz w:val="20"/>
          <w:szCs w:val="20"/>
        </w:rPr>
        <w:t xml:space="preserve"> y el derecho a defensa</w:t>
      </w:r>
    </w:p>
    <w:p w14:paraId="5FEDED73" w14:textId="77777777" w:rsidR="002C4E43" w:rsidRPr="00AD7158" w:rsidRDefault="002C4E43" w:rsidP="002D46B7">
      <w:pPr>
        <w:pStyle w:val="ListParagraph"/>
      </w:pPr>
    </w:p>
    <w:p w14:paraId="45BB2DDE" w14:textId="77777777" w:rsidR="0078003D" w:rsidRPr="00AD7158" w:rsidRDefault="006B4A92" w:rsidP="00B0092A">
      <w:pPr>
        <w:pStyle w:val="parrafos"/>
        <w:ind w:left="0" w:firstLine="0"/>
        <w:rPr>
          <w:lang w:val="es-AR"/>
        </w:rPr>
      </w:pPr>
      <w:r w:rsidRPr="00AD7158">
        <w:rPr>
          <w:lang w:val="es-AR"/>
        </w:rPr>
        <w:t>Co</w:t>
      </w:r>
      <w:r w:rsidR="000307ED" w:rsidRPr="00AD7158">
        <w:rPr>
          <w:lang w:val="es-AR"/>
        </w:rPr>
        <w:t>nforme</w:t>
      </w:r>
      <w:r w:rsidR="00B748B6" w:rsidRPr="00AD7158">
        <w:rPr>
          <w:lang w:val="es-AR"/>
        </w:rPr>
        <w:t xml:space="preserve"> al </w:t>
      </w:r>
      <w:r w:rsidR="007F4E8D" w:rsidRPr="00AD7158">
        <w:rPr>
          <w:lang w:val="es-AR"/>
        </w:rPr>
        <w:t xml:space="preserve">artículo 8.1 de la </w:t>
      </w:r>
      <w:r w:rsidR="00682EFF" w:rsidRPr="00AD7158">
        <w:rPr>
          <w:lang w:val="es-AR"/>
        </w:rPr>
        <w:t>CADH</w:t>
      </w:r>
      <w:r w:rsidR="007F4E8D" w:rsidRPr="00AD7158">
        <w:rPr>
          <w:lang w:val="es-AR"/>
        </w:rPr>
        <w:t xml:space="preserve"> </w:t>
      </w:r>
      <w:r w:rsidR="00B748B6" w:rsidRPr="00AD7158">
        <w:rPr>
          <w:lang w:val="es-AR"/>
        </w:rPr>
        <w:t>“</w:t>
      </w:r>
      <w:r w:rsidR="007F4E8D" w:rsidRPr="00AD7158">
        <w:rPr>
          <w:lang w:val="es-AR"/>
        </w:rPr>
        <w:t>en la determinación de los derechos y obligaciones de todas las personas, de orden penal, civil, laboral, fiscal o de cualquier otro carácter, se deben observar "las debidas garantías" que aseguren, según el procedimiento de que se trate, el derecho al debido proceso. El incumplimiento de una de esas garantías conlleva una violación de dicha disposición convenciona</w:t>
      </w:r>
      <w:r w:rsidR="00950C7C" w:rsidRPr="00AD7158">
        <w:rPr>
          <w:lang w:val="es-AR"/>
        </w:rPr>
        <w:t>l</w:t>
      </w:r>
      <w:r w:rsidR="00950C7C" w:rsidRPr="00AD7158">
        <w:rPr>
          <w:lang w:val="es-ES"/>
        </w:rPr>
        <w:t>”</w:t>
      </w:r>
      <w:r w:rsidR="00950C7C" w:rsidRPr="00AD7158">
        <w:rPr>
          <w:rStyle w:val="FootnoteReference"/>
          <w:lang w:val="es-ES"/>
        </w:rPr>
        <w:footnoteReference w:id="66"/>
      </w:r>
      <w:r w:rsidR="00950C7C" w:rsidRPr="00AD7158">
        <w:rPr>
          <w:lang w:val="es-ES"/>
        </w:rPr>
        <w:t xml:space="preserve">. </w:t>
      </w:r>
      <w:r w:rsidR="006D761B" w:rsidRPr="00AD7158">
        <w:rPr>
          <w:lang w:val="es-ES"/>
        </w:rPr>
        <w:t>E</w:t>
      </w:r>
      <w:r w:rsidR="00D75535" w:rsidRPr="00AD7158">
        <w:rPr>
          <w:lang w:val="es-ES"/>
        </w:rPr>
        <w:t>l artículo 8.2 refiere</w:t>
      </w:r>
      <w:r w:rsidR="0078003D" w:rsidRPr="00AD7158">
        <w:rPr>
          <w:lang w:val="es-ES"/>
        </w:rPr>
        <w:t xml:space="preserve"> </w:t>
      </w:r>
      <w:r w:rsidR="00D75535" w:rsidRPr="00AD7158">
        <w:rPr>
          <w:lang w:val="es-ES"/>
        </w:rPr>
        <w:t>en términos generales</w:t>
      </w:r>
      <w:r w:rsidR="0078003D" w:rsidRPr="00AD7158">
        <w:rPr>
          <w:lang w:val="es-ES"/>
        </w:rPr>
        <w:t xml:space="preserve"> a las garantías mínimas de una persona que es sometida a una investigación y proceso penal</w:t>
      </w:r>
      <w:r w:rsidR="00D92E36" w:rsidRPr="00AD7158">
        <w:rPr>
          <w:lang w:val="es-ES"/>
        </w:rPr>
        <w:t>, las que “</w:t>
      </w:r>
      <w:r w:rsidR="0078003D" w:rsidRPr="00AD7158">
        <w:rPr>
          <w:lang w:val="es-ES"/>
        </w:rPr>
        <w:t>deben ser protegidas dentro del contexto de las distintas etapas del proceso penal, que abarca la investigación, acusación, juzgamiento y condena”</w:t>
      </w:r>
      <w:r w:rsidR="0078003D" w:rsidRPr="00AD7158">
        <w:rPr>
          <w:rStyle w:val="FootnoteReference"/>
          <w:sz w:val="20"/>
          <w:lang w:val="es-ES"/>
        </w:rPr>
        <w:footnoteReference w:id="67"/>
      </w:r>
      <w:r w:rsidR="0078003D" w:rsidRPr="00AD7158">
        <w:rPr>
          <w:lang w:val="es-ES"/>
        </w:rPr>
        <w:t>.</w:t>
      </w:r>
    </w:p>
    <w:p w14:paraId="38DB765D" w14:textId="77777777" w:rsidR="0078003D" w:rsidRPr="00AD7158" w:rsidRDefault="0078003D" w:rsidP="00B419FB">
      <w:pPr>
        <w:pStyle w:val="parrafos"/>
        <w:numPr>
          <w:ilvl w:val="0"/>
          <w:numId w:val="0"/>
        </w:numPr>
        <w:ind w:left="360"/>
        <w:rPr>
          <w:lang w:val="es-AR"/>
        </w:rPr>
      </w:pPr>
    </w:p>
    <w:p w14:paraId="5658AA05" w14:textId="77777777" w:rsidR="003415B0" w:rsidRPr="00AD7158" w:rsidRDefault="006D761B" w:rsidP="00BE0BB1">
      <w:pPr>
        <w:pStyle w:val="parrafos"/>
        <w:ind w:left="0" w:firstLine="0"/>
        <w:rPr>
          <w:lang w:val="es-AR"/>
        </w:rPr>
      </w:pPr>
      <w:r w:rsidRPr="00AD7158">
        <w:t>E</w:t>
      </w:r>
      <w:r w:rsidR="000B1E36" w:rsidRPr="00AD7158">
        <w:t xml:space="preserve">l derecho a la defensa </w:t>
      </w:r>
      <w:r w:rsidR="00064AEA" w:rsidRPr="00AD7158">
        <w:t>“</w:t>
      </w:r>
      <w:r w:rsidR="000B1E36" w:rsidRPr="00AD7158">
        <w:t>obliga al Estado a tratar al individuo en todo momento como un verdadero sujeto del proceso, en el más amplio sentido de este concepto, y no simplemente como objeto del mismo”</w:t>
      </w:r>
      <w:r w:rsidR="000B1E36" w:rsidRPr="00AD7158">
        <w:rPr>
          <w:rStyle w:val="FootnoteReference"/>
          <w:sz w:val="20"/>
        </w:rPr>
        <w:footnoteReference w:id="68"/>
      </w:r>
      <w:r w:rsidR="007B5992" w:rsidRPr="00AD7158">
        <w:t xml:space="preserve">, y </w:t>
      </w:r>
      <w:r w:rsidR="003D42E4" w:rsidRPr="00AD7158">
        <w:rPr>
          <w:lang w:val="es-AR"/>
        </w:rPr>
        <w:t xml:space="preserve">que </w:t>
      </w:r>
      <w:r w:rsidR="005F6AC4" w:rsidRPr="00AD7158">
        <w:rPr>
          <w:lang w:val="es-AR"/>
        </w:rPr>
        <w:t xml:space="preserve">este derecho </w:t>
      </w:r>
      <w:r w:rsidR="003D42E4" w:rsidRPr="00AD7158">
        <w:rPr>
          <w:lang w:val="es-AR"/>
        </w:rPr>
        <w:t>“</w:t>
      </w:r>
      <w:r w:rsidR="005302D2" w:rsidRPr="00AD7158">
        <w:t>debe necesariamente poder ejercerse desde que se señala a una persona como posible autor o partícipe de un hecho punible y sólo culmina cuando finaliza el proceso, incluyendo, en su caso, la e</w:t>
      </w:r>
      <w:r w:rsidR="003D42E4" w:rsidRPr="00AD7158">
        <w:t>tapa de ejecución de la pena</w:t>
      </w:r>
      <w:r w:rsidR="005F6AC4" w:rsidRPr="00AD7158">
        <w:t>”</w:t>
      </w:r>
      <w:r w:rsidR="005F6AC4" w:rsidRPr="00AD7158">
        <w:rPr>
          <w:rStyle w:val="FootnoteReference"/>
        </w:rPr>
        <w:footnoteReference w:id="69"/>
      </w:r>
      <w:r w:rsidR="005302D2" w:rsidRPr="00AD7158">
        <w:t xml:space="preserve">. </w:t>
      </w:r>
      <w:r w:rsidRPr="00AD7158">
        <w:t>E</w:t>
      </w:r>
      <w:r w:rsidR="005302D2" w:rsidRPr="00AD7158">
        <w:t xml:space="preserve">l derecho a la defensa </w:t>
      </w:r>
      <w:r w:rsidRPr="00AD7158">
        <w:t>“</w:t>
      </w:r>
      <w:r w:rsidR="005302D2" w:rsidRPr="00AD7158">
        <w:t xml:space="preserve">se proyecta en dos facetas dentro del proceso penal: por un </w:t>
      </w:r>
      <w:r w:rsidR="005302D2" w:rsidRPr="00AD7158">
        <w:lastRenderedPageBreak/>
        <w:t xml:space="preserve">lado, a través de los propios actos del inculpado, siendo su exponente central la posibilidad de rendir una declaración libre sobre los hechos que se le atribuyen y, por el otro, por medio de la defensa técnica, ejercida por un profesional del Derecho, quien cumple la función de asesorar al investigado sobre sus deberes y derechos y ejecuta, </w:t>
      </w:r>
      <w:r w:rsidR="005302D2" w:rsidRPr="00AD7158">
        <w:rPr>
          <w:i/>
        </w:rPr>
        <w:t>inter alia</w:t>
      </w:r>
      <w:r w:rsidR="005302D2" w:rsidRPr="00AD7158">
        <w:t>, un control crítico y de legalida</w:t>
      </w:r>
      <w:r w:rsidR="003D42E4" w:rsidRPr="00AD7158">
        <w:t>d en la producción de pruebas”</w:t>
      </w:r>
      <w:r w:rsidR="003D42E4" w:rsidRPr="00AD7158">
        <w:rPr>
          <w:rStyle w:val="FootnoteReference"/>
          <w:sz w:val="20"/>
        </w:rPr>
        <w:footnoteReference w:id="70"/>
      </w:r>
      <w:r w:rsidR="005302D2" w:rsidRPr="00AD7158">
        <w:t>.</w:t>
      </w:r>
    </w:p>
    <w:p w14:paraId="227F72A9" w14:textId="77777777" w:rsidR="00717480" w:rsidRPr="00AD7158" w:rsidRDefault="00717480" w:rsidP="00B419FB">
      <w:pPr>
        <w:pStyle w:val="parrafos"/>
        <w:numPr>
          <w:ilvl w:val="0"/>
          <w:numId w:val="0"/>
        </w:numPr>
        <w:rPr>
          <w:lang w:val="es-AR"/>
        </w:rPr>
      </w:pPr>
    </w:p>
    <w:p w14:paraId="0E5E8601" w14:textId="77777777" w:rsidR="00A174E1" w:rsidRPr="00AD7158" w:rsidRDefault="005302D2" w:rsidP="007B5992">
      <w:pPr>
        <w:pStyle w:val="parrafos"/>
        <w:ind w:left="0" w:firstLine="0"/>
        <w:rPr>
          <w:lang w:val="es-CR"/>
        </w:rPr>
      </w:pPr>
      <w:r w:rsidRPr="00AD7158">
        <w:t xml:space="preserve"> </w:t>
      </w:r>
      <w:r w:rsidR="006B4A92" w:rsidRPr="00AD7158">
        <w:rPr>
          <w:lang w:val="es-AR"/>
        </w:rPr>
        <w:t>P</w:t>
      </w:r>
      <w:r w:rsidR="00026178" w:rsidRPr="00AD7158">
        <w:rPr>
          <w:lang w:val="es-CR"/>
        </w:rPr>
        <w:t xml:space="preserve">ara determinar si un Estado </w:t>
      </w:r>
      <w:r w:rsidR="0094539B" w:rsidRPr="00AD7158">
        <w:rPr>
          <w:lang w:val="es-CR"/>
        </w:rPr>
        <w:t>es</w:t>
      </w:r>
      <w:r w:rsidR="00026178" w:rsidRPr="00AD7158">
        <w:rPr>
          <w:lang w:val="es-CR"/>
        </w:rPr>
        <w:t xml:space="preserve"> internacionalmente responsable por acciones u omisiones de la defensa pública deberá eval</w:t>
      </w:r>
      <w:r w:rsidR="0094539B" w:rsidRPr="00AD7158">
        <w:rPr>
          <w:lang w:val="es-CR"/>
        </w:rPr>
        <w:t xml:space="preserve">uarse </w:t>
      </w:r>
      <w:r w:rsidR="00026178" w:rsidRPr="00AD7158">
        <w:rPr>
          <w:lang w:val="es-CR"/>
        </w:rPr>
        <w:t xml:space="preserve">si </w:t>
      </w:r>
      <w:r w:rsidR="0094539B" w:rsidRPr="00AD7158">
        <w:rPr>
          <w:lang w:val="es-CR"/>
        </w:rPr>
        <w:t>“</w:t>
      </w:r>
      <w:r w:rsidR="00026178" w:rsidRPr="00AD7158">
        <w:rPr>
          <w:lang w:val="es-CR"/>
        </w:rPr>
        <w:t xml:space="preserve">la acción u omisión del defensor público constituyó una negligencia inexcusable o una falla manifiesta en el ejercicio de la defensa que </w:t>
      </w:r>
      <w:r w:rsidR="00026178" w:rsidRPr="00AD7158">
        <w:rPr>
          <w:iCs/>
          <w:lang w:val="es-CR"/>
        </w:rPr>
        <w:t xml:space="preserve">tuvo o puede tener un efecto decisivo </w:t>
      </w:r>
      <w:r w:rsidR="00026178" w:rsidRPr="00AD7158">
        <w:rPr>
          <w:lang w:val="es-CR"/>
        </w:rPr>
        <w:t>en contra de los intereses del imputado”</w:t>
      </w:r>
      <w:r w:rsidR="00026178" w:rsidRPr="00AD7158">
        <w:rPr>
          <w:vertAlign w:val="superscript"/>
          <w:lang w:val="es-CR"/>
        </w:rPr>
        <w:footnoteReference w:id="71"/>
      </w:r>
      <w:r w:rsidR="00026178" w:rsidRPr="00AD7158">
        <w:rPr>
          <w:lang w:val="es-CR"/>
        </w:rPr>
        <w:t xml:space="preserve">. Para esta determinación, la Corte </w:t>
      </w:r>
      <w:r w:rsidR="006B4A92" w:rsidRPr="00AD7158">
        <w:rPr>
          <w:lang w:val="es-CR"/>
        </w:rPr>
        <w:t xml:space="preserve">IDH </w:t>
      </w:r>
      <w:r w:rsidR="00026178" w:rsidRPr="00AD7158">
        <w:rPr>
          <w:lang w:val="es-CR"/>
        </w:rPr>
        <w:t>destacó algunos supuestos no exhaustivos que en derecho comparado se han considerado de suficiente entidad para establecer una vulneración del derecho a la defensa. Dentro de tales supuestos se encuentran: “a) No desplegar una mínima actividad probatoria; b) Inactividad argumentativa a favor de los intereses del imputado; c) Carencia de conocimiento técnico jurídico del proceso penal; d) Falta de interposición de recursos en detrimento de los derechos del imputado; e) Indebida fundamentación de los recursos interpuest</w:t>
      </w:r>
      <w:r w:rsidR="00E540B9" w:rsidRPr="00AD7158">
        <w:rPr>
          <w:lang w:val="es-CR"/>
        </w:rPr>
        <w:t>os; y f) Abandono de la defensa</w:t>
      </w:r>
      <w:r w:rsidR="00026178" w:rsidRPr="00AD7158">
        <w:rPr>
          <w:vertAlign w:val="superscript"/>
          <w:lang w:val="es-CR"/>
        </w:rPr>
        <w:footnoteReference w:id="72"/>
      </w:r>
      <w:r w:rsidR="00026178" w:rsidRPr="00AD7158">
        <w:rPr>
          <w:lang w:val="es-CR"/>
        </w:rPr>
        <w:t>.</w:t>
      </w:r>
      <w:r w:rsidR="00260333" w:rsidRPr="00AD7158">
        <w:rPr>
          <w:lang w:val="es-CR"/>
        </w:rPr>
        <w:t xml:space="preserve"> </w:t>
      </w:r>
    </w:p>
    <w:p w14:paraId="5B478836" w14:textId="77777777" w:rsidR="00A174E1" w:rsidRPr="00AD7158" w:rsidRDefault="00A174E1" w:rsidP="00A174E1">
      <w:pPr>
        <w:pStyle w:val="parrafos"/>
        <w:numPr>
          <w:ilvl w:val="0"/>
          <w:numId w:val="0"/>
        </w:numPr>
        <w:rPr>
          <w:lang w:val="es-CR"/>
        </w:rPr>
      </w:pPr>
    </w:p>
    <w:p w14:paraId="62417421" w14:textId="77777777" w:rsidR="00AD7842" w:rsidRPr="00AD7158" w:rsidRDefault="00300A80" w:rsidP="0004577D">
      <w:pPr>
        <w:pStyle w:val="parrafos"/>
        <w:ind w:left="0" w:firstLine="0"/>
        <w:rPr>
          <w:lang w:val="es-CR"/>
        </w:rPr>
      </w:pPr>
      <w:r w:rsidRPr="00AD7158">
        <w:rPr>
          <w:lang w:val="es-CR"/>
        </w:rPr>
        <w:t xml:space="preserve">El </w:t>
      </w:r>
      <w:r w:rsidR="00FD3B66" w:rsidRPr="00AD7158">
        <w:rPr>
          <w:lang w:val="es-AR"/>
        </w:rPr>
        <w:t>Estado debe adoptar todas las medidas adecuadas para que la defensa suministrada sea efectiva, para lo cual es preciso que el defensor actúe de manera diligente</w:t>
      </w:r>
      <w:r w:rsidR="008D1531" w:rsidRPr="00AD7158">
        <w:rPr>
          <w:rFonts w:eastAsia="MS Mincho"/>
          <w:color w:val="auto"/>
          <w:vertAlign w:val="superscript"/>
          <w:lang w:val="es-ES_tradnl"/>
        </w:rPr>
        <w:footnoteReference w:id="73"/>
      </w:r>
      <w:r w:rsidR="00FD3B66" w:rsidRPr="00AD7158">
        <w:rPr>
          <w:lang w:val="es-AR"/>
        </w:rPr>
        <w:t>.</w:t>
      </w:r>
      <w:r w:rsidR="009E1BFE" w:rsidRPr="00AD7158">
        <w:rPr>
          <w:lang w:val="es-AR"/>
        </w:rPr>
        <w:t xml:space="preserve"> </w:t>
      </w:r>
      <w:r w:rsidR="00572665" w:rsidRPr="00AD7158">
        <w:rPr>
          <w:lang w:val="es-AR"/>
        </w:rPr>
        <w:t>E</w:t>
      </w:r>
      <w:r w:rsidR="00A174E1" w:rsidRPr="00AD7158">
        <w:t>l derecho de defensa implica que está sea</w:t>
      </w:r>
      <w:r w:rsidR="00A174E1" w:rsidRPr="00AD7158">
        <w:rPr>
          <w:b/>
        </w:rPr>
        <w:t xml:space="preserve"> </w:t>
      </w:r>
      <w:r w:rsidR="00A174E1" w:rsidRPr="00AD7158">
        <w:t>eficaz, oportuna, realizada por personal técnico, que permita fortalecer la protección del interés concreto del imputado y no como un simple medio para cumplir formalmente con la legitimidad del proceso</w:t>
      </w:r>
      <w:r w:rsidR="00572665" w:rsidRPr="00AD7158">
        <w:t>, p</w:t>
      </w:r>
      <w:r w:rsidR="00A174E1" w:rsidRPr="00AD7158">
        <w:t>or ende, cualquier forma de defensa aparente v</w:t>
      </w:r>
      <w:r w:rsidR="00572665" w:rsidRPr="00AD7158">
        <w:t>ulneraria la Convención</w:t>
      </w:r>
      <w:r w:rsidR="00A174E1" w:rsidRPr="00AD7158">
        <w:rPr>
          <w:rStyle w:val="FootnoteReference"/>
          <w:sz w:val="20"/>
        </w:rPr>
        <w:footnoteReference w:id="74"/>
      </w:r>
      <w:r w:rsidR="00A174E1" w:rsidRPr="00AD7158">
        <w:t>.</w:t>
      </w:r>
      <w:r w:rsidR="00AE6BB4" w:rsidRPr="00AD7158">
        <w:t xml:space="preserve"> </w:t>
      </w:r>
      <w:r w:rsidR="00572665" w:rsidRPr="00AD7158">
        <w:t xml:space="preserve">La Corte IDH </w:t>
      </w:r>
      <w:r w:rsidR="006F6F32" w:rsidRPr="00AD7158">
        <w:t xml:space="preserve">ha considerado que </w:t>
      </w:r>
      <w:r w:rsidR="00F00A70" w:rsidRPr="00AD7158">
        <w:t>“</w:t>
      </w:r>
      <w:r w:rsidR="006F6F32" w:rsidRPr="00AD7158">
        <w:t>nombrar a un defensor de oficio con el sólo objeto de cumplir con una formalidad procesal equivaldría a no contar con defensa técnica, por lo que es imperante que dicho defensor actúe de manera diligente con el fin de proteger las garantías procesales del acusado y evite así que sus derechos se ve</w:t>
      </w:r>
      <w:r w:rsidR="00F00A70" w:rsidRPr="00AD7158">
        <w:t>an lesionados</w:t>
      </w:r>
      <w:r w:rsidR="006F6F32" w:rsidRPr="00AD7158">
        <w:t xml:space="preserve"> y se quebrante la relación de confianza. A tal fin, es necesario que la in</w:t>
      </w:r>
      <w:r w:rsidR="00C564A6" w:rsidRPr="00AD7158">
        <w:t>stitución de la defensa pública</w:t>
      </w:r>
      <w:r w:rsidR="006F6F32" w:rsidRPr="00AD7158">
        <w:t xml:space="preserve"> </w:t>
      </w:r>
      <w:r w:rsidR="00C564A6" w:rsidRPr="00AD7158">
        <w:t>(…) s</w:t>
      </w:r>
      <w:r w:rsidR="006F6F32" w:rsidRPr="00AD7158">
        <w:t>ea dotada de garantías suficientes para su actuación eficiente y en igualdad de armas con el poder persecutorio. La Corte ha reconocido que para cumplir con este cometido el Estado debe adopt</w:t>
      </w:r>
      <w:r w:rsidR="00F00A70" w:rsidRPr="00AD7158">
        <w:t>ar todas las medidas adecuadas</w:t>
      </w:r>
      <w:r w:rsidR="006F6F32" w:rsidRPr="00AD7158">
        <w:t>. Entre ellas, contar con defensores idóneos y capacitados que puedan a</w:t>
      </w:r>
      <w:r w:rsidR="00F00A70" w:rsidRPr="00AD7158">
        <w:t>ctuar con autonomía funcional</w:t>
      </w:r>
      <w:r w:rsidR="00AE6BB4" w:rsidRPr="00AD7158">
        <w:t>”</w:t>
      </w:r>
      <w:r w:rsidR="00F00A70" w:rsidRPr="00AD7158">
        <w:rPr>
          <w:rStyle w:val="FootnoteReference"/>
          <w:sz w:val="20"/>
        </w:rPr>
        <w:footnoteReference w:id="75"/>
      </w:r>
      <w:r w:rsidR="003D59C3" w:rsidRPr="00AD7158">
        <w:t>.</w:t>
      </w:r>
    </w:p>
    <w:p w14:paraId="04110124" w14:textId="77777777" w:rsidR="001948DD" w:rsidRPr="00AD7158" w:rsidRDefault="001948DD" w:rsidP="00AE650D">
      <w:pPr>
        <w:pBdr>
          <w:top w:val="nil"/>
        </w:pBdr>
        <w:rPr>
          <w:lang w:val="es-ES"/>
        </w:rPr>
      </w:pPr>
    </w:p>
    <w:p w14:paraId="1B656BD1" w14:textId="77777777" w:rsidR="001948DD" w:rsidRPr="00AD7158" w:rsidRDefault="00F20681" w:rsidP="00BE0BB1">
      <w:pPr>
        <w:pStyle w:val="parrafos"/>
        <w:ind w:left="0" w:firstLine="0"/>
      </w:pPr>
      <w:r w:rsidRPr="00AD7158">
        <w:rPr>
          <w:lang w:val="es-ES"/>
        </w:rPr>
        <w:t>L</w:t>
      </w:r>
      <w:r w:rsidR="001948DD" w:rsidRPr="00AD7158">
        <w:t xml:space="preserve">a Corte ha estimado que </w:t>
      </w:r>
      <w:r w:rsidR="008F4922" w:rsidRPr="00AD7158">
        <w:t>“s</w:t>
      </w:r>
      <w:r w:rsidR="001948DD" w:rsidRPr="00AD7158">
        <w:t>i es evidente que la defensa pública actuó sin la diligencia debida, recae sobre las autoridades judiciales un deber de tutela o control. Ciertamente, la función judicial debe vigilar que el derecho a la defensa no se torne ilusorio a través de una asistencia jurídica ineficaz. En esta línea, resulta esencial la función de resguardo del debido proceso que deben ejercer las autoridades judiciales.</w:t>
      </w:r>
      <w:r w:rsidR="008F4922" w:rsidRPr="00AD7158">
        <w:t xml:space="preserve"> (…)”</w:t>
      </w:r>
      <w:r w:rsidR="00966BB0" w:rsidRPr="00AD7158">
        <w:rPr>
          <w:rStyle w:val="FootnoteReference"/>
          <w:sz w:val="20"/>
        </w:rPr>
        <w:footnoteReference w:id="76"/>
      </w:r>
      <w:r w:rsidR="00A20DDA" w:rsidRPr="00AD7158">
        <w:t>.</w:t>
      </w:r>
    </w:p>
    <w:p w14:paraId="1CE5EB13" w14:textId="77777777" w:rsidR="00AE650D" w:rsidRPr="00AD7158" w:rsidRDefault="00AE650D" w:rsidP="00AE650D">
      <w:pPr>
        <w:pStyle w:val="ListParagraph"/>
      </w:pPr>
    </w:p>
    <w:p w14:paraId="3B77E995" w14:textId="77777777" w:rsidR="00AE650D" w:rsidRPr="00AD7158" w:rsidRDefault="00AE650D" w:rsidP="00AE650D">
      <w:pPr>
        <w:pStyle w:val="parrafos"/>
        <w:ind w:left="0" w:firstLine="0"/>
      </w:pPr>
      <w:r w:rsidRPr="00AD7158">
        <w:t xml:space="preserve">En cuanto a defensa común de imputados, la Corte IDH estableció en el caso </w:t>
      </w:r>
      <w:r w:rsidRPr="00AD7158">
        <w:rPr>
          <w:bCs/>
          <w:lang w:val="es-ES"/>
        </w:rPr>
        <w:t>Caso Martínez Coronado Vs. Guatemala, en que los imputados tuvieron una defensa común proporcionada por el Estado, que</w:t>
      </w:r>
      <w:r w:rsidR="00FB2682" w:rsidRPr="00AD7158">
        <w:rPr>
          <w:bCs/>
          <w:lang w:val="es-ES"/>
        </w:rPr>
        <w:t xml:space="preserve"> “</w:t>
      </w:r>
      <w:r w:rsidR="00FB2682" w:rsidRPr="00AD7158">
        <w:t>correspondería</w:t>
      </w:r>
      <w:r w:rsidRPr="00AD7158">
        <w:t xml:space="preserve"> al Estado, mediante las autoridades competentes, identificar si existen dichas incompatibilidades [manifiesta incompatibilidad] y adoptar las medidas conducentes para que se garantice el derecho a la defensa de los co-imputados involucrados. Este principio es especialmente relevante en casos donde los imputados puedan enfrentar una condena severa, como es la pena de muerte (…)”</w:t>
      </w:r>
      <w:r w:rsidRPr="00AD7158">
        <w:rPr>
          <w:rStyle w:val="FootnoteReference"/>
          <w:sz w:val="20"/>
        </w:rPr>
        <w:footnoteReference w:id="77"/>
      </w:r>
      <w:r w:rsidRPr="00AD7158">
        <w:t xml:space="preserve">. </w:t>
      </w:r>
    </w:p>
    <w:p w14:paraId="0248BD05" w14:textId="77777777" w:rsidR="00717480" w:rsidRPr="00AD7158" w:rsidRDefault="00717480" w:rsidP="002D46B7">
      <w:pPr>
        <w:pStyle w:val="ListParagraph"/>
      </w:pPr>
    </w:p>
    <w:p w14:paraId="3B880BA9" w14:textId="77777777" w:rsidR="00622B77" w:rsidRPr="00AD7158" w:rsidRDefault="00AE650D" w:rsidP="009978A1">
      <w:pPr>
        <w:pStyle w:val="parrafos"/>
        <w:ind w:left="0" w:firstLine="0"/>
      </w:pPr>
      <w:r w:rsidRPr="00AD7158">
        <w:t xml:space="preserve">Sobre </w:t>
      </w:r>
      <w:r w:rsidR="00717480" w:rsidRPr="00AD7158">
        <w:t>el derecho a contar con el tiempo y los medios ade</w:t>
      </w:r>
      <w:r w:rsidR="00105D0B" w:rsidRPr="00AD7158">
        <w:t>cuados para preparar la defensa,</w:t>
      </w:r>
      <w:r w:rsidR="00717480" w:rsidRPr="00AD7158">
        <w:t xml:space="preserve"> previsto en el artículo 8.2.c de la </w:t>
      </w:r>
      <w:r w:rsidR="00105D0B" w:rsidRPr="00AD7158">
        <w:t>CADH</w:t>
      </w:r>
      <w:r w:rsidR="00717480" w:rsidRPr="00AD7158">
        <w:t>,</w:t>
      </w:r>
      <w:r w:rsidRPr="00AD7158">
        <w:t xml:space="preserve"> la Corte ha sostenido que</w:t>
      </w:r>
      <w:r w:rsidR="00717480" w:rsidRPr="00AD7158">
        <w:t xml:space="preserve"> </w:t>
      </w:r>
      <w:r w:rsidR="00105D0B" w:rsidRPr="00AD7158">
        <w:t>“</w:t>
      </w:r>
      <w:r w:rsidR="00717480" w:rsidRPr="00AD7158">
        <w:t xml:space="preserve">obliga al Estado a permitir el acceso del inculpado al </w:t>
      </w:r>
      <w:r w:rsidR="00717480" w:rsidRPr="00AD7158">
        <w:lastRenderedPageBreak/>
        <w:t>conocimiento del expediente llevado en su contra. Asimismo, se debe respetar el principio del contradictorio, que garantiza la intervención de aquél en el análisis de la prueba”</w:t>
      </w:r>
      <w:r w:rsidR="00717480" w:rsidRPr="00AD7158">
        <w:rPr>
          <w:rStyle w:val="FootnoteReference"/>
          <w:sz w:val="20"/>
        </w:rPr>
        <w:footnoteReference w:id="78"/>
      </w:r>
      <w:r w:rsidR="00717480" w:rsidRPr="00AD7158">
        <w:t xml:space="preserve">. Además, </w:t>
      </w:r>
      <w:r w:rsidR="00105D0B" w:rsidRPr="00AD7158">
        <w:t xml:space="preserve">ha </w:t>
      </w:r>
      <w:r w:rsidR="00717480" w:rsidRPr="00AD7158">
        <w:t>afirm</w:t>
      </w:r>
      <w:r w:rsidR="00105D0B" w:rsidRPr="00AD7158">
        <w:t>ado</w:t>
      </w:r>
      <w:r w:rsidR="00717480" w:rsidRPr="00AD7158">
        <w:t xml:space="preserve"> que “si el Estado pretende limitar este derecho, debe respetar el principio de legalidad, argüir de manera fundada cuál es el fin legítimo que pretende conseguir y demostrar que el medio a utilizar para llegar a ese fin es idóneo, necesario y estrictamente proporcional. Caso contrario, la restricción del derecho de defensa del individuo será contraria a la Convención”</w:t>
      </w:r>
      <w:r w:rsidR="00717480" w:rsidRPr="00AD7158">
        <w:rPr>
          <w:rStyle w:val="FootnoteReference"/>
          <w:sz w:val="20"/>
        </w:rPr>
        <w:footnoteReference w:id="79"/>
      </w:r>
      <w:r w:rsidR="00717480" w:rsidRPr="00AD7158">
        <w:t>.</w:t>
      </w:r>
      <w:r w:rsidR="009978A1" w:rsidRPr="00AD7158">
        <w:t xml:space="preserve"> </w:t>
      </w:r>
      <w:r w:rsidR="00AC09A7" w:rsidRPr="00AD7158">
        <w:t>Adicionalmente, a la luz del artículo 8.2.f</w:t>
      </w:r>
      <w:r w:rsidR="009978A1" w:rsidRPr="00AD7158">
        <w:t>,</w:t>
      </w:r>
      <w:r w:rsidR="00622B77" w:rsidRPr="00AD7158">
        <w:t xml:space="preserve"> y como corolario del derecho a la defensa, entre las prerrogativas que deben concederse a quienes hayan sido acusados, está la de examinar</w:t>
      </w:r>
      <w:r w:rsidR="00622B77" w:rsidRPr="00AD7158">
        <w:rPr>
          <w:b/>
        </w:rPr>
        <w:t xml:space="preserve"> </w:t>
      </w:r>
      <w:r w:rsidR="00622B77" w:rsidRPr="00AD7158">
        <w:t>los</w:t>
      </w:r>
      <w:r w:rsidR="00622B77" w:rsidRPr="00AD7158">
        <w:rPr>
          <w:b/>
        </w:rPr>
        <w:t xml:space="preserve"> </w:t>
      </w:r>
      <w:r w:rsidR="00622B77" w:rsidRPr="00AD7158">
        <w:t>testigos en su contra y en su favor bajo las mismas condiciones</w:t>
      </w:r>
      <w:r w:rsidR="00622B77" w:rsidRPr="00AD7158">
        <w:rPr>
          <w:rStyle w:val="FootnoteReference"/>
          <w:sz w:val="20"/>
        </w:rPr>
        <w:footnoteReference w:id="80"/>
      </w:r>
      <w:r w:rsidR="00622B77" w:rsidRPr="00AD7158">
        <w:t>.</w:t>
      </w:r>
      <w:r w:rsidR="00622B77" w:rsidRPr="00AD7158">
        <w:rPr>
          <w:rFonts w:eastAsia="MS Mincho"/>
          <w:lang w:val="es-ES"/>
        </w:rPr>
        <w:t xml:space="preserve"> </w:t>
      </w:r>
      <w:r w:rsidR="00B861AB" w:rsidRPr="00AD7158">
        <w:rPr>
          <w:lang w:val="es-ES"/>
        </w:rPr>
        <w:t>L</w:t>
      </w:r>
      <w:r w:rsidR="00622B77" w:rsidRPr="00AD7158">
        <w:rPr>
          <w:lang w:val="es-ES"/>
        </w:rPr>
        <w:t>a CIDH ha referido que como regla general, una persona procesada tiene el derecho de interrogar a testigos sin impedimento alguno</w:t>
      </w:r>
      <w:r w:rsidR="00622B77" w:rsidRPr="00AD7158">
        <w:rPr>
          <w:vertAlign w:val="superscript"/>
          <w:lang w:val="es-ES"/>
        </w:rPr>
        <w:footnoteReference w:id="81"/>
      </w:r>
      <w:r w:rsidR="00622B77" w:rsidRPr="00AD7158">
        <w:rPr>
          <w:lang w:val="es-ES"/>
        </w:rPr>
        <w:t>.</w:t>
      </w:r>
    </w:p>
    <w:p w14:paraId="6D3417A1" w14:textId="77777777" w:rsidR="00622B77" w:rsidRPr="00AD7158" w:rsidRDefault="00622B77" w:rsidP="00B419FB">
      <w:pPr>
        <w:pStyle w:val="parrafos"/>
        <w:numPr>
          <w:ilvl w:val="0"/>
          <w:numId w:val="0"/>
        </w:numPr>
        <w:ind w:left="360"/>
        <w:rPr>
          <w:lang w:val="es-ES"/>
        </w:rPr>
      </w:pPr>
    </w:p>
    <w:p w14:paraId="027B660A" w14:textId="77777777" w:rsidR="00102217" w:rsidRPr="00AD7158" w:rsidRDefault="007B7678" w:rsidP="00BE0BB1">
      <w:pPr>
        <w:pStyle w:val="parrafos"/>
        <w:ind w:left="0" w:firstLine="0"/>
        <w:rPr>
          <w:lang w:val="es-ES"/>
        </w:rPr>
      </w:pPr>
      <w:r w:rsidRPr="00AD7158">
        <w:t>El</w:t>
      </w:r>
      <w:r w:rsidR="00B05F3F" w:rsidRPr="00AD7158">
        <w:t xml:space="preserve"> derecho a ser oído</w:t>
      </w:r>
      <w:r w:rsidR="002813E2" w:rsidRPr="00AD7158">
        <w:rPr>
          <w:lang w:val="es-ES"/>
        </w:rPr>
        <w:t xml:space="preserve"> implica</w:t>
      </w:r>
      <w:r w:rsidR="00860F24" w:rsidRPr="00AD7158">
        <w:rPr>
          <w:lang w:val="es-ES"/>
        </w:rPr>
        <w:t xml:space="preserve"> </w:t>
      </w:r>
      <w:r w:rsidR="002813E2" w:rsidRPr="00AD7158">
        <w:rPr>
          <w:lang w:val="es-ES"/>
        </w:rPr>
        <w:t>“</w:t>
      </w:r>
      <w:r w:rsidR="00860F24" w:rsidRPr="00AD7158">
        <w:rPr>
          <w:lang w:val="es-ES"/>
        </w:rPr>
        <w:t>por un lado, un ámbito formal y procesal de asegurar el acceso al órgano competente para que determine el derecho que se reclama en apego a l</w:t>
      </w:r>
      <w:r w:rsidR="00B90232" w:rsidRPr="00AD7158">
        <w:rPr>
          <w:lang w:val="es-ES"/>
        </w:rPr>
        <w:t xml:space="preserve">as debidas garantías procesales </w:t>
      </w:r>
      <w:r w:rsidR="00860F24" w:rsidRPr="00AD7158">
        <w:rPr>
          <w:lang w:val="es-ES"/>
        </w:rPr>
        <w:t>(tales como la presentación de alegatos y la aportación de prueba). Por otra parte, ese derecho abarca un ámbito de protección material que implica que el Estado garantice que la decisión que se produzca a través del procedimiento satisfaga el fin para el cual fue concebido. Esto último no significa que siempre deba ser acogido sino que se debe garantizar su capacidad para producir el resultado para el que fue concebido</w:t>
      </w:r>
      <w:r w:rsidR="00993D77" w:rsidRPr="00AD7158">
        <w:rPr>
          <w:lang w:val="es-ES"/>
        </w:rPr>
        <w:t>”</w:t>
      </w:r>
      <w:r w:rsidR="00993D77" w:rsidRPr="00AD7158">
        <w:rPr>
          <w:rStyle w:val="FootnoteReference"/>
          <w:sz w:val="20"/>
          <w:lang w:val="es-ES"/>
        </w:rPr>
        <w:footnoteReference w:id="82"/>
      </w:r>
      <w:r w:rsidR="00860F24" w:rsidRPr="00AD7158">
        <w:rPr>
          <w:lang w:val="es-ES"/>
        </w:rPr>
        <w:t>.</w:t>
      </w:r>
    </w:p>
    <w:p w14:paraId="53064C7F" w14:textId="77777777" w:rsidR="008E169F" w:rsidRPr="00AD7158" w:rsidRDefault="008E169F" w:rsidP="00EB5DDF">
      <w:pPr>
        <w:rPr>
          <w:lang w:val="es-ES"/>
        </w:rPr>
      </w:pPr>
    </w:p>
    <w:p w14:paraId="33B18D31" w14:textId="77777777" w:rsidR="00EB5DDF" w:rsidRPr="00AD7158" w:rsidRDefault="006F3940" w:rsidP="00BE0BB1">
      <w:pPr>
        <w:pStyle w:val="parrafos"/>
        <w:ind w:left="0" w:firstLine="0"/>
      </w:pPr>
      <w:r w:rsidRPr="00AD7158">
        <w:rPr>
          <w:lang w:val="es-ES"/>
        </w:rPr>
        <w:t>C</w:t>
      </w:r>
      <w:r w:rsidR="007B7678" w:rsidRPr="00AD7158">
        <w:t>onforme</w:t>
      </w:r>
      <w:r w:rsidR="0096725D" w:rsidRPr="00AD7158">
        <w:t xml:space="preserve"> a </w:t>
      </w:r>
      <w:r w:rsidRPr="00AD7158">
        <w:t>la presunción de inocencia</w:t>
      </w:r>
      <w:r w:rsidR="0096725D" w:rsidRPr="00AD7158">
        <w:t xml:space="preserve">, </w:t>
      </w:r>
      <w:r w:rsidR="00DD6EFC" w:rsidRPr="00AD7158">
        <w:t>e</w:t>
      </w:r>
      <w:r w:rsidR="00B555F3" w:rsidRPr="00AD7158">
        <w:rPr>
          <w:lang w:val="es-ES_tradnl"/>
        </w:rPr>
        <w:t xml:space="preserve">l juez que </w:t>
      </w:r>
      <w:r w:rsidR="00DD6EFC" w:rsidRPr="00AD7158">
        <w:rPr>
          <w:lang w:val="es-ES_tradnl"/>
        </w:rPr>
        <w:t>conoce de la acusación</w:t>
      </w:r>
      <w:r w:rsidR="00D62801" w:rsidRPr="00AD7158">
        <w:rPr>
          <w:lang w:val="es-ES_tradnl"/>
        </w:rPr>
        <w:t>,</w:t>
      </w:r>
      <w:r w:rsidR="00DD6EFC" w:rsidRPr="00AD7158">
        <w:rPr>
          <w:lang w:val="es-ES_tradnl"/>
        </w:rPr>
        <w:t xml:space="preserve"> tiene la obligación de abordar la causa sin prejuicios, y bajo ninguna circunstancia debe suponer </w:t>
      </w:r>
      <w:r w:rsidR="00DD6EFC" w:rsidRPr="00AD7158">
        <w:rPr>
          <w:i/>
          <w:lang w:val="es-ES_tradnl"/>
        </w:rPr>
        <w:t>a priori</w:t>
      </w:r>
      <w:r w:rsidR="00DD6EFC" w:rsidRPr="00AD7158">
        <w:rPr>
          <w:lang w:val="es-ES_tradnl"/>
        </w:rPr>
        <w:t xml:space="preserve"> que el acusado es culpable</w:t>
      </w:r>
      <w:r w:rsidR="00DD6EFC" w:rsidRPr="00AD7158">
        <w:rPr>
          <w:vertAlign w:val="superscript"/>
          <w:lang w:val="es-ES_tradnl"/>
        </w:rPr>
        <w:footnoteReference w:id="83"/>
      </w:r>
      <w:r w:rsidR="00DD6EFC" w:rsidRPr="00AD7158">
        <w:rPr>
          <w:lang w:val="es-ES_tradnl"/>
        </w:rPr>
        <w:t xml:space="preserve">. </w:t>
      </w:r>
      <w:r w:rsidR="004A37AE" w:rsidRPr="00AD7158">
        <w:rPr>
          <w:lang w:val="es-ES_tradnl"/>
        </w:rPr>
        <w:t>La</w:t>
      </w:r>
      <w:r w:rsidR="00CE5134" w:rsidRPr="00AD7158">
        <w:rPr>
          <w:lang w:val="es-ES_tradnl"/>
        </w:rPr>
        <w:t xml:space="preserve"> Corte ha determinado que “e</w:t>
      </w:r>
      <w:r w:rsidR="00CE5134" w:rsidRPr="00AD7158">
        <w:rPr>
          <w:lang w:val="es-ES"/>
        </w:rPr>
        <w:t>l derecho a la presunción de inocencia exige que el Estado no condene informalmente a una persona o emita juicio ante la sociedad, contribuyendo así a formar una opinión pública, mientras no se acredite su responsabilidad penal conforme a la ley. Por ello, ese derecho puede ser violado tanto por los jueces a cargo del proceso, como por otras autoridades públicas”</w:t>
      </w:r>
      <w:r w:rsidR="00904C6E" w:rsidRPr="00AD7158">
        <w:rPr>
          <w:rStyle w:val="FootnoteReference"/>
          <w:sz w:val="20"/>
          <w:lang w:val="es-ES"/>
        </w:rPr>
        <w:t xml:space="preserve"> </w:t>
      </w:r>
      <w:r w:rsidR="00904C6E" w:rsidRPr="00AD7158">
        <w:rPr>
          <w:rStyle w:val="FootnoteReference"/>
          <w:sz w:val="20"/>
          <w:lang w:val="es-ES"/>
        </w:rPr>
        <w:footnoteReference w:id="84"/>
      </w:r>
      <w:r w:rsidR="00CE5134" w:rsidRPr="00AD7158">
        <w:rPr>
          <w:lang w:val="es-ES"/>
        </w:rPr>
        <w:t xml:space="preserve">. </w:t>
      </w:r>
      <w:r w:rsidR="00B555F3" w:rsidRPr="00AD7158">
        <w:rPr>
          <w:lang w:val="es-ES"/>
        </w:rPr>
        <w:t xml:space="preserve">Así, </w:t>
      </w:r>
      <w:r w:rsidR="00324329" w:rsidRPr="00AD7158">
        <w:rPr>
          <w:lang w:val="es-ES"/>
        </w:rPr>
        <w:t>c</w:t>
      </w:r>
      <w:r w:rsidR="00CE5134" w:rsidRPr="00AD7158">
        <w:rPr>
          <w:lang w:val="es-ES"/>
        </w:rPr>
        <w:t>onsideró que la prese</w:t>
      </w:r>
      <w:r w:rsidR="00B555F3" w:rsidRPr="00AD7158">
        <w:rPr>
          <w:lang w:val="es-ES"/>
        </w:rPr>
        <w:t>ntación de un acusado esposado y</w:t>
      </w:r>
      <w:r w:rsidR="00CE5134" w:rsidRPr="00AD7158">
        <w:rPr>
          <w:lang w:val="es-ES"/>
        </w:rPr>
        <w:t xml:space="preserve"> con un </w:t>
      </w:r>
      <w:r w:rsidR="00CE5134" w:rsidRPr="00AD7158">
        <w:rPr>
          <w:bCs/>
          <w:iCs/>
          <w:lang w:val="es-ES"/>
        </w:rPr>
        <w:t>traje a rayas</w:t>
      </w:r>
      <w:r w:rsidR="00CE5134" w:rsidRPr="00AD7158">
        <w:rPr>
          <w:lang w:val="es-ES"/>
        </w:rPr>
        <w:t xml:space="preserve">, sindicándole como integrante de una organización terrorista, previo a ser procesado y condenado, </w:t>
      </w:r>
      <w:r w:rsidR="008A0082" w:rsidRPr="00AD7158">
        <w:rPr>
          <w:lang w:val="es-ES"/>
        </w:rPr>
        <w:t xml:space="preserve">vulneró </w:t>
      </w:r>
      <w:r w:rsidR="00CE5134" w:rsidRPr="00AD7158">
        <w:rPr>
          <w:lang w:val="es-ES"/>
        </w:rPr>
        <w:t>el principio de presunción de inocencia</w:t>
      </w:r>
      <w:r w:rsidR="00CE5134" w:rsidRPr="00AD7158">
        <w:rPr>
          <w:rStyle w:val="FootnoteReference"/>
          <w:sz w:val="20"/>
          <w:lang w:val="es-ES"/>
        </w:rPr>
        <w:footnoteReference w:id="85"/>
      </w:r>
      <w:r w:rsidR="00CE5134" w:rsidRPr="00AD7158">
        <w:rPr>
          <w:lang w:val="es-ES"/>
        </w:rPr>
        <w:t>.</w:t>
      </w:r>
      <w:r w:rsidR="00904C6E" w:rsidRPr="00AD7158">
        <w:rPr>
          <w:lang w:val="es-ES"/>
        </w:rPr>
        <w:t xml:space="preserve"> </w:t>
      </w:r>
      <w:r w:rsidR="004A37AE" w:rsidRPr="00AD7158">
        <w:rPr>
          <w:lang w:val="es-ES"/>
        </w:rPr>
        <w:t>E</w:t>
      </w:r>
      <w:r w:rsidR="00904C6E" w:rsidRPr="00AD7158">
        <w:rPr>
          <w:lang w:val="es-ES"/>
        </w:rPr>
        <w:t xml:space="preserve">l </w:t>
      </w:r>
      <w:r w:rsidR="008E169F" w:rsidRPr="00AD7158">
        <w:t>Comité de Derechos Humanos de Na</w:t>
      </w:r>
      <w:r w:rsidR="002C5E32" w:rsidRPr="00AD7158">
        <w:t>ciones Unidas</w:t>
      </w:r>
      <w:r w:rsidR="007B32C7" w:rsidRPr="00AD7158">
        <w:rPr>
          <w:rStyle w:val="FootnoteReference"/>
          <w:sz w:val="20"/>
        </w:rPr>
        <w:footnoteReference w:id="86"/>
      </w:r>
      <w:r w:rsidR="002C5E32" w:rsidRPr="00AD7158">
        <w:t xml:space="preserve"> </w:t>
      </w:r>
      <w:r w:rsidR="00095CFB" w:rsidRPr="00AD7158">
        <w:t>y la Corte Europea de Derechos Humanos</w:t>
      </w:r>
      <w:r w:rsidR="007B32C7" w:rsidRPr="00AD7158">
        <w:rPr>
          <w:rStyle w:val="FootnoteReference"/>
          <w:sz w:val="20"/>
        </w:rPr>
        <w:footnoteReference w:id="87"/>
      </w:r>
      <w:r w:rsidR="00095CFB" w:rsidRPr="00AD7158">
        <w:t xml:space="preserve"> también se han pronunciado sobre el impacto que tienen ciertos elementos de contención física en el derecho a la presunción de inocencia e integ</w:t>
      </w:r>
      <w:r w:rsidR="007B32C7" w:rsidRPr="00AD7158">
        <w:t>ridad personal</w:t>
      </w:r>
      <w:r w:rsidR="009905A3" w:rsidRPr="00AD7158">
        <w:t>.</w:t>
      </w:r>
      <w:r w:rsidR="00AF4E2C" w:rsidRPr="00AD7158">
        <w:t xml:space="preserve"> </w:t>
      </w:r>
    </w:p>
    <w:p w14:paraId="3D824E3E" w14:textId="77777777" w:rsidR="00EB5DDF" w:rsidRPr="00AD7158" w:rsidRDefault="00EB5DDF" w:rsidP="00EB5DDF">
      <w:pPr>
        <w:pStyle w:val="parrafos"/>
        <w:numPr>
          <w:ilvl w:val="0"/>
          <w:numId w:val="0"/>
        </w:numPr>
      </w:pPr>
    </w:p>
    <w:p w14:paraId="4B007844" w14:textId="77777777" w:rsidR="008E169F" w:rsidRPr="00AD7158" w:rsidRDefault="006B6DDA" w:rsidP="00054D5E">
      <w:pPr>
        <w:pStyle w:val="parrafos"/>
        <w:ind w:left="0" w:firstLine="0"/>
      </w:pPr>
      <w:r w:rsidRPr="00AD7158">
        <w:t xml:space="preserve">Finalmente, </w:t>
      </w:r>
      <w:r w:rsidR="0084078E" w:rsidRPr="00AD7158">
        <w:rPr>
          <w:lang w:val="es-ES"/>
        </w:rPr>
        <w:t xml:space="preserve">es preciso que los recursos </w:t>
      </w:r>
      <w:r w:rsidRPr="00AD7158">
        <w:rPr>
          <w:lang w:val="es-ES"/>
        </w:rPr>
        <w:t xml:space="preserve">judiciales sean efectivos, en el sentido que </w:t>
      </w:r>
      <w:r w:rsidR="0084078E" w:rsidRPr="00AD7158">
        <w:rPr>
          <w:lang w:val="es-ES"/>
        </w:rPr>
        <w:t xml:space="preserve">den </w:t>
      </w:r>
      <w:r w:rsidRPr="00AD7158">
        <w:t>sean capaces de conducir a un análisis por parte de un tribunal competente a efectos de establecer si ha habido o no una violación a los derechos humanos y, en su caso, proporcionar una reparación”</w:t>
      </w:r>
      <w:r w:rsidRPr="00AD7158">
        <w:rPr>
          <w:rStyle w:val="FootnoteReference"/>
        </w:rPr>
        <w:footnoteReference w:id="88"/>
      </w:r>
      <w:r w:rsidR="00B90232" w:rsidRPr="00AD7158">
        <w:t>.</w:t>
      </w:r>
      <w:r w:rsidRPr="00AD7158">
        <w:t xml:space="preserve"> En asuntos de suma gravedad en los cuales resulta evidente la vulneración de derechos fundamentales, la invocación por parte de una corte de argumentos meramente procesales para negarse a considerar dichas vulneraciones, constituye denegación </w:t>
      </w:r>
      <w:r w:rsidRPr="00AD7158">
        <w:lastRenderedPageBreak/>
        <w:t>de justicia y de debido proceso</w:t>
      </w:r>
      <w:r w:rsidRPr="00AD7158">
        <w:rPr>
          <w:rStyle w:val="FootnoteReference"/>
          <w:sz w:val="20"/>
          <w:lang w:val="es-CO"/>
        </w:rPr>
        <w:footnoteReference w:id="89"/>
      </w:r>
      <w:r w:rsidRPr="00AD7158">
        <w:t>.</w:t>
      </w:r>
      <w:r w:rsidR="00054D5E" w:rsidRPr="00AD7158">
        <w:t xml:space="preserve"> En particular, l</w:t>
      </w:r>
      <w:r w:rsidR="0084078E" w:rsidRPr="00AD7158">
        <w:t xml:space="preserve">a falta de respuesta de las autoridades </w:t>
      </w:r>
      <w:r w:rsidR="009C0911" w:rsidRPr="00AD7158">
        <w:t xml:space="preserve">judiciales </w:t>
      </w:r>
      <w:r w:rsidR="0084078E" w:rsidRPr="00AD7158">
        <w:t xml:space="preserve">sobre el mérito de los alegatos </w:t>
      </w:r>
      <w:r w:rsidR="009C0911" w:rsidRPr="00AD7158">
        <w:t xml:space="preserve">al no realizar </w:t>
      </w:r>
      <w:r w:rsidR="0084078E" w:rsidRPr="00AD7158">
        <w:t xml:space="preserve">un análisis </w:t>
      </w:r>
      <w:r w:rsidR="009C0911" w:rsidRPr="00AD7158">
        <w:t>a fin de establecer si ha</w:t>
      </w:r>
      <w:r w:rsidR="0084078E" w:rsidRPr="00AD7158">
        <w:t xml:space="preserve"> sucedido una violación a la presunción de inocencia y el derecho a la defensa, </w:t>
      </w:r>
      <w:r w:rsidR="00763F68" w:rsidRPr="00AD7158">
        <w:t>y</w:t>
      </w:r>
      <w:r w:rsidR="009C0911" w:rsidRPr="00AD7158">
        <w:t xml:space="preserve"> </w:t>
      </w:r>
      <w:r w:rsidR="0084078E" w:rsidRPr="00AD7158">
        <w:t>repara</w:t>
      </w:r>
      <w:r w:rsidR="00763F68" w:rsidRPr="00AD7158">
        <w:t>r</w:t>
      </w:r>
      <w:r w:rsidR="0084078E" w:rsidRPr="00AD7158">
        <w:t xml:space="preserve"> adecuada</w:t>
      </w:r>
      <w:r w:rsidR="00763F68" w:rsidRPr="00AD7158">
        <w:t>mente</w:t>
      </w:r>
      <w:r w:rsidR="009C0911" w:rsidRPr="00AD7158">
        <w:t>, vulneran el artículo 25.1 de la CADH</w:t>
      </w:r>
      <w:r w:rsidR="004F5FC2" w:rsidRPr="00AD7158">
        <w:rPr>
          <w:rStyle w:val="FootnoteReference"/>
        </w:rPr>
        <w:footnoteReference w:id="90"/>
      </w:r>
      <w:r w:rsidR="009C0911" w:rsidRPr="00AD7158">
        <w:t xml:space="preserve">. </w:t>
      </w:r>
    </w:p>
    <w:p w14:paraId="6C129713" w14:textId="77777777" w:rsidR="00756E9A" w:rsidRPr="00AD7158" w:rsidRDefault="00756E9A" w:rsidP="00B419FB">
      <w:pPr>
        <w:pStyle w:val="parrafos"/>
        <w:numPr>
          <w:ilvl w:val="0"/>
          <w:numId w:val="0"/>
        </w:numPr>
        <w:rPr>
          <w:b/>
        </w:rPr>
      </w:pPr>
    </w:p>
    <w:p w14:paraId="203AB3F5" w14:textId="77777777" w:rsidR="00A34259" w:rsidRPr="00AD7158" w:rsidRDefault="00756E9A" w:rsidP="002D46B7">
      <w:pPr>
        <w:pStyle w:val="ListParagraph"/>
        <w:numPr>
          <w:ilvl w:val="0"/>
          <w:numId w:val="61"/>
        </w:numPr>
        <w:rPr>
          <w:b/>
          <w:sz w:val="20"/>
          <w:szCs w:val="20"/>
        </w:rPr>
      </w:pPr>
      <w:r w:rsidRPr="00AD7158">
        <w:rPr>
          <w:b/>
          <w:sz w:val="20"/>
          <w:szCs w:val="20"/>
        </w:rPr>
        <w:t>Análisis del presente caso</w:t>
      </w:r>
    </w:p>
    <w:p w14:paraId="071681D1" w14:textId="77777777" w:rsidR="003D59C3" w:rsidRPr="00AD7158" w:rsidRDefault="003D59C3" w:rsidP="003D59C3">
      <w:pPr>
        <w:rPr>
          <w:b/>
          <w:sz w:val="20"/>
          <w:szCs w:val="20"/>
        </w:rPr>
      </w:pPr>
    </w:p>
    <w:p w14:paraId="057EF12B" w14:textId="77777777" w:rsidR="00D22B64" w:rsidRPr="00AD7158" w:rsidRDefault="00D22B64" w:rsidP="003D59C3">
      <w:pPr>
        <w:pStyle w:val="parrafos"/>
        <w:ind w:left="0" w:firstLine="0"/>
        <w:rPr>
          <w:lang w:val="es-ES"/>
        </w:rPr>
      </w:pPr>
      <w:r w:rsidRPr="00AD7158">
        <w:rPr>
          <w:lang w:val="es-ES"/>
        </w:rPr>
        <w:t xml:space="preserve">La Comisión observa que en relación con el derecho de defensa se constatan en el expediente diversos aspectos que incidieron en que la presunta víctima no tuviera el tiempo y medios para la preparación de una defensa adecuada, </w:t>
      </w:r>
      <w:r w:rsidR="000277DF" w:rsidRPr="00AD7158">
        <w:rPr>
          <w:lang w:val="es-ES"/>
        </w:rPr>
        <w:t xml:space="preserve">y en que no fuera </w:t>
      </w:r>
      <w:r w:rsidRPr="00AD7158">
        <w:rPr>
          <w:lang w:val="es-ES"/>
        </w:rPr>
        <w:t>efectiva. Así</w:t>
      </w:r>
      <w:r w:rsidR="000277DF" w:rsidRPr="00AD7158">
        <w:rPr>
          <w:lang w:val="es-ES"/>
        </w:rPr>
        <w:t>, la Comisión nota que</w:t>
      </w:r>
      <w:r w:rsidRPr="00AD7158">
        <w:rPr>
          <w:lang w:val="es-ES"/>
        </w:rPr>
        <w:t>:</w:t>
      </w:r>
    </w:p>
    <w:p w14:paraId="71F6A19C" w14:textId="77777777" w:rsidR="000277DF" w:rsidRPr="00AD7158" w:rsidRDefault="000277DF" w:rsidP="000277DF">
      <w:pPr>
        <w:pStyle w:val="parrafos"/>
        <w:numPr>
          <w:ilvl w:val="0"/>
          <w:numId w:val="0"/>
        </w:numPr>
        <w:rPr>
          <w:lang w:val="es-ES"/>
        </w:rPr>
      </w:pPr>
    </w:p>
    <w:p w14:paraId="1DA2D735" w14:textId="77777777" w:rsidR="000277DF" w:rsidRPr="00AD7158" w:rsidRDefault="00C23CFF" w:rsidP="000277DF">
      <w:pPr>
        <w:pStyle w:val="parrafos"/>
        <w:ind w:left="0" w:firstLine="0"/>
        <w:rPr>
          <w:lang w:val="es-ES"/>
        </w:rPr>
      </w:pPr>
      <w:r w:rsidRPr="00AD7158">
        <w:rPr>
          <w:lang w:val="es-ES"/>
        </w:rPr>
        <w:t xml:space="preserve">En </w:t>
      </w:r>
      <w:r w:rsidR="000277DF" w:rsidRPr="00AD7158">
        <w:rPr>
          <w:lang w:val="es-ES"/>
        </w:rPr>
        <w:t xml:space="preserve">primer lugar, tras la revocación del patrocinio a sus representantes de confianza, el 8 de octubre de 1999, el tribunal no concedió a la presunta víctima plazo para designar nuevo representante, sino que designó de oficio a la </w:t>
      </w:r>
      <w:r w:rsidR="000277DF" w:rsidRPr="00AD7158">
        <w:rPr>
          <w:lang w:val="es-AR"/>
        </w:rPr>
        <w:t xml:space="preserve">Defensora Pública Oficial el mismo día en que comenzaba la audiencia de inicio de juicio, esto es, el 12 de octubre de 1999. La presunta víctima pudo reunirse con la defensora únicamente una hora </w:t>
      </w:r>
      <w:r w:rsidR="008853EE" w:rsidRPr="00AD7158">
        <w:rPr>
          <w:lang w:val="es-AR"/>
        </w:rPr>
        <w:t>antes de</w:t>
      </w:r>
      <w:r w:rsidR="000277DF" w:rsidRPr="00AD7158">
        <w:rPr>
          <w:lang w:val="es-AR"/>
        </w:rPr>
        <w:t xml:space="preserve"> la audiencia, y durante la misma decidió no prestar declaración. Ante la solicitud de la defensa de otorgar una prórroga o suspender el debate, el tribunal la desestimó. </w:t>
      </w:r>
    </w:p>
    <w:p w14:paraId="0B26D7B6" w14:textId="77777777" w:rsidR="000277DF" w:rsidRPr="00AD7158" w:rsidRDefault="000277DF" w:rsidP="000277DF">
      <w:pPr>
        <w:pStyle w:val="ListParagraph"/>
        <w:rPr>
          <w:lang w:val="es-ES"/>
        </w:rPr>
      </w:pPr>
    </w:p>
    <w:p w14:paraId="6C2E1138" w14:textId="77777777" w:rsidR="000277DF" w:rsidRPr="00AD7158" w:rsidRDefault="000277DF" w:rsidP="000277DF">
      <w:pPr>
        <w:pStyle w:val="parrafos"/>
        <w:ind w:left="0" w:firstLine="0"/>
        <w:rPr>
          <w:lang w:val="es-ES"/>
        </w:rPr>
      </w:pPr>
      <w:r w:rsidRPr="00AD7158">
        <w:rPr>
          <w:lang w:val="es-ES"/>
        </w:rPr>
        <w:t xml:space="preserve"> </w:t>
      </w:r>
      <w:r w:rsidR="00EC574B" w:rsidRPr="00AD7158">
        <w:rPr>
          <w:lang w:val="es-AR"/>
        </w:rPr>
        <w:t xml:space="preserve">La </w:t>
      </w:r>
      <w:r w:rsidR="00330F17" w:rsidRPr="00AD7158">
        <w:rPr>
          <w:lang w:val="es-AR"/>
        </w:rPr>
        <w:t>CIDH</w:t>
      </w:r>
      <w:r w:rsidR="00EC574B" w:rsidRPr="00AD7158">
        <w:rPr>
          <w:lang w:val="es-AR"/>
        </w:rPr>
        <w:t xml:space="preserve"> considera que </w:t>
      </w:r>
      <w:r w:rsidR="009E4BA0" w:rsidRPr="00AD7158">
        <w:rPr>
          <w:lang w:val="es-AR"/>
        </w:rPr>
        <w:t>l</w:t>
      </w:r>
      <w:r w:rsidR="009C2A7C" w:rsidRPr="00AD7158">
        <w:rPr>
          <w:lang w:val="es-AR"/>
        </w:rPr>
        <w:t>a decisión del tribunal de no conceder tiempo para la desig</w:t>
      </w:r>
      <w:r w:rsidR="00EC574B" w:rsidRPr="00AD7158">
        <w:rPr>
          <w:lang w:val="es-AR"/>
        </w:rPr>
        <w:t>nación de nuevo defensor, limitó</w:t>
      </w:r>
      <w:r w:rsidR="009C2A7C" w:rsidRPr="00AD7158">
        <w:rPr>
          <w:lang w:val="es-AR"/>
        </w:rPr>
        <w:t xml:space="preserve"> </w:t>
      </w:r>
      <w:r w:rsidR="00054D5E" w:rsidRPr="00AD7158">
        <w:rPr>
          <w:lang w:val="es-AR"/>
        </w:rPr>
        <w:t xml:space="preserve">desproporcionadamente </w:t>
      </w:r>
      <w:r w:rsidR="009C2A7C" w:rsidRPr="00AD7158">
        <w:rPr>
          <w:lang w:val="es-AR"/>
        </w:rPr>
        <w:t>el derecho de la presunta víctima a</w:t>
      </w:r>
      <w:r w:rsidR="00330F17" w:rsidRPr="00AD7158">
        <w:rPr>
          <w:lang w:val="es-AR"/>
        </w:rPr>
        <w:t xml:space="preserve"> elegir </w:t>
      </w:r>
      <w:r w:rsidR="001C227D" w:rsidRPr="00AD7158">
        <w:rPr>
          <w:lang w:val="es-AR"/>
        </w:rPr>
        <w:t>defens</w:t>
      </w:r>
      <w:r w:rsidR="009C2A7C" w:rsidRPr="00AD7158">
        <w:rPr>
          <w:lang w:val="es-AR"/>
        </w:rPr>
        <w:t>or de confianza</w:t>
      </w:r>
      <w:r w:rsidRPr="00AD7158">
        <w:rPr>
          <w:lang w:val="es-AR"/>
        </w:rPr>
        <w:t xml:space="preserve"> y también afectó la posibilidad de contar con los medios y preparar una defensa adecuada</w:t>
      </w:r>
      <w:r w:rsidR="001C227D" w:rsidRPr="00AD7158">
        <w:rPr>
          <w:lang w:val="es-AR"/>
        </w:rPr>
        <w:t xml:space="preserve">. </w:t>
      </w:r>
      <w:r w:rsidR="00330F17" w:rsidRPr="00AD7158">
        <w:rPr>
          <w:lang w:val="es-AR"/>
        </w:rPr>
        <w:t xml:space="preserve">Si bien la CIDH nota </w:t>
      </w:r>
      <w:r w:rsidR="00104A06" w:rsidRPr="00AD7158">
        <w:rPr>
          <w:lang w:val="es-AR"/>
        </w:rPr>
        <w:t>la</w:t>
      </w:r>
      <w:r w:rsidR="00330F17" w:rsidRPr="00AD7158">
        <w:rPr>
          <w:lang w:val="es-AR"/>
        </w:rPr>
        <w:t xml:space="preserve"> discrepancia entre lo afirmado por la defensora y lo sostenido por el TOM sobre su participación en la causa </w:t>
      </w:r>
      <w:r w:rsidR="00104A06" w:rsidRPr="00AD7158">
        <w:rPr>
          <w:lang w:val="es-AR"/>
        </w:rPr>
        <w:t>previamente</w:t>
      </w:r>
      <w:r w:rsidR="00330F17" w:rsidRPr="00AD7158">
        <w:rPr>
          <w:lang w:val="es-AR"/>
        </w:rPr>
        <w:t xml:space="preserve"> en representación del señor Álvarez, en cualquier caso</w:t>
      </w:r>
      <w:r w:rsidR="00054D5E" w:rsidRPr="00AD7158">
        <w:rPr>
          <w:lang w:val="es-AR"/>
        </w:rPr>
        <w:t>,</w:t>
      </w:r>
      <w:r w:rsidR="00330F17" w:rsidRPr="00AD7158">
        <w:rPr>
          <w:lang w:val="es-AR"/>
        </w:rPr>
        <w:t xml:space="preserve"> </w:t>
      </w:r>
      <w:r w:rsidR="001C227D" w:rsidRPr="00AD7158">
        <w:rPr>
          <w:lang w:val="es-AR"/>
        </w:rPr>
        <w:t>el tribunal consider</w:t>
      </w:r>
      <w:r w:rsidR="0057403D" w:rsidRPr="00AD7158">
        <w:rPr>
          <w:lang w:val="es-AR"/>
        </w:rPr>
        <w:t>ó,</w:t>
      </w:r>
      <w:r w:rsidR="001C227D" w:rsidRPr="00AD7158">
        <w:rPr>
          <w:lang w:val="es-AR"/>
        </w:rPr>
        <w:t xml:space="preserve"> contrario a lo expresamente sostenido por la propia defens</w:t>
      </w:r>
      <w:r w:rsidR="0049305A" w:rsidRPr="00AD7158">
        <w:rPr>
          <w:lang w:val="es-AR"/>
        </w:rPr>
        <w:t>ora</w:t>
      </w:r>
      <w:r w:rsidR="001C227D" w:rsidRPr="00AD7158">
        <w:rPr>
          <w:lang w:val="es-AR"/>
        </w:rPr>
        <w:t>,</w:t>
      </w:r>
      <w:r w:rsidR="0057403D" w:rsidRPr="00AD7158">
        <w:rPr>
          <w:lang w:val="es-AR"/>
        </w:rPr>
        <w:t xml:space="preserve"> </w:t>
      </w:r>
      <w:r w:rsidR="00C41E22" w:rsidRPr="00AD7158">
        <w:rPr>
          <w:lang w:val="es-AR"/>
        </w:rPr>
        <w:t xml:space="preserve">que </w:t>
      </w:r>
      <w:r w:rsidR="0057403D" w:rsidRPr="00AD7158">
        <w:rPr>
          <w:lang w:val="es-AR"/>
        </w:rPr>
        <w:t xml:space="preserve">ella </w:t>
      </w:r>
      <w:r w:rsidR="006064D7" w:rsidRPr="00AD7158">
        <w:rPr>
          <w:lang w:val="es-AR"/>
        </w:rPr>
        <w:t>podía asumir la representación</w:t>
      </w:r>
      <w:r w:rsidRPr="00AD7158">
        <w:rPr>
          <w:lang w:val="es-AR"/>
        </w:rPr>
        <w:t>. E</w:t>
      </w:r>
      <w:r w:rsidR="0057403D" w:rsidRPr="00AD7158">
        <w:rPr>
          <w:lang w:val="es-AR"/>
        </w:rPr>
        <w:t>l</w:t>
      </w:r>
      <w:r w:rsidR="00C41E22" w:rsidRPr="00AD7158">
        <w:rPr>
          <w:lang w:val="es-AR"/>
        </w:rPr>
        <w:t xml:space="preserve"> tribunal no r</w:t>
      </w:r>
      <w:r w:rsidR="0057403D" w:rsidRPr="00AD7158">
        <w:rPr>
          <w:lang w:val="es-AR"/>
        </w:rPr>
        <w:t>ealiz</w:t>
      </w:r>
      <w:r w:rsidR="00C41E22" w:rsidRPr="00AD7158">
        <w:rPr>
          <w:lang w:val="es-AR"/>
        </w:rPr>
        <w:t>ó</w:t>
      </w:r>
      <w:r w:rsidR="0057403D" w:rsidRPr="00AD7158">
        <w:rPr>
          <w:lang w:val="es-AR"/>
        </w:rPr>
        <w:t xml:space="preserve"> un análisis de</w:t>
      </w:r>
      <w:r w:rsidR="00933C66" w:rsidRPr="00AD7158">
        <w:rPr>
          <w:lang w:val="es-AR"/>
        </w:rPr>
        <w:t xml:space="preserve"> las circunstancias particulares,</w:t>
      </w:r>
      <w:r w:rsidR="0057403D" w:rsidRPr="00AD7158">
        <w:rPr>
          <w:lang w:val="es-AR"/>
        </w:rPr>
        <w:t xml:space="preserve"> que le imponían resguardar los derechos</w:t>
      </w:r>
      <w:r w:rsidR="005B05DB" w:rsidRPr="00AD7158">
        <w:rPr>
          <w:lang w:val="es-AR"/>
        </w:rPr>
        <w:t xml:space="preserve"> de la presunta víctima</w:t>
      </w:r>
      <w:r w:rsidR="00933C66" w:rsidRPr="00AD7158">
        <w:rPr>
          <w:lang w:val="es-AR"/>
        </w:rPr>
        <w:t xml:space="preserve"> a contar con </w:t>
      </w:r>
      <w:r w:rsidR="0057403D" w:rsidRPr="00AD7158">
        <w:rPr>
          <w:lang w:val="es-AR"/>
        </w:rPr>
        <w:t xml:space="preserve">defensor de elección, </w:t>
      </w:r>
      <w:r w:rsidR="00D7413C" w:rsidRPr="00AD7158">
        <w:rPr>
          <w:lang w:val="es-AR"/>
        </w:rPr>
        <w:t xml:space="preserve">y </w:t>
      </w:r>
      <w:r w:rsidR="0057403D" w:rsidRPr="00AD7158">
        <w:rPr>
          <w:lang w:val="es-AR"/>
        </w:rPr>
        <w:t>concederle el tiempo y medios</w:t>
      </w:r>
      <w:r w:rsidR="00513629" w:rsidRPr="00AD7158">
        <w:rPr>
          <w:lang w:val="es-AR"/>
        </w:rPr>
        <w:t xml:space="preserve"> </w:t>
      </w:r>
      <w:r w:rsidR="005B05DB" w:rsidRPr="00AD7158">
        <w:rPr>
          <w:lang w:val="es-AR"/>
        </w:rPr>
        <w:t>adecuados para la preparación de su defensa</w:t>
      </w:r>
      <w:r w:rsidR="00933C66" w:rsidRPr="00AD7158">
        <w:rPr>
          <w:lang w:val="es-AR"/>
        </w:rPr>
        <w:t>,</w:t>
      </w:r>
      <w:r w:rsidR="005B05DB" w:rsidRPr="00AD7158">
        <w:rPr>
          <w:lang w:val="es-AR"/>
        </w:rPr>
        <w:t xml:space="preserve"> </w:t>
      </w:r>
      <w:r w:rsidR="0057403D" w:rsidRPr="00AD7158">
        <w:rPr>
          <w:lang w:val="es-AR"/>
        </w:rPr>
        <w:t xml:space="preserve">teniendo en </w:t>
      </w:r>
      <w:r w:rsidR="000C79FA" w:rsidRPr="00AD7158">
        <w:rPr>
          <w:lang w:val="es-AR"/>
        </w:rPr>
        <w:t xml:space="preserve">especial </w:t>
      </w:r>
      <w:r w:rsidR="0057403D" w:rsidRPr="00AD7158">
        <w:rPr>
          <w:lang w:val="es-AR"/>
        </w:rPr>
        <w:t xml:space="preserve">consideración </w:t>
      </w:r>
      <w:r w:rsidR="000C79FA" w:rsidRPr="00AD7158">
        <w:rPr>
          <w:lang w:val="es-AR"/>
        </w:rPr>
        <w:t xml:space="preserve">la etapa en que se encontraba el proceso, y </w:t>
      </w:r>
      <w:r w:rsidR="0057403D" w:rsidRPr="00AD7158">
        <w:rPr>
          <w:lang w:val="es-AR"/>
        </w:rPr>
        <w:t xml:space="preserve">la pena arriesgada. </w:t>
      </w:r>
      <w:r w:rsidR="00933C66" w:rsidRPr="00AD7158">
        <w:rPr>
          <w:lang w:val="es-AR"/>
        </w:rPr>
        <w:t>Las</w:t>
      </w:r>
      <w:r w:rsidR="00DB17FD" w:rsidRPr="00AD7158">
        <w:rPr>
          <w:lang w:val="es-AR"/>
        </w:rPr>
        <w:t xml:space="preserve"> </w:t>
      </w:r>
      <w:r w:rsidR="006B3FC6" w:rsidRPr="00AD7158">
        <w:rPr>
          <w:lang w:val="es-AR"/>
        </w:rPr>
        <w:t>limitaciones</w:t>
      </w:r>
      <w:r w:rsidR="00DB17FD" w:rsidRPr="00AD7158">
        <w:rPr>
          <w:lang w:val="es-AR"/>
        </w:rPr>
        <w:t xml:space="preserve"> </w:t>
      </w:r>
      <w:r w:rsidR="0005010A" w:rsidRPr="00AD7158">
        <w:rPr>
          <w:lang w:val="es-AR"/>
        </w:rPr>
        <w:t xml:space="preserve">al derecho a defensa </w:t>
      </w:r>
      <w:r w:rsidR="00DB17FD" w:rsidRPr="00AD7158">
        <w:rPr>
          <w:lang w:val="es-AR"/>
        </w:rPr>
        <w:t xml:space="preserve">que </w:t>
      </w:r>
      <w:r w:rsidR="006B3FC6" w:rsidRPr="00AD7158">
        <w:rPr>
          <w:lang w:val="es-AR"/>
        </w:rPr>
        <w:t xml:space="preserve">el tribunal </w:t>
      </w:r>
      <w:r w:rsidR="00DB17FD" w:rsidRPr="00AD7158">
        <w:rPr>
          <w:lang w:val="es-AR"/>
        </w:rPr>
        <w:t xml:space="preserve">impuso </w:t>
      </w:r>
      <w:r w:rsidR="00C53879" w:rsidRPr="00AD7158">
        <w:rPr>
          <w:lang w:val="es-AR"/>
        </w:rPr>
        <w:t xml:space="preserve">a efectos de reguardar la celeridad, no </w:t>
      </w:r>
      <w:r w:rsidR="00266D19" w:rsidRPr="00AD7158">
        <w:rPr>
          <w:lang w:val="es-AR"/>
        </w:rPr>
        <w:t>demuestran ser</w:t>
      </w:r>
      <w:r w:rsidR="00C53879" w:rsidRPr="00AD7158">
        <w:rPr>
          <w:lang w:val="es-AR"/>
        </w:rPr>
        <w:t xml:space="preserve"> medida</w:t>
      </w:r>
      <w:r w:rsidR="0005010A" w:rsidRPr="00AD7158">
        <w:rPr>
          <w:lang w:val="es-AR"/>
        </w:rPr>
        <w:t>s</w:t>
      </w:r>
      <w:r w:rsidR="00C53879" w:rsidRPr="00AD7158">
        <w:rPr>
          <w:lang w:val="es-AR"/>
        </w:rPr>
        <w:t xml:space="preserve"> idónea</w:t>
      </w:r>
      <w:r w:rsidR="0005010A" w:rsidRPr="00AD7158">
        <w:rPr>
          <w:lang w:val="es-AR"/>
        </w:rPr>
        <w:t>s</w:t>
      </w:r>
      <w:r w:rsidR="00C53879" w:rsidRPr="00AD7158">
        <w:rPr>
          <w:lang w:val="es-AR"/>
        </w:rPr>
        <w:t>, necesaria</w:t>
      </w:r>
      <w:r w:rsidR="0005010A" w:rsidRPr="00AD7158">
        <w:rPr>
          <w:lang w:val="es-AR"/>
        </w:rPr>
        <w:t>s</w:t>
      </w:r>
      <w:r w:rsidR="00C53879" w:rsidRPr="00AD7158">
        <w:rPr>
          <w:lang w:val="es-AR"/>
        </w:rPr>
        <w:t xml:space="preserve"> y proporcional</w:t>
      </w:r>
      <w:r w:rsidR="0005010A" w:rsidRPr="00AD7158">
        <w:rPr>
          <w:lang w:val="es-AR"/>
        </w:rPr>
        <w:t>es.</w:t>
      </w:r>
      <w:r w:rsidRPr="00AD7158">
        <w:rPr>
          <w:lang w:val="es-ES"/>
        </w:rPr>
        <w:t xml:space="preserve"> Aun cuando </w:t>
      </w:r>
      <w:r w:rsidRPr="00AD7158">
        <w:rPr>
          <w:lang w:val="es-AR"/>
        </w:rPr>
        <w:t>la defensora conocía la causa por representar al coimputado y le habría representado durante 12 días previamente conforme a lo referido por el tribunal, ello no implicaba que contase con los medios necesarios para asumir la representación e inmediatamente participar de la audiencia de juicio. La CIDH estima que la falta de comunicación previa con su defensora pudo haber tenido un impacto determinante en la decisión de la presunta víctima de no declarar, pues una hora para conversar con ella, no fue un tiempo razonable para enfrentar el proceso.</w:t>
      </w:r>
    </w:p>
    <w:p w14:paraId="3E5782B6" w14:textId="77777777" w:rsidR="000277DF" w:rsidRPr="00AD7158" w:rsidRDefault="000277DF" w:rsidP="000277DF">
      <w:pPr>
        <w:rPr>
          <w:lang w:val="es-MX"/>
        </w:rPr>
      </w:pPr>
    </w:p>
    <w:p w14:paraId="3E3E5337" w14:textId="77777777" w:rsidR="00B54EEB" w:rsidRPr="00AD7158" w:rsidRDefault="0086655E" w:rsidP="00B54EEB">
      <w:pPr>
        <w:pStyle w:val="parrafos"/>
        <w:ind w:left="0" w:firstLine="0"/>
        <w:rPr>
          <w:lang w:val="es-ES"/>
        </w:rPr>
      </w:pPr>
      <w:r w:rsidRPr="00AD7158">
        <w:rPr>
          <w:lang w:val="es-AR"/>
        </w:rPr>
        <w:t xml:space="preserve"> </w:t>
      </w:r>
      <w:r w:rsidR="000277DF" w:rsidRPr="00AD7158">
        <w:rPr>
          <w:lang w:val="es-AR"/>
        </w:rPr>
        <w:t>En segundo lugar,</w:t>
      </w:r>
      <w:r w:rsidR="00560476" w:rsidRPr="00AD7158">
        <w:rPr>
          <w:lang w:val="es-AR"/>
        </w:rPr>
        <w:t xml:space="preserve"> </w:t>
      </w:r>
      <w:r w:rsidR="000277DF" w:rsidRPr="00AD7158">
        <w:rPr>
          <w:lang w:val="es-ES"/>
        </w:rPr>
        <w:t xml:space="preserve">la Comisión observa que el TOM consideró que la defensora asignada tendría conocimiento de la causa al haber previamente defendido a un coimputado, pese a que ella </w:t>
      </w:r>
      <w:r w:rsidR="000277DF" w:rsidRPr="00AD7158">
        <w:rPr>
          <w:lang w:val="es-AR"/>
        </w:rPr>
        <w:t>señaló que no le era posible estudiar la situación de la presunta víctima en menos de 24 horas.</w:t>
      </w:r>
      <w:r w:rsidR="00560476" w:rsidRPr="00AD7158">
        <w:rPr>
          <w:lang w:val="es-AR"/>
        </w:rPr>
        <w:t xml:space="preserve"> </w:t>
      </w:r>
      <w:r w:rsidR="000277DF" w:rsidRPr="00AD7158">
        <w:rPr>
          <w:lang w:val="es-ES"/>
        </w:rPr>
        <w:t xml:space="preserve">La Comisión observa que </w:t>
      </w:r>
      <w:r w:rsidR="009C2A7C" w:rsidRPr="00AD7158">
        <w:rPr>
          <w:lang w:val="es-AR"/>
        </w:rPr>
        <w:t>el</w:t>
      </w:r>
      <w:r w:rsidR="00C41E22" w:rsidRPr="00AD7158">
        <w:rPr>
          <w:lang w:val="es-AR"/>
        </w:rPr>
        <w:t xml:space="preserve"> tribunal </w:t>
      </w:r>
      <w:r w:rsidR="009C2A7C" w:rsidRPr="00AD7158">
        <w:rPr>
          <w:lang w:val="es-AR"/>
        </w:rPr>
        <w:t>no realiz</w:t>
      </w:r>
      <w:r w:rsidR="004F4766" w:rsidRPr="00AD7158">
        <w:rPr>
          <w:lang w:val="es-AR"/>
        </w:rPr>
        <w:t>ó</w:t>
      </w:r>
      <w:r w:rsidR="009C2A7C" w:rsidRPr="00AD7158">
        <w:rPr>
          <w:lang w:val="es-AR"/>
        </w:rPr>
        <w:t xml:space="preserve"> un análisis de</w:t>
      </w:r>
      <w:r w:rsidR="00C41E22" w:rsidRPr="00AD7158">
        <w:rPr>
          <w:lang w:val="es-AR"/>
        </w:rPr>
        <w:t xml:space="preserve"> la </w:t>
      </w:r>
      <w:r w:rsidR="00FF0439" w:rsidRPr="00AD7158">
        <w:rPr>
          <w:lang w:val="es-AR"/>
        </w:rPr>
        <w:t xml:space="preserve">posible </w:t>
      </w:r>
      <w:r w:rsidR="00C41E22" w:rsidRPr="00AD7158">
        <w:rPr>
          <w:lang w:val="es-AR"/>
        </w:rPr>
        <w:t>incompatibilidad</w:t>
      </w:r>
      <w:r w:rsidR="00513629" w:rsidRPr="00AD7158">
        <w:rPr>
          <w:lang w:val="es-AR"/>
        </w:rPr>
        <w:t xml:space="preserve"> </w:t>
      </w:r>
      <w:r w:rsidR="00FF0439" w:rsidRPr="00AD7158">
        <w:rPr>
          <w:lang w:val="es-AR"/>
        </w:rPr>
        <w:t>en la representación de los dos imputados de la causa, por parte de una defensora común</w:t>
      </w:r>
      <w:r w:rsidR="009C2A7C" w:rsidRPr="00AD7158">
        <w:rPr>
          <w:lang w:val="es-AR"/>
        </w:rPr>
        <w:t xml:space="preserve">, y más aún, </w:t>
      </w:r>
      <w:r w:rsidR="00054D5E" w:rsidRPr="00AD7158">
        <w:rPr>
          <w:lang w:val="es-AR"/>
        </w:rPr>
        <w:t xml:space="preserve">sin mayor razonamiento, </w:t>
      </w:r>
      <w:r w:rsidR="009C2A7C" w:rsidRPr="00AD7158">
        <w:rPr>
          <w:lang w:val="es-AR"/>
        </w:rPr>
        <w:t>consider</w:t>
      </w:r>
      <w:r w:rsidR="00266D19" w:rsidRPr="00AD7158">
        <w:rPr>
          <w:lang w:val="es-AR"/>
        </w:rPr>
        <w:t>ó</w:t>
      </w:r>
      <w:r w:rsidR="003870C2" w:rsidRPr="00AD7158">
        <w:rPr>
          <w:lang w:val="es-AR"/>
        </w:rPr>
        <w:t xml:space="preserve"> </w:t>
      </w:r>
      <w:r w:rsidR="009C2A7C" w:rsidRPr="00AD7158">
        <w:rPr>
          <w:lang w:val="es-AR"/>
        </w:rPr>
        <w:t>ello</w:t>
      </w:r>
      <w:r w:rsidR="003870C2" w:rsidRPr="00AD7158">
        <w:rPr>
          <w:lang w:val="es-AR"/>
        </w:rPr>
        <w:t xml:space="preserve"> como</w:t>
      </w:r>
      <w:r w:rsidR="009C2A7C" w:rsidRPr="00AD7158">
        <w:rPr>
          <w:lang w:val="es-AR"/>
        </w:rPr>
        <w:t xml:space="preserve"> una ventaja a efectos del conocimiento que podía tener la defensora del proceso</w:t>
      </w:r>
      <w:r w:rsidR="00FF0439" w:rsidRPr="00AD7158">
        <w:rPr>
          <w:lang w:val="es-AR"/>
        </w:rPr>
        <w:t>.</w:t>
      </w:r>
      <w:r w:rsidR="00560476" w:rsidRPr="00AD7158">
        <w:rPr>
          <w:lang w:val="es-AR"/>
        </w:rPr>
        <w:t xml:space="preserve"> </w:t>
      </w:r>
      <w:r w:rsidR="006A7B92" w:rsidRPr="00AD7158">
        <w:rPr>
          <w:lang w:val="es-ES"/>
        </w:rPr>
        <w:t xml:space="preserve">Esto </w:t>
      </w:r>
      <w:r w:rsidR="00BB5E4F" w:rsidRPr="00AD7158">
        <w:rPr>
          <w:lang w:val="es-AR"/>
        </w:rPr>
        <w:t xml:space="preserve">tuvo un impacto negativo en las posibles estrategias de litigio </w:t>
      </w:r>
      <w:r w:rsidR="00FE7EBB" w:rsidRPr="00AD7158">
        <w:rPr>
          <w:lang w:val="es-AR"/>
        </w:rPr>
        <w:t>de</w:t>
      </w:r>
      <w:r w:rsidR="00BB5E4F" w:rsidRPr="00AD7158">
        <w:rPr>
          <w:lang w:val="es-AR"/>
        </w:rPr>
        <w:t xml:space="preserve"> la defensa</w:t>
      </w:r>
      <w:r w:rsidR="006A7B92" w:rsidRPr="00AD7158">
        <w:rPr>
          <w:lang w:val="es-AR"/>
        </w:rPr>
        <w:t>,</w:t>
      </w:r>
      <w:r w:rsidR="00EF058B" w:rsidRPr="00AD7158">
        <w:rPr>
          <w:lang w:val="es-AR"/>
        </w:rPr>
        <w:t xml:space="preserve"> y evidentemente afectó </w:t>
      </w:r>
      <w:r w:rsidR="009546B4" w:rsidRPr="00AD7158">
        <w:rPr>
          <w:lang w:val="es-AR"/>
        </w:rPr>
        <w:t xml:space="preserve">la </w:t>
      </w:r>
      <w:r w:rsidR="00EF058B" w:rsidRPr="00AD7158">
        <w:rPr>
          <w:lang w:val="es-AR"/>
        </w:rPr>
        <w:t xml:space="preserve">capacidad de la defensora para </w:t>
      </w:r>
      <w:r w:rsidR="0057403D" w:rsidRPr="00AD7158">
        <w:rPr>
          <w:lang w:val="es-AR"/>
        </w:rPr>
        <w:t>interrogar testigos y analizar la prueba of</w:t>
      </w:r>
      <w:r w:rsidR="009546B4" w:rsidRPr="00AD7158">
        <w:rPr>
          <w:lang w:val="es-AR"/>
        </w:rPr>
        <w:t>recida.</w:t>
      </w:r>
      <w:r w:rsidR="0057403D" w:rsidRPr="00AD7158">
        <w:rPr>
          <w:lang w:val="es-ES"/>
        </w:rPr>
        <w:t xml:space="preserve"> </w:t>
      </w:r>
    </w:p>
    <w:p w14:paraId="780B2950" w14:textId="77777777" w:rsidR="00B54EEB" w:rsidRPr="00AD7158" w:rsidRDefault="00B54EEB" w:rsidP="00B54EEB">
      <w:pPr>
        <w:pStyle w:val="ListParagraph"/>
      </w:pPr>
    </w:p>
    <w:p w14:paraId="5F3CD513" w14:textId="77777777" w:rsidR="00F32CA9" w:rsidRPr="00AD7158" w:rsidRDefault="000277DF" w:rsidP="00F32CA9">
      <w:pPr>
        <w:pStyle w:val="parrafos"/>
        <w:ind w:left="0" w:firstLine="0"/>
        <w:rPr>
          <w:lang w:val="es-ES"/>
        </w:rPr>
      </w:pPr>
      <w:r w:rsidRPr="00AD7158">
        <w:rPr>
          <w:lang w:val="es-AR"/>
        </w:rPr>
        <w:t>En tercer término, l</w:t>
      </w:r>
      <w:r w:rsidR="00FF5300" w:rsidRPr="00AD7158">
        <w:rPr>
          <w:lang w:val="es-AR"/>
        </w:rPr>
        <w:t xml:space="preserve">a inactividad argumentativa a favor de los intereses del imputado, así como la indebida fundamentación de los recursos </w:t>
      </w:r>
      <w:r w:rsidR="00D22B64" w:rsidRPr="00AD7158">
        <w:rPr>
          <w:lang w:val="es-AR"/>
        </w:rPr>
        <w:t xml:space="preserve">interpuestos, tuvieron un </w:t>
      </w:r>
      <w:r w:rsidR="00FF5300" w:rsidRPr="00AD7158">
        <w:rPr>
          <w:lang w:val="es-AR"/>
        </w:rPr>
        <w:t xml:space="preserve">impacto en el derecho a la defensa </w:t>
      </w:r>
      <w:r w:rsidR="00706E8F" w:rsidRPr="00AD7158">
        <w:rPr>
          <w:lang w:val="es-AR"/>
        </w:rPr>
        <w:t>efectiva</w:t>
      </w:r>
      <w:r w:rsidR="00FF5300" w:rsidRPr="00AD7158">
        <w:rPr>
          <w:lang w:val="es-AR"/>
        </w:rPr>
        <w:t xml:space="preserve">. </w:t>
      </w:r>
      <w:r w:rsidR="00E125CB" w:rsidRPr="00AD7158">
        <w:rPr>
          <w:lang w:val="es-AR"/>
        </w:rPr>
        <w:t>Así por ejemplo,</w:t>
      </w:r>
      <w:r w:rsidR="00560476" w:rsidRPr="00AD7158">
        <w:rPr>
          <w:lang w:val="es-AR"/>
        </w:rPr>
        <w:t xml:space="preserve"> </w:t>
      </w:r>
      <w:r w:rsidR="00E125CB" w:rsidRPr="00AD7158">
        <w:rPr>
          <w:lang w:val="es-AR"/>
        </w:rPr>
        <w:t xml:space="preserve">la Comisión nota que </w:t>
      </w:r>
      <w:r w:rsidR="00B072D4" w:rsidRPr="00AD7158">
        <w:rPr>
          <w:lang w:val="es-AR"/>
        </w:rPr>
        <w:t>en</w:t>
      </w:r>
      <w:r w:rsidR="00F61FB9" w:rsidRPr="00AD7158">
        <w:rPr>
          <w:lang w:val="es-AR"/>
        </w:rPr>
        <w:t xml:space="preserve"> las actuaciones ante la </w:t>
      </w:r>
      <w:r w:rsidR="00550921" w:rsidRPr="00AD7158">
        <w:t>CSJN</w:t>
      </w:r>
      <w:r w:rsidR="00F61FB9" w:rsidRPr="00AD7158">
        <w:rPr>
          <w:lang w:val="es-AR"/>
        </w:rPr>
        <w:t>,</w:t>
      </w:r>
      <w:r w:rsidR="00037979" w:rsidRPr="00AD7158">
        <w:rPr>
          <w:lang w:val="es-AR"/>
        </w:rPr>
        <w:t xml:space="preserve"> </w:t>
      </w:r>
      <w:r w:rsidR="0011502F" w:rsidRPr="00AD7158">
        <w:rPr>
          <w:lang w:val="es-AR"/>
        </w:rPr>
        <w:t xml:space="preserve">el </w:t>
      </w:r>
      <w:r w:rsidR="004975A2" w:rsidRPr="00AD7158">
        <w:rPr>
          <w:color w:val="auto"/>
          <w:lang w:val="es-AR"/>
        </w:rPr>
        <w:t>6 de marzo de 2001 la Corte dio vi</w:t>
      </w:r>
      <w:r w:rsidR="00BF1914" w:rsidRPr="00AD7158">
        <w:rPr>
          <w:color w:val="auto"/>
          <w:lang w:val="es-AR"/>
        </w:rPr>
        <w:t>sta al defensor público oficial</w:t>
      </w:r>
      <w:r w:rsidR="004975A2" w:rsidRPr="00AD7158">
        <w:rPr>
          <w:color w:val="auto"/>
          <w:lang w:val="es-AR"/>
        </w:rPr>
        <w:t xml:space="preserve"> </w:t>
      </w:r>
      <w:r w:rsidR="00F61FB9" w:rsidRPr="00AD7158">
        <w:rPr>
          <w:color w:val="auto"/>
          <w:lang w:val="es-AR"/>
        </w:rPr>
        <w:t xml:space="preserve">sobre </w:t>
      </w:r>
      <w:r w:rsidR="006C0DF4" w:rsidRPr="00AD7158">
        <w:rPr>
          <w:color w:val="auto"/>
          <w:lang w:val="es-AR"/>
        </w:rPr>
        <w:t>la queja presentada</w:t>
      </w:r>
      <w:r w:rsidR="004975A2" w:rsidRPr="00AD7158">
        <w:rPr>
          <w:color w:val="auto"/>
          <w:lang w:val="es-AR"/>
        </w:rPr>
        <w:t xml:space="preserve"> </w:t>
      </w:r>
      <w:r w:rsidR="00B072D4" w:rsidRPr="00AD7158">
        <w:rPr>
          <w:color w:val="auto"/>
          <w:lang w:val="es-AR"/>
        </w:rPr>
        <w:t xml:space="preserve">el </w:t>
      </w:r>
      <w:r w:rsidR="004975A2" w:rsidRPr="00AD7158">
        <w:rPr>
          <w:color w:val="auto"/>
          <w:lang w:val="es-AR"/>
        </w:rPr>
        <w:t xml:space="preserve">31 de julio de 2000. </w:t>
      </w:r>
      <w:r w:rsidR="00FC5940" w:rsidRPr="00AD7158">
        <w:rPr>
          <w:color w:val="auto"/>
          <w:lang w:val="es-AR"/>
        </w:rPr>
        <w:t>Conforme la información disponible</w:t>
      </w:r>
      <w:r w:rsidR="00FC5940" w:rsidRPr="00AD7158">
        <w:rPr>
          <w:rStyle w:val="FootnoteReference"/>
          <w:color w:val="auto"/>
          <w:lang w:val="es-AR"/>
        </w:rPr>
        <w:footnoteReference w:id="91"/>
      </w:r>
      <w:r w:rsidR="00FC5940" w:rsidRPr="00AD7158">
        <w:rPr>
          <w:color w:val="auto"/>
          <w:lang w:val="es-AR"/>
        </w:rPr>
        <w:t>,</w:t>
      </w:r>
      <w:r w:rsidR="000262BB" w:rsidRPr="00AD7158">
        <w:rPr>
          <w:color w:val="auto"/>
          <w:lang w:val="es-AR"/>
        </w:rPr>
        <w:t xml:space="preserve"> se identifica que</w:t>
      </w:r>
      <w:r w:rsidR="00FC5940" w:rsidRPr="00AD7158">
        <w:rPr>
          <w:color w:val="auto"/>
          <w:lang w:val="es-AR"/>
        </w:rPr>
        <w:t xml:space="preserve"> </w:t>
      </w:r>
      <w:r w:rsidR="00E125CB" w:rsidRPr="00AD7158">
        <w:rPr>
          <w:color w:val="auto"/>
          <w:lang w:val="es-AR"/>
        </w:rPr>
        <w:t xml:space="preserve">pese a que </w:t>
      </w:r>
      <w:r w:rsidR="001C791C" w:rsidRPr="00AD7158">
        <w:rPr>
          <w:color w:val="auto"/>
          <w:lang w:val="es-AR"/>
        </w:rPr>
        <w:t>la Corte hab</w:t>
      </w:r>
      <w:r w:rsidR="00E62475" w:rsidRPr="00AD7158">
        <w:rPr>
          <w:color w:val="auto"/>
          <w:lang w:val="es-AR"/>
        </w:rPr>
        <w:t>r</w:t>
      </w:r>
      <w:r w:rsidR="001C791C" w:rsidRPr="00AD7158">
        <w:rPr>
          <w:color w:val="auto"/>
          <w:lang w:val="es-AR"/>
        </w:rPr>
        <w:t>ía intimado al defensor de confianza a</w:t>
      </w:r>
      <w:r w:rsidR="0090441D" w:rsidRPr="00AD7158">
        <w:rPr>
          <w:color w:val="auto"/>
          <w:lang w:val="es-AR"/>
        </w:rPr>
        <w:t xml:space="preserve"> aportar copi</w:t>
      </w:r>
      <w:r w:rsidR="00403DC7" w:rsidRPr="00AD7158">
        <w:rPr>
          <w:color w:val="auto"/>
          <w:lang w:val="es-AR"/>
        </w:rPr>
        <w:t>as de piezas procesales</w:t>
      </w:r>
      <w:r w:rsidR="0090441D" w:rsidRPr="00AD7158">
        <w:rPr>
          <w:color w:val="auto"/>
          <w:lang w:val="es-AR"/>
        </w:rPr>
        <w:t xml:space="preserve"> </w:t>
      </w:r>
      <w:r w:rsidR="00B072D4" w:rsidRPr="00AD7158">
        <w:rPr>
          <w:color w:val="auto"/>
          <w:lang w:val="es-AR"/>
        </w:rPr>
        <w:t>e</w:t>
      </w:r>
      <w:r w:rsidR="0090441D" w:rsidRPr="00AD7158">
        <w:rPr>
          <w:color w:val="auto"/>
          <w:lang w:val="es-AR"/>
        </w:rPr>
        <w:t xml:space="preserve"> indicar la fecha de notificación del recurso extraordinario, el defensor oficial</w:t>
      </w:r>
      <w:r w:rsidR="00513629" w:rsidRPr="00AD7158">
        <w:rPr>
          <w:color w:val="auto"/>
          <w:lang w:val="es-AR"/>
        </w:rPr>
        <w:t xml:space="preserve"> </w:t>
      </w:r>
      <w:r w:rsidR="009B6CD6" w:rsidRPr="00AD7158">
        <w:rPr>
          <w:color w:val="auto"/>
          <w:lang w:val="es-AR"/>
        </w:rPr>
        <w:t xml:space="preserve">adhirió </w:t>
      </w:r>
      <w:r w:rsidR="0090441D" w:rsidRPr="00AD7158">
        <w:rPr>
          <w:color w:val="auto"/>
          <w:lang w:val="es-AR"/>
        </w:rPr>
        <w:t xml:space="preserve">al recurso, </w:t>
      </w:r>
      <w:r w:rsidR="0090441D" w:rsidRPr="00AD7158">
        <w:rPr>
          <w:color w:val="auto"/>
          <w:lang w:val="es-AR"/>
        </w:rPr>
        <w:lastRenderedPageBreak/>
        <w:t>sin subsanar los de</w:t>
      </w:r>
      <w:r w:rsidR="00B072D4" w:rsidRPr="00AD7158">
        <w:rPr>
          <w:color w:val="auto"/>
          <w:lang w:val="es-AR"/>
        </w:rPr>
        <w:t>fectos del recurso</w:t>
      </w:r>
      <w:r w:rsidR="0090441D" w:rsidRPr="00AD7158">
        <w:rPr>
          <w:color w:val="auto"/>
          <w:lang w:val="es-AR"/>
        </w:rPr>
        <w:t xml:space="preserve"> presentado</w:t>
      </w:r>
      <w:r w:rsidR="00B072D4" w:rsidRPr="00AD7158">
        <w:rPr>
          <w:color w:val="auto"/>
          <w:lang w:val="es-AR"/>
        </w:rPr>
        <w:t xml:space="preserve"> por la defensa particular</w:t>
      </w:r>
      <w:r w:rsidR="0090441D" w:rsidRPr="00AD7158">
        <w:rPr>
          <w:color w:val="auto"/>
          <w:lang w:val="es-AR"/>
        </w:rPr>
        <w:t>, rechaz</w:t>
      </w:r>
      <w:r w:rsidR="009C3454" w:rsidRPr="00AD7158">
        <w:rPr>
          <w:color w:val="auto"/>
          <w:lang w:val="es-AR"/>
        </w:rPr>
        <w:t>án</w:t>
      </w:r>
      <w:r w:rsidR="00AA49AD" w:rsidRPr="00AD7158">
        <w:rPr>
          <w:color w:val="auto"/>
          <w:lang w:val="es-AR"/>
        </w:rPr>
        <w:t>do</w:t>
      </w:r>
      <w:r w:rsidR="009C3454" w:rsidRPr="00AD7158">
        <w:rPr>
          <w:color w:val="auto"/>
          <w:lang w:val="es-AR"/>
        </w:rPr>
        <w:t>se</w:t>
      </w:r>
      <w:r w:rsidR="00AA49AD" w:rsidRPr="00AD7158">
        <w:rPr>
          <w:color w:val="auto"/>
          <w:lang w:val="es-AR"/>
        </w:rPr>
        <w:t xml:space="preserve"> el recurso</w:t>
      </w:r>
      <w:r w:rsidR="00B072D4" w:rsidRPr="00AD7158">
        <w:rPr>
          <w:color w:val="auto"/>
          <w:lang w:val="es-AR"/>
        </w:rPr>
        <w:t xml:space="preserve"> el </w:t>
      </w:r>
      <w:r w:rsidR="0090441D" w:rsidRPr="00AD7158">
        <w:rPr>
          <w:color w:val="auto"/>
          <w:lang w:val="es-AR"/>
        </w:rPr>
        <w:t>18 de septiembre de 2001</w:t>
      </w:r>
      <w:r w:rsidR="00E125CB" w:rsidRPr="00AD7158">
        <w:rPr>
          <w:color w:val="auto"/>
          <w:lang w:val="es-AR"/>
        </w:rPr>
        <w:t xml:space="preserve">. </w:t>
      </w:r>
    </w:p>
    <w:p w14:paraId="3BC73336" w14:textId="77777777" w:rsidR="00F32CA9" w:rsidRPr="00AD7158" w:rsidRDefault="00F32CA9" w:rsidP="00F32CA9">
      <w:pPr>
        <w:pStyle w:val="ListParagraph"/>
        <w:rPr>
          <w:color w:val="auto"/>
        </w:rPr>
      </w:pPr>
    </w:p>
    <w:p w14:paraId="64047B60" w14:textId="77777777" w:rsidR="00E014B3" w:rsidRPr="00AD7158" w:rsidRDefault="000277DF" w:rsidP="00F32CA9">
      <w:pPr>
        <w:pStyle w:val="parrafos"/>
        <w:ind w:left="0" w:firstLine="0"/>
        <w:rPr>
          <w:lang w:val="es-ES"/>
        </w:rPr>
      </w:pPr>
      <w:r w:rsidRPr="00AD7158">
        <w:rPr>
          <w:color w:val="auto"/>
          <w:lang w:val="es-AR"/>
        </w:rPr>
        <w:t>Por otra parte</w:t>
      </w:r>
      <w:r w:rsidR="00E62475" w:rsidRPr="00AD7158">
        <w:rPr>
          <w:color w:val="auto"/>
          <w:lang w:val="es-AR"/>
        </w:rPr>
        <w:t xml:space="preserve">, </w:t>
      </w:r>
      <w:r w:rsidR="00D22B64" w:rsidRPr="00AD7158">
        <w:rPr>
          <w:color w:val="auto"/>
          <w:lang w:val="es-AR"/>
        </w:rPr>
        <w:t>la Comisión nota que</w:t>
      </w:r>
      <w:r w:rsidRPr="00AD7158">
        <w:rPr>
          <w:color w:val="auto"/>
          <w:lang w:val="es-AR"/>
        </w:rPr>
        <w:t>,</w:t>
      </w:r>
      <w:r w:rsidR="00D22B64" w:rsidRPr="00AD7158">
        <w:rPr>
          <w:color w:val="auto"/>
          <w:lang w:val="es-AR"/>
        </w:rPr>
        <w:t xml:space="preserve"> </w:t>
      </w:r>
      <w:r w:rsidR="00E62475" w:rsidRPr="00AD7158">
        <w:rPr>
          <w:color w:val="auto"/>
          <w:lang w:val="es-AR"/>
        </w:rPr>
        <w:t xml:space="preserve">adoptada la sentencia de la Cámara de Casación Penal </w:t>
      </w:r>
      <w:r w:rsidR="00D22B64" w:rsidRPr="00AD7158">
        <w:rPr>
          <w:color w:val="auto"/>
          <w:lang w:val="es-AR"/>
        </w:rPr>
        <w:t>de</w:t>
      </w:r>
      <w:r w:rsidR="009B5FF8" w:rsidRPr="00AD7158">
        <w:rPr>
          <w:color w:val="auto"/>
          <w:lang w:val="es-AR"/>
        </w:rPr>
        <w:t xml:space="preserve"> </w:t>
      </w:r>
      <w:r w:rsidR="00E62475" w:rsidRPr="00AD7158">
        <w:rPr>
          <w:color w:val="auto"/>
          <w:lang w:val="es-AR"/>
        </w:rPr>
        <w:t>23</w:t>
      </w:r>
      <w:r w:rsidR="00403DC7" w:rsidRPr="00AD7158">
        <w:rPr>
          <w:color w:val="auto"/>
          <w:lang w:val="es-AR"/>
        </w:rPr>
        <w:t xml:space="preserve"> de </w:t>
      </w:r>
      <w:r w:rsidR="00E62475" w:rsidRPr="00AD7158">
        <w:rPr>
          <w:color w:val="auto"/>
          <w:lang w:val="es-AR"/>
        </w:rPr>
        <w:t>junio de 2000, la presunta víctima no contó con un defensor que interpusiera un recurso extraordinario federal</w:t>
      </w:r>
      <w:r w:rsidR="00D22B64" w:rsidRPr="00AD7158">
        <w:rPr>
          <w:color w:val="auto"/>
          <w:lang w:val="es-AR"/>
        </w:rPr>
        <w:t xml:space="preserve">. De hecho, el </w:t>
      </w:r>
      <w:r w:rsidR="00E014B3" w:rsidRPr="00AD7158">
        <w:rPr>
          <w:color w:val="auto"/>
          <w:lang w:val="es-AR"/>
        </w:rPr>
        <w:t>Defensor Público Oficial,</w:t>
      </w:r>
      <w:r w:rsidR="0095482A" w:rsidRPr="00AD7158">
        <w:rPr>
          <w:color w:val="auto"/>
          <w:lang w:val="es-AR"/>
        </w:rPr>
        <w:t xml:space="preserve"> </w:t>
      </w:r>
      <w:r w:rsidR="00E62475" w:rsidRPr="00AD7158">
        <w:rPr>
          <w:color w:val="auto"/>
          <w:lang w:val="es-AR"/>
        </w:rPr>
        <w:t xml:space="preserve">asignado a la causa tras haber renunciado la defensa particular, </w:t>
      </w:r>
      <w:r w:rsidR="00D22B64" w:rsidRPr="00AD7158">
        <w:rPr>
          <w:color w:val="auto"/>
          <w:lang w:val="es-AR"/>
        </w:rPr>
        <w:t xml:space="preserve">notó </w:t>
      </w:r>
      <w:r w:rsidR="00E62475" w:rsidRPr="00AD7158">
        <w:rPr>
          <w:color w:val="auto"/>
          <w:lang w:val="es-AR"/>
        </w:rPr>
        <w:t xml:space="preserve">que </w:t>
      </w:r>
      <w:r w:rsidR="00D22B64" w:rsidRPr="00AD7158">
        <w:rPr>
          <w:color w:val="auto"/>
          <w:lang w:val="es-AR"/>
        </w:rPr>
        <w:t xml:space="preserve">para ese entonces </w:t>
      </w:r>
      <w:r w:rsidR="00E014B3" w:rsidRPr="00AD7158">
        <w:rPr>
          <w:color w:val="auto"/>
          <w:lang w:val="es-AR"/>
        </w:rPr>
        <w:t>el térmi</w:t>
      </w:r>
      <w:r w:rsidR="00A01380" w:rsidRPr="00AD7158">
        <w:rPr>
          <w:color w:val="auto"/>
          <w:lang w:val="es-AR"/>
        </w:rPr>
        <w:t xml:space="preserve">no para la interposición de un remedio federal </w:t>
      </w:r>
      <w:r w:rsidR="00D22B64" w:rsidRPr="00AD7158">
        <w:rPr>
          <w:color w:val="auto"/>
          <w:lang w:val="es-AR"/>
        </w:rPr>
        <w:t xml:space="preserve">estaba </w:t>
      </w:r>
      <w:r w:rsidR="00E62475" w:rsidRPr="00AD7158">
        <w:rPr>
          <w:color w:val="auto"/>
          <w:lang w:val="es-AR"/>
        </w:rPr>
        <w:t>ya vencido. No se cuenta con información que indique que el defensor oficial hubiese procurado presentar algún medio de defensa adicional</w:t>
      </w:r>
      <w:r w:rsidR="00D22B64" w:rsidRPr="00AD7158">
        <w:rPr>
          <w:color w:val="auto"/>
          <w:lang w:val="es-AR"/>
        </w:rPr>
        <w:t>,</w:t>
      </w:r>
      <w:r w:rsidR="00E62475" w:rsidRPr="00AD7158">
        <w:rPr>
          <w:color w:val="auto"/>
          <w:lang w:val="es-AR"/>
        </w:rPr>
        <w:t xml:space="preserve"> haciendo notar que el señor Álvarez no contó con las posibilidades de presentar un recurso contra la sentencia de casación</w:t>
      </w:r>
      <w:r w:rsidR="00D22B64" w:rsidRPr="00AD7158">
        <w:rPr>
          <w:color w:val="auto"/>
          <w:lang w:val="es-AR"/>
        </w:rPr>
        <w:t xml:space="preserve"> debido, en parte, a las falencias de su defensa privada</w:t>
      </w:r>
      <w:r w:rsidR="00E62475" w:rsidRPr="00AD7158">
        <w:rPr>
          <w:color w:val="auto"/>
          <w:lang w:val="es-AR"/>
        </w:rPr>
        <w:t xml:space="preserve">. </w:t>
      </w:r>
      <w:r w:rsidR="009C3454" w:rsidRPr="00AD7158">
        <w:rPr>
          <w:color w:val="auto"/>
          <w:lang w:val="es-AR"/>
        </w:rPr>
        <w:t>E</w:t>
      </w:r>
      <w:r w:rsidR="00E014B3" w:rsidRPr="00AD7158">
        <w:rPr>
          <w:color w:val="auto"/>
          <w:lang w:val="es-AR"/>
        </w:rPr>
        <w:t>l tribunal tuvo presente lo referido por el defensor oficial y decretó cúmplase con la devolución ordenada en la sentencia de casación.</w:t>
      </w:r>
      <w:r w:rsidR="00541A3A" w:rsidRPr="00AD7158">
        <w:rPr>
          <w:color w:val="auto"/>
          <w:lang w:val="es-AR"/>
        </w:rPr>
        <w:t xml:space="preserve"> </w:t>
      </w:r>
    </w:p>
    <w:p w14:paraId="1AFE0D22" w14:textId="77777777" w:rsidR="00E014B3" w:rsidRPr="00AD7158" w:rsidRDefault="00E014B3" w:rsidP="00E014B3">
      <w:pPr>
        <w:tabs>
          <w:tab w:val="left" w:pos="360"/>
        </w:tabs>
        <w:ind w:left="720"/>
        <w:rPr>
          <w:rFonts w:ascii="Cambria" w:hAnsi="Cambria"/>
          <w:color w:val="548DD4"/>
          <w:sz w:val="20"/>
          <w:szCs w:val="20"/>
          <w:lang w:val="es-AR"/>
        </w:rPr>
      </w:pPr>
    </w:p>
    <w:p w14:paraId="1F4AA37A" w14:textId="77777777" w:rsidR="00857395" w:rsidRPr="00AD7158" w:rsidRDefault="000C3AAC" w:rsidP="00C00366">
      <w:pPr>
        <w:pStyle w:val="parrafos"/>
        <w:ind w:left="0" w:firstLine="0"/>
        <w:rPr>
          <w:lang w:val="es-AR"/>
        </w:rPr>
      </w:pPr>
      <w:r w:rsidRPr="00AD7158">
        <w:rPr>
          <w:lang w:val="es-AR"/>
        </w:rPr>
        <w:t xml:space="preserve">La Comisión observa que </w:t>
      </w:r>
      <w:r w:rsidR="00D22B64" w:rsidRPr="00AD7158">
        <w:rPr>
          <w:lang w:val="es-AR"/>
        </w:rPr>
        <w:t>no obstante las múltiples deficiencias en la defensa del señor Álvarez fueron conocidas por</w:t>
      </w:r>
      <w:r w:rsidR="00560476" w:rsidRPr="00AD7158">
        <w:rPr>
          <w:lang w:val="es-AR"/>
        </w:rPr>
        <w:t xml:space="preserve"> </w:t>
      </w:r>
      <w:r w:rsidR="00D22B64" w:rsidRPr="00AD7158">
        <w:rPr>
          <w:lang w:val="es-AR"/>
        </w:rPr>
        <w:t>las</w:t>
      </w:r>
      <w:r w:rsidR="00A47D11" w:rsidRPr="00AD7158">
        <w:rPr>
          <w:lang w:val="es-AR"/>
        </w:rPr>
        <w:t xml:space="preserve"> autoridades judiciales mediante diversos </w:t>
      </w:r>
      <w:r w:rsidR="0036670B" w:rsidRPr="00AD7158">
        <w:rPr>
          <w:lang w:val="es-AR"/>
        </w:rPr>
        <w:t>recursos presentados</w:t>
      </w:r>
      <w:r w:rsidR="00D22B64" w:rsidRPr="00AD7158">
        <w:rPr>
          <w:lang w:val="es-AR"/>
        </w:rPr>
        <w:t xml:space="preserve">, </w:t>
      </w:r>
      <w:r w:rsidRPr="00AD7158">
        <w:rPr>
          <w:lang w:val="es-AR"/>
        </w:rPr>
        <w:t xml:space="preserve">éstos </w:t>
      </w:r>
      <w:r w:rsidR="0036670B" w:rsidRPr="00AD7158">
        <w:rPr>
          <w:lang w:val="es-AR"/>
        </w:rPr>
        <w:t>no fueron efectivos a fin de subsanar las violaciones a las garantías judiciales referidas</w:t>
      </w:r>
      <w:r w:rsidR="00DC1E40" w:rsidRPr="00AD7158">
        <w:rPr>
          <w:lang w:val="es-AR"/>
        </w:rPr>
        <w:t xml:space="preserve">, lo que </w:t>
      </w:r>
      <w:r w:rsidR="00855347" w:rsidRPr="00AD7158">
        <w:rPr>
          <w:lang w:val="es-AR"/>
        </w:rPr>
        <w:t>a su vez,</w:t>
      </w:r>
      <w:r w:rsidR="00DC1E40" w:rsidRPr="00AD7158">
        <w:rPr>
          <w:lang w:val="es-AR"/>
        </w:rPr>
        <w:t xml:space="preserve"> implicó</w:t>
      </w:r>
      <w:r w:rsidR="0036670B" w:rsidRPr="00AD7158">
        <w:rPr>
          <w:lang w:val="es-AR"/>
        </w:rPr>
        <w:t xml:space="preserve"> una vulneración al derecho a la protección j</w:t>
      </w:r>
      <w:r w:rsidR="00857395" w:rsidRPr="00AD7158">
        <w:rPr>
          <w:lang w:val="es-AR"/>
        </w:rPr>
        <w:t>udicial de la presunta víctima. E</w:t>
      </w:r>
      <w:r w:rsidR="005166E5" w:rsidRPr="00AD7158">
        <w:rPr>
          <w:lang w:val="es-AR"/>
        </w:rPr>
        <w:t>llo</w:t>
      </w:r>
      <w:r w:rsidR="00857395" w:rsidRPr="00AD7158">
        <w:rPr>
          <w:lang w:val="es-AR"/>
        </w:rPr>
        <w:t xml:space="preserve"> quedo en evidencia en el escrito presentado por la </w:t>
      </w:r>
      <w:r w:rsidR="00857395" w:rsidRPr="00AD7158">
        <w:rPr>
          <w:color w:val="auto"/>
          <w:lang w:val="es-AR"/>
        </w:rPr>
        <w:t>Defensora Oficial ante la CSJN, quien detalló los diversos hechos que habrían afectado el derecho a defensa del señor Álvarez.</w:t>
      </w:r>
      <w:r w:rsidR="00560476" w:rsidRPr="00AD7158">
        <w:rPr>
          <w:color w:val="auto"/>
          <w:lang w:val="es-AR"/>
        </w:rPr>
        <w:t xml:space="preserve"> </w:t>
      </w:r>
    </w:p>
    <w:p w14:paraId="0D6E35CC" w14:textId="77777777" w:rsidR="00560839" w:rsidRPr="00AD7158" w:rsidRDefault="00560839" w:rsidP="00857395">
      <w:pPr>
        <w:pBdr>
          <w:top w:val="nil"/>
        </w:pBdr>
        <w:rPr>
          <w:lang w:val="es-ES"/>
        </w:rPr>
      </w:pPr>
    </w:p>
    <w:p w14:paraId="5812889B" w14:textId="77777777" w:rsidR="00560839" w:rsidRPr="00AD7158" w:rsidRDefault="006A7B92" w:rsidP="00A422D1">
      <w:pPr>
        <w:pStyle w:val="parrafos"/>
        <w:ind w:left="0" w:firstLine="0"/>
        <w:rPr>
          <w:lang w:val="es-AR"/>
        </w:rPr>
      </w:pPr>
      <w:r w:rsidRPr="00AD7158">
        <w:rPr>
          <w:lang w:val="es-AR"/>
        </w:rPr>
        <w:t>Finalmente, la Comisión nota que el señor Álvarez fue presentado en la audiencia esposado y que</w:t>
      </w:r>
      <w:r w:rsidR="006773C0" w:rsidRPr="00AD7158">
        <w:rPr>
          <w:lang w:val="es-AR"/>
        </w:rPr>
        <w:t xml:space="preserve"> </w:t>
      </w:r>
      <w:r w:rsidRPr="00AD7158">
        <w:rPr>
          <w:lang w:val="es-AR"/>
        </w:rPr>
        <w:t xml:space="preserve">esta medida fue sustentada por </w:t>
      </w:r>
      <w:r w:rsidR="006773C0" w:rsidRPr="00AD7158">
        <w:rPr>
          <w:lang w:val="es-AR"/>
        </w:rPr>
        <w:t>el tribunal en la información brindada por el</w:t>
      </w:r>
      <w:r w:rsidRPr="00AD7158">
        <w:rPr>
          <w:lang w:val="es-AR"/>
        </w:rPr>
        <w:t xml:space="preserve"> Servicio Penitenciario Federal en </w:t>
      </w:r>
      <w:r w:rsidR="006773C0" w:rsidRPr="00AD7158">
        <w:rPr>
          <w:lang w:val="es-AR"/>
        </w:rPr>
        <w:t>una causa relativa a evasión, reportes médicos, y lo preceptuado por el artículo 366 del CPPN</w:t>
      </w:r>
      <w:r w:rsidR="006773C0" w:rsidRPr="00AD7158">
        <w:t>.</w:t>
      </w:r>
      <w:r w:rsidR="00A422D1" w:rsidRPr="00AD7158">
        <w:t xml:space="preserve"> </w:t>
      </w:r>
      <w:r w:rsidR="00A7137D" w:rsidRPr="00AD7158">
        <w:t>E</w:t>
      </w:r>
      <w:r w:rsidR="00560839" w:rsidRPr="00AD7158">
        <w:rPr>
          <w:lang w:val="es-AR"/>
        </w:rPr>
        <w:t>l Estado sostuvo</w:t>
      </w:r>
      <w:r w:rsidR="00A7137D" w:rsidRPr="00AD7158">
        <w:rPr>
          <w:lang w:val="es-AR"/>
        </w:rPr>
        <w:t>,</w:t>
      </w:r>
      <w:r w:rsidR="00560839" w:rsidRPr="00AD7158">
        <w:rPr>
          <w:lang w:val="es-AR"/>
        </w:rPr>
        <w:t xml:space="preserve"> que la medida no fue arbitraria</w:t>
      </w:r>
      <w:r w:rsidR="009417FE" w:rsidRPr="00AD7158">
        <w:rPr>
          <w:lang w:val="es-AR"/>
        </w:rPr>
        <w:t>, pues se fund</w:t>
      </w:r>
      <w:r w:rsidR="00A7137D" w:rsidRPr="00AD7158">
        <w:rPr>
          <w:lang w:val="es-AR"/>
        </w:rPr>
        <w:t>ó</w:t>
      </w:r>
      <w:r w:rsidR="009417FE" w:rsidRPr="00AD7158">
        <w:rPr>
          <w:lang w:val="es-AR"/>
        </w:rPr>
        <w:t xml:space="preserve"> en antece</w:t>
      </w:r>
      <w:r w:rsidR="00A7137D" w:rsidRPr="00AD7158">
        <w:rPr>
          <w:lang w:val="es-AR"/>
        </w:rPr>
        <w:t>dentes como intentos de evasión</w:t>
      </w:r>
      <w:r w:rsidR="009417FE" w:rsidRPr="00AD7158">
        <w:rPr>
          <w:lang w:val="es-AR"/>
        </w:rPr>
        <w:t>, así como en lo referido por el cuerpo de seguridad especializado en custodia de personas sometidas a proceso. Además, sostuvo que conforme al CPPN, existía la posibilidad de decretar medidas de vigilancia o cautelares</w:t>
      </w:r>
      <w:r w:rsidR="00E853D1" w:rsidRPr="00AD7158">
        <w:rPr>
          <w:lang w:val="es-AR"/>
        </w:rPr>
        <w:t>, y que era el tribunal el</w:t>
      </w:r>
      <w:r w:rsidR="009417FE" w:rsidRPr="00AD7158">
        <w:rPr>
          <w:lang w:val="es-AR"/>
        </w:rPr>
        <w:t xml:space="preserve"> encargado del poder de policía y disciplinario. Por su parte, la peticionaria argumentó que el CPPN estipulaba que el imputado asiste a la audiencia libre en su persona, y que la medida ad</w:t>
      </w:r>
      <w:r w:rsidR="006E52E2" w:rsidRPr="00AD7158">
        <w:rPr>
          <w:lang w:val="es-AR"/>
        </w:rPr>
        <w:t>o</w:t>
      </w:r>
      <w:r w:rsidR="009417FE" w:rsidRPr="00AD7158">
        <w:rPr>
          <w:lang w:val="es-AR"/>
        </w:rPr>
        <w:t>ptada no fue razonable pues el juicio fue a puerta cerrada y con despliegue de fuerzas policiales especiales.</w:t>
      </w:r>
    </w:p>
    <w:p w14:paraId="5A0F96AC" w14:textId="77777777" w:rsidR="009417FE" w:rsidRPr="00AD7158" w:rsidRDefault="009417FE" w:rsidP="002D46B7">
      <w:pPr>
        <w:pStyle w:val="ListParagraph"/>
      </w:pPr>
    </w:p>
    <w:p w14:paraId="231421B2" w14:textId="77777777" w:rsidR="009417FE" w:rsidRPr="00AD7158" w:rsidRDefault="00500495" w:rsidP="00057FBA">
      <w:pPr>
        <w:pStyle w:val="parrafos"/>
        <w:ind w:left="0" w:firstLine="0"/>
        <w:rPr>
          <w:lang w:val="es-AR"/>
        </w:rPr>
      </w:pPr>
      <w:r w:rsidRPr="00AD7158">
        <w:rPr>
          <w:lang w:val="es-AR"/>
        </w:rPr>
        <w:t>L</w:t>
      </w:r>
      <w:r w:rsidR="009417FE" w:rsidRPr="00AD7158">
        <w:rPr>
          <w:lang w:val="es-AR"/>
        </w:rPr>
        <w:t xml:space="preserve">a </w:t>
      </w:r>
      <w:r w:rsidR="00E853D1" w:rsidRPr="00AD7158">
        <w:rPr>
          <w:lang w:val="es-AR"/>
        </w:rPr>
        <w:t xml:space="preserve">CIDH recuerda que la </w:t>
      </w:r>
      <w:r w:rsidR="009417FE" w:rsidRPr="00AD7158">
        <w:rPr>
          <w:lang w:val="es-AR"/>
        </w:rPr>
        <w:t>presunción de inocencia obliga al tribunal a actuar de un modo que no presuponga la culpabilidad del procesado respecto de los hechos imputados. Este actuar</w:t>
      </w:r>
      <w:r w:rsidR="005C2945" w:rsidRPr="00AD7158">
        <w:rPr>
          <w:lang w:val="es-AR"/>
        </w:rPr>
        <w:t>,</w:t>
      </w:r>
      <w:r w:rsidR="009417FE" w:rsidRPr="00AD7158">
        <w:rPr>
          <w:lang w:val="es-AR"/>
        </w:rPr>
        <w:t xml:space="preserve"> debe verse reflejado en toda</w:t>
      </w:r>
      <w:r w:rsidR="000C3AAC" w:rsidRPr="00AD7158">
        <w:rPr>
          <w:lang w:val="es-AR"/>
        </w:rPr>
        <w:t xml:space="preserve">s las etapas del proceso penal, y busca </w:t>
      </w:r>
      <w:r w:rsidR="009417FE" w:rsidRPr="00AD7158">
        <w:rPr>
          <w:lang w:val="es-AR"/>
        </w:rPr>
        <w:t xml:space="preserve">no </w:t>
      </w:r>
      <w:r w:rsidR="00EE6FCE" w:rsidRPr="00AD7158">
        <w:rPr>
          <w:lang w:val="es-AR"/>
        </w:rPr>
        <w:t xml:space="preserve">presentar a quien se imputa la comisión de un ilícito </w:t>
      </w:r>
      <w:r w:rsidR="009417FE" w:rsidRPr="00AD7158">
        <w:rPr>
          <w:lang w:val="es-AR"/>
        </w:rPr>
        <w:t xml:space="preserve">como </w:t>
      </w:r>
      <w:r w:rsidR="00EE6FCE" w:rsidRPr="00AD7158">
        <w:rPr>
          <w:lang w:val="es-AR"/>
        </w:rPr>
        <w:t xml:space="preserve">una persona </w:t>
      </w:r>
      <w:r w:rsidR="009417FE" w:rsidRPr="00AD7158">
        <w:rPr>
          <w:lang w:val="es-AR"/>
        </w:rPr>
        <w:t>peligros</w:t>
      </w:r>
      <w:r w:rsidR="00EE6FCE" w:rsidRPr="00AD7158">
        <w:rPr>
          <w:lang w:val="es-AR"/>
        </w:rPr>
        <w:t>a</w:t>
      </w:r>
      <w:r w:rsidR="009417FE" w:rsidRPr="00AD7158">
        <w:rPr>
          <w:lang w:val="es-AR"/>
        </w:rPr>
        <w:t xml:space="preserve"> y/o responsable de los hechos imputados. </w:t>
      </w:r>
      <w:r w:rsidR="00874D8E" w:rsidRPr="00AD7158">
        <w:rPr>
          <w:lang w:val="es-AR"/>
        </w:rPr>
        <w:t>L</w:t>
      </w:r>
      <w:r w:rsidR="009417FE" w:rsidRPr="00AD7158">
        <w:rPr>
          <w:lang w:val="es-AR"/>
        </w:rPr>
        <w:t>a CIDH toma en cuenta lo referido por la peticionaria</w:t>
      </w:r>
      <w:r w:rsidR="006B1B55" w:rsidRPr="00AD7158">
        <w:rPr>
          <w:lang w:val="es-AR"/>
        </w:rPr>
        <w:t>-</w:t>
      </w:r>
      <w:r w:rsidR="009417FE" w:rsidRPr="00AD7158">
        <w:rPr>
          <w:lang w:val="es-AR"/>
        </w:rPr>
        <w:t xml:space="preserve"> y no refutado por el Estado</w:t>
      </w:r>
      <w:r w:rsidR="006B1B55" w:rsidRPr="00AD7158">
        <w:rPr>
          <w:lang w:val="es-AR"/>
        </w:rPr>
        <w:t>-</w:t>
      </w:r>
      <w:r w:rsidR="009417FE" w:rsidRPr="00AD7158">
        <w:rPr>
          <w:lang w:val="es-AR"/>
        </w:rPr>
        <w:t xml:space="preserve"> </w:t>
      </w:r>
      <w:r w:rsidR="0071773C" w:rsidRPr="00AD7158">
        <w:rPr>
          <w:lang w:val="es-AR"/>
        </w:rPr>
        <w:t>sobre</w:t>
      </w:r>
      <w:r w:rsidR="009417FE" w:rsidRPr="00AD7158">
        <w:rPr>
          <w:lang w:val="es-AR"/>
        </w:rPr>
        <w:t xml:space="preserve"> que la audiencia de juicio se dio a puerta cerrada, y </w:t>
      </w:r>
      <w:r w:rsidR="0071773C" w:rsidRPr="00AD7158">
        <w:rPr>
          <w:lang w:val="es-AR"/>
        </w:rPr>
        <w:t>tuvo</w:t>
      </w:r>
      <w:r w:rsidR="009417FE" w:rsidRPr="00AD7158">
        <w:rPr>
          <w:lang w:val="es-AR"/>
        </w:rPr>
        <w:t xml:space="preserve"> despliegue policial de cuerpos especiales</w:t>
      </w:r>
      <w:r w:rsidR="006B1B55" w:rsidRPr="00AD7158">
        <w:rPr>
          <w:lang w:val="es-AR"/>
        </w:rPr>
        <w:t xml:space="preserve">. </w:t>
      </w:r>
      <w:r w:rsidR="000C3AAC" w:rsidRPr="00AD7158">
        <w:rPr>
          <w:lang w:val="es-AR"/>
        </w:rPr>
        <w:t>En este sentido, el Estado no ha acreditado de forma suficiente que l</w:t>
      </w:r>
      <w:r w:rsidR="006B1B55" w:rsidRPr="00AD7158">
        <w:rPr>
          <w:lang w:val="es-AR"/>
        </w:rPr>
        <w:t>as referidas</w:t>
      </w:r>
      <w:r w:rsidR="009417FE" w:rsidRPr="00AD7158">
        <w:rPr>
          <w:lang w:val="es-AR"/>
        </w:rPr>
        <w:t xml:space="preserve"> medidas </w:t>
      </w:r>
      <w:r w:rsidR="000C3AAC" w:rsidRPr="00AD7158">
        <w:rPr>
          <w:lang w:val="es-AR"/>
        </w:rPr>
        <w:t xml:space="preserve">resulten </w:t>
      </w:r>
      <w:r w:rsidR="009417FE" w:rsidRPr="00AD7158">
        <w:rPr>
          <w:lang w:val="es-AR"/>
        </w:rPr>
        <w:t xml:space="preserve">idóneas y proporcionales, </w:t>
      </w:r>
      <w:r w:rsidR="000C3AAC" w:rsidRPr="00AD7158">
        <w:rPr>
          <w:lang w:val="es-AR"/>
        </w:rPr>
        <w:t xml:space="preserve">para </w:t>
      </w:r>
      <w:r w:rsidR="009417FE" w:rsidRPr="00AD7158">
        <w:rPr>
          <w:lang w:val="es-AR"/>
        </w:rPr>
        <w:t>disminuir el riesgo d</w:t>
      </w:r>
      <w:r w:rsidRPr="00AD7158">
        <w:rPr>
          <w:lang w:val="es-AR"/>
        </w:rPr>
        <w:t>e fuga o violencia, conforme al</w:t>
      </w:r>
      <w:r w:rsidR="009417FE" w:rsidRPr="00AD7158">
        <w:rPr>
          <w:lang w:val="es-AR"/>
        </w:rPr>
        <w:t xml:space="preserve"> artículo 366 del CPPN</w:t>
      </w:r>
      <w:r w:rsidR="00D70D8E" w:rsidRPr="00AD7158">
        <w:rPr>
          <w:lang w:val="es-AR"/>
        </w:rPr>
        <w:t xml:space="preserve">, por lo que </w:t>
      </w:r>
      <w:r w:rsidR="00BB4D34" w:rsidRPr="00AD7158">
        <w:rPr>
          <w:lang w:val="es-AR"/>
        </w:rPr>
        <w:t xml:space="preserve">se </w:t>
      </w:r>
      <w:r w:rsidR="000C3AAC" w:rsidRPr="00AD7158">
        <w:rPr>
          <w:lang w:val="es-AR"/>
        </w:rPr>
        <w:t xml:space="preserve">afectó </w:t>
      </w:r>
      <w:r w:rsidR="006B1B55" w:rsidRPr="00AD7158">
        <w:rPr>
          <w:lang w:val="es-AR"/>
        </w:rPr>
        <w:t>la presunción de inocencia de la presunta víctima</w:t>
      </w:r>
      <w:r w:rsidR="009417FE" w:rsidRPr="00AD7158">
        <w:rPr>
          <w:lang w:val="es-AR"/>
        </w:rPr>
        <w:t>.</w:t>
      </w:r>
      <w:r w:rsidR="00513629" w:rsidRPr="00AD7158">
        <w:rPr>
          <w:lang w:val="es-AR"/>
        </w:rPr>
        <w:t xml:space="preserve"> </w:t>
      </w:r>
    </w:p>
    <w:p w14:paraId="565D8201" w14:textId="77777777" w:rsidR="00B65E70" w:rsidRPr="00AD7158" w:rsidRDefault="00B65E70" w:rsidP="00B65E70">
      <w:pPr>
        <w:pStyle w:val="parrafos"/>
        <w:numPr>
          <w:ilvl w:val="0"/>
          <w:numId w:val="0"/>
        </w:numPr>
        <w:rPr>
          <w:lang w:val="es-AR"/>
        </w:rPr>
      </w:pPr>
    </w:p>
    <w:p w14:paraId="5C51401F" w14:textId="77777777" w:rsidR="003D59C3" w:rsidRPr="00AD7158" w:rsidRDefault="000C3AAC" w:rsidP="00401EB9">
      <w:pPr>
        <w:pStyle w:val="parrafos"/>
        <w:ind w:left="0" w:firstLine="0"/>
        <w:rPr>
          <w:lang w:val="es-ES"/>
        </w:rPr>
      </w:pPr>
      <w:r w:rsidRPr="00AD7158">
        <w:rPr>
          <w:lang w:val="es-ES"/>
        </w:rPr>
        <w:t>Teniendo en cuenta todo lo antes expuesto</w:t>
      </w:r>
      <w:r w:rsidR="00762492" w:rsidRPr="00AD7158">
        <w:rPr>
          <w:lang w:val="es-ES"/>
        </w:rPr>
        <w:t xml:space="preserve">, la Comisión considera que </w:t>
      </w:r>
      <w:r w:rsidR="00381151" w:rsidRPr="00AD7158">
        <w:rPr>
          <w:lang w:val="es-ES"/>
        </w:rPr>
        <w:t>el Estado</w:t>
      </w:r>
      <w:r w:rsidR="00762492" w:rsidRPr="00AD7158">
        <w:rPr>
          <w:lang w:val="es-ES"/>
        </w:rPr>
        <w:t xml:space="preserve"> violó </w:t>
      </w:r>
      <w:r w:rsidR="00762492" w:rsidRPr="00AD7158">
        <w:t xml:space="preserve">los </w:t>
      </w:r>
      <w:r w:rsidR="00381151" w:rsidRPr="00AD7158">
        <w:t xml:space="preserve">derechos consagrados en los </w:t>
      </w:r>
      <w:r w:rsidR="00762492" w:rsidRPr="00AD7158">
        <w:t>ar</w:t>
      </w:r>
      <w:r w:rsidR="00381151" w:rsidRPr="00AD7158">
        <w:t xml:space="preserve">tículos 8.1 </w:t>
      </w:r>
      <w:r w:rsidR="00791533" w:rsidRPr="00AD7158">
        <w:t xml:space="preserve">y 8.2 </w:t>
      </w:r>
      <w:r w:rsidR="00381151" w:rsidRPr="00AD7158">
        <w:t xml:space="preserve">letras c, d, e y f </w:t>
      </w:r>
      <w:r w:rsidR="00762492" w:rsidRPr="00AD7158">
        <w:t xml:space="preserve">y 25.1 de la Convención Americana, en relación con las obligaciones establecidas en </w:t>
      </w:r>
      <w:r w:rsidR="00A96D75" w:rsidRPr="00AD7158">
        <w:t>el</w:t>
      </w:r>
      <w:r w:rsidR="00762492" w:rsidRPr="00AD7158">
        <w:t xml:space="preserve"> artículo 1.1</w:t>
      </w:r>
      <w:r w:rsidR="009B0F6D" w:rsidRPr="00AD7158">
        <w:t xml:space="preserve"> </w:t>
      </w:r>
      <w:r w:rsidR="00762492" w:rsidRPr="00AD7158">
        <w:t>del mismo instrumento, en perjuicio de</w:t>
      </w:r>
      <w:r w:rsidR="00762492" w:rsidRPr="00AD7158">
        <w:rPr>
          <w:lang w:val="es-AR"/>
        </w:rPr>
        <w:t xml:space="preserve"> Guillermo Antonio Álvarez</w:t>
      </w:r>
      <w:r w:rsidR="00762492" w:rsidRPr="00AD7158">
        <w:rPr>
          <w:rFonts w:hint="eastAsia"/>
          <w:lang w:eastAsia="zh-TW"/>
        </w:rPr>
        <w:t>.</w:t>
      </w:r>
      <w:r w:rsidR="00401EB9" w:rsidRPr="00AD7158">
        <w:rPr>
          <w:lang w:val="es-ES"/>
        </w:rPr>
        <w:t xml:space="preserve"> </w:t>
      </w:r>
      <w:r w:rsidRPr="00AD7158">
        <w:rPr>
          <w:lang w:val="es-ES"/>
        </w:rPr>
        <w:t xml:space="preserve">En vista de lo señalado en relación con el derecho de presunción de inocencia, </w:t>
      </w:r>
      <w:r w:rsidRPr="00AD7158">
        <w:rPr>
          <w:lang w:val="es-AR"/>
        </w:rPr>
        <w:t>la CIDH no considera necesario pronunciarse sobre una posible violación autónoma del artículo 11 de la CADH.</w:t>
      </w:r>
    </w:p>
    <w:p w14:paraId="3415C459" w14:textId="77777777" w:rsidR="00401EB9" w:rsidRPr="00AD7158" w:rsidRDefault="00401EB9" w:rsidP="00401EB9">
      <w:pPr>
        <w:pStyle w:val="parrafos"/>
        <w:numPr>
          <w:ilvl w:val="0"/>
          <w:numId w:val="0"/>
        </w:numPr>
        <w:rPr>
          <w:lang w:val="es-ES"/>
        </w:rPr>
      </w:pPr>
    </w:p>
    <w:p w14:paraId="421A5111" w14:textId="77777777" w:rsidR="00416E53" w:rsidRPr="00AD7158" w:rsidRDefault="00416E53" w:rsidP="00C8632F">
      <w:pPr>
        <w:pStyle w:val="Heading2"/>
        <w:numPr>
          <w:ilvl w:val="0"/>
          <w:numId w:val="58"/>
        </w:numPr>
      </w:pPr>
      <w:bookmarkStart w:id="15" w:name="_Toc30670586"/>
      <w:r w:rsidRPr="00AD7158">
        <w:t>Derechos a recurrir el fallo ante juez o tribunal superior</w:t>
      </w:r>
      <w:r w:rsidRPr="00AD7158">
        <w:rPr>
          <w:rStyle w:val="FootnoteReference"/>
          <w:rFonts w:cs="Univers"/>
          <w:sz w:val="20"/>
          <w:lang w:val="es-MX"/>
        </w:rPr>
        <w:footnoteReference w:id="92"/>
      </w:r>
      <w:r w:rsidRPr="00AD7158">
        <w:t xml:space="preserve"> y derecho a la protección judicial, en relación con los artículos 1.1 y 2</w:t>
      </w:r>
      <w:r w:rsidR="00A96D75" w:rsidRPr="00AD7158">
        <w:rPr>
          <w:rStyle w:val="FootnoteReference"/>
          <w:sz w:val="20"/>
        </w:rPr>
        <w:footnoteReference w:id="93"/>
      </w:r>
      <w:r w:rsidRPr="00AD7158">
        <w:t xml:space="preserve"> de la Convención Americana sobre Derechos Humanos</w:t>
      </w:r>
      <w:bookmarkEnd w:id="15"/>
      <w:r w:rsidRPr="00AD7158">
        <w:t xml:space="preserve"> </w:t>
      </w:r>
    </w:p>
    <w:p w14:paraId="06A4BEA3" w14:textId="77777777" w:rsidR="006441C7" w:rsidRPr="00AD7158" w:rsidRDefault="006441C7" w:rsidP="002D46B7">
      <w:pPr>
        <w:pStyle w:val="ListParagraph"/>
        <w:rPr>
          <w:b/>
          <w:sz w:val="20"/>
          <w:szCs w:val="20"/>
          <w:bdr w:val="none" w:sz="0" w:space="0" w:color="auto"/>
        </w:rPr>
      </w:pPr>
    </w:p>
    <w:p w14:paraId="7932354C" w14:textId="77777777" w:rsidR="00E530CA" w:rsidRPr="00AD7158" w:rsidRDefault="00E530CA" w:rsidP="002D46B7">
      <w:pPr>
        <w:pStyle w:val="ListParagraph"/>
        <w:numPr>
          <w:ilvl w:val="0"/>
          <w:numId w:val="59"/>
        </w:numPr>
        <w:rPr>
          <w:b/>
          <w:sz w:val="20"/>
          <w:szCs w:val="20"/>
        </w:rPr>
      </w:pPr>
      <w:r w:rsidRPr="00AD7158">
        <w:rPr>
          <w:b/>
          <w:sz w:val="20"/>
          <w:szCs w:val="20"/>
        </w:rPr>
        <w:t xml:space="preserve">Consideraciones generales sobre el derecho a recurrir del fallo </w:t>
      </w:r>
    </w:p>
    <w:p w14:paraId="1633ACC2" w14:textId="77777777" w:rsidR="00102217" w:rsidRPr="00AD7158" w:rsidRDefault="00102217" w:rsidP="00B419FB">
      <w:pPr>
        <w:pStyle w:val="Heading2"/>
        <w:rPr>
          <w:lang w:val="es-AR"/>
        </w:rPr>
      </w:pPr>
    </w:p>
    <w:p w14:paraId="5777439A" w14:textId="77777777" w:rsidR="00482340" w:rsidRPr="00AD7158" w:rsidRDefault="00064963" w:rsidP="009009AD">
      <w:pPr>
        <w:pStyle w:val="parrafos"/>
        <w:ind w:left="0" w:firstLine="0"/>
        <w:rPr>
          <w:lang w:val="es-ES_tradnl"/>
        </w:rPr>
      </w:pPr>
      <w:r w:rsidRPr="00AD7158">
        <w:rPr>
          <w:lang w:val="es-AR"/>
        </w:rPr>
        <w:t>E</w:t>
      </w:r>
      <w:r w:rsidR="006441C7" w:rsidRPr="00AD7158">
        <w:rPr>
          <w:lang w:val="es-ES_tradnl"/>
        </w:rPr>
        <w:t>l objetivo</w:t>
      </w:r>
      <w:r w:rsidR="003F3854" w:rsidRPr="00AD7158">
        <w:rPr>
          <w:lang w:val="es-ES_tradnl"/>
        </w:rPr>
        <w:t xml:space="preserve"> del</w:t>
      </w:r>
      <w:r w:rsidR="006441C7" w:rsidRPr="00AD7158">
        <w:rPr>
          <w:lang w:val="es-ES_tradnl"/>
        </w:rPr>
        <w:t xml:space="preserve"> </w:t>
      </w:r>
      <w:r w:rsidR="003F3854" w:rsidRPr="00AD7158">
        <w:rPr>
          <w:lang w:val="es-ES_tradnl"/>
        </w:rPr>
        <w:t>derecho a recurrir el fallo</w:t>
      </w:r>
      <w:r w:rsidR="000C3AAC" w:rsidRPr="00AD7158">
        <w:rPr>
          <w:lang w:val="es-ES_tradnl"/>
        </w:rPr>
        <w:t>, protegido por el artículo 8.2.h,</w:t>
      </w:r>
      <w:r w:rsidR="003F3854" w:rsidRPr="00AD7158">
        <w:rPr>
          <w:lang w:val="es-ES_tradnl"/>
        </w:rPr>
        <w:t xml:space="preserve"> </w:t>
      </w:r>
      <w:r w:rsidR="006441C7" w:rsidRPr="00AD7158">
        <w:rPr>
          <w:lang w:val="es-ES_tradnl"/>
        </w:rPr>
        <w:t>es permitir que una sentencia adversa pueda ser revisada por un juez o tribunal distinto y de superior jerarquía orgánica</w:t>
      </w:r>
      <w:r w:rsidR="006441C7" w:rsidRPr="00AD7158">
        <w:rPr>
          <w:vertAlign w:val="superscript"/>
          <w:lang w:val="en-US"/>
        </w:rPr>
        <w:footnoteReference w:id="94"/>
      </w:r>
      <w:r w:rsidR="006441C7" w:rsidRPr="00AD7158">
        <w:rPr>
          <w:lang w:val="es-ES_tradnl"/>
        </w:rPr>
        <w:t xml:space="preserve"> y evitar que quede firme una decisión que fue adoptada con vicios y que contiene errores que ocasionarán un perjuicio indebido a los intereses de una persona</w:t>
      </w:r>
      <w:r w:rsidR="006441C7" w:rsidRPr="00AD7158">
        <w:rPr>
          <w:vertAlign w:val="superscript"/>
          <w:lang w:val="es-ES_tradnl"/>
        </w:rPr>
        <w:footnoteReference w:id="95"/>
      </w:r>
      <w:r w:rsidR="006441C7" w:rsidRPr="00AD7158">
        <w:rPr>
          <w:lang w:val="es-ES_tradnl"/>
        </w:rPr>
        <w:t>. La Corte ha sostenido que “la doble conformidad judicial, expresada mediante el acceso a un recurso que otorgue la posibilidad de una revisión íntegra del fallo condenatorio, confirma el fundamento y otorga mayor credibilidad al acto jurisdiccional del Estado, y al mismo tiempo brinda mayor seguridad y tutela a los derechos del condenado”</w:t>
      </w:r>
      <w:r w:rsidR="006441C7" w:rsidRPr="00AD7158">
        <w:rPr>
          <w:vertAlign w:val="superscript"/>
          <w:lang w:val="en-US"/>
        </w:rPr>
        <w:footnoteReference w:id="96"/>
      </w:r>
      <w:r w:rsidR="006441C7" w:rsidRPr="00AD7158">
        <w:rPr>
          <w:lang w:val="es-ES_tradnl"/>
        </w:rPr>
        <w:t>.</w:t>
      </w:r>
      <w:r w:rsidR="009009AD" w:rsidRPr="00AD7158">
        <w:rPr>
          <w:lang w:val="es-ES_tradnl"/>
        </w:rPr>
        <w:t xml:space="preserve"> E</w:t>
      </w:r>
      <w:r w:rsidR="006441C7" w:rsidRPr="00AD7158">
        <w:rPr>
          <w:lang w:val="es-ES_tradnl"/>
        </w:rPr>
        <w:t>s irrelevante la denominación o el nombre con el que se designe a este recurso</w:t>
      </w:r>
      <w:r w:rsidR="006441C7" w:rsidRPr="00AD7158">
        <w:rPr>
          <w:vertAlign w:val="superscript"/>
          <w:lang w:val="es-ES_tradnl"/>
        </w:rPr>
        <w:footnoteReference w:id="97"/>
      </w:r>
      <w:r w:rsidR="006441C7" w:rsidRPr="00AD7158">
        <w:rPr>
          <w:lang w:val="es-ES_tradnl"/>
        </w:rPr>
        <w:t>, lo importante es que cumpla con determinados estándares. En primer lugar, debe proceder antes que la sentencia adquiera calidad de cosa juzgada</w:t>
      </w:r>
      <w:r w:rsidR="006441C7" w:rsidRPr="00AD7158">
        <w:rPr>
          <w:vertAlign w:val="superscript"/>
          <w:lang w:val="es-ES_tradnl"/>
        </w:rPr>
        <w:footnoteReference w:id="98"/>
      </w:r>
      <w:r w:rsidR="006441C7" w:rsidRPr="00AD7158">
        <w:rPr>
          <w:lang w:val="es-ES_tradnl"/>
        </w:rPr>
        <w:t xml:space="preserve"> y debe ser resuelto en un plazo razonable, es decir, debe ser oportuno. Asimismo, debe ser un recurso eficaz, es decir, debe dar resultados o respuestas al fin para el cual fue concebido</w:t>
      </w:r>
      <w:r w:rsidR="006441C7" w:rsidRPr="00AD7158">
        <w:rPr>
          <w:vertAlign w:val="superscript"/>
          <w:lang w:val="es-ES_tradnl"/>
        </w:rPr>
        <w:footnoteReference w:id="99"/>
      </w:r>
      <w:r w:rsidR="006441C7" w:rsidRPr="00AD7158">
        <w:rPr>
          <w:lang w:val="es-ES_tradnl"/>
        </w:rPr>
        <w:t>, esto es, evitar la consolidación de una situación de injusticia. Además, debe ser accesible, sin requerir mayores formalidades que tornen ilusorio el derecho</w:t>
      </w:r>
      <w:r w:rsidR="006441C7" w:rsidRPr="00AD7158">
        <w:rPr>
          <w:vertAlign w:val="superscript"/>
          <w:lang w:val="es-ES_tradnl"/>
        </w:rPr>
        <w:footnoteReference w:id="100"/>
      </w:r>
      <w:r w:rsidR="006441C7" w:rsidRPr="00AD7158">
        <w:rPr>
          <w:lang w:val="es-ES_tradnl"/>
        </w:rPr>
        <w:t xml:space="preserve">. </w:t>
      </w:r>
    </w:p>
    <w:p w14:paraId="15693C78" w14:textId="77777777" w:rsidR="00FE1DCD" w:rsidRPr="00AD7158" w:rsidRDefault="00FE1DCD" w:rsidP="00FE1DCD">
      <w:pPr>
        <w:pStyle w:val="ListParagraph"/>
        <w:rPr>
          <w:lang w:val="es-ES_tradnl"/>
        </w:rPr>
      </w:pPr>
    </w:p>
    <w:p w14:paraId="0141930D" w14:textId="77777777" w:rsidR="006441C7" w:rsidRPr="00AD7158" w:rsidRDefault="006441C7" w:rsidP="00FE1DCD">
      <w:pPr>
        <w:pStyle w:val="parrafos"/>
        <w:ind w:left="0" w:firstLine="0"/>
        <w:rPr>
          <w:lang w:val="es-ES_tradnl"/>
        </w:rPr>
      </w:pPr>
      <w:r w:rsidRPr="00AD7158">
        <w:t xml:space="preserve">La eficacia del recurso se encuentra estrechamente vinculada con el alcance de las </w:t>
      </w:r>
      <w:r w:rsidRPr="00AD7158">
        <w:rPr>
          <w:spacing w:val="-2"/>
        </w:rPr>
        <w:t>posibilidades</w:t>
      </w:r>
      <w:r w:rsidRPr="00AD7158">
        <w:t xml:space="preserve"> de recurrir el fallo</w:t>
      </w:r>
      <w:r w:rsidRPr="00AD7158">
        <w:rPr>
          <w:rStyle w:val="FootnoteReference"/>
          <w:sz w:val="20"/>
          <w:lang w:val="es-ES_tradnl"/>
        </w:rPr>
        <w:footnoteReference w:id="101"/>
      </w:r>
      <w:r w:rsidRPr="00AD7158">
        <w:t xml:space="preserve">. Esto, debido a que la posibilidad de que las autoridades judiciales cometan errores que generen una situación de injusticia, no se limita a la aplicación de la ley, sino que incluye otros aspectos tales como la determinación de los hechos o los criterios de valoración probatoria. De esta manera, el recurso será eficaz para lograr la finalidad para el cual fue concebido, si permite una revisión sobre tales cuestiones sin limitar </w:t>
      </w:r>
      <w:r w:rsidRPr="00AD7158">
        <w:rPr>
          <w:i/>
        </w:rPr>
        <w:t>a priori</w:t>
      </w:r>
      <w:r w:rsidRPr="00AD7158">
        <w:t xml:space="preserve"> su procedencia a determinados extremos de la actuación de la autoridad judicial</w:t>
      </w:r>
      <w:r w:rsidRPr="00AD7158">
        <w:rPr>
          <w:rStyle w:val="FootnoteReference"/>
          <w:sz w:val="20"/>
          <w:lang w:val="es-ES_tradnl"/>
        </w:rPr>
        <w:footnoteReference w:id="102"/>
      </w:r>
      <w:r w:rsidRPr="00AD7158">
        <w:t xml:space="preserve">. </w:t>
      </w:r>
    </w:p>
    <w:p w14:paraId="4BB309D4" w14:textId="77777777" w:rsidR="006441C7" w:rsidRPr="00AD7158" w:rsidRDefault="006441C7" w:rsidP="00B419FB">
      <w:pPr>
        <w:tabs>
          <w:tab w:val="left" w:pos="1440"/>
        </w:tabs>
        <w:jc w:val="both"/>
        <w:rPr>
          <w:rFonts w:asciiTheme="majorHAnsi" w:hAnsiTheme="majorHAnsi"/>
          <w:sz w:val="20"/>
          <w:szCs w:val="20"/>
          <w:lang w:val="es-ES_tradnl"/>
        </w:rPr>
      </w:pPr>
    </w:p>
    <w:p w14:paraId="2E8CD505" w14:textId="77777777" w:rsidR="006441C7" w:rsidRPr="00AD7158" w:rsidRDefault="000C3AAC" w:rsidP="00BE0BB1">
      <w:pPr>
        <w:pStyle w:val="parrafos"/>
        <w:ind w:left="0" w:firstLine="0"/>
      </w:pPr>
      <w:r w:rsidRPr="00AD7158">
        <w:rPr>
          <w:lang w:val="es-ES_tradnl"/>
        </w:rPr>
        <w:t>I</w:t>
      </w:r>
      <w:r w:rsidR="00AB61F9" w:rsidRPr="00AD7158">
        <w:t>ndependientemente</w:t>
      </w:r>
      <w:r w:rsidR="006441C7" w:rsidRPr="00AD7158">
        <w:t xml:space="preserve"> del régimen o sistema rec</w:t>
      </w:r>
      <w:r w:rsidR="008B3839" w:rsidRPr="00AD7158">
        <w:t>ursivo que adopten los Estados p</w:t>
      </w:r>
      <w:r w:rsidR="006441C7" w:rsidRPr="00AD7158">
        <w:t xml:space="preserve">arte y la denominación que den al medio de impugnación de la sentencia condenatoria, para que éste sea eficaz debe constituir </w:t>
      </w:r>
      <w:r w:rsidR="006441C7" w:rsidRPr="00AD7158">
        <w:rPr>
          <w:lang w:val="es-CR"/>
        </w:rPr>
        <w:t>un medio adecuado para procurar la corrección de una condena errónea</w:t>
      </w:r>
      <w:r w:rsidR="006441C7" w:rsidRPr="00AD7158">
        <w:rPr>
          <w:rStyle w:val="FootnoteReference"/>
          <w:sz w:val="20"/>
          <w:lang w:val="es-CR"/>
        </w:rPr>
        <w:footnoteReference w:id="103"/>
      </w:r>
      <w:r w:rsidR="006441C7" w:rsidRPr="00AD7158">
        <w:rPr>
          <w:lang w:val="es-CR"/>
        </w:rPr>
        <w:t xml:space="preserve">. Ello requiere que </w:t>
      </w:r>
      <w:r w:rsidR="006441C7" w:rsidRPr="00AD7158">
        <w:t>pueda</w:t>
      </w:r>
      <w:r w:rsidR="006441C7" w:rsidRPr="00AD7158">
        <w:rPr>
          <w:lang w:val="es-CR"/>
        </w:rPr>
        <w:t xml:space="preserve"> analizar las cuestiones fácticas, probatorias y jurídicas </w:t>
      </w:r>
      <w:r w:rsidR="006441C7" w:rsidRPr="00AD7158">
        <w:t xml:space="preserve">en que se basa la sentencia impugnada, puesto que en la actividad jurisdiccional existe una interdependencia entre las determinaciones fácticas y la aplicación del derecho, de forma tal que una errónea determinación de los hechos implica una errada o indebida aplicación del derecho. </w:t>
      </w:r>
      <w:r w:rsidR="006441C7" w:rsidRPr="00AD7158">
        <w:rPr>
          <w:lang w:val="es-CR"/>
        </w:rPr>
        <w:t xml:space="preserve">Consecuentemente, las causales de procedencia del recurso deben </w:t>
      </w:r>
      <w:r w:rsidR="006441C7" w:rsidRPr="00AD7158">
        <w:t xml:space="preserve">posibilitar un control amplio de los aspectos </w:t>
      </w:r>
      <w:r w:rsidR="006441C7" w:rsidRPr="00AD7158">
        <w:lastRenderedPageBreak/>
        <w:t>impugnados de la sentencia condenatoria</w:t>
      </w:r>
      <w:r w:rsidR="006441C7" w:rsidRPr="00AD7158">
        <w:rPr>
          <w:rStyle w:val="FootnoteReference"/>
          <w:sz w:val="20"/>
        </w:rPr>
        <w:footnoteReference w:id="104"/>
      </w:r>
      <w:r w:rsidR="006441C7" w:rsidRPr="00AD7158">
        <w:t>. La Corte precisó</w:t>
      </w:r>
      <w:r w:rsidRPr="00AD7158">
        <w:t xml:space="preserve"> </w:t>
      </w:r>
      <w:r w:rsidR="006441C7" w:rsidRPr="00AD7158">
        <w:t xml:space="preserve">que el recurso debe respetar </w:t>
      </w:r>
      <w:r w:rsidR="006441C7" w:rsidRPr="00AD7158">
        <w:rPr>
          <w:lang w:val="es-CR"/>
        </w:rPr>
        <w:t xml:space="preserve">las garantías procesales mínimas que, bajo el artículo 8 de la </w:t>
      </w:r>
      <w:r w:rsidR="00B904EF" w:rsidRPr="00AD7158">
        <w:rPr>
          <w:lang w:val="es-CR"/>
        </w:rPr>
        <w:t>CADH</w:t>
      </w:r>
      <w:r w:rsidR="006441C7" w:rsidRPr="00AD7158">
        <w:rPr>
          <w:lang w:val="es-CR"/>
        </w:rPr>
        <w:t xml:space="preserve"> resulten relevantes y necesarias para resolver los agravios planteados por el recurrente, lo cual no implica que deba realizarse un nuevo juicio</w:t>
      </w:r>
      <w:r w:rsidR="006441C7" w:rsidRPr="00AD7158">
        <w:rPr>
          <w:rStyle w:val="FootnoteReference"/>
          <w:sz w:val="20"/>
          <w:lang w:val="es-CR"/>
        </w:rPr>
        <w:footnoteReference w:id="105"/>
      </w:r>
      <w:r w:rsidR="006441C7" w:rsidRPr="00AD7158">
        <w:rPr>
          <w:lang w:val="es-CR"/>
        </w:rPr>
        <w:t>.</w:t>
      </w:r>
    </w:p>
    <w:p w14:paraId="6BD4FF4C" w14:textId="77777777" w:rsidR="006441C7" w:rsidRPr="00AD7158" w:rsidRDefault="006441C7" w:rsidP="00B419FB">
      <w:pPr>
        <w:jc w:val="both"/>
        <w:rPr>
          <w:rFonts w:asciiTheme="majorHAnsi" w:hAnsiTheme="majorHAnsi"/>
          <w:sz w:val="20"/>
          <w:szCs w:val="20"/>
          <w:lang w:val="es-ES_tradnl"/>
        </w:rPr>
      </w:pPr>
    </w:p>
    <w:p w14:paraId="655308AF" w14:textId="77777777" w:rsidR="006441C7" w:rsidRPr="00AD7158" w:rsidRDefault="00DB7A50" w:rsidP="0031032D">
      <w:pPr>
        <w:pStyle w:val="parrafos"/>
        <w:ind w:left="0" w:firstLine="0"/>
      </w:pPr>
      <w:r w:rsidRPr="00AD7158">
        <w:t>E</w:t>
      </w:r>
      <w:r w:rsidR="006441C7" w:rsidRPr="00AD7158">
        <w:t>n cuanto a la accesibilidad</w:t>
      </w:r>
      <w:r w:rsidR="006441C7" w:rsidRPr="00AD7158">
        <w:rPr>
          <w:i/>
        </w:rPr>
        <w:t xml:space="preserve"> </w:t>
      </w:r>
      <w:r w:rsidR="006441C7" w:rsidRPr="00AD7158">
        <w:t>del recurso, en principio, la regulación de exigencias mínimas para la procedencia del recurso no es incompatible con el derecho</w:t>
      </w:r>
      <w:r w:rsidR="000C3AAC" w:rsidRPr="00AD7158">
        <w:t xml:space="preserve"> contenido en el artículo 8.2.h</w:t>
      </w:r>
      <w:r w:rsidR="006441C7" w:rsidRPr="00AD7158">
        <w:t xml:space="preserve"> de la </w:t>
      </w:r>
      <w:r w:rsidR="00481464" w:rsidRPr="00AD7158">
        <w:t>CADH</w:t>
      </w:r>
      <w:r w:rsidR="006441C7" w:rsidRPr="00AD7158">
        <w:t xml:space="preserve">. Algunas de esas exigencias mínimas son, por ejemplo, la presentación del recurso como tal o la regulación de un plazo razonable de </w:t>
      </w:r>
      <w:r w:rsidR="00481464" w:rsidRPr="00AD7158">
        <w:t>interposición</w:t>
      </w:r>
      <w:r w:rsidR="006441C7" w:rsidRPr="00AD7158">
        <w:rPr>
          <w:rStyle w:val="FootnoteReference"/>
          <w:sz w:val="20"/>
          <w:lang w:val="es-ES_tradnl"/>
        </w:rPr>
        <w:footnoteReference w:id="106"/>
      </w:r>
      <w:r w:rsidR="006441C7" w:rsidRPr="00AD7158">
        <w:t>. Sin embargo, en ciertas circunstancias, el rechazo de los recursos sobre la base del incumplimiento de requisitos formales establecidos legalmente o definidos mediante la práctica judicial en una región determinada, puede resultar en una violación del derecho a recurrir el fallo</w:t>
      </w:r>
      <w:r w:rsidR="006441C7" w:rsidRPr="00AD7158">
        <w:rPr>
          <w:rStyle w:val="FootnoteReference"/>
          <w:sz w:val="20"/>
          <w:lang w:val="es-ES_tradnl"/>
        </w:rPr>
        <w:footnoteReference w:id="107"/>
      </w:r>
      <w:r w:rsidR="006441C7" w:rsidRPr="00AD7158">
        <w:t>.</w:t>
      </w:r>
      <w:r w:rsidR="00560958" w:rsidRPr="00AD7158">
        <w:t xml:space="preserve"> </w:t>
      </w:r>
    </w:p>
    <w:p w14:paraId="3D810800" w14:textId="77777777" w:rsidR="00787B61" w:rsidRPr="00AD7158" w:rsidRDefault="00787B61" w:rsidP="0081714A">
      <w:pPr>
        <w:pStyle w:val="parrafos"/>
        <w:numPr>
          <w:ilvl w:val="0"/>
          <w:numId w:val="0"/>
        </w:numPr>
        <w:rPr>
          <w:b/>
          <w:lang w:val="es-AR"/>
        </w:rPr>
      </w:pPr>
    </w:p>
    <w:p w14:paraId="1A1CCD75" w14:textId="77777777" w:rsidR="00787B61" w:rsidRPr="00AD7158" w:rsidRDefault="00787B61" w:rsidP="002D46B7">
      <w:pPr>
        <w:pStyle w:val="ListParagraph"/>
        <w:numPr>
          <w:ilvl w:val="0"/>
          <w:numId w:val="59"/>
        </w:numPr>
        <w:rPr>
          <w:b/>
          <w:sz w:val="20"/>
          <w:szCs w:val="20"/>
        </w:rPr>
      </w:pPr>
      <w:r w:rsidRPr="00AD7158">
        <w:rPr>
          <w:b/>
          <w:sz w:val="20"/>
          <w:szCs w:val="20"/>
        </w:rPr>
        <w:t>Análisis del presente caso</w:t>
      </w:r>
    </w:p>
    <w:p w14:paraId="5E02B2BB" w14:textId="77777777" w:rsidR="00D5548C" w:rsidRPr="00AD7158" w:rsidRDefault="00D5548C" w:rsidP="00D5548C">
      <w:pPr>
        <w:pStyle w:val="parrafos"/>
        <w:numPr>
          <w:ilvl w:val="0"/>
          <w:numId w:val="0"/>
        </w:numPr>
      </w:pPr>
    </w:p>
    <w:p w14:paraId="288F96BD" w14:textId="77777777" w:rsidR="00102217" w:rsidRPr="00AD7158" w:rsidRDefault="0081714A" w:rsidP="000B7791">
      <w:pPr>
        <w:pStyle w:val="parrafos"/>
        <w:ind w:left="0" w:firstLine="0"/>
      </w:pPr>
      <w:r w:rsidRPr="00AD7158">
        <w:t>L</w:t>
      </w:r>
      <w:r w:rsidR="00D5548C" w:rsidRPr="00AD7158">
        <w:t xml:space="preserve">a defensa </w:t>
      </w:r>
      <w:r w:rsidR="00AB2D6D" w:rsidRPr="00AD7158">
        <w:rPr>
          <w:lang w:val="es-AR"/>
        </w:rPr>
        <w:t>de</w:t>
      </w:r>
      <w:r w:rsidRPr="00AD7158">
        <w:rPr>
          <w:lang w:val="es-AR"/>
        </w:rPr>
        <w:t>l señor</w:t>
      </w:r>
      <w:r w:rsidR="00AB2D6D" w:rsidRPr="00AD7158">
        <w:rPr>
          <w:lang w:val="es-AR"/>
        </w:rPr>
        <w:t xml:space="preserve"> </w:t>
      </w:r>
      <w:r w:rsidR="00D5548C" w:rsidRPr="00AD7158">
        <w:rPr>
          <w:lang w:val="es-AR"/>
        </w:rPr>
        <w:t>Álvarez</w:t>
      </w:r>
      <w:r w:rsidR="00D5548C" w:rsidRPr="00AD7158">
        <w:rPr>
          <w:lang w:val="es-ES_tradnl"/>
        </w:rPr>
        <w:t xml:space="preserve"> interpuso recurso de casación, extraordinario federal y queja, contra la sentencia el </w:t>
      </w:r>
      <w:r w:rsidR="00D5548C" w:rsidRPr="00AD7158">
        <w:rPr>
          <w:lang w:val="es-AR"/>
        </w:rPr>
        <w:t>28 de octubre de 1999</w:t>
      </w:r>
      <w:r w:rsidR="000B7029" w:rsidRPr="00AD7158">
        <w:rPr>
          <w:lang w:val="es-ES_tradnl"/>
        </w:rPr>
        <w:t xml:space="preserve"> que lo</w:t>
      </w:r>
      <w:r w:rsidR="00D5548C" w:rsidRPr="00AD7158">
        <w:rPr>
          <w:lang w:val="es-ES_tradnl"/>
        </w:rPr>
        <w:t xml:space="preserve"> </w:t>
      </w:r>
      <w:r w:rsidR="004756E2" w:rsidRPr="00AD7158">
        <w:rPr>
          <w:lang w:val="es-ES_tradnl"/>
        </w:rPr>
        <w:t xml:space="preserve">condenó </w:t>
      </w:r>
      <w:r w:rsidR="00D5548C" w:rsidRPr="00AD7158">
        <w:rPr>
          <w:lang w:val="es-AR"/>
        </w:rPr>
        <w:t>a la pena de reclusión perpetua más la accesoria de reclusión por tiempo indeterminado de cumplimiento</w:t>
      </w:r>
      <w:r w:rsidR="005C75B1" w:rsidRPr="00AD7158">
        <w:rPr>
          <w:lang w:val="es-AR"/>
        </w:rPr>
        <w:t xml:space="preserve"> efectivo, más las a</w:t>
      </w:r>
      <w:r w:rsidR="00D5548C" w:rsidRPr="00AD7158">
        <w:rPr>
          <w:lang w:val="es-AR"/>
        </w:rPr>
        <w:t>ccesorias legales y costas</w:t>
      </w:r>
      <w:r w:rsidR="005C75B1" w:rsidRPr="00AD7158">
        <w:rPr>
          <w:lang w:val="es-AR"/>
        </w:rPr>
        <w:t xml:space="preserve">. </w:t>
      </w:r>
      <w:r w:rsidR="00D5548C" w:rsidRPr="00AD7158">
        <w:rPr>
          <w:lang w:val="es-AR"/>
        </w:rPr>
        <w:t>Según la legislación nacional</w:t>
      </w:r>
      <w:r w:rsidR="000B7791" w:rsidRPr="00AD7158">
        <w:rPr>
          <w:lang w:val="es-AR"/>
        </w:rPr>
        <w:t>,</w:t>
      </w:r>
      <w:r w:rsidR="00D5548C" w:rsidRPr="00AD7158">
        <w:rPr>
          <w:lang w:val="es-AR"/>
        </w:rPr>
        <w:t xml:space="preserve"> la casación es el recurso que procede en contra de una sentencia penal condenatoria de primera instancia</w:t>
      </w:r>
      <w:r w:rsidR="00CB319F" w:rsidRPr="00AD7158">
        <w:rPr>
          <w:lang w:val="es-AR"/>
        </w:rPr>
        <w:t xml:space="preserve">, por tanto, </w:t>
      </w:r>
      <w:r w:rsidR="00D5548C" w:rsidRPr="00AD7158">
        <w:rPr>
          <w:lang w:val="es-AR"/>
        </w:rPr>
        <w:t>es el recurso principal</w:t>
      </w:r>
      <w:r w:rsidR="00FE66C2" w:rsidRPr="00AD7158">
        <w:rPr>
          <w:lang w:val="es-AR"/>
        </w:rPr>
        <w:t xml:space="preserve"> que la CIDH debe analizar a fin de determinar si el mismo satisface las exigencias del derecho </w:t>
      </w:r>
      <w:r w:rsidRPr="00AD7158">
        <w:rPr>
          <w:lang w:val="es-AR"/>
        </w:rPr>
        <w:t>consagrado en el artículo 8.2.h</w:t>
      </w:r>
      <w:r w:rsidR="00FE66C2" w:rsidRPr="00AD7158">
        <w:rPr>
          <w:lang w:val="es-AR"/>
        </w:rPr>
        <w:t xml:space="preserve"> de la </w:t>
      </w:r>
      <w:r w:rsidR="004756E2" w:rsidRPr="00AD7158">
        <w:rPr>
          <w:lang w:val="es-AR"/>
        </w:rPr>
        <w:t>CADH</w:t>
      </w:r>
      <w:r w:rsidR="00FE66C2" w:rsidRPr="00AD7158">
        <w:rPr>
          <w:rStyle w:val="FootnoteReference"/>
          <w:sz w:val="20"/>
          <w:lang w:val="es-AR"/>
        </w:rPr>
        <w:footnoteReference w:id="108"/>
      </w:r>
      <w:r w:rsidR="00FE66C2" w:rsidRPr="00AD7158">
        <w:rPr>
          <w:lang w:val="es-AR"/>
        </w:rPr>
        <w:t>.</w:t>
      </w:r>
    </w:p>
    <w:p w14:paraId="27968C3B" w14:textId="77777777" w:rsidR="00D5548C" w:rsidRPr="00AD7158" w:rsidRDefault="00D5548C" w:rsidP="00FE66C2">
      <w:pPr>
        <w:pStyle w:val="parrafos"/>
        <w:numPr>
          <w:ilvl w:val="0"/>
          <w:numId w:val="0"/>
        </w:numPr>
      </w:pPr>
    </w:p>
    <w:p w14:paraId="558E766B" w14:textId="77777777" w:rsidR="006503B6" w:rsidRPr="00AD7158" w:rsidRDefault="0081714A" w:rsidP="00284D8B">
      <w:pPr>
        <w:pStyle w:val="parrafos"/>
        <w:ind w:left="0" w:firstLine="0"/>
      </w:pPr>
      <w:r w:rsidRPr="00AD7158">
        <w:t>L</w:t>
      </w:r>
      <w:r w:rsidR="00EA7707" w:rsidRPr="00AD7158">
        <w:t xml:space="preserve">a </w:t>
      </w:r>
      <w:r w:rsidR="00B60327" w:rsidRPr="00AD7158">
        <w:t>CIDH</w:t>
      </w:r>
      <w:r w:rsidR="00EA7707" w:rsidRPr="00AD7158">
        <w:t xml:space="preserve"> destaca que el artículo 456 del CPPN regula los dos motivos que pueden alegarse en un recurso de casación: inobservancia o errónea aplicación de la ley sustantiva; o inobservancia de normas procesales en ciertas circunstancias. </w:t>
      </w:r>
      <w:r w:rsidRPr="00AD7158">
        <w:t>L</w:t>
      </w:r>
      <w:r w:rsidR="00E9098A" w:rsidRPr="00AD7158">
        <w:t>a propia regulación limita e</w:t>
      </w:r>
      <w:r w:rsidR="00EA7707" w:rsidRPr="00AD7158">
        <w:t>l recurso de casación a errores de derecho tanto sustantivos como procesales.</w:t>
      </w:r>
      <w:r w:rsidR="00284D8B" w:rsidRPr="00AD7158">
        <w:t xml:space="preserve"> </w:t>
      </w:r>
      <w:r w:rsidRPr="00AD7158">
        <w:t>E</w:t>
      </w:r>
      <w:r w:rsidR="00DB751C" w:rsidRPr="00AD7158">
        <w:t xml:space="preserve">ste marco legal dio lugar a una práctica judicial descrita en la sección de hechos probados, reconocida por la </w:t>
      </w:r>
      <w:r w:rsidR="00550921" w:rsidRPr="00AD7158">
        <w:t>CSJN</w:t>
      </w:r>
      <w:r w:rsidR="006503B6" w:rsidRPr="00AD7158">
        <w:t xml:space="preserve"> en el ámbito federal</w:t>
      </w:r>
      <w:r w:rsidRPr="00AD7158">
        <w:t xml:space="preserve"> que </w:t>
      </w:r>
      <w:r w:rsidR="00DB751C" w:rsidRPr="00AD7158">
        <w:t>consistía en interpretar restrictivamente el marco legal que regula el recurso de casación, de forma tal que quedaban excluidos de la revisión cuestiones de hecho o de valoración probatoria</w:t>
      </w:r>
      <w:r w:rsidR="00284D8B" w:rsidRPr="00AD7158">
        <w:t xml:space="preserve">. </w:t>
      </w:r>
      <w:r w:rsidR="006503B6" w:rsidRPr="00AD7158">
        <w:t xml:space="preserve">En virtud de lo anterior, en términos generales existía una seria limitación en la ley y en la práctica en cuanto a las perspectivas de efectividad de cualquier alegato que no se enmarcara dentro de lo que históricamente se había considerado “revisable” mediante el recurso de casación. </w:t>
      </w:r>
    </w:p>
    <w:p w14:paraId="5561CF8C" w14:textId="77777777" w:rsidR="00284D8B" w:rsidRPr="00AD7158" w:rsidRDefault="00284D8B" w:rsidP="00284D8B">
      <w:pPr>
        <w:pStyle w:val="ListParagraph"/>
      </w:pPr>
    </w:p>
    <w:p w14:paraId="2463FE2F" w14:textId="77777777" w:rsidR="00C935BF" w:rsidRPr="00AD7158" w:rsidRDefault="00284D8B" w:rsidP="00C935BF">
      <w:pPr>
        <w:pStyle w:val="parrafos"/>
        <w:ind w:left="0" w:firstLine="0"/>
      </w:pPr>
      <w:r w:rsidRPr="00AD7158">
        <w:t xml:space="preserve">En el presente caso, </w:t>
      </w:r>
      <w:r w:rsidR="001720B5" w:rsidRPr="00AD7158">
        <w:t xml:space="preserve">el </w:t>
      </w:r>
      <w:r w:rsidR="001720B5" w:rsidRPr="00AD7158">
        <w:rPr>
          <w:bdr w:val="none" w:sz="0" w:space="0" w:color="auto" w:frame="1"/>
        </w:rPr>
        <w:t xml:space="preserve">30 de noviembre de 1999 </w:t>
      </w:r>
      <w:r w:rsidR="00996680" w:rsidRPr="00AD7158">
        <w:t xml:space="preserve">el TOM declaró </w:t>
      </w:r>
      <w:r w:rsidRPr="00AD7158">
        <w:t xml:space="preserve">parcialmente inadmisible </w:t>
      </w:r>
      <w:r w:rsidR="00C257CE" w:rsidRPr="00AD7158">
        <w:t>el recurso de casación</w:t>
      </w:r>
      <w:r w:rsidRPr="00AD7158">
        <w:t xml:space="preserve">, </w:t>
      </w:r>
      <w:r w:rsidR="00C257CE" w:rsidRPr="00AD7158">
        <w:t xml:space="preserve">actuando </w:t>
      </w:r>
      <w:r w:rsidRPr="00AD7158">
        <w:t xml:space="preserve">como </w:t>
      </w:r>
      <w:r w:rsidR="00C257CE" w:rsidRPr="00AD7158">
        <w:t xml:space="preserve">tribunal </w:t>
      </w:r>
      <w:r w:rsidRPr="00AD7158">
        <w:t>habil</w:t>
      </w:r>
      <w:r w:rsidR="00B64ED9" w:rsidRPr="00AD7158">
        <w:t>itador de instancia superior. L</w:t>
      </w:r>
      <w:r w:rsidRPr="00AD7158">
        <w:t xml:space="preserve">a CIDH </w:t>
      </w:r>
      <w:r w:rsidR="001720B5" w:rsidRPr="00AD7158">
        <w:t>identifica</w:t>
      </w:r>
      <w:r w:rsidRPr="00AD7158">
        <w:t xml:space="preserve"> que los argumentos formulados por la defensa</w:t>
      </w:r>
      <w:r w:rsidR="00C257CE" w:rsidRPr="00AD7158">
        <w:t xml:space="preserve"> </w:t>
      </w:r>
      <w:r w:rsidR="00EF31BB" w:rsidRPr="00AD7158">
        <w:t>sobre</w:t>
      </w:r>
      <w:r w:rsidR="00C257CE" w:rsidRPr="00AD7158">
        <w:t xml:space="preserve"> </w:t>
      </w:r>
      <w:r w:rsidR="00A35C01" w:rsidRPr="00AD7158">
        <w:t>cuestiones</w:t>
      </w:r>
      <w:r w:rsidRPr="00AD7158">
        <w:t xml:space="preserve"> de hecho</w:t>
      </w:r>
      <w:r w:rsidR="00EF31BB" w:rsidRPr="00AD7158">
        <w:t xml:space="preserve"> y derecho</w:t>
      </w:r>
      <w:r w:rsidR="000B5228" w:rsidRPr="00AD7158">
        <w:t xml:space="preserve">, </w:t>
      </w:r>
      <w:r w:rsidRPr="00AD7158">
        <w:t>valoración probatoria, y violaciones al debido proceso, fueron</w:t>
      </w:r>
      <w:r w:rsidR="00C257CE" w:rsidRPr="00AD7158">
        <w:t>,</w:t>
      </w:r>
      <w:r w:rsidRPr="00AD7158">
        <w:t xml:space="preserve"> en general, considerados inadmisibles</w:t>
      </w:r>
      <w:r w:rsidR="001720B5" w:rsidRPr="00AD7158">
        <w:t xml:space="preserve">, por lo que </w:t>
      </w:r>
      <w:r w:rsidRPr="00AD7158">
        <w:t xml:space="preserve">el tribunal </w:t>
      </w:r>
      <w:r w:rsidRPr="00AD7158">
        <w:rPr>
          <w:i/>
          <w:iCs/>
        </w:rPr>
        <w:t xml:space="preserve">ad quem </w:t>
      </w:r>
      <w:r w:rsidRPr="00AD7158">
        <w:t>no entró a analizar los alegatos de fondo</w:t>
      </w:r>
      <w:r w:rsidR="001720B5" w:rsidRPr="00AD7158">
        <w:t xml:space="preserve"> sobre estos aspectos. </w:t>
      </w:r>
      <w:r w:rsidR="00674176" w:rsidRPr="00AD7158">
        <w:t>L</w:t>
      </w:r>
      <w:r w:rsidR="00BB0E9F" w:rsidRPr="00AD7158">
        <w:t>a</w:t>
      </w:r>
      <w:r w:rsidR="00A35C01" w:rsidRPr="00AD7158">
        <w:t xml:space="preserve"> </w:t>
      </w:r>
      <w:r w:rsidRPr="00AD7158">
        <w:t xml:space="preserve">decisión </w:t>
      </w:r>
      <w:r w:rsidR="000B5228" w:rsidRPr="00AD7158">
        <w:t>i</w:t>
      </w:r>
      <w:r w:rsidRPr="00AD7158">
        <w:t>ncluyó motivaciones que evidencia</w:t>
      </w:r>
      <w:r w:rsidR="000B5228" w:rsidRPr="00AD7158">
        <w:t>n</w:t>
      </w:r>
      <w:r w:rsidRPr="00AD7158">
        <w:t xml:space="preserve"> que el rechazo se debió a la práctica judicial de interpretación restrictiva de la regulación del recurso de casación. </w:t>
      </w:r>
      <w:r w:rsidR="00BF517B" w:rsidRPr="00AD7158">
        <w:t>Adicionalmente</w:t>
      </w:r>
      <w:r w:rsidR="000B5228" w:rsidRPr="00AD7158">
        <w:t xml:space="preserve">, </w:t>
      </w:r>
      <w:r w:rsidRPr="00AD7158">
        <w:t xml:space="preserve">la </w:t>
      </w:r>
      <w:r w:rsidR="000B5228" w:rsidRPr="00AD7158">
        <w:t xml:space="preserve">Sala II de la </w:t>
      </w:r>
      <w:r w:rsidRPr="00AD7158">
        <w:t>Cá</w:t>
      </w:r>
      <w:r w:rsidR="00BF517B" w:rsidRPr="00AD7158">
        <w:t>mara Nacional de Casación Penal</w:t>
      </w:r>
      <w:r w:rsidRPr="00AD7158">
        <w:t xml:space="preserve"> desestimó </w:t>
      </w:r>
      <w:r w:rsidR="000B5228" w:rsidRPr="00AD7158">
        <w:t>la c</w:t>
      </w:r>
      <w:r w:rsidRPr="00AD7158">
        <w:t xml:space="preserve">asación respecto del </w:t>
      </w:r>
      <w:r w:rsidR="00BB0E9F" w:rsidRPr="00AD7158">
        <w:t xml:space="preserve">único </w:t>
      </w:r>
      <w:r w:rsidRPr="00AD7158">
        <w:t xml:space="preserve">aspecto declarado procedente, </w:t>
      </w:r>
      <w:r w:rsidR="008463BE" w:rsidRPr="00AD7158">
        <w:t>el</w:t>
      </w:r>
      <w:r w:rsidRPr="00AD7158">
        <w:t xml:space="preserve"> 23 de junio de 2000</w:t>
      </w:r>
      <w:r w:rsidR="007836BD" w:rsidRPr="00AD7158">
        <w:rPr>
          <w:rStyle w:val="FootnoteReference"/>
        </w:rPr>
        <w:footnoteReference w:id="109"/>
      </w:r>
      <w:r w:rsidRPr="00AD7158">
        <w:t xml:space="preserve">. </w:t>
      </w:r>
      <w:r w:rsidR="00674176" w:rsidRPr="00AD7158">
        <w:t>E</w:t>
      </w:r>
      <w:r w:rsidR="00B943A1" w:rsidRPr="00AD7158">
        <w:t>l 14 de marzo de 2000, l</w:t>
      </w:r>
      <w:r w:rsidRPr="00AD7158">
        <w:t>a Cámara Nacional de Casación Penal</w:t>
      </w:r>
      <w:r w:rsidR="005F17FF" w:rsidRPr="00AD7158">
        <w:t xml:space="preserve"> </w:t>
      </w:r>
      <w:r w:rsidRPr="00AD7158">
        <w:t xml:space="preserve">validó </w:t>
      </w:r>
      <w:r w:rsidR="00B54DD3" w:rsidRPr="00AD7158">
        <w:t>la decisión</w:t>
      </w:r>
      <w:r w:rsidR="005F17FF" w:rsidRPr="00AD7158">
        <w:t xml:space="preserve"> del TOM de 30 de noviembre de 1999</w:t>
      </w:r>
      <w:r w:rsidR="00B54DD3" w:rsidRPr="00AD7158">
        <w:t xml:space="preserve">, </w:t>
      </w:r>
      <w:r w:rsidR="00FA4B32" w:rsidRPr="00AD7158">
        <w:t>rechazando la queja</w:t>
      </w:r>
      <w:r w:rsidR="002D7061" w:rsidRPr="00AD7158">
        <w:t xml:space="preserve"> presentada</w:t>
      </w:r>
      <w:r w:rsidR="007836BD" w:rsidRPr="00AD7158">
        <w:t>, sosteniendo que el TOM podía avanzar la revisión de cuestiones de admisibilidad, y refirió que lo impugnado escapaba al control de casación</w:t>
      </w:r>
      <w:r w:rsidR="002C683D" w:rsidRPr="00AD7158">
        <w:t xml:space="preserve">. </w:t>
      </w:r>
    </w:p>
    <w:p w14:paraId="2B1B2020" w14:textId="77777777" w:rsidR="00BD004A" w:rsidRPr="00AD7158" w:rsidRDefault="00BD004A" w:rsidP="00A54FA3">
      <w:pPr>
        <w:rPr>
          <w:lang w:val="es-ES"/>
        </w:rPr>
      </w:pPr>
    </w:p>
    <w:p w14:paraId="4AAC374D" w14:textId="77777777" w:rsidR="009028B2" w:rsidRPr="00AD7158" w:rsidRDefault="00BD004A" w:rsidP="00A54FA3">
      <w:pPr>
        <w:pStyle w:val="parrafos"/>
        <w:ind w:left="0" w:firstLine="0"/>
      </w:pPr>
      <w:r w:rsidRPr="00AD7158">
        <w:t xml:space="preserve">No corresponde a la </w:t>
      </w:r>
      <w:r w:rsidR="00C3608E" w:rsidRPr="00AD7158">
        <w:t>CIDH</w:t>
      </w:r>
      <w:r w:rsidRPr="00AD7158">
        <w:t xml:space="preserve"> determinar las posibles cuestiones que hubieran podido formularse en el presente caso de no haberse aplicado los factores limitantes. </w:t>
      </w:r>
      <w:r w:rsidR="0021396D" w:rsidRPr="00AD7158">
        <w:rPr>
          <w:lang w:val="es-AR"/>
        </w:rPr>
        <w:t>L</w:t>
      </w:r>
      <w:r w:rsidRPr="00AD7158">
        <w:rPr>
          <w:lang w:val="es-AR"/>
        </w:rPr>
        <w:t xml:space="preserve">a </w:t>
      </w:r>
      <w:r w:rsidR="00C3608E" w:rsidRPr="00AD7158">
        <w:t xml:space="preserve">CIDH </w:t>
      </w:r>
      <w:r w:rsidRPr="00AD7158">
        <w:rPr>
          <w:lang w:val="es-AR"/>
        </w:rPr>
        <w:t xml:space="preserve">ha referido </w:t>
      </w:r>
      <w:r w:rsidR="0021396D" w:rsidRPr="00AD7158">
        <w:rPr>
          <w:lang w:val="es-AR"/>
        </w:rPr>
        <w:t xml:space="preserve">que </w:t>
      </w:r>
      <w:r w:rsidRPr="00AD7158">
        <w:rPr>
          <w:lang w:val="es-AR"/>
        </w:rPr>
        <w:t>“r</w:t>
      </w:r>
      <w:r w:rsidRPr="00AD7158">
        <w:t xml:space="preserve">esulta suficiente </w:t>
      </w:r>
      <w:r w:rsidRPr="00AD7158">
        <w:lastRenderedPageBreak/>
        <w:t>determinar que las presuntas víctimas iniciaron la etapa recursiva con una limitación normativa respecto de los alegatos que podían presentar (…) operaba una exclusión automática de las cuestiones de hecho o valoración probatoria, sin análisis de la importancia o naturaleza de dichas cuestiones a la luz del caso concreto. Esta exclusión resulta, en sí misma, incompatible con el alcance amplio del recurso contemplado en el artículo 8.2</w:t>
      </w:r>
      <w:r w:rsidR="00BE4A4A" w:rsidRPr="00AD7158">
        <w:t>.h</w:t>
      </w:r>
      <w:r w:rsidRPr="00AD7158">
        <w:t xml:space="preserve"> de la Convención Americana”</w:t>
      </w:r>
      <w:r w:rsidRPr="00AD7158">
        <w:rPr>
          <w:rStyle w:val="FootnoteReference"/>
        </w:rPr>
        <w:footnoteReference w:id="110"/>
      </w:r>
      <w:r w:rsidRPr="00AD7158">
        <w:t>.</w:t>
      </w:r>
      <w:r w:rsidR="00A54FA3" w:rsidRPr="00AD7158">
        <w:t xml:space="preserve"> </w:t>
      </w:r>
      <w:r w:rsidR="009028B2" w:rsidRPr="00AD7158">
        <w:t xml:space="preserve">En todo caso, el alcance limitado del recurso de casación se vio reflejado en la manera en que fueron resueltos dichos recursos en el asunto concreto. </w:t>
      </w:r>
    </w:p>
    <w:p w14:paraId="4BD27058" w14:textId="77777777" w:rsidR="005A7B93" w:rsidRPr="00AD7158" w:rsidRDefault="005A7B93" w:rsidP="005A7B93">
      <w:pPr>
        <w:pStyle w:val="parrafos"/>
        <w:numPr>
          <w:ilvl w:val="0"/>
          <w:numId w:val="0"/>
        </w:numPr>
      </w:pPr>
    </w:p>
    <w:p w14:paraId="632CC4F8" w14:textId="77777777" w:rsidR="00D80110" w:rsidRPr="00AD7158" w:rsidRDefault="00CA1E74" w:rsidP="00D074CF">
      <w:pPr>
        <w:pStyle w:val="parrafos"/>
        <w:ind w:left="0" w:firstLine="0"/>
      </w:pPr>
      <w:r w:rsidRPr="00AD7158">
        <w:t>La CIDH estima que</w:t>
      </w:r>
      <w:r w:rsidR="00413A49" w:rsidRPr="00AD7158">
        <w:t>,</w:t>
      </w:r>
      <w:r w:rsidRPr="00AD7158">
        <w:t xml:space="preserve"> las limitaciones que la presunta víctima experimentó en relación con </w:t>
      </w:r>
      <w:r w:rsidR="00413A49" w:rsidRPr="00AD7158">
        <w:t xml:space="preserve">las causales de procedencia del recurso de casación, no podrían en principio haber sido </w:t>
      </w:r>
      <w:r w:rsidR="005A7B93" w:rsidRPr="00AD7158">
        <w:t>subsanadas</w:t>
      </w:r>
      <w:r w:rsidR="00413A49" w:rsidRPr="00AD7158">
        <w:t xml:space="preserve"> mediante la interposición del recurso extraordinario federal, el que a su vez, también contemplaba determinadas limitaciones de procedencia, conforme lo establecido </w:t>
      </w:r>
      <w:r w:rsidR="00570EF3" w:rsidRPr="00AD7158">
        <w:t>en el artículo 14 de la Ley 48</w:t>
      </w:r>
      <w:r w:rsidR="00D76059" w:rsidRPr="00AD7158">
        <w:rPr>
          <w:rStyle w:val="FootnoteReference"/>
        </w:rPr>
        <w:footnoteReference w:id="111"/>
      </w:r>
      <w:r w:rsidR="00570EF3" w:rsidRPr="00AD7158">
        <w:t>.</w:t>
      </w:r>
      <w:r w:rsidR="00D76059" w:rsidRPr="00AD7158">
        <w:t xml:space="preserve"> </w:t>
      </w:r>
      <w:r w:rsidR="007C5E08" w:rsidRPr="00AD7158">
        <w:t xml:space="preserve">Finalmente, la inadmisibilidad de este último recurso, fue ratificada luego por la </w:t>
      </w:r>
      <w:r w:rsidR="006A3D1F" w:rsidRPr="00AD7158">
        <w:t>CSJN</w:t>
      </w:r>
      <w:r w:rsidR="007C5E08" w:rsidRPr="00AD7158">
        <w:t xml:space="preserve">, con la improcedencia del recurso de queja. De esta forma, el recurso extraordinario fue rechazado </w:t>
      </w:r>
      <w:r w:rsidR="007C5E08" w:rsidRPr="00AD7158">
        <w:rPr>
          <w:i/>
        </w:rPr>
        <w:t>in limine</w:t>
      </w:r>
      <w:r w:rsidR="007C5E08" w:rsidRPr="00AD7158">
        <w:t xml:space="preserve">, por no haber sido dirigido contra sentencia dictada por el tribunal superior conforme al artículo 14 de la Ley 48. </w:t>
      </w:r>
    </w:p>
    <w:p w14:paraId="478D589A" w14:textId="77777777" w:rsidR="00D80110" w:rsidRPr="00AD7158" w:rsidRDefault="00D80110" w:rsidP="002D46B7">
      <w:pPr>
        <w:pStyle w:val="ListParagraph"/>
      </w:pPr>
    </w:p>
    <w:p w14:paraId="148CE51D" w14:textId="77777777" w:rsidR="00F84BB5" w:rsidRPr="00AD7158" w:rsidRDefault="00F84BB5" w:rsidP="00D80110">
      <w:pPr>
        <w:pStyle w:val="parrafos"/>
        <w:ind w:left="0" w:firstLine="0"/>
      </w:pPr>
      <w:r w:rsidRPr="00AD7158">
        <w:rPr>
          <w:lang w:val="es-AR"/>
        </w:rPr>
        <w:t xml:space="preserve">En virtud de las anteriores consideraciones, la </w:t>
      </w:r>
      <w:r w:rsidR="00A66244" w:rsidRPr="00AD7158">
        <w:rPr>
          <w:lang w:val="es-AR"/>
        </w:rPr>
        <w:t>CIDH</w:t>
      </w:r>
      <w:r w:rsidRPr="00AD7158">
        <w:rPr>
          <w:lang w:val="es-AR"/>
        </w:rPr>
        <w:t xml:space="preserve"> concluye que </w:t>
      </w:r>
      <w:r w:rsidRPr="00AD7158">
        <w:t xml:space="preserve">el señor </w:t>
      </w:r>
      <w:r w:rsidR="00D80110" w:rsidRPr="00AD7158">
        <w:t>Álvarez</w:t>
      </w:r>
      <w:r w:rsidRPr="00AD7158">
        <w:t xml:space="preserve"> no contó con un recurso ante autoridad jerárquica que efectuara una revisión integral de la condena emitida en su contra, incluyendo las cuestiones de hecho</w:t>
      </w:r>
      <w:r w:rsidR="00D80110" w:rsidRPr="00AD7158">
        <w:t>, derecho,</w:t>
      </w:r>
      <w:r w:rsidRPr="00AD7158">
        <w:t xml:space="preserve"> valoración probatoria</w:t>
      </w:r>
      <w:r w:rsidR="00D80110" w:rsidRPr="00AD7158">
        <w:t xml:space="preserve"> y debido proceso</w:t>
      </w:r>
      <w:r w:rsidRPr="00AD7158">
        <w:t xml:space="preserve"> alegadas por la defensa mediante el recurso de casación. En ese sentido, el Estado violó el derecho a recurrir del fallo establecido en el artículo 8.2</w:t>
      </w:r>
      <w:r w:rsidR="00BB4D34" w:rsidRPr="00AD7158">
        <w:t>.h</w:t>
      </w:r>
      <w:r w:rsidRPr="00AD7158">
        <w:t xml:space="preserve"> de la </w:t>
      </w:r>
      <w:r w:rsidR="00A66244" w:rsidRPr="00AD7158">
        <w:t>CADH</w:t>
      </w:r>
      <w:r w:rsidRPr="00AD7158">
        <w:t xml:space="preserve">, en relación con los artículos 1.1 y 2 del mismo instrumento. Asimismo, la </w:t>
      </w:r>
      <w:r w:rsidR="002E0DE4" w:rsidRPr="00AD7158">
        <w:t>CIDH</w:t>
      </w:r>
      <w:r w:rsidRPr="00AD7158">
        <w:t xml:space="preserve"> concluye que como consecuencia del carácter limitado del recurso de casación y aún más limitado del recurso extraordinario, la víctima no contó con recursos judiciales sencillos y efectivos en el marco del proceso penal que culminó con su condena, en violación también del derecho establecido en el artículo 25.1 de la Convención, en relación con las obligaciones de los artículos 1.1 y 2 del mismo instrumento.</w:t>
      </w:r>
    </w:p>
    <w:p w14:paraId="7C3E42DA" w14:textId="77777777" w:rsidR="00F84BB5" w:rsidRPr="00AD7158" w:rsidRDefault="00F84BB5" w:rsidP="002D46B7">
      <w:pPr>
        <w:pStyle w:val="ListParagraph"/>
      </w:pPr>
    </w:p>
    <w:p w14:paraId="7B97A3AC" w14:textId="77777777" w:rsidR="00F84BB5" w:rsidRPr="00AD7158" w:rsidRDefault="00BB4D34" w:rsidP="00E5333E">
      <w:pPr>
        <w:pStyle w:val="ListParagraph"/>
        <w:numPr>
          <w:ilvl w:val="0"/>
          <w:numId w:val="59"/>
        </w:numPr>
        <w:rPr>
          <w:b/>
          <w:sz w:val="20"/>
          <w:szCs w:val="20"/>
        </w:rPr>
      </w:pPr>
      <w:r w:rsidRPr="00AD7158">
        <w:rPr>
          <w:b/>
          <w:sz w:val="20"/>
          <w:szCs w:val="20"/>
        </w:rPr>
        <w:t>E</w:t>
      </w:r>
      <w:r w:rsidR="00F84BB5" w:rsidRPr="00AD7158">
        <w:rPr>
          <w:b/>
          <w:sz w:val="20"/>
          <w:szCs w:val="20"/>
        </w:rPr>
        <w:t>n cuanto a los desarrollos posterio</w:t>
      </w:r>
      <w:r w:rsidR="00E5333E" w:rsidRPr="00AD7158">
        <w:rPr>
          <w:b/>
          <w:sz w:val="20"/>
          <w:szCs w:val="20"/>
        </w:rPr>
        <w:t xml:space="preserve">res sobre el derecho a recurrir </w:t>
      </w:r>
      <w:r w:rsidR="00F84BB5" w:rsidRPr="00AD7158">
        <w:rPr>
          <w:b/>
          <w:sz w:val="20"/>
          <w:szCs w:val="20"/>
        </w:rPr>
        <w:t>del fallo</w:t>
      </w:r>
    </w:p>
    <w:p w14:paraId="036EEEB4" w14:textId="77777777" w:rsidR="00F84BB5" w:rsidRPr="00AD7158" w:rsidRDefault="00F84BB5" w:rsidP="00F84BB5">
      <w:pPr>
        <w:jc w:val="both"/>
        <w:rPr>
          <w:rFonts w:ascii="Cambria" w:hAnsi="Cambria"/>
          <w:sz w:val="20"/>
          <w:szCs w:val="20"/>
          <w:lang w:val="es-ES_tradnl"/>
        </w:rPr>
      </w:pPr>
    </w:p>
    <w:p w14:paraId="51C8348C" w14:textId="77777777" w:rsidR="00F84BB5" w:rsidRPr="00AD7158" w:rsidRDefault="008072EF" w:rsidP="008072EF">
      <w:pPr>
        <w:pStyle w:val="parrafos"/>
        <w:ind w:left="0" w:firstLine="0"/>
      </w:pPr>
      <w:r w:rsidRPr="00AD7158">
        <w:t xml:space="preserve">Las </w:t>
      </w:r>
      <w:r w:rsidR="00F84BB5" w:rsidRPr="00AD7158">
        <w:t xml:space="preserve">violaciones </w:t>
      </w:r>
      <w:r w:rsidR="00BB4D34" w:rsidRPr="00AD7158">
        <w:t>recién analizadas</w:t>
      </w:r>
      <w:r w:rsidRPr="00AD7158">
        <w:t xml:space="preserve"> </w:t>
      </w:r>
      <w:r w:rsidR="00F84BB5" w:rsidRPr="00AD7158">
        <w:t xml:space="preserve">no obedecieron a la interpretación aislada de un juez en el caso particular de la víctima, sino que ocurrieron en el contexto de una legislación y práctica que excluía la revisión de los hechos y la valoración y recepción de prueba. </w:t>
      </w:r>
      <w:r w:rsidR="00BB4D34" w:rsidRPr="00AD7158">
        <w:t>L</w:t>
      </w:r>
      <w:r w:rsidR="00F84BB5" w:rsidRPr="00AD7158">
        <w:t xml:space="preserve">a </w:t>
      </w:r>
      <w:r w:rsidR="00DA1D75" w:rsidRPr="00AD7158">
        <w:t>CIDH</w:t>
      </w:r>
      <w:r w:rsidR="00F84BB5" w:rsidRPr="00AD7158">
        <w:t xml:space="preserve"> con</w:t>
      </w:r>
      <w:r w:rsidRPr="00AD7158">
        <w:t>cluyó que el Estado incumplió, los</w:t>
      </w:r>
      <w:r w:rsidR="00F84BB5" w:rsidRPr="00AD7158">
        <w:t xml:space="preserve"> derecho</w:t>
      </w:r>
      <w:r w:rsidRPr="00AD7158">
        <w:t>s</w:t>
      </w:r>
      <w:r w:rsidR="00F84BB5" w:rsidRPr="00AD7158">
        <w:t xml:space="preserve"> consagrado</w:t>
      </w:r>
      <w:r w:rsidRPr="00AD7158">
        <w:t>s</w:t>
      </w:r>
      <w:r w:rsidR="00F84BB5" w:rsidRPr="00AD7158">
        <w:t xml:space="preserve"> </w:t>
      </w:r>
      <w:r w:rsidRPr="00AD7158">
        <w:t>los</w:t>
      </w:r>
      <w:r w:rsidR="00F84BB5" w:rsidRPr="00AD7158">
        <w:t xml:space="preserve"> artículo</w:t>
      </w:r>
      <w:r w:rsidRPr="00AD7158">
        <w:t>s</w:t>
      </w:r>
      <w:r w:rsidR="00F84BB5" w:rsidRPr="00AD7158">
        <w:t xml:space="preserve"> </w:t>
      </w:r>
      <w:r w:rsidRPr="00AD7158">
        <w:t xml:space="preserve">2 y </w:t>
      </w:r>
      <w:r w:rsidR="00BB4D34" w:rsidRPr="00AD7158">
        <w:t>8.2.h</w:t>
      </w:r>
      <w:r w:rsidR="00F84BB5" w:rsidRPr="00AD7158">
        <w:t xml:space="preserve"> de la </w:t>
      </w:r>
      <w:r w:rsidR="00DA1D75" w:rsidRPr="00AD7158">
        <w:t>CADH</w:t>
      </w:r>
      <w:r w:rsidRPr="00AD7158">
        <w:t xml:space="preserve">. </w:t>
      </w:r>
      <w:r w:rsidR="00047F07" w:rsidRPr="00AD7158">
        <w:t>C</w:t>
      </w:r>
      <w:r w:rsidR="0038711E" w:rsidRPr="00AD7158">
        <w:t>omo</w:t>
      </w:r>
      <w:r w:rsidR="00047F07" w:rsidRPr="00AD7158">
        <w:t xml:space="preserve"> </w:t>
      </w:r>
      <w:r w:rsidR="0052260B" w:rsidRPr="00AD7158">
        <w:t>ha referido en casos previos</w:t>
      </w:r>
      <w:r w:rsidR="0052260B" w:rsidRPr="00AD7158">
        <w:rPr>
          <w:rStyle w:val="FootnoteReference"/>
        </w:rPr>
        <w:footnoteReference w:id="112"/>
      </w:r>
      <w:r w:rsidR="0052260B" w:rsidRPr="00AD7158">
        <w:t xml:space="preserve">, </w:t>
      </w:r>
      <w:r w:rsidR="00047F07" w:rsidRPr="00AD7158">
        <w:t xml:space="preserve">la CIDH </w:t>
      </w:r>
      <w:r w:rsidR="00F84BB5" w:rsidRPr="00AD7158">
        <w:t>no puede dejar de referirse a los desarrollos que se han presentado con posterioridad a las decisiones analizadas precedente</w:t>
      </w:r>
      <w:r w:rsidR="0038711E" w:rsidRPr="00AD7158">
        <w:t>mente</w:t>
      </w:r>
      <w:r w:rsidR="00F84BB5" w:rsidRPr="00AD7158">
        <w:t xml:space="preserve">. </w:t>
      </w:r>
      <w:r w:rsidRPr="00AD7158">
        <w:t>Así, d</w:t>
      </w:r>
      <w:r w:rsidR="00F84BB5" w:rsidRPr="00AD7158">
        <w:t xml:space="preserve">estaca la sentencia emitida por la </w:t>
      </w:r>
      <w:r w:rsidR="006A3D1F" w:rsidRPr="00AD7158">
        <w:t>CSJN</w:t>
      </w:r>
      <w:r w:rsidR="00F84BB5" w:rsidRPr="00AD7158">
        <w:t xml:space="preserve"> c</w:t>
      </w:r>
      <w:r w:rsidR="00FD253C" w:rsidRPr="00AD7158">
        <w:t>onocida como “el fallo Casal”</w:t>
      </w:r>
      <w:r w:rsidR="00047F07" w:rsidRPr="00AD7158">
        <w:t xml:space="preserve">, en que </w:t>
      </w:r>
      <w:r w:rsidR="00F84BB5" w:rsidRPr="00AD7158">
        <w:t xml:space="preserve">la </w:t>
      </w:r>
      <w:r w:rsidR="00550921" w:rsidRPr="00AD7158">
        <w:t xml:space="preserve">CSJN </w:t>
      </w:r>
      <w:r w:rsidR="00F84BB5" w:rsidRPr="00AD7158">
        <w:t>efectuó un análisis de la práctica judicial de los tribunales argentinos y especialmente de la Sala de Casación Penal, en el sentido de interpretar de manera restrictiva las normas que regulan el recurso de casación y la consecuente denegación de dicho recurso cuando se solicitaba una revisión de cuestiones relacionadas con los hechos o con la valoración probatoria. Tomando en cuenta las disposiciones relevantes del derecho internacional de los derechos humanos y haciendo expresa mención al artículo 8.2</w:t>
      </w:r>
      <w:r w:rsidR="00BB4D34" w:rsidRPr="00AD7158">
        <w:t>.h</w:t>
      </w:r>
      <w:r w:rsidR="00F84BB5" w:rsidRPr="00AD7158">
        <w:t xml:space="preserve"> de la </w:t>
      </w:r>
      <w:r w:rsidR="00FD253C" w:rsidRPr="00AD7158">
        <w:t>CADH</w:t>
      </w:r>
      <w:r w:rsidR="00F84BB5" w:rsidRPr="00AD7158">
        <w:t xml:space="preserve"> y al artículo 14.5 del Pacto Internacional de Derechos Civiles y Políticos, la </w:t>
      </w:r>
      <w:r w:rsidR="00550921" w:rsidRPr="00AD7158">
        <w:t xml:space="preserve">CSJN </w:t>
      </w:r>
      <w:r w:rsidR="00F84BB5" w:rsidRPr="00AD7158">
        <w:t>indicó la necesidad de cambiar dicha interpretación restrictiva por una más amplia que no limitara la revisión a cuestiones de derecho, sino que incluyera aquellas cuestiones de hecho o de valoración probatoria, con la limitación de lo que esté exclusivamente reservado a quienes hayan estado presentes como jueces en el juicio oral.</w:t>
      </w:r>
    </w:p>
    <w:p w14:paraId="0894D1CE" w14:textId="77777777" w:rsidR="00F84BB5" w:rsidRPr="00AD7158" w:rsidRDefault="00F84BB5" w:rsidP="002D46B7">
      <w:pPr>
        <w:pStyle w:val="ListParagraph"/>
      </w:pPr>
      <w:r w:rsidRPr="00AD7158">
        <w:tab/>
      </w:r>
    </w:p>
    <w:p w14:paraId="50417160" w14:textId="77777777" w:rsidR="00047F07" w:rsidRPr="00AD7158" w:rsidRDefault="00F84BB5" w:rsidP="00047F07">
      <w:pPr>
        <w:pStyle w:val="parrafos"/>
        <w:ind w:left="0" w:firstLine="0"/>
      </w:pPr>
      <w:r w:rsidRPr="00AD7158">
        <w:t xml:space="preserve">La </w:t>
      </w:r>
      <w:r w:rsidR="00FD253C" w:rsidRPr="00AD7158">
        <w:t>CIDH</w:t>
      </w:r>
      <w:r w:rsidRPr="00AD7158">
        <w:t xml:space="preserve"> valora</w:t>
      </w:r>
      <w:r w:rsidR="00BB4D34" w:rsidRPr="00AD7158">
        <w:t xml:space="preserve"> positivamente el fallo Casal </w:t>
      </w:r>
      <w:r w:rsidRPr="00AD7158">
        <w:t xml:space="preserve">como un primer esfuerzo a fin de compatibilizar las prácticas judiciales con las obligaciones internacionales de Argentina en materia de derechos humanos. Resulta de especial relevancia la aclaración efectuada por la </w:t>
      </w:r>
      <w:r w:rsidR="00550921" w:rsidRPr="00AD7158">
        <w:t>CSJN</w:t>
      </w:r>
      <w:r w:rsidRPr="00AD7158">
        <w:t xml:space="preserve">, en el sentido de que la distinción entre cuestiones de hecho y de derecho no debe ser el elemento determinante de la procedencia del recurso de casación. La única limitación contemplada en el fallo Casal es la relacionada con aquella prueba que fue conocida directamente </w:t>
      </w:r>
      <w:r w:rsidRPr="00AD7158">
        <w:lastRenderedPageBreak/>
        <w:t>por el juez presente en el juicio oral, princip</w:t>
      </w:r>
      <w:r w:rsidR="00FD253C" w:rsidRPr="00AD7158">
        <w:t xml:space="preserve">almente la prueba testimonial. </w:t>
      </w:r>
      <w:r w:rsidRPr="00AD7158">
        <w:t xml:space="preserve">Sin embargo, según la información disponible, dicho fallo no ha provocado cambios suficientes para resolver los problemas señalados en el presente análisis. Uno de los obstáculos que encuentra la </w:t>
      </w:r>
      <w:r w:rsidR="00FD253C" w:rsidRPr="00AD7158">
        <w:t>CIDH</w:t>
      </w:r>
      <w:r w:rsidRPr="00AD7158">
        <w:t xml:space="preserve"> para concluir que el Estado ha subsanado esta problemática, es la falta de obligatoriedad del fallo Casal. La </w:t>
      </w:r>
      <w:r w:rsidR="0063111D" w:rsidRPr="00AD7158">
        <w:t>CIDH</w:t>
      </w:r>
      <w:r w:rsidRPr="00AD7158">
        <w:t xml:space="preserve"> observa que la </w:t>
      </w:r>
      <w:r w:rsidR="00550921" w:rsidRPr="00AD7158">
        <w:t xml:space="preserve">CSJN </w:t>
      </w:r>
      <w:r w:rsidRPr="00AD7158">
        <w:t>se abstuvo de declarar la inconstitucional</w:t>
      </w:r>
      <w:r w:rsidR="0063111D" w:rsidRPr="00AD7158">
        <w:t xml:space="preserve">idad del artículo 456 del CPPN y </w:t>
      </w:r>
      <w:r w:rsidR="001331E7" w:rsidRPr="00AD7158">
        <w:t xml:space="preserve">que </w:t>
      </w:r>
      <w:r w:rsidRPr="00AD7158">
        <w:t xml:space="preserve">dicha sentencia constituye una pauta interpretativa pero jurídicamente no es de obligatorio acatamiento por los jueces. Aún más, la Comisión nota que la pauta interpretativa ofrecida por el fallo Casal, no resulta </w:t>
      </w:r>
      <w:r w:rsidR="00047F07" w:rsidRPr="00AD7158">
        <w:t>evidente del texto de la norma.</w:t>
      </w:r>
    </w:p>
    <w:p w14:paraId="79A749C9" w14:textId="77777777" w:rsidR="00047F07" w:rsidRPr="00AD7158" w:rsidRDefault="00047F07" w:rsidP="00047F07">
      <w:pPr>
        <w:pStyle w:val="parrafos"/>
        <w:numPr>
          <w:ilvl w:val="0"/>
          <w:numId w:val="0"/>
        </w:numPr>
      </w:pPr>
    </w:p>
    <w:p w14:paraId="21C6A306" w14:textId="77777777" w:rsidR="00BD004A" w:rsidRPr="00AD7158" w:rsidRDefault="00DF2631" w:rsidP="00047F07">
      <w:pPr>
        <w:pStyle w:val="parrafos"/>
        <w:ind w:left="0" w:firstLine="0"/>
      </w:pPr>
      <w:r w:rsidRPr="00AD7158">
        <w:t>E</w:t>
      </w:r>
      <w:r w:rsidR="00F84BB5" w:rsidRPr="00AD7158">
        <w:t>n el año 2010 el Comité de Derechos Humanos del PIDCP hizo referencia a la persistencia de los problemas que impiden la revisión sustancial de los fallos condenatorios</w:t>
      </w:r>
      <w:r w:rsidR="00B1115E" w:rsidRPr="00AD7158">
        <w:rPr>
          <w:rStyle w:val="FootnoteReference"/>
        </w:rPr>
        <w:footnoteReference w:id="113"/>
      </w:r>
      <w:r w:rsidR="00F84BB5" w:rsidRPr="00AD7158">
        <w:t xml:space="preserve">. </w:t>
      </w:r>
      <w:r w:rsidR="00E95827" w:rsidRPr="00AD7158">
        <w:t xml:space="preserve">En </w:t>
      </w:r>
      <w:r w:rsidR="00F84BB5" w:rsidRPr="00AD7158">
        <w:t xml:space="preserve">el año 2013 la Corte </w:t>
      </w:r>
      <w:r w:rsidR="009C3A93" w:rsidRPr="00AD7158">
        <w:t>IDH</w:t>
      </w:r>
      <w:r w:rsidR="00F84BB5" w:rsidRPr="00AD7158">
        <w:t xml:space="preserve"> emitió su sentencia en el caso Mendoza y otros,</w:t>
      </w:r>
      <w:r w:rsidR="00F84BB5" w:rsidRPr="00AD7158">
        <w:rPr>
          <w:i/>
        </w:rPr>
        <w:t xml:space="preserve"> </w:t>
      </w:r>
      <w:r w:rsidR="00F84BB5" w:rsidRPr="00AD7158">
        <w:t>adoptando la misma posición de la</w:t>
      </w:r>
      <w:r w:rsidR="00E95827" w:rsidRPr="00AD7158">
        <w:t xml:space="preserve"> CIDH respecto del fallo Casal, </w:t>
      </w:r>
      <w:r w:rsidR="00F40D0A" w:rsidRPr="00AD7158">
        <w:t>valorándolo</w:t>
      </w:r>
      <w:r w:rsidR="00F84BB5" w:rsidRPr="00AD7158">
        <w:t xml:space="preserve"> positivamente en cuanto a los criterios que se desprenden sobre el alcance del derecho de recurrir del fallo a</w:t>
      </w:r>
      <w:r w:rsidR="005F631F" w:rsidRPr="00AD7158">
        <w:t>nte un juez o tribunal superior</w:t>
      </w:r>
      <w:r w:rsidR="00F84BB5" w:rsidRPr="00AD7158">
        <w:t>.</w:t>
      </w:r>
      <w:r w:rsidRPr="00AD7158">
        <w:rPr>
          <w:rFonts w:ascii="Cambria" w:hAnsi="Cambria"/>
          <w:spacing w:val="-2"/>
          <w:lang w:val="es-ES_tradnl"/>
        </w:rPr>
        <w:t xml:space="preserve"> </w:t>
      </w:r>
      <w:r w:rsidR="00F84BB5" w:rsidRPr="00AD7158">
        <w:t xml:space="preserve">Aunque la Corte hizo un llamado a que las autoridades judiciales ejerzan un control de convencionalidad al respecto, consideró en todo caso necesario ordenar, a la luz del artículo 2 de la Convención, la adecuación del ordenamiento jurídico conforme a los parámetros de la sentencia. </w:t>
      </w:r>
      <w:r w:rsidR="009C3A93" w:rsidRPr="00AD7158">
        <w:t>La misma consideración, fue recientemente reiterada en caso Gorigoitía vs. Argentina</w:t>
      </w:r>
      <w:r w:rsidR="009C3A93" w:rsidRPr="00AD7158">
        <w:rPr>
          <w:rStyle w:val="FootnoteReference"/>
        </w:rPr>
        <w:footnoteReference w:id="114"/>
      </w:r>
      <w:r w:rsidR="009C3A93" w:rsidRPr="00AD7158">
        <w:t>.</w:t>
      </w:r>
    </w:p>
    <w:p w14:paraId="5C68F286" w14:textId="77777777" w:rsidR="00FE66C2" w:rsidRPr="00AD7158" w:rsidRDefault="00FE66C2" w:rsidP="00FE66C2">
      <w:pPr>
        <w:pStyle w:val="parrafos"/>
        <w:numPr>
          <w:ilvl w:val="0"/>
          <w:numId w:val="0"/>
        </w:numPr>
        <w:rPr>
          <w:lang w:val="es-ES_tradnl"/>
        </w:rPr>
      </w:pPr>
    </w:p>
    <w:p w14:paraId="412CD440" w14:textId="77777777" w:rsidR="00B56224" w:rsidRPr="00AD7158" w:rsidRDefault="00BD5DD3" w:rsidP="00C8632F">
      <w:pPr>
        <w:pStyle w:val="Heading2"/>
        <w:numPr>
          <w:ilvl w:val="0"/>
          <w:numId w:val="58"/>
        </w:numPr>
      </w:pPr>
      <w:bookmarkStart w:id="16" w:name="_Toc30670587"/>
      <w:r w:rsidRPr="00AD7158">
        <w:t>Derecho a la integridad personal</w:t>
      </w:r>
      <w:r w:rsidR="00F536E8" w:rsidRPr="00AD7158">
        <w:rPr>
          <w:rStyle w:val="FootnoteReference"/>
        </w:rPr>
        <w:footnoteReference w:id="115"/>
      </w:r>
      <w:r w:rsidR="00A41B3E" w:rsidRPr="00AD7158">
        <w:t>,</w:t>
      </w:r>
      <w:r w:rsidR="0074605A" w:rsidRPr="00AD7158">
        <w:t xml:space="preserve"> libertad personal</w:t>
      </w:r>
      <w:r w:rsidR="0074605A" w:rsidRPr="00AD7158">
        <w:rPr>
          <w:rStyle w:val="FootnoteReference"/>
        </w:rPr>
        <w:footnoteReference w:id="116"/>
      </w:r>
      <w:r w:rsidR="0074605A" w:rsidRPr="00AD7158">
        <w:t>,</w:t>
      </w:r>
      <w:r w:rsidR="006A013E" w:rsidRPr="00AD7158">
        <w:t xml:space="preserve"> derecho a la igualdad ante la ley</w:t>
      </w:r>
      <w:r w:rsidR="006A013E" w:rsidRPr="00AD7158">
        <w:rPr>
          <w:rStyle w:val="FootnoteReference"/>
        </w:rPr>
        <w:footnoteReference w:id="117"/>
      </w:r>
      <w:r w:rsidR="006A013E" w:rsidRPr="00AD7158">
        <w:t xml:space="preserve">, </w:t>
      </w:r>
      <w:r w:rsidR="00A7023D" w:rsidRPr="00AD7158">
        <w:t>reclusión</w:t>
      </w:r>
      <w:r w:rsidR="00A41B3E" w:rsidRPr="00AD7158">
        <w:t xml:space="preserve"> perpetua y </w:t>
      </w:r>
      <w:r w:rsidR="00A7023D" w:rsidRPr="00AD7158">
        <w:t>reclusión</w:t>
      </w:r>
      <w:r w:rsidR="00A41B3E" w:rsidRPr="00AD7158">
        <w:t xml:space="preserve"> por tiempo indeterminado</w:t>
      </w:r>
      <w:bookmarkEnd w:id="16"/>
    </w:p>
    <w:p w14:paraId="6FD75F5B" w14:textId="77777777" w:rsidR="00B56224" w:rsidRPr="00AD7158" w:rsidRDefault="00B56224" w:rsidP="002D46B7">
      <w:pPr>
        <w:pStyle w:val="ListParagraph"/>
        <w:rPr>
          <w:bdr w:val="none" w:sz="0" w:space="0" w:color="auto"/>
        </w:rPr>
      </w:pPr>
    </w:p>
    <w:p w14:paraId="34722A88" w14:textId="77777777" w:rsidR="003C4605" w:rsidRPr="00AD7158" w:rsidRDefault="007054DB" w:rsidP="007054DB">
      <w:pPr>
        <w:pStyle w:val="parrafos"/>
        <w:ind w:left="0" w:firstLine="0"/>
      </w:pPr>
      <w:r w:rsidRPr="00AD7158">
        <w:rPr>
          <w:lang w:val="es-AR"/>
        </w:rPr>
        <w:t>L</w:t>
      </w:r>
      <w:r w:rsidRPr="00AD7158">
        <w:t xml:space="preserve">a Comisión en su informe de admisibilidad no se pronunció sobre la presunta violación de tales artículos, sin embargo los hechos que sustentan su análisis surgen de la información y los documentos aportados por las partes en el transcurso del trámite del presente caso y respecto de los cuales el Estado ha tenido la posibilidad de defenderse y presentar alegatos al respecto. </w:t>
      </w:r>
    </w:p>
    <w:p w14:paraId="1AD682A5" w14:textId="77777777" w:rsidR="007054DB" w:rsidRPr="00AD7158" w:rsidRDefault="007054DB" w:rsidP="007054DB">
      <w:pPr>
        <w:rPr>
          <w:lang w:val="es-MX"/>
        </w:rPr>
      </w:pPr>
    </w:p>
    <w:p w14:paraId="325EA240" w14:textId="77777777" w:rsidR="0004341E" w:rsidRPr="00AD7158" w:rsidRDefault="00B56224" w:rsidP="002D46B7">
      <w:pPr>
        <w:pStyle w:val="ListParagraph"/>
        <w:numPr>
          <w:ilvl w:val="0"/>
          <w:numId w:val="60"/>
        </w:numPr>
        <w:rPr>
          <w:b/>
          <w:sz w:val="20"/>
          <w:szCs w:val="20"/>
        </w:rPr>
      </w:pPr>
      <w:r w:rsidRPr="00AD7158">
        <w:rPr>
          <w:b/>
          <w:sz w:val="20"/>
          <w:szCs w:val="20"/>
        </w:rPr>
        <w:t xml:space="preserve">Consideraciones generales sobre </w:t>
      </w:r>
      <w:r w:rsidR="00507622" w:rsidRPr="00AD7158">
        <w:rPr>
          <w:b/>
          <w:sz w:val="20"/>
          <w:szCs w:val="20"/>
        </w:rPr>
        <w:t xml:space="preserve">reclusión </w:t>
      </w:r>
      <w:r w:rsidR="0004341E" w:rsidRPr="00AD7158">
        <w:rPr>
          <w:b/>
          <w:sz w:val="20"/>
          <w:szCs w:val="20"/>
        </w:rPr>
        <w:t xml:space="preserve">perpetua y </w:t>
      </w:r>
      <w:r w:rsidR="00507622" w:rsidRPr="00AD7158">
        <w:rPr>
          <w:b/>
          <w:sz w:val="20"/>
          <w:szCs w:val="20"/>
        </w:rPr>
        <w:t xml:space="preserve">reclusión </w:t>
      </w:r>
      <w:r w:rsidR="001E5330" w:rsidRPr="00AD7158">
        <w:rPr>
          <w:b/>
          <w:sz w:val="20"/>
          <w:szCs w:val="20"/>
        </w:rPr>
        <w:t xml:space="preserve">por </w:t>
      </w:r>
      <w:r w:rsidR="0004341E" w:rsidRPr="00AD7158">
        <w:rPr>
          <w:b/>
          <w:sz w:val="20"/>
          <w:szCs w:val="20"/>
        </w:rPr>
        <w:t>tiempo indeterminado</w:t>
      </w:r>
    </w:p>
    <w:p w14:paraId="73832E77" w14:textId="77777777" w:rsidR="0055039A" w:rsidRPr="00AD7158" w:rsidRDefault="0055039A" w:rsidP="002D46B7">
      <w:pPr>
        <w:pStyle w:val="ListParagraph"/>
      </w:pPr>
    </w:p>
    <w:p w14:paraId="0A9A746F" w14:textId="77777777" w:rsidR="00BD5DD3" w:rsidRPr="00AD7158" w:rsidRDefault="0004341E" w:rsidP="004B15EB">
      <w:pPr>
        <w:pStyle w:val="parrafos"/>
        <w:ind w:left="0" w:firstLine="0"/>
      </w:pPr>
      <w:r w:rsidRPr="00AD7158">
        <w:t xml:space="preserve">El artículo 10 del Pacto Internacional de Derechos Civiles y Políticos, establece </w:t>
      </w:r>
      <w:r w:rsidR="00284A5C" w:rsidRPr="00AD7158">
        <w:t>que</w:t>
      </w:r>
      <w:r w:rsidRPr="00AD7158">
        <w:t xml:space="preserve">: “1. Toda persona privada de libertad será tratada humanamente y con el respeto debido a la dignidad inherente al ser humano. </w:t>
      </w:r>
      <w:r w:rsidR="004B15EB" w:rsidRPr="00AD7158">
        <w:t>(</w:t>
      </w:r>
      <w:r w:rsidRPr="00AD7158">
        <w:t>...</w:t>
      </w:r>
      <w:r w:rsidR="004B15EB" w:rsidRPr="00AD7158">
        <w:t>)</w:t>
      </w:r>
      <w:r w:rsidRPr="00AD7158">
        <w:t xml:space="preserve"> 3. El régimen penitenciario consistirá en un tratamiento cuya finalidad esencial será la reforma y la readaptación social de los condenados. Los menores delincuentes estarán separados de los adultos y serán sometidos a un tratamiento adecuado a su edad y condición jurídica.”</w:t>
      </w:r>
      <w:r w:rsidR="00BF0698" w:rsidRPr="00AD7158">
        <w:rPr>
          <w:rStyle w:val="FootnoteReference"/>
        </w:rPr>
        <w:footnoteReference w:id="118"/>
      </w:r>
      <w:r w:rsidRPr="00AD7158">
        <w:t>. El Comité de Derechos Humanos de las Naciones Unidas determinó que ningún sistema penitenciario podía estar basado únicamente en la función retributiva de la pena; debe esencialmente perseguir el cambio y la re</w:t>
      </w:r>
      <w:r w:rsidR="00041C3C" w:rsidRPr="00AD7158">
        <w:t>habilitación social del recluso</w:t>
      </w:r>
      <w:r w:rsidR="00041C3C" w:rsidRPr="00AD7158">
        <w:rPr>
          <w:rStyle w:val="FootnoteReference"/>
        </w:rPr>
        <w:footnoteReference w:id="119"/>
      </w:r>
      <w:r w:rsidR="00041C3C" w:rsidRPr="00AD7158">
        <w:t>.</w:t>
      </w:r>
    </w:p>
    <w:p w14:paraId="62717AB3" w14:textId="77777777" w:rsidR="00E154DB" w:rsidRPr="00AD7158" w:rsidRDefault="00E154DB" w:rsidP="002D46B7">
      <w:pPr>
        <w:pStyle w:val="ListParagraph"/>
      </w:pPr>
    </w:p>
    <w:p w14:paraId="367CFD98" w14:textId="77777777" w:rsidR="0004341E" w:rsidRPr="00AD7158" w:rsidRDefault="003B4AD0" w:rsidP="000B66C2">
      <w:pPr>
        <w:pStyle w:val="parrafos"/>
        <w:ind w:left="0" w:firstLine="0"/>
      </w:pPr>
      <w:r w:rsidRPr="00AD7158">
        <w:lastRenderedPageBreak/>
        <w:t xml:space="preserve">El </w:t>
      </w:r>
      <w:r w:rsidR="00964EC3" w:rsidRPr="00AD7158">
        <w:t>TEDH</w:t>
      </w:r>
      <w:r w:rsidRPr="00AD7158">
        <w:t>,</w:t>
      </w:r>
      <w:r w:rsidR="00E154DB" w:rsidRPr="00AD7158">
        <w:t xml:space="preserve"> ha sostenido que </w:t>
      </w:r>
      <w:r w:rsidR="001A518E" w:rsidRPr="00AD7158">
        <w:rPr>
          <w:lang w:val="es-ES"/>
        </w:rPr>
        <w:t>los Estados p</w:t>
      </w:r>
      <w:r w:rsidR="00BD662E" w:rsidRPr="00AD7158">
        <w:rPr>
          <w:lang w:val="es-ES"/>
        </w:rPr>
        <w:t>arte son libres para imponer la pena a cadena perpetua a delincuentes adultos en caso de delitos especialmente graves</w:t>
      </w:r>
      <w:r w:rsidR="00BD662E" w:rsidRPr="00AD7158">
        <w:rPr>
          <w:rStyle w:val="FootnoteReference"/>
          <w:sz w:val="20"/>
          <w:lang w:val="es-ES"/>
        </w:rPr>
        <w:footnoteReference w:id="120"/>
      </w:r>
      <w:r w:rsidR="00A14422" w:rsidRPr="00AD7158">
        <w:rPr>
          <w:lang w:val="es-ES"/>
        </w:rPr>
        <w:t>, pero</w:t>
      </w:r>
      <w:r w:rsidR="000B66C2" w:rsidRPr="00AD7158">
        <w:rPr>
          <w:lang w:val="es-ES"/>
        </w:rPr>
        <w:t xml:space="preserve"> </w:t>
      </w:r>
      <w:r w:rsidR="008229F1" w:rsidRPr="00AD7158">
        <w:rPr>
          <w:lang w:val="es-ES"/>
        </w:rPr>
        <w:t>que la imposición de una pena a cadena perpetua irredimible a un adulto podría plantear alguna cuestión en cuanto a su compatibilidad con el artículo 3</w:t>
      </w:r>
      <w:r w:rsidR="0034513A" w:rsidRPr="00AD7158">
        <w:rPr>
          <w:lang w:val="es-ES"/>
        </w:rPr>
        <w:t xml:space="preserve"> </w:t>
      </w:r>
      <w:r w:rsidR="008229F1" w:rsidRPr="00AD7158">
        <w:rPr>
          <w:lang w:val="es-ES"/>
        </w:rPr>
        <w:t xml:space="preserve">del </w:t>
      </w:r>
      <w:r w:rsidR="0034513A" w:rsidRPr="00AD7158">
        <w:rPr>
          <w:lang w:val="es-ES"/>
        </w:rPr>
        <w:t>Convenio</w:t>
      </w:r>
      <w:r w:rsidR="008229F1" w:rsidRPr="00AD7158">
        <w:rPr>
          <w:rStyle w:val="FootnoteReference"/>
          <w:sz w:val="20"/>
          <w:lang w:val="es-ES"/>
        </w:rPr>
        <w:footnoteReference w:id="121"/>
      </w:r>
      <w:r w:rsidR="008229F1" w:rsidRPr="00AD7158">
        <w:rPr>
          <w:lang w:val="es-ES"/>
        </w:rPr>
        <w:t>.</w:t>
      </w:r>
      <w:r w:rsidR="0034513A" w:rsidRPr="00AD7158">
        <w:rPr>
          <w:lang w:val="es-ES"/>
        </w:rPr>
        <w:t xml:space="preserve"> </w:t>
      </w:r>
      <w:r w:rsidR="000B66C2" w:rsidRPr="00AD7158">
        <w:rPr>
          <w:lang w:val="es-ES"/>
        </w:rPr>
        <w:t>H</w:t>
      </w:r>
      <w:r w:rsidR="0034513A" w:rsidRPr="00AD7158">
        <w:rPr>
          <w:lang w:val="es-ES"/>
        </w:rPr>
        <w:t xml:space="preserve">a </w:t>
      </w:r>
      <w:r w:rsidR="007B257A" w:rsidRPr="00AD7158">
        <w:rPr>
          <w:lang w:val="es-ES"/>
        </w:rPr>
        <w:t>identificado</w:t>
      </w:r>
      <w:r w:rsidR="0034513A" w:rsidRPr="00AD7158">
        <w:rPr>
          <w:lang w:val="es-ES"/>
        </w:rPr>
        <w:t xml:space="preserve"> </w:t>
      </w:r>
      <w:r w:rsidR="00E15158" w:rsidRPr="00AD7158">
        <w:rPr>
          <w:lang w:val="es-ES"/>
        </w:rPr>
        <w:t xml:space="preserve">asimismo, </w:t>
      </w:r>
      <w:r w:rsidR="0034513A" w:rsidRPr="00AD7158">
        <w:rPr>
          <w:lang w:val="es-ES"/>
        </w:rPr>
        <w:t xml:space="preserve">dos factores </w:t>
      </w:r>
      <w:r w:rsidR="0053749A" w:rsidRPr="00AD7158">
        <w:rPr>
          <w:lang w:val="es-ES"/>
        </w:rPr>
        <w:t>a efectos de esta determinación</w:t>
      </w:r>
      <w:r w:rsidR="0034513A" w:rsidRPr="00AD7158">
        <w:rPr>
          <w:lang w:val="es-ES"/>
        </w:rPr>
        <w:t>. El primero, es que una pena a cadena perpetua no se convierte en irredimible por el mero hecho de que en la práctica pueda ser cumplida en su totalidad</w:t>
      </w:r>
      <w:r w:rsidR="0034513A" w:rsidRPr="00AD7158">
        <w:rPr>
          <w:rStyle w:val="FootnoteReference"/>
          <w:sz w:val="20"/>
          <w:lang w:val="es-ES"/>
        </w:rPr>
        <w:footnoteReference w:id="122"/>
      </w:r>
      <w:r w:rsidR="0034513A" w:rsidRPr="00AD7158">
        <w:rPr>
          <w:lang w:val="es-ES"/>
        </w:rPr>
        <w:t>. E</w:t>
      </w:r>
      <w:r w:rsidR="009D138F" w:rsidRPr="00AD7158">
        <w:rPr>
          <w:lang w:val="es-ES"/>
        </w:rPr>
        <w:t>n</w:t>
      </w:r>
      <w:r w:rsidR="0034513A" w:rsidRPr="00AD7158">
        <w:rPr>
          <w:lang w:val="es-ES"/>
        </w:rPr>
        <w:t xml:space="preserve"> segundo lugar, </w:t>
      </w:r>
      <w:r w:rsidR="007B257A" w:rsidRPr="00AD7158">
        <w:rPr>
          <w:lang w:val="es-ES"/>
        </w:rPr>
        <w:t>cabe</w:t>
      </w:r>
      <w:r w:rsidR="0053749A" w:rsidRPr="00AD7158">
        <w:rPr>
          <w:lang w:val="es-ES"/>
        </w:rPr>
        <w:t xml:space="preserve"> analizar</w:t>
      </w:r>
      <w:r w:rsidR="0034513A" w:rsidRPr="00AD7158">
        <w:rPr>
          <w:lang w:val="es-ES"/>
        </w:rPr>
        <w:t xml:space="preserve"> si un recluso condenado a cadena perpetua tiene alguna expectativa de ser puesto en libertad</w:t>
      </w:r>
      <w:r w:rsidR="00A21D2A" w:rsidRPr="00AD7158">
        <w:rPr>
          <w:rStyle w:val="FootnoteReference"/>
          <w:sz w:val="20"/>
          <w:lang w:val="es-ES"/>
        </w:rPr>
        <w:footnoteReference w:id="123"/>
      </w:r>
      <w:r w:rsidR="0034513A" w:rsidRPr="00AD7158">
        <w:rPr>
          <w:lang w:val="es-ES"/>
        </w:rPr>
        <w:t xml:space="preserve">. </w:t>
      </w:r>
      <w:r w:rsidR="007B257A" w:rsidRPr="00AD7158">
        <w:t>A</w:t>
      </w:r>
      <w:r w:rsidR="00FC7976" w:rsidRPr="00AD7158">
        <w:t>sí</w:t>
      </w:r>
      <w:r w:rsidR="00C650D1" w:rsidRPr="00AD7158">
        <w:t>, “para que una pena a cadena perpetua sea compatible con el artículo 3, deben existir tanto la expectativa de ser puesto en libertad como la posibilidad de la revisión de la pena”</w:t>
      </w:r>
      <w:r w:rsidR="00C650D1" w:rsidRPr="00AD7158">
        <w:rPr>
          <w:rStyle w:val="FootnoteReference"/>
          <w:sz w:val="20"/>
        </w:rPr>
        <w:footnoteReference w:id="124"/>
      </w:r>
      <w:r w:rsidR="00CD50C7" w:rsidRPr="00AD7158">
        <w:t>.</w:t>
      </w:r>
      <w:r w:rsidR="00E15158" w:rsidRPr="00AD7158">
        <w:t xml:space="preserve"> </w:t>
      </w:r>
      <w:r w:rsidR="006D7526" w:rsidRPr="00AD7158">
        <w:t>E</w:t>
      </w:r>
      <w:r w:rsidR="00E15158" w:rsidRPr="00AD7158">
        <w:rPr>
          <w:lang w:val="es-ES"/>
        </w:rPr>
        <w:t xml:space="preserve">l </w:t>
      </w:r>
      <w:r w:rsidR="00964EC3" w:rsidRPr="00AD7158">
        <w:t>TEDH</w:t>
      </w:r>
      <w:r w:rsidR="00FA77DE" w:rsidRPr="00AD7158">
        <w:t xml:space="preserve"> </w:t>
      </w:r>
      <w:r w:rsidR="00F677B7" w:rsidRPr="00AD7158">
        <w:t xml:space="preserve">ha referido que </w:t>
      </w:r>
      <w:r w:rsidR="00385D66" w:rsidRPr="00AD7158">
        <w:t>diversos documentos de derecho comparado e internaci</w:t>
      </w:r>
      <w:r w:rsidR="00A14422" w:rsidRPr="00AD7158">
        <w:t>onal</w:t>
      </w:r>
      <w:r w:rsidR="00385D66" w:rsidRPr="00AD7158">
        <w:t xml:space="preserve"> </w:t>
      </w:r>
      <w:r w:rsidR="000600A2" w:rsidRPr="00AD7158">
        <w:t>apoyan con claridad “la existencia de un mecanismo de revisión que tenga lugar no más tarde del transcurso de los veinte y cinco años desde la imposición de la pena a cadena perpetua, con la previsión de revisiones periódicas con posterioridad a esa fecha”</w:t>
      </w:r>
      <w:r w:rsidR="000600A2" w:rsidRPr="00AD7158">
        <w:rPr>
          <w:rStyle w:val="FootnoteReference"/>
          <w:sz w:val="20"/>
        </w:rPr>
        <w:footnoteReference w:id="125"/>
      </w:r>
      <w:r w:rsidR="000600A2" w:rsidRPr="00AD7158">
        <w:t>.</w:t>
      </w:r>
      <w:r w:rsidR="00AF4E2C" w:rsidRPr="00AD7158">
        <w:t xml:space="preserve"> </w:t>
      </w:r>
    </w:p>
    <w:p w14:paraId="74197E84" w14:textId="77777777" w:rsidR="00E15158" w:rsidRPr="00AD7158" w:rsidRDefault="00E15158" w:rsidP="00E15158">
      <w:pPr>
        <w:rPr>
          <w:lang w:val="es-MX"/>
        </w:rPr>
      </w:pPr>
    </w:p>
    <w:p w14:paraId="1117870A" w14:textId="77777777" w:rsidR="0047767C" w:rsidRPr="00AD7158" w:rsidRDefault="00B13B4E" w:rsidP="00F77D5D">
      <w:pPr>
        <w:pStyle w:val="parrafos"/>
        <w:ind w:left="0" w:firstLine="0"/>
      </w:pPr>
      <w:r w:rsidRPr="00AD7158">
        <w:t>L</w:t>
      </w:r>
      <w:r w:rsidR="00980CE7" w:rsidRPr="00AD7158">
        <w:t xml:space="preserve">a Corte </w:t>
      </w:r>
      <w:r w:rsidR="007B3BA5" w:rsidRPr="00AD7158">
        <w:t xml:space="preserve">IDH </w:t>
      </w:r>
      <w:r w:rsidR="00AC55B9" w:rsidRPr="00AD7158">
        <w:t>ha tenido ocasión de analizar la condena a prisión perpetua en relación con adolescentes, en el caso Mendoza vs. Argentina</w:t>
      </w:r>
      <w:r w:rsidR="00FC7976" w:rsidRPr="00AD7158">
        <w:t xml:space="preserve">. Sostuvo que la CADH </w:t>
      </w:r>
      <w:r w:rsidR="00326D2F" w:rsidRPr="00AD7158">
        <w:t>no</w:t>
      </w:r>
      <w:r w:rsidR="00052F5D" w:rsidRPr="00AD7158">
        <w:t xml:space="preserve"> hace referencia a la prisión o reclusión perpetuas</w:t>
      </w:r>
      <w:r w:rsidR="00FC7976" w:rsidRPr="00AD7158">
        <w:t>, no</w:t>
      </w:r>
      <w:r w:rsidR="00052F5D" w:rsidRPr="00AD7158">
        <w:t xml:space="preserve"> obstante, de conformidad con el artículo 5.6 de la</w:t>
      </w:r>
      <w:r w:rsidR="00AF4E2C" w:rsidRPr="00AD7158">
        <w:t xml:space="preserve"> </w:t>
      </w:r>
      <w:r w:rsidR="00052F5D" w:rsidRPr="00AD7158">
        <w:t xml:space="preserve">Convención </w:t>
      </w:r>
      <w:r w:rsidR="00FC7976" w:rsidRPr="00AD7158">
        <w:t>l</w:t>
      </w:r>
      <w:r w:rsidR="00052F5D" w:rsidRPr="00AD7158">
        <w:t>as penas privativas de la libertad t</w:t>
      </w:r>
      <w:r w:rsidR="00FC7976" w:rsidRPr="00AD7158">
        <w:t>ienen</w:t>
      </w:r>
      <w:r w:rsidR="00052F5D" w:rsidRPr="00AD7158">
        <w:t xml:space="preserve"> como finalidad esencial la reforma y la readap</w:t>
      </w:r>
      <w:r w:rsidR="00FC7976" w:rsidRPr="00AD7158">
        <w:t>tación social de los condenados</w:t>
      </w:r>
      <w:r w:rsidR="00506B1C" w:rsidRPr="00AD7158">
        <w:rPr>
          <w:rStyle w:val="FootnoteReference"/>
          <w:sz w:val="20"/>
        </w:rPr>
        <w:footnoteReference w:id="126"/>
      </w:r>
      <w:r w:rsidR="00052F5D" w:rsidRPr="00AD7158">
        <w:t>.</w:t>
      </w:r>
      <w:r w:rsidR="00A320CB" w:rsidRPr="00AD7158">
        <w:t xml:space="preserve"> </w:t>
      </w:r>
      <w:r w:rsidRPr="00AD7158">
        <w:t>D</w:t>
      </w:r>
      <w:r w:rsidR="00326D2F" w:rsidRPr="00AD7158">
        <w:t xml:space="preserve">eterminó que </w:t>
      </w:r>
      <w:r w:rsidR="00A320CB" w:rsidRPr="00AD7158">
        <w:t>conform</w:t>
      </w:r>
      <w:r w:rsidRPr="00AD7158">
        <w:t>e a</w:t>
      </w:r>
      <w:r w:rsidR="00A320CB" w:rsidRPr="00AD7158">
        <w:t>l artículo 5.6 de la C</w:t>
      </w:r>
      <w:r w:rsidRPr="00AD7158">
        <w:t>ADH</w:t>
      </w:r>
      <w:r w:rsidR="00A320CB" w:rsidRPr="00AD7158">
        <w:t xml:space="preserve">, </w:t>
      </w:r>
      <w:r w:rsidR="00326D2F" w:rsidRPr="00AD7158">
        <w:t>“</w:t>
      </w:r>
      <w:r w:rsidR="00A320CB" w:rsidRPr="00AD7158">
        <w:t>la prisión y reclusión perpetuas, por su propia naturaleza, no cumplen con la finalidad de la reintegración social de los niños. Antes bien, este tipo de penas implican la máxima exclusión del niño de la sociedad, de tal manera que operan en un sentido meramente retributivo, pues las expectativas de resocialización se anulan a su grado mayor. Por lo tanto, dichas penas no son proporcionales con la finalidad de la sanción penal a niños”</w:t>
      </w:r>
      <w:r w:rsidR="00A77C0A" w:rsidRPr="00AD7158">
        <w:rPr>
          <w:rStyle w:val="FootnoteReference"/>
          <w:sz w:val="20"/>
        </w:rPr>
        <w:footnoteReference w:id="127"/>
      </w:r>
      <w:r w:rsidR="00A320CB" w:rsidRPr="00AD7158">
        <w:t>.</w:t>
      </w:r>
      <w:r w:rsidR="00B767DD" w:rsidRPr="00AD7158">
        <w:t xml:space="preserve"> </w:t>
      </w:r>
      <w:r w:rsidR="006D59F5" w:rsidRPr="00AD7158">
        <w:t>Además,</w:t>
      </w:r>
      <w:r w:rsidR="00157686" w:rsidRPr="00AD7158">
        <w:t xml:space="preserve"> atendido que el artículo 13 del C</w:t>
      </w:r>
      <w:r w:rsidR="00DD4B64" w:rsidRPr="00AD7158">
        <w:t>PN</w:t>
      </w:r>
      <w:r w:rsidR="00157686" w:rsidRPr="00AD7158">
        <w:t xml:space="preserve"> contemplaba la libertad condicional para las personas</w:t>
      </w:r>
      <w:r w:rsidR="00AF4E2C" w:rsidRPr="00AD7158">
        <w:t xml:space="preserve"> </w:t>
      </w:r>
      <w:r w:rsidR="00157686" w:rsidRPr="00AD7158">
        <w:t>sancionadas co</w:t>
      </w:r>
      <w:r w:rsidR="00B767DD" w:rsidRPr="00AD7158">
        <w:t>n prisión y reclusión perpetuas</w:t>
      </w:r>
      <w:r w:rsidR="00157686" w:rsidRPr="00AD7158">
        <w:t xml:space="preserve"> luego de cumplidos 20 años de con</w:t>
      </w:r>
      <w:r w:rsidR="00B767DD" w:rsidRPr="00AD7158">
        <w:t xml:space="preserve">dena, </w:t>
      </w:r>
      <w:r w:rsidR="00C46B71" w:rsidRPr="00AD7158">
        <w:t xml:space="preserve">refirió que </w:t>
      </w:r>
      <w:r w:rsidR="00157686" w:rsidRPr="00AD7158">
        <w:t>las sanciones</w:t>
      </w:r>
      <w:r w:rsidR="00AF4E2C" w:rsidRPr="00AD7158">
        <w:t xml:space="preserve"> </w:t>
      </w:r>
      <w:r w:rsidR="00B767DD" w:rsidRPr="00AD7158">
        <w:t xml:space="preserve">eran contrarias a la </w:t>
      </w:r>
      <w:r w:rsidR="009D4434" w:rsidRPr="00AD7158">
        <w:t>CADH</w:t>
      </w:r>
      <w:r w:rsidR="00663740" w:rsidRPr="00AD7158">
        <w:t xml:space="preserve"> por no permitir </w:t>
      </w:r>
      <w:r w:rsidR="000D53D9" w:rsidRPr="00AD7158">
        <w:rPr>
          <w:lang w:val="es-CL"/>
        </w:rPr>
        <w:t>el análisis de las circunstancias particulares de cada niño y su progreso que, eventualmente, le permita obtener la libertad anticipada en cualquier momento</w:t>
      </w:r>
      <w:r w:rsidR="00663740" w:rsidRPr="00AD7158">
        <w:rPr>
          <w:lang w:val="es-CL"/>
        </w:rPr>
        <w:t>, así como una revisión periódica de la pena privativa de libertad</w:t>
      </w:r>
      <w:r w:rsidR="00663740" w:rsidRPr="00AD7158">
        <w:rPr>
          <w:rStyle w:val="FootnoteReference"/>
          <w:sz w:val="20"/>
        </w:rPr>
        <w:footnoteReference w:id="128"/>
      </w:r>
      <w:r w:rsidR="000D53D9" w:rsidRPr="00AD7158">
        <w:rPr>
          <w:lang w:val="es-CL"/>
        </w:rPr>
        <w:t>.</w:t>
      </w:r>
    </w:p>
    <w:p w14:paraId="4EA4527D" w14:textId="77777777" w:rsidR="007B3BA5" w:rsidRPr="00AD7158" w:rsidRDefault="007B3BA5" w:rsidP="007B3BA5">
      <w:pPr>
        <w:pStyle w:val="parrafos"/>
        <w:numPr>
          <w:ilvl w:val="0"/>
          <w:numId w:val="0"/>
        </w:numPr>
      </w:pPr>
    </w:p>
    <w:p w14:paraId="10FD66AC" w14:textId="77777777" w:rsidR="00B53E15" w:rsidRPr="00AD7158" w:rsidRDefault="00B66BB2" w:rsidP="00F77D5D">
      <w:pPr>
        <w:pStyle w:val="parrafos"/>
        <w:ind w:left="0" w:firstLine="0"/>
      </w:pPr>
      <w:r w:rsidRPr="00AD7158">
        <w:t>T</w:t>
      </w:r>
      <w:r w:rsidR="0047767C" w:rsidRPr="00AD7158">
        <w:t>anto el TEDH</w:t>
      </w:r>
      <w:r w:rsidR="00CD20AC" w:rsidRPr="00AD7158">
        <w:rPr>
          <w:rStyle w:val="FootnoteReference"/>
        </w:rPr>
        <w:footnoteReference w:id="129"/>
      </w:r>
      <w:r w:rsidR="0047767C" w:rsidRPr="00AD7158">
        <w:t xml:space="preserve"> como la C</w:t>
      </w:r>
      <w:r w:rsidR="005E7A3F" w:rsidRPr="00AD7158">
        <w:t xml:space="preserve">orte </w:t>
      </w:r>
      <w:r w:rsidR="0047767C" w:rsidRPr="00AD7158">
        <w:t>IDH</w:t>
      </w:r>
      <w:r w:rsidR="005E7A3F" w:rsidRPr="00AD7158">
        <w:rPr>
          <w:rStyle w:val="FootnoteReference"/>
        </w:rPr>
        <w:footnoteReference w:id="130"/>
      </w:r>
      <w:r w:rsidR="0047767C" w:rsidRPr="00AD7158">
        <w:t xml:space="preserve"> han estimado que la imposición de una pena que adolece de grave desproporcionalidad puede constituir un trato cruel.</w:t>
      </w:r>
      <w:r w:rsidR="005E7A3F" w:rsidRPr="00AD7158">
        <w:t xml:space="preserve"> </w:t>
      </w:r>
      <w:r w:rsidR="00A10F22" w:rsidRPr="00AD7158">
        <w:t>L</w:t>
      </w:r>
      <w:r w:rsidR="00BC529B" w:rsidRPr="00AD7158">
        <w:t xml:space="preserve">a Corte ha sostenido que </w:t>
      </w:r>
      <w:r w:rsidR="00A41536" w:rsidRPr="00AD7158">
        <w:t xml:space="preserve">la prisión perpetua </w:t>
      </w:r>
      <w:r w:rsidR="00F77D5D" w:rsidRPr="00AD7158">
        <w:t xml:space="preserve">es una de </w:t>
      </w:r>
      <w:r w:rsidR="00A41536" w:rsidRPr="00AD7158">
        <w:lastRenderedPageBreak/>
        <w:t>las principales sanciones motivo de preocupación desde el punto de vista del derecho internacional de los derechos humanos</w:t>
      </w:r>
      <w:r w:rsidR="00F77D5D" w:rsidRPr="00AD7158">
        <w:rPr>
          <w:rStyle w:val="FootnoteReference"/>
          <w:sz w:val="20"/>
        </w:rPr>
        <w:footnoteReference w:id="131"/>
      </w:r>
      <w:r w:rsidR="00A41536" w:rsidRPr="00AD7158">
        <w:t xml:space="preserve">. </w:t>
      </w:r>
      <w:r w:rsidR="00F77D5D" w:rsidRPr="00AD7158">
        <w:t>L</w:t>
      </w:r>
      <w:r w:rsidR="00A41536" w:rsidRPr="00AD7158">
        <w:t>as penas consideradas desproporcionadas</w:t>
      </w:r>
      <w:r w:rsidR="00F77D5D" w:rsidRPr="00AD7158">
        <w:t xml:space="preserve"> </w:t>
      </w:r>
      <w:r w:rsidR="00A41536" w:rsidRPr="00AD7158">
        <w:t>se encuentran bajo el ámbito de aplicación de las cláusulas que contienen la prohibición de la tortura y los tratos crueles, inhumanos y degradantes</w:t>
      </w:r>
      <w:r w:rsidR="00A41536" w:rsidRPr="00AD7158">
        <w:rPr>
          <w:rStyle w:val="FootnoteReference"/>
          <w:sz w:val="20"/>
        </w:rPr>
        <w:footnoteReference w:id="132"/>
      </w:r>
      <w:r w:rsidR="00F77D5D" w:rsidRPr="00AD7158">
        <w:t>, no obstante se encuentren previstas en la ley</w:t>
      </w:r>
      <w:r w:rsidR="00D01B00" w:rsidRPr="00AD7158">
        <w:rPr>
          <w:rStyle w:val="FootnoteReference"/>
          <w:b/>
          <w:bCs/>
          <w:sz w:val="20"/>
        </w:rPr>
        <w:footnoteReference w:id="133"/>
      </w:r>
      <w:r w:rsidR="00D01B00" w:rsidRPr="00AD7158">
        <w:rPr>
          <w:rFonts w:eastAsia="Arial Unicode MS"/>
          <w:bdr w:val="nil"/>
        </w:rPr>
        <w:t>.</w:t>
      </w:r>
      <w:r w:rsidR="00F77D5D" w:rsidRPr="00AD7158">
        <w:t xml:space="preserve"> </w:t>
      </w:r>
      <w:r w:rsidR="006C3E68" w:rsidRPr="00AD7158">
        <w:t xml:space="preserve">A fin de determinar si una restricción </w:t>
      </w:r>
      <w:r w:rsidR="00F77D5D" w:rsidRPr="00AD7158">
        <w:t>resulta proporcional</w:t>
      </w:r>
      <w:r w:rsidR="006C3E68" w:rsidRPr="00AD7158">
        <w:t xml:space="preserve">, </w:t>
      </w:r>
      <w:r w:rsidR="00F77D5D" w:rsidRPr="00AD7158">
        <w:t>deben analizarse si cumple con los siguientes requisitos</w:t>
      </w:r>
      <w:r w:rsidR="006C3E68" w:rsidRPr="00AD7158">
        <w:t>: (i) la existencia de un fin legítimo; (ii) la idoneidad, es decir la determinación de si existe una relación lógica de causalidad de medio a fin entre la distinción y el fin que se persigue; (iii) la necesidad, esto es, la determinación de si existen alternativas menos restrictivas e igualmente idóneas; y (iv) la proporcionalidad en sentido estricto, es decir, el balance de los interés en juego y el grado de sacrificio de uno respecto del otro</w:t>
      </w:r>
      <w:r w:rsidR="006C3E68" w:rsidRPr="00AD7158">
        <w:rPr>
          <w:rStyle w:val="FootnoteReference"/>
          <w:sz w:val="20"/>
        </w:rPr>
        <w:footnoteReference w:id="134"/>
      </w:r>
      <w:r w:rsidR="006C3E68" w:rsidRPr="00AD7158">
        <w:t>.</w:t>
      </w:r>
      <w:r w:rsidR="00E16016" w:rsidRPr="00AD7158">
        <w:t xml:space="preserve"> </w:t>
      </w:r>
    </w:p>
    <w:p w14:paraId="64587F1E" w14:textId="77777777" w:rsidR="00B53E15" w:rsidRPr="00AD7158" w:rsidRDefault="00B53E15" w:rsidP="00B53E15">
      <w:pPr>
        <w:pStyle w:val="parrafos"/>
        <w:numPr>
          <w:ilvl w:val="0"/>
          <w:numId w:val="0"/>
        </w:numPr>
      </w:pPr>
    </w:p>
    <w:p w14:paraId="3211894D" w14:textId="77777777" w:rsidR="00E16016" w:rsidRPr="00AD7158" w:rsidRDefault="00422638" w:rsidP="00F77D5D">
      <w:pPr>
        <w:pStyle w:val="parrafos"/>
        <w:ind w:left="0" w:firstLine="0"/>
      </w:pPr>
      <w:r w:rsidRPr="00AD7158">
        <w:t xml:space="preserve">La CIDH </w:t>
      </w:r>
      <w:r w:rsidR="00E16016" w:rsidRPr="00AD7158">
        <w:t xml:space="preserve">en </w:t>
      </w:r>
      <w:r w:rsidR="00DB4201" w:rsidRPr="00AD7158">
        <w:t xml:space="preserve">casos </w:t>
      </w:r>
      <w:r w:rsidR="00E16016" w:rsidRPr="00AD7158">
        <w:t xml:space="preserve">en que la normativa excluía a ciertas personas de la posibilidad de excarcelación </w:t>
      </w:r>
      <w:r w:rsidR="0027259F" w:rsidRPr="00AD7158">
        <w:t>basado</w:t>
      </w:r>
      <w:r w:rsidR="00E16016" w:rsidRPr="00AD7158">
        <w:t xml:space="preserve"> no en fines procesales sino en la categoría de acusación en su contra</w:t>
      </w:r>
      <w:r w:rsidRPr="00AD7158">
        <w:rPr>
          <w:rStyle w:val="FootnoteReference"/>
          <w:sz w:val="20"/>
        </w:rPr>
        <w:footnoteReference w:id="135"/>
      </w:r>
      <w:r w:rsidRPr="00AD7158">
        <w:t>, determinó</w:t>
      </w:r>
      <w:r w:rsidR="0027259F" w:rsidRPr="00AD7158">
        <w:t xml:space="preserve"> que “</w:t>
      </w:r>
      <w:r w:rsidR="00E16016" w:rsidRPr="00AD7158">
        <w:t>la existencia de normas que establecen la detención preventiva obligatoria o la prohibición de excarcelación para ciertos tipos de delitos, además de configurar una violación al derecho a la libertad personal, también constituye una violación al principio de igualdad ante la ley</w:t>
      </w:r>
      <w:r w:rsidR="0027259F" w:rsidRPr="00AD7158">
        <w:t>”</w:t>
      </w:r>
      <w:r w:rsidR="0027259F" w:rsidRPr="00AD7158">
        <w:rPr>
          <w:rStyle w:val="FootnoteReference"/>
          <w:sz w:val="20"/>
        </w:rPr>
        <w:footnoteReference w:id="136"/>
      </w:r>
      <w:r w:rsidR="00E16016" w:rsidRPr="00AD7158">
        <w:t xml:space="preserve">. </w:t>
      </w:r>
    </w:p>
    <w:p w14:paraId="65CD1BEC" w14:textId="77777777" w:rsidR="00B56224" w:rsidRPr="00AD7158" w:rsidRDefault="00B56224" w:rsidP="00B419FB">
      <w:pPr>
        <w:pStyle w:val="parrafos"/>
        <w:numPr>
          <w:ilvl w:val="0"/>
          <w:numId w:val="0"/>
        </w:numPr>
      </w:pPr>
    </w:p>
    <w:p w14:paraId="08B51B7B" w14:textId="77777777" w:rsidR="00B56224" w:rsidRPr="00AD7158" w:rsidRDefault="00B56224" w:rsidP="002D46B7">
      <w:pPr>
        <w:pStyle w:val="ListParagraph"/>
        <w:numPr>
          <w:ilvl w:val="0"/>
          <w:numId w:val="60"/>
        </w:numPr>
        <w:rPr>
          <w:b/>
          <w:sz w:val="20"/>
          <w:szCs w:val="20"/>
        </w:rPr>
      </w:pPr>
      <w:r w:rsidRPr="00AD7158">
        <w:rPr>
          <w:b/>
          <w:sz w:val="20"/>
          <w:szCs w:val="20"/>
        </w:rPr>
        <w:t>Análisis del presente caso</w:t>
      </w:r>
    </w:p>
    <w:p w14:paraId="26EC02FE" w14:textId="77777777" w:rsidR="00B3334E" w:rsidRPr="00AD7158" w:rsidRDefault="00B3334E" w:rsidP="00B3334E">
      <w:pPr>
        <w:ind w:left="720"/>
        <w:rPr>
          <w:b/>
          <w:sz w:val="20"/>
          <w:szCs w:val="20"/>
        </w:rPr>
      </w:pPr>
    </w:p>
    <w:p w14:paraId="473BA4C9" w14:textId="77777777" w:rsidR="00593C5A" w:rsidRPr="00AD7158" w:rsidRDefault="009A51D3" w:rsidP="007C345C">
      <w:pPr>
        <w:pStyle w:val="parrafos"/>
        <w:ind w:left="0" w:firstLine="0"/>
        <w:rPr>
          <w:color w:val="auto"/>
        </w:rPr>
      </w:pPr>
      <w:r w:rsidRPr="00AD7158">
        <w:rPr>
          <w:color w:val="auto"/>
        </w:rPr>
        <w:t>L</w:t>
      </w:r>
      <w:r w:rsidR="00B3334E" w:rsidRPr="00AD7158">
        <w:rPr>
          <w:color w:val="auto"/>
        </w:rPr>
        <w:t xml:space="preserve">a autoridad judicial impuso a la presunta víctima </w:t>
      </w:r>
      <w:r w:rsidR="00B3334E" w:rsidRPr="00AD7158">
        <w:rPr>
          <w:color w:val="auto"/>
          <w:lang w:val="es-AR"/>
        </w:rPr>
        <w:t>la pena de reclusión perpetua conforme lo preceptuado en el artículo 80 incisos 2 y 7 del CPN</w:t>
      </w:r>
      <w:r w:rsidR="006B064F" w:rsidRPr="00AD7158">
        <w:rPr>
          <w:color w:val="auto"/>
          <w:lang w:val="es-AR"/>
        </w:rPr>
        <w:t>, más</w:t>
      </w:r>
      <w:r w:rsidR="00E01B41" w:rsidRPr="00AD7158">
        <w:rPr>
          <w:color w:val="auto"/>
          <w:lang w:val="es-AR"/>
        </w:rPr>
        <w:t xml:space="preserve"> </w:t>
      </w:r>
      <w:r w:rsidR="00B3334E" w:rsidRPr="00AD7158">
        <w:rPr>
          <w:color w:val="auto"/>
          <w:lang w:val="es-AR"/>
        </w:rPr>
        <w:t>la accesoria de reclusión por tiempo indeterm</w:t>
      </w:r>
      <w:r w:rsidR="00EC4FE9" w:rsidRPr="00AD7158">
        <w:rPr>
          <w:color w:val="auto"/>
          <w:lang w:val="es-AR"/>
        </w:rPr>
        <w:t>inado de efectivo cumplimiento del</w:t>
      </w:r>
      <w:r w:rsidR="00B3334E" w:rsidRPr="00AD7158">
        <w:rPr>
          <w:color w:val="auto"/>
          <w:lang w:val="es-AR"/>
        </w:rPr>
        <w:t xml:space="preserve"> artículo 52 del CPN</w:t>
      </w:r>
      <w:r w:rsidR="005F5DE3" w:rsidRPr="00AD7158">
        <w:rPr>
          <w:color w:val="auto"/>
          <w:lang w:val="es-AR"/>
        </w:rPr>
        <w:t xml:space="preserve"> en conexión con e</w:t>
      </w:r>
      <w:r w:rsidR="00DC2245" w:rsidRPr="00AD7158">
        <w:rPr>
          <w:color w:val="auto"/>
          <w:lang w:val="es-AR"/>
        </w:rPr>
        <w:t>l artículo 80 del CPN</w:t>
      </w:r>
      <w:r w:rsidR="00B3334E" w:rsidRPr="00AD7158">
        <w:rPr>
          <w:color w:val="auto"/>
          <w:lang w:val="es-AR"/>
        </w:rPr>
        <w:t xml:space="preserve">. </w:t>
      </w:r>
      <w:r w:rsidR="002F2658" w:rsidRPr="00AD7158">
        <w:rPr>
          <w:color w:val="auto"/>
          <w:lang w:val="es-AR"/>
        </w:rPr>
        <w:t>Atendida</w:t>
      </w:r>
      <w:r w:rsidR="00B3334E" w:rsidRPr="00AD7158">
        <w:rPr>
          <w:color w:val="auto"/>
          <w:lang w:val="es-AR"/>
        </w:rPr>
        <w:t xml:space="preserve"> la normativa vigente, </w:t>
      </w:r>
      <w:r w:rsidR="00E01B41" w:rsidRPr="00AD7158">
        <w:rPr>
          <w:color w:val="auto"/>
          <w:lang w:val="es-AR"/>
        </w:rPr>
        <w:t xml:space="preserve">aquellas personas condenadas a reclusión o prisión perpetua, podían acceder a la libertad </w:t>
      </w:r>
      <w:r w:rsidR="00DC2245" w:rsidRPr="00AD7158">
        <w:rPr>
          <w:color w:val="auto"/>
          <w:lang w:val="es-AR"/>
        </w:rPr>
        <w:t>trascurridos</w:t>
      </w:r>
      <w:r w:rsidR="00E01B41" w:rsidRPr="00AD7158">
        <w:rPr>
          <w:color w:val="auto"/>
          <w:lang w:val="es-AR"/>
        </w:rPr>
        <w:t xml:space="preserve"> 20 años de condena </w:t>
      </w:r>
      <w:r w:rsidR="00195963" w:rsidRPr="00AD7158">
        <w:rPr>
          <w:color w:val="auto"/>
          <w:lang w:val="es-AR"/>
        </w:rPr>
        <w:t>(</w:t>
      </w:r>
      <w:r w:rsidR="00E01B41" w:rsidRPr="00AD7158">
        <w:rPr>
          <w:color w:val="auto"/>
          <w:lang w:val="es-AR"/>
        </w:rPr>
        <w:t>artículo 13 del CPN</w:t>
      </w:r>
      <w:r w:rsidR="00195963" w:rsidRPr="00AD7158">
        <w:rPr>
          <w:color w:val="auto"/>
          <w:lang w:val="es-AR"/>
        </w:rPr>
        <w:t>)</w:t>
      </w:r>
      <w:r w:rsidR="00E01B41" w:rsidRPr="00AD7158">
        <w:rPr>
          <w:color w:val="auto"/>
          <w:lang w:val="es-AR"/>
        </w:rPr>
        <w:t>, “</w:t>
      </w:r>
      <w:r w:rsidR="00E01B41" w:rsidRPr="00AD7158">
        <w:rPr>
          <w:color w:val="auto"/>
          <w:lang w:val="es-CL"/>
        </w:rPr>
        <w:t xml:space="preserve">por resolución judicial previo informe de la dirección del establecimiento” y </w:t>
      </w:r>
      <w:r w:rsidR="00E01B41" w:rsidRPr="00AD7158">
        <w:rPr>
          <w:color w:val="auto"/>
          <w:lang w:val="es-AR"/>
        </w:rPr>
        <w:t xml:space="preserve">bajo el cumplimiento de ciertos supuestos. </w:t>
      </w:r>
      <w:r w:rsidR="00E4643B" w:rsidRPr="00AD7158">
        <w:t>C</w:t>
      </w:r>
      <w:r w:rsidR="00593C5A" w:rsidRPr="00AD7158">
        <w:t xml:space="preserve">onforme al artículo 53 del CPN, el tribunal tiene la facultad de </w:t>
      </w:r>
      <w:r w:rsidR="00E54C99" w:rsidRPr="00AD7158">
        <w:t>conceder</w:t>
      </w:r>
      <w:r w:rsidR="00593C5A" w:rsidRPr="00AD7158">
        <w:t xml:space="preserve"> la libertad condicional al condenado </w:t>
      </w:r>
      <w:r w:rsidR="00E94F7A" w:rsidRPr="00AD7158">
        <w:t>a</w:t>
      </w:r>
      <w:r w:rsidR="00513629" w:rsidRPr="00AD7158">
        <w:t xml:space="preserve"> </w:t>
      </w:r>
      <w:r w:rsidR="00593C5A" w:rsidRPr="00AD7158">
        <w:t>reclusión acceso</w:t>
      </w:r>
      <w:r w:rsidR="006B064F" w:rsidRPr="00AD7158">
        <w:t>ria, bajo ciertas condiciones,</w:t>
      </w:r>
      <w:r w:rsidR="00593C5A" w:rsidRPr="00AD7158">
        <w:t xml:space="preserve"> transcurridos 5 años del cumplimiento de la reclusión accesoria. </w:t>
      </w:r>
      <w:r w:rsidR="00197AF3" w:rsidRPr="00AD7158">
        <w:t>T</w:t>
      </w:r>
      <w:r w:rsidR="00E94F7A" w:rsidRPr="00AD7158">
        <w:t>ra</w:t>
      </w:r>
      <w:r w:rsidR="00593C5A" w:rsidRPr="00AD7158">
        <w:t xml:space="preserve">s 5 años bajo </w:t>
      </w:r>
      <w:r w:rsidR="00E94F7A" w:rsidRPr="00AD7158">
        <w:t xml:space="preserve">el régimen de </w:t>
      </w:r>
      <w:r w:rsidR="00593C5A" w:rsidRPr="00AD7158">
        <w:t xml:space="preserve">libertad condicional, el condenado puede solicitar libertad definitiva. </w:t>
      </w:r>
      <w:r w:rsidR="006B6582" w:rsidRPr="00AD7158">
        <w:t>Así</w:t>
      </w:r>
      <w:r w:rsidR="00682041" w:rsidRPr="00AD7158">
        <w:t xml:space="preserve">, </w:t>
      </w:r>
      <w:r w:rsidR="00197AF3" w:rsidRPr="00AD7158">
        <w:t xml:space="preserve">bajo </w:t>
      </w:r>
      <w:r w:rsidR="00682041" w:rsidRPr="00AD7158">
        <w:t xml:space="preserve">la </w:t>
      </w:r>
      <w:r w:rsidR="00197AF3" w:rsidRPr="00AD7158">
        <w:t xml:space="preserve">sanción </w:t>
      </w:r>
      <w:r w:rsidR="006B6582" w:rsidRPr="00AD7158">
        <w:t>accesoria</w:t>
      </w:r>
      <w:r w:rsidR="00682041" w:rsidRPr="00AD7158">
        <w:t>, la persona obtiene su libertad definitiva en el mejor de los casos, tras 10 años del cumplimiento de la pena original.</w:t>
      </w:r>
    </w:p>
    <w:p w14:paraId="562D9D0B" w14:textId="77777777" w:rsidR="003C4605" w:rsidRPr="00AD7158" w:rsidRDefault="003C4605" w:rsidP="003C4605">
      <w:pPr>
        <w:pStyle w:val="parrafos"/>
        <w:numPr>
          <w:ilvl w:val="0"/>
          <w:numId w:val="0"/>
        </w:numPr>
        <w:rPr>
          <w:color w:val="auto"/>
        </w:rPr>
      </w:pPr>
    </w:p>
    <w:p w14:paraId="2EEE89A9" w14:textId="77777777" w:rsidR="00B53E15" w:rsidRPr="00AD7158" w:rsidRDefault="004D10E2" w:rsidP="003C4605">
      <w:pPr>
        <w:pStyle w:val="parrafos"/>
        <w:ind w:left="0" w:firstLine="0"/>
        <w:rPr>
          <w:color w:val="auto"/>
        </w:rPr>
      </w:pPr>
      <w:r w:rsidRPr="00AD7158">
        <w:rPr>
          <w:lang w:val="es-CL"/>
        </w:rPr>
        <w:t>E</w:t>
      </w:r>
      <w:r w:rsidR="008D223E" w:rsidRPr="00AD7158">
        <w:t>n el caso del señor Álvarez</w:t>
      </w:r>
      <w:r w:rsidR="008F6ADE" w:rsidRPr="00AD7158">
        <w:t>,</w:t>
      </w:r>
      <w:r w:rsidR="008D223E" w:rsidRPr="00AD7158">
        <w:t xml:space="preserve"> si se considera como mínimo 20 años de reclusión perpetua; 5 años bajo libertad condicional bajo la accesoria de reclusión, y; 5 años bajo la misma figura para la obtención de la libertad definitiva, ello implicaría que en el mejor de los casos, tendría una expectativa de obtener la libertad definitiva en un mí</w:t>
      </w:r>
      <w:r w:rsidRPr="00AD7158">
        <w:t xml:space="preserve">nimo de 30 años. </w:t>
      </w:r>
      <w:r w:rsidR="00B53E15" w:rsidRPr="00AD7158">
        <w:t>Por otra parte</w:t>
      </w:r>
      <w:r w:rsidR="008D223E" w:rsidRPr="00AD7158">
        <w:t xml:space="preserve">, el modelo de revisión de la condena en casos de reclusión perpetua no es periódico, sino que el señor Álvarez tendría a su disposición la revisión de su condena recién 20 años después de </w:t>
      </w:r>
      <w:r w:rsidR="00FA0F83" w:rsidRPr="00AD7158">
        <w:t>la sentencia condenatoria</w:t>
      </w:r>
      <w:r w:rsidR="008D223E" w:rsidRPr="00AD7158">
        <w:t>, sin que un juez pudiese hacer una valoración de diversos elementos a efectos de determinar si debiese continuar privado de libertad.</w:t>
      </w:r>
      <w:r w:rsidR="00560958" w:rsidRPr="00AD7158">
        <w:t xml:space="preserve"> </w:t>
      </w:r>
    </w:p>
    <w:p w14:paraId="1023E9FF" w14:textId="77777777" w:rsidR="00B53E15" w:rsidRPr="00AD7158" w:rsidRDefault="00B53E15" w:rsidP="00AB212A">
      <w:pPr>
        <w:pStyle w:val="parrafos"/>
        <w:numPr>
          <w:ilvl w:val="0"/>
          <w:numId w:val="0"/>
        </w:numPr>
      </w:pPr>
    </w:p>
    <w:p w14:paraId="4CD487B2" w14:textId="77777777" w:rsidR="005A0022" w:rsidRPr="00AD7158" w:rsidRDefault="00B53E15" w:rsidP="00367B18">
      <w:pPr>
        <w:pStyle w:val="parrafos"/>
        <w:ind w:left="0" w:firstLine="0"/>
      </w:pPr>
      <w:r w:rsidRPr="00AD7158">
        <w:rPr>
          <w:lang w:val="es-CL"/>
        </w:rPr>
        <w:t>La Comisión nota que el Estado no acreditó que el tribunal</w:t>
      </w:r>
      <w:r w:rsidR="00560476" w:rsidRPr="00AD7158">
        <w:rPr>
          <w:lang w:val="es-CL"/>
        </w:rPr>
        <w:t xml:space="preserve"> </w:t>
      </w:r>
      <w:r w:rsidRPr="00AD7158">
        <w:rPr>
          <w:lang w:val="es-CL"/>
        </w:rPr>
        <w:t>hubiera realizado un adecuado juicio de proporcionalidad</w:t>
      </w:r>
      <w:r w:rsidR="00D97302" w:rsidRPr="00AD7158">
        <w:rPr>
          <w:lang w:val="es-CL"/>
        </w:rPr>
        <w:t>,</w:t>
      </w:r>
      <w:r w:rsidRPr="00AD7158">
        <w:rPr>
          <w:lang w:val="es-CL"/>
        </w:rPr>
        <w:t xml:space="preserve"> que </w:t>
      </w:r>
      <w:r w:rsidR="00367B18" w:rsidRPr="00AD7158">
        <w:rPr>
          <w:lang w:val="es-CL"/>
        </w:rPr>
        <w:t>al momento de determinar la pena de reclusión y la a</w:t>
      </w:r>
      <w:r w:rsidR="00D97302" w:rsidRPr="00AD7158">
        <w:rPr>
          <w:lang w:val="es-CL"/>
        </w:rPr>
        <w:t>ccesoria por tiempo determinado</w:t>
      </w:r>
      <w:r w:rsidR="00367B18" w:rsidRPr="00AD7158">
        <w:rPr>
          <w:lang w:val="es-CL"/>
        </w:rPr>
        <w:t xml:space="preserve"> </w:t>
      </w:r>
      <w:r w:rsidRPr="00AD7158">
        <w:rPr>
          <w:lang w:val="es-CL"/>
        </w:rPr>
        <w:t xml:space="preserve">tuviera en cuenta que </w:t>
      </w:r>
      <w:r w:rsidR="00367B18" w:rsidRPr="00AD7158">
        <w:rPr>
          <w:lang w:val="es-CL"/>
        </w:rPr>
        <w:t xml:space="preserve">tal </w:t>
      </w:r>
      <w:r w:rsidRPr="00AD7158">
        <w:rPr>
          <w:lang w:val="es-CL"/>
        </w:rPr>
        <w:t>sanción cumpliera con un fin resocializador,</w:t>
      </w:r>
      <w:r w:rsidR="00367B18" w:rsidRPr="00AD7158">
        <w:rPr>
          <w:lang w:val="es-CL"/>
        </w:rPr>
        <w:t xml:space="preserve"> por lo cual resulta violatoria</w:t>
      </w:r>
      <w:r w:rsidRPr="00AD7158">
        <w:rPr>
          <w:lang w:val="es-CL"/>
        </w:rPr>
        <w:t xml:space="preserve"> </w:t>
      </w:r>
      <w:r w:rsidR="00367B18" w:rsidRPr="00AD7158">
        <w:rPr>
          <w:lang w:val="es-CL"/>
        </w:rPr>
        <w:t>d</w:t>
      </w:r>
      <w:r w:rsidRPr="00AD7158">
        <w:rPr>
          <w:lang w:val="es-CL"/>
        </w:rPr>
        <w:t>el artículo 5.6 de la Convención</w:t>
      </w:r>
      <w:r w:rsidR="00367B18" w:rsidRPr="00AD7158">
        <w:rPr>
          <w:lang w:val="es-CL"/>
        </w:rPr>
        <w:t>. L</w:t>
      </w:r>
      <w:r w:rsidRPr="00AD7158">
        <w:rPr>
          <w:lang w:val="es-CL"/>
        </w:rPr>
        <w:t xml:space="preserve">a </w:t>
      </w:r>
      <w:r w:rsidR="00367B18" w:rsidRPr="00AD7158">
        <w:rPr>
          <w:lang w:val="es-CL"/>
        </w:rPr>
        <w:t xml:space="preserve">desproporcionalidad de tal pena constituye una </w:t>
      </w:r>
      <w:r w:rsidRPr="00AD7158">
        <w:rPr>
          <w:lang w:val="es-CL"/>
        </w:rPr>
        <w:t>expresión del derecho penal de autor.</w:t>
      </w:r>
      <w:r w:rsidRPr="00AD7158">
        <w:t xml:space="preserve"> E</w:t>
      </w:r>
      <w:r w:rsidR="00367B18" w:rsidRPr="00AD7158">
        <w:t xml:space="preserve">n efecto, </w:t>
      </w:r>
      <w:r w:rsidRPr="00AD7158">
        <w:t xml:space="preserve">el tribunal no </w:t>
      </w:r>
      <w:r w:rsidRPr="00AD7158">
        <w:rPr>
          <w:lang w:val="es-CL"/>
        </w:rPr>
        <w:t xml:space="preserve">consideró </w:t>
      </w:r>
      <w:r w:rsidR="00192D94" w:rsidRPr="00AD7158">
        <w:rPr>
          <w:lang w:val="es-CL"/>
        </w:rPr>
        <w:t xml:space="preserve">diversos </w:t>
      </w:r>
      <w:r w:rsidR="00AB212A" w:rsidRPr="00AD7158">
        <w:rPr>
          <w:lang w:val="es-CL"/>
        </w:rPr>
        <w:t>elementos como las posibilidades de resocialización de la presunta víctima, su edad y sus antecedentes penales.</w:t>
      </w:r>
      <w:r w:rsidR="000B4145" w:rsidRPr="00AD7158">
        <w:rPr>
          <w:lang w:val="es-CL"/>
        </w:rPr>
        <w:t xml:space="preserve"> </w:t>
      </w:r>
      <w:r w:rsidR="00367B18" w:rsidRPr="00AD7158">
        <w:t xml:space="preserve">Este carácter desproporcionado, </w:t>
      </w:r>
      <w:r w:rsidRPr="00AD7158">
        <w:t xml:space="preserve">resulta evidente, por ejemplo, en que </w:t>
      </w:r>
      <w:r w:rsidRPr="00AD7158">
        <w:rPr>
          <w:lang w:val="es-CL"/>
        </w:rPr>
        <w:t>la presunta víctima a la fecha de la sentencia de primera instancia tenía 19 años,</w:t>
      </w:r>
      <w:r w:rsidR="00560476" w:rsidRPr="00AD7158">
        <w:rPr>
          <w:lang w:val="es-CL"/>
        </w:rPr>
        <w:t xml:space="preserve"> </w:t>
      </w:r>
      <w:r w:rsidRPr="00AD7158">
        <w:rPr>
          <w:lang w:val="es-CL"/>
        </w:rPr>
        <w:t xml:space="preserve">y la pena impuesta </w:t>
      </w:r>
      <w:r w:rsidRPr="00AD7158">
        <w:rPr>
          <w:lang w:val="es-CL"/>
        </w:rPr>
        <w:lastRenderedPageBreak/>
        <w:t>superaba con creces sus años de vida.</w:t>
      </w:r>
      <w:r w:rsidRPr="00AD7158">
        <w:t xml:space="preserve"> </w:t>
      </w:r>
      <w:r w:rsidR="00367B18" w:rsidRPr="00AD7158">
        <w:t xml:space="preserve">Además, </w:t>
      </w:r>
      <w:r w:rsidR="00367B18" w:rsidRPr="00AD7158">
        <w:rPr>
          <w:lang w:val="es-CL"/>
        </w:rPr>
        <w:t>l</w:t>
      </w:r>
      <w:r w:rsidR="00776068" w:rsidRPr="00AD7158">
        <w:rPr>
          <w:lang w:val="es-CL"/>
        </w:rPr>
        <w:t xml:space="preserve">a imposición de </w:t>
      </w:r>
      <w:r w:rsidR="00367B18" w:rsidRPr="00AD7158">
        <w:rPr>
          <w:lang w:val="es-CL"/>
        </w:rPr>
        <w:t xml:space="preserve">la </w:t>
      </w:r>
      <w:r w:rsidR="00776068" w:rsidRPr="00AD7158">
        <w:rPr>
          <w:lang w:val="es-CL"/>
        </w:rPr>
        <w:t xml:space="preserve">pena accesoria, implica en la práctica </w:t>
      </w:r>
      <w:r w:rsidR="00367B18" w:rsidRPr="00AD7158">
        <w:rPr>
          <w:lang w:val="es-CL"/>
        </w:rPr>
        <w:t xml:space="preserve">que </w:t>
      </w:r>
      <w:r w:rsidR="00776068" w:rsidRPr="00AD7158">
        <w:rPr>
          <w:lang w:val="es-CL"/>
        </w:rPr>
        <w:t xml:space="preserve">dos personas condenadas por el mismo delito, </w:t>
      </w:r>
      <w:r w:rsidR="00367B18" w:rsidRPr="00AD7158">
        <w:rPr>
          <w:lang w:val="es-CL"/>
        </w:rPr>
        <w:t xml:space="preserve">se expongan </w:t>
      </w:r>
      <w:r w:rsidR="00776068" w:rsidRPr="00AD7158">
        <w:rPr>
          <w:lang w:val="es-CL"/>
        </w:rPr>
        <w:t xml:space="preserve">a un tratamiento diferenciado conforme el actuar </w:t>
      </w:r>
      <w:r w:rsidR="00367B18" w:rsidRPr="00AD7158">
        <w:rPr>
          <w:lang w:val="es-CL"/>
        </w:rPr>
        <w:t xml:space="preserve">discrecional </w:t>
      </w:r>
      <w:r w:rsidR="00776068" w:rsidRPr="00AD7158">
        <w:rPr>
          <w:lang w:val="es-CL"/>
        </w:rPr>
        <w:t xml:space="preserve">de la autoridad judicial, siendo aquel a quien se aplica, </w:t>
      </w:r>
      <w:r w:rsidR="00367B18" w:rsidRPr="00AD7158">
        <w:rPr>
          <w:lang w:val="es-CL"/>
        </w:rPr>
        <w:t>privado de la libertad en una forma que implica su exclusión social</w:t>
      </w:r>
      <w:r w:rsidR="00776068" w:rsidRPr="00AD7158">
        <w:rPr>
          <w:lang w:val="es-CL"/>
        </w:rPr>
        <w:t xml:space="preserve">, impactando sus posibilidades de resocialización. Ello no tendría una justificación compatible con la CADH y por ende, </w:t>
      </w:r>
      <w:r w:rsidR="00367B18" w:rsidRPr="00AD7158">
        <w:rPr>
          <w:lang w:val="es-CL"/>
        </w:rPr>
        <w:t>resulta violatorio d</w:t>
      </w:r>
      <w:r w:rsidR="00776068" w:rsidRPr="00AD7158">
        <w:rPr>
          <w:lang w:val="es-CL"/>
        </w:rPr>
        <w:t>el artículo 24 de la CADH.</w:t>
      </w:r>
      <w:r w:rsidR="00ED0C7A" w:rsidRPr="00AD7158">
        <w:rPr>
          <w:lang w:val="es-CL"/>
        </w:rPr>
        <w:t xml:space="preserve"> De hecho, tanto la CIDH</w:t>
      </w:r>
      <w:r w:rsidR="00ED0C7A" w:rsidRPr="00AD7158">
        <w:rPr>
          <w:rStyle w:val="FootnoteReference"/>
          <w:lang w:val="es-CL"/>
        </w:rPr>
        <w:footnoteReference w:id="137"/>
      </w:r>
      <w:r w:rsidR="00ED0C7A" w:rsidRPr="00AD7158">
        <w:rPr>
          <w:lang w:val="es-CL"/>
        </w:rPr>
        <w:t xml:space="preserve"> así como el Comité de los Derechos del Niño</w:t>
      </w:r>
      <w:r w:rsidR="0050605C" w:rsidRPr="00AD7158">
        <w:rPr>
          <w:rStyle w:val="FootnoteReference"/>
          <w:lang w:val="es-CL"/>
        </w:rPr>
        <w:footnoteReference w:id="138"/>
      </w:r>
      <w:r w:rsidR="00A1240E" w:rsidRPr="00AD7158">
        <w:rPr>
          <w:lang w:val="es-CL"/>
        </w:rPr>
        <w:t>,</w:t>
      </w:r>
      <w:r w:rsidR="00ED0C7A" w:rsidRPr="00AD7158">
        <w:rPr>
          <w:lang w:val="es-CL"/>
        </w:rPr>
        <w:t xml:space="preserve"> han valorado que la aplicación de la justicia penal juvenil se extienda hasta los 21 años, a fin de considerar el nivel de desarrollo de la persona a la hora de fijar la sanción. </w:t>
      </w:r>
      <w:r w:rsidR="00FF72CF" w:rsidRPr="00AD7158">
        <w:rPr>
          <w:lang w:val="es-CL"/>
        </w:rPr>
        <w:t>Asimismo, la Corte IDH y el referido Comité se han referido a la incompatibilidad que tienen este tipo de sanciones en relación con los derechos de la niñez.</w:t>
      </w:r>
    </w:p>
    <w:p w14:paraId="10668A03" w14:textId="77777777" w:rsidR="00556A26" w:rsidRPr="00AD7158" w:rsidRDefault="00556A26" w:rsidP="00556A26">
      <w:pPr>
        <w:pStyle w:val="parrafos"/>
        <w:numPr>
          <w:ilvl w:val="0"/>
          <w:numId w:val="0"/>
        </w:numPr>
      </w:pPr>
    </w:p>
    <w:p w14:paraId="48C96078" w14:textId="77777777" w:rsidR="003C4605" w:rsidRPr="00AD7158" w:rsidRDefault="00556A26" w:rsidP="00367B18">
      <w:pPr>
        <w:pStyle w:val="parrafos"/>
        <w:ind w:left="0" w:firstLine="0"/>
      </w:pPr>
      <w:r w:rsidRPr="00AD7158">
        <w:t xml:space="preserve">La </w:t>
      </w:r>
      <w:r w:rsidR="00D77154" w:rsidRPr="00AD7158">
        <w:t>Comisión</w:t>
      </w:r>
      <w:r w:rsidRPr="00AD7158">
        <w:t xml:space="preserve"> reconoce que la sentencia del caso Gramajo referida en la sección de determinación de hechos, constituye un aporte en cuanto declara que</w:t>
      </w:r>
      <w:r w:rsidR="00560958" w:rsidRPr="00AD7158">
        <w:t xml:space="preserve"> </w:t>
      </w:r>
      <w:r w:rsidRPr="00AD7158">
        <w:t xml:space="preserve">el artículo </w:t>
      </w:r>
      <w:r w:rsidRPr="00AD7158">
        <w:rPr>
          <w:rFonts w:cstheme="majorHAnsi"/>
          <w:lang w:val="es-AR"/>
        </w:rPr>
        <w:t xml:space="preserve">52 del </w:t>
      </w:r>
      <w:r w:rsidR="00DE7537" w:rsidRPr="00AD7158">
        <w:rPr>
          <w:rFonts w:cstheme="majorHAnsi"/>
          <w:lang w:val="es-AR"/>
        </w:rPr>
        <w:t>CPN</w:t>
      </w:r>
      <w:r w:rsidRPr="00AD7158">
        <w:rPr>
          <w:rFonts w:cstheme="majorHAnsi"/>
          <w:lang w:val="es-AR"/>
        </w:rPr>
        <w:t xml:space="preserve"> resulta inconstitucional </w:t>
      </w:r>
      <w:r w:rsidR="00D77154" w:rsidRPr="00AD7158">
        <w:rPr>
          <w:rFonts w:cstheme="majorHAnsi"/>
          <w:lang w:val="es-AR"/>
        </w:rPr>
        <w:t xml:space="preserve">por los motivos referidos previamente. </w:t>
      </w:r>
      <w:r w:rsidR="00CB0E60" w:rsidRPr="00AD7158">
        <w:rPr>
          <w:rFonts w:cstheme="majorHAnsi"/>
          <w:lang w:val="es-AR"/>
        </w:rPr>
        <w:t>S</w:t>
      </w:r>
      <w:r w:rsidRPr="00AD7158">
        <w:rPr>
          <w:rFonts w:cstheme="majorHAnsi"/>
          <w:lang w:val="es-AR"/>
        </w:rPr>
        <w:t>i</w:t>
      </w:r>
      <w:r w:rsidR="005D427A" w:rsidRPr="00AD7158">
        <w:rPr>
          <w:rFonts w:cstheme="majorHAnsi"/>
          <w:lang w:val="es-AR"/>
        </w:rPr>
        <w:t>n embargo</w:t>
      </w:r>
      <w:r w:rsidRPr="00AD7158">
        <w:t xml:space="preserve">, </w:t>
      </w:r>
      <w:r w:rsidR="00367B18" w:rsidRPr="00AD7158">
        <w:t xml:space="preserve">la Comisión no cuenta con información que indique que tal </w:t>
      </w:r>
      <w:r w:rsidRPr="00AD7158">
        <w:t>fallo tiene un carácter general, por lo que nada previene a otros tribunales nacionales a continuar aplicando la norma, la cual</w:t>
      </w:r>
      <w:r w:rsidR="00367B18" w:rsidRPr="00AD7158">
        <w:t xml:space="preserve"> permanece vigente a la fecha. </w:t>
      </w:r>
    </w:p>
    <w:p w14:paraId="7086AB17" w14:textId="77777777" w:rsidR="003C4605" w:rsidRPr="00AD7158" w:rsidRDefault="003C4605" w:rsidP="003C4605">
      <w:pPr>
        <w:pStyle w:val="ListParagraph"/>
      </w:pPr>
    </w:p>
    <w:p w14:paraId="795E86D7" w14:textId="77777777" w:rsidR="001F4B28" w:rsidRPr="00AD7158" w:rsidRDefault="003C4605" w:rsidP="00367B18">
      <w:pPr>
        <w:pStyle w:val="parrafos"/>
        <w:ind w:left="0" w:firstLine="0"/>
      </w:pPr>
      <w:r w:rsidRPr="00AD7158">
        <w:t>En vista de todo lo expuesto</w:t>
      </w:r>
      <w:r w:rsidR="00215ACA" w:rsidRPr="00AD7158">
        <w:t xml:space="preserve">, </w:t>
      </w:r>
      <w:r w:rsidRPr="00AD7158">
        <w:t xml:space="preserve">la CIDH concluye que </w:t>
      </w:r>
      <w:r w:rsidR="00215ACA" w:rsidRPr="00AD7158">
        <w:t xml:space="preserve">el Estado </w:t>
      </w:r>
      <w:r w:rsidRPr="00AD7158">
        <w:t xml:space="preserve">violó </w:t>
      </w:r>
      <w:r w:rsidR="00215ACA" w:rsidRPr="00AD7158">
        <w:t>los derechos establecidos en los artículo</w:t>
      </w:r>
      <w:r w:rsidR="00A168F9" w:rsidRPr="00AD7158">
        <w:t>s 5.6,</w:t>
      </w:r>
      <w:r w:rsidR="00215ACA" w:rsidRPr="00AD7158">
        <w:t xml:space="preserve"> 7.3</w:t>
      </w:r>
      <w:r w:rsidR="00A168F9" w:rsidRPr="00AD7158">
        <w:t xml:space="preserve"> y 24</w:t>
      </w:r>
      <w:r w:rsidR="00215ACA" w:rsidRPr="00AD7158">
        <w:t xml:space="preserve"> de la Convención, en relación con los artículos 1.1 y 2 del mismo instrumento.</w:t>
      </w:r>
    </w:p>
    <w:bookmarkEnd w:id="14"/>
    <w:p w14:paraId="3A67DF1E" w14:textId="77777777" w:rsidR="0006565A" w:rsidRPr="00AD7158" w:rsidRDefault="0006565A" w:rsidP="00B419FB">
      <w:pPr>
        <w:tabs>
          <w:tab w:val="left" w:pos="360"/>
        </w:tabs>
        <w:jc w:val="both"/>
        <w:rPr>
          <w:rFonts w:asciiTheme="majorHAnsi" w:hAnsiTheme="majorHAnsi"/>
          <w:sz w:val="20"/>
          <w:szCs w:val="20"/>
          <w:lang w:val="es-CL"/>
        </w:rPr>
      </w:pPr>
    </w:p>
    <w:p w14:paraId="3DE742DD" w14:textId="77777777" w:rsidR="00D12193" w:rsidRPr="00AD7158" w:rsidRDefault="00D12193" w:rsidP="002D46B7">
      <w:pPr>
        <w:pStyle w:val="Heading1"/>
      </w:pPr>
      <w:bookmarkStart w:id="17" w:name="_Toc30670588"/>
      <w:r w:rsidRPr="00AD7158">
        <w:t>CONCLUSIONES Y RECOMENDACIONES</w:t>
      </w:r>
      <w:bookmarkEnd w:id="17"/>
      <w:r w:rsidRPr="00AD7158">
        <w:t xml:space="preserve"> </w:t>
      </w:r>
    </w:p>
    <w:p w14:paraId="6BFCDE44" w14:textId="77777777" w:rsidR="00603178" w:rsidRPr="00AD7158" w:rsidRDefault="00603178" w:rsidP="00603178">
      <w:pPr>
        <w:pStyle w:val="parrafos"/>
        <w:numPr>
          <w:ilvl w:val="0"/>
          <w:numId w:val="0"/>
        </w:numPr>
      </w:pPr>
    </w:p>
    <w:p w14:paraId="5EE7C991" w14:textId="77777777" w:rsidR="00006896" w:rsidRPr="00AD7158" w:rsidRDefault="00603178" w:rsidP="00F754F1">
      <w:pPr>
        <w:numPr>
          <w:ilvl w:val="0"/>
          <w:numId w:val="55"/>
        </w:numPr>
        <w:tabs>
          <w:tab w:val="left" w:pos="360"/>
        </w:tabs>
        <w:ind w:left="0" w:firstLine="0"/>
        <w:jc w:val="both"/>
        <w:rPr>
          <w:rFonts w:asciiTheme="majorHAnsi" w:hAnsiTheme="majorHAnsi"/>
          <w:sz w:val="20"/>
          <w:szCs w:val="20"/>
          <w:lang w:val="es-CL"/>
        </w:rPr>
      </w:pPr>
      <w:r w:rsidRPr="00AD7158">
        <w:rPr>
          <w:rFonts w:asciiTheme="majorHAnsi" w:hAnsiTheme="majorHAnsi"/>
          <w:sz w:val="20"/>
          <w:szCs w:val="20"/>
          <w:lang w:val="es-CL"/>
        </w:rPr>
        <w:t xml:space="preserve">La Comisión concluye que el Estado argentino es responsable por la violación de los derechos a la </w:t>
      </w:r>
      <w:r w:rsidRPr="00AD7158">
        <w:rPr>
          <w:rFonts w:asciiTheme="majorHAnsi" w:hAnsiTheme="majorHAnsi"/>
          <w:color w:val="000000" w:themeColor="text1"/>
          <w:sz w:val="20"/>
          <w:szCs w:val="20"/>
          <w:lang w:val="es-CL"/>
        </w:rPr>
        <w:t>integridad personal, libertad personal, garantías judiciales, igualdad ante la ley y protección judicial establecidos en los artículos 5.6, 7.3, 8.1, 8.2 letras</w:t>
      </w:r>
      <w:r w:rsidRPr="00AD7158">
        <w:rPr>
          <w:rFonts w:asciiTheme="majorHAnsi" w:hAnsiTheme="majorHAnsi"/>
          <w:sz w:val="20"/>
          <w:szCs w:val="20"/>
          <w:lang w:val="es-CL"/>
        </w:rPr>
        <w:t xml:space="preserve"> c, d, e, h y f, 24 y 25 de la Convención Americana, en </w:t>
      </w:r>
      <w:r w:rsidRPr="00AD7158">
        <w:rPr>
          <w:rFonts w:asciiTheme="majorHAnsi" w:hAnsiTheme="majorHAnsi"/>
          <w:color w:val="000000" w:themeColor="text1"/>
          <w:sz w:val="20"/>
          <w:szCs w:val="20"/>
          <w:lang w:val="es-CL"/>
        </w:rPr>
        <w:t>relación con las obligaciones establecidas en los artículos 1.1 y 2 del mismo instrumento, en perjuicio de Guillermo Antonio Álvarez.</w:t>
      </w:r>
      <w:r w:rsidRPr="00AD7158">
        <w:rPr>
          <w:rFonts w:asciiTheme="majorHAnsi" w:hAnsiTheme="majorHAnsi"/>
          <w:color w:val="000000" w:themeColor="text1"/>
          <w:sz w:val="20"/>
          <w:szCs w:val="20"/>
          <w:lang w:val="es-VE"/>
        </w:rPr>
        <w:t xml:space="preserve"> </w:t>
      </w:r>
      <w:r w:rsidR="00006896" w:rsidRPr="00AD7158">
        <w:rPr>
          <w:rFonts w:asciiTheme="majorHAnsi" w:hAnsiTheme="majorHAnsi"/>
          <w:sz w:val="20"/>
          <w:szCs w:val="20"/>
          <w:lang w:val="es-VE"/>
        </w:rPr>
        <w:t>En</w:t>
      </w:r>
      <w:r w:rsidR="00006896" w:rsidRPr="00AD7158">
        <w:rPr>
          <w:rFonts w:asciiTheme="majorHAnsi" w:hAnsiTheme="majorHAnsi"/>
          <w:sz w:val="20"/>
          <w:szCs w:val="20"/>
          <w:lang w:val="es-ES_tradnl"/>
        </w:rPr>
        <w:t xml:space="preserve"> </w:t>
      </w:r>
      <w:r w:rsidR="00006896" w:rsidRPr="00AD7158">
        <w:rPr>
          <w:rFonts w:asciiTheme="majorHAnsi" w:hAnsiTheme="majorHAnsi"/>
          <w:sz w:val="20"/>
          <w:szCs w:val="20"/>
          <w:lang w:val="es-ES"/>
        </w:rPr>
        <w:t>virtud</w:t>
      </w:r>
      <w:r w:rsidR="00006896" w:rsidRPr="00AD7158">
        <w:rPr>
          <w:rFonts w:asciiTheme="majorHAnsi" w:hAnsiTheme="majorHAnsi"/>
          <w:sz w:val="20"/>
          <w:szCs w:val="20"/>
          <w:lang w:val="es-ES_tradnl"/>
        </w:rPr>
        <w:t xml:space="preserve"> de las anteriores conclusiones</w:t>
      </w:r>
      <w:r w:rsidR="00465097" w:rsidRPr="00AD7158">
        <w:rPr>
          <w:rFonts w:asciiTheme="majorHAnsi" w:hAnsiTheme="majorHAnsi"/>
          <w:sz w:val="20"/>
          <w:szCs w:val="20"/>
          <w:lang w:val="es-ES_tradnl"/>
        </w:rPr>
        <w:t>,</w:t>
      </w:r>
    </w:p>
    <w:p w14:paraId="7D2CAB0B" w14:textId="77777777" w:rsidR="00465097" w:rsidRPr="00AD7158" w:rsidRDefault="00465097" w:rsidP="00465097">
      <w:pPr>
        <w:tabs>
          <w:tab w:val="left" w:pos="360"/>
        </w:tabs>
        <w:suppressAutoHyphens/>
        <w:jc w:val="both"/>
        <w:rPr>
          <w:rFonts w:asciiTheme="majorHAnsi" w:hAnsiTheme="majorHAnsi"/>
          <w:sz w:val="20"/>
          <w:szCs w:val="20"/>
          <w:lang w:val="es-ES_tradnl"/>
        </w:rPr>
      </w:pPr>
    </w:p>
    <w:p w14:paraId="35AAD05D" w14:textId="77777777" w:rsidR="00006896" w:rsidRPr="00AD7158" w:rsidRDefault="00006896" w:rsidP="00FF0E3D">
      <w:pPr>
        <w:tabs>
          <w:tab w:val="left" w:pos="360"/>
        </w:tabs>
        <w:jc w:val="both"/>
        <w:rPr>
          <w:rFonts w:asciiTheme="majorHAnsi" w:hAnsiTheme="majorHAnsi"/>
          <w:b/>
          <w:sz w:val="20"/>
          <w:szCs w:val="20"/>
          <w:lang w:val="es-ES_tradnl"/>
        </w:rPr>
      </w:pPr>
      <w:r w:rsidRPr="00AD7158">
        <w:rPr>
          <w:rFonts w:asciiTheme="majorHAnsi" w:hAnsiTheme="majorHAnsi"/>
          <w:b/>
          <w:sz w:val="20"/>
          <w:szCs w:val="20"/>
          <w:lang w:val="es-ES_tradnl"/>
        </w:rPr>
        <w:t xml:space="preserve">LA COMISIÓN INTERAMERICANA DE DERECHOS HUMANOS, RECOMIENDA AL ESTADO DE </w:t>
      </w:r>
      <w:r w:rsidR="00FF0E3D" w:rsidRPr="00AD7158">
        <w:rPr>
          <w:rFonts w:asciiTheme="majorHAnsi" w:hAnsiTheme="majorHAnsi"/>
          <w:b/>
          <w:sz w:val="20"/>
          <w:szCs w:val="20"/>
          <w:lang w:val="es-ES_tradnl"/>
        </w:rPr>
        <w:t>ARGENTINA</w:t>
      </w:r>
      <w:r w:rsidRPr="00AD7158">
        <w:rPr>
          <w:rFonts w:asciiTheme="majorHAnsi" w:hAnsiTheme="majorHAnsi"/>
          <w:b/>
          <w:sz w:val="20"/>
          <w:szCs w:val="20"/>
          <w:lang w:val="es-ES_tradnl"/>
        </w:rPr>
        <w:t>,</w:t>
      </w:r>
    </w:p>
    <w:p w14:paraId="750853ED" w14:textId="77777777" w:rsidR="00006896" w:rsidRPr="00AD7158" w:rsidRDefault="00006896" w:rsidP="00B419FB">
      <w:pPr>
        <w:tabs>
          <w:tab w:val="left" w:pos="360"/>
        </w:tabs>
        <w:jc w:val="both"/>
        <w:rPr>
          <w:rFonts w:asciiTheme="majorHAnsi" w:hAnsiTheme="majorHAnsi"/>
          <w:color w:val="666666"/>
          <w:sz w:val="20"/>
          <w:szCs w:val="20"/>
          <w:lang w:val="es-US"/>
        </w:rPr>
      </w:pPr>
      <w:r w:rsidRPr="00AD7158">
        <w:rPr>
          <w:rFonts w:asciiTheme="majorHAnsi" w:hAnsiTheme="majorHAnsi"/>
          <w:color w:val="666666"/>
          <w:sz w:val="20"/>
          <w:szCs w:val="20"/>
          <w:lang w:val="es-US"/>
        </w:rPr>
        <w:t> </w:t>
      </w:r>
    </w:p>
    <w:p w14:paraId="5B88AAA0" w14:textId="77777777" w:rsidR="00990417" w:rsidRPr="00AD7158" w:rsidRDefault="00990417" w:rsidP="00990417">
      <w:pPr>
        <w:pStyle w:val="parrafos"/>
        <w:numPr>
          <w:ilvl w:val="0"/>
          <w:numId w:val="64"/>
        </w:numPr>
        <w:tabs>
          <w:tab w:val="num" w:pos="0"/>
        </w:tabs>
        <w:rPr>
          <w:rFonts w:ascii="Cambria" w:hAnsi="Cambria"/>
          <w:spacing w:val="-2"/>
          <w:lang w:val="es-ES"/>
        </w:rPr>
      </w:pPr>
      <w:r w:rsidRPr="00AD7158">
        <w:rPr>
          <w:rFonts w:ascii="Cambria" w:hAnsi="Cambria"/>
          <w:spacing w:val="-2"/>
          <w:lang w:val="es-ES"/>
        </w:rPr>
        <w:t xml:space="preserve">Reparar integralmente las violaciones de derechos humanos declaradas en </w:t>
      </w:r>
      <w:r w:rsidR="00561A0C" w:rsidRPr="00AD7158">
        <w:rPr>
          <w:rFonts w:ascii="Cambria" w:hAnsi="Cambria"/>
          <w:spacing w:val="-2"/>
          <w:lang w:val="es-ES"/>
        </w:rPr>
        <w:t>este</w:t>
      </w:r>
      <w:r w:rsidRPr="00AD7158">
        <w:rPr>
          <w:rFonts w:ascii="Cambria" w:hAnsi="Cambria"/>
          <w:spacing w:val="-2"/>
          <w:lang w:val="es-ES"/>
        </w:rPr>
        <w:t xml:space="preserve"> informe tanto en el aspecto material como inmaterial. El Estado deberá adoptar las medidas de compensación económica y satisfacción. </w:t>
      </w:r>
    </w:p>
    <w:p w14:paraId="25069BF6" w14:textId="77777777" w:rsidR="00990417" w:rsidRPr="00AD7158" w:rsidRDefault="00990417" w:rsidP="00990417">
      <w:pPr>
        <w:pStyle w:val="parrafos"/>
        <w:numPr>
          <w:ilvl w:val="0"/>
          <w:numId w:val="0"/>
        </w:numPr>
        <w:ind w:left="360"/>
        <w:rPr>
          <w:rFonts w:ascii="Cambria" w:hAnsi="Cambria"/>
          <w:spacing w:val="-2"/>
          <w:lang w:val="es-ES"/>
        </w:rPr>
      </w:pPr>
    </w:p>
    <w:p w14:paraId="0999EC0F" w14:textId="77777777" w:rsidR="002D46B7" w:rsidRPr="00AD7158" w:rsidRDefault="009D2C74" w:rsidP="00C8588E">
      <w:pPr>
        <w:pStyle w:val="parrafos"/>
        <w:numPr>
          <w:ilvl w:val="0"/>
          <w:numId w:val="64"/>
        </w:numPr>
        <w:rPr>
          <w:lang w:val="es-CL"/>
        </w:rPr>
      </w:pPr>
      <w:r w:rsidRPr="00AD7158">
        <w:rPr>
          <w:lang w:val="es-CL"/>
        </w:rPr>
        <w:t xml:space="preserve">Disponer las medidas necesarias para que Guillermo Antonio Álvarez, pueda </w:t>
      </w:r>
      <w:r w:rsidR="00A23100" w:rsidRPr="00AD7158">
        <w:rPr>
          <w:lang w:val="es-CL"/>
        </w:rPr>
        <w:t>acceder a un proceso penal con la</w:t>
      </w:r>
      <w:r w:rsidR="00C8588E" w:rsidRPr="00AD7158">
        <w:rPr>
          <w:lang w:val="es-CL"/>
        </w:rPr>
        <w:t xml:space="preserve">s debidas garantías judiciales. En particular, disponer </w:t>
      </w:r>
      <w:r w:rsidR="00A23100" w:rsidRPr="00AD7158">
        <w:rPr>
          <w:lang w:val="es-CL"/>
        </w:rPr>
        <w:t>las medidas necesarias para que</w:t>
      </w:r>
      <w:r w:rsidR="00133135" w:rsidRPr="00AD7158">
        <w:rPr>
          <w:lang w:val="es-CL"/>
        </w:rPr>
        <w:t xml:space="preserve">, </w:t>
      </w:r>
      <w:r w:rsidR="00133135" w:rsidRPr="00AD7158">
        <w:rPr>
          <w:rFonts w:ascii="Cambria" w:hAnsi="Cambria"/>
          <w:spacing w:val="-2"/>
          <w:lang w:val="es-ES"/>
        </w:rPr>
        <w:t>en caso de ser su voluntad,</w:t>
      </w:r>
      <w:r w:rsidR="00A23100" w:rsidRPr="00AD7158">
        <w:rPr>
          <w:lang w:val="es-CL"/>
        </w:rPr>
        <w:t xml:space="preserve"> Guillermo Antonio Álvarez, pueda </w:t>
      </w:r>
      <w:r w:rsidRPr="00AD7158">
        <w:rPr>
          <w:lang w:val="es-CL"/>
        </w:rPr>
        <w:t>interponer un recurso mediante el cual obtengan una revisió</w:t>
      </w:r>
      <w:r w:rsidR="00C8588E" w:rsidRPr="00AD7158">
        <w:rPr>
          <w:lang w:val="es-CL"/>
        </w:rPr>
        <w:t>n amplia de la sentencia</w:t>
      </w:r>
      <w:r w:rsidRPr="00AD7158">
        <w:rPr>
          <w:lang w:val="es-CL"/>
        </w:rPr>
        <w:t xml:space="preserve"> en cumplimiento del artículo 8.2</w:t>
      </w:r>
      <w:r w:rsidR="000F2944" w:rsidRPr="00AD7158">
        <w:rPr>
          <w:lang w:val="es-CL"/>
        </w:rPr>
        <w:t>.</w:t>
      </w:r>
      <w:r w:rsidRPr="00AD7158">
        <w:rPr>
          <w:lang w:val="es-CL"/>
        </w:rPr>
        <w:t xml:space="preserve">h de la Convención Americana. </w:t>
      </w:r>
    </w:p>
    <w:p w14:paraId="7101BE0F" w14:textId="77777777" w:rsidR="00C8588E" w:rsidRPr="00AD7158" w:rsidRDefault="00C8588E" w:rsidP="00C8588E">
      <w:pPr>
        <w:pStyle w:val="parrafos"/>
        <w:numPr>
          <w:ilvl w:val="0"/>
          <w:numId w:val="0"/>
        </w:numPr>
        <w:rPr>
          <w:lang w:val="es-CL"/>
        </w:rPr>
      </w:pPr>
    </w:p>
    <w:p w14:paraId="6AE531A5" w14:textId="77777777" w:rsidR="00C8588E" w:rsidRPr="00AD7158" w:rsidRDefault="002D46B7" w:rsidP="002D46B7">
      <w:pPr>
        <w:pStyle w:val="parrafos"/>
        <w:numPr>
          <w:ilvl w:val="0"/>
          <w:numId w:val="64"/>
        </w:numPr>
        <w:rPr>
          <w:lang w:val="es-CL"/>
        </w:rPr>
      </w:pPr>
      <w:r w:rsidRPr="00AD7158">
        <w:rPr>
          <w:rFonts w:ascii="Cambria" w:hAnsi="Cambria"/>
          <w:spacing w:val="-2"/>
          <w:lang w:val="es-ES"/>
        </w:rPr>
        <w:t xml:space="preserve">Disponer las medidas </w:t>
      </w:r>
      <w:r w:rsidR="00C8588E" w:rsidRPr="00AD7158">
        <w:rPr>
          <w:rFonts w:ascii="Cambria" w:hAnsi="Cambria"/>
          <w:spacing w:val="-2"/>
          <w:lang w:val="es-ES"/>
        </w:rPr>
        <w:t xml:space="preserve">necesarias para </w:t>
      </w:r>
      <w:r w:rsidR="00542CAD" w:rsidRPr="00AD7158">
        <w:rPr>
          <w:rFonts w:ascii="Cambria" w:hAnsi="Cambria"/>
          <w:spacing w:val="-2"/>
          <w:lang w:val="es-ES"/>
        </w:rPr>
        <w:t>realizar una revisión de la condena impuesta al señor Guillermo Antonio Álvarez consistente en reclusión perpetua con accesoria de reclusión por tiempo indeterminado, de tal forma que sea compatible con la finalidad prevista en el artículo 5.6 de la Convención Americana.</w:t>
      </w:r>
    </w:p>
    <w:p w14:paraId="75AE6BDE" w14:textId="77777777" w:rsidR="00542CAD" w:rsidRPr="00AD7158" w:rsidRDefault="00542CAD" w:rsidP="00542CAD">
      <w:pPr>
        <w:pStyle w:val="ListParagraph"/>
        <w:rPr>
          <w:lang w:val="es-CL"/>
        </w:rPr>
      </w:pPr>
    </w:p>
    <w:p w14:paraId="3F6D1743" w14:textId="77777777" w:rsidR="002D46B7" w:rsidRPr="00AD7158" w:rsidRDefault="00542CAD" w:rsidP="00542CAD">
      <w:pPr>
        <w:pStyle w:val="parrafos"/>
        <w:numPr>
          <w:ilvl w:val="0"/>
          <w:numId w:val="64"/>
        </w:numPr>
        <w:rPr>
          <w:lang w:val="es-CL"/>
        </w:rPr>
      </w:pPr>
      <w:r w:rsidRPr="00AD7158">
        <w:rPr>
          <w:lang w:val="es-CL"/>
        </w:rPr>
        <w:t xml:space="preserve">Disponer las medidas </w:t>
      </w:r>
      <w:r w:rsidR="002D46B7" w:rsidRPr="00AD7158">
        <w:rPr>
          <w:rFonts w:ascii="Cambria" w:hAnsi="Cambria"/>
          <w:spacing w:val="-2"/>
          <w:lang w:val="es-ES"/>
        </w:rPr>
        <w:t>legislativas necesarias para adecuar la legislación interna relativa al recurso de casación a los estándares establecidos en el presente informe sobre el derecho consagrado en el artículo 8.2</w:t>
      </w:r>
      <w:r w:rsidR="000F2944" w:rsidRPr="00AD7158">
        <w:rPr>
          <w:rFonts w:ascii="Cambria" w:hAnsi="Cambria"/>
          <w:spacing w:val="-2"/>
          <w:lang w:val="es-ES"/>
        </w:rPr>
        <w:t>.</w:t>
      </w:r>
      <w:r w:rsidR="002D46B7" w:rsidRPr="00AD7158">
        <w:rPr>
          <w:rFonts w:ascii="Cambria" w:hAnsi="Cambria"/>
          <w:spacing w:val="-2"/>
          <w:lang w:val="es-ES"/>
        </w:rPr>
        <w:t xml:space="preserve">h de la </w:t>
      </w:r>
      <w:r w:rsidR="0084306C" w:rsidRPr="00AD7158">
        <w:rPr>
          <w:rFonts w:ascii="Cambria" w:hAnsi="Cambria"/>
          <w:spacing w:val="-2"/>
          <w:lang w:val="es-ES"/>
        </w:rPr>
        <w:t>CADH</w:t>
      </w:r>
      <w:r w:rsidR="002D46B7" w:rsidRPr="00AD7158">
        <w:rPr>
          <w:rFonts w:ascii="Cambria" w:hAnsi="Cambria"/>
          <w:spacing w:val="-2"/>
          <w:lang w:val="es-ES"/>
        </w:rPr>
        <w:t>. Asimismo, y de manera independiente a la adecuación normativa, asegurar que las autoridades judiciales ejerzan un control de convencionalidad al momento de resolver los recursos</w:t>
      </w:r>
      <w:r w:rsidR="00513629" w:rsidRPr="00AD7158">
        <w:rPr>
          <w:rFonts w:ascii="Cambria" w:hAnsi="Cambria"/>
          <w:spacing w:val="-2"/>
          <w:lang w:val="es-ES"/>
        </w:rPr>
        <w:t xml:space="preserve"> </w:t>
      </w:r>
      <w:r w:rsidR="002D46B7" w:rsidRPr="00AD7158">
        <w:rPr>
          <w:rFonts w:ascii="Cambria" w:hAnsi="Cambria"/>
          <w:spacing w:val="-2"/>
          <w:lang w:val="es-ES"/>
        </w:rPr>
        <w:t xml:space="preserve">contra sentencias condenatorias, de forma consistente con los estándares establecidos en el presente informe. </w:t>
      </w:r>
    </w:p>
    <w:p w14:paraId="572249AB" w14:textId="77777777" w:rsidR="002D46B7" w:rsidRPr="00AD7158" w:rsidRDefault="002D46B7" w:rsidP="002D46B7">
      <w:pPr>
        <w:pStyle w:val="ListParagraph"/>
        <w:rPr>
          <w:lang w:val="es-CL"/>
        </w:rPr>
      </w:pPr>
    </w:p>
    <w:p w14:paraId="59710747" w14:textId="77777777" w:rsidR="00006896" w:rsidRPr="00AD7158" w:rsidRDefault="00D149D2" w:rsidP="002350D9">
      <w:pPr>
        <w:pStyle w:val="parrafos"/>
        <w:numPr>
          <w:ilvl w:val="0"/>
          <w:numId w:val="64"/>
        </w:numPr>
        <w:rPr>
          <w:lang w:val="es-CL"/>
        </w:rPr>
      </w:pPr>
      <w:r w:rsidRPr="00AD7158">
        <w:rPr>
          <w:rFonts w:ascii="Cambria" w:hAnsi="Cambria"/>
          <w:spacing w:val="-2"/>
          <w:lang w:val="es-ES"/>
        </w:rPr>
        <w:t xml:space="preserve">Disponer </w:t>
      </w:r>
      <w:r w:rsidR="002D46B7" w:rsidRPr="00AD7158">
        <w:t xml:space="preserve">las medidas necesarias para adecuar </w:t>
      </w:r>
      <w:r w:rsidR="0084306C" w:rsidRPr="00AD7158">
        <w:t>la</w:t>
      </w:r>
      <w:r w:rsidR="002D46B7" w:rsidRPr="00AD7158">
        <w:t xml:space="preserve"> legislación interna conforme a los estándares descritos en </w:t>
      </w:r>
      <w:r w:rsidR="0084306C" w:rsidRPr="00AD7158">
        <w:t>este</w:t>
      </w:r>
      <w:r w:rsidR="002D46B7" w:rsidRPr="00AD7158">
        <w:t xml:space="preserve"> informe en materia de reclusión o prisión perpetua y accesoria de reclusión por tiempo indetermina</w:t>
      </w:r>
      <w:r w:rsidR="00542CAD" w:rsidRPr="00AD7158">
        <w:t>do. El Estado debe asegurar que</w:t>
      </w:r>
      <w:r w:rsidR="002D46B7" w:rsidRPr="00AD7158">
        <w:t xml:space="preserve"> la prisión perpetua</w:t>
      </w:r>
      <w:r w:rsidR="00542CAD" w:rsidRPr="00AD7158">
        <w:t>:</w:t>
      </w:r>
      <w:r w:rsidR="002D46B7" w:rsidRPr="00AD7158">
        <w:t xml:space="preserve"> </w:t>
      </w:r>
      <w:r w:rsidR="00542CAD" w:rsidRPr="00AD7158">
        <w:t xml:space="preserve">i) </w:t>
      </w:r>
      <w:r w:rsidR="002D46B7" w:rsidRPr="00AD7158">
        <w:t>se aplique de manera excepcional</w:t>
      </w:r>
      <w:r w:rsidR="00990417" w:rsidRPr="00AD7158">
        <w:t>, con una revisión periódica</w:t>
      </w:r>
      <w:r w:rsidR="002D46B7" w:rsidRPr="00AD7158">
        <w:t xml:space="preserve">; </w:t>
      </w:r>
      <w:r w:rsidR="0063016E" w:rsidRPr="00AD7158">
        <w:t xml:space="preserve">y </w:t>
      </w:r>
      <w:r w:rsidR="002D46B7" w:rsidRPr="00AD7158">
        <w:t>ii) se</w:t>
      </w:r>
      <w:r w:rsidR="00542CAD" w:rsidRPr="00AD7158">
        <w:t xml:space="preserve">a proporcional y </w:t>
      </w:r>
      <w:r w:rsidR="002D46B7" w:rsidRPr="00AD7158">
        <w:t xml:space="preserve">limitada por </w:t>
      </w:r>
      <w:r w:rsidR="00542CAD" w:rsidRPr="00AD7158">
        <w:t xml:space="preserve">el fin de resocialización previsto en el artículo </w:t>
      </w:r>
      <w:r w:rsidR="00542CAD" w:rsidRPr="00AD7158">
        <w:lastRenderedPageBreak/>
        <w:t>5.6 de la Convención</w:t>
      </w:r>
      <w:r w:rsidR="00EC6133" w:rsidRPr="00AD7158">
        <w:t xml:space="preserve">. </w:t>
      </w:r>
      <w:r w:rsidR="00542CAD" w:rsidRPr="00AD7158">
        <w:t>E</w:t>
      </w:r>
      <w:r w:rsidR="002D46B7" w:rsidRPr="00AD7158">
        <w:t>l Estado debe dejar sin efecto la</w:t>
      </w:r>
      <w:r w:rsidR="00EC6133" w:rsidRPr="00AD7158">
        <w:t xml:space="preserve"> pena accesoria contemplada en el artículo 52 del CPN.</w:t>
      </w:r>
      <w:r w:rsidR="002D46B7" w:rsidRPr="00AD7158">
        <w:t xml:space="preserve"> </w:t>
      </w:r>
    </w:p>
    <w:p w14:paraId="603106AF" w14:textId="77777777" w:rsidR="000E174E" w:rsidRPr="00F6687F" w:rsidRDefault="000E174E" w:rsidP="000E174E">
      <w:pPr>
        <w:pStyle w:val="ListParagraph"/>
        <w:ind w:left="0"/>
        <w:rPr>
          <w:rFonts w:ascii="Cambria" w:hAnsi="Cambria"/>
        </w:rPr>
      </w:pPr>
    </w:p>
    <w:p w14:paraId="53DA43E3" w14:textId="77777777" w:rsidR="000E174E" w:rsidRPr="00F6687F" w:rsidRDefault="000E174E" w:rsidP="000E174E">
      <w:pPr>
        <w:ind w:firstLine="360"/>
        <w:jc w:val="both"/>
        <w:rPr>
          <w:rFonts w:ascii="Cambria" w:hAnsi="Cambria" w:cs="Arial"/>
          <w:noProof/>
          <w:spacing w:val="-2"/>
          <w:sz w:val="20"/>
          <w:szCs w:val="20"/>
          <w:lang w:val="es-CL"/>
        </w:rPr>
      </w:pPr>
      <w:r w:rsidRPr="00F6687F">
        <w:rPr>
          <w:rFonts w:ascii="Cambria" w:hAnsi="Cambria" w:cs="Arial"/>
          <w:noProof/>
          <w:spacing w:val="-2"/>
          <w:sz w:val="20"/>
          <w:szCs w:val="20"/>
          <w:lang w:val="es-CL"/>
        </w:rPr>
        <w:t>Aprobado por la Comisión Interamericana de Derechos Humanos en S</w:t>
      </w:r>
      <w:r>
        <w:rPr>
          <w:rFonts w:ascii="Cambria" w:hAnsi="Cambria" w:cs="Arial"/>
          <w:noProof/>
          <w:spacing w:val="-2"/>
          <w:sz w:val="20"/>
          <w:szCs w:val="20"/>
          <w:lang w:val="es-CL"/>
        </w:rPr>
        <w:t>an Salvador, el Salvador a los 5</w:t>
      </w:r>
      <w:r w:rsidRPr="00F6687F">
        <w:rPr>
          <w:rFonts w:ascii="Cambria" w:hAnsi="Cambria" w:cs="Arial"/>
          <w:noProof/>
          <w:spacing w:val="-2"/>
          <w:sz w:val="20"/>
          <w:szCs w:val="20"/>
          <w:lang w:val="es-CL"/>
        </w:rPr>
        <w:t xml:space="preserve"> días del mes de diciembre de 2019.  (Firmado): Esmeralda E. Arosemena Bernal de Troitiño, Presidenta; Joel Hernández, Primer Vicepresidente; Antonia Urrejola, Segunda Vicepresidenta; Margarette May Macaulay, Francisco José Eguiguren</w:t>
      </w:r>
      <w:r>
        <w:rPr>
          <w:rFonts w:ascii="Cambria" w:hAnsi="Cambria" w:cs="Arial"/>
          <w:noProof/>
          <w:spacing w:val="-2"/>
          <w:sz w:val="20"/>
          <w:szCs w:val="20"/>
          <w:lang w:val="es-CL"/>
        </w:rPr>
        <w:t xml:space="preserve"> Praeli, Luis Ernesto Vargas Silva</w:t>
      </w:r>
      <w:r w:rsidRPr="00F6687F">
        <w:rPr>
          <w:rFonts w:ascii="Cambria" w:hAnsi="Cambria" w:cs="Arial"/>
          <w:noProof/>
          <w:spacing w:val="-2"/>
          <w:sz w:val="20"/>
          <w:szCs w:val="20"/>
          <w:lang w:val="es-CL"/>
        </w:rPr>
        <w:t xml:space="preserve"> y Flávia Piovesan, Miembros de la Comisión.</w:t>
      </w:r>
      <w:r w:rsidRPr="00F6687F">
        <w:rPr>
          <w:rFonts w:ascii="Cambria" w:hAnsi="Cambria" w:cs="Arial"/>
          <w:noProof/>
          <w:sz w:val="20"/>
          <w:szCs w:val="20"/>
          <w:lang w:val="es-CL"/>
        </w:rPr>
        <w:t xml:space="preserve"> </w:t>
      </w:r>
    </w:p>
    <w:p w14:paraId="776B2CE9" w14:textId="77777777" w:rsidR="000E174E" w:rsidRPr="00F6687F" w:rsidRDefault="000E174E" w:rsidP="000E174E">
      <w:pPr>
        <w:suppressAutoHyphens/>
        <w:ind w:firstLine="720"/>
        <w:jc w:val="both"/>
        <w:rPr>
          <w:rFonts w:ascii="Cambria" w:hAnsi="Cambria" w:cs="Arial"/>
          <w:noProof/>
          <w:spacing w:val="-2"/>
          <w:sz w:val="20"/>
          <w:szCs w:val="20"/>
          <w:lang w:val="es-CL"/>
        </w:rPr>
      </w:pPr>
    </w:p>
    <w:p w14:paraId="65A6D17E" w14:textId="77777777" w:rsidR="000E174E" w:rsidRPr="00F6687F" w:rsidRDefault="000E174E" w:rsidP="000E174E">
      <w:pPr>
        <w:ind w:firstLine="360"/>
        <w:jc w:val="both"/>
        <w:rPr>
          <w:rFonts w:ascii="Cambria" w:hAnsi="Cambria"/>
          <w:sz w:val="20"/>
          <w:szCs w:val="20"/>
          <w:lang w:val="es-CL"/>
        </w:rPr>
      </w:pPr>
      <w:r w:rsidRPr="00F6687F">
        <w:rPr>
          <w:rFonts w:ascii="Cambria" w:hAnsi="Cambria"/>
          <w:sz w:val="20"/>
          <w:szCs w:val="20"/>
          <w:lang w:val="es-CL"/>
        </w:rPr>
        <w:t xml:space="preserve">El que suscribe, </w:t>
      </w:r>
      <w:r w:rsidRPr="00F6687F">
        <w:rPr>
          <w:rFonts w:ascii="Cambria" w:hAnsi="Cambria" w:cs="Arial"/>
          <w:sz w:val="20"/>
          <w:szCs w:val="20"/>
          <w:lang w:val="es-US"/>
        </w:rPr>
        <w:t>Paulo Abrão</w:t>
      </w:r>
      <w:r w:rsidRPr="00F6687F">
        <w:rPr>
          <w:rFonts w:ascii="Cambria" w:hAnsi="Cambria"/>
          <w:sz w:val="20"/>
          <w:szCs w:val="20"/>
          <w:lang w:val="es-CL"/>
        </w:rPr>
        <w:t>, Secretario Ejecutivo, de conformidad con el artículo 49 del Reglamento de la Comisión, certifica que es copia fiel del original depositado en los archivos de la Secretaría de la CIDH.</w:t>
      </w:r>
    </w:p>
    <w:p w14:paraId="4BBFA983" w14:textId="77777777" w:rsidR="000E174E" w:rsidRPr="00F6687F" w:rsidRDefault="000E174E" w:rsidP="000E174E">
      <w:pPr>
        <w:rPr>
          <w:rFonts w:ascii="Cambria" w:hAnsi="Cambria"/>
          <w:sz w:val="20"/>
          <w:szCs w:val="20"/>
          <w:lang w:val="es-US"/>
        </w:rPr>
      </w:pPr>
    </w:p>
    <w:p w14:paraId="12D6DF28" w14:textId="77777777" w:rsidR="000E174E" w:rsidRPr="00F6687F" w:rsidRDefault="000E174E" w:rsidP="000E174E">
      <w:pPr>
        <w:ind w:left="4320" w:firstLine="720"/>
        <w:rPr>
          <w:rFonts w:ascii="Cambria" w:hAnsi="Cambria"/>
          <w:sz w:val="20"/>
          <w:szCs w:val="20"/>
          <w:lang w:val="es-US"/>
        </w:rPr>
      </w:pPr>
    </w:p>
    <w:p w14:paraId="583BCFD5" w14:textId="77777777" w:rsidR="000E174E" w:rsidRPr="00F6687F" w:rsidRDefault="000E174E" w:rsidP="000E174E">
      <w:pPr>
        <w:ind w:left="2160" w:firstLine="720"/>
        <w:jc w:val="center"/>
        <w:rPr>
          <w:rFonts w:ascii="Cambria" w:hAnsi="Cambria"/>
          <w:sz w:val="20"/>
          <w:szCs w:val="20"/>
        </w:rPr>
      </w:pPr>
      <w:r w:rsidRPr="00F6687F">
        <w:rPr>
          <w:rFonts w:ascii="Cambria" w:hAnsi="Cambria" w:cs="Arial"/>
          <w:sz w:val="20"/>
          <w:szCs w:val="20"/>
        </w:rPr>
        <w:t>Paulo Abrão</w:t>
      </w:r>
    </w:p>
    <w:p w14:paraId="09A0F11A" w14:textId="77777777" w:rsidR="000E174E" w:rsidRPr="00F6687F" w:rsidRDefault="000E174E" w:rsidP="000E174E">
      <w:pPr>
        <w:ind w:left="2160" w:firstLine="720"/>
        <w:jc w:val="center"/>
        <w:rPr>
          <w:rFonts w:ascii="Cambria" w:hAnsi="Cambria"/>
          <w:sz w:val="20"/>
          <w:szCs w:val="20"/>
        </w:rPr>
      </w:pPr>
      <w:r w:rsidRPr="00F6687F">
        <w:rPr>
          <w:rFonts w:ascii="Cambria" w:hAnsi="Cambria"/>
          <w:sz w:val="20"/>
          <w:szCs w:val="20"/>
        </w:rPr>
        <w:t>Secretario Ejecutivo</w:t>
      </w:r>
    </w:p>
    <w:p w14:paraId="7E4E3A4C" w14:textId="77777777" w:rsidR="000E174E" w:rsidRPr="009F5DE0" w:rsidRDefault="000E174E" w:rsidP="000E174E">
      <w:pPr>
        <w:tabs>
          <w:tab w:val="left" w:pos="360"/>
        </w:tabs>
        <w:jc w:val="both"/>
        <w:rPr>
          <w:lang w:val="es-MX"/>
        </w:rPr>
      </w:pPr>
    </w:p>
    <w:p w14:paraId="1A1F7D3B" w14:textId="77777777" w:rsidR="000E174E" w:rsidRPr="00470B39" w:rsidRDefault="000E174E" w:rsidP="000E174E">
      <w:pPr>
        <w:pStyle w:val="parrafos"/>
        <w:numPr>
          <w:ilvl w:val="0"/>
          <w:numId w:val="0"/>
        </w:numPr>
        <w:rPr>
          <w:lang w:val="es-CL"/>
        </w:rPr>
      </w:pPr>
    </w:p>
    <w:sectPr w:rsidR="000E174E" w:rsidRPr="00470B3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6A55" w14:textId="77777777" w:rsidR="00020103" w:rsidRDefault="00020103">
      <w:r>
        <w:separator/>
      </w:r>
    </w:p>
  </w:endnote>
  <w:endnote w:type="continuationSeparator" w:id="0">
    <w:p w14:paraId="678CC15B" w14:textId="77777777" w:rsidR="00020103" w:rsidRDefault="0002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057D625C" w14:textId="77777777" w:rsidR="003F0CB9" w:rsidRPr="00934A2C" w:rsidRDefault="003F0CB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D2470">
          <w:rPr>
            <w:noProof/>
            <w:sz w:val="16"/>
            <w:szCs w:val="22"/>
          </w:rPr>
          <w:t>1</w:t>
        </w:r>
        <w:r w:rsidRPr="00934A2C">
          <w:rPr>
            <w:noProof/>
            <w:sz w:val="16"/>
            <w:szCs w:val="22"/>
          </w:rPr>
          <w:fldChar w:fldCharType="end"/>
        </w:r>
      </w:p>
    </w:sdtContent>
  </w:sdt>
  <w:p w14:paraId="36331999" w14:textId="77777777" w:rsidR="003F0CB9" w:rsidRDefault="003F0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3986" w14:textId="77777777" w:rsidR="003F0CB9" w:rsidRPr="00934A2C" w:rsidRDefault="003F0CB9">
    <w:pPr>
      <w:pStyle w:val="Footer"/>
      <w:jc w:val="center"/>
      <w:rPr>
        <w:sz w:val="16"/>
        <w:szCs w:val="22"/>
      </w:rPr>
    </w:pPr>
  </w:p>
  <w:p w14:paraId="6D5DA564" w14:textId="77777777" w:rsidR="003F0CB9" w:rsidRDefault="003F0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FD41" w14:textId="77777777" w:rsidR="00020103" w:rsidRPr="000F35ED" w:rsidRDefault="0002010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F03658" w14:textId="77777777" w:rsidR="00020103" w:rsidRPr="000F35ED" w:rsidRDefault="00020103" w:rsidP="000F35ED">
      <w:pPr>
        <w:rPr>
          <w:rFonts w:asciiTheme="majorHAnsi" w:hAnsiTheme="majorHAnsi"/>
          <w:sz w:val="16"/>
          <w:szCs w:val="16"/>
        </w:rPr>
      </w:pPr>
      <w:r w:rsidRPr="000F35ED">
        <w:rPr>
          <w:rFonts w:asciiTheme="majorHAnsi" w:hAnsiTheme="majorHAnsi"/>
          <w:sz w:val="16"/>
          <w:szCs w:val="16"/>
        </w:rPr>
        <w:separator/>
      </w:r>
    </w:p>
    <w:p w14:paraId="38619B25" w14:textId="77777777" w:rsidR="00020103" w:rsidRPr="000F35ED" w:rsidRDefault="0002010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55A39E2" w14:textId="77777777" w:rsidR="00020103" w:rsidRPr="000F35ED" w:rsidRDefault="0002010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A978B55"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rFonts w:eastAsia="Cambria" w:cs="Cambria"/>
          <w:lang w:val="es-ES"/>
        </w:rPr>
        <w:t>Con fecha 26 de abril de 2002, se constituyó como peticionaria la Defensoría Oficial ante la Corte Suprema de Justicia de la Nación.</w:t>
      </w:r>
    </w:p>
  </w:footnote>
  <w:footnote w:id="3">
    <w:p w14:paraId="52C93231" w14:textId="77777777" w:rsidR="003F0CB9" w:rsidRPr="000B605E" w:rsidRDefault="003F0CB9" w:rsidP="00082AE3">
      <w:pPr>
        <w:pStyle w:val="FootnoteText"/>
        <w:rPr>
          <w:color w:val="FF0000"/>
          <w:lang w:val="es-ES"/>
        </w:rPr>
      </w:pPr>
      <w:r w:rsidRPr="000B605E">
        <w:rPr>
          <w:rStyle w:val="FootnoteReference"/>
          <w:color w:val="auto"/>
        </w:rPr>
        <w:footnoteRef/>
      </w:r>
      <w:r w:rsidRPr="000B605E">
        <w:rPr>
          <w:color w:val="auto"/>
          <w:lang w:val="es-ES"/>
        </w:rPr>
        <w:t xml:space="preserve"> </w:t>
      </w:r>
      <w:r w:rsidRPr="000B605E">
        <w:rPr>
          <w:rFonts w:eastAsia="Cambria" w:cs="Cambria"/>
          <w:lang w:val="es-ES"/>
        </w:rPr>
        <w:t>CIDH. Informe No. 55/16. Petición 4449-02. Admisibilidad. Guillermo Antonio Álvarez. Argentina. 6 de diciembre de 2016. La Comisión declaró admisible la petición en relación con los artículos 8, 11 y 25 de la Convención Americana en concordancia con el artículo 1.1 del mismo instrumento.</w:t>
      </w:r>
    </w:p>
  </w:footnote>
  <w:footnote w:id="4">
    <w:p w14:paraId="0B975460"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La Ley 25.892 del año 2004 reformó el artículo 13, disponiendo el cumplimiento de 35 años de condena para los condenados a reclusión o prisión perpetua a fin de obtener la libertad condicional. (Artículo sustituido por el art. 1° de la Ley N° 25.892 B.O.26/5/2004).</w:t>
      </w:r>
    </w:p>
  </w:footnote>
  <w:footnote w:id="5">
    <w:p w14:paraId="478CA0CB" w14:textId="77777777" w:rsidR="003F0CB9" w:rsidRPr="000B605E" w:rsidRDefault="003F0CB9" w:rsidP="00082AE3">
      <w:pPr>
        <w:pStyle w:val="FootnoteText"/>
        <w:rPr>
          <w:lang w:val="es-AR"/>
        </w:rPr>
      </w:pPr>
      <w:r w:rsidRPr="000B605E">
        <w:rPr>
          <w:rStyle w:val="FootnoteReference"/>
        </w:rPr>
        <w:footnoteRef/>
      </w:r>
      <w:r w:rsidRPr="000B605E">
        <w:rPr>
          <w:lang w:val="es-ES"/>
        </w:rPr>
        <w:t xml:space="preserve"> Adicionalmente, establece que: </w:t>
      </w:r>
      <w:r w:rsidRPr="000B605E">
        <w:rPr>
          <w:lang w:val="es-AR"/>
        </w:rPr>
        <w:t xml:space="preserve">Artículo 470 del CPPN. Casación por violación de la ley: “Si la resolución impugnada no hubiere observado o hubiere aplicado erróneamente la ley substantiva, el tribunal la casará y resolverá el caso con arreglo a la ley y a la doctrina cuya aplicación declare”. Asimismo, contempla que: </w:t>
      </w:r>
      <w:r w:rsidRPr="000B605E">
        <w:rPr>
          <w:lang w:val="es-ES"/>
        </w:rPr>
        <w:t>Artículo 471 del CPPN. Anulación. “</w:t>
      </w:r>
      <w:r w:rsidRPr="000B605E">
        <w:rPr>
          <w:lang w:val="es-AR"/>
        </w:rPr>
        <w:t>Si hubiera inobservancia de las normas procesales, la cámara anulará lo actuado y remitirá el proceso al tribunal que corresponda, para su substanciación”.</w:t>
      </w:r>
    </w:p>
  </w:footnote>
  <w:footnote w:id="6">
    <w:p w14:paraId="7901753E" w14:textId="77777777" w:rsidR="003F0CB9" w:rsidRPr="000B605E" w:rsidRDefault="003F0CB9" w:rsidP="00082AE3">
      <w:pPr>
        <w:pStyle w:val="FootnoteText"/>
        <w:rPr>
          <w:lang w:val="es-MX"/>
        </w:rPr>
      </w:pPr>
      <w:r w:rsidRPr="000B605E">
        <w:rPr>
          <w:rStyle w:val="FootnoteReference"/>
        </w:rPr>
        <w:footnoteRef/>
      </w:r>
      <w:r w:rsidRPr="00595A85">
        <w:rPr>
          <w:lang w:val="pt-BR"/>
        </w:rPr>
        <w:t xml:space="preserve"> CIDH, Informe Nº 97/17, Caso 12.924. </w:t>
      </w:r>
      <w:r w:rsidRPr="000B605E">
        <w:rPr>
          <w:lang w:val="pt-BR"/>
        </w:rPr>
        <w:t xml:space="preserve">Fondo. </w:t>
      </w:r>
      <w:r w:rsidRPr="000B605E">
        <w:rPr>
          <w:lang w:val="es-MX"/>
        </w:rPr>
        <w:t xml:space="preserve">Julio César Ramón del Valle Ambrosio y Carlos Eduardo Domínguez Linares. Argentina. 5 de septiembre de 2017; CIDH, Informe Nº 98/17, Caso Nº 12.925, Fondo, Oscar Raúl Gorigoitia, Argentina, 5 de septiembre de 2017. </w:t>
      </w:r>
    </w:p>
  </w:footnote>
  <w:footnote w:id="7">
    <w:p w14:paraId="47FBC223" w14:textId="77777777" w:rsidR="003F0CB9" w:rsidRPr="000B605E" w:rsidRDefault="003F0CB9" w:rsidP="00082AE3">
      <w:pPr>
        <w:pStyle w:val="FootnoteText"/>
        <w:rPr>
          <w:lang w:val="es-AR"/>
        </w:rPr>
      </w:pPr>
      <w:r w:rsidRPr="000B605E">
        <w:rPr>
          <w:rStyle w:val="FootnoteReference"/>
        </w:rPr>
        <w:footnoteRef/>
      </w:r>
      <w:r w:rsidRPr="000B605E">
        <w:rPr>
          <w:lang w:val="es-MX"/>
        </w:rPr>
        <w:t xml:space="preserve"> Casal, Matías Eugenio y otros s/robo simple en grado de tentativa, Causa No. 1681, Corte Suprema de Justicia de la Nación Argentina, 20 de septiembre de 2005.</w:t>
      </w:r>
      <w:r w:rsidRPr="000B605E">
        <w:rPr>
          <w:lang w:val="es-AR"/>
        </w:rPr>
        <w:t xml:space="preserve"> </w:t>
      </w:r>
    </w:p>
  </w:footnote>
  <w:footnote w:id="8">
    <w:p w14:paraId="205380E0"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 Poder Judicial de la Nación. Acta de Debate. Causa No. 1048. 12 de octubre de 1999. Folio 3069. Anexo a la petición inicial.</w:t>
      </w:r>
    </w:p>
  </w:footnote>
  <w:footnote w:id="9">
    <w:p w14:paraId="3E83C1C7" w14:textId="77777777" w:rsidR="003F0CB9" w:rsidRPr="000B605E" w:rsidRDefault="003F0CB9" w:rsidP="00082AE3">
      <w:pPr>
        <w:pStyle w:val="FootnoteText"/>
        <w:rPr>
          <w:lang w:val="es-ES"/>
        </w:rPr>
      </w:pPr>
      <w:r w:rsidRPr="000B605E">
        <w:rPr>
          <w:rStyle w:val="FootnoteReference"/>
        </w:rPr>
        <w:footnoteRef/>
      </w:r>
      <w:r>
        <w:rPr>
          <w:lang w:val="es-ES"/>
        </w:rPr>
        <w:t xml:space="preserve"> Anexo 2</w:t>
      </w:r>
      <w:r w:rsidRPr="000B605E">
        <w:rPr>
          <w:lang w:val="es-ES"/>
        </w:rPr>
        <w:t>. Sentencia del Tribunal Oral de Menores No. 1 de la Capital Federal. Causa No. 1048. Folio 3100. Anexo a la petición inicial.</w:t>
      </w:r>
    </w:p>
  </w:footnote>
  <w:footnote w:id="10">
    <w:p w14:paraId="5FADD62B" w14:textId="77777777" w:rsidR="003F0CB9" w:rsidRPr="000B605E" w:rsidRDefault="003F0CB9" w:rsidP="00082AE3">
      <w:pPr>
        <w:pStyle w:val="FootnoteText"/>
        <w:rPr>
          <w:lang w:val="es-ES"/>
        </w:rPr>
      </w:pPr>
      <w:r w:rsidRPr="000B605E">
        <w:rPr>
          <w:rStyle w:val="FootnoteReference"/>
        </w:rPr>
        <w:footnoteRef/>
      </w:r>
      <w:r>
        <w:rPr>
          <w:lang w:val="es-ES"/>
        </w:rPr>
        <w:t xml:space="preserve"> Anexo 3</w:t>
      </w:r>
      <w:r w:rsidRPr="000B605E">
        <w:rPr>
          <w:lang w:val="es-ES"/>
        </w:rPr>
        <w:t>. Poder Judicial de la Nación. Acta de Debate. Causa No. 1048. 12 de octubre de 1999. Folio 3069. Anexo a la petición inicial.</w:t>
      </w:r>
    </w:p>
  </w:footnote>
  <w:footnote w:id="11">
    <w:p w14:paraId="2AFE1886" w14:textId="77777777" w:rsidR="003F0CB9" w:rsidRPr="000B605E" w:rsidRDefault="003F0CB9" w:rsidP="00082AE3">
      <w:pPr>
        <w:pStyle w:val="FootnoteText"/>
        <w:rPr>
          <w:lang w:val="es-ES"/>
        </w:rPr>
      </w:pPr>
      <w:r w:rsidRPr="000B605E">
        <w:rPr>
          <w:rStyle w:val="FootnoteReference"/>
        </w:rPr>
        <w:footnoteRef/>
      </w:r>
      <w:r>
        <w:rPr>
          <w:lang w:val="es-ES"/>
        </w:rPr>
        <w:t xml:space="preserve"> Anexo 4</w:t>
      </w:r>
      <w:r w:rsidRPr="000B605E">
        <w:rPr>
          <w:lang w:val="es-ES"/>
        </w:rPr>
        <w:t xml:space="preserve">. Poder Judicial de la Nación. Resolución del Tribunal Oral de Menores No. 1. Causa No. 1048. 22 de septiembre de 1999. Folio 3035 y 3052. Anexo a la petición inicial. </w:t>
      </w:r>
    </w:p>
  </w:footnote>
  <w:footnote w:id="12">
    <w:p w14:paraId="70FF8B8B" w14:textId="77777777" w:rsidR="003F0CB9" w:rsidRPr="000B605E" w:rsidRDefault="003F0CB9" w:rsidP="00082AE3">
      <w:pPr>
        <w:pStyle w:val="FootnoteText"/>
        <w:rPr>
          <w:lang w:val="es-ES"/>
        </w:rPr>
      </w:pPr>
      <w:r w:rsidRPr="000B605E">
        <w:rPr>
          <w:rStyle w:val="FootnoteReference"/>
        </w:rPr>
        <w:footnoteRef/>
      </w:r>
      <w:r>
        <w:rPr>
          <w:lang w:val="es-ES"/>
        </w:rPr>
        <w:t xml:space="preserve"> Anexo 5</w:t>
      </w:r>
      <w:r w:rsidRPr="000B605E">
        <w:rPr>
          <w:lang w:val="es-ES"/>
        </w:rPr>
        <w:t>. Escrito de revocación de poder. 8 de octubre de 1999. Folio 3065.</w:t>
      </w:r>
      <w:r w:rsidRPr="00887F1D">
        <w:rPr>
          <w:lang w:val="es-ES"/>
        </w:rPr>
        <w:t xml:space="preserve"> </w:t>
      </w:r>
      <w:r w:rsidRPr="000B605E">
        <w:rPr>
          <w:lang w:val="es-ES"/>
        </w:rPr>
        <w:t>Anexo a la petición inicial.</w:t>
      </w:r>
    </w:p>
  </w:footnote>
  <w:footnote w:id="13">
    <w:p w14:paraId="16993C8C" w14:textId="77777777" w:rsidR="003F0CB9" w:rsidRPr="000B605E" w:rsidRDefault="003F0CB9" w:rsidP="00082AE3">
      <w:pPr>
        <w:pStyle w:val="FootnoteText"/>
        <w:rPr>
          <w:lang w:val="es-ES"/>
        </w:rPr>
      </w:pPr>
      <w:r w:rsidRPr="000B605E">
        <w:rPr>
          <w:rStyle w:val="FootnoteReference"/>
        </w:rPr>
        <w:footnoteRef/>
      </w:r>
      <w:r>
        <w:rPr>
          <w:lang w:val="es-ES"/>
        </w:rPr>
        <w:t xml:space="preserve"> Anexo 6</w:t>
      </w:r>
      <w:r w:rsidRPr="000B605E">
        <w:rPr>
          <w:lang w:val="es-ES"/>
        </w:rPr>
        <w:t xml:space="preserve">. Poder Judicial de la Nación. </w:t>
      </w:r>
      <w:r w:rsidRPr="002A43A0">
        <w:rPr>
          <w:lang w:val="es-ES"/>
        </w:rPr>
        <w:t xml:space="preserve">Resolución del Tribunal Oral de Menores No. 1. Causa No. 1048. </w:t>
      </w:r>
      <w:r w:rsidRPr="000B605E">
        <w:rPr>
          <w:lang w:val="es-ES"/>
        </w:rPr>
        <w:t>12 de octubre de 1999. Folio 3066. Anexo a la petición inicial.</w:t>
      </w:r>
    </w:p>
  </w:footnote>
  <w:footnote w:id="14">
    <w:p w14:paraId="0FB493D0" w14:textId="77777777" w:rsidR="003F0CB9" w:rsidRPr="000B605E" w:rsidRDefault="003F0CB9" w:rsidP="00082AE3">
      <w:pPr>
        <w:pStyle w:val="FootnoteText"/>
        <w:rPr>
          <w:lang w:val="es-ES"/>
        </w:rPr>
      </w:pPr>
      <w:r w:rsidRPr="000B605E">
        <w:rPr>
          <w:rStyle w:val="FootnoteReference"/>
        </w:rPr>
        <w:footnoteRef/>
      </w:r>
      <w:r>
        <w:rPr>
          <w:lang w:val="es-ES"/>
        </w:rPr>
        <w:t xml:space="preserve"> Anexo 7</w:t>
      </w:r>
      <w:r w:rsidRPr="000B605E">
        <w:rPr>
          <w:lang w:val="es-ES"/>
        </w:rPr>
        <w:t xml:space="preserve">. Poder Judicial de la Nación. </w:t>
      </w:r>
      <w:r w:rsidRPr="002A43A0">
        <w:rPr>
          <w:lang w:val="es-ES"/>
        </w:rPr>
        <w:t xml:space="preserve">Resolución del Tribunal Oral de Menores No. 1. Causa No. 1048. </w:t>
      </w:r>
      <w:r w:rsidRPr="000B605E">
        <w:rPr>
          <w:lang w:val="es-ES"/>
        </w:rPr>
        <w:t>12 de octubre de 1999. Folio 3064. Anexo a la petición inicial</w:t>
      </w:r>
      <w:r w:rsidRPr="00A77EDD">
        <w:rPr>
          <w:lang w:val="es-ES"/>
        </w:rPr>
        <w:t>. El artículo 366 del CPPN establece en lo pertinente que: El imputado asistirá a la audiencia libre en su persona, pero el presidente dispondrá la vigilancia y cautela necesarias para impedir su fuga o violencias.</w:t>
      </w:r>
    </w:p>
  </w:footnote>
  <w:footnote w:id="15">
    <w:p w14:paraId="1D975AF2"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 Poder Judicial de la Nación. Acta de Debate. Causa No. 1048. 12 de octubre de 1999. Folio 3069. Anexo a la petición inicial.</w:t>
      </w:r>
    </w:p>
  </w:footnote>
  <w:footnote w:id="16">
    <w:p w14:paraId="5288BB39"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 Poder Judicial de la Nación. Acta de Debate. Causa No. 1048. 12 de octubre de 1999. Folio 3069. Anexo a la petición inicial.</w:t>
      </w:r>
    </w:p>
  </w:footnote>
  <w:footnote w:id="17">
    <w:p w14:paraId="62835438"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 Poder Judicial de la Nación. Acta de Debate. Causa No. 1048. 12 de octubre de 1999. Folio 3069. Anexo a la petición inicial.</w:t>
      </w:r>
    </w:p>
  </w:footnote>
  <w:footnote w:id="18">
    <w:p w14:paraId="6342D25E" w14:textId="77777777" w:rsidR="003F0CB9" w:rsidRPr="002A43A0" w:rsidRDefault="003F0CB9" w:rsidP="00082AE3">
      <w:pPr>
        <w:pStyle w:val="FootnoteText"/>
        <w:rPr>
          <w:lang w:val="es-ES"/>
        </w:rPr>
      </w:pPr>
      <w:r w:rsidRPr="000B605E">
        <w:rPr>
          <w:rStyle w:val="FootnoteReference"/>
        </w:rPr>
        <w:footnoteRef/>
      </w:r>
      <w:r w:rsidRPr="000B605E">
        <w:rPr>
          <w:lang w:val="es-ES"/>
        </w:rPr>
        <w:t xml:space="preserve"> Anexo 1. Poder Judicial de la Nación. Acta </w:t>
      </w:r>
      <w:r w:rsidRPr="002A43A0">
        <w:rPr>
          <w:lang w:val="es-ES"/>
        </w:rPr>
        <w:t>de Debate. Causa No. 1048. 12 de octubre de 1999. Folio 3069. Anexo a la petición inicial.</w:t>
      </w:r>
    </w:p>
  </w:footnote>
  <w:footnote w:id="19">
    <w:p w14:paraId="158D3AD1" w14:textId="77777777" w:rsidR="003F0CB9" w:rsidRPr="000B605E" w:rsidRDefault="003F0CB9" w:rsidP="00082AE3">
      <w:pPr>
        <w:pStyle w:val="FootnoteText"/>
        <w:rPr>
          <w:lang w:val="es-ES"/>
        </w:rPr>
      </w:pPr>
      <w:r w:rsidRPr="002A43A0">
        <w:rPr>
          <w:rStyle w:val="FootnoteReference"/>
        </w:rPr>
        <w:footnoteRef/>
      </w:r>
      <w:r>
        <w:rPr>
          <w:lang w:val="es-ES"/>
        </w:rPr>
        <w:t xml:space="preserve"> Anexo 8</w:t>
      </w:r>
      <w:r w:rsidRPr="002A43A0">
        <w:rPr>
          <w:lang w:val="es-ES"/>
        </w:rPr>
        <w:t>. Poder Judicial de la Nación. Resolución del Tribunal Oral de Menores No. 1. Causa No. 1048. 12</w:t>
      </w:r>
      <w:r w:rsidRPr="000B605E">
        <w:rPr>
          <w:lang w:val="es-ES"/>
        </w:rPr>
        <w:t xml:space="preserve"> de octubre de 1999. Folio 3070. Anexo a la petición inicial.</w:t>
      </w:r>
    </w:p>
  </w:footnote>
  <w:footnote w:id="20">
    <w:p w14:paraId="66160F28" w14:textId="77777777" w:rsidR="003F0CB9" w:rsidRPr="000B605E" w:rsidRDefault="003F0CB9" w:rsidP="00082AE3">
      <w:pPr>
        <w:pStyle w:val="FootnoteText"/>
        <w:rPr>
          <w:lang w:val="es-ES"/>
        </w:rPr>
      </w:pPr>
      <w:r w:rsidRPr="000B605E">
        <w:rPr>
          <w:rStyle w:val="FootnoteReference"/>
        </w:rPr>
        <w:footnoteRef/>
      </w:r>
      <w:r>
        <w:rPr>
          <w:lang w:val="es-ES"/>
        </w:rPr>
        <w:t xml:space="preserve"> Anexo 8</w:t>
      </w:r>
      <w:r w:rsidRPr="000B605E">
        <w:rPr>
          <w:lang w:val="es-ES"/>
        </w:rPr>
        <w:t xml:space="preserve">. Poder Judicial de la Nación. </w:t>
      </w:r>
      <w:r w:rsidRPr="002A43A0">
        <w:rPr>
          <w:lang w:val="es-ES"/>
        </w:rPr>
        <w:t>Resolución del Tribunal Oral de Menores No. 1. Causa No. 1048. 12</w:t>
      </w:r>
      <w:r w:rsidRPr="000B605E">
        <w:rPr>
          <w:lang w:val="es-ES"/>
        </w:rPr>
        <w:t xml:space="preserve"> de octubre de 1999. Folio 3070. Anexo a la petición inicial.</w:t>
      </w:r>
    </w:p>
  </w:footnote>
  <w:footnote w:id="21">
    <w:p w14:paraId="77506A50"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5F4A72">
        <w:rPr>
          <w:lang w:val="es-AR"/>
        </w:rPr>
        <w:t>Alegó que la resolución vulneraba la debida defensa en juicio, y dejaba en estado de indefensión a su representado pues “se le está vedando de la posibilidad de asesorar a Álvarez en lo que es su medio de defensa”. Asimismo, esgrimió que la resolución implica la imposibilidad de poder interrogar a los testigos de cargo en relación con su representado, pues si bien ha tenido intervención previa en la causa, la misma ha sido en relación con el coimputado, y no le es posible tomar conocimiento de la situación de Guillermo Antonio Álvarez en menos de 24 horas en un voluminoso y complejo expediente. (</w:t>
      </w:r>
      <w:r>
        <w:rPr>
          <w:lang w:val="es-ES"/>
        </w:rPr>
        <w:t>Anexo 9</w:t>
      </w:r>
      <w:r w:rsidRPr="005F4A72">
        <w:rPr>
          <w:lang w:val="es-ES"/>
        </w:rPr>
        <w:t>. Recurso de reposición presentado por Nelly A. Allende, Defensora Pública Oficial, ante el Tribunal Oral de Menores No. 1. 12 de octubre de 1999. Folio 3071. Anexo a la petición inicial.)</w:t>
      </w:r>
    </w:p>
  </w:footnote>
  <w:footnote w:id="22">
    <w:p w14:paraId="630B77C5"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A370F1">
        <w:rPr>
          <w:lang w:val="es-AR"/>
        </w:rPr>
        <w:t>Indicó que este derecho no debe aparecer como un procedimiento meramente dilatorio o perturbador, como se desprende de los artículos 303 y 112 del código de ritos. Destacó que la defensora defiende desde los inicios del proceso al coprocesado de la presunta víctima, y que el debate ya había sido previamente suspendido el 12 de agosto de 1999 por haber revocado el imputado el poder conferido a otros letrados, y que la defensora estuvo a cargo de su defensa durante 12 días. Indicó que si bien el artículo 112 del CPPN refiere al abandono de defensa, esa norma no era aplicable pues la celeridad y continuidad del debate exigían que los plazos para que el nuevo defensor esboce su táctica sean breves, refiriendo a los artículos 116 y 162 del Código de ritos. Finalmente, sobre la posible vulneración de lo dispuesto en el artículo 104 del Código de ritos, afirmó que el procedimiento ahí prescrito es obligatorio cuando el encausado opta por defenderse personalmente y ello perjudique la eficacia de la defensa u obste la normal sustanciación del juicio, y no para el supuesto de este caso.</w:t>
      </w:r>
      <w:r w:rsidRPr="00A370F1">
        <w:rPr>
          <w:lang w:val="es-ES"/>
        </w:rPr>
        <w:t xml:space="preserve"> </w:t>
      </w:r>
      <w:r>
        <w:rPr>
          <w:lang w:val="es-ES"/>
        </w:rPr>
        <w:t>(</w:t>
      </w:r>
      <w:r w:rsidRPr="00A370F1">
        <w:rPr>
          <w:lang w:val="es-ES"/>
        </w:rPr>
        <w:t>Anexo 1</w:t>
      </w:r>
      <w:r>
        <w:rPr>
          <w:lang w:val="es-ES"/>
        </w:rPr>
        <w:t>0</w:t>
      </w:r>
      <w:r w:rsidRPr="00A370F1">
        <w:rPr>
          <w:lang w:val="es-ES"/>
        </w:rPr>
        <w:t>. Poder Judicial de la Nación. Resolución del Tribunal Oral de Menores No. 1. Causa No. 1048. 13 de octubre de 1999. Folio 3072. Anexo a la petición inicial</w:t>
      </w:r>
      <w:r>
        <w:rPr>
          <w:lang w:val="es-ES"/>
        </w:rPr>
        <w:t>)</w:t>
      </w:r>
      <w:r w:rsidRPr="00A370F1">
        <w:rPr>
          <w:lang w:val="es-ES"/>
        </w:rPr>
        <w:t>.</w:t>
      </w:r>
    </w:p>
  </w:footnote>
  <w:footnote w:id="23">
    <w:p w14:paraId="49FEB262"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w:t>
      </w:r>
      <w:r>
        <w:rPr>
          <w:lang w:val="es-ES"/>
        </w:rPr>
        <w:t>1</w:t>
      </w:r>
      <w:r w:rsidRPr="000B605E">
        <w:rPr>
          <w:lang w:val="es-ES"/>
        </w:rPr>
        <w:t>. Poder Judicial de la Nación. Acta de Debate. Causa No. 1048. 18 de octubre de 1999. Folio 3073. Anexo a la petición inicial.</w:t>
      </w:r>
    </w:p>
  </w:footnote>
  <w:footnote w:id="24">
    <w:p w14:paraId="4B0E3012"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w:t>
      </w:r>
      <w:r>
        <w:rPr>
          <w:lang w:val="es-ES"/>
        </w:rPr>
        <w:t>2</w:t>
      </w:r>
      <w:r w:rsidRPr="000B605E">
        <w:rPr>
          <w:lang w:val="es-ES"/>
        </w:rPr>
        <w:t>. Poder Judicial de la Nación. Acta de Debate. Causa No. 1048. 13, 18, 19, 25 de octubre de 1999. Folios 3073, 3081, 3084 y 3093 respectivamente. Anexo a la petición inicial.</w:t>
      </w:r>
    </w:p>
  </w:footnote>
  <w:footnote w:id="25">
    <w:p w14:paraId="7A56ED8A"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w:t>
      </w:r>
      <w:r>
        <w:rPr>
          <w:lang w:val="es-ES"/>
        </w:rPr>
        <w:t>3</w:t>
      </w:r>
      <w:r w:rsidRPr="000B605E">
        <w:rPr>
          <w:lang w:val="es-ES"/>
        </w:rPr>
        <w:t xml:space="preserve">. Poder Judicial de la Nación. Acta de Debate. Causa No. 1048. 19 de octubre de 1999. Folio 3085. Anexo a la petición inicial. </w:t>
      </w:r>
    </w:p>
  </w:footnote>
  <w:footnote w:id="26">
    <w:p w14:paraId="73E3C084"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w:t>
      </w:r>
      <w:r>
        <w:rPr>
          <w:lang w:val="es-ES"/>
        </w:rPr>
        <w:t>4</w:t>
      </w:r>
      <w:r w:rsidRPr="000B605E">
        <w:rPr>
          <w:lang w:val="es-ES"/>
        </w:rPr>
        <w:t>. Poder Judicial de la Nación. Acta de Debate. Causa No. 1048. 28 de octubre de 1999. Folio 3098. Anexo a la petición inicial.</w:t>
      </w:r>
    </w:p>
  </w:footnote>
  <w:footnote w:id="27">
    <w:p w14:paraId="035D6BB0" w14:textId="77777777" w:rsidR="003F0CB9" w:rsidRPr="000B605E" w:rsidRDefault="003F0CB9" w:rsidP="00082AE3">
      <w:pPr>
        <w:pStyle w:val="FootnoteText"/>
        <w:rPr>
          <w:lang w:val="es-ES"/>
        </w:rPr>
      </w:pPr>
      <w:r w:rsidRPr="000B605E">
        <w:rPr>
          <w:rStyle w:val="FootnoteReference"/>
        </w:rPr>
        <w:footnoteRef/>
      </w:r>
      <w:r w:rsidR="00DA649E">
        <w:rPr>
          <w:lang w:val="es-ES"/>
        </w:rPr>
        <w:t xml:space="preserve"> Anexo 2</w:t>
      </w:r>
      <w:r w:rsidRPr="000B605E">
        <w:rPr>
          <w:lang w:val="es-ES"/>
        </w:rPr>
        <w:t>. Sentencia del Tribunal Oral de Menores No. 1 de la Capital Federal. Causa No. 1048. Folio 3100. Anexo a la petición inicial.</w:t>
      </w:r>
    </w:p>
  </w:footnote>
  <w:footnote w:id="28">
    <w:p w14:paraId="31F8E96C" w14:textId="77777777" w:rsidR="003F0CB9" w:rsidRPr="000B605E" w:rsidRDefault="003F0CB9" w:rsidP="00082AE3">
      <w:pPr>
        <w:pStyle w:val="FootnoteText"/>
        <w:rPr>
          <w:lang w:val="es-ES"/>
        </w:rPr>
      </w:pPr>
      <w:r w:rsidRPr="000B605E">
        <w:rPr>
          <w:rStyle w:val="FootnoteReference"/>
        </w:rPr>
        <w:footnoteRef/>
      </w:r>
      <w:r w:rsidR="00DA649E">
        <w:rPr>
          <w:lang w:val="es-ES"/>
        </w:rPr>
        <w:t xml:space="preserve"> Anexo 2</w:t>
      </w:r>
      <w:r w:rsidRPr="000B605E">
        <w:rPr>
          <w:lang w:val="es-ES"/>
        </w:rPr>
        <w:t>. Sentencia del Tribunal Oral de Menores No. 1 de la Capital Federal. Causa No. 1048. Folio 3100. Anexo a la petición inicial.</w:t>
      </w:r>
    </w:p>
  </w:footnote>
  <w:footnote w:id="29">
    <w:p w14:paraId="351FADB3" w14:textId="77777777" w:rsidR="003F0CB9" w:rsidRPr="000B605E" w:rsidRDefault="003F0CB9" w:rsidP="00082AE3">
      <w:pPr>
        <w:pStyle w:val="FootnoteText"/>
        <w:rPr>
          <w:lang w:val="es-ES"/>
        </w:rPr>
      </w:pPr>
      <w:r w:rsidRPr="000B605E">
        <w:rPr>
          <w:rStyle w:val="FootnoteReference"/>
        </w:rPr>
        <w:footnoteRef/>
      </w:r>
      <w:r w:rsidR="00DA649E">
        <w:rPr>
          <w:lang w:val="es-ES"/>
        </w:rPr>
        <w:t xml:space="preserve"> Anexo 2</w:t>
      </w:r>
      <w:r w:rsidRPr="000B605E">
        <w:rPr>
          <w:lang w:val="es-ES"/>
        </w:rPr>
        <w:t>. Sentencia del Tribunal Oral de Menores No. 1 de la Capital Federal. Causa No. 1048. Folio 3100. Anexo a la petición inicial.</w:t>
      </w:r>
    </w:p>
  </w:footnote>
  <w:footnote w:id="30">
    <w:p w14:paraId="1B578139" w14:textId="77777777" w:rsidR="003F0CB9" w:rsidRPr="000B605E" w:rsidRDefault="003F0CB9" w:rsidP="00082AE3">
      <w:pPr>
        <w:pStyle w:val="FootnoteText"/>
        <w:rPr>
          <w:lang w:val="es-ES"/>
        </w:rPr>
      </w:pPr>
      <w:r w:rsidRPr="000B605E">
        <w:rPr>
          <w:rStyle w:val="FootnoteReference"/>
        </w:rPr>
        <w:footnoteRef/>
      </w:r>
      <w:r w:rsidR="00DA649E">
        <w:rPr>
          <w:lang w:val="es-ES"/>
        </w:rPr>
        <w:t xml:space="preserve"> Anexo 2</w:t>
      </w:r>
      <w:r w:rsidRPr="000B605E">
        <w:rPr>
          <w:lang w:val="es-ES"/>
        </w:rPr>
        <w:t>. Sentencia del Tribunal Oral de Menores No. 1 de la Capital Federal. Causa No. 1048. Folio 3100. Anexo a la petición inicial.</w:t>
      </w:r>
    </w:p>
  </w:footnote>
  <w:footnote w:id="31">
    <w:p w14:paraId="07052F58"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w:t>
      </w:r>
      <w:r w:rsidR="00DA649E">
        <w:rPr>
          <w:lang w:val="es-ES"/>
        </w:rPr>
        <w:t>nexo 2</w:t>
      </w:r>
      <w:r w:rsidRPr="000B605E">
        <w:rPr>
          <w:lang w:val="es-ES"/>
        </w:rPr>
        <w:t>. Sentencia del Tribunal Oral de Menores No. 1 de la Capital Federal. Causa No. 1048. Folio 3100. Anexo a la petición inicial.</w:t>
      </w:r>
    </w:p>
  </w:footnote>
  <w:footnote w:id="32">
    <w:p w14:paraId="6CF5E8F4"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w:t>
      </w:r>
      <w:r w:rsidR="00DA649E">
        <w:rPr>
          <w:lang w:val="es-ES"/>
        </w:rPr>
        <w:t>5</w:t>
      </w:r>
      <w:r w:rsidRPr="000B605E">
        <w:rPr>
          <w:lang w:val="es-ES"/>
        </w:rPr>
        <w:t>. Escrito de recurso de casación. Folio 3162 y ss. Anexo a la petición inicial.</w:t>
      </w:r>
    </w:p>
  </w:footnote>
  <w:footnote w:id="33">
    <w:p w14:paraId="30F6DC5E"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w:t>
      </w:r>
      <w:r w:rsidR="00DA649E">
        <w:rPr>
          <w:lang w:val="es-ES"/>
        </w:rPr>
        <w:t>5</w:t>
      </w:r>
      <w:r w:rsidRPr="000B605E">
        <w:rPr>
          <w:lang w:val="es-ES"/>
        </w:rPr>
        <w:t>. Escrito de recurso de casación. Folio 3162 y ss. Anexo a la petición inicial.</w:t>
      </w:r>
    </w:p>
  </w:footnote>
  <w:footnote w:id="34">
    <w:p w14:paraId="0970C237"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w:t>
      </w:r>
      <w:r w:rsidR="00DA649E">
        <w:rPr>
          <w:lang w:val="es-ES"/>
        </w:rPr>
        <w:t>5</w:t>
      </w:r>
      <w:r w:rsidRPr="000B605E">
        <w:rPr>
          <w:lang w:val="es-ES"/>
        </w:rPr>
        <w:t>. Escrito de recurso de casación. Folio 3162 y ss. Anexo a la petición inicial.</w:t>
      </w:r>
    </w:p>
  </w:footnote>
  <w:footnote w:id="35">
    <w:p w14:paraId="45D77712"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w:t>
      </w:r>
      <w:r w:rsidR="00DA649E">
        <w:rPr>
          <w:lang w:val="es-ES"/>
        </w:rPr>
        <w:t>5</w:t>
      </w:r>
      <w:r w:rsidRPr="000B605E">
        <w:rPr>
          <w:lang w:val="es-ES"/>
        </w:rPr>
        <w:t>. Escrito de recurso de casación. Folio 3162 y ss. Anexo a la petición inicial.</w:t>
      </w:r>
    </w:p>
  </w:footnote>
  <w:footnote w:id="36">
    <w:p w14:paraId="75FFC521"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w:t>
      </w:r>
      <w:r w:rsidR="00DA649E">
        <w:rPr>
          <w:lang w:val="es-ES"/>
        </w:rPr>
        <w:t>6</w:t>
      </w:r>
      <w:r w:rsidRPr="000B605E">
        <w:rPr>
          <w:lang w:val="es-ES"/>
        </w:rPr>
        <w:t xml:space="preserve">. Sentencia del Tribunal Oral de </w:t>
      </w:r>
      <w:r w:rsidRPr="002A43A0">
        <w:rPr>
          <w:lang w:val="es-ES"/>
        </w:rPr>
        <w:t>Menores No. 1 de la Capital Federal. Causa No. 1048</w:t>
      </w:r>
      <w:r w:rsidRPr="000B605E">
        <w:rPr>
          <w:lang w:val="es-ES"/>
        </w:rPr>
        <w:t>. Folio 3176. Anexo a la petición inicial.</w:t>
      </w:r>
    </w:p>
  </w:footnote>
  <w:footnote w:id="37">
    <w:p w14:paraId="703A69CA"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F76BFB">
        <w:rPr>
          <w:lang w:val="es-AR"/>
        </w:rPr>
        <w:t>En el recurso alegó, que la resolución referida causó agravio por cuanto “el tribunal a quo analiza el fondo de la cuestión cuando no tiene competencia para ello pues solo le compete determinar si en su interposición se han observado las condiciones formales, ya que la cuestión de fondo debe ser analizada por la Excma. Cámara de Casación”.</w:t>
      </w:r>
      <w:r>
        <w:rPr>
          <w:lang w:val="es-AR"/>
        </w:rPr>
        <w:t xml:space="preserve"> (</w:t>
      </w:r>
      <w:r w:rsidRPr="000B605E">
        <w:rPr>
          <w:lang w:val="es-AR"/>
        </w:rPr>
        <w:t>Anexo 1</w:t>
      </w:r>
      <w:r w:rsidR="00DA649E">
        <w:rPr>
          <w:lang w:val="es-AR"/>
        </w:rPr>
        <w:t>7</w:t>
      </w:r>
      <w:r w:rsidRPr="000B605E">
        <w:rPr>
          <w:lang w:val="es-AR"/>
        </w:rPr>
        <w:t xml:space="preserve">. Escrito de recurso de queja. </w:t>
      </w:r>
      <w:r w:rsidRPr="000B605E">
        <w:rPr>
          <w:lang w:val="es-ES"/>
        </w:rPr>
        <w:t>Folio 3275 y s</w:t>
      </w:r>
      <w:r>
        <w:rPr>
          <w:lang w:val="es-ES"/>
        </w:rPr>
        <w:t>s. Anexo a la petición inicial).</w:t>
      </w:r>
    </w:p>
  </w:footnote>
  <w:footnote w:id="38">
    <w:p w14:paraId="0BF94C51"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1</w:t>
      </w:r>
      <w:r w:rsidR="00DA649E">
        <w:rPr>
          <w:lang w:val="es-ES"/>
        </w:rPr>
        <w:t>8</w:t>
      </w:r>
      <w:r w:rsidRPr="000B605E">
        <w:rPr>
          <w:lang w:val="es-ES"/>
        </w:rPr>
        <w:t>. Sentencia de la Cámara Nacional de Casación Penal. 14 de marzo de 2000. Folio 3290. Anexo a la petición inicial.</w:t>
      </w:r>
    </w:p>
  </w:footnote>
  <w:footnote w:id="39">
    <w:p w14:paraId="75F1827C"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CF738E">
        <w:rPr>
          <w:lang w:val="es-AR"/>
        </w:rPr>
        <w:t xml:space="preserve">Alegó que la resolución vulneró el derecho a defensa al impedirle a la presunta víctima nombrar defensor, imponiéndole uno de oficio, y no otorgarle tiempo para preparar la defensa. Además, alegó vulneración del artículo 106 del CPPN, al impedir al defensor oficial el estudio del caso previo al juicio. Indicó que la interpretación literal del artículo 368 o 112 del CPPN no puede vulnerar los derechos consagrados en la Constitución y tratados internacionales. Alegó, arbitrariedad por la afectación de la libre comunicación entre la presunta víctima y su defensora, y prejuzgamiento, al mantenérsele esposado durante la audiencia. Alegó que el tribunal </w:t>
      </w:r>
      <w:r w:rsidRPr="00CF738E">
        <w:rPr>
          <w:i/>
          <w:lang w:val="es-AR"/>
        </w:rPr>
        <w:t>a quo</w:t>
      </w:r>
      <w:r w:rsidRPr="00CF738E">
        <w:rPr>
          <w:lang w:val="es-AR"/>
        </w:rPr>
        <w:t xml:space="preserve"> efectuó una errónea aplicación de la ley sustantiva al encuadrar la conducta en el tipo penal bajo alevosía, sin fundamento. Sostuvo que, la aplicación de la agravante del artículo 80 inciso 7 del CPN fue arbitraria pues los homicidios cometidos no tuvieron conexión con el robo, pue si bien fueron con ocasión del mismo, no fueron para lograr la consumación del robo, y que no se fundamentó la aplicación de la agravante. Finalmente, alegó que el tribunal no consideró la edad de Álvarez; que carecía de antecedentes; que la pericia psiquiátrica no le señalaba como peligroso, y que; su juventud aconsejaba imponer el mínimo y no el máximo legal, reservado para casos de </w:t>
      </w:r>
      <w:r>
        <w:rPr>
          <w:lang w:val="es-AR"/>
        </w:rPr>
        <w:t>reincidencia tras una condena. (</w:t>
      </w:r>
      <w:r>
        <w:rPr>
          <w:lang w:val="es-ES"/>
        </w:rPr>
        <w:t>Anexo</w:t>
      </w:r>
      <w:r w:rsidR="00DA649E">
        <w:rPr>
          <w:lang w:val="es-ES"/>
        </w:rPr>
        <w:t xml:space="preserve"> 19</w:t>
      </w:r>
      <w:r w:rsidRPr="00CF738E">
        <w:rPr>
          <w:lang w:val="es-ES"/>
        </w:rPr>
        <w:t>. Escrito de recurso extraordinario. 10 de abril de 2000. Folio 3295 y s</w:t>
      </w:r>
      <w:r>
        <w:rPr>
          <w:lang w:val="es-ES"/>
        </w:rPr>
        <w:t>s. Anexo a la petición inicial).</w:t>
      </w:r>
    </w:p>
  </w:footnote>
  <w:footnote w:id="40">
    <w:p w14:paraId="4D27BEB1"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w:t>
      </w:r>
      <w:r>
        <w:rPr>
          <w:lang w:val="es-ES"/>
        </w:rPr>
        <w:t>2</w:t>
      </w:r>
      <w:r w:rsidR="00DA649E">
        <w:rPr>
          <w:lang w:val="es-ES"/>
        </w:rPr>
        <w:t>0</w:t>
      </w:r>
      <w:r w:rsidRPr="000B605E">
        <w:rPr>
          <w:lang w:val="es-ES"/>
        </w:rPr>
        <w:t xml:space="preserve">. Resolución de la Cámara Nacional de Casación Penal. </w:t>
      </w:r>
      <w:r w:rsidRPr="000B605E">
        <w:rPr>
          <w:lang w:val="pt-BR"/>
        </w:rPr>
        <w:t xml:space="preserve">Causa no. 2543- Sala II- “Alvarez Guillermo s/ recurso extraordinario”. </w:t>
      </w:r>
      <w:r w:rsidRPr="000B605E">
        <w:rPr>
          <w:lang w:val="es-ES"/>
        </w:rPr>
        <w:t>28 de junio de 2000. Folio 3314. Anexo a la petición inicial.</w:t>
      </w:r>
    </w:p>
  </w:footnote>
  <w:footnote w:id="41">
    <w:p w14:paraId="08CB58A8"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w:t>
      </w:r>
      <w:r>
        <w:rPr>
          <w:lang w:val="es-ES"/>
        </w:rPr>
        <w:t>2</w:t>
      </w:r>
      <w:r w:rsidR="00DA649E">
        <w:rPr>
          <w:lang w:val="es-ES"/>
        </w:rPr>
        <w:t>0</w:t>
      </w:r>
      <w:r w:rsidRPr="000B605E">
        <w:rPr>
          <w:lang w:val="es-ES"/>
        </w:rPr>
        <w:t xml:space="preserve">. Resolución de la Cámara Nacional de Casación Penal. </w:t>
      </w:r>
      <w:r w:rsidRPr="000B605E">
        <w:rPr>
          <w:lang w:val="pt-BR"/>
        </w:rPr>
        <w:t xml:space="preserve">Causa no. 2543- Sala II- “Alvarez Guillermo s/ recurso extraordinario”. </w:t>
      </w:r>
      <w:r w:rsidRPr="000B605E">
        <w:rPr>
          <w:lang w:val="es-ES"/>
        </w:rPr>
        <w:t>28 de junio de 2000. Folio 3314. Anexo a la petición inicial.</w:t>
      </w:r>
    </w:p>
  </w:footnote>
  <w:footnote w:id="42">
    <w:p w14:paraId="7C14DC06"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w:t>
      </w:r>
      <w:r>
        <w:rPr>
          <w:lang w:val="es-ES"/>
        </w:rPr>
        <w:t>2</w:t>
      </w:r>
      <w:r w:rsidR="00DA649E">
        <w:rPr>
          <w:lang w:val="es-ES"/>
        </w:rPr>
        <w:t>0</w:t>
      </w:r>
      <w:r w:rsidRPr="000B605E">
        <w:rPr>
          <w:lang w:val="es-ES"/>
        </w:rPr>
        <w:t xml:space="preserve">. Resolución de la Cámara Nacional de Casación Penal. </w:t>
      </w:r>
      <w:r w:rsidRPr="000B605E">
        <w:rPr>
          <w:lang w:val="pt-BR"/>
        </w:rPr>
        <w:t xml:space="preserve">Causa no. 2543- Sala II- “Alvarez Guillermo s/ recurso extraordinario”. </w:t>
      </w:r>
      <w:r w:rsidRPr="000B605E">
        <w:rPr>
          <w:lang w:val="es-ES"/>
        </w:rPr>
        <w:t>28 de junio de 2000. Folio 3314. Anexo a la petición inicial.</w:t>
      </w:r>
    </w:p>
  </w:footnote>
  <w:footnote w:id="43">
    <w:p w14:paraId="4749DED2"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w:t>
      </w:r>
      <w:r>
        <w:rPr>
          <w:lang w:val="es-ES"/>
        </w:rPr>
        <w:t>2</w:t>
      </w:r>
      <w:r w:rsidR="00DA649E">
        <w:rPr>
          <w:lang w:val="es-ES"/>
        </w:rPr>
        <w:t>0</w:t>
      </w:r>
      <w:r w:rsidRPr="000B605E">
        <w:rPr>
          <w:lang w:val="es-ES"/>
        </w:rPr>
        <w:t xml:space="preserve">. Resolución de la Cámara Nacional de Casación Penal. </w:t>
      </w:r>
      <w:r w:rsidRPr="000B605E">
        <w:rPr>
          <w:lang w:val="pt-BR"/>
        </w:rPr>
        <w:t xml:space="preserve">Causa no. 2543- Sala II- “Alvarez Guillermo s/ recurso extraordinario”. </w:t>
      </w:r>
      <w:r w:rsidRPr="000B605E">
        <w:rPr>
          <w:lang w:val="es-ES"/>
        </w:rPr>
        <w:t>28 de junio de 2000. Folio 3314. Anexo a la petición inicial.</w:t>
      </w:r>
    </w:p>
  </w:footnote>
  <w:footnote w:id="44">
    <w:p w14:paraId="77F5F5E1" w14:textId="77777777" w:rsidR="003F0CB9" w:rsidRPr="000B605E" w:rsidRDefault="003F0CB9" w:rsidP="00082AE3">
      <w:pPr>
        <w:pStyle w:val="FootnoteText"/>
        <w:rPr>
          <w:lang w:val="es-ES"/>
        </w:rPr>
      </w:pPr>
      <w:r w:rsidRPr="000B605E">
        <w:rPr>
          <w:rStyle w:val="FootnoteReference"/>
        </w:rPr>
        <w:footnoteRef/>
      </w:r>
      <w:r w:rsidR="00DA649E">
        <w:rPr>
          <w:lang w:val="es-ES"/>
        </w:rPr>
        <w:t xml:space="preserve"> Anexo 21</w:t>
      </w:r>
      <w:r w:rsidRPr="000B605E">
        <w:rPr>
          <w:lang w:val="es-ES"/>
        </w:rPr>
        <w:t>. Escrito de recurso de queja ante la Corte Suprema</w:t>
      </w:r>
      <w:r w:rsidRPr="002A43A0">
        <w:rPr>
          <w:lang w:val="es-ES"/>
        </w:rPr>
        <w:t>. Sin folio.</w:t>
      </w:r>
      <w:r w:rsidRPr="000B605E">
        <w:rPr>
          <w:lang w:val="es-ES"/>
        </w:rPr>
        <w:t xml:space="preserve"> Anexo a la petición inicial. </w:t>
      </w:r>
    </w:p>
  </w:footnote>
  <w:footnote w:id="45">
    <w:p w14:paraId="31E69F8B"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Pr>
          <w:lang w:val="es-ES"/>
        </w:rPr>
        <w:t xml:space="preserve">Anexo </w:t>
      </w:r>
      <w:r w:rsidR="00DA649E">
        <w:rPr>
          <w:lang w:val="es-ES"/>
        </w:rPr>
        <w:t>22</w:t>
      </w:r>
      <w:r>
        <w:rPr>
          <w:lang w:val="es-ES"/>
        </w:rPr>
        <w:t xml:space="preserve">. Escrito de formula manifestación </w:t>
      </w:r>
      <w:r w:rsidRPr="000B605E">
        <w:rPr>
          <w:lang w:val="es-ES"/>
        </w:rPr>
        <w:t>ante la Corte Suprema</w:t>
      </w:r>
      <w:r>
        <w:rPr>
          <w:lang w:val="es-ES"/>
        </w:rPr>
        <w:t>, presentado por la Defensora Oficial ante la Corte Suprema de Justicia de la Naci</w:t>
      </w:r>
      <w:r>
        <w:rPr>
          <w:rFonts w:ascii="Cambria" w:hAnsi="Cambria"/>
          <w:lang w:val="es-ES"/>
        </w:rPr>
        <w:t>ón, en expediente (C.S.J.N) letras “A”, No. 702, libro XXXVI, año 2000</w:t>
      </w:r>
      <w:r w:rsidRPr="000B605E">
        <w:rPr>
          <w:lang w:val="es-ES"/>
        </w:rPr>
        <w:t xml:space="preserve">. </w:t>
      </w:r>
      <w:r w:rsidRPr="002A43A0">
        <w:rPr>
          <w:lang w:val="es-ES"/>
        </w:rPr>
        <w:t>Fecha ilegible. Sin folio.</w:t>
      </w:r>
      <w:r w:rsidRPr="000B605E">
        <w:rPr>
          <w:lang w:val="es-ES"/>
        </w:rPr>
        <w:t xml:space="preserve"> Anexo a la petición inicial.</w:t>
      </w:r>
    </w:p>
  </w:footnote>
  <w:footnote w:id="46">
    <w:p w14:paraId="77835310" w14:textId="77777777" w:rsidR="003F0CB9" w:rsidRPr="002A43A0" w:rsidRDefault="003F0CB9" w:rsidP="00082AE3">
      <w:pPr>
        <w:pStyle w:val="FootnoteText"/>
        <w:rPr>
          <w:lang w:val="es-ES"/>
        </w:rPr>
      </w:pPr>
      <w:r w:rsidRPr="000B605E">
        <w:rPr>
          <w:rStyle w:val="FootnoteReference"/>
        </w:rPr>
        <w:footnoteRef/>
      </w:r>
      <w:r w:rsidR="00DA649E">
        <w:rPr>
          <w:lang w:val="es-ES"/>
        </w:rPr>
        <w:t xml:space="preserve"> Anexo 23</w:t>
      </w:r>
      <w:r w:rsidRPr="000B605E">
        <w:rPr>
          <w:lang w:val="es-ES"/>
        </w:rPr>
        <w:t>. Resolución de la Corte Suprema. 6 de marzo de 2001</w:t>
      </w:r>
      <w:r w:rsidRPr="002A43A0">
        <w:rPr>
          <w:lang w:val="es-ES"/>
        </w:rPr>
        <w:t>. Sin folio. Anexo a la petición inicial.</w:t>
      </w:r>
    </w:p>
  </w:footnote>
  <w:footnote w:id="47">
    <w:p w14:paraId="0416762A" w14:textId="77777777" w:rsidR="003F0CB9" w:rsidRPr="000B605E" w:rsidRDefault="003F0CB9" w:rsidP="00082AE3">
      <w:pPr>
        <w:pStyle w:val="FootnoteText"/>
        <w:rPr>
          <w:lang w:val="es-ES"/>
        </w:rPr>
      </w:pPr>
      <w:r w:rsidRPr="002A43A0">
        <w:rPr>
          <w:rStyle w:val="FootnoteReference"/>
        </w:rPr>
        <w:footnoteRef/>
      </w:r>
      <w:r>
        <w:rPr>
          <w:lang w:val="es-ES"/>
        </w:rPr>
        <w:t xml:space="preserve"> Anexo 2</w:t>
      </w:r>
      <w:r w:rsidR="00DA649E">
        <w:rPr>
          <w:lang w:val="es-ES"/>
        </w:rPr>
        <w:t>4</w:t>
      </w:r>
      <w:r w:rsidRPr="002A43A0">
        <w:rPr>
          <w:lang w:val="es-ES"/>
        </w:rPr>
        <w:t>. Escrito de contesta vista-adhiere ante la Corte Suprema. Sin folio.</w:t>
      </w:r>
      <w:r w:rsidRPr="000B605E">
        <w:rPr>
          <w:lang w:val="es-ES"/>
        </w:rPr>
        <w:t xml:space="preserve"> Anexo a la petición inicial.</w:t>
      </w:r>
    </w:p>
  </w:footnote>
  <w:footnote w:id="48">
    <w:p w14:paraId="6CBFEBB8" w14:textId="77777777" w:rsidR="003F0CB9" w:rsidRPr="000B605E" w:rsidRDefault="003F0CB9" w:rsidP="00082AE3">
      <w:pPr>
        <w:pStyle w:val="FootnoteText"/>
        <w:rPr>
          <w:lang w:val="es-ES"/>
        </w:rPr>
      </w:pPr>
      <w:r w:rsidRPr="000B605E">
        <w:rPr>
          <w:rStyle w:val="FootnoteReference"/>
        </w:rPr>
        <w:footnoteRef/>
      </w:r>
      <w:r>
        <w:rPr>
          <w:lang w:val="es-ES"/>
        </w:rPr>
        <w:t xml:space="preserve"> Anexo 2</w:t>
      </w:r>
      <w:r w:rsidR="00DA649E">
        <w:rPr>
          <w:lang w:val="es-ES"/>
        </w:rPr>
        <w:t>5</w:t>
      </w:r>
      <w:r w:rsidRPr="000B605E">
        <w:rPr>
          <w:lang w:val="es-ES"/>
        </w:rPr>
        <w:t>. Sentencia de la Cámara Nacional de Casación Penal. 23 de junio de 2000. Folio 3226. Anexo a la petición inicial.</w:t>
      </w:r>
    </w:p>
  </w:footnote>
  <w:footnote w:id="49">
    <w:p w14:paraId="19C2D01B" w14:textId="77777777" w:rsidR="003F0CB9" w:rsidRPr="000B605E" w:rsidRDefault="003F0CB9" w:rsidP="00082AE3">
      <w:pPr>
        <w:pStyle w:val="FootnoteText"/>
        <w:rPr>
          <w:lang w:val="es-ES"/>
        </w:rPr>
      </w:pPr>
      <w:r w:rsidRPr="000B605E">
        <w:rPr>
          <w:rStyle w:val="FootnoteReference"/>
        </w:rPr>
        <w:footnoteRef/>
      </w:r>
      <w:r w:rsidR="00DA649E">
        <w:rPr>
          <w:lang w:val="es-ES"/>
        </w:rPr>
        <w:t xml:space="preserve"> Anexo 25</w:t>
      </w:r>
      <w:r w:rsidRPr="000B605E">
        <w:rPr>
          <w:lang w:val="es-ES"/>
        </w:rPr>
        <w:t>. Sentencia de la Cámara Nacional de Casación Penal. 23 de junio de 2000. Folio 3226. Anexo a la petición inicial.</w:t>
      </w:r>
    </w:p>
  </w:footnote>
  <w:footnote w:id="50">
    <w:p w14:paraId="61B662C4" w14:textId="77777777" w:rsidR="003F0CB9" w:rsidRPr="000B605E" w:rsidRDefault="003F0CB9" w:rsidP="00082AE3">
      <w:pPr>
        <w:pStyle w:val="FootnoteText"/>
        <w:rPr>
          <w:lang w:val="es-ES"/>
        </w:rPr>
      </w:pPr>
      <w:r w:rsidRPr="000B605E">
        <w:rPr>
          <w:rStyle w:val="FootnoteReference"/>
        </w:rPr>
        <w:footnoteRef/>
      </w:r>
      <w:r w:rsidR="00DA649E">
        <w:rPr>
          <w:lang w:val="es-ES"/>
        </w:rPr>
        <w:t xml:space="preserve"> Anexo 25</w:t>
      </w:r>
      <w:r w:rsidRPr="000B605E">
        <w:rPr>
          <w:lang w:val="es-ES"/>
        </w:rPr>
        <w:t>. Sentencia de la Cámara Nacional de Casación Penal. 23 de junio de 2000. Folio 3226. Anexo a la petición inicial.</w:t>
      </w:r>
    </w:p>
  </w:footnote>
  <w:footnote w:id="51">
    <w:p w14:paraId="2CF7D391" w14:textId="77777777" w:rsidR="003F0CB9" w:rsidRPr="000B605E" w:rsidRDefault="003F0CB9" w:rsidP="00082AE3">
      <w:pPr>
        <w:pStyle w:val="FootnoteText"/>
        <w:rPr>
          <w:lang w:val="es-ES"/>
        </w:rPr>
      </w:pPr>
      <w:r w:rsidRPr="000B605E">
        <w:rPr>
          <w:rStyle w:val="FootnoteReference"/>
        </w:rPr>
        <w:footnoteRef/>
      </w:r>
      <w:r>
        <w:rPr>
          <w:lang w:val="es-ES"/>
        </w:rPr>
        <w:t xml:space="preserve"> Anexo</w:t>
      </w:r>
      <w:r w:rsidR="00DA649E">
        <w:rPr>
          <w:lang w:val="es-ES"/>
        </w:rPr>
        <w:t xml:space="preserve"> 25</w:t>
      </w:r>
      <w:r w:rsidRPr="000B605E">
        <w:rPr>
          <w:lang w:val="es-ES"/>
        </w:rPr>
        <w:t>. Sentencia de la Cámara Nacional de Casación Penal. 23 de junio de 2000. Folio 3226. Anexo a la petición inicial.</w:t>
      </w:r>
    </w:p>
  </w:footnote>
  <w:footnote w:id="52">
    <w:p w14:paraId="3A7C3DC3"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w:t>
      </w:r>
      <w:r>
        <w:rPr>
          <w:lang w:val="es-ES"/>
        </w:rPr>
        <w:t xml:space="preserve"> </w:t>
      </w:r>
      <w:r w:rsidR="00DA649E">
        <w:rPr>
          <w:lang w:val="es-ES"/>
        </w:rPr>
        <w:t>26</w:t>
      </w:r>
      <w:r w:rsidRPr="000B605E">
        <w:rPr>
          <w:lang w:val="es-ES"/>
        </w:rPr>
        <w:t>. Escritos de renuncia, dirigidos a la Cámara de Casación Penal. Folios 3293 y 3299. Anexo a la petición inicial.</w:t>
      </w:r>
    </w:p>
  </w:footnote>
  <w:footnote w:id="53">
    <w:p w14:paraId="4B5A44BF" w14:textId="77777777" w:rsidR="003F0CB9" w:rsidRPr="000B605E" w:rsidRDefault="003F0CB9" w:rsidP="00082AE3">
      <w:pPr>
        <w:pStyle w:val="FootnoteText"/>
        <w:rPr>
          <w:lang w:val="es-ES"/>
        </w:rPr>
      </w:pPr>
      <w:r w:rsidRPr="000B605E">
        <w:rPr>
          <w:rStyle w:val="FootnoteReference"/>
        </w:rPr>
        <w:footnoteRef/>
      </w:r>
      <w:r w:rsidR="00DA649E">
        <w:rPr>
          <w:lang w:val="es-ES"/>
        </w:rPr>
        <w:t xml:space="preserve"> Anexo 27</w:t>
      </w:r>
      <w:r w:rsidRPr="000B605E">
        <w:rPr>
          <w:lang w:val="es-ES"/>
        </w:rPr>
        <w:t>. Escrito “Manifiesta” presentado ante la Excma. Cámara de Casación Penal. Causa No. 2557. 19 de diciembre de 2000. Folio 3316. Anexo a la petición inicial.</w:t>
      </w:r>
    </w:p>
  </w:footnote>
  <w:footnote w:id="54">
    <w:p w14:paraId="610C243C"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Anexo </w:t>
      </w:r>
      <w:r w:rsidR="00DA649E">
        <w:rPr>
          <w:lang w:val="es-ES"/>
        </w:rPr>
        <w:t>28</w:t>
      </w:r>
      <w:r w:rsidRPr="000B605E">
        <w:rPr>
          <w:lang w:val="es-ES"/>
        </w:rPr>
        <w:t xml:space="preserve">. Resolución de la Sala II de la Cámara Nacional de Casación Penal. Causa No. 2557, caratulada “Álvarez, Guillermo Antonio, y Mendoza, César Alberto s/recurso de casación e inconstitucionalidad”. 22 de diciembre de 2000. Folio 3317. Anexo a la petición inicial. </w:t>
      </w:r>
    </w:p>
  </w:footnote>
  <w:footnote w:id="55">
    <w:p w14:paraId="29D6EB43" w14:textId="77777777" w:rsidR="003F0CB9" w:rsidRPr="000B605E" w:rsidRDefault="003F0CB9" w:rsidP="00082AE3">
      <w:pPr>
        <w:pStyle w:val="FootnoteText"/>
        <w:rPr>
          <w:lang w:val="es-ES"/>
        </w:rPr>
      </w:pPr>
      <w:r w:rsidRPr="00756509">
        <w:rPr>
          <w:rStyle w:val="FootnoteReference"/>
        </w:rPr>
        <w:footnoteRef/>
      </w:r>
      <w:r w:rsidRPr="00756509">
        <w:rPr>
          <w:lang w:val="es-ES"/>
        </w:rPr>
        <w:t xml:space="preserve"> Anexo </w:t>
      </w:r>
      <w:r w:rsidR="00DA649E" w:rsidRPr="00756509">
        <w:rPr>
          <w:lang w:val="es-ES"/>
        </w:rPr>
        <w:t>29</w:t>
      </w:r>
      <w:r w:rsidRPr="00756509">
        <w:rPr>
          <w:lang w:val="es-ES"/>
        </w:rPr>
        <w:t>.</w:t>
      </w:r>
      <w:r w:rsidRPr="000B605E">
        <w:rPr>
          <w:lang w:val="es-ES"/>
        </w:rPr>
        <w:t xml:space="preserve"> Resolución de la Cámara de Casación Penal. 15 de marzo de 2001. Folio 3330. Anexo a la petición inicial.</w:t>
      </w:r>
    </w:p>
  </w:footnote>
  <w:footnote w:id="56">
    <w:p w14:paraId="350C3E89" w14:textId="77777777" w:rsidR="003F0CB9" w:rsidRPr="000B605E" w:rsidRDefault="003F0CB9" w:rsidP="00082AE3">
      <w:pPr>
        <w:pStyle w:val="FootnoteText"/>
        <w:rPr>
          <w:lang w:val="es-ES"/>
        </w:rPr>
      </w:pPr>
      <w:r w:rsidRPr="000B605E">
        <w:rPr>
          <w:rStyle w:val="FootnoteReference"/>
        </w:rPr>
        <w:footnoteRef/>
      </w:r>
      <w:r w:rsidR="00756509">
        <w:rPr>
          <w:lang w:val="es-ES"/>
        </w:rPr>
        <w:t xml:space="preserve"> Anexo 30</w:t>
      </w:r>
      <w:r w:rsidRPr="000B605E">
        <w:rPr>
          <w:lang w:val="es-ES"/>
        </w:rPr>
        <w:t xml:space="preserve">. Resolución </w:t>
      </w:r>
      <w:r w:rsidRPr="002A43A0">
        <w:rPr>
          <w:lang w:val="es-ES"/>
        </w:rPr>
        <w:t xml:space="preserve">de </w:t>
      </w:r>
      <w:r w:rsidRPr="000B605E">
        <w:rPr>
          <w:lang w:val="es-ES"/>
        </w:rPr>
        <w:t>15 de marzo de 2000. Folio 3330. Anexo a la petición inicial.</w:t>
      </w:r>
    </w:p>
  </w:footnote>
  <w:footnote w:id="57">
    <w:p w14:paraId="31C7D567" w14:textId="77777777" w:rsidR="003F0CB9" w:rsidRPr="000B605E" w:rsidRDefault="003F0CB9" w:rsidP="00082AE3">
      <w:pPr>
        <w:pStyle w:val="FootnoteText"/>
        <w:rPr>
          <w:lang w:val="es-ES"/>
        </w:rPr>
      </w:pPr>
      <w:r w:rsidRPr="000B605E">
        <w:rPr>
          <w:rStyle w:val="FootnoteReference"/>
        </w:rPr>
        <w:footnoteRef/>
      </w:r>
      <w:r w:rsidR="00756509">
        <w:rPr>
          <w:lang w:val="pt-BR"/>
        </w:rPr>
        <w:t xml:space="preserve"> Anexo 31</w:t>
      </w:r>
      <w:r w:rsidRPr="000B605E">
        <w:rPr>
          <w:lang w:val="pt-BR"/>
        </w:rPr>
        <w:t xml:space="preserve">. Escrito de “Contesta vista”. </w:t>
      </w:r>
      <w:r w:rsidRPr="000B605E">
        <w:rPr>
          <w:lang w:val="es-ES"/>
        </w:rPr>
        <w:t xml:space="preserve">21 de marzo de </w:t>
      </w:r>
      <w:r w:rsidRPr="002A43A0">
        <w:rPr>
          <w:lang w:val="es-ES"/>
        </w:rPr>
        <w:t>2001. Folio ilegible</w:t>
      </w:r>
      <w:r w:rsidRPr="000B605E">
        <w:rPr>
          <w:lang w:val="es-ES"/>
        </w:rPr>
        <w:t>. Anexo a la petición inicial.</w:t>
      </w:r>
    </w:p>
  </w:footnote>
  <w:footnote w:id="58">
    <w:p w14:paraId="5A529CC5" w14:textId="77777777" w:rsidR="003F0CB9" w:rsidRPr="002A43A0" w:rsidRDefault="003F0CB9" w:rsidP="00082AE3">
      <w:pPr>
        <w:pStyle w:val="FootnoteText"/>
        <w:rPr>
          <w:lang w:val="es-ES"/>
        </w:rPr>
      </w:pPr>
      <w:r w:rsidRPr="000B605E">
        <w:rPr>
          <w:rStyle w:val="FootnoteReference"/>
        </w:rPr>
        <w:footnoteRef/>
      </w:r>
      <w:r w:rsidR="00756509">
        <w:rPr>
          <w:lang w:val="es-ES"/>
        </w:rPr>
        <w:t xml:space="preserve"> Anexo 31</w:t>
      </w:r>
      <w:r w:rsidRPr="000B605E">
        <w:rPr>
          <w:lang w:val="es-ES"/>
        </w:rPr>
        <w:t xml:space="preserve">. Escrito de “Contesta vista”. 21 de marzo de </w:t>
      </w:r>
      <w:r w:rsidRPr="002A43A0">
        <w:rPr>
          <w:lang w:val="es-ES"/>
        </w:rPr>
        <w:t>2001. Folio ilegible. Anexo a la petición inicial.</w:t>
      </w:r>
    </w:p>
  </w:footnote>
  <w:footnote w:id="59">
    <w:p w14:paraId="2E550EEE" w14:textId="77777777" w:rsidR="003F0CB9" w:rsidRPr="002A43A0" w:rsidRDefault="003F0CB9" w:rsidP="00082AE3">
      <w:pPr>
        <w:pStyle w:val="FootnoteText"/>
        <w:rPr>
          <w:lang w:val="es-ES"/>
        </w:rPr>
      </w:pPr>
      <w:r w:rsidRPr="002A43A0">
        <w:rPr>
          <w:rStyle w:val="FootnoteReference"/>
        </w:rPr>
        <w:footnoteRef/>
      </w:r>
      <w:r w:rsidR="00756509">
        <w:rPr>
          <w:lang w:val="pt-BR"/>
        </w:rPr>
        <w:t xml:space="preserve"> Anexo 31</w:t>
      </w:r>
      <w:r w:rsidRPr="002A43A0">
        <w:rPr>
          <w:lang w:val="pt-BR"/>
        </w:rPr>
        <w:t xml:space="preserve">. Escrito de “Contesta vista”. </w:t>
      </w:r>
      <w:r w:rsidRPr="002A43A0">
        <w:rPr>
          <w:lang w:val="es-ES"/>
        </w:rPr>
        <w:t>21 de marzo de 2001. Folio ilegible. Anexo a la petición inicial.</w:t>
      </w:r>
    </w:p>
  </w:footnote>
  <w:footnote w:id="60">
    <w:p w14:paraId="102A8061" w14:textId="77777777" w:rsidR="003F0CB9" w:rsidRPr="000B605E" w:rsidRDefault="003F0CB9" w:rsidP="00082AE3">
      <w:pPr>
        <w:pStyle w:val="FootnoteText"/>
        <w:rPr>
          <w:lang w:val="es-ES"/>
        </w:rPr>
      </w:pPr>
      <w:r w:rsidRPr="002A43A0">
        <w:rPr>
          <w:rStyle w:val="FootnoteReference"/>
        </w:rPr>
        <w:footnoteRef/>
      </w:r>
      <w:r w:rsidRPr="002A43A0">
        <w:rPr>
          <w:lang w:val="es-ES"/>
        </w:rPr>
        <w:t xml:space="preserve"> Anexo </w:t>
      </w:r>
      <w:r w:rsidR="00756509">
        <w:rPr>
          <w:lang w:val="es-ES"/>
        </w:rPr>
        <w:t>32</w:t>
      </w:r>
      <w:r w:rsidRPr="002A43A0">
        <w:rPr>
          <w:lang w:val="es-ES"/>
        </w:rPr>
        <w:t>. Resolución de la Cámara de Casación Penal. 26 de marzo de 2001. Folio ilegible.</w:t>
      </w:r>
      <w:r w:rsidRPr="000B605E">
        <w:rPr>
          <w:lang w:val="es-ES"/>
        </w:rPr>
        <w:t xml:space="preserve"> Anexo a la petición inicial.</w:t>
      </w:r>
    </w:p>
  </w:footnote>
  <w:footnote w:id="61">
    <w:p w14:paraId="498BBA64" w14:textId="77777777" w:rsidR="003F0CB9" w:rsidRPr="00235527" w:rsidRDefault="003F0CB9" w:rsidP="00082AE3">
      <w:pPr>
        <w:pStyle w:val="FootnoteText"/>
        <w:rPr>
          <w:lang w:val="es-ES"/>
        </w:rPr>
      </w:pPr>
      <w:r>
        <w:rPr>
          <w:rStyle w:val="FootnoteReference"/>
        </w:rPr>
        <w:footnoteRef/>
      </w:r>
      <w:r w:rsidRPr="00235527">
        <w:rPr>
          <w:lang w:val="es-ES"/>
        </w:rPr>
        <w:t xml:space="preserve"> </w:t>
      </w:r>
      <w:r>
        <w:rPr>
          <w:lang w:val="es-ES"/>
        </w:rPr>
        <w:t xml:space="preserve">Anexo </w:t>
      </w:r>
      <w:r w:rsidR="00756509">
        <w:rPr>
          <w:lang w:val="es-ES"/>
        </w:rPr>
        <w:t>33</w:t>
      </w:r>
      <w:r>
        <w:rPr>
          <w:lang w:val="es-ES"/>
        </w:rPr>
        <w:t xml:space="preserve">. Escrito dirigido a la Corte Suprema de Justicia, de fecha 29 de noviembre de 2001. </w:t>
      </w:r>
      <w:r w:rsidRPr="000B605E">
        <w:rPr>
          <w:lang w:val="es-ES"/>
        </w:rPr>
        <w:t xml:space="preserve">Folio </w:t>
      </w:r>
      <w:r>
        <w:rPr>
          <w:lang w:val="es-ES"/>
        </w:rPr>
        <w:t>100</w:t>
      </w:r>
      <w:r w:rsidRPr="000B605E">
        <w:rPr>
          <w:lang w:val="es-ES"/>
        </w:rPr>
        <w:t>. Anexo a la petición inicial.</w:t>
      </w:r>
    </w:p>
  </w:footnote>
  <w:footnote w:id="62">
    <w:p w14:paraId="107A6E2A" w14:textId="77777777" w:rsidR="003F0CB9" w:rsidRPr="00F968A8" w:rsidRDefault="003F0CB9" w:rsidP="00082AE3">
      <w:pPr>
        <w:pStyle w:val="FootnoteText"/>
        <w:rPr>
          <w:lang w:val="es-ES"/>
        </w:rPr>
      </w:pPr>
      <w:r>
        <w:rPr>
          <w:rStyle w:val="FootnoteReference"/>
        </w:rPr>
        <w:footnoteRef/>
      </w:r>
      <w:r w:rsidRPr="00F968A8">
        <w:rPr>
          <w:lang w:val="es-ES"/>
        </w:rPr>
        <w:t xml:space="preserve"> </w:t>
      </w:r>
      <w:r>
        <w:rPr>
          <w:lang w:val="es-ES"/>
        </w:rPr>
        <w:t xml:space="preserve">Anexo 23. Escrito de formula manifestación </w:t>
      </w:r>
      <w:r w:rsidRPr="000B605E">
        <w:rPr>
          <w:lang w:val="es-ES"/>
        </w:rPr>
        <w:t>ante la Corte Suprema</w:t>
      </w:r>
      <w:r>
        <w:rPr>
          <w:lang w:val="es-ES"/>
        </w:rPr>
        <w:t>, presentado por la Defensora Oficial ante la Corte Suprema de Justicia de la Naci</w:t>
      </w:r>
      <w:r>
        <w:rPr>
          <w:rFonts w:ascii="Cambria" w:hAnsi="Cambria"/>
          <w:lang w:val="es-ES"/>
        </w:rPr>
        <w:t>ón, en expediente (C.S.J.N) letras “A”, No. 702, libro XXXVI, año 2000</w:t>
      </w:r>
      <w:r w:rsidRPr="000B605E">
        <w:rPr>
          <w:lang w:val="es-ES"/>
        </w:rPr>
        <w:t xml:space="preserve">. </w:t>
      </w:r>
      <w:r w:rsidRPr="002A43A0">
        <w:rPr>
          <w:lang w:val="es-ES"/>
        </w:rPr>
        <w:t>Fecha ilegible. Sin folio.</w:t>
      </w:r>
      <w:r w:rsidRPr="000B605E">
        <w:rPr>
          <w:lang w:val="es-ES"/>
        </w:rPr>
        <w:t xml:space="preserve"> Anexo a la petición inicial.</w:t>
      </w:r>
    </w:p>
  </w:footnote>
  <w:footnote w:id="63">
    <w:p w14:paraId="43E100F2" w14:textId="77777777" w:rsidR="003F0CB9" w:rsidRPr="000B605E" w:rsidRDefault="003F0CB9" w:rsidP="00082AE3">
      <w:pPr>
        <w:shd w:val="clear" w:color="auto" w:fill="FFFFFF"/>
        <w:tabs>
          <w:tab w:val="num" w:pos="720"/>
          <w:tab w:val="left" w:pos="1440"/>
          <w:tab w:val="num" w:pos="2040"/>
        </w:tabs>
        <w:jc w:val="both"/>
        <w:rPr>
          <w:rFonts w:asciiTheme="majorHAnsi" w:hAnsiTheme="majorHAnsi"/>
          <w:sz w:val="16"/>
          <w:szCs w:val="16"/>
          <w:lang w:val="es-ES"/>
        </w:rPr>
      </w:pPr>
      <w:r w:rsidRPr="000B605E">
        <w:rPr>
          <w:rStyle w:val="FootnoteReference"/>
          <w:szCs w:val="16"/>
        </w:rPr>
        <w:footnoteRef/>
      </w:r>
      <w:r w:rsidRPr="000B605E">
        <w:rPr>
          <w:rFonts w:asciiTheme="majorHAnsi" w:hAnsiTheme="majorHAnsi"/>
          <w:sz w:val="16"/>
          <w:szCs w:val="16"/>
          <w:lang w:val="es-VE"/>
        </w:rPr>
        <w:t xml:space="preserve"> El artículo 8 de la Convención Americana establece en lo pertinente, lo siguiente: </w:t>
      </w:r>
      <w:r w:rsidRPr="000B605E">
        <w:rPr>
          <w:rFonts w:asciiTheme="majorHAnsi" w:hAnsiTheme="majorHAnsi"/>
          <w:sz w:val="16"/>
          <w:szCs w:val="16"/>
          <w:lang w:val="es-ES"/>
        </w:rPr>
        <w:t xml:space="preserve">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2. Toda persona inculpada de delito tiene derecho a que se presuma su inocencia mientras no se establezca legalmente su culpabilidad. Durante el proceso, toda persona tiene derecho, en plena igualdad, a las siguientes garantías mínimas: c) concesión al inculpado del tiempo y de los medios adecuados para la preparación de su defensa; d) derecho del inculpado de defenderse personalmente o de ser asistido por un defensor de su elección y de comunicarse libre y privadamente con su defensor; e) derecho irrenunciable de ser asistido por un defensor proporcionado por el Estado, remunerado o no según la legislación interna, si el inculpado no se defendiere por sí mismo ni nombrare defensor dentro del plazo establecido por la ley; </w:t>
      </w:r>
    </w:p>
    <w:p w14:paraId="29EE2CE4" w14:textId="77777777" w:rsidR="003F0CB9" w:rsidRPr="000B605E" w:rsidRDefault="003F0CB9" w:rsidP="00082AE3">
      <w:pPr>
        <w:shd w:val="clear" w:color="auto" w:fill="FFFFFF"/>
        <w:tabs>
          <w:tab w:val="num" w:pos="720"/>
          <w:tab w:val="left" w:pos="1440"/>
          <w:tab w:val="num" w:pos="2040"/>
        </w:tabs>
        <w:jc w:val="both"/>
        <w:rPr>
          <w:rFonts w:asciiTheme="majorHAnsi" w:hAnsiTheme="majorHAnsi"/>
          <w:sz w:val="16"/>
          <w:szCs w:val="16"/>
          <w:lang w:val="es-ES"/>
        </w:rPr>
      </w:pPr>
      <w:r w:rsidRPr="000B605E">
        <w:rPr>
          <w:rFonts w:asciiTheme="majorHAnsi" w:hAnsiTheme="majorHAnsi"/>
          <w:sz w:val="16"/>
          <w:szCs w:val="16"/>
          <w:lang w:val="es-ES"/>
        </w:rPr>
        <w:t> f) derecho de la defensa de interrogar a los testigos presentes en el tribunal y de obtener la comparecencia, como testigos o peritos, de otras personas que puedan arrojar luz sobre los hechos; g) derecho a no ser obligado a declarar contra sí mismo ni a declararse culpable, y h) derecho de recurrir del fallo ante juez o tribunal superior. 3. La confesión del inculpado solamente es válida si es hecha sin coacción de ninguna naturaleza.</w:t>
      </w:r>
    </w:p>
  </w:footnote>
  <w:footnote w:id="64">
    <w:p w14:paraId="313CECAA" w14:textId="77777777" w:rsidR="003F0CB9" w:rsidRPr="000B605E" w:rsidRDefault="003F0CB9" w:rsidP="00082AE3">
      <w:pPr>
        <w:tabs>
          <w:tab w:val="left" w:pos="720"/>
        </w:tabs>
        <w:jc w:val="both"/>
        <w:rPr>
          <w:rFonts w:asciiTheme="majorHAnsi" w:hAnsiTheme="majorHAnsi"/>
          <w:color w:val="FF0000"/>
          <w:sz w:val="16"/>
          <w:szCs w:val="16"/>
          <w:lang w:val="es-ES_tradnl"/>
        </w:rPr>
      </w:pPr>
      <w:r w:rsidRPr="000B605E">
        <w:rPr>
          <w:rStyle w:val="FootnoteReference"/>
          <w:szCs w:val="16"/>
        </w:rPr>
        <w:footnoteRef/>
      </w:r>
      <w:r w:rsidRPr="000B605E">
        <w:rPr>
          <w:rFonts w:asciiTheme="majorHAnsi" w:hAnsiTheme="majorHAnsi"/>
          <w:sz w:val="16"/>
          <w:szCs w:val="16"/>
          <w:lang w:val="es-VE"/>
        </w:rPr>
        <w:t xml:space="preserve"> El artículo 25.1 de la Convención Americana establece en lo pertinente, lo siguiente: </w:t>
      </w:r>
      <w:r w:rsidRPr="000B605E">
        <w:rPr>
          <w:rFonts w:asciiTheme="majorHAnsi" w:hAnsiTheme="majorHAnsi"/>
          <w:sz w:val="16"/>
          <w:szCs w:val="16"/>
          <w:lang w:val="es-ES_tradnl"/>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65">
    <w:p w14:paraId="094FF454" w14:textId="77777777" w:rsidR="003F0CB9" w:rsidRPr="000B605E" w:rsidRDefault="003F0CB9" w:rsidP="00082AE3">
      <w:pPr>
        <w:shd w:val="clear" w:color="auto" w:fill="FFFFFF"/>
        <w:tabs>
          <w:tab w:val="num" w:pos="720"/>
          <w:tab w:val="left" w:pos="1440"/>
          <w:tab w:val="num" w:pos="2040"/>
        </w:tabs>
        <w:jc w:val="both"/>
        <w:rPr>
          <w:rFonts w:asciiTheme="majorHAnsi" w:hAnsiTheme="majorHAnsi"/>
          <w:sz w:val="16"/>
          <w:szCs w:val="16"/>
          <w:lang w:val="es-ES"/>
        </w:rPr>
      </w:pPr>
      <w:r w:rsidRPr="000B605E">
        <w:rPr>
          <w:rStyle w:val="FootnoteReference"/>
          <w:szCs w:val="16"/>
        </w:rPr>
        <w:footnoteRef/>
      </w:r>
      <w:r w:rsidRPr="000B605E">
        <w:rPr>
          <w:rFonts w:asciiTheme="majorHAnsi" w:hAnsiTheme="majorHAnsi"/>
          <w:sz w:val="16"/>
          <w:szCs w:val="16"/>
          <w:lang w:val="es-MX"/>
        </w:rPr>
        <w:t xml:space="preserve"> </w:t>
      </w:r>
      <w:r w:rsidRPr="000B605E">
        <w:rPr>
          <w:rFonts w:asciiTheme="majorHAnsi" w:hAnsiTheme="majorHAnsi"/>
          <w:sz w:val="16"/>
          <w:szCs w:val="16"/>
          <w:lang w:val="es-ES_tradnl"/>
        </w:rPr>
        <w:t xml:space="preserve">El artículo 1.1 de la Convención Americana establece </w:t>
      </w:r>
      <w:r w:rsidRPr="000B605E">
        <w:rPr>
          <w:rFonts w:asciiTheme="majorHAnsi" w:hAnsiTheme="majorHAnsi"/>
          <w:color w:val="000000"/>
          <w:sz w:val="16"/>
          <w:szCs w:val="16"/>
          <w:lang w:val="es-ES_tradnl"/>
        </w:rPr>
        <w:t>en lo pertinente, lo siguien</w:t>
      </w:r>
      <w:r w:rsidRPr="000B605E">
        <w:rPr>
          <w:rFonts w:asciiTheme="majorHAnsi" w:hAnsiTheme="majorHAnsi"/>
          <w:sz w:val="16"/>
          <w:szCs w:val="16"/>
          <w:lang w:val="es-ES_tradnl"/>
        </w:rPr>
        <w:t>te: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66">
    <w:p w14:paraId="5B5CE154" w14:textId="77777777" w:rsidR="003F0CB9" w:rsidRPr="000B605E" w:rsidRDefault="003F0CB9" w:rsidP="00082AE3">
      <w:pPr>
        <w:pStyle w:val="FootnoteText"/>
        <w:rPr>
          <w:lang w:val="es-ES"/>
        </w:rPr>
      </w:pPr>
      <w:r w:rsidRPr="000B605E">
        <w:rPr>
          <w:rStyle w:val="FootnoteReference"/>
        </w:rPr>
        <w:footnoteRef/>
      </w:r>
      <w:r w:rsidRPr="000B605E">
        <w:rPr>
          <w:lang w:val="pt-BR"/>
        </w:rPr>
        <w:t xml:space="preserve"> Corte IDH. </w:t>
      </w:r>
      <w:hyperlink r:id="rId1" w:history="1">
        <w:r w:rsidRPr="000B605E">
          <w:rPr>
            <w:rStyle w:val="Hyperlink"/>
            <w:u w:val="none"/>
            <w:lang w:val="pt-BR"/>
          </w:rPr>
          <w:t xml:space="preserve">Caso Colindres Schonenberg Vs. </w:t>
        </w:r>
        <w:r w:rsidRPr="000B605E">
          <w:rPr>
            <w:rStyle w:val="Hyperlink"/>
            <w:u w:val="none"/>
            <w:lang w:val="es-ES"/>
          </w:rPr>
          <w:t>El Salvador. Fondo, Reparaciones y Costas. Sentencia de 4 de febrero de 2019, párr. 64</w:t>
        </w:r>
      </w:hyperlink>
      <w:r w:rsidRPr="000B605E">
        <w:rPr>
          <w:lang w:val="es-ES"/>
        </w:rPr>
        <w:t>.</w:t>
      </w:r>
    </w:p>
  </w:footnote>
  <w:footnote w:id="67">
    <w:p w14:paraId="153D30CE"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hyperlink r:id="rId2" w:history="1">
        <w:r w:rsidRPr="000B605E">
          <w:rPr>
            <w:rStyle w:val="Hyperlink"/>
            <w:u w:val="none"/>
            <w:lang w:val="es-ES"/>
          </w:rPr>
          <w:t>Corte IDH. Caso Mendoza y otros Vs. Argentina. Excepciones Preliminares, Fondo y Reparaciones. Sentencia de 14 de mayo de 2013 Serie C No. 260, párr. 241</w:t>
        </w:r>
      </w:hyperlink>
      <w:r w:rsidRPr="000B605E">
        <w:rPr>
          <w:lang w:val="es-ES"/>
        </w:rPr>
        <w:t>.</w:t>
      </w:r>
    </w:p>
  </w:footnote>
  <w:footnote w:id="68">
    <w:p w14:paraId="678607C8"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rFonts w:eastAsia="Arial Unicode MS" w:cs="Tahoma"/>
          <w:bCs/>
          <w:lang w:val="es-ES" w:eastAsia="en-US"/>
        </w:rPr>
        <w:t xml:space="preserve">Corte IDH. Caso Barreto Leiva Vs. </w:t>
      </w:r>
      <w:r w:rsidRPr="000B605E">
        <w:rPr>
          <w:rFonts w:eastAsia="Arial Unicode MS" w:cs="Tahoma"/>
          <w:bCs/>
          <w:lang w:val="es-VE" w:eastAsia="en-US"/>
        </w:rPr>
        <w:t xml:space="preserve">Venezuela. Fondo, Reparaciones y Costas. Sentencia de 17 de noviembre de 2009. Serie C No. 206, párr. 29; </w:t>
      </w:r>
      <w:r w:rsidRPr="000B605E">
        <w:rPr>
          <w:rFonts w:eastAsia="Arial Unicode MS" w:cs="Tahoma"/>
          <w:lang w:val="es-VE" w:eastAsia="en-US"/>
        </w:rPr>
        <w:t xml:space="preserve">Corte IDH. Caso Vélez Loor Vs. Panamá. Excepciones Preliminares, Fondo, Reparaciones y Costas. Sentencia de 23 de noviembre de 2010. </w:t>
      </w:r>
      <w:r w:rsidRPr="000B605E">
        <w:rPr>
          <w:rFonts w:eastAsia="Arial Unicode MS" w:cs="Tahoma"/>
          <w:lang w:val="es-ES" w:eastAsia="en-US"/>
        </w:rPr>
        <w:t xml:space="preserve">Serie C No. 218, párr. 145; </w:t>
      </w:r>
      <w:r w:rsidRPr="000B605E">
        <w:rPr>
          <w:rStyle w:val="Strong"/>
          <w:b w:val="0"/>
          <w:shd w:val="clear" w:color="auto" w:fill="FFFFFF"/>
          <w:lang w:val="es-ES"/>
        </w:rPr>
        <w:t>Corte IDH. Caso Ruano Torres y otros Vs. El Salvador. Fondo, Reparaciones y Costas. Sentencia de 5 de octubre de 2015. Serie C No. 303, párr. 153</w:t>
      </w:r>
      <w:r w:rsidRPr="000B605E">
        <w:rPr>
          <w:rFonts w:eastAsia="Arial Unicode MS" w:cs="Tahoma"/>
          <w:b/>
          <w:lang w:val="es-ES" w:eastAsia="en-US"/>
        </w:rPr>
        <w:t>.</w:t>
      </w:r>
    </w:p>
  </w:footnote>
  <w:footnote w:id="69">
    <w:p w14:paraId="1BE55F4C"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rStyle w:val="Strong"/>
          <w:b w:val="0"/>
          <w:shd w:val="clear" w:color="auto" w:fill="FFFFFF"/>
          <w:lang w:val="es-ES"/>
        </w:rPr>
        <w:t>Corte IDH. Caso Ruano Torres y otros Vs. El Salvador. Fondo, Reparaciones y Costas. Sentencia de 5 de octubre de 2015. Serie C No. 303, párr. 153</w:t>
      </w:r>
      <w:r w:rsidRPr="000B605E">
        <w:rPr>
          <w:rFonts w:eastAsia="Arial Unicode MS" w:cs="Tahoma"/>
          <w:b/>
          <w:lang w:val="es-ES" w:eastAsia="en-US"/>
        </w:rPr>
        <w:t>.</w:t>
      </w:r>
    </w:p>
  </w:footnote>
  <w:footnote w:id="70">
    <w:p w14:paraId="49859FB4"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rStyle w:val="Strong"/>
          <w:b w:val="0"/>
          <w:shd w:val="clear" w:color="auto" w:fill="FFFFFF"/>
          <w:lang w:val="es-ES"/>
        </w:rPr>
        <w:t>Corte IDH. Caso Ruano Torres y otros Vs. El Salvador. Fondo, Reparaciones y Costas. Sentencia de 5 de octubre de 2015. Serie C No. 303, párr. 153</w:t>
      </w:r>
      <w:r w:rsidRPr="000B605E">
        <w:rPr>
          <w:rFonts w:eastAsia="Arial Unicode MS" w:cs="Tahoma"/>
          <w:b/>
          <w:lang w:val="es-ES" w:eastAsia="en-US"/>
        </w:rPr>
        <w:t>.</w:t>
      </w:r>
    </w:p>
  </w:footnote>
  <w:footnote w:id="71">
    <w:p w14:paraId="264CA5F7" w14:textId="77777777" w:rsidR="003F0CB9" w:rsidRPr="000B605E" w:rsidRDefault="003F0CB9" w:rsidP="00082AE3">
      <w:pPr>
        <w:pStyle w:val="FootnoteText"/>
        <w:rPr>
          <w:lang w:val="es-CO"/>
        </w:rPr>
      </w:pPr>
      <w:r w:rsidRPr="000B605E">
        <w:rPr>
          <w:rStyle w:val="FootnoteReference"/>
        </w:rPr>
        <w:footnoteRef/>
      </w:r>
      <w:r w:rsidRPr="000B605E">
        <w:rPr>
          <w:lang w:val="es-CO"/>
        </w:rPr>
        <w:t xml:space="preserve"> </w:t>
      </w:r>
      <w:r w:rsidRPr="000B605E">
        <w:rPr>
          <w:rStyle w:val="Strong"/>
          <w:b w:val="0"/>
          <w:lang w:val="es-CO"/>
        </w:rPr>
        <w:t>Corte IDH. Caso Ruano Torres y otros Vs. El Salvador. Fondo, Reparaciones y Costas. Sentencia de 5 de oct</w:t>
      </w:r>
      <w:r>
        <w:rPr>
          <w:rStyle w:val="Strong"/>
          <w:b w:val="0"/>
          <w:lang w:val="es-CO"/>
        </w:rPr>
        <w:t>ubre de 2015. Serie C No. 303. p</w:t>
      </w:r>
      <w:r w:rsidRPr="000B605E">
        <w:rPr>
          <w:rStyle w:val="Strong"/>
          <w:b w:val="0"/>
          <w:lang w:val="es-CO"/>
        </w:rPr>
        <w:t xml:space="preserve">árr. 164. </w:t>
      </w:r>
    </w:p>
  </w:footnote>
  <w:footnote w:id="72">
    <w:p w14:paraId="6587CBF2" w14:textId="77777777" w:rsidR="003F0CB9" w:rsidRPr="000B605E" w:rsidRDefault="003F0CB9" w:rsidP="00082AE3">
      <w:pPr>
        <w:pStyle w:val="FootnoteText"/>
        <w:rPr>
          <w:lang w:val="es-CO"/>
        </w:rPr>
      </w:pPr>
      <w:r w:rsidRPr="000B605E">
        <w:rPr>
          <w:rStyle w:val="FootnoteReference"/>
        </w:rPr>
        <w:footnoteRef/>
      </w:r>
      <w:r w:rsidRPr="000B605E">
        <w:rPr>
          <w:lang w:val="es-CO"/>
        </w:rPr>
        <w:t xml:space="preserve"> </w:t>
      </w:r>
      <w:r w:rsidRPr="000B605E">
        <w:rPr>
          <w:rStyle w:val="Strong"/>
          <w:b w:val="0"/>
          <w:lang w:val="es-CO"/>
        </w:rPr>
        <w:t>Corte IDH. Caso Ruano Torres y otros Vs. El Salvador. Fondo, Reparaciones y Costas. Sentencia de 5 de oct</w:t>
      </w:r>
      <w:r>
        <w:rPr>
          <w:rStyle w:val="Strong"/>
          <w:b w:val="0"/>
          <w:lang w:val="es-CO"/>
        </w:rPr>
        <w:t>ubre de 2015. Serie C No. 303. p</w:t>
      </w:r>
      <w:r w:rsidRPr="000B605E">
        <w:rPr>
          <w:rStyle w:val="Strong"/>
          <w:b w:val="0"/>
          <w:lang w:val="es-CO"/>
        </w:rPr>
        <w:t xml:space="preserve">árr. 166. </w:t>
      </w:r>
    </w:p>
  </w:footnote>
  <w:footnote w:id="73">
    <w:p w14:paraId="25A7ED3D" w14:textId="77777777" w:rsidR="003F0CB9" w:rsidRPr="000B605E" w:rsidRDefault="003F0CB9" w:rsidP="00082AE3">
      <w:pPr>
        <w:jc w:val="both"/>
        <w:rPr>
          <w:rFonts w:asciiTheme="majorHAnsi" w:hAnsiTheme="majorHAnsi"/>
          <w:sz w:val="16"/>
          <w:szCs w:val="16"/>
          <w:lang w:val="es-ES"/>
        </w:rPr>
      </w:pPr>
      <w:r w:rsidRPr="000B605E">
        <w:rPr>
          <w:rStyle w:val="FootnoteReference"/>
          <w:szCs w:val="16"/>
        </w:rPr>
        <w:footnoteRef/>
      </w:r>
      <w:r w:rsidRPr="000B605E">
        <w:rPr>
          <w:rFonts w:asciiTheme="majorHAnsi" w:hAnsiTheme="majorHAnsi"/>
          <w:sz w:val="16"/>
          <w:szCs w:val="16"/>
          <w:lang w:val="es-ES"/>
        </w:rPr>
        <w:t xml:space="preserve"> CIDH. Informe sobre el uso de la prisión preventiva en las Américas. 30 de diciembre de 2013, párr. 192.</w:t>
      </w:r>
    </w:p>
  </w:footnote>
  <w:footnote w:id="74">
    <w:p w14:paraId="36450D56"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bCs/>
          <w:lang w:val="es-ES"/>
        </w:rPr>
        <w:t xml:space="preserve">Corte IDH. Caso Martínez Coronado Vs. </w:t>
      </w:r>
      <w:r w:rsidRPr="000B605E">
        <w:rPr>
          <w:bCs/>
          <w:lang w:val="es-VE"/>
        </w:rPr>
        <w:t>Guatemala. Fondo, Reparaciones y Costas. Sentencia de 10 de mayo de 2019. Serie C No. 376, párr. 84.</w:t>
      </w:r>
    </w:p>
  </w:footnote>
  <w:footnote w:id="75">
    <w:p w14:paraId="121D5D5C" w14:textId="77777777" w:rsidR="003F0CB9" w:rsidRPr="000B605E" w:rsidRDefault="003F0CB9" w:rsidP="00082AE3">
      <w:pPr>
        <w:pStyle w:val="FootnoteText"/>
        <w:rPr>
          <w:lang w:val="es-VE"/>
        </w:rPr>
      </w:pPr>
      <w:r w:rsidRPr="000B605E">
        <w:rPr>
          <w:rStyle w:val="FootnoteReference"/>
        </w:rPr>
        <w:footnoteRef/>
      </w:r>
      <w:r w:rsidRPr="000B605E">
        <w:rPr>
          <w:lang w:val="es-ES"/>
        </w:rPr>
        <w:t xml:space="preserve"> </w:t>
      </w:r>
      <w:r w:rsidRPr="000B605E">
        <w:rPr>
          <w:bCs/>
          <w:lang w:val="es-ES"/>
        </w:rPr>
        <w:t>Corte IDH. Caso Martínez Coronado Vs. Guatemal</w:t>
      </w:r>
      <w:r w:rsidRPr="000B605E">
        <w:rPr>
          <w:bCs/>
          <w:lang w:val="es-VE"/>
        </w:rPr>
        <w:t>a. Fondo, Reparaciones y Costas. Sentencia de 10 de mayo de 2019. Serie C No. 376, párr. 83.</w:t>
      </w:r>
    </w:p>
  </w:footnote>
  <w:footnote w:id="76">
    <w:p w14:paraId="0B933FFB" w14:textId="77777777" w:rsidR="003F0CB9" w:rsidRPr="000B605E" w:rsidRDefault="003F0CB9" w:rsidP="00082AE3">
      <w:pPr>
        <w:pStyle w:val="FootnoteText"/>
        <w:rPr>
          <w:rStyle w:val="FootnoteReference"/>
          <w:vertAlign w:val="baseline"/>
          <w:lang w:val="es-ES"/>
        </w:rPr>
      </w:pPr>
      <w:r w:rsidRPr="000B605E">
        <w:rPr>
          <w:rStyle w:val="FootnoteReference"/>
        </w:rPr>
        <w:footnoteRef/>
      </w:r>
      <w:r w:rsidRPr="000B605E">
        <w:rPr>
          <w:lang w:val="es-ES"/>
        </w:rPr>
        <w:t xml:space="preserve"> </w:t>
      </w:r>
      <w:hyperlink r:id="rId3" w:history="1">
        <w:r w:rsidRPr="000B605E">
          <w:rPr>
            <w:rStyle w:val="Hyperlink"/>
            <w:u w:val="none"/>
            <w:lang w:val="es-ES"/>
          </w:rPr>
          <w:t>Corte IDH. Caso Ruano Torres y otros Vs. El Salvador. Fondo, Reparaciones y Costas. Sentencia de 5 de oct</w:t>
        </w:r>
        <w:r>
          <w:rPr>
            <w:rStyle w:val="Hyperlink"/>
            <w:u w:val="none"/>
            <w:lang w:val="es-ES"/>
          </w:rPr>
          <w:t>ubre de 2015. Serie C No. 303, p</w:t>
        </w:r>
        <w:r w:rsidRPr="000B605E">
          <w:rPr>
            <w:rStyle w:val="Hyperlink"/>
            <w:u w:val="none"/>
            <w:lang w:val="es-ES"/>
          </w:rPr>
          <w:t>árr. 168</w:t>
        </w:r>
      </w:hyperlink>
      <w:r w:rsidRPr="000B605E">
        <w:rPr>
          <w:lang w:val="es-ES"/>
        </w:rPr>
        <w:t>.</w:t>
      </w:r>
    </w:p>
  </w:footnote>
  <w:footnote w:id="77">
    <w:p w14:paraId="2B0A4472"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bCs/>
          <w:lang w:val="es-ES"/>
        </w:rPr>
        <w:t xml:space="preserve">Corte IDH. Caso Martínez Coronado Vs. </w:t>
      </w:r>
      <w:r w:rsidRPr="000B605E">
        <w:rPr>
          <w:bCs/>
          <w:lang w:val="es-VE"/>
        </w:rPr>
        <w:t>Guatemala. Fondo, Reparaciones y Costas. Sentencia de 10 de mayo de 2019. Serie C No. 376, párr. 87.</w:t>
      </w:r>
    </w:p>
  </w:footnote>
  <w:footnote w:id="78">
    <w:p w14:paraId="43F08F19"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bCs/>
          <w:lang w:val="es-ES"/>
        </w:rPr>
        <w:t>Corte IDH. Caso Barreto Leiva Vs. Venezuela. Fondo, Reparaciones y Costas. Sentencia de 17 de noviembre de 2009. Serie C No. 206, párr. 54.</w:t>
      </w:r>
    </w:p>
  </w:footnote>
  <w:footnote w:id="79">
    <w:p w14:paraId="7EAE8912"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bCs/>
          <w:lang w:val="es-ES"/>
        </w:rPr>
        <w:t>Corte IDH. Caso Barreto Leiva Vs. Venezuela. Fondo, Reparaciones y Costas. Sentencia de 17 de noviembre de 2009. Serie C No. 206, párr. 55.</w:t>
      </w:r>
    </w:p>
  </w:footnote>
  <w:footnote w:id="80">
    <w:p w14:paraId="08CD7353" w14:textId="77777777" w:rsidR="003F0CB9" w:rsidRPr="000B605E" w:rsidRDefault="003F0CB9" w:rsidP="00082AE3">
      <w:pPr>
        <w:jc w:val="both"/>
        <w:rPr>
          <w:rFonts w:asciiTheme="majorHAnsi" w:hAnsiTheme="majorHAnsi" w:cs="Tahoma"/>
          <w:sz w:val="16"/>
          <w:szCs w:val="16"/>
          <w:lang w:val="es-ES"/>
        </w:rPr>
      </w:pPr>
      <w:r w:rsidRPr="000B605E">
        <w:rPr>
          <w:rStyle w:val="FootnoteReference"/>
          <w:szCs w:val="16"/>
        </w:rPr>
        <w:footnoteRef/>
      </w:r>
      <w:r w:rsidRPr="000B605E">
        <w:rPr>
          <w:rFonts w:asciiTheme="majorHAnsi" w:hAnsiTheme="majorHAnsi"/>
          <w:sz w:val="16"/>
          <w:szCs w:val="16"/>
          <w:lang w:val="es-ES"/>
        </w:rPr>
        <w:t xml:space="preserve"> CIDH. </w:t>
      </w:r>
      <w:hyperlink r:id="rId4" w:history="1">
        <w:r w:rsidRPr="000B605E">
          <w:rPr>
            <w:rStyle w:val="Hyperlink"/>
            <w:rFonts w:asciiTheme="majorHAnsi" w:hAnsiTheme="majorHAnsi" w:cs="Tahoma"/>
            <w:sz w:val="16"/>
            <w:szCs w:val="16"/>
            <w:u w:val="none"/>
            <w:lang w:val="es-ES"/>
          </w:rPr>
          <w:t>Informe No. 66/12</w:t>
        </w:r>
      </w:hyperlink>
      <w:r w:rsidRPr="000B605E">
        <w:rPr>
          <w:rFonts w:asciiTheme="majorHAnsi" w:hAnsiTheme="majorHAnsi" w:cs="Tahoma"/>
          <w:sz w:val="16"/>
          <w:szCs w:val="16"/>
          <w:lang w:val="es-ES"/>
        </w:rPr>
        <w:t>, Caso 12.324. Fondo. Rubén Luis Godoy. 29 de marzo de 2012, párr. 106.</w:t>
      </w:r>
    </w:p>
  </w:footnote>
  <w:footnote w:id="81">
    <w:p w14:paraId="4CCDED53"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rFonts w:eastAsia="MS Mincho"/>
          <w:lang w:val="es-ES"/>
        </w:rPr>
        <w:t xml:space="preserve">CIDH. </w:t>
      </w:r>
      <w:hyperlink r:id="rId5" w:history="1">
        <w:r w:rsidRPr="000B605E">
          <w:rPr>
            <w:rFonts w:eastAsia="MS Mincho" w:cs="Times New Roman"/>
            <w:lang w:val="es-ES"/>
          </w:rPr>
          <w:t>Informe No. 8/14,</w:t>
        </w:r>
      </w:hyperlink>
      <w:r w:rsidRPr="000B605E">
        <w:rPr>
          <w:rFonts w:eastAsia="MS Mincho"/>
          <w:lang w:val="es-ES"/>
        </w:rPr>
        <w:t xml:space="preserve"> Caso 12.617, Fondo. </w:t>
      </w:r>
      <w:r w:rsidRPr="000B605E">
        <w:rPr>
          <w:rFonts w:eastAsia="MS Mincho" w:cs="Times New Roman"/>
          <w:lang w:val="es-ES"/>
        </w:rPr>
        <w:t>Luis Williams Pollo Rivera, Perú, párr. 289.</w:t>
      </w:r>
    </w:p>
  </w:footnote>
  <w:footnote w:id="82">
    <w:p w14:paraId="13166F82"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Corte IDH. Caso Barbani Duarte y Otros Vs. Uruguay. Fondo Reparaciones y Costas. Sentencia de 13 de octubre de 2011. Serie C No. 234, párr. 122.</w:t>
      </w:r>
    </w:p>
  </w:footnote>
  <w:footnote w:id="83">
    <w:p w14:paraId="5EC08659" w14:textId="77777777" w:rsidR="003F0CB9" w:rsidRPr="000B605E" w:rsidRDefault="003F0CB9" w:rsidP="00082AE3">
      <w:pPr>
        <w:jc w:val="both"/>
        <w:rPr>
          <w:rFonts w:asciiTheme="majorHAnsi" w:hAnsiTheme="majorHAnsi"/>
          <w:sz w:val="16"/>
          <w:szCs w:val="16"/>
          <w:lang w:val="es-ES"/>
        </w:rPr>
      </w:pPr>
      <w:r w:rsidRPr="000B605E">
        <w:rPr>
          <w:rStyle w:val="FootnoteReference"/>
          <w:szCs w:val="16"/>
        </w:rPr>
        <w:footnoteRef/>
      </w:r>
      <w:r w:rsidRPr="000B605E">
        <w:rPr>
          <w:rFonts w:asciiTheme="majorHAnsi" w:hAnsiTheme="majorHAnsi"/>
          <w:sz w:val="16"/>
          <w:szCs w:val="16"/>
          <w:lang w:val="es-ES"/>
        </w:rPr>
        <w:t xml:space="preserve"> CIDH. Informe sobre el uso de la prisión preventiva en las Américas. 30 de diciembre de 2013, párr. 132.</w:t>
      </w:r>
    </w:p>
  </w:footnote>
  <w:footnote w:id="84">
    <w:p w14:paraId="1AEEE00C"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hyperlink r:id="rId6" w:history="1">
        <w:r w:rsidRPr="000B605E">
          <w:rPr>
            <w:rStyle w:val="Hyperlink"/>
            <w:u w:val="none"/>
            <w:lang w:val="es-ES"/>
          </w:rPr>
          <w:t>Corte IDH. Caso Pollo Rivera y otros Vs. Perú. Fondo, Reparaciones y Costas. Sentencia de 21 de oct</w:t>
        </w:r>
        <w:r>
          <w:rPr>
            <w:rStyle w:val="Hyperlink"/>
            <w:u w:val="none"/>
            <w:lang w:val="es-ES"/>
          </w:rPr>
          <w:t>ubre de 2016. Serie C No. 319, p</w:t>
        </w:r>
        <w:r w:rsidRPr="000B605E">
          <w:rPr>
            <w:rStyle w:val="Hyperlink"/>
            <w:u w:val="none"/>
            <w:lang w:val="es-ES"/>
          </w:rPr>
          <w:t>árr. 177</w:t>
        </w:r>
      </w:hyperlink>
      <w:r w:rsidRPr="000B605E">
        <w:rPr>
          <w:lang w:val="es-ES"/>
        </w:rPr>
        <w:t>.</w:t>
      </w:r>
    </w:p>
  </w:footnote>
  <w:footnote w:id="85">
    <w:p w14:paraId="5915EC6C"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hyperlink r:id="rId7" w:history="1">
        <w:r w:rsidRPr="000B605E">
          <w:rPr>
            <w:rStyle w:val="Hyperlink"/>
            <w:u w:val="none"/>
            <w:lang w:val="es-ES"/>
          </w:rPr>
          <w:t>Corte IDH. Caso Pollo Rivera y otros Vs. Perú. Fondo, Reparaciones y Costas. Sentencia de 21 de oct</w:t>
        </w:r>
        <w:r>
          <w:rPr>
            <w:rStyle w:val="Hyperlink"/>
            <w:u w:val="none"/>
            <w:lang w:val="es-ES"/>
          </w:rPr>
          <w:t>ubre de 2016. Serie C No. 319, p</w:t>
        </w:r>
        <w:r w:rsidRPr="000B605E">
          <w:rPr>
            <w:rStyle w:val="Hyperlink"/>
            <w:u w:val="none"/>
            <w:lang w:val="es-ES"/>
          </w:rPr>
          <w:t>árr. 177</w:t>
        </w:r>
      </w:hyperlink>
      <w:r w:rsidRPr="000B605E">
        <w:rPr>
          <w:lang w:val="es-ES"/>
        </w:rPr>
        <w:t>.</w:t>
      </w:r>
    </w:p>
  </w:footnote>
  <w:footnote w:id="86">
    <w:p w14:paraId="391BD0B0" w14:textId="77777777" w:rsidR="003F0CB9" w:rsidRPr="007B32C7" w:rsidRDefault="003F0CB9" w:rsidP="00082AE3">
      <w:pPr>
        <w:pStyle w:val="FootnoteText"/>
        <w:rPr>
          <w:lang w:val="es-ES"/>
        </w:rPr>
      </w:pPr>
      <w:r w:rsidRPr="000B605E">
        <w:rPr>
          <w:rStyle w:val="FootnoteReference"/>
        </w:rPr>
        <w:footnoteRef/>
      </w:r>
      <w:r w:rsidRPr="000B605E">
        <w:rPr>
          <w:lang w:val="es-ES"/>
        </w:rPr>
        <w:t xml:space="preserve"> </w:t>
      </w:r>
      <w:r>
        <w:rPr>
          <w:lang w:val="es-ES"/>
        </w:rPr>
        <w:t xml:space="preserve">Dicho Comité </w:t>
      </w:r>
      <w:r w:rsidRPr="007B32C7">
        <w:rPr>
          <w:lang w:val="es-ES"/>
        </w:rPr>
        <w:t>ha sostenido que, conforme al párrafo 2 del artículo 14 del Pacto Internacional de Derechos Civiles y Políticos, “toda persona acusada de un delito tiene derecho a que se presuma su inocencia mientras no se pruebe su culpabilidad conforme a la ley (…). Todas las autoridades públicas tienen el deber de abstenerse de prejuzgar los resultados de un juicio, por ejemplo, absteniéndose de hacer comentarios públicos en que se declare la culpabilidad del acusado. Normalmente, los acusados no deberán llevar grilletes o estar enjaulados durante el juicio, ni ser presentados ante el tribunal de alguna otra manera que dé a entender que podría tratarse de delincuentes peligrosos”</w:t>
      </w:r>
      <w:r>
        <w:rPr>
          <w:lang w:val="es-ES"/>
        </w:rPr>
        <w:t xml:space="preserve">. </w:t>
      </w:r>
      <w:r w:rsidRPr="000B605E">
        <w:rPr>
          <w:lang w:val="es-ES"/>
        </w:rPr>
        <w:t xml:space="preserve">Comité de Derechos Humanos. Observación general No. 32. </w:t>
      </w:r>
      <w:r w:rsidRPr="007B32C7">
        <w:rPr>
          <w:lang w:val="es-ES"/>
        </w:rPr>
        <w:t>23 de agosto de 2007. CCPR/C/GC/32, párr. 30.</w:t>
      </w:r>
    </w:p>
  </w:footnote>
  <w:footnote w:id="87">
    <w:p w14:paraId="7B21C786" w14:textId="77777777" w:rsidR="003F0CB9" w:rsidRPr="006B6DDA" w:rsidRDefault="003F0CB9" w:rsidP="00082AE3">
      <w:pPr>
        <w:pStyle w:val="FootnoteText"/>
        <w:rPr>
          <w:lang w:val="es-ES"/>
        </w:rPr>
      </w:pPr>
      <w:r w:rsidRPr="000B605E">
        <w:rPr>
          <w:rStyle w:val="FootnoteReference"/>
        </w:rPr>
        <w:footnoteRef/>
      </w:r>
      <w:r w:rsidRPr="00095CFB">
        <w:rPr>
          <w:lang w:val="es-ES"/>
        </w:rPr>
        <w:t xml:space="preserve"> </w:t>
      </w:r>
      <w:r>
        <w:rPr>
          <w:lang w:val="es-ES"/>
        </w:rPr>
        <w:t xml:space="preserve">Dicha Corte </w:t>
      </w:r>
      <w:r w:rsidRPr="00923DAA">
        <w:rPr>
          <w:lang w:val="es-ES"/>
        </w:rPr>
        <w:t xml:space="preserve">ha sostenido que </w:t>
      </w:r>
      <w:r w:rsidRPr="00095CFB">
        <w:rPr>
          <w:lang w:val="es-ES"/>
        </w:rPr>
        <w:t>la exposición del acusado con esposas durante las audiencias públicas, sin que tal medida tal haya sido razonablemente necesaria para la seguridad pública o a la buena administración de justicia, constituyó un trato degradante en el sentido del artículo 3 del Convenio Europeo de Derechos Humanos</w:t>
      </w:r>
      <w:r>
        <w:rPr>
          <w:lang w:val="es-ES"/>
        </w:rPr>
        <w:t xml:space="preserve">. </w:t>
      </w:r>
      <w:r w:rsidRPr="00095CFB">
        <w:rPr>
          <w:lang w:val="es-ES"/>
        </w:rPr>
        <w:t xml:space="preserve">TEDH. </w:t>
      </w:r>
      <w:r w:rsidRPr="006B6DDA">
        <w:rPr>
          <w:lang w:val="es-ES"/>
        </w:rPr>
        <w:t>Gorodnitchev vs. Russia. 24 de mayo de 2007, párr. 108.</w:t>
      </w:r>
    </w:p>
  </w:footnote>
  <w:footnote w:id="88">
    <w:p w14:paraId="59F06CD8"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bCs/>
          <w:lang w:val="es-ES"/>
        </w:rPr>
        <w:t>Corte IDH. Caso Ruano Torres y otros Vs. El Salvador. Fondo, Reparaciones y Costas. Sentencia de 5 de octubre de 2015. Serie C No. 303, párr. 136.</w:t>
      </w:r>
    </w:p>
  </w:footnote>
  <w:footnote w:id="89">
    <w:p w14:paraId="778C7C66" w14:textId="77777777" w:rsidR="003F0CB9" w:rsidRPr="000B605E" w:rsidRDefault="003F0CB9" w:rsidP="00082AE3">
      <w:pPr>
        <w:jc w:val="both"/>
        <w:rPr>
          <w:rFonts w:asciiTheme="majorHAnsi" w:hAnsiTheme="majorHAnsi"/>
          <w:sz w:val="16"/>
          <w:szCs w:val="16"/>
          <w:lang w:val="es-ES"/>
        </w:rPr>
      </w:pPr>
      <w:r w:rsidRPr="000B605E">
        <w:rPr>
          <w:rStyle w:val="FootnoteReference"/>
          <w:szCs w:val="16"/>
        </w:rPr>
        <w:footnoteRef/>
      </w:r>
      <w:r w:rsidRPr="006B6DDA">
        <w:rPr>
          <w:rFonts w:asciiTheme="majorHAnsi" w:hAnsiTheme="majorHAnsi"/>
          <w:sz w:val="16"/>
          <w:szCs w:val="16"/>
          <w:lang w:val="es-ES"/>
        </w:rPr>
        <w:t xml:space="preserve"> CIDH. </w:t>
      </w:r>
      <w:hyperlink r:id="rId8" w:history="1">
        <w:r w:rsidRPr="006B6DDA">
          <w:rPr>
            <w:rStyle w:val="Hyperlink"/>
            <w:rFonts w:asciiTheme="majorHAnsi" w:hAnsiTheme="majorHAnsi" w:cs="Tahoma"/>
            <w:sz w:val="16"/>
            <w:szCs w:val="16"/>
            <w:u w:val="none"/>
            <w:shd w:val="clear" w:color="auto" w:fill="FFFFFF"/>
            <w:lang w:val="es-ES"/>
          </w:rPr>
          <w:t>Informe No. 24/17</w:t>
        </w:r>
      </w:hyperlink>
      <w:r w:rsidRPr="006B6DDA">
        <w:rPr>
          <w:rFonts w:asciiTheme="majorHAnsi" w:hAnsiTheme="majorHAnsi" w:cs="Tahoma"/>
          <w:sz w:val="16"/>
          <w:szCs w:val="16"/>
          <w:shd w:val="clear" w:color="auto" w:fill="FFFFFF"/>
          <w:lang w:val="es-ES"/>
        </w:rPr>
        <w:t xml:space="preserve">. Caso 12.254. Fondo. Víctor Hugo Saldaño. Estados Unidos. 18 de marzo de 2017, </w:t>
      </w:r>
      <w:r w:rsidRPr="006B6DDA">
        <w:rPr>
          <w:rFonts w:asciiTheme="majorHAnsi" w:hAnsiTheme="majorHAnsi"/>
          <w:sz w:val="16"/>
          <w:szCs w:val="16"/>
          <w:lang w:val="es-ES"/>
        </w:rPr>
        <w:t xml:space="preserve">párr. </w:t>
      </w:r>
      <w:r w:rsidRPr="000B605E">
        <w:rPr>
          <w:rFonts w:asciiTheme="majorHAnsi" w:hAnsiTheme="majorHAnsi"/>
          <w:sz w:val="16"/>
          <w:szCs w:val="16"/>
          <w:lang w:val="es-ES"/>
        </w:rPr>
        <w:t>215.</w:t>
      </w:r>
    </w:p>
  </w:footnote>
  <w:footnote w:id="90">
    <w:p w14:paraId="638D3E67"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bCs/>
          <w:lang w:val="es-ES"/>
        </w:rPr>
        <w:t>Corte IDH. Caso Ruano Torres y otros Vs. El Salvador. Fondo, Reparaciones y Costas. Sentencia de 5 de octubre de 2015. Serie C No. 303, párr. 138.</w:t>
      </w:r>
    </w:p>
  </w:footnote>
  <w:footnote w:id="91">
    <w:p w14:paraId="3C9FDE3E" w14:textId="77777777" w:rsidR="003F0CB9" w:rsidRPr="000B605E" w:rsidRDefault="003F0CB9" w:rsidP="00082AE3">
      <w:pPr>
        <w:pStyle w:val="FootnoteText"/>
        <w:rPr>
          <w:lang w:val="es-ES"/>
        </w:rPr>
      </w:pPr>
      <w:r w:rsidRPr="00F32CA9">
        <w:rPr>
          <w:rStyle w:val="FootnoteReference"/>
        </w:rPr>
        <w:footnoteRef/>
      </w:r>
      <w:r>
        <w:rPr>
          <w:lang w:val="es-ES"/>
        </w:rPr>
        <w:t xml:space="preserve"> Anexo 23</w:t>
      </w:r>
      <w:r w:rsidRPr="00F32CA9">
        <w:rPr>
          <w:lang w:val="es-ES"/>
        </w:rPr>
        <w:t>. Escrito de formula manifestación ante la Corte Suprema, presentado por la Defensora Oficial ante la Corte Suprema de Justicia de la Naci</w:t>
      </w:r>
      <w:r w:rsidRPr="00F32CA9">
        <w:rPr>
          <w:rFonts w:ascii="Cambria" w:hAnsi="Cambria"/>
          <w:lang w:val="es-ES"/>
        </w:rPr>
        <w:t>ón, en expediente (C.S.J.N) letras “A”, No. 702, libro XXXVI, año 2000</w:t>
      </w:r>
      <w:r w:rsidRPr="00F32CA9">
        <w:rPr>
          <w:lang w:val="es-ES"/>
        </w:rPr>
        <w:t>. Fecha ilegible. Sin folio. Anexo a la petición inicial.</w:t>
      </w:r>
    </w:p>
  </w:footnote>
  <w:footnote w:id="92">
    <w:p w14:paraId="5C1DCEC8" w14:textId="77777777" w:rsidR="003F0CB9" w:rsidRPr="000B605E" w:rsidRDefault="003F0CB9" w:rsidP="00082AE3">
      <w:pPr>
        <w:jc w:val="both"/>
        <w:rPr>
          <w:rFonts w:asciiTheme="majorHAnsi" w:hAnsiTheme="majorHAnsi"/>
          <w:sz w:val="16"/>
          <w:szCs w:val="16"/>
          <w:lang w:val="es-ES"/>
        </w:rPr>
      </w:pPr>
      <w:r w:rsidRPr="000B605E">
        <w:rPr>
          <w:rStyle w:val="FootnoteReference"/>
          <w:szCs w:val="16"/>
        </w:rPr>
        <w:footnoteRef/>
      </w:r>
      <w:r w:rsidRPr="000B605E">
        <w:rPr>
          <w:rFonts w:asciiTheme="majorHAnsi" w:hAnsiTheme="majorHAnsi"/>
          <w:sz w:val="16"/>
          <w:szCs w:val="16"/>
          <w:lang w:val="es-MX"/>
        </w:rPr>
        <w:t xml:space="preserve"> </w:t>
      </w:r>
      <w:r w:rsidRPr="000B605E">
        <w:rPr>
          <w:rFonts w:asciiTheme="majorHAnsi" w:hAnsiTheme="majorHAnsi"/>
          <w:sz w:val="16"/>
          <w:szCs w:val="16"/>
          <w:lang w:val="es-ES_tradnl"/>
        </w:rPr>
        <w:t>El artículo 8.2</w:t>
      </w:r>
      <w:r>
        <w:rPr>
          <w:rFonts w:asciiTheme="majorHAnsi" w:hAnsiTheme="majorHAnsi"/>
          <w:sz w:val="16"/>
          <w:szCs w:val="16"/>
          <w:lang w:val="es-ES_tradnl"/>
        </w:rPr>
        <w:t>.</w:t>
      </w:r>
      <w:r w:rsidRPr="000B605E">
        <w:rPr>
          <w:rFonts w:asciiTheme="majorHAnsi" w:hAnsiTheme="majorHAnsi"/>
          <w:sz w:val="16"/>
          <w:szCs w:val="16"/>
          <w:lang w:val="es-ES_tradnl"/>
        </w:rPr>
        <w:t>h de la Convención Americana establece en lo pertinente, lo siguiente: Toda persona inculpada de un delito tiene derecho a que se presuma su inocencia mientras no se establezca legalmente su culpabilidad. Durante el proceso, toda persona tiene derecho, en plena igualdad, a las siguientes garantías mínimas: (…) h. derecho de recurrir del fallo ante juez o tribunal superior.</w:t>
      </w:r>
    </w:p>
  </w:footnote>
  <w:footnote w:id="93">
    <w:p w14:paraId="7E92BBD3" w14:textId="77777777" w:rsidR="003F0CB9" w:rsidRPr="000B605E" w:rsidRDefault="003F0CB9" w:rsidP="00082AE3">
      <w:pPr>
        <w:shd w:val="clear" w:color="auto" w:fill="FFFFFF"/>
        <w:tabs>
          <w:tab w:val="num" w:pos="720"/>
          <w:tab w:val="left" w:pos="1440"/>
          <w:tab w:val="num" w:pos="2040"/>
        </w:tabs>
        <w:jc w:val="both"/>
        <w:rPr>
          <w:rFonts w:asciiTheme="majorHAnsi" w:hAnsiTheme="majorHAnsi"/>
          <w:sz w:val="16"/>
          <w:szCs w:val="16"/>
          <w:lang w:val="es-ES"/>
        </w:rPr>
      </w:pPr>
      <w:r w:rsidRPr="000B605E">
        <w:rPr>
          <w:rStyle w:val="FootnoteReference"/>
          <w:szCs w:val="16"/>
        </w:rPr>
        <w:footnoteRef/>
      </w:r>
      <w:r w:rsidRPr="000B605E">
        <w:rPr>
          <w:rFonts w:asciiTheme="majorHAnsi" w:hAnsiTheme="majorHAnsi"/>
          <w:sz w:val="16"/>
          <w:szCs w:val="16"/>
          <w:lang w:val="es-VE"/>
        </w:rPr>
        <w:t xml:space="preserve"> </w:t>
      </w:r>
      <w:r w:rsidRPr="000B605E">
        <w:rPr>
          <w:rFonts w:asciiTheme="majorHAnsi" w:hAnsiTheme="majorHAnsi"/>
          <w:sz w:val="16"/>
          <w:szCs w:val="16"/>
          <w:lang w:val="es-ES_tradnl"/>
        </w:rPr>
        <w:t xml:space="preserve">El artículo 2 de la Convención Americana establece </w:t>
      </w:r>
      <w:r w:rsidRPr="000B605E">
        <w:rPr>
          <w:rFonts w:asciiTheme="majorHAnsi" w:hAnsiTheme="majorHAnsi"/>
          <w:color w:val="000000"/>
          <w:sz w:val="16"/>
          <w:szCs w:val="16"/>
          <w:lang w:val="es-ES_tradnl"/>
        </w:rPr>
        <w:t>en lo pertinente, lo siguien</w:t>
      </w:r>
      <w:r w:rsidRPr="000B605E">
        <w:rPr>
          <w:rFonts w:asciiTheme="majorHAnsi" w:hAnsiTheme="majorHAnsi"/>
          <w:sz w:val="16"/>
          <w:szCs w:val="16"/>
          <w:lang w:val="es-ES_tradnl"/>
        </w:rPr>
        <w:t>te:</w:t>
      </w:r>
      <w:r w:rsidRPr="000B605E">
        <w:rPr>
          <w:rFonts w:asciiTheme="majorHAnsi" w:hAnsiTheme="majorHAnsi" w:cs="Tahoma"/>
          <w:color w:val="000000"/>
          <w:sz w:val="16"/>
          <w:szCs w:val="16"/>
          <w:lang w:val="es-ES"/>
        </w:rPr>
        <w:t xml:space="preserve"> </w:t>
      </w:r>
      <w:r w:rsidRPr="000B605E">
        <w:rPr>
          <w:rFonts w:asciiTheme="majorHAnsi" w:hAnsiTheme="majorHAnsi"/>
          <w:sz w:val="16"/>
          <w:szCs w:val="16"/>
          <w:lang w:val="es-ES_tradnl"/>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94">
    <w:p w14:paraId="5E3C8071" w14:textId="77777777" w:rsidR="003F0CB9" w:rsidRPr="000B605E" w:rsidRDefault="003F0CB9" w:rsidP="00082AE3">
      <w:pPr>
        <w:jc w:val="both"/>
        <w:rPr>
          <w:rFonts w:asciiTheme="majorHAnsi" w:hAnsiTheme="majorHAnsi"/>
          <w:sz w:val="16"/>
          <w:szCs w:val="16"/>
          <w:lang w:val="es-ES_tradnl"/>
        </w:rPr>
      </w:pPr>
      <w:r w:rsidRPr="000B605E">
        <w:rPr>
          <w:rStyle w:val="FootnoteReference"/>
          <w:szCs w:val="16"/>
        </w:rPr>
        <w:footnoteRef/>
      </w:r>
      <w:r w:rsidRPr="000B605E">
        <w:rPr>
          <w:rFonts w:asciiTheme="majorHAnsi" w:hAnsiTheme="majorHAnsi"/>
          <w:sz w:val="16"/>
          <w:szCs w:val="16"/>
          <w:lang w:val="es-ES_tradnl"/>
        </w:rPr>
        <w:t xml:space="preserve"> </w:t>
      </w:r>
      <w:r w:rsidRPr="000B605E">
        <w:rPr>
          <w:rFonts w:asciiTheme="majorHAnsi" w:hAnsiTheme="majorHAnsi"/>
          <w:sz w:val="16"/>
          <w:szCs w:val="16"/>
          <w:lang w:val="es-MX"/>
        </w:rPr>
        <w:t xml:space="preserve">CIDH, Informe No. 33/14, Caso 12.820, Fondo, Manfred Amrhein y otros, Costa Rica, 4 de abril de 2014, párr. 186. (Citando. </w:t>
      </w:r>
      <w:r w:rsidRPr="000B605E">
        <w:rPr>
          <w:rFonts w:asciiTheme="majorHAnsi" w:hAnsiTheme="majorHAnsi"/>
          <w:sz w:val="16"/>
          <w:szCs w:val="16"/>
          <w:lang w:val="es-ES_tradnl"/>
        </w:rPr>
        <w:t xml:space="preserve">Corte IDH, Caso Mendoza y otros Vs. Argentina. Sentencia de Excepciones Preliminares, Fondo y Reparaciones. 14 de mayo de 2013. Serie C No. 260, párr. 242; Caso Herrera Ulloa Vs. Costa Rica. Sentencia de Excepciones Preliminares, Fondo, Reparaciones y Costas. Sentencia de 2 julio de 2004. Serie C No. 107, párr. 158, y </w:t>
      </w:r>
      <w:r w:rsidRPr="000B605E">
        <w:rPr>
          <w:rFonts w:asciiTheme="majorHAnsi" w:hAnsiTheme="majorHAnsi"/>
          <w:bCs/>
          <w:sz w:val="16"/>
          <w:szCs w:val="16"/>
          <w:lang w:val="es-ES_tradnl"/>
        </w:rPr>
        <w:t xml:space="preserve">Caso Mohamed Vs. Argentina. Sentencia de </w:t>
      </w:r>
      <w:r w:rsidRPr="000B605E">
        <w:rPr>
          <w:rFonts w:asciiTheme="majorHAnsi" w:hAnsiTheme="majorHAnsi"/>
          <w:sz w:val="16"/>
          <w:szCs w:val="16"/>
          <w:lang w:val="es-ES_tradnl"/>
        </w:rPr>
        <w:t>Excepción Preliminar, Fondo, Reparaciones y Costas. 23 noviembre de 2012. Serie C No. 255, párr. 97.)</w:t>
      </w:r>
    </w:p>
  </w:footnote>
  <w:footnote w:id="95">
    <w:p w14:paraId="52185361" w14:textId="77777777" w:rsidR="003F0CB9" w:rsidRPr="000B605E" w:rsidRDefault="003F0CB9" w:rsidP="00082AE3">
      <w:pPr>
        <w:tabs>
          <w:tab w:val="left" w:pos="720"/>
        </w:tabs>
        <w:jc w:val="both"/>
        <w:rPr>
          <w:rFonts w:asciiTheme="majorHAnsi" w:hAnsiTheme="majorHAnsi"/>
          <w:sz w:val="16"/>
          <w:szCs w:val="16"/>
          <w:lang w:val="es-ES_tradnl"/>
        </w:rPr>
      </w:pPr>
      <w:r w:rsidRPr="000B605E">
        <w:rPr>
          <w:rStyle w:val="FootnoteReference"/>
          <w:szCs w:val="16"/>
        </w:rPr>
        <w:footnoteRef/>
      </w:r>
      <w:r w:rsidRPr="000B605E">
        <w:rPr>
          <w:rFonts w:asciiTheme="majorHAnsi" w:hAnsiTheme="majorHAnsi"/>
          <w:sz w:val="16"/>
          <w:szCs w:val="16"/>
          <w:lang w:val="es-MX"/>
        </w:rPr>
        <w:t xml:space="preserve"> CIDH, Informe No. 33/14, Caso 12.820, Fondo, Manfred Amrhein y otros, Costa Rica, 4 de abril de 2014, párr. 186; Corte IDH. Caso Herrera Ulloa Vs. </w:t>
      </w:r>
      <w:r w:rsidRPr="000B605E">
        <w:rPr>
          <w:rFonts w:asciiTheme="majorHAnsi" w:hAnsiTheme="majorHAnsi"/>
          <w:sz w:val="16"/>
          <w:szCs w:val="16"/>
          <w:lang w:val="es-ES_tradnl"/>
        </w:rPr>
        <w:t xml:space="preserve">Costa Rica. Sentencia de Excepciones Preliminares, Fondo, Reparaciones y Costas. 2 de julio de 2004. Serie C No. 107, párr. 158. </w:t>
      </w:r>
    </w:p>
  </w:footnote>
  <w:footnote w:id="96">
    <w:p w14:paraId="0A439266" w14:textId="77777777" w:rsidR="003F0CB9" w:rsidRPr="000B605E" w:rsidRDefault="003F0CB9" w:rsidP="00082AE3">
      <w:pPr>
        <w:jc w:val="both"/>
        <w:rPr>
          <w:rFonts w:asciiTheme="majorHAnsi" w:hAnsiTheme="majorHAnsi" w:cs="Arial"/>
          <w:color w:val="262626"/>
          <w:sz w:val="16"/>
          <w:szCs w:val="16"/>
          <w:lang w:val="es-ES_tradnl"/>
        </w:rPr>
      </w:pPr>
      <w:r w:rsidRPr="000B605E">
        <w:rPr>
          <w:rStyle w:val="FootnoteReference"/>
          <w:szCs w:val="16"/>
        </w:rPr>
        <w:footnoteRef/>
      </w:r>
      <w:r>
        <w:rPr>
          <w:rFonts w:asciiTheme="majorHAnsi" w:hAnsiTheme="majorHAnsi"/>
          <w:sz w:val="16"/>
          <w:szCs w:val="16"/>
          <w:lang w:val="es-ES_tradnl"/>
        </w:rPr>
        <w:t xml:space="preserve"> Corte IDH.</w:t>
      </w:r>
      <w:r w:rsidRPr="000B605E">
        <w:rPr>
          <w:rFonts w:asciiTheme="majorHAnsi" w:hAnsiTheme="majorHAnsi"/>
          <w:sz w:val="16"/>
          <w:szCs w:val="16"/>
          <w:lang w:val="es-ES_tradnl"/>
        </w:rPr>
        <w:t xml:space="preserve"> Caso Mendoza y otros Vs. Argentina. Sentencia de Excepciones Preliminares, Fondo y Reparaciones. 14 de mayo de 2013. Serie C No. 260, párr. 242; Caso Barreto Leiva Vs. Venezuela. Sentencia de Fondo, Reparaciones y Costas 17 de noviembre de 2009. Serie C No. 206, párr. 89; </w:t>
      </w:r>
      <w:r w:rsidRPr="000B605E">
        <w:rPr>
          <w:rFonts w:asciiTheme="majorHAnsi" w:hAnsiTheme="majorHAnsi"/>
          <w:bCs/>
          <w:sz w:val="16"/>
          <w:szCs w:val="16"/>
          <w:lang w:val="es-ES_tradnl"/>
        </w:rPr>
        <w:t xml:space="preserve">Caso Mohamed Vs. Argentina. Sentencia de </w:t>
      </w:r>
      <w:r w:rsidRPr="000B605E">
        <w:rPr>
          <w:rFonts w:asciiTheme="majorHAnsi" w:hAnsiTheme="majorHAnsi"/>
          <w:sz w:val="16"/>
          <w:szCs w:val="16"/>
          <w:lang w:val="es-ES_tradnl"/>
        </w:rPr>
        <w:t xml:space="preserve">Excepción Preliminar, Fondo, Reparaciones y Costas. </w:t>
      </w:r>
      <w:r w:rsidRPr="000B605E">
        <w:rPr>
          <w:rFonts w:asciiTheme="majorHAnsi" w:hAnsiTheme="majorHAnsi"/>
          <w:sz w:val="16"/>
          <w:szCs w:val="16"/>
          <w:lang w:val="pt-BR"/>
        </w:rPr>
        <w:t xml:space="preserve">23 noviembre de 2012. Serie C No. 255, párr. 97; </w:t>
      </w:r>
      <w:r w:rsidRPr="000B605E">
        <w:rPr>
          <w:rFonts w:asciiTheme="majorHAnsi" w:hAnsiTheme="majorHAnsi" w:cs="Arial"/>
          <w:color w:val="262626"/>
          <w:sz w:val="16"/>
          <w:szCs w:val="16"/>
          <w:lang w:val="pt-BR"/>
        </w:rPr>
        <w:t xml:space="preserve">Corte IDH. Caso Liakat Ali Alibux Vs. Suriname. </w:t>
      </w:r>
      <w:r w:rsidRPr="000B605E">
        <w:rPr>
          <w:rFonts w:asciiTheme="majorHAnsi" w:hAnsiTheme="majorHAnsi" w:cs="Arial"/>
          <w:color w:val="262626"/>
          <w:sz w:val="16"/>
          <w:szCs w:val="16"/>
          <w:lang w:val="es-ES_tradnl"/>
        </w:rPr>
        <w:t>Excepciones Preliminares, Fondo, Reparaciones y Costas. Sentencia de 30 de enero de 2014. Serie C No. 276, párr. 85.</w:t>
      </w:r>
    </w:p>
  </w:footnote>
  <w:footnote w:id="97">
    <w:p w14:paraId="5D540495" w14:textId="77777777" w:rsidR="003F0CB9" w:rsidRPr="000B605E" w:rsidRDefault="003F0CB9" w:rsidP="00082AE3">
      <w:pPr>
        <w:tabs>
          <w:tab w:val="left" w:pos="720"/>
        </w:tabs>
        <w:jc w:val="both"/>
        <w:rPr>
          <w:rFonts w:asciiTheme="majorHAnsi" w:hAnsiTheme="majorHAnsi"/>
          <w:sz w:val="16"/>
          <w:szCs w:val="16"/>
          <w:lang w:val="es-ES_tradnl"/>
        </w:rPr>
      </w:pPr>
      <w:r w:rsidRPr="000B605E">
        <w:rPr>
          <w:rStyle w:val="FootnoteReference"/>
          <w:szCs w:val="16"/>
        </w:rPr>
        <w:footnoteRef/>
      </w:r>
      <w:r w:rsidRPr="000B605E">
        <w:rPr>
          <w:rFonts w:asciiTheme="majorHAnsi" w:hAnsiTheme="majorHAnsi"/>
          <w:sz w:val="16"/>
          <w:szCs w:val="16"/>
          <w:lang w:val="es-ES"/>
        </w:rPr>
        <w:t xml:space="preserve"> Corte IDH. Caso Herrera Ulloa Vs. </w:t>
      </w:r>
      <w:r w:rsidRPr="000B605E">
        <w:rPr>
          <w:rFonts w:asciiTheme="majorHAnsi" w:hAnsiTheme="majorHAnsi"/>
          <w:sz w:val="16"/>
          <w:szCs w:val="16"/>
          <w:lang w:val="es-ES_tradnl"/>
        </w:rPr>
        <w:t xml:space="preserve">Costa Rica. Sentencia de Excepciones Preliminares, Fondo, Reparaciones y Costas. 2 de julio de 2004. Serie C No. 107, párr. 165; ONU, Comité de Derechos Humanos. Gómez Vázquez v. España. Comunicación No. 701/1996. Decisión de 11 de agosto de 2000, párr. 11.1. </w:t>
      </w:r>
    </w:p>
  </w:footnote>
  <w:footnote w:id="98">
    <w:p w14:paraId="7B40A470" w14:textId="77777777" w:rsidR="003F0CB9" w:rsidRPr="000B605E" w:rsidRDefault="003F0CB9" w:rsidP="00082AE3">
      <w:pPr>
        <w:pStyle w:val="FootnoteText"/>
        <w:tabs>
          <w:tab w:val="left" w:pos="720"/>
        </w:tabs>
        <w:rPr>
          <w:lang w:val="es-ES_tradnl"/>
        </w:rPr>
      </w:pPr>
      <w:r w:rsidRPr="000B605E">
        <w:rPr>
          <w:rStyle w:val="FootnoteReference"/>
        </w:rPr>
        <w:footnoteRef/>
      </w:r>
      <w:r w:rsidRPr="000B605E">
        <w:rPr>
          <w:lang w:val="es-ES_tradnl"/>
        </w:rPr>
        <w:t xml:space="preserve"> ONU, Comité de Derechos Humanos. Bandajevsky v. Belarús. Comunicación No. 1100/202, Decisión de 18 de abril de 2006, párr. </w:t>
      </w:r>
      <w:r>
        <w:rPr>
          <w:lang w:val="es-MX"/>
        </w:rPr>
        <w:t>11.13. Corte IDH.</w:t>
      </w:r>
      <w:r w:rsidRPr="000B605E">
        <w:rPr>
          <w:lang w:val="es-MX"/>
        </w:rPr>
        <w:t xml:space="preserve"> Caso Herrera Ulloa Vs. Costa Rica. </w:t>
      </w:r>
      <w:r w:rsidRPr="000B605E">
        <w:rPr>
          <w:lang w:val="es-ES_tradnl"/>
        </w:rPr>
        <w:t>Sentencia de Excepciones Preliminares, Fondo, Reparaciones y Costas. 2 de julio de 2004. Serie C No. 107, párr. 158; y Caso Mendoza y otros Vs. Argentina. Sentencia de Excepciones Preliminares, Fondo y Reparaciones. 14 de mayo de 2013. Serie C No. 260, párr. 244.</w:t>
      </w:r>
    </w:p>
  </w:footnote>
  <w:footnote w:id="99">
    <w:p w14:paraId="79F1547F" w14:textId="77777777" w:rsidR="003F0CB9" w:rsidRPr="000B605E" w:rsidRDefault="003F0CB9" w:rsidP="00082AE3">
      <w:pPr>
        <w:tabs>
          <w:tab w:val="left" w:pos="720"/>
        </w:tabs>
        <w:jc w:val="both"/>
        <w:rPr>
          <w:rFonts w:asciiTheme="majorHAnsi" w:hAnsiTheme="majorHAnsi"/>
          <w:sz w:val="16"/>
          <w:szCs w:val="16"/>
          <w:lang w:val="es-ES_tradnl"/>
        </w:rPr>
      </w:pPr>
      <w:r w:rsidRPr="000B605E">
        <w:rPr>
          <w:rStyle w:val="FootnoteReference"/>
          <w:szCs w:val="16"/>
        </w:rPr>
        <w:footnoteRef/>
      </w:r>
      <w:r>
        <w:rPr>
          <w:rFonts w:asciiTheme="majorHAnsi" w:hAnsiTheme="majorHAnsi"/>
          <w:sz w:val="16"/>
          <w:szCs w:val="16"/>
          <w:lang w:val="es-MX"/>
        </w:rPr>
        <w:t xml:space="preserve"> Corte IDH.</w:t>
      </w:r>
      <w:r w:rsidRPr="000B605E">
        <w:rPr>
          <w:rFonts w:asciiTheme="majorHAnsi" w:hAnsiTheme="majorHAnsi"/>
          <w:sz w:val="16"/>
          <w:szCs w:val="16"/>
          <w:lang w:val="es-MX"/>
        </w:rPr>
        <w:t xml:space="preserve"> Caso Herrera Ulloa Vs. </w:t>
      </w:r>
      <w:r w:rsidRPr="000B605E">
        <w:rPr>
          <w:rFonts w:asciiTheme="majorHAnsi" w:hAnsiTheme="majorHAnsi"/>
          <w:sz w:val="16"/>
          <w:szCs w:val="16"/>
          <w:lang w:val="es-ES_tradnl"/>
        </w:rPr>
        <w:t>Costa Rica. Sentencia de Excepciones Preliminares, Fondo, Reparaciones y Costas. 2 de julio de 2004. Serie C No. 107, párr. 161; y Caso Mendoza y otros Vs. Argentina. Sentencia de Excepciones Preliminares, Fondo y Reparaciones. 14 de mayo de 2013. Serie C No. 260, párr. 244.</w:t>
      </w:r>
    </w:p>
  </w:footnote>
  <w:footnote w:id="100">
    <w:p w14:paraId="3A43770F" w14:textId="77777777" w:rsidR="003F0CB9" w:rsidRPr="000B605E" w:rsidRDefault="003F0CB9" w:rsidP="00082AE3">
      <w:pPr>
        <w:pStyle w:val="FootnoteText"/>
        <w:tabs>
          <w:tab w:val="left" w:pos="720"/>
        </w:tabs>
        <w:rPr>
          <w:lang w:val="es-ES_tradnl"/>
        </w:rPr>
      </w:pPr>
      <w:r w:rsidRPr="000B605E">
        <w:rPr>
          <w:rStyle w:val="FootnoteReference"/>
        </w:rPr>
        <w:footnoteRef/>
      </w:r>
      <w:r>
        <w:rPr>
          <w:lang w:val="es-MX"/>
        </w:rPr>
        <w:t xml:space="preserve"> Corte IDH.</w:t>
      </w:r>
      <w:r w:rsidRPr="007C3CE6">
        <w:rPr>
          <w:lang w:val="pt-BR"/>
        </w:rPr>
        <w:t xml:space="preserve"> Caso Herrera Ulloa Vs. </w:t>
      </w:r>
      <w:r w:rsidRPr="000B605E">
        <w:rPr>
          <w:lang w:val="es-ES_tradnl"/>
        </w:rPr>
        <w:t>Costa Rica. Sentencia de Excepciones Preliminares, Fondo, Reparaciones y Costas. 2 de julio de 2004. Serie C No. 107, párr. 164; y Caso Mendoza y otros Vs. Argentina. Sentencia de Excepciones Preliminares, Fondo y Reparaciones. 14 de mayo de 2013. Serie C No. 260, párr. 244.</w:t>
      </w:r>
    </w:p>
  </w:footnote>
  <w:footnote w:id="101">
    <w:p w14:paraId="493B5C15" w14:textId="77777777" w:rsidR="003F0CB9" w:rsidRPr="000B605E" w:rsidRDefault="003F0CB9" w:rsidP="00082AE3">
      <w:pPr>
        <w:pStyle w:val="FootnoteText"/>
        <w:rPr>
          <w:lang w:val="es-MX"/>
        </w:rPr>
      </w:pPr>
      <w:r w:rsidRPr="000B605E">
        <w:rPr>
          <w:rStyle w:val="FootnoteReference"/>
        </w:rPr>
        <w:footnoteRef/>
      </w:r>
      <w:r w:rsidRPr="000B605E">
        <w:rPr>
          <w:lang w:val="es-MX"/>
        </w:rPr>
        <w:t xml:space="preserve"> </w:t>
      </w:r>
      <w:r w:rsidRPr="000B605E">
        <w:rPr>
          <w:lang w:val="es-ES_tradnl"/>
        </w:rPr>
        <w:t>CIDH, Informe No. 33/14, Caso 12.820, Fondo, Manfred Amrhein y otros, Costa Rica, 4 de abril de 2014, párr. 188.</w:t>
      </w:r>
    </w:p>
  </w:footnote>
  <w:footnote w:id="102">
    <w:p w14:paraId="05485F1C" w14:textId="77777777" w:rsidR="003F0CB9" w:rsidRPr="000B605E" w:rsidRDefault="003F0CB9" w:rsidP="00082AE3">
      <w:pPr>
        <w:pStyle w:val="FootnoteText"/>
        <w:rPr>
          <w:highlight w:val="yellow"/>
          <w:lang w:val="es-ES_tradnl"/>
        </w:rPr>
      </w:pPr>
      <w:r w:rsidRPr="000B605E">
        <w:rPr>
          <w:rStyle w:val="FootnoteReference"/>
        </w:rPr>
        <w:footnoteRef/>
      </w:r>
      <w:r w:rsidRPr="000B605E">
        <w:rPr>
          <w:lang w:val="es-ES_tradnl"/>
        </w:rPr>
        <w:t xml:space="preserve"> CIDH, Informe No. 172/10, Caso 12.561, Fondo, César Alberto Mendoza y otros (Prisión y reclusión perpetuas de adolescentes), Argentina, 2 de noviembre de 2010, párr. 186.</w:t>
      </w:r>
    </w:p>
  </w:footnote>
  <w:footnote w:id="103">
    <w:p w14:paraId="4475619B" w14:textId="77777777" w:rsidR="003F0CB9" w:rsidRPr="000B605E" w:rsidRDefault="003F0CB9" w:rsidP="00082AE3">
      <w:pPr>
        <w:pStyle w:val="FootnoteText"/>
        <w:rPr>
          <w:lang w:val="es-ES_tradnl"/>
        </w:rPr>
      </w:pPr>
      <w:r w:rsidRPr="000B605E">
        <w:rPr>
          <w:rStyle w:val="FootnoteReference"/>
        </w:rPr>
        <w:footnoteRef/>
      </w:r>
      <w:r>
        <w:rPr>
          <w:lang w:val="es-ES_tradnl"/>
        </w:rPr>
        <w:t xml:space="preserve"> Corte IDH.</w:t>
      </w:r>
      <w:r w:rsidRPr="000B605E">
        <w:rPr>
          <w:lang w:val="es-ES_tradnl"/>
        </w:rPr>
        <w:t xml:space="preserve"> Caso Mendoza y otros Vs. Argentina. Sentencia de Excepciones Preliminares, Fondo y Reparaciones. 14 de mayo de 2013. Serie C No. 260, párr. 245.</w:t>
      </w:r>
    </w:p>
  </w:footnote>
  <w:footnote w:id="104">
    <w:p w14:paraId="662E4622" w14:textId="77777777" w:rsidR="003F0CB9" w:rsidRPr="000B605E" w:rsidRDefault="003F0CB9" w:rsidP="00082AE3">
      <w:pPr>
        <w:pStyle w:val="FootnoteText"/>
        <w:rPr>
          <w:lang w:val="es-ES_tradnl"/>
        </w:rPr>
      </w:pPr>
      <w:r w:rsidRPr="000B605E">
        <w:rPr>
          <w:rStyle w:val="FootnoteReference"/>
        </w:rPr>
        <w:footnoteRef/>
      </w:r>
      <w:r>
        <w:rPr>
          <w:lang w:val="es-MX"/>
        </w:rPr>
        <w:t xml:space="preserve"> Corte IDH.</w:t>
      </w:r>
      <w:r w:rsidRPr="000B605E">
        <w:rPr>
          <w:lang w:val="es-MX"/>
        </w:rPr>
        <w:t xml:space="preserve"> </w:t>
      </w:r>
      <w:r w:rsidRPr="000B605E">
        <w:rPr>
          <w:bCs/>
          <w:lang w:val="es-MX"/>
        </w:rPr>
        <w:t xml:space="preserve">Caso Mohamed Vs. </w:t>
      </w:r>
      <w:r w:rsidRPr="000B605E">
        <w:rPr>
          <w:bCs/>
          <w:lang w:val="es-ES_tradnl"/>
        </w:rPr>
        <w:t xml:space="preserve">Argentina. Sentencia de Excepción Preliminar, Fondo, Reparaciones y Costas. 23 de noviembre de 2012. Serie C No. 255, </w:t>
      </w:r>
      <w:r w:rsidRPr="000B605E">
        <w:rPr>
          <w:lang w:val="es-ES_tradnl"/>
        </w:rPr>
        <w:t>párr. 100; Caso Mendoza y otros Vs. Argentina. Sentencia de Excepciones Preliminares, Fondo y Reparaciones. 14 de mayo de 2013. Serie C No. 260, párr. 245.</w:t>
      </w:r>
    </w:p>
  </w:footnote>
  <w:footnote w:id="105">
    <w:p w14:paraId="1845637D" w14:textId="77777777" w:rsidR="003F0CB9" w:rsidRPr="000B605E" w:rsidRDefault="003F0CB9" w:rsidP="00082AE3">
      <w:pPr>
        <w:pStyle w:val="FootnoteText"/>
        <w:rPr>
          <w:lang w:val="es-ES_tradnl"/>
        </w:rPr>
      </w:pPr>
      <w:r w:rsidRPr="000B605E">
        <w:rPr>
          <w:rStyle w:val="FootnoteReference"/>
        </w:rPr>
        <w:footnoteRef/>
      </w:r>
      <w:r>
        <w:rPr>
          <w:lang w:val="es-MX"/>
        </w:rPr>
        <w:t xml:space="preserve"> Corte IDH.</w:t>
      </w:r>
      <w:r w:rsidRPr="000B605E">
        <w:rPr>
          <w:lang w:val="es-MX"/>
        </w:rPr>
        <w:t xml:space="preserve"> </w:t>
      </w:r>
      <w:r w:rsidRPr="000B605E">
        <w:rPr>
          <w:bCs/>
          <w:lang w:val="es-MX"/>
        </w:rPr>
        <w:t xml:space="preserve">Caso Mohamed Vs. </w:t>
      </w:r>
      <w:r w:rsidRPr="000B605E">
        <w:rPr>
          <w:bCs/>
          <w:lang w:val="es-ES_tradnl"/>
        </w:rPr>
        <w:t xml:space="preserve">Argentina. Sentencia de Excepción Preliminar, Fondo, Reparaciones y Costas. 23 de noviembre de 2012. Serie C No. 255, </w:t>
      </w:r>
      <w:r w:rsidRPr="000B605E">
        <w:rPr>
          <w:lang w:val="es-ES_tradnl"/>
        </w:rPr>
        <w:t>párr. 101; Caso Mendoza y otros Vs. Argentina. Sentencia de Excepciones Preliminares, Fondo y Reparaciones. 14 de mayo de 2013. Serie C No. 260, párr. 245.</w:t>
      </w:r>
    </w:p>
  </w:footnote>
  <w:footnote w:id="106">
    <w:p w14:paraId="390683C8" w14:textId="77777777" w:rsidR="003F0CB9" w:rsidRPr="000B605E" w:rsidRDefault="003F0CB9" w:rsidP="00082AE3">
      <w:pPr>
        <w:pStyle w:val="FootnoteText"/>
        <w:rPr>
          <w:lang w:val="es-MX"/>
        </w:rPr>
      </w:pPr>
      <w:r w:rsidRPr="000B605E">
        <w:rPr>
          <w:rStyle w:val="FootnoteReference"/>
        </w:rPr>
        <w:footnoteRef/>
      </w:r>
      <w:r w:rsidRPr="000B605E">
        <w:rPr>
          <w:lang w:val="es-MX"/>
        </w:rPr>
        <w:t xml:space="preserve"> CIDH, Informe No. 33/14, Caso 12.820, Fondo, Manfred Amrhein y otros, Costa Rica, 4 de abril de 2014, párr. 188.</w:t>
      </w:r>
    </w:p>
  </w:footnote>
  <w:footnote w:id="107">
    <w:p w14:paraId="49FA7389" w14:textId="77777777" w:rsidR="003F0CB9" w:rsidRPr="000B605E" w:rsidRDefault="003F0CB9" w:rsidP="00082AE3">
      <w:pPr>
        <w:pStyle w:val="FootnoteText"/>
        <w:rPr>
          <w:lang w:val="es-MX"/>
        </w:rPr>
      </w:pPr>
      <w:r w:rsidRPr="000B605E">
        <w:rPr>
          <w:rStyle w:val="FootnoteReference"/>
        </w:rPr>
        <w:footnoteRef/>
      </w:r>
      <w:r w:rsidRPr="000B605E">
        <w:rPr>
          <w:lang w:val="es-MX"/>
        </w:rPr>
        <w:t xml:space="preserve"> CIDH, Informe No. 53/13, Caso 12.864, Fondo, Iván Teleguz, Estados Unidos, 15 de julio de 2013, párr. 105.</w:t>
      </w:r>
    </w:p>
  </w:footnote>
  <w:footnote w:id="108">
    <w:p w14:paraId="282F2D7B" w14:textId="77777777" w:rsidR="003F0CB9" w:rsidRPr="000B605E" w:rsidRDefault="003F0CB9" w:rsidP="00DF0E62">
      <w:pPr>
        <w:pStyle w:val="FootnoteText"/>
        <w:rPr>
          <w:lang w:val="es-MX"/>
        </w:rPr>
      </w:pPr>
      <w:r w:rsidRPr="000B605E">
        <w:rPr>
          <w:rStyle w:val="FootnoteReference"/>
        </w:rPr>
        <w:footnoteRef/>
      </w:r>
      <w:r w:rsidRPr="000B605E">
        <w:rPr>
          <w:lang w:val="es-MX"/>
        </w:rPr>
        <w:t xml:space="preserve"> CIDH, Informe No. 33/14, Caso 12.820, Fondo, Manfred Amrhein y otros, Costa Rica, 4 de abril de 2014, párr. 208.</w:t>
      </w:r>
    </w:p>
  </w:footnote>
  <w:footnote w:id="109">
    <w:p w14:paraId="34F091F0" w14:textId="77777777" w:rsidR="003F0CB9" w:rsidRPr="000B605E" w:rsidRDefault="003F0CB9" w:rsidP="00082AE3">
      <w:pPr>
        <w:pStyle w:val="FootnoteText"/>
        <w:rPr>
          <w:lang w:val="es-ES"/>
        </w:rPr>
      </w:pPr>
      <w:r w:rsidRPr="004A3345">
        <w:rPr>
          <w:rStyle w:val="FootnoteReference"/>
        </w:rPr>
        <w:footnoteRef/>
      </w:r>
      <w:r w:rsidRPr="004A3345">
        <w:rPr>
          <w:lang w:val="es-ES"/>
        </w:rPr>
        <w:t xml:space="preserve"> La CIDH identifica que la Sala II, se limitó a referir la jurisprudencia de la CSJN de la época para sostener que el artículo 52 sería aplicable a “delincuentes habituales o considerados incorregibles” y que tenía el carácter de medida de seguridad, sin realizar un análisis sobre aspectos relevantes para determinar la procedencia de la norma.</w:t>
      </w:r>
    </w:p>
  </w:footnote>
  <w:footnote w:id="110">
    <w:p w14:paraId="0C1B7E41" w14:textId="77777777" w:rsidR="003F0CB9" w:rsidRPr="000B605E" w:rsidRDefault="003F0CB9" w:rsidP="00082AE3">
      <w:pPr>
        <w:pStyle w:val="FootnoteText"/>
        <w:rPr>
          <w:lang w:val="es-AR"/>
        </w:rPr>
      </w:pPr>
      <w:r w:rsidRPr="000B605E">
        <w:rPr>
          <w:rStyle w:val="FootnoteReference"/>
        </w:rPr>
        <w:footnoteRef/>
      </w:r>
      <w:r w:rsidRPr="000B605E">
        <w:rPr>
          <w:lang w:val="es-AR"/>
        </w:rPr>
        <w:t xml:space="preserve"> CIDH, Informe No. 33/14, Caso 12.820, Fondo, Manfred Amrhein y otros, Costa Rica, 4 de abril de 2014, párr. 208.</w:t>
      </w:r>
    </w:p>
  </w:footnote>
  <w:footnote w:id="111">
    <w:p w14:paraId="15C743D4" w14:textId="77777777" w:rsidR="003F0CB9" w:rsidRPr="000B605E" w:rsidRDefault="003F0CB9" w:rsidP="00082AE3">
      <w:pPr>
        <w:pStyle w:val="FootnoteText"/>
        <w:rPr>
          <w:b/>
          <w:lang w:val="es-ES"/>
        </w:rPr>
      </w:pPr>
      <w:r w:rsidRPr="000B605E">
        <w:rPr>
          <w:rStyle w:val="FootnoteReference"/>
        </w:rPr>
        <w:footnoteRef/>
      </w:r>
      <w:r w:rsidRPr="000B605E">
        <w:rPr>
          <w:lang w:val="es-ES"/>
        </w:rPr>
        <w:t xml:space="preserve"> Sobre este último recurso, la Corte IDH ha indicado que el mismo no constituye un medio de impugnación procesal penal y que las causales que condicionan la procedencia de dicho recurso están limitadas a la revisión de cuestiones referidas a la validez de una ley, tratado, norma constitucional o a la arbitrariedad de una sentencia, y excluye las cuestiones fácticas y probatorias, así como de derecho de naturaleza jurídica no constitucional. (</w:t>
      </w:r>
      <w:r w:rsidRPr="000B605E">
        <w:rPr>
          <w:bdr w:val="none" w:sz="0" w:space="0" w:color="auto" w:frame="1"/>
          <w:lang w:val="es-MX"/>
        </w:rPr>
        <w:t xml:space="preserve">Corte IDH. </w:t>
      </w:r>
      <w:r w:rsidRPr="000B605E">
        <w:rPr>
          <w:bCs/>
          <w:iCs/>
          <w:bdr w:val="none" w:sz="0" w:space="0" w:color="auto" w:frame="1"/>
          <w:lang w:val="es-MX"/>
        </w:rPr>
        <w:t xml:space="preserve">Caso Mohamed Vs. </w:t>
      </w:r>
      <w:r w:rsidRPr="000B605E">
        <w:rPr>
          <w:bCs/>
          <w:iCs/>
          <w:bdr w:val="none" w:sz="0" w:space="0" w:color="auto" w:frame="1"/>
          <w:lang w:val="es-ES"/>
        </w:rPr>
        <w:t xml:space="preserve">Argentina. Sentencia de Excepción Preliminar, Fondo, Reparaciones y Costas. 23 de noviembre de 2012. Serie C No. 255, </w:t>
      </w:r>
      <w:r w:rsidRPr="000B605E">
        <w:rPr>
          <w:iCs/>
          <w:bdr w:val="none" w:sz="0" w:space="0" w:color="auto" w:frame="1"/>
          <w:lang w:val="es-ES"/>
        </w:rPr>
        <w:t>párr. 104).</w:t>
      </w:r>
    </w:p>
  </w:footnote>
  <w:footnote w:id="112">
    <w:p w14:paraId="1881E90B" w14:textId="77777777" w:rsidR="003F0CB9" w:rsidRPr="000B605E" w:rsidRDefault="003F0CB9" w:rsidP="00082AE3">
      <w:pPr>
        <w:pStyle w:val="FootnoteText"/>
        <w:rPr>
          <w:lang w:val="es-ES"/>
        </w:rPr>
      </w:pPr>
      <w:r w:rsidRPr="000B605E">
        <w:rPr>
          <w:rStyle w:val="FootnoteReference"/>
        </w:rPr>
        <w:footnoteRef/>
      </w:r>
      <w:r w:rsidRPr="00595A85">
        <w:rPr>
          <w:lang w:val="es-ES"/>
        </w:rPr>
        <w:t xml:space="preserve"> CIDH, Informe Nº 97/17, Caso 12.924. Fondo. </w:t>
      </w:r>
      <w:r w:rsidRPr="000B605E">
        <w:rPr>
          <w:lang w:val="es-ES"/>
        </w:rPr>
        <w:t xml:space="preserve">Julio César Ramón del Valle Ambrosio y Carlos Eduardo Domínguez Linares. </w:t>
      </w:r>
      <w:r w:rsidRPr="00595A85">
        <w:rPr>
          <w:lang w:val="es-ES"/>
        </w:rPr>
        <w:t>Argentina. 5 de septiembre de 2017; CIDH, Informe Nº 98/17, Caso Nº 12.925, Fondo, Oscar Raúl Gorigoitia, Argentina, 5 de septiembre de 2017.</w:t>
      </w:r>
    </w:p>
  </w:footnote>
  <w:footnote w:id="113">
    <w:p w14:paraId="4AD61A58"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lang w:val="es-ES_tradnl"/>
        </w:rPr>
        <w:t>El Comité ha sostenido que: “observa con preocupación la ausencia de normatividad y práctica procesal que garantice, en todo el territorio nacional, la aplicación efectiva del derecho enunciado en el párrafo 5 del artículo 14 del Pacto (art. 14 del Pacto). El Estado parte debe tomar medidas necesarias y eficaces para garantizar el derecho de toda persona declarada culpable de un delito a que el fallo condenatorio y la pena impuesta sean sometidos a un tribunal superior. En este sentido el Comité recuerda su Observación general Nº 32, relativa al derecho a un juicio imparcial y a la igualdad ante los tribunales y cortes de justicia, cuyo párrafo 48 enfatiza la necesidad de revisar sustancialmente el fallo condenatorio y la pena”. (</w:t>
      </w:r>
      <w:r w:rsidRPr="000B605E">
        <w:rPr>
          <w:lang w:val="es-ES"/>
        </w:rPr>
        <w:t xml:space="preserve">Comité de Derechos Humanos. Observaciones finales respecto de Argentina. </w:t>
      </w:r>
      <w:r w:rsidRPr="000B605E">
        <w:rPr>
          <w:rFonts w:cs="Times-Roman"/>
          <w:lang w:val="es-ES" w:bidi="en-US"/>
        </w:rPr>
        <w:t>CCPR/C/ARG/CO/4. 31 de marzo de 2010, párr. 19.)</w:t>
      </w:r>
    </w:p>
  </w:footnote>
  <w:footnote w:id="114">
    <w:p w14:paraId="12BD8986" w14:textId="77777777" w:rsidR="003F0CB9" w:rsidRPr="000B605E" w:rsidRDefault="003F0CB9" w:rsidP="00082AE3">
      <w:pPr>
        <w:pStyle w:val="FootnoteText"/>
        <w:contextualSpacing/>
        <w:rPr>
          <w:lang w:val="es-ES"/>
        </w:rPr>
      </w:pPr>
      <w:r w:rsidRPr="000B605E">
        <w:rPr>
          <w:rStyle w:val="FootnoteReference"/>
        </w:rPr>
        <w:footnoteRef/>
      </w:r>
      <w:r w:rsidRPr="000B605E">
        <w:rPr>
          <w:lang w:val="es-ES"/>
        </w:rPr>
        <w:t xml:space="preserve"> Corte IDH. </w:t>
      </w:r>
      <w:r w:rsidRPr="000B605E">
        <w:rPr>
          <w:bCs/>
          <w:iCs/>
          <w:lang w:val="es-ES"/>
        </w:rPr>
        <w:t xml:space="preserve">Caso Gorigoitía Vs. Argentina. Sentencia de Excepción Preliminar, Fondo, Reparaciones y Costas. 2 de septiembre de 2019. Serie C No. 382, </w:t>
      </w:r>
      <w:r w:rsidRPr="000B605E">
        <w:rPr>
          <w:iCs/>
          <w:lang w:val="es-ES"/>
        </w:rPr>
        <w:t>párr. 56.</w:t>
      </w:r>
    </w:p>
  </w:footnote>
  <w:footnote w:id="115">
    <w:p w14:paraId="0C518E35" w14:textId="77777777" w:rsidR="003F0CB9" w:rsidRPr="000B605E" w:rsidRDefault="003F0CB9" w:rsidP="00082AE3">
      <w:pPr>
        <w:pStyle w:val="FootnoteText"/>
        <w:contextualSpacing/>
        <w:rPr>
          <w:lang w:val="es-ES"/>
        </w:rPr>
      </w:pPr>
      <w:r w:rsidRPr="000B605E">
        <w:rPr>
          <w:rStyle w:val="FootnoteReference"/>
        </w:rPr>
        <w:footnoteRef/>
      </w:r>
      <w:r w:rsidRPr="000B605E">
        <w:rPr>
          <w:lang w:val="es-ES"/>
        </w:rPr>
        <w:t xml:space="preserve"> </w:t>
      </w:r>
      <w:r w:rsidRPr="000B605E">
        <w:rPr>
          <w:lang w:val="es-ES_tradnl"/>
        </w:rPr>
        <w:t>El artículo 5 de la Convención Americana establece en lo pertinente, lo siguiente:</w:t>
      </w:r>
      <w:r w:rsidRPr="000B605E">
        <w:rPr>
          <w:rFonts w:eastAsia="Arial Unicode MS" w:cs="Tahoma"/>
          <w:lang w:val="es-ES" w:eastAsia="en-US"/>
        </w:rPr>
        <w:t xml:space="preserve"> </w:t>
      </w:r>
      <w:r w:rsidRPr="000B605E">
        <w:rPr>
          <w:lang w:val="es-ES"/>
        </w:rPr>
        <w:t>2. Nadie debe ser sometido a torturas ni a penas o tratos crueles, inhumanos o degradantes. Toda persona privada de libertad será tratada con el respeto debido a la dignidad inherente al ser humano. 6. Las penas privativas de la libertad tendrán como finalidad esencial la reforma y la readaptación social de los condenados.</w:t>
      </w:r>
    </w:p>
  </w:footnote>
  <w:footnote w:id="116">
    <w:p w14:paraId="2FC94765" w14:textId="77777777" w:rsidR="003F0CB9" w:rsidRPr="000B605E" w:rsidRDefault="003F0CB9" w:rsidP="00082AE3">
      <w:pPr>
        <w:jc w:val="both"/>
        <w:rPr>
          <w:rFonts w:asciiTheme="majorHAnsi" w:eastAsia="Calibri" w:hAnsiTheme="majorHAnsi" w:cs="Calibri"/>
          <w:color w:val="000000"/>
          <w:sz w:val="16"/>
          <w:szCs w:val="16"/>
          <w:u w:color="000000"/>
          <w:lang w:val="es-ES" w:eastAsia="es-ES"/>
        </w:rPr>
      </w:pPr>
      <w:r w:rsidRPr="000B605E">
        <w:rPr>
          <w:rStyle w:val="FootnoteReference"/>
          <w:szCs w:val="16"/>
        </w:rPr>
        <w:footnoteRef/>
      </w:r>
      <w:r w:rsidRPr="000B605E">
        <w:rPr>
          <w:rFonts w:asciiTheme="majorHAnsi" w:eastAsia="Calibri" w:hAnsiTheme="majorHAnsi" w:cs="Calibri"/>
          <w:color w:val="000000"/>
          <w:sz w:val="16"/>
          <w:szCs w:val="16"/>
          <w:u w:color="000000"/>
          <w:lang w:val="es-ES" w:eastAsia="es-ES"/>
        </w:rPr>
        <w:t xml:space="preserve"> El artículo 7 de la Convención Americana establece en lo pertinente, lo siguiente: </w:t>
      </w:r>
      <w:r w:rsidRPr="000B605E">
        <w:rPr>
          <w:rFonts w:asciiTheme="majorHAnsi" w:eastAsia="Calibri" w:hAnsiTheme="majorHAnsi" w:cs="Calibri"/>
          <w:color w:val="000000"/>
          <w:sz w:val="16"/>
          <w:szCs w:val="16"/>
          <w:u w:color="000000"/>
          <w:bdr w:val="nil"/>
          <w:lang w:val="es-ES" w:eastAsia="es-ES"/>
        </w:rPr>
        <w:t>3. Nadie puede ser sometido a detención o encarcelamiento arbitrarios.</w:t>
      </w:r>
    </w:p>
  </w:footnote>
  <w:footnote w:id="117">
    <w:p w14:paraId="57C4B3C0"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lang w:val="es-ES_tradnl"/>
        </w:rPr>
        <w:t>El artículo 24 de la Convención Americana establece en lo pertinente, lo siguiente:</w:t>
      </w:r>
      <w:r w:rsidRPr="000B605E">
        <w:rPr>
          <w:rFonts w:eastAsia="Arial Unicode MS" w:cs="Tahoma"/>
          <w:lang w:val="es-ES" w:eastAsia="en-US"/>
        </w:rPr>
        <w:t xml:space="preserve"> </w:t>
      </w:r>
      <w:r w:rsidRPr="000B605E">
        <w:rPr>
          <w:spacing w:val="-3"/>
          <w:lang w:val="es-ES"/>
        </w:rPr>
        <w:t>Todas las personas son iguales ante la ley. En consecuencia, tienen derecho, sin discriminación, a igual protección de la ley.</w:t>
      </w:r>
    </w:p>
  </w:footnote>
  <w:footnote w:id="118">
    <w:p w14:paraId="3030A039"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Pacto Internacional de Derechos Civiles y Políticos. Adoptado y abierto a la firma, ratificación y adhesión por la Asamblea General en su resolución 2200 A (XXI), de 16 de diciembre de 1966.</w:t>
      </w:r>
    </w:p>
  </w:footnote>
  <w:footnote w:id="119">
    <w:p w14:paraId="547F6B85"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Comité de Derechos Humanos de Naciones Unidas. Observación general N° 21. Trato humano de las personas privadas de libertad (artículo 10). HRI/GEN/1/Rev.9 (Vol. I). 44º Período de Sesiones. 10 de abril 1992.</w:t>
      </w:r>
    </w:p>
  </w:footnote>
  <w:footnote w:id="120">
    <w:p w14:paraId="374CABBA"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TEDH. Caso Vinter y otros vs. Reino Unido. (Demandas nos </w:t>
      </w:r>
      <w:hyperlink r:id="rId9" w:anchor="{%22appno%22:[%2266069/09%22]}" w:tgtFrame="_blank" w:history="1">
        <w:r w:rsidRPr="000B605E">
          <w:rPr>
            <w:lang w:val="es-ES"/>
          </w:rPr>
          <w:t>66069/09</w:t>
        </w:r>
      </w:hyperlink>
      <w:r w:rsidRPr="000B605E">
        <w:rPr>
          <w:lang w:val="es-ES"/>
        </w:rPr>
        <w:t>, </w:t>
      </w:r>
      <w:hyperlink r:id="rId10" w:anchor="{%22appno%22:[%22130/10%22]}" w:tgtFrame="_blank" w:history="1">
        <w:r w:rsidRPr="000B605E">
          <w:rPr>
            <w:lang w:val="es-ES"/>
          </w:rPr>
          <w:t>130/10</w:t>
        </w:r>
      </w:hyperlink>
      <w:r w:rsidRPr="000B605E">
        <w:rPr>
          <w:lang w:val="es-ES"/>
        </w:rPr>
        <w:t> y </w:t>
      </w:r>
      <w:hyperlink r:id="rId11" w:anchor="{%22appno%22:[%223896/10%22]}" w:tgtFrame="_blank" w:history="1">
        <w:r w:rsidRPr="000B605E">
          <w:rPr>
            <w:lang w:val="es-ES"/>
          </w:rPr>
          <w:t>3896/10</w:t>
        </w:r>
      </w:hyperlink>
      <w:r w:rsidRPr="000B605E">
        <w:rPr>
          <w:lang w:val="es-ES"/>
        </w:rPr>
        <w:t xml:space="preserve">). Sentencia. 9 de Julio 9 de 2013, párr. 106. </w:t>
      </w:r>
    </w:p>
  </w:footnote>
  <w:footnote w:id="121">
    <w:p w14:paraId="1364D351" w14:textId="77777777" w:rsidR="003F0CB9" w:rsidRPr="000B605E" w:rsidRDefault="003F0CB9" w:rsidP="00082AE3">
      <w:pPr>
        <w:pStyle w:val="FootnoteText"/>
        <w:rPr>
          <w:lang w:val="es-ES"/>
        </w:rPr>
      </w:pPr>
      <w:r w:rsidRPr="000B605E">
        <w:rPr>
          <w:rStyle w:val="FootnoteReference"/>
        </w:rPr>
        <w:footnoteRef/>
      </w:r>
      <w:r w:rsidRPr="000E174E">
        <w:rPr>
          <w:lang w:val="es-US"/>
        </w:rPr>
        <w:t xml:space="preserve"> TEDH. Caso Kafkaris vs. Chipre. </w:t>
      </w:r>
      <w:r w:rsidRPr="000B605E">
        <w:rPr>
          <w:rStyle w:val="s6b621b36"/>
          <w:lang w:val="es-ES"/>
        </w:rPr>
        <w:t xml:space="preserve">Demanda no. </w:t>
      </w:r>
      <w:hyperlink r:id="rId12" w:anchor="{&quot;appno&quot;:[&quot;21906/04&quot;]}" w:tgtFrame="_blank" w:history="1">
        <w:r w:rsidRPr="000B605E">
          <w:rPr>
            <w:rStyle w:val="Hyperlink"/>
            <w:u w:val="none"/>
            <w:lang w:val="es-ES"/>
          </w:rPr>
          <w:t>21906/04</w:t>
        </w:r>
      </w:hyperlink>
      <w:r w:rsidRPr="000B605E">
        <w:rPr>
          <w:lang w:val="es-ES"/>
        </w:rPr>
        <w:t>. 12 de Febrero de 2008, párr. 97; TEDH. Caso Vinter y otros vs. Reino Unido. Demandas nos </w:t>
      </w:r>
      <w:hyperlink r:id="rId13" w:anchor="{%22appno%22:[%2266069/09%22]}" w:tgtFrame="_blank" w:history="1">
        <w:r w:rsidRPr="000B605E">
          <w:rPr>
            <w:lang w:val="es-ES"/>
          </w:rPr>
          <w:t>66069/09</w:t>
        </w:r>
      </w:hyperlink>
      <w:r w:rsidRPr="000B605E">
        <w:rPr>
          <w:lang w:val="es-ES"/>
        </w:rPr>
        <w:t>, </w:t>
      </w:r>
      <w:hyperlink r:id="rId14" w:anchor="{%22appno%22:[%22130/10%22]}" w:tgtFrame="_blank" w:history="1">
        <w:r w:rsidRPr="000B605E">
          <w:rPr>
            <w:lang w:val="es-ES"/>
          </w:rPr>
          <w:t>130/10</w:t>
        </w:r>
      </w:hyperlink>
      <w:r w:rsidRPr="000B605E">
        <w:rPr>
          <w:lang w:val="es-ES"/>
        </w:rPr>
        <w:t> y </w:t>
      </w:r>
      <w:hyperlink r:id="rId15" w:anchor="{%22appno%22:[%223896/10%22]}" w:tgtFrame="_blank" w:history="1">
        <w:r w:rsidRPr="000B605E">
          <w:rPr>
            <w:lang w:val="es-ES"/>
          </w:rPr>
          <w:t>3896/10</w:t>
        </w:r>
      </w:hyperlink>
      <w:r w:rsidRPr="000B605E">
        <w:rPr>
          <w:lang w:val="es-ES"/>
        </w:rPr>
        <w:t>. Sentencia, Julio 9, 2013, párr. 106.</w:t>
      </w:r>
    </w:p>
  </w:footnote>
  <w:footnote w:id="122">
    <w:p w14:paraId="1E0B8E9D"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TEDH. Caso Vinter y otros vs. Reino Unido. Demandas nos </w:t>
      </w:r>
      <w:hyperlink r:id="rId16" w:anchor="{%22appno%22:[%2266069/09%22]}" w:tgtFrame="_blank" w:history="1">
        <w:r w:rsidRPr="000B605E">
          <w:rPr>
            <w:lang w:val="es-ES"/>
          </w:rPr>
          <w:t>66069/09</w:t>
        </w:r>
      </w:hyperlink>
      <w:r w:rsidRPr="000B605E">
        <w:rPr>
          <w:lang w:val="es-ES"/>
        </w:rPr>
        <w:t>, </w:t>
      </w:r>
      <w:hyperlink r:id="rId17" w:anchor="{%22appno%22:[%22130/10%22]}" w:tgtFrame="_blank" w:history="1">
        <w:r w:rsidRPr="000B605E">
          <w:rPr>
            <w:lang w:val="es-ES"/>
          </w:rPr>
          <w:t>130/10</w:t>
        </w:r>
      </w:hyperlink>
      <w:r w:rsidRPr="000B605E">
        <w:rPr>
          <w:lang w:val="es-ES"/>
        </w:rPr>
        <w:t> y </w:t>
      </w:r>
      <w:hyperlink r:id="rId18" w:anchor="{%22appno%22:[%223896/10%22]}" w:tgtFrame="_blank" w:history="1">
        <w:r w:rsidRPr="000B605E">
          <w:rPr>
            <w:lang w:val="es-ES"/>
          </w:rPr>
          <w:t>3896/10</w:t>
        </w:r>
      </w:hyperlink>
      <w:r w:rsidRPr="000B605E">
        <w:rPr>
          <w:lang w:val="es-ES"/>
        </w:rPr>
        <w:t>. Sentencia. 9 de Julio 9 de 2013, párr. 108.</w:t>
      </w:r>
    </w:p>
  </w:footnote>
  <w:footnote w:id="123">
    <w:p w14:paraId="3C6ADBC0"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TEDH. Caso Vinter y otros vs. Reino Unido. Demandas nos </w:t>
      </w:r>
      <w:hyperlink r:id="rId19" w:anchor="{%22appno%22:[%2266069/09%22]}" w:tgtFrame="_blank" w:history="1">
        <w:r w:rsidRPr="000B605E">
          <w:rPr>
            <w:lang w:val="es-ES"/>
          </w:rPr>
          <w:t>66069/09</w:t>
        </w:r>
      </w:hyperlink>
      <w:r w:rsidRPr="000B605E">
        <w:rPr>
          <w:lang w:val="es-ES"/>
        </w:rPr>
        <w:t>, </w:t>
      </w:r>
      <w:hyperlink r:id="rId20" w:anchor="{%22appno%22:[%22130/10%22]}" w:tgtFrame="_blank" w:history="1">
        <w:r w:rsidRPr="000B605E">
          <w:rPr>
            <w:lang w:val="es-ES"/>
          </w:rPr>
          <w:t>130/10</w:t>
        </w:r>
      </w:hyperlink>
      <w:r w:rsidRPr="000B605E">
        <w:rPr>
          <w:lang w:val="es-ES"/>
        </w:rPr>
        <w:t> y </w:t>
      </w:r>
      <w:hyperlink r:id="rId21" w:anchor="{%22appno%22:[%223896/10%22]}" w:tgtFrame="_blank" w:history="1">
        <w:r w:rsidRPr="000B605E">
          <w:rPr>
            <w:lang w:val="es-ES"/>
          </w:rPr>
          <w:t>3896/10</w:t>
        </w:r>
      </w:hyperlink>
      <w:r w:rsidRPr="000B605E">
        <w:rPr>
          <w:lang w:val="es-ES"/>
        </w:rPr>
        <w:t>. Sentencia. 9 de Julio 9 de 2013, párr. 109.</w:t>
      </w:r>
    </w:p>
  </w:footnote>
  <w:footnote w:id="124">
    <w:p w14:paraId="6A7D2FDC"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TEDH. Caso Vinter y otros vs. Reino Unido. Demandas nos </w:t>
      </w:r>
      <w:hyperlink r:id="rId22" w:anchor="{%22appno%22:[%2266069/09%22]}" w:tgtFrame="_blank" w:history="1">
        <w:r w:rsidRPr="000B605E">
          <w:rPr>
            <w:lang w:val="es-ES"/>
          </w:rPr>
          <w:t>66069/09</w:t>
        </w:r>
      </w:hyperlink>
      <w:r w:rsidRPr="000B605E">
        <w:rPr>
          <w:lang w:val="es-ES"/>
        </w:rPr>
        <w:t>, </w:t>
      </w:r>
      <w:hyperlink r:id="rId23" w:anchor="{%22appno%22:[%22130/10%22]}" w:tgtFrame="_blank" w:history="1">
        <w:r w:rsidRPr="000B605E">
          <w:rPr>
            <w:lang w:val="es-ES"/>
          </w:rPr>
          <w:t>130/10</w:t>
        </w:r>
      </w:hyperlink>
      <w:r w:rsidRPr="000B605E">
        <w:rPr>
          <w:lang w:val="es-ES"/>
        </w:rPr>
        <w:t> y </w:t>
      </w:r>
      <w:hyperlink r:id="rId24" w:anchor="{%22appno%22:[%223896/10%22]}" w:tgtFrame="_blank" w:history="1">
        <w:r w:rsidRPr="000B605E">
          <w:rPr>
            <w:lang w:val="es-ES"/>
          </w:rPr>
          <w:t>3896/10</w:t>
        </w:r>
      </w:hyperlink>
      <w:r w:rsidRPr="000B605E">
        <w:rPr>
          <w:lang w:val="es-ES"/>
        </w:rPr>
        <w:t>. Sentencia. 9 de Julio 9 de 2013, párr. 110.</w:t>
      </w:r>
      <w:r>
        <w:rPr>
          <w:lang w:val="es-ES"/>
        </w:rPr>
        <w:t xml:space="preserve"> Asimismo, la Corte señaló que </w:t>
      </w:r>
      <w:r w:rsidRPr="00E15158">
        <w:rPr>
          <w:lang w:val="es-MX"/>
        </w:rPr>
        <w:t>el artículo 3 exige la posibilidad de reducir la pena, entendida esta posibilidad en el sentido de que es necesario establecer un mecanismo de revisión que permita a las autoridades nacionales evaluar si los cambios experimentados en la persona condenada a cadena perpetua son tan importantes y que se han hecho tales progresos hacia la rehabilitación en el transcurso del cumplimiento de la condena, que el mantenimiento de la pena de prisión no está ya justificado en ningún motivo legítimo de política criminal”</w:t>
      </w:r>
      <w:r>
        <w:rPr>
          <w:lang w:val="es-MX"/>
        </w:rPr>
        <w:t xml:space="preserve">. </w:t>
      </w:r>
      <w:r w:rsidRPr="000B605E">
        <w:rPr>
          <w:lang w:val="es-ES"/>
        </w:rPr>
        <w:t>TEDH. Caso Vinter y otros vs. Reino Unido. Demandas nos </w:t>
      </w:r>
      <w:hyperlink r:id="rId25" w:anchor="{%22appno%22:[%2266069/09%22]}" w:tgtFrame="_blank" w:history="1">
        <w:r w:rsidRPr="000B605E">
          <w:rPr>
            <w:lang w:val="es-ES"/>
          </w:rPr>
          <w:t>66069/09</w:t>
        </w:r>
      </w:hyperlink>
      <w:r w:rsidRPr="000B605E">
        <w:rPr>
          <w:lang w:val="es-ES"/>
        </w:rPr>
        <w:t>, </w:t>
      </w:r>
      <w:hyperlink r:id="rId26" w:anchor="{%22appno%22:[%22130/10%22]}" w:tgtFrame="_blank" w:history="1">
        <w:r w:rsidRPr="000B605E">
          <w:rPr>
            <w:lang w:val="es-ES"/>
          </w:rPr>
          <w:t>130/10</w:t>
        </w:r>
      </w:hyperlink>
      <w:r w:rsidRPr="000B605E">
        <w:rPr>
          <w:lang w:val="es-ES"/>
        </w:rPr>
        <w:t> y </w:t>
      </w:r>
      <w:hyperlink r:id="rId27" w:anchor="{%22appno%22:[%223896/10%22]}" w:tgtFrame="_blank" w:history="1">
        <w:r w:rsidRPr="000B605E">
          <w:rPr>
            <w:lang w:val="es-ES"/>
          </w:rPr>
          <w:t>3896/10</w:t>
        </w:r>
      </w:hyperlink>
      <w:r w:rsidRPr="000B605E">
        <w:rPr>
          <w:lang w:val="es-ES"/>
        </w:rPr>
        <w:t>. Sentencia. 9 de Julio 9 de 2013, párr. 119.</w:t>
      </w:r>
    </w:p>
  </w:footnote>
  <w:footnote w:id="125">
    <w:p w14:paraId="5FA20654"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TEDH. Caso Vinter y otros vs. Reino Unido. Demandas nos </w:t>
      </w:r>
      <w:hyperlink r:id="rId28" w:anchor="{%22appno%22:[%2266069/09%22]}" w:tgtFrame="_blank" w:history="1">
        <w:r w:rsidRPr="000B605E">
          <w:rPr>
            <w:lang w:val="es-ES"/>
          </w:rPr>
          <w:t>66069/09</w:t>
        </w:r>
      </w:hyperlink>
      <w:r w:rsidRPr="000B605E">
        <w:rPr>
          <w:lang w:val="es-ES"/>
        </w:rPr>
        <w:t>, </w:t>
      </w:r>
      <w:hyperlink r:id="rId29" w:anchor="{%22appno%22:[%22130/10%22]}" w:tgtFrame="_blank" w:history="1">
        <w:r w:rsidRPr="000B605E">
          <w:rPr>
            <w:lang w:val="es-ES"/>
          </w:rPr>
          <w:t>130/10</w:t>
        </w:r>
      </w:hyperlink>
      <w:r w:rsidRPr="000B605E">
        <w:rPr>
          <w:lang w:val="es-ES"/>
        </w:rPr>
        <w:t> y </w:t>
      </w:r>
      <w:hyperlink r:id="rId30" w:anchor="{%22appno%22:[%223896/10%22]}" w:tgtFrame="_blank" w:history="1">
        <w:r w:rsidRPr="000B605E">
          <w:rPr>
            <w:lang w:val="es-ES"/>
          </w:rPr>
          <w:t>3896/10</w:t>
        </w:r>
      </w:hyperlink>
      <w:r w:rsidRPr="000B605E">
        <w:rPr>
          <w:lang w:val="es-ES"/>
        </w:rPr>
        <w:t>. Sentencia. 9 de Julio 9 de 2013, párr. 120.</w:t>
      </w:r>
    </w:p>
  </w:footnote>
  <w:footnote w:id="126">
    <w:p w14:paraId="65D9A492"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lang w:val="es-ES_tradnl"/>
        </w:rPr>
        <w:t>Caso Mendoza y otros Vs. Argentina. Sentencia de Excepciones Preliminares, Fondo y Reparaciones. 14 de mayo de 2013. Serie C No. 260, párr.165.</w:t>
      </w:r>
    </w:p>
  </w:footnote>
  <w:footnote w:id="127">
    <w:p w14:paraId="698B6FFF"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lang w:val="es-ES_tradnl"/>
        </w:rPr>
        <w:t>Caso Mendoza y otros Vs. Argentina. Sentencia de Excepciones Preliminares, Fondo y Reparaciones. 14 de mayo de 2013. Serie C No. 260, párr.166.</w:t>
      </w:r>
    </w:p>
  </w:footnote>
  <w:footnote w:id="128">
    <w:p w14:paraId="25546640"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Pr>
          <w:lang w:val="es-ES"/>
        </w:rPr>
        <w:t xml:space="preserve">Ver, </w:t>
      </w:r>
      <w:r w:rsidRPr="000B605E">
        <w:rPr>
          <w:lang w:val="es-ES_tradnl"/>
        </w:rPr>
        <w:t>Caso Mendoza y otros Vs. Argentina. Sentencia de Excepciones Preliminares, Fondo y Reparaciones. 14 de mayo de 2013. Serie C No. 260, párr</w:t>
      </w:r>
      <w:r>
        <w:rPr>
          <w:lang w:val="es-ES_tradnl"/>
        </w:rPr>
        <w:t xml:space="preserve">.296. </w:t>
      </w:r>
      <w:r w:rsidRPr="00F77D5D">
        <w:rPr>
          <w:lang w:val="es-MX"/>
        </w:rPr>
        <w:t>E</w:t>
      </w:r>
      <w:r>
        <w:rPr>
          <w:lang w:val="es-CL"/>
        </w:rPr>
        <w:t xml:space="preserve">n el marco de la audiencia pública de dicho caso, </w:t>
      </w:r>
      <w:r>
        <w:rPr>
          <w:lang w:val="es-ES"/>
        </w:rPr>
        <w:t xml:space="preserve">la perita Sofía Tiscornia, refirió en la audiencia pública del caso </w:t>
      </w:r>
      <w:r w:rsidRPr="00937274">
        <w:rPr>
          <w:lang w:val="es-ES"/>
        </w:rPr>
        <w:t>que “</w:t>
      </w:r>
      <w:r w:rsidRPr="00937274">
        <w:rPr>
          <w:lang w:val="es-CL"/>
        </w:rPr>
        <w:t>la cantidad de años de prisión impuest[os a través de las condenas perpetuas] son más que los que cualquier</w:t>
      </w:r>
      <w:r>
        <w:rPr>
          <w:lang w:val="es-CL"/>
        </w:rPr>
        <w:t xml:space="preserve"> adolescente lleva vividos […]”</w:t>
      </w:r>
      <w:r w:rsidRPr="00937274">
        <w:rPr>
          <w:lang w:val="es-CL"/>
        </w:rPr>
        <w:t>.</w:t>
      </w:r>
      <w:r>
        <w:rPr>
          <w:lang w:val="es-CL"/>
        </w:rPr>
        <w:t xml:space="preserve"> El </w:t>
      </w:r>
      <w:r w:rsidRPr="00E01B41">
        <w:rPr>
          <w:lang w:val="es-CL"/>
        </w:rPr>
        <w:t>perito Miguel Cillero</w:t>
      </w:r>
      <w:r>
        <w:rPr>
          <w:lang w:val="es-CL"/>
        </w:rPr>
        <w:t xml:space="preserve"> indicó que un</w:t>
      </w:r>
      <w:r w:rsidRPr="00E01B41">
        <w:rPr>
          <w:lang w:val="es-CL"/>
        </w:rPr>
        <w:t xml:space="preserve"> “tiempo muy alto para la revisión [de la condena] es considerado en sí mismo un tiempo que clausura respecto de cualquier persona, pero más aún del adolescente, la esperanza cierta de rehabilitación y su reintegración social”. </w:t>
      </w:r>
      <w:r>
        <w:rPr>
          <w:lang w:val="es-CL"/>
        </w:rPr>
        <w:t>Refiri</w:t>
      </w:r>
      <w:r w:rsidRPr="00E01B41">
        <w:rPr>
          <w:lang w:val="es-CL"/>
        </w:rPr>
        <w:t xml:space="preserve">ó que “la existencia de esos procedimientos de revisión tan prologando[s] en el tiempo, y además de dudosa realización en la práctica y dudoso resultado, producen en el sujeto un sufrimiento adicional que se considera ilegítimo y no propio de aquellas penas, del sufrimiento normal de una pena, por lo tanto [se encuentran…] dentro de aquellas penas que p[ueden] calificar[se] </w:t>
      </w:r>
      <w:r w:rsidRPr="00E01B41">
        <w:rPr>
          <w:lang w:val="es-ES"/>
        </w:rPr>
        <w:t>como crueles, inhumanas o degradantes”</w:t>
      </w:r>
      <w:r>
        <w:rPr>
          <w:lang w:val="es-ES"/>
        </w:rPr>
        <w:t xml:space="preserve">. </w:t>
      </w:r>
      <w:r w:rsidRPr="000B605E">
        <w:rPr>
          <w:lang w:val="es-ES_tradnl"/>
        </w:rPr>
        <w:t>Caso Mendoza y otros Vs. Argentina. Sentencia de Excepciones Preliminares, Fondo y Reparaciones. 14 de mayo de 2013. Serie C No. 260, párr.178</w:t>
      </w:r>
      <w:r>
        <w:rPr>
          <w:lang w:val="es-ES_tradnl"/>
        </w:rPr>
        <w:t xml:space="preserve"> y 180</w:t>
      </w:r>
      <w:r w:rsidRPr="000B605E">
        <w:rPr>
          <w:lang w:val="es-ES_tradnl"/>
        </w:rPr>
        <w:t>.</w:t>
      </w:r>
    </w:p>
  </w:footnote>
  <w:footnote w:id="129">
    <w:p w14:paraId="31E36C35"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T.E.D.H. Sentencia. </w:t>
      </w:r>
      <w:r w:rsidRPr="000B605E">
        <w:rPr>
          <w:iCs/>
          <w:lang w:val="es-ES"/>
        </w:rPr>
        <w:t>Casos de Harkins y Edwards Vs. Reino Unido</w:t>
      </w:r>
      <w:r w:rsidRPr="000B605E">
        <w:rPr>
          <w:lang w:val="es-ES"/>
        </w:rPr>
        <w:t>. Casos No. 9146/07 y No. 32650/07. 17 de enero de 2012, párr. 132 y 133.</w:t>
      </w:r>
    </w:p>
  </w:footnote>
  <w:footnote w:id="130">
    <w:p w14:paraId="7CBB079D"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hyperlink r:id="rId31" w:history="1">
        <w:r w:rsidRPr="000B605E">
          <w:rPr>
            <w:rStyle w:val="Hyperlink"/>
            <w:u w:val="none"/>
            <w:lang w:val="es-ES"/>
          </w:rPr>
          <w:t>Corte IDH. Caso Mendoza y otros Vs. Argentina. Excepciones Preliminares, Fondo y Reparaciones. Sentencia de 14 de mayo de 2013 Serie C No. 260</w:t>
        </w:r>
        <w:r>
          <w:rPr>
            <w:rStyle w:val="Hyperlink"/>
            <w:u w:val="none"/>
            <w:lang w:val="es-ES"/>
          </w:rPr>
          <w:t>, p</w:t>
        </w:r>
        <w:r w:rsidRPr="000B605E">
          <w:rPr>
            <w:rStyle w:val="Hyperlink"/>
            <w:u w:val="none"/>
            <w:lang w:val="es-ES"/>
          </w:rPr>
          <w:t xml:space="preserve">árr. 174 </w:t>
        </w:r>
      </w:hyperlink>
      <w:r>
        <w:rPr>
          <w:rStyle w:val="Hyperlink"/>
          <w:u w:val="none"/>
          <w:lang w:val="es-ES"/>
        </w:rPr>
        <w:t>.</w:t>
      </w:r>
    </w:p>
  </w:footnote>
  <w:footnote w:id="131">
    <w:p w14:paraId="2E20147D"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lang w:val="es-ES_tradnl"/>
        </w:rPr>
        <w:t>Caso Mendoza y otros Vs. Argentina. Sentencia de Excepciones Preliminares, Fondo y Reparaciones. 14 de mayo de 2013. Serie C No. 260, párr.174.</w:t>
      </w:r>
    </w:p>
  </w:footnote>
  <w:footnote w:id="132">
    <w:p w14:paraId="1FBEBC08"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lang w:val="es-ES_tradnl"/>
        </w:rPr>
        <w:t>Caso Mendoza y otros Vs. Argentina. Sentencia de Excepciones Preliminares, Fondo y Reparaciones. 14 de mayo de 2013. Serie C No. 260, párr.174.</w:t>
      </w:r>
    </w:p>
  </w:footnote>
  <w:footnote w:id="133">
    <w:p w14:paraId="7340305B" w14:textId="77777777" w:rsidR="003F0CB9" w:rsidRPr="000B605E" w:rsidRDefault="003F0CB9" w:rsidP="00082AE3">
      <w:pPr>
        <w:jc w:val="both"/>
        <w:rPr>
          <w:rFonts w:asciiTheme="majorHAnsi" w:hAnsiTheme="majorHAnsi"/>
          <w:sz w:val="16"/>
          <w:szCs w:val="16"/>
          <w:lang w:val="es-ES"/>
        </w:rPr>
      </w:pPr>
      <w:r w:rsidRPr="000B605E">
        <w:rPr>
          <w:rStyle w:val="FootnoteReference"/>
          <w:szCs w:val="16"/>
        </w:rPr>
        <w:footnoteRef/>
      </w:r>
      <w:r w:rsidRPr="000B605E">
        <w:rPr>
          <w:rFonts w:asciiTheme="majorHAnsi" w:hAnsiTheme="majorHAnsi"/>
          <w:sz w:val="16"/>
          <w:szCs w:val="16"/>
          <w:lang w:val="es-ES"/>
        </w:rPr>
        <w:t xml:space="preserve"> </w:t>
      </w:r>
      <w:r w:rsidRPr="000B605E">
        <w:rPr>
          <w:rFonts w:asciiTheme="majorHAnsi" w:eastAsia="Calibri" w:hAnsiTheme="majorHAnsi" w:cs="Calibri"/>
          <w:color w:val="000000"/>
          <w:sz w:val="16"/>
          <w:szCs w:val="16"/>
          <w:u w:color="000000"/>
          <w:bdr w:val="nil"/>
          <w:lang w:val="es-ES_tradnl" w:eastAsia="es-ES"/>
        </w:rPr>
        <w:t>Caso Mendoza y otros Vs. Argentina. Sentencia de Excepciones Preliminares, Fondo y Reparaciones. 14 de mayo de 2013. Serie C No. 260, párr.161; Corte IDH. Caso Chaparro Álvarez y Lapo Íñiguez Vs. Ecuador. Excepciones Preliminares, Fondo, Reparaciones y Costas. Sentencia de 21 de noviembre de 2007. Serie C No. 170, párr. 90</w:t>
      </w:r>
      <w:r w:rsidRPr="000B605E">
        <w:rPr>
          <w:rFonts w:asciiTheme="majorHAnsi" w:eastAsia="Calibri" w:hAnsiTheme="majorHAnsi" w:cs="Calibri"/>
          <w:sz w:val="16"/>
          <w:szCs w:val="16"/>
          <w:u w:color="000000"/>
          <w:bdr w:val="nil"/>
          <w:lang w:val="es-ES_tradnl" w:eastAsia="es-ES"/>
        </w:rPr>
        <w:t>;</w:t>
      </w:r>
      <w:r w:rsidRPr="000B605E">
        <w:rPr>
          <w:rStyle w:val="Strong"/>
          <w:rFonts w:asciiTheme="majorHAnsi" w:hAnsiTheme="majorHAnsi"/>
          <w:color w:val="000000"/>
          <w:sz w:val="16"/>
          <w:szCs w:val="16"/>
          <w:shd w:val="clear" w:color="auto" w:fill="FFFFFF"/>
          <w:lang w:val="es-ES"/>
        </w:rPr>
        <w:t xml:space="preserve"> </w:t>
      </w:r>
      <w:r w:rsidRPr="000B605E">
        <w:rPr>
          <w:rFonts w:asciiTheme="majorHAnsi" w:eastAsia="Calibri" w:hAnsiTheme="majorHAnsi" w:cs="Calibri"/>
          <w:color w:val="000000"/>
          <w:sz w:val="16"/>
          <w:szCs w:val="16"/>
          <w:u w:color="000000"/>
          <w:bdr w:val="nil"/>
          <w:lang w:val="es-ES_tradnl" w:eastAsia="es-ES"/>
        </w:rPr>
        <w:t>Caso Gangaram Panday Vs. Suriname. Fondo, Reparaciones y Costas. Sentencia de 21 de enero de 1994. Serie C No. 16, párr. 47.</w:t>
      </w:r>
    </w:p>
  </w:footnote>
  <w:footnote w:id="134">
    <w:p w14:paraId="008C0EC5"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CIDH, Demanda ante la Corte Interamericana de Derechos Humanos, Karen Atala e Hijas, 17 de septiembre de 2010, párr.86; Corte IDH. Caso Atala Riffo y niñas Vs. Chile. Fondo, Reparaciones y Costas. Sentencia del 24 de febrero de 2012. Serie C No. 239, párr. 164.</w:t>
      </w:r>
    </w:p>
  </w:footnote>
  <w:footnote w:id="135">
    <w:p w14:paraId="181F4AD9"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lang w:val="es-CO"/>
        </w:rPr>
        <w:t>CIDH, Informe No. 131/17, Caso 11.678, Admisibilidad y Fondo, Mario Montesinos Mejía, Ecuador, 25 de octubre de 2017;</w:t>
      </w:r>
      <w:r w:rsidRPr="000B605E">
        <w:rPr>
          <w:color w:val="595959" w:themeColor="text1" w:themeTint="A6"/>
          <w:lang w:val="es-ES"/>
        </w:rPr>
        <w:t xml:space="preserve"> </w:t>
      </w:r>
      <w:r w:rsidRPr="000B605E">
        <w:rPr>
          <w:lang w:val="es-CO"/>
        </w:rPr>
        <w:t>CIDH. Informe No. 53/16. Caso 12.056. Informe de Fondo. Gabriel Oscar Jenkins. Argentina. 6 de diciembre de 2016.</w:t>
      </w:r>
    </w:p>
  </w:footnote>
  <w:footnote w:id="136">
    <w:p w14:paraId="038731EA" w14:textId="77777777" w:rsidR="003F0CB9" w:rsidRPr="000B605E" w:rsidRDefault="003F0CB9" w:rsidP="00082AE3">
      <w:pPr>
        <w:pStyle w:val="FootnoteText"/>
        <w:rPr>
          <w:lang w:val="es-ES"/>
        </w:rPr>
      </w:pPr>
      <w:r w:rsidRPr="000B605E">
        <w:rPr>
          <w:rStyle w:val="FootnoteReference"/>
        </w:rPr>
        <w:footnoteRef/>
      </w:r>
      <w:r w:rsidRPr="000B605E">
        <w:rPr>
          <w:lang w:val="es-ES"/>
        </w:rPr>
        <w:t xml:space="preserve"> </w:t>
      </w:r>
      <w:r w:rsidRPr="000B605E">
        <w:rPr>
          <w:lang w:val="es-CO"/>
        </w:rPr>
        <w:t>CIDH, Informe No. 131/17, Caso 11.678, Admisibilidad y Fondo, Mario Montesinos Mejía, Ecuador, 25 de octubre de 2017, párr. 87.</w:t>
      </w:r>
    </w:p>
  </w:footnote>
  <w:footnote w:id="137">
    <w:p w14:paraId="74929D22" w14:textId="77777777" w:rsidR="003F0CB9" w:rsidRPr="00ED0C7A" w:rsidRDefault="003F0CB9">
      <w:pPr>
        <w:pStyle w:val="FootnoteText"/>
        <w:rPr>
          <w:lang w:val="es-ES"/>
        </w:rPr>
      </w:pPr>
      <w:r>
        <w:rPr>
          <w:rStyle w:val="FootnoteReference"/>
        </w:rPr>
        <w:footnoteRef/>
      </w:r>
      <w:r w:rsidRPr="00ED0C7A">
        <w:rPr>
          <w:lang w:val="es-ES"/>
        </w:rPr>
        <w:t xml:space="preserve"> </w:t>
      </w:r>
      <w:r>
        <w:rPr>
          <w:lang w:val="es-ES"/>
        </w:rPr>
        <w:t xml:space="preserve">CIDH. </w:t>
      </w:r>
      <w:r w:rsidRPr="00ED0C7A">
        <w:rPr>
          <w:lang w:val="es-ES"/>
        </w:rPr>
        <w:t>Justicia juvenil y dere</w:t>
      </w:r>
      <w:r>
        <w:rPr>
          <w:lang w:val="es-ES"/>
        </w:rPr>
        <w:t>chos humanos en las Américas. 13 de julio de 2011, párr. 44. OEA Ser.L/V/II Doc.78</w:t>
      </w:r>
    </w:p>
  </w:footnote>
  <w:footnote w:id="138">
    <w:p w14:paraId="37A30F9C" w14:textId="77777777" w:rsidR="003F0CB9" w:rsidRPr="00A661B9" w:rsidRDefault="003F0CB9">
      <w:pPr>
        <w:pStyle w:val="FootnoteText"/>
        <w:rPr>
          <w:lang w:val="es-ES"/>
        </w:rPr>
      </w:pPr>
      <w:r>
        <w:rPr>
          <w:rStyle w:val="FootnoteReference"/>
        </w:rPr>
        <w:footnoteRef/>
      </w:r>
      <w:r w:rsidRPr="0050605C">
        <w:rPr>
          <w:lang w:val="es-ES"/>
        </w:rPr>
        <w:t xml:space="preserve"> Comité de los Derechos del Niño</w:t>
      </w:r>
      <w:r>
        <w:rPr>
          <w:lang w:val="es-ES"/>
        </w:rPr>
        <w:t>.</w:t>
      </w:r>
      <w:r w:rsidRPr="0050605C">
        <w:rPr>
          <w:lang w:val="es-ES"/>
        </w:rPr>
        <w:t xml:space="preserve"> Observación General Nº 10.</w:t>
      </w:r>
      <w:r>
        <w:rPr>
          <w:lang w:val="es-ES"/>
        </w:rPr>
        <w:t xml:space="preserve"> </w:t>
      </w:r>
      <w:r w:rsidRPr="0050605C">
        <w:rPr>
          <w:lang w:val="es-ES"/>
        </w:rPr>
        <w:t>Los derechos del n</w:t>
      </w:r>
      <w:r>
        <w:rPr>
          <w:lang w:val="es-ES"/>
        </w:rPr>
        <w:t>iño en la justicia de menores. </w:t>
      </w:r>
      <w:r w:rsidRPr="00A661B9">
        <w:rPr>
          <w:lang w:val="es-ES"/>
        </w:rPr>
        <w:t>CRC/C/GC/10, 25 de abril de 2007, párr.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41C7" w14:textId="77777777" w:rsidR="003F0CB9" w:rsidRDefault="003F0CB9" w:rsidP="00B93E7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D7B3068" w14:textId="77777777" w:rsidR="003F0CB9" w:rsidRDefault="003F0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92A7" w14:textId="77777777" w:rsidR="003F0CB9" w:rsidRDefault="003F0CB9" w:rsidP="00A50FCF">
    <w:pPr>
      <w:pStyle w:val="Header"/>
      <w:tabs>
        <w:tab w:val="clear" w:pos="4320"/>
        <w:tab w:val="clear" w:pos="8640"/>
      </w:tabs>
      <w:jc w:val="center"/>
      <w:rPr>
        <w:sz w:val="22"/>
        <w:szCs w:val="22"/>
      </w:rPr>
    </w:pPr>
    <w:r>
      <w:rPr>
        <w:noProof/>
        <w:sz w:val="22"/>
        <w:szCs w:val="22"/>
      </w:rPr>
      <w:drawing>
        <wp:inline distT="0" distB="0" distL="0" distR="0" wp14:anchorId="75D70A22" wp14:editId="55ACC365">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95ED65A" w14:textId="77777777" w:rsidR="003F0CB9" w:rsidRPr="00EC7D62" w:rsidRDefault="00F3014A" w:rsidP="00A50FCF">
    <w:pPr>
      <w:pStyle w:val="Header"/>
      <w:tabs>
        <w:tab w:val="clear" w:pos="4320"/>
        <w:tab w:val="clear" w:pos="8640"/>
      </w:tabs>
      <w:jc w:val="center"/>
      <w:rPr>
        <w:sz w:val="22"/>
        <w:szCs w:val="22"/>
      </w:rPr>
    </w:pPr>
    <w:r>
      <w:rPr>
        <w:noProof/>
        <w:sz w:val="22"/>
        <w:szCs w:val="22"/>
        <w:bdr w:val="nil"/>
      </w:rPr>
      <w:pict w14:anchorId="5FD0DC1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FA859DF"/>
    <w:multiLevelType w:val="hybridMultilevel"/>
    <w:tmpl w:val="6AB4FAD8"/>
    <w:lvl w:ilvl="0" w:tplc="A0AC6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6023686"/>
    <w:multiLevelType w:val="hybridMultilevel"/>
    <w:tmpl w:val="F86E1812"/>
    <w:lvl w:ilvl="0" w:tplc="91D2B51C">
      <w:start w:val="1"/>
      <w:numFmt w:val="decimal"/>
      <w:lvlText w:val="%1."/>
      <w:lvlJc w:val="left"/>
      <w:pPr>
        <w:tabs>
          <w:tab w:val="num" w:pos="990"/>
        </w:tabs>
        <w:ind w:left="99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2A0BA1"/>
    <w:multiLevelType w:val="hybridMultilevel"/>
    <w:tmpl w:val="4740CDAC"/>
    <w:lvl w:ilvl="0" w:tplc="C0086416">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795779"/>
    <w:multiLevelType w:val="singleLevel"/>
    <w:tmpl w:val="6132427E"/>
    <w:lvl w:ilvl="0">
      <w:start w:val="1"/>
      <w:numFmt w:val="decimal"/>
      <w:lvlText w:val="%1."/>
      <w:lvlJc w:val="left"/>
      <w:pPr>
        <w:tabs>
          <w:tab w:val="num" w:pos="720"/>
        </w:tabs>
        <w:ind w:left="0" w:firstLine="720"/>
      </w:pPr>
      <w:rPr>
        <w:rFonts w:ascii="Cambria" w:hAnsi="Cambria" w:hint="default"/>
        <w:b w:val="0"/>
        <w:color w:val="auto"/>
        <w:sz w:val="20"/>
        <w:szCs w:val="20"/>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D7D4B9D"/>
    <w:multiLevelType w:val="hybridMultilevel"/>
    <w:tmpl w:val="402EB966"/>
    <w:lvl w:ilvl="0" w:tplc="3668A7D4">
      <w:start w:val="1"/>
      <w:numFmt w:val="decimal"/>
      <w:pStyle w:val="parrafos"/>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2F50DD7"/>
    <w:multiLevelType w:val="hybridMultilevel"/>
    <w:tmpl w:val="FE384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235614"/>
    <w:multiLevelType w:val="hybridMultilevel"/>
    <w:tmpl w:val="AED83BF2"/>
    <w:lvl w:ilvl="0" w:tplc="83F6F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493980"/>
    <w:multiLevelType w:val="hybridMultilevel"/>
    <w:tmpl w:val="5F688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30C596E"/>
    <w:multiLevelType w:val="hybridMultilevel"/>
    <w:tmpl w:val="FB28F860"/>
    <w:lvl w:ilvl="0" w:tplc="9782F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CC36F6"/>
    <w:multiLevelType w:val="hybridMultilevel"/>
    <w:tmpl w:val="009824F4"/>
    <w:lvl w:ilvl="0" w:tplc="CE203FF4">
      <w:start w:val="24"/>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0"/>
  </w:num>
  <w:num w:numId="5">
    <w:abstractNumId w:val="50"/>
  </w:num>
  <w:num w:numId="6">
    <w:abstractNumId w:val="28"/>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1"/>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3"/>
  </w:num>
  <w:num w:numId="51">
    <w:abstractNumId w:val="19"/>
  </w:num>
  <w:num w:numId="52">
    <w:abstractNumId w:val="41"/>
  </w:num>
  <w:num w:numId="53">
    <w:abstractNumId w:val="44"/>
  </w:num>
  <w:num w:numId="54">
    <w:abstractNumId w:val="25"/>
  </w:num>
  <w:num w:numId="55">
    <w:abstractNumId w:val="46"/>
  </w:num>
  <w:num w:numId="56">
    <w:abstractNumId w:val="45"/>
  </w:num>
  <w:num w:numId="57">
    <w:abstractNumId w:val="62"/>
  </w:num>
  <w:num w:numId="58">
    <w:abstractNumId w:val="52"/>
  </w:num>
  <w:num w:numId="59">
    <w:abstractNumId w:val="48"/>
  </w:num>
  <w:num w:numId="60">
    <w:abstractNumId w:val="49"/>
  </w:num>
  <w:num w:numId="61">
    <w:abstractNumId w:val="54"/>
  </w:num>
  <w:num w:numId="62">
    <w:abstractNumId w:val="26"/>
  </w:num>
  <w:num w:numId="63">
    <w:abstractNumId w:val="4"/>
  </w:num>
  <w:num w:numId="64">
    <w:abstractNumId w:val="46"/>
    <w:lvlOverride w:ilvl="0">
      <w:startOverride w:val="1"/>
    </w:lvlOverride>
  </w:num>
  <w:num w:numId="65">
    <w:abstractNumId w:val="46"/>
  </w:num>
  <w:num w:numId="66">
    <w:abstractNumId w:val="24"/>
  </w:num>
  <w:num w:numId="67">
    <w:abstractNumId w:val="46"/>
  </w:num>
  <w:num w:numId="68">
    <w:abstractNumId w:val="46"/>
  </w:num>
  <w:num w:numId="69">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421"/>
    <w:rsid w:val="000039E1"/>
    <w:rsid w:val="0000474F"/>
    <w:rsid w:val="00005A80"/>
    <w:rsid w:val="000067E6"/>
    <w:rsid w:val="00006896"/>
    <w:rsid w:val="00006E1F"/>
    <w:rsid w:val="000070D7"/>
    <w:rsid w:val="00007505"/>
    <w:rsid w:val="00010923"/>
    <w:rsid w:val="00012223"/>
    <w:rsid w:val="0001306A"/>
    <w:rsid w:val="00013354"/>
    <w:rsid w:val="000158FD"/>
    <w:rsid w:val="000173B0"/>
    <w:rsid w:val="0001788C"/>
    <w:rsid w:val="00020103"/>
    <w:rsid w:val="000220D5"/>
    <w:rsid w:val="0002260B"/>
    <w:rsid w:val="000236A6"/>
    <w:rsid w:val="00023F26"/>
    <w:rsid w:val="000246DD"/>
    <w:rsid w:val="00025236"/>
    <w:rsid w:val="0002569F"/>
    <w:rsid w:val="00026058"/>
    <w:rsid w:val="00026178"/>
    <w:rsid w:val="000262BB"/>
    <w:rsid w:val="000268EC"/>
    <w:rsid w:val="000275DE"/>
    <w:rsid w:val="000277DF"/>
    <w:rsid w:val="00027A6B"/>
    <w:rsid w:val="0003059B"/>
    <w:rsid w:val="000307ED"/>
    <w:rsid w:val="000313D2"/>
    <w:rsid w:val="00031840"/>
    <w:rsid w:val="00032214"/>
    <w:rsid w:val="00032849"/>
    <w:rsid w:val="00032A59"/>
    <w:rsid w:val="00032CB3"/>
    <w:rsid w:val="00033E39"/>
    <w:rsid w:val="0003548A"/>
    <w:rsid w:val="00036706"/>
    <w:rsid w:val="0003731C"/>
    <w:rsid w:val="00037979"/>
    <w:rsid w:val="00040C3A"/>
    <w:rsid w:val="00040D72"/>
    <w:rsid w:val="00041C3C"/>
    <w:rsid w:val="000428B3"/>
    <w:rsid w:val="00042E6E"/>
    <w:rsid w:val="0004341E"/>
    <w:rsid w:val="00044112"/>
    <w:rsid w:val="00044242"/>
    <w:rsid w:val="0004577D"/>
    <w:rsid w:val="00046356"/>
    <w:rsid w:val="00046B19"/>
    <w:rsid w:val="00047F07"/>
    <w:rsid w:val="0005010A"/>
    <w:rsid w:val="00051157"/>
    <w:rsid w:val="00052AAC"/>
    <w:rsid w:val="00052F5D"/>
    <w:rsid w:val="00053636"/>
    <w:rsid w:val="00053C05"/>
    <w:rsid w:val="00054903"/>
    <w:rsid w:val="00054BE4"/>
    <w:rsid w:val="00054D5E"/>
    <w:rsid w:val="00056517"/>
    <w:rsid w:val="00057123"/>
    <w:rsid w:val="0005739F"/>
    <w:rsid w:val="00057B89"/>
    <w:rsid w:val="00057FBA"/>
    <w:rsid w:val="000600A2"/>
    <w:rsid w:val="0006028D"/>
    <w:rsid w:val="00062357"/>
    <w:rsid w:val="00064963"/>
    <w:rsid w:val="00064AEA"/>
    <w:rsid w:val="00064C26"/>
    <w:rsid w:val="0006557E"/>
    <w:rsid w:val="0006565A"/>
    <w:rsid w:val="00067A5D"/>
    <w:rsid w:val="00071204"/>
    <w:rsid w:val="000716C5"/>
    <w:rsid w:val="00071E8C"/>
    <w:rsid w:val="00073295"/>
    <w:rsid w:val="00073397"/>
    <w:rsid w:val="00074730"/>
    <w:rsid w:val="000749D1"/>
    <w:rsid w:val="0007506B"/>
    <w:rsid w:val="00075A6C"/>
    <w:rsid w:val="00075E23"/>
    <w:rsid w:val="00075F04"/>
    <w:rsid w:val="00076AD1"/>
    <w:rsid w:val="00080ACC"/>
    <w:rsid w:val="00081BE6"/>
    <w:rsid w:val="00081DCD"/>
    <w:rsid w:val="00082AE3"/>
    <w:rsid w:val="000856FE"/>
    <w:rsid w:val="00085D6B"/>
    <w:rsid w:val="00085E25"/>
    <w:rsid w:val="00087425"/>
    <w:rsid w:val="00087485"/>
    <w:rsid w:val="0008768F"/>
    <w:rsid w:val="0009077A"/>
    <w:rsid w:val="00092747"/>
    <w:rsid w:val="0009344A"/>
    <w:rsid w:val="00093E5D"/>
    <w:rsid w:val="00095559"/>
    <w:rsid w:val="00095CFB"/>
    <w:rsid w:val="0009624F"/>
    <w:rsid w:val="00096D63"/>
    <w:rsid w:val="000A040F"/>
    <w:rsid w:val="000A286F"/>
    <w:rsid w:val="000A392E"/>
    <w:rsid w:val="000A39E4"/>
    <w:rsid w:val="000A575F"/>
    <w:rsid w:val="000A576A"/>
    <w:rsid w:val="000A5820"/>
    <w:rsid w:val="000A6180"/>
    <w:rsid w:val="000A67BE"/>
    <w:rsid w:val="000A73DD"/>
    <w:rsid w:val="000A7944"/>
    <w:rsid w:val="000A7B59"/>
    <w:rsid w:val="000B1E36"/>
    <w:rsid w:val="000B24CC"/>
    <w:rsid w:val="000B289E"/>
    <w:rsid w:val="000B2BA2"/>
    <w:rsid w:val="000B3103"/>
    <w:rsid w:val="000B4145"/>
    <w:rsid w:val="000B49A9"/>
    <w:rsid w:val="000B49EA"/>
    <w:rsid w:val="000B5228"/>
    <w:rsid w:val="000B605E"/>
    <w:rsid w:val="000B66C2"/>
    <w:rsid w:val="000B6DDD"/>
    <w:rsid w:val="000B7029"/>
    <w:rsid w:val="000B7791"/>
    <w:rsid w:val="000B7F13"/>
    <w:rsid w:val="000C07E7"/>
    <w:rsid w:val="000C2BF9"/>
    <w:rsid w:val="000C3118"/>
    <w:rsid w:val="000C33FA"/>
    <w:rsid w:val="000C34EF"/>
    <w:rsid w:val="000C3AAC"/>
    <w:rsid w:val="000C3D9F"/>
    <w:rsid w:val="000C5453"/>
    <w:rsid w:val="000C572C"/>
    <w:rsid w:val="000C6E32"/>
    <w:rsid w:val="000C79FA"/>
    <w:rsid w:val="000D10DB"/>
    <w:rsid w:val="000D1B02"/>
    <w:rsid w:val="000D2AA7"/>
    <w:rsid w:val="000D2B20"/>
    <w:rsid w:val="000D2B80"/>
    <w:rsid w:val="000D37B5"/>
    <w:rsid w:val="000D393D"/>
    <w:rsid w:val="000D4697"/>
    <w:rsid w:val="000D4804"/>
    <w:rsid w:val="000D53D9"/>
    <w:rsid w:val="000D5981"/>
    <w:rsid w:val="000D661F"/>
    <w:rsid w:val="000D73E6"/>
    <w:rsid w:val="000D789D"/>
    <w:rsid w:val="000E026E"/>
    <w:rsid w:val="000E0274"/>
    <w:rsid w:val="000E0603"/>
    <w:rsid w:val="000E0C8F"/>
    <w:rsid w:val="000E0E5E"/>
    <w:rsid w:val="000E174E"/>
    <w:rsid w:val="000E199A"/>
    <w:rsid w:val="000E2936"/>
    <w:rsid w:val="000E2C78"/>
    <w:rsid w:val="000E38CF"/>
    <w:rsid w:val="000E3983"/>
    <w:rsid w:val="000E5EB5"/>
    <w:rsid w:val="000E5F14"/>
    <w:rsid w:val="000E7356"/>
    <w:rsid w:val="000E7B5D"/>
    <w:rsid w:val="000F001A"/>
    <w:rsid w:val="000F1368"/>
    <w:rsid w:val="000F20B0"/>
    <w:rsid w:val="000F2944"/>
    <w:rsid w:val="000F2C1E"/>
    <w:rsid w:val="000F2C32"/>
    <w:rsid w:val="000F35ED"/>
    <w:rsid w:val="000F4B98"/>
    <w:rsid w:val="000F4EE7"/>
    <w:rsid w:val="000F5AAB"/>
    <w:rsid w:val="000F7881"/>
    <w:rsid w:val="00100C04"/>
    <w:rsid w:val="00100D63"/>
    <w:rsid w:val="00100F4D"/>
    <w:rsid w:val="001016CF"/>
    <w:rsid w:val="00101859"/>
    <w:rsid w:val="00102217"/>
    <w:rsid w:val="001025E2"/>
    <w:rsid w:val="001046EA"/>
    <w:rsid w:val="00104A06"/>
    <w:rsid w:val="00104AC3"/>
    <w:rsid w:val="00105878"/>
    <w:rsid w:val="00105D0B"/>
    <w:rsid w:val="00106245"/>
    <w:rsid w:val="00106416"/>
    <w:rsid w:val="0010655A"/>
    <w:rsid w:val="00107131"/>
    <w:rsid w:val="00107252"/>
    <w:rsid w:val="0010736F"/>
    <w:rsid w:val="001104E2"/>
    <w:rsid w:val="00112D53"/>
    <w:rsid w:val="001135DE"/>
    <w:rsid w:val="00113F73"/>
    <w:rsid w:val="00114DF2"/>
    <w:rsid w:val="0011502F"/>
    <w:rsid w:val="00116971"/>
    <w:rsid w:val="00120A57"/>
    <w:rsid w:val="00121CC2"/>
    <w:rsid w:val="0012216B"/>
    <w:rsid w:val="00126967"/>
    <w:rsid w:val="00126997"/>
    <w:rsid w:val="00126ED6"/>
    <w:rsid w:val="00131863"/>
    <w:rsid w:val="00132F80"/>
    <w:rsid w:val="00133135"/>
    <w:rsid w:val="001331E7"/>
    <w:rsid w:val="0013364E"/>
    <w:rsid w:val="001338AC"/>
    <w:rsid w:val="00133EE5"/>
    <w:rsid w:val="00133F1A"/>
    <w:rsid w:val="00133F39"/>
    <w:rsid w:val="001341A7"/>
    <w:rsid w:val="001348CE"/>
    <w:rsid w:val="0013539D"/>
    <w:rsid w:val="001358E7"/>
    <w:rsid w:val="00135EFD"/>
    <w:rsid w:val="00136D43"/>
    <w:rsid w:val="00137910"/>
    <w:rsid w:val="00141B01"/>
    <w:rsid w:val="001423F3"/>
    <w:rsid w:val="00143AD0"/>
    <w:rsid w:val="0014417E"/>
    <w:rsid w:val="001453C0"/>
    <w:rsid w:val="0014549D"/>
    <w:rsid w:val="001455F8"/>
    <w:rsid w:val="0014597D"/>
    <w:rsid w:val="00145D18"/>
    <w:rsid w:val="00147ED6"/>
    <w:rsid w:val="001503EB"/>
    <w:rsid w:val="00151E24"/>
    <w:rsid w:val="00151E97"/>
    <w:rsid w:val="0015338A"/>
    <w:rsid w:val="00155A59"/>
    <w:rsid w:val="00155AAF"/>
    <w:rsid w:val="00157686"/>
    <w:rsid w:val="00157A06"/>
    <w:rsid w:val="00161D34"/>
    <w:rsid w:val="001639F4"/>
    <w:rsid w:val="00163B62"/>
    <w:rsid w:val="001647CB"/>
    <w:rsid w:val="00164C5E"/>
    <w:rsid w:val="00165840"/>
    <w:rsid w:val="00166189"/>
    <w:rsid w:val="00166294"/>
    <w:rsid w:val="00167A34"/>
    <w:rsid w:val="00167CC7"/>
    <w:rsid w:val="0017055B"/>
    <w:rsid w:val="00171E35"/>
    <w:rsid w:val="00171F49"/>
    <w:rsid w:val="001720B5"/>
    <w:rsid w:val="00172C9F"/>
    <w:rsid w:val="001738B4"/>
    <w:rsid w:val="00173CCD"/>
    <w:rsid w:val="00174957"/>
    <w:rsid w:val="00174D40"/>
    <w:rsid w:val="001760EF"/>
    <w:rsid w:val="001769B8"/>
    <w:rsid w:val="001774FD"/>
    <w:rsid w:val="0017762F"/>
    <w:rsid w:val="0018112C"/>
    <w:rsid w:val="00181F34"/>
    <w:rsid w:val="00182362"/>
    <w:rsid w:val="00183632"/>
    <w:rsid w:val="001842A4"/>
    <w:rsid w:val="00184B80"/>
    <w:rsid w:val="001855D9"/>
    <w:rsid w:val="00185826"/>
    <w:rsid w:val="00187301"/>
    <w:rsid w:val="00191F95"/>
    <w:rsid w:val="00192D94"/>
    <w:rsid w:val="00193510"/>
    <w:rsid w:val="00193B6A"/>
    <w:rsid w:val="001946E2"/>
    <w:rsid w:val="001948DD"/>
    <w:rsid w:val="00194A78"/>
    <w:rsid w:val="00194EE3"/>
    <w:rsid w:val="00195241"/>
    <w:rsid w:val="00195963"/>
    <w:rsid w:val="00196710"/>
    <w:rsid w:val="001969EE"/>
    <w:rsid w:val="00197AF3"/>
    <w:rsid w:val="001A00D6"/>
    <w:rsid w:val="001A122F"/>
    <w:rsid w:val="001A3772"/>
    <w:rsid w:val="001A4D23"/>
    <w:rsid w:val="001A518E"/>
    <w:rsid w:val="001A57E2"/>
    <w:rsid w:val="001A7870"/>
    <w:rsid w:val="001A79F6"/>
    <w:rsid w:val="001B103F"/>
    <w:rsid w:val="001B1EA5"/>
    <w:rsid w:val="001B2DD0"/>
    <w:rsid w:val="001B4117"/>
    <w:rsid w:val="001B54BD"/>
    <w:rsid w:val="001B54F9"/>
    <w:rsid w:val="001B62CA"/>
    <w:rsid w:val="001B70C0"/>
    <w:rsid w:val="001B7B8F"/>
    <w:rsid w:val="001C0C27"/>
    <w:rsid w:val="001C103F"/>
    <w:rsid w:val="001C1B41"/>
    <w:rsid w:val="001C227D"/>
    <w:rsid w:val="001C2B3A"/>
    <w:rsid w:val="001C2C1E"/>
    <w:rsid w:val="001C2E4B"/>
    <w:rsid w:val="001C550E"/>
    <w:rsid w:val="001C65C4"/>
    <w:rsid w:val="001C736D"/>
    <w:rsid w:val="001C757D"/>
    <w:rsid w:val="001C77BD"/>
    <w:rsid w:val="001C791C"/>
    <w:rsid w:val="001D0FC8"/>
    <w:rsid w:val="001D1579"/>
    <w:rsid w:val="001D18C7"/>
    <w:rsid w:val="001D3C34"/>
    <w:rsid w:val="001D3CDC"/>
    <w:rsid w:val="001D460E"/>
    <w:rsid w:val="001D54A5"/>
    <w:rsid w:val="001D55D0"/>
    <w:rsid w:val="001D64FE"/>
    <w:rsid w:val="001D65EF"/>
    <w:rsid w:val="001E15B6"/>
    <w:rsid w:val="001E16D3"/>
    <w:rsid w:val="001E1EFA"/>
    <w:rsid w:val="001E2363"/>
    <w:rsid w:val="001E3B4A"/>
    <w:rsid w:val="001E4084"/>
    <w:rsid w:val="001E5330"/>
    <w:rsid w:val="001E5F62"/>
    <w:rsid w:val="001E6719"/>
    <w:rsid w:val="001E7264"/>
    <w:rsid w:val="001F03E9"/>
    <w:rsid w:val="001F0A51"/>
    <w:rsid w:val="001F0FAD"/>
    <w:rsid w:val="001F18B0"/>
    <w:rsid w:val="001F235B"/>
    <w:rsid w:val="001F4B28"/>
    <w:rsid w:val="001F555A"/>
    <w:rsid w:val="001F60ED"/>
    <w:rsid w:val="001F6D4A"/>
    <w:rsid w:val="001F7B26"/>
    <w:rsid w:val="00200975"/>
    <w:rsid w:val="00200EFC"/>
    <w:rsid w:val="0020176C"/>
    <w:rsid w:val="00202589"/>
    <w:rsid w:val="00202A85"/>
    <w:rsid w:val="00204201"/>
    <w:rsid w:val="00204B4E"/>
    <w:rsid w:val="00204B61"/>
    <w:rsid w:val="00204CA8"/>
    <w:rsid w:val="00206BB8"/>
    <w:rsid w:val="00206C99"/>
    <w:rsid w:val="00207DB9"/>
    <w:rsid w:val="002106B9"/>
    <w:rsid w:val="00210FA9"/>
    <w:rsid w:val="0021274C"/>
    <w:rsid w:val="002133DE"/>
    <w:rsid w:val="002135B3"/>
    <w:rsid w:val="002136D9"/>
    <w:rsid w:val="0021396D"/>
    <w:rsid w:val="00214763"/>
    <w:rsid w:val="00214885"/>
    <w:rsid w:val="00214C43"/>
    <w:rsid w:val="00215ACA"/>
    <w:rsid w:val="0021697F"/>
    <w:rsid w:val="00220B11"/>
    <w:rsid w:val="00221F47"/>
    <w:rsid w:val="0022273F"/>
    <w:rsid w:val="00222BD0"/>
    <w:rsid w:val="00222CC1"/>
    <w:rsid w:val="0022460E"/>
    <w:rsid w:val="00224C8F"/>
    <w:rsid w:val="002250A3"/>
    <w:rsid w:val="00225425"/>
    <w:rsid w:val="00225BC1"/>
    <w:rsid w:val="00227343"/>
    <w:rsid w:val="0023062A"/>
    <w:rsid w:val="00230C16"/>
    <w:rsid w:val="00231488"/>
    <w:rsid w:val="00231A87"/>
    <w:rsid w:val="00232D0A"/>
    <w:rsid w:val="00233131"/>
    <w:rsid w:val="002348B7"/>
    <w:rsid w:val="002350D9"/>
    <w:rsid w:val="00235217"/>
    <w:rsid w:val="00235527"/>
    <w:rsid w:val="00237031"/>
    <w:rsid w:val="00237C64"/>
    <w:rsid w:val="00242BC1"/>
    <w:rsid w:val="0024639B"/>
    <w:rsid w:val="00246D1F"/>
    <w:rsid w:val="00247403"/>
    <w:rsid w:val="00247542"/>
    <w:rsid w:val="00250003"/>
    <w:rsid w:val="0025034F"/>
    <w:rsid w:val="00251A9A"/>
    <w:rsid w:val="00251F70"/>
    <w:rsid w:val="00252E51"/>
    <w:rsid w:val="00253007"/>
    <w:rsid w:val="002549FD"/>
    <w:rsid w:val="002561EA"/>
    <w:rsid w:val="00260333"/>
    <w:rsid w:val="00261A07"/>
    <w:rsid w:val="00261DCB"/>
    <w:rsid w:val="0026265C"/>
    <w:rsid w:val="00262BE4"/>
    <w:rsid w:val="00262C54"/>
    <w:rsid w:val="00262F12"/>
    <w:rsid w:val="00264053"/>
    <w:rsid w:val="00264807"/>
    <w:rsid w:val="00264819"/>
    <w:rsid w:val="00264C51"/>
    <w:rsid w:val="00265A3F"/>
    <w:rsid w:val="00266865"/>
    <w:rsid w:val="00266B61"/>
    <w:rsid w:val="00266D19"/>
    <w:rsid w:val="0026712A"/>
    <w:rsid w:val="00267267"/>
    <w:rsid w:val="002704DB"/>
    <w:rsid w:val="002708F6"/>
    <w:rsid w:val="00270EE2"/>
    <w:rsid w:val="0027259F"/>
    <w:rsid w:val="00272E26"/>
    <w:rsid w:val="00273926"/>
    <w:rsid w:val="00273CC4"/>
    <w:rsid w:val="002744FD"/>
    <w:rsid w:val="00276CB3"/>
    <w:rsid w:val="00276DF8"/>
    <w:rsid w:val="00277EF9"/>
    <w:rsid w:val="00280891"/>
    <w:rsid w:val="00280D10"/>
    <w:rsid w:val="00281046"/>
    <w:rsid w:val="002813E2"/>
    <w:rsid w:val="00281B74"/>
    <w:rsid w:val="00281EB3"/>
    <w:rsid w:val="002827DD"/>
    <w:rsid w:val="00284A5C"/>
    <w:rsid w:val="00284AE5"/>
    <w:rsid w:val="00284D8B"/>
    <w:rsid w:val="002855D8"/>
    <w:rsid w:val="00286479"/>
    <w:rsid w:val="002864FF"/>
    <w:rsid w:val="00287845"/>
    <w:rsid w:val="002878D3"/>
    <w:rsid w:val="0029017A"/>
    <w:rsid w:val="002907B1"/>
    <w:rsid w:val="00291424"/>
    <w:rsid w:val="002921B6"/>
    <w:rsid w:val="00293F4D"/>
    <w:rsid w:val="00296B0B"/>
    <w:rsid w:val="00296C02"/>
    <w:rsid w:val="00297BDB"/>
    <w:rsid w:val="002A064B"/>
    <w:rsid w:val="002A0AAE"/>
    <w:rsid w:val="002A2C7F"/>
    <w:rsid w:val="002A2F70"/>
    <w:rsid w:val="002A30C3"/>
    <w:rsid w:val="002A43A0"/>
    <w:rsid w:val="002A4AED"/>
    <w:rsid w:val="002A4D90"/>
    <w:rsid w:val="002A508D"/>
    <w:rsid w:val="002A5176"/>
    <w:rsid w:val="002A5820"/>
    <w:rsid w:val="002A59F9"/>
    <w:rsid w:val="002A5F76"/>
    <w:rsid w:val="002A642F"/>
    <w:rsid w:val="002B08B6"/>
    <w:rsid w:val="002B1064"/>
    <w:rsid w:val="002B2814"/>
    <w:rsid w:val="002B38D6"/>
    <w:rsid w:val="002B41FA"/>
    <w:rsid w:val="002B4438"/>
    <w:rsid w:val="002B60D3"/>
    <w:rsid w:val="002B68AF"/>
    <w:rsid w:val="002B7DE2"/>
    <w:rsid w:val="002B7FBD"/>
    <w:rsid w:val="002C3498"/>
    <w:rsid w:val="002C391D"/>
    <w:rsid w:val="002C4467"/>
    <w:rsid w:val="002C4E43"/>
    <w:rsid w:val="002C5E32"/>
    <w:rsid w:val="002C683D"/>
    <w:rsid w:val="002C7611"/>
    <w:rsid w:val="002C773B"/>
    <w:rsid w:val="002D0B8D"/>
    <w:rsid w:val="002D0B9C"/>
    <w:rsid w:val="002D0BA4"/>
    <w:rsid w:val="002D0CFF"/>
    <w:rsid w:val="002D0DD0"/>
    <w:rsid w:val="002D1E2A"/>
    <w:rsid w:val="002D2B26"/>
    <w:rsid w:val="002D40B8"/>
    <w:rsid w:val="002D46B7"/>
    <w:rsid w:val="002D5E39"/>
    <w:rsid w:val="002D6D98"/>
    <w:rsid w:val="002D6E6E"/>
    <w:rsid w:val="002D7061"/>
    <w:rsid w:val="002D7EA2"/>
    <w:rsid w:val="002E0803"/>
    <w:rsid w:val="002E0D3B"/>
    <w:rsid w:val="002E0DE4"/>
    <w:rsid w:val="002E187C"/>
    <w:rsid w:val="002E1D56"/>
    <w:rsid w:val="002E27E4"/>
    <w:rsid w:val="002E28ED"/>
    <w:rsid w:val="002E36E7"/>
    <w:rsid w:val="002E47DD"/>
    <w:rsid w:val="002E4AEA"/>
    <w:rsid w:val="002E50F8"/>
    <w:rsid w:val="002E606A"/>
    <w:rsid w:val="002E6B4F"/>
    <w:rsid w:val="002E7605"/>
    <w:rsid w:val="002E7679"/>
    <w:rsid w:val="002E76FF"/>
    <w:rsid w:val="002E774E"/>
    <w:rsid w:val="002F09F6"/>
    <w:rsid w:val="002F25D4"/>
    <w:rsid w:val="002F2658"/>
    <w:rsid w:val="002F32A6"/>
    <w:rsid w:val="002F3610"/>
    <w:rsid w:val="002F4C0C"/>
    <w:rsid w:val="002F5E85"/>
    <w:rsid w:val="002F5F27"/>
    <w:rsid w:val="002F78A8"/>
    <w:rsid w:val="003003E1"/>
    <w:rsid w:val="00300A80"/>
    <w:rsid w:val="00302733"/>
    <w:rsid w:val="003039B0"/>
    <w:rsid w:val="00303AA8"/>
    <w:rsid w:val="00303D52"/>
    <w:rsid w:val="00305823"/>
    <w:rsid w:val="00306BA8"/>
    <w:rsid w:val="00306D67"/>
    <w:rsid w:val="00307ABC"/>
    <w:rsid w:val="00307BA9"/>
    <w:rsid w:val="0031032D"/>
    <w:rsid w:val="00310419"/>
    <w:rsid w:val="0031140C"/>
    <w:rsid w:val="003114BF"/>
    <w:rsid w:val="0031160D"/>
    <w:rsid w:val="003121EC"/>
    <w:rsid w:val="00313816"/>
    <w:rsid w:val="00314078"/>
    <w:rsid w:val="00314FCF"/>
    <w:rsid w:val="0031535D"/>
    <w:rsid w:val="00315878"/>
    <w:rsid w:val="00315BF7"/>
    <w:rsid w:val="003170C7"/>
    <w:rsid w:val="0032048A"/>
    <w:rsid w:val="00322366"/>
    <w:rsid w:val="003223A8"/>
    <w:rsid w:val="00322B86"/>
    <w:rsid w:val="00323A4D"/>
    <w:rsid w:val="003240AC"/>
    <w:rsid w:val="0032425E"/>
    <w:rsid w:val="00324270"/>
    <w:rsid w:val="003242C5"/>
    <w:rsid w:val="00324329"/>
    <w:rsid w:val="00325C70"/>
    <w:rsid w:val="00326D2F"/>
    <w:rsid w:val="00326D7C"/>
    <w:rsid w:val="0032742E"/>
    <w:rsid w:val="0033028D"/>
    <w:rsid w:val="00330B87"/>
    <w:rsid w:val="00330F17"/>
    <w:rsid w:val="0033132D"/>
    <w:rsid w:val="0033169F"/>
    <w:rsid w:val="00333F4A"/>
    <w:rsid w:val="003345B2"/>
    <w:rsid w:val="003346E2"/>
    <w:rsid w:val="0033495F"/>
    <w:rsid w:val="003349BD"/>
    <w:rsid w:val="00334CB5"/>
    <w:rsid w:val="00336594"/>
    <w:rsid w:val="00336AC7"/>
    <w:rsid w:val="00337C27"/>
    <w:rsid w:val="003415B0"/>
    <w:rsid w:val="00341900"/>
    <w:rsid w:val="00341B9D"/>
    <w:rsid w:val="0034290F"/>
    <w:rsid w:val="0034460B"/>
    <w:rsid w:val="0034513A"/>
    <w:rsid w:val="003468EE"/>
    <w:rsid w:val="00346C95"/>
    <w:rsid w:val="00346FD2"/>
    <w:rsid w:val="00351CDE"/>
    <w:rsid w:val="00351E51"/>
    <w:rsid w:val="00354CBE"/>
    <w:rsid w:val="00355A84"/>
    <w:rsid w:val="00355F16"/>
    <w:rsid w:val="00356185"/>
    <w:rsid w:val="0035627E"/>
    <w:rsid w:val="00360380"/>
    <w:rsid w:val="00360565"/>
    <w:rsid w:val="00361415"/>
    <w:rsid w:val="0036207E"/>
    <w:rsid w:val="00362A3B"/>
    <w:rsid w:val="00362BBF"/>
    <w:rsid w:val="003633F1"/>
    <w:rsid w:val="00364273"/>
    <w:rsid w:val="00364908"/>
    <w:rsid w:val="00364F1B"/>
    <w:rsid w:val="00365872"/>
    <w:rsid w:val="0036670B"/>
    <w:rsid w:val="00367B18"/>
    <w:rsid w:val="00372414"/>
    <w:rsid w:val="00372C12"/>
    <w:rsid w:val="00373363"/>
    <w:rsid w:val="00374005"/>
    <w:rsid w:val="0037519E"/>
    <w:rsid w:val="00375491"/>
    <w:rsid w:val="00380647"/>
    <w:rsid w:val="00381151"/>
    <w:rsid w:val="00381208"/>
    <w:rsid w:val="003812C2"/>
    <w:rsid w:val="0038154F"/>
    <w:rsid w:val="00383FB7"/>
    <w:rsid w:val="00385D66"/>
    <w:rsid w:val="0038682D"/>
    <w:rsid w:val="00386CF0"/>
    <w:rsid w:val="003870C2"/>
    <w:rsid w:val="0038711E"/>
    <w:rsid w:val="00393E94"/>
    <w:rsid w:val="003945A4"/>
    <w:rsid w:val="0039523E"/>
    <w:rsid w:val="003952BF"/>
    <w:rsid w:val="00396276"/>
    <w:rsid w:val="003978EA"/>
    <w:rsid w:val="00397933"/>
    <w:rsid w:val="003A18A8"/>
    <w:rsid w:val="003A21EE"/>
    <w:rsid w:val="003A2D19"/>
    <w:rsid w:val="003A564C"/>
    <w:rsid w:val="003A5CCF"/>
    <w:rsid w:val="003A5F29"/>
    <w:rsid w:val="003A6B46"/>
    <w:rsid w:val="003A6C45"/>
    <w:rsid w:val="003A6E2B"/>
    <w:rsid w:val="003A72D5"/>
    <w:rsid w:val="003A78F1"/>
    <w:rsid w:val="003B153B"/>
    <w:rsid w:val="003B1D16"/>
    <w:rsid w:val="003B22A7"/>
    <w:rsid w:val="003B4AD0"/>
    <w:rsid w:val="003B4AFA"/>
    <w:rsid w:val="003B4DCA"/>
    <w:rsid w:val="003B5AE8"/>
    <w:rsid w:val="003B7479"/>
    <w:rsid w:val="003C053F"/>
    <w:rsid w:val="003C18F7"/>
    <w:rsid w:val="003C1AA4"/>
    <w:rsid w:val="003C2756"/>
    <w:rsid w:val="003C4482"/>
    <w:rsid w:val="003C45A5"/>
    <w:rsid w:val="003C4605"/>
    <w:rsid w:val="003C59AB"/>
    <w:rsid w:val="003C676B"/>
    <w:rsid w:val="003C6B4A"/>
    <w:rsid w:val="003C705D"/>
    <w:rsid w:val="003C7406"/>
    <w:rsid w:val="003D1371"/>
    <w:rsid w:val="003D27ED"/>
    <w:rsid w:val="003D2D02"/>
    <w:rsid w:val="003D3BC2"/>
    <w:rsid w:val="003D42E4"/>
    <w:rsid w:val="003D499B"/>
    <w:rsid w:val="003D4CAE"/>
    <w:rsid w:val="003D4CBB"/>
    <w:rsid w:val="003D4D2E"/>
    <w:rsid w:val="003D58D1"/>
    <w:rsid w:val="003D59C3"/>
    <w:rsid w:val="003D5E60"/>
    <w:rsid w:val="003D64E5"/>
    <w:rsid w:val="003D67C7"/>
    <w:rsid w:val="003D681B"/>
    <w:rsid w:val="003D7C03"/>
    <w:rsid w:val="003D7D8C"/>
    <w:rsid w:val="003E154F"/>
    <w:rsid w:val="003E4153"/>
    <w:rsid w:val="003E432F"/>
    <w:rsid w:val="003E4510"/>
    <w:rsid w:val="003E53B6"/>
    <w:rsid w:val="003E553F"/>
    <w:rsid w:val="003E5DA8"/>
    <w:rsid w:val="003E637B"/>
    <w:rsid w:val="003E6547"/>
    <w:rsid w:val="003E6A48"/>
    <w:rsid w:val="003E6CA1"/>
    <w:rsid w:val="003E6DB8"/>
    <w:rsid w:val="003E7131"/>
    <w:rsid w:val="003E7749"/>
    <w:rsid w:val="003E7D8C"/>
    <w:rsid w:val="003F0C4F"/>
    <w:rsid w:val="003F0CB9"/>
    <w:rsid w:val="003F17B6"/>
    <w:rsid w:val="003F2242"/>
    <w:rsid w:val="003F2C23"/>
    <w:rsid w:val="003F2E47"/>
    <w:rsid w:val="003F3854"/>
    <w:rsid w:val="003F4368"/>
    <w:rsid w:val="003F6066"/>
    <w:rsid w:val="003F736B"/>
    <w:rsid w:val="003F7802"/>
    <w:rsid w:val="003F7F64"/>
    <w:rsid w:val="004008CA"/>
    <w:rsid w:val="0040143C"/>
    <w:rsid w:val="004014C0"/>
    <w:rsid w:val="00401EB9"/>
    <w:rsid w:val="0040260F"/>
    <w:rsid w:val="004038BE"/>
    <w:rsid w:val="00403C18"/>
    <w:rsid w:val="00403DC7"/>
    <w:rsid w:val="0040403E"/>
    <w:rsid w:val="0040624D"/>
    <w:rsid w:val="00406F68"/>
    <w:rsid w:val="00410782"/>
    <w:rsid w:val="00410C50"/>
    <w:rsid w:val="004121E8"/>
    <w:rsid w:val="00412F00"/>
    <w:rsid w:val="00413A49"/>
    <w:rsid w:val="00413B9A"/>
    <w:rsid w:val="00413BFD"/>
    <w:rsid w:val="004140AE"/>
    <w:rsid w:val="00414FB9"/>
    <w:rsid w:val="00415671"/>
    <w:rsid w:val="00415E50"/>
    <w:rsid w:val="004165BB"/>
    <w:rsid w:val="004165C2"/>
    <w:rsid w:val="004167C6"/>
    <w:rsid w:val="00416E53"/>
    <w:rsid w:val="00417458"/>
    <w:rsid w:val="004203FA"/>
    <w:rsid w:val="004207B2"/>
    <w:rsid w:val="00420A76"/>
    <w:rsid w:val="0042158E"/>
    <w:rsid w:val="0042214F"/>
    <w:rsid w:val="00422638"/>
    <w:rsid w:val="00422669"/>
    <w:rsid w:val="00422DF2"/>
    <w:rsid w:val="004238FA"/>
    <w:rsid w:val="00425A23"/>
    <w:rsid w:val="00426114"/>
    <w:rsid w:val="00430659"/>
    <w:rsid w:val="004310D3"/>
    <w:rsid w:val="0043289D"/>
    <w:rsid w:val="00433542"/>
    <w:rsid w:val="00433A79"/>
    <w:rsid w:val="00434C6E"/>
    <w:rsid w:val="00434DA4"/>
    <w:rsid w:val="00435941"/>
    <w:rsid w:val="00435963"/>
    <w:rsid w:val="00435D6B"/>
    <w:rsid w:val="004365B6"/>
    <w:rsid w:val="00437655"/>
    <w:rsid w:val="00440518"/>
    <w:rsid w:val="00441ECB"/>
    <w:rsid w:val="00442456"/>
    <w:rsid w:val="0044262A"/>
    <w:rsid w:val="00443C6B"/>
    <w:rsid w:val="00444A18"/>
    <w:rsid w:val="00444E55"/>
    <w:rsid w:val="00445087"/>
    <w:rsid w:val="004450C8"/>
    <w:rsid w:val="00445BA7"/>
    <w:rsid w:val="00445BC8"/>
    <w:rsid w:val="00445D1C"/>
    <w:rsid w:val="00447E26"/>
    <w:rsid w:val="00450110"/>
    <w:rsid w:val="004505B3"/>
    <w:rsid w:val="00450886"/>
    <w:rsid w:val="00451187"/>
    <w:rsid w:val="00451728"/>
    <w:rsid w:val="004537E8"/>
    <w:rsid w:val="0045403A"/>
    <w:rsid w:val="0045489B"/>
    <w:rsid w:val="00454A97"/>
    <w:rsid w:val="00454E20"/>
    <w:rsid w:val="0045511B"/>
    <w:rsid w:val="0045589A"/>
    <w:rsid w:val="00455DE9"/>
    <w:rsid w:val="00455F00"/>
    <w:rsid w:val="004564AC"/>
    <w:rsid w:val="004564FD"/>
    <w:rsid w:val="00460889"/>
    <w:rsid w:val="00460DA8"/>
    <w:rsid w:val="00462187"/>
    <w:rsid w:val="004626A0"/>
    <w:rsid w:val="0046288F"/>
    <w:rsid w:val="004641E1"/>
    <w:rsid w:val="00464396"/>
    <w:rsid w:val="00465097"/>
    <w:rsid w:val="004670C8"/>
    <w:rsid w:val="00467B7E"/>
    <w:rsid w:val="00467D01"/>
    <w:rsid w:val="00467DC6"/>
    <w:rsid w:val="004708AA"/>
    <w:rsid w:val="00470B39"/>
    <w:rsid w:val="00470C3D"/>
    <w:rsid w:val="004716D3"/>
    <w:rsid w:val="004731F3"/>
    <w:rsid w:val="00474C4D"/>
    <w:rsid w:val="004756E2"/>
    <w:rsid w:val="00475DCA"/>
    <w:rsid w:val="004765C6"/>
    <w:rsid w:val="00477592"/>
    <w:rsid w:val="0047767C"/>
    <w:rsid w:val="004776C0"/>
    <w:rsid w:val="00477F1B"/>
    <w:rsid w:val="00481464"/>
    <w:rsid w:val="00481B09"/>
    <w:rsid w:val="00482340"/>
    <w:rsid w:val="00482EC8"/>
    <w:rsid w:val="004832F0"/>
    <w:rsid w:val="00483B74"/>
    <w:rsid w:val="0048462A"/>
    <w:rsid w:val="004866F9"/>
    <w:rsid w:val="00486E17"/>
    <w:rsid w:val="00486F1C"/>
    <w:rsid w:val="00487B50"/>
    <w:rsid w:val="004906BC"/>
    <w:rsid w:val="00490CA4"/>
    <w:rsid w:val="00490FD7"/>
    <w:rsid w:val="00492780"/>
    <w:rsid w:val="0049305A"/>
    <w:rsid w:val="00493315"/>
    <w:rsid w:val="0049419D"/>
    <w:rsid w:val="00494818"/>
    <w:rsid w:val="0049551A"/>
    <w:rsid w:val="00495776"/>
    <w:rsid w:val="004968CD"/>
    <w:rsid w:val="00496F20"/>
    <w:rsid w:val="0049705E"/>
    <w:rsid w:val="004975A2"/>
    <w:rsid w:val="004A055F"/>
    <w:rsid w:val="004A0DAF"/>
    <w:rsid w:val="004A1037"/>
    <w:rsid w:val="004A1877"/>
    <w:rsid w:val="004A1878"/>
    <w:rsid w:val="004A1D4C"/>
    <w:rsid w:val="004A24D7"/>
    <w:rsid w:val="004A3345"/>
    <w:rsid w:val="004A37AE"/>
    <w:rsid w:val="004A5933"/>
    <w:rsid w:val="004A621C"/>
    <w:rsid w:val="004A64A5"/>
    <w:rsid w:val="004A7FA3"/>
    <w:rsid w:val="004B12C2"/>
    <w:rsid w:val="004B1422"/>
    <w:rsid w:val="004B15CB"/>
    <w:rsid w:val="004B15EB"/>
    <w:rsid w:val="004B29D3"/>
    <w:rsid w:val="004B2FE1"/>
    <w:rsid w:val="004B305E"/>
    <w:rsid w:val="004B3129"/>
    <w:rsid w:val="004B3834"/>
    <w:rsid w:val="004B45FE"/>
    <w:rsid w:val="004B5234"/>
    <w:rsid w:val="004B5E9E"/>
    <w:rsid w:val="004B6F71"/>
    <w:rsid w:val="004B7A1E"/>
    <w:rsid w:val="004C02E6"/>
    <w:rsid w:val="004C20D2"/>
    <w:rsid w:val="004C21BF"/>
    <w:rsid w:val="004C382D"/>
    <w:rsid w:val="004C49C6"/>
    <w:rsid w:val="004C4B62"/>
    <w:rsid w:val="004C54C9"/>
    <w:rsid w:val="004C6D19"/>
    <w:rsid w:val="004C7515"/>
    <w:rsid w:val="004C790D"/>
    <w:rsid w:val="004C7A65"/>
    <w:rsid w:val="004D03EA"/>
    <w:rsid w:val="004D10E2"/>
    <w:rsid w:val="004D13C6"/>
    <w:rsid w:val="004D1538"/>
    <w:rsid w:val="004D195F"/>
    <w:rsid w:val="004D21D2"/>
    <w:rsid w:val="004D26DD"/>
    <w:rsid w:val="004D2720"/>
    <w:rsid w:val="004D3863"/>
    <w:rsid w:val="004D4C3B"/>
    <w:rsid w:val="004D5208"/>
    <w:rsid w:val="004D5FFE"/>
    <w:rsid w:val="004D6025"/>
    <w:rsid w:val="004D6618"/>
    <w:rsid w:val="004D7065"/>
    <w:rsid w:val="004D7BD4"/>
    <w:rsid w:val="004E05BF"/>
    <w:rsid w:val="004E1DFD"/>
    <w:rsid w:val="004E23F2"/>
    <w:rsid w:val="004E2649"/>
    <w:rsid w:val="004E3581"/>
    <w:rsid w:val="004E444B"/>
    <w:rsid w:val="004E6871"/>
    <w:rsid w:val="004E698B"/>
    <w:rsid w:val="004F0314"/>
    <w:rsid w:val="004F0B41"/>
    <w:rsid w:val="004F264E"/>
    <w:rsid w:val="004F2CA7"/>
    <w:rsid w:val="004F2D9A"/>
    <w:rsid w:val="004F3D8F"/>
    <w:rsid w:val="004F4766"/>
    <w:rsid w:val="004F47A6"/>
    <w:rsid w:val="004F4A57"/>
    <w:rsid w:val="004F4AE3"/>
    <w:rsid w:val="004F5FC2"/>
    <w:rsid w:val="004F608D"/>
    <w:rsid w:val="004F627D"/>
    <w:rsid w:val="004F6AE3"/>
    <w:rsid w:val="004F718D"/>
    <w:rsid w:val="005002E4"/>
    <w:rsid w:val="00500495"/>
    <w:rsid w:val="00501399"/>
    <w:rsid w:val="00501B35"/>
    <w:rsid w:val="0050605C"/>
    <w:rsid w:val="0050633D"/>
    <w:rsid w:val="00506B1C"/>
    <w:rsid w:val="00507622"/>
    <w:rsid w:val="00507BC4"/>
    <w:rsid w:val="00507DB8"/>
    <w:rsid w:val="00507EE3"/>
    <w:rsid w:val="0051071B"/>
    <w:rsid w:val="00510858"/>
    <w:rsid w:val="0051174C"/>
    <w:rsid w:val="0051193C"/>
    <w:rsid w:val="005128E4"/>
    <w:rsid w:val="005133DB"/>
    <w:rsid w:val="00513629"/>
    <w:rsid w:val="00513DBA"/>
    <w:rsid w:val="00515D8E"/>
    <w:rsid w:val="005166E5"/>
    <w:rsid w:val="005178F5"/>
    <w:rsid w:val="00520529"/>
    <w:rsid w:val="00521469"/>
    <w:rsid w:val="0052242C"/>
    <w:rsid w:val="0052260B"/>
    <w:rsid w:val="005228FC"/>
    <w:rsid w:val="00522CF3"/>
    <w:rsid w:val="00523485"/>
    <w:rsid w:val="00523D0B"/>
    <w:rsid w:val="00525560"/>
    <w:rsid w:val="005256FF"/>
    <w:rsid w:val="00526998"/>
    <w:rsid w:val="00527990"/>
    <w:rsid w:val="005302D2"/>
    <w:rsid w:val="00530614"/>
    <w:rsid w:val="00530A39"/>
    <w:rsid w:val="00531C9D"/>
    <w:rsid w:val="0053230F"/>
    <w:rsid w:val="0053297A"/>
    <w:rsid w:val="005337AB"/>
    <w:rsid w:val="00533A3C"/>
    <w:rsid w:val="00534F36"/>
    <w:rsid w:val="005350A2"/>
    <w:rsid w:val="005354F3"/>
    <w:rsid w:val="005357E9"/>
    <w:rsid w:val="00535EF9"/>
    <w:rsid w:val="00536100"/>
    <w:rsid w:val="00536923"/>
    <w:rsid w:val="00536BE4"/>
    <w:rsid w:val="0053749A"/>
    <w:rsid w:val="005374EF"/>
    <w:rsid w:val="005410B1"/>
    <w:rsid w:val="00541A3A"/>
    <w:rsid w:val="00541F6C"/>
    <w:rsid w:val="00542CAD"/>
    <w:rsid w:val="005430CE"/>
    <w:rsid w:val="005432FA"/>
    <w:rsid w:val="00544C49"/>
    <w:rsid w:val="00545107"/>
    <w:rsid w:val="00545247"/>
    <w:rsid w:val="00546EDA"/>
    <w:rsid w:val="00547485"/>
    <w:rsid w:val="0055039A"/>
    <w:rsid w:val="00550921"/>
    <w:rsid w:val="005515CF"/>
    <w:rsid w:val="005516A1"/>
    <w:rsid w:val="00554160"/>
    <w:rsid w:val="00554209"/>
    <w:rsid w:val="005544C9"/>
    <w:rsid w:val="005561C3"/>
    <w:rsid w:val="00556A26"/>
    <w:rsid w:val="00556A71"/>
    <w:rsid w:val="00556B0C"/>
    <w:rsid w:val="00557064"/>
    <w:rsid w:val="005572EF"/>
    <w:rsid w:val="00557797"/>
    <w:rsid w:val="005577BB"/>
    <w:rsid w:val="00557B73"/>
    <w:rsid w:val="00557BFC"/>
    <w:rsid w:val="00560476"/>
    <w:rsid w:val="00560839"/>
    <w:rsid w:val="00560958"/>
    <w:rsid w:val="00560B95"/>
    <w:rsid w:val="00560C4B"/>
    <w:rsid w:val="00561A0C"/>
    <w:rsid w:val="00562246"/>
    <w:rsid w:val="005636BB"/>
    <w:rsid w:val="00565744"/>
    <w:rsid w:val="005658BB"/>
    <w:rsid w:val="00566DA8"/>
    <w:rsid w:val="0056701B"/>
    <w:rsid w:val="00567755"/>
    <w:rsid w:val="00567C91"/>
    <w:rsid w:val="00567D17"/>
    <w:rsid w:val="005703AB"/>
    <w:rsid w:val="00570EF3"/>
    <w:rsid w:val="00570FD7"/>
    <w:rsid w:val="00572665"/>
    <w:rsid w:val="00572C50"/>
    <w:rsid w:val="00573F2D"/>
    <w:rsid w:val="0057402A"/>
    <w:rsid w:val="0057403D"/>
    <w:rsid w:val="0057646E"/>
    <w:rsid w:val="00576880"/>
    <w:rsid w:val="005771D0"/>
    <w:rsid w:val="00577D5B"/>
    <w:rsid w:val="00577FC3"/>
    <w:rsid w:val="005803BE"/>
    <w:rsid w:val="00580A87"/>
    <w:rsid w:val="00582FDF"/>
    <w:rsid w:val="00583FEA"/>
    <w:rsid w:val="005847B8"/>
    <w:rsid w:val="00584A6A"/>
    <w:rsid w:val="00584C6D"/>
    <w:rsid w:val="00587727"/>
    <w:rsid w:val="00587BFC"/>
    <w:rsid w:val="00590293"/>
    <w:rsid w:val="00590707"/>
    <w:rsid w:val="0059191A"/>
    <w:rsid w:val="005921FF"/>
    <w:rsid w:val="00592206"/>
    <w:rsid w:val="00593428"/>
    <w:rsid w:val="005937F1"/>
    <w:rsid w:val="00593C5A"/>
    <w:rsid w:val="00595A85"/>
    <w:rsid w:val="00595BE1"/>
    <w:rsid w:val="00595C1D"/>
    <w:rsid w:val="00595F18"/>
    <w:rsid w:val="00595FF5"/>
    <w:rsid w:val="00596132"/>
    <w:rsid w:val="005A0022"/>
    <w:rsid w:val="005A12F7"/>
    <w:rsid w:val="005A1957"/>
    <w:rsid w:val="005A2E87"/>
    <w:rsid w:val="005A4EC6"/>
    <w:rsid w:val="005A5671"/>
    <w:rsid w:val="005A578C"/>
    <w:rsid w:val="005A6D0E"/>
    <w:rsid w:val="005A7B93"/>
    <w:rsid w:val="005A7F62"/>
    <w:rsid w:val="005B05DB"/>
    <w:rsid w:val="005B0950"/>
    <w:rsid w:val="005B145E"/>
    <w:rsid w:val="005B2258"/>
    <w:rsid w:val="005B29F4"/>
    <w:rsid w:val="005B2E8D"/>
    <w:rsid w:val="005B3B54"/>
    <w:rsid w:val="005B52B0"/>
    <w:rsid w:val="005B6806"/>
    <w:rsid w:val="005C1656"/>
    <w:rsid w:val="005C2945"/>
    <w:rsid w:val="005C30FE"/>
    <w:rsid w:val="005C3558"/>
    <w:rsid w:val="005C4137"/>
    <w:rsid w:val="005C4225"/>
    <w:rsid w:val="005C4C67"/>
    <w:rsid w:val="005C4CA5"/>
    <w:rsid w:val="005C75B1"/>
    <w:rsid w:val="005D00E2"/>
    <w:rsid w:val="005D0B8C"/>
    <w:rsid w:val="005D0DB1"/>
    <w:rsid w:val="005D2644"/>
    <w:rsid w:val="005D427A"/>
    <w:rsid w:val="005D575B"/>
    <w:rsid w:val="005D6404"/>
    <w:rsid w:val="005D7737"/>
    <w:rsid w:val="005D7C04"/>
    <w:rsid w:val="005E063D"/>
    <w:rsid w:val="005E0661"/>
    <w:rsid w:val="005E19B9"/>
    <w:rsid w:val="005E4366"/>
    <w:rsid w:val="005E4EF2"/>
    <w:rsid w:val="005E5040"/>
    <w:rsid w:val="005E7A3F"/>
    <w:rsid w:val="005F0DAD"/>
    <w:rsid w:val="005F0F33"/>
    <w:rsid w:val="005F145A"/>
    <w:rsid w:val="005F17FF"/>
    <w:rsid w:val="005F1A4F"/>
    <w:rsid w:val="005F309E"/>
    <w:rsid w:val="005F35BF"/>
    <w:rsid w:val="005F3A64"/>
    <w:rsid w:val="005F3E92"/>
    <w:rsid w:val="005F47E6"/>
    <w:rsid w:val="005F4A72"/>
    <w:rsid w:val="005F4D85"/>
    <w:rsid w:val="005F566C"/>
    <w:rsid w:val="005F5DE3"/>
    <w:rsid w:val="005F5F7E"/>
    <w:rsid w:val="005F631F"/>
    <w:rsid w:val="005F68D6"/>
    <w:rsid w:val="005F6AC4"/>
    <w:rsid w:val="005F6D86"/>
    <w:rsid w:val="005F7829"/>
    <w:rsid w:val="005F7F4F"/>
    <w:rsid w:val="00600086"/>
    <w:rsid w:val="006003A0"/>
    <w:rsid w:val="006009F0"/>
    <w:rsid w:val="00600DEB"/>
    <w:rsid w:val="00600F0B"/>
    <w:rsid w:val="00602EF4"/>
    <w:rsid w:val="00603178"/>
    <w:rsid w:val="00604C10"/>
    <w:rsid w:val="006056BC"/>
    <w:rsid w:val="006063B5"/>
    <w:rsid w:val="006064D7"/>
    <w:rsid w:val="0060778C"/>
    <w:rsid w:val="00610C9A"/>
    <w:rsid w:val="00611470"/>
    <w:rsid w:val="006125C3"/>
    <w:rsid w:val="0061263D"/>
    <w:rsid w:val="00612C25"/>
    <w:rsid w:val="0061312B"/>
    <w:rsid w:val="0061320C"/>
    <w:rsid w:val="00613F27"/>
    <w:rsid w:val="0061517F"/>
    <w:rsid w:val="00615752"/>
    <w:rsid w:val="0061788D"/>
    <w:rsid w:val="00620205"/>
    <w:rsid w:val="00620DFF"/>
    <w:rsid w:val="00620F41"/>
    <w:rsid w:val="00621685"/>
    <w:rsid w:val="0062275A"/>
    <w:rsid w:val="00622B77"/>
    <w:rsid w:val="00622FE0"/>
    <w:rsid w:val="006234BF"/>
    <w:rsid w:val="00625BDB"/>
    <w:rsid w:val="00626C0E"/>
    <w:rsid w:val="0062771A"/>
    <w:rsid w:val="00627C9F"/>
    <w:rsid w:val="0063016E"/>
    <w:rsid w:val="00630B83"/>
    <w:rsid w:val="0063111D"/>
    <w:rsid w:val="006311E9"/>
    <w:rsid w:val="00632072"/>
    <w:rsid w:val="00632354"/>
    <w:rsid w:val="0063662B"/>
    <w:rsid w:val="006378C6"/>
    <w:rsid w:val="00637B6F"/>
    <w:rsid w:val="00640B7E"/>
    <w:rsid w:val="00640C93"/>
    <w:rsid w:val="006412DC"/>
    <w:rsid w:val="006415B1"/>
    <w:rsid w:val="00641634"/>
    <w:rsid w:val="00641D61"/>
    <w:rsid w:val="00642810"/>
    <w:rsid w:val="00642E8D"/>
    <w:rsid w:val="006436FF"/>
    <w:rsid w:val="00643770"/>
    <w:rsid w:val="006441C7"/>
    <w:rsid w:val="00645038"/>
    <w:rsid w:val="00645348"/>
    <w:rsid w:val="0064554E"/>
    <w:rsid w:val="00646AA8"/>
    <w:rsid w:val="00646DA2"/>
    <w:rsid w:val="00647FCE"/>
    <w:rsid w:val="00650203"/>
    <w:rsid w:val="006503B6"/>
    <w:rsid w:val="00651FA5"/>
    <w:rsid w:val="00652333"/>
    <w:rsid w:val="006525FB"/>
    <w:rsid w:val="006526CC"/>
    <w:rsid w:val="006547C8"/>
    <w:rsid w:val="0065587F"/>
    <w:rsid w:val="00655B8E"/>
    <w:rsid w:val="00655EFA"/>
    <w:rsid w:val="006566D7"/>
    <w:rsid w:val="00660470"/>
    <w:rsid w:val="006612F6"/>
    <w:rsid w:val="006623D8"/>
    <w:rsid w:val="006625E2"/>
    <w:rsid w:val="00663740"/>
    <w:rsid w:val="00663A7D"/>
    <w:rsid w:val="00666043"/>
    <w:rsid w:val="006665C5"/>
    <w:rsid w:val="00667AE3"/>
    <w:rsid w:val="006702F2"/>
    <w:rsid w:val="00670500"/>
    <w:rsid w:val="00672D33"/>
    <w:rsid w:val="00673DDA"/>
    <w:rsid w:val="00674176"/>
    <w:rsid w:val="0067442E"/>
    <w:rsid w:val="00675629"/>
    <w:rsid w:val="006758A3"/>
    <w:rsid w:val="00676933"/>
    <w:rsid w:val="00676A08"/>
    <w:rsid w:val="006773C0"/>
    <w:rsid w:val="0067796C"/>
    <w:rsid w:val="0068009E"/>
    <w:rsid w:val="00682041"/>
    <w:rsid w:val="006824F5"/>
    <w:rsid w:val="00682EFF"/>
    <w:rsid w:val="00685729"/>
    <w:rsid w:val="00685A24"/>
    <w:rsid w:val="00686400"/>
    <w:rsid w:val="00686C63"/>
    <w:rsid w:val="00692219"/>
    <w:rsid w:val="006924BC"/>
    <w:rsid w:val="006924D1"/>
    <w:rsid w:val="006929E7"/>
    <w:rsid w:val="006931CC"/>
    <w:rsid w:val="00693254"/>
    <w:rsid w:val="00696B3C"/>
    <w:rsid w:val="006A013E"/>
    <w:rsid w:val="006A0793"/>
    <w:rsid w:val="006A17D2"/>
    <w:rsid w:val="006A219E"/>
    <w:rsid w:val="006A235F"/>
    <w:rsid w:val="006A360F"/>
    <w:rsid w:val="006A37AF"/>
    <w:rsid w:val="006A3B43"/>
    <w:rsid w:val="006A3D1F"/>
    <w:rsid w:val="006A4B39"/>
    <w:rsid w:val="006A63EC"/>
    <w:rsid w:val="006A6C05"/>
    <w:rsid w:val="006A73E6"/>
    <w:rsid w:val="006A7B92"/>
    <w:rsid w:val="006B0255"/>
    <w:rsid w:val="006B03DC"/>
    <w:rsid w:val="006B0473"/>
    <w:rsid w:val="006B064F"/>
    <w:rsid w:val="006B19B0"/>
    <w:rsid w:val="006B1B55"/>
    <w:rsid w:val="006B2D5C"/>
    <w:rsid w:val="006B3FC6"/>
    <w:rsid w:val="006B4A92"/>
    <w:rsid w:val="006B4D40"/>
    <w:rsid w:val="006B54D6"/>
    <w:rsid w:val="006B58FC"/>
    <w:rsid w:val="006B5EB5"/>
    <w:rsid w:val="006B6508"/>
    <w:rsid w:val="006B6582"/>
    <w:rsid w:val="006B6DDA"/>
    <w:rsid w:val="006C0DF4"/>
    <w:rsid w:val="006C17FC"/>
    <w:rsid w:val="006C1A20"/>
    <w:rsid w:val="006C2512"/>
    <w:rsid w:val="006C2929"/>
    <w:rsid w:val="006C3D3F"/>
    <w:rsid w:val="006C3E68"/>
    <w:rsid w:val="006C3E91"/>
    <w:rsid w:val="006C4EB1"/>
    <w:rsid w:val="006C504D"/>
    <w:rsid w:val="006C5696"/>
    <w:rsid w:val="006C5AB0"/>
    <w:rsid w:val="006C7439"/>
    <w:rsid w:val="006D0D64"/>
    <w:rsid w:val="006D0E60"/>
    <w:rsid w:val="006D11B8"/>
    <w:rsid w:val="006D2A86"/>
    <w:rsid w:val="006D2C48"/>
    <w:rsid w:val="006D4948"/>
    <w:rsid w:val="006D56C1"/>
    <w:rsid w:val="006D59F5"/>
    <w:rsid w:val="006D5B51"/>
    <w:rsid w:val="006D6375"/>
    <w:rsid w:val="006D68AA"/>
    <w:rsid w:val="006D7526"/>
    <w:rsid w:val="006D761B"/>
    <w:rsid w:val="006D7834"/>
    <w:rsid w:val="006E0166"/>
    <w:rsid w:val="006E52E2"/>
    <w:rsid w:val="006E6392"/>
    <w:rsid w:val="006E6445"/>
    <w:rsid w:val="006E7B34"/>
    <w:rsid w:val="006F0959"/>
    <w:rsid w:val="006F0A36"/>
    <w:rsid w:val="006F0FE4"/>
    <w:rsid w:val="006F131F"/>
    <w:rsid w:val="006F3940"/>
    <w:rsid w:val="006F3C9D"/>
    <w:rsid w:val="006F423E"/>
    <w:rsid w:val="006F6257"/>
    <w:rsid w:val="006F6BEA"/>
    <w:rsid w:val="006F6F32"/>
    <w:rsid w:val="006F7072"/>
    <w:rsid w:val="007017A3"/>
    <w:rsid w:val="00702AC2"/>
    <w:rsid w:val="00704537"/>
    <w:rsid w:val="00704702"/>
    <w:rsid w:val="007054DB"/>
    <w:rsid w:val="0070697F"/>
    <w:rsid w:val="00706E8F"/>
    <w:rsid w:val="00707823"/>
    <w:rsid w:val="007107EE"/>
    <w:rsid w:val="00710A36"/>
    <w:rsid w:val="00710EFE"/>
    <w:rsid w:val="00711C14"/>
    <w:rsid w:val="00711C85"/>
    <w:rsid w:val="0071226E"/>
    <w:rsid w:val="00712B5D"/>
    <w:rsid w:val="00713242"/>
    <w:rsid w:val="00715013"/>
    <w:rsid w:val="00715C4A"/>
    <w:rsid w:val="00717480"/>
    <w:rsid w:val="0071773C"/>
    <w:rsid w:val="00717B63"/>
    <w:rsid w:val="00717E11"/>
    <w:rsid w:val="00721607"/>
    <w:rsid w:val="00721998"/>
    <w:rsid w:val="0072199C"/>
    <w:rsid w:val="00721EF0"/>
    <w:rsid w:val="007220D4"/>
    <w:rsid w:val="00722C9F"/>
    <w:rsid w:val="007238FA"/>
    <w:rsid w:val="00723CF5"/>
    <w:rsid w:val="007253B8"/>
    <w:rsid w:val="00726866"/>
    <w:rsid w:val="00726BD2"/>
    <w:rsid w:val="0072726B"/>
    <w:rsid w:val="00727475"/>
    <w:rsid w:val="00730315"/>
    <w:rsid w:val="00733DC5"/>
    <w:rsid w:val="00734677"/>
    <w:rsid w:val="00734941"/>
    <w:rsid w:val="00734E07"/>
    <w:rsid w:val="0073573E"/>
    <w:rsid w:val="00735C38"/>
    <w:rsid w:val="0073631B"/>
    <w:rsid w:val="007364B4"/>
    <w:rsid w:val="0073741F"/>
    <w:rsid w:val="0073779B"/>
    <w:rsid w:val="0074092A"/>
    <w:rsid w:val="00740CBE"/>
    <w:rsid w:val="00741496"/>
    <w:rsid w:val="00741ABD"/>
    <w:rsid w:val="007424D8"/>
    <w:rsid w:val="007425B6"/>
    <w:rsid w:val="00742886"/>
    <w:rsid w:val="007433E6"/>
    <w:rsid w:val="00744B31"/>
    <w:rsid w:val="00745C0C"/>
    <w:rsid w:val="0074605A"/>
    <w:rsid w:val="007463B8"/>
    <w:rsid w:val="00746C33"/>
    <w:rsid w:val="00747079"/>
    <w:rsid w:val="00747EC7"/>
    <w:rsid w:val="007501E2"/>
    <w:rsid w:val="00750E2F"/>
    <w:rsid w:val="00751425"/>
    <w:rsid w:val="007531AC"/>
    <w:rsid w:val="00753F83"/>
    <w:rsid w:val="00754350"/>
    <w:rsid w:val="00756509"/>
    <w:rsid w:val="007568F4"/>
    <w:rsid w:val="00756E9A"/>
    <w:rsid w:val="007603B6"/>
    <w:rsid w:val="00760813"/>
    <w:rsid w:val="0076158C"/>
    <w:rsid w:val="00761682"/>
    <w:rsid w:val="00762342"/>
    <w:rsid w:val="00762492"/>
    <w:rsid w:val="00763677"/>
    <w:rsid w:val="00763C2C"/>
    <w:rsid w:val="00763F68"/>
    <w:rsid w:val="00764917"/>
    <w:rsid w:val="00765F78"/>
    <w:rsid w:val="007663F5"/>
    <w:rsid w:val="0076643F"/>
    <w:rsid w:val="007664B5"/>
    <w:rsid w:val="00767A94"/>
    <w:rsid w:val="00767B04"/>
    <w:rsid w:val="00767FDE"/>
    <w:rsid w:val="00770402"/>
    <w:rsid w:val="00770866"/>
    <w:rsid w:val="00770EA7"/>
    <w:rsid w:val="007728E6"/>
    <w:rsid w:val="00773D52"/>
    <w:rsid w:val="00775062"/>
    <w:rsid w:val="00775AC2"/>
    <w:rsid w:val="00776068"/>
    <w:rsid w:val="00777F63"/>
    <w:rsid w:val="0078003D"/>
    <w:rsid w:val="00780156"/>
    <w:rsid w:val="0078086F"/>
    <w:rsid w:val="007836BD"/>
    <w:rsid w:val="00783BF3"/>
    <w:rsid w:val="00783E41"/>
    <w:rsid w:val="00784048"/>
    <w:rsid w:val="007848F8"/>
    <w:rsid w:val="00784DDF"/>
    <w:rsid w:val="00784E6A"/>
    <w:rsid w:val="00784F21"/>
    <w:rsid w:val="007855CD"/>
    <w:rsid w:val="0078659F"/>
    <w:rsid w:val="0078663B"/>
    <w:rsid w:val="00787B61"/>
    <w:rsid w:val="007905DB"/>
    <w:rsid w:val="00791533"/>
    <w:rsid w:val="00792503"/>
    <w:rsid w:val="007926E4"/>
    <w:rsid w:val="007933BE"/>
    <w:rsid w:val="0079412B"/>
    <w:rsid w:val="007953BE"/>
    <w:rsid w:val="00796197"/>
    <w:rsid w:val="007971E3"/>
    <w:rsid w:val="007A0A4D"/>
    <w:rsid w:val="007A1AF6"/>
    <w:rsid w:val="007A2557"/>
    <w:rsid w:val="007A2E93"/>
    <w:rsid w:val="007A4276"/>
    <w:rsid w:val="007A4F8F"/>
    <w:rsid w:val="007A507F"/>
    <w:rsid w:val="007A5110"/>
    <w:rsid w:val="007A5817"/>
    <w:rsid w:val="007A5CE4"/>
    <w:rsid w:val="007A6DD8"/>
    <w:rsid w:val="007B05CC"/>
    <w:rsid w:val="007B0855"/>
    <w:rsid w:val="007B257A"/>
    <w:rsid w:val="007B3199"/>
    <w:rsid w:val="007B32C7"/>
    <w:rsid w:val="007B34BB"/>
    <w:rsid w:val="007B3BA5"/>
    <w:rsid w:val="007B463A"/>
    <w:rsid w:val="007B5992"/>
    <w:rsid w:val="007B5C3F"/>
    <w:rsid w:val="007B60E9"/>
    <w:rsid w:val="007B6280"/>
    <w:rsid w:val="007B6CC3"/>
    <w:rsid w:val="007B7678"/>
    <w:rsid w:val="007C04E9"/>
    <w:rsid w:val="007C0F34"/>
    <w:rsid w:val="007C0F70"/>
    <w:rsid w:val="007C10C4"/>
    <w:rsid w:val="007C2003"/>
    <w:rsid w:val="007C305E"/>
    <w:rsid w:val="007C3290"/>
    <w:rsid w:val="007C32B3"/>
    <w:rsid w:val="007C3334"/>
    <w:rsid w:val="007C345C"/>
    <w:rsid w:val="007C3484"/>
    <w:rsid w:val="007C3CE6"/>
    <w:rsid w:val="007C42DB"/>
    <w:rsid w:val="007C4359"/>
    <w:rsid w:val="007C515A"/>
    <w:rsid w:val="007C5E08"/>
    <w:rsid w:val="007C756A"/>
    <w:rsid w:val="007D1BB5"/>
    <w:rsid w:val="007D2882"/>
    <w:rsid w:val="007D2B98"/>
    <w:rsid w:val="007D2C53"/>
    <w:rsid w:val="007D382F"/>
    <w:rsid w:val="007D480F"/>
    <w:rsid w:val="007D612D"/>
    <w:rsid w:val="007D6ED0"/>
    <w:rsid w:val="007D7BBD"/>
    <w:rsid w:val="007E0F7B"/>
    <w:rsid w:val="007E1234"/>
    <w:rsid w:val="007E17BE"/>
    <w:rsid w:val="007E21BC"/>
    <w:rsid w:val="007E3B0A"/>
    <w:rsid w:val="007E46E7"/>
    <w:rsid w:val="007E6E9E"/>
    <w:rsid w:val="007E757A"/>
    <w:rsid w:val="007E7D90"/>
    <w:rsid w:val="007F0BD7"/>
    <w:rsid w:val="007F0FF4"/>
    <w:rsid w:val="007F1B77"/>
    <w:rsid w:val="007F2758"/>
    <w:rsid w:val="007F2E67"/>
    <w:rsid w:val="007F4E8D"/>
    <w:rsid w:val="007F6174"/>
    <w:rsid w:val="007F732D"/>
    <w:rsid w:val="007F7E91"/>
    <w:rsid w:val="007F7E9A"/>
    <w:rsid w:val="00800DCB"/>
    <w:rsid w:val="00801FC1"/>
    <w:rsid w:val="00802DCA"/>
    <w:rsid w:val="0080320E"/>
    <w:rsid w:val="00803F1C"/>
    <w:rsid w:val="00805D9E"/>
    <w:rsid w:val="0080600E"/>
    <w:rsid w:val="0080641C"/>
    <w:rsid w:val="00807019"/>
    <w:rsid w:val="0080708D"/>
    <w:rsid w:val="008072EF"/>
    <w:rsid w:val="008117A6"/>
    <w:rsid w:val="008119AE"/>
    <w:rsid w:val="00812D81"/>
    <w:rsid w:val="00812E4D"/>
    <w:rsid w:val="00813005"/>
    <w:rsid w:val="00814608"/>
    <w:rsid w:val="00815021"/>
    <w:rsid w:val="008158B6"/>
    <w:rsid w:val="0081714A"/>
    <w:rsid w:val="008172B1"/>
    <w:rsid w:val="00817612"/>
    <w:rsid w:val="00821241"/>
    <w:rsid w:val="00821435"/>
    <w:rsid w:val="008217E6"/>
    <w:rsid w:val="00822880"/>
    <w:rsid w:val="008229F1"/>
    <w:rsid w:val="008247B4"/>
    <w:rsid w:val="00824839"/>
    <w:rsid w:val="00824ABB"/>
    <w:rsid w:val="00824B83"/>
    <w:rsid w:val="00825124"/>
    <w:rsid w:val="00825FFA"/>
    <w:rsid w:val="008260A8"/>
    <w:rsid w:val="008266A7"/>
    <w:rsid w:val="00826FF4"/>
    <w:rsid w:val="00827412"/>
    <w:rsid w:val="00830663"/>
    <w:rsid w:val="0083225C"/>
    <w:rsid w:val="008337FA"/>
    <w:rsid w:val="008338A4"/>
    <w:rsid w:val="00833D2A"/>
    <w:rsid w:val="00834F6C"/>
    <w:rsid w:val="00835116"/>
    <w:rsid w:val="00835EA9"/>
    <w:rsid w:val="00836365"/>
    <w:rsid w:val="00837C45"/>
    <w:rsid w:val="0084044C"/>
    <w:rsid w:val="00840690"/>
    <w:rsid w:val="0084078E"/>
    <w:rsid w:val="00842CBB"/>
    <w:rsid w:val="00843031"/>
    <w:rsid w:val="0084306C"/>
    <w:rsid w:val="00844730"/>
    <w:rsid w:val="008447E9"/>
    <w:rsid w:val="00844CD6"/>
    <w:rsid w:val="008451A6"/>
    <w:rsid w:val="008457C2"/>
    <w:rsid w:val="008463BE"/>
    <w:rsid w:val="008466F9"/>
    <w:rsid w:val="00847EAE"/>
    <w:rsid w:val="008501BA"/>
    <w:rsid w:val="008506B4"/>
    <w:rsid w:val="00852091"/>
    <w:rsid w:val="0085213F"/>
    <w:rsid w:val="00852FEB"/>
    <w:rsid w:val="008531A1"/>
    <w:rsid w:val="008537C1"/>
    <w:rsid w:val="00853E0A"/>
    <w:rsid w:val="00854DA6"/>
    <w:rsid w:val="00855347"/>
    <w:rsid w:val="008557EE"/>
    <w:rsid w:val="00857395"/>
    <w:rsid w:val="00857A82"/>
    <w:rsid w:val="00857C41"/>
    <w:rsid w:val="00857C79"/>
    <w:rsid w:val="0086033B"/>
    <w:rsid w:val="00860DE5"/>
    <w:rsid w:val="00860F24"/>
    <w:rsid w:val="00862024"/>
    <w:rsid w:val="0086278B"/>
    <w:rsid w:val="00863AF2"/>
    <w:rsid w:val="00864310"/>
    <w:rsid w:val="00864C18"/>
    <w:rsid w:val="008652AB"/>
    <w:rsid w:val="00865597"/>
    <w:rsid w:val="0086655E"/>
    <w:rsid w:val="00867060"/>
    <w:rsid w:val="008673B5"/>
    <w:rsid w:val="008673CE"/>
    <w:rsid w:val="00867E69"/>
    <w:rsid w:val="00870B97"/>
    <w:rsid w:val="00870FC9"/>
    <w:rsid w:val="00872782"/>
    <w:rsid w:val="00872A91"/>
    <w:rsid w:val="00873836"/>
    <w:rsid w:val="0087452D"/>
    <w:rsid w:val="00874D8E"/>
    <w:rsid w:val="00875DD1"/>
    <w:rsid w:val="008778C8"/>
    <w:rsid w:val="00877BAE"/>
    <w:rsid w:val="00880428"/>
    <w:rsid w:val="00883541"/>
    <w:rsid w:val="008835CF"/>
    <w:rsid w:val="00884CA3"/>
    <w:rsid w:val="008853EE"/>
    <w:rsid w:val="00885737"/>
    <w:rsid w:val="00885AE2"/>
    <w:rsid w:val="008863C6"/>
    <w:rsid w:val="00887550"/>
    <w:rsid w:val="008878E3"/>
    <w:rsid w:val="00887DD6"/>
    <w:rsid w:val="00887F1D"/>
    <w:rsid w:val="00890650"/>
    <w:rsid w:val="00890711"/>
    <w:rsid w:val="00890EBC"/>
    <w:rsid w:val="00892513"/>
    <w:rsid w:val="00894599"/>
    <w:rsid w:val="00895BCE"/>
    <w:rsid w:val="00897E12"/>
    <w:rsid w:val="008A0082"/>
    <w:rsid w:val="008A017C"/>
    <w:rsid w:val="008A06E5"/>
    <w:rsid w:val="008A078F"/>
    <w:rsid w:val="008A318F"/>
    <w:rsid w:val="008A49CC"/>
    <w:rsid w:val="008A5C39"/>
    <w:rsid w:val="008A69DE"/>
    <w:rsid w:val="008A69EE"/>
    <w:rsid w:val="008A7E0F"/>
    <w:rsid w:val="008B1237"/>
    <w:rsid w:val="008B12F5"/>
    <w:rsid w:val="008B17FC"/>
    <w:rsid w:val="008B257A"/>
    <w:rsid w:val="008B2C01"/>
    <w:rsid w:val="008B2CD8"/>
    <w:rsid w:val="008B3839"/>
    <w:rsid w:val="008B3B0D"/>
    <w:rsid w:val="008B3F03"/>
    <w:rsid w:val="008B6F72"/>
    <w:rsid w:val="008C07CA"/>
    <w:rsid w:val="008C213B"/>
    <w:rsid w:val="008C21C6"/>
    <w:rsid w:val="008C26B6"/>
    <w:rsid w:val="008C3098"/>
    <w:rsid w:val="008C4DF9"/>
    <w:rsid w:val="008C5FA1"/>
    <w:rsid w:val="008C60D0"/>
    <w:rsid w:val="008C7015"/>
    <w:rsid w:val="008D1531"/>
    <w:rsid w:val="008D223E"/>
    <w:rsid w:val="008D32E9"/>
    <w:rsid w:val="008D4375"/>
    <w:rsid w:val="008D47EF"/>
    <w:rsid w:val="008D4C91"/>
    <w:rsid w:val="008D5BA8"/>
    <w:rsid w:val="008D768D"/>
    <w:rsid w:val="008E0194"/>
    <w:rsid w:val="008E05BA"/>
    <w:rsid w:val="008E1029"/>
    <w:rsid w:val="008E11FA"/>
    <w:rsid w:val="008E169F"/>
    <w:rsid w:val="008E22CB"/>
    <w:rsid w:val="008E2D5B"/>
    <w:rsid w:val="008E2E59"/>
    <w:rsid w:val="008E2ECA"/>
    <w:rsid w:val="008E2FE7"/>
    <w:rsid w:val="008E3759"/>
    <w:rsid w:val="008E5438"/>
    <w:rsid w:val="008E5F7F"/>
    <w:rsid w:val="008E63CA"/>
    <w:rsid w:val="008E708E"/>
    <w:rsid w:val="008E76D8"/>
    <w:rsid w:val="008E7D64"/>
    <w:rsid w:val="008E7EB0"/>
    <w:rsid w:val="008F0262"/>
    <w:rsid w:val="008F0523"/>
    <w:rsid w:val="008F1912"/>
    <w:rsid w:val="008F1B28"/>
    <w:rsid w:val="008F2B75"/>
    <w:rsid w:val="008F2BBA"/>
    <w:rsid w:val="008F2F25"/>
    <w:rsid w:val="008F4922"/>
    <w:rsid w:val="008F604B"/>
    <w:rsid w:val="008F654E"/>
    <w:rsid w:val="008F68B8"/>
    <w:rsid w:val="008F6ADE"/>
    <w:rsid w:val="008F7033"/>
    <w:rsid w:val="008F711C"/>
    <w:rsid w:val="008F75C1"/>
    <w:rsid w:val="0090024B"/>
    <w:rsid w:val="0090066D"/>
    <w:rsid w:val="009009AD"/>
    <w:rsid w:val="009014A4"/>
    <w:rsid w:val="00901512"/>
    <w:rsid w:val="00901F41"/>
    <w:rsid w:val="0090270B"/>
    <w:rsid w:val="0090272D"/>
    <w:rsid w:val="009028B2"/>
    <w:rsid w:val="00902E4B"/>
    <w:rsid w:val="00903A00"/>
    <w:rsid w:val="009041DC"/>
    <w:rsid w:val="0090441D"/>
    <w:rsid w:val="00904BC2"/>
    <w:rsid w:val="00904C6E"/>
    <w:rsid w:val="00905626"/>
    <w:rsid w:val="00905B0E"/>
    <w:rsid w:val="00905C85"/>
    <w:rsid w:val="00907093"/>
    <w:rsid w:val="009070EE"/>
    <w:rsid w:val="00910791"/>
    <w:rsid w:val="00910B4D"/>
    <w:rsid w:val="009113FE"/>
    <w:rsid w:val="0091160B"/>
    <w:rsid w:val="00912A51"/>
    <w:rsid w:val="00913CB9"/>
    <w:rsid w:val="00914740"/>
    <w:rsid w:val="009151DE"/>
    <w:rsid w:val="00915C34"/>
    <w:rsid w:val="00915EAA"/>
    <w:rsid w:val="009172BE"/>
    <w:rsid w:val="00917B5A"/>
    <w:rsid w:val="00920A58"/>
    <w:rsid w:val="00920A8C"/>
    <w:rsid w:val="0092111F"/>
    <w:rsid w:val="00921179"/>
    <w:rsid w:val="009226B6"/>
    <w:rsid w:val="00922CB3"/>
    <w:rsid w:val="00922F96"/>
    <w:rsid w:val="00923DAA"/>
    <w:rsid w:val="0092419A"/>
    <w:rsid w:val="0092615B"/>
    <w:rsid w:val="009264C8"/>
    <w:rsid w:val="00926831"/>
    <w:rsid w:val="00926987"/>
    <w:rsid w:val="00931532"/>
    <w:rsid w:val="00931854"/>
    <w:rsid w:val="00932C05"/>
    <w:rsid w:val="00932D2A"/>
    <w:rsid w:val="00933253"/>
    <w:rsid w:val="00933857"/>
    <w:rsid w:val="00933C66"/>
    <w:rsid w:val="00933ECF"/>
    <w:rsid w:val="0093425C"/>
    <w:rsid w:val="009346E7"/>
    <w:rsid w:val="009347A4"/>
    <w:rsid w:val="00934A2C"/>
    <w:rsid w:val="009351D7"/>
    <w:rsid w:val="00935A39"/>
    <w:rsid w:val="00937274"/>
    <w:rsid w:val="00937BEE"/>
    <w:rsid w:val="00940710"/>
    <w:rsid w:val="009417FE"/>
    <w:rsid w:val="00941C6B"/>
    <w:rsid w:val="0094238F"/>
    <w:rsid w:val="00943AB8"/>
    <w:rsid w:val="0094539B"/>
    <w:rsid w:val="0094623F"/>
    <w:rsid w:val="00946FF0"/>
    <w:rsid w:val="00947CF8"/>
    <w:rsid w:val="009501AE"/>
    <w:rsid w:val="00950C7C"/>
    <w:rsid w:val="00950D89"/>
    <w:rsid w:val="00951977"/>
    <w:rsid w:val="00951B61"/>
    <w:rsid w:val="00951CBC"/>
    <w:rsid w:val="00953B10"/>
    <w:rsid w:val="009546B4"/>
    <w:rsid w:val="0095482A"/>
    <w:rsid w:val="00955152"/>
    <w:rsid w:val="00955A53"/>
    <w:rsid w:val="009563E6"/>
    <w:rsid w:val="00956D4B"/>
    <w:rsid w:val="00957036"/>
    <w:rsid w:val="009570C9"/>
    <w:rsid w:val="00957D4D"/>
    <w:rsid w:val="00960796"/>
    <w:rsid w:val="009609E8"/>
    <w:rsid w:val="00960D75"/>
    <w:rsid w:val="00961363"/>
    <w:rsid w:val="009620BF"/>
    <w:rsid w:val="00964560"/>
    <w:rsid w:val="00964EC3"/>
    <w:rsid w:val="00965842"/>
    <w:rsid w:val="00965BE1"/>
    <w:rsid w:val="00966B78"/>
    <w:rsid w:val="00966BB0"/>
    <w:rsid w:val="0096706E"/>
    <w:rsid w:val="0096725D"/>
    <w:rsid w:val="0097170D"/>
    <w:rsid w:val="0097330A"/>
    <w:rsid w:val="0097386B"/>
    <w:rsid w:val="00973ABD"/>
    <w:rsid w:val="0097410D"/>
    <w:rsid w:val="00974A4D"/>
    <w:rsid w:val="00975A05"/>
    <w:rsid w:val="00975C4E"/>
    <w:rsid w:val="009777BA"/>
    <w:rsid w:val="00980855"/>
    <w:rsid w:val="00980CE7"/>
    <w:rsid w:val="00981FBA"/>
    <w:rsid w:val="009838CE"/>
    <w:rsid w:val="0098489F"/>
    <w:rsid w:val="00985490"/>
    <w:rsid w:val="009859B2"/>
    <w:rsid w:val="0098601A"/>
    <w:rsid w:val="00986340"/>
    <w:rsid w:val="009868E6"/>
    <w:rsid w:val="00987CB9"/>
    <w:rsid w:val="009902EA"/>
    <w:rsid w:val="00990417"/>
    <w:rsid w:val="009905A3"/>
    <w:rsid w:val="00990FA8"/>
    <w:rsid w:val="00991866"/>
    <w:rsid w:val="00991D23"/>
    <w:rsid w:val="00992574"/>
    <w:rsid w:val="00993D77"/>
    <w:rsid w:val="00996680"/>
    <w:rsid w:val="009969BC"/>
    <w:rsid w:val="00996D4F"/>
    <w:rsid w:val="009978A1"/>
    <w:rsid w:val="00997BC5"/>
    <w:rsid w:val="009A00F6"/>
    <w:rsid w:val="009A0BE3"/>
    <w:rsid w:val="009A1A1A"/>
    <w:rsid w:val="009A3B76"/>
    <w:rsid w:val="009A4F41"/>
    <w:rsid w:val="009A51D3"/>
    <w:rsid w:val="009A5574"/>
    <w:rsid w:val="009A615F"/>
    <w:rsid w:val="009A6CB6"/>
    <w:rsid w:val="009A6FA2"/>
    <w:rsid w:val="009A7709"/>
    <w:rsid w:val="009B0F6D"/>
    <w:rsid w:val="009B1049"/>
    <w:rsid w:val="009B1106"/>
    <w:rsid w:val="009B1B0F"/>
    <w:rsid w:val="009B1F2C"/>
    <w:rsid w:val="009B27C5"/>
    <w:rsid w:val="009B32C0"/>
    <w:rsid w:val="009B381B"/>
    <w:rsid w:val="009B398C"/>
    <w:rsid w:val="009B4181"/>
    <w:rsid w:val="009B525A"/>
    <w:rsid w:val="009B5FF8"/>
    <w:rsid w:val="009B6CD6"/>
    <w:rsid w:val="009B741A"/>
    <w:rsid w:val="009C0911"/>
    <w:rsid w:val="009C0CFB"/>
    <w:rsid w:val="009C1355"/>
    <w:rsid w:val="009C17DC"/>
    <w:rsid w:val="009C1CDB"/>
    <w:rsid w:val="009C2A7C"/>
    <w:rsid w:val="009C2EDC"/>
    <w:rsid w:val="009C3454"/>
    <w:rsid w:val="009C3A93"/>
    <w:rsid w:val="009C4365"/>
    <w:rsid w:val="009C47E7"/>
    <w:rsid w:val="009C4E8E"/>
    <w:rsid w:val="009C4EAA"/>
    <w:rsid w:val="009C5166"/>
    <w:rsid w:val="009C5222"/>
    <w:rsid w:val="009C538D"/>
    <w:rsid w:val="009C6657"/>
    <w:rsid w:val="009C6902"/>
    <w:rsid w:val="009D138F"/>
    <w:rsid w:val="009D1753"/>
    <w:rsid w:val="009D1D5D"/>
    <w:rsid w:val="009D2796"/>
    <w:rsid w:val="009D2C74"/>
    <w:rsid w:val="009D2EE0"/>
    <w:rsid w:val="009D3CE6"/>
    <w:rsid w:val="009D4179"/>
    <w:rsid w:val="009D4434"/>
    <w:rsid w:val="009D671F"/>
    <w:rsid w:val="009D7611"/>
    <w:rsid w:val="009D76CA"/>
    <w:rsid w:val="009E0B61"/>
    <w:rsid w:val="009E1602"/>
    <w:rsid w:val="009E1BFE"/>
    <w:rsid w:val="009E1FE4"/>
    <w:rsid w:val="009E30BF"/>
    <w:rsid w:val="009E32A9"/>
    <w:rsid w:val="009E3A2D"/>
    <w:rsid w:val="009E4B7C"/>
    <w:rsid w:val="009E4BA0"/>
    <w:rsid w:val="009E4DEE"/>
    <w:rsid w:val="009E53DE"/>
    <w:rsid w:val="009E6D40"/>
    <w:rsid w:val="009F10DD"/>
    <w:rsid w:val="009F13ED"/>
    <w:rsid w:val="009F23CF"/>
    <w:rsid w:val="009F3FDE"/>
    <w:rsid w:val="009F419A"/>
    <w:rsid w:val="009F4A17"/>
    <w:rsid w:val="009F5419"/>
    <w:rsid w:val="009F5A69"/>
    <w:rsid w:val="009F6684"/>
    <w:rsid w:val="009F7BC5"/>
    <w:rsid w:val="00A00E79"/>
    <w:rsid w:val="00A01380"/>
    <w:rsid w:val="00A01623"/>
    <w:rsid w:val="00A02AC4"/>
    <w:rsid w:val="00A02E3B"/>
    <w:rsid w:val="00A03A30"/>
    <w:rsid w:val="00A05B2F"/>
    <w:rsid w:val="00A06208"/>
    <w:rsid w:val="00A06AA4"/>
    <w:rsid w:val="00A073B5"/>
    <w:rsid w:val="00A079D2"/>
    <w:rsid w:val="00A10C93"/>
    <w:rsid w:val="00A10F22"/>
    <w:rsid w:val="00A11086"/>
    <w:rsid w:val="00A117F9"/>
    <w:rsid w:val="00A11DF0"/>
    <w:rsid w:val="00A1240E"/>
    <w:rsid w:val="00A13C93"/>
    <w:rsid w:val="00A14422"/>
    <w:rsid w:val="00A14860"/>
    <w:rsid w:val="00A15B5E"/>
    <w:rsid w:val="00A15E16"/>
    <w:rsid w:val="00A15ED7"/>
    <w:rsid w:val="00A16033"/>
    <w:rsid w:val="00A1610D"/>
    <w:rsid w:val="00A168F9"/>
    <w:rsid w:val="00A173E4"/>
    <w:rsid w:val="00A174E1"/>
    <w:rsid w:val="00A17C84"/>
    <w:rsid w:val="00A20DDA"/>
    <w:rsid w:val="00A21251"/>
    <w:rsid w:val="00A212BB"/>
    <w:rsid w:val="00A219D8"/>
    <w:rsid w:val="00A21D2A"/>
    <w:rsid w:val="00A22415"/>
    <w:rsid w:val="00A23100"/>
    <w:rsid w:val="00A23D95"/>
    <w:rsid w:val="00A23DCE"/>
    <w:rsid w:val="00A254E9"/>
    <w:rsid w:val="00A255F3"/>
    <w:rsid w:val="00A2598E"/>
    <w:rsid w:val="00A260D8"/>
    <w:rsid w:val="00A26B7F"/>
    <w:rsid w:val="00A26CF9"/>
    <w:rsid w:val="00A26E6A"/>
    <w:rsid w:val="00A2709F"/>
    <w:rsid w:val="00A2745F"/>
    <w:rsid w:val="00A3052E"/>
    <w:rsid w:val="00A3172B"/>
    <w:rsid w:val="00A320CB"/>
    <w:rsid w:val="00A32392"/>
    <w:rsid w:val="00A328B3"/>
    <w:rsid w:val="00A32AB9"/>
    <w:rsid w:val="00A32EA9"/>
    <w:rsid w:val="00A32F47"/>
    <w:rsid w:val="00A33B1E"/>
    <w:rsid w:val="00A34259"/>
    <w:rsid w:val="00A34804"/>
    <w:rsid w:val="00A355D6"/>
    <w:rsid w:val="00A35C01"/>
    <w:rsid w:val="00A370F1"/>
    <w:rsid w:val="00A37217"/>
    <w:rsid w:val="00A372DA"/>
    <w:rsid w:val="00A37F78"/>
    <w:rsid w:val="00A41536"/>
    <w:rsid w:val="00A41B3E"/>
    <w:rsid w:val="00A422D1"/>
    <w:rsid w:val="00A4279D"/>
    <w:rsid w:val="00A44599"/>
    <w:rsid w:val="00A45023"/>
    <w:rsid w:val="00A47D11"/>
    <w:rsid w:val="00A47F90"/>
    <w:rsid w:val="00A50FCF"/>
    <w:rsid w:val="00A51725"/>
    <w:rsid w:val="00A51E82"/>
    <w:rsid w:val="00A528D1"/>
    <w:rsid w:val="00A52DD8"/>
    <w:rsid w:val="00A531DD"/>
    <w:rsid w:val="00A54A3D"/>
    <w:rsid w:val="00A54FA3"/>
    <w:rsid w:val="00A55BF2"/>
    <w:rsid w:val="00A56C8D"/>
    <w:rsid w:val="00A57A44"/>
    <w:rsid w:val="00A57FBB"/>
    <w:rsid w:val="00A610CD"/>
    <w:rsid w:val="00A6299D"/>
    <w:rsid w:val="00A6325A"/>
    <w:rsid w:val="00A63BB5"/>
    <w:rsid w:val="00A63CB6"/>
    <w:rsid w:val="00A63EAD"/>
    <w:rsid w:val="00A64C5D"/>
    <w:rsid w:val="00A655AE"/>
    <w:rsid w:val="00A657B8"/>
    <w:rsid w:val="00A65C09"/>
    <w:rsid w:val="00A661B9"/>
    <w:rsid w:val="00A6622F"/>
    <w:rsid w:val="00A66244"/>
    <w:rsid w:val="00A66E7F"/>
    <w:rsid w:val="00A67C71"/>
    <w:rsid w:val="00A7023D"/>
    <w:rsid w:val="00A7137D"/>
    <w:rsid w:val="00A73D68"/>
    <w:rsid w:val="00A73E7E"/>
    <w:rsid w:val="00A7427E"/>
    <w:rsid w:val="00A74CE9"/>
    <w:rsid w:val="00A75E63"/>
    <w:rsid w:val="00A76553"/>
    <w:rsid w:val="00A769AB"/>
    <w:rsid w:val="00A77C0A"/>
    <w:rsid w:val="00A77C8A"/>
    <w:rsid w:val="00A77EDD"/>
    <w:rsid w:val="00A814FA"/>
    <w:rsid w:val="00A84FD0"/>
    <w:rsid w:val="00A8572E"/>
    <w:rsid w:val="00A87BBB"/>
    <w:rsid w:val="00A91219"/>
    <w:rsid w:val="00A91924"/>
    <w:rsid w:val="00A91AE9"/>
    <w:rsid w:val="00A92F74"/>
    <w:rsid w:val="00A9301A"/>
    <w:rsid w:val="00A9309B"/>
    <w:rsid w:val="00A933BE"/>
    <w:rsid w:val="00A951B8"/>
    <w:rsid w:val="00A96D75"/>
    <w:rsid w:val="00A97576"/>
    <w:rsid w:val="00AA09A2"/>
    <w:rsid w:val="00AA1459"/>
    <w:rsid w:val="00AA1A66"/>
    <w:rsid w:val="00AA1AEC"/>
    <w:rsid w:val="00AA23FF"/>
    <w:rsid w:val="00AA28D6"/>
    <w:rsid w:val="00AA29EA"/>
    <w:rsid w:val="00AA49AD"/>
    <w:rsid w:val="00AA52E5"/>
    <w:rsid w:val="00AA53A2"/>
    <w:rsid w:val="00AA6BCD"/>
    <w:rsid w:val="00AA70F7"/>
    <w:rsid w:val="00AA7821"/>
    <w:rsid w:val="00AA7996"/>
    <w:rsid w:val="00AB03E5"/>
    <w:rsid w:val="00AB212A"/>
    <w:rsid w:val="00AB2D6D"/>
    <w:rsid w:val="00AB3EE2"/>
    <w:rsid w:val="00AB42B9"/>
    <w:rsid w:val="00AB4B43"/>
    <w:rsid w:val="00AB61F9"/>
    <w:rsid w:val="00AC0448"/>
    <w:rsid w:val="00AC046A"/>
    <w:rsid w:val="00AC09A7"/>
    <w:rsid w:val="00AC0D0F"/>
    <w:rsid w:val="00AC19CB"/>
    <w:rsid w:val="00AC1D28"/>
    <w:rsid w:val="00AC1EA4"/>
    <w:rsid w:val="00AC3FEA"/>
    <w:rsid w:val="00AC45FF"/>
    <w:rsid w:val="00AC55B9"/>
    <w:rsid w:val="00AC55D4"/>
    <w:rsid w:val="00AC6862"/>
    <w:rsid w:val="00AC68C2"/>
    <w:rsid w:val="00AC6DEB"/>
    <w:rsid w:val="00AC7CC5"/>
    <w:rsid w:val="00AD01CA"/>
    <w:rsid w:val="00AD084B"/>
    <w:rsid w:val="00AD0E7B"/>
    <w:rsid w:val="00AD1712"/>
    <w:rsid w:val="00AD18C2"/>
    <w:rsid w:val="00AD1C07"/>
    <w:rsid w:val="00AD2459"/>
    <w:rsid w:val="00AD26B5"/>
    <w:rsid w:val="00AD3D05"/>
    <w:rsid w:val="00AD7158"/>
    <w:rsid w:val="00AD7842"/>
    <w:rsid w:val="00AE01F0"/>
    <w:rsid w:val="00AE078B"/>
    <w:rsid w:val="00AE0B60"/>
    <w:rsid w:val="00AE1A1B"/>
    <w:rsid w:val="00AE1D46"/>
    <w:rsid w:val="00AE1F68"/>
    <w:rsid w:val="00AE206C"/>
    <w:rsid w:val="00AE22B6"/>
    <w:rsid w:val="00AE2BA3"/>
    <w:rsid w:val="00AE3366"/>
    <w:rsid w:val="00AE3770"/>
    <w:rsid w:val="00AE4356"/>
    <w:rsid w:val="00AE53EF"/>
    <w:rsid w:val="00AE5488"/>
    <w:rsid w:val="00AE5F52"/>
    <w:rsid w:val="00AE650D"/>
    <w:rsid w:val="00AE6BB4"/>
    <w:rsid w:val="00AE6F91"/>
    <w:rsid w:val="00AE7470"/>
    <w:rsid w:val="00AF12C5"/>
    <w:rsid w:val="00AF1313"/>
    <w:rsid w:val="00AF1BB3"/>
    <w:rsid w:val="00AF297A"/>
    <w:rsid w:val="00AF3B50"/>
    <w:rsid w:val="00AF3E44"/>
    <w:rsid w:val="00AF45FF"/>
    <w:rsid w:val="00AF4E2C"/>
    <w:rsid w:val="00AF52CD"/>
    <w:rsid w:val="00AF5571"/>
    <w:rsid w:val="00AF6054"/>
    <w:rsid w:val="00AF7988"/>
    <w:rsid w:val="00B0075C"/>
    <w:rsid w:val="00B0092A"/>
    <w:rsid w:val="00B03152"/>
    <w:rsid w:val="00B03C4B"/>
    <w:rsid w:val="00B05F3F"/>
    <w:rsid w:val="00B061A1"/>
    <w:rsid w:val="00B0693A"/>
    <w:rsid w:val="00B07184"/>
    <w:rsid w:val="00B072D4"/>
    <w:rsid w:val="00B07341"/>
    <w:rsid w:val="00B07D32"/>
    <w:rsid w:val="00B07ED5"/>
    <w:rsid w:val="00B1115E"/>
    <w:rsid w:val="00B12086"/>
    <w:rsid w:val="00B12D66"/>
    <w:rsid w:val="00B133F8"/>
    <w:rsid w:val="00B13B4E"/>
    <w:rsid w:val="00B14359"/>
    <w:rsid w:val="00B1439F"/>
    <w:rsid w:val="00B146A2"/>
    <w:rsid w:val="00B173F9"/>
    <w:rsid w:val="00B17B22"/>
    <w:rsid w:val="00B17D01"/>
    <w:rsid w:val="00B21765"/>
    <w:rsid w:val="00B218F2"/>
    <w:rsid w:val="00B22275"/>
    <w:rsid w:val="00B22B25"/>
    <w:rsid w:val="00B2327F"/>
    <w:rsid w:val="00B232B1"/>
    <w:rsid w:val="00B23891"/>
    <w:rsid w:val="00B2559D"/>
    <w:rsid w:val="00B264F2"/>
    <w:rsid w:val="00B26A2E"/>
    <w:rsid w:val="00B26D3A"/>
    <w:rsid w:val="00B30539"/>
    <w:rsid w:val="00B314C9"/>
    <w:rsid w:val="00B314DB"/>
    <w:rsid w:val="00B33123"/>
    <w:rsid w:val="00B3334E"/>
    <w:rsid w:val="00B347FF"/>
    <w:rsid w:val="00B349A7"/>
    <w:rsid w:val="00B34CE7"/>
    <w:rsid w:val="00B35447"/>
    <w:rsid w:val="00B361F2"/>
    <w:rsid w:val="00B3696C"/>
    <w:rsid w:val="00B3718B"/>
    <w:rsid w:val="00B371A3"/>
    <w:rsid w:val="00B37258"/>
    <w:rsid w:val="00B3785B"/>
    <w:rsid w:val="00B37F23"/>
    <w:rsid w:val="00B400D0"/>
    <w:rsid w:val="00B405AB"/>
    <w:rsid w:val="00B4091B"/>
    <w:rsid w:val="00B41093"/>
    <w:rsid w:val="00B414B1"/>
    <w:rsid w:val="00B419FB"/>
    <w:rsid w:val="00B422E6"/>
    <w:rsid w:val="00B42B1B"/>
    <w:rsid w:val="00B42C33"/>
    <w:rsid w:val="00B42D93"/>
    <w:rsid w:val="00B437D1"/>
    <w:rsid w:val="00B4406A"/>
    <w:rsid w:val="00B4429C"/>
    <w:rsid w:val="00B45335"/>
    <w:rsid w:val="00B4632A"/>
    <w:rsid w:val="00B468B0"/>
    <w:rsid w:val="00B5105C"/>
    <w:rsid w:val="00B5107C"/>
    <w:rsid w:val="00B513B1"/>
    <w:rsid w:val="00B519D9"/>
    <w:rsid w:val="00B528F2"/>
    <w:rsid w:val="00B530F1"/>
    <w:rsid w:val="00B53E15"/>
    <w:rsid w:val="00B540C9"/>
    <w:rsid w:val="00B544C5"/>
    <w:rsid w:val="00B5453C"/>
    <w:rsid w:val="00B54A0C"/>
    <w:rsid w:val="00B54DD3"/>
    <w:rsid w:val="00B54EEB"/>
    <w:rsid w:val="00B5535F"/>
    <w:rsid w:val="00B555F3"/>
    <w:rsid w:val="00B55CAF"/>
    <w:rsid w:val="00B56224"/>
    <w:rsid w:val="00B56A9A"/>
    <w:rsid w:val="00B56EE5"/>
    <w:rsid w:val="00B56F8B"/>
    <w:rsid w:val="00B60327"/>
    <w:rsid w:val="00B613B4"/>
    <w:rsid w:val="00B61A62"/>
    <w:rsid w:val="00B621DF"/>
    <w:rsid w:val="00B632D6"/>
    <w:rsid w:val="00B64ADD"/>
    <w:rsid w:val="00B64ED9"/>
    <w:rsid w:val="00B6543C"/>
    <w:rsid w:val="00B65E70"/>
    <w:rsid w:val="00B6676A"/>
    <w:rsid w:val="00B66BB2"/>
    <w:rsid w:val="00B66C9C"/>
    <w:rsid w:val="00B67999"/>
    <w:rsid w:val="00B733AD"/>
    <w:rsid w:val="00B73BDD"/>
    <w:rsid w:val="00B748B6"/>
    <w:rsid w:val="00B763F7"/>
    <w:rsid w:val="00B767DD"/>
    <w:rsid w:val="00B7691A"/>
    <w:rsid w:val="00B773EE"/>
    <w:rsid w:val="00B77924"/>
    <w:rsid w:val="00B80DB1"/>
    <w:rsid w:val="00B82515"/>
    <w:rsid w:val="00B82AE1"/>
    <w:rsid w:val="00B82E40"/>
    <w:rsid w:val="00B861AB"/>
    <w:rsid w:val="00B86F96"/>
    <w:rsid w:val="00B87258"/>
    <w:rsid w:val="00B87418"/>
    <w:rsid w:val="00B90232"/>
    <w:rsid w:val="00B904EF"/>
    <w:rsid w:val="00B910C5"/>
    <w:rsid w:val="00B913B7"/>
    <w:rsid w:val="00B92F90"/>
    <w:rsid w:val="00B93E79"/>
    <w:rsid w:val="00B943A1"/>
    <w:rsid w:val="00B955BE"/>
    <w:rsid w:val="00B95694"/>
    <w:rsid w:val="00B96D97"/>
    <w:rsid w:val="00B9711F"/>
    <w:rsid w:val="00BA0F2B"/>
    <w:rsid w:val="00BA276C"/>
    <w:rsid w:val="00BA3202"/>
    <w:rsid w:val="00BA3299"/>
    <w:rsid w:val="00BA40AF"/>
    <w:rsid w:val="00BA4119"/>
    <w:rsid w:val="00BA461E"/>
    <w:rsid w:val="00BA561F"/>
    <w:rsid w:val="00BA612A"/>
    <w:rsid w:val="00BB00F9"/>
    <w:rsid w:val="00BB0D78"/>
    <w:rsid w:val="00BB0E9F"/>
    <w:rsid w:val="00BB1970"/>
    <w:rsid w:val="00BB1E7E"/>
    <w:rsid w:val="00BB306F"/>
    <w:rsid w:val="00BB388A"/>
    <w:rsid w:val="00BB391D"/>
    <w:rsid w:val="00BB3952"/>
    <w:rsid w:val="00BB3AEC"/>
    <w:rsid w:val="00BB3B69"/>
    <w:rsid w:val="00BB447D"/>
    <w:rsid w:val="00BB4D34"/>
    <w:rsid w:val="00BB515F"/>
    <w:rsid w:val="00BB58B5"/>
    <w:rsid w:val="00BB5D01"/>
    <w:rsid w:val="00BB5E14"/>
    <w:rsid w:val="00BB5E4F"/>
    <w:rsid w:val="00BC0C23"/>
    <w:rsid w:val="00BC1180"/>
    <w:rsid w:val="00BC1787"/>
    <w:rsid w:val="00BC1D4B"/>
    <w:rsid w:val="00BC24A7"/>
    <w:rsid w:val="00BC2D6F"/>
    <w:rsid w:val="00BC349D"/>
    <w:rsid w:val="00BC4FA6"/>
    <w:rsid w:val="00BC529B"/>
    <w:rsid w:val="00BC5AA6"/>
    <w:rsid w:val="00BC5CA7"/>
    <w:rsid w:val="00BC68E2"/>
    <w:rsid w:val="00BD004A"/>
    <w:rsid w:val="00BD1235"/>
    <w:rsid w:val="00BD2BCD"/>
    <w:rsid w:val="00BD2E4C"/>
    <w:rsid w:val="00BD3901"/>
    <w:rsid w:val="00BD4B89"/>
    <w:rsid w:val="00BD5DD3"/>
    <w:rsid w:val="00BD662E"/>
    <w:rsid w:val="00BD6848"/>
    <w:rsid w:val="00BD731D"/>
    <w:rsid w:val="00BE0BB1"/>
    <w:rsid w:val="00BE0DA5"/>
    <w:rsid w:val="00BE341F"/>
    <w:rsid w:val="00BE401C"/>
    <w:rsid w:val="00BE4208"/>
    <w:rsid w:val="00BE4A4A"/>
    <w:rsid w:val="00BE5C7E"/>
    <w:rsid w:val="00BF02CB"/>
    <w:rsid w:val="00BF043C"/>
    <w:rsid w:val="00BF0698"/>
    <w:rsid w:val="00BF11D3"/>
    <w:rsid w:val="00BF1664"/>
    <w:rsid w:val="00BF1914"/>
    <w:rsid w:val="00BF3EC4"/>
    <w:rsid w:val="00BF517B"/>
    <w:rsid w:val="00BF5BF6"/>
    <w:rsid w:val="00BF6DBC"/>
    <w:rsid w:val="00BF6FD8"/>
    <w:rsid w:val="00BF7E6D"/>
    <w:rsid w:val="00C0022E"/>
    <w:rsid w:val="00C00366"/>
    <w:rsid w:val="00C02F02"/>
    <w:rsid w:val="00C030F0"/>
    <w:rsid w:val="00C03646"/>
    <w:rsid w:val="00C03680"/>
    <w:rsid w:val="00C0381A"/>
    <w:rsid w:val="00C04BF2"/>
    <w:rsid w:val="00C04ED6"/>
    <w:rsid w:val="00C05171"/>
    <w:rsid w:val="00C054DF"/>
    <w:rsid w:val="00C067E1"/>
    <w:rsid w:val="00C06D48"/>
    <w:rsid w:val="00C07324"/>
    <w:rsid w:val="00C07C28"/>
    <w:rsid w:val="00C1002E"/>
    <w:rsid w:val="00C10341"/>
    <w:rsid w:val="00C10EF5"/>
    <w:rsid w:val="00C10F96"/>
    <w:rsid w:val="00C11AF4"/>
    <w:rsid w:val="00C11AFE"/>
    <w:rsid w:val="00C12DCE"/>
    <w:rsid w:val="00C13BFB"/>
    <w:rsid w:val="00C1402A"/>
    <w:rsid w:val="00C14A21"/>
    <w:rsid w:val="00C14BD8"/>
    <w:rsid w:val="00C14CF1"/>
    <w:rsid w:val="00C1672B"/>
    <w:rsid w:val="00C20DE7"/>
    <w:rsid w:val="00C2135F"/>
    <w:rsid w:val="00C21762"/>
    <w:rsid w:val="00C21A4C"/>
    <w:rsid w:val="00C21CF0"/>
    <w:rsid w:val="00C21DBB"/>
    <w:rsid w:val="00C22FBA"/>
    <w:rsid w:val="00C23CFF"/>
    <w:rsid w:val="00C2419E"/>
    <w:rsid w:val="00C24543"/>
    <w:rsid w:val="00C24803"/>
    <w:rsid w:val="00C256A2"/>
    <w:rsid w:val="00C257CE"/>
    <w:rsid w:val="00C258AF"/>
    <w:rsid w:val="00C262CB"/>
    <w:rsid w:val="00C26CB2"/>
    <w:rsid w:val="00C27360"/>
    <w:rsid w:val="00C3066E"/>
    <w:rsid w:val="00C343A4"/>
    <w:rsid w:val="00C34D22"/>
    <w:rsid w:val="00C353B4"/>
    <w:rsid w:val="00C3608E"/>
    <w:rsid w:val="00C3744A"/>
    <w:rsid w:val="00C404BA"/>
    <w:rsid w:val="00C404C6"/>
    <w:rsid w:val="00C40789"/>
    <w:rsid w:val="00C41643"/>
    <w:rsid w:val="00C41E22"/>
    <w:rsid w:val="00C46194"/>
    <w:rsid w:val="00C46899"/>
    <w:rsid w:val="00C46B71"/>
    <w:rsid w:val="00C46EE5"/>
    <w:rsid w:val="00C47097"/>
    <w:rsid w:val="00C47948"/>
    <w:rsid w:val="00C47CB1"/>
    <w:rsid w:val="00C5004B"/>
    <w:rsid w:val="00C504E6"/>
    <w:rsid w:val="00C50D37"/>
    <w:rsid w:val="00C511E7"/>
    <w:rsid w:val="00C51515"/>
    <w:rsid w:val="00C519AC"/>
    <w:rsid w:val="00C53879"/>
    <w:rsid w:val="00C53EB5"/>
    <w:rsid w:val="00C5555F"/>
    <w:rsid w:val="00C564A6"/>
    <w:rsid w:val="00C5660B"/>
    <w:rsid w:val="00C56C34"/>
    <w:rsid w:val="00C57450"/>
    <w:rsid w:val="00C57DE7"/>
    <w:rsid w:val="00C6030E"/>
    <w:rsid w:val="00C61A7B"/>
    <w:rsid w:val="00C620F4"/>
    <w:rsid w:val="00C6258F"/>
    <w:rsid w:val="00C62A75"/>
    <w:rsid w:val="00C63CB6"/>
    <w:rsid w:val="00C650D1"/>
    <w:rsid w:val="00C657F8"/>
    <w:rsid w:val="00C65C80"/>
    <w:rsid w:val="00C6642E"/>
    <w:rsid w:val="00C66B72"/>
    <w:rsid w:val="00C679A1"/>
    <w:rsid w:val="00C72217"/>
    <w:rsid w:val="00C75282"/>
    <w:rsid w:val="00C75B0A"/>
    <w:rsid w:val="00C75D8D"/>
    <w:rsid w:val="00C76773"/>
    <w:rsid w:val="00C772B1"/>
    <w:rsid w:val="00C80AC7"/>
    <w:rsid w:val="00C810D8"/>
    <w:rsid w:val="00C81389"/>
    <w:rsid w:val="00C81880"/>
    <w:rsid w:val="00C838EE"/>
    <w:rsid w:val="00C83FF8"/>
    <w:rsid w:val="00C85255"/>
    <w:rsid w:val="00C857BB"/>
    <w:rsid w:val="00C8588E"/>
    <w:rsid w:val="00C8632F"/>
    <w:rsid w:val="00C86803"/>
    <w:rsid w:val="00C86ACD"/>
    <w:rsid w:val="00C909F1"/>
    <w:rsid w:val="00C9199B"/>
    <w:rsid w:val="00C91B6C"/>
    <w:rsid w:val="00C92108"/>
    <w:rsid w:val="00C9234F"/>
    <w:rsid w:val="00C935BF"/>
    <w:rsid w:val="00C93CB2"/>
    <w:rsid w:val="00C9567A"/>
    <w:rsid w:val="00C9591E"/>
    <w:rsid w:val="00C95B0F"/>
    <w:rsid w:val="00C963EE"/>
    <w:rsid w:val="00C966D4"/>
    <w:rsid w:val="00C96F6F"/>
    <w:rsid w:val="00C97129"/>
    <w:rsid w:val="00CA1E74"/>
    <w:rsid w:val="00CA2A9F"/>
    <w:rsid w:val="00CA3735"/>
    <w:rsid w:val="00CA428D"/>
    <w:rsid w:val="00CA57AA"/>
    <w:rsid w:val="00CA6A2B"/>
    <w:rsid w:val="00CA6AB4"/>
    <w:rsid w:val="00CA7711"/>
    <w:rsid w:val="00CB07BE"/>
    <w:rsid w:val="00CB0D09"/>
    <w:rsid w:val="00CB0E60"/>
    <w:rsid w:val="00CB212D"/>
    <w:rsid w:val="00CB2583"/>
    <w:rsid w:val="00CB2660"/>
    <w:rsid w:val="00CB319F"/>
    <w:rsid w:val="00CB68F2"/>
    <w:rsid w:val="00CB7782"/>
    <w:rsid w:val="00CB792D"/>
    <w:rsid w:val="00CB7D1E"/>
    <w:rsid w:val="00CC13E4"/>
    <w:rsid w:val="00CC18ED"/>
    <w:rsid w:val="00CC2652"/>
    <w:rsid w:val="00CC2835"/>
    <w:rsid w:val="00CC2929"/>
    <w:rsid w:val="00CC3563"/>
    <w:rsid w:val="00CC3E96"/>
    <w:rsid w:val="00CC4173"/>
    <w:rsid w:val="00CC5AB4"/>
    <w:rsid w:val="00CC5E90"/>
    <w:rsid w:val="00CC63CF"/>
    <w:rsid w:val="00CC6CF5"/>
    <w:rsid w:val="00CC7004"/>
    <w:rsid w:val="00CC79EC"/>
    <w:rsid w:val="00CC7CF0"/>
    <w:rsid w:val="00CD022E"/>
    <w:rsid w:val="00CD046C"/>
    <w:rsid w:val="00CD0886"/>
    <w:rsid w:val="00CD1B9E"/>
    <w:rsid w:val="00CD20AC"/>
    <w:rsid w:val="00CD2B64"/>
    <w:rsid w:val="00CD3486"/>
    <w:rsid w:val="00CD5039"/>
    <w:rsid w:val="00CD50C7"/>
    <w:rsid w:val="00CD5DD6"/>
    <w:rsid w:val="00CD6580"/>
    <w:rsid w:val="00CE076C"/>
    <w:rsid w:val="00CE1A13"/>
    <w:rsid w:val="00CE22F9"/>
    <w:rsid w:val="00CE2A5E"/>
    <w:rsid w:val="00CE408C"/>
    <w:rsid w:val="00CE5134"/>
    <w:rsid w:val="00CE5199"/>
    <w:rsid w:val="00CE5906"/>
    <w:rsid w:val="00CE66D5"/>
    <w:rsid w:val="00CE74BD"/>
    <w:rsid w:val="00CF0BBE"/>
    <w:rsid w:val="00CF1107"/>
    <w:rsid w:val="00CF1672"/>
    <w:rsid w:val="00CF3A47"/>
    <w:rsid w:val="00CF54B7"/>
    <w:rsid w:val="00CF6233"/>
    <w:rsid w:val="00CF637A"/>
    <w:rsid w:val="00CF66D2"/>
    <w:rsid w:val="00CF6925"/>
    <w:rsid w:val="00CF738E"/>
    <w:rsid w:val="00D00EEE"/>
    <w:rsid w:val="00D00FC9"/>
    <w:rsid w:val="00D015CF"/>
    <w:rsid w:val="00D017D1"/>
    <w:rsid w:val="00D01B00"/>
    <w:rsid w:val="00D01B19"/>
    <w:rsid w:val="00D029B2"/>
    <w:rsid w:val="00D02CFE"/>
    <w:rsid w:val="00D02D4D"/>
    <w:rsid w:val="00D03B04"/>
    <w:rsid w:val="00D059DE"/>
    <w:rsid w:val="00D06554"/>
    <w:rsid w:val="00D0672E"/>
    <w:rsid w:val="00D074CF"/>
    <w:rsid w:val="00D0755B"/>
    <w:rsid w:val="00D07755"/>
    <w:rsid w:val="00D1207A"/>
    <w:rsid w:val="00D12193"/>
    <w:rsid w:val="00D1268A"/>
    <w:rsid w:val="00D1289C"/>
    <w:rsid w:val="00D135CD"/>
    <w:rsid w:val="00D13FCE"/>
    <w:rsid w:val="00D149D2"/>
    <w:rsid w:val="00D152BA"/>
    <w:rsid w:val="00D16829"/>
    <w:rsid w:val="00D17960"/>
    <w:rsid w:val="00D17E23"/>
    <w:rsid w:val="00D2038C"/>
    <w:rsid w:val="00D208C4"/>
    <w:rsid w:val="00D22B64"/>
    <w:rsid w:val="00D23441"/>
    <w:rsid w:val="00D248E8"/>
    <w:rsid w:val="00D257BA"/>
    <w:rsid w:val="00D27808"/>
    <w:rsid w:val="00D27A9D"/>
    <w:rsid w:val="00D306D1"/>
    <w:rsid w:val="00D30720"/>
    <w:rsid w:val="00D3183B"/>
    <w:rsid w:val="00D3255D"/>
    <w:rsid w:val="00D32654"/>
    <w:rsid w:val="00D326CC"/>
    <w:rsid w:val="00D3377A"/>
    <w:rsid w:val="00D34633"/>
    <w:rsid w:val="00D34786"/>
    <w:rsid w:val="00D34ADB"/>
    <w:rsid w:val="00D34B4A"/>
    <w:rsid w:val="00D34D72"/>
    <w:rsid w:val="00D352FC"/>
    <w:rsid w:val="00D35417"/>
    <w:rsid w:val="00D3561A"/>
    <w:rsid w:val="00D359B3"/>
    <w:rsid w:val="00D35C0D"/>
    <w:rsid w:val="00D377CB"/>
    <w:rsid w:val="00D37BFC"/>
    <w:rsid w:val="00D41677"/>
    <w:rsid w:val="00D43061"/>
    <w:rsid w:val="00D4438B"/>
    <w:rsid w:val="00D44E78"/>
    <w:rsid w:val="00D46E74"/>
    <w:rsid w:val="00D47A8E"/>
    <w:rsid w:val="00D47EB1"/>
    <w:rsid w:val="00D50233"/>
    <w:rsid w:val="00D5031D"/>
    <w:rsid w:val="00D50517"/>
    <w:rsid w:val="00D50532"/>
    <w:rsid w:val="00D52D14"/>
    <w:rsid w:val="00D53023"/>
    <w:rsid w:val="00D5308C"/>
    <w:rsid w:val="00D534C7"/>
    <w:rsid w:val="00D53EDA"/>
    <w:rsid w:val="00D53FEA"/>
    <w:rsid w:val="00D54179"/>
    <w:rsid w:val="00D54E05"/>
    <w:rsid w:val="00D5548C"/>
    <w:rsid w:val="00D5558C"/>
    <w:rsid w:val="00D55A58"/>
    <w:rsid w:val="00D55B79"/>
    <w:rsid w:val="00D5676A"/>
    <w:rsid w:val="00D56954"/>
    <w:rsid w:val="00D57335"/>
    <w:rsid w:val="00D577B5"/>
    <w:rsid w:val="00D61A73"/>
    <w:rsid w:val="00D6229A"/>
    <w:rsid w:val="00D62801"/>
    <w:rsid w:val="00D630EC"/>
    <w:rsid w:val="00D6319A"/>
    <w:rsid w:val="00D6418D"/>
    <w:rsid w:val="00D643FF"/>
    <w:rsid w:val="00D64664"/>
    <w:rsid w:val="00D70CCB"/>
    <w:rsid w:val="00D70D8E"/>
    <w:rsid w:val="00D712D3"/>
    <w:rsid w:val="00D71422"/>
    <w:rsid w:val="00D714A3"/>
    <w:rsid w:val="00D720CD"/>
    <w:rsid w:val="00D72101"/>
    <w:rsid w:val="00D72DC6"/>
    <w:rsid w:val="00D73003"/>
    <w:rsid w:val="00D73891"/>
    <w:rsid w:val="00D7413C"/>
    <w:rsid w:val="00D7428C"/>
    <w:rsid w:val="00D75535"/>
    <w:rsid w:val="00D7558D"/>
    <w:rsid w:val="00D76059"/>
    <w:rsid w:val="00D7622D"/>
    <w:rsid w:val="00D76A78"/>
    <w:rsid w:val="00D77154"/>
    <w:rsid w:val="00D80110"/>
    <w:rsid w:val="00D80CDC"/>
    <w:rsid w:val="00D81D92"/>
    <w:rsid w:val="00D82389"/>
    <w:rsid w:val="00D8275D"/>
    <w:rsid w:val="00D834EA"/>
    <w:rsid w:val="00D83D73"/>
    <w:rsid w:val="00D8437D"/>
    <w:rsid w:val="00D84B5B"/>
    <w:rsid w:val="00D8555E"/>
    <w:rsid w:val="00D86E51"/>
    <w:rsid w:val="00D87725"/>
    <w:rsid w:val="00D8783A"/>
    <w:rsid w:val="00D90A1F"/>
    <w:rsid w:val="00D92DF6"/>
    <w:rsid w:val="00D92E36"/>
    <w:rsid w:val="00D93A1A"/>
    <w:rsid w:val="00D93A6C"/>
    <w:rsid w:val="00D96E66"/>
    <w:rsid w:val="00D97302"/>
    <w:rsid w:val="00D97A1B"/>
    <w:rsid w:val="00DA1123"/>
    <w:rsid w:val="00DA1300"/>
    <w:rsid w:val="00DA18FD"/>
    <w:rsid w:val="00DA1D75"/>
    <w:rsid w:val="00DA218D"/>
    <w:rsid w:val="00DA265A"/>
    <w:rsid w:val="00DA2920"/>
    <w:rsid w:val="00DA2EF7"/>
    <w:rsid w:val="00DA4EF9"/>
    <w:rsid w:val="00DA5683"/>
    <w:rsid w:val="00DA5D8B"/>
    <w:rsid w:val="00DA649E"/>
    <w:rsid w:val="00DA704D"/>
    <w:rsid w:val="00DA7B5F"/>
    <w:rsid w:val="00DB064E"/>
    <w:rsid w:val="00DB17FD"/>
    <w:rsid w:val="00DB195E"/>
    <w:rsid w:val="00DB197D"/>
    <w:rsid w:val="00DB19C7"/>
    <w:rsid w:val="00DB1DC4"/>
    <w:rsid w:val="00DB2D77"/>
    <w:rsid w:val="00DB367A"/>
    <w:rsid w:val="00DB3E0F"/>
    <w:rsid w:val="00DB4201"/>
    <w:rsid w:val="00DB4603"/>
    <w:rsid w:val="00DB5843"/>
    <w:rsid w:val="00DB5CA2"/>
    <w:rsid w:val="00DB751C"/>
    <w:rsid w:val="00DB78DA"/>
    <w:rsid w:val="00DB7A50"/>
    <w:rsid w:val="00DB7DED"/>
    <w:rsid w:val="00DC0690"/>
    <w:rsid w:val="00DC0A36"/>
    <w:rsid w:val="00DC1094"/>
    <w:rsid w:val="00DC11E7"/>
    <w:rsid w:val="00DC175E"/>
    <w:rsid w:val="00DC1E40"/>
    <w:rsid w:val="00DC2245"/>
    <w:rsid w:val="00DC49C7"/>
    <w:rsid w:val="00DC66C2"/>
    <w:rsid w:val="00DC7023"/>
    <w:rsid w:val="00DC757D"/>
    <w:rsid w:val="00DC769A"/>
    <w:rsid w:val="00DD2470"/>
    <w:rsid w:val="00DD267C"/>
    <w:rsid w:val="00DD29CA"/>
    <w:rsid w:val="00DD2A9C"/>
    <w:rsid w:val="00DD2ACE"/>
    <w:rsid w:val="00DD33EA"/>
    <w:rsid w:val="00DD3B10"/>
    <w:rsid w:val="00DD3D86"/>
    <w:rsid w:val="00DD4B64"/>
    <w:rsid w:val="00DD4D8D"/>
    <w:rsid w:val="00DD662B"/>
    <w:rsid w:val="00DD6EFC"/>
    <w:rsid w:val="00DD7055"/>
    <w:rsid w:val="00DD7104"/>
    <w:rsid w:val="00DD7FCA"/>
    <w:rsid w:val="00DE05B7"/>
    <w:rsid w:val="00DE1C3F"/>
    <w:rsid w:val="00DE2FB9"/>
    <w:rsid w:val="00DE3BA6"/>
    <w:rsid w:val="00DE56A0"/>
    <w:rsid w:val="00DE623D"/>
    <w:rsid w:val="00DE7537"/>
    <w:rsid w:val="00DE7659"/>
    <w:rsid w:val="00DF0256"/>
    <w:rsid w:val="00DF092A"/>
    <w:rsid w:val="00DF0E62"/>
    <w:rsid w:val="00DF1EC4"/>
    <w:rsid w:val="00DF229E"/>
    <w:rsid w:val="00DF2631"/>
    <w:rsid w:val="00DF5D69"/>
    <w:rsid w:val="00DF62FA"/>
    <w:rsid w:val="00DF661D"/>
    <w:rsid w:val="00E00303"/>
    <w:rsid w:val="00E00BB2"/>
    <w:rsid w:val="00E012C4"/>
    <w:rsid w:val="00E014B3"/>
    <w:rsid w:val="00E01B41"/>
    <w:rsid w:val="00E0313B"/>
    <w:rsid w:val="00E0340B"/>
    <w:rsid w:val="00E03F25"/>
    <w:rsid w:val="00E040ED"/>
    <w:rsid w:val="00E0489A"/>
    <w:rsid w:val="00E04A90"/>
    <w:rsid w:val="00E04AD8"/>
    <w:rsid w:val="00E05130"/>
    <w:rsid w:val="00E052C2"/>
    <w:rsid w:val="00E07C4C"/>
    <w:rsid w:val="00E102BF"/>
    <w:rsid w:val="00E10490"/>
    <w:rsid w:val="00E106FE"/>
    <w:rsid w:val="00E11E4C"/>
    <w:rsid w:val="00E123FB"/>
    <w:rsid w:val="00E125CB"/>
    <w:rsid w:val="00E131BD"/>
    <w:rsid w:val="00E14D56"/>
    <w:rsid w:val="00E15158"/>
    <w:rsid w:val="00E154DB"/>
    <w:rsid w:val="00E16016"/>
    <w:rsid w:val="00E2134D"/>
    <w:rsid w:val="00E219C7"/>
    <w:rsid w:val="00E22239"/>
    <w:rsid w:val="00E224CA"/>
    <w:rsid w:val="00E2439D"/>
    <w:rsid w:val="00E24E57"/>
    <w:rsid w:val="00E24E7B"/>
    <w:rsid w:val="00E2609B"/>
    <w:rsid w:val="00E26929"/>
    <w:rsid w:val="00E26B0E"/>
    <w:rsid w:val="00E305DA"/>
    <w:rsid w:val="00E3193A"/>
    <w:rsid w:val="00E32337"/>
    <w:rsid w:val="00E32D02"/>
    <w:rsid w:val="00E34447"/>
    <w:rsid w:val="00E36154"/>
    <w:rsid w:val="00E36858"/>
    <w:rsid w:val="00E36BA1"/>
    <w:rsid w:val="00E36F1C"/>
    <w:rsid w:val="00E41912"/>
    <w:rsid w:val="00E43157"/>
    <w:rsid w:val="00E43823"/>
    <w:rsid w:val="00E43931"/>
    <w:rsid w:val="00E43ABD"/>
    <w:rsid w:val="00E43B8F"/>
    <w:rsid w:val="00E4422B"/>
    <w:rsid w:val="00E461CE"/>
    <w:rsid w:val="00E4643B"/>
    <w:rsid w:val="00E476F1"/>
    <w:rsid w:val="00E47700"/>
    <w:rsid w:val="00E508DE"/>
    <w:rsid w:val="00E50EAA"/>
    <w:rsid w:val="00E51F9F"/>
    <w:rsid w:val="00E530CA"/>
    <w:rsid w:val="00E5333E"/>
    <w:rsid w:val="00E53367"/>
    <w:rsid w:val="00E536D5"/>
    <w:rsid w:val="00E540B9"/>
    <w:rsid w:val="00E546F3"/>
    <w:rsid w:val="00E54C99"/>
    <w:rsid w:val="00E5510B"/>
    <w:rsid w:val="00E57C39"/>
    <w:rsid w:val="00E57FD6"/>
    <w:rsid w:val="00E60B4A"/>
    <w:rsid w:val="00E62475"/>
    <w:rsid w:val="00E638EE"/>
    <w:rsid w:val="00E6515D"/>
    <w:rsid w:val="00E6549D"/>
    <w:rsid w:val="00E66539"/>
    <w:rsid w:val="00E669F0"/>
    <w:rsid w:val="00E6706B"/>
    <w:rsid w:val="00E70BFD"/>
    <w:rsid w:val="00E716A1"/>
    <w:rsid w:val="00E71C00"/>
    <w:rsid w:val="00E720CA"/>
    <w:rsid w:val="00E746D5"/>
    <w:rsid w:val="00E7579F"/>
    <w:rsid w:val="00E75ED2"/>
    <w:rsid w:val="00E76157"/>
    <w:rsid w:val="00E77CF0"/>
    <w:rsid w:val="00E810C3"/>
    <w:rsid w:val="00E83C83"/>
    <w:rsid w:val="00E84EB5"/>
    <w:rsid w:val="00E853D1"/>
    <w:rsid w:val="00E85662"/>
    <w:rsid w:val="00E85ACA"/>
    <w:rsid w:val="00E8789F"/>
    <w:rsid w:val="00E9098A"/>
    <w:rsid w:val="00E909AA"/>
    <w:rsid w:val="00E91874"/>
    <w:rsid w:val="00E920ED"/>
    <w:rsid w:val="00E93AEC"/>
    <w:rsid w:val="00E94F44"/>
    <w:rsid w:val="00E94F7A"/>
    <w:rsid w:val="00E95277"/>
    <w:rsid w:val="00E95827"/>
    <w:rsid w:val="00E97486"/>
    <w:rsid w:val="00E97B71"/>
    <w:rsid w:val="00EA2BD9"/>
    <w:rsid w:val="00EA361B"/>
    <w:rsid w:val="00EA37E5"/>
    <w:rsid w:val="00EA3D34"/>
    <w:rsid w:val="00EA3DAE"/>
    <w:rsid w:val="00EA50D1"/>
    <w:rsid w:val="00EA7707"/>
    <w:rsid w:val="00EB19EA"/>
    <w:rsid w:val="00EB1A7F"/>
    <w:rsid w:val="00EB32DB"/>
    <w:rsid w:val="00EB454D"/>
    <w:rsid w:val="00EB4723"/>
    <w:rsid w:val="00EB4983"/>
    <w:rsid w:val="00EB4D9B"/>
    <w:rsid w:val="00EB5089"/>
    <w:rsid w:val="00EB56CD"/>
    <w:rsid w:val="00EB5DDF"/>
    <w:rsid w:val="00EB6686"/>
    <w:rsid w:val="00EC1B22"/>
    <w:rsid w:val="00EC1CF3"/>
    <w:rsid w:val="00EC1E1D"/>
    <w:rsid w:val="00EC286E"/>
    <w:rsid w:val="00EC4895"/>
    <w:rsid w:val="00EC4FE9"/>
    <w:rsid w:val="00EC51C3"/>
    <w:rsid w:val="00EC5561"/>
    <w:rsid w:val="00EC574B"/>
    <w:rsid w:val="00EC6133"/>
    <w:rsid w:val="00EC61A5"/>
    <w:rsid w:val="00EC6C18"/>
    <w:rsid w:val="00EC7B35"/>
    <w:rsid w:val="00ED040C"/>
    <w:rsid w:val="00ED0C7A"/>
    <w:rsid w:val="00ED0DEA"/>
    <w:rsid w:val="00ED0FB5"/>
    <w:rsid w:val="00ED2831"/>
    <w:rsid w:val="00ED3B3A"/>
    <w:rsid w:val="00ED422D"/>
    <w:rsid w:val="00ED6629"/>
    <w:rsid w:val="00ED76BE"/>
    <w:rsid w:val="00EE0399"/>
    <w:rsid w:val="00EE1CC3"/>
    <w:rsid w:val="00EE244B"/>
    <w:rsid w:val="00EE2974"/>
    <w:rsid w:val="00EE3308"/>
    <w:rsid w:val="00EE3FDE"/>
    <w:rsid w:val="00EE50C4"/>
    <w:rsid w:val="00EE56FE"/>
    <w:rsid w:val="00EE6FCE"/>
    <w:rsid w:val="00EF0259"/>
    <w:rsid w:val="00EF058B"/>
    <w:rsid w:val="00EF08AC"/>
    <w:rsid w:val="00EF29ED"/>
    <w:rsid w:val="00EF31BB"/>
    <w:rsid w:val="00EF33FE"/>
    <w:rsid w:val="00EF3829"/>
    <w:rsid w:val="00EF3FB4"/>
    <w:rsid w:val="00EF4747"/>
    <w:rsid w:val="00EF4A93"/>
    <w:rsid w:val="00EF4E2B"/>
    <w:rsid w:val="00EF5676"/>
    <w:rsid w:val="00EF619B"/>
    <w:rsid w:val="00EF654A"/>
    <w:rsid w:val="00EF79C7"/>
    <w:rsid w:val="00EF7F41"/>
    <w:rsid w:val="00EF7F5A"/>
    <w:rsid w:val="00F0090B"/>
    <w:rsid w:val="00F00A70"/>
    <w:rsid w:val="00F00B55"/>
    <w:rsid w:val="00F01416"/>
    <w:rsid w:val="00F01D64"/>
    <w:rsid w:val="00F01ECA"/>
    <w:rsid w:val="00F0247F"/>
    <w:rsid w:val="00F024E5"/>
    <w:rsid w:val="00F02AD1"/>
    <w:rsid w:val="00F047EA"/>
    <w:rsid w:val="00F05803"/>
    <w:rsid w:val="00F05E65"/>
    <w:rsid w:val="00F07430"/>
    <w:rsid w:val="00F07955"/>
    <w:rsid w:val="00F1102C"/>
    <w:rsid w:val="00F11880"/>
    <w:rsid w:val="00F11F87"/>
    <w:rsid w:val="00F1210B"/>
    <w:rsid w:val="00F12188"/>
    <w:rsid w:val="00F12719"/>
    <w:rsid w:val="00F130F3"/>
    <w:rsid w:val="00F1344C"/>
    <w:rsid w:val="00F152FE"/>
    <w:rsid w:val="00F158D3"/>
    <w:rsid w:val="00F1700D"/>
    <w:rsid w:val="00F20681"/>
    <w:rsid w:val="00F224ED"/>
    <w:rsid w:val="00F22665"/>
    <w:rsid w:val="00F253CC"/>
    <w:rsid w:val="00F25566"/>
    <w:rsid w:val="00F26B6D"/>
    <w:rsid w:val="00F275D7"/>
    <w:rsid w:val="00F3014A"/>
    <w:rsid w:val="00F305ED"/>
    <w:rsid w:val="00F31FDE"/>
    <w:rsid w:val="00F329BA"/>
    <w:rsid w:val="00F32CA9"/>
    <w:rsid w:val="00F35E76"/>
    <w:rsid w:val="00F37106"/>
    <w:rsid w:val="00F37155"/>
    <w:rsid w:val="00F37296"/>
    <w:rsid w:val="00F40D0A"/>
    <w:rsid w:val="00F40D5C"/>
    <w:rsid w:val="00F41040"/>
    <w:rsid w:val="00F410A6"/>
    <w:rsid w:val="00F44913"/>
    <w:rsid w:val="00F44968"/>
    <w:rsid w:val="00F463EF"/>
    <w:rsid w:val="00F46D48"/>
    <w:rsid w:val="00F46EF7"/>
    <w:rsid w:val="00F47746"/>
    <w:rsid w:val="00F47A99"/>
    <w:rsid w:val="00F50452"/>
    <w:rsid w:val="00F512B0"/>
    <w:rsid w:val="00F519CF"/>
    <w:rsid w:val="00F51DDE"/>
    <w:rsid w:val="00F51F8D"/>
    <w:rsid w:val="00F5261F"/>
    <w:rsid w:val="00F5320E"/>
    <w:rsid w:val="00F53532"/>
    <w:rsid w:val="00F53690"/>
    <w:rsid w:val="00F536E8"/>
    <w:rsid w:val="00F54308"/>
    <w:rsid w:val="00F551E4"/>
    <w:rsid w:val="00F5617B"/>
    <w:rsid w:val="00F56BA5"/>
    <w:rsid w:val="00F5711E"/>
    <w:rsid w:val="00F572F1"/>
    <w:rsid w:val="00F5757F"/>
    <w:rsid w:val="00F57BDF"/>
    <w:rsid w:val="00F57E94"/>
    <w:rsid w:val="00F60398"/>
    <w:rsid w:val="00F60E22"/>
    <w:rsid w:val="00F60E29"/>
    <w:rsid w:val="00F615A7"/>
    <w:rsid w:val="00F616D7"/>
    <w:rsid w:val="00F61FB9"/>
    <w:rsid w:val="00F62978"/>
    <w:rsid w:val="00F63205"/>
    <w:rsid w:val="00F6381A"/>
    <w:rsid w:val="00F6392D"/>
    <w:rsid w:val="00F6421D"/>
    <w:rsid w:val="00F647B8"/>
    <w:rsid w:val="00F6484A"/>
    <w:rsid w:val="00F64B11"/>
    <w:rsid w:val="00F65274"/>
    <w:rsid w:val="00F66762"/>
    <w:rsid w:val="00F66B8E"/>
    <w:rsid w:val="00F67522"/>
    <w:rsid w:val="00F677B7"/>
    <w:rsid w:val="00F7225C"/>
    <w:rsid w:val="00F73104"/>
    <w:rsid w:val="00F73E3B"/>
    <w:rsid w:val="00F74C34"/>
    <w:rsid w:val="00F754F1"/>
    <w:rsid w:val="00F75E27"/>
    <w:rsid w:val="00F75F84"/>
    <w:rsid w:val="00F761E6"/>
    <w:rsid w:val="00F76BFB"/>
    <w:rsid w:val="00F77BA6"/>
    <w:rsid w:val="00F77D5D"/>
    <w:rsid w:val="00F805FB"/>
    <w:rsid w:val="00F80BF1"/>
    <w:rsid w:val="00F81395"/>
    <w:rsid w:val="00F81F16"/>
    <w:rsid w:val="00F832D6"/>
    <w:rsid w:val="00F84447"/>
    <w:rsid w:val="00F84BB5"/>
    <w:rsid w:val="00F8594C"/>
    <w:rsid w:val="00F870ED"/>
    <w:rsid w:val="00F902EB"/>
    <w:rsid w:val="00F90CFE"/>
    <w:rsid w:val="00F917D1"/>
    <w:rsid w:val="00F92697"/>
    <w:rsid w:val="00F941CA"/>
    <w:rsid w:val="00F94D16"/>
    <w:rsid w:val="00F950E4"/>
    <w:rsid w:val="00F95214"/>
    <w:rsid w:val="00F960E3"/>
    <w:rsid w:val="00F9653B"/>
    <w:rsid w:val="00F968A1"/>
    <w:rsid w:val="00F968A8"/>
    <w:rsid w:val="00F97C59"/>
    <w:rsid w:val="00F97E0A"/>
    <w:rsid w:val="00F97EB2"/>
    <w:rsid w:val="00FA0C8B"/>
    <w:rsid w:val="00FA0F83"/>
    <w:rsid w:val="00FA3F0F"/>
    <w:rsid w:val="00FA4B32"/>
    <w:rsid w:val="00FA644B"/>
    <w:rsid w:val="00FA7138"/>
    <w:rsid w:val="00FA77DE"/>
    <w:rsid w:val="00FB09DF"/>
    <w:rsid w:val="00FB0D2B"/>
    <w:rsid w:val="00FB1110"/>
    <w:rsid w:val="00FB14A2"/>
    <w:rsid w:val="00FB2120"/>
    <w:rsid w:val="00FB21B0"/>
    <w:rsid w:val="00FB2682"/>
    <w:rsid w:val="00FB4C64"/>
    <w:rsid w:val="00FB5FD9"/>
    <w:rsid w:val="00FB62CF"/>
    <w:rsid w:val="00FC112F"/>
    <w:rsid w:val="00FC4B74"/>
    <w:rsid w:val="00FC5046"/>
    <w:rsid w:val="00FC5697"/>
    <w:rsid w:val="00FC5940"/>
    <w:rsid w:val="00FC64A8"/>
    <w:rsid w:val="00FC6B6D"/>
    <w:rsid w:val="00FC6D5C"/>
    <w:rsid w:val="00FC78E7"/>
    <w:rsid w:val="00FC7976"/>
    <w:rsid w:val="00FD0C34"/>
    <w:rsid w:val="00FD106F"/>
    <w:rsid w:val="00FD16DA"/>
    <w:rsid w:val="00FD2038"/>
    <w:rsid w:val="00FD23D2"/>
    <w:rsid w:val="00FD253C"/>
    <w:rsid w:val="00FD3A97"/>
    <w:rsid w:val="00FD3B66"/>
    <w:rsid w:val="00FD3C3B"/>
    <w:rsid w:val="00FD413B"/>
    <w:rsid w:val="00FD5A99"/>
    <w:rsid w:val="00FD5C41"/>
    <w:rsid w:val="00FD5EEE"/>
    <w:rsid w:val="00FD657E"/>
    <w:rsid w:val="00FD6BA0"/>
    <w:rsid w:val="00FD6D0F"/>
    <w:rsid w:val="00FD6E69"/>
    <w:rsid w:val="00FE07DD"/>
    <w:rsid w:val="00FE0CCA"/>
    <w:rsid w:val="00FE12B7"/>
    <w:rsid w:val="00FE1DCD"/>
    <w:rsid w:val="00FE2834"/>
    <w:rsid w:val="00FE3C23"/>
    <w:rsid w:val="00FE411E"/>
    <w:rsid w:val="00FE43E6"/>
    <w:rsid w:val="00FE5851"/>
    <w:rsid w:val="00FE5BFC"/>
    <w:rsid w:val="00FE5CF6"/>
    <w:rsid w:val="00FE66C2"/>
    <w:rsid w:val="00FE6AE0"/>
    <w:rsid w:val="00FE6B45"/>
    <w:rsid w:val="00FE6C80"/>
    <w:rsid w:val="00FE7EBB"/>
    <w:rsid w:val="00FF0439"/>
    <w:rsid w:val="00FF0E3D"/>
    <w:rsid w:val="00FF1C3E"/>
    <w:rsid w:val="00FF3715"/>
    <w:rsid w:val="00FF4F7C"/>
    <w:rsid w:val="00FF5299"/>
    <w:rsid w:val="00FF5300"/>
    <w:rsid w:val="00FF55F3"/>
    <w:rsid w:val="00FF5834"/>
    <w:rsid w:val="00FF5851"/>
    <w:rsid w:val="00FF5D28"/>
    <w:rsid w:val="00FF72CF"/>
    <w:rsid w:val="00FF769E"/>
    <w:rsid w:val="00FF7B79"/>
    <w:rsid w:val="00FF7F9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D01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C7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ListParagraph"/>
    <w:next w:val="Normal"/>
    <w:link w:val="Heading1Char"/>
    <w:autoRedefine/>
    <w:uiPriority w:val="9"/>
    <w:qFormat/>
    <w:rsid w:val="00222BD0"/>
    <w:pPr>
      <w:numPr>
        <w:numId w:val="54"/>
      </w:numPr>
      <w:tabs>
        <w:tab w:val="left" w:pos="360"/>
      </w:tabs>
      <w:suppressAutoHyphens/>
      <w:ind w:left="0" w:firstLine="0"/>
      <w:outlineLvl w:val="0"/>
    </w:pPr>
    <w:rPr>
      <w:b/>
      <w:sz w:val="20"/>
      <w:szCs w:val="20"/>
      <w:lang w:val="es-ES_tradnl"/>
    </w:rPr>
  </w:style>
  <w:style w:type="paragraph" w:styleId="Heading2">
    <w:name w:val="heading 2"/>
    <w:basedOn w:val="Normal"/>
    <w:next w:val="Normal"/>
    <w:link w:val="Heading2Char"/>
    <w:autoRedefine/>
    <w:qFormat/>
    <w:rsid w:val="00B4406A"/>
    <w:pPr>
      <w:keepNext/>
      <w:shd w:val="clear" w:color="auto" w:fill="FFFFFF"/>
      <w:tabs>
        <w:tab w:val="left" w:pos="360"/>
      </w:tabs>
      <w:jc w:val="both"/>
      <w:outlineLvl w:val="1"/>
    </w:pPr>
    <w:rPr>
      <w:rFonts w:asciiTheme="majorHAnsi" w:hAnsiTheme="majorHAnsi" w:cs="Arial"/>
      <w:b/>
      <w:bCs/>
      <w:iCs/>
      <w:sz w:val="20"/>
      <w:szCs w:val="20"/>
      <w:lang w:val="es-ES"/>
    </w:rPr>
  </w:style>
  <w:style w:type="paragraph" w:styleId="Heading3">
    <w:name w:val="heading 3"/>
    <w:basedOn w:val="Normal"/>
    <w:next w:val="Normal"/>
    <w:link w:val="Heading3Char"/>
    <w:qFormat/>
    <w:rsid w:val="00161D34"/>
    <w:pPr>
      <w:keepNext/>
      <w:numPr>
        <w:numId w:val="56"/>
      </w:numPr>
      <w:outlineLvl w:val="2"/>
    </w:pPr>
    <w:rPr>
      <w:rFonts w:asciiTheme="majorHAnsi" w:hAnsiTheme="majorHAnsi"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Colorful List - Accent 12,Medium Grid 1 - Accent 21"/>
    <w:link w:val="ListParagraphChar"/>
    <w:autoRedefine/>
    <w:qFormat/>
    <w:rsid w:val="002D46B7"/>
    <w:pPr>
      <w:tabs>
        <w:tab w:val="left" w:pos="1440"/>
        <w:tab w:val="left" w:pos="1890"/>
      </w:tabs>
      <w:ind w:left="720" w:right="720"/>
      <w:jc w:val="both"/>
    </w:pPr>
    <w:rPr>
      <w:rFonts w:asciiTheme="majorHAnsi" w:eastAsia="Cambria" w:hAnsiTheme="majorHAnsi" w:cs="Arial"/>
      <w:color w:val="000000"/>
      <w:sz w:val="18"/>
      <w:szCs w:val="18"/>
      <w:u w:color="000000"/>
      <w:shd w:val="clear" w:color="auto" w:fill="FCFCFC"/>
      <w:lang w:val="es-AR"/>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222BD0"/>
    <w:rPr>
      <w:rFonts w:asciiTheme="majorHAnsi" w:eastAsia="Cambria" w:hAnsiTheme="majorHAnsi" w:cs="Arial"/>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C909F1"/>
    <w:rPr>
      <w:rFonts w:asciiTheme="majorHAnsi" w:hAnsiTheme="majorHAnsi"/>
      <w:sz w:val="16"/>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B4406A"/>
    <w:rPr>
      <w:rFonts w:asciiTheme="majorHAnsi" w:eastAsia="Times New Roman" w:hAnsiTheme="majorHAnsi" w:cs="Arial"/>
      <w:b/>
      <w:bCs/>
      <w:iCs/>
      <w:bdr w:val="none" w:sz="0" w:space="0" w:color="auto"/>
      <w:shd w:val="clear" w:color="auto" w:fill="FFFFFF"/>
      <w:lang w:eastAsia="en-US"/>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C909F1"/>
    <w:pPr>
      <w:contextualSpacing/>
    </w:pPr>
    <w:rPr>
      <w:rFonts w:asciiTheme="majorHAnsi" w:eastAsia="Arial Unicode MS" w:hAnsiTheme="majorHAnsi"/>
      <w:sz w:val="16"/>
      <w:szCs w:val="20"/>
      <w:bdr w:val="nil"/>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spacing w:before="200" w:after="160" w:line="240" w:lineRule="exact"/>
    </w:pPr>
    <w:rPr>
      <w:rFonts w:ascii="Verdana" w:eastAsia="Arial Unicode MS" w:hAnsi="Verdana"/>
      <w:sz w:val="22"/>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Colorful List - Accent 12 Char,Medium Grid 1 - Accent 21 Char"/>
    <w:link w:val="ListParagraph"/>
    <w:locked/>
    <w:rsid w:val="002D46B7"/>
    <w:rPr>
      <w:rFonts w:asciiTheme="majorHAnsi" w:eastAsia="Cambria" w:hAnsiTheme="majorHAnsi" w:cs="Arial"/>
      <w:color w:val="000000"/>
      <w:sz w:val="18"/>
      <w:szCs w:val="18"/>
      <w:u w:color="000000"/>
      <w:lang w:val="es-AR"/>
    </w:rPr>
  </w:style>
  <w:style w:type="paragraph" w:styleId="NoSpacing">
    <w:name w:val="No Spacing"/>
    <w:uiPriority w:val="1"/>
    <w:qFormat/>
    <w:rsid w:val="00161D34"/>
    <w:rPr>
      <w:sz w:val="24"/>
      <w:szCs w:val="24"/>
      <w:lang w:val="en-US" w:eastAsia="en-US"/>
    </w:rPr>
  </w:style>
  <w:style w:type="paragraph" w:customStyle="1" w:styleId="parrafos">
    <w:name w:val="parrafos"/>
    <w:basedOn w:val="Normal"/>
    <w:link w:val="parrafosChar"/>
    <w:qFormat/>
    <w:rsid w:val="006412DC"/>
    <w:pPr>
      <w:numPr>
        <w:numId w:val="55"/>
      </w:numPr>
      <w:tabs>
        <w:tab w:val="left" w:pos="360"/>
      </w:tabs>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6412DC"/>
    <w:rPr>
      <w:rFonts w:asciiTheme="majorHAnsi" w:eastAsia="Times New Roman" w:hAnsiTheme="majorHAnsi"/>
      <w:color w:val="000000" w:themeColor="text1"/>
      <w:bdr w:val="none" w:sz="0" w:space="0" w:color="auto"/>
      <w:lang w:val="es-VE" w:eastAsia="en-US"/>
    </w:rPr>
  </w:style>
  <w:style w:type="character" w:customStyle="1" w:styleId="citasChar">
    <w:name w:val="citas Char"/>
    <w:basedOn w:val="ListParagraphChar"/>
    <w:link w:val="citas"/>
    <w:rsid w:val="00914740"/>
    <w:rPr>
      <w:rFonts w:ascii="Cambria" w:eastAsia="Cambria" w:hAnsi="Cambria" w:cs="Cambria"/>
      <w:color w:val="000000"/>
      <w:sz w:val="18"/>
      <w:szCs w:val="24"/>
      <w:u w:color="000000"/>
      <w:lang w:val="es-AR"/>
    </w:rPr>
  </w:style>
  <w:style w:type="character" w:styleId="PlaceholderText">
    <w:name w:val="Placeholder Text"/>
    <w:basedOn w:val="DefaultParagraphFont"/>
    <w:uiPriority w:val="99"/>
    <w:semiHidden/>
    <w:rsid w:val="009838CE"/>
    <w:rPr>
      <w:color w:val="808080"/>
    </w:rPr>
  </w:style>
  <w:style w:type="paragraph" w:styleId="NormalWeb">
    <w:name w:val="Normal (Web)"/>
    <w:aliases w:val="Normal (Web) Char1,Normal (Web) Char Char,Normal (Web) Char1 Char,Normal (Web) Char Char Char"/>
    <w:basedOn w:val="Normal"/>
    <w:uiPriority w:val="99"/>
    <w:rsid w:val="00F37296"/>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rsid w:val="00F37296"/>
  </w:style>
  <w:style w:type="paragraph" w:customStyle="1" w:styleId="Style2">
    <w:name w:val="Style2"/>
    <w:basedOn w:val="Normal"/>
    <w:qFormat/>
    <w:rsid w:val="00F37296"/>
    <w:pPr>
      <w:numPr>
        <w:numId w:val="57"/>
      </w:numPr>
      <w:jc w:val="both"/>
    </w:pPr>
    <w:rPr>
      <w:rFonts w:ascii="Cambria" w:eastAsia="Arial Unicode MS" w:hAnsi="Cambria"/>
      <w:sz w:val="20"/>
      <w:szCs w:val="20"/>
      <w:bdr w:val="nil"/>
      <w:lang w:val="es-ES"/>
    </w:rPr>
  </w:style>
  <w:style w:type="paragraph" w:customStyle="1" w:styleId="1">
    <w:name w:val="1"/>
    <w:basedOn w:val="Normal"/>
    <w:rsid w:val="00D1268A"/>
    <w:pPr>
      <w:spacing w:after="160" w:line="240" w:lineRule="exact"/>
    </w:pPr>
    <w:rPr>
      <w:rFonts w:eastAsia="Arial Unicode MS"/>
      <w:sz w:val="20"/>
      <w:szCs w:val="20"/>
      <w:bdr w:val="nil"/>
      <w:vertAlign w:val="superscript"/>
      <w:lang w:val="es-ES" w:eastAsia="es-ES"/>
    </w:rPr>
  </w:style>
  <w:style w:type="character" w:styleId="Strong">
    <w:name w:val="Strong"/>
    <w:basedOn w:val="DefaultParagraphFont"/>
    <w:uiPriority w:val="22"/>
    <w:qFormat/>
    <w:rsid w:val="009A00F6"/>
    <w:rPr>
      <w:b/>
      <w:bCs/>
    </w:rPr>
  </w:style>
  <w:style w:type="character" w:styleId="CommentReference">
    <w:name w:val="annotation reference"/>
    <w:basedOn w:val="DefaultParagraphFont"/>
    <w:uiPriority w:val="99"/>
    <w:semiHidden/>
    <w:unhideWhenUsed/>
    <w:rsid w:val="006412DC"/>
    <w:rPr>
      <w:sz w:val="16"/>
      <w:szCs w:val="16"/>
    </w:rPr>
  </w:style>
  <w:style w:type="paragraph" w:styleId="CommentText">
    <w:name w:val="annotation text"/>
    <w:basedOn w:val="Normal"/>
    <w:link w:val="CommentTextChar"/>
    <w:uiPriority w:val="99"/>
    <w:semiHidden/>
    <w:unhideWhenUsed/>
    <w:rsid w:val="006412DC"/>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semiHidden/>
    <w:rsid w:val="006412DC"/>
    <w:rPr>
      <w:lang w:val="en-US" w:eastAsia="en-US"/>
    </w:rPr>
  </w:style>
  <w:style w:type="paragraph" w:styleId="CommentSubject">
    <w:name w:val="annotation subject"/>
    <w:basedOn w:val="CommentText"/>
    <w:next w:val="CommentText"/>
    <w:link w:val="CommentSubjectChar"/>
    <w:uiPriority w:val="99"/>
    <w:semiHidden/>
    <w:unhideWhenUsed/>
    <w:rsid w:val="006412DC"/>
    <w:rPr>
      <w:b/>
      <w:bCs/>
    </w:rPr>
  </w:style>
  <w:style w:type="character" w:customStyle="1" w:styleId="CommentSubjectChar">
    <w:name w:val="Comment Subject Char"/>
    <w:basedOn w:val="CommentTextChar"/>
    <w:link w:val="CommentSubject"/>
    <w:uiPriority w:val="99"/>
    <w:semiHidden/>
    <w:rsid w:val="006412DC"/>
    <w:rPr>
      <w:b/>
      <w:bCs/>
      <w:lang w:val="en-US" w:eastAsia="en-US"/>
    </w:rPr>
  </w:style>
  <w:style w:type="character" w:customStyle="1" w:styleId="s6b621b36">
    <w:name w:val="s6b621b36"/>
    <w:basedOn w:val="DefaultParagraphFont"/>
    <w:rsid w:val="0047767C"/>
  </w:style>
  <w:style w:type="paragraph" w:styleId="BodyTextIndent3">
    <w:name w:val="Body Text Indent 3"/>
    <w:basedOn w:val="Normal"/>
    <w:link w:val="BodyTextIndent3Char"/>
    <w:uiPriority w:val="99"/>
    <w:semiHidden/>
    <w:unhideWhenUsed/>
    <w:rsid w:val="002D46B7"/>
    <w:pPr>
      <w:pBdr>
        <w:top w:val="nil"/>
        <w:left w:val="nil"/>
        <w:bottom w:val="nil"/>
        <w:right w:val="nil"/>
        <w:between w:val="nil"/>
        <w:bar w:val="nil"/>
      </w:pBdr>
      <w:spacing w:after="120"/>
      <w:ind w:left="360"/>
    </w:pPr>
    <w:rPr>
      <w:rFonts w:eastAsia="Arial Unicode MS"/>
      <w:sz w:val="16"/>
      <w:szCs w:val="16"/>
      <w:bdr w:val="nil"/>
    </w:rPr>
  </w:style>
  <w:style w:type="character" w:customStyle="1" w:styleId="BodyTextIndent3Char">
    <w:name w:val="Body Text Indent 3 Char"/>
    <w:basedOn w:val="DefaultParagraphFont"/>
    <w:link w:val="BodyTextIndent3"/>
    <w:uiPriority w:val="99"/>
    <w:semiHidden/>
    <w:rsid w:val="002D46B7"/>
    <w:rPr>
      <w:sz w:val="16"/>
      <w:szCs w:val="16"/>
      <w:lang w:val="en-US" w:eastAsia="en-US"/>
    </w:rPr>
  </w:style>
  <w:style w:type="paragraph" w:styleId="TOCHeading">
    <w:name w:val="TOC Heading"/>
    <w:basedOn w:val="Heading1"/>
    <w:next w:val="Normal"/>
    <w:uiPriority w:val="39"/>
    <w:unhideWhenUsed/>
    <w:qFormat/>
    <w:rsid w:val="00AD7158"/>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 w:val="clear" w:pos="1890"/>
      </w:tabs>
      <w:suppressAutoHyphens w:val="0"/>
      <w:spacing w:before="240" w:line="259" w:lineRule="auto"/>
      <w:ind w:right="0"/>
      <w:jc w:val="left"/>
      <w:outlineLvl w:val="9"/>
    </w:pPr>
    <w:rPr>
      <w:rFonts w:eastAsiaTheme="majorEastAsia" w:cstheme="majorBidi"/>
      <w:b w:val="0"/>
      <w:color w:val="365F91" w:themeColor="accent1" w:themeShade="BF"/>
      <w:sz w:val="32"/>
      <w:szCs w:val="32"/>
      <w:bdr w:val="none" w:sz="0" w:space="0" w:color="auto"/>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806">
      <w:bodyDiv w:val="1"/>
      <w:marLeft w:val="0"/>
      <w:marRight w:val="0"/>
      <w:marTop w:val="0"/>
      <w:marBottom w:val="0"/>
      <w:divBdr>
        <w:top w:val="none" w:sz="0" w:space="0" w:color="auto"/>
        <w:left w:val="none" w:sz="0" w:space="0" w:color="auto"/>
        <w:bottom w:val="none" w:sz="0" w:space="0" w:color="auto"/>
        <w:right w:val="none" w:sz="0" w:space="0" w:color="auto"/>
      </w:divBdr>
    </w:div>
    <w:div w:id="54361264">
      <w:bodyDiv w:val="1"/>
      <w:marLeft w:val="0"/>
      <w:marRight w:val="0"/>
      <w:marTop w:val="0"/>
      <w:marBottom w:val="0"/>
      <w:divBdr>
        <w:top w:val="none" w:sz="0" w:space="0" w:color="auto"/>
        <w:left w:val="none" w:sz="0" w:space="0" w:color="auto"/>
        <w:bottom w:val="none" w:sz="0" w:space="0" w:color="auto"/>
        <w:right w:val="none" w:sz="0" w:space="0" w:color="auto"/>
      </w:divBdr>
    </w:div>
    <w:div w:id="120923250">
      <w:bodyDiv w:val="1"/>
      <w:marLeft w:val="0"/>
      <w:marRight w:val="0"/>
      <w:marTop w:val="0"/>
      <w:marBottom w:val="0"/>
      <w:divBdr>
        <w:top w:val="none" w:sz="0" w:space="0" w:color="auto"/>
        <w:left w:val="none" w:sz="0" w:space="0" w:color="auto"/>
        <w:bottom w:val="none" w:sz="0" w:space="0" w:color="auto"/>
        <w:right w:val="none" w:sz="0" w:space="0" w:color="auto"/>
      </w:divBdr>
    </w:div>
    <w:div w:id="150945217">
      <w:bodyDiv w:val="1"/>
      <w:marLeft w:val="0"/>
      <w:marRight w:val="0"/>
      <w:marTop w:val="0"/>
      <w:marBottom w:val="0"/>
      <w:divBdr>
        <w:top w:val="none" w:sz="0" w:space="0" w:color="auto"/>
        <w:left w:val="none" w:sz="0" w:space="0" w:color="auto"/>
        <w:bottom w:val="none" w:sz="0" w:space="0" w:color="auto"/>
        <w:right w:val="none" w:sz="0" w:space="0" w:color="auto"/>
      </w:divBdr>
    </w:div>
    <w:div w:id="213588337">
      <w:bodyDiv w:val="1"/>
      <w:marLeft w:val="0"/>
      <w:marRight w:val="0"/>
      <w:marTop w:val="0"/>
      <w:marBottom w:val="0"/>
      <w:divBdr>
        <w:top w:val="none" w:sz="0" w:space="0" w:color="auto"/>
        <w:left w:val="none" w:sz="0" w:space="0" w:color="auto"/>
        <w:bottom w:val="none" w:sz="0" w:space="0" w:color="auto"/>
        <w:right w:val="none" w:sz="0" w:space="0" w:color="auto"/>
      </w:divBdr>
    </w:div>
    <w:div w:id="329144478">
      <w:bodyDiv w:val="1"/>
      <w:marLeft w:val="0"/>
      <w:marRight w:val="0"/>
      <w:marTop w:val="0"/>
      <w:marBottom w:val="0"/>
      <w:divBdr>
        <w:top w:val="none" w:sz="0" w:space="0" w:color="auto"/>
        <w:left w:val="none" w:sz="0" w:space="0" w:color="auto"/>
        <w:bottom w:val="none" w:sz="0" w:space="0" w:color="auto"/>
        <w:right w:val="none" w:sz="0" w:space="0" w:color="auto"/>
      </w:divBdr>
    </w:div>
    <w:div w:id="531915607">
      <w:bodyDiv w:val="1"/>
      <w:marLeft w:val="0"/>
      <w:marRight w:val="0"/>
      <w:marTop w:val="0"/>
      <w:marBottom w:val="0"/>
      <w:divBdr>
        <w:top w:val="none" w:sz="0" w:space="0" w:color="auto"/>
        <w:left w:val="none" w:sz="0" w:space="0" w:color="auto"/>
        <w:bottom w:val="none" w:sz="0" w:space="0" w:color="auto"/>
        <w:right w:val="none" w:sz="0" w:space="0" w:color="auto"/>
      </w:divBdr>
    </w:div>
    <w:div w:id="546113539">
      <w:bodyDiv w:val="1"/>
      <w:marLeft w:val="0"/>
      <w:marRight w:val="0"/>
      <w:marTop w:val="0"/>
      <w:marBottom w:val="0"/>
      <w:divBdr>
        <w:top w:val="none" w:sz="0" w:space="0" w:color="auto"/>
        <w:left w:val="none" w:sz="0" w:space="0" w:color="auto"/>
        <w:bottom w:val="none" w:sz="0" w:space="0" w:color="auto"/>
        <w:right w:val="none" w:sz="0" w:space="0" w:color="auto"/>
      </w:divBdr>
    </w:div>
    <w:div w:id="715395378">
      <w:bodyDiv w:val="1"/>
      <w:marLeft w:val="0"/>
      <w:marRight w:val="0"/>
      <w:marTop w:val="0"/>
      <w:marBottom w:val="0"/>
      <w:divBdr>
        <w:top w:val="none" w:sz="0" w:space="0" w:color="auto"/>
        <w:left w:val="none" w:sz="0" w:space="0" w:color="auto"/>
        <w:bottom w:val="none" w:sz="0" w:space="0" w:color="auto"/>
        <w:right w:val="none" w:sz="0" w:space="0" w:color="auto"/>
      </w:divBdr>
    </w:div>
    <w:div w:id="754934588">
      <w:bodyDiv w:val="1"/>
      <w:marLeft w:val="0"/>
      <w:marRight w:val="0"/>
      <w:marTop w:val="0"/>
      <w:marBottom w:val="0"/>
      <w:divBdr>
        <w:top w:val="none" w:sz="0" w:space="0" w:color="auto"/>
        <w:left w:val="none" w:sz="0" w:space="0" w:color="auto"/>
        <w:bottom w:val="none" w:sz="0" w:space="0" w:color="auto"/>
        <w:right w:val="none" w:sz="0" w:space="0" w:color="auto"/>
      </w:divBdr>
    </w:div>
    <w:div w:id="768357893">
      <w:bodyDiv w:val="1"/>
      <w:marLeft w:val="0"/>
      <w:marRight w:val="0"/>
      <w:marTop w:val="0"/>
      <w:marBottom w:val="0"/>
      <w:divBdr>
        <w:top w:val="none" w:sz="0" w:space="0" w:color="auto"/>
        <w:left w:val="none" w:sz="0" w:space="0" w:color="auto"/>
        <w:bottom w:val="none" w:sz="0" w:space="0" w:color="auto"/>
        <w:right w:val="none" w:sz="0" w:space="0" w:color="auto"/>
      </w:divBdr>
    </w:div>
    <w:div w:id="793328910">
      <w:bodyDiv w:val="1"/>
      <w:marLeft w:val="0"/>
      <w:marRight w:val="0"/>
      <w:marTop w:val="0"/>
      <w:marBottom w:val="0"/>
      <w:divBdr>
        <w:top w:val="none" w:sz="0" w:space="0" w:color="auto"/>
        <w:left w:val="none" w:sz="0" w:space="0" w:color="auto"/>
        <w:bottom w:val="none" w:sz="0" w:space="0" w:color="auto"/>
        <w:right w:val="none" w:sz="0" w:space="0" w:color="auto"/>
      </w:divBdr>
    </w:div>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930043347">
      <w:bodyDiv w:val="1"/>
      <w:marLeft w:val="0"/>
      <w:marRight w:val="0"/>
      <w:marTop w:val="0"/>
      <w:marBottom w:val="0"/>
      <w:divBdr>
        <w:top w:val="none" w:sz="0" w:space="0" w:color="auto"/>
        <w:left w:val="none" w:sz="0" w:space="0" w:color="auto"/>
        <w:bottom w:val="none" w:sz="0" w:space="0" w:color="auto"/>
        <w:right w:val="none" w:sz="0" w:space="0" w:color="auto"/>
      </w:divBdr>
      <w:divsChild>
        <w:div w:id="935939255">
          <w:marLeft w:val="0"/>
          <w:marRight w:val="0"/>
          <w:marTop w:val="0"/>
          <w:marBottom w:val="0"/>
          <w:divBdr>
            <w:top w:val="none" w:sz="0" w:space="0" w:color="auto"/>
            <w:left w:val="none" w:sz="0" w:space="0" w:color="auto"/>
            <w:bottom w:val="none" w:sz="0" w:space="0" w:color="auto"/>
            <w:right w:val="none" w:sz="0" w:space="0" w:color="auto"/>
          </w:divBdr>
          <w:divsChild>
            <w:div w:id="1528641214">
              <w:marLeft w:val="0"/>
              <w:marRight w:val="0"/>
              <w:marTop w:val="450"/>
              <w:marBottom w:val="0"/>
              <w:divBdr>
                <w:top w:val="none" w:sz="0" w:space="0" w:color="auto"/>
                <w:left w:val="none" w:sz="0" w:space="0" w:color="auto"/>
                <w:bottom w:val="none" w:sz="0" w:space="0" w:color="auto"/>
                <w:right w:val="none" w:sz="0" w:space="0" w:color="auto"/>
              </w:divBdr>
              <w:divsChild>
                <w:div w:id="1695420463">
                  <w:marLeft w:val="-225"/>
                  <w:marRight w:val="-225"/>
                  <w:marTop w:val="0"/>
                  <w:marBottom w:val="0"/>
                  <w:divBdr>
                    <w:top w:val="none" w:sz="0" w:space="0" w:color="auto"/>
                    <w:left w:val="none" w:sz="0" w:space="0" w:color="auto"/>
                    <w:bottom w:val="none" w:sz="0" w:space="0" w:color="auto"/>
                    <w:right w:val="none" w:sz="0" w:space="0" w:color="auto"/>
                  </w:divBdr>
                  <w:divsChild>
                    <w:div w:id="1039235076">
                      <w:marLeft w:val="0"/>
                      <w:marRight w:val="0"/>
                      <w:marTop w:val="0"/>
                      <w:marBottom w:val="0"/>
                      <w:divBdr>
                        <w:top w:val="none" w:sz="0" w:space="0" w:color="auto"/>
                        <w:left w:val="none" w:sz="0" w:space="0" w:color="auto"/>
                        <w:bottom w:val="none" w:sz="0" w:space="0" w:color="auto"/>
                        <w:right w:val="none" w:sz="0" w:space="0" w:color="auto"/>
                      </w:divBdr>
                      <w:divsChild>
                        <w:div w:id="1140920436">
                          <w:marLeft w:val="0"/>
                          <w:marRight w:val="0"/>
                          <w:marTop w:val="0"/>
                          <w:marBottom w:val="0"/>
                          <w:divBdr>
                            <w:top w:val="none" w:sz="0" w:space="0" w:color="auto"/>
                            <w:left w:val="none" w:sz="0" w:space="0" w:color="auto"/>
                            <w:bottom w:val="none" w:sz="0" w:space="0" w:color="auto"/>
                            <w:right w:val="none" w:sz="0" w:space="0" w:color="auto"/>
                          </w:divBdr>
                          <w:divsChild>
                            <w:div w:id="1120488355">
                              <w:marLeft w:val="0"/>
                              <w:marRight w:val="0"/>
                              <w:marTop w:val="0"/>
                              <w:marBottom w:val="0"/>
                              <w:divBdr>
                                <w:top w:val="none" w:sz="0" w:space="0" w:color="auto"/>
                                <w:left w:val="none" w:sz="0" w:space="0" w:color="auto"/>
                                <w:bottom w:val="none" w:sz="0" w:space="0" w:color="auto"/>
                                <w:right w:val="none" w:sz="0" w:space="0" w:color="auto"/>
                              </w:divBdr>
                              <w:divsChild>
                                <w:div w:id="1945067455">
                                  <w:marLeft w:val="0"/>
                                  <w:marRight w:val="0"/>
                                  <w:marTop w:val="0"/>
                                  <w:marBottom w:val="0"/>
                                  <w:divBdr>
                                    <w:top w:val="none" w:sz="0" w:space="0" w:color="auto"/>
                                    <w:left w:val="none" w:sz="0" w:space="0" w:color="auto"/>
                                    <w:bottom w:val="none" w:sz="0" w:space="0" w:color="auto"/>
                                    <w:right w:val="none" w:sz="0" w:space="0" w:color="auto"/>
                                  </w:divBdr>
                                  <w:divsChild>
                                    <w:div w:id="358313758">
                                      <w:marLeft w:val="-225"/>
                                      <w:marRight w:val="-225"/>
                                      <w:marTop w:val="0"/>
                                      <w:marBottom w:val="0"/>
                                      <w:divBdr>
                                        <w:top w:val="none" w:sz="0" w:space="0" w:color="auto"/>
                                        <w:left w:val="none" w:sz="0" w:space="0" w:color="auto"/>
                                        <w:bottom w:val="none" w:sz="0" w:space="0" w:color="auto"/>
                                        <w:right w:val="none" w:sz="0" w:space="0" w:color="auto"/>
                                      </w:divBdr>
                                      <w:divsChild>
                                        <w:div w:id="1167356303">
                                          <w:marLeft w:val="0"/>
                                          <w:marRight w:val="0"/>
                                          <w:marTop w:val="0"/>
                                          <w:marBottom w:val="0"/>
                                          <w:divBdr>
                                            <w:top w:val="none" w:sz="0" w:space="0" w:color="auto"/>
                                            <w:left w:val="none" w:sz="0" w:space="0" w:color="auto"/>
                                            <w:bottom w:val="none" w:sz="0" w:space="0" w:color="auto"/>
                                            <w:right w:val="none" w:sz="0" w:space="0" w:color="auto"/>
                                          </w:divBdr>
                                          <w:divsChild>
                                            <w:div w:id="14697959">
                                              <w:marLeft w:val="-450"/>
                                              <w:marRight w:val="-450"/>
                                              <w:marTop w:val="0"/>
                                              <w:marBottom w:val="0"/>
                                              <w:divBdr>
                                                <w:top w:val="none" w:sz="0" w:space="0" w:color="auto"/>
                                                <w:left w:val="none" w:sz="0" w:space="0" w:color="auto"/>
                                                <w:bottom w:val="none" w:sz="0" w:space="0" w:color="auto"/>
                                                <w:right w:val="none" w:sz="0" w:space="0" w:color="auto"/>
                                              </w:divBdr>
                                              <w:divsChild>
                                                <w:div w:id="1023047498">
                                                  <w:marLeft w:val="0"/>
                                                  <w:marRight w:val="0"/>
                                                  <w:marTop w:val="0"/>
                                                  <w:marBottom w:val="0"/>
                                                  <w:divBdr>
                                                    <w:top w:val="none" w:sz="0" w:space="0" w:color="auto"/>
                                                    <w:left w:val="none" w:sz="0" w:space="0" w:color="auto"/>
                                                    <w:bottom w:val="none" w:sz="0" w:space="0" w:color="auto"/>
                                                    <w:right w:val="none" w:sz="0" w:space="0" w:color="auto"/>
                                                  </w:divBdr>
                                                  <w:divsChild>
                                                    <w:div w:id="5098759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505557">
      <w:bodyDiv w:val="1"/>
      <w:marLeft w:val="0"/>
      <w:marRight w:val="0"/>
      <w:marTop w:val="0"/>
      <w:marBottom w:val="0"/>
      <w:divBdr>
        <w:top w:val="none" w:sz="0" w:space="0" w:color="auto"/>
        <w:left w:val="none" w:sz="0" w:space="0" w:color="auto"/>
        <w:bottom w:val="none" w:sz="0" w:space="0" w:color="auto"/>
        <w:right w:val="none" w:sz="0" w:space="0" w:color="auto"/>
      </w:divBdr>
      <w:divsChild>
        <w:div w:id="1365204237">
          <w:marLeft w:val="-225"/>
          <w:marRight w:val="-225"/>
          <w:marTop w:val="45"/>
          <w:marBottom w:val="45"/>
          <w:divBdr>
            <w:top w:val="none" w:sz="0" w:space="0" w:color="auto"/>
            <w:left w:val="none" w:sz="0" w:space="0" w:color="auto"/>
            <w:bottom w:val="none" w:sz="0" w:space="0" w:color="auto"/>
            <w:right w:val="none" w:sz="0" w:space="0" w:color="auto"/>
          </w:divBdr>
        </w:div>
        <w:div w:id="1828938860">
          <w:marLeft w:val="-225"/>
          <w:marRight w:val="-225"/>
          <w:marTop w:val="45"/>
          <w:marBottom w:val="45"/>
          <w:divBdr>
            <w:top w:val="none" w:sz="0" w:space="0" w:color="auto"/>
            <w:left w:val="none" w:sz="0" w:space="0" w:color="auto"/>
            <w:bottom w:val="none" w:sz="0" w:space="0" w:color="auto"/>
            <w:right w:val="none" w:sz="0" w:space="0" w:color="auto"/>
          </w:divBdr>
        </w:div>
        <w:div w:id="1423910412">
          <w:marLeft w:val="-225"/>
          <w:marRight w:val="-225"/>
          <w:marTop w:val="45"/>
          <w:marBottom w:val="45"/>
          <w:divBdr>
            <w:top w:val="none" w:sz="0" w:space="0" w:color="auto"/>
            <w:left w:val="none" w:sz="0" w:space="0" w:color="auto"/>
            <w:bottom w:val="none" w:sz="0" w:space="0" w:color="auto"/>
            <w:right w:val="none" w:sz="0" w:space="0" w:color="auto"/>
          </w:divBdr>
          <w:divsChild>
            <w:div w:id="2108118174">
              <w:marLeft w:val="0"/>
              <w:marRight w:val="0"/>
              <w:marTop w:val="45"/>
              <w:marBottom w:val="45"/>
              <w:divBdr>
                <w:top w:val="none" w:sz="0" w:space="0" w:color="auto"/>
                <w:left w:val="none" w:sz="0" w:space="0" w:color="auto"/>
                <w:bottom w:val="none" w:sz="0" w:space="0" w:color="auto"/>
                <w:right w:val="none" w:sz="0" w:space="0" w:color="auto"/>
              </w:divBdr>
              <w:divsChild>
                <w:div w:id="919562307">
                  <w:marLeft w:val="-225"/>
                  <w:marRight w:val="-225"/>
                  <w:marTop w:val="45"/>
                  <w:marBottom w:val="45"/>
                  <w:divBdr>
                    <w:top w:val="none" w:sz="0" w:space="0" w:color="auto"/>
                    <w:left w:val="none" w:sz="0" w:space="0" w:color="auto"/>
                    <w:bottom w:val="none" w:sz="0" w:space="0" w:color="auto"/>
                    <w:right w:val="none" w:sz="0" w:space="0" w:color="auto"/>
                  </w:divBdr>
                </w:div>
              </w:divsChild>
            </w:div>
          </w:divsChild>
        </w:div>
      </w:divsChild>
    </w:div>
    <w:div w:id="1007556358">
      <w:bodyDiv w:val="1"/>
      <w:marLeft w:val="0"/>
      <w:marRight w:val="0"/>
      <w:marTop w:val="0"/>
      <w:marBottom w:val="0"/>
      <w:divBdr>
        <w:top w:val="none" w:sz="0" w:space="0" w:color="auto"/>
        <w:left w:val="none" w:sz="0" w:space="0" w:color="auto"/>
        <w:bottom w:val="none" w:sz="0" w:space="0" w:color="auto"/>
        <w:right w:val="none" w:sz="0" w:space="0" w:color="auto"/>
      </w:divBdr>
    </w:div>
    <w:div w:id="1041127981">
      <w:bodyDiv w:val="1"/>
      <w:marLeft w:val="0"/>
      <w:marRight w:val="0"/>
      <w:marTop w:val="0"/>
      <w:marBottom w:val="0"/>
      <w:divBdr>
        <w:top w:val="none" w:sz="0" w:space="0" w:color="auto"/>
        <w:left w:val="none" w:sz="0" w:space="0" w:color="auto"/>
        <w:bottom w:val="none" w:sz="0" w:space="0" w:color="auto"/>
        <w:right w:val="none" w:sz="0" w:space="0" w:color="auto"/>
      </w:divBdr>
    </w:div>
    <w:div w:id="1180463510">
      <w:bodyDiv w:val="1"/>
      <w:marLeft w:val="0"/>
      <w:marRight w:val="0"/>
      <w:marTop w:val="0"/>
      <w:marBottom w:val="0"/>
      <w:divBdr>
        <w:top w:val="none" w:sz="0" w:space="0" w:color="auto"/>
        <w:left w:val="none" w:sz="0" w:space="0" w:color="auto"/>
        <w:bottom w:val="none" w:sz="0" w:space="0" w:color="auto"/>
        <w:right w:val="none" w:sz="0" w:space="0" w:color="auto"/>
      </w:divBdr>
    </w:div>
    <w:div w:id="128530785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3515665">
      <w:bodyDiv w:val="1"/>
      <w:marLeft w:val="0"/>
      <w:marRight w:val="0"/>
      <w:marTop w:val="0"/>
      <w:marBottom w:val="0"/>
      <w:divBdr>
        <w:top w:val="none" w:sz="0" w:space="0" w:color="auto"/>
        <w:left w:val="none" w:sz="0" w:space="0" w:color="auto"/>
        <w:bottom w:val="none" w:sz="0" w:space="0" w:color="auto"/>
        <w:right w:val="none" w:sz="0" w:space="0" w:color="auto"/>
      </w:divBdr>
    </w:div>
    <w:div w:id="2115052391">
      <w:bodyDiv w:val="1"/>
      <w:marLeft w:val="0"/>
      <w:marRight w:val="0"/>
      <w:marTop w:val="0"/>
      <w:marBottom w:val="0"/>
      <w:divBdr>
        <w:top w:val="none" w:sz="0" w:space="0" w:color="auto"/>
        <w:left w:val="none" w:sz="0" w:space="0" w:color="auto"/>
        <w:bottom w:val="none" w:sz="0" w:space="0" w:color="auto"/>
        <w:right w:val="none" w:sz="0" w:space="0" w:color="auto"/>
      </w:divBdr>
      <w:divsChild>
        <w:div w:id="456726940">
          <w:marLeft w:val="0"/>
          <w:marRight w:val="0"/>
          <w:marTop w:val="0"/>
          <w:marBottom w:val="0"/>
          <w:divBdr>
            <w:top w:val="none" w:sz="0" w:space="0" w:color="auto"/>
            <w:left w:val="none" w:sz="0" w:space="0" w:color="auto"/>
            <w:bottom w:val="none" w:sz="0" w:space="0" w:color="auto"/>
            <w:right w:val="none" w:sz="0" w:space="0" w:color="auto"/>
          </w:divBdr>
          <w:divsChild>
            <w:div w:id="1639724777">
              <w:marLeft w:val="0"/>
              <w:marRight w:val="0"/>
              <w:marTop w:val="0"/>
              <w:marBottom w:val="0"/>
              <w:divBdr>
                <w:top w:val="none" w:sz="0" w:space="0" w:color="auto"/>
                <w:left w:val="none" w:sz="0" w:space="0" w:color="auto"/>
                <w:bottom w:val="none" w:sz="0" w:space="0" w:color="auto"/>
                <w:right w:val="none" w:sz="0" w:space="0" w:color="auto"/>
              </w:divBdr>
              <w:divsChild>
                <w:div w:id="1251890228">
                  <w:marLeft w:val="0"/>
                  <w:marRight w:val="0"/>
                  <w:marTop w:val="0"/>
                  <w:marBottom w:val="0"/>
                  <w:divBdr>
                    <w:top w:val="none" w:sz="0" w:space="0" w:color="auto"/>
                    <w:left w:val="none" w:sz="0" w:space="0" w:color="auto"/>
                    <w:bottom w:val="none" w:sz="0" w:space="0" w:color="auto"/>
                    <w:right w:val="none" w:sz="0" w:space="0" w:color="auto"/>
                  </w:divBdr>
                  <w:divsChild>
                    <w:div w:id="1600218865">
                      <w:marLeft w:val="0"/>
                      <w:marRight w:val="0"/>
                      <w:marTop w:val="0"/>
                      <w:marBottom w:val="0"/>
                      <w:divBdr>
                        <w:top w:val="none" w:sz="0" w:space="0" w:color="auto"/>
                        <w:left w:val="none" w:sz="0" w:space="0" w:color="auto"/>
                        <w:bottom w:val="none" w:sz="0" w:space="0" w:color="auto"/>
                        <w:right w:val="none" w:sz="0" w:space="0" w:color="auto"/>
                      </w:divBdr>
                      <w:divsChild>
                        <w:div w:id="830489852">
                          <w:marLeft w:val="0"/>
                          <w:marRight w:val="0"/>
                          <w:marTop w:val="0"/>
                          <w:marBottom w:val="0"/>
                          <w:divBdr>
                            <w:top w:val="none" w:sz="0" w:space="0" w:color="auto"/>
                            <w:left w:val="none" w:sz="0" w:space="0" w:color="auto"/>
                            <w:bottom w:val="none" w:sz="0" w:space="0" w:color="auto"/>
                            <w:right w:val="none" w:sz="0" w:space="0" w:color="auto"/>
                          </w:divBdr>
                          <w:divsChild>
                            <w:div w:id="160393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03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ecisiones/2017/USPU12254ES.pdf" TargetMode="External"/><Relationship Id="rId13"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26" Type="http://schemas.openxmlformats.org/officeDocument/2006/relationships/hyperlink" Target="https://hudoc.echr.coe.int/eng" TargetMode="External"/><Relationship Id="rId3" Type="http://schemas.openxmlformats.org/officeDocument/2006/relationships/hyperlink" Target="http://www.bjdh.org.mx/interamericano/busqueda" TargetMode="External"/><Relationship Id="rId21" Type="http://schemas.openxmlformats.org/officeDocument/2006/relationships/hyperlink" Target="https://hudoc.echr.coe.int/eng" TargetMode="External"/><Relationship Id="rId7" Type="http://schemas.openxmlformats.org/officeDocument/2006/relationships/hyperlink" Target="http://www.bjdh.org.mx/interamericano/busqueda" TargetMode="Externa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5" Type="http://schemas.openxmlformats.org/officeDocument/2006/relationships/hyperlink" Target="https://hudoc.echr.coe.int/eng" TargetMode="External"/><Relationship Id="rId2" Type="http://schemas.openxmlformats.org/officeDocument/2006/relationships/hyperlink" Target="http://www.bjdh.org.mx/interamericano/busqueda" TargetMode="External"/><Relationship Id="rId16" Type="http://schemas.openxmlformats.org/officeDocument/2006/relationships/hyperlink" Target="https://hudoc.echr.coe.int/eng" TargetMode="External"/><Relationship Id="rId20" Type="http://schemas.openxmlformats.org/officeDocument/2006/relationships/hyperlink" Target="https://hudoc.echr.coe.int/eng" TargetMode="External"/><Relationship Id="rId29" Type="http://schemas.openxmlformats.org/officeDocument/2006/relationships/hyperlink" Target="https://hudoc.echr.coe.int/eng" TargetMode="External"/><Relationship Id="rId1" Type="http://schemas.openxmlformats.org/officeDocument/2006/relationships/hyperlink" Target="http://www.bjdh.org.mx/interamericano/busqueda" TargetMode="External"/><Relationship Id="rId6" Type="http://schemas.openxmlformats.org/officeDocument/2006/relationships/hyperlink" Target="http://www.bjdh.org.mx/interamericano/busqueda" TargetMode="External"/><Relationship Id="rId11" Type="http://schemas.openxmlformats.org/officeDocument/2006/relationships/hyperlink" Target="https://hudoc.echr.coe.int/eng" TargetMode="External"/><Relationship Id="rId24" Type="http://schemas.openxmlformats.org/officeDocument/2006/relationships/hyperlink" Target="https://hudoc.echr.coe.int/eng" TargetMode="External"/><Relationship Id="rId5" Type="http://schemas.openxmlformats.org/officeDocument/2006/relationships/hyperlink" Target="http://www.oas.org/es/cidh/decisiones/2017/USPU12254ES.pdf" TargetMode="External"/><Relationship Id="rId15" Type="http://schemas.openxmlformats.org/officeDocument/2006/relationships/hyperlink" Target="https://hudoc.echr.coe.int/eng" TargetMode="External"/><Relationship Id="rId23" Type="http://schemas.openxmlformats.org/officeDocument/2006/relationships/hyperlink" Target="https://hudoc.echr.coe.int/eng" TargetMode="External"/><Relationship Id="rId28" Type="http://schemas.openxmlformats.org/officeDocument/2006/relationships/hyperlink" Target="https://hudoc.echr.coe.int/eng" TargetMode="External"/><Relationship Id="rId10" Type="http://schemas.openxmlformats.org/officeDocument/2006/relationships/hyperlink" Target="https://hudoc.echr.coe.int/eng" TargetMode="External"/><Relationship Id="rId19" Type="http://schemas.openxmlformats.org/officeDocument/2006/relationships/hyperlink" Target="https://hudoc.echr.coe.int/eng" TargetMode="External"/><Relationship Id="rId31" Type="http://schemas.openxmlformats.org/officeDocument/2006/relationships/hyperlink" Target="http://www.bjdh.org.mx/interamericano/busqueda" TargetMode="External"/><Relationship Id="rId4" Type="http://schemas.openxmlformats.org/officeDocument/2006/relationships/hyperlink" Target="http://www.oas.org/es/cidh/decisiones/2012/ARPU12424ES.doc" TargetMode="External"/><Relationship Id="rId9" Type="http://schemas.openxmlformats.org/officeDocument/2006/relationships/hyperlink" Target="https://hudoc.echr.coe.int/eng" TargetMode="External"/><Relationship Id="rId14" Type="http://schemas.openxmlformats.org/officeDocument/2006/relationships/hyperlink" Target="https://hudoc.echr.coe.int/eng" TargetMode="External"/><Relationship Id="rId22" Type="http://schemas.openxmlformats.org/officeDocument/2006/relationships/hyperlink" Target="https://hudoc.echr.coe.int/eng" TargetMode="External"/><Relationship Id="rId27" Type="http://schemas.openxmlformats.org/officeDocument/2006/relationships/hyperlink" Target="https://hudoc.echr.coe.int/eng" TargetMode="External"/><Relationship Id="rId30" Type="http://schemas.openxmlformats.org/officeDocument/2006/relationships/hyperlink" Target="https://hudoc.echr.coe.int/e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F5D1-A119-447D-9605-40A67BE2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13311</Words>
  <Characters>75878</Characters>
  <Application>Microsoft Office Word</Application>
  <DocSecurity>0</DocSecurity>
  <Lines>632</Lines>
  <Paragraphs>178</Paragraphs>
  <ScaleCrop>false</ScaleCrop>
  <Company/>
  <LinksUpToDate>false</LinksUpToDate>
  <CharactersWithSpaces>89011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2021-06-15T15:08:00Z</dcterms:created>
  <dcterms:modified xsi:type="dcterms:W3CDTF">2021-06-15T15:08:00Z</dcterms:modified>
</cp:coreProperties>
</file>