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F8560" w14:textId="77777777" w:rsidR="00040C3A" w:rsidRPr="00FB4380" w:rsidRDefault="00D306D1" w:rsidP="00627C9F">
      <w:pPr>
        <w:jc w:val="both"/>
        <w:rPr>
          <w:rFonts w:asciiTheme="majorHAnsi" w:hAnsiTheme="majorHAnsi" w:cs="Univers"/>
          <w:b/>
          <w:bCs/>
          <w:sz w:val="22"/>
          <w:szCs w:val="22"/>
          <w:lang w:val="es-ES_tradnl"/>
        </w:rPr>
      </w:pPr>
      <w:r w:rsidRPr="00FB438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62BB014" wp14:editId="750EC8B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E2B1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B438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3378320" wp14:editId="13AE50B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37819" w14:textId="77777777" w:rsidR="00505351" w:rsidRDefault="00505351" w:rsidP="00AE5488">
                            <w:r>
                              <w:rPr>
                                <w:noProof/>
                              </w:rPr>
                              <w:drawing>
                                <wp:inline distT="0" distB="0" distL="0" distR="0" wp14:anchorId="0FB9A56E" wp14:editId="600C32D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7832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FA37819" w14:textId="77777777" w:rsidR="00505351" w:rsidRDefault="00505351" w:rsidP="00AE5488">
                      <w:r>
                        <w:rPr>
                          <w:noProof/>
                        </w:rPr>
                        <w:drawing>
                          <wp:inline distT="0" distB="0" distL="0" distR="0" wp14:anchorId="0FB9A56E" wp14:editId="600C32D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3EC8C37" w14:textId="77777777" w:rsidR="00040C3A" w:rsidRPr="00FB4380" w:rsidRDefault="00040C3A" w:rsidP="00040C3A">
      <w:pPr>
        <w:tabs>
          <w:tab w:val="center" w:pos="5400"/>
        </w:tabs>
        <w:suppressAutoHyphens/>
        <w:jc w:val="both"/>
        <w:rPr>
          <w:rFonts w:asciiTheme="majorHAnsi" w:hAnsiTheme="majorHAnsi"/>
          <w:sz w:val="22"/>
          <w:szCs w:val="22"/>
          <w:lang w:val="es-ES"/>
        </w:rPr>
      </w:pPr>
    </w:p>
    <w:p w14:paraId="34CBF9BD" w14:textId="77777777" w:rsidR="00040C3A" w:rsidRPr="00FB4380" w:rsidRDefault="00040C3A" w:rsidP="00040C3A">
      <w:pPr>
        <w:tabs>
          <w:tab w:val="center" w:pos="5400"/>
        </w:tabs>
        <w:suppressAutoHyphens/>
        <w:jc w:val="both"/>
        <w:rPr>
          <w:rFonts w:asciiTheme="majorHAnsi" w:hAnsiTheme="majorHAnsi"/>
          <w:sz w:val="22"/>
          <w:szCs w:val="22"/>
          <w:lang w:val="es-ES"/>
        </w:rPr>
      </w:pPr>
    </w:p>
    <w:p w14:paraId="1038A6BF" w14:textId="77777777" w:rsidR="005128E4" w:rsidRPr="00FB4380" w:rsidRDefault="005128E4" w:rsidP="00040C3A">
      <w:pPr>
        <w:tabs>
          <w:tab w:val="center" w:pos="5400"/>
        </w:tabs>
        <w:suppressAutoHyphens/>
        <w:rPr>
          <w:rFonts w:asciiTheme="majorHAnsi" w:hAnsiTheme="majorHAnsi"/>
          <w:sz w:val="22"/>
          <w:szCs w:val="22"/>
          <w:lang w:val="es-ES_tradnl"/>
        </w:rPr>
      </w:pPr>
    </w:p>
    <w:p w14:paraId="6861B41E" w14:textId="77777777" w:rsidR="005128E4" w:rsidRPr="00FB4380" w:rsidRDefault="005128E4" w:rsidP="00040C3A">
      <w:pPr>
        <w:tabs>
          <w:tab w:val="center" w:pos="5400"/>
        </w:tabs>
        <w:suppressAutoHyphens/>
        <w:rPr>
          <w:rFonts w:asciiTheme="majorHAnsi" w:hAnsiTheme="majorHAnsi"/>
          <w:sz w:val="22"/>
          <w:szCs w:val="22"/>
          <w:lang w:val="es-ES_tradnl"/>
        </w:rPr>
      </w:pPr>
    </w:p>
    <w:p w14:paraId="0747CEB9" w14:textId="77777777" w:rsidR="005128E4" w:rsidRPr="00FB4380" w:rsidRDefault="005128E4" w:rsidP="00040C3A">
      <w:pPr>
        <w:tabs>
          <w:tab w:val="center" w:pos="5400"/>
        </w:tabs>
        <w:suppressAutoHyphens/>
        <w:rPr>
          <w:rFonts w:asciiTheme="majorHAnsi" w:hAnsiTheme="majorHAnsi"/>
          <w:sz w:val="22"/>
          <w:szCs w:val="22"/>
          <w:lang w:val="es-ES_tradnl"/>
        </w:rPr>
      </w:pPr>
    </w:p>
    <w:p w14:paraId="68D2514B" w14:textId="77777777" w:rsidR="00040C3A" w:rsidRPr="00FB4380" w:rsidRDefault="00040C3A" w:rsidP="005128E4">
      <w:pPr>
        <w:tabs>
          <w:tab w:val="center" w:pos="5400"/>
        </w:tabs>
        <w:suppressAutoHyphens/>
        <w:jc w:val="center"/>
        <w:rPr>
          <w:rFonts w:asciiTheme="majorHAnsi" w:hAnsiTheme="majorHAnsi"/>
          <w:sz w:val="22"/>
          <w:szCs w:val="22"/>
          <w:lang w:val="es-ES_tradnl"/>
        </w:rPr>
      </w:pPr>
    </w:p>
    <w:p w14:paraId="67858C07" w14:textId="77777777" w:rsidR="00040C3A" w:rsidRPr="00FB4380" w:rsidRDefault="00040C3A" w:rsidP="005128E4">
      <w:pPr>
        <w:tabs>
          <w:tab w:val="center" w:pos="5400"/>
        </w:tabs>
        <w:suppressAutoHyphens/>
        <w:jc w:val="center"/>
        <w:rPr>
          <w:rFonts w:asciiTheme="majorHAnsi" w:hAnsiTheme="majorHAnsi"/>
          <w:sz w:val="22"/>
          <w:szCs w:val="22"/>
          <w:lang w:val="es-ES_tradnl"/>
        </w:rPr>
      </w:pPr>
    </w:p>
    <w:p w14:paraId="0959C3F6" w14:textId="77777777" w:rsidR="005B52B0" w:rsidRPr="00FB4380" w:rsidRDefault="005B52B0" w:rsidP="005128E4">
      <w:pPr>
        <w:tabs>
          <w:tab w:val="center" w:pos="5400"/>
        </w:tabs>
        <w:suppressAutoHyphens/>
        <w:jc w:val="center"/>
        <w:rPr>
          <w:rFonts w:asciiTheme="majorHAnsi" w:hAnsiTheme="majorHAnsi"/>
          <w:sz w:val="22"/>
          <w:szCs w:val="22"/>
          <w:lang w:val="es-ES_tradnl"/>
        </w:rPr>
      </w:pPr>
    </w:p>
    <w:p w14:paraId="53BF588F" w14:textId="77777777" w:rsidR="005B52B0" w:rsidRPr="00FB4380" w:rsidRDefault="005B52B0" w:rsidP="005128E4">
      <w:pPr>
        <w:tabs>
          <w:tab w:val="center" w:pos="5400"/>
        </w:tabs>
        <w:suppressAutoHyphens/>
        <w:jc w:val="center"/>
        <w:rPr>
          <w:rFonts w:asciiTheme="majorHAnsi" w:hAnsiTheme="majorHAnsi"/>
          <w:sz w:val="22"/>
          <w:szCs w:val="22"/>
          <w:lang w:val="es-ES_tradnl"/>
        </w:rPr>
      </w:pPr>
    </w:p>
    <w:p w14:paraId="6EB53585" w14:textId="77777777" w:rsidR="005B52B0" w:rsidRPr="00FB4380" w:rsidRDefault="005B52B0" w:rsidP="005128E4">
      <w:pPr>
        <w:tabs>
          <w:tab w:val="center" w:pos="5400"/>
        </w:tabs>
        <w:suppressAutoHyphens/>
        <w:jc w:val="center"/>
        <w:rPr>
          <w:rFonts w:asciiTheme="majorHAnsi" w:hAnsiTheme="majorHAnsi"/>
          <w:sz w:val="22"/>
          <w:szCs w:val="22"/>
          <w:lang w:val="es-ES_tradnl"/>
        </w:rPr>
      </w:pPr>
    </w:p>
    <w:p w14:paraId="38D32BC6" w14:textId="77777777" w:rsidR="00040C3A" w:rsidRPr="00FB4380" w:rsidRDefault="00040C3A" w:rsidP="00040C3A">
      <w:pPr>
        <w:tabs>
          <w:tab w:val="center" w:pos="5400"/>
        </w:tabs>
        <w:suppressAutoHyphens/>
        <w:jc w:val="center"/>
        <w:rPr>
          <w:rFonts w:asciiTheme="majorHAnsi" w:hAnsiTheme="majorHAnsi"/>
          <w:sz w:val="22"/>
          <w:szCs w:val="22"/>
          <w:lang w:val="es-ES_tradnl"/>
        </w:rPr>
      </w:pPr>
    </w:p>
    <w:p w14:paraId="18431988" w14:textId="77777777" w:rsidR="00040C3A" w:rsidRPr="00FB4380" w:rsidRDefault="00040C3A" w:rsidP="00040C3A">
      <w:pPr>
        <w:tabs>
          <w:tab w:val="center" w:pos="5400"/>
        </w:tabs>
        <w:suppressAutoHyphens/>
        <w:jc w:val="center"/>
        <w:rPr>
          <w:rFonts w:asciiTheme="majorHAnsi" w:hAnsiTheme="majorHAnsi"/>
          <w:sz w:val="22"/>
          <w:szCs w:val="22"/>
          <w:lang w:val="es-ES_tradnl"/>
        </w:rPr>
      </w:pPr>
    </w:p>
    <w:p w14:paraId="61373EA3" w14:textId="77777777" w:rsidR="00040C3A" w:rsidRPr="00FB4380" w:rsidRDefault="007C047E" w:rsidP="00040C3A">
      <w:pPr>
        <w:tabs>
          <w:tab w:val="center" w:pos="5400"/>
        </w:tabs>
        <w:suppressAutoHyphens/>
        <w:jc w:val="center"/>
        <w:rPr>
          <w:rFonts w:asciiTheme="majorHAnsi" w:hAnsiTheme="majorHAnsi"/>
          <w:sz w:val="22"/>
          <w:szCs w:val="22"/>
          <w:lang w:val="es-ES_tradnl"/>
        </w:rPr>
      </w:pPr>
      <w:r w:rsidRPr="00FB438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15A8FFD" wp14:editId="2A528FCA">
                <wp:simplePos x="0" y="0"/>
                <wp:positionH relativeFrom="column">
                  <wp:posOffset>-345058</wp:posOffset>
                </wp:positionH>
                <wp:positionV relativeFrom="paragraph">
                  <wp:posOffset>165471</wp:posOffset>
                </wp:positionV>
                <wp:extent cx="1474039"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74039"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DE2C6" w14:textId="77777777" w:rsidR="00505351" w:rsidRPr="004E2649" w:rsidRDefault="0050535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OEA/Ser.L/V/II.XX.172</w:t>
                            </w:r>
                          </w:p>
                          <w:p w14:paraId="63A17103" w14:textId="13933604" w:rsidR="00505351" w:rsidRPr="004E2649" w:rsidRDefault="0050535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73</w:t>
                            </w:r>
                          </w:p>
                          <w:p w14:paraId="43796AF0" w14:textId="1F5FE7D1" w:rsidR="00505351" w:rsidRPr="007C756A" w:rsidRDefault="0072151D"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4 mayo</w:t>
                            </w:r>
                            <w:r w:rsidR="00505351">
                              <w:rPr>
                                <w:rFonts w:asciiTheme="minorHAnsi" w:hAnsiTheme="minorHAnsi"/>
                                <w:color w:val="FFFFFF" w:themeColor="background1"/>
                                <w:sz w:val="22"/>
                                <w:lang w:val="es-US"/>
                              </w:rPr>
                              <w:t xml:space="preserve"> </w:t>
                            </w:r>
                            <w:r w:rsidR="00505351" w:rsidRPr="007C756A">
                              <w:rPr>
                                <w:rFonts w:asciiTheme="minorHAnsi" w:hAnsiTheme="minorHAnsi"/>
                                <w:color w:val="FFFFFF" w:themeColor="background1"/>
                                <w:sz w:val="22"/>
                                <w:lang w:val="es-US"/>
                              </w:rPr>
                              <w:t>20</w:t>
                            </w:r>
                            <w:r w:rsidR="00505351">
                              <w:rPr>
                                <w:rFonts w:asciiTheme="minorHAnsi" w:hAnsiTheme="minorHAnsi"/>
                                <w:color w:val="FFFFFF" w:themeColor="background1"/>
                                <w:sz w:val="22"/>
                                <w:lang w:val="es-US"/>
                              </w:rPr>
                              <w:t>19</w:t>
                            </w:r>
                          </w:p>
                          <w:p w14:paraId="240853C7" w14:textId="5DFAE805" w:rsidR="00505351" w:rsidRPr="007C756A" w:rsidRDefault="00505351"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 xml:space="preserve">Original: </w:t>
                            </w:r>
                            <w:r>
                              <w:rPr>
                                <w:rFonts w:asciiTheme="minorHAnsi" w:hAnsiTheme="minorHAnsi"/>
                                <w:color w:val="FFFFFF" w:themeColor="background1"/>
                                <w:sz w:val="22"/>
                                <w:lang w:val="es-US"/>
                              </w:rPr>
                              <w:t>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A8FFD" id="Text Box 8" o:spid="_x0000_s1027" type="#_x0000_t202" style="position:absolute;left:0;text-align:left;margin-left:-27.15pt;margin-top:13.05pt;width:116.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" filled="f" stroked="f" strokeweight=".5pt">
                <v:textbox>
                  <w:txbxContent>
                    <w:p w14:paraId="056DE2C6" w14:textId="77777777" w:rsidR="00505351" w:rsidRPr="004E2649" w:rsidRDefault="0050535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OEA/Ser.L/V/II.XX.172</w:t>
                      </w:r>
                    </w:p>
                    <w:p w14:paraId="63A17103" w14:textId="13933604" w:rsidR="00505351" w:rsidRPr="004E2649" w:rsidRDefault="0050535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73</w:t>
                      </w:r>
                    </w:p>
                    <w:p w14:paraId="43796AF0" w14:textId="1F5FE7D1" w:rsidR="00505351" w:rsidRPr="007C756A" w:rsidRDefault="0072151D"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4 mayo</w:t>
                      </w:r>
                      <w:r w:rsidR="00505351">
                        <w:rPr>
                          <w:rFonts w:asciiTheme="minorHAnsi" w:hAnsiTheme="minorHAnsi"/>
                          <w:color w:val="FFFFFF" w:themeColor="background1"/>
                          <w:sz w:val="22"/>
                          <w:lang w:val="es-US"/>
                        </w:rPr>
                        <w:t xml:space="preserve"> </w:t>
                      </w:r>
                      <w:r w:rsidR="00505351" w:rsidRPr="007C756A">
                        <w:rPr>
                          <w:rFonts w:asciiTheme="minorHAnsi" w:hAnsiTheme="minorHAnsi"/>
                          <w:color w:val="FFFFFF" w:themeColor="background1"/>
                          <w:sz w:val="22"/>
                          <w:lang w:val="es-US"/>
                        </w:rPr>
                        <w:t>20</w:t>
                      </w:r>
                      <w:r w:rsidR="00505351">
                        <w:rPr>
                          <w:rFonts w:asciiTheme="minorHAnsi" w:hAnsiTheme="minorHAnsi"/>
                          <w:color w:val="FFFFFF" w:themeColor="background1"/>
                          <w:sz w:val="22"/>
                          <w:lang w:val="es-US"/>
                        </w:rPr>
                        <w:t>19</w:t>
                      </w:r>
                    </w:p>
                    <w:p w14:paraId="240853C7" w14:textId="5DFAE805" w:rsidR="00505351" w:rsidRPr="007C756A" w:rsidRDefault="00505351"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 xml:space="preserve">Original: </w:t>
                      </w:r>
                      <w:r>
                        <w:rPr>
                          <w:rFonts w:asciiTheme="minorHAnsi" w:hAnsiTheme="minorHAnsi"/>
                          <w:color w:val="FFFFFF" w:themeColor="background1"/>
                          <w:sz w:val="22"/>
                          <w:lang w:val="es-US"/>
                        </w:rPr>
                        <w:t>E/I</w:t>
                      </w:r>
                    </w:p>
                  </w:txbxContent>
                </v:textbox>
              </v:shape>
            </w:pict>
          </mc:Fallback>
        </mc:AlternateContent>
      </w:r>
      <w:r w:rsidR="003D3BC2" w:rsidRPr="00FB438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C62F8AC" wp14:editId="3BEAB27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30B47" w14:textId="41476C8B" w:rsidR="00505351" w:rsidRPr="00C14F9B" w:rsidRDefault="00505351" w:rsidP="00997BC5">
                            <w:pPr>
                              <w:spacing w:line="276" w:lineRule="auto"/>
                              <w:rPr>
                                <w:rFonts w:asciiTheme="majorHAnsi" w:hAnsiTheme="majorHAnsi" w:cs="Arial"/>
                                <w:b/>
                                <w:bCs/>
                                <w:color w:val="0D0D0D" w:themeColor="text1" w:themeTint="F2"/>
                                <w:sz w:val="36"/>
                                <w:szCs w:val="22"/>
                                <w:lang w:val="es-ES"/>
                              </w:rPr>
                            </w:pPr>
                            <w:r w:rsidRPr="00C14F9B">
                              <w:rPr>
                                <w:rFonts w:asciiTheme="majorHAnsi" w:hAnsiTheme="majorHAnsi" w:cs="Arial"/>
                                <w:b/>
                                <w:bCs/>
                                <w:color w:val="0D0D0D" w:themeColor="text1" w:themeTint="F2"/>
                                <w:sz w:val="36"/>
                                <w:szCs w:val="22"/>
                                <w:lang w:val="es-ES"/>
                              </w:rPr>
                              <w:t xml:space="preserve">INFORME </w:t>
                            </w:r>
                            <w:r w:rsidRPr="00C14F9B">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64</w:t>
                            </w:r>
                            <w:r w:rsidRPr="00C14F9B">
                              <w:rPr>
                                <w:rFonts w:asciiTheme="majorHAnsi" w:hAnsiTheme="majorHAnsi" w:cs="Arial"/>
                                <w:b/>
                                <w:bCs/>
                                <w:color w:val="0D0D0D" w:themeColor="text1" w:themeTint="F2"/>
                                <w:sz w:val="36"/>
                                <w:szCs w:val="22"/>
                                <w:lang w:val="es-ES"/>
                              </w:rPr>
                              <w:t>/</w:t>
                            </w:r>
                            <w:r>
                              <w:rPr>
                                <w:rFonts w:asciiTheme="majorHAnsi" w:hAnsiTheme="majorHAnsi" w:cs="Arial"/>
                                <w:b/>
                                <w:bCs/>
                                <w:color w:val="0D0D0D" w:themeColor="text1" w:themeTint="F2"/>
                                <w:sz w:val="36"/>
                                <w:szCs w:val="22"/>
                                <w:lang w:val="es-ES"/>
                              </w:rPr>
                              <w:t>19</w:t>
                            </w:r>
                          </w:p>
                          <w:p w14:paraId="6EF474D6" w14:textId="77777777" w:rsidR="00505351" w:rsidRPr="00027A6B" w:rsidRDefault="00505351" w:rsidP="00997BC5">
                            <w:pPr>
                              <w:spacing w:line="276" w:lineRule="auto"/>
                              <w:rPr>
                                <w:rFonts w:asciiTheme="majorHAnsi" w:hAnsiTheme="majorHAnsi" w:cs="Arial"/>
                                <w:b/>
                                <w:color w:val="0D0D0D" w:themeColor="text1" w:themeTint="F2"/>
                                <w:sz w:val="36"/>
                                <w:szCs w:val="22"/>
                                <w:lang w:val="es-ES"/>
                              </w:rPr>
                            </w:pPr>
                            <w:r w:rsidRPr="00027A6B">
                              <w:rPr>
                                <w:rFonts w:asciiTheme="majorHAnsi" w:hAnsiTheme="majorHAnsi" w:cs="Arial"/>
                                <w:b/>
                                <w:color w:val="0D0D0D" w:themeColor="text1" w:themeTint="F2"/>
                                <w:sz w:val="36"/>
                                <w:szCs w:val="22"/>
                                <w:lang w:val="es-ES"/>
                              </w:rPr>
                              <w:t>CASO 13.267</w:t>
                            </w:r>
                          </w:p>
                          <w:p w14:paraId="333331F9" w14:textId="77777777" w:rsidR="00505351" w:rsidRPr="0010736F" w:rsidRDefault="00505351"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 Y FONDO</w:t>
                            </w:r>
                            <w:r w:rsidRPr="0010736F">
                              <w:rPr>
                                <w:rFonts w:asciiTheme="majorHAnsi" w:hAnsiTheme="majorHAnsi" w:cs="Arial"/>
                                <w:color w:val="0D0D0D" w:themeColor="text1" w:themeTint="F2"/>
                                <w:szCs w:val="22"/>
                                <w:lang w:val="es-ES_tradnl"/>
                              </w:rPr>
                              <w:t xml:space="preserve"> </w:t>
                            </w:r>
                          </w:p>
                          <w:p w14:paraId="4E10FD97" w14:textId="77777777" w:rsidR="00505351" w:rsidRPr="0010736F" w:rsidRDefault="00505351" w:rsidP="00997BC5">
                            <w:pPr>
                              <w:spacing w:line="276" w:lineRule="auto"/>
                              <w:rPr>
                                <w:rFonts w:asciiTheme="majorHAnsi" w:hAnsiTheme="majorHAnsi" w:cs="Arial"/>
                                <w:color w:val="0D0D0D" w:themeColor="text1" w:themeTint="F2"/>
                                <w:szCs w:val="22"/>
                                <w:lang w:val="es-ES_tradnl"/>
                              </w:rPr>
                            </w:pPr>
                            <w:bookmarkStart w:id="0" w:name="_ftnref1"/>
                          </w:p>
                          <w:p w14:paraId="7CDD656A" w14:textId="3D376BAE" w:rsidR="00505351" w:rsidRPr="0010736F" w:rsidRDefault="0050535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BENITES CABRERA Y OTROS (</w:t>
                            </w:r>
                            <w:r w:rsidR="00465441">
                              <w:rPr>
                                <w:rFonts w:asciiTheme="majorHAnsi" w:hAnsiTheme="majorHAnsi" w:cs="Arial"/>
                                <w:color w:val="0D0D0D" w:themeColor="text1" w:themeTint="F2"/>
                                <w:szCs w:val="22"/>
                                <w:lang w:val="es-ES_tradnl"/>
                              </w:rPr>
                              <w:t xml:space="preserve">TRABAJADORES </w:t>
                            </w:r>
                            <w:r>
                              <w:rPr>
                                <w:rFonts w:asciiTheme="majorHAnsi" w:hAnsiTheme="majorHAnsi" w:cs="Arial"/>
                                <w:color w:val="0D0D0D" w:themeColor="text1" w:themeTint="F2"/>
                                <w:szCs w:val="22"/>
                                <w:lang w:val="es-ES_tradnl"/>
                              </w:rPr>
                              <w:t>CESADOS DEL CONGRESO DE LA REPÚBLICA)</w:t>
                            </w:r>
                          </w:p>
                          <w:bookmarkEnd w:id="0"/>
                          <w:p w14:paraId="5488925C" w14:textId="77777777" w:rsidR="00505351" w:rsidRPr="0010736F" w:rsidRDefault="0050535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1663C132" w14:textId="77777777" w:rsidR="00505351" w:rsidRPr="00AE5488" w:rsidRDefault="0050535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2F8AC"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29A30B47" w14:textId="41476C8B" w:rsidR="00505351" w:rsidRPr="00C14F9B" w:rsidRDefault="00505351" w:rsidP="00997BC5">
                      <w:pPr>
                        <w:spacing w:line="276" w:lineRule="auto"/>
                        <w:rPr>
                          <w:rFonts w:asciiTheme="majorHAnsi" w:hAnsiTheme="majorHAnsi" w:cs="Arial"/>
                          <w:b/>
                          <w:bCs/>
                          <w:color w:val="0D0D0D" w:themeColor="text1" w:themeTint="F2"/>
                          <w:sz w:val="36"/>
                          <w:szCs w:val="22"/>
                          <w:lang w:val="es-ES"/>
                        </w:rPr>
                      </w:pPr>
                      <w:r w:rsidRPr="00C14F9B">
                        <w:rPr>
                          <w:rFonts w:asciiTheme="majorHAnsi" w:hAnsiTheme="majorHAnsi" w:cs="Arial"/>
                          <w:b/>
                          <w:bCs/>
                          <w:color w:val="0D0D0D" w:themeColor="text1" w:themeTint="F2"/>
                          <w:sz w:val="36"/>
                          <w:szCs w:val="22"/>
                          <w:lang w:val="es-ES"/>
                        </w:rPr>
                        <w:t xml:space="preserve">INFORME </w:t>
                      </w:r>
                      <w:r w:rsidRPr="00C14F9B">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64</w:t>
                      </w:r>
                      <w:r w:rsidRPr="00C14F9B">
                        <w:rPr>
                          <w:rFonts w:asciiTheme="majorHAnsi" w:hAnsiTheme="majorHAnsi" w:cs="Arial"/>
                          <w:b/>
                          <w:bCs/>
                          <w:color w:val="0D0D0D" w:themeColor="text1" w:themeTint="F2"/>
                          <w:sz w:val="36"/>
                          <w:szCs w:val="22"/>
                          <w:lang w:val="es-ES"/>
                        </w:rPr>
                        <w:t>/</w:t>
                      </w:r>
                      <w:r>
                        <w:rPr>
                          <w:rFonts w:asciiTheme="majorHAnsi" w:hAnsiTheme="majorHAnsi" w:cs="Arial"/>
                          <w:b/>
                          <w:bCs/>
                          <w:color w:val="0D0D0D" w:themeColor="text1" w:themeTint="F2"/>
                          <w:sz w:val="36"/>
                          <w:szCs w:val="22"/>
                          <w:lang w:val="es-ES"/>
                        </w:rPr>
                        <w:t>19</w:t>
                      </w:r>
                    </w:p>
                    <w:p w14:paraId="6EF474D6" w14:textId="77777777" w:rsidR="00505351" w:rsidRPr="00027A6B" w:rsidRDefault="00505351" w:rsidP="00997BC5">
                      <w:pPr>
                        <w:spacing w:line="276" w:lineRule="auto"/>
                        <w:rPr>
                          <w:rFonts w:asciiTheme="majorHAnsi" w:hAnsiTheme="majorHAnsi" w:cs="Arial"/>
                          <w:b/>
                          <w:color w:val="0D0D0D" w:themeColor="text1" w:themeTint="F2"/>
                          <w:sz w:val="36"/>
                          <w:szCs w:val="22"/>
                          <w:lang w:val="es-ES"/>
                        </w:rPr>
                      </w:pPr>
                      <w:r w:rsidRPr="00027A6B">
                        <w:rPr>
                          <w:rFonts w:asciiTheme="majorHAnsi" w:hAnsiTheme="majorHAnsi" w:cs="Arial"/>
                          <w:b/>
                          <w:color w:val="0D0D0D" w:themeColor="text1" w:themeTint="F2"/>
                          <w:sz w:val="36"/>
                          <w:szCs w:val="22"/>
                          <w:lang w:val="es-ES"/>
                        </w:rPr>
                        <w:t>CASO 13.267</w:t>
                      </w:r>
                    </w:p>
                    <w:p w14:paraId="333331F9" w14:textId="77777777" w:rsidR="00505351" w:rsidRPr="0010736F" w:rsidRDefault="00505351"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 Y FONDO</w:t>
                      </w:r>
                      <w:r w:rsidRPr="0010736F">
                        <w:rPr>
                          <w:rFonts w:asciiTheme="majorHAnsi" w:hAnsiTheme="majorHAnsi" w:cs="Arial"/>
                          <w:color w:val="0D0D0D" w:themeColor="text1" w:themeTint="F2"/>
                          <w:szCs w:val="22"/>
                          <w:lang w:val="es-ES_tradnl"/>
                        </w:rPr>
                        <w:t xml:space="preserve"> </w:t>
                      </w:r>
                    </w:p>
                    <w:p w14:paraId="4E10FD97" w14:textId="77777777" w:rsidR="00505351" w:rsidRPr="0010736F" w:rsidRDefault="00505351" w:rsidP="00997BC5">
                      <w:pPr>
                        <w:spacing w:line="276" w:lineRule="auto"/>
                        <w:rPr>
                          <w:rFonts w:asciiTheme="majorHAnsi" w:hAnsiTheme="majorHAnsi" w:cs="Arial"/>
                          <w:color w:val="0D0D0D" w:themeColor="text1" w:themeTint="F2"/>
                          <w:szCs w:val="22"/>
                          <w:lang w:val="es-ES_tradnl"/>
                        </w:rPr>
                      </w:pPr>
                      <w:bookmarkStart w:id="1" w:name="_ftnref1"/>
                    </w:p>
                    <w:p w14:paraId="7CDD656A" w14:textId="3D376BAE" w:rsidR="00505351" w:rsidRPr="0010736F" w:rsidRDefault="0050535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BENITES CABRERA Y OTROS (</w:t>
                      </w:r>
                      <w:r w:rsidR="00465441">
                        <w:rPr>
                          <w:rFonts w:asciiTheme="majorHAnsi" w:hAnsiTheme="majorHAnsi" w:cs="Arial"/>
                          <w:color w:val="0D0D0D" w:themeColor="text1" w:themeTint="F2"/>
                          <w:szCs w:val="22"/>
                          <w:lang w:val="es-ES_tradnl"/>
                        </w:rPr>
                        <w:t xml:space="preserve">TRABAJADORES </w:t>
                      </w:r>
                      <w:r>
                        <w:rPr>
                          <w:rFonts w:asciiTheme="majorHAnsi" w:hAnsiTheme="majorHAnsi" w:cs="Arial"/>
                          <w:color w:val="0D0D0D" w:themeColor="text1" w:themeTint="F2"/>
                          <w:szCs w:val="22"/>
                          <w:lang w:val="es-ES_tradnl"/>
                        </w:rPr>
                        <w:t>CESADOS DEL CONGRESO DE LA REPÚBLICA)</w:t>
                      </w:r>
                    </w:p>
                    <w:bookmarkEnd w:id="1"/>
                    <w:p w14:paraId="5488925C" w14:textId="77777777" w:rsidR="00505351" w:rsidRPr="0010736F" w:rsidRDefault="0050535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1663C132" w14:textId="77777777" w:rsidR="00505351" w:rsidRPr="00AE5488" w:rsidRDefault="00505351" w:rsidP="007A5817">
                      <w:pPr>
                        <w:rPr>
                          <w:color w:val="0D0D0D" w:themeColor="text1" w:themeTint="F2"/>
                          <w:lang w:val="es-ES_tradnl"/>
                        </w:rPr>
                      </w:pPr>
                    </w:p>
                  </w:txbxContent>
                </v:textbox>
              </v:shape>
            </w:pict>
          </mc:Fallback>
        </mc:AlternateContent>
      </w:r>
    </w:p>
    <w:p w14:paraId="1F6AD0F4" w14:textId="77777777" w:rsidR="00040C3A" w:rsidRPr="00FB4380" w:rsidRDefault="00040C3A" w:rsidP="00040C3A">
      <w:pPr>
        <w:tabs>
          <w:tab w:val="center" w:pos="5400"/>
        </w:tabs>
        <w:suppressAutoHyphens/>
        <w:jc w:val="center"/>
        <w:rPr>
          <w:rFonts w:asciiTheme="majorHAnsi" w:hAnsiTheme="majorHAnsi"/>
          <w:sz w:val="22"/>
          <w:szCs w:val="22"/>
          <w:lang w:val="es-ES_tradnl"/>
        </w:rPr>
      </w:pPr>
    </w:p>
    <w:p w14:paraId="5FDEDD08" w14:textId="77777777" w:rsidR="00040C3A" w:rsidRPr="00FB4380" w:rsidRDefault="00040C3A" w:rsidP="00040C3A">
      <w:pPr>
        <w:tabs>
          <w:tab w:val="center" w:pos="5400"/>
        </w:tabs>
        <w:suppressAutoHyphens/>
        <w:jc w:val="center"/>
        <w:rPr>
          <w:rFonts w:asciiTheme="majorHAnsi" w:hAnsiTheme="majorHAnsi"/>
          <w:sz w:val="22"/>
          <w:szCs w:val="22"/>
          <w:lang w:val="es-ES_tradnl"/>
        </w:rPr>
      </w:pPr>
    </w:p>
    <w:p w14:paraId="03D2652F" w14:textId="77777777" w:rsidR="00040C3A" w:rsidRPr="00FB4380" w:rsidRDefault="00040C3A" w:rsidP="00040C3A">
      <w:pPr>
        <w:tabs>
          <w:tab w:val="center" w:pos="5400"/>
        </w:tabs>
        <w:suppressAutoHyphens/>
        <w:jc w:val="center"/>
        <w:rPr>
          <w:rFonts w:asciiTheme="majorHAnsi" w:hAnsiTheme="majorHAnsi" w:cs="Arial"/>
          <w:sz w:val="22"/>
          <w:szCs w:val="22"/>
          <w:lang w:val="es-ES_tradnl"/>
        </w:rPr>
      </w:pPr>
    </w:p>
    <w:p w14:paraId="3980776B" w14:textId="77777777" w:rsidR="00040C3A" w:rsidRPr="00FB4380" w:rsidRDefault="00040C3A" w:rsidP="00040C3A">
      <w:pPr>
        <w:tabs>
          <w:tab w:val="center" w:pos="5400"/>
        </w:tabs>
        <w:suppressAutoHyphens/>
        <w:jc w:val="center"/>
        <w:rPr>
          <w:rFonts w:asciiTheme="majorHAnsi" w:hAnsiTheme="majorHAnsi"/>
          <w:sz w:val="22"/>
          <w:szCs w:val="22"/>
          <w:lang w:val="es-ES_tradnl"/>
        </w:rPr>
      </w:pPr>
    </w:p>
    <w:p w14:paraId="10721852" w14:textId="77777777" w:rsidR="00040C3A" w:rsidRPr="00FB4380" w:rsidRDefault="00040C3A" w:rsidP="00040C3A">
      <w:pPr>
        <w:tabs>
          <w:tab w:val="center" w:pos="5400"/>
        </w:tabs>
        <w:suppressAutoHyphens/>
        <w:jc w:val="center"/>
        <w:rPr>
          <w:rFonts w:asciiTheme="majorHAnsi" w:hAnsiTheme="majorHAnsi"/>
          <w:sz w:val="22"/>
          <w:szCs w:val="22"/>
          <w:lang w:val="es-ES_tradnl"/>
        </w:rPr>
      </w:pPr>
    </w:p>
    <w:p w14:paraId="041BAA1B" w14:textId="77777777" w:rsidR="00040C3A" w:rsidRPr="00FB4380" w:rsidRDefault="00040C3A" w:rsidP="00040C3A">
      <w:pPr>
        <w:tabs>
          <w:tab w:val="center" w:pos="5400"/>
        </w:tabs>
        <w:suppressAutoHyphens/>
        <w:jc w:val="center"/>
        <w:rPr>
          <w:rFonts w:asciiTheme="majorHAnsi" w:hAnsiTheme="majorHAnsi"/>
          <w:sz w:val="22"/>
          <w:szCs w:val="22"/>
          <w:lang w:val="es-ES_tradnl"/>
        </w:rPr>
      </w:pPr>
    </w:p>
    <w:p w14:paraId="345976A5" w14:textId="77777777" w:rsidR="00040C3A" w:rsidRPr="00FB4380" w:rsidRDefault="00040C3A" w:rsidP="00040C3A">
      <w:pPr>
        <w:tabs>
          <w:tab w:val="center" w:pos="5400"/>
        </w:tabs>
        <w:suppressAutoHyphens/>
        <w:jc w:val="center"/>
        <w:rPr>
          <w:rFonts w:asciiTheme="majorHAnsi" w:hAnsiTheme="majorHAnsi"/>
          <w:sz w:val="22"/>
          <w:szCs w:val="22"/>
          <w:lang w:val="es-ES_tradnl"/>
        </w:rPr>
      </w:pPr>
    </w:p>
    <w:p w14:paraId="6729718E" w14:textId="77777777" w:rsidR="005128E4" w:rsidRPr="00FB4380" w:rsidRDefault="005128E4" w:rsidP="00040C3A">
      <w:pPr>
        <w:tabs>
          <w:tab w:val="center" w:pos="5400"/>
        </w:tabs>
        <w:suppressAutoHyphens/>
        <w:jc w:val="center"/>
        <w:rPr>
          <w:rFonts w:asciiTheme="majorHAnsi" w:hAnsiTheme="majorHAnsi"/>
          <w:sz w:val="22"/>
          <w:szCs w:val="22"/>
          <w:lang w:val="es-ES_tradnl"/>
        </w:rPr>
      </w:pPr>
    </w:p>
    <w:p w14:paraId="3BF637B7" w14:textId="77777777" w:rsidR="00040C3A" w:rsidRPr="00FB4380" w:rsidRDefault="00040C3A" w:rsidP="00040C3A">
      <w:pPr>
        <w:tabs>
          <w:tab w:val="center" w:pos="5400"/>
        </w:tabs>
        <w:suppressAutoHyphens/>
        <w:jc w:val="center"/>
        <w:rPr>
          <w:rFonts w:asciiTheme="majorHAnsi" w:hAnsiTheme="majorHAnsi"/>
          <w:sz w:val="22"/>
          <w:szCs w:val="22"/>
          <w:lang w:val="es-ES_tradnl"/>
        </w:rPr>
      </w:pPr>
    </w:p>
    <w:p w14:paraId="6FC44D3B" w14:textId="77777777" w:rsidR="005128E4" w:rsidRPr="00FB4380" w:rsidRDefault="005128E4" w:rsidP="00040C3A">
      <w:pPr>
        <w:tabs>
          <w:tab w:val="center" w:pos="5400"/>
        </w:tabs>
        <w:suppressAutoHyphens/>
        <w:jc w:val="center"/>
        <w:rPr>
          <w:rFonts w:asciiTheme="majorHAnsi" w:hAnsiTheme="majorHAnsi"/>
          <w:sz w:val="22"/>
          <w:szCs w:val="22"/>
          <w:lang w:val="es-ES_tradnl"/>
        </w:rPr>
      </w:pPr>
    </w:p>
    <w:p w14:paraId="58D3C3E6" w14:textId="77777777" w:rsidR="005128E4" w:rsidRPr="00FB4380" w:rsidRDefault="005128E4" w:rsidP="00040C3A">
      <w:pPr>
        <w:tabs>
          <w:tab w:val="center" w:pos="5400"/>
        </w:tabs>
        <w:suppressAutoHyphens/>
        <w:jc w:val="center"/>
        <w:rPr>
          <w:rFonts w:asciiTheme="majorHAnsi" w:hAnsiTheme="majorHAnsi"/>
          <w:sz w:val="22"/>
          <w:szCs w:val="22"/>
          <w:lang w:val="es-ES_tradnl"/>
        </w:rPr>
      </w:pPr>
    </w:p>
    <w:p w14:paraId="4F0F24F2" w14:textId="77777777" w:rsidR="005128E4" w:rsidRPr="00FB4380" w:rsidRDefault="005128E4" w:rsidP="00040C3A">
      <w:pPr>
        <w:tabs>
          <w:tab w:val="center" w:pos="5400"/>
        </w:tabs>
        <w:suppressAutoHyphens/>
        <w:jc w:val="center"/>
        <w:rPr>
          <w:rFonts w:asciiTheme="majorHAnsi" w:hAnsiTheme="majorHAnsi"/>
          <w:sz w:val="22"/>
          <w:szCs w:val="22"/>
          <w:lang w:val="es-ES_tradnl"/>
        </w:rPr>
      </w:pPr>
    </w:p>
    <w:p w14:paraId="13094251" w14:textId="77777777" w:rsidR="00040C3A" w:rsidRPr="00FB4380" w:rsidRDefault="00040C3A" w:rsidP="00040C3A">
      <w:pPr>
        <w:tabs>
          <w:tab w:val="center" w:pos="5400"/>
        </w:tabs>
        <w:suppressAutoHyphens/>
        <w:jc w:val="center"/>
        <w:rPr>
          <w:rFonts w:asciiTheme="majorHAnsi" w:hAnsiTheme="majorHAnsi"/>
          <w:sz w:val="22"/>
          <w:szCs w:val="22"/>
          <w:lang w:val="es-ES_tradnl"/>
        </w:rPr>
      </w:pPr>
    </w:p>
    <w:p w14:paraId="6541CE34" w14:textId="77777777" w:rsidR="00040C3A" w:rsidRPr="00FB4380" w:rsidRDefault="00040C3A" w:rsidP="00040C3A">
      <w:pPr>
        <w:tabs>
          <w:tab w:val="center" w:pos="5400"/>
        </w:tabs>
        <w:suppressAutoHyphens/>
        <w:jc w:val="center"/>
        <w:rPr>
          <w:rFonts w:asciiTheme="majorHAnsi" w:hAnsiTheme="majorHAnsi"/>
          <w:sz w:val="22"/>
          <w:szCs w:val="22"/>
          <w:lang w:val="es-ES_tradnl"/>
        </w:rPr>
      </w:pPr>
    </w:p>
    <w:p w14:paraId="2890843F" w14:textId="77777777" w:rsidR="00A50FCF" w:rsidRPr="00FB4380" w:rsidRDefault="00A50FCF" w:rsidP="00040C3A">
      <w:pPr>
        <w:tabs>
          <w:tab w:val="center" w:pos="5400"/>
        </w:tabs>
        <w:suppressAutoHyphens/>
        <w:jc w:val="center"/>
        <w:rPr>
          <w:rFonts w:asciiTheme="majorHAnsi" w:hAnsiTheme="majorHAnsi"/>
          <w:sz w:val="18"/>
          <w:szCs w:val="22"/>
          <w:lang w:val="es-ES_tradnl"/>
        </w:rPr>
      </w:pPr>
    </w:p>
    <w:p w14:paraId="4B2E392E" w14:textId="77777777" w:rsidR="00A50FCF" w:rsidRPr="00FB4380" w:rsidRDefault="00A50FCF" w:rsidP="00040C3A">
      <w:pPr>
        <w:tabs>
          <w:tab w:val="center" w:pos="5400"/>
        </w:tabs>
        <w:suppressAutoHyphens/>
        <w:jc w:val="center"/>
        <w:rPr>
          <w:rFonts w:asciiTheme="majorHAnsi" w:hAnsiTheme="majorHAnsi"/>
          <w:sz w:val="18"/>
          <w:szCs w:val="22"/>
          <w:lang w:val="es-ES_tradnl"/>
        </w:rPr>
      </w:pPr>
    </w:p>
    <w:p w14:paraId="475480D0" w14:textId="77777777" w:rsidR="00A50FCF" w:rsidRPr="00FB4380" w:rsidRDefault="00A50FCF" w:rsidP="00040C3A">
      <w:pPr>
        <w:tabs>
          <w:tab w:val="center" w:pos="5400"/>
        </w:tabs>
        <w:suppressAutoHyphens/>
        <w:jc w:val="center"/>
        <w:rPr>
          <w:rFonts w:asciiTheme="majorHAnsi" w:hAnsiTheme="majorHAnsi"/>
          <w:sz w:val="18"/>
          <w:szCs w:val="22"/>
          <w:lang w:val="es-ES_tradnl"/>
        </w:rPr>
      </w:pPr>
    </w:p>
    <w:p w14:paraId="0FDE8302" w14:textId="77777777" w:rsidR="00A50FCF" w:rsidRPr="00FB4380" w:rsidRDefault="00A50FCF" w:rsidP="00040C3A">
      <w:pPr>
        <w:tabs>
          <w:tab w:val="center" w:pos="5400"/>
        </w:tabs>
        <w:suppressAutoHyphens/>
        <w:jc w:val="center"/>
        <w:rPr>
          <w:rFonts w:asciiTheme="majorHAnsi" w:hAnsiTheme="majorHAnsi"/>
          <w:sz w:val="18"/>
          <w:szCs w:val="22"/>
          <w:lang w:val="es-ES_tradnl"/>
        </w:rPr>
      </w:pPr>
    </w:p>
    <w:p w14:paraId="6654963A" w14:textId="77777777" w:rsidR="00A50FCF" w:rsidRPr="00FB4380" w:rsidRDefault="00A50FCF" w:rsidP="00040C3A">
      <w:pPr>
        <w:tabs>
          <w:tab w:val="center" w:pos="5400"/>
        </w:tabs>
        <w:suppressAutoHyphens/>
        <w:jc w:val="center"/>
        <w:rPr>
          <w:rFonts w:asciiTheme="majorHAnsi" w:hAnsiTheme="majorHAnsi"/>
          <w:sz w:val="18"/>
          <w:szCs w:val="22"/>
          <w:lang w:val="es-ES_tradnl"/>
        </w:rPr>
      </w:pPr>
    </w:p>
    <w:p w14:paraId="5614193E" w14:textId="77777777" w:rsidR="00A50FCF" w:rsidRPr="00FB4380" w:rsidRDefault="00A50FCF" w:rsidP="00040C3A">
      <w:pPr>
        <w:tabs>
          <w:tab w:val="center" w:pos="5400"/>
        </w:tabs>
        <w:suppressAutoHyphens/>
        <w:jc w:val="center"/>
        <w:rPr>
          <w:rFonts w:asciiTheme="majorHAnsi" w:hAnsiTheme="majorHAnsi"/>
          <w:sz w:val="18"/>
          <w:szCs w:val="22"/>
          <w:lang w:val="es-ES_tradnl"/>
        </w:rPr>
      </w:pPr>
    </w:p>
    <w:p w14:paraId="5C19481F" w14:textId="77777777" w:rsidR="00A50FCF" w:rsidRPr="00FB4380" w:rsidRDefault="00A50FCF" w:rsidP="00040C3A">
      <w:pPr>
        <w:tabs>
          <w:tab w:val="center" w:pos="5400"/>
        </w:tabs>
        <w:suppressAutoHyphens/>
        <w:jc w:val="center"/>
        <w:rPr>
          <w:rFonts w:asciiTheme="majorHAnsi" w:hAnsiTheme="majorHAnsi"/>
          <w:sz w:val="18"/>
          <w:szCs w:val="22"/>
          <w:lang w:val="es-ES_tradnl"/>
        </w:rPr>
      </w:pPr>
    </w:p>
    <w:p w14:paraId="50F0BCFB" w14:textId="77777777" w:rsidR="00A50FCF" w:rsidRPr="00FB4380" w:rsidRDefault="00A50FCF" w:rsidP="00040C3A">
      <w:pPr>
        <w:tabs>
          <w:tab w:val="center" w:pos="5400"/>
        </w:tabs>
        <w:suppressAutoHyphens/>
        <w:jc w:val="center"/>
        <w:rPr>
          <w:rFonts w:asciiTheme="majorHAnsi" w:hAnsiTheme="majorHAnsi"/>
          <w:sz w:val="18"/>
          <w:szCs w:val="22"/>
          <w:lang w:val="es-ES_tradnl"/>
        </w:rPr>
      </w:pPr>
    </w:p>
    <w:p w14:paraId="3E8EBC5B" w14:textId="77777777" w:rsidR="00A50FCF" w:rsidRPr="00FB4380" w:rsidRDefault="00A50FCF" w:rsidP="00040C3A">
      <w:pPr>
        <w:tabs>
          <w:tab w:val="center" w:pos="5400"/>
        </w:tabs>
        <w:suppressAutoHyphens/>
        <w:jc w:val="center"/>
        <w:rPr>
          <w:rFonts w:asciiTheme="majorHAnsi" w:hAnsiTheme="majorHAnsi"/>
          <w:sz w:val="18"/>
          <w:szCs w:val="22"/>
          <w:lang w:val="es-ES_tradnl"/>
        </w:rPr>
      </w:pPr>
    </w:p>
    <w:p w14:paraId="04DCBA5E" w14:textId="77777777" w:rsidR="00A50FCF" w:rsidRPr="00FB4380" w:rsidRDefault="00A50FCF" w:rsidP="00040C3A">
      <w:pPr>
        <w:tabs>
          <w:tab w:val="center" w:pos="5400"/>
        </w:tabs>
        <w:suppressAutoHyphens/>
        <w:jc w:val="center"/>
        <w:rPr>
          <w:rFonts w:asciiTheme="majorHAnsi" w:hAnsiTheme="majorHAnsi"/>
          <w:sz w:val="18"/>
          <w:szCs w:val="22"/>
          <w:lang w:val="es-ES_tradnl"/>
        </w:rPr>
      </w:pPr>
    </w:p>
    <w:p w14:paraId="22E64A51" w14:textId="77777777" w:rsidR="00A50FCF" w:rsidRPr="00FB4380" w:rsidRDefault="00A50FCF" w:rsidP="00040C3A">
      <w:pPr>
        <w:tabs>
          <w:tab w:val="center" w:pos="5400"/>
        </w:tabs>
        <w:suppressAutoHyphens/>
        <w:jc w:val="center"/>
        <w:rPr>
          <w:rFonts w:asciiTheme="majorHAnsi" w:hAnsiTheme="majorHAnsi"/>
          <w:sz w:val="18"/>
          <w:szCs w:val="22"/>
          <w:lang w:val="es-ES_tradnl"/>
        </w:rPr>
      </w:pPr>
    </w:p>
    <w:p w14:paraId="77BDD8AB" w14:textId="77777777" w:rsidR="00A50FCF" w:rsidRPr="00FB4380" w:rsidRDefault="00A50FCF" w:rsidP="00040C3A">
      <w:pPr>
        <w:tabs>
          <w:tab w:val="center" w:pos="5400"/>
        </w:tabs>
        <w:suppressAutoHyphens/>
        <w:jc w:val="center"/>
        <w:rPr>
          <w:rFonts w:asciiTheme="majorHAnsi" w:hAnsiTheme="majorHAnsi"/>
          <w:sz w:val="18"/>
          <w:szCs w:val="22"/>
          <w:lang w:val="es-ES_tradnl"/>
        </w:rPr>
      </w:pPr>
    </w:p>
    <w:p w14:paraId="492E10C1" w14:textId="54EA2991" w:rsidR="00A50FCF" w:rsidRPr="00FB4380" w:rsidRDefault="008F5E58" w:rsidP="00040C3A">
      <w:pPr>
        <w:tabs>
          <w:tab w:val="center" w:pos="5400"/>
        </w:tabs>
        <w:suppressAutoHyphens/>
        <w:jc w:val="center"/>
        <w:rPr>
          <w:rFonts w:asciiTheme="majorHAnsi" w:hAnsiTheme="majorHAnsi"/>
          <w:sz w:val="18"/>
          <w:szCs w:val="22"/>
          <w:lang w:val="es-ES_tradnl"/>
        </w:rPr>
      </w:pPr>
      <w:r w:rsidRPr="00FB438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5CDE3EA" wp14:editId="28993EFB">
                <wp:simplePos x="0" y="0"/>
                <wp:positionH relativeFrom="column">
                  <wp:posOffset>1400175</wp:posOffset>
                </wp:positionH>
                <wp:positionV relativeFrom="paragraph">
                  <wp:posOffset>92710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F48B47" w14:textId="77777777" w:rsidR="0072151D" w:rsidRDefault="0072151D" w:rsidP="0059191A">
                            <w:pPr>
                              <w:tabs>
                                <w:tab w:val="center" w:pos="5400"/>
                              </w:tabs>
                              <w:suppressAutoHyphens/>
                              <w:spacing w:before="60"/>
                              <w:rPr>
                                <w:rFonts w:asciiTheme="majorHAnsi" w:hAnsiTheme="majorHAnsi"/>
                                <w:color w:val="0D0D0D" w:themeColor="text1" w:themeTint="F2"/>
                                <w:sz w:val="18"/>
                                <w:szCs w:val="20"/>
                                <w:lang w:val="es-ES"/>
                              </w:rPr>
                            </w:pPr>
                            <w:r>
                              <w:rPr>
                                <w:rFonts w:asciiTheme="majorHAnsi" w:hAnsiTheme="majorHAnsi"/>
                                <w:color w:val="0D0D0D" w:themeColor="text1" w:themeTint="F2"/>
                                <w:sz w:val="18"/>
                                <w:szCs w:val="20"/>
                                <w:lang w:val="es-ES"/>
                              </w:rPr>
                              <w:t>Aprobado por la Comisión en su S</w:t>
                            </w:r>
                            <w:r w:rsidR="00505351" w:rsidRPr="007C047E">
                              <w:rPr>
                                <w:rFonts w:asciiTheme="majorHAnsi" w:hAnsiTheme="majorHAnsi"/>
                                <w:color w:val="0D0D0D" w:themeColor="text1" w:themeTint="F2"/>
                                <w:sz w:val="18"/>
                                <w:szCs w:val="20"/>
                                <w:lang w:val="es-ES"/>
                              </w:rPr>
                              <w:t xml:space="preserve">esión No. </w:t>
                            </w:r>
                            <w:r w:rsidR="00505351">
                              <w:rPr>
                                <w:rFonts w:asciiTheme="majorHAnsi" w:hAnsiTheme="majorHAnsi"/>
                                <w:color w:val="0D0D0D" w:themeColor="text1" w:themeTint="F2"/>
                                <w:sz w:val="18"/>
                                <w:szCs w:val="20"/>
                                <w:lang w:val="es-ES"/>
                              </w:rPr>
                              <w:t>2150 cel</w:t>
                            </w:r>
                            <w:r>
                              <w:rPr>
                                <w:rFonts w:asciiTheme="majorHAnsi" w:hAnsiTheme="majorHAnsi"/>
                                <w:color w:val="0D0D0D" w:themeColor="text1" w:themeTint="F2"/>
                                <w:sz w:val="18"/>
                                <w:szCs w:val="20"/>
                                <w:lang w:val="es-ES"/>
                              </w:rPr>
                              <w:t>ebrada el 4 de mayo de 2019</w:t>
                            </w:r>
                          </w:p>
                          <w:p w14:paraId="2A291466" w14:textId="1DD58FA6" w:rsidR="00505351" w:rsidRPr="00027A6B" w:rsidRDefault="00505351"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s="Univers"/>
                                <w:color w:val="0D0D0D" w:themeColor="text1" w:themeTint="F2"/>
                                <w:sz w:val="18"/>
                                <w:szCs w:val="20"/>
                                <w:lang w:val="es-ES"/>
                              </w:rPr>
                              <w:t>172º</w:t>
                            </w:r>
                            <w:r w:rsidR="004F522D">
                              <w:rPr>
                                <w:rFonts w:asciiTheme="majorHAnsi" w:hAnsiTheme="majorHAnsi" w:cs="Univers"/>
                                <w:color w:val="0D0D0D" w:themeColor="text1" w:themeTint="F2"/>
                                <w:sz w:val="18"/>
                                <w:szCs w:val="20"/>
                                <w:lang w:val="es-ES_tradnl"/>
                              </w:rPr>
                              <w:t xml:space="preserve"> Período Extraordinario de S</w:t>
                            </w:r>
                            <w:r w:rsidRPr="007C047E">
                              <w:rPr>
                                <w:rFonts w:asciiTheme="majorHAnsi" w:hAnsiTheme="majorHAnsi" w:cs="Univers"/>
                                <w:color w:val="0D0D0D" w:themeColor="text1" w:themeTint="F2"/>
                                <w:sz w:val="18"/>
                                <w:szCs w:val="20"/>
                                <w:lang w:val="es-ES_tradnl"/>
                              </w:rPr>
                              <w:t>esiones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DE3EA" id="Text Box 7" o:spid="_x0000_s1029" type="#_x0000_t202" style="position:absolute;left:0;text-align:left;margin-left:110.25pt;margin-top:7.3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" filled="f" stroked="f" strokeweight=".5pt">
                <v:textbox>
                  <w:txbxContent>
                    <w:p w14:paraId="24F48B47" w14:textId="77777777" w:rsidR="0072151D" w:rsidRDefault="0072151D" w:rsidP="0059191A">
                      <w:pPr>
                        <w:tabs>
                          <w:tab w:val="center" w:pos="5400"/>
                        </w:tabs>
                        <w:suppressAutoHyphens/>
                        <w:spacing w:before="60"/>
                        <w:rPr>
                          <w:rFonts w:asciiTheme="majorHAnsi" w:hAnsiTheme="majorHAnsi"/>
                          <w:color w:val="0D0D0D" w:themeColor="text1" w:themeTint="F2"/>
                          <w:sz w:val="18"/>
                          <w:szCs w:val="20"/>
                          <w:lang w:val="es-ES"/>
                        </w:rPr>
                      </w:pPr>
                      <w:r>
                        <w:rPr>
                          <w:rFonts w:asciiTheme="majorHAnsi" w:hAnsiTheme="majorHAnsi"/>
                          <w:color w:val="0D0D0D" w:themeColor="text1" w:themeTint="F2"/>
                          <w:sz w:val="18"/>
                          <w:szCs w:val="20"/>
                          <w:lang w:val="es-ES"/>
                        </w:rPr>
                        <w:t>Aprobado por la Comisión en su S</w:t>
                      </w:r>
                      <w:r w:rsidR="00505351" w:rsidRPr="007C047E">
                        <w:rPr>
                          <w:rFonts w:asciiTheme="majorHAnsi" w:hAnsiTheme="majorHAnsi"/>
                          <w:color w:val="0D0D0D" w:themeColor="text1" w:themeTint="F2"/>
                          <w:sz w:val="18"/>
                          <w:szCs w:val="20"/>
                          <w:lang w:val="es-ES"/>
                        </w:rPr>
                        <w:t xml:space="preserve">esión No. </w:t>
                      </w:r>
                      <w:r w:rsidR="00505351">
                        <w:rPr>
                          <w:rFonts w:asciiTheme="majorHAnsi" w:hAnsiTheme="majorHAnsi"/>
                          <w:color w:val="0D0D0D" w:themeColor="text1" w:themeTint="F2"/>
                          <w:sz w:val="18"/>
                          <w:szCs w:val="20"/>
                          <w:lang w:val="es-ES"/>
                        </w:rPr>
                        <w:t>2150 cel</w:t>
                      </w:r>
                      <w:r>
                        <w:rPr>
                          <w:rFonts w:asciiTheme="majorHAnsi" w:hAnsiTheme="majorHAnsi"/>
                          <w:color w:val="0D0D0D" w:themeColor="text1" w:themeTint="F2"/>
                          <w:sz w:val="18"/>
                          <w:szCs w:val="20"/>
                          <w:lang w:val="es-ES"/>
                        </w:rPr>
                        <w:t>ebrada el 4 de mayo de 2019</w:t>
                      </w:r>
                    </w:p>
                    <w:p w14:paraId="2A291466" w14:textId="1DD58FA6" w:rsidR="00505351" w:rsidRPr="00027A6B" w:rsidRDefault="00505351"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s="Univers"/>
                          <w:color w:val="0D0D0D" w:themeColor="text1" w:themeTint="F2"/>
                          <w:sz w:val="18"/>
                          <w:szCs w:val="20"/>
                          <w:lang w:val="es-ES"/>
                        </w:rPr>
                        <w:t>172º</w:t>
                      </w:r>
                      <w:r w:rsidR="004F522D">
                        <w:rPr>
                          <w:rFonts w:asciiTheme="majorHAnsi" w:hAnsiTheme="majorHAnsi" w:cs="Univers"/>
                          <w:color w:val="0D0D0D" w:themeColor="text1" w:themeTint="F2"/>
                          <w:sz w:val="18"/>
                          <w:szCs w:val="20"/>
                          <w:lang w:val="es-ES_tradnl"/>
                        </w:rPr>
                        <w:t xml:space="preserve"> Período Extraordinario de S</w:t>
                      </w:r>
                      <w:r w:rsidRPr="007C047E">
                        <w:rPr>
                          <w:rFonts w:asciiTheme="majorHAnsi" w:hAnsiTheme="majorHAnsi" w:cs="Univers"/>
                          <w:color w:val="0D0D0D" w:themeColor="text1" w:themeTint="F2"/>
                          <w:sz w:val="18"/>
                          <w:szCs w:val="20"/>
                          <w:lang w:val="es-ES_tradnl"/>
                        </w:rPr>
                        <w:t>esiones</w:t>
                      </w:r>
                    </w:p>
                  </w:txbxContent>
                </v:textbox>
              </v:shape>
            </w:pict>
          </mc:Fallback>
        </mc:AlternateContent>
      </w:r>
    </w:p>
    <w:p w14:paraId="0745A70A" w14:textId="77777777" w:rsidR="00A50FCF" w:rsidRPr="00FB4380" w:rsidRDefault="00A50FCF" w:rsidP="00040C3A">
      <w:pPr>
        <w:tabs>
          <w:tab w:val="center" w:pos="5400"/>
        </w:tabs>
        <w:suppressAutoHyphens/>
        <w:jc w:val="center"/>
        <w:rPr>
          <w:rFonts w:asciiTheme="majorHAnsi" w:hAnsiTheme="majorHAnsi"/>
          <w:sz w:val="18"/>
          <w:szCs w:val="22"/>
          <w:lang w:val="es-ES_tradnl"/>
        </w:rPr>
      </w:pPr>
    </w:p>
    <w:p w14:paraId="1625E5D4" w14:textId="16B26570" w:rsidR="00A50FCF" w:rsidRPr="00FB4380" w:rsidRDefault="00A50FCF" w:rsidP="00040C3A">
      <w:pPr>
        <w:tabs>
          <w:tab w:val="center" w:pos="5400"/>
        </w:tabs>
        <w:suppressAutoHyphens/>
        <w:jc w:val="center"/>
        <w:rPr>
          <w:rFonts w:asciiTheme="majorHAnsi" w:hAnsiTheme="majorHAnsi"/>
          <w:sz w:val="18"/>
          <w:szCs w:val="22"/>
          <w:lang w:val="es-ES_tradnl"/>
        </w:rPr>
      </w:pPr>
    </w:p>
    <w:p w14:paraId="46EEBC86" w14:textId="77777777" w:rsidR="00A50FCF" w:rsidRPr="00FB4380" w:rsidRDefault="00A50FCF" w:rsidP="00040C3A">
      <w:pPr>
        <w:tabs>
          <w:tab w:val="center" w:pos="5400"/>
        </w:tabs>
        <w:suppressAutoHyphens/>
        <w:jc w:val="center"/>
        <w:rPr>
          <w:rFonts w:asciiTheme="majorHAnsi" w:hAnsiTheme="majorHAnsi"/>
          <w:sz w:val="18"/>
          <w:szCs w:val="22"/>
          <w:lang w:val="es-ES_tradnl"/>
        </w:rPr>
      </w:pPr>
    </w:p>
    <w:p w14:paraId="4FC33799" w14:textId="77777777" w:rsidR="00A50FCF" w:rsidRPr="00FB4380" w:rsidRDefault="00A50FCF" w:rsidP="00040C3A">
      <w:pPr>
        <w:tabs>
          <w:tab w:val="center" w:pos="5400"/>
        </w:tabs>
        <w:suppressAutoHyphens/>
        <w:jc w:val="center"/>
        <w:rPr>
          <w:rFonts w:asciiTheme="majorHAnsi" w:hAnsiTheme="majorHAnsi"/>
          <w:sz w:val="18"/>
          <w:szCs w:val="22"/>
          <w:lang w:val="es-ES_tradnl"/>
        </w:rPr>
      </w:pPr>
    </w:p>
    <w:p w14:paraId="0F38B709" w14:textId="77777777" w:rsidR="00A50FCF" w:rsidRPr="00FB4380" w:rsidRDefault="00A50FCF" w:rsidP="00040C3A">
      <w:pPr>
        <w:tabs>
          <w:tab w:val="center" w:pos="5400"/>
        </w:tabs>
        <w:suppressAutoHyphens/>
        <w:jc w:val="center"/>
        <w:rPr>
          <w:rFonts w:asciiTheme="majorHAnsi" w:hAnsiTheme="majorHAnsi"/>
          <w:sz w:val="18"/>
          <w:szCs w:val="22"/>
          <w:lang w:val="es-ES_tradnl"/>
        </w:rPr>
      </w:pPr>
    </w:p>
    <w:p w14:paraId="0DD28E91" w14:textId="21AF77B6" w:rsidR="00A50FCF" w:rsidRPr="00FB4380" w:rsidRDefault="008F5E58" w:rsidP="00040C3A">
      <w:pPr>
        <w:tabs>
          <w:tab w:val="center" w:pos="5400"/>
        </w:tabs>
        <w:suppressAutoHyphens/>
        <w:jc w:val="center"/>
        <w:rPr>
          <w:rFonts w:asciiTheme="majorHAnsi" w:hAnsiTheme="majorHAnsi"/>
          <w:sz w:val="18"/>
          <w:szCs w:val="22"/>
          <w:lang w:val="es-ES_tradnl"/>
        </w:rPr>
      </w:pPr>
      <w:r w:rsidRPr="00FB438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0EC3D68" wp14:editId="2E191E93">
                <wp:simplePos x="0" y="0"/>
                <wp:positionH relativeFrom="column">
                  <wp:posOffset>1371600</wp:posOffset>
                </wp:positionH>
                <wp:positionV relativeFrom="paragraph">
                  <wp:posOffset>88900</wp:posOffset>
                </wp:positionV>
                <wp:extent cx="4943475" cy="657225"/>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A7F8C" w14:textId="7E5FD431" w:rsidR="00505351" w:rsidRPr="007C756A" w:rsidRDefault="00505351"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64/19</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Caso 13.267. Admisibilidad y Fondo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Carlos Benites Cabrera. Perú</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US"/>
                              </w:rPr>
                              <w:t>4 de mayo de 2019</w:t>
                            </w:r>
                            <w:r w:rsidRPr="007C047E">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C3D68" id="Text Box 10" o:spid="_x0000_s1030" type="#_x0000_t202" style="position:absolute;left:0;text-align:left;margin-left:108pt;margin-top:7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" filled="f" stroked="f" strokeweight=".5pt">
                <v:textbox>
                  <w:txbxContent>
                    <w:p w14:paraId="776A7F8C" w14:textId="7E5FD431" w:rsidR="00505351" w:rsidRPr="007C756A" w:rsidRDefault="00505351"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64/19</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Caso 13.267. Admisibilidad y Fondo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Carlos Benites Cabrera. Perú</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US"/>
                        </w:rPr>
                        <w:t>4 de mayo de 2019</w:t>
                      </w:r>
                      <w:r w:rsidRPr="007C047E">
                        <w:rPr>
                          <w:rFonts w:asciiTheme="majorHAnsi" w:hAnsiTheme="majorHAnsi"/>
                          <w:color w:val="595959" w:themeColor="text1" w:themeTint="A6"/>
                          <w:sz w:val="18"/>
                          <w:szCs w:val="18"/>
                          <w:lang w:val="es-US"/>
                        </w:rPr>
                        <w:t>.</w:t>
                      </w:r>
                    </w:p>
                  </w:txbxContent>
                </v:textbox>
              </v:shape>
            </w:pict>
          </mc:Fallback>
        </mc:AlternateContent>
      </w:r>
    </w:p>
    <w:p w14:paraId="61B4104A" w14:textId="25C21514" w:rsidR="00A50FCF" w:rsidRPr="00FB4380" w:rsidRDefault="00A50FCF" w:rsidP="00040C3A">
      <w:pPr>
        <w:tabs>
          <w:tab w:val="center" w:pos="5400"/>
        </w:tabs>
        <w:suppressAutoHyphens/>
        <w:jc w:val="center"/>
        <w:rPr>
          <w:rFonts w:asciiTheme="majorHAnsi" w:hAnsiTheme="majorHAnsi"/>
          <w:sz w:val="18"/>
          <w:szCs w:val="22"/>
          <w:lang w:val="es-ES_tradnl"/>
        </w:rPr>
      </w:pPr>
    </w:p>
    <w:p w14:paraId="53E1C8E3" w14:textId="77777777" w:rsidR="00A50FCF" w:rsidRPr="00FB4380" w:rsidRDefault="00A50FCF" w:rsidP="00040C3A">
      <w:pPr>
        <w:tabs>
          <w:tab w:val="center" w:pos="5400"/>
        </w:tabs>
        <w:suppressAutoHyphens/>
        <w:jc w:val="center"/>
        <w:rPr>
          <w:rFonts w:asciiTheme="majorHAnsi" w:hAnsiTheme="majorHAnsi"/>
          <w:sz w:val="18"/>
          <w:szCs w:val="22"/>
          <w:lang w:val="es-ES_tradnl"/>
        </w:rPr>
      </w:pPr>
    </w:p>
    <w:p w14:paraId="17E49CC9" w14:textId="77777777" w:rsidR="0090270B" w:rsidRPr="00FB4380" w:rsidRDefault="00D306D1" w:rsidP="005516A1">
      <w:pPr>
        <w:tabs>
          <w:tab w:val="center" w:pos="5400"/>
        </w:tabs>
        <w:suppressAutoHyphens/>
        <w:jc w:val="center"/>
        <w:rPr>
          <w:rFonts w:asciiTheme="majorHAnsi" w:hAnsiTheme="majorHAnsi"/>
          <w:b/>
          <w:sz w:val="20"/>
          <w:lang w:val="es-ES_tradnl"/>
        </w:rPr>
      </w:pPr>
      <w:r w:rsidRPr="00FB438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1472B25" wp14:editId="224EEC4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40CE0" w14:textId="77777777" w:rsidR="00505351" w:rsidRPr="00D72DC6" w:rsidRDefault="0050535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F085A8B" wp14:editId="0E8675E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72B2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3B40CE0" w14:textId="77777777" w:rsidR="00505351" w:rsidRPr="00D72DC6" w:rsidRDefault="0050535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F085A8B" wp14:editId="0E8675E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FB438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8CC3937" wp14:editId="5DBBBFE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BD09C9" w14:textId="77777777" w:rsidR="00505351" w:rsidRPr="004B7EB6" w:rsidRDefault="0050535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C393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6BD09C9" w14:textId="77777777" w:rsidR="00505351" w:rsidRPr="004B7EB6" w:rsidRDefault="0050535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85F8936" w14:textId="77777777" w:rsidR="0070697F" w:rsidRPr="00FB4380" w:rsidRDefault="0070697F" w:rsidP="007C370D">
      <w:pPr>
        <w:tabs>
          <w:tab w:val="center" w:pos="5400"/>
        </w:tabs>
        <w:suppressAutoHyphens/>
        <w:rPr>
          <w:rFonts w:asciiTheme="majorHAnsi" w:hAnsiTheme="majorHAnsi"/>
          <w:b/>
          <w:sz w:val="20"/>
          <w:lang w:val="es-ES_tradnl"/>
        </w:rPr>
        <w:sectPr w:rsidR="0070697F" w:rsidRPr="00FB4380"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61056D3" w14:textId="77777777" w:rsidR="00722C9F" w:rsidRPr="00FB4380" w:rsidRDefault="00722C9F" w:rsidP="007C370D">
      <w:pPr>
        <w:tabs>
          <w:tab w:val="center" w:pos="5400"/>
        </w:tabs>
        <w:suppressAutoHyphens/>
        <w:spacing w:line="276" w:lineRule="auto"/>
        <w:rPr>
          <w:rFonts w:asciiTheme="majorHAnsi" w:hAnsiTheme="majorHAnsi"/>
          <w:sz w:val="18"/>
          <w:szCs w:val="20"/>
          <w:lang w:val="es-ES_tradnl"/>
        </w:rPr>
      </w:pPr>
    </w:p>
    <w:p w14:paraId="0559989F" w14:textId="57C947E4" w:rsidR="008D768D" w:rsidRPr="009162D5" w:rsidRDefault="00722C9F" w:rsidP="009162D5">
      <w:pPr>
        <w:tabs>
          <w:tab w:val="center" w:pos="5400"/>
        </w:tabs>
        <w:suppressAutoHyphens/>
        <w:spacing w:line="276" w:lineRule="auto"/>
        <w:jc w:val="center"/>
        <w:rPr>
          <w:rFonts w:asciiTheme="majorHAnsi" w:hAnsiTheme="majorHAnsi"/>
          <w:b/>
          <w:sz w:val="28"/>
          <w:szCs w:val="20"/>
          <w:lang w:val="es-ES_tradnl"/>
        </w:rPr>
      </w:pPr>
      <w:r w:rsidRPr="00FB4380">
        <w:rPr>
          <w:rFonts w:asciiTheme="majorHAnsi" w:hAnsiTheme="majorHAnsi"/>
          <w:b/>
          <w:szCs w:val="20"/>
          <w:lang w:val="es-ES_tradnl"/>
        </w:rPr>
        <w:t>ÍNDICE</w:t>
      </w:r>
    </w:p>
    <w:p w14:paraId="5940BBA4" w14:textId="77777777" w:rsidR="00E909AA" w:rsidRPr="00FB4380" w:rsidRDefault="00E909AA" w:rsidP="00E909AA">
      <w:pPr>
        <w:suppressAutoHyphens/>
        <w:rPr>
          <w:rFonts w:asciiTheme="majorHAnsi" w:hAnsiTheme="majorHAnsi"/>
          <w:b/>
          <w:sz w:val="20"/>
          <w:szCs w:val="20"/>
          <w:lang w:val="es-ES_tradnl"/>
        </w:rPr>
      </w:pPr>
    </w:p>
    <w:p w14:paraId="236B5F0B" w14:textId="0F0A5FBD" w:rsidR="005900CE" w:rsidRPr="005900CE" w:rsidRDefault="005777B2" w:rsidP="005900CE">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sidRPr="005900CE">
        <w:rPr>
          <w:rFonts w:asciiTheme="majorHAnsi" w:hAnsiTheme="majorHAnsi"/>
          <w:b/>
          <w:sz w:val="20"/>
          <w:szCs w:val="20"/>
          <w:lang w:val="es-ES_tradnl"/>
        </w:rPr>
        <w:fldChar w:fldCharType="begin"/>
      </w:r>
      <w:r w:rsidRPr="005900CE">
        <w:rPr>
          <w:rFonts w:asciiTheme="majorHAnsi" w:hAnsiTheme="majorHAnsi"/>
          <w:b/>
          <w:sz w:val="20"/>
          <w:szCs w:val="20"/>
          <w:lang w:val="es-ES_tradnl"/>
        </w:rPr>
        <w:instrText xml:space="preserve"> TOC \o "1-3" \h \z \u </w:instrText>
      </w:r>
      <w:r w:rsidRPr="005900CE">
        <w:rPr>
          <w:rFonts w:asciiTheme="majorHAnsi" w:hAnsiTheme="majorHAnsi"/>
          <w:b/>
          <w:sz w:val="20"/>
          <w:szCs w:val="20"/>
          <w:lang w:val="es-ES_tradnl"/>
        </w:rPr>
        <w:fldChar w:fldCharType="separate"/>
      </w:r>
      <w:hyperlink w:anchor="_Toc5358710" w:history="1">
        <w:r w:rsidR="005900CE" w:rsidRPr="00A06F25">
          <w:rPr>
            <w:rStyle w:val="Hyperlink"/>
            <w:rFonts w:asciiTheme="majorHAnsi" w:hAnsiTheme="majorHAnsi"/>
            <w:b/>
            <w:noProof/>
            <w:sz w:val="20"/>
            <w:szCs w:val="20"/>
          </w:rPr>
          <w:t>I.</w:t>
        </w:r>
        <w:r w:rsidR="005900CE" w:rsidRPr="00A06F25">
          <w:rPr>
            <w:rFonts w:asciiTheme="majorHAnsi" w:eastAsiaTheme="minorEastAsia" w:hAnsiTheme="majorHAnsi" w:cstheme="minorBidi"/>
            <w:b/>
            <w:noProof/>
            <w:sz w:val="20"/>
            <w:szCs w:val="20"/>
            <w:bdr w:val="none" w:sz="0" w:space="0" w:color="auto"/>
          </w:rPr>
          <w:tab/>
        </w:r>
        <w:r w:rsidR="005900CE" w:rsidRPr="00A06F25">
          <w:rPr>
            <w:rStyle w:val="Hyperlink"/>
            <w:rFonts w:asciiTheme="majorHAnsi" w:hAnsiTheme="majorHAnsi"/>
            <w:b/>
            <w:noProof/>
            <w:sz w:val="20"/>
            <w:szCs w:val="20"/>
          </w:rPr>
          <w:t>INTRODUCCIÓN</w:t>
        </w:r>
        <w:r w:rsidR="005900CE" w:rsidRPr="005900CE">
          <w:rPr>
            <w:rFonts w:asciiTheme="majorHAnsi" w:hAnsiTheme="majorHAnsi"/>
            <w:noProof/>
            <w:webHidden/>
            <w:sz w:val="20"/>
            <w:szCs w:val="20"/>
          </w:rPr>
          <w:tab/>
        </w:r>
        <w:r w:rsidR="005900CE" w:rsidRPr="005900CE">
          <w:rPr>
            <w:rFonts w:asciiTheme="majorHAnsi" w:hAnsiTheme="majorHAnsi"/>
            <w:noProof/>
            <w:webHidden/>
            <w:sz w:val="20"/>
            <w:szCs w:val="20"/>
          </w:rPr>
          <w:fldChar w:fldCharType="begin"/>
        </w:r>
        <w:r w:rsidR="005900CE" w:rsidRPr="005900CE">
          <w:rPr>
            <w:rFonts w:asciiTheme="majorHAnsi" w:hAnsiTheme="majorHAnsi"/>
            <w:noProof/>
            <w:webHidden/>
            <w:sz w:val="20"/>
            <w:szCs w:val="20"/>
          </w:rPr>
          <w:instrText xml:space="preserve"> PAGEREF _Toc5358710 \h </w:instrText>
        </w:r>
        <w:r w:rsidR="005900CE" w:rsidRPr="005900CE">
          <w:rPr>
            <w:rFonts w:asciiTheme="majorHAnsi" w:hAnsiTheme="majorHAnsi"/>
            <w:noProof/>
            <w:webHidden/>
            <w:sz w:val="20"/>
            <w:szCs w:val="20"/>
          </w:rPr>
        </w:r>
        <w:r w:rsidR="005900CE" w:rsidRPr="005900CE">
          <w:rPr>
            <w:rFonts w:asciiTheme="majorHAnsi" w:hAnsiTheme="majorHAnsi"/>
            <w:noProof/>
            <w:webHidden/>
            <w:sz w:val="20"/>
            <w:szCs w:val="20"/>
          </w:rPr>
          <w:fldChar w:fldCharType="separate"/>
        </w:r>
        <w:r w:rsidR="00B56EF2">
          <w:rPr>
            <w:rFonts w:asciiTheme="majorHAnsi" w:hAnsiTheme="majorHAnsi"/>
            <w:noProof/>
            <w:webHidden/>
            <w:sz w:val="20"/>
            <w:szCs w:val="20"/>
          </w:rPr>
          <w:t>2</w:t>
        </w:r>
        <w:r w:rsidR="005900CE" w:rsidRPr="005900CE">
          <w:rPr>
            <w:rFonts w:asciiTheme="majorHAnsi" w:hAnsiTheme="majorHAnsi"/>
            <w:noProof/>
            <w:webHidden/>
            <w:sz w:val="20"/>
            <w:szCs w:val="20"/>
          </w:rPr>
          <w:fldChar w:fldCharType="end"/>
        </w:r>
      </w:hyperlink>
    </w:p>
    <w:p w14:paraId="6929E204" w14:textId="4F5A1212" w:rsidR="005900CE" w:rsidRPr="005900CE" w:rsidRDefault="00B56EF2" w:rsidP="005900CE">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5358711" w:history="1">
        <w:r w:rsidR="005900CE" w:rsidRPr="00A06F25">
          <w:rPr>
            <w:rStyle w:val="Hyperlink"/>
            <w:rFonts w:asciiTheme="majorHAnsi" w:hAnsiTheme="majorHAnsi"/>
            <w:b/>
            <w:noProof/>
            <w:sz w:val="20"/>
            <w:szCs w:val="20"/>
          </w:rPr>
          <w:t>II.</w:t>
        </w:r>
        <w:r w:rsidR="005900CE" w:rsidRPr="00A06F25">
          <w:rPr>
            <w:rFonts w:asciiTheme="majorHAnsi" w:eastAsiaTheme="minorEastAsia" w:hAnsiTheme="majorHAnsi" w:cstheme="minorBidi"/>
            <w:b/>
            <w:noProof/>
            <w:sz w:val="20"/>
            <w:szCs w:val="20"/>
            <w:bdr w:val="none" w:sz="0" w:space="0" w:color="auto"/>
          </w:rPr>
          <w:tab/>
        </w:r>
        <w:r w:rsidR="005900CE" w:rsidRPr="00A06F25">
          <w:rPr>
            <w:rStyle w:val="Hyperlink"/>
            <w:rFonts w:asciiTheme="majorHAnsi" w:hAnsiTheme="majorHAnsi"/>
            <w:b/>
            <w:noProof/>
            <w:sz w:val="20"/>
            <w:szCs w:val="20"/>
          </w:rPr>
          <w:t>ALEGATOS DE LAS PARTES</w:t>
        </w:r>
        <w:r w:rsidR="005900CE" w:rsidRPr="005900CE">
          <w:rPr>
            <w:rFonts w:asciiTheme="majorHAnsi" w:hAnsiTheme="majorHAnsi"/>
            <w:noProof/>
            <w:webHidden/>
            <w:sz w:val="20"/>
            <w:szCs w:val="20"/>
          </w:rPr>
          <w:tab/>
        </w:r>
        <w:r w:rsidR="005900CE" w:rsidRPr="005900CE">
          <w:rPr>
            <w:rFonts w:asciiTheme="majorHAnsi" w:hAnsiTheme="majorHAnsi"/>
            <w:noProof/>
            <w:webHidden/>
            <w:sz w:val="20"/>
            <w:szCs w:val="20"/>
          </w:rPr>
          <w:fldChar w:fldCharType="begin"/>
        </w:r>
        <w:r w:rsidR="005900CE" w:rsidRPr="005900CE">
          <w:rPr>
            <w:rFonts w:asciiTheme="majorHAnsi" w:hAnsiTheme="majorHAnsi"/>
            <w:noProof/>
            <w:webHidden/>
            <w:sz w:val="20"/>
            <w:szCs w:val="20"/>
          </w:rPr>
          <w:instrText xml:space="preserve"> PAGEREF _Toc5358711 \h </w:instrText>
        </w:r>
        <w:r w:rsidR="005900CE" w:rsidRPr="005900CE">
          <w:rPr>
            <w:rFonts w:asciiTheme="majorHAnsi" w:hAnsiTheme="majorHAnsi"/>
            <w:noProof/>
            <w:webHidden/>
            <w:sz w:val="20"/>
            <w:szCs w:val="20"/>
          </w:rPr>
        </w:r>
        <w:r w:rsidR="005900CE" w:rsidRPr="005900CE">
          <w:rPr>
            <w:rFonts w:asciiTheme="majorHAnsi" w:hAnsiTheme="majorHAnsi"/>
            <w:noProof/>
            <w:webHidden/>
            <w:sz w:val="20"/>
            <w:szCs w:val="20"/>
          </w:rPr>
          <w:fldChar w:fldCharType="separate"/>
        </w:r>
        <w:r>
          <w:rPr>
            <w:rFonts w:asciiTheme="majorHAnsi" w:hAnsiTheme="majorHAnsi"/>
            <w:noProof/>
            <w:webHidden/>
            <w:sz w:val="20"/>
            <w:szCs w:val="20"/>
          </w:rPr>
          <w:t>2</w:t>
        </w:r>
        <w:r w:rsidR="005900CE" w:rsidRPr="005900CE">
          <w:rPr>
            <w:rFonts w:asciiTheme="majorHAnsi" w:hAnsiTheme="majorHAnsi"/>
            <w:noProof/>
            <w:webHidden/>
            <w:sz w:val="20"/>
            <w:szCs w:val="20"/>
          </w:rPr>
          <w:fldChar w:fldCharType="end"/>
        </w:r>
      </w:hyperlink>
    </w:p>
    <w:p w14:paraId="06D09610" w14:textId="7D204FA7" w:rsidR="005900CE" w:rsidRPr="005900CE" w:rsidRDefault="00B56EF2" w:rsidP="005900CE">
      <w:pPr>
        <w:pStyle w:val="TOC2"/>
        <w:tabs>
          <w:tab w:val="left" w:pos="720"/>
        </w:tabs>
        <w:rPr>
          <w:rFonts w:asciiTheme="majorHAnsi" w:eastAsiaTheme="minorEastAsia" w:hAnsiTheme="majorHAnsi" w:cstheme="minorBidi"/>
          <w:noProof/>
          <w:sz w:val="20"/>
          <w:szCs w:val="20"/>
          <w:bdr w:val="none" w:sz="0" w:space="0" w:color="auto"/>
        </w:rPr>
      </w:pPr>
      <w:hyperlink w:anchor="_Toc5358712" w:history="1">
        <w:r w:rsidR="005900CE" w:rsidRPr="005900CE">
          <w:rPr>
            <w:rStyle w:val="Hyperlink"/>
            <w:rFonts w:asciiTheme="majorHAnsi" w:hAnsiTheme="majorHAnsi"/>
            <w:noProof/>
            <w:sz w:val="20"/>
            <w:szCs w:val="20"/>
          </w:rPr>
          <w:t>A.</w:t>
        </w:r>
        <w:r w:rsidR="005900CE" w:rsidRPr="005900CE">
          <w:rPr>
            <w:rFonts w:asciiTheme="majorHAnsi" w:eastAsiaTheme="minorEastAsia" w:hAnsiTheme="majorHAnsi" w:cstheme="minorBidi"/>
            <w:noProof/>
            <w:sz w:val="20"/>
            <w:szCs w:val="20"/>
            <w:bdr w:val="none" w:sz="0" w:space="0" w:color="auto"/>
          </w:rPr>
          <w:tab/>
        </w:r>
        <w:r w:rsidR="005900CE" w:rsidRPr="005900CE">
          <w:rPr>
            <w:rStyle w:val="Hyperlink"/>
            <w:rFonts w:asciiTheme="majorHAnsi" w:hAnsiTheme="majorHAnsi"/>
            <w:noProof/>
            <w:sz w:val="20"/>
            <w:szCs w:val="20"/>
          </w:rPr>
          <w:t>Parte peticionaria</w:t>
        </w:r>
        <w:r w:rsidR="005900CE" w:rsidRPr="005900CE">
          <w:rPr>
            <w:rFonts w:asciiTheme="majorHAnsi" w:hAnsiTheme="majorHAnsi"/>
            <w:noProof/>
            <w:webHidden/>
            <w:sz w:val="20"/>
            <w:szCs w:val="20"/>
          </w:rPr>
          <w:tab/>
        </w:r>
        <w:r w:rsidR="005900CE" w:rsidRPr="005900CE">
          <w:rPr>
            <w:rFonts w:asciiTheme="majorHAnsi" w:hAnsiTheme="majorHAnsi"/>
            <w:noProof/>
            <w:webHidden/>
            <w:sz w:val="20"/>
            <w:szCs w:val="20"/>
          </w:rPr>
          <w:fldChar w:fldCharType="begin"/>
        </w:r>
        <w:r w:rsidR="005900CE" w:rsidRPr="005900CE">
          <w:rPr>
            <w:rFonts w:asciiTheme="majorHAnsi" w:hAnsiTheme="majorHAnsi"/>
            <w:noProof/>
            <w:webHidden/>
            <w:sz w:val="20"/>
            <w:szCs w:val="20"/>
          </w:rPr>
          <w:instrText xml:space="preserve"> PAGEREF _Toc5358712 \h </w:instrText>
        </w:r>
        <w:r w:rsidR="005900CE" w:rsidRPr="005900CE">
          <w:rPr>
            <w:rFonts w:asciiTheme="majorHAnsi" w:hAnsiTheme="majorHAnsi"/>
            <w:noProof/>
            <w:webHidden/>
            <w:sz w:val="20"/>
            <w:szCs w:val="20"/>
          </w:rPr>
        </w:r>
        <w:r w:rsidR="005900CE" w:rsidRPr="005900CE">
          <w:rPr>
            <w:rFonts w:asciiTheme="majorHAnsi" w:hAnsiTheme="majorHAnsi"/>
            <w:noProof/>
            <w:webHidden/>
            <w:sz w:val="20"/>
            <w:szCs w:val="20"/>
          </w:rPr>
          <w:fldChar w:fldCharType="separate"/>
        </w:r>
        <w:r>
          <w:rPr>
            <w:rFonts w:asciiTheme="majorHAnsi" w:hAnsiTheme="majorHAnsi"/>
            <w:noProof/>
            <w:webHidden/>
            <w:sz w:val="20"/>
            <w:szCs w:val="20"/>
          </w:rPr>
          <w:t>2</w:t>
        </w:r>
        <w:r w:rsidR="005900CE" w:rsidRPr="005900CE">
          <w:rPr>
            <w:rFonts w:asciiTheme="majorHAnsi" w:hAnsiTheme="majorHAnsi"/>
            <w:noProof/>
            <w:webHidden/>
            <w:sz w:val="20"/>
            <w:szCs w:val="20"/>
          </w:rPr>
          <w:fldChar w:fldCharType="end"/>
        </w:r>
      </w:hyperlink>
    </w:p>
    <w:p w14:paraId="0B1998CA" w14:textId="24F8642E" w:rsidR="005900CE" w:rsidRPr="005900CE" w:rsidRDefault="00B56EF2" w:rsidP="005900CE">
      <w:pPr>
        <w:pStyle w:val="TOC2"/>
        <w:tabs>
          <w:tab w:val="left" w:pos="720"/>
        </w:tabs>
        <w:rPr>
          <w:rFonts w:asciiTheme="majorHAnsi" w:eastAsiaTheme="minorEastAsia" w:hAnsiTheme="majorHAnsi" w:cstheme="minorBidi"/>
          <w:noProof/>
          <w:sz w:val="20"/>
          <w:szCs w:val="20"/>
          <w:bdr w:val="none" w:sz="0" w:space="0" w:color="auto"/>
        </w:rPr>
      </w:pPr>
      <w:hyperlink w:anchor="_Toc5358713" w:history="1">
        <w:r w:rsidR="005900CE" w:rsidRPr="005900CE">
          <w:rPr>
            <w:rStyle w:val="Hyperlink"/>
            <w:rFonts w:asciiTheme="majorHAnsi" w:hAnsiTheme="majorHAnsi"/>
            <w:noProof/>
            <w:sz w:val="20"/>
            <w:szCs w:val="20"/>
          </w:rPr>
          <w:t>B.</w:t>
        </w:r>
        <w:r w:rsidR="005900CE" w:rsidRPr="005900CE">
          <w:rPr>
            <w:rFonts w:asciiTheme="majorHAnsi" w:eastAsiaTheme="minorEastAsia" w:hAnsiTheme="majorHAnsi" w:cstheme="minorBidi"/>
            <w:noProof/>
            <w:sz w:val="20"/>
            <w:szCs w:val="20"/>
            <w:bdr w:val="none" w:sz="0" w:space="0" w:color="auto"/>
          </w:rPr>
          <w:tab/>
        </w:r>
        <w:r w:rsidR="005900CE" w:rsidRPr="005900CE">
          <w:rPr>
            <w:rStyle w:val="Hyperlink"/>
            <w:rFonts w:asciiTheme="majorHAnsi" w:hAnsiTheme="majorHAnsi"/>
            <w:noProof/>
            <w:sz w:val="20"/>
            <w:szCs w:val="20"/>
          </w:rPr>
          <w:t>Estado</w:t>
        </w:r>
        <w:r w:rsidR="005900CE" w:rsidRPr="005900CE">
          <w:rPr>
            <w:rFonts w:asciiTheme="majorHAnsi" w:hAnsiTheme="majorHAnsi"/>
            <w:noProof/>
            <w:webHidden/>
            <w:sz w:val="20"/>
            <w:szCs w:val="20"/>
          </w:rPr>
          <w:tab/>
        </w:r>
        <w:r w:rsidR="005900CE" w:rsidRPr="005900CE">
          <w:rPr>
            <w:rFonts w:asciiTheme="majorHAnsi" w:hAnsiTheme="majorHAnsi"/>
            <w:noProof/>
            <w:webHidden/>
            <w:sz w:val="20"/>
            <w:szCs w:val="20"/>
          </w:rPr>
          <w:fldChar w:fldCharType="begin"/>
        </w:r>
        <w:r w:rsidR="005900CE" w:rsidRPr="005900CE">
          <w:rPr>
            <w:rFonts w:asciiTheme="majorHAnsi" w:hAnsiTheme="majorHAnsi"/>
            <w:noProof/>
            <w:webHidden/>
            <w:sz w:val="20"/>
            <w:szCs w:val="20"/>
          </w:rPr>
          <w:instrText xml:space="preserve"> PAGEREF _Toc5358713 \h </w:instrText>
        </w:r>
        <w:r w:rsidR="005900CE" w:rsidRPr="005900CE">
          <w:rPr>
            <w:rFonts w:asciiTheme="majorHAnsi" w:hAnsiTheme="majorHAnsi"/>
            <w:noProof/>
            <w:webHidden/>
            <w:sz w:val="20"/>
            <w:szCs w:val="20"/>
          </w:rPr>
        </w:r>
        <w:r w:rsidR="005900CE" w:rsidRPr="005900CE">
          <w:rPr>
            <w:rFonts w:asciiTheme="majorHAnsi" w:hAnsiTheme="majorHAnsi"/>
            <w:noProof/>
            <w:webHidden/>
            <w:sz w:val="20"/>
            <w:szCs w:val="20"/>
          </w:rPr>
          <w:fldChar w:fldCharType="separate"/>
        </w:r>
        <w:r>
          <w:rPr>
            <w:rFonts w:asciiTheme="majorHAnsi" w:hAnsiTheme="majorHAnsi"/>
            <w:noProof/>
            <w:webHidden/>
            <w:sz w:val="20"/>
            <w:szCs w:val="20"/>
          </w:rPr>
          <w:t>3</w:t>
        </w:r>
        <w:r w:rsidR="005900CE" w:rsidRPr="005900CE">
          <w:rPr>
            <w:rFonts w:asciiTheme="majorHAnsi" w:hAnsiTheme="majorHAnsi"/>
            <w:noProof/>
            <w:webHidden/>
            <w:sz w:val="20"/>
            <w:szCs w:val="20"/>
          </w:rPr>
          <w:fldChar w:fldCharType="end"/>
        </w:r>
      </w:hyperlink>
    </w:p>
    <w:p w14:paraId="700740F7" w14:textId="609F47F5" w:rsidR="005900CE" w:rsidRPr="005900CE" w:rsidRDefault="00B56EF2" w:rsidP="005900CE">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5358714" w:history="1">
        <w:r w:rsidR="005900CE" w:rsidRPr="00A06F25">
          <w:rPr>
            <w:rStyle w:val="Hyperlink"/>
            <w:rFonts w:asciiTheme="majorHAnsi" w:hAnsiTheme="majorHAnsi"/>
            <w:b/>
            <w:noProof/>
            <w:sz w:val="20"/>
            <w:szCs w:val="20"/>
          </w:rPr>
          <w:t>III.</w:t>
        </w:r>
        <w:r w:rsidR="005900CE" w:rsidRPr="00A06F25">
          <w:rPr>
            <w:rFonts w:asciiTheme="majorHAnsi" w:eastAsiaTheme="minorEastAsia" w:hAnsiTheme="majorHAnsi" w:cstheme="minorBidi"/>
            <w:b/>
            <w:noProof/>
            <w:sz w:val="20"/>
            <w:szCs w:val="20"/>
            <w:bdr w:val="none" w:sz="0" w:space="0" w:color="auto"/>
          </w:rPr>
          <w:tab/>
        </w:r>
        <w:r w:rsidR="005900CE" w:rsidRPr="00A06F25">
          <w:rPr>
            <w:rStyle w:val="Hyperlink"/>
            <w:rFonts w:asciiTheme="majorHAnsi" w:hAnsiTheme="majorHAnsi"/>
            <w:b/>
            <w:noProof/>
            <w:sz w:val="20"/>
            <w:szCs w:val="20"/>
          </w:rPr>
          <w:t>ANÁLISIS DE ADMISIBILIDAD</w:t>
        </w:r>
        <w:r w:rsidR="005900CE" w:rsidRPr="005900CE">
          <w:rPr>
            <w:rFonts w:asciiTheme="majorHAnsi" w:hAnsiTheme="majorHAnsi"/>
            <w:noProof/>
            <w:webHidden/>
            <w:sz w:val="20"/>
            <w:szCs w:val="20"/>
          </w:rPr>
          <w:tab/>
        </w:r>
        <w:r w:rsidR="005900CE" w:rsidRPr="005900CE">
          <w:rPr>
            <w:rFonts w:asciiTheme="majorHAnsi" w:hAnsiTheme="majorHAnsi"/>
            <w:noProof/>
            <w:webHidden/>
            <w:sz w:val="20"/>
            <w:szCs w:val="20"/>
          </w:rPr>
          <w:fldChar w:fldCharType="begin"/>
        </w:r>
        <w:r w:rsidR="005900CE" w:rsidRPr="005900CE">
          <w:rPr>
            <w:rFonts w:asciiTheme="majorHAnsi" w:hAnsiTheme="majorHAnsi"/>
            <w:noProof/>
            <w:webHidden/>
            <w:sz w:val="20"/>
            <w:szCs w:val="20"/>
          </w:rPr>
          <w:instrText xml:space="preserve"> PAGEREF _Toc5358714 \h </w:instrText>
        </w:r>
        <w:r w:rsidR="005900CE" w:rsidRPr="005900CE">
          <w:rPr>
            <w:rFonts w:asciiTheme="majorHAnsi" w:hAnsiTheme="majorHAnsi"/>
            <w:noProof/>
            <w:webHidden/>
            <w:sz w:val="20"/>
            <w:szCs w:val="20"/>
          </w:rPr>
        </w:r>
        <w:r w:rsidR="005900CE" w:rsidRPr="005900CE">
          <w:rPr>
            <w:rFonts w:asciiTheme="majorHAnsi" w:hAnsiTheme="majorHAnsi"/>
            <w:noProof/>
            <w:webHidden/>
            <w:sz w:val="20"/>
            <w:szCs w:val="20"/>
          </w:rPr>
          <w:fldChar w:fldCharType="separate"/>
        </w:r>
        <w:r>
          <w:rPr>
            <w:rFonts w:asciiTheme="majorHAnsi" w:hAnsiTheme="majorHAnsi"/>
            <w:noProof/>
            <w:webHidden/>
            <w:sz w:val="20"/>
            <w:szCs w:val="20"/>
          </w:rPr>
          <w:t>4</w:t>
        </w:r>
        <w:r w:rsidR="005900CE" w:rsidRPr="005900CE">
          <w:rPr>
            <w:rFonts w:asciiTheme="majorHAnsi" w:hAnsiTheme="majorHAnsi"/>
            <w:noProof/>
            <w:webHidden/>
            <w:sz w:val="20"/>
            <w:szCs w:val="20"/>
          </w:rPr>
          <w:fldChar w:fldCharType="end"/>
        </w:r>
      </w:hyperlink>
    </w:p>
    <w:p w14:paraId="61543DC9" w14:textId="49666CD5" w:rsidR="005900CE" w:rsidRPr="005900CE" w:rsidRDefault="00B56EF2" w:rsidP="005900CE">
      <w:pPr>
        <w:pStyle w:val="TOC2"/>
        <w:tabs>
          <w:tab w:val="left" w:pos="720"/>
        </w:tabs>
        <w:rPr>
          <w:rFonts w:asciiTheme="majorHAnsi" w:eastAsiaTheme="minorEastAsia" w:hAnsiTheme="majorHAnsi" w:cstheme="minorBidi"/>
          <w:noProof/>
          <w:sz w:val="20"/>
          <w:szCs w:val="20"/>
          <w:bdr w:val="none" w:sz="0" w:space="0" w:color="auto"/>
        </w:rPr>
      </w:pPr>
      <w:hyperlink w:anchor="_Toc5358715" w:history="1">
        <w:r w:rsidR="005900CE" w:rsidRPr="005900CE">
          <w:rPr>
            <w:rStyle w:val="Hyperlink"/>
            <w:rFonts w:asciiTheme="majorHAnsi" w:hAnsiTheme="majorHAnsi"/>
            <w:noProof/>
            <w:sz w:val="20"/>
            <w:szCs w:val="20"/>
            <w:lang w:val="es-ES"/>
          </w:rPr>
          <w:t>A.</w:t>
        </w:r>
        <w:r w:rsidR="005900CE" w:rsidRPr="005900CE">
          <w:rPr>
            <w:rFonts w:asciiTheme="majorHAnsi" w:eastAsiaTheme="minorEastAsia" w:hAnsiTheme="majorHAnsi" w:cstheme="minorBidi"/>
            <w:noProof/>
            <w:sz w:val="20"/>
            <w:szCs w:val="20"/>
            <w:bdr w:val="none" w:sz="0" w:space="0" w:color="auto"/>
          </w:rPr>
          <w:tab/>
        </w:r>
        <w:r w:rsidR="005900CE" w:rsidRPr="005900CE">
          <w:rPr>
            <w:rStyle w:val="Hyperlink"/>
            <w:rFonts w:asciiTheme="majorHAnsi" w:hAnsiTheme="majorHAnsi"/>
            <w:noProof/>
            <w:sz w:val="20"/>
            <w:szCs w:val="20"/>
            <w:lang w:val="es-ES"/>
          </w:rPr>
          <w:t>Competencia ratione</w:t>
        </w:r>
        <w:r w:rsidR="005900CE" w:rsidRPr="005900CE">
          <w:rPr>
            <w:rStyle w:val="Hyperlink"/>
            <w:rFonts w:asciiTheme="majorHAnsi" w:hAnsiTheme="majorHAnsi"/>
            <w:noProof/>
            <w:sz w:val="20"/>
            <w:szCs w:val="20"/>
          </w:rPr>
          <w:t xml:space="preserve"> materiae, ratione personae, ratione temporis y ratione loci de la  Comisión</w:t>
        </w:r>
        <w:r w:rsidR="005900CE" w:rsidRPr="005900CE">
          <w:rPr>
            <w:rFonts w:asciiTheme="majorHAnsi" w:hAnsiTheme="majorHAnsi"/>
            <w:noProof/>
            <w:webHidden/>
            <w:sz w:val="20"/>
            <w:szCs w:val="20"/>
          </w:rPr>
          <w:tab/>
        </w:r>
        <w:r w:rsidR="005900CE" w:rsidRPr="005900CE">
          <w:rPr>
            <w:rFonts w:asciiTheme="majorHAnsi" w:hAnsiTheme="majorHAnsi"/>
            <w:noProof/>
            <w:webHidden/>
            <w:sz w:val="20"/>
            <w:szCs w:val="20"/>
          </w:rPr>
          <w:fldChar w:fldCharType="begin"/>
        </w:r>
        <w:r w:rsidR="005900CE" w:rsidRPr="005900CE">
          <w:rPr>
            <w:rFonts w:asciiTheme="majorHAnsi" w:hAnsiTheme="majorHAnsi"/>
            <w:noProof/>
            <w:webHidden/>
            <w:sz w:val="20"/>
            <w:szCs w:val="20"/>
          </w:rPr>
          <w:instrText xml:space="preserve"> PAGEREF _Toc5358715 \h </w:instrText>
        </w:r>
        <w:r w:rsidR="005900CE" w:rsidRPr="005900CE">
          <w:rPr>
            <w:rFonts w:asciiTheme="majorHAnsi" w:hAnsiTheme="majorHAnsi"/>
            <w:noProof/>
            <w:webHidden/>
            <w:sz w:val="20"/>
            <w:szCs w:val="20"/>
          </w:rPr>
        </w:r>
        <w:r w:rsidR="005900CE" w:rsidRPr="005900CE">
          <w:rPr>
            <w:rFonts w:asciiTheme="majorHAnsi" w:hAnsiTheme="majorHAnsi"/>
            <w:noProof/>
            <w:webHidden/>
            <w:sz w:val="20"/>
            <w:szCs w:val="20"/>
          </w:rPr>
          <w:fldChar w:fldCharType="separate"/>
        </w:r>
        <w:r>
          <w:rPr>
            <w:rFonts w:asciiTheme="majorHAnsi" w:hAnsiTheme="majorHAnsi"/>
            <w:noProof/>
            <w:webHidden/>
            <w:sz w:val="20"/>
            <w:szCs w:val="20"/>
          </w:rPr>
          <w:t>4</w:t>
        </w:r>
        <w:r w:rsidR="005900CE" w:rsidRPr="005900CE">
          <w:rPr>
            <w:rFonts w:asciiTheme="majorHAnsi" w:hAnsiTheme="majorHAnsi"/>
            <w:noProof/>
            <w:webHidden/>
            <w:sz w:val="20"/>
            <w:szCs w:val="20"/>
          </w:rPr>
          <w:fldChar w:fldCharType="end"/>
        </w:r>
      </w:hyperlink>
    </w:p>
    <w:p w14:paraId="77D3442C" w14:textId="73E5A5B1" w:rsidR="005900CE" w:rsidRPr="005900CE" w:rsidRDefault="00B56EF2" w:rsidP="005900CE">
      <w:pPr>
        <w:pStyle w:val="TOC2"/>
        <w:tabs>
          <w:tab w:val="left" w:pos="720"/>
        </w:tabs>
        <w:rPr>
          <w:rFonts w:asciiTheme="majorHAnsi" w:eastAsiaTheme="minorEastAsia" w:hAnsiTheme="majorHAnsi" w:cstheme="minorBidi"/>
          <w:noProof/>
          <w:sz w:val="20"/>
          <w:szCs w:val="20"/>
          <w:bdr w:val="none" w:sz="0" w:space="0" w:color="auto"/>
        </w:rPr>
      </w:pPr>
      <w:hyperlink w:anchor="_Toc5358716" w:history="1">
        <w:r w:rsidR="005900CE" w:rsidRPr="005900CE">
          <w:rPr>
            <w:rStyle w:val="Hyperlink"/>
            <w:rFonts w:asciiTheme="majorHAnsi" w:hAnsiTheme="majorHAnsi"/>
            <w:noProof/>
            <w:sz w:val="20"/>
            <w:szCs w:val="20"/>
          </w:rPr>
          <w:t>B.</w:t>
        </w:r>
        <w:r w:rsidR="005900CE" w:rsidRPr="005900CE">
          <w:rPr>
            <w:rFonts w:asciiTheme="majorHAnsi" w:eastAsiaTheme="minorEastAsia" w:hAnsiTheme="majorHAnsi" w:cstheme="minorBidi"/>
            <w:noProof/>
            <w:sz w:val="20"/>
            <w:szCs w:val="20"/>
            <w:bdr w:val="none" w:sz="0" w:space="0" w:color="auto"/>
          </w:rPr>
          <w:tab/>
        </w:r>
        <w:r w:rsidR="005900CE" w:rsidRPr="005900CE">
          <w:rPr>
            <w:rStyle w:val="Hyperlink"/>
            <w:rFonts w:asciiTheme="majorHAnsi" w:hAnsiTheme="majorHAnsi"/>
            <w:noProof/>
            <w:sz w:val="20"/>
            <w:szCs w:val="20"/>
          </w:rPr>
          <w:t>Requisitos de admisibilidad</w:t>
        </w:r>
        <w:r w:rsidR="005900CE" w:rsidRPr="005900CE">
          <w:rPr>
            <w:rFonts w:asciiTheme="majorHAnsi" w:hAnsiTheme="majorHAnsi"/>
            <w:noProof/>
            <w:webHidden/>
            <w:sz w:val="20"/>
            <w:szCs w:val="20"/>
          </w:rPr>
          <w:tab/>
        </w:r>
        <w:r w:rsidR="005900CE" w:rsidRPr="005900CE">
          <w:rPr>
            <w:rFonts w:asciiTheme="majorHAnsi" w:hAnsiTheme="majorHAnsi"/>
            <w:noProof/>
            <w:webHidden/>
            <w:sz w:val="20"/>
            <w:szCs w:val="20"/>
          </w:rPr>
          <w:fldChar w:fldCharType="begin"/>
        </w:r>
        <w:r w:rsidR="005900CE" w:rsidRPr="005900CE">
          <w:rPr>
            <w:rFonts w:asciiTheme="majorHAnsi" w:hAnsiTheme="majorHAnsi"/>
            <w:noProof/>
            <w:webHidden/>
            <w:sz w:val="20"/>
            <w:szCs w:val="20"/>
          </w:rPr>
          <w:instrText xml:space="preserve"> PAGEREF _Toc5358716 \h </w:instrText>
        </w:r>
        <w:r w:rsidR="005900CE" w:rsidRPr="005900CE">
          <w:rPr>
            <w:rFonts w:asciiTheme="majorHAnsi" w:hAnsiTheme="majorHAnsi"/>
            <w:noProof/>
            <w:webHidden/>
            <w:sz w:val="20"/>
            <w:szCs w:val="20"/>
          </w:rPr>
        </w:r>
        <w:r w:rsidR="005900CE" w:rsidRPr="005900CE">
          <w:rPr>
            <w:rFonts w:asciiTheme="majorHAnsi" w:hAnsiTheme="majorHAnsi"/>
            <w:noProof/>
            <w:webHidden/>
            <w:sz w:val="20"/>
            <w:szCs w:val="20"/>
          </w:rPr>
          <w:fldChar w:fldCharType="separate"/>
        </w:r>
        <w:r>
          <w:rPr>
            <w:rFonts w:asciiTheme="majorHAnsi" w:hAnsiTheme="majorHAnsi"/>
            <w:noProof/>
            <w:webHidden/>
            <w:sz w:val="20"/>
            <w:szCs w:val="20"/>
          </w:rPr>
          <w:t>4</w:t>
        </w:r>
        <w:r w:rsidR="005900CE" w:rsidRPr="005900CE">
          <w:rPr>
            <w:rFonts w:asciiTheme="majorHAnsi" w:hAnsiTheme="majorHAnsi"/>
            <w:noProof/>
            <w:webHidden/>
            <w:sz w:val="20"/>
            <w:szCs w:val="20"/>
          </w:rPr>
          <w:fldChar w:fldCharType="end"/>
        </w:r>
      </w:hyperlink>
    </w:p>
    <w:p w14:paraId="7EEB4B5C" w14:textId="7B122685" w:rsidR="005900CE" w:rsidRPr="005900CE" w:rsidRDefault="00B56EF2" w:rsidP="005900CE">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358717" w:history="1">
        <w:r w:rsidR="005900CE" w:rsidRPr="005900CE">
          <w:rPr>
            <w:rStyle w:val="Hyperlink"/>
            <w:rFonts w:asciiTheme="majorHAnsi" w:hAnsiTheme="majorHAnsi"/>
            <w:noProof/>
            <w:sz w:val="20"/>
            <w:szCs w:val="20"/>
            <w:lang w:val="es-ES"/>
          </w:rPr>
          <w:t>1.</w:t>
        </w:r>
        <w:r w:rsidR="005900CE" w:rsidRPr="005900CE">
          <w:rPr>
            <w:rFonts w:asciiTheme="majorHAnsi" w:eastAsiaTheme="minorEastAsia" w:hAnsiTheme="majorHAnsi" w:cstheme="minorBidi"/>
            <w:noProof/>
            <w:sz w:val="20"/>
            <w:szCs w:val="20"/>
            <w:bdr w:val="none" w:sz="0" w:space="0" w:color="auto"/>
          </w:rPr>
          <w:tab/>
        </w:r>
        <w:r w:rsidR="005900CE" w:rsidRPr="005900CE">
          <w:rPr>
            <w:rStyle w:val="Hyperlink"/>
            <w:rFonts w:asciiTheme="majorHAnsi" w:hAnsiTheme="majorHAnsi"/>
            <w:noProof/>
            <w:sz w:val="20"/>
            <w:szCs w:val="20"/>
            <w:lang w:val="es-ES"/>
          </w:rPr>
          <w:t>Agotamiento de recursos internos</w:t>
        </w:r>
        <w:r w:rsidR="005900CE" w:rsidRPr="005900CE">
          <w:rPr>
            <w:rFonts w:asciiTheme="majorHAnsi" w:hAnsiTheme="majorHAnsi"/>
            <w:noProof/>
            <w:webHidden/>
            <w:sz w:val="20"/>
            <w:szCs w:val="20"/>
          </w:rPr>
          <w:tab/>
        </w:r>
        <w:r w:rsidR="005900CE" w:rsidRPr="005900CE">
          <w:rPr>
            <w:rFonts w:asciiTheme="majorHAnsi" w:hAnsiTheme="majorHAnsi"/>
            <w:noProof/>
            <w:webHidden/>
            <w:sz w:val="20"/>
            <w:szCs w:val="20"/>
          </w:rPr>
          <w:fldChar w:fldCharType="begin"/>
        </w:r>
        <w:r w:rsidR="005900CE" w:rsidRPr="005900CE">
          <w:rPr>
            <w:rFonts w:asciiTheme="majorHAnsi" w:hAnsiTheme="majorHAnsi"/>
            <w:noProof/>
            <w:webHidden/>
            <w:sz w:val="20"/>
            <w:szCs w:val="20"/>
          </w:rPr>
          <w:instrText xml:space="preserve"> PAGEREF _Toc5358717 \h </w:instrText>
        </w:r>
        <w:r w:rsidR="005900CE" w:rsidRPr="005900CE">
          <w:rPr>
            <w:rFonts w:asciiTheme="majorHAnsi" w:hAnsiTheme="majorHAnsi"/>
            <w:noProof/>
            <w:webHidden/>
            <w:sz w:val="20"/>
            <w:szCs w:val="20"/>
          </w:rPr>
        </w:r>
        <w:r w:rsidR="005900CE" w:rsidRPr="005900CE">
          <w:rPr>
            <w:rFonts w:asciiTheme="majorHAnsi" w:hAnsiTheme="majorHAnsi"/>
            <w:noProof/>
            <w:webHidden/>
            <w:sz w:val="20"/>
            <w:szCs w:val="20"/>
          </w:rPr>
          <w:fldChar w:fldCharType="separate"/>
        </w:r>
        <w:r>
          <w:rPr>
            <w:rFonts w:asciiTheme="majorHAnsi" w:hAnsiTheme="majorHAnsi"/>
            <w:noProof/>
            <w:webHidden/>
            <w:sz w:val="20"/>
            <w:szCs w:val="20"/>
          </w:rPr>
          <w:t>4</w:t>
        </w:r>
        <w:r w:rsidR="005900CE" w:rsidRPr="005900CE">
          <w:rPr>
            <w:rFonts w:asciiTheme="majorHAnsi" w:hAnsiTheme="majorHAnsi"/>
            <w:noProof/>
            <w:webHidden/>
            <w:sz w:val="20"/>
            <w:szCs w:val="20"/>
          </w:rPr>
          <w:fldChar w:fldCharType="end"/>
        </w:r>
      </w:hyperlink>
    </w:p>
    <w:p w14:paraId="23B70089" w14:textId="3C2BDB4E" w:rsidR="005900CE" w:rsidRPr="005900CE" w:rsidRDefault="00B56EF2" w:rsidP="005900CE">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358718" w:history="1">
        <w:r w:rsidR="005900CE" w:rsidRPr="005900CE">
          <w:rPr>
            <w:rStyle w:val="Hyperlink"/>
            <w:rFonts w:asciiTheme="majorHAnsi" w:hAnsiTheme="majorHAnsi"/>
            <w:noProof/>
            <w:sz w:val="20"/>
            <w:szCs w:val="20"/>
            <w:lang w:val="es-ES"/>
          </w:rPr>
          <w:t>2.</w:t>
        </w:r>
        <w:r w:rsidR="005900CE" w:rsidRPr="005900CE">
          <w:rPr>
            <w:rFonts w:asciiTheme="majorHAnsi" w:eastAsiaTheme="minorEastAsia" w:hAnsiTheme="majorHAnsi" w:cstheme="minorBidi"/>
            <w:noProof/>
            <w:sz w:val="20"/>
            <w:szCs w:val="20"/>
            <w:bdr w:val="none" w:sz="0" w:space="0" w:color="auto"/>
          </w:rPr>
          <w:tab/>
        </w:r>
        <w:r w:rsidR="005900CE" w:rsidRPr="005900CE">
          <w:rPr>
            <w:rStyle w:val="Hyperlink"/>
            <w:rFonts w:asciiTheme="majorHAnsi" w:hAnsiTheme="majorHAnsi"/>
            <w:noProof/>
            <w:sz w:val="20"/>
            <w:szCs w:val="20"/>
            <w:lang w:val="es-ES"/>
          </w:rPr>
          <w:t>Duplicación de procedimientos y cosa juzgada internacional</w:t>
        </w:r>
        <w:r w:rsidR="005900CE" w:rsidRPr="005900CE">
          <w:rPr>
            <w:rFonts w:asciiTheme="majorHAnsi" w:hAnsiTheme="majorHAnsi"/>
            <w:noProof/>
            <w:webHidden/>
            <w:sz w:val="20"/>
            <w:szCs w:val="20"/>
          </w:rPr>
          <w:tab/>
        </w:r>
        <w:r w:rsidR="005900CE" w:rsidRPr="005900CE">
          <w:rPr>
            <w:rFonts w:asciiTheme="majorHAnsi" w:hAnsiTheme="majorHAnsi"/>
            <w:noProof/>
            <w:webHidden/>
            <w:sz w:val="20"/>
            <w:szCs w:val="20"/>
          </w:rPr>
          <w:fldChar w:fldCharType="begin"/>
        </w:r>
        <w:r w:rsidR="005900CE" w:rsidRPr="005900CE">
          <w:rPr>
            <w:rFonts w:asciiTheme="majorHAnsi" w:hAnsiTheme="majorHAnsi"/>
            <w:noProof/>
            <w:webHidden/>
            <w:sz w:val="20"/>
            <w:szCs w:val="20"/>
          </w:rPr>
          <w:instrText xml:space="preserve"> PAGEREF _Toc5358718 \h </w:instrText>
        </w:r>
        <w:r w:rsidR="005900CE" w:rsidRPr="005900CE">
          <w:rPr>
            <w:rFonts w:asciiTheme="majorHAnsi" w:hAnsiTheme="majorHAnsi"/>
            <w:noProof/>
            <w:webHidden/>
            <w:sz w:val="20"/>
            <w:szCs w:val="20"/>
          </w:rPr>
        </w:r>
        <w:r w:rsidR="005900CE" w:rsidRPr="005900CE">
          <w:rPr>
            <w:rFonts w:asciiTheme="majorHAnsi" w:hAnsiTheme="majorHAnsi"/>
            <w:noProof/>
            <w:webHidden/>
            <w:sz w:val="20"/>
            <w:szCs w:val="20"/>
          </w:rPr>
          <w:fldChar w:fldCharType="separate"/>
        </w:r>
        <w:r>
          <w:rPr>
            <w:rFonts w:asciiTheme="majorHAnsi" w:hAnsiTheme="majorHAnsi"/>
            <w:noProof/>
            <w:webHidden/>
            <w:sz w:val="20"/>
            <w:szCs w:val="20"/>
          </w:rPr>
          <w:t>6</w:t>
        </w:r>
        <w:r w:rsidR="005900CE" w:rsidRPr="005900CE">
          <w:rPr>
            <w:rFonts w:asciiTheme="majorHAnsi" w:hAnsiTheme="majorHAnsi"/>
            <w:noProof/>
            <w:webHidden/>
            <w:sz w:val="20"/>
            <w:szCs w:val="20"/>
          </w:rPr>
          <w:fldChar w:fldCharType="end"/>
        </w:r>
      </w:hyperlink>
    </w:p>
    <w:p w14:paraId="3E9C41D7" w14:textId="1C58535C" w:rsidR="005900CE" w:rsidRPr="005900CE" w:rsidRDefault="00B56EF2" w:rsidP="005900CE">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358719" w:history="1">
        <w:r w:rsidR="005900CE" w:rsidRPr="005900CE">
          <w:rPr>
            <w:rStyle w:val="Hyperlink"/>
            <w:rFonts w:asciiTheme="majorHAnsi" w:hAnsiTheme="majorHAnsi"/>
            <w:noProof/>
            <w:sz w:val="20"/>
            <w:szCs w:val="20"/>
            <w:lang w:val="es-ES"/>
          </w:rPr>
          <w:t>3.</w:t>
        </w:r>
        <w:r w:rsidR="005900CE" w:rsidRPr="005900CE">
          <w:rPr>
            <w:rFonts w:asciiTheme="majorHAnsi" w:eastAsiaTheme="minorEastAsia" w:hAnsiTheme="majorHAnsi" w:cstheme="minorBidi"/>
            <w:noProof/>
            <w:sz w:val="20"/>
            <w:szCs w:val="20"/>
            <w:bdr w:val="none" w:sz="0" w:space="0" w:color="auto"/>
          </w:rPr>
          <w:tab/>
        </w:r>
        <w:r w:rsidR="005900CE" w:rsidRPr="005900CE">
          <w:rPr>
            <w:rStyle w:val="Hyperlink"/>
            <w:rFonts w:asciiTheme="majorHAnsi" w:hAnsiTheme="majorHAnsi"/>
            <w:noProof/>
            <w:sz w:val="20"/>
            <w:szCs w:val="20"/>
            <w:lang w:val="es-ES"/>
          </w:rPr>
          <w:t>Caracterización de los hechos alegados</w:t>
        </w:r>
        <w:r w:rsidR="005900CE" w:rsidRPr="005900CE">
          <w:rPr>
            <w:rFonts w:asciiTheme="majorHAnsi" w:hAnsiTheme="majorHAnsi"/>
            <w:noProof/>
            <w:webHidden/>
            <w:sz w:val="20"/>
            <w:szCs w:val="20"/>
          </w:rPr>
          <w:tab/>
        </w:r>
        <w:r w:rsidR="005900CE" w:rsidRPr="005900CE">
          <w:rPr>
            <w:rFonts w:asciiTheme="majorHAnsi" w:hAnsiTheme="majorHAnsi"/>
            <w:noProof/>
            <w:webHidden/>
            <w:sz w:val="20"/>
            <w:szCs w:val="20"/>
          </w:rPr>
          <w:fldChar w:fldCharType="begin"/>
        </w:r>
        <w:r w:rsidR="005900CE" w:rsidRPr="005900CE">
          <w:rPr>
            <w:rFonts w:asciiTheme="majorHAnsi" w:hAnsiTheme="majorHAnsi"/>
            <w:noProof/>
            <w:webHidden/>
            <w:sz w:val="20"/>
            <w:szCs w:val="20"/>
          </w:rPr>
          <w:instrText xml:space="preserve"> PAGEREF _Toc5358719 \h </w:instrText>
        </w:r>
        <w:r w:rsidR="005900CE" w:rsidRPr="005900CE">
          <w:rPr>
            <w:rFonts w:asciiTheme="majorHAnsi" w:hAnsiTheme="majorHAnsi"/>
            <w:noProof/>
            <w:webHidden/>
            <w:sz w:val="20"/>
            <w:szCs w:val="20"/>
          </w:rPr>
        </w:r>
        <w:r w:rsidR="005900CE" w:rsidRPr="005900CE">
          <w:rPr>
            <w:rFonts w:asciiTheme="majorHAnsi" w:hAnsiTheme="majorHAnsi"/>
            <w:noProof/>
            <w:webHidden/>
            <w:sz w:val="20"/>
            <w:szCs w:val="20"/>
          </w:rPr>
          <w:fldChar w:fldCharType="separate"/>
        </w:r>
        <w:r>
          <w:rPr>
            <w:rFonts w:asciiTheme="majorHAnsi" w:hAnsiTheme="majorHAnsi"/>
            <w:noProof/>
            <w:webHidden/>
            <w:sz w:val="20"/>
            <w:szCs w:val="20"/>
          </w:rPr>
          <w:t>7</w:t>
        </w:r>
        <w:r w:rsidR="005900CE" w:rsidRPr="005900CE">
          <w:rPr>
            <w:rFonts w:asciiTheme="majorHAnsi" w:hAnsiTheme="majorHAnsi"/>
            <w:noProof/>
            <w:webHidden/>
            <w:sz w:val="20"/>
            <w:szCs w:val="20"/>
          </w:rPr>
          <w:fldChar w:fldCharType="end"/>
        </w:r>
      </w:hyperlink>
    </w:p>
    <w:p w14:paraId="0B96A62E" w14:textId="4906DB7F" w:rsidR="005900CE" w:rsidRPr="005900CE" w:rsidRDefault="00B56EF2" w:rsidP="005900CE">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5358720" w:history="1">
        <w:r w:rsidR="005900CE" w:rsidRPr="00A06F25">
          <w:rPr>
            <w:rStyle w:val="Hyperlink"/>
            <w:rFonts w:asciiTheme="majorHAnsi" w:hAnsiTheme="majorHAnsi"/>
            <w:b/>
            <w:noProof/>
            <w:sz w:val="20"/>
            <w:szCs w:val="20"/>
          </w:rPr>
          <w:t>IV.</w:t>
        </w:r>
        <w:r w:rsidR="005900CE" w:rsidRPr="00A06F25">
          <w:rPr>
            <w:rFonts w:asciiTheme="majorHAnsi" w:eastAsiaTheme="minorEastAsia" w:hAnsiTheme="majorHAnsi" w:cstheme="minorBidi"/>
            <w:b/>
            <w:noProof/>
            <w:sz w:val="20"/>
            <w:szCs w:val="20"/>
            <w:bdr w:val="none" w:sz="0" w:space="0" w:color="auto"/>
          </w:rPr>
          <w:tab/>
        </w:r>
        <w:r w:rsidR="005900CE" w:rsidRPr="00A06F25">
          <w:rPr>
            <w:rStyle w:val="Hyperlink"/>
            <w:rFonts w:asciiTheme="majorHAnsi" w:hAnsiTheme="majorHAnsi"/>
            <w:b/>
            <w:noProof/>
            <w:sz w:val="20"/>
            <w:szCs w:val="20"/>
          </w:rPr>
          <w:t>DETERMINACIONES DE HECHO</w:t>
        </w:r>
        <w:r w:rsidR="005900CE" w:rsidRPr="005900CE">
          <w:rPr>
            <w:rFonts w:asciiTheme="majorHAnsi" w:hAnsiTheme="majorHAnsi"/>
            <w:noProof/>
            <w:webHidden/>
            <w:sz w:val="20"/>
            <w:szCs w:val="20"/>
          </w:rPr>
          <w:tab/>
        </w:r>
        <w:r w:rsidR="005900CE" w:rsidRPr="005900CE">
          <w:rPr>
            <w:rFonts w:asciiTheme="majorHAnsi" w:hAnsiTheme="majorHAnsi"/>
            <w:noProof/>
            <w:webHidden/>
            <w:sz w:val="20"/>
            <w:szCs w:val="20"/>
          </w:rPr>
          <w:fldChar w:fldCharType="begin"/>
        </w:r>
        <w:r w:rsidR="005900CE" w:rsidRPr="005900CE">
          <w:rPr>
            <w:rFonts w:asciiTheme="majorHAnsi" w:hAnsiTheme="majorHAnsi"/>
            <w:noProof/>
            <w:webHidden/>
            <w:sz w:val="20"/>
            <w:szCs w:val="20"/>
          </w:rPr>
          <w:instrText xml:space="preserve"> PAGEREF _Toc5358720 \h </w:instrText>
        </w:r>
        <w:r w:rsidR="005900CE" w:rsidRPr="005900CE">
          <w:rPr>
            <w:rFonts w:asciiTheme="majorHAnsi" w:hAnsiTheme="majorHAnsi"/>
            <w:noProof/>
            <w:webHidden/>
            <w:sz w:val="20"/>
            <w:szCs w:val="20"/>
          </w:rPr>
        </w:r>
        <w:r w:rsidR="005900CE" w:rsidRPr="005900CE">
          <w:rPr>
            <w:rFonts w:asciiTheme="majorHAnsi" w:hAnsiTheme="majorHAnsi"/>
            <w:noProof/>
            <w:webHidden/>
            <w:sz w:val="20"/>
            <w:szCs w:val="20"/>
          </w:rPr>
          <w:fldChar w:fldCharType="separate"/>
        </w:r>
        <w:r>
          <w:rPr>
            <w:rFonts w:asciiTheme="majorHAnsi" w:hAnsiTheme="majorHAnsi"/>
            <w:noProof/>
            <w:webHidden/>
            <w:sz w:val="20"/>
            <w:szCs w:val="20"/>
          </w:rPr>
          <w:t>7</w:t>
        </w:r>
        <w:r w:rsidR="005900CE" w:rsidRPr="005900CE">
          <w:rPr>
            <w:rFonts w:asciiTheme="majorHAnsi" w:hAnsiTheme="majorHAnsi"/>
            <w:noProof/>
            <w:webHidden/>
            <w:sz w:val="20"/>
            <w:szCs w:val="20"/>
          </w:rPr>
          <w:fldChar w:fldCharType="end"/>
        </w:r>
      </w:hyperlink>
    </w:p>
    <w:p w14:paraId="2D71FAB8" w14:textId="7F0118AD" w:rsidR="005900CE" w:rsidRPr="005900CE" w:rsidRDefault="00B56EF2" w:rsidP="005900CE">
      <w:pPr>
        <w:pStyle w:val="TOC2"/>
        <w:tabs>
          <w:tab w:val="left" w:pos="720"/>
        </w:tabs>
        <w:rPr>
          <w:rFonts w:asciiTheme="majorHAnsi" w:eastAsiaTheme="minorEastAsia" w:hAnsiTheme="majorHAnsi" w:cstheme="minorBidi"/>
          <w:noProof/>
          <w:sz w:val="20"/>
          <w:szCs w:val="20"/>
          <w:bdr w:val="none" w:sz="0" w:space="0" w:color="auto"/>
        </w:rPr>
      </w:pPr>
      <w:hyperlink w:anchor="_Toc5358721" w:history="1">
        <w:r w:rsidR="005900CE" w:rsidRPr="005900CE">
          <w:rPr>
            <w:rStyle w:val="Hyperlink"/>
            <w:rFonts w:asciiTheme="majorHAnsi" w:hAnsiTheme="majorHAnsi"/>
            <w:noProof/>
            <w:sz w:val="20"/>
            <w:szCs w:val="20"/>
          </w:rPr>
          <w:t>A.</w:t>
        </w:r>
        <w:r w:rsidR="005900CE" w:rsidRPr="005900CE">
          <w:rPr>
            <w:rFonts w:asciiTheme="majorHAnsi" w:eastAsiaTheme="minorEastAsia" w:hAnsiTheme="majorHAnsi" w:cstheme="minorBidi"/>
            <w:noProof/>
            <w:sz w:val="20"/>
            <w:szCs w:val="20"/>
            <w:bdr w:val="none" w:sz="0" w:space="0" w:color="auto"/>
          </w:rPr>
          <w:tab/>
        </w:r>
        <w:r w:rsidR="005900CE" w:rsidRPr="005900CE">
          <w:rPr>
            <w:rStyle w:val="Hyperlink"/>
            <w:rFonts w:asciiTheme="majorHAnsi" w:hAnsiTheme="majorHAnsi"/>
            <w:noProof/>
            <w:sz w:val="20"/>
            <w:szCs w:val="20"/>
          </w:rPr>
          <w:t>Contexto</w:t>
        </w:r>
        <w:r w:rsidR="005900CE" w:rsidRPr="005900CE">
          <w:rPr>
            <w:rFonts w:asciiTheme="majorHAnsi" w:hAnsiTheme="majorHAnsi"/>
            <w:noProof/>
            <w:webHidden/>
            <w:sz w:val="20"/>
            <w:szCs w:val="20"/>
          </w:rPr>
          <w:tab/>
        </w:r>
        <w:r w:rsidR="005900CE" w:rsidRPr="005900CE">
          <w:rPr>
            <w:rFonts w:asciiTheme="majorHAnsi" w:hAnsiTheme="majorHAnsi"/>
            <w:noProof/>
            <w:webHidden/>
            <w:sz w:val="20"/>
            <w:szCs w:val="20"/>
          </w:rPr>
          <w:fldChar w:fldCharType="begin"/>
        </w:r>
        <w:r w:rsidR="005900CE" w:rsidRPr="005900CE">
          <w:rPr>
            <w:rFonts w:asciiTheme="majorHAnsi" w:hAnsiTheme="majorHAnsi"/>
            <w:noProof/>
            <w:webHidden/>
            <w:sz w:val="20"/>
            <w:szCs w:val="20"/>
          </w:rPr>
          <w:instrText xml:space="preserve"> PAGEREF _Toc5358721 \h </w:instrText>
        </w:r>
        <w:r w:rsidR="005900CE" w:rsidRPr="005900CE">
          <w:rPr>
            <w:rFonts w:asciiTheme="majorHAnsi" w:hAnsiTheme="majorHAnsi"/>
            <w:noProof/>
            <w:webHidden/>
            <w:sz w:val="20"/>
            <w:szCs w:val="20"/>
          </w:rPr>
        </w:r>
        <w:r w:rsidR="005900CE" w:rsidRPr="005900CE">
          <w:rPr>
            <w:rFonts w:asciiTheme="majorHAnsi" w:hAnsiTheme="majorHAnsi"/>
            <w:noProof/>
            <w:webHidden/>
            <w:sz w:val="20"/>
            <w:szCs w:val="20"/>
          </w:rPr>
          <w:fldChar w:fldCharType="separate"/>
        </w:r>
        <w:r>
          <w:rPr>
            <w:rFonts w:asciiTheme="majorHAnsi" w:hAnsiTheme="majorHAnsi"/>
            <w:noProof/>
            <w:webHidden/>
            <w:sz w:val="20"/>
            <w:szCs w:val="20"/>
          </w:rPr>
          <w:t>7</w:t>
        </w:r>
        <w:r w:rsidR="005900CE" w:rsidRPr="005900CE">
          <w:rPr>
            <w:rFonts w:asciiTheme="majorHAnsi" w:hAnsiTheme="majorHAnsi"/>
            <w:noProof/>
            <w:webHidden/>
            <w:sz w:val="20"/>
            <w:szCs w:val="20"/>
          </w:rPr>
          <w:fldChar w:fldCharType="end"/>
        </w:r>
      </w:hyperlink>
    </w:p>
    <w:p w14:paraId="08AC2DAE" w14:textId="2B70D271" w:rsidR="005900CE" w:rsidRPr="005900CE" w:rsidRDefault="00B56EF2" w:rsidP="005900CE">
      <w:pPr>
        <w:pStyle w:val="TOC2"/>
        <w:tabs>
          <w:tab w:val="left" w:pos="720"/>
        </w:tabs>
        <w:rPr>
          <w:rFonts w:asciiTheme="majorHAnsi" w:eastAsiaTheme="minorEastAsia" w:hAnsiTheme="majorHAnsi" w:cstheme="minorBidi"/>
          <w:noProof/>
          <w:sz w:val="20"/>
          <w:szCs w:val="20"/>
          <w:bdr w:val="none" w:sz="0" w:space="0" w:color="auto"/>
        </w:rPr>
      </w:pPr>
      <w:hyperlink w:anchor="_Toc5358722" w:history="1">
        <w:r w:rsidR="005900CE" w:rsidRPr="005900CE">
          <w:rPr>
            <w:rStyle w:val="Hyperlink"/>
            <w:rFonts w:asciiTheme="majorHAnsi" w:hAnsiTheme="majorHAnsi"/>
            <w:noProof/>
            <w:sz w:val="20"/>
            <w:szCs w:val="20"/>
          </w:rPr>
          <w:t>B.</w:t>
        </w:r>
        <w:r w:rsidR="005900CE" w:rsidRPr="005900CE">
          <w:rPr>
            <w:rFonts w:asciiTheme="majorHAnsi" w:eastAsiaTheme="minorEastAsia" w:hAnsiTheme="majorHAnsi" w:cstheme="minorBidi"/>
            <w:noProof/>
            <w:sz w:val="20"/>
            <w:szCs w:val="20"/>
            <w:bdr w:val="none" w:sz="0" w:space="0" w:color="auto"/>
          </w:rPr>
          <w:tab/>
        </w:r>
        <w:r w:rsidR="005900CE" w:rsidRPr="005900CE">
          <w:rPr>
            <w:rStyle w:val="Hyperlink"/>
            <w:rFonts w:asciiTheme="majorHAnsi" w:hAnsiTheme="majorHAnsi"/>
            <w:noProof/>
            <w:sz w:val="20"/>
            <w:szCs w:val="20"/>
          </w:rPr>
          <w:t>Hechos del caso</w:t>
        </w:r>
        <w:r w:rsidR="005900CE" w:rsidRPr="005900CE">
          <w:rPr>
            <w:rFonts w:asciiTheme="majorHAnsi" w:hAnsiTheme="majorHAnsi"/>
            <w:noProof/>
            <w:webHidden/>
            <w:sz w:val="20"/>
            <w:szCs w:val="20"/>
          </w:rPr>
          <w:tab/>
        </w:r>
        <w:r w:rsidR="005900CE" w:rsidRPr="005900CE">
          <w:rPr>
            <w:rFonts w:asciiTheme="majorHAnsi" w:hAnsiTheme="majorHAnsi"/>
            <w:noProof/>
            <w:webHidden/>
            <w:sz w:val="20"/>
            <w:szCs w:val="20"/>
          </w:rPr>
          <w:fldChar w:fldCharType="begin"/>
        </w:r>
        <w:r w:rsidR="005900CE" w:rsidRPr="005900CE">
          <w:rPr>
            <w:rFonts w:asciiTheme="majorHAnsi" w:hAnsiTheme="majorHAnsi"/>
            <w:noProof/>
            <w:webHidden/>
            <w:sz w:val="20"/>
            <w:szCs w:val="20"/>
          </w:rPr>
          <w:instrText xml:space="preserve"> PAGEREF _Toc5358722 \h </w:instrText>
        </w:r>
        <w:r w:rsidR="005900CE" w:rsidRPr="005900CE">
          <w:rPr>
            <w:rFonts w:asciiTheme="majorHAnsi" w:hAnsiTheme="majorHAnsi"/>
            <w:noProof/>
            <w:webHidden/>
            <w:sz w:val="20"/>
            <w:szCs w:val="20"/>
          </w:rPr>
        </w:r>
        <w:r w:rsidR="005900CE" w:rsidRPr="005900CE">
          <w:rPr>
            <w:rFonts w:asciiTheme="majorHAnsi" w:hAnsiTheme="majorHAnsi"/>
            <w:noProof/>
            <w:webHidden/>
            <w:sz w:val="20"/>
            <w:szCs w:val="20"/>
          </w:rPr>
          <w:fldChar w:fldCharType="separate"/>
        </w:r>
        <w:r>
          <w:rPr>
            <w:rFonts w:asciiTheme="majorHAnsi" w:hAnsiTheme="majorHAnsi"/>
            <w:noProof/>
            <w:webHidden/>
            <w:sz w:val="20"/>
            <w:szCs w:val="20"/>
          </w:rPr>
          <w:t>7</w:t>
        </w:r>
        <w:r w:rsidR="005900CE" w:rsidRPr="005900CE">
          <w:rPr>
            <w:rFonts w:asciiTheme="majorHAnsi" w:hAnsiTheme="majorHAnsi"/>
            <w:noProof/>
            <w:webHidden/>
            <w:sz w:val="20"/>
            <w:szCs w:val="20"/>
          </w:rPr>
          <w:fldChar w:fldCharType="end"/>
        </w:r>
      </w:hyperlink>
    </w:p>
    <w:p w14:paraId="50610E9A" w14:textId="70E5D953" w:rsidR="005900CE" w:rsidRPr="00A06F25" w:rsidRDefault="00B56EF2" w:rsidP="005900CE">
      <w:pPr>
        <w:pStyle w:val="TOC1"/>
        <w:tabs>
          <w:tab w:val="left" w:pos="720"/>
          <w:tab w:val="left" w:pos="1440"/>
          <w:tab w:val="right" w:leader="dot" w:pos="9350"/>
        </w:tabs>
        <w:rPr>
          <w:rFonts w:asciiTheme="majorHAnsi" w:eastAsiaTheme="minorEastAsia" w:hAnsiTheme="majorHAnsi" w:cstheme="minorBidi"/>
          <w:b/>
          <w:noProof/>
          <w:sz w:val="20"/>
          <w:szCs w:val="20"/>
          <w:bdr w:val="none" w:sz="0" w:space="0" w:color="auto"/>
        </w:rPr>
      </w:pPr>
      <w:hyperlink w:anchor="_Toc5358723" w:history="1">
        <w:r w:rsidR="005900CE" w:rsidRPr="00A06F25">
          <w:rPr>
            <w:rStyle w:val="Hyperlink"/>
            <w:rFonts w:asciiTheme="majorHAnsi" w:hAnsiTheme="majorHAnsi"/>
            <w:b/>
            <w:noProof/>
            <w:sz w:val="20"/>
            <w:szCs w:val="20"/>
          </w:rPr>
          <w:t>V.</w:t>
        </w:r>
        <w:r w:rsidR="005900CE" w:rsidRPr="00A06F25">
          <w:rPr>
            <w:rFonts w:asciiTheme="majorHAnsi" w:eastAsiaTheme="minorEastAsia" w:hAnsiTheme="majorHAnsi" w:cstheme="minorBidi"/>
            <w:b/>
            <w:noProof/>
            <w:sz w:val="20"/>
            <w:szCs w:val="20"/>
            <w:bdr w:val="none" w:sz="0" w:space="0" w:color="auto"/>
          </w:rPr>
          <w:tab/>
        </w:r>
        <w:r w:rsidR="005900CE" w:rsidRPr="00A06F25">
          <w:rPr>
            <w:rStyle w:val="Hyperlink"/>
            <w:rFonts w:asciiTheme="majorHAnsi" w:hAnsiTheme="majorHAnsi"/>
            <w:b/>
            <w:noProof/>
            <w:sz w:val="20"/>
            <w:szCs w:val="20"/>
          </w:rPr>
          <w:t>ANÁLISIS DE DERECHO Y CONCLUSIONES</w:t>
        </w:r>
        <w:r w:rsidR="005900CE" w:rsidRPr="00A06F25">
          <w:rPr>
            <w:rFonts w:asciiTheme="majorHAnsi" w:hAnsiTheme="majorHAnsi"/>
            <w:b/>
            <w:noProof/>
            <w:webHidden/>
            <w:sz w:val="20"/>
            <w:szCs w:val="20"/>
          </w:rPr>
          <w:tab/>
        </w:r>
        <w:r w:rsidR="005900CE" w:rsidRPr="00A06F25">
          <w:rPr>
            <w:rFonts w:asciiTheme="majorHAnsi" w:hAnsiTheme="majorHAnsi"/>
            <w:b/>
            <w:noProof/>
            <w:webHidden/>
            <w:sz w:val="20"/>
            <w:szCs w:val="20"/>
          </w:rPr>
          <w:fldChar w:fldCharType="begin"/>
        </w:r>
        <w:r w:rsidR="005900CE" w:rsidRPr="00A06F25">
          <w:rPr>
            <w:rFonts w:asciiTheme="majorHAnsi" w:hAnsiTheme="majorHAnsi"/>
            <w:b/>
            <w:noProof/>
            <w:webHidden/>
            <w:sz w:val="20"/>
            <w:szCs w:val="20"/>
          </w:rPr>
          <w:instrText xml:space="preserve"> PAGEREF _Toc5358723 \h </w:instrText>
        </w:r>
        <w:r w:rsidR="005900CE" w:rsidRPr="00A06F25">
          <w:rPr>
            <w:rFonts w:asciiTheme="majorHAnsi" w:hAnsiTheme="majorHAnsi"/>
            <w:b/>
            <w:noProof/>
            <w:webHidden/>
            <w:sz w:val="20"/>
            <w:szCs w:val="20"/>
          </w:rPr>
        </w:r>
        <w:r w:rsidR="005900CE" w:rsidRPr="00A06F25">
          <w:rPr>
            <w:rFonts w:asciiTheme="majorHAnsi" w:hAnsiTheme="majorHAnsi"/>
            <w:b/>
            <w:noProof/>
            <w:webHidden/>
            <w:sz w:val="20"/>
            <w:szCs w:val="20"/>
          </w:rPr>
          <w:fldChar w:fldCharType="separate"/>
        </w:r>
        <w:r>
          <w:rPr>
            <w:rFonts w:asciiTheme="majorHAnsi" w:hAnsiTheme="majorHAnsi"/>
            <w:b/>
            <w:noProof/>
            <w:webHidden/>
            <w:sz w:val="20"/>
            <w:szCs w:val="20"/>
          </w:rPr>
          <w:t>10</w:t>
        </w:r>
        <w:r w:rsidR="005900CE" w:rsidRPr="00A06F25">
          <w:rPr>
            <w:rFonts w:asciiTheme="majorHAnsi" w:hAnsiTheme="majorHAnsi"/>
            <w:b/>
            <w:noProof/>
            <w:webHidden/>
            <w:sz w:val="20"/>
            <w:szCs w:val="20"/>
          </w:rPr>
          <w:fldChar w:fldCharType="end"/>
        </w:r>
      </w:hyperlink>
    </w:p>
    <w:p w14:paraId="367A1219" w14:textId="72129A5D" w:rsidR="005900CE" w:rsidRPr="005900CE" w:rsidRDefault="00B56EF2" w:rsidP="005900CE">
      <w:pPr>
        <w:pStyle w:val="TOC2"/>
        <w:tabs>
          <w:tab w:val="left" w:pos="720"/>
        </w:tabs>
        <w:rPr>
          <w:rFonts w:asciiTheme="majorHAnsi" w:eastAsiaTheme="minorEastAsia" w:hAnsiTheme="majorHAnsi" w:cstheme="minorBidi"/>
          <w:noProof/>
          <w:sz w:val="20"/>
          <w:szCs w:val="20"/>
          <w:bdr w:val="none" w:sz="0" w:space="0" w:color="auto"/>
        </w:rPr>
      </w:pPr>
      <w:hyperlink w:anchor="_Toc5358724" w:history="1">
        <w:r w:rsidR="005900CE" w:rsidRPr="005900CE">
          <w:rPr>
            <w:rStyle w:val="Hyperlink"/>
            <w:rFonts w:asciiTheme="majorHAnsi" w:hAnsiTheme="majorHAnsi"/>
            <w:noProof/>
            <w:sz w:val="20"/>
            <w:szCs w:val="20"/>
          </w:rPr>
          <w:t>A.</w:t>
        </w:r>
        <w:r w:rsidR="005900CE" w:rsidRPr="005900CE">
          <w:rPr>
            <w:rFonts w:asciiTheme="majorHAnsi" w:eastAsiaTheme="minorEastAsia" w:hAnsiTheme="majorHAnsi" w:cstheme="minorBidi"/>
            <w:noProof/>
            <w:sz w:val="20"/>
            <w:szCs w:val="20"/>
            <w:bdr w:val="none" w:sz="0" w:space="0" w:color="auto"/>
          </w:rPr>
          <w:tab/>
        </w:r>
        <w:r w:rsidR="005900CE" w:rsidRPr="005900CE">
          <w:rPr>
            <w:rStyle w:val="Hyperlink"/>
            <w:rFonts w:asciiTheme="majorHAnsi" w:hAnsiTheme="majorHAnsi"/>
            <w:noProof/>
            <w:sz w:val="20"/>
            <w:szCs w:val="20"/>
          </w:rPr>
          <w:t>Consideraciones sobre la similitud de los hechos con casos ya resueltos por los órganos del sistema interamericano</w:t>
        </w:r>
        <w:r w:rsidR="005900CE" w:rsidRPr="005900CE">
          <w:rPr>
            <w:rFonts w:asciiTheme="majorHAnsi" w:hAnsiTheme="majorHAnsi"/>
            <w:noProof/>
            <w:webHidden/>
            <w:sz w:val="20"/>
            <w:szCs w:val="20"/>
          </w:rPr>
          <w:tab/>
        </w:r>
        <w:r w:rsidR="005900CE" w:rsidRPr="005900CE">
          <w:rPr>
            <w:rFonts w:asciiTheme="majorHAnsi" w:hAnsiTheme="majorHAnsi"/>
            <w:noProof/>
            <w:webHidden/>
            <w:sz w:val="20"/>
            <w:szCs w:val="20"/>
          </w:rPr>
          <w:fldChar w:fldCharType="begin"/>
        </w:r>
        <w:r w:rsidR="005900CE" w:rsidRPr="005900CE">
          <w:rPr>
            <w:rFonts w:asciiTheme="majorHAnsi" w:hAnsiTheme="majorHAnsi"/>
            <w:noProof/>
            <w:webHidden/>
            <w:sz w:val="20"/>
            <w:szCs w:val="20"/>
          </w:rPr>
          <w:instrText xml:space="preserve"> PAGEREF _Toc5358724 \h </w:instrText>
        </w:r>
        <w:r w:rsidR="005900CE" w:rsidRPr="005900CE">
          <w:rPr>
            <w:rFonts w:asciiTheme="majorHAnsi" w:hAnsiTheme="majorHAnsi"/>
            <w:noProof/>
            <w:webHidden/>
            <w:sz w:val="20"/>
            <w:szCs w:val="20"/>
          </w:rPr>
        </w:r>
        <w:r w:rsidR="005900CE" w:rsidRPr="005900CE">
          <w:rPr>
            <w:rFonts w:asciiTheme="majorHAnsi" w:hAnsiTheme="majorHAnsi"/>
            <w:noProof/>
            <w:webHidden/>
            <w:sz w:val="20"/>
            <w:szCs w:val="20"/>
          </w:rPr>
          <w:fldChar w:fldCharType="separate"/>
        </w:r>
        <w:r>
          <w:rPr>
            <w:rFonts w:asciiTheme="majorHAnsi" w:hAnsiTheme="majorHAnsi"/>
            <w:noProof/>
            <w:webHidden/>
            <w:sz w:val="20"/>
            <w:szCs w:val="20"/>
          </w:rPr>
          <w:t>10</w:t>
        </w:r>
        <w:r w:rsidR="005900CE" w:rsidRPr="005900CE">
          <w:rPr>
            <w:rFonts w:asciiTheme="majorHAnsi" w:hAnsiTheme="majorHAnsi"/>
            <w:noProof/>
            <w:webHidden/>
            <w:sz w:val="20"/>
            <w:szCs w:val="20"/>
          </w:rPr>
          <w:fldChar w:fldCharType="end"/>
        </w:r>
      </w:hyperlink>
    </w:p>
    <w:p w14:paraId="04150EFE" w14:textId="24162C01" w:rsidR="005900CE" w:rsidRPr="005900CE" w:rsidRDefault="00B56EF2" w:rsidP="005900CE">
      <w:pPr>
        <w:pStyle w:val="TOC2"/>
        <w:tabs>
          <w:tab w:val="left" w:pos="720"/>
        </w:tabs>
        <w:rPr>
          <w:rFonts w:asciiTheme="majorHAnsi" w:eastAsiaTheme="minorEastAsia" w:hAnsiTheme="majorHAnsi" w:cstheme="minorBidi"/>
          <w:noProof/>
          <w:sz w:val="20"/>
          <w:szCs w:val="20"/>
          <w:bdr w:val="none" w:sz="0" w:space="0" w:color="auto"/>
        </w:rPr>
      </w:pPr>
      <w:hyperlink w:anchor="_Toc5358725" w:history="1">
        <w:r w:rsidR="005900CE" w:rsidRPr="005900CE">
          <w:rPr>
            <w:rStyle w:val="Hyperlink"/>
            <w:rFonts w:asciiTheme="majorHAnsi" w:hAnsiTheme="majorHAnsi"/>
            <w:noProof/>
            <w:sz w:val="20"/>
            <w:szCs w:val="20"/>
          </w:rPr>
          <w:t>B.</w:t>
        </w:r>
        <w:r w:rsidR="005900CE" w:rsidRPr="005900CE">
          <w:rPr>
            <w:rFonts w:asciiTheme="majorHAnsi" w:eastAsiaTheme="minorEastAsia" w:hAnsiTheme="majorHAnsi" w:cstheme="minorBidi"/>
            <w:noProof/>
            <w:sz w:val="20"/>
            <w:szCs w:val="20"/>
            <w:bdr w:val="none" w:sz="0" w:space="0" w:color="auto"/>
          </w:rPr>
          <w:tab/>
        </w:r>
        <w:r w:rsidR="005900CE" w:rsidRPr="005900CE">
          <w:rPr>
            <w:rStyle w:val="Hyperlink"/>
            <w:rFonts w:asciiTheme="majorHAnsi" w:hAnsiTheme="majorHAnsi"/>
            <w:noProof/>
            <w:sz w:val="20"/>
            <w:szCs w:val="20"/>
          </w:rPr>
          <w:t>Conclusión y atribución de responsabilidad internacional</w:t>
        </w:r>
        <w:r w:rsidR="005900CE" w:rsidRPr="005900CE">
          <w:rPr>
            <w:rFonts w:asciiTheme="majorHAnsi" w:hAnsiTheme="majorHAnsi"/>
            <w:noProof/>
            <w:webHidden/>
            <w:sz w:val="20"/>
            <w:szCs w:val="20"/>
          </w:rPr>
          <w:tab/>
        </w:r>
        <w:r w:rsidR="005900CE" w:rsidRPr="005900CE">
          <w:rPr>
            <w:rFonts w:asciiTheme="majorHAnsi" w:hAnsiTheme="majorHAnsi"/>
            <w:noProof/>
            <w:webHidden/>
            <w:sz w:val="20"/>
            <w:szCs w:val="20"/>
          </w:rPr>
          <w:fldChar w:fldCharType="begin"/>
        </w:r>
        <w:r w:rsidR="005900CE" w:rsidRPr="005900CE">
          <w:rPr>
            <w:rFonts w:asciiTheme="majorHAnsi" w:hAnsiTheme="majorHAnsi"/>
            <w:noProof/>
            <w:webHidden/>
            <w:sz w:val="20"/>
            <w:szCs w:val="20"/>
          </w:rPr>
          <w:instrText xml:space="preserve"> PAGEREF _Toc5358725 \h </w:instrText>
        </w:r>
        <w:r w:rsidR="005900CE" w:rsidRPr="005900CE">
          <w:rPr>
            <w:rFonts w:asciiTheme="majorHAnsi" w:hAnsiTheme="majorHAnsi"/>
            <w:noProof/>
            <w:webHidden/>
            <w:sz w:val="20"/>
            <w:szCs w:val="20"/>
          </w:rPr>
        </w:r>
        <w:r w:rsidR="005900CE" w:rsidRPr="005900CE">
          <w:rPr>
            <w:rFonts w:asciiTheme="majorHAnsi" w:hAnsiTheme="majorHAnsi"/>
            <w:noProof/>
            <w:webHidden/>
            <w:sz w:val="20"/>
            <w:szCs w:val="20"/>
          </w:rPr>
          <w:fldChar w:fldCharType="separate"/>
        </w:r>
        <w:r>
          <w:rPr>
            <w:rFonts w:asciiTheme="majorHAnsi" w:hAnsiTheme="majorHAnsi"/>
            <w:noProof/>
            <w:webHidden/>
            <w:sz w:val="20"/>
            <w:szCs w:val="20"/>
          </w:rPr>
          <w:t>11</w:t>
        </w:r>
        <w:r w:rsidR="005900CE" w:rsidRPr="005900CE">
          <w:rPr>
            <w:rFonts w:asciiTheme="majorHAnsi" w:hAnsiTheme="majorHAnsi"/>
            <w:noProof/>
            <w:webHidden/>
            <w:sz w:val="20"/>
            <w:szCs w:val="20"/>
          </w:rPr>
          <w:fldChar w:fldCharType="end"/>
        </w:r>
      </w:hyperlink>
    </w:p>
    <w:p w14:paraId="36ECEBCF" w14:textId="6100731C" w:rsidR="005900CE" w:rsidRPr="005900CE" w:rsidRDefault="00B56EF2" w:rsidP="005900CE">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5358726" w:history="1">
        <w:r w:rsidR="005900CE" w:rsidRPr="00A06F25">
          <w:rPr>
            <w:rStyle w:val="Hyperlink"/>
            <w:rFonts w:asciiTheme="majorHAnsi" w:hAnsiTheme="majorHAnsi"/>
            <w:b/>
            <w:noProof/>
            <w:sz w:val="20"/>
            <w:szCs w:val="20"/>
          </w:rPr>
          <w:t>VI.</w:t>
        </w:r>
        <w:r w:rsidR="005900CE" w:rsidRPr="00A06F25">
          <w:rPr>
            <w:rFonts w:asciiTheme="majorHAnsi" w:eastAsiaTheme="minorEastAsia" w:hAnsiTheme="majorHAnsi" w:cstheme="minorBidi"/>
            <w:b/>
            <w:noProof/>
            <w:sz w:val="20"/>
            <w:szCs w:val="20"/>
            <w:bdr w:val="none" w:sz="0" w:space="0" w:color="auto"/>
          </w:rPr>
          <w:tab/>
        </w:r>
        <w:r w:rsidR="005900CE" w:rsidRPr="00A06F25">
          <w:rPr>
            <w:rStyle w:val="Hyperlink"/>
            <w:rFonts w:asciiTheme="majorHAnsi" w:hAnsiTheme="majorHAnsi"/>
            <w:b/>
            <w:noProof/>
            <w:sz w:val="20"/>
            <w:szCs w:val="20"/>
          </w:rPr>
          <w:t>RECOMENDACIONES</w:t>
        </w:r>
        <w:r w:rsidR="005900CE" w:rsidRPr="005900CE">
          <w:rPr>
            <w:rFonts w:asciiTheme="majorHAnsi" w:hAnsiTheme="majorHAnsi"/>
            <w:noProof/>
            <w:webHidden/>
            <w:sz w:val="20"/>
            <w:szCs w:val="20"/>
          </w:rPr>
          <w:tab/>
        </w:r>
        <w:r w:rsidR="005900CE" w:rsidRPr="005900CE">
          <w:rPr>
            <w:rFonts w:asciiTheme="majorHAnsi" w:hAnsiTheme="majorHAnsi"/>
            <w:noProof/>
            <w:webHidden/>
            <w:sz w:val="20"/>
            <w:szCs w:val="20"/>
          </w:rPr>
          <w:fldChar w:fldCharType="begin"/>
        </w:r>
        <w:r w:rsidR="005900CE" w:rsidRPr="005900CE">
          <w:rPr>
            <w:rFonts w:asciiTheme="majorHAnsi" w:hAnsiTheme="majorHAnsi"/>
            <w:noProof/>
            <w:webHidden/>
            <w:sz w:val="20"/>
            <w:szCs w:val="20"/>
          </w:rPr>
          <w:instrText xml:space="preserve"> PAGEREF _Toc5358726 \h </w:instrText>
        </w:r>
        <w:r w:rsidR="005900CE" w:rsidRPr="005900CE">
          <w:rPr>
            <w:rFonts w:asciiTheme="majorHAnsi" w:hAnsiTheme="majorHAnsi"/>
            <w:noProof/>
            <w:webHidden/>
            <w:sz w:val="20"/>
            <w:szCs w:val="20"/>
          </w:rPr>
        </w:r>
        <w:r w:rsidR="005900CE" w:rsidRPr="005900CE">
          <w:rPr>
            <w:rFonts w:asciiTheme="majorHAnsi" w:hAnsiTheme="majorHAnsi"/>
            <w:noProof/>
            <w:webHidden/>
            <w:sz w:val="20"/>
            <w:szCs w:val="20"/>
          </w:rPr>
          <w:fldChar w:fldCharType="separate"/>
        </w:r>
        <w:r>
          <w:rPr>
            <w:rFonts w:asciiTheme="majorHAnsi" w:hAnsiTheme="majorHAnsi"/>
            <w:noProof/>
            <w:webHidden/>
            <w:sz w:val="20"/>
            <w:szCs w:val="20"/>
          </w:rPr>
          <w:t>12</w:t>
        </w:r>
        <w:r w:rsidR="005900CE" w:rsidRPr="005900CE">
          <w:rPr>
            <w:rFonts w:asciiTheme="majorHAnsi" w:hAnsiTheme="majorHAnsi"/>
            <w:noProof/>
            <w:webHidden/>
            <w:sz w:val="20"/>
            <w:szCs w:val="20"/>
          </w:rPr>
          <w:fldChar w:fldCharType="end"/>
        </w:r>
      </w:hyperlink>
    </w:p>
    <w:p w14:paraId="3A1F2D41" w14:textId="77777777" w:rsidR="008D768D" w:rsidRPr="005900CE" w:rsidRDefault="005777B2" w:rsidP="005900CE">
      <w:pPr>
        <w:tabs>
          <w:tab w:val="left" w:pos="720"/>
          <w:tab w:val="center" w:pos="5400"/>
        </w:tabs>
        <w:suppressAutoHyphens/>
        <w:spacing w:line="276" w:lineRule="auto"/>
        <w:rPr>
          <w:rFonts w:asciiTheme="majorHAnsi" w:hAnsiTheme="majorHAnsi"/>
          <w:sz w:val="20"/>
          <w:szCs w:val="20"/>
          <w:lang w:val="es-ES_tradnl"/>
        </w:rPr>
      </w:pPr>
      <w:r w:rsidRPr="005900CE">
        <w:rPr>
          <w:rFonts w:asciiTheme="majorHAnsi" w:hAnsiTheme="majorHAnsi"/>
          <w:b/>
          <w:sz w:val="20"/>
          <w:szCs w:val="20"/>
          <w:lang w:val="es-ES_tradnl"/>
        </w:rPr>
        <w:fldChar w:fldCharType="end"/>
      </w:r>
    </w:p>
    <w:p w14:paraId="4E3D05DF" w14:textId="1A753A75" w:rsidR="005937F1" w:rsidRPr="007C370D" w:rsidRDefault="00722C9F" w:rsidP="007C370D">
      <w:pPr>
        <w:rPr>
          <w:rFonts w:asciiTheme="majorHAnsi" w:hAnsiTheme="majorHAnsi" w:cs="Calibri"/>
          <w:sz w:val="20"/>
          <w:szCs w:val="20"/>
          <w:lang w:val="es-ES"/>
        </w:rPr>
      </w:pPr>
      <w:r w:rsidRPr="00FB4380">
        <w:rPr>
          <w:rFonts w:asciiTheme="majorHAnsi" w:hAnsiTheme="majorHAnsi" w:cs="Calibri"/>
          <w:sz w:val="20"/>
          <w:szCs w:val="20"/>
          <w:lang w:val="es-ES"/>
        </w:rPr>
        <w:br w:type="page"/>
      </w:r>
    </w:p>
    <w:p w14:paraId="16170EF6" w14:textId="3A44543E" w:rsidR="00D12193" w:rsidRPr="00FB4380" w:rsidRDefault="00A03A30" w:rsidP="007C047E">
      <w:pPr>
        <w:pStyle w:val="Heading1"/>
        <w:ind w:left="0" w:firstLine="0"/>
      </w:pPr>
      <w:bookmarkStart w:id="2" w:name="_Toc5358710"/>
      <w:r w:rsidRPr="00FB4380">
        <w:lastRenderedPageBreak/>
        <w:t>INTRODUCCIÓN</w:t>
      </w:r>
      <w:bookmarkEnd w:id="2"/>
      <w:r w:rsidR="007C370D" w:rsidRPr="00FB4380">
        <w:rPr>
          <w:rStyle w:val="FootnoteReference"/>
          <w:sz w:val="18"/>
        </w:rPr>
        <w:footnoteReference w:id="2"/>
      </w:r>
    </w:p>
    <w:p w14:paraId="0DA5A9C5" w14:textId="77777777" w:rsidR="005C4CA5" w:rsidRPr="00FB4380" w:rsidRDefault="005C4CA5" w:rsidP="007C047E">
      <w:pPr>
        <w:suppressAutoHyphens/>
        <w:rPr>
          <w:rFonts w:asciiTheme="majorHAnsi" w:hAnsiTheme="majorHAnsi"/>
          <w:b/>
          <w:sz w:val="20"/>
          <w:szCs w:val="20"/>
          <w:lang w:val="es-ES_tradnl"/>
        </w:rPr>
      </w:pPr>
    </w:p>
    <w:p w14:paraId="276E9919" w14:textId="612DC958" w:rsidR="002F2C94" w:rsidRPr="00FB4380" w:rsidRDefault="005C4CA5" w:rsidP="007C04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lang w:val="es-VE"/>
        </w:rPr>
      </w:pPr>
      <w:r w:rsidRPr="00FB4380">
        <w:rPr>
          <w:rFonts w:asciiTheme="majorHAnsi" w:hAnsiTheme="majorHAnsi"/>
          <w:color w:val="000000" w:themeColor="text1"/>
          <w:sz w:val="20"/>
          <w:szCs w:val="20"/>
          <w:lang w:val="es-VE"/>
        </w:rPr>
        <w:t xml:space="preserve">El </w:t>
      </w:r>
      <w:r w:rsidR="00F551E4" w:rsidRPr="00FB4380">
        <w:rPr>
          <w:rFonts w:asciiTheme="majorHAnsi" w:hAnsiTheme="majorHAnsi"/>
          <w:color w:val="000000" w:themeColor="text1"/>
          <w:sz w:val="20"/>
          <w:szCs w:val="20"/>
          <w:lang w:val="es-VE"/>
        </w:rPr>
        <w:t>19</w:t>
      </w:r>
      <w:r w:rsidRPr="00FB4380">
        <w:rPr>
          <w:rFonts w:asciiTheme="majorHAnsi" w:hAnsiTheme="majorHAnsi"/>
          <w:color w:val="000000" w:themeColor="text1"/>
          <w:sz w:val="20"/>
          <w:szCs w:val="20"/>
          <w:lang w:val="es-VE"/>
        </w:rPr>
        <w:t xml:space="preserve"> de </w:t>
      </w:r>
      <w:r w:rsidR="00F551E4" w:rsidRPr="00FB4380">
        <w:rPr>
          <w:rFonts w:asciiTheme="majorHAnsi" w:hAnsiTheme="majorHAnsi"/>
          <w:color w:val="000000" w:themeColor="text1"/>
          <w:sz w:val="20"/>
          <w:szCs w:val="20"/>
          <w:lang w:val="es-VE"/>
        </w:rPr>
        <w:t>diciembre</w:t>
      </w:r>
      <w:r w:rsidRPr="00FB4380">
        <w:rPr>
          <w:rFonts w:asciiTheme="majorHAnsi" w:hAnsiTheme="majorHAnsi"/>
          <w:color w:val="000000" w:themeColor="text1"/>
          <w:sz w:val="20"/>
          <w:szCs w:val="20"/>
          <w:lang w:val="es-VE"/>
        </w:rPr>
        <w:t xml:space="preserve"> de </w:t>
      </w:r>
      <w:r w:rsidR="00F551E4" w:rsidRPr="00FB4380">
        <w:rPr>
          <w:rFonts w:asciiTheme="majorHAnsi" w:hAnsiTheme="majorHAnsi"/>
          <w:color w:val="000000" w:themeColor="text1"/>
          <w:sz w:val="20"/>
          <w:szCs w:val="20"/>
          <w:lang w:val="es-VE"/>
        </w:rPr>
        <w:t xml:space="preserve">2000 </w:t>
      </w:r>
      <w:r w:rsidRPr="00FB4380">
        <w:rPr>
          <w:rFonts w:asciiTheme="majorHAnsi" w:hAnsiTheme="majorHAnsi"/>
          <w:color w:val="000000" w:themeColor="text1"/>
          <w:sz w:val="20"/>
          <w:szCs w:val="20"/>
          <w:lang w:val="es-VE"/>
        </w:rPr>
        <w:t xml:space="preserve">la Comisión Interamericana de Derechos Humanos (en adelante “la Comisión Interamericana”, “la Comisión” o “la CIDH”) recibió una petición presentada por </w:t>
      </w:r>
      <w:r w:rsidR="00E41912" w:rsidRPr="00FB4380">
        <w:rPr>
          <w:rFonts w:asciiTheme="majorHAnsi" w:hAnsiTheme="majorHAnsi"/>
          <w:color w:val="000000" w:themeColor="text1"/>
          <w:sz w:val="20"/>
          <w:szCs w:val="20"/>
          <w:lang w:val="es-VE"/>
        </w:rPr>
        <w:t>Javier Mujica Petit</w:t>
      </w:r>
      <w:r w:rsidRPr="00FB4380">
        <w:rPr>
          <w:rFonts w:asciiTheme="majorHAnsi" w:hAnsiTheme="majorHAnsi"/>
          <w:color w:val="000000" w:themeColor="text1"/>
          <w:sz w:val="20"/>
          <w:szCs w:val="20"/>
          <w:lang w:val="es-VE"/>
        </w:rPr>
        <w:t xml:space="preserve"> (en adelante “la parte </w:t>
      </w:r>
      <w:r w:rsidRPr="00FB4380">
        <w:rPr>
          <w:rFonts w:asciiTheme="majorHAnsi" w:hAnsiTheme="majorHAnsi"/>
          <w:sz w:val="20"/>
          <w:szCs w:val="20"/>
          <w:lang w:val="es-VE"/>
        </w:rPr>
        <w:t>pe</w:t>
      </w:r>
      <w:r w:rsidR="00A81ACC">
        <w:rPr>
          <w:rFonts w:asciiTheme="majorHAnsi" w:hAnsiTheme="majorHAnsi"/>
          <w:sz w:val="20"/>
          <w:szCs w:val="20"/>
          <w:lang w:val="es-VE"/>
        </w:rPr>
        <w:t>ticionaria”) en la cual se alegó</w:t>
      </w:r>
      <w:r w:rsidRPr="00FB4380">
        <w:rPr>
          <w:rFonts w:asciiTheme="majorHAnsi" w:hAnsiTheme="majorHAnsi"/>
          <w:sz w:val="20"/>
          <w:szCs w:val="20"/>
          <w:lang w:val="es-VE"/>
        </w:rPr>
        <w:t xml:space="preserve"> la responsabilidad internacional de </w:t>
      </w:r>
      <w:r w:rsidR="00F551E4" w:rsidRPr="00FB4380">
        <w:rPr>
          <w:rFonts w:asciiTheme="majorHAnsi" w:hAnsiTheme="majorHAnsi"/>
          <w:sz w:val="20"/>
          <w:szCs w:val="20"/>
          <w:lang w:val="es-VE"/>
        </w:rPr>
        <w:t>la República del Perú</w:t>
      </w:r>
      <w:r w:rsidRPr="00FB4380">
        <w:rPr>
          <w:rFonts w:asciiTheme="majorHAnsi" w:hAnsiTheme="majorHAnsi"/>
          <w:sz w:val="20"/>
          <w:szCs w:val="20"/>
          <w:lang w:val="es-VE"/>
        </w:rPr>
        <w:t xml:space="preserve"> (en adelante “el Estado </w:t>
      </w:r>
      <w:r w:rsidR="00F551E4" w:rsidRPr="00FB4380">
        <w:rPr>
          <w:rFonts w:asciiTheme="majorHAnsi" w:hAnsiTheme="majorHAnsi"/>
          <w:sz w:val="20"/>
          <w:szCs w:val="20"/>
          <w:lang w:val="es-VE"/>
        </w:rPr>
        <w:t>peruano</w:t>
      </w:r>
      <w:r w:rsidRPr="00FB4380">
        <w:rPr>
          <w:rFonts w:asciiTheme="majorHAnsi" w:hAnsiTheme="majorHAnsi"/>
          <w:sz w:val="20"/>
          <w:szCs w:val="20"/>
          <w:lang w:val="es-VE"/>
        </w:rPr>
        <w:t>”, “el Estado” o “</w:t>
      </w:r>
      <w:r w:rsidR="00F551E4" w:rsidRPr="00FB4380">
        <w:rPr>
          <w:rFonts w:asciiTheme="majorHAnsi" w:hAnsiTheme="majorHAnsi"/>
          <w:sz w:val="20"/>
          <w:szCs w:val="20"/>
          <w:lang w:val="es-VE"/>
        </w:rPr>
        <w:t>el Perú</w:t>
      </w:r>
      <w:r w:rsidRPr="00FB4380">
        <w:rPr>
          <w:rFonts w:asciiTheme="majorHAnsi" w:hAnsiTheme="majorHAnsi"/>
          <w:sz w:val="20"/>
          <w:szCs w:val="20"/>
          <w:lang w:val="es-VE"/>
        </w:rPr>
        <w:t xml:space="preserve">”) en perjuicio de </w:t>
      </w:r>
      <w:r w:rsidR="008E4CA0" w:rsidRPr="00FB4380">
        <w:rPr>
          <w:rFonts w:asciiTheme="majorHAnsi" w:hAnsiTheme="majorHAnsi"/>
          <w:sz w:val="20"/>
          <w:szCs w:val="20"/>
          <w:lang w:val="es-VE"/>
        </w:rPr>
        <w:t>un grupo de trabajadores cesados del Congreso de la República</w:t>
      </w:r>
      <w:r w:rsidR="00813005" w:rsidRPr="00FB4380">
        <w:rPr>
          <w:rFonts w:asciiTheme="majorHAnsi" w:hAnsiTheme="majorHAnsi"/>
          <w:sz w:val="20"/>
          <w:szCs w:val="20"/>
          <w:lang w:val="es-VE"/>
        </w:rPr>
        <w:t xml:space="preserve"> </w:t>
      </w:r>
      <w:r w:rsidR="0032742E" w:rsidRPr="00FB4380">
        <w:rPr>
          <w:rFonts w:asciiTheme="majorHAnsi" w:hAnsiTheme="majorHAnsi"/>
          <w:sz w:val="20"/>
          <w:szCs w:val="20"/>
          <w:lang w:val="es-VE"/>
        </w:rPr>
        <w:t xml:space="preserve">por la alegada </w:t>
      </w:r>
      <w:r w:rsidR="00813005" w:rsidRPr="00FB4380">
        <w:rPr>
          <w:rFonts w:asciiTheme="majorHAnsi" w:hAnsiTheme="majorHAnsi"/>
          <w:sz w:val="20"/>
          <w:szCs w:val="20"/>
          <w:lang w:val="es-VE"/>
        </w:rPr>
        <w:t>vulneración de sus</w:t>
      </w:r>
      <w:r w:rsidR="008E2E59" w:rsidRPr="00FB4380">
        <w:rPr>
          <w:rFonts w:asciiTheme="majorHAnsi" w:hAnsiTheme="majorHAnsi"/>
          <w:sz w:val="20"/>
          <w:szCs w:val="20"/>
          <w:lang w:val="es-VE"/>
        </w:rPr>
        <w:t xml:space="preserve"> derechos a la</w:t>
      </w:r>
      <w:r w:rsidR="00813005" w:rsidRPr="00FB4380">
        <w:rPr>
          <w:rFonts w:asciiTheme="majorHAnsi" w:hAnsiTheme="majorHAnsi"/>
          <w:sz w:val="20"/>
          <w:szCs w:val="20"/>
          <w:lang w:val="es-VE"/>
        </w:rPr>
        <w:t xml:space="preserve"> protección y garantías judiciales.</w:t>
      </w:r>
      <w:r w:rsidR="008E2E59" w:rsidRPr="00FB4380">
        <w:rPr>
          <w:rFonts w:asciiTheme="majorHAnsi" w:hAnsiTheme="majorHAnsi"/>
          <w:sz w:val="20"/>
          <w:szCs w:val="20"/>
          <w:lang w:val="es-VE"/>
        </w:rPr>
        <w:t xml:space="preserve"> A</w:t>
      </w:r>
      <w:r w:rsidR="00E41912" w:rsidRPr="00FB4380">
        <w:rPr>
          <w:rFonts w:asciiTheme="majorHAnsi" w:hAnsiTheme="majorHAnsi"/>
          <w:sz w:val="20"/>
          <w:szCs w:val="20"/>
          <w:lang w:val="es-VE"/>
        </w:rPr>
        <w:t xml:space="preserve">simismo, el </w:t>
      </w:r>
      <w:r w:rsidR="00835116" w:rsidRPr="00FB4380">
        <w:rPr>
          <w:rFonts w:asciiTheme="majorHAnsi" w:hAnsiTheme="majorHAnsi"/>
          <w:sz w:val="20"/>
          <w:szCs w:val="20"/>
          <w:lang w:val="es-VE"/>
        </w:rPr>
        <w:t>9 de septiembre de 2003 la Comisión recibió otra petici</w:t>
      </w:r>
      <w:r w:rsidR="00727475" w:rsidRPr="00FB4380">
        <w:rPr>
          <w:rFonts w:asciiTheme="majorHAnsi" w:hAnsiTheme="majorHAnsi"/>
          <w:sz w:val="20"/>
          <w:szCs w:val="20"/>
          <w:lang w:val="es-VE"/>
        </w:rPr>
        <w:t xml:space="preserve">ón </w:t>
      </w:r>
      <w:r w:rsidR="00835116" w:rsidRPr="00FB4380">
        <w:rPr>
          <w:rFonts w:asciiTheme="majorHAnsi" w:hAnsiTheme="majorHAnsi"/>
          <w:sz w:val="20"/>
          <w:szCs w:val="20"/>
          <w:lang w:val="es-VE"/>
        </w:rPr>
        <w:t>sobre los mismos hechos, en l</w:t>
      </w:r>
      <w:r w:rsidR="00FC1EF5" w:rsidRPr="00FB4380">
        <w:rPr>
          <w:rFonts w:asciiTheme="majorHAnsi" w:hAnsiTheme="majorHAnsi"/>
          <w:sz w:val="20"/>
          <w:szCs w:val="20"/>
          <w:lang w:val="es-VE"/>
        </w:rPr>
        <w:t>as</w:t>
      </w:r>
      <w:r w:rsidR="00835116" w:rsidRPr="00FB4380">
        <w:rPr>
          <w:rFonts w:asciiTheme="majorHAnsi" w:hAnsiTheme="majorHAnsi"/>
          <w:sz w:val="20"/>
          <w:szCs w:val="20"/>
          <w:lang w:val="es-VE"/>
        </w:rPr>
        <w:t xml:space="preserve"> que se alegó las mismas vulneraciones en relación a otro grupo de presuntas víctimas</w:t>
      </w:r>
      <w:r w:rsidR="00727475" w:rsidRPr="00FB4380">
        <w:rPr>
          <w:rFonts w:asciiTheme="majorHAnsi" w:hAnsiTheme="majorHAnsi"/>
          <w:sz w:val="20"/>
          <w:szCs w:val="20"/>
          <w:lang w:val="es-VE"/>
        </w:rPr>
        <w:t xml:space="preserve"> la que fue identificada con el número 725-03</w:t>
      </w:r>
      <w:r w:rsidR="007A7F12" w:rsidRPr="00FB4380">
        <w:rPr>
          <w:rStyle w:val="FootnoteReference"/>
          <w:rFonts w:asciiTheme="majorHAnsi" w:hAnsiTheme="majorHAnsi"/>
          <w:sz w:val="20"/>
          <w:szCs w:val="20"/>
          <w:lang w:val="es-VE"/>
        </w:rPr>
        <w:footnoteReference w:id="3"/>
      </w:r>
      <w:r w:rsidR="00835116" w:rsidRPr="00FB4380">
        <w:rPr>
          <w:rFonts w:asciiTheme="majorHAnsi" w:hAnsiTheme="majorHAnsi"/>
          <w:sz w:val="20"/>
          <w:szCs w:val="20"/>
          <w:lang w:val="es-VE"/>
        </w:rPr>
        <w:t>.</w:t>
      </w:r>
    </w:p>
    <w:p w14:paraId="58F42634" w14:textId="77777777" w:rsidR="002F2C94" w:rsidRPr="00FB4380" w:rsidRDefault="002F2C94" w:rsidP="007C047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296A75BA" w14:textId="77777777" w:rsidR="009014A4" w:rsidRPr="00FB4380" w:rsidRDefault="00835116" w:rsidP="007C04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lang w:val="es-VE"/>
        </w:rPr>
      </w:pPr>
      <w:r w:rsidRPr="00FB4380">
        <w:rPr>
          <w:rFonts w:asciiTheme="majorHAnsi" w:hAnsiTheme="majorHAnsi"/>
          <w:sz w:val="20"/>
          <w:szCs w:val="20"/>
          <w:lang w:val="es-VE"/>
        </w:rPr>
        <w:t xml:space="preserve"> </w:t>
      </w:r>
      <w:r w:rsidR="003C053F" w:rsidRPr="00FB4380">
        <w:rPr>
          <w:rFonts w:asciiTheme="majorHAnsi" w:hAnsiTheme="majorHAnsi"/>
          <w:sz w:val="20"/>
          <w:szCs w:val="20"/>
          <w:lang w:val="es-VE"/>
        </w:rPr>
        <w:t xml:space="preserve">El 7 </w:t>
      </w:r>
      <w:r w:rsidR="00A47F90" w:rsidRPr="00FB4380">
        <w:rPr>
          <w:rFonts w:asciiTheme="majorHAnsi" w:hAnsiTheme="majorHAnsi"/>
          <w:sz w:val="20"/>
          <w:szCs w:val="20"/>
          <w:lang w:val="es-VE"/>
        </w:rPr>
        <w:t>de agosto de 2017 la CIDH notificó a las partes su decisión de acumulación de ambas peticiones según lo dispuesto en su artículo 29</w:t>
      </w:r>
      <w:r w:rsidR="007C5EBE" w:rsidRPr="00FB4380">
        <w:rPr>
          <w:rFonts w:asciiTheme="majorHAnsi" w:hAnsiTheme="majorHAnsi"/>
          <w:sz w:val="20"/>
          <w:szCs w:val="20"/>
          <w:lang w:val="es-VE"/>
        </w:rPr>
        <w:t>.5</w:t>
      </w:r>
      <w:r w:rsidR="00A47F90" w:rsidRPr="00FB4380">
        <w:rPr>
          <w:rFonts w:asciiTheme="majorHAnsi" w:hAnsiTheme="majorHAnsi"/>
          <w:sz w:val="20"/>
          <w:szCs w:val="20"/>
          <w:lang w:val="es-VE"/>
        </w:rPr>
        <w:t xml:space="preserve"> de su Reglamento, quedando identificadas bajo el número de caso de referencia del presente Informe</w:t>
      </w:r>
      <w:r w:rsidR="00BD20B8" w:rsidRPr="00FB4380">
        <w:rPr>
          <w:rStyle w:val="FootnoteReference"/>
          <w:rFonts w:asciiTheme="majorHAnsi" w:hAnsiTheme="majorHAnsi"/>
          <w:sz w:val="20"/>
          <w:szCs w:val="20"/>
          <w:lang w:val="es-VE"/>
        </w:rPr>
        <w:footnoteReference w:id="4"/>
      </w:r>
      <w:r w:rsidR="00A47F90" w:rsidRPr="00FB4380">
        <w:rPr>
          <w:rFonts w:asciiTheme="majorHAnsi" w:hAnsiTheme="majorHAnsi"/>
          <w:sz w:val="20"/>
          <w:szCs w:val="20"/>
          <w:lang w:val="es-VE"/>
        </w:rPr>
        <w:t xml:space="preserve">. </w:t>
      </w:r>
      <w:r w:rsidR="00A47F90" w:rsidRPr="00FB4380">
        <w:rPr>
          <w:rFonts w:asciiTheme="majorHAnsi" w:hAnsiTheme="majorHAnsi"/>
          <w:color w:val="000000" w:themeColor="text1"/>
          <w:sz w:val="20"/>
          <w:szCs w:val="20"/>
          <w:lang w:val="es-VE"/>
        </w:rPr>
        <w:t>E</w:t>
      </w:r>
      <w:r w:rsidR="000E0C8F" w:rsidRPr="00FB4380">
        <w:rPr>
          <w:rFonts w:asciiTheme="majorHAnsi" w:hAnsiTheme="majorHAnsi"/>
          <w:color w:val="000000" w:themeColor="text1"/>
          <w:sz w:val="20"/>
          <w:szCs w:val="20"/>
          <w:lang w:val="es-VE"/>
        </w:rPr>
        <w:t>n dicha ocasión</w:t>
      </w:r>
      <w:r w:rsidR="00A47F90" w:rsidRPr="00FB4380">
        <w:rPr>
          <w:rFonts w:asciiTheme="majorHAnsi" w:hAnsiTheme="majorHAnsi"/>
          <w:color w:val="000000" w:themeColor="text1"/>
          <w:sz w:val="20"/>
          <w:szCs w:val="20"/>
          <w:lang w:val="es-VE"/>
        </w:rPr>
        <w:t>, la Comisión también notificó a la</w:t>
      </w:r>
      <w:r w:rsidR="000E0C8F" w:rsidRPr="00FB4380">
        <w:rPr>
          <w:rFonts w:asciiTheme="majorHAnsi" w:hAnsiTheme="majorHAnsi"/>
          <w:color w:val="000000" w:themeColor="text1"/>
          <w:sz w:val="20"/>
          <w:szCs w:val="20"/>
          <w:lang w:val="es-VE"/>
        </w:rPr>
        <w:t>s</w:t>
      </w:r>
      <w:r w:rsidR="00A47F90" w:rsidRPr="00FB4380">
        <w:rPr>
          <w:rFonts w:asciiTheme="majorHAnsi" w:hAnsiTheme="majorHAnsi"/>
          <w:color w:val="000000" w:themeColor="text1"/>
          <w:sz w:val="20"/>
          <w:szCs w:val="20"/>
          <w:lang w:val="es-VE"/>
        </w:rPr>
        <w:t xml:space="preserve"> partes su decisión de </w:t>
      </w:r>
      <w:r w:rsidR="00337F01" w:rsidRPr="00FB4380">
        <w:rPr>
          <w:rFonts w:asciiTheme="majorHAnsi" w:hAnsiTheme="majorHAnsi"/>
          <w:color w:val="000000" w:themeColor="text1"/>
          <w:sz w:val="20"/>
          <w:szCs w:val="20"/>
          <w:lang w:val="es-VE"/>
        </w:rPr>
        <w:t xml:space="preserve">aplicar el artículo </w:t>
      </w:r>
      <w:r w:rsidR="00A47F90" w:rsidRPr="00FB4380">
        <w:rPr>
          <w:rFonts w:asciiTheme="majorHAnsi" w:hAnsiTheme="majorHAnsi"/>
          <w:color w:val="000000" w:themeColor="text1"/>
          <w:sz w:val="20"/>
          <w:szCs w:val="20"/>
          <w:lang w:val="es-VE"/>
        </w:rPr>
        <w:t xml:space="preserve">36.3 </w:t>
      </w:r>
      <w:r w:rsidR="00A47F90" w:rsidRPr="00FB4380">
        <w:rPr>
          <w:rFonts w:asciiTheme="majorHAnsi" w:hAnsiTheme="majorHAnsi"/>
          <w:sz w:val="20"/>
          <w:szCs w:val="20"/>
          <w:lang w:val="es-ES_tradnl"/>
        </w:rPr>
        <w:t xml:space="preserve">de su Reglamento en los términos de su Resolución 1/16 </w:t>
      </w:r>
      <w:r w:rsidR="00A47F90" w:rsidRPr="00FB4380">
        <w:rPr>
          <w:rFonts w:asciiTheme="majorHAnsi" w:hAnsiTheme="majorHAnsi"/>
          <w:i/>
          <w:sz w:val="20"/>
          <w:szCs w:val="20"/>
          <w:lang w:val="es-ES_tradnl"/>
        </w:rPr>
        <w:t xml:space="preserve">Medidas para </w:t>
      </w:r>
      <w:r w:rsidR="000E0C8F" w:rsidRPr="00FB4380">
        <w:rPr>
          <w:rFonts w:asciiTheme="majorHAnsi" w:hAnsiTheme="majorHAnsi"/>
          <w:i/>
          <w:sz w:val="20"/>
          <w:szCs w:val="20"/>
          <w:lang w:val="es-ES_tradnl"/>
        </w:rPr>
        <w:t>reducir el atraso procesal</w:t>
      </w:r>
      <w:r w:rsidR="00103D54" w:rsidRPr="00FB4380">
        <w:rPr>
          <w:rFonts w:asciiTheme="majorHAnsi" w:hAnsiTheme="majorHAnsi"/>
          <w:sz w:val="20"/>
          <w:szCs w:val="20"/>
          <w:lang w:val="es-ES_tradnl"/>
        </w:rPr>
        <w:t xml:space="preserve">. Por lo tanto, la CIDH determinó diferir el tratamiento de admisibilidad al de fondo del asunto. </w:t>
      </w:r>
      <w:r w:rsidR="009014A4" w:rsidRPr="00FB4380">
        <w:rPr>
          <w:rFonts w:asciiTheme="majorHAnsi" w:hAnsiTheme="majorHAnsi"/>
          <w:sz w:val="20"/>
          <w:szCs w:val="20"/>
          <w:lang w:val="es-ES_tradnl"/>
        </w:rPr>
        <w:t>Las partes contaron con los plazos reglamentarios para presentar sus observaciones sobre el</w:t>
      </w:r>
      <w:r w:rsidR="000E0C8F" w:rsidRPr="00FB4380">
        <w:rPr>
          <w:rFonts w:asciiTheme="majorHAnsi" w:hAnsiTheme="majorHAnsi"/>
          <w:sz w:val="20"/>
          <w:szCs w:val="20"/>
          <w:lang w:val="es-ES_tradnl"/>
        </w:rPr>
        <w:t xml:space="preserve"> caso</w:t>
      </w:r>
      <w:r w:rsidR="009014A4" w:rsidRPr="00FB4380">
        <w:rPr>
          <w:rFonts w:asciiTheme="majorHAnsi" w:hAnsiTheme="majorHAnsi"/>
          <w:sz w:val="20"/>
          <w:szCs w:val="20"/>
          <w:lang w:val="es-ES_tradnl"/>
        </w:rPr>
        <w:t>.</w:t>
      </w:r>
      <w:r w:rsidR="000E0C8F" w:rsidRPr="00FB4380">
        <w:rPr>
          <w:rFonts w:asciiTheme="majorHAnsi" w:hAnsiTheme="majorHAnsi"/>
          <w:sz w:val="20"/>
          <w:szCs w:val="20"/>
          <w:lang w:val="es-ES_tradnl"/>
        </w:rPr>
        <w:t xml:space="preserve"> </w:t>
      </w:r>
      <w:r w:rsidR="009014A4" w:rsidRPr="00FB4380">
        <w:rPr>
          <w:rFonts w:asciiTheme="majorHAnsi" w:hAnsiTheme="majorHAnsi"/>
          <w:sz w:val="20"/>
          <w:szCs w:val="20"/>
          <w:lang w:val="es-ES_tradnl"/>
        </w:rPr>
        <w:t xml:space="preserve">Toda la información recibida fue debidamente trasladada entre las partes. </w:t>
      </w:r>
    </w:p>
    <w:p w14:paraId="74333C6E" w14:textId="77777777" w:rsidR="009014A4" w:rsidRPr="00FB4380" w:rsidRDefault="009014A4" w:rsidP="007C047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VE"/>
        </w:rPr>
      </w:pPr>
    </w:p>
    <w:p w14:paraId="6CA23C52" w14:textId="77777777" w:rsidR="00D12193" w:rsidRPr="00FB4380" w:rsidRDefault="00D12193" w:rsidP="005777B2">
      <w:pPr>
        <w:pStyle w:val="Heading1"/>
        <w:ind w:left="720" w:hanging="720"/>
      </w:pPr>
      <w:bookmarkStart w:id="3" w:name="_Toc5358711"/>
      <w:r w:rsidRPr="00FB4380">
        <w:t>ALEGATOS DE LAS PARTES</w:t>
      </w:r>
      <w:bookmarkEnd w:id="3"/>
    </w:p>
    <w:p w14:paraId="26F11971" w14:textId="77777777" w:rsidR="0008768F" w:rsidRPr="00FB4380" w:rsidRDefault="0008768F" w:rsidP="007C047E">
      <w:pPr>
        <w:suppressAutoHyphens/>
        <w:rPr>
          <w:rFonts w:asciiTheme="majorHAnsi" w:hAnsiTheme="majorHAnsi"/>
          <w:sz w:val="20"/>
          <w:szCs w:val="20"/>
          <w:lang w:val="es-ES_tradnl"/>
        </w:rPr>
      </w:pPr>
    </w:p>
    <w:p w14:paraId="0A69BD13" w14:textId="77777777" w:rsidR="00D12193" w:rsidRPr="007C047E" w:rsidRDefault="0022273F" w:rsidP="007C047E">
      <w:pPr>
        <w:pStyle w:val="Heading2"/>
      </w:pPr>
      <w:bookmarkStart w:id="4" w:name="_Toc5358712"/>
      <w:r w:rsidRPr="007C047E">
        <w:t>Parte peticionaria</w:t>
      </w:r>
      <w:bookmarkEnd w:id="4"/>
      <w:r w:rsidRPr="007C047E">
        <w:t xml:space="preserve"> </w:t>
      </w:r>
    </w:p>
    <w:p w14:paraId="15873E26" w14:textId="77777777" w:rsidR="00361415" w:rsidRPr="00FB4380" w:rsidRDefault="00361415" w:rsidP="007C047E">
      <w:pPr>
        <w:suppressAutoHyphens/>
        <w:rPr>
          <w:rFonts w:asciiTheme="majorHAnsi" w:hAnsiTheme="majorHAnsi"/>
          <w:sz w:val="20"/>
          <w:szCs w:val="20"/>
          <w:lang w:val="es-ES_tradnl"/>
        </w:rPr>
      </w:pPr>
    </w:p>
    <w:p w14:paraId="2DF3783E" w14:textId="4AD2AD4C" w:rsidR="00B918E1" w:rsidRPr="00FE524A" w:rsidRDefault="001954DA" w:rsidP="007C04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lang w:val="es-VE"/>
        </w:rPr>
      </w:pPr>
      <w:r>
        <w:rPr>
          <w:rFonts w:asciiTheme="majorHAnsi" w:hAnsiTheme="majorHAnsi"/>
          <w:color w:val="000000" w:themeColor="text1"/>
          <w:sz w:val="20"/>
          <w:szCs w:val="20"/>
          <w:lang w:val="es-VE"/>
        </w:rPr>
        <w:t>La parte peticionaria alegó</w:t>
      </w:r>
      <w:r w:rsidR="00720B69" w:rsidRPr="00FB4380">
        <w:rPr>
          <w:rFonts w:asciiTheme="majorHAnsi" w:hAnsiTheme="majorHAnsi"/>
          <w:color w:val="000000" w:themeColor="text1"/>
          <w:sz w:val="20"/>
          <w:szCs w:val="20"/>
          <w:lang w:val="es-VE"/>
        </w:rPr>
        <w:t xml:space="preserve"> que las presuntas víctimas fueron trabajador</w:t>
      </w:r>
      <w:r w:rsidR="00BD20B8" w:rsidRPr="00FB4380">
        <w:rPr>
          <w:rFonts w:asciiTheme="majorHAnsi" w:hAnsiTheme="majorHAnsi"/>
          <w:color w:val="000000" w:themeColor="text1"/>
          <w:sz w:val="20"/>
          <w:szCs w:val="20"/>
          <w:lang w:val="es-VE"/>
        </w:rPr>
        <w:t>a</w:t>
      </w:r>
      <w:r w:rsidR="00720B69" w:rsidRPr="00FB4380">
        <w:rPr>
          <w:rFonts w:asciiTheme="majorHAnsi" w:hAnsiTheme="majorHAnsi"/>
          <w:color w:val="000000" w:themeColor="text1"/>
          <w:sz w:val="20"/>
          <w:szCs w:val="20"/>
          <w:lang w:val="es-VE"/>
        </w:rPr>
        <w:t>s del Congreso de la República</w:t>
      </w:r>
      <w:r w:rsidR="00373805" w:rsidRPr="00FB4380">
        <w:rPr>
          <w:rFonts w:asciiTheme="majorHAnsi" w:hAnsiTheme="majorHAnsi"/>
          <w:color w:val="000000" w:themeColor="text1"/>
          <w:sz w:val="20"/>
          <w:szCs w:val="20"/>
          <w:lang w:val="es-VE"/>
        </w:rPr>
        <w:t xml:space="preserve"> (en adelante “el Congreso”)</w:t>
      </w:r>
      <w:r w:rsidR="00720B69" w:rsidRPr="00FB4380">
        <w:rPr>
          <w:rFonts w:asciiTheme="majorHAnsi" w:hAnsiTheme="majorHAnsi"/>
          <w:color w:val="000000" w:themeColor="text1"/>
          <w:sz w:val="20"/>
          <w:szCs w:val="20"/>
          <w:lang w:val="es-VE"/>
        </w:rPr>
        <w:t xml:space="preserve"> cesados irregularmente en el marco del programa de “racionalización de personal” ejecu</w:t>
      </w:r>
      <w:r w:rsidR="004F522D">
        <w:rPr>
          <w:rFonts w:asciiTheme="majorHAnsi" w:hAnsiTheme="majorHAnsi"/>
          <w:color w:val="000000" w:themeColor="text1"/>
          <w:sz w:val="20"/>
          <w:szCs w:val="20"/>
          <w:lang w:val="es-VE"/>
        </w:rPr>
        <w:t>tado durante el ré</w:t>
      </w:r>
      <w:r>
        <w:rPr>
          <w:rFonts w:asciiTheme="majorHAnsi" w:hAnsiTheme="majorHAnsi"/>
          <w:color w:val="000000" w:themeColor="text1"/>
          <w:sz w:val="20"/>
          <w:szCs w:val="20"/>
          <w:lang w:val="es-VE"/>
        </w:rPr>
        <w:t xml:space="preserve">gimen </w:t>
      </w:r>
      <w:r w:rsidR="00720B69" w:rsidRPr="00FB4380">
        <w:rPr>
          <w:rFonts w:asciiTheme="majorHAnsi" w:hAnsiTheme="majorHAnsi"/>
          <w:color w:val="000000" w:themeColor="text1"/>
          <w:sz w:val="20"/>
          <w:szCs w:val="20"/>
          <w:lang w:val="es-VE"/>
        </w:rPr>
        <w:t xml:space="preserve">del expresidente Alberto Fujimori. </w:t>
      </w:r>
      <w:r w:rsidR="00095160" w:rsidRPr="00FB4380">
        <w:rPr>
          <w:rFonts w:asciiTheme="majorHAnsi" w:hAnsiTheme="majorHAnsi"/>
          <w:color w:val="000000" w:themeColor="text1"/>
          <w:sz w:val="20"/>
          <w:szCs w:val="20"/>
          <w:lang w:val="es-VE"/>
        </w:rPr>
        <w:t xml:space="preserve">Según su relato, </w:t>
      </w:r>
      <w:r>
        <w:rPr>
          <w:rFonts w:asciiTheme="majorHAnsi" w:hAnsiTheme="majorHAnsi"/>
          <w:color w:val="000000" w:themeColor="text1"/>
          <w:sz w:val="20"/>
          <w:szCs w:val="20"/>
          <w:lang w:val="es-VE"/>
        </w:rPr>
        <w:t>dicho</w:t>
      </w:r>
      <w:r w:rsidR="00095160" w:rsidRPr="00FB4380">
        <w:rPr>
          <w:rFonts w:asciiTheme="majorHAnsi" w:hAnsiTheme="majorHAnsi"/>
          <w:color w:val="000000" w:themeColor="text1"/>
          <w:sz w:val="20"/>
          <w:szCs w:val="20"/>
          <w:lang w:val="es-VE"/>
        </w:rPr>
        <w:t xml:space="preserve"> p</w:t>
      </w:r>
      <w:r>
        <w:rPr>
          <w:rFonts w:asciiTheme="majorHAnsi" w:hAnsiTheme="majorHAnsi"/>
          <w:color w:val="000000" w:themeColor="text1"/>
          <w:sz w:val="20"/>
          <w:szCs w:val="20"/>
          <w:lang w:val="es-VE"/>
        </w:rPr>
        <w:t xml:space="preserve">rograma se ejecutó en medio de </w:t>
      </w:r>
      <w:r w:rsidR="00095160" w:rsidRPr="00FB4380">
        <w:rPr>
          <w:rFonts w:asciiTheme="majorHAnsi" w:hAnsiTheme="majorHAnsi"/>
          <w:color w:val="000000" w:themeColor="text1"/>
          <w:sz w:val="20"/>
          <w:szCs w:val="20"/>
          <w:lang w:val="es-VE"/>
        </w:rPr>
        <w:t>cuestionamiento</w:t>
      </w:r>
      <w:r>
        <w:rPr>
          <w:rFonts w:asciiTheme="majorHAnsi" w:hAnsiTheme="majorHAnsi"/>
          <w:color w:val="000000" w:themeColor="text1"/>
          <w:sz w:val="20"/>
          <w:szCs w:val="20"/>
          <w:lang w:val="es-VE"/>
        </w:rPr>
        <w:t xml:space="preserve">s, </w:t>
      </w:r>
      <w:r w:rsidRPr="00FB4380">
        <w:rPr>
          <w:rFonts w:asciiTheme="majorHAnsi" w:hAnsiTheme="majorHAnsi"/>
          <w:color w:val="000000" w:themeColor="text1"/>
          <w:sz w:val="20"/>
          <w:szCs w:val="20"/>
          <w:lang w:val="es-VE"/>
        </w:rPr>
        <w:t>los exámenes para permanecer en el cargo</w:t>
      </w:r>
      <w:r>
        <w:rPr>
          <w:rFonts w:asciiTheme="majorHAnsi" w:hAnsiTheme="majorHAnsi"/>
          <w:color w:val="000000" w:themeColor="text1"/>
          <w:sz w:val="20"/>
          <w:szCs w:val="20"/>
          <w:lang w:val="es-VE"/>
        </w:rPr>
        <w:t xml:space="preserve"> fueron anulados por situaciones de corrupción</w:t>
      </w:r>
      <w:r w:rsidR="00095160" w:rsidRPr="00FB4380">
        <w:rPr>
          <w:rFonts w:asciiTheme="majorHAnsi" w:hAnsiTheme="majorHAnsi"/>
          <w:color w:val="000000" w:themeColor="text1"/>
          <w:sz w:val="20"/>
          <w:szCs w:val="20"/>
          <w:lang w:val="es-VE"/>
        </w:rPr>
        <w:t xml:space="preserve">, fue conducido por autoridades sin competencias </w:t>
      </w:r>
      <w:r>
        <w:rPr>
          <w:rFonts w:asciiTheme="majorHAnsi" w:hAnsiTheme="majorHAnsi"/>
          <w:color w:val="000000" w:themeColor="text1"/>
          <w:sz w:val="20"/>
          <w:szCs w:val="20"/>
          <w:lang w:val="es-VE"/>
        </w:rPr>
        <w:t xml:space="preserve">legales señalando, </w:t>
      </w:r>
      <w:r w:rsidR="00095160" w:rsidRPr="00FB4380">
        <w:rPr>
          <w:rFonts w:asciiTheme="majorHAnsi" w:hAnsiTheme="majorHAnsi"/>
          <w:color w:val="000000" w:themeColor="text1"/>
          <w:sz w:val="20"/>
          <w:szCs w:val="20"/>
          <w:lang w:val="es-VE"/>
        </w:rPr>
        <w:t xml:space="preserve">por </w:t>
      </w:r>
      <w:r>
        <w:rPr>
          <w:rFonts w:asciiTheme="majorHAnsi" w:hAnsiTheme="majorHAnsi"/>
          <w:color w:val="000000" w:themeColor="text1"/>
          <w:sz w:val="20"/>
          <w:szCs w:val="20"/>
          <w:lang w:val="es-VE"/>
        </w:rPr>
        <w:t xml:space="preserve">ende, </w:t>
      </w:r>
      <w:r w:rsidR="00095160" w:rsidRPr="00FB4380">
        <w:rPr>
          <w:rFonts w:asciiTheme="majorHAnsi" w:hAnsiTheme="majorHAnsi"/>
          <w:color w:val="000000" w:themeColor="text1"/>
          <w:sz w:val="20"/>
          <w:szCs w:val="20"/>
          <w:lang w:val="es-VE"/>
        </w:rPr>
        <w:t xml:space="preserve">que </w:t>
      </w:r>
      <w:r>
        <w:rPr>
          <w:rFonts w:asciiTheme="majorHAnsi" w:hAnsiTheme="majorHAnsi"/>
          <w:color w:val="000000" w:themeColor="text1"/>
          <w:sz w:val="20"/>
          <w:szCs w:val="20"/>
          <w:lang w:val="es-VE"/>
        </w:rPr>
        <w:t xml:space="preserve">todos sus actos en el marco de dicho programa resultaron nulos. </w:t>
      </w:r>
      <w:r w:rsidR="001D3307">
        <w:rPr>
          <w:rFonts w:asciiTheme="majorHAnsi" w:hAnsiTheme="majorHAnsi"/>
          <w:color w:val="000000" w:themeColor="text1"/>
          <w:sz w:val="20"/>
          <w:szCs w:val="20"/>
          <w:lang w:val="es-VE"/>
        </w:rPr>
        <w:t xml:space="preserve">Al finalizar su conducción, el programa de racionalización concluyó </w:t>
      </w:r>
      <w:r w:rsidR="00095160" w:rsidRPr="00FB4380">
        <w:rPr>
          <w:rFonts w:asciiTheme="majorHAnsi" w:hAnsiTheme="majorHAnsi"/>
          <w:color w:val="000000" w:themeColor="text1"/>
          <w:sz w:val="20"/>
          <w:szCs w:val="20"/>
          <w:lang w:val="es-VE"/>
        </w:rPr>
        <w:t xml:space="preserve">con el cese de 1,117 trabajadores el 31 de diciembre de 1992. Asimismo, </w:t>
      </w:r>
      <w:r w:rsidR="001D3307">
        <w:rPr>
          <w:rFonts w:asciiTheme="majorHAnsi" w:hAnsiTheme="majorHAnsi"/>
          <w:color w:val="000000" w:themeColor="text1"/>
          <w:sz w:val="20"/>
          <w:szCs w:val="20"/>
          <w:lang w:val="es-VE"/>
        </w:rPr>
        <w:t>indicó</w:t>
      </w:r>
      <w:r w:rsidR="00095160" w:rsidRPr="00FB4380">
        <w:rPr>
          <w:rFonts w:asciiTheme="majorHAnsi" w:hAnsiTheme="majorHAnsi"/>
          <w:color w:val="000000" w:themeColor="text1"/>
          <w:sz w:val="20"/>
          <w:szCs w:val="20"/>
          <w:lang w:val="es-VE"/>
        </w:rPr>
        <w:t xml:space="preserve"> que mediante los artículos 9 del Decreto Ley No. 25640 y 27 de la Resolución 1239-A-92-CACL el Estado estableció la prohibición de interponer acciones de amparo </w:t>
      </w:r>
      <w:r w:rsidR="0099117A" w:rsidRPr="00FB4380">
        <w:rPr>
          <w:rFonts w:asciiTheme="majorHAnsi" w:hAnsiTheme="majorHAnsi"/>
          <w:color w:val="000000" w:themeColor="text1"/>
          <w:sz w:val="20"/>
          <w:szCs w:val="20"/>
          <w:lang w:val="es-VE"/>
        </w:rPr>
        <w:t xml:space="preserve">o de tipo administrativo </w:t>
      </w:r>
      <w:r w:rsidR="00095160" w:rsidRPr="00FB4380">
        <w:rPr>
          <w:rFonts w:asciiTheme="majorHAnsi" w:hAnsiTheme="majorHAnsi"/>
          <w:color w:val="000000" w:themeColor="text1"/>
          <w:sz w:val="20"/>
          <w:szCs w:val="20"/>
          <w:lang w:val="es-VE"/>
        </w:rPr>
        <w:t>para cuestionar</w:t>
      </w:r>
      <w:r w:rsidR="0099117A" w:rsidRPr="00FB4380">
        <w:rPr>
          <w:rFonts w:asciiTheme="majorHAnsi" w:hAnsiTheme="majorHAnsi"/>
          <w:color w:val="000000" w:themeColor="text1"/>
          <w:sz w:val="20"/>
          <w:szCs w:val="20"/>
          <w:lang w:val="es-VE"/>
        </w:rPr>
        <w:t xml:space="preserve"> las desvinculaciones laborales. Pese a la prohibición, algunas presuntas víctimas interpusieron recursos administrativos</w:t>
      </w:r>
      <w:r w:rsidR="00447860" w:rsidRPr="00FB4380">
        <w:rPr>
          <w:rFonts w:asciiTheme="majorHAnsi" w:hAnsiTheme="majorHAnsi"/>
          <w:color w:val="000000" w:themeColor="text1"/>
          <w:sz w:val="20"/>
          <w:szCs w:val="20"/>
          <w:lang w:val="es-VE"/>
        </w:rPr>
        <w:t xml:space="preserve"> y judiciales</w:t>
      </w:r>
      <w:r w:rsidR="0099117A" w:rsidRPr="00FB4380">
        <w:rPr>
          <w:rFonts w:asciiTheme="majorHAnsi" w:hAnsiTheme="majorHAnsi"/>
          <w:color w:val="000000" w:themeColor="text1"/>
          <w:sz w:val="20"/>
          <w:szCs w:val="20"/>
          <w:lang w:val="es-VE"/>
        </w:rPr>
        <w:t xml:space="preserve">, los que fueron declarados improcedentes. </w:t>
      </w:r>
    </w:p>
    <w:p w14:paraId="07B2FC4A" w14:textId="24A441EC" w:rsidR="00FE524A" w:rsidRDefault="00FE524A" w:rsidP="007C047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4C81BC4C" w14:textId="06069E4D" w:rsidR="00FE524A" w:rsidRDefault="00FE524A" w:rsidP="007C047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r>
        <w:rPr>
          <w:rFonts w:asciiTheme="majorHAnsi" w:hAnsiTheme="majorHAnsi"/>
          <w:color w:val="000000" w:themeColor="text1"/>
          <w:sz w:val="20"/>
          <w:szCs w:val="20"/>
          <w:lang w:val="es-VE"/>
        </w:rPr>
        <w:t>1168 era el total de la 11.602, pero la A solo consideró a 85.</w:t>
      </w:r>
    </w:p>
    <w:p w14:paraId="4D473AD9" w14:textId="37752A0E" w:rsidR="00FE524A" w:rsidRDefault="00FE524A" w:rsidP="007C047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24DB2977" w14:textId="77777777" w:rsidR="00FE524A" w:rsidRPr="00FB4380" w:rsidRDefault="00FE524A" w:rsidP="007C047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7058B638" w14:textId="77777777" w:rsidR="00B918E1" w:rsidRPr="00FB4380" w:rsidRDefault="00B918E1" w:rsidP="007C04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lang w:val="es-VE"/>
        </w:rPr>
      </w:pPr>
      <w:r w:rsidRPr="00FB4380">
        <w:rPr>
          <w:rFonts w:asciiTheme="majorHAnsi" w:hAnsiTheme="majorHAnsi"/>
          <w:color w:val="000000" w:themeColor="text1"/>
          <w:sz w:val="20"/>
          <w:szCs w:val="20"/>
          <w:lang w:val="es-VE"/>
        </w:rPr>
        <w:t xml:space="preserve">En relación con la identificación de las víctimas, la parte peticionaria remitió diversas listas durante el trámite de la petición. El 23 de junio de 2016 la parte peticionaria envió una lista consolidada de 166 presuntas víctimas, a las que deben ser sumadas la lista de 20 personas relacionadas al caso a través de la acumulación de la petición 725-03. Finalmente, el 10 de septiembre de 2016, la parte peticionaria incorporó seis presuntas víctimas más al caso. </w:t>
      </w:r>
    </w:p>
    <w:p w14:paraId="188E1708" w14:textId="77777777" w:rsidR="0099117A" w:rsidRPr="00FB4380" w:rsidRDefault="0099117A" w:rsidP="007C047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1E164BCD" w14:textId="77777777" w:rsidR="000F68D9" w:rsidRPr="00FB4380" w:rsidRDefault="00A5396D" w:rsidP="007C04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lang w:val="es-VE"/>
        </w:rPr>
      </w:pPr>
      <w:r w:rsidRPr="00FB4380">
        <w:rPr>
          <w:rFonts w:asciiTheme="majorHAnsi" w:hAnsiTheme="majorHAnsi"/>
          <w:color w:val="000000" w:themeColor="text1"/>
          <w:sz w:val="20"/>
          <w:szCs w:val="20"/>
          <w:lang w:val="es-VE"/>
        </w:rPr>
        <w:t>En</w:t>
      </w:r>
      <w:r w:rsidR="000F68D9" w:rsidRPr="00FB4380">
        <w:rPr>
          <w:rFonts w:asciiTheme="majorHAnsi" w:hAnsiTheme="majorHAnsi"/>
          <w:color w:val="000000" w:themeColor="text1"/>
          <w:sz w:val="20"/>
          <w:szCs w:val="20"/>
          <w:lang w:val="es-VE"/>
        </w:rPr>
        <w:t xml:space="preserve"> relación con las presuntas víctimas identificadas en la petición 725-03 la parte peticionaria indicó que</w:t>
      </w:r>
      <w:r w:rsidR="006A08FD" w:rsidRPr="00FB4380">
        <w:rPr>
          <w:rFonts w:asciiTheme="majorHAnsi" w:hAnsiTheme="majorHAnsi"/>
          <w:color w:val="000000" w:themeColor="text1"/>
          <w:sz w:val="20"/>
          <w:szCs w:val="20"/>
          <w:lang w:val="es-VE"/>
        </w:rPr>
        <w:t>, en términos de agotamiento,</w:t>
      </w:r>
      <w:r w:rsidR="000F68D9" w:rsidRPr="00FB4380">
        <w:rPr>
          <w:rFonts w:asciiTheme="majorHAnsi" w:hAnsiTheme="majorHAnsi"/>
          <w:color w:val="000000" w:themeColor="text1"/>
          <w:sz w:val="20"/>
          <w:szCs w:val="20"/>
          <w:lang w:val="es-VE"/>
        </w:rPr>
        <w:t xml:space="preserve"> interpusieron una acción de amparo </w:t>
      </w:r>
      <w:r w:rsidR="006A08FD" w:rsidRPr="00FB4380">
        <w:rPr>
          <w:rFonts w:asciiTheme="majorHAnsi" w:hAnsiTheme="majorHAnsi"/>
          <w:color w:val="000000" w:themeColor="text1"/>
          <w:sz w:val="20"/>
          <w:szCs w:val="20"/>
          <w:lang w:val="es-VE"/>
        </w:rPr>
        <w:t>solicitando que se dej</w:t>
      </w:r>
      <w:r w:rsidR="00051767" w:rsidRPr="00FB4380">
        <w:rPr>
          <w:rFonts w:asciiTheme="majorHAnsi" w:hAnsiTheme="majorHAnsi"/>
          <w:color w:val="000000" w:themeColor="text1"/>
          <w:sz w:val="20"/>
          <w:szCs w:val="20"/>
          <w:lang w:val="es-VE"/>
        </w:rPr>
        <w:t>e</w:t>
      </w:r>
      <w:r w:rsidR="006A08FD" w:rsidRPr="00FB4380">
        <w:rPr>
          <w:rFonts w:asciiTheme="majorHAnsi" w:hAnsiTheme="majorHAnsi"/>
          <w:color w:val="000000" w:themeColor="text1"/>
          <w:sz w:val="20"/>
          <w:szCs w:val="20"/>
          <w:lang w:val="es-VE"/>
        </w:rPr>
        <w:t xml:space="preserve"> sin efecto la resolución suprema </w:t>
      </w:r>
      <w:r w:rsidRPr="00FB4380">
        <w:rPr>
          <w:rFonts w:asciiTheme="majorHAnsi" w:hAnsiTheme="majorHAnsi"/>
          <w:color w:val="000000" w:themeColor="text1"/>
          <w:sz w:val="20"/>
          <w:szCs w:val="20"/>
          <w:lang w:val="es-VE"/>
        </w:rPr>
        <w:t xml:space="preserve">que terminó su vinculación laboral con el Congreso. En última instancia, el caso llegó a conocimiento del Tribunal Constitucional, el que resolvió que el caso era improcedente, el 6 de diciembre de 2002, dado que esta temática ya había sido resuelta a través del expediente No. 0338-1996-AA/TC, de 24 de </w:t>
      </w:r>
      <w:r w:rsidRPr="00FB4380">
        <w:rPr>
          <w:rFonts w:asciiTheme="majorHAnsi" w:hAnsiTheme="majorHAnsi"/>
          <w:color w:val="000000" w:themeColor="text1"/>
          <w:sz w:val="20"/>
          <w:szCs w:val="20"/>
          <w:lang w:val="es-VE"/>
        </w:rPr>
        <w:lastRenderedPageBreak/>
        <w:t xml:space="preserve">noviembre de 1997, reiterando su jurisprudencia en relación a que el daño había devenido en irreparable por lo que la acción de amparo </w:t>
      </w:r>
      <w:r w:rsidR="008E4CA0" w:rsidRPr="00FB4380">
        <w:rPr>
          <w:rFonts w:asciiTheme="majorHAnsi" w:hAnsiTheme="majorHAnsi"/>
          <w:color w:val="000000" w:themeColor="text1"/>
          <w:sz w:val="20"/>
          <w:szCs w:val="20"/>
          <w:lang w:val="es-VE"/>
        </w:rPr>
        <w:t>no era</w:t>
      </w:r>
      <w:r w:rsidRPr="00FB4380">
        <w:rPr>
          <w:rFonts w:asciiTheme="majorHAnsi" w:hAnsiTheme="majorHAnsi"/>
          <w:color w:val="000000" w:themeColor="text1"/>
          <w:sz w:val="20"/>
          <w:szCs w:val="20"/>
          <w:lang w:val="es-VE"/>
        </w:rPr>
        <w:t xml:space="preserve"> la vía idónea. </w:t>
      </w:r>
    </w:p>
    <w:p w14:paraId="5866AC4C" w14:textId="77777777" w:rsidR="00447860" w:rsidRPr="00FB4380" w:rsidRDefault="00447860" w:rsidP="007C047E">
      <w:pPr>
        <w:pStyle w:val="ListParagraph"/>
        <w:ind w:left="0"/>
        <w:rPr>
          <w:rFonts w:asciiTheme="majorHAnsi" w:hAnsiTheme="majorHAnsi"/>
          <w:color w:val="000000" w:themeColor="text1"/>
          <w:sz w:val="20"/>
          <w:szCs w:val="20"/>
          <w:lang w:val="es-VE"/>
        </w:rPr>
      </w:pPr>
    </w:p>
    <w:p w14:paraId="75ECBB9E" w14:textId="77777777" w:rsidR="00B73CDF" w:rsidRPr="00FB4380" w:rsidRDefault="00A5396D" w:rsidP="007C04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lang w:val="es-VE"/>
        </w:rPr>
      </w:pPr>
      <w:r w:rsidRPr="00FB4380">
        <w:rPr>
          <w:rFonts w:asciiTheme="majorHAnsi" w:hAnsiTheme="majorHAnsi"/>
          <w:color w:val="000000" w:themeColor="text1"/>
          <w:sz w:val="20"/>
          <w:szCs w:val="20"/>
          <w:lang w:val="es-VE"/>
        </w:rPr>
        <w:t xml:space="preserve">Del mismo modo, </w:t>
      </w:r>
      <w:r w:rsidR="00447860" w:rsidRPr="00FB4380">
        <w:rPr>
          <w:rFonts w:asciiTheme="majorHAnsi" w:hAnsiTheme="majorHAnsi"/>
          <w:color w:val="000000" w:themeColor="text1"/>
          <w:sz w:val="20"/>
          <w:szCs w:val="20"/>
          <w:lang w:val="es-VE"/>
        </w:rPr>
        <w:t xml:space="preserve">en relación con las presuntas víctimas identificadas en la petición de 728-00 la parte peticionaria indicó que </w:t>
      </w:r>
      <w:r w:rsidR="00B73CDF" w:rsidRPr="00FB4380">
        <w:rPr>
          <w:rFonts w:asciiTheme="majorHAnsi" w:hAnsiTheme="majorHAnsi"/>
          <w:color w:val="000000" w:themeColor="text1"/>
          <w:sz w:val="20"/>
          <w:szCs w:val="20"/>
          <w:lang w:val="es-VE"/>
        </w:rPr>
        <w:t>algunas accedieron a las medidas de reparación para cesados irregularmente ofrecidas</w:t>
      </w:r>
      <w:r w:rsidR="00677C9E" w:rsidRPr="00FB4380">
        <w:rPr>
          <w:rFonts w:asciiTheme="majorHAnsi" w:hAnsiTheme="majorHAnsi"/>
          <w:color w:val="000000" w:themeColor="text1"/>
          <w:sz w:val="20"/>
          <w:szCs w:val="20"/>
          <w:lang w:val="es-VE"/>
        </w:rPr>
        <w:t xml:space="preserve"> por el Estado a través de las L</w:t>
      </w:r>
      <w:r w:rsidR="00B73CDF" w:rsidRPr="00FB4380">
        <w:rPr>
          <w:rFonts w:asciiTheme="majorHAnsi" w:hAnsiTheme="majorHAnsi"/>
          <w:color w:val="000000" w:themeColor="text1"/>
          <w:sz w:val="20"/>
          <w:szCs w:val="20"/>
          <w:lang w:val="es-VE"/>
        </w:rPr>
        <w:t xml:space="preserve">eyes 27452, 27586 y 27803. Indicó que otro grupo logró </w:t>
      </w:r>
      <w:r w:rsidR="00497C59" w:rsidRPr="00FB4380">
        <w:rPr>
          <w:rFonts w:asciiTheme="majorHAnsi" w:hAnsiTheme="majorHAnsi"/>
          <w:color w:val="000000" w:themeColor="text1"/>
          <w:sz w:val="20"/>
          <w:szCs w:val="20"/>
          <w:lang w:val="es-VE"/>
        </w:rPr>
        <w:t>acceder</w:t>
      </w:r>
      <w:r w:rsidR="00B73CDF" w:rsidRPr="00FB4380">
        <w:rPr>
          <w:rFonts w:asciiTheme="majorHAnsi" w:hAnsiTheme="majorHAnsi"/>
          <w:color w:val="000000" w:themeColor="text1"/>
          <w:sz w:val="20"/>
          <w:szCs w:val="20"/>
          <w:lang w:val="es-VE"/>
        </w:rPr>
        <w:t xml:space="preserve"> a dichas medidas de reparación a través de procesos judiciales. Finalmente, señaló que un grupo </w:t>
      </w:r>
      <w:r w:rsidR="00497C59" w:rsidRPr="00FB4380">
        <w:rPr>
          <w:rFonts w:asciiTheme="majorHAnsi" w:hAnsiTheme="majorHAnsi"/>
          <w:color w:val="000000" w:themeColor="text1"/>
          <w:sz w:val="20"/>
          <w:szCs w:val="20"/>
          <w:lang w:val="es-VE"/>
        </w:rPr>
        <w:t>no logró acced</w:t>
      </w:r>
      <w:r w:rsidR="00677C9E" w:rsidRPr="00FB4380">
        <w:rPr>
          <w:rFonts w:asciiTheme="majorHAnsi" w:hAnsiTheme="majorHAnsi"/>
          <w:color w:val="000000" w:themeColor="text1"/>
          <w:sz w:val="20"/>
          <w:szCs w:val="20"/>
          <w:lang w:val="es-VE"/>
        </w:rPr>
        <w:t xml:space="preserve">er a ningún tipo de beneficio. </w:t>
      </w:r>
    </w:p>
    <w:p w14:paraId="15E69EB4" w14:textId="77777777" w:rsidR="00B73CDF" w:rsidRPr="00FB4380" w:rsidRDefault="00B73CDF" w:rsidP="007C047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4B630E12" w14:textId="5272272B" w:rsidR="00AE446C" w:rsidRPr="00FB4380" w:rsidRDefault="00A5396D" w:rsidP="007C04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lang w:val="es-VE"/>
        </w:rPr>
      </w:pPr>
      <w:r w:rsidRPr="00FB4380">
        <w:rPr>
          <w:rFonts w:asciiTheme="majorHAnsi" w:hAnsiTheme="majorHAnsi"/>
          <w:color w:val="000000" w:themeColor="text1"/>
          <w:sz w:val="20"/>
          <w:szCs w:val="20"/>
          <w:lang w:val="es-VE"/>
        </w:rPr>
        <w:t xml:space="preserve">Respecto de ambos grupos de víctimas, la parte peticionaria indicó que, en relación </w:t>
      </w:r>
      <w:r w:rsidR="000F68D9" w:rsidRPr="00FB4380">
        <w:rPr>
          <w:rFonts w:asciiTheme="majorHAnsi" w:hAnsiTheme="majorHAnsi"/>
          <w:color w:val="000000" w:themeColor="text1"/>
          <w:sz w:val="20"/>
          <w:szCs w:val="20"/>
          <w:lang w:val="es-VE"/>
        </w:rPr>
        <w:t xml:space="preserve">con el requisito de agotamiento de los recursos internos, el mismo no resultaba exigible en el presente caso, según lo dispuesto en el artículo 46.2.b de la Convención Americana. En su entender, las presuntas víctimas fueron impedidas de acceder a los recursos de jurisdicción interna y, por tanto, </w:t>
      </w:r>
      <w:r w:rsidR="001D3307">
        <w:rPr>
          <w:rFonts w:asciiTheme="majorHAnsi" w:hAnsiTheme="majorHAnsi"/>
          <w:color w:val="000000" w:themeColor="text1"/>
          <w:sz w:val="20"/>
          <w:szCs w:val="20"/>
          <w:lang w:val="es-VE"/>
        </w:rPr>
        <w:t xml:space="preserve">de </w:t>
      </w:r>
      <w:r w:rsidR="000F68D9" w:rsidRPr="00FB4380">
        <w:rPr>
          <w:rFonts w:asciiTheme="majorHAnsi" w:hAnsiTheme="majorHAnsi"/>
          <w:color w:val="000000" w:themeColor="text1"/>
          <w:sz w:val="20"/>
          <w:szCs w:val="20"/>
          <w:lang w:val="es-VE"/>
        </w:rPr>
        <w:t>agotarlos, actualizándose la hipótesis de excepción al agotamiento de recursos internos</w:t>
      </w:r>
      <w:r w:rsidR="006626BA" w:rsidRPr="00FB4380">
        <w:rPr>
          <w:rFonts w:asciiTheme="majorHAnsi" w:hAnsiTheme="majorHAnsi"/>
          <w:color w:val="000000" w:themeColor="text1"/>
          <w:sz w:val="20"/>
          <w:szCs w:val="20"/>
          <w:lang w:val="es-VE"/>
        </w:rPr>
        <w:t xml:space="preserve"> mencionada</w:t>
      </w:r>
      <w:r w:rsidR="000F68D9" w:rsidRPr="00FB4380">
        <w:rPr>
          <w:rFonts w:asciiTheme="majorHAnsi" w:hAnsiTheme="majorHAnsi"/>
          <w:color w:val="000000" w:themeColor="text1"/>
          <w:sz w:val="20"/>
          <w:szCs w:val="20"/>
          <w:lang w:val="es-VE"/>
        </w:rPr>
        <w:t xml:space="preserve">. </w:t>
      </w:r>
      <w:r w:rsidR="00310138" w:rsidRPr="00FB4380">
        <w:rPr>
          <w:rFonts w:asciiTheme="majorHAnsi" w:hAnsiTheme="majorHAnsi"/>
          <w:color w:val="000000" w:themeColor="text1"/>
          <w:sz w:val="20"/>
          <w:szCs w:val="20"/>
          <w:lang w:val="es-VE"/>
        </w:rPr>
        <w:t>En línea con lo anterior, la parte peticionaria indicó que las presuntas víctim</w:t>
      </w:r>
      <w:r w:rsidR="0084372E" w:rsidRPr="00FB4380">
        <w:rPr>
          <w:rFonts w:asciiTheme="majorHAnsi" w:hAnsiTheme="majorHAnsi"/>
          <w:color w:val="000000" w:themeColor="text1"/>
          <w:sz w:val="20"/>
          <w:szCs w:val="20"/>
          <w:lang w:val="es-VE"/>
        </w:rPr>
        <w:t>as debieron ser incluidas en los</w:t>
      </w:r>
      <w:r w:rsidR="00310138" w:rsidRPr="00FB4380">
        <w:rPr>
          <w:rFonts w:asciiTheme="majorHAnsi" w:hAnsiTheme="majorHAnsi"/>
          <w:color w:val="000000" w:themeColor="text1"/>
          <w:sz w:val="20"/>
          <w:szCs w:val="20"/>
          <w:lang w:val="es-VE"/>
        </w:rPr>
        <w:t xml:space="preserve"> casos mencionados anteriormente como presuntas v</w:t>
      </w:r>
      <w:r w:rsidR="00056A14" w:rsidRPr="00FB4380">
        <w:rPr>
          <w:rFonts w:asciiTheme="majorHAnsi" w:hAnsiTheme="majorHAnsi"/>
          <w:color w:val="000000" w:themeColor="text1"/>
          <w:sz w:val="20"/>
          <w:szCs w:val="20"/>
          <w:lang w:val="es-VE"/>
        </w:rPr>
        <w:t xml:space="preserve">íctimas tanto en el marco del proceso ante la CIDH, como ante la Corte Interamericana en los casos </w:t>
      </w:r>
      <w:r w:rsidR="00F55100" w:rsidRPr="00FB4380">
        <w:rPr>
          <w:rFonts w:asciiTheme="majorHAnsi" w:hAnsiTheme="majorHAnsi"/>
          <w:bCs/>
          <w:i/>
          <w:color w:val="000000" w:themeColor="text1"/>
          <w:sz w:val="20"/>
          <w:szCs w:val="20"/>
          <w:lang w:val="es-ES"/>
        </w:rPr>
        <w:t>Caso Trabajadores Cesados del Congreso (Aguado Alfaro y otros) Vs. Perú</w:t>
      </w:r>
      <w:r w:rsidR="00F55100" w:rsidRPr="00FB4380">
        <w:rPr>
          <w:rFonts w:asciiTheme="majorHAnsi" w:hAnsiTheme="majorHAnsi"/>
          <w:i/>
          <w:color w:val="000000" w:themeColor="text1"/>
          <w:sz w:val="20"/>
          <w:szCs w:val="20"/>
          <w:vertAlign w:val="superscript"/>
          <w:lang w:val="es-VE"/>
        </w:rPr>
        <w:t xml:space="preserve"> </w:t>
      </w:r>
      <w:r w:rsidR="00800D97" w:rsidRPr="00FB4380">
        <w:rPr>
          <w:rStyle w:val="FootnoteReference"/>
          <w:rFonts w:asciiTheme="majorHAnsi" w:hAnsiTheme="majorHAnsi"/>
          <w:i/>
          <w:color w:val="000000" w:themeColor="text1"/>
          <w:sz w:val="20"/>
          <w:szCs w:val="20"/>
          <w:lang w:val="es-VE"/>
        </w:rPr>
        <w:footnoteReference w:id="5"/>
      </w:r>
      <w:r w:rsidR="00BD20B8" w:rsidRPr="00FB4380">
        <w:rPr>
          <w:rFonts w:asciiTheme="majorHAnsi" w:hAnsiTheme="majorHAnsi"/>
          <w:color w:val="000000" w:themeColor="text1"/>
          <w:sz w:val="20"/>
          <w:szCs w:val="20"/>
          <w:lang w:val="es-VE"/>
        </w:rPr>
        <w:t xml:space="preserve"> </w:t>
      </w:r>
      <w:r w:rsidR="00536D7E" w:rsidRPr="00FB4380">
        <w:rPr>
          <w:rFonts w:asciiTheme="majorHAnsi" w:hAnsiTheme="majorHAnsi"/>
          <w:color w:val="000000" w:themeColor="text1"/>
          <w:sz w:val="20"/>
          <w:szCs w:val="20"/>
          <w:lang w:val="es-VE"/>
        </w:rPr>
        <w:t xml:space="preserve">(en adelante “el caso </w:t>
      </w:r>
      <w:r w:rsidR="00536D7E" w:rsidRPr="00FB4380">
        <w:rPr>
          <w:rFonts w:asciiTheme="majorHAnsi" w:hAnsiTheme="majorHAnsi"/>
          <w:i/>
          <w:color w:val="000000" w:themeColor="text1"/>
          <w:sz w:val="20"/>
          <w:szCs w:val="20"/>
          <w:lang w:val="es-VE"/>
        </w:rPr>
        <w:t>Trabajadores Cesados”</w:t>
      </w:r>
      <w:r w:rsidR="00536D7E" w:rsidRPr="00FB4380">
        <w:rPr>
          <w:rFonts w:asciiTheme="majorHAnsi" w:hAnsiTheme="majorHAnsi"/>
          <w:color w:val="000000" w:themeColor="text1"/>
          <w:sz w:val="20"/>
          <w:szCs w:val="20"/>
          <w:lang w:val="es-VE"/>
        </w:rPr>
        <w:t xml:space="preserve">) </w:t>
      </w:r>
      <w:r w:rsidR="00BD20B8" w:rsidRPr="00FB4380">
        <w:rPr>
          <w:rFonts w:asciiTheme="majorHAnsi" w:hAnsiTheme="majorHAnsi"/>
          <w:color w:val="000000" w:themeColor="text1"/>
          <w:sz w:val="20"/>
          <w:szCs w:val="20"/>
          <w:lang w:val="es-VE"/>
        </w:rPr>
        <w:t xml:space="preserve">y </w:t>
      </w:r>
      <w:r w:rsidR="00BD20B8" w:rsidRPr="00FB4380">
        <w:rPr>
          <w:rFonts w:asciiTheme="majorHAnsi" w:hAnsiTheme="majorHAnsi"/>
          <w:i/>
          <w:color w:val="000000" w:themeColor="text1"/>
          <w:sz w:val="20"/>
          <w:szCs w:val="20"/>
          <w:lang w:val="es-VE"/>
        </w:rPr>
        <w:t>Canales Huapaya y Otros</w:t>
      </w:r>
      <w:r w:rsidR="00800D97" w:rsidRPr="00FB4380">
        <w:rPr>
          <w:rStyle w:val="FootnoteReference"/>
          <w:rFonts w:asciiTheme="majorHAnsi" w:hAnsiTheme="majorHAnsi"/>
          <w:i/>
          <w:color w:val="000000" w:themeColor="text1"/>
          <w:sz w:val="20"/>
          <w:szCs w:val="20"/>
          <w:lang w:val="es-VE"/>
        </w:rPr>
        <w:footnoteReference w:id="6"/>
      </w:r>
      <w:r w:rsidR="00536D7E" w:rsidRPr="00FB4380">
        <w:rPr>
          <w:rFonts w:asciiTheme="majorHAnsi" w:hAnsiTheme="majorHAnsi"/>
          <w:i/>
          <w:color w:val="000000" w:themeColor="text1"/>
          <w:sz w:val="20"/>
          <w:szCs w:val="20"/>
          <w:lang w:val="es-VE"/>
        </w:rPr>
        <w:t xml:space="preserve"> </w:t>
      </w:r>
      <w:r w:rsidR="00536D7E" w:rsidRPr="00FB4380">
        <w:rPr>
          <w:rFonts w:asciiTheme="majorHAnsi" w:hAnsiTheme="majorHAnsi"/>
          <w:color w:val="000000" w:themeColor="text1"/>
          <w:sz w:val="20"/>
          <w:szCs w:val="20"/>
          <w:lang w:val="es-VE"/>
        </w:rPr>
        <w:t xml:space="preserve">(en adelante “el caso </w:t>
      </w:r>
      <w:r w:rsidR="00536D7E" w:rsidRPr="00FB4380">
        <w:rPr>
          <w:rFonts w:asciiTheme="majorHAnsi" w:hAnsiTheme="majorHAnsi"/>
          <w:i/>
          <w:color w:val="000000" w:themeColor="text1"/>
          <w:sz w:val="20"/>
          <w:szCs w:val="20"/>
          <w:lang w:val="es-VE"/>
        </w:rPr>
        <w:t>Canales Huapaya”</w:t>
      </w:r>
      <w:r w:rsidR="00536D7E" w:rsidRPr="00FB4380">
        <w:rPr>
          <w:rFonts w:asciiTheme="majorHAnsi" w:hAnsiTheme="majorHAnsi"/>
          <w:color w:val="000000" w:themeColor="text1"/>
          <w:sz w:val="20"/>
          <w:szCs w:val="20"/>
          <w:lang w:val="es-VE"/>
        </w:rPr>
        <w:t>)</w:t>
      </w:r>
      <w:r w:rsidR="00BD20B8" w:rsidRPr="00FB4380">
        <w:rPr>
          <w:rFonts w:asciiTheme="majorHAnsi" w:hAnsiTheme="majorHAnsi"/>
          <w:i/>
          <w:color w:val="000000" w:themeColor="text1"/>
          <w:sz w:val="20"/>
          <w:szCs w:val="20"/>
          <w:lang w:val="es-VE"/>
        </w:rPr>
        <w:t xml:space="preserve">, </w:t>
      </w:r>
      <w:r w:rsidR="0084372E" w:rsidRPr="00FB4380">
        <w:rPr>
          <w:rFonts w:asciiTheme="majorHAnsi" w:hAnsiTheme="majorHAnsi"/>
          <w:color w:val="000000" w:themeColor="text1"/>
          <w:sz w:val="20"/>
          <w:szCs w:val="20"/>
          <w:lang w:val="es-VE"/>
        </w:rPr>
        <w:t xml:space="preserve">todos contra Perú. </w:t>
      </w:r>
      <w:r w:rsidR="00AE446C" w:rsidRPr="00FB4380">
        <w:rPr>
          <w:rFonts w:asciiTheme="majorHAnsi" w:hAnsiTheme="majorHAnsi"/>
          <w:color w:val="000000" w:themeColor="text1"/>
          <w:sz w:val="20"/>
          <w:szCs w:val="20"/>
          <w:lang w:val="es-VE"/>
        </w:rPr>
        <w:t xml:space="preserve">Asimismo, en </w:t>
      </w:r>
      <w:r w:rsidR="001D3307">
        <w:rPr>
          <w:rFonts w:asciiTheme="majorHAnsi" w:hAnsiTheme="majorHAnsi"/>
          <w:color w:val="000000" w:themeColor="text1"/>
          <w:sz w:val="20"/>
          <w:szCs w:val="20"/>
          <w:lang w:val="es-VE"/>
        </w:rPr>
        <w:t>atención</w:t>
      </w:r>
      <w:r w:rsidR="00AE446C" w:rsidRPr="00FB4380">
        <w:rPr>
          <w:rFonts w:asciiTheme="majorHAnsi" w:hAnsiTheme="majorHAnsi"/>
          <w:color w:val="000000" w:themeColor="text1"/>
          <w:sz w:val="20"/>
          <w:szCs w:val="20"/>
          <w:lang w:val="es-VE"/>
        </w:rPr>
        <w:t xml:space="preserve"> de los criterios de agotamiento adoptados </w:t>
      </w:r>
      <w:r w:rsidR="001D3307" w:rsidRPr="00FB4380">
        <w:rPr>
          <w:rFonts w:asciiTheme="majorHAnsi" w:hAnsiTheme="majorHAnsi"/>
          <w:color w:val="000000" w:themeColor="text1"/>
          <w:sz w:val="20"/>
          <w:szCs w:val="20"/>
          <w:lang w:val="es-VE"/>
        </w:rPr>
        <w:t>por la CIDH</w:t>
      </w:r>
      <w:r w:rsidR="001D3307">
        <w:rPr>
          <w:rFonts w:asciiTheme="majorHAnsi" w:hAnsiTheme="majorHAnsi"/>
          <w:color w:val="000000" w:themeColor="text1"/>
          <w:sz w:val="20"/>
          <w:szCs w:val="20"/>
          <w:lang w:val="es-VE"/>
        </w:rPr>
        <w:t xml:space="preserve"> </w:t>
      </w:r>
      <w:r w:rsidR="00AE446C" w:rsidRPr="00FB4380">
        <w:rPr>
          <w:rFonts w:asciiTheme="majorHAnsi" w:hAnsiTheme="majorHAnsi"/>
          <w:color w:val="000000" w:themeColor="text1"/>
          <w:sz w:val="20"/>
          <w:szCs w:val="20"/>
          <w:lang w:val="es-VE"/>
        </w:rPr>
        <w:t>en</w:t>
      </w:r>
      <w:r w:rsidR="00C36B88" w:rsidRPr="00FB4380">
        <w:rPr>
          <w:rFonts w:asciiTheme="majorHAnsi" w:hAnsiTheme="majorHAnsi"/>
          <w:color w:val="000000" w:themeColor="text1"/>
          <w:sz w:val="20"/>
          <w:szCs w:val="20"/>
          <w:lang w:val="es-VE"/>
        </w:rPr>
        <w:t xml:space="preserve"> </w:t>
      </w:r>
      <w:r w:rsidR="001D3307">
        <w:rPr>
          <w:rFonts w:asciiTheme="majorHAnsi" w:hAnsiTheme="majorHAnsi"/>
          <w:color w:val="000000" w:themeColor="text1"/>
          <w:sz w:val="20"/>
          <w:szCs w:val="20"/>
          <w:lang w:val="es-VE"/>
        </w:rPr>
        <w:t>los mencionados casos en la etapa de admisibilidad (12.038 y 1</w:t>
      </w:r>
      <w:r w:rsidR="004F522D">
        <w:rPr>
          <w:rFonts w:asciiTheme="majorHAnsi" w:hAnsiTheme="majorHAnsi"/>
          <w:color w:val="000000" w:themeColor="text1"/>
          <w:sz w:val="20"/>
          <w:szCs w:val="20"/>
          <w:lang w:val="es-VE"/>
        </w:rPr>
        <w:t>2.214) y tomando en consideració</w:t>
      </w:r>
      <w:r w:rsidR="001D3307">
        <w:rPr>
          <w:rFonts w:asciiTheme="majorHAnsi" w:hAnsiTheme="majorHAnsi"/>
          <w:color w:val="000000" w:themeColor="text1"/>
          <w:sz w:val="20"/>
          <w:szCs w:val="20"/>
          <w:lang w:val="es-VE"/>
        </w:rPr>
        <w:t xml:space="preserve">n que se trata </w:t>
      </w:r>
      <w:r w:rsidR="00AE446C" w:rsidRPr="00FB4380">
        <w:rPr>
          <w:rFonts w:asciiTheme="majorHAnsi" w:hAnsiTheme="majorHAnsi"/>
          <w:color w:val="000000" w:themeColor="text1"/>
          <w:sz w:val="20"/>
          <w:szCs w:val="20"/>
          <w:lang w:val="es-VE"/>
        </w:rPr>
        <w:t>exacta</w:t>
      </w:r>
      <w:r w:rsidR="001D3307">
        <w:rPr>
          <w:rFonts w:asciiTheme="majorHAnsi" w:hAnsiTheme="majorHAnsi"/>
          <w:color w:val="000000" w:themeColor="text1"/>
          <w:sz w:val="20"/>
          <w:szCs w:val="20"/>
          <w:lang w:val="es-VE"/>
        </w:rPr>
        <w:t xml:space="preserve">mente de la misma temática, el presente caso también </w:t>
      </w:r>
      <w:r w:rsidR="00AE446C" w:rsidRPr="00FB4380">
        <w:rPr>
          <w:rFonts w:asciiTheme="majorHAnsi" w:hAnsiTheme="majorHAnsi"/>
          <w:color w:val="000000" w:themeColor="text1"/>
          <w:sz w:val="20"/>
          <w:szCs w:val="20"/>
          <w:lang w:val="es-VE"/>
        </w:rPr>
        <w:t xml:space="preserve">debería ser declarado admisible. </w:t>
      </w:r>
    </w:p>
    <w:p w14:paraId="321FA899" w14:textId="77777777" w:rsidR="0084372E" w:rsidRPr="00FB4380" w:rsidRDefault="0084372E" w:rsidP="007C047E">
      <w:pPr>
        <w:pStyle w:val="ListParagraph"/>
        <w:ind w:left="0"/>
        <w:rPr>
          <w:rFonts w:asciiTheme="majorHAnsi" w:hAnsiTheme="majorHAnsi"/>
          <w:color w:val="000000" w:themeColor="text1"/>
          <w:sz w:val="20"/>
          <w:szCs w:val="20"/>
          <w:lang w:val="es-VE"/>
        </w:rPr>
      </w:pPr>
    </w:p>
    <w:p w14:paraId="0393CA2E" w14:textId="77777777" w:rsidR="00563D6C" w:rsidRPr="00FB4380" w:rsidRDefault="00E905D3" w:rsidP="007C04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lang w:val="es-VE"/>
        </w:rPr>
      </w:pPr>
      <w:r w:rsidRPr="00FB4380">
        <w:rPr>
          <w:rFonts w:asciiTheme="majorHAnsi" w:hAnsiTheme="majorHAnsi"/>
          <w:color w:val="000000" w:themeColor="text1"/>
          <w:sz w:val="20"/>
          <w:szCs w:val="20"/>
          <w:lang w:val="es-VE"/>
        </w:rPr>
        <w:t>La parte peticionaria alegó la vulneraci</w:t>
      </w:r>
      <w:r w:rsidR="0080380A" w:rsidRPr="00FB4380">
        <w:rPr>
          <w:rFonts w:asciiTheme="majorHAnsi" w:hAnsiTheme="majorHAnsi"/>
          <w:color w:val="000000" w:themeColor="text1"/>
          <w:sz w:val="20"/>
          <w:szCs w:val="20"/>
          <w:lang w:val="es-VE"/>
        </w:rPr>
        <w:t xml:space="preserve">ón del derecho a las garantías judiciales y la protección judicial </w:t>
      </w:r>
      <w:r w:rsidR="001A10C5" w:rsidRPr="00FB4380">
        <w:rPr>
          <w:rFonts w:asciiTheme="majorHAnsi" w:hAnsiTheme="majorHAnsi"/>
          <w:color w:val="000000" w:themeColor="text1"/>
          <w:sz w:val="20"/>
          <w:szCs w:val="20"/>
          <w:lang w:val="es-VE"/>
        </w:rPr>
        <w:t xml:space="preserve">pues las presuntas víctimas no contaron con un recurso rápido, sencillo y efectivo </w:t>
      </w:r>
      <w:r w:rsidR="00A47158" w:rsidRPr="00FB4380">
        <w:rPr>
          <w:rFonts w:asciiTheme="majorHAnsi" w:hAnsiTheme="majorHAnsi"/>
          <w:color w:val="000000" w:themeColor="text1"/>
          <w:sz w:val="20"/>
          <w:szCs w:val="20"/>
          <w:lang w:val="es-VE"/>
        </w:rPr>
        <w:t xml:space="preserve">que determinara si las evaluaciones tomadas en el marco del proceso de racionalización de personal y los posteriores despidos se ajustaban a “las prescripciones </w:t>
      </w:r>
      <w:r w:rsidR="00274ECD" w:rsidRPr="00FB4380">
        <w:rPr>
          <w:rFonts w:asciiTheme="majorHAnsi" w:hAnsiTheme="majorHAnsi"/>
          <w:color w:val="000000" w:themeColor="text1"/>
          <w:sz w:val="20"/>
          <w:szCs w:val="20"/>
          <w:lang w:val="es-VE"/>
        </w:rPr>
        <w:t xml:space="preserve">constitucionales </w:t>
      </w:r>
      <w:r w:rsidR="00A47158" w:rsidRPr="00FB4380">
        <w:rPr>
          <w:rFonts w:asciiTheme="majorHAnsi" w:hAnsiTheme="majorHAnsi"/>
          <w:color w:val="000000" w:themeColor="text1"/>
          <w:sz w:val="20"/>
          <w:szCs w:val="20"/>
          <w:lang w:val="es-VE"/>
        </w:rPr>
        <w:t>vigentes”</w:t>
      </w:r>
      <w:r w:rsidR="00274ECD" w:rsidRPr="00FB4380">
        <w:rPr>
          <w:rFonts w:asciiTheme="majorHAnsi" w:hAnsiTheme="majorHAnsi"/>
          <w:color w:val="000000" w:themeColor="text1"/>
          <w:sz w:val="20"/>
          <w:szCs w:val="20"/>
          <w:lang w:val="es-VE"/>
        </w:rPr>
        <w:t xml:space="preserve">. </w:t>
      </w:r>
    </w:p>
    <w:p w14:paraId="57BFFCF5" w14:textId="77777777" w:rsidR="00E274EC" w:rsidRPr="00FB4380" w:rsidRDefault="00E274EC" w:rsidP="007C047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7B583052" w14:textId="78EF3749" w:rsidR="00274ECD" w:rsidRPr="00FB4380" w:rsidRDefault="00310138" w:rsidP="007C04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lang w:val="es-VE"/>
        </w:rPr>
      </w:pPr>
      <w:r w:rsidRPr="00FB4380">
        <w:rPr>
          <w:rFonts w:asciiTheme="majorHAnsi" w:hAnsiTheme="majorHAnsi"/>
          <w:color w:val="000000" w:themeColor="text1"/>
          <w:sz w:val="20"/>
          <w:szCs w:val="20"/>
          <w:lang w:val="es-VE"/>
        </w:rPr>
        <w:t>La parte peticionaria señaló que el despido arbitrario también vulneró el derecho al trabajo en condiciones dignas y a recibir una remuneración que asegurase un nivel de vida conveniente para las presuntas víctimas y sus familias.</w:t>
      </w:r>
      <w:r w:rsidR="00E274EC" w:rsidRPr="00FB4380">
        <w:rPr>
          <w:rFonts w:asciiTheme="majorHAnsi" w:hAnsiTheme="majorHAnsi"/>
          <w:color w:val="000000" w:themeColor="text1"/>
          <w:sz w:val="20"/>
          <w:szCs w:val="20"/>
          <w:lang w:val="es-VE"/>
        </w:rPr>
        <w:t xml:space="preserve"> Indicó qu</w:t>
      </w:r>
      <w:r w:rsidR="00185757" w:rsidRPr="00FB4380">
        <w:rPr>
          <w:rFonts w:asciiTheme="majorHAnsi" w:hAnsiTheme="majorHAnsi"/>
          <w:color w:val="000000" w:themeColor="text1"/>
          <w:sz w:val="20"/>
          <w:szCs w:val="20"/>
          <w:lang w:val="es-VE"/>
        </w:rPr>
        <w:t xml:space="preserve">e las </w:t>
      </w:r>
      <w:r w:rsidR="00A01653" w:rsidRPr="00FB4380">
        <w:rPr>
          <w:rFonts w:asciiTheme="majorHAnsi" w:hAnsiTheme="majorHAnsi"/>
          <w:color w:val="000000" w:themeColor="text1"/>
          <w:sz w:val="20"/>
          <w:szCs w:val="20"/>
          <w:lang w:val="es-VE"/>
        </w:rPr>
        <w:t xml:space="preserve">presuntas </w:t>
      </w:r>
      <w:r w:rsidR="00185757" w:rsidRPr="00FB4380">
        <w:rPr>
          <w:rFonts w:asciiTheme="majorHAnsi" w:hAnsiTheme="majorHAnsi"/>
          <w:color w:val="000000" w:themeColor="text1"/>
          <w:sz w:val="20"/>
          <w:szCs w:val="20"/>
          <w:lang w:val="es-VE"/>
        </w:rPr>
        <w:t>v</w:t>
      </w:r>
      <w:r w:rsidR="00A01653" w:rsidRPr="00FB4380">
        <w:rPr>
          <w:rFonts w:asciiTheme="majorHAnsi" w:hAnsiTheme="majorHAnsi"/>
          <w:color w:val="000000" w:themeColor="text1"/>
          <w:sz w:val="20"/>
          <w:szCs w:val="20"/>
          <w:lang w:val="es-VE"/>
        </w:rPr>
        <w:t xml:space="preserve">íctimas gozaban de estabilidad laboral de acuerdo </w:t>
      </w:r>
      <w:r w:rsidR="001D3307">
        <w:rPr>
          <w:rFonts w:asciiTheme="majorHAnsi" w:hAnsiTheme="majorHAnsi"/>
          <w:color w:val="000000" w:themeColor="text1"/>
          <w:sz w:val="20"/>
          <w:szCs w:val="20"/>
          <w:lang w:val="es-VE"/>
        </w:rPr>
        <w:t xml:space="preserve">con </w:t>
      </w:r>
      <w:r w:rsidR="00A01653" w:rsidRPr="00FB4380">
        <w:rPr>
          <w:rFonts w:asciiTheme="majorHAnsi" w:hAnsiTheme="majorHAnsi"/>
          <w:color w:val="000000" w:themeColor="text1"/>
          <w:sz w:val="20"/>
          <w:szCs w:val="20"/>
          <w:lang w:val="es-VE"/>
        </w:rPr>
        <w:t xml:space="preserve">régimen legal aplicable emanado de los artículos 24 del Decreto Legislativo 276 y 6 del Decreto Supremo 005-90-PCM. </w:t>
      </w:r>
    </w:p>
    <w:p w14:paraId="0142BA85" w14:textId="77777777" w:rsidR="00361415" w:rsidRPr="00FB4380" w:rsidRDefault="00361415" w:rsidP="007C047E">
      <w:pPr>
        <w:suppressAutoHyphens/>
        <w:rPr>
          <w:rFonts w:asciiTheme="majorHAnsi" w:hAnsiTheme="majorHAnsi"/>
          <w:color w:val="548DD4" w:themeColor="text2" w:themeTint="99"/>
          <w:sz w:val="20"/>
          <w:szCs w:val="20"/>
          <w:lang w:val="es-VE"/>
        </w:rPr>
      </w:pPr>
    </w:p>
    <w:p w14:paraId="77FA3630" w14:textId="77777777" w:rsidR="00D12193" w:rsidRPr="00FB4380" w:rsidRDefault="0022273F" w:rsidP="007C047E">
      <w:pPr>
        <w:pStyle w:val="Heading2"/>
      </w:pPr>
      <w:bookmarkStart w:id="5" w:name="_Toc5358713"/>
      <w:r w:rsidRPr="00FB4380">
        <w:t>Estado</w:t>
      </w:r>
      <w:bookmarkEnd w:id="5"/>
      <w:r w:rsidR="00CC63CF" w:rsidRPr="00FB4380">
        <w:t xml:space="preserve"> </w:t>
      </w:r>
    </w:p>
    <w:p w14:paraId="54FDC048" w14:textId="77777777" w:rsidR="007C756A" w:rsidRPr="00FB4380" w:rsidRDefault="007C756A" w:rsidP="007C047E">
      <w:pPr>
        <w:suppressAutoHyphens/>
        <w:rPr>
          <w:rFonts w:asciiTheme="majorHAnsi" w:hAnsiTheme="majorHAnsi"/>
          <w:sz w:val="20"/>
          <w:szCs w:val="20"/>
          <w:lang w:val="es-ES_tradnl"/>
        </w:rPr>
      </w:pPr>
    </w:p>
    <w:p w14:paraId="25C65E4D" w14:textId="0A4FAA6E" w:rsidR="00CC63CF" w:rsidRPr="00FB4380" w:rsidRDefault="007730BC" w:rsidP="007C04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lang w:val="es-VE"/>
        </w:rPr>
      </w:pPr>
      <w:r w:rsidRPr="00FB4380">
        <w:rPr>
          <w:rFonts w:asciiTheme="majorHAnsi" w:hAnsiTheme="majorHAnsi"/>
          <w:color w:val="000000" w:themeColor="text1"/>
          <w:sz w:val="20"/>
          <w:szCs w:val="20"/>
          <w:lang w:val="es-VE"/>
        </w:rPr>
        <w:t xml:space="preserve">El Estado interpuso las excepciones </w:t>
      </w:r>
      <w:r w:rsidR="00521FFA" w:rsidRPr="00FB4380">
        <w:rPr>
          <w:rFonts w:asciiTheme="majorHAnsi" w:hAnsiTheme="majorHAnsi"/>
          <w:color w:val="000000" w:themeColor="text1"/>
          <w:sz w:val="20"/>
          <w:szCs w:val="20"/>
          <w:lang w:val="es-VE"/>
        </w:rPr>
        <w:t>de cuarta instancia y de caducidad del plazo</w:t>
      </w:r>
      <w:r w:rsidR="001D3307">
        <w:rPr>
          <w:rFonts w:asciiTheme="majorHAnsi" w:hAnsiTheme="majorHAnsi"/>
          <w:color w:val="000000" w:themeColor="text1"/>
          <w:sz w:val="20"/>
          <w:szCs w:val="20"/>
          <w:lang w:val="es-VE"/>
        </w:rPr>
        <w:t xml:space="preserve"> en su escrito de contestación</w:t>
      </w:r>
      <w:r w:rsidR="00521FFA" w:rsidRPr="00FB4380">
        <w:rPr>
          <w:rFonts w:asciiTheme="majorHAnsi" w:hAnsiTheme="majorHAnsi"/>
          <w:color w:val="000000" w:themeColor="text1"/>
          <w:sz w:val="20"/>
          <w:szCs w:val="20"/>
          <w:lang w:val="es-VE"/>
        </w:rPr>
        <w:t xml:space="preserve">. </w:t>
      </w:r>
      <w:r w:rsidR="005471D3" w:rsidRPr="00FB4380">
        <w:rPr>
          <w:rFonts w:asciiTheme="majorHAnsi" w:hAnsiTheme="majorHAnsi"/>
          <w:color w:val="000000" w:themeColor="text1"/>
          <w:sz w:val="20"/>
          <w:szCs w:val="20"/>
          <w:lang w:val="es-VE"/>
        </w:rPr>
        <w:t>En relación con la primera, el Estado señaló que l</w:t>
      </w:r>
      <w:r w:rsidR="00832F79" w:rsidRPr="00FB4380">
        <w:rPr>
          <w:rFonts w:asciiTheme="majorHAnsi" w:hAnsiTheme="majorHAnsi"/>
          <w:color w:val="000000" w:themeColor="text1"/>
          <w:sz w:val="20"/>
          <w:szCs w:val="20"/>
          <w:lang w:val="es-VE"/>
        </w:rPr>
        <w:t>a parte peticionaria “no podría</w:t>
      </w:r>
      <w:r w:rsidR="005471D3" w:rsidRPr="00FB4380">
        <w:rPr>
          <w:rFonts w:asciiTheme="majorHAnsi" w:hAnsiTheme="majorHAnsi"/>
          <w:color w:val="000000" w:themeColor="text1"/>
          <w:sz w:val="20"/>
          <w:szCs w:val="20"/>
          <w:lang w:val="es-VE"/>
        </w:rPr>
        <w:t xml:space="preserve"> pretender la revisión y ejecución de fallos dados en sede nacional y dictados bajo las reglas del debido proceso”. Sobre la segunda, señaló que la petición se interpuso después de los seis meses “de la notificación de la resolución del Tribunal Constitucional”. </w:t>
      </w:r>
      <w:r w:rsidR="0007673B" w:rsidRPr="00FB4380">
        <w:rPr>
          <w:rFonts w:asciiTheme="majorHAnsi" w:hAnsiTheme="majorHAnsi"/>
          <w:color w:val="000000" w:themeColor="text1"/>
          <w:sz w:val="20"/>
          <w:szCs w:val="20"/>
          <w:lang w:val="es-VE"/>
        </w:rPr>
        <w:t>De modo específico, en relación con los casos de Mauro Rojas Guzmán, José Elías Flores y</w:t>
      </w:r>
      <w:r w:rsidR="00193808" w:rsidRPr="00FB4380">
        <w:rPr>
          <w:rFonts w:asciiTheme="majorHAnsi" w:hAnsiTheme="majorHAnsi"/>
          <w:color w:val="000000" w:themeColor="text1"/>
          <w:sz w:val="20"/>
          <w:szCs w:val="20"/>
          <w:lang w:val="es-VE"/>
        </w:rPr>
        <w:t xml:space="preserve"> Edwin Espinoza, el Estado solicitó que </w:t>
      </w:r>
      <w:r w:rsidR="00436FA1" w:rsidRPr="00FB4380">
        <w:rPr>
          <w:rFonts w:asciiTheme="majorHAnsi" w:hAnsiTheme="majorHAnsi"/>
          <w:color w:val="000000" w:themeColor="text1"/>
          <w:sz w:val="20"/>
          <w:szCs w:val="20"/>
          <w:lang w:val="es-VE"/>
        </w:rPr>
        <w:t>se</w:t>
      </w:r>
      <w:r w:rsidR="00193808" w:rsidRPr="00FB4380">
        <w:rPr>
          <w:rFonts w:asciiTheme="majorHAnsi" w:hAnsiTheme="majorHAnsi"/>
          <w:color w:val="000000" w:themeColor="text1"/>
          <w:sz w:val="20"/>
          <w:szCs w:val="20"/>
          <w:lang w:val="es-VE"/>
        </w:rPr>
        <w:t xml:space="preserve"> declare la sustracción de la materia</w:t>
      </w:r>
      <w:r w:rsidR="001D3307">
        <w:rPr>
          <w:rFonts w:asciiTheme="majorHAnsi" w:hAnsiTheme="majorHAnsi"/>
          <w:color w:val="000000" w:themeColor="text1"/>
          <w:sz w:val="20"/>
          <w:szCs w:val="20"/>
          <w:lang w:val="es-VE"/>
        </w:rPr>
        <w:t xml:space="preserve"> debido a sus respectivas reincorporaciones</w:t>
      </w:r>
      <w:r w:rsidR="00193808" w:rsidRPr="00FB4380">
        <w:rPr>
          <w:rFonts w:asciiTheme="majorHAnsi" w:hAnsiTheme="majorHAnsi"/>
          <w:color w:val="000000" w:themeColor="text1"/>
          <w:sz w:val="20"/>
          <w:szCs w:val="20"/>
          <w:lang w:val="es-VE"/>
        </w:rPr>
        <w:t xml:space="preserve">. </w:t>
      </w:r>
    </w:p>
    <w:p w14:paraId="461C8923" w14:textId="77777777" w:rsidR="000F0FE9" w:rsidRPr="00FB4380" w:rsidRDefault="000F0FE9" w:rsidP="007C047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4FC5E366" w14:textId="47E85140" w:rsidR="00AC2FEC" w:rsidRPr="00FB4380" w:rsidRDefault="005471D3" w:rsidP="007C04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lang w:val="es-VE"/>
        </w:rPr>
      </w:pPr>
      <w:r w:rsidRPr="00FB4380">
        <w:rPr>
          <w:rFonts w:asciiTheme="majorHAnsi" w:hAnsiTheme="majorHAnsi"/>
          <w:color w:val="000000" w:themeColor="text1"/>
          <w:sz w:val="20"/>
          <w:szCs w:val="20"/>
          <w:lang w:val="es-VE"/>
        </w:rPr>
        <w:t>Asimismo, sobre el agotamiento de los recursos</w:t>
      </w:r>
      <w:r w:rsidR="000F0FE9" w:rsidRPr="00FB4380">
        <w:rPr>
          <w:rFonts w:asciiTheme="majorHAnsi" w:hAnsiTheme="majorHAnsi"/>
          <w:color w:val="000000" w:themeColor="text1"/>
          <w:sz w:val="20"/>
          <w:szCs w:val="20"/>
          <w:lang w:val="es-VE"/>
        </w:rPr>
        <w:t>,</w:t>
      </w:r>
      <w:r w:rsidR="001D3307">
        <w:rPr>
          <w:rFonts w:asciiTheme="majorHAnsi" w:hAnsiTheme="majorHAnsi"/>
          <w:color w:val="000000" w:themeColor="text1"/>
          <w:sz w:val="20"/>
          <w:szCs w:val="20"/>
          <w:lang w:val="es-VE"/>
        </w:rPr>
        <w:t xml:space="preserve"> el Estado alegó que </w:t>
      </w:r>
      <w:r w:rsidR="000F0FE9" w:rsidRPr="00FB4380">
        <w:rPr>
          <w:rFonts w:asciiTheme="majorHAnsi" w:hAnsiTheme="majorHAnsi"/>
          <w:color w:val="000000" w:themeColor="text1"/>
          <w:sz w:val="20"/>
          <w:szCs w:val="20"/>
          <w:lang w:val="es-VE"/>
        </w:rPr>
        <w:t xml:space="preserve">las presuntas víctimas </w:t>
      </w:r>
      <w:r w:rsidR="001D3307">
        <w:rPr>
          <w:rFonts w:asciiTheme="majorHAnsi" w:hAnsiTheme="majorHAnsi"/>
          <w:color w:val="000000" w:themeColor="text1"/>
          <w:sz w:val="20"/>
          <w:szCs w:val="20"/>
          <w:lang w:val="es-VE"/>
        </w:rPr>
        <w:t xml:space="preserve">de </w:t>
      </w:r>
      <w:r w:rsidR="000F0FE9" w:rsidRPr="00FB4380">
        <w:rPr>
          <w:rFonts w:asciiTheme="majorHAnsi" w:hAnsiTheme="majorHAnsi"/>
          <w:color w:val="000000" w:themeColor="text1"/>
          <w:sz w:val="20"/>
          <w:szCs w:val="20"/>
          <w:lang w:val="es-VE"/>
        </w:rPr>
        <w:t xml:space="preserve">la petición 725-03, interpusieron una acción de amparo, contra en el Congreso Constituyente Democrático (Expediente </w:t>
      </w:r>
      <w:r w:rsidR="00AE31FB" w:rsidRPr="00FB4380">
        <w:rPr>
          <w:rFonts w:asciiTheme="majorHAnsi" w:hAnsiTheme="majorHAnsi"/>
          <w:color w:val="000000" w:themeColor="text1"/>
          <w:sz w:val="20"/>
          <w:szCs w:val="20"/>
          <w:lang w:val="es-VE"/>
        </w:rPr>
        <w:t xml:space="preserve">No. </w:t>
      </w:r>
      <w:r w:rsidR="000F0FE9" w:rsidRPr="00FB4380">
        <w:rPr>
          <w:rFonts w:asciiTheme="majorHAnsi" w:hAnsiTheme="majorHAnsi"/>
          <w:color w:val="000000" w:themeColor="text1"/>
          <w:sz w:val="20"/>
          <w:szCs w:val="20"/>
          <w:lang w:val="es-VE"/>
        </w:rPr>
        <w:t xml:space="preserve">4943-19930) el 22 de marzo de 1993. Dicho recurso </w:t>
      </w:r>
      <w:r w:rsidR="00B906FE" w:rsidRPr="00FB4380">
        <w:rPr>
          <w:rFonts w:asciiTheme="majorHAnsi" w:hAnsiTheme="majorHAnsi"/>
          <w:color w:val="000000" w:themeColor="text1"/>
          <w:sz w:val="20"/>
          <w:szCs w:val="20"/>
          <w:lang w:val="es-VE"/>
        </w:rPr>
        <w:t>pasó</w:t>
      </w:r>
      <w:r w:rsidR="000F0FE9" w:rsidRPr="00FB4380">
        <w:rPr>
          <w:rFonts w:asciiTheme="majorHAnsi" w:hAnsiTheme="majorHAnsi"/>
          <w:color w:val="000000" w:themeColor="text1"/>
          <w:sz w:val="20"/>
          <w:szCs w:val="20"/>
          <w:lang w:val="es-VE"/>
        </w:rPr>
        <w:t xml:space="preserve"> por las instancias correspondientes y fue declarado improcedente el 6 de diciembre de 2002 por el Tribunal Constitucion</w:t>
      </w:r>
      <w:r w:rsidR="004D5417" w:rsidRPr="00FB4380">
        <w:rPr>
          <w:rFonts w:asciiTheme="majorHAnsi" w:hAnsiTheme="majorHAnsi"/>
          <w:color w:val="000000" w:themeColor="text1"/>
          <w:sz w:val="20"/>
          <w:szCs w:val="20"/>
          <w:lang w:val="es-VE"/>
        </w:rPr>
        <w:t>al (Expediente 2300-2002-AA/TC)</w:t>
      </w:r>
      <w:r w:rsidR="00832F79" w:rsidRPr="00FB4380">
        <w:rPr>
          <w:rFonts w:asciiTheme="majorHAnsi" w:hAnsiTheme="majorHAnsi"/>
          <w:color w:val="000000" w:themeColor="text1"/>
          <w:sz w:val="20"/>
          <w:szCs w:val="20"/>
          <w:lang w:val="es-VE"/>
        </w:rPr>
        <w:t xml:space="preserve"> bajo las reglas del debido proceso</w:t>
      </w:r>
      <w:r w:rsidR="00B906FE" w:rsidRPr="00FB4380">
        <w:rPr>
          <w:rFonts w:asciiTheme="majorHAnsi" w:hAnsiTheme="majorHAnsi"/>
          <w:color w:val="000000" w:themeColor="text1"/>
          <w:sz w:val="20"/>
          <w:szCs w:val="20"/>
          <w:lang w:val="es-VE"/>
        </w:rPr>
        <w:t xml:space="preserve">. En relación con las presuntas víctimas </w:t>
      </w:r>
      <w:r w:rsidR="00AE31FB" w:rsidRPr="00FB4380">
        <w:rPr>
          <w:rFonts w:asciiTheme="majorHAnsi" w:hAnsiTheme="majorHAnsi"/>
          <w:color w:val="000000" w:themeColor="text1"/>
          <w:sz w:val="20"/>
          <w:szCs w:val="20"/>
          <w:lang w:val="es-VE"/>
        </w:rPr>
        <w:t>incluidas</w:t>
      </w:r>
      <w:r w:rsidR="00B906FE" w:rsidRPr="00FB4380">
        <w:rPr>
          <w:rFonts w:asciiTheme="majorHAnsi" w:hAnsiTheme="majorHAnsi"/>
          <w:color w:val="000000" w:themeColor="text1"/>
          <w:sz w:val="20"/>
          <w:szCs w:val="20"/>
          <w:lang w:val="es-VE"/>
        </w:rPr>
        <w:t xml:space="preserve"> </w:t>
      </w:r>
      <w:r w:rsidR="00AE31FB" w:rsidRPr="00FB4380">
        <w:rPr>
          <w:rFonts w:asciiTheme="majorHAnsi" w:hAnsiTheme="majorHAnsi"/>
          <w:color w:val="000000" w:themeColor="text1"/>
          <w:sz w:val="20"/>
          <w:szCs w:val="20"/>
          <w:lang w:val="es-VE"/>
        </w:rPr>
        <w:t xml:space="preserve">en </w:t>
      </w:r>
      <w:r w:rsidR="00B906FE" w:rsidRPr="00FB4380">
        <w:rPr>
          <w:rFonts w:asciiTheme="majorHAnsi" w:hAnsiTheme="majorHAnsi"/>
          <w:color w:val="000000" w:themeColor="text1"/>
          <w:sz w:val="20"/>
          <w:szCs w:val="20"/>
          <w:lang w:val="es-VE"/>
        </w:rPr>
        <w:t xml:space="preserve">la petición 728-00, el Estado señaló que </w:t>
      </w:r>
      <w:r w:rsidR="00AE31FB" w:rsidRPr="00FB4380">
        <w:rPr>
          <w:rFonts w:asciiTheme="majorHAnsi" w:hAnsiTheme="majorHAnsi"/>
          <w:color w:val="000000" w:themeColor="text1"/>
          <w:sz w:val="20"/>
          <w:szCs w:val="20"/>
          <w:lang w:val="es-VE"/>
        </w:rPr>
        <w:t xml:space="preserve">no se identificó </w:t>
      </w:r>
      <w:r w:rsidR="00B906FE" w:rsidRPr="00FB4380">
        <w:rPr>
          <w:rFonts w:asciiTheme="majorHAnsi" w:hAnsiTheme="majorHAnsi"/>
          <w:color w:val="000000" w:themeColor="text1"/>
          <w:sz w:val="20"/>
          <w:szCs w:val="20"/>
          <w:lang w:val="es-VE"/>
        </w:rPr>
        <w:t xml:space="preserve">en la petición inicial ni en documentos posteriores “quiénes de los </w:t>
      </w:r>
      <w:r w:rsidR="00AC2FEC" w:rsidRPr="00FB4380">
        <w:rPr>
          <w:rFonts w:asciiTheme="majorHAnsi" w:hAnsiTheme="majorHAnsi"/>
          <w:color w:val="000000" w:themeColor="text1"/>
          <w:sz w:val="20"/>
          <w:szCs w:val="20"/>
          <w:lang w:val="es-VE"/>
        </w:rPr>
        <w:t>ciento</w:t>
      </w:r>
      <w:r w:rsidR="00B906FE" w:rsidRPr="00FB4380">
        <w:rPr>
          <w:rFonts w:asciiTheme="majorHAnsi" w:hAnsiTheme="majorHAnsi"/>
          <w:color w:val="000000" w:themeColor="text1"/>
          <w:sz w:val="20"/>
          <w:szCs w:val="20"/>
          <w:lang w:val="es-VE"/>
        </w:rPr>
        <w:t xml:space="preserve"> </w:t>
      </w:r>
      <w:r w:rsidR="00AC2FEC" w:rsidRPr="00FB4380">
        <w:rPr>
          <w:rFonts w:asciiTheme="majorHAnsi" w:hAnsiTheme="majorHAnsi"/>
          <w:color w:val="000000" w:themeColor="text1"/>
          <w:sz w:val="20"/>
          <w:szCs w:val="20"/>
          <w:lang w:val="es-VE"/>
        </w:rPr>
        <w:t>setenta y dos (172) ex</w:t>
      </w:r>
      <w:r w:rsidR="004F522D">
        <w:rPr>
          <w:rFonts w:asciiTheme="majorHAnsi" w:hAnsiTheme="majorHAnsi"/>
          <w:color w:val="000000" w:themeColor="text1"/>
          <w:sz w:val="20"/>
          <w:szCs w:val="20"/>
          <w:lang w:val="es-VE"/>
        </w:rPr>
        <w:t xml:space="preserve"> </w:t>
      </w:r>
      <w:r w:rsidR="00AC2FEC" w:rsidRPr="00FB4380">
        <w:rPr>
          <w:rFonts w:asciiTheme="majorHAnsi" w:hAnsiTheme="majorHAnsi"/>
          <w:color w:val="000000" w:themeColor="text1"/>
          <w:sz w:val="20"/>
          <w:szCs w:val="20"/>
          <w:lang w:val="es-VE"/>
        </w:rPr>
        <w:t xml:space="preserve">trabajadores del Congreso de la República acudieron </w:t>
      </w:r>
      <w:r w:rsidR="00AC2FEC" w:rsidRPr="00FB4380">
        <w:rPr>
          <w:rFonts w:asciiTheme="majorHAnsi" w:hAnsiTheme="majorHAnsi"/>
          <w:color w:val="000000" w:themeColor="text1"/>
          <w:sz w:val="20"/>
          <w:szCs w:val="20"/>
          <w:lang w:val="es-VE"/>
        </w:rPr>
        <w:lastRenderedPageBreak/>
        <w:t xml:space="preserve">a la jurisdicción interna a fin de hacer valer su pretensión”. El Estado indicó que “si bien señalan, por un lado, que habrían sido impedidos de cuestionar su cese, por otro lado, reconocen, que algunos presentaron recursos de apelación o revisión, sin precisar a qué proceso acudieron, número de expediente, contra quien accionaron, es decir algún dato que permita </w:t>
      </w:r>
      <w:r w:rsidR="001D3307">
        <w:rPr>
          <w:rFonts w:asciiTheme="majorHAnsi" w:hAnsiTheme="majorHAnsi"/>
          <w:color w:val="000000" w:themeColor="text1"/>
          <w:sz w:val="20"/>
          <w:szCs w:val="20"/>
          <w:lang w:val="es-VE"/>
        </w:rPr>
        <w:t>[al Estado]</w:t>
      </w:r>
      <w:r w:rsidR="00AC2FEC" w:rsidRPr="00FB4380">
        <w:rPr>
          <w:rFonts w:asciiTheme="majorHAnsi" w:hAnsiTheme="majorHAnsi"/>
          <w:color w:val="000000" w:themeColor="text1"/>
          <w:sz w:val="20"/>
          <w:szCs w:val="20"/>
          <w:lang w:val="es-VE"/>
        </w:rPr>
        <w:t xml:space="preserve"> solicitar información que conduzca a efectuar un análisis sobre el agotamiento (…)”</w:t>
      </w:r>
      <w:r w:rsidR="002D620B" w:rsidRPr="00FB4380">
        <w:rPr>
          <w:rFonts w:asciiTheme="majorHAnsi" w:hAnsiTheme="majorHAnsi"/>
          <w:color w:val="000000" w:themeColor="text1"/>
          <w:sz w:val="20"/>
          <w:szCs w:val="20"/>
          <w:lang w:val="es-VE"/>
        </w:rPr>
        <w:t>.</w:t>
      </w:r>
    </w:p>
    <w:p w14:paraId="75B1982B" w14:textId="77777777" w:rsidR="00B906FE" w:rsidRPr="00FB4380" w:rsidRDefault="00AC2FEC" w:rsidP="007C047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r w:rsidRPr="00FB4380">
        <w:rPr>
          <w:rFonts w:asciiTheme="majorHAnsi" w:hAnsiTheme="majorHAnsi"/>
          <w:color w:val="000000" w:themeColor="text1"/>
          <w:sz w:val="20"/>
          <w:szCs w:val="20"/>
          <w:lang w:val="es-VE"/>
        </w:rPr>
        <w:t xml:space="preserve"> </w:t>
      </w:r>
    </w:p>
    <w:p w14:paraId="39279AD7" w14:textId="77777777" w:rsidR="00193808" w:rsidRPr="00FB4380" w:rsidRDefault="00D4337D" w:rsidP="007C04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lang w:val="es-VE"/>
        </w:rPr>
      </w:pPr>
      <w:r w:rsidRPr="00FB4380">
        <w:rPr>
          <w:rFonts w:asciiTheme="majorHAnsi" w:hAnsiTheme="majorHAnsi"/>
          <w:color w:val="000000" w:themeColor="text1"/>
          <w:sz w:val="20"/>
          <w:szCs w:val="20"/>
          <w:lang w:val="es-VE"/>
        </w:rPr>
        <w:t xml:space="preserve">El Estado indicó que de las 172 presuntas víctimas incorporadas a través de la petición 728-00, 121 son beneficiarios del Programa Extraordinario de Acceso a Beneficios </w:t>
      </w:r>
      <w:r w:rsidR="00DD690F" w:rsidRPr="00FB4380">
        <w:rPr>
          <w:rFonts w:asciiTheme="majorHAnsi" w:hAnsiTheme="majorHAnsi"/>
          <w:color w:val="000000" w:themeColor="text1"/>
          <w:sz w:val="20"/>
          <w:szCs w:val="20"/>
          <w:lang w:val="es-VE"/>
        </w:rPr>
        <w:t>(en adelante “el Programa Extraordinario”)</w:t>
      </w:r>
      <w:r w:rsidR="00677C9E" w:rsidRPr="00FB4380">
        <w:rPr>
          <w:rFonts w:asciiTheme="majorHAnsi" w:hAnsiTheme="majorHAnsi"/>
          <w:color w:val="000000" w:themeColor="text1"/>
          <w:sz w:val="20"/>
          <w:szCs w:val="20"/>
          <w:lang w:val="es-VE"/>
        </w:rPr>
        <w:t xml:space="preserve"> </w:t>
      </w:r>
      <w:r w:rsidRPr="00FB4380">
        <w:rPr>
          <w:rFonts w:asciiTheme="majorHAnsi" w:hAnsiTheme="majorHAnsi"/>
          <w:color w:val="000000" w:themeColor="text1"/>
          <w:sz w:val="20"/>
          <w:szCs w:val="20"/>
          <w:lang w:val="es-VE"/>
        </w:rPr>
        <w:t xml:space="preserve">y que habrían optado en su momento por la compensación económica, reincorporación laboral, </w:t>
      </w:r>
      <w:r w:rsidR="00BA1068" w:rsidRPr="00FB4380">
        <w:rPr>
          <w:rFonts w:asciiTheme="majorHAnsi" w:hAnsiTheme="majorHAnsi"/>
          <w:color w:val="000000" w:themeColor="text1"/>
          <w:sz w:val="20"/>
          <w:szCs w:val="20"/>
          <w:lang w:val="es-VE"/>
        </w:rPr>
        <w:t>jubilación adelantada</w:t>
      </w:r>
      <w:r w:rsidRPr="00FB4380">
        <w:rPr>
          <w:rFonts w:asciiTheme="majorHAnsi" w:hAnsiTheme="majorHAnsi"/>
          <w:color w:val="000000" w:themeColor="text1"/>
          <w:sz w:val="20"/>
          <w:szCs w:val="20"/>
          <w:lang w:val="es-VE"/>
        </w:rPr>
        <w:t xml:space="preserve"> o reconversi</w:t>
      </w:r>
      <w:r w:rsidR="00BA1068" w:rsidRPr="00FB4380">
        <w:rPr>
          <w:rFonts w:asciiTheme="majorHAnsi" w:hAnsiTheme="majorHAnsi"/>
          <w:color w:val="000000" w:themeColor="text1"/>
          <w:sz w:val="20"/>
          <w:szCs w:val="20"/>
          <w:lang w:val="es-VE"/>
        </w:rPr>
        <w:t>ón laboral. Asimismo, indicó que 51 de ese mismo grupo de víctimas, no son parte del mencionado Programa.</w:t>
      </w:r>
      <w:r w:rsidR="00E7107E" w:rsidRPr="00FB4380">
        <w:rPr>
          <w:rFonts w:asciiTheme="majorHAnsi" w:hAnsiTheme="majorHAnsi"/>
          <w:color w:val="000000" w:themeColor="text1"/>
          <w:sz w:val="20"/>
          <w:szCs w:val="20"/>
          <w:lang w:val="es-VE"/>
        </w:rPr>
        <w:t xml:space="preserve"> En relación con el agotamiento de los recursos el Estado indicó que si bien existía una prohibición establecida legalmente a la presentación de amparos, indicó que la vía indicada “era una acción contencioso administrativa, pues el amparo no era la vía idónea para impugnar una Ley”</w:t>
      </w:r>
      <w:r w:rsidR="007C315E" w:rsidRPr="00FB4380">
        <w:rPr>
          <w:rFonts w:asciiTheme="majorHAnsi" w:hAnsiTheme="majorHAnsi"/>
          <w:color w:val="000000" w:themeColor="text1"/>
          <w:sz w:val="20"/>
          <w:szCs w:val="20"/>
          <w:lang w:val="es-VE"/>
        </w:rPr>
        <w:t xml:space="preserve"> o que podían también ejercido una “acción popular” proceso constitucional destinado a la impugnación de reglamentos, normas administrativas, resoluciones y decretos. El Estado añadió que por deficiencia de la información presentada por la parte peticionaria no existe certeza de la interposición y agotamiento de los recursos internos.</w:t>
      </w:r>
    </w:p>
    <w:p w14:paraId="3F6BEF44" w14:textId="77777777" w:rsidR="00193808" w:rsidRPr="00FB4380" w:rsidRDefault="00193808" w:rsidP="007C047E">
      <w:pPr>
        <w:pStyle w:val="ListParagraph"/>
        <w:ind w:left="0"/>
        <w:rPr>
          <w:rFonts w:asciiTheme="majorHAnsi" w:hAnsiTheme="majorHAnsi"/>
          <w:color w:val="000000" w:themeColor="text1"/>
          <w:sz w:val="20"/>
          <w:szCs w:val="20"/>
          <w:lang w:val="es-VE"/>
        </w:rPr>
      </w:pPr>
    </w:p>
    <w:p w14:paraId="2AC6D048" w14:textId="77777777" w:rsidR="00AC2FEC" w:rsidRPr="00FB4380" w:rsidRDefault="00193808" w:rsidP="007C04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lang w:val="es-VE"/>
        </w:rPr>
      </w:pPr>
      <w:r w:rsidRPr="00FB4380">
        <w:rPr>
          <w:rFonts w:asciiTheme="majorHAnsi" w:hAnsiTheme="majorHAnsi"/>
          <w:color w:val="000000" w:themeColor="text1"/>
          <w:sz w:val="20"/>
          <w:szCs w:val="20"/>
          <w:lang w:val="es-VE"/>
        </w:rPr>
        <w:t>El Estado señaló que el escrito de observaciones de fondo de la parte peticionaria “no cumple con exponer de modo alguno” las observaciones adicionales sobre el fondo solicitadas por la CIDH. A</w:t>
      </w:r>
      <w:r w:rsidR="00FE1E41" w:rsidRPr="00FB4380">
        <w:rPr>
          <w:rFonts w:asciiTheme="majorHAnsi" w:hAnsiTheme="majorHAnsi"/>
          <w:color w:val="000000" w:themeColor="text1"/>
          <w:sz w:val="20"/>
          <w:szCs w:val="20"/>
          <w:lang w:val="es-VE"/>
        </w:rPr>
        <w:t xml:space="preserve">simismo, señaló que encuentra “limitado cualquier contradicción sobre los argumentos que puedan ser planteados por la parte peticionaria en relación con el fondo de la controversia” debido a que la resolución conjunta de la admisibilidad y el fondo genera un estado de indefensión contrario al espíritu del sistema interamericano. </w:t>
      </w:r>
    </w:p>
    <w:p w14:paraId="2831260F" w14:textId="77777777" w:rsidR="00FE1E41" w:rsidRPr="00FB4380" w:rsidRDefault="00FE1E41" w:rsidP="007C047E">
      <w:pPr>
        <w:pStyle w:val="ListParagraph"/>
        <w:ind w:left="0"/>
        <w:rPr>
          <w:rFonts w:asciiTheme="majorHAnsi" w:hAnsiTheme="majorHAnsi"/>
          <w:color w:val="000000" w:themeColor="text1"/>
          <w:sz w:val="20"/>
          <w:szCs w:val="20"/>
          <w:lang w:val="es-VE"/>
        </w:rPr>
      </w:pPr>
    </w:p>
    <w:p w14:paraId="008DE75E" w14:textId="77777777" w:rsidR="00FE1E41" w:rsidRPr="00FB4380" w:rsidRDefault="00FE1E41" w:rsidP="007C04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lang w:val="es-VE"/>
        </w:rPr>
      </w:pPr>
      <w:r w:rsidRPr="00FB4380">
        <w:rPr>
          <w:rFonts w:asciiTheme="majorHAnsi" w:hAnsiTheme="majorHAnsi"/>
          <w:color w:val="000000" w:themeColor="text1"/>
          <w:sz w:val="20"/>
          <w:szCs w:val="20"/>
          <w:lang w:val="es-VE"/>
        </w:rPr>
        <w:t xml:space="preserve">El Estado refirió la existencia de “déficit de identificación de las presuntas víctimas y sus consecuencias procesales. En relación con las víctimas de la petición 728-00 señaló que el número de presuntas víctimas ha sido errático y cambiante desde la petición inicial hasta sus escritos actuales. </w:t>
      </w:r>
    </w:p>
    <w:p w14:paraId="5EF1B36C" w14:textId="77777777" w:rsidR="007F7E9A" w:rsidRPr="00FB4380" w:rsidRDefault="007F7E9A" w:rsidP="007C047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797D31DD" w14:textId="77777777" w:rsidR="00816696" w:rsidRPr="00FB4380" w:rsidRDefault="00254252" w:rsidP="005777B2">
      <w:pPr>
        <w:pStyle w:val="Heading1"/>
        <w:ind w:left="720" w:hanging="720"/>
      </w:pPr>
      <w:bookmarkStart w:id="6" w:name="_Toc5358714"/>
      <w:r w:rsidRPr="00FB4380">
        <w:t>ANÁLISIS DE ADMISIBILIDAD</w:t>
      </w:r>
      <w:bookmarkEnd w:id="6"/>
      <w:r w:rsidRPr="00FB4380">
        <w:t xml:space="preserve"> </w:t>
      </w:r>
    </w:p>
    <w:p w14:paraId="52EEEBB6" w14:textId="77777777" w:rsidR="00254252" w:rsidRPr="00FB4380" w:rsidRDefault="00254252" w:rsidP="007C047E">
      <w:pPr>
        <w:pStyle w:val="ListParagraph"/>
        <w:suppressAutoHyphens/>
        <w:ind w:left="0"/>
        <w:rPr>
          <w:rFonts w:asciiTheme="majorHAnsi" w:hAnsiTheme="majorHAnsi"/>
          <w:b/>
          <w:sz w:val="20"/>
          <w:szCs w:val="20"/>
          <w:lang w:val="es-ES_tradnl"/>
        </w:rPr>
      </w:pPr>
    </w:p>
    <w:p w14:paraId="32D58BD8" w14:textId="77777777" w:rsidR="00254252" w:rsidRPr="00FB4380" w:rsidRDefault="00254252" w:rsidP="001D3307">
      <w:pPr>
        <w:pStyle w:val="Heading2"/>
        <w:numPr>
          <w:ilvl w:val="0"/>
          <w:numId w:val="59"/>
        </w:numPr>
        <w:ind w:left="0" w:firstLine="0"/>
        <w:jc w:val="both"/>
        <w:rPr>
          <w:i/>
          <w:lang w:val="es-ES"/>
        </w:rPr>
      </w:pPr>
      <w:bookmarkStart w:id="7" w:name="_Toc413687816"/>
      <w:bookmarkStart w:id="8" w:name="_Toc5358715"/>
      <w:r w:rsidRPr="00FB4380">
        <w:rPr>
          <w:lang w:val="es-ES"/>
        </w:rPr>
        <w:t>Competencia ratione</w:t>
      </w:r>
      <w:r w:rsidRPr="007C047E">
        <w:t xml:space="preserve"> materiae, ratione personae, ratione temporis y ratione loci de la  Comisión</w:t>
      </w:r>
      <w:bookmarkEnd w:id="7"/>
      <w:bookmarkEnd w:id="8"/>
      <w:r w:rsidRPr="00FB4380">
        <w:rPr>
          <w:lang w:val="es-ES"/>
        </w:rPr>
        <w:t xml:space="preserve"> </w:t>
      </w:r>
    </w:p>
    <w:p w14:paraId="4562B86F" w14:textId="77777777" w:rsidR="00254252" w:rsidRPr="00FB4380" w:rsidRDefault="00254252" w:rsidP="007C047E">
      <w:pPr>
        <w:pStyle w:val="ListParagraph"/>
        <w:suppressAutoHyphens/>
        <w:ind w:left="0"/>
        <w:rPr>
          <w:rFonts w:asciiTheme="majorHAnsi" w:hAnsiTheme="majorHAnsi"/>
          <w:sz w:val="20"/>
          <w:szCs w:val="20"/>
          <w:lang w:val="es-ES"/>
        </w:rPr>
      </w:pPr>
    </w:p>
    <w:p w14:paraId="774A416E" w14:textId="72DA7036" w:rsidR="00254252" w:rsidRPr="00FB4380" w:rsidRDefault="00505351" w:rsidP="007C04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s="Calibri"/>
          <w:sz w:val="20"/>
          <w:szCs w:val="20"/>
          <w:lang w:val="es-ES"/>
        </w:rPr>
      </w:pPr>
      <w:r>
        <w:rPr>
          <w:rFonts w:asciiTheme="majorHAnsi" w:hAnsiTheme="majorHAnsi" w:cs="Calibri"/>
          <w:sz w:val="20"/>
          <w:szCs w:val="20"/>
          <w:lang w:val="es-ES"/>
        </w:rPr>
        <w:t xml:space="preserve">La parte peticionaria </w:t>
      </w:r>
      <w:r w:rsidR="00254252" w:rsidRPr="00FB4380">
        <w:rPr>
          <w:rFonts w:asciiTheme="majorHAnsi" w:hAnsiTheme="majorHAnsi" w:cs="Calibri"/>
          <w:sz w:val="20"/>
          <w:szCs w:val="20"/>
          <w:lang w:val="es-ES"/>
        </w:rPr>
        <w:t xml:space="preserve">se encuentra facultados por el artículo 44 de la Convención Americana para presentar denuncias. Asimismo, las presuntas víctimas son personas naturales que se encontraban bajo la jurisdicción del Estado peruano a la fecha de los hechos </w:t>
      </w:r>
      <w:r w:rsidR="00447860" w:rsidRPr="00FB4380">
        <w:rPr>
          <w:rFonts w:asciiTheme="majorHAnsi" w:hAnsiTheme="majorHAnsi" w:cs="Calibri"/>
          <w:sz w:val="20"/>
          <w:szCs w:val="20"/>
          <w:lang w:val="es-ES"/>
        </w:rPr>
        <w:t>alegados</w:t>
      </w:r>
      <w:r w:rsidR="00254252" w:rsidRPr="00FB4380">
        <w:rPr>
          <w:rFonts w:asciiTheme="majorHAnsi" w:hAnsiTheme="majorHAnsi" w:cs="Calibri"/>
          <w:sz w:val="20"/>
          <w:szCs w:val="20"/>
          <w:lang w:val="es-ES"/>
        </w:rPr>
        <w:t xml:space="preserve">. En consecuencia, la Comisión tiene competencia </w:t>
      </w:r>
      <w:r w:rsidR="00254252" w:rsidRPr="00FB4380">
        <w:rPr>
          <w:rFonts w:asciiTheme="majorHAnsi" w:hAnsiTheme="majorHAnsi" w:cs="Calibri"/>
          <w:i/>
          <w:sz w:val="20"/>
          <w:szCs w:val="20"/>
          <w:lang w:val="es-ES"/>
        </w:rPr>
        <w:t>ratione personae</w:t>
      </w:r>
      <w:r w:rsidR="00254252" w:rsidRPr="00FB4380">
        <w:rPr>
          <w:rFonts w:asciiTheme="majorHAnsi" w:hAnsiTheme="majorHAnsi" w:cs="Calibri"/>
          <w:sz w:val="20"/>
          <w:szCs w:val="20"/>
          <w:lang w:val="es-ES"/>
        </w:rPr>
        <w:t xml:space="preserve"> para examinar la petición. La Comisión tiene competencia </w:t>
      </w:r>
      <w:r w:rsidR="00254252" w:rsidRPr="00FB4380">
        <w:rPr>
          <w:rFonts w:asciiTheme="majorHAnsi" w:hAnsiTheme="majorHAnsi" w:cs="Calibri"/>
          <w:i/>
          <w:sz w:val="20"/>
          <w:szCs w:val="20"/>
          <w:lang w:val="es-ES"/>
        </w:rPr>
        <w:t>ratione loci</w:t>
      </w:r>
      <w:r w:rsidR="00254252" w:rsidRPr="00FB4380">
        <w:rPr>
          <w:rFonts w:asciiTheme="majorHAnsi" w:hAnsiTheme="majorHAnsi" w:cs="Calibri"/>
          <w:sz w:val="20"/>
          <w:szCs w:val="20"/>
          <w:lang w:val="es-ES"/>
        </w:rPr>
        <w:t xml:space="preserve"> para conocer la petición, por cuanto en ella se alegan violaciones de la Convención Americana que habrían tenido lugar dentro del territorio de un Estado parte de dicho tratado. Igualmente, la CIDH tiene competencia </w:t>
      </w:r>
      <w:r w:rsidR="00254252" w:rsidRPr="00FB4380">
        <w:rPr>
          <w:rFonts w:asciiTheme="majorHAnsi" w:hAnsiTheme="majorHAnsi" w:cs="Calibri"/>
          <w:i/>
          <w:sz w:val="20"/>
          <w:szCs w:val="20"/>
          <w:lang w:val="es-ES"/>
        </w:rPr>
        <w:t>ratione materiae</w:t>
      </w:r>
      <w:r w:rsidR="00254252" w:rsidRPr="00FB4380">
        <w:rPr>
          <w:rFonts w:asciiTheme="majorHAnsi" w:hAnsiTheme="majorHAnsi" w:cs="Calibri"/>
          <w:sz w:val="20"/>
          <w:szCs w:val="20"/>
          <w:lang w:val="es-ES"/>
        </w:rPr>
        <w:t xml:space="preserve"> debido a que la petición se refiere a presuntas violaciones de la Convención Americana. La Comisión también tiene competencia </w:t>
      </w:r>
      <w:r w:rsidR="00254252" w:rsidRPr="00FB4380">
        <w:rPr>
          <w:rFonts w:asciiTheme="majorHAnsi" w:hAnsiTheme="majorHAnsi" w:cs="Calibri"/>
          <w:i/>
          <w:sz w:val="20"/>
          <w:szCs w:val="20"/>
          <w:lang w:val="es-ES"/>
        </w:rPr>
        <w:t>ratione temporis</w:t>
      </w:r>
      <w:r w:rsidR="00254252" w:rsidRPr="00FB4380">
        <w:rPr>
          <w:rFonts w:asciiTheme="majorHAnsi" w:hAnsiTheme="majorHAnsi" w:cs="Calibri"/>
          <w:sz w:val="20"/>
          <w:szCs w:val="20"/>
          <w:lang w:val="es-ES"/>
        </w:rPr>
        <w:t xml:space="preserve"> pues Perú ratificó la Convención Americana el 28 de julio de 1978 y, por lo tanto, la obligación de respetar y garantizar los derechos establecidos en la Convención Americana ya se encontraba en vigor para el Estado en la fecha en que habrían ocurrido los hechos. </w:t>
      </w:r>
    </w:p>
    <w:p w14:paraId="76BD0142" w14:textId="77777777" w:rsidR="004470AE" w:rsidRPr="00FB4380" w:rsidRDefault="004470AE" w:rsidP="007C047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s="Calibri"/>
          <w:sz w:val="20"/>
          <w:szCs w:val="20"/>
          <w:lang w:val="es-ES"/>
        </w:rPr>
      </w:pPr>
    </w:p>
    <w:p w14:paraId="4BE63B2F" w14:textId="77777777" w:rsidR="004470AE" w:rsidRPr="00FB4380" w:rsidRDefault="004470AE" w:rsidP="007C04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s="Calibri"/>
          <w:sz w:val="20"/>
          <w:szCs w:val="20"/>
          <w:lang w:val="es-ES"/>
        </w:rPr>
      </w:pPr>
      <w:r w:rsidRPr="00FB4380">
        <w:rPr>
          <w:rFonts w:asciiTheme="majorHAnsi" w:hAnsiTheme="majorHAnsi" w:cs="Calibri"/>
          <w:sz w:val="20"/>
          <w:szCs w:val="20"/>
          <w:lang w:val="es-ES"/>
        </w:rPr>
        <w:t xml:space="preserve">En relación con el alegado “déficit de identificación de las presuntas víctimas” la CIDH considera que dicha situación ya se encuentra superada y que </w:t>
      </w:r>
      <w:r w:rsidRPr="00FB4380">
        <w:rPr>
          <w:rFonts w:asciiTheme="majorHAnsi" w:hAnsiTheme="majorHAnsi"/>
          <w:color w:val="000000" w:themeColor="text1"/>
          <w:sz w:val="20"/>
          <w:szCs w:val="20"/>
          <w:lang w:val="es-VE"/>
        </w:rPr>
        <w:t>la cuenta final de presuntas víctimas alcanza un total de 192 personas</w:t>
      </w:r>
      <w:r w:rsidR="000412D5" w:rsidRPr="00FB4380">
        <w:rPr>
          <w:rFonts w:asciiTheme="majorHAnsi" w:hAnsiTheme="majorHAnsi"/>
          <w:color w:val="000000" w:themeColor="text1"/>
          <w:sz w:val="20"/>
          <w:szCs w:val="20"/>
          <w:lang w:val="es-VE"/>
        </w:rPr>
        <w:t xml:space="preserve"> individualizadas en el Anexos de Víctimas del presente informe de fondo. </w:t>
      </w:r>
    </w:p>
    <w:p w14:paraId="5A795DCD" w14:textId="77777777" w:rsidR="00254252" w:rsidRPr="00FB4380" w:rsidRDefault="00254252" w:rsidP="007C047E">
      <w:pPr>
        <w:pStyle w:val="ListParagraph"/>
        <w:suppressAutoHyphens/>
        <w:ind w:left="0"/>
        <w:rPr>
          <w:rFonts w:asciiTheme="majorHAnsi" w:hAnsiTheme="majorHAnsi"/>
          <w:sz w:val="20"/>
          <w:szCs w:val="20"/>
          <w:lang w:val="es-ES_tradnl"/>
        </w:rPr>
      </w:pPr>
    </w:p>
    <w:p w14:paraId="7D10789B" w14:textId="77777777" w:rsidR="007062C9" w:rsidRPr="00FB4380" w:rsidRDefault="00254252" w:rsidP="007C047E">
      <w:pPr>
        <w:pStyle w:val="Heading2"/>
        <w:numPr>
          <w:ilvl w:val="0"/>
          <w:numId w:val="59"/>
        </w:numPr>
        <w:ind w:left="720" w:hanging="720"/>
        <w:rPr>
          <w:i/>
        </w:rPr>
      </w:pPr>
      <w:bookmarkStart w:id="9" w:name="_Toc5358716"/>
      <w:r w:rsidRPr="00FB4380">
        <w:t>Requisitos de admisibilidad</w:t>
      </w:r>
      <w:bookmarkEnd w:id="9"/>
    </w:p>
    <w:p w14:paraId="7BEFCB2A" w14:textId="77777777" w:rsidR="007062C9" w:rsidRPr="00FB4380" w:rsidRDefault="007062C9" w:rsidP="007C047E">
      <w:pPr>
        <w:rPr>
          <w:rFonts w:asciiTheme="majorHAnsi" w:hAnsiTheme="majorHAnsi"/>
          <w:lang w:val="es-ES"/>
        </w:rPr>
      </w:pPr>
    </w:p>
    <w:p w14:paraId="1B56E364" w14:textId="633DC9DE" w:rsidR="00254252" w:rsidRDefault="007062C9" w:rsidP="007C047E">
      <w:pPr>
        <w:pStyle w:val="Heading3"/>
        <w:numPr>
          <w:ilvl w:val="0"/>
          <w:numId w:val="60"/>
        </w:numPr>
        <w:ind w:left="0" w:firstLine="0"/>
        <w:rPr>
          <w:rFonts w:asciiTheme="majorHAnsi" w:hAnsiTheme="majorHAnsi"/>
          <w:lang w:val="es-ES"/>
        </w:rPr>
      </w:pPr>
      <w:bookmarkStart w:id="10" w:name="_Toc5358717"/>
      <w:r w:rsidRPr="00FB4380">
        <w:rPr>
          <w:rFonts w:asciiTheme="majorHAnsi" w:hAnsiTheme="majorHAnsi"/>
          <w:lang w:val="es-ES"/>
        </w:rPr>
        <w:t>Agotamiento de recursos internos</w:t>
      </w:r>
      <w:bookmarkEnd w:id="10"/>
    </w:p>
    <w:p w14:paraId="547634B8" w14:textId="77777777" w:rsidR="00AD7FC4" w:rsidRPr="00AD7FC4" w:rsidRDefault="00AD7FC4" w:rsidP="00AD7FC4">
      <w:pPr>
        <w:rPr>
          <w:lang w:val="es-ES"/>
        </w:rPr>
      </w:pPr>
    </w:p>
    <w:p w14:paraId="6F5E460C" w14:textId="77777777" w:rsidR="007062C9" w:rsidRPr="00FB4380" w:rsidRDefault="007062C9" w:rsidP="007C047E">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rPr>
      </w:pPr>
      <w:r w:rsidRPr="00FB4380">
        <w:rPr>
          <w:rFonts w:asciiTheme="majorHAnsi" w:hAnsiTheme="majorHAnsi" w:cs="Calibri"/>
          <w:sz w:val="20"/>
          <w:szCs w:val="20"/>
        </w:rPr>
        <w:t xml:space="preserve">El artículo 46.1.a) de la Convención Americana dispone que, para que sea admisible una denuncia presentada ante la Comisión Interamericana de conformidad con el artículo 44 del mismo instrumento, es </w:t>
      </w:r>
      <w:r w:rsidRPr="00FB4380">
        <w:rPr>
          <w:rFonts w:asciiTheme="majorHAnsi" w:hAnsiTheme="majorHAnsi" w:cs="Calibri"/>
          <w:sz w:val="20"/>
          <w:szCs w:val="20"/>
        </w:rPr>
        <w:lastRenderedPageBreak/>
        <w:t>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oportunidad de solucionarla antes de que sea conocida por una instancia internacional.</w:t>
      </w:r>
      <w:r w:rsidR="00501428" w:rsidRPr="00FB4380">
        <w:rPr>
          <w:rFonts w:asciiTheme="majorHAnsi" w:hAnsiTheme="majorHAnsi" w:cs="Calibri"/>
          <w:sz w:val="20"/>
          <w:szCs w:val="20"/>
        </w:rPr>
        <w:t xml:space="preserve"> Ahora bien, el mencionado artículo contempla en su inciso 2</w:t>
      </w:r>
      <w:r w:rsidR="000C4D12" w:rsidRPr="00FB4380">
        <w:rPr>
          <w:rFonts w:asciiTheme="majorHAnsi" w:hAnsiTheme="majorHAnsi" w:cs="Calibri"/>
          <w:sz w:val="20"/>
          <w:szCs w:val="20"/>
        </w:rPr>
        <w:t xml:space="preserve">.b. como excepción al agotamiento </w:t>
      </w:r>
      <w:r w:rsidR="00501428" w:rsidRPr="00FB4380">
        <w:rPr>
          <w:rFonts w:asciiTheme="majorHAnsi" w:hAnsiTheme="majorHAnsi" w:cs="Calibri"/>
          <w:sz w:val="20"/>
          <w:szCs w:val="20"/>
        </w:rPr>
        <w:t xml:space="preserve">que no se haya permitido al presunta lesionado en sus derechos el acceso a los recursos de jurisdicción interna, o haya sido </w:t>
      </w:r>
      <w:r w:rsidR="000C4D12" w:rsidRPr="00FB4380">
        <w:rPr>
          <w:rFonts w:asciiTheme="majorHAnsi" w:hAnsiTheme="majorHAnsi" w:cs="Calibri"/>
          <w:sz w:val="20"/>
          <w:szCs w:val="20"/>
        </w:rPr>
        <w:t>impedido de agotarlos.</w:t>
      </w:r>
    </w:p>
    <w:p w14:paraId="0EB22895" w14:textId="77777777" w:rsidR="007062C9" w:rsidRPr="00FB4380" w:rsidRDefault="007062C9" w:rsidP="007C047E">
      <w:pPr>
        <w:jc w:val="both"/>
        <w:rPr>
          <w:rFonts w:asciiTheme="majorHAnsi" w:hAnsiTheme="majorHAnsi" w:cs="Calibri"/>
          <w:sz w:val="20"/>
          <w:szCs w:val="20"/>
          <w:lang w:val="es-ES_tradnl"/>
        </w:rPr>
      </w:pPr>
    </w:p>
    <w:p w14:paraId="63CB9718" w14:textId="16298CC3" w:rsidR="00A16F58" w:rsidRPr="00FB4380" w:rsidRDefault="000C4D12" w:rsidP="007C047E">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rPr>
      </w:pPr>
      <w:r w:rsidRPr="00FB4380">
        <w:rPr>
          <w:rFonts w:asciiTheme="majorHAnsi" w:hAnsiTheme="majorHAnsi" w:cs="Calibri"/>
          <w:sz w:val="20"/>
          <w:szCs w:val="20"/>
        </w:rPr>
        <w:t xml:space="preserve">La Comisión y la Corte ya se han referido </w:t>
      </w:r>
      <w:r w:rsidR="00373805" w:rsidRPr="00FB4380">
        <w:rPr>
          <w:rFonts w:asciiTheme="majorHAnsi" w:hAnsiTheme="majorHAnsi" w:cs="Calibri"/>
          <w:sz w:val="20"/>
          <w:szCs w:val="20"/>
        </w:rPr>
        <w:t xml:space="preserve">anteriormente sobre </w:t>
      </w:r>
      <w:r w:rsidRPr="00FB4380">
        <w:rPr>
          <w:rFonts w:asciiTheme="majorHAnsi" w:hAnsiTheme="majorHAnsi" w:cs="Calibri"/>
          <w:sz w:val="20"/>
          <w:szCs w:val="20"/>
        </w:rPr>
        <w:t>el contexto de los despidos colectivos a los trabajadores del Congreso de la Rep</w:t>
      </w:r>
      <w:r w:rsidR="00373805" w:rsidRPr="00FB4380">
        <w:rPr>
          <w:rFonts w:asciiTheme="majorHAnsi" w:hAnsiTheme="majorHAnsi" w:cs="Calibri"/>
          <w:sz w:val="20"/>
          <w:szCs w:val="20"/>
        </w:rPr>
        <w:t>ública</w:t>
      </w:r>
      <w:r w:rsidR="00505351">
        <w:rPr>
          <w:rFonts w:asciiTheme="majorHAnsi" w:hAnsiTheme="majorHAnsi" w:cs="Calibri"/>
          <w:sz w:val="20"/>
          <w:szCs w:val="20"/>
        </w:rPr>
        <w:t xml:space="preserve"> del Perú</w:t>
      </w:r>
      <w:r w:rsidR="00373805" w:rsidRPr="00FB4380">
        <w:rPr>
          <w:rFonts w:asciiTheme="majorHAnsi" w:hAnsiTheme="majorHAnsi" w:cs="Calibri"/>
          <w:sz w:val="20"/>
          <w:szCs w:val="20"/>
        </w:rPr>
        <w:t xml:space="preserve">. </w:t>
      </w:r>
      <w:r w:rsidR="00A16F58" w:rsidRPr="00FB4380">
        <w:rPr>
          <w:rFonts w:asciiTheme="majorHAnsi" w:hAnsiTheme="majorHAnsi" w:cs="Calibri"/>
          <w:sz w:val="20"/>
          <w:szCs w:val="20"/>
        </w:rPr>
        <w:t xml:space="preserve">En su informe de admisibilidad 150/10 de 1 de noviembre de 2010, la CIDH señaló que </w:t>
      </w:r>
    </w:p>
    <w:p w14:paraId="1470720D" w14:textId="77777777" w:rsidR="00373805" w:rsidRPr="00FB4380" w:rsidRDefault="00373805" w:rsidP="0037380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mbria" w:hAnsiTheme="majorHAnsi" w:cs="Calibri"/>
          <w:sz w:val="18"/>
          <w:szCs w:val="20"/>
          <w:lang w:val="es-ES"/>
        </w:rPr>
      </w:pPr>
    </w:p>
    <w:p w14:paraId="38D419A4" w14:textId="77777777" w:rsidR="00373805" w:rsidRPr="009162D5" w:rsidRDefault="00A16F58" w:rsidP="009162D5">
      <w:pPr>
        <w:pStyle w:val="BodyTextIndent"/>
        <w:tabs>
          <w:tab w:val="left" w:pos="180"/>
        </w:tabs>
        <w:ind w:left="142" w:right="142" w:firstLine="0"/>
        <w:jc w:val="both"/>
        <w:rPr>
          <w:rFonts w:asciiTheme="majorHAnsi" w:hAnsiTheme="majorHAnsi" w:cs="Calibri"/>
          <w:sz w:val="18"/>
          <w:szCs w:val="20"/>
          <w:lang w:val="es-ES"/>
        </w:rPr>
      </w:pPr>
      <w:r w:rsidRPr="009162D5">
        <w:rPr>
          <w:rFonts w:asciiTheme="majorHAnsi" w:hAnsiTheme="majorHAnsi" w:cs="Calibri"/>
          <w:sz w:val="18"/>
          <w:szCs w:val="20"/>
          <w:lang w:val="es-ES"/>
        </w:rPr>
        <w:t xml:space="preserve">7. </w:t>
      </w:r>
      <w:r w:rsidR="00373805" w:rsidRPr="009162D5">
        <w:rPr>
          <w:rFonts w:asciiTheme="majorHAnsi" w:hAnsiTheme="majorHAnsi" w:cs="Calibri"/>
          <w:sz w:val="18"/>
          <w:szCs w:val="20"/>
          <w:lang w:val="es-ES"/>
        </w:rPr>
        <w:t>El 5 de abril de 1992 el entonces Presidente de la República Alberto Fujimori Fujimori anunció una serie de medidas dirigidas a “aligerar el proceso de […] reconstrucción nacional”, “modernizar la administración pública” y</w:t>
      </w:r>
      <w:r w:rsidR="00373805" w:rsidRPr="009162D5">
        <w:rPr>
          <w:rFonts w:asciiTheme="majorHAnsi" w:hAnsiTheme="majorHAnsi" w:cs="Calibri"/>
          <w:b/>
          <w:bCs/>
          <w:sz w:val="18"/>
          <w:szCs w:val="20"/>
          <w:lang w:val="es-ES"/>
        </w:rPr>
        <w:t xml:space="preserve"> </w:t>
      </w:r>
      <w:r w:rsidR="00373805" w:rsidRPr="009162D5">
        <w:rPr>
          <w:rFonts w:asciiTheme="majorHAnsi" w:hAnsiTheme="majorHAnsi" w:cs="Calibri"/>
          <w:sz w:val="18"/>
          <w:szCs w:val="20"/>
          <w:lang w:val="es-ES"/>
        </w:rPr>
        <w:t>“reorganizar totalmente el Poder Judicial”. Por medio del Decreto Ley No. 25418 del 6 de abril de 1992, Alberto Fujimori instituyó el “Gobierno de Emergencia y Reconstrucción Nacional”, disolvió temporalmente el Congreso de la República, intervino en el Poder Judicial, Ministerio Público y Contraloría General de la República y determinó la derogación de varias disposiciones de la Constitución Política del 1979, entonces vigente. La intervención en los órganos de la Administración de Justicia y otras instancias del Estado se hizo efectiva mediante la ocupación de sus instalaciones por destacamentos de las Fuerzas Armadas y la detención domiciliaria de congresistas de oposición y altos funcionarios contrarios a la ruptura del orden constitucional.</w:t>
      </w:r>
    </w:p>
    <w:p w14:paraId="3BE875E8" w14:textId="77777777" w:rsidR="00373805" w:rsidRPr="009162D5" w:rsidRDefault="00373805" w:rsidP="009162D5">
      <w:pPr>
        <w:pStyle w:val="BodyTextIndent"/>
        <w:ind w:left="142" w:right="142" w:firstLine="0"/>
        <w:jc w:val="both"/>
        <w:rPr>
          <w:rFonts w:asciiTheme="majorHAnsi" w:hAnsiTheme="majorHAnsi" w:cs="Calibri"/>
          <w:sz w:val="18"/>
          <w:szCs w:val="20"/>
          <w:lang w:val="es-ES"/>
        </w:rPr>
      </w:pPr>
    </w:p>
    <w:p w14:paraId="60000A24" w14:textId="77777777" w:rsidR="00373805" w:rsidRPr="009162D5" w:rsidRDefault="00A16F58" w:rsidP="009162D5">
      <w:pPr>
        <w:pStyle w:val="BodyTextIndent"/>
        <w:ind w:left="142" w:right="142" w:firstLine="0"/>
        <w:jc w:val="both"/>
        <w:rPr>
          <w:rFonts w:asciiTheme="majorHAnsi" w:hAnsiTheme="majorHAnsi" w:cs="Calibri"/>
          <w:sz w:val="18"/>
          <w:szCs w:val="20"/>
          <w:lang w:val="es-ES"/>
        </w:rPr>
      </w:pPr>
      <w:r w:rsidRPr="009162D5">
        <w:rPr>
          <w:rFonts w:asciiTheme="majorHAnsi" w:hAnsiTheme="majorHAnsi" w:cs="Calibri"/>
          <w:sz w:val="18"/>
          <w:szCs w:val="20"/>
          <w:lang w:val="es-ES"/>
        </w:rPr>
        <w:t xml:space="preserve">8. </w:t>
      </w:r>
      <w:r w:rsidR="00373805" w:rsidRPr="009162D5">
        <w:rPr>
          <w:rFonts w:asciiTheme="majorHAnsi" w:hAnsiTheme="majorHAnsi" w:cs="Calibri"/>
          <w:sz w:val="18"/>
          <w:szCs w:val="20"/>
          <w:lang w:val="es-ES"/>
        </w:rPr>
        <w:t>Entre abril y octubre de 1992 el Gobierno de Emergencia y Reconstrucción Nacional emitió los Decretos Leyes No. 25438, 25477, 25640 y 25759, los cuales establecieron una “Comisión Administradora del Patrimonio del Congreso de la República” (en adelante “la Comisión Administradora”), la cual estuvo a cargo de ejecutar un “proceso de racionalización del personal”. Tales decretos establecieron un plan de reducción de personal que incluyó i) incentivos económicos a la renuncia o retiro voluntario, ii) reubicación de trabajadores a otras entidades del Estado y iii) realización de un “Proceso de Evaluación y Selección de Personal”, consistente en un examen de méritos para la ratificación de los trabajadores que no hubiesen optado por una de las dos modalidades anteriores.</w:t>
      </w:r>
    </w:p>
    <w:p w14:paraId="7C91DE24" w14:textId="77777777" w:rsidR="00373805" w:rsidRPr="009162D5" w:rsidRDefault="00373805" w:rsidP="009162D5">
      <w:pPr>
        <w:pStyle w:val="BodyTextIndent"/>
        <w:ind w:left="142" w:right="142" w:firstLine="0"/>
        <w:jc w:val="both"/>
        <w:rPr>
          <w:rFonts w:asciiTheme="majorHAnsi" w:hAnsiTheme="majorHAnsi" w:cs="Calibri"/>
          <w:sz w:val="18"/>
          <w:szCs w:val="20"/>
          <w:lang w:val="es-ES"/>
        </w:rPr>
      </w:pPr>
      <w:r w:rsidRPr="009162D5">
        <w:rPr>
          <w:rFonts w:asciiTheme="majorHAnsi" w:hAnsiTheme="majorHAnsi" w:cs="Calibri"/>
          <w:sz w:val="18"/>
          <w:szCs w:val="20"/>
          <w:lang w:val="es-ES"/>
        </w:rPr>
        <w:br/>
      </w:r>
      <w:r w:rsidR="00A16F58" w:rsidRPr="009162D5">
        <w:rPr>
          <w:rFonts w:asciiTheme="majorHAnsi" w:hAnsiTheme="majorHAnsi" w:cs="Calibri"/>
          <w:sz w:val="18"/>
          <w:szCs w:val="20"/>
          <w:lang w:val="es-ES"/>
        </w:rPr>
        <w:t xml:space="preserve">9. </w:t>
      </w:r>
      <w:r w:rsidRPr="009162D5">
        <w:rPr>
          <w:rFonts w:asciiTheme="majorHAnsi" w:hAnsiTheme="majorHAnsi" w:cs="Calibri"/>
          <w:sz w:val="18"/>
          <w:szCs w:val="20"/>
          <w:lang w:val="es-ES"/>
        </w:rPr>
        <w:t xml:space="preserve">El Decreto Ley No. 25640, adoptado el 21 de julio de 1992, autorizó la ejecución del aludido proceso de racionalización del personal del Congreso y estableció que “[n]o proced[ía] la acción de amparo dirigida a impugnar directa o indirectamente [su] aplicación […].” El 13 de octubre de 1992 el presidente de la Comisión Administradora adoptó la Resolución No. 1239-A-92-CACL, la cual estableció el nuevo cuadro de personal del Congreso de la República, el reglamento del examen de méritos y los procedimientos para llenar las plazas laborales vacantes. Dicha resolución determinó que la Comisión Administradora no aceptaría reclamos sobre los resultados del examen de méritos. El 31 de diciembre de 1992 quien actuaba </w:t>
      </w:r>
      <w:r w:rsidR="00A2252E" w:rsidRPr="009162D5">
        <w:rPr>
          <w:rFonts w:asciiTheme="majorHAnsi" w:hAnsiTheme="majorHAnsi" w:cs="Calibri"/>
          <w:sz w:val="18"/>
          <w:szCs w:val="20"/>
          <w:lang w:val="es-ES"/>
        </w:rPr>
        <w:t>como Presidente de la Comisión Administradora hizo públicas las resoluciones 1303-A-92-CACL y 1303-B-92-CACL, las cuales ordenaron el cese de 1.117 funcionarios del Congreso.</w:t>
      </w:r>
    </w:p>
    <w:p w14:paraId="03040DD5" w14:textId="77777777" w:rsidR="00A2252E" w:rsidRPr="00FB4380" w:rsidRDefault="00A2252E" w:rsidP="00A2252E">
      <w:pPr>
        <w:pStyle w:val="BodyTextIndent"/>
        <w:ind w:left="720" w:right="720" w:firstLine="0"/>
        <w:jc w:val="both"/>
        <w:rPr>
          <w:rFonts w:asciiTheme="majorHAnsi" w:hAnsiTheme="majorHAnsi" w:cs="Calibri"/>
          <w:sz w:val="20"/>
          <w:szCs w:val="20"/>
          <w:lang w:val="es-ES"/>
        </w:rPr>
      </w:pPr>
    </w:p>
    <w:p w14:paraId="4D935681" w14:textId="0F90B218" w:rsidR="00373805" w:rsidRPr="00FB4380" w:rsidRDefault="00913C68" w:rsidP="007C047E">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rPr>
      </w:pPr>
      <w:r w:rsidRPr="00FB4380">
        <w:rPr>
          <w:rFonts w:asciiTheme="majorHAnsi" w:hAnsiTheme="majorHAnsi" w:cs="Calibri"/>
          <w:sz w:val="20"/>
          <w:szCs w:val="20"/>
          <w:lang w:val="es-ES"/>
        </w:rPr>
        <w:t xml:space="preserve">Asimismo, </w:t>
      </w:r>
      <w:r w:rsidR="009C5ED9" w:rsidRPr="00FB4380">
        <w:rPr>
          <w:rFonts w:asciiTheme="majorHAnsi" w:hAnsiTheme="majorHAnsi" w:cs="Calibri"/>
          <w:sz w:val="20"/>
          <w:szCs w:val="20"/>
          <w:lang w:val="es-ES"/>
        </w:rPr>
        <w:t xml:space="preserve">la Comisión encuentra que en sus análisis de admisibilidad en dos casos anteriores </w:t>
      </w:r>
      <w:r w:rsidR="00373805" w:rsidRPr="00FB4380">
        <w:rPr>
          <w:rFonts w:asciiTheme="majorHAnsi" w:hAnsiTheme="majorHAnsi" w:cs="Calibri"/>
          <w:sz w:val="20"/>
          <w:szCs w:val="20"/>
          <w:lang w:val="es-ES"/>
        </w:rPr>
        <w:t>determin</w:t>
      </w:r>
      <w:r w:rsidR="009C5ED9" w:rsidRPr="00FB4380">
        <w:rPr>
          <w:rFonts w:asciiTheme="majorHAnsi" w:hAnsiTheme="majorHAnsi" w:cs="Calibri"/>
          <w:sz w:val="20"/>
          <w:szCs w:val="20"/>
          <w:lang w:val="es-ES"/>
        </w:rPr>
        <w:t xml:space="preserve">ó </w:t>
      </w:r>
      <w:r w:rsidR="00923C3F" w:rsidRPr="00FB4380">
        <w:rPr>
          <w:rFonts w:asciiTheme="majorHAnsi" w:hAnsiTheme="majorHAnsi" w:cs="Calibri"/>
          <w:sz w:val="20"/>
          <w:szCs w:val="20"/>
          <w:lang w:val="es-ES"/>
        </w:rPr>
        <w:t xml:space="preserve">el agotamiento </w:t>
      </w:r>
      <w:r w:rsidR="009C5ED9" w:rsidRPr="00FB4380">
        <w:rPr>
          <w:rFonts w:asciiTheme="majorHAnsi" w:hAnsiTheme="majorHAnsi" w:cs="Calibri"/>
          <w:sz w:val="20"/>
          <w:szCs w:val="20"/>
          <w:lang w:val="es-ES"/>
        </w:rPr>
        <w:t xml:space="preserve">de los recursos internos </w:t>
      </w:r>
      <w:r w:rsidR="00923C3F" w:rsidRPr="00FB4380">
        <w:rPr>
          <w:rFonts w:asciiTheme="majorHAnsi" w:hAnsiTheme="majorHAnsi" w:cs="Calibri"/>
          <w:sz w:val="20"/>
          <w:szCs w:val="20"/>
          <w:lang w:val="es-ES"/>
        </w:rPr>
        <w:t xml:space="preserve">a través de los procesos de </w:t>
      </w:r>
      <w:r w:rsidR="006A1B2D" w:rsidRPr="00FB4380">
        <w:rPr>
          <w:rFonts w:asciiTheme="majorHAnsi" w:hAnsiTheme="majorHAnsi" w:cs="Calibri"/>
          <w:sz w:val="20"/>
          <w:szCs w:val="20"/>
          <w:lang w:val="es-ES"/>
        </w:rPr>
        <w:t xml:space="preserve">judiciales </w:t>
      </w:r>
      <w:r w:rsidR="00923C3F" w:rsidRPr="00FB4380">
        <w:rPr>
          <w:rFonts w:asciiTheme="majorHAnsi" w:hAnsiTheme="majorHAnsi" w:cs="Calibri"/>
          <w:sz w:val="20"/>
          <w:szCs w:val="20"/>
          <w:lang w:val="es-ES"/>
        </w:rPr>
        <w:t>activa</w:t>
      </w:r>
      <w:r w:rsidR="009C5ED9" w:rsidRPr="00FB4380">
        <w:rPr>
          <w:rFonts w:asciiTheme="majorHAnsi" w:hAnsiTheme="majorHAnsi" w:cs="Calibri"/>
          <w:sz w:val="20"/>
          <w:szCs w:val="20"/>
          <w:lang w:val="es-ES"/>
        </w:rPr>
        <w:t>dos por l</w:t>
      </w:r>
      <w:r w:rsidR="00923C3F" w:rsidRPr="00FB4380">
        <w:rPr>
          <w:rFonts w:asciiTheme="majorHAnsi" w:hAnsiTheme="majorHAnsi" w:cs="Calibri"/>
          <w:sz w:val="20"/>
          <w:szCs w:val="20"/>
          <w:lang w:val="es-ES"/>
        </w:rPr>
        <w:t>as víctimas</w:t>
      </w:r>
      <w:r w:rsidR="00923C3F" w:rsidRPr="00FB4380">
        <w:rPr>
          <w:rStyle w:val="FootnoteReference"/>
          <w:rFonts w:asciiTheme="majorHAnsi" w:hAnsiTheme="majorHAnsi" w:cs="Calibri"/>
          <w:sz w:val="20"/>
          <w:szCs w:val="20"/>
          <w:lang w:val="es-ES"/>
        </w:rPr>
        <w:footnoteReference w:id="7"/>
      </w:r>
      <w:r w:rsidR="00505351">
        <w:rPr>
          <w:rFonts w:asciiTheme="majorHAnsi" w:hAnsiTheme="majorHAnsi" w:cs="Calibri"/>
          <w:sz w:val="20"/>
          <w:szCs w:val="20"/>
          <w:lang w:val="es-ES"/>
        </w:rPr>
        <w:t>, no aplicando ningún tipo de excepción</w:t>
      </w:r>
      <w:r w:rsidR="009C5ED9" w:rsidRPr="00FB4380">
        <w:rPr>
          <w:rFonts w:asciiTheme="majorHAnsi" w:hAnsiTheme="majorHAnsi" w:cs="Calibri"/>
          <w:sz w:val="20"/>
          <w:szCs w:val="20"/>
          <w:lang w:val="es-ES"/>
        </w:rPr>
        <w:t>. Sin embargo, la</w:t>
      </w:r>
      <w:r w:rsidR="004B3583" w:rsidRPr="00FB4380">
        <w:rPr>
          <w:rFonts w:asciiTheme="majorHAnsi" w:hAnsiTheme="majorHAnsi" w:cs="Calibri"/>
          <w:sz w:val="20"/>
          <w:szCs w:val="20"/>
          <w:lang w:val="es-ES"/>
        </w:rPr>
        <w:t xml:space="preserve"> Comisión y la Corte ya han dete</w:t>
      </w:r>
      <w:r w:rsidR="009C5ED9" w:rsidRPr="00FB4380">
        <w:rPr>
          <w:rFonts w:asciiTheme="majorHAnsi" w:hAnsiTheme="majorHAnsi" w:cs="Calibri"/>
          <w:sz w:val="20"/>
          <w:szCs w:val="20"/>
          <w:lang w:val="es-ES"/>
        </w:rPr>
        <w:t xml:space="preserve">rminado ampliamente que tras el cese </w:t>
      </w:r>
      <w:r w:rsidR="004B3583" w:rsidRPr="00FB4380">
        <w:rPr>
          <w:rFonts w:asciiTheme="majorHAnsi" w:hAnsiTheme="majorHAnsi" w:cs="Calibri"/>
          <w:sz w:val="20"/>
          <w:szCs w:val="20"/>
          <w:lang w:val="es-ES"/>
        </w:rPr>
        <w:t>de los trabajadores del Co</w:t>
      </w:r>
      <w:r w:rsidR="009C5ED9" w:rsidRPr="00FB4380">
        <w:rPr>
          <w:rFonts w:asciiTheme="majorHAnsi" w:hAnsiTheme="majorHAnsi" w:cs="Calibri"/>
          <w:sz w:val="20"/>
          <w:szCs w:val="20"/>
          <w:lang w:val="es-ES"/>
        </w:rPr>
        <w:t>ngreso incluidos en las listas publicadas en las resoluciones 1303-A-92-CACL y 1303-B-92-CACL</w:t>
      </w:r>
      <w:r w:rsidR="004B3583" w:rsidRPr="00FB4380">
        <w:rPr>
          <w:rFonts w:asciiTheme="majorHAnsi" w:hAnsiTheme="majorHAnsi" w:cs="Calibri"/>
          <w:sz w:val="20"/>
          <w:szCs w:val="20"/>
          <w:lang w:val="es-ES"/>
        </w:rPr>
        <w:t xml:space="preserve">, </w:t>
      </w:r>
      <w:r w:rsidR="009C5ED9" w:rsidRPr="00FB4380">
        <w:rPr>
          <w:rFonts w:asciiTheme="majorHAnsi" w:hAnsiTheme="majorHAnsi" w:cs="Calibri"/>
          <w:sz w:val="20"/>
          <w:szCs w:val="20"/>
          <w:lang w:val="es-ES"/>
        </w:rPr>
        <w:t xml:space="preserve">el Estado </w:t>
      </w:r>
      <w:r w:rsidR="004B3583" w:rsidRPr="00FB4380">
        <w:rPr>
          <w:rFonts w:asciiTheme="majorHAnsi" w:hAnsiTheme="majorHAnsi" w:cs="Calibri"/>
          <w:sz w:val="20"/>
          <w:szCs w:val="20"/>
          <w:lang w:val="es-ES"/>
        </w:rPr>
        <w:t xml:space="preserve">adoptó legislación dirigida exclusivamente a impedir que </w:t>
      </w:r>
      <w:r w:rsidR="009C5ED9" w:rsidRPr="00FB4380">
        <w:rPr>
          <w:rFonts w:asciiTheme="majorHAnsi" w:hAnsiTheme="majorHAnsi" w:cs="Calibri"/>
          <w:sz w:val="20"/>
          <w:szCs w:val="20"/>
          <w:lang w:val="es-ES"/>
        </w:rPr>
        <w:t>dichos</w:t>
      </w:r>
      <w:r w:rsidR="004B3583" w:rsidRPr="00FB4380">
        <w:rPr>
          <w:rFonts w:asciiTheme="majorHAnsi" w:hAnsiTheme="majorHAnsi" w:cs="Calibri"/>
          <w:sz w:val="20"/>
          <w:szCs w:val="20"/>
          <w:lang w:val="es-ES"/>
        </w:rPr>
        <w:t xml:space="preserve"> trabajadores c</w:t>
      </w:r>
      <w:r w:rsidR="009C5ED9" w:rsidRPr="00FB4380">
        <w:rPr>
          <w:rFonts w:asciiTheme="majorHAnsi" w:hAnsiTheme="majorHAnsi" w:cs="Calibri"/>
          <w:sz w:val="20"/>
          <w:szCs w:val="20"/>
          <w:lang w:val="es-ES"/>
        </w:rPr>
        <w:t>uestionen sus desvinculaciones a través de la vía del ampar</w:t>
      </w:r>
      <w:r w:rsidR="00EF08A0" w:rsidRPr="00FB4380">
        <w:rPr>
          <w:rFonts w:asciiTheme="majorHAnsi" w:hAnsiTheme="majorHAnsi" w:cs="Calibri"/>
          <w:sz w:val="20"/>
          <w:szCs w:val="20"/>
          <w:lang w:val="es-ES"/>
        </w:rPr>
        <w:t xml:space="preserve">o por lo establecido </w:t>
      </w:r>
      <w:r w:rsidR="005C69B5" w:rsidRPr="00FB4380">
        <w:rPr>
          <w:rFonts w:asciiTheme="majorHAnsi" w:hAnsiTheme="majorHAnsi" w:cs="Calibri"/>
          <w:sz w:val="20"/>
          <w:szCs w:val="20"/>
          <w:lang w:val="es-ES"/>
        </w:rPr>
        <w:t xml:space="preserve">en el artículo 9 de </w:t>
      </w:r>
      <w:r w:rsidR="00EF08A0" w:rsidRPr="00FB4380">
        <w:rPr>
          <w:rFonts w:asciiTheme="majorHAnsi" w:hAnsiTheme="majorHAnsi" w:cs="Calibri"/>
          <w:sz w:val="20"/>
          <w:szCs w:val="20"/>
          <w:lang w:val="es-ES"/>
        </w:rPr>
        <w:t>la Ley No. 25640</w:t>
      </w:r>
      <w:r w:rsidR="005C69B5" w:rsidRPr="00FB4380">
        <w:rPr>
          <w:rStyle w:val="FootnoteReference"/>
          <w:rFonts w:asciiTheme="majorHAnsi" w:hAnsiTheme="majorHAnsi" w:cs="Calibri"/>
          <w:sz w:val="20"/>
          <w:szCs w:val="20"/>
          <w:lang w:val="es-ES"/>
        </w:rPr>
        <w:footnoteReference w:id="8"/>
      </w:r>
      <w:r w:rsidR="005C69B5" w:rsidRPr="00FB4380">
        <w:rPr>
          <w:rFonts w:asciiTheme="majorHAnsi" w:hAnsiTheme="majorHAnsi" w:cs="Calibri"/>
          <w:sz w:val="20"/>
          <w:szCs w:val="20"/>
          <w:lang w:val="es-ES"/>
        </w:rPr>
        <w:t>.</w:t>
      </w:r>
    </w:p>
    <w:p w14:paraId="286A8090" w14:textId="77777777" w:rsidR="009C5ED9" w:rsidRPr="00FB4380" w:rsidRDefault="009C5ED9" w:rsidP="007C047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rPr>
      </w:pPr>
    </w:p>
    <w:p w14:paraId="18D2DBCC" w14:textId="77777777" w:rsidR="005C69B5" w:rsidRPr="00FB4380" w:rsidRDefault="009C5ED9" w:rsidP="007C047E">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rPr>
      </w:pPr>
      <w:r w:rsidRPr="00FB4380">
        <w:rPr>
          <w:rFonts w:asciiTheme="majorHAnsi" w:hAnsiTheme="majorHAnsi" w:cs="Calibri"/>
          <w:sz w:val="20"/>
          <w:szCs w:val="20"/>
        </w:rPr>
        <w:t>As</w:t>
      </w:r>
      <w:r w:rsidR="00EF08A0" w:rsidRPr="00FB4380">
        <w:rPr>
          <w:rFonts w:asciiTheme="majorHAnsi" w:hAnsiTheme="majorHAnsi" w:cs="Calibri"/>
          <w:sz w:val="20"/>
          <w:szCs w:val="20"/>
        </w:rPr>
        <w:t xml:space="preserve">í, en </w:t>
      </w:r>
      <w:r w:rsidR="0092252D" w:rsidRPr="00FB4380">
        <w:rPr>
          <w:rFonts w:asciiTheme="majorHAnsi" w:hAnsiTheme="majorHAnsi" w:cs="Calibri"/>
          <w:sz w:val="20"/>
          <w:szCs w:val="20"/>
        </w:rPr>
        <w:t xml:space="preserve">el caso </w:t>
      </w:r>
      <w:r w:rsidR="00536D7E" w:rsidRPr="00FB4380">
        <w:rPr>
          <w:rFonts w:asciiTheme="majorHAnsi" w:hAnsiTheme="majorHAnsi" w:cs="Calibri"/>
          <w:i/>
          <w:sz w:val="20"/>
          <w:szCs w:val="20"/>
        </w:rPr>
        <w:t>Trabajadores Cesados</w:t>
      </w:r>
      <w:r w:rsidR="0092252D" w:rsidRPr="00FB4380">
        <w:rPr>
          <w:rStyle w:val="FootnoteReference"/>
          <w:rFonts w:asciiTheme="majorHAnsi" w:hAnsiTheme="majorHAnsi" w:cs="Calibri"/>
          <w:sz w:val="20"/>
          <w:szCs w:val="20"/>
        </w:rPr>
        <w:footnoteReference w:id="9"/>
      </w:r>
      <w:r w:rsidR="00EF08A0" w:rsidRPr="00FB4380">
        <w:rPr>
          <w:rFonts w:asciiTheme="majorHAnsi" w:hAnsiTheme="majorHAnsi" w:cs="Calibri"/>
          <w:sz w:val="20"/>
          <w:szCs w:val="20"/>
        </w:rPr>
        <w:t xml:space="preserve"> la Corte indicó que</w:t>
      </w:r>
      <w:r w:rsidR="005C69B5" w:rsidRPr="00FB4380">
        <w:rPr>
          <w:rFonts w:asciiTheme="majorHAnsi" w:hAnsiTheme="majorHAnsi" w:cs="Calibri"/>
          <w:sz w:val="20"/>
          <w:szCs w:val="20"/>
        </w:rPr>
        <w:t>:</w:t>
      </w:r>
    </w:p>
    <w:p w14:paraId="6C46DF86" w14:textId="77777777" w:rsidR="005C69B5" w:rsidRPr="00FB4380" w:rsidRDefault="005C69B5" w:rsidP="005C69B5">
      <w:pPr>
        <w:pStyle w:val="ListParagraph"/>
        <w:rPr>
          <w:rFonts w:asciiTheme="majorHAnsi" w:hAnsiTheme="majorHAnsi" w:cs="Calibri"/>
          <w:sz w:val="18"/>
          <w:szCs w:val="20"/>
          <w:lang w:val="es-ES"/>
        </w:rPr>
      </w:pPr>
    </w:p>
    <w:p w14:paraId="75F9FD48" w14:textId="77777777" w:rsidR="000C4981" w:rsidRPr="009162D5" w:rsidRDefault="000C4981"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Calibri"/>
          <w:sz w:val="18"/>
          <w:szCs w:val="20"/>
          <w:lang w:val="es-ES"/>
        </w:rPr>
      </w:pPr>
      <w:r w:rsidRPr="009162D5">
        <w:rPr>
          <w:rFonts w:asciiTheme="majorHAnsi" w:hAnsiTheme="majorHAnsi" w:cs="Calibri"/>
          <w:sz w:val="18"/>
          <w:szCs w:val="20"/>
          <w:lang w:val="es-ES"/>
        </w:rPr>
        <w:lastRenderedPageBreak/>
        <w:t xml:space="preserve">119. </w:t>
      </w:r>
      <w:r w:rsidR="005C69B5" w:rsidRPr="009162D5">
        <w:rPr>
          <w:rFonts w:asciiTheme="majorHAnsi" w:hAnsiTheme="majorHAnsi" w:cs="Calibri"/>
          <w:sz w:val="18"/>
          <w:szCs w:val="20"/>
          <w:lang w:val="es-ES"/>
        </w:rPr>
        <w:t xml:space="preserve">La prohibición de impugnar los efectos del Decreto Ley No. 25640, contenida en el artículo 9 señalado, constituye una norma de aplicación inmediata, en tanto sus destinatarios se ven impedidos </w:t>
      </w:r>
      <w:r w:rsidR="005C69B5" w:rsidRPr="009162D5">
        <w:rPr>
          <w:rFonts w:asciiTheme="majorHAnsi" w:hAnsiTheme="majorHAnsi" w:cs="Calibri"/>
          <w:i/>
          <w:sz w:val="18"/>
          <w:szCs w:val="20"/>
          <w:lang w:val="es-ES"/>
        </w:rPr>
        <w:t>ab initio</w:t>
      </w:r>
      <w:r w:rsidR="005C69B5" w:rsidRPr="009162D5">
        <w:rPr>
          <w:rFonts w:asciiTheme="majorHAnsi" w:hAnsiTheme="majorHAnsi" w:cs="Calibri"/>
          <w:sz w:val="18"/>
          <w:szCs w:val="20"/>
          <w:lang w:val="es-ES"/>
        </w:rPr>
        <w:t xml:space="preserve"> de impugnar cualquier efecto que estimaren perjudicial a sus intereses.</w:t>
      </w:r>
      <w:r w:rsidRPr="009162D5">
        <w:rPr>
          <w:rFonts w:asciiTheme="majorHAnsi" w:hAnsiTheme="majorHAnsi" w:cs="Calibri"/>
          <w:sz w:val="18"/>
          <w:szCs w:val="20"/>
          <w:lang w:val="es-ES"/>
        </w:rPr>
        <w:t xml:space="preserve"> (…)</w:t>
      </w:r>
    </w:p>
    <w:p w14:paraId="127698B0" w14:textId="77777777" w:rsidR="000C4981" w:rsidRPr="009162D5" w:rsidRDefault="000C4981"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Calibri"/>
          <w:sz w:val="18"/>
          <w:szCs w:val="20"/>
          <w:lang w:val="es-ES"/>
        </w:rPr>
      </w:pPr>
    </w:p>
    <w:p w14:paraId="6ACC5035" w14:textId="77777777" w:rsidR="009C5ED9" w:rsidRPr="009162D5" w:rsidRDefault="000C4981"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Calibri"/>
          <w:sz w:val="18"/>
          <w:szCs w:val="20"/>
        </w:rPr>
      </w:pPr>
      <w:r w:rsidRPr="009162D5">
        <w:rPr>
          <w:rFonts w:asciiTheme="majorHAnsi" w:hAnsiTheme="majorHAnsi" w:cs="Calibri"/>
          <w:sz w:val="18"/>
          <w:szCs w:val="20"/>
          <w:lang w:val="es-ES"/>
        </w:rPr>
        <w:t xml:space="preserve">120. En el contexto descrito, el artículo 9 del Decreto Ley No. 26540 y el artículo 27 de la Resolución 1239-A-CACL de la Comisión Administradora contribuyeron a propiciar un clima de desprotección e inseguridad jurídica que impedía o dificultaba, en gran medida, a las personas afectadas que pudieran determinar con razonable claridad la vía idónea a la cual se podía o se debía acudir para reclamar los derechos que consideraran vulnerados. </w:t>
      </w:r>
      <w:r w:rsidR="005C69B5" w:rsidRPr="009162D5">
        <w:rPr>
          <w:rFonts w:asciiTheme="majorHAnsi" w:hAnsiTheme="majorHAnsi" w:cs="Calibri"/>
          <w:sz w:val="18"/>
          <w:szCs w:val="20"/>
          <w:lang w:val="es-ES"/>
        </w:rPr>
        <w:t xml:space="preserve"> </w:t>
      </w:r>
    </w:p>
    <w:p w14:paraId="3B2DEAE7" w14:textId="77777777" w:rsidR="004B3583" w:rsidRPr="00FB4380" w:rsidRDefault="004B3583" w:rsidP="004B358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rPr>
      </w:pPr>
    </w:p>
    <w:p w14:paraId="6B997E40" w14:textId="77777777" w:rsidR="00BD5934" w:rsidRPr="00FB4380" w:rsidRDefault="00B80143" w:rsidP="00FE2E2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rPr>
      </w:pPr>
      <w:r w:rsidRPr="00FB4380">
        <w:rPr>
          <w:rFonts w:asciiTheme="majorHAnsi" w:hAnsiTheme="majorHAnsi" w:cs="Calibri"/>
          <w:sz w:val="20"/>
          <w:szCs w:val="20"/>
        </w:rPr>
        <w:t xml:space="preserve">Esta misma conclusión fue </w:t>
      </w:r>
      <w:r w:rsidR="00B413A2" w:rsidRPr="00FB4380">
        <w:rPr>
          <w:rFonts w:asciiTheme="majorHAnsi" w:hAnsiTheme="majorHAnsi" w:cs="Calibri"/>
          <w:sz w:val="20"/>
          <w:szCs w:val="20"/>
        </w:rPr>
        <w:t>arribada</w:t>
      </w:r>
      <w:r w:rsidR="00103E9A" w:rsidRPr="00FB4380">
        <w:rPr>
          <w:rFonts w:asciiTheme="majorHAnsi" w:hAnsiTheme="majorHAnsi" w:cs="Calibri"/>
          <w:sz w:val="20"/>
          <w:szCs w:val="20"/>
        </w:rPr>
        <w:t xml:space="preserve"> </w:t>
      </w:r>
      <w:r w:rsidRPr="00FB4380">
        <w:rPr>
          <w:rFonts w:asciiTheme="majorHAnsi" w:hAnsiTheme="majorHAnsi" w:cs="Calibri"/>
          <w:sz w:val="20"/>
          <w:szCs w:val="20"/>
        </w:rPr>
        <w:t xml:space="preserve">por la CIDH en el Informe de Fondo </w:t>
      </w:r>
      <w:r w:rsidR="00103E9A" w:rsidRPr="00FB4380">
        <w:rPr>
          <w:rFonts w:asciiTheme="majorHAnsi" w:hAnsiTheme="majorHAnsi" w:cs="Calibri"/>
          <w:sz w:val="20"/>
          <w:szCs w:val="20"/>
        </w:rPr>
        <w:t>126/12</w:t>
      </w:r>
      <w:r w:rsidR="00103E9A" w:rsidRPr="00FB4380">
        <w:rPr>
          <w:rStyle w:val="FootnoteReference"/>
          <w:rFonts w:asciiTheme="majorHAnsi" w:hAnsiTheme="majorHAnsi" w:cs="Calibri"/>
          <w:sz w:val="20"/>
          <w:szCs w:val="20"/>
        </w:rPr>
        <w:footnoteReference w:id="10"/>
      </w:r>
      <w:r w:rsidR="00BD5934" w:rsidRPr="00FB4380">
        <w:rPr>
          <w:rFonts w:asciiTheme="majorHAnsi" w:hAnsiTheme="majorHAnsi" w:cs="Calibri"/>
          <w:sz w:val="20"/>
          <w:szCs w:val="20"/>
        </w:rPr>
        <w:t xml:space="preserve">, sobre los mismos hechos. Dicho informe fue </w:t>
      </w:r>
      <w:r w:rsidR="00103E9A" w:rsidRPr="00FB4380">
        <w:rPr>
          <w:rFonts w:asciiTheme="majorHAnsi" w:hAnsiTheme="majorHAnsi" w:cs="Calibri"/>
          <w:sz w:val="20"/>
          <w:szCs w:val="20"/>
        </w:rPr>
        <w:t>sometido ante la Corte Interamericana</w:t>
      </w:r>
      <w:r w:rsidR="00BD5934" w:rsidRPr="00FB4380">
        <w:rPr>
          <w:rFonts w:asciiTheme="majorHAnsi" w:hAnsiTheme="majorHAnsi" w:cs="Calibri"/>
          <w:sz w:val="20"/>
          <w:szCs w:val="20"/>
        </w:rPr>
        <w:t xml:space="preserve"> la que, </w:t>
      </w:r>
      <w:r w:rsidR="00103E9A" w:rsidRPr="00FB4380">
        <w:rPr>
          <w:rFonts w:asciiTheme="majorHAnsi" w:hAnsiTheme="majorHAnsi" w:cs="Calibri"/>
          <w:sz w:val="20"/>
          <w:szCs w:val="20"/>
        </w:rPr>
        <w:t xml:space="preserve">en el marco del caso </w:t>
      </w:r>
      <w:r w:rsidR="00103E9A" w:rsidRPr="00FB4380">
        <w:rPr>
          <w:rFonts w:asciiTheme="majorHAnsi" w:hAnsiTheme="majorHAnsi" w:cs="Calibri"/>
          <w:i/>
          <w:sz w:val="20"/>
          <w:szCs w:val="20"/>
        </w:rPr>
        <w:t>Canales Huapaya</w:t>
      </w:r>
      <w:r w:rsidR="00103E9A" w:rsidRPr="00FB4380">
        <w:rPr>
          <w:rFonts w:asciiTheme="majorHAnsi" w:hAnsiTheme="majorHAnsi" w:cs="Calibri"/>
          <w:sz w:val="20"/>
          <w:szCs w:val="20"/>
        </w:rPr>
        <w:t>, reafirmó las conclusiones previamente citadas</w:t>
      </w:r>
      <w:r w:rsidR="00103E9A" w:rsidRPr="00FB4380">
        <w:rPr>
          <w:rStyle w:val="FootnoteReference"/>
          <w:rFonts w:asciiTheme="majorHAnsi" w:hAnsiTheme="majorHAnsi" w:cs="Calibri"/>
          <w:sz w:val="20"/>
          <w:szCs w:val="20"/>
        </w:rPr>
        <w:footnoteReference w:id="11"/>
      </w:r>
      <w:r w:rsidR="00103E9A" w:rsidRPr="00FB4380">
        <w:rPr>
          <w:rFonts w:asciiTheme="majorHAnsi" w:hAnsiTheme="majorHAnsi" w:cs="Calibri"/>
          <w:sz w:val="20"/>
          <w:szCs w:val="20"/>
        </w:rPr>
        <w:t xml:space="preserve">. </w:t>
      </w:r>
      <w:r w:rsidR="004B3583" w:rsidRPr="00FB4380">
        <w:rPr>
          <w:rFonts w:asciiTheme="majorHAnsi" w:hAnsiTheme="majorHAnsi" w:cs="Calibri"/>
          <w:sz w:val="20"/>
          <w:szCs w:val="20"/>
          <w:lang w:val="es-ES"/>
        </w:rPr>
        <w:t>Así, la Comisión considera que hoy en día ha quedado establecido que</w:t>
      </w:r>
      <w:r w:rsidR="00AC48E1" w:rsidRPr="00FB4380">
        <w:rPr>
          <w:rFonts w:asciiTheme="majorHAnsi" w:hAnsiTheme="majorHAnsi" w:cs="Calibri"/>
          <w:sz w:val="20"/>
          <w:szCs w:val="20"/>
          <w:lang w:val="es-ES"/>
        </w:rPr>
        <w:t xml:space="preserve"> los trabajadores del Congreso </w:t>
      </w:r>
      <w:r w:rsidR="008B401C" w:rsidRPr="00FB4380">
        <w:rPr>
          <w:rFonts w:asciiTheme="majorHAnsi" w:hAnsiTheme="majorHAnsi" w:cs="Calibri"/>
          <w:sz w:val="20"/>
          <w:szCs w:val="20"/>
          <w:lang w:val="es-ES"/>
        </w:rPr>
        <w:t xml:space="preserve">desvinculados bajo las resoluciones </w:t>
      </w:r>
      <w:r w:rsidR="001A72F3" w:rsidRPr="00FB4380">
        <w:rPr>
          <w:rFonts w:asciiTheme="majorHAnsi" w:hAnsiTheme="majorHAnsi" w:cs="Calibri"/>
          <w:sz w:val="20"/>
          <w:szCs w:val="20"/>
          <w:lang w:val="es-ES"/>
        </w:rPr>
        <w:t>pre</w:t>
      </w:r>
      <w:r w:rsidR="008B401C" w:rsidRPr="00FB4380">
        <w:rPr>
          <w:rFonts w:asciiTheme="majorHAnsi" w:hAnsiTheme="majorHAnsi" w:cs="Calibri"/>
          <w:sz w:val="20"/>
          <w:szCs w:val="20"/>
          <w:lang w:val="es-ES"/>
        </w:rPr>
        <w:t xml:space="preserve">citadas </w:t>
      </w:r>
      <w:r w:rsidR="00AC48E1" w:rsidRPr="00FB4380">
        <w:rPr>
          <w:rFonts w:asciiTheme="majorHAnsi" w:hAnsiTheme="majorHAnsi" w:cs="Calibri"/>
          <w:sz w:val="20"/>
          <w:szCs w:val="20"/>
          <w:lang w:val="es-ES"/>
        </w:rPr>
        <w:t>no podían acceder</w:t>
      </w:r>
      <w:r w:rsidR="00E7107E" w:rsidRPr="00FB4380">
        <w:rPr>
          <w:rFonts w:asciiTheme="majorHAnsi" w:hAnsiTheme="majorHAnsi" w:cs="Calibri"/>
          <w:sz w:val="20"/>
          <w:szCs w:val="20"/>
          <w:lang w:val="es-ES"/>
        </w:rPr>
        <w:t xml:space="preserve"> a recursos</w:t>
      </w:r>
      <w:r w:rsidR="00AC48E1" w:rsidRPr="00FB4380">
        <w:rPr>
          <w:rFonts w:asciiTheme="majorHAnsi" w:hAnsiTheme="majorHAnsi" w:cs="Calibri"/>
          <w:sz w:val="20"/>
          <w:szCs w:val="20"/>
          <w:lang w:val="es-ES"/>
        </w:rPr>
        <w:t xml:space="preserve"> </w:t>
      </w:r>
      <w:r w:rsidR="00085F2D" w:rsidRPr="00FB4380">
        <w:rPr>
          <w:rFonts w:asciiTheme="majorHAnsi" w:hAnsiTheme="majorHAnsi" w:cs="Calibri"/>
          <w:sz w:val="20"/>
          <w:szCs w:val="20"/>
          <w:lang w:val="es-ES"/>
        </w:rPr>
        <w:t xml:space="preserve">adecuados, idóneos y efectivos </w:t>
      </w:r>
      <w:r w:rsidR="00AC48E1" w:rsidRPr="00FB4380">
        <w:rPr>
          <w:rFonts w:asciiTheme="majorHAnsi" w:hAnsiTheme="majorHAnsi" w:cs="Calibri"/>
          <w:sz w:val="20"/>
          <w:szCs w:val="20"/>
          <w:lang w:val="es-ES"/>
        </w:rPr>
        <w:t>en los términos establecidos en los estándares interamericano</w:t>
      </w:r>
      <w:r w:rsidR="00085F2D" w:rsidRPr="00FB4380">
        <w:rPr>
          <w:rFonts w:asciiTheme="majorHAnsi" w:hAnsiTheme="majorHAnsi" w:cs="Calibri"/>
          <w:sz w:val="20"/>
          <w:szCs w:val="20"/>
          <w:lang w:val="es-ES"/>
        </w:rPr>
        <w:t>s</w:t>
      </w:r>
      <w:r w:rsidR="00AC48E1" w:rsidRPr="00FB4380">
        <w:rPr>
          <w:rFonts w:asciiTheme="majorHAnsi" w:hAnsiTheme="majorHAnsi" w:cs="Calibri"/>
          <w:sz w:val="20"/>
          <w:szCs w:val="20"/>
          <w:lang w:val="es-ES"/>
        </w:rPr>
        <w:t xml:space="preserve"> para agotar sus pretensiones resarcitorias</w:t>
      </w:r>
      <w:r w:rsidR="00085F2D" w:rsidRPr="00FB4380">
        <w:rPr>
          <w:rStyle w:val="FootnoteReference"/>
          <w:rFonts w:asciiTheme="majorHAnsi" w:hAnsiTheme="majorHAnsi" w:cs="Calibri"/>
          <w:sz w:val="20"/>
          <w:szCs w:val="20"/>
          <w:lang w:val="es-ES"/>
        </w:rPr>
        <w:footnoteReference w:id="12"/>
      </w:r>
      <w:r w:rsidR="00E7107E" w:rsidRPr="00FB4380">
        <w:rPr>
          <w:rFonts w:asciiTheme="majorHAnsi" w:hAnsiTheme="majorHAnsi" w:cs="Calibri"/>
          <w:sz w:val="20"/>
          <w:szCs w:val="20"/>
          <w:lang w:val="es-ES"/>
        </w:rPr>
        <w:t>, tanto en la vía de amparo, como en la vía contencioso-administrativa</w:t>
      </w:r>
      <w:r w:rsidR="00B413A2" w:rsidRPr="00FB4380">
        <w:rPr>
          <w:rFonts w:asciiTheme="majorHAnsi" w:hAnsiTheme="majorHAnsi" w:cs="Calibri"/>
          <w:sz w:val="20"/>
          <w:szCs w:val="20"/>
          <w:lang w:val="es-ES"/>
        </w:rPr>
        <w:t>.</w:t>
      </w:r>
    </w:p>
    <w:p w14:paraId="7A8D5163" w14:textId="77777777" w:rsidR="00FE2E21" w:rsidRPr="00FB4380" w:rsidRDefault="00AC48E1" w:rsidP="00BD593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rPr>
      </w:pPr>
      <w:r w:rsidRPr="00FB4380">
        <w:rPr>
          <w:rFonts w:asciiTheme="majorHAnsi" w:hAnsiTheme="majorHAnsi" w:cs="Calibri"/>
          <w:sz w:val="20"/>
          <w:szCs w:val="20"/>
          <w:lang w:val="es-ES"/>
        </w:rPr>
        <w:t xml:space="preserve"> </w:t>
      </w:r>
    </w:p>
    <w:p w14:paraId="127552EC" w14:textId="54269C7E" w:rsidR="00505351" w:rsidRDefault="007C315E" w:rsidP="0050535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rPr>
      </w:pPr>
      <w:r w:rsidRPr="00505351">
        <w:rPr>
          <w:rFonts w:asciiTheme="majorHAnsi" w:hAnsiTheme="majorHAnsi" w:cs="Calibri"/>
          <w:sz w:val="20"/>
          <w:szCs w:val="20"/>
          <w:lang w:val="es-ES"/>
        </w:rPr>
        <w:t>En estos términos, la Comisión nota que el Estado reclama una falta de individualización del recurso agotado por las presuntas víctimas, sobre todo en relaci</w:t>
      </w:r>
      <w:r w:rsidR="007B7F7D" w:rsidRPr="00505351">
        <w:rPr>
          <w:rFonts w:asciiTheme="majorHAnsi" w:hAnsiTheme="majorHAnsi" w:cs="Calibri"/>
          <w:sz w:val="20"/>
          <w:szCs w:val="20"/>
          <w:lang w:val="es-ES"/>
        </w:rPr>
        <w:t>ón con el grupo identificado en la petición 728-00. Efectivamente, la CIDH nota que esta información no ha sido provista por la parte peticionaria</w:t>
      </w:r>
      <w:r w:rsidR="00505351">
        <w:rPr>
          <w:rFonts w:asciiTheme="majorHAnsi" w:hAnsiTheme="majorHAnsi" w:cs="Calibri"/>
          <w:sz w:val="20"/>
          <w:szCs w:val="20"/>
          <w:lang w:val="es-ES"/>
        </w:rPr>
        <w:t xml:space="preserve"> de modo detallado para todos los casos</w:t>
      </w:r>
      <w:r w:rsidR="00B413A2" w:rsidRPr="00505351">
        <w:rPr>
          <w:rFonts w:asciiTheme="majorHAnsi" w:hAnsiTheme="majorHAnsi" w:cs="Calibri"/>
          <w:sz w:val="20"/>
          <w:szCs w:val="20"/>
          <w:lang w:val="es-ES"/>
        </w:rPr>
        <w:t>.</w:t>
      </w:r>
      <w:r w:rsidR="007B7F7D" w:rsidRPr="00505351">
        <w:rPr>
          <w:rFonts w:asciiTheme="majorHAnsi" w:hAnsiTheme="majorHAnsi" w:cs="Calibri"/>
          <w:sz w:val="20"/>
          <w:szCs w:val="20"/>
          <w:lang w:val="es-ES"/>
        </w:rPr>
        <w:t xml:space="preserve"> </w:t>
      </w:r>
      <w:r w:rsidR="00B413A2" w:rsidRPr="00505351">
        <w:rPr>
          <w:rFonts w:asciiTheme="majorHAnsi" w:hAnsiTheme="majorHAnsi" w:cs="Calibri"/>
          <w:sz w:val="20"/>
          <w:szCs w:val="20"/>
          <w:lang w:val="es-ES"/>
        </w:rPr>
        <w:t>Si</w:t>
      </w:r>
      <w:r w:rsidR="007B7F7D" w:rsidRPr="00505351">
        <w:rPr>
          <w:rFonts w:asciiTheme="majorHAnsi" w:hAnsiTheme="majorHAnsi" w:cs="Calibri"/>
          <w:sz w:val="20"/>
          <w:szCs w:val="20"/>
          <w:lang w:val="es-ES"/>
        </w:rPr>
        <w:t xml:space="preserve">n embargo, la parte peticionaria </w:t>
      </w:r>
      <w:r w:rsidR="00B2586E" w:rsidRPr="00505351">
        <w:rPr>
          <w:rFonts w:asciiTheme="majorHAnsi" w:hAnsiTheme="majorHAnsi" w:cs="Calibri"/>
          <w:sz w:val="20"/>
          <w:szCs w:val="20"/>
          <w:lang w:val="es-ES"/>
        </w:rPr>
        <w:t>aleg</w:t>
      </w:r>
      <w:r w:rsidR="00686114" w:rsidRPr="00505351">
        <w:rPr>
          <w:rFonts w:asciiTheme="majorHAnsi" w:hAnsiTheme="majorHAnsi" w:cs="Calibri"/>
          <w:sz w:val="20"/>
          <w:szCs w:val="20"/>
          <w:lang w:val="es-ES"/>
        </w:rPr>
        <w:t>ó</w:t>
      </w:r>
      <w:r w:rsidR="007B7F7D" w:rsidRPr="00505351">
        <w:rPr>
          <w:rFonts w:asciiTheme="majorHAnsi" w:hAnsiTheme="majorHAnsi" w:cs="Calibri"/>
          <w:sz w:val="20"/>
          <w:szCs w:val="20"/>
          <w:lang w:val="es-ES"/>
        </w:rPr>
        <w:t xml:space="preserve"> desde la petición inicial 728-00 la excepción al agotamiento de los recursos.</w:t>
      </w:r>
      <w:r w:rsidR="00756A96" w:rsidRPr="00505351">
        <w:rPr>
          <w:rFonts w:asciiTheme="majorHAnsi" w:hAnsiTheme="majorHAnsi" w:cs="Calibri"/>
          <w:sz w:val="20"/>
          <w:szCs w:val="20"/>
          <w:lang w:val="es-ES"/>
        </w:rPr>
        <w:t xml:space="preserve"> De esta manera, </w:t>
      </w:r>
      <w:r w:rsidR="007B7F7D" w:rsidRPr="00505351">
        <w:rPr>
          <w:rFonts w:asciiTheme="majorHAnsi" w:hAnsiTheme="majorHAnsi" w:cs="Calibri"/>
          <w:sz w:val="20"/>
          <w:szCs w:val="20"/>
          <w:lang w:val="es-ES"/>
        </w:rPr>
        <w:t>la CIDH considera que</w:t>
      </w:r>
      <w:r w:rsidR="00B413A2" w:rsidRPr="00505351">
        <w:rPr>
          <w:rFonts w:asciiTheme="majorHAnsi" w:hAnsiTheme="majorHAnsi" w:cs="Calibri"/>
          <w:sz w:val="20"/>
          <w:szCs w:val="20"/>
          <w:lang w:val="es-ES"/>
        </w:rPr>
        <w:t xml:space="preserve"> el escenario ha cambiado y que en el presente caso, en términos de admisibilidad,</w:t>
      </w:r>
      <w:r w:rsidR="007B7F7D" w:rsidRPr="00505351">
        <w:rPr>
          <w:rFonts w:asciiTheme="majorHAnsi" w:hAnsiTheme="majorHAnsi" w:cs="Calibri"/>
          <w:sz w:val="20"/>
          <w:szCs w:val="20"/>
          <w:lang w:val="es-ES"/>
        </w:rPr>
        <w:t xml:space="preserve"> la</w:t>
      </w:r>
      <w:r w:rsidR="00981000" w:rsidRPr="00505351">
        <w:rPr>
          <w:rFonts w:asciiTheme="majorHAnsi" w:hAnsiTheme="majorHAnsi" w:cs="Calibri"/>
          <w:sz w:val="20"/>
          <w:szCs w:val="20"/>
          <w:lang w:val="es-ES"/>
        </w:rPr>
        <w:t xml:space="preserve"> similitud de la situación de todas las presuntas víctimas</w:t>
      </w:r>
      <w:r w:rsidR="007B7F7D" w:rsidRPr="00505351">
        <w:rPr>
          <w:rFonts w:asciiTheme="majorHAnsi" w:hAnsiTheme="majorHAnsi" w:cs="Calibri"/>
          <w:sz w:val="20"/>
          <w:szCs w:val="20"/>
          <w:lang w:val="es-ES"/>
        </w:rPr>
        <w:t xml:space="preserve"> </w:t>
      </w:r>
      <w:r w:rsidR="00B413A2" w:rsidRPr="00505351">
        <w:rPr>
          <w:rFonts w:asciiTheme="majorHAnsi" w:hAnsiTheme="majorHAnsi" w:cs="Calibri"/>
          <w:sz w:val="20"/>
          <w:szCs w:val="20"/>
          <w:lang w:val="es-ES"/>
        </w:rPr>
        <w:t xml:space="preserve">no viene </w:t>
      </w:r>
      <w:r w:rsidR="007B7F7D" w:rsidRPr="00505351">
        <w:rPr>
          <w:rFonts w:asciiTheme="majorHAnsi" w:hAnsiTheme="majorHAnsi" w:cs="Calibri"/>
          <w:sz w:val="20"/>
          <w:szCs w:val="20"/>
          <w:lang w:val="es-ES"/>
        </w:rPr>
        <w:t>determinad</w:t>
      </w:r>
      <w:r w:rsidR="00981000" w:rsidRPr="00505351">
        <w:rPr>
          <w:rFonts w:asciiTheme="majorHAnsi" w:hAnsiTheme="majorHAnsi" w:cs="Calibri"/>
          <w:sz w:val="20"/>
          <w:szCs w:val="20"/>
          <w:lang w:val="es-ES"/>
        </w:rPr>
        <w:t>a</w:t>
      </w:r>
      <w:r w:rsidR="007B7F7D" w:rsidRPr="00505351">
        <w:rPr>
          <w:rFonts w:asciiTheme="majorHAnsi" w:hAnsiTheme="majorHAnsi" w:cs="Calibri"/>
          <w:sz w:val="20"/>
          <w:szCs w:val="20"/>
          <w:lang w:val="es-ES"/>
        </w:rPr>
        <w:t xml:space="preserve"> por el proceso judicial que </w:t>
      </w:r>
      <w:r w:rsidR="00FE2E21" w:rsidRPr="00505351">
        <w:rPr>
          <w:rFonts w:asciiTheme="majorHAnsi" w:hAnsiTheme="majorHAnsi" w:cs="Calibri"/>
          <w:sz w:val="20"/>
          <w:szCs w:val="20"/>
          <w:lang w:val="es-ES"/>
        </w:rPr>
        <w:t>hubiera</w:t>
      </w:r>
      <w:r w:rsidR="001A72F3" w:rsidRPr="00505351">
        <w:rPr>
          <w:rFonts w:asciiTheme="majorHAnsi" w:hAnsiTheme="majorHAnsi" w:cs="Calibri"/>
          <w:sz w:val="20"/>
          <w:szCs w:val="20"/>
          <w:lang w:val="es-ES"/>
        </w:rPr>
        <w:t>n</w:t>
      </w:r>
      <w:r w:rsidR="007B7F7D" w:rsidRPr="00505351">
        <w:rPr>
          <w:rFonts w:asciiTheme="majorHAnsi" w:hAnsiTheme="majorHAnsi" w:cs="Calibri"/>
          <w:sz w:val="20"/>
          <w:szCs w:val="20"/>
          <w:lang w:val="es-ES"/>
        </w:rPr>
        <w:t xml:space="preserve"> ejercitado</w:t>
      </w:r>
      <w:r w:rsidR="00FE2E21" w:rsidRPr="00505351">
        <w:rPr>
          <w:rFonts w:asciiTheme="majorHAnsi" w:hAnsiTheme="majorHAnsi" w:cs="Calibri"/>
          <w:sz w:val="20"/>
          <w:szCs w:val="20"/>
          <w:lang w:val="es-ES"/>
        </w:rPr>
        <w:t xml:space="preserve"> o no</w:t>
      </w:r>
      <w:r w:rsidR="001A72F3" w:rsidRPr="00505351">
        <w:rPr>
          <w:rFonts w:asciiTheme="majorHAnsi" w:hAnsiTheme="majorHAnsi" w:cs="Calibri"/>
          <w:sz w:val="20"/>
          <w:szCs w:val="20"/>
          <w:lang w:val="es-ES"/>
        </w:rPr>
        <w:t xml:space="preserve"> en la jurisdicción doméstica</w:t>
      </w:r>
      <w:r w:rsidR="007B7F7D" w:rsidRPr="00505351">
        <w:rPr>
          <w:rFonts w:asciiTheme="majorHAnsi" w:hAnsiTheme="majorHAnsi" w:cs="Calibri"/>
          <w:sz w:val="20"/>
          <w:szCs w:val="20"/>
          <w:lang w:val="es-ES"/>
        </w:rPr>
        <w:t>, sino por la de</w:t>
      </w:r>
      <w:r w:rsidR="00FE2E21" w:rsidRPr="00505351">
        <w:rPr>
          <w:rFonts w:asciiTheme="majorHAnsi" w:hAnsiTheme="majorHAnsi" w:cs="Calibri"/>
          <w:sz w:val="20"/>
          <w:szCs w:val="20"/>
          <w:lang w:val="es-ES"/>
        </w:rPr>
        <w:t xml:space="preserve">cisión </w:t>
      </w:r>
      <w:r w:rsidR="007B7F7D" w:rsidRPr="00505351">
        <w:rPr>
          <w:rFonts w:asciiTheme="majorHAnsi" w:hAnsiTheme="majorHAnsi" w:cs="Calibri"/>
          <w:sz w:val="20"/>
          <w:szCs w:val="20"/>
          <w:lang w:val="es-ES"/>
        </w:rPr>
        <w:t>de su cese a través de la estructura normativa</w:t>
      </w:r>
      <w:r w:rsidR="00FE2E21" w:rsidRPr="00505351">
        <w:rPr>
          <w:rFonts w:asciiTheme="majorHAnsi" w:hAnsiTheme="majorHAnsi" w:cs="Calibri"/>
          <w:sz w:val="20"/>
          <w:szCs w:val="20"/>
          <w:lang w:val="es-ES"/>
        </w:rPr>
        <w:t xml:space="preserve"> citada anteriormente</w:t>
      </w:r>
      <w:r w:rsidR="001A72F3" w:rsidRPr="00505351">
        <w:rPr>
          <w:rFonts w:asciiTheme="majorHAnsi" w:hAnsiTheme="majorHAnsi" w:cs="Calibri"/>
          <w:sz w:val="20"/>
          <w:szCs w:val="20"/>
          <w:lang w:val="es-ES"/>
        </w:rPr>
        <w:t xml:space="preserve"> creada con la finalidad de </w:t>
      </w:r>
      <w:r w:rsidR="00505351" w:rsidRPr="00505351">
        <w:rPr>
          <w:rFonts w:asciiTheme="majorHAnsi" w:hAnsiTheme="majorHAnsi" w:cs="Calibri"/>
          <w:sz w:val="20"/>
          <w:szCs w:val="20"/>
          <w:lang w:val="es-ES"/>
        </w:rPr>
        <w:t xml:space="preserve">formalizar </w:t>
      </w:r>
      <w:r w:rsidR="001A72F3" w:rsidRPr="00505351">
        <w:rPr>
          <w:rFonts w:asciiTheme="majorHAnsi" w:hAnsiTheme="majorHAnsi" w:cs="Calibri"/>
          <w:sz w:val="20"/>
          <w:szCs w:val="20"/>
          <w:lang w:val="es-ES"/>
        </w:rPr>
        <w:t>sus despidos</w:t>
      </w:r>
      <w:r w:rsidR="00461212" w:rsidRPr="00505351">
        <w:rPr>
          <w:rFonts w:asciiTheme="majorHAnsi" w:hAnsiTheme="majorHAnsi" w:cs="Calibri"/>
          <w:sz w:val="20"/>
          <w:szCs w:val="20"/>
          <w:lang w:val="es-ES"/>
        </w:rPr>
        <w:t xml:space="preserve"> con falta de acceso a recursos efectivos, lo que ya ha </w:t>
      </w:r>
      <w:r w:rsidR="00B413A2" w:rsidRPr="00505351">
        <w:rPr>
          <w:rFonts w:asciiTheme="majorHAnsi" w:hAnsiTheme="majorHAnsi" w:cs="Calibri"/>
          <w:sz w:val="20"/>
          <w:szCs w:val="20"/>
          <w:lang w:val="es-ES"/>
        </w:rPr>
        <w:t>sido establecid</w:t>
      </w:r>
      <w:r w:rsidR="00461212" w:rsidRPr="00505351">
        <w:rPr>
          <w:rFonts w:asciiTheme="majorHAnsi" w:hAnsiTheme="majorHAnsi" w:cs="Calibri"/>
          <w:sz w:val="20"/>
          <w:szCs w:val="20"/>
          <w:lang w:val="es-ES"/>
        </w:rPr>
        <w:t>o</w:t>
      </w:r>
      <w:r w:rsidR="00B413A2" w:rsidRPr="00505351">
        <w:rPr>
          <w:rFonts w:asciiTheme="majorHAnsi" w:hAnsiTheme="majorHAnsi" w:cs="Calibri"/>
          <w:sz w:val="20"/>
          <w:szCs w:val="20"/>
          <w:lang w:val="es-ES"/>
        </w:rPr>
        <w:t xml:space="preserve"> extensamente en el sistema interamericano</w:t>
      </w:r>
      <w:r w:rsidR="007B7F7D" w:rsidRPr="00505351">
        <w:rPr>
          <w:rFonts w:asciiTheme="majorHAnsi" w:hAnsiTheme="majorHAnsi" w:cs="Calibri"/>
          <w:sz w:val="20"/>
          <w:szCs w:val="20"/>
          <w:lang w:val="es-ES"/>
        </w:rPr>
        <w:t xml:space="preserve">. </w:t>
      </w:r>
      <w:r w:rsidR="007B7F7D" w:rsidRPr="00505351">
        <w:rPr>
          <w:rFonts w:asciiTheme="majorHAnsi" w:hAnsiTheme="majorHAnsi" w:cs="Calibri"/>
          <w:sz w:val="20"/>
          <w:szCs w:val="20"/>
        </w:rPr>
        <w:t xml:space="preserve">Así, la parte peticionaria ha indicado que la totalidad de las presuntas víctimas fueron desvinculadas a través de las Resoluciones </w:t>
      </w:r>
      <w:r w:rsidR="00FE2E21" w:rsidRPr="00505351">
        <w:rPr>
          <w:rFonts w:asciiTheme="majorHAnsi" w:hAnsiTheme="majorHAnsi" w:cs="Calibri"/>
          <w:sz w:val="20"/>
          <w:szCs w:val="20"/>
        </w:rPr>
        <w:t xml:space="preserve">No. 1303-A-92-CACL y </w:t>
      </w:r>
      <w:r w:rsidR="007B7F7D" w:rsidRPr="00505351">
        <w:rPr>
          <w:rFonts w:asciiTheme="majorHAnsi" w:hAnsiTheme="majorHAnsi" w:cs="Calibri"/>
          <w:sz w:val="20"/>
          <w:szCs w:val="20"/>
        </w:rPr>
        <w:t>No. 1303-B-92-</w:t>
      </w:r>
      <w:r w:rsidR="00FE2E21" w:rsidRPr="00505351">
        <w:rPr>
          <w:rFonts w:asciiTheme="majorHAnsi" w:hAnsiTheme="majorHAnsi" w:cs="Calibri"/>
          <w:sz w:val="20"/>
          <w:szCs w:val="20"/>
        </w:rPr>
        <w:t xml:space="preserve">CACL, información que no ha </w:t>
      </w:r>
      <w:r w:rsidR="00B413A2" w:rsidRPr="00505351">
        <w:rPr>
          <w:rFonts w:asciiTheme="majorHAnsi" w:hAnsiTheme="majorHAnsi" w:cs="Calibri"/>
          <w:sz w:val="20"/>
          <w:szCs w:val="20"/>
        </w:rPr>
        <w:t>sido desvirtuada por el Estado.</w:t>
      </w:r>
    </w:p>
    <w:p w14:paraId="34B2019C" w14:textId="77777777" w:rsidR="00505351" w:rsidRPr="00505351" w:rsidRDefault="00505351" w:rsidP="005053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2"/>
          <w:szCs w:val="20"/>
        </w:rPr>
      </w:pPr>
    </w:p>
    <w:p w14:paraId="6C1FF1DF" w14:textId="27B4C81D" w:rsidR="00B413A2" w:rsidRPr="00505351" w:rsidRDefault="00085F2D" w:rsidP="0050535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2"/>
          <w:szCs w:val="20"/>
        </w:rPr>
      </w:pPr>
      <w:r w:rsidRPr="00505351">
        <w:rPr>
          <w:rFonts w:asciiTheme="majorHAnsi" w:hAnsiTheme="majorHAnsi" w:cs="Calibri"/>
          <w:sz w:val="20"/>
          <w:szCs w:val="20"/>
          <w:lang w:val="es-ES"/>
        </w:rPr>
        <w:t>Sobre la base de todo lo anterior, la claridad existente sobre la ausencia de un recurso disponible</w:t>
      </w:r>
      <w:r w:rsidR="001B373A" w:rsidRPr="00505351">
        <w:rPr>
          <w:rFonts w:asciiTheme="majorHAnsi" w:hAnsiTheme="majorHAnsi" w:cs="Calibri"/>
          <w:sz w:val="20"/>
          <w:szCs w:val="20"/>
          <w:lang w:val="es-ES"/>
        </w:rPr>
        <w:t>, idóneo y efectivo</w:t>
      </w:r>
      <w:r w:rsidRPr="00505351">
        <w:rPr>
          <w:rFonts w:asciiTheme="majorHAnsi" w:hAnsiTheme="majorHAnsi" w:cs="Calibri"/>
          <w:sz w:val="20"/>
          <w:szCs w:val="20"/>
          <w:lang w:val="es-ES"/>
        </w:rPr>
        <w:t xml:space="preserve"> para el agotamiento</w:t>
      </w:r>
      <w:r w:rsidR="0090192B">
        <w:rPr>
          <w:rFonts w:asciiTheme="majorHAnsi" w:hAnsiTheme="majorHAnsi" w:cs="Calibri"/>
          <w:sz w:val="20"/>
          <w:szCs w:val="20"/>
          <w:lang w:val="es-ES"/>
        </w:rPr>
        <w:t xml:space="preserve"> de los recursos internos</w:t>
      </w:r>
      <w:r w:rsidRPr="00505351">
        <w:rPr>
          <w:rFonts w:asciiTheme="majorHAnsi" w:hAnsiTheme="majorHAnsi" w:cs="Calibri"/>
          <w:sz w:val="20"/>
          <w:szCs w:val="20"/>
          <w:lang w:val="es-ES"/>
        </w:rPr>
        <w:t xml:space="preserve">, la </w:t>
      </w:r>
      <w:r w:rsidR="00AC48E1" w:rsidRPr="00505351">
        <w:rPr>
          <w:rFonts w:asciiTheme="majorHAnsi" w:hAnsiTheme="majorHAnsi" w:cs="Calibri"/>
          <w:sz w:val="20"/>
          <w:szCs w:val="20"/>
          <w:lang w:val="es-ES"/>
        </w:rPr>
        <w:t>CIDH considera que</w:t>
      </w:r>
      <w:r w:rsidRPr="00505351">
        <w:rPr>
          <w:rFonts w:asciiTheme="majorHAnsi" w:hAnsiTheme="majorHAnsi" w:cs="Calibri"/>
          <w:sz w:val="20"/>
          <w:szCs w:val="20"/>
          <w:lang w:val="es-ES"/>
        </w:rPr>
        <w:t xml:space="preserve"> en el presente caso se</w:t>
      </w:r>
      <w:r w:rsidR="00AC48E1" w:rsidRPr="00505351">
        <w:rPr>
          <w:rFonts w:asciiTheme="majorHAnsi" w:hAnsiTheme="majorHAnsi" w:cs="Calibri"/>
          <w:sz w:val="20"/>
          <w:szCs w:val="20"/>
          <w:lang w:val="es-ES"/>
        </w:rPr>
        <w:t xml:space="preserve"> actualiza la hipótesis del artículo 46.2b</w:t>
      </w:r>
      <w:r w:rsidR="00AA1708" w:rsidRPr="00505351">
        <w:rPr>
          <w:rFonts w:asciiTheme="majorHAnsi" w:hAnsiTheme="majorHAnsi" w:cs="Calibri"/>
          <w:sz w:val="20"/>
          <w:szCs w:val="20"/>
          <w:lang w:val="es-ES"/>
        </w:rPr>
        <w:t>)</w:t>
      </w:r>
      <w:r w:rsidR="005D1791" w:rsidRPr="00505351">
        <w:rPr>
          <w:rFonts w:asciiTheme="majorHAnsi" w:hAnsiTheme="majorHAnsi" w:cs="Calibri"/>
          <w:sz w:val="20"/>
          <w:szCs w:val="20"/>
          <w:lang w:val="es-ES"/>
        </w:rPr>
        <w:t xml:space="preserve"> </w:t>
      </w:r>
      <w:r w:rsidR="00FC74B0">
        <w:rPr>
          <w:rFonts w:asciiTheme="majorHAnsi" w:hAnsiTheme="majorHAnsi" w:cs="Calibri"/>
          <w:sz w:val="20"/>
          <w:szCs w:val="20"/>
          <w:lang w:val="es-ES"/>
        </w:rPr>
        <w:t>de la Conven</w:t>
      </w:r>
      <w:r w:rsidR="004053ED" w:rsidRPr="00505351">
        <w:rPr>
          <w:rFonts w:asciiTheme="majorHAnsi" w:hAnsiTheme="majorHAnsi" w:cs="Calibri"/>
          <w:sz w:val="20"/>
          <w:szCs w:val="20"/>
          <w:lang w:val="es-ES"/>
        </w:rPr>
        <w:t>ción</w:t>
      </w:r>
      <w:r w:rsidR="00937B55" w:rsidRPr="00505351">
        <w:rPr>
          <w:rFonts w:asciiTheme="majorHAnsi" w:hAnsiTheme="majorHAnsi" w:cs="Calibri"/>
          <w:sz w:val="20"/>
          <w:szCs w:val="20"/>
          <w:lang w:val="es-ES"/>
        </w:rPr>
        <w:t xml:space="preserve"> y, </w:t>
      </w:r>
      <w:r w:rsidR="00AC48E1" w:rsidRPr="00505351">
        <w:rPr>
          <w:rFonts w:asciiTheme="majorHAnsi" w:hAnsiTheme="majorHAnsi" w:cs="Calibri"/>
          <w:sz w:val="20"/>
          <w:szCs w:val="20"/>
          <w:lang w:val="es-ES"/>
        </w:rPr>
        <w:t>por lo tanto</w:t>
      </w:r>
      <w:r w:rsidR="00937B55" w:rsidRPr="00505351">
        <w:rPr>
          <w:rFonts w:asciiTheme="majorHAnsi" w:hAnsiTheme="majorHAnsi" w:cs="Calibri"/>
          <w:sz w:val="20"/>
          <w:szCs w:val="20"/>
          <w:lang w:val="es-ES"/>
        </w:rPr>
        <w:t>,</w:t>
      </w:r>
      <w:r w:rsidR="00AC48E1" w:rsidRPr="00505351">
        <w:rPr>
          <w:rFonts w:asciiTheme="majorHAnsi" w:hAnsiTheme="majorHAnsi" w:cs="Calibri"/>
          <w:sz w:val="20"/>
          <w:szCs w:val="20"/>
          <w:lang w:val="es-ES"/>
        </w:rPr>
        <w:t xml:space="preserve"> considera que opera la excepción al agotamiento de los recursos internos.</w:t>
      </w:r>
      <w:r w:rsidR="001A72F3" w:rsidRPr="00505351">
        <w:rPr>
          <w:rFonts w:asciiTheme="majorHAnsi" w:hAnsiTheme="majorHAnsi" w:cs="Calibri"/>
          <w:sz w:val="20"/>
          <w:szCs w:val="20"/>
          <w:lang w:val="es-CO"/>
        </w:rPr>
        <w:t xml:space="preserve"> </w:t>
      </w:r>
      <w:r w:rsidR="004470AE" w:rsidRPr="00505351">
        <w:rPr>
          <w:rFonts w:asciiTheme="majorHAnsi" w:hAnsiTheme="majorHAnsi" w:cs="Calibri"/>
          <w:sz w:val="20"/>
          <w:szCs w:val="20"/>
          <w:lang w:val="es-US"/>
        </w:rPr>
        <w:t>Dada la situación anterior, la CIDH omite el análisis del plazo de</w:t>
      </w:r>
      <w:r w:rsidR="00AA1708" w:rsidRPr="00505351">
        <w:rPr>
          <w:rFonts w:asciiTheme="majorHAnsi" w:hAnsiTheme="majorHAnsi" w:cs="Calibri"/>
          <w:sz w:val="20"/>
          <w:szCs w:val="20"/>
          <w:lang w:val="es-US"/>
        </w:rPr>
        <w:t xml:space="preserve"> seis meses y considera que la petición fue presentada en un plazo razonable conforme al artículo 32 del Reglamento de la CIDH.</w:t>
      </w:r>
      <w:r w:rsidR="00AA1708" w:rsidRPr="00505351" w:rsidDel="00AA1708">
        <w:rPr>
          <w:rFonts w:asciiTheme="majorHAnsi" w:hAnsiTheme="majorHAnsi" w:cs="Calibri"/>
          <w:sz w:val="20"/>
          <w:szCs w:val="20"/>
          <w:lang w:val="es-US"/>
        </w:rPr>
        <w:t xml:space="preserve"> </w:t>
      </w:r>
    </w:p>
    <w:p w14:paraId="15393561" w14:textId="77777777" w:rsidR="009162D5" w:rsidRPr="009162D5" w:rsidRDefault="009162D5" w:rsidP="009162D5">
      <w:pPr>
        <w:pStyle w:val="ListParagraph"/>
        <w:ind w:left="142" w:right="142"/>
        <w:jc w:val="both"/>
        <w:rPr>
          <w:rFonts w:asciiTheme="majorHAnsi" w:hAnsiTheme="majorHAnsi" w:cs="Calibri"/>
          <w:sz w:val="20"/>
          <w:szCs w:val="20"/>
          <w:lang w:val="es-ES_tradnl"/>
        </w:rPr>
      </w:pPr>
    </w:p>
    <w:p w14:paraId="208EDE4B" w14:textId="77777777" w:rsidR="00F43AE1" w:rsidRPr="00FB4380" w:rsidRDefault="00F43AE1" w:rsidP="00FB4380">
      <w:pPr>
        <w:pStyle w:val="Heading3"/>
        <w:numPr>
          <w:ilvl w:val="0"/>
          <w:numId w:val="60"/>
        </w:numPr>
        <w:rPr>
          <w:rFonts w:asciiTheme="majorHAnsi" w:hAnsiTheme="majorHAnsi"/>
          <w:lang w:val="es-ES"/>
        </w:rPr>
      </w:pPr>
      <w:bookmarkStart w:id="11" w:name="_Toc413687820"/>
      <w:bookmarkStart w:id="12" w:name="_Toc5358718"/>
      <w:r w:rsidRPr="00FB4380">
        <w:rPr>
          <w:rFonts w:asciiTheme="majorHAnsi" w:hAnsiTheme="majorHAnsi"/>
          <w:lang w:val="es-ES"/>
        </w:rPr>
        <w:t>Duplicación de procedimientos y cosa juzgada internacional</w:t>
      </w:r>
      <w:bookmarkEnd w:id="11"/>
      <w:bookmarkEnd w:id="12"/>
    </w:p>
    <w:p w14:paraId="23F2947A" w14:textId="77777777" w:rsidR="00F43AE1" w:rsidRPr="00FB4380" w:rsidRDefault="00F43AE1" w:rsidP="00F43AE1">
      <w:pPr>
        <w:jc w:val="both"/>
        <w:rPr>
          <w:rFonts w:asciiTheme="majorHAnsi" w:hAnsiTheme="majorHAnsi" w:cs="Calibri"/>
          <w:sz w:val="20"/>
          <w:szCs w:val="20"/>
          <w:lang w:val="es-ES_tradnl"/>
        </w:rPr>
      </w:pPr>
    </w:p>
    <w:p w14:paraId="2C36CCC3" w14:textId="77777777" w:rsidR="00F43AE1" w:rsidRPr="00FB4380" w:rsidRDefault="00F43AE1" w:rsidP="00F43AE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rPr>
      </w:pPr>
      <w:r w:rsidRPr="00FB4380">
        <w:rPr>
          <w:rFonts w:asciiTheme="majorHAnsi" w:hAnsiTheme="majorHAnsi" w:cs="Calibri"/>
          <w:sz w:val="20"/>
          <w:szCs w:val="20"/>
        </w:rPr>
        <w:t>El artículo 46.1.c) de la Convención dispone que la admisión de las peticiones está sujeta al requisito respecto a que la materia "no esté pendiente de otro procedimiento de arreglo internacional" y en el artículo 47.d) de la Convención se estipula que la Comisión no admitirá la petición que sea sustancialmente la reproducción de petición o comunicación anterior ya examinada por la Comisión o por otro organismo internacional. En el presente caso, las partes no han esgrimido la existencia de ninguna de esas dos circunstancias, ni ellas se deducen del expediente.</w:t>
      </w:r>
    </w:p>
    <w:p w14:paraId="4D5A1068" w14:textId="77777777" w:rsidR="00745C80" w:rsidRPr="00FB4380" w:rsidRDefault="00745C80" w:rsidP="00745C8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rPr>
      </w:pPr>
    </w:p>
    <w:p w14:paraId="13344F22" w14:textId="77777777" w:rsidR="00745C80" w:rsidRPr="00FB4380" w:rsidRDefault="00745C80" w:rsidP="00FB4380">
      <w:pPr>
        <w:pStyle w:val="Heading3"/>
        <w:numPr>
          <w:ilvl w:val="0"/>
          <w:numId w:val="60"/>
        </w:numPr>
        <w:rPr>
          <w:rFonts w:asciiTheme="majorHAnsi" w:hAnsiTheme="majorHAnsi"/>
          <w:lang w:val="es-ES"/>
        </w:rPr>
      </w:pPr>
      <w:bookmarkStart w:id="13" w:name="_Toc413687821"/>
      <w:bookmarkStart w:id="14" w:name="_Toc5358719"/>
      <w:r w:rsidRPr="00FB4380">
        <w:rPr>
          <w:rFonts w:asciiTheme="majorHAnsi" w:hAnsiTheme="majorHAnsi"/>
          <w:lang w:val="es-ES"/>
        </w:rPr>
        <w:lastRenderedPageBreak/>
        <w:t>Caracterización de los hechos alegados</w:t>
      </w:r>
      <w:bookmarkEnd w:id="13"/>
      <w:bookmarkEnd w:id="14"/>
    </w:p>
    <w:p w14:paraId="58CC8DA9" w14:textId="77777777" w:rsidR="00745C80" w:rsidRPr="00FB4380" w:rsidRDefault="00745C80" w:rsidP="00745C8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rPr>
      </w:pPr>
    </w:p>
    <w:p w14:paraId="3A638315" w14:textId="77777777" w:rsidR="00745C80" w:rsidRPr="00FB4380" w:rsidRDefault="00745C80" w:rsidP="00745C8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rPr>
      </w:pPr>
      <w:r w:rsidRPr="00FB4380">
        <w:rPr>
          <w:rFonts w:asciiTheme="majorHAnsi" w:hAnsiTheme="majorHAnsi" w:cs="Calibri"/>
          <w:sz w:val="20"/>
          <w:szCs w:val="20"/>
        </w:rPr>
        <w:t>Siguiendo la jurisprudencia en materia de admisibilidad de los dos casos anteriores sobre</w:t>
      </w:r>
      <w:r w:rsidR="00D0318B" w:rsidRPr="00FB4380">
        <w:rPr>
          <w:rFonts w:asciiTheme="majorHAnsi" w:hAnsiTheme="majorHAnsi" w:cs="Calibri"/>
          <w:sz w:val="20"/>
          <w:szCs w:val="20"/>
        </w:rPr>
        <w:t xml:space="preserve"> el mismo tema</w:t>
      </w:r>
      <w:r w:rsidRPr="00FB4380">
        <w:rPr>
          <w:rFonts w:asciiTheme="majorHAnsi" w:hAnsiTheme="majorHAnsi" w:cs="Calibri"/>
          <w:sz w:val="20"/>
          <w:szCs w:val="20"/>
        </w:rPr>
        <w:t xml:space="preserve">, la CIDH considera que los alegatos sobre posibles vulneraciones a los derechos al debido proceso y protección judicial en la desvinculación podrían constituir violaciones de los derechos consagrados en los artículos 8 y 25 de la Convención Americana en relación con los artículos 1.1 y 2 del mismo instrumento. </w:t>
      </w:r>
      <w:r w:rsidR="0068693F" w:rsidRPr="00FB4380">
        <w:rPr>
          <w:rFonts w:asciiTheme="majorHAnsi" w:hAnsiTheme="majorHAnsi" w:cs="Calibri"/>
          <w:sz w:val="20"/>
          <w:szCs w:val="20"/>
        </w:rPr>
        <w:t xml:space="preserve">Asimismo, en atención a la metodología de análisis sumario </w:t>
      </w:r>
      <w:r w:rsidR="002E1C43" w:rsidRPr="00FB4380">
        <w:rPr>
          <w:rFonts w:asciiTheme="majorHAnsi" w:hAnsiTheme="majorHAnsi" w:cs="Calibri"/>
          <w:sz w:val="20"/>
          <w:szCs w:val="20"/>
        </w:rPr>
        <w:t xml:space="preserve">relativa a fallos anteriores de los órganos del sistema interamericano sobre la misma temática </w:t>
      </w:r>
      <w:r w:rsidR="0068693F" w:rsidRPr="00FB4380">
        <w:rPr>
          <w:rFonts w:asciiTheme="majorHAnsi" w:hAnsiTheme="majorHAnsi" w:cs="Calibri"/>
          <w:sz w:val="20"/>
          <w:szCs w:val="20"/>
        </w:rPr>
        <w:t>incluida en la sección de Análisis de Derecho</w:t>
      </w:r>
      <w:r w:rsidR="002E1C43" w:rsidRPr="00FB4380">
        <w:rPr>
          <w:rFonts w:asciiTheme="majorHAnsi" w:hAnsiTheme="majorHAnsi" w:cs="Calibri"/>
          <w:sz w:val="20"/>
          <w:szCs w:val="20"/>
        </w:rPr>
        <w:t xml:space="preserve">, también se incluye en este punto la posible violación del artículo </w:t>
      </w:r>
      <w:r w:rsidR="00964C4A" w:rsidRPr="00FB4380">
        <w:rPr>
          <w:rFonts w:asciiTheme="majorHAnsi" w:hAnsiTheme="majorHAnsi" w:cs="Calibri"/>
          <w:sz w:val="20"/>
          <w:szCs w:val="20"/>
        </w:rPr>
        <w:t>26 de la Convención.</w:t>
      </w:r>
    </w:p>
    <w:p w14:paraId="5B035DE3" w14:textId="77777777" w:rsidR="00721C98" w:rsidRPr="00FB4380" w:rsidRDefault="00721C98" w:rsidP="00721C9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p>
    <w:p w14:paraId="2B35B8D7" w14:textId="77777777" w:rsidR="00721C98" w:rsidRPr="00FB4380" w:rsidRDefault="00721C98" w:rsidP="00745C8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r w:rsidRPr="00FB4380">
        <w:rPr>
          <w:rFonts w:asciiTheme="majorHAnsi" w:hAnsiTheme="majorHAnsi"/>
          <w:sz w:val="20"/>
          <w:szCs w:val="20"/>
          <w:lang w:val="es-ES"/>
        </w:rPr>
        <w:t>Asimismo, en relación con las excepciones deducidas de cuarta instancia y de sustracción de la materia, la CIDH considera que las mismas no son procedentes dado que cuestionan un asunto que está relacionado con el fondo de la controversia</w:t>
      </w:r>
      <w:r w:rsidR="00002005" w:rsidRPr="00FB4380">
        <w:rPr>
          <w:rFonts w:asciiTheme="majorHAnsi" w:hAnsiTheme="majorHAnsi"/>
          <w:sz w:val="20"/>
          <w:szCs w:val="20"/>
          <w:lang w:val="es-ES"/>
        </w:rPr>
        <w:t xml:space="preserve"> porque aluden al derecho a la protección judicial y a las garantías judiciales, lo que será analizado </w:t>
      </w:r>
      <w:r w:rsidR="00F55100" w:rsidRPr="00FB4380">
        <w:rPr>
          <w:rFonts w:asciiTheme="majorHAnsi" w:hAnsiTheme="majorHAnsi"/>
          <w:sz w:val="20"/>
          <w:szCs w:val="20"/>
          <w:lang w:val="es-ES"/>
        </w:rPr>
        <w:t>en la sección correspondiente</w:t>
      </w:r>
      <w:r w:rsidR="00002005" w:rsidRPr="00FB4380">
        <w:rPr>
          <w:rFonts w:asciiTheme="majorHAnsi" w:hAnsiTheme="majorHAnsi"/>
          <w:sz w:val="20"/>
          <w:szCs w:val="20"/>
          <w:lang w:val="es-ES"/>
        </w:rPr>
        <w:t>. Asimismo, la CIDH reitera que los efectos del acceso de algunas de las presuntas víctimas a los procedimientos de reposición laboral, reconversión laboral, indemnización u alguna otra modalidad de reparación ante el cese irregular como lo ha señalado el propio Estado, es un asunto que también se relaciona con el fondo del asunto y de ser el caso, eventualmente, podrá ser tomado en consideración en las recomendaciones emitidas por la Comisión</w:t>
      </w:r>
      <w:r w:rsidR="00AF7D9A" w:rsidRPr="00FB4380">
        <w:rPr>
          <w:rStyle w:val="FootnoteReference"/>
          <w:rFonts w:asciiTheme="majorHAnsi" w:hAnsiTheme="majorHAnsi"/>
          <w:sz w:val="20"/>
          <w:szCs w:val="20"/>
          <w:lang w:val="es-ES"/>
        </w:rPr>
        <w:footnoteReference w:id="13"/>
      </w:r>
      <w:r w:rsidR="00002005" w:rsidRPr="00FB4380">
        <w:rPr>
          <w:rFonts w:asciiTheme="majorHAnsi" w:hAnsiTheme="majorHAnsi"/>
          <w:sz w:val="20"/>
          <w:szCs w:val="20"/>
          <w:lang w:val="es-ES"/>
        </w:rPr>
        <w:t xml:space="preserve">. </w:t>
      </w:r>
    </w:p>
    <w:p w14:paraId="28BAAA32" w14:textId="77777777" w:rsidR="00B42305" w:rsidRPr="00FB4380" w:rsidRDefault="00B42305" w:rsidP="007C047E">
      <w:pPr>
        <w:pStyle w:val="ListParagraph"/>
        <w:suppressAutoHyphens/>
        <w:ind w:left="0"/>
        <w:rPr>
          <w:rFonts w:asciiTheme="majorHAnsi" w:hAnsiTheme="majorHAnsi"/>
          <w:b/>
          <w:sz w:val="20"/>
          <w:szCs w:val="20"/>
          <w:lang w:val="es-ES_tradnl"/>
        </w:rPr>
      </w:pPr>
    </w:p>
    <w:p w14:paraId="05084989" w14:textId="77777777" w:rsidR="00D12193" w:rsidRPr="00FB4380" w:rsidRDefault="00D12193" w:rsidP="005777B2">
      <w:pPr>
        <w:pStyle w:val="Heading1"/>
        <w:ind w:left="720" w:hanging="720"/>
      </w:pPr>
      <w:bookmarkStart w:id="15" w:name="_Toc5358720"/>
      <w:r w:rsidRPr="00FB4380">
        <w:t>DETERMINACIONES DE HECHO</w:t>
      </w:r>
      <w:bookmarkEnd w:id="15"/>
      <w:r w:rsidR="008A078F" w:rsidRPr="00FB4380">
        <w:t xml:space="preserve"> </w:t>
      </w:r>
    </w:p>
    <w:p w14:paraId="29F9BF93" w14:textId="77777777" w:rsidR="007C756A" w:rsidRPr="00FB4380" w:rsidRDefault="007C756A" w:rsidP="007C047E">
      <w:pPr>
        <w:rPr>
          <w:rFonts w:asciiTheme="majorHAnsi" w:hAnsiTheme="majorHAnsi"/>
          <w:b/>
          <w:sz w:val="20"/>
          <w:szCs w:val="20"/>
          <w:lang w:val="es-ES_tradnl"/>
        </w:rPr>
      </w:pPr>
    </w:p>
    <w:p w14:paraId="6D3723B8" w14:textId="77777777" w:rsidR="00815021" w:rsidRPr="00FB4380" w:rsidRDefault="0022273F" w:rsidP="005777B2">
      <w:pPr>
        <w:pStyle w:val="Heading2"/>
        <w:numPr>
          <w:ilvl w:val="0"/>
          <w:numId w:val="67"/>
        </w:numPr>
        <w:ind w:hanging="630"/>
      </w:pPr>
      <w:bookmarkStart w:id="16" w:name="_Toc5358721"/>
      <w:r w:rsidRPr="00FB4380">
        <w:t>Contexto</w:t>
      </w:r>
      <w:bookmarkEnd w:id="16"/>
    </w:p>
    <w:p w14:paraId="77624852" w14:textId="77777777" w:rsidR="004F39FD" w:rsidRPr="00FB4380" w:rsidRDefault="004F39FD" w:rsidP="007C047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p>
    <w:p w14:paraId="107D6302" w14:textId="77777777" w:rsidR="004F39FD" w:rsidRPr="00FB4380" w:rsidRDefault="004F39FD" w:rsidP="007C047E">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r w:rsidRPr="00FB4380">
        <w:rPr>
          <w:rFonts w:asciiTheme="majorHAnsi" w:hAnsiTheme="majorHAnsi"/>
          <w:sz w:val="20"/>
          <w:szCs w:val="20"/>
          <w:lang w:val="es-ES"/>
        </w:rPr>
        <w:t xml:space="preserve">En relación con el contexto, la CIDH se remite a lo ya establecido por la Corte Interamericana en la sección denominada “Contexto histórico del </w:t>
      </w:r>
      <w:r w:rsidR="00674DAE" w:rsidRPr="00FB4380">
        <w:rPr>
          <w:rFonts w:asciiTheme="majorHAnsi" w:hAnsiTheme="majorHAnsi"/>
          <w:sz w:val="20"/>
          <w:szCs w:val="20"/>
          <w:lang w:val="es-ES"/>
        </w:rPr>
        <w:t>Perú</w:t>
      </w:r>
      <w:r w:rsidRPr="00FB4380">
        <w:rPr>
          <w:rFonts w:asciiTheme="majorHAnsi" w:hAnsiTheme="majorHAnsi"/>
          <w:sz w:val="20"/>
          <w:szCs w:val="20"/>
          <w:lang w:val="es-ES"/>
        </w:rPr>
        <w:t xml:space="preserve"> al momento de los hechos” establecida en los párrafos 89.1 a 89.6 de la sentencia del caso </w:t>
      </w:r>
      <w:r w:rsidRPr="00FB4380">
        <w:rPr>
          <w:rFonts w:asciiTheme="majorHAnsi" w:hAnsiTheme="majorHAnsi"/>
          <w:i/>
          <w:sz w:val="20"/>
          <w:szCs w:val="20"/>
          <w:lang w:val="es-ES"/>
        </w:rPr>
        <w:t>Trabajadores Cesados</w:t>
      </w:r>
      <w:r w:rsidRPr="00FB4380">
        <w:rPr>
          <w:rFonts w:asciiTheme="majorHAnsi" w:hAnsiTheme="majorHAnsi"/>
          <w:sz w:val="20"/>
          <w:szCs w:val="20"/>
          <w:lang w:val="es-ES"/>
        </w:rPr>
        <w:t xml:space="preserve">. </w:t>
      </w:r>
      <w:r w:rsidR="007D20FA" w:rsidRPr="00FB4380">
        <w:rPr>
          <w:rFonts w:asciiTheme="majorHAnsi" w:hAnsiTheme="majorHAnsi"/>
          <w:sz w:val="20"/>
          <w:szCs w:val="20"/>
          <w:lang w:val="es-ES"/>
        </w:rPr>
        <w:t>La Comisión considera que, adicionalmente al contexto histórico referido, existía también una “situación generalizada de ausencia de garantías e ineficacia de las instituciones judiciales para afrontar hechos como los del presente caso, con la consecuente desconfianza generada hacia dichas instituciones”</w:t>
      </w:r>
      <w:r w:rsidR="007D20FA" w:rsidRPr="00FB4380">
        <w:rPr>
          <w:rStyle w:val="FootnoteReference"/>
          <w:rFonts w:asciiTheme="majorHAnsi" w:hAnsiTheme="majorHAnsi"/>
          <w:sz w:val="20"/>
          <w:szCs w:val="20"/>
          <w:lang w:val="es-ES"/>
        </w:rPr>
        <w:footnoteReference w:id="14"/>
      </w:r>
      <w:r w:rsidR="007D20FA" w:rsidRPr="00FB4380">
        <w:rPr>
          <w:rFonts w:asciiTheme="majorHAnsi" w:hAnsiTheme="majorHAnsi"/>
          <w:sz w:val="20"/>
          <w:szCs w:val="20"/>
          <w:lang w:val="es-ES"/>
        </w:rPr>
        <w:t xml:space="preserve">. </w:t>
      </w:r>
      <w:r w:rsidR="00DD4BFE" w:rsidRPr="00FB4380">
        <w:rPr>
          <w:rFonts w:asciiTheme="majorHAnsi" w:hAnsiTheme="majorHAnsi"/>
          <w:sz w:val="20"/>
          <w:szCs w:val="20"/>
          <w:lang w:val="es-ES"/>
        </w:rPr>
        <w:t xml:space="preserve">Ambos elementos serán considerados por la Comisión en su análisis de fondo. </w:t>
      </w:r>
    </w:p>
    <w:p w14:paraId="354C08E3" w14:textId="77777777" w:rsidR="004F39FD" w:rsidRPr="00FB4380" w:rsidRDefault="004F39FD" w:rsidP="007C047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p>
    <w:p w14:paraId="40FDB90B" w14:textId="77777777" w:rsidR="004F39FD" w:rsidRPr="00FB4380" w:rsidRDefault="004F39FD" w:rsidP="005777B2">
      <w:pPr>
        <w:pStyle w:val="Heading2"/>
      </w:pPr>
      <w:bookmarkStart w:id="17" w:name="_Toc5358722"/>
      <w:r w:rsidRPr="00FB4380">
        <w:t>Hechos</w:t>
      </w:r>
      <w:r w:rsidR="00F55100" w:rsidRPr="00FB4380">
        <w:t xml:space="preserve"> del caso</w:t>
      </w:r>
      <w:bookmarkEnd w:id="17"/>
    </w:p>
    <w:p w14:paraId="60B0A6E6" w14:textId="77777777" w:rsidR="00516233" w:rsidRPr="00FB4380" w:rsidRDefault="00516233" w:rsidP="007C047E">
      <w:pPr>
        <w:pStyle w:val="ListParagraph"/>
        <w:ind w:left="0"/>
        <w:rPr>
          <w:rFonts w:asciiTheme="majorHAnsi" w:hAnsiTheme="majorHAnsi"/>
          <w:b/>
          <w:color w:val="auto"/>
          <w:sz w:val="20"/>
          <w:szCs w:val="20"/>
          <w:lang w:val="es-ES_tradnl"/>
        </w:rPr>
      </w:pPr>
    </w:p>
    <w:p w14:paraId="73FF9F77" w14:textId="77777777" w:rsidR="00D83D73" w:rsidRPr="00FB4380" w:rsidRDefault="00674DAE" w:rsidP="007C047E">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auto"/>
          <w:sz w:val="20"/>
          <w:szCs w:val="20"/>
        </w:rPr>
      </w:pPr>
      <w:r w:rsidRPr="00FB4380">
        <w:rPr>
          <w:rFonts w:asciiTheme="majorHAnsi" w:hAnsiTheme="majorHAnsi"/>
          <w:color w:val="auto"/>
          <w:sz w:val="20"/>
          <w:szCs w:val="20"/>
        </w:rPr>
        <w:t xml:space="preserve">Además de los hechos ya </w:t>
      </w:r>
      <w:r w:rsidR="00194568" w:rsidRPr="00FB4380">
        <w:rPr>
          <w:rFonts w:asciiTheme="majorHAnsi" w:hAnsiTheme="majorHAnsi"/>
          <w:color w:val="auto"/>
          <w:sz w:val="20"/>
          <w:szCs w:val="20"/>
        </w:rPr>
        <w:t>señalado</w:t>
      </w:r>
      <w:r w:rsidRPr="00FB4380">
        <w:rPr>
          <w:rFonts w:asciiTheme="majorHAnsi" w:hAnsiTheme="majorHAnsi"/>
          <w:color w:val="auto"/>
          <w:sz w:val="20"/>
          <w:szCs w:val="20"/>
        </w:rPr>
        <w:t>s</w:t>
      </w:r>
      <w:r w:rsidR="00194568" w:rsidRPr="00FB4380">
        <w:rPr>
          <w:rFonts w:asciiTheme="majorHAnsi" w:hAnsiTheme="majorHAnsi"/>
          <w:color w:val="auto"/>
          <w:sz w:val="20"/>
          <w:szCs w:val="20"/>
        </w:rPr>
        <w:t xml:space="preserve"> en el análisis de admisibilidad del presente caso en r</w:t>
      </w:r>
      <w:r w:rsidR="004F39FD" w:rsidRPr="00FB4380">
        <w:rPr>
          <w:rFonts w:asciiTheme="majorHAnsi" w:hAnsiTheme="majorHAnsi"/>
          <w:color w:val="auto"/>
          <w:sz w:val="20"/>
          <w:szCs w:val="20"/>
        </w:rPr>
        <w:t xml:space="preserve">elación con las existencia </w:t>
      </w:r>
      <w:r w:rsidR="00194568" w:rsidRPr="00FB4380">
        <w:rPr>
          <w:rFonts w:asciiTheme="majorHAnsi" w:hAnsiTheme="majorHAnsi"/>
          <w:color w:val="auto"/>
          <w:sz w:val="20"/>
          <w:szCs w:val="20"/>
        </w:rPr>
        <w:t xml:space="preserve">de normas </w:t>
      </w:r>
      <w:r w:rsidR="004F39FD" w:rsidRPr="00FB4380">
        <w:rPr>
          <w:rFonts w:asciiTheme="majorHAnsi" w:hAnsiTheme="majorHAnsi"/>
          <w:color w:val="auto"/>
          <w:sz w:val="20"/>
          <w:szCs w:val="20"/>
        </w:rPr>
        <w:t xml:space="preserve">adoptadas </w:t>
      </w:r>
      <w:r w:rsidR="00194568" w:rsidRPr="00FB4380">
        <w:rPr>
          <w:rFonts w:asciiTheme="majorHAnsi" w:hAnsiTheme="majorHAnsi"/>
          <w:color w:val="auto"/>
          <w:sz w:val="20"/>
          <w:szCs w:val="20"/>
        </w:rPr>
        <w:t xml:space="preserve">para crear una estructura que permitiera la desvinculación de los trabajadores del Congreso en la década de </w:t>
      </w:r>
      <w:r w:rsidRPr="00FB4380">
        <w:rPr>
          <w:rFonts w:asciiTheme="majorHAnsi" w:hAnsiTheme="majorHAnsi"/>
          <w:color w:val="auto"/>
          <w:sz w:val="20"/>
          <w:szCs w:val="20"/>
        </w:rPr>
        <w:t xml:space="preserve">los noventas, la CIDH considera que en el presente caso también es aplicable la base fáctica relacionada con </w:t>
      </w:r>
      <w:r w:rsidR="009D3F08" w:rsidRPr="00FB4380">
        <w:rPr>
          <w:rFonts w:asciiTheme="majorHAnsi" w:hAnsiTheme="majorHAnsi"/>
          <w:color w:val="auto"/>
          <w:sz w:val="20"/>
          <w:szCs w:val="20"/>
        </w:rPr>
        <w:t xml:space="preserve">las acciones que adoptó el Estado </w:t>
      </w:r>
      <w:r w:rsidRPr="00FB4380">
        <w:rPr>
          <w:rFonts w:asciiTheme="majorHAnsi" w:hAnsiTheme="majorHAnsi"/>
          <w:color w:val="auto"/>
          <w:sz w:val="20"/>
          <w:szCs w:val="20"/>
        </w:rPr>
        <w:t>en relación con la problemática de los ceses colectivos y que ha sido analizada también por los órganos del sistema interamericano</w:t>
      </w:r>
      <w:r w:rsidR="004F39FD" w:rsidRPr="00FB4380">
        <w:rPr>
          <w:rFonts w:asciiTheme="majorHAnsi" w:hAnsiTheme="majorHAnsi"/>
          <w:color w:val="auto"/>
          <w:sz w:val="20"/>
          <w:szCs w:val="20"/>
        </w:rPr>
        <w:t>.</w:t>
      </w:r>
    </w:p>
    <w:p w14:paraId="3095973C" w14:textId="77777777" w:rsidR="009537A3" w:rsidRPr="00FB4380" w:rsidRDefault="009537A3" w:rsidP="007C047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auto"/>
          <w:sz w:val="20"/>
          <w:szCs w:val="20"/>
        </w:rPr>
      </w:pPr>
    </w:p>
    <w:p w14:paraId="75D7AE23" w14:textId="77777777" w:rsidR="009537A3" w:rsidRPr="00FB4380" w:rsidRDefault="00674DAE" w:rsidP="007C047E">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auto"/>
          <w:sz w:val="20"/>
          <w:szCs w:val="20"/>
        </w:rPr>
      </w:pPr>
      <w:r w:rsidRPr="00FB4380">
        <w:rPr>
          <w:rFonts w:asciiTheme="majorHAnsi" w:hAnsiTheme="majorHAnsi"/>
          <w:color w:val="auto"/>
          <w:sz w:val="20"/>
          <w:szCs w:val="20"/>
        </w:rPr>
        <w:t xml:space="preserve">En estos términos, </w:t>
      </w:r>
      <w:r w:rsidR="009537A3" w:rsidRPr="00FB4380">
        <w:rPr>
          <w:rFonts w:asciiTheme="majorHAnsi" w:hAnsiTheme="majorHAnsi"/>
          <w:color w:val="auto"/>
          <w:sz w:val="20"/>
          <w:szCs w:val="20"/>
        </w:rPr>
        <w:t xml:space="preserve">la Corte Interamericana, en relación con las víctimas del caso </w:t>
      </w:r>
      <w:r w:rsidR="00536D7E" w:rsidRPr="00FB4380">
        <w:rPr>
          <w:rFonts w:asciiTheme="majorHAnsi" w:hAnsiTheme="majorHAnsi"/>
          <w:i/>
          <w:color w:val="auto"/>
          <w:sz w:val="20"/>
          <w:szCs w:val="20"/>
        </w:rPr>
        <w:t>Trabajadores Cesados</w:t>
      </w:r>
      <w:r w:rsidR="009537A3" w:rsidRPr="00FB4380">
        <w:rPr>
          <w:rFonts w:asciiTheme="majorHAnsi" w:hAnsiTheme="majorHAnsi"/>
          <w:color w:val="auto"/>
          <w:sz w:val="20"/>
          <w:szCs w:val="20"/>
        </w:rPr>
        <w:t xml:space="preserve">, señaló lo siguiente: </w:t>
      </w:r>
    </w:p>
    <w:p w14:paraId="6E4070A5" w14:textId="77777777" w:rsidR="009D3F08" w:rsidRPr="00FB4380" w:rsidRDefault="009D3F08" w:rsidP="009D3F0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auto"/>
          <w:sz w:val="20"/>
          <w:szCs w:val="20"/>
        </w:rPr>
      </w:pPr>
    </w:p>
    <w:p w14:paraId="392E5491" w14:textId="77777777" w:rsidR="00466A42" w:rsidRPr="009162D5" w:rsidRDefault="00466A42" w:rsidP="009162D5">
      <w:pPr>
        <w:pBdr>
          <w:top w:val="none" w:sz="0" w:space="0" w:color="auto"/>
          <w:left w:val="none" w:sz="0" w:space="0" w:color="auto"/>
          <w:bottom w:val="none" w:sz="0" w:space="0" w:color="auto"/>
          <w:right w:val="none" w:sz="0" w:space="0" w:color="auto"/>
          <w:between w:val="none" w:sz="0" w:space="0" w:color="auto"/>
          <w:bar w:val="none" w:sz="0" w:color="auto"/>
        </w:pBdr>
        <w:ind w:left="142" w:right="142"/>
        <w:jc w:val="both"/>
        <w:rPr>
          <w:rFonts w:asciiTheme="majorHAnsi" w:hAnsiTheme="majorHAnsi" w:cs="Verdana"/>
          <w:sz w:val="18"/>
          <w:szCs w:val="20"/>
          <w:lang w:val="es-ES" w:eastAsia="es-ES"/>
        </w:rPr>
      </w:pPr>
      <w:r w:rsidRPr="009162D5">
        <w:rPr>
          <w:rFonts w:asciiTheme="majorHAnsi" w:hAnsiTheme="majorHAnsi" w:cs="Verdana"/>
          <w:sz w:val="18"/>
          <w:szCs w:val="20"/>
          <w:lang w:val="es-ES" w:eastAsia="es-ES"/>
        </w:rPr>
        <w:t xml:space="preserve">89.31 </w:t>
      </w:r>
      <w:r w:rsidR="00704906" w:rsidRPr="009162D5">
        <w:rPr>
          <w:rFonts w:asciiTheme="majorHAnsi" w:hAnsiTheme="majorHAnsi" w:cs="Verdana"/>
          <w:sz w:val="18"/>
          <w:szCs w:val="20"/>
          <w:lang w:val="es-ES" w:eastAsia="es-ES"/>
        </w:rPr>
        <w:t xml:space="preserve">(…) </w:t>
      </w:r>
      <w:r w:rsidRPr="009162D5">
        <w:rPr>
          <w:rFonts w:asciiTheme="majorHAnsi" w:hAnsiTheme="majorHAnsi" w:cs="Verdana"/>
          <w:sz w:val="18"/>
          <w:szCs w:val="20"/>
          <w:lang w:val="es-ES" w:eastAsia="es-ES"/>
        </w:rPr>
        <w:t>a partir de la instauración d</w:t>
      </w:r>
      <w:r w:rsidR="009537A3" w:rsidRPr="009162D5">
        <w:rPr>
          <w:rFonts w:asciiTheme="majorHAnsi" w:hAnsiTheme="majorHAnsi" w:cs="Verdana"/>
          <w:sz w:val="18"/>
          <w:szCs w:val="20"/>
          <w:lang w:val="es-ES" w:eastAsia="es-ES"/>
        </w:rPr>
        <w:t xml:space="preserve">el gobierno de transición en el </w:t>
      </w:r>
      <w:r w:rsidRPr="009162D5">
        <w:rPr>
          <w:rFonts w:asciiTheme="majorHAnsi" w:hAnsiTheme="majorHAnsi" w:cs="Verdana"/>
          <w:sz w:val="18"/>
          <w:szCs w:val="20"/>
          <w:lang w:val="es-ES" w:eastAsia="es-ES"/>
        </w:rPr>
        <w:t>año 2000 (</w:t>
      </w:r>
      <w:r w:rsidR="00811829" w:rsidRPr="009162D5">
        <w:rPr>
          <w:rFonts w:asciiTheme="majorHAnsi" w:hAnsiTheme="majorHAnsi" w:cs="Verdana"/>
          <w:sz w:val="18"/>
          <w:szCs w:val="20"/>
          <w:lang w:val="es-ES" w:eastAsia="es-ES"/>
        </w:rPr>
        <w:t>…</w:t>
      </w:r>
      <w:r w:rsidRPr="009162D5">
        <w:rPr>
          <w:rFonts w:asciiTheme="majorHAnsi" w:hAnsiTheme="majorHAnsi" w:cs="Verdana"/>
          <w:sz w:val="18"/>
          <w:szCs w:val="20"/>
          <w:lang w:val="es-ES" w:eastAsia="es-ES"/>
        </w:rPr>
        <w:t xml:space="preserve">), fueron dictadas leyes </w:t>
      </w:r>
      <w:r w:rsidR="009537A3" w:rsidRPr="009162D5">
        <w:rPr>
          <w:rFonts w:asciiTheme="majorHAnsi" w:hAnsiTheme="majorHAnsi" w:cs="Verdana"/>
          <w:sz w:val="18"/>
          <w:szCs w:val="20"/>
          <w:lang w:val="es-ES" w:eastAsia="es-ES"/>
        </w:rPr>
        <w:t xml:space="preserve">y disposiciones administrativas </w:t>
      </w:r>
      <w:r w:rsidRPr="009162D5">
        <w:rPr>
          <w:rFonts w:asciiTheme="majorHAnsi" w:hAnsiTheme="majorHAnsi" w:cs="Verdana"/>
          <w:sz w:val="18"/>
          <w:szCs w:val="20"/>
          <w:lang w:val="es-ES" w:eastAsia="es-ES"/>
        </w:rPr>
        <w:t>que dispusieron la revisión de los ceses colec</w:t>
      </w:r>
      <w:r w:rsidR="009537A3" w:rsidRPr="009162D5">
        <w:rPr>
          <w:rFonts w:asciiTheme="majorHAnsi" w:hAnsiTheme="majorHAnsi" w:cs="Verdana"/>
          <w:sz w:val="18"/>
          <w:szCs w:val="20"/>
          <w:lang w:val="es-ES" w:eastAsia="es-ES"/>
        </w:rPr>
        <w:t xml:space="preserve">tivos a efecto de brindar a los </w:t>
      </w:r>
      <w:r w:rsidRPr="009162D5">
        <w:rPr>
          <w:rFonts w:asciiTheme="majorHAnsi" w:hAnsiTheme="majorHAnsi" w:cs="Verdana"/>
          <w:sz w:val="18"/>
          <w:szCs w:val="20"/>
          <w:lang w:val="es-ES" w:eastAsia="es-ES"/>
        </w:rPr>
        <w:t>trabajadores cesados en el Sector Público la posibili</w:t>
      </w:r>
      <w:r w:rsidR="009537A3" w:rsidRPr="009162D5">
        <w:rPr>
          <w:rFonts w:asciiTheme="majorHAnsi" w:hAnsiTheme="majorHAnsi" w:cs="Verdana"/>
          <w:sz w:val="18"/>
          <w:szCs w:val="20"/>
          <w:lang w:val="es-ES" w:eastAsia="es-ES"/>
        </w:rPr>
        <w:t xml:space="preserve">dad de reivindicar sus derechos </w:t>
      </w:r>
      <w:r w:rsidRPr="009162D5">
        <w:rPr>
          <w:rFonts w:asciiTheme="majorHAnsi" w:hAnsiTheme="majorHAnsi" w:cs="Verdana"/>
          <w:sz w:val="18"/>
          <w:szCs w:val="20"/>
          <w:lang w:val="es-ES" w:eastAsia="es-ES"/>
        </w:rPr>
        <w:t>(</w:t>
      </w:r>
      <w:r w:rsidR="00811829" w:rsidRPr="009162D5">
        <w:rPr>
          <w:rFonts w:asciiTheme="majorHAnsi" w:hAnsiTheme="majorHAnsi" w:cs="Verdana"/>
          <w:i/>
          <w:iCs/>
          <w:sz w:val="18"/>
          <w:szCs w:val="20"/>
          <w:lang w:val="es-ES" w:eastAsia="es-ES"/>
        </w:rPr>
        <w:t>…</w:t>
      </w:r>
      <w:r w:rsidRPr="009162D5">
        <w:rPr>
          <w:rFonts w:asciiTheme="majorHAnsi" w:hAnsiTheme="majorHAnsi" w:cs="Verdana"/>
          <w:sz w:val="18"/>
          <w:szCs w:val="20"/>
          <w:lang w:val="es-ES" w:eastAsia="es-ES"/>
        </w:rPr>
        <w:t>) .</w:t>
      </w:r>
    </w:p>
    <w:p w14:paraId="416F046F" w14:textId="77777777" w:rsidR="00811829" w:rsidRPr="009162D5" w:rsidRDefault="00811829" w:rsidP="009162D5">
      <w:pPr>
        <w:pBdr>
          <w:top w:val="none" w:sz="0" w:space="0" w:color="auto"/>
          <w:left w:val="none" w:sz="0" w:space="0" w:color="auto"/>
          <w:bottom w:val="none" w:sz="0" w:space="0" w:color="auto"/>
          <w:right w:val="none" w:sz="0" w:space="0" w:color="auto"/>
          <w:between w:val="none" w:sz="0" w:space="0" w:color="auto"/>
          <w:bar w:val="none" w:sz="0" w:color="auto"/>
        </w:pBdr>
        <w:ind w:left="142" w:right="142"/>
        <w:jc w:val="both"/>
        <w:rPr>
          <w:rFonts w:asciiTheme="majorHAnsi" w:hAnsiTheme="majorHAnsi" w:cs="Verdana"/>
          <w:sz w:val="18"/>
          <w:szCs w:val="20"/>
          <w:lang w:val="es-ES" w:eastAsia="es-ES"/>
        </w:rPr>
      </w:pPr>
    </w:p>
    <w:p w14:paraId="5B09F448" w14:textId="77777777" w:rsidR="00811829" w:rsidRPr="009162D5" w:rsidRDefault="00466A42" w:rsidP="009162D5">
      <w:pPr>
        <w:pBdr>
          <w:top w:val="none" w:sz="0" w:space="0" w:color="auto"/>
          <w:left w:val="none" w:sz="0" w:space="0" w:color="auto"/>
          <w:bottom w:val="none" w:sz="0" w:space="0" w:color="auto"/>
          <w:right w:val="none" w:sz="0" w:space="0" w:color="auto"/>
          <w:between w:val="none" w:sz="0" w:space="0" w:color="auto"/>
          <w:bar w:val="none" w:sz="0" w:color="auto"/>
        </w:pBdr>
        <w:ind w:left="142" w:right="142"/>
        <w:jc w:val="both"/>
        <w:rPr>
          <w:rFonts w:asciiTheme="majorHAnsi" w:hAnsiTheme="majorHAnsi" w:cs="Verdana"/>
          <w:sz w:val="18"/>
          <w:szCs w:val="20"/>
          <w:lang w:val="es-ES" w:eastAsia="es-ES"/>
        </w:rPr>
      </w:pPr>
      <w:r w:rsidRPr="009162D5">
        <w:rPr>
          <w:rFonts w:asciiTheme="majorHAnsi" w:hAnsiTheme="majorHAnsi" w:cs="Verdana"/>
          <w:sz w:val="18"/>
          <w:szCs w:val="20"/>
          <w:lang w:val="es-ES" w:eastAsia="es-ES"/>
        </w:rPr>
        <w:t>89.32 En ese contexto, el 21 de junio de 2001 fue emitida la L</w:t>
      </w:r>
      <w:r w:rsidR="00811829" w:rsidRPr="009162D5">
        <w:rPr>
          <w:rFonts w:asciiTheme="majorHAnsi" w:hAnsiTheme="majorHAnsi" w:cs="Verdana"/>
          <w:sz w:val="18"/>
          <w:szCs w:val="20"/>
          <w:lang w:val="es-ES" w:eastAsia="es-ES"/>
        </w:rPr>
        <w:t xml:space="preserve">ey No. 27487, que dispuso lo siguiente: </w:t>
      </w:r>
    </w:p>
    <w:p w14:paraId="27ED65D2" w14:textId="77777777" w:rsidR="00811829" w:rsidRPr="009162D5" w:rsidRDefault="00811829" w:rsidP="009162D5">
      <w:pPr>
        <w:pBdr>
          <w:top w:val="none" w:sz="0" w:space="0" w:color="auto"/>
          <w:left w:val="none" w:sz="0" w:space="0" w:color="auto"/>
          <w:bottom w:val="none" w:sz="0" w:space="0" w:color="auto"/>
          <w:right w:val="none" w:sz="0" w:space="0" w:color="auto"/>
          <w:between w:val="none" w:sz="0" w:space="0" w:color="auto"/>
          <w:bar w:val="none" w:sz="0" w:color="auto"/>
        </w:pBdr>
        <w:ind w:left="142" w:right="142"/>
        <w:jc w:val="both"/>
        <w:rPr>
          <w:rFonts w:asciiTheme="majorHAnsi" w:hAnsiTheme="majorHAnsi" w:cs="Verdana"/>
          <w:sz w:val="18"/>
          <w:szCs w:val="20"/>
          <w:lang w:val="es-ES" w:eastAsia="es-ES"/>
        </w:rPr>
      </w:pPr>
    </w:p>
    <w:p w14:paraId="5967DFD6" w14:textId="77777777" w:rsidR="00466A42" w:rsidRPr="009162D5" w:rsidRDefault="00466A42" w:rsidP="009162D5">
      <w:pPr>
        <w:pBdr>
          <w:top w:val="none" w:sz="0" w:space="0" w:color="auto"/>
          <w:left w:val="none" w:sz="0" w:space="0" w:color="auto"/>
          <w:bottom w:val="none" w:sz="0" w:space="0" w:color="auto"/>
          <w:right w:val="none" w:sz="0" w:space="0" w:color="auto"/>
          <w:between w:val="none" w:sz="0" w:space="0" w:color="auto"/>
          <w:bar w:val="none" w:sz="0" w:color="auto"/>
        </w:pBdr>
        <w:ind w:left="142" w:right="142"/>
        <w:jc w:val="both"/>
        <w:rPr>
          <w:rFonts w:asciiTheme="majorHAnsi" w:hAnsiTheme="majorHAnsi" w:cs="Verdana"/>
          <w:i/>
          <w:sz w:val="18"/>
          <w:szCs w:val="20"/>
          <w:lang w:val="es-ES" w:eastAsia="es-ES"/>
        </w:rPr>
      </w:pPr>
      <w:r w:rsidRPr="009162D5">
        <w:rPr>
          <w:rFonts w:asciiTheme="majorHAnsi" w:hAnsiTheme="majorHAnsi" w:cs="Verdana"/>
          <w:i/>
          <w:sz w:val="18"/>
          <w:szCs w:val="20"/>
          <w:lang w:val="es-ES" w:eastAsia="es-ES"/>
        </w:rPr>
        <w:t>Artículo 1º Derógase el Decreto Ley No. 26093 […,</w:t>
      </w:r>
      <w:r w:rsidR="00811829" w:rsidRPr="009162D5">
        <w:rPr>
          <w:rFonts w:asciiTheme="majorHAnsi" w:hAnsiTheme="majorHAnsi" w:cs="Verdana"/>
          <w:i/>
          <w:sz w:val="18"/>
          <w:szCs w:val="20"/>
          <w:lang w:val="es-ES" w:eastAsia="es-ES"/>
        </w:rPr>
        <w:t xml:space="preserve">] la Ley No. 25536[, …] y demás </w:t>
      </w:r>
      <w:r w:rsidRPr="009162D5">
        <w:rPr>
          <w:rFonts w:asciiTheme="majorHAnsi" w:hAnsiTheme="majorHAnsi" w:cs="Verdana"/>
          <w:i/>
          <w:sz w:val="18"/>
          <w:szCs w:val="20"/>
          <w:lang w:val="es-ES" w:eastAsia="es-ES"/>
        </w:rPr>
        <w:t>normas expresas que autorizaron ceses cole</w:t>
      </w:r>
      <w:r w:rsidR="00811829" w:rsidRPr="009162D5">
        <w:rPr>
          <w:rFonts w:asciiTheme="majorHAnsi" w:hAnsiTheme="majorHAnsi" w:cs="Verdana"/>
          <w:i/>
          <w:sz w:val="18"/>
          <w:szCs w:val="20"/>
          <w:lang w:val="es-ES" w:eastAsia="es-ES"/>
        </w:rPr>
        <w:t xml:space="preserve">ctivos al amparo de procesos de </w:t>
      </w:r>
      <w:r w:rsidRPr="009162D5">
        <w:rPr>
          <w:rFonts w:asciiTheme="majorHAnsi" w:hAnsiTheme="majorHAnsi" w:cs="Verdana"/>
          <w:i/>
          <w:sz w:val="18"/>
          <w:szCs w:val="20"/>
          <w:lang w:val="es-ES" w:eastAsia="es-ES"/>
        </w:rPr>
        <w:t>reorganización. […]</w:t>
      </w:r>
    </w:p>
    <w:p w14:paraId="0102F794" w14:textId="77777777" w:rsidR="00811829" w:rsidRPr="009162D5" w:rsidRDefault="00811829" w:rsidP="009162D5">
      <w:pPr>
        <w:pBdr>
          <w:top w:val="none" w:sz="0" w:space="0" w:color="auto"/>
          <w:left w:val="none" w:sz="0" w:space="0" w:color="auto"/>
          <w:bottom w:val="none" w:sz="0" w:space="0" w:color="auto"/>
          <w:right w:val="none" w:sz="0" w:space="0" w:color="auto"/>
          <w:between w:val="none" w:sz="0" w:space="0" w:color="auto"/>
          <w:bar w:val="none" w:sz="0" w:color="auto"/>
        </w:pBdr>
        <w:ind w:left="142" w:right="142"/>
        <w:jc w:val="both"/>
        <w:rPr>
          <w:rFonts w:asciiTheme="majorHAnsi" w:hAnsiTheme="majorHAnsi" w:cs="Verdana"/>
          <w:i/>
          <w:sz w:val="18"/>
          <w:szCs w:val="20"/>
          <w:lang w:val="es-ES" w:eastAsia="es-ES"/>
        </w:rPr>
      </w:pPr>
    </w:p>
    <w:p w14:paraId="69E08C48" w14:textId="77777777" w:rsidR="00466A42" w:rsidRPr="009162D5" w:rsidRDefault="00466A42" w:rsidP="009162D5">
      <w:pPr>
        <w:pBdr>
          <w:top w:val="none" w:sz="0" w:space="0" w:color="auto"/>
          <w:left w:val="none" w:sz="0" w:space="0" w:color="auto"/>
          <w:bottom w:val="none" w:sz="0" w:space="0" w:color="auto"/>
          <w:right w:val="none" w:sz="0" w:space="0" w:color="auto"/>
          <w:between w:val="none" w:sz="0" w:space="0" w:color="auto"/>
          <w:bar w:val="none" w:sz="0" w:color="auto"/>
        </w:pBdr>
        <w:ind w:left="142" w:right="142"/>
        <w:jc w:val="both"/>
        <w:rPr>
          <w:rFonts w:asciiTheme="majorHAnsi" w:hAnsiTheme="majorHAnsi" w:cs="Verdana"/>
          <w:i/>
          <w:sz w:val="18"/>
          <w:szCs w:val="20"/>
          <w:lang w:val="es-ES" w:eastAsia="es-ES"/>
        </w:rPr>
      </w:pPr>
      <w:r w:rsidRPr="009162D5">
        <w:rPr>
          <w:rFonts w:asciiTheme="majorHAnsi" w:hAnsiTheme="majorHAnsi" w:cs="Verdana"/>
          <w:i/>
          <w:sz w:val="18"/>
          <w:szCs w:val="20"/>
          <w:lang w:val="es-ES" w:eastAsia="es-ES"/>
        </w:rPr>
        <w:lastRenderedPageBreak/>
        <w:t>Artículo 3º Las instituciones y organismos públicos […], en un plazo de 15 (quince) días</w:t>
      </w:r>
      <w:r w:rsidR="00811829" w:rsidRPr="009162D5">
        <w:rPr>
          <w:rFonts w:asciiTheme="majorHAnsi" w:hAnsiTheme="majorHAnsi" w:cs="Verdana"/>
          <w:i/>
          <w:sz w:val="18"/>
          <w:szCs w:val="20"/>
          <w:lang w:val="es-ES" w:eastAsia="es-ES"/>
        </w:rPr>
        <w:t xml:space="preserve"> </w:t>
      </w:r>
      <w:r w:rsidRPr="009162D5">
        <w:rPr>
          <w:rFonts w:asciiTheme="majorHAnsi" w:hAnsiTheme="majorHAnsi" w:cs="Verdana"/>
          <w:i/>
          <w:sz w:val="18"/>
          <w:szCs w:val="20"/>
          <w:lang w:val="es-ES" w:eastAsia="es-ES"/>
        </w:rPr>
        <w:t>naturales contados a partir de la vigencia de la presente Ley, conformarán Comisiones</w:t>
      </w:r>
      <w:r w:rsidR="00811829" w:rsidRPr="009162D5">
        <w:rPr>
          <w:rFonts w:asciiTheme="majorHAnsi" w:hAnsiTheme="majorHAnsi" w:cs="Verdana"/>
          <w:i/>
          <w:sz w:val="18"/>
          <w:szCs w:val="20"/>
          <w:lang w:val="es-ES" w:eastAsia="es-ES"/>
        </w:rPr>
        <w:t xml:space="preserve"> </w:t>
      </w:r>
      <w:r w:rsidRPr="009162D5">
        <w:rPr>
          <w:rFonts w:asciiTheme="majorHAnsi" w:hAnsiTheme="majorHAnsi" w:cs="Verdana"/>
          <w:i/>
          <w:sz w:val="18"/>
          <w:szCs w:val="20"/>
          <w:lang w:val="es-ES" w:eastAsia="es-ES"/>
        </w:rPr>
        <w:t xml:space="preserve">Especiales integradas por representantes de éstas y de </w:t>
      </w:r>
      <w:r w:rsidR="00811829" w:rsidRPr="009162D5">
        <w:rPr>
          <w:rFonts w:asciiTheme="majorHAnsi" w:hAnsiTheme="majorHAnsi" w:cs="Verdana"/>
          <w:i/>
          <w:sz w:val="18"/>
          <w:szCs w:val="20"/>
          <w:lang w:val="es-ES" w:eastAsia="es-ES"/>
        </w:rPr>
        <w:t xml:space="preserve">los trabajadores, encargadas de </w:t>
      </w:r>
      <w:r w:rsidRPr="009162D5">
        <w:rPr>
          <w:rFonts w:asciiTheme="majorHAnsi" w:hAnsiTheme="majorHAnsi" w:cs="Verdana"/>
          <w:i/>
          <w:sz w:val="18"/>
          <w:szCs w:val="20"/>
          <w:lang w:val="es-ES" w:eastAsia="es-ES"/>
        </w:rPr>
        <w:t xml:space="preserve">revisar los ceses colectivos de personal amparados en </w:t>
      </w:r>
      <w:r w:rsidR="00811829" w:rsidRPr="009162D5">
        <w:rPr>
          <w:rFonts w:asciiTheme="majorHAnsi" w:hAnsiTheme="majorHAnsi" w:cs="Verdana"/>
          <w:i/>
          <w:sz w:val="18"/>
          <w:szCs w:val="20"/>
          <w:lang w:val="es-ES" w:eastAsia="es-ES"/>
        </w:rPr>
        <w:t xml:space="preserve">procedimientos de evaluación de </w:t>
      </w:r>
      <w:r w:rsidRPr="009162D5">
        <w:rPr>
          <w:rFonts w:asciiTheme="majorHAnsi" w:hAnsiTheme="majorHAnsi" w:cs="Verdana"/>
          <w:i/>
          <w:sz w:val="18"/>
          <w:szCs w:val="20"/>
          <w:lang w:val="es-ES" w:eastAsia="es-ES"/>
        </w:rPr>
        <w:t>personal efectuados al amparo del Decreto</w:t>
      </w:r>
      <w:r w:rsidR="00811829" w:rsidRPr="009162D5">
        <w:rPr>
          <w:rFonts w:asciiTheme="majorHAnsi" w:hAnsiTheme="majorHAnsi" w:cs="Verdana"/>
          <w:i/>
          <w:sz w:val="18"/>
          <w:szCs w:val="20"/>
          <w:lang w:val="es-ES" w:eastAsia="es-ES"/>
        </w:rPr>
        <w:t xml:space="preserve"> Ley No. 26093 o en procesos de </w:t>
      </w:r>
      <w:r w:rsidRPr="009162D5">
        <w:rPr>
          <w:rFonts w:asciiTheme="majorHAnsi" w:hAnsiTheme="majorHAnsi" w:cs="Verdana"/>
          <w:i/>
          <w:sz w:val="18"/>
          <w:szCs w:val="20"/>
          <w:lang w:val="es-ES" w:eastAsia="es-ES"/>
        </w:rPr>
        <w:t>reorganización autorizados por norma legal expresa.</w:t>
      </w:r>
    </w:p>
    <w:p w14:paraId="5234F04E" w14:textId="77777777" w:rsidR="00466A42" w:rsidRPr="009162D5" w:rsidRDefault="00466A42" w:rsidP="009162D5">
      <w:pPr>
        <w:pBdr>
          <w:top w:val="none" w:sz="0" w:space="0" w:color="auto"/>
          <w:left w:val="none" w:sz="0" w:space="0" w:color="auto"/>
          <w:bottom w:val="none" w:sz="0" w:space="0" w:color="auto"/>
          <w:right w:val="none" w:sz="0" w:space="0" w:color="auto"/>
          <w:between w:val="none" w:sz="0" w:space="0" w:color="auto"/>
          <w:bar w:val="none" w:sz="0" w:color="auto"/>
        </w:pBdr>
        <w:ind w:left="142" w:right="142"/>
        <w:jc w:val="both"/>
        <w:rPr>
          <w:rFonts w:asciiTheme="majorHAnsi" w:hAnsiTheme="majorHAnsi" w:cs="Verdana"/>
          <w:i/>
          <w:sz w:val="18"/>
          <w:szCs w:val="20"/>
          <w:lang w:val="es-ES" w:eastAsia="es-ES"/>
        </w:rPr>
      </w:pPr>
      <w:r w:rsidRPr="009162D5">
        <w:rPr>
          <w:rFonts w:asciiTheme="majorHAnsi" w:hAnsiTheme="majorHAnsi" w:cs="Verdana"/>
          <w:i/>
          <w:sz w:val="18"/>
          <w:szCs w:val="20"/>
          <w:lang w:val="es-ES" w:eastAsia="es-ES"/>
        </w:rPr>
        <w:t>En un plazo de 45 (cuarenta y cinco) días hábiles a partir de su fecha de instalación, las</w:t>
      </w:r>
      <w:r w:rsidR="00811829" w:rsidRPr="009162D5">
        <w:rPr>
          <w:rFonts w:asciiTheme="majorHAnsi" w:hAnsiTheme="majorHAnsi" w:cs="Verdana"/>
          <w:i/>
          <w:sz w:val="18"/>
          <w:szCs w:val="20"/>
          <w:lang w:val="es-ES" w:eastAsia="es-ES"/>
        </w:rPr>
        <w:t xml:space="preserve"> </w:t>
      </w:r>
      <w:r w:rsidRPr="009162D5">
        <w:rPr>
          <w:rFonts w:asciiTheme="majorHAnsi" w:hAnsiTheme="majorHAnsi" w:cs="Verdana"/>
          <w:i/>
          <w:sz w:val="18"/>
          <w:szCs w:val="20"/>
          <w:lang w:val="es-ES" w:eastAsia="es-ES"/>
        </w:rPr>
        <w:t>Comisiones Especiales deberán cumplir con elaborar un i</w:t>
      </w:r>
      <w:r w:rsidR="00811829" w:rsidRPr="009162D5">
        <w:rPr>
          <w:rFonts w:asciiTheme="majorHAnsi" w:hAnsiTheme="majorHAnsi" w:cs="Verdana"/>
          <w:i/>
          <w:sz w:val="18"/>
          <w:szCs w:val="20"/>
          <w:lang w:val="es-ES" w:eastAsia="es-ES"/>
        </w:rPr>
        <w:t xml:space="preserve">nforme que contenga la relación </w:t>
      </w:r>
      <w:r w:rsidRPr="009162D5">
        <w:rPr>
          <w:rFonts w:asciiTheme="majorHAnsi" w:hAnsiTheme="majorHAnsi" w:cs="Verdana"/>
          <w:i/>
          <w:sz w:val="18"/>
          <w:szCs w:val="20"/>
          <w:lang w:val="es-ES" w:eastAsia="es-ES"/>
        </w:rPr>
        <w:t>de trabajadores que han sido cesados irregularmente, si los hubiera, así como las</w:t>
      </w:r>
      <w:r w:rsidRPr="009162D5">
        <w:rPr>
          <w:rFonts w:asciiTheme="majorHAnsi" w:hAnsiTheme="majorHAnsi" w:cs="Verdana"/>
          <w:i/>
          <w:sz w:val="18"/>
          <w:szCs w:val="20"/>
          <w:lang w:val="es-ES"/>
        </w:rPr>
        <w:t xml:space="preserve"> </w:t>
      </w:r>
      <w:r w:rsidRPr="009162D5">
        <w:rPr>
          <w:rFonts w:asciiTheme="majorHAnsi" w:hAnsiTheme="majorHAnsi" w:cs="Verdana"/>
          <w:i/>
          <w:sz w:val="18"/>
          <w:szCs w:val="20"/>
          <w:lang w:val="es-ES" w:eastAsia="es-ES"/>
        </w:rPr>
        <w:t>recomendaciones y sugerencias a ser implementadas por e</w:t>
      </w:r>
      <w:r w:rsidR="00811829" w:rsidRPr="009162D5">
        <w:rPr>
          <w:rFonts w:asciiTheme="majorHAnsi" w:hAnsiTheme="majorHAnsi" w:cs="Verdana"/>
          <w:i/>
          <w:sz w:val="18"/>
          <w:szCs w:val="20"/>
          <w:lang w:val="es-ES" w:eastAsia="es-ES"/>
        </w:rPr>
        <w:t xml:space="preserve">l Titular del Sector o gobierno </w:t>
      </w:r>
      <w:r w:rsidRPr="009162D5">
        <w:rPr>
          <w:rFonts w:asciiTheme="majorHAnsi" w:hAnsiTheme="majorHAnsi" w:cs="Verdana"/>
          <w:i/>
          <w:sz w:val="18"/>
          <w:szCs w:val="20"/>
          <w:lang w:val="es-ES" w:eastAsia="es-ES"/>
        </w:rPr>
        <w:t>local. […]</w:t>
      </w:r>
    </w:p>
    <w:p w14:paraId="53F3C9D6" w14:textId="77777777" w:rsidR="009537A3" w:rsidRPr="009162D5" w:rsidRDefault="009537A3"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lang w:val="es-ES"/>
        </w:rPr>
      </w:pPr>
    </w:p>
    <w:p w14:paraId="4A92E6FD" w14:textId="77777777" w:rsidR="00262F56" w:rsidRPr="009162D5" w:rsidRDefault="009537A3" w:rsidP="009162D5">
      <w:pPr>
        <w:pBdr>
          <w:top w:val="none" w:sz="0" w:space="0" w:color="auto"/>
          <w:left w:val="none" w:sz="0" w:space="0" w:color="auto"/>
          <w:bottom w:val="none" w:sz="0" w:space="0" w:color="auto"/>
          <w:right w:val="none" w:sz="0" w:space="0" w:color="auto"/>
          <w:between w:val="none" w:sz="0" w:space="0" w:color="auto"/>
          <w:bar w:val="none" w:sz="0" w:color="auto"/>
        </w:pBdr>
        <w:ind w:left="142" w:right="142"/>
        <w:jc w:val="both"/>
        <w:rPr>
          <w:rFonts w:asciiTheme="majorHAnsi" w:hAnsiTheme="majorHAnsi" w:cs="Verdana"/>
          <w:sz w:val="18"/>
          <w:szCs w:val="20"/>
          <w:lang w:val="es-ES"/>
        </w:rPr>
      </w:pPr>
      <w:r w:rsidRPr="009162D5">
        <w:rPr>
          <w:rFonts w:asciiTheme="majorHAnsi" w:hAnsiTheme="majorHAnsi" w:cs="Verdana"/>
          <w:sz w:val="18"/>
          <w:szCs w:val="20"/>
          <w:lang w:val="es-ES" w:eastAsia="es-ES"/>
        </w:rPr>
        <w:t>89.33 Los Decretos Supremos 021 y 022-2001-TR e</w:t>
      </w:r>
      <w:r w:rsidR="00811829" w:rsidRPr="009162D5">
        <w:rPr>
          <w:rFonts w:asciiTheme="majorHAnsi" w:hAnsiTheme="majorHAnsi" w:cs="Verdana"/>
          <w:sz w:val="18"/>
          <w:szCs w:val="20"/>
          <w:lang w:val="es-ES" w:eastAsia="es-ES"/>
        </w:rPr>
        <w:t xml:space="preserve">stablecieron las “disposiciones </w:t>
      </w:r>
      <w:r w:rsidRPr="009162D5">
        <w:rPr>
          <w:rFonts w:asciiTheme="majorHAnsi" w:hAnsiTheme="majorHAnsi" w:cs="Verdana"/>
          <w:sz w:val="18"/>
          <w:szCs w:val="20"/>
          <w:lang w:val="es-ES" w:eastAsia="es-ES"/>
        </w:rPr>
        <w:t xml:space="preserve">para la conformación y funcionamiento de las Comisiones Especiales encargadas </w:t>
      </w:r>
      <w:r w:rsidR="00811829" w:rsidRPr="009162D5">
        <w:rPr>
          <w:rFonts w:asciiTheme="majorHAnsi" w:hAnsiTheme="majorHAnsi" w:cs="Verdana"/>
          <w:sz w:val="18"/>
          <w:szCs w:val="20"/>
          <w:lang w:val="es-ES" w:eastAsia="es-ES"/>
        </w:rPr>
        <w:t xml:space="preserve">de </w:t>
      </w:r>
      <w:r w:rsidRPr="009162D5">
        <w:rPr>
          <w:rFonts w:asciiTheme="majorHAnsi" w:hAnsiTheme="majorHAnsi" w:cs="Verdana"/>
          <w:sz w:val="18"/>
          <w:szCs w:val="20"/>
          <w:lang w:val="es-ES" w:eastAsia="es-ES"/>
        </w:rPr>
        <w:t>revisar los ceses colectivos en el sector público”.</w:t>
      </w:r>
      <w:r w:rsidR="00811829" w:rsidRPr="009162D5">
        <w:rPr>
          <w:rFonts w:asciiTheme="majorHAnsi" w:hAnsiTheme="majorHAnsi" w:cs="Verdana"/>
          <w:sz w:val="18"/>
          <w:szCs w:val="20"/>
          <w:lang w:val="es-ES" w:eastAsia="es-ES"/>
        </w:rPr>
        <w:t xml:space="preserve"> Entre éstas, fue conformada la </w:t>
      </w:r>
      <w:r w:rsidRPr="009162D5">
        <w:rPr>
          <w:rFonts w:asciiTheme="majorHAnsi" w:hAnsiTheme="majorHAnsi" w:cs="Verdana"/>
          <w:sz w:val="18"/>
          <w:szCs w:val="20"/>
          <w:lang w:val="es-ES" w:eastAsia="es-ES"/>
        </w:rPr>
        <w:t>Comisión Especial encargada de revisar los ce</w:t>
      </w:r>
      <w:r w:rsidR="00811829" w:rsidRPr="009162D5">
        <w:rPr>
          <w:rFonts w:asciiTheme="majorHAnsi" w:hAnsiTheme="majorHAnsi" w:cs="Verdana"/>
          <w:sz w:val="18"/>
          <w:szCs w:val="20"/>
          <w:lang w:val="es-ES" w:eastAsia="es-ES"/>
        </w:rPr>
        <w:t xml:space="preserve">ses colectivos del personal del </w:t>
      </w:r>
      <w:r w:rsidRPr="009162D5">
        <w:rPr>
          <w:rFonts w:asciiTheme="majorHAnsi" w:hAnsiTheme="majorHAnsi" w:cs="Verdana"/>
          <w:sz w:val="18"/>
          <w:szCs w:val="20"/>
          <w:lang w:val="es-ES" w:eastAsia="es-ES"/>
        </w:rPr>
        <w:t>Congreso realizados al amparo de la Ley No. 27487 (</w:t>
      </w:r>
      <w:r w:rsidR="00237EEC" w:rsidRPr="009162D5">
        <w:rPr>
          <w:rFonts w:asciiTheme="majorHAnsi" w:hAnsiTheme="majorHAnsi" w:cs="Verdana"/>
          <w:sz w:val="18"/>
          <w:szCs w:val="20"/>
          <w:lang w:val="es-ES" w:eastAsia="es-ES"/>
        </w:rPr>
        <w:t>…</w:t>
      </w:r>
      <w:r w:rsidR="00811829" w:rsidRPr="009162D5">
        <w:rPr>
          <w:rFonts w:asciiTheme="majorHAnsi" w:hAnsiTheme="majorHAnsi" w:cs="Verdana"/>
          <w:sz w:val="18"/>
          <w:szCs w:val="20"/>
          <w:lang w:val="es-ES" w:eastAsia="es-ES"/>
        </w:rPr>
        <w:t xml:space="preserve">), la cual </w:t>
      </w:r>
      <w:r w:rsidRPr="009162D5">
        <w:rPr>
          <w:rFonts w:asciiTheme="majorHAnsi" w:hAnsiTheme="majorHAnsi" w:cs="Verdana"/>
          <w:sz w:val="18"/>
          <w:szCs w:val="20"/>
          <w:lang w:val="es-ES" w:eastAsia="es-ES"/>
        </w:rPr>
        <w:t xml:space="preserve">concluyó en su Informe de 20 de diciembre de 2001, </w:t>
      </w:r>
      <w:r w:rsidRPr="009162D5">
        <w:rPr>
          <w:rFonts w:asciiTheme="majorHAnsi" w:hAnsiTheme="majorHAnsi" w:cs="Verdana"/>
          <w:i/>
          <w:iCs/>
          <w:sz w:val="18"/>
          <w:szCs w:val="20"/>
          <w:lang w:val="es-ES" w:eastAsia="es-ES"/>
        </w:rPr>
        <w:t>inter alia</w:t>
      </w:r>
      <w:r w:rsidR="00811829" w:rsidRPr="009162D5">
        <w:rPr>
          <w:rFonts w:asciiTheme="majorHAnsi" w:hAnsiTheme="majorHAnsi" w:cs="Verdana"/>
          <w:sz w:val="18"/>
          <w:szCs w:val="20"/>
          <w:lang w:val="es-ES" w:eastAsia="es-ES"/>
        </w:rPr>
        <w:t xml:space="preserve">, que: </w:t>
      </w:r>
      <w:r w:rsidRPr="009162D5">
        <w:rPr>
          <w:rFonts w:asciiTheme="majorHAnsi" w:hAnsiTheme="majorHAnsi" w:cs="SymbolMT"/>
          <w:i/>
          <w:sz w:val="18"/>
          <w:szCs w:val="20"/>
          <w:lang w:val="es-ES" w:eastAsia="es-ES"/>
        </w:rPr>
        <w:t>[</w:t>
      </w:r>
      <w:r w:rsidRPr="009162D5">
        <w:rPr>
          <w:rFonts w:asciiTheme="majorHAnsi" w:hAnsiTheme="majorHAnsi" w:cs="Verdana"/>
          <w:i/>
          <w:sz w:val="18"/>
          <w:szCs w:val="20"/>
          <w:lang w:val="es-ES" w:eastAsia="es-ES"/>
        </w:rPr>
        <w:t>…</w:t>
      </w:r>
      <w:r w:rsidRPr="009162D5">
        <w:rPr>
          <w:rFonts w:asciiTheme="majorHAnsi" w:hAnsiTheme="majorHAnsi" w:cs="SymbolMT"/>
          <w:i/>
          <w:sz w:val="18"/>
          <w:szCs w:val="20"/>
          <w:lang w:val="es-ES" w:eastAsia="es-ES"/>
        </w:rPr>
        <w:t xml:space="preserve">] </w:t>
      </w:r>
      <w:r w:rsidRPr="009162D5">
        <w:rPr>
          <w:rFonts w:asciiTheme="majorHAnsi" w:hAnsiTheme="majorHAnsi" w:cs="Verdana"/>
          <w:i/>
          <w:sz w:val="18"/>
          <w:szCs w:val="20"/>
          <w:lang w:val="es-ES" w:eastAsia="es-ES"/>
        </w:rPr>
        <w:t>los procesos de racionalización administrativa y de r</w:t>
      </w:r>
      <w:r w:rsidR="00811829" w:rsidRPr="009162D5">
        <w:rPr>
          <w:rFonts w:asciiTheme="majorHAnsi" w:hAnsiTheme="majorHAnsi" w:cs="Verdana"/>
          <w:i/>
          <w:sz w:val="18"/>
          <w:szCs w:val="20"/>
          <w:lang w:val="es-ES" w:eastAsia="es-ES"/>
        </w:rPr>
        <w:t xml:space="preserve">eorganización y racionalización </w:t>
      </w:r>
      <w:r w:rsidRPr="009162D5">
        <w:rPr>
          <w:rFonts w:asciiTheme="majorHAnsi" w:hAnsiTheme="majorHAnsi" w:cs="Verdana"/>
          <w:i/>
          <w:sz w:val="18"/>
          <w:szCs w:val="20"/>
          <w:lang w:val="es-ES" w:eastAsia="es-ES"/>
        </w:rPr>
        <w:t>llevados a cabo durante los años de 1992 y 1993 s</w:t>
      </w:r>
      <w:r w:rsidR="00811829" w:rsidRPr="009162D5">
        <w:rPr>
          <w:rFonts w:asciiTheme="majorHAnsi" w:hAnsiTheme="majorHAnsi" w:cs="Verdana"/>
          <w:i/>
          <w:sz w:val="18"/>
          <w:szCs w:val="20"/>
          <w:lang w:val="es-ES" w:eastAsia="es-ES"/>
        </w:rPr>
        <w:t xml:space="preserve">e realizaron en cumplimiento de normas expresas. </w:t>
      </w:r>
      <w:r w:rsidRPr="009162D5">
        <w:rPr>
          <w:rFonts w:asciiTheme="majorHAnsi" w:hAnsiTheme="majorHAnsi" w:cs="Verdana"/>
          <w:i/>
          <w:sz w:val="18"/>
          <w:szCs w:val="20"/>
          <w:lang w:val="es-ES" w:eastAsia="es-ES"/>
        </w:rPr>
        <w:t xml:space="preserve">Se ha podido determinar la existencia de irregularidades </w:t>
      </w:r>
      <w:r w:rsidR="00811829" w:rsidRPr="009162D5">
        <w:rPr>
          <w:rFonts w:asciiTheme="majorHAnsi" w:hAnsiTheme="majorHAnsi" w:cs="Verdana"/>
          <w:i/>
          <w:sz w:val="18"/>
          <w:szCs w:val="20"/>
          <w:lang w:val="es-ES" w:eastAsia="es-ES"/>
        </w:rPr>
        <w:t xml:space="preserve">en la evaluación y selección de </w:t>
      </w:r>
      <w:r w:rsidRPr="009162D5">
        <w:rPr>
          <w:rFonts w:asciiTheme="majorHAnsi" w:hAnsiTheme="majorHAnsi" w:cs="Verdana"/>
          <w:i/>
          <w:sz w:val="18"/>
          <w:szCs w:val="20"/>
          <w:lang w:val="es-ES" w:eastAsia="es-ES"/>
        </w:rPr>
        <w:t xml:space="preserve">personal del año 1992 </w:t>
      </w:r>
      <w:r w:rsidRPr="009162D5">
        <w:rPr>
          <w:rFonts w:asciiTheme="majorHAnsi" w:hAnsiTheme="majorHAnsi" w:cs="SymbolMT"/>
          <w:i/>
          <w:sz w:val="18"/>
          <w:szCs w:val="20"/>
          <w:lang w:val="es-ES" w:eastAsia="es-ES"/>
        </w:rPr>
        <w:t>[</w:t>
      </w:r>
      <w:r w:rsidRPr="009162D5">
        <w:rPr>
          <w:rFonts w:asciiTheme="majorHAnsi" w:hAnsiTheme="majorHAnsi" w:cs="Verdana"/>
          <w:i/>
          <w:sz w:val="18"/>
          <w:szCs w:val="20"/>
          <w:lang w:val="es-ES" w:eastAsia="es-ES"/>
        </w:rPr>
        <w:t>… en las cuales</w:t>
      </w:r>
      <w:r w:rsidRPr="009162D5">
        <w:rPr>
          <w:rFonts w:asciiTheme="majorHAnsi" w:hAnsiTheme="majorHAnsi" w:cs="SymbolMT"/>
          <w:i/>
          <w:sz w:val="18"/>
          <w:szCs w:val="20"/>
          <w:lang w:val="es-ES" w:eastAsia="es-ES"/>
        </w:rPr>
        <w:t xml:space="preserve">] </w:t>
      </w:r>
      <w:r w:rsidRPr="009162D5">
        <w:rPr>
          <w:rFonts w:asciiTheme="majorHAnsi" w:hAnsiTheme="majorHAnsi" w:cs="Verdana"/>
          <w:i/>
          <w:sz w:val="18"/>
          <w:szCs w:val="20"/>
          <w:lang w:val="es-ES" w:eastAsia="es-ES"/>
        </w:rPr>
        <w:t>no […] respetó</w:t>
      </w:r>
      <w:r w:rsidR="00811829" w:rsidRPr="009162D5">
        <w:rPr>
          <w:rFonts w:asciiTheme="majorHAnsi" w:hAnsiTheme="majorHAnsi" w:cs="Verdana"/>
          <w:i/>
          <w:sz w:val="18"/>
          <w:szCs w:val="20"/>
          <w:lang w:val="es-ES" w:eastAsia="es-ES"/>
        </w:rPr>
        <w:t xml:space="preserve"> los puntajes mínimos señalados </w:t>
      </w:r>
      <w:r w:rsidRPr="009162D5">
        <w:rPr>
          <w:rFonts w:asciiTheme="majorHAnsi" w:hAnsiTheme="majorHAnsi" w:cs="Verdana"/>
          <w:i/>
          <w:sz w:val="18"/>
          <w:szCs w:val="20"/>
          <w:lang w:val="es-ES" w:eastAsia="es-ES"/>
        </w:rPr>
        <w:t xml:space="preserve">en las Bases del Concurso </w:t>
      </w:r>
      <w:r w:rsidRPr="009162D5">
        <w:rPr>
          <w:rFonts w:asciiTheme="majorHAnsi" w:hAnsiTheme="majorHAnsi" w:cs="SymbolMT"/>
          <w:i/>
          <w:sz w:val="18"/>
          <w:szCs w:val="20"/>
          <w:lang w:val="es-ES" w:eastAsia="es-ES"/>
        </w:rPr>
        <w:t>[</w:t>
      </w:r>
      <w:r w:rsidRPr="009162D5">
        <w:rPr>
          <w:rFonts w:asciiTheme="majorHAnsi" w:hAnsiTheme="majorHAnsi" w:cs="Verdana"/>
          <w:i/>
          <w:sz w:val="18"/>
          <w:szCs w:val="20"/>
          <w:lang w:val="es-ES" w:eastAsia="es-ES"/>
        </w:rPr>
        <w:t>… y</w:t>
      </w:r>
      <w:r w:rsidRPr="009162D5">
        <w:rPr>
          <w:rFonts w:asciiTheme="majorHAnsi" w:hAnsiTheme="majorHAnsi" w:cs="SymbolMT"/>
          <w:i/>
          <w:sz w:val="18"/>
          <w:szCs w:val="20"/>
          <w:lang w:val="es-ES" w:eastAsia="es-ES"/>
        </w:rPr>
        <w:t xml:space="preserve">] </w:t>
      </w:r>
      <w:r w:rsidRPr="009162D5">
        <w:rPr>
          <w:rFonts w:asciiTheme="majorHAnsi" w:hAnsiTheme="majorHAnsi" w:cs="Verdana"/>
          <w:i/>
          <w:sz w:val="18"/>
          <w:szCs w:val="20"/>
          <w:lang w:val="es-ES" w:eastAsia="es-ES"/>
        </w:rPr>
        <w:t>en muchos casos no</w:t>
      </w:r>
      <w:r w:rsidR="00811829" w:rsidRPr="009162D5">
        <w:rPr>
          <w:rFonts w:asciiTheme="majorHAnsi" w:hAnsiTheme="majorHAnsi" w:cs="Verdana"/>
          <w:i/>
          <w:sz w:val="18"/>
          <w:szCs w:val="20"/>
          <w:lang w:val="es-ES" w:eastAsia="es-ES"/>
        </w:rPr>
        <w:t xml:space="preserve"> se respetó el orden de méritos </w:t>
      </w:r>
      <w:r w:rsidRPr="009162D5">
        <w:rPr>
          <w:rFonts w:asciiTheme="majorHAnsi" w:hAnsiTheme="majorHAnsi" w:cs="Verdana"/>
          <w:i/>
          <w:sz w:val="18"/>
          <w:szCs w:val="20"/>
          <w:lang w:val="es-ES" w:eastAsia="es-ES"/>
        </w:rPr>
        <w:t>alcanzado por los postulante</w:t>
      </w:r>
      <w:r w:rsidR="00811829" w:rsidRPr="009162D5">
        <w:rPr>
          <w:rFonts w:asciiTheme="majorHAnsi" w:hAnsiTheme="majorHAnsi" w:cs="Verdana"/>
          <w:i/>
          <w:sz w:val="18"/>
          <w:szCs w:val="20"/>
          <w:lang w:val="es-ES" w:eastAsia="es-ES"/>
        </w:rPr>
        <w:t xml:space="preserve">s en el examen de calificación. </w:t>
      </w:r>
      <w:r w:rsidRPr="009162D5">
        <w:rPr>
          <w:rFonts w:asciiTheme="majorHAnsi" w:hAnsiTheme="majorHAnsi" w:cs="SymbolMT"/>
          <w:i/>
          <w:sz w:val="18"/>
          <w:szCs w:val="20"/>
          <w:lang w:val="es-ES" w:eastAsia="es-ES"/>
        </w:rPr>
        <w:t>[</w:t>
      </w:r>
      <w:r w:rsidRPr="009162D5">
        <w:rPr>
          <w:rFonts w:asciiTheme="majorHAnsi" w:hAnsiTheme="majorHAnsi" w:cs="Verdana"/>
          <w:i/>
          <w:sz w:val="18"/>
          <w:szCs w:val="20"/>
          <w:lang w:val="es-ES" w:eastAsia="es-ES"/>
        </w:rPr>
        <w:t>…</w:t>
      </w:r>
      <w:r w:rsidRPr="009162D5">
        <w:rPr>
          <w:rFonts w:asciiTheme="majorHAnsi" w:hAnsiTheme="majorHAnsi" w:cs="SymbolMT"/>
          <w:i/>
          <w:sz w:val="18"/>
          <w:szCs w:val="20"/>
          <w:lang w:val="es-ES" w:eastAsia="es-ES"/>
        </w:rPr>
        <w:t xml:space="preserve">] </w:t>
      </w:r>
      <w:r w:rsidRPr="009162D5">
        <w:rPr>
          <w:rFonts w:asciiTheme="majorHAnsi" w:hAnsiTheme="majorHAnsi" w:cs="Verdana"/>
          <w:i/>
          <w:sz w:val="18"/>
          <w:szCs w:val="20"/>
          <w:lang w:val="es-ES" w:eastAsia="es-ES"/>
        </w:rPr>
        <w:t>Los ex servidores que cobraron sus benefici</w:t>
      </w:r>
      <w:r w:rsidR="00811829" w:rsidRPr="009162D5">
        <w:rPr>
          <w:rFonts w:asciiTheme="majorHAnsi" w:hAnsiTheme="majorHAnsi" w:cs="Verdana"/>
          <w:i/>
          <w:sz w:val="18"/>
          <w:szCs w:val="20"/>
          <w:lang w:val="es-ES" w:eastAsia="es-ES"/>
        </w:rPr>
        <w:t xml:space="preserve">os sociales y los que además se </w:t>
      </w:r>
      <w:r w:rsidRPr="009162D5">
        <w:rPr>
          <w:rFonts w:asciiTheme="majorHAnsi" w:hAnsiTheme="majorHAnsi" w:cs="Verdana"/>
          <w:i/>
          <w:sz w:val="18"/>
          <w:szCs w:val="20"/>
          <w:lang w:val="es-ES" w:eastAsia="es-ES"/>
        </w:rPr>
        <w:t>acogieron a incentivos por renuncia voluntaria estuviero</w:t>
      </w:r>
      <w:r w:rsidR="00811829" w:rsidRPr="009162D5">
        <w:rPr>
          <w:rFonts w:asciiTheme="majorHAnsi" w:hAnsiTheme="majorHAnsi" w:cs="Verdana"/>
          <w:i/>
          <w:sz w:val="18"/>
          <w:szCs w:val="20"/>
          <w:lang w:val="es-ES" w:eastAsia="es-ES"/>
        </w:rPr>
        <w:t xml:space="preserve">n de acuerdo con su cese, según </w:t>
      </w:r>
      <w:r w:rsidRPr="009162D5">
        <w:rPr>
          <w:rFonts w:asciiTheme="majorHAnsi" w:hAnsiTheme="majorHAnsi" w:cs="Verdana"/>
          <w:i/>
          <w:sz w:val="18"/>
          <w:szCs w:val="20"/>
          <w:lang w:val="es-ES" w:eastAsia="es-ES"/>
        </w:rPr>
        <w:t>las reiteradas ejecuciones en materia lab</w:t>
      </w:r>
      <w:r w:rsidR="00811829" w:rsidRPr="009162D5">
        <w:rPr>
          <w:rFonts w:asciiTheme="majorHAnsi" w:hAnsiTheme="majorHAnsi" w:cs="Verdana"/>
          <w:i/>
          <w:sz w:val="18"/>
          <w:szCs w:val="20"/>
          <w:lang w:val="es-ES" w:eastAsia="es-ES"/>
        </w:rPr>
        <w:t xml:space="preserve">oral. </w:t>
      </w:r>
      <w:r w:rsidRPr="009162D5">
        <w:rPr>
          <w:rFonts w:asciiTheme="majorHAnsi" w:hAnsiTheme="majorHAnsi" w:cs="SymbolMT"/>
          <w:i/>
          <w:sz w:val="18"/>
          <w:szCs w:val="20"/>
          <w:lang w:val="es-ES" w:eastAsia="es-ES"/>
        </w:rPr>
        <w:t>[</w:t>
      </w:r>
      <w:r w:rsidRPr="009162D5">
        <w:rPr>
          <w:rFonts w:asciiTheme="majorHAnsi" w:hAnsiTheme="majorHAnsi" w:cs="Verdana"/>
          <w:i/>
          <w:sz w:val="18"/>
          <w:szCs w:val="20"/>
          <w:lang w:val="es-ES" w:eastAsia="es-ES"/>
        </w:rPr>
        <w:t>…</w:t>
      </w:r>
      <w:r w:rsidRPr="009162D5">
        <w:rPr>
          <w:rFonts w:asciiTheme="majorHAnsi" w:hAnsiTheme="majorHAnsi" w:cs="SymbolMT"/>
          <w:i/>
          <w:sz w:val="18"/>
          <w:szCs w:val="20"/>
          <w:lang w:val="es-ES" w:eastAsia="es-ES"/>
        </w:rPr>
        <w:t xml:space="preserve">] </w:t>
      </w:r>
      <w:r w:rsidRPr="009162D5">
        <w:rPr>
          <w:rFonts w:asciiTheme="majorHAnsi" w:hAnsiTheme="majorHAnsi" w:cs="Verdana"/>
          <w:i/>
          <w:sz w:val="18"/>
          <w:szCs w:val="20"/>
          <w:lang w:val="es-ES" w:eastAsia="es-ES"/>
        </w:rPr>
        <w:t>De conformidad con [el] ordenamiento jurídico</w:t>
      </w:r>
      <w:r w:rsidR="00811829" w:rsidRPr="009162D5">
        <w:rPr>
          <w:rFonts w:asciiTheme="majorHAnsi" w:hAnsiTheme="majorHAnsi" w:cs="Verdana"/>
          <w:i/>
          <w:sz w:val="18"/>
          <w:szCs w:val="20"/>
          <w:lang w:val="es-ES" w:eastAsia="es-ES"/>
        </w:rPr>
        <w:t xml:space="preserve"> [peruano] vigente, la Comisión </w:t>
      </w:r>
      <w:r w:rsidRPr="009162D5">
        <w:rPr>
          <w:rFonts w:asciiTheme="majorHAnsi" w:hAnsiTheme="majorHAnsi" w:cs="Verdana"/>
          <w:i/>
          <w:sz w:val="18"/>
          <w:szCs w:val="20"/>
          <w:lang w:val="es-ES" w:eastAsia="es-ES"/>
        </w:rPr>
        <w:t>Especial se abstiene de conocer todo reclamo que se encu</w:t>
      </w:r>
      <w:r w:rsidR="00811829" w:rsidRPr="009162D5">
        <w:rPr>
          <w:rFonts w:asciiTheme="majorHAnsi" w:hAnsiTheme="majorHAnsi" w:cs="Verdana"/>
          <w:i/>
          <w:sz w:val="18"/>
          <w:szCs w:val="20"/>
          <w:lang w:val="es-ES" w:eastAsia="es-ES"/>
        </w:rPr>
        <w:t xml:space="preserve">entre en instancia judicial, ya </w:t>
      </w:r>
      <w:r w:rsidRPr="009162D5">
        <w:rPr>
          <w:rFonts w:asciiTheme="majorHAnsi" w:hAnsiTheme="majorHAnsi" w:cs="Verdana"/>
          <w:i/>
          <w:sz w:val="18"/>
          <w:szCs w:val="20"/>
          <w:lang w:val="es-ES" w:eastAsia="es-ES"/>
        </w:rPr>
        <w:t>sea dentro del ámbito nacional o supra nacional</w:t>
      </w:r>
      <w:r w:rsidRPr="009162D5">
        <w:rPr>
          <w:rFonts w:asciiTheme="majorHAnsi" w:hAnsiTheme="majorHAnsi" w:cs="Verdana"/>
          <w:sz w:val="18"/>
          <w:szCs w:val="20"/>
          <w:lang w:val="es-ES" w:eastAsia="es-ES"/>
        </w:rPr>
        <w:t>.</w:t>
      </w:r>
      <w:r w:rsidRPr="009162D5">
        <w:rPr>
          <w:rFonts w:asciiTheme="majorHAnsi" w:hAnsiTheme="majorHAnsi" w:cs="Verdana"/>
          <w:sz w:val="18"/>
          <w:szCs w:val="20"/>
          <w:lang w:val="es-ES"/>
        </w:rPr>
        <w:t xml:space="preserve"> </w:t>
      </w:r>
    </w:p>
    <w:p w14:paraId="00B4665C" w14:textId="77777777" w:rsidR="00262F56" w:rsidRPr="009162D5" w:rsidRDefault="00262F56" w:rsidP="009162D5">
      <w:pPr>
        <w:pBdr>
          <w:top w:val="none" w:sz="0" w:space="0" w:color="auto"/>
          <w:left w:val="none" w:sz="0" w:space="0" w:color="auto"/>
          <w:bottom w:val="none" w:sz="0" w:space="0" w:color="auto"/>
          <w:right w:val="none" w:sz="0" w:space="0" w:color="auto"/>
          <w:between w:val="none" w:sz="0" w:space="0" w:color="auto"/>
          <w:bar w:val="none" w:sz="0" w:color="auto"/>
        </w:pBdr>
        <w:ind w:left="142" w:right="142"/>
        <w:jc w:val="both"/>
        <w:rPr>
          <w:rFonts w:asciiTheme="majorHAnsi" w:hAnsiTheme="majorHAnsi" w:cs="Verdana"/>
          <w:sz w:val="18"/>
          <w:szCs w:val="20"/>
          <w:lang w:val="es-ES"/>
        </w:rPr>
      </w:pPr>
    </w:p>
    <w:p w14:paraId="23C780DC" w14:textId="77777777" w:rsidR="009537A3" w:rsidRPr="009162D5" w:rsidRDefault="009537A3" w:rsidP="009162D5">
      <w:pPr>
        <w:pBdr>
          <w:top w:val="none" w:sz="0" w:space="0" w:color="auto"/>
          <w:left w:val="none" w:sz="0" w:space="0" w:color="auto"/>
          <w:bottom w:val="none" w:sz="0" w:space="0" w:color="auto"/>
          <w:right w:val="none" w:sz="0" w:space="0" w:color="auto"/>
          <w:between w:val="none" w:sz="0" w:space="0" w:color="auto"/>
          <w:bar w:val="none" w:sz="0" w:color="auto"/>
        </w:pBdr>
        <w:ind w:left="142" w:right="142"/>
        <w:jc w:val="both"/>
        <w:rPr>
          <w:rFonts w:asciiTheme="majorHAnsi" w:hAnsiTheme="majorHAnsi" w:cs="Verdana"/>
          <w:sz w:val="18"/>
          <w:szCs w:val="20"/>
          <w:lang w:val="es-ES" w:eastAsia="es-ES"/>
        </w:rPr>
      </w:pPr>
      <w:r w:rsidRPr="009162D5">
        <w:rPr>
          <w:rFonts w:asciiTheme="majorHAnsi" w:hAnsiTheme="majorHAnsi" w:cs="Verdana"/>
          <w:sz w:val="18"/>
          <w:szCs w:val="20"/>
          <w:lang w:val="es-ES" w:eastAsia="es-ES"/>
        </w:rPr>
        <w:t>Específicamente, respecto de los trabajadores cesa</w:t>
      </w:r>
      <w:r w:rsidR="00811829" w:rsidRPr="009162D5">
        <w:rPr>
          <w:rFonts w:asciiTheme="majorHAnsi" w:hAnsiTheme="majorHAnsi" w:cs="Verdana"/>
          <w:sz w:val="18"/>
          <w:szCs w:val="20"/>
          <w:lang w:val="es-ES" w:eastAsia="es-ES"/>
        </w:rPr>
        <w:t xml:space="preserve">dos que seguían el trámite ante </w:t>
      </w:r>
      <w:r w:rsidRPr="009162D5">
        <w:rPr>
          <w:rFonts w:asciiTheme="majorHAnsi" w:hAnsiTheme="majorHAnsi" w:cs="Verdana"/>
          <w:sz w:val="18"/>
          <w:szCs w:val="20"/>
          <w:lang w:val="es-ES" w:eastAsia="es-ES"/>
        </w:rPr>
        <w:t xml:space="preserve">la Comisión Interamericana, la </w:t>
      </w:r>
      <w:r w:rsidR="00811829" w:rsidRPr="009162D5">
        <w:rPr>
          <w:rFonts w:asciiTheme="majorHAnsi" w:hAnsiTheme="majorHAnsi" w:cs="Verdana"/>
          <w:sz w:val="18"/>
          <w:szCs w:val="20"/>
          <w:lang w:val="es-ES" w:eastAsia="es-ES"/>
        </w:rPr>
        <w:t xml:space="preserve">Comisión Especial manifestó que </w:t>
      </w:r>
      <w:r w:rsidRPr="009162D5">
        <w:rPr>
          <w:rFonts w:asciiTheme="majorHAnsi" w:hAnsiTheme="majorHAnsi" w:cs="SymbolMT"/>
          <w:i/>
          <w:sz w:val="18"/>
          <w:szCs w:val="20"/>
          <w:lang w:val="es-ES" w:eastAsia="es-ES"/>
        </w:rPr>
        <w:t>[</w:t>
      </w:r>
      <w:r w:rsidRPr="009162D5">
        <w:rPr>
          <w:rFonts w:asciiTheme="majorHAnsi" w:hAnsiTheme="majorHAnsi" w:cs="Verdana"/>
          <w:i/>
          <w:sz w:val="18"/>
          <w:szCs w:val="20"/>
          <w:lang w:val="es-ES" w:eastAsia="es-ES"/>
        </w:rPr>
        <w:t>p</w:t>
      </w:r>
      <w:r w:rsidRPr="009162D5">
        <w:rPr>
          <w:rFonts w:asciiTheme="majorHAnsi" w:hAnsiTheme="majorHAnsi" w:cs="SymbolMT"/>
          <w:i/>
          <w:sz w:val="18"/>
          <w:szCs w:val="20"/>
          <w:lang w:val="es-ES" w:eastAsia="es-ES"/>
        </w:rPr>
        <w:t>]</w:t>
      </w:r>
      <w:r w:rsidRPr="009162D5">
        <w:rPr>
          <w:rFonts w:asciiTheme="majorHAnsi" w:hAnsiTheme="majorHAnsi" w:cs="Verdana"/>
          <w:i/>
          <w:sz w:val="18"/>
          <w:szCs w:val="20"/>
          <w:lang w:val="es-ES" w:eastAsia="es-ES"/>
        </w:rPr>
        <w:t>or tratarse de un asunto cuyo resultado se encuentra</w:t>
      </w:r>
      <w:r w:rsidR="00811829" w:rsidRPr="009162D5">
        <w:rPr>
          <w:rFonts w:asciiTheme="majorHAnsi" w:hAnsiTheme="majorHAnsi" w:cs="Verdana"/>
          <w:i/>
          <w:sz w:val="18"/>
          <w:szCs w:val="20"/>
          <w:lang w:val="es-ES" w:eastAsia="es-ES"/>
        </w:rPr>
        <w:t xml:space="preserve"> en instancia supranacional, al </w:t>
      </w:r>
      <w:r w:rsidRPr="009162D5">
        <w:rPr>
          <w:rFonts w:asciiTheme="majorHAnsi" w:hAnsiTheme="majorHAnsi" w:cs="Verdana"/>
          <w:i/>
          <w:sz w:val="18"/>
          <w:szCs w:val="20"/>
          <w:lang w:val="es-ES" w:eastAsia="es-ES"/>
        </w:rPr>
        <w:t>amparo de</w:t>
      </w:r>
      <w:r w:rsidRPr="009162D5">
        <w:rPr>
          <w:rFonts w:asciiTheme="majorHAnsi" w:hAnsiTheme="majorHAnsi" w:cs="SymbolMT"/>
          <w:i/>
          <w:sz w:val="18"/>
          <w:szCs w:val="20"/>
          <w:lang w:val="es-ES" w:eastAsia="es-ES"/>
        </w:rPr>
        <w:t>[</w:t>
      </w:r>
      <w:r w:rsidRPr="009162D5">
        <w:rPr>
          <w:rFonts w:asciiTheme="majorHAnsi" w:hAnsiTheme="majorHAnsi" w:cs="Verdana"/>
          <w:i/>
          <w:sz w:val="18"/>
          <w:szCs w:val="20"/>
          <w:lang w:val="es-ES" w:eastAsia="es-ES"/>
        </w:rPr>
        <w:t>l</w:t>
      </w:r>
      <w:r w:rsidRPr="009162D5">
        <w:rPr>
          <w:rFonts w:asciiTheme="majorHAnsi" w:hAnsiTheme="majorHAnsi" w:cs="SymbolMT"/>
          <w:i/>
          <w:sz w:val="18"/>
          <w:szCs w:val="20"/>
          <w:lang w:val="es-ES" w:eastAsia="es-ES"/>
        </w:rPr>
        <w:t xml:space="preserve">] </w:t>
      </w:r>
      <w:r w:rsidRPr="009162D5">
        <w:rPr>
          <w:rFonts w:asciiTheme="majorHAnsi" w:hAnsiTheme="majorHAnsi" w:cs="Verdana"/>
          <w:i/>
          <w:sz w:val="18"/>
          <w:szCs w:val="20"/>
          <w:lang w:val="es-ES" w:eastAsia="es-ES"/>
        </w:rPr>
        <w:t>ordenamiento jurídico vigente, se encuentra</w:t>
      </w:r>
      <w:r w:rsidR="00811829" w:rsidRPr="009162D5">
        <w:rPr>
          <w:rFonts w:asciiTheme="majorHAnsi" w:hAnsiTheme="majorHAnsi" w:cs="Verdana"/>
          <w:i/>
          <w:sz w:val="18"/>
          <w:szCs w:val="20"/>
          <w:lang w:val="es-ES" w:eastAsia="es-ES"/>
        </w:rPr>
        <w:t xml:space="preserve"> imposibilitada de pronunciarse </w:t>
      </w:r>
      <w:r w:rsidRPr="009162D5">
        <w:rPr>
          <w:rFonts w:asciiTheme="majorHAnsi" w:hAnsiTheme="majorHAnsi" w:cs="Verdana"/>
          <w:i/>
          <w:sz w:val="18"/>
          <w:szCs w:val="20"/>
          <w:lang w:val="es-ES" w:eastAsia="es-ES"/>
        </w:rPr>
        <w:t xml:space="preserve">sobre la materia; más aún cuando un grupo de los </w:t>
      </w:r>
      <w:r w:rsidR="00811829" w:rsidRPr="009162D5">
        <w:rPr>
          <w:rFonts w:asciiTheme="majorHAnsi" w:hAnsiTheme="majorHAnsi" w:cs="Verdana"/>
          <w:i/>
          <w:sz w:val="18"/>
          <w:szCs w:val="20"/>
          <w:lang w:val="es-ES" w:eastAsia="es-ES"/>
        </w:rPr>
        <w:t xml:space="preserve">mencionados ex trabajadores han </w:t>
      </w:r>
      <w:r w:rsidRPr="009162D5">
        <w:rPr>
          <w:rFonts w:asciiTheme="majorHAnsi" w:hAnsiTheme="majorHAnsi" w:cs="Verdana"/>
          <w:i/>
          <w:sz w:val="18"/>
          <w:szCs w:val="20"/>
          <w:lang w:val="es-ES" w:eastAsia="es-ES"/>
        </w:rPr>
        <w:t>solicitado formalmente al organismo internacional para q</w:t>
      </w:r>
      <w:r w:rsidR="00811829" w:rsidRPr="009162D5">
        <w:rPr>
          <w:rFonts w:asciiTheme="majorHAnsi" w:hAnsiTheme="majorHAnsi" w:cs="Verdana"/>
          <w:i/>
          <w:sz w:val="18"/>
          <w:szCs w:val="20"/>
          <w:lang w:val="es-ES" w:eastAsia="es-ES"/>
        </w:rPr>
        <w:t xml:space="preserve">ue se pronuncie sobre el fondo, </w:t>
      </w:r>
      <w:r w:rsidRPr="009162D5">
        <w:rPr>
          <w:rFonts w:asciiTheme="majorHAnsi" w:hAnsiTheme="majorHAnsi" w:cs="Verdana"/>
          <w:i/>
          <w:sz w:val="18"/>
          <w:szCs w:val="20"/>
          <w:lang w:val="es-ES" w:eastAsia="es-ES"/>
        </w:rPr>
        <w:t xml:space="preserve">razón por la cual, se abstiene de emitir un juicio sobre el particular. </w:t>
      </w:r>
      <w:r w:rsidRPr="009162D5">
        <w:rPr>
          <w:rFonts w:asciiTheme="majorHAnsi" w:hAnsiTheme="majorHAnsi" w:cs="SymbolMT"/>
          <w:i/>
          <w:sz w:val="18"/>
          <w:szCs w:val="20"/>
          <w:lang w:val="es-ES" w:eastAsia="es-ES"/>
        </w:rPr>
        <w:t>[</w:t>
      </w:r>
      <w:r w:rsidRPr="009162D5">
        <w:rPr>
          <w:rFonts w:asciiTheme="majorHAnsi" w:hAnsiTheme="majorHAnsi" w:cs="Verdana"/>
          <w:i/>
          <w:sz w:val="18"/>
          <w:szCs w:val="20"/>
          <w:lang w:val="es-ES" w:eastAsia="es-ES"/>
        </w:rPr>
        <w:t>Además, n</w:t>
      </w:r>
      <w:r w:rsidRPr="009162D5">
        <w:rPr>
          <w:rFonts w:asciiTheme="majorHAnsi" w:hAnsiTheme="majorHAnsi" w:cs="SymbolMT"/>
          <w:i/>
          <w:sz w:val="18"/>
          <w:szCs w:val="20"/>
          <w:lang w:val="es-ES" w:eastAsia="es-ES"/>
        </w:rPr>
        <w:t>]</w:t>
      </w:r>
      <w:r w:rsidR="00811829" w:rsidRPr="009162D5">
        <w:rPr>
          <w:rFonts w:asciiTheme="majorHAnsi" w:hAnsiTheme="majorHAnsi" w:cs="Verdana"/>
          <w:i/>
          <w:sz w:val="18"/>
          <w:szCs w:val="20"/>
          <w:lang w:val="es-ES" w:eastAsia="es-ES"/>
        </w:rPr>
        <w:t xml:space="preserve">o debe </w:t>
      </w:r>
      <w:r w:rsidRPr="009162D5">
        <w:rPr>
          <w:rFonts w:asciiTheme="majorHAnsi" w:hAnsiTheme="majorHAnsi" w:cs="Verdana"/>
          <w:i/>
          <w:sz w:val="18"/>
          <w:szCs w:val="20"/>
          <w:lang w:val="es-ES" w:eastAsia="es-ES"/>
        </w:rPr>
        <w:t>olvidarse que los 257 ex servidores fueron los únicos que agotaron la instancia judicial.</w:t>
      </w:r>
      <w:r w:rsidRPr="009162D5">
        <w:rPr>
          <w:rFonts w:asciiTheme="majorHAnsi" w:hAnsiTheme="majorHAnsi" w:cs="Verdana"/>
          <w:sz w:val="18"/>
          <w:szCs w:val="20"/>
          <w:lang w:val="es-ES"/>
        </w:rPr>
        <w:t xml:space="preserve"> (…)</w:t>
      </w:r>
    </w:p>
    <w:p w14:paraId="37A73C8F" w14:textId="77777777" w:rsidR="009537A3" w:rsidRPr="009162D5" w:rsidRDefault="009537A3"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lang w:val="es-ES"/>
        </w:rPr>
      </w:pPr>
    </w:p>
    <w:p w14:paraId="25CB079D" w14:textId="77777777" w:rsidR="009537A3" w:rsidRPr="009162D5" w:rsidRDefault="009537A3" w:rsidP="009162D5">
      <w:pPr>
        <w:pBdr>
          <w:top w:val="none" w:sz="0" w:space="0" w:color="auto"/>
          <w:left w:val="none" w:sz="0" w:space="0" w:color="auto"/>
          <w:bottom w:val="none" w:sz="0" w:space="0" w:color="auto"/>
          <w:right w:val="none" w:sz="0" w:space="0" w:color="auto"/>
          <w:between w:val="none" w:sz="0" w:space="0" w:color="auto"/>
          <w:bar w:val="none" w:sz="0" w:color="auto"/>
        </w:pBdr>
        <w:ind w:left="142" w:right="142"/>
        <w:jc w:val="both"/>
        <w:rPr>
          <w:rFonts w:asciiTheme="majorHAnsi" w:hAnsiTheme="majorHAnsi" w:cs="Verdana"/>
          <w:i/>
          <w:sz w:val="18"/>
          <w:szCs w:val="20"/>
          <w:lang w:val="es-ES" w:eastAsia="es-ES"/>
        </w:rPr>
      </w:pPr>
      <w:r w:rsidRPr="009162D5">
        <w:rPr>
          <w:rFonts w:asciiTheme="majorHAnsi" w:hAnsiTheme="majorHAnsi" w:cs="Verdana"/>
          <w:sz w:val="18"/>
          <w:szCs w:val="20"/>
          <w:lang w:val="es-ES" w:eastAsia="es-ES"/>
        </w:rPr>
        <w:t>89.34 La Ley No. 27586 de 22 de noviembre de 2001</w:t>
      </w:r>
      <w:r w:rsidR="00811829" w:rsidRPr="009162D5">
        <w:rPr>
          <w:rFonts w:asciiTheme="majorHAnsi" w:hAnsiTheme="majorHAnsi" w:cs="Verdana"/>
          <w:sz w:val="18"/>
          <w:szCs w:val="20"/>
          <w:lang w:val="es-ES" w:eastAsia="es-ES"/>
        </w:rPr>
        <w:t xml:space="preserve"> y publicada el 12 de diciembre </w:t>
      </w:r>
      <w:r w:rsidRPr="009162D5">
        <w:rPr>
          <w:rFonts w:asciiTheme="majorHAnsi" w:hAnsiTheme="majorHAnsi" w:cs="Verdana"/>
          <w:sz w:val="18"/>
          <w:szCs w:val="20"/>
          <w:lang w:val="es-ES" w:eastAsia="es-ES"/>
        </w:rPr>
        <w:t>de 2001 estableció que la fecha máxima para que las Comisiones Especiales (</w:t>
      </w:r>
      <w:r w:rsidR="00237EEC" w:rsidRPr="009162D5">
        <w:rPr>
          <w:rFonts w:asciiTheme="majorHAnsi" w:hAnsiTheme="majorHAnsi" w:cs="Verdana"/>
          <w:sz w:val="18"/>
          <w:szCs w:val="20"/>
          <w:lang w:val="es-ES" w:eastAsia="es-ES"/>
        </w:rPr>
        <w:t>…</w:t>
      </w:r>
      <w:r w:rsidRPr="009162D5">
        <w:rPr>
          <w:rFonts w:asciiTheme="majorHAnsi" w:hAnsiTheme="majorHAnsi" w:cs="Verdana"/>
          <w:sz w:val="18"/>
          <w:szCs w:val="20"/>
          <w:lang w:val="es-ES" w:eastAsia="es-ES"/>
        </w:rPr>
        <w:t>) concluyeran sus informes finales se</w:t>
      </w:r>
      <w:r w:rsidR="00811829" w:rsidRPr="009162D5">
        <w:rPr>
          <w:rFonts w:asciiTheme="majorHAnsi" w:hAnsiTheme="majorHAnsi" w:cs="Verdana"/>
          <w:sz w:val="18"/>
          <w:szCs w:val="20"/>
          <w:lang w:val="es-ES" w:eastAsia="es-ES"/>
        </w:rPr>
        <w:t xml:space="preserve">ría el 20 de diciembre de 2001. </w:t>
      </w:r>
      <w:r w:rsidRPr="009162D5">
        <w:rPr>
          <w:rFonts w:asciiTheme="majorHAnsi" w:hAnsiTheme="majorHAnsi" w:cs="Verdana"/>
          <w:sz w:val="18"/>
          <w:szCs w:val="20"/>
          <w:lang w:val="es-ES" w:eastAsia="es-ES"/>
        </w:rPr>
        <w:t>Asimismo, dicha Ley creó una Comisión Multisectorial</w:t>
      </w:r>
      <w:r w:rsidR="00811829" w:rsidRPr="009162D5">
        <w:rPr>
          <w:rFonts w:asciiTheme="majorHAnsi" w:hAnsiTheme="majorHAnsi" w:cs="Verdana"/>
          <w:sz w:val="18"/>
          <w:szCs w:val="20"/>
          <w:lang w:val="es-ES" w:eastAsia="es-ES"/>
        </w:rPr>
        <w:t xml:space="preserve"> integrada por los Ministros de </w:t>
      </w:r>
      <w:r w:rsidRPr="009162D5">
        <w:rPr>
          <w:rFonts w:asciiTheme="majorHAnsi" w:hAnsiTheme="majorHAnsi" w:cs="Verdana"/>
          <w:sz w:val="18"/>
          <w:szCs w:val="20"/>
          <w:lang w:val="es-ES" w:eastAsia="es-ES"/>
        </w:rPr>
        <w:t>Economía y Finanzas, de Trabajo y Promoción Social</w:t>
      </w:r>
      <w:r w:rsidR="00811829" w:rsidRPr="009162D5">
        <w:rPr>
          <w:rFonts w:asciiTheme="majorHAnsi" w:hAnsiTheme="majorHAnsi" w:cs="Verdana"/>
          <w:sz w:val="18"/>
          <w:szCs w:val="20"/>
          <w:lang w:val="es-ES" w:eastAsia="es-ES"/>
        </w:rPr>
        <w:t xml:space="preserve">, de la Presidencia, de Salud y </w:t>
      </w:r>
      <w:r w:rsidRPr="009162D5">
        <w:rPr>
          <w:rFonts w:asciiTheme="majorHAnsi" w:hAnsiTheme="majorHAnsi" w:cs="Verdana"/>
          <w:sz w:val="18"/>
          <w:szCs w:val="20"/>
          <w:lang w:val="es-ES" w:eastAsia="es-ES"/>
        </w:rPr>
        <w:t>de Educación, así como por cuatro representantes de la Municipalidades Provinciales</w:t>
      </w:r>
      <w:r w:rsidR="00811829" w:rsidRPr="009162D5">
        <w:rPr>
          <w:rFonts w:asciiTheme="majorHAnsi" w:hAnsiTheme="majorHAnsi" w:cs="Verdana"/>
          <w:sz w:val="18"/>
          <w:szCs w:val="20"/>
          <w:lang w:val="es-ES" w:eastAsia="es-ES"/>
        </w:rPr>
        <w:t xml:space="preserve"> </w:t>
      </w:r>
      <w:r w:rsidRPr="009162D5">
        <w:rPr>
          <w:rFonts w:asciiTheme="majorHAnsi" w:hAnsiTheme="majorHAnsi" w:cs="Verdana"/>
          <w:sz w:val="18"/>
          <w:szCs w:val="20"/>
          <w:lang w:val="es-ES" w:eastAsia="es-ES"/>
        </w:rPr>
        <w:t>y por el Defensor del Pueblo, o sus respectivos</w:t>
      </w:r>
      <w:r w:rsidR="00811829" w:rsidRPr="009162D5">
        <w:rPr>
          <w:rFonts w:asciiTheme="majorHAnsi" w:hAnsiTheme="majorHAnsi" w:cs="Verdana"/>
          <w:sz w:val="18"/>
          <w:szCs w:val="20"/>
          <w:lang w:val="es-ES" w:eastAsia="es-ES"/>
        </w:rPr>
        <w:t xml:space="preserve"> representantes. Dicha Comisión Multisectorial estaría </w:t>
      </w:r>
      <w:r w:rsidRPr="009162D5">
        <w:rPr>
          <w:rFonts w:asciiTheme="majorHAnsi" w:hAnsiTheme="majorHAnsi" w:cs="Verdana"/>
          <w:i/>
          <w:sz w:val="18"/>
          <w:szCs w:val="20"/>
          <w:lang w:val="es-ES" w:eastAsia="es-ES"/>
        </w:rPr>
        <w:t>[…] encargada de evaluar la viabilidad de las sugerenci</w:t>
      </w:r>
      <w:r w:rsidR="00811829" w:rsidRPr="009162D5">
        <w:rPr>
          <w:rFonts w:asciiTheme="majorHAnsi" w:hAnsiTheme="majorHAnsi" w:cs="Verdana"/>
          <w:i/>
          <w:sz w:val="18"/>
          <w:szCs w:val="20"/>
          <w:lang w:val="es-ES" w:eastAsia="es-ES"/>
        </w:rPr>
        <w:t xml:space="preserve">as y recomendaciones contenidas </w:t>
      </w:r>
      <w:r w:rsidRPr="009162D5">
        <w:rPr>
          <w:rFonts w:asciiTheme="majorHAnsi" w:hAnsiTheme="majorHAnsi" w:cs="Verdana"/>
          <w:i/>
          <w:sz w:val="18"/>
          <w:szCs w:val="20"/>
          <w:lang w:val="es-ES" w:eastAsia="es-ES"/>
        </w:rPr>
        <w:t>en los informes finales elaborados por las Comisio</w:t>
      </w:r>
      <w:r w:rsidR="00811829" w:rsidRPr="009162D5">
        <w:rPr>
          <w:rFonts w:asciiTheme="majorHAnsi" w:hAnsiTheme="majorHAnsi" w:cs="Verdana"/>
          <w:i/>
          <w:sz w:val="18"/>
          <w:szCs w:val="20"/>
          <w:lang w:val="es-ES" w:eastAsia="es-ES"/>
        </w:rPr>
        <w:t xml:space="preserve">nes Especiales de las entidades </w:t>
      </w:r>
      <w:r w:rsidRPr="009162D5">
        <w:rPr>
          <w:rFonts w:asciiTheme="majorHAnsi" w:hAnsiTheme="majorHAnsi" w:cs="Verdana"/>
          <w:i/>
          <w:sz w:val="18"/>
          <w:szCs w:val="20"/>
          <w:lang w:val="es-ES" w:eastAsia="es-ES"/>
        </w:rPr>
        <w:t>incluidas dentro de los alcances de la Ley No. 27487, a</w:t>
      </w:r>
      <w:r w:rsidR="00811829" w:rsidRPr="009162D5">
        <w:rPr>
          <w:rFonts w:asciiTheme="majorHAnsi" w:hAnsiTheme="majorHAnsi" w:cs="Verdana"/>
          <w:i/>
          <w:sz w:val="18"/>
          <w:szCs w:val="20"/>
          <w:lang w:val="es-ES" w:eastAsia="es-ES"/>
        </w:rPr>
        <w:t xml:space="preserve">sí como de establecer medidas a </w:t>
      </w:r>
      <w:r w:rsidRPr="009162D5">
        <w:rPr>
          <w:rFonts w:asciiTheme="majorHAnsi" w:hAnsiTheme="majorHAnsi" w:cs="Verdana"/>
          <w:i/>
          <w:sz w:val="18"/>
          <w:szCs w:val="20"/>
          <w:lang w:val="es-ES" w:eastAsia="es-ES"/>
        </w:rPr>
        <w:t>ser implementadas por los titulares de las entidades o l</w:t>
      </w:r>
      <w:r w:rsidR="00811829" w:rsidRPr="009162D5">
        <w:rPr>
          <w:rFonts w:asciiTheme="majorHAnsi" w:hAnsiTheme="majorHAnsi" w:cs="Verdana"/>
          <w:i/>
          <w:sz w:val="18"/>
          <w:szCs w:val="20"/>
          <w:lang w:val="es-ES" w:eastAsia="es-ES"/>
        </w:rPr>
        <w:t xml:space="preserve">a adopción de decretos supremos </w:t>
      </w:r>
      <w:r w:rsidRPr="009162D5">
        <w:rPr>
          <w:rFonts w:asciiTheme="majorHAnsi" w:hAnsiTheme="majorHAnsi" w:cs="Verdana"/>
          <w:i/>
          <w:sz w:val="18"/>
          <w:szCs w:val="20"/>
          <w:lang w:val="es-ES" w:eastAsia="es-ES"/>
        </w:rPr>
        <w:t>o elaboración de proyectos de ley considerando criterios de</w:t>
      </w:r>
      <w:r w:rsidR="00811829" w:rsidRPr="009162D5">
        <w:rPr>
          <w:rFonts w:asciiTheme="majorHAnsi" w:hAnsiTheme="majorHAnsi" w:cs="Verdana"/>
          <w:i/>
          <w:sz w:val="18"/>
          <w:szCs w:val="20"/>
          <w:lang w:val="es-ES" w:eastAsia="es-ES"/>
        </w:rPr>
        <w:t xml:space="preserve"> eficacia de la administración, </w:t>
      </w:r>
      <w:r w:rsidRPr="009162D5">
        <w:rPr>
          <w:rFonts w:asciiTheme="majorHAnsi" w:hAnsiTheme="majorHAnsi" w:cs="Verdana"/>
          <w:i/>
          <w:sz w:val="18"/>
          <w:szCs w:val="20"/>
          <w:lang w:val="es-ES" w:eastAsia="es-ES"/>
        </w:rPr>
        <w:t>promoción del empleo y reinserción laboral de los secto</w:t>
      </w:r>
      <w:r w:rsidR="00811829" w:rsidRPr="009162D5">
        <w:rPr>
          <w:rFonts w:asciiTheme="majorHAnsi" w:hAnsiTheme="majorHAnsi" w:cs="Verdana"/>
          <w:i/>
          <w:sz w:val="18"/>
          <w:szCs w:val="20"/>
          <w:lang w:val="es-ES" w:eastAsia="es-ES"/>
        </w:rPr>
        <w:t xml:space="preserve">res afectados; pudiendo, de ser </w:t>
      </w:r>
      <w:r w:rsidRPr="009162D5">
        <w:rPr>
          <w:rFonts w:asciiTheme="majorHAnsi" w:hAnsiTheme="majorHAnsi" w:cs="Verdana"/>
          <w:i/>
          <w:sz w:val="18"/>
          <w:szCs w:val="20"/>
          <w:lang w:val="es-ES" w:eastAsia="es-ES"/>
        </w:rPr>
        <w:t>el caso, plantear la reincorporación, así como la posib</w:t>
      </w:r>
      <w:r w:rsidR="00811829" w:rsidRPr="009162D5">
        <w:rPr>
          <w:rFonts w:asciiTheme="majorHAnsi" w:hAnsiTheme="majorHAnsi" w:cs="Verdana"/>
          <w:i/>
          <w:sz w:val="18"/>
          <w:szCs w:val="20"/>
          <w:lang w:val="es-ES" w:eastAsia="es-ES"/>
        </w:rPr>
        <w:t xml:space="preserve">ilidad de contemplar un régimen </w:t>
      </w:r>
      <w:r w:rsidRPr="009162D5">
        <w:rPr>
          <w:rFonts w:asciiTheme="majorHAnsi" w:hAnsiTheme="majorHAnsi" w:cs="Verdana"/>
          <w:i/>
          <w:sz w:val="18"/>
          <w:szCs w:val="20"/>
          <w:lang w:val="es-ES" w:eastAsia="es-ES"/>
        </w:rPr>
        <w:t>especia</w:t>
      </w:r>
      <w:r w:rsidR="00811829" w:rsidRPr="009162D5">
        <w:rPr>
          <w:rFonts w:asciiTheme="majorHAnsi" w:hAnsiTheme="majorHAnsi" w:cs="Verdana"/>
          <w:i/>
          <w:sz w:val="18"/>
          <w:szCs w:val="20"/>
          <w:lang w:val="es-ES" w:eastAsia="es-ES"/>
        </w:rPr>
        <w:t xml:space="preserve">l de jubilación anticipada. […] </w:t>
      </w:r>
      <w:r w:rsidRPr="009162D5">
        <w:rPr>
          <w:rFonts w:asciiTheme="majorHAnsi" w:hAnsiTheme="majorHAnsi" w:cs="Verdana"/>
          <w:i/>
          <w:sz w:val="18"/>
          <w:szCs w:val="20"/>
          <w:lang w:val="es-ES" w:eastAsia="es-ES"/>
        </w:rPr>
        <w:t>La aludida Comisión Multisectorial podrá, asimismo, re</w:t>
      </w:r>
      <w:r w:rsidR="00811829" w:rsidRPr="009162D5">
        <w:rPr>
          <w:rFonts w:asciiTheme="majorHAnsi" w:hAnsiTheme="majorHAnsi" w:cs="Verdana"/>
          <w:i/>
          <w:sz w:val="18"/>
          <w:szCs w:val="20"/>
          <w:lang w:val="es-ES" w:eastAsia="es-ES"/>
        </w:rPr>
        <w:t xml:space="preserve">visar las razones que motivaron </w:t>
      </w:r>
      <w:r w:rsidRPr="009162D5">
        <w:rPr>
          <w:rFonts w:asciiTheme="majorHAnsi" w:hAnsiTheme="majorHAnsi" w:cs="Verdana"/>
          <w:i/>
          <w:sz w:val="18"/>
          <w:szCs w:val="20"/>
          <w:lang w:val="es-ES" w:eastAsia="es-ES"/>
        </w:rPr>
        <w:t>los despidos y determinar los casos en que se adeud</w:t>
      </w:r>
      <w:r w:rsidR="00811829" w:rsidRPr="009162D5">
        <w:rPr>
          <w:rFonts w:asciiTheme="majorHAnsi" w:hAnsiTheme="majorHAnsi" w:cs="Verdana"/>
          <w:i/>
          <w:sz w:val="18"/>
          <w:szCs w:val="20"/>
          <w:lang w:val="es-ES" w:eastAsia="es-ES"/>
        </w:rPr>
        <w:t xml:space="preserve">e el pago de remuneraciones o </w:t>
      </w:r>
      <w:r w:rsidRPr="009162D5">
        <w:rPr>
          <w:rFonts w:asciiTheme="majorHAnsi" w:hAnsiTheme="majorHAnsi" w:cs="Verdana"/>
          <w:i/>
          <w:sz w:val="18"/>
          <w:szCs w:val="20"/>
          <w:lang w:val="es-ES" w:eastAsia="es-ES"/>
        </w:rPr>
        <w:t xml:space="preserve">beneficios sociales devengados o insolutos, siempre que </w:t>
      </w:r>
      <w:r w:rsidR="00811829" w:rsidRPr="009162D5">
        <w:rPr>
          <w:rFonts w:asciiTheme="majorHAnsi" w:hAnsiTheme="majorHAnsi" w:cs="Verdana"/>
          <w:i/>
          <w:sz w:val="18"/>
          <w:szCs w:val="20"/>
          <w:lang w:val="es-ES" w:eastAsia="es-ES"/>
        </w:rPr>
        <w:t xml:space="preserve">tales aspectos no hubiesen sido </w:t>
      </w:r>
      <w:r w:rsidRPr="009162D5">
        <w:rPr>
          <w:rFonts w:asciiTheme="majorHAnsi" w:hAnsiTheme="majorHAnsi" w:cs="Verdana"/>
          <w:i/>
          <w:sz w:val="18"/>
          <w:szCs w:val="20"/>
          <w:lang w:val="es-ES" w:eastAsia="es-ES"/>
        </w:rPr>
        <w:t>materia de reclamación judicial.</w:t>
      </w:r>
    </w:p>
    <w:p w14:paraId="78EFE31B" w14:textId="77777777" w:rsidR="00811829" w:rsidRPr="009162D5" w:rsidRDefault="00811829" w:rsidP="009162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right="142"/>
        <w:jc w:val="both"/>
        <w:rPr>
          <w:rFonts w:asciiTheme="majorHAnsi" w:hAnsiTheme="majorHAnsi" w:cs="Verdana"/>
          <w:sz w:val="16"/>
          <w:szCs w:val="20"/>
          <w:lang w:val="es-ES" w:eastAsia="es-ES"/>
        </w:rPr>
      </w:pPr>
    </w:p>
    <w:p w14:paraId="25E8712E" w14:textId="77777777" w:rsidR="009537A3" w:rsidRPr="009162D5" w:rsidRDefault="009537A3" w:rsidP="009162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right="142"/>
        <w:jc w:val="both"/>
        <w:rPr>
          <w:rFonts w:asciiTheme="majorHAnsi" w:hAnsiTheme="majorHAnsi" w:cs="Verdana"/>
          <w:sz w:val="18"/>
          <w:szCs w:val="20"/>
          <w:lang w:val="es-ES" w:eastAsia="es-ES"/>
        </w:rPr>
      </w:pPr>
      <w:r w:rsidRPr="009162D5">
        <w:rPr>
          <w:rFonts w:asciiTheme="majorHAnsi" w:hAnsiTheme="majorHAnsi" w:cs="Verdana"/>
          <w:sz w:val="18"/>
          <w:szCs w:val="20"/>
          <w:lang w:val="es-ES" w:eastAsia="es-ES"/>
        </w:rPr>
        <w:t>89.35 El 26 de marzo de 2002 la Comisión Multisector</w:t>
      </w:r>
      <w:r w:rsidR="00811829" w:rsidRPr="009162D5">
        <w:rPr>
          <w:rFonts w:asciiTheme="majorHAnsi" w:hAnsiTheme="majorHAnsi" w:cs="Verdana"/>
          <w:sz w:val="18"/>
          <w:szCs w:val="20"/>
          <w:lang w:val="es-ES" w:eastAsia="es-ES"/>
        </w:rPr>
        <w:t xml:space="preserve">ial emitió su informe final, en </w:t>
      </w:r>
      <w:r w:rsidRPr="009162D5">
        <w:rPr>
          <w:rFonts w:asciiTheme="majorHAnsi" w:hAnsiTheme="majorHAnsi" w:cs="Verdana"/>
          <w:sz w:val="18"/>
          <w:szCs w:val="20"/>
          <w:lang w:val="es-ES" w:eastAsia="es-ES"/>
        </w:rPr>
        <w:t xml:space="preserve">el que concluyó, </w:t>
      </w:r>
      <w:r w:rsidRPr="009162D5">
        <w:rPr>
          <w:rFonts w:asciiTheme="majorHAnsi" w:hAnsiTheme="majorHAnsi" w:cs="Verdana"/>
          <w:i/>
          <w:iCs/>
          <w:sz w:val="18"/>
          <w:szCs w:val="20"/>
          <w:lang w:val="es-ES" w:eastAsia="es-ES"/>
        </w:rPr>
        <w:t>inter alia</w:t>
      </w:r>
      <w:r w:rsidRPr="009162D5">
        <w:rPr>
          <w:rFonts w:asciiTheme="majorHAnsi" w:hAnsiTheme="majorHAnsi" w:cs="Verdana"/>
          <w:sz w:val="18"/>
          <w:szCs w:val="20"/>
          <w:lang w:val="es-ES" w:eastAsia="es-ES"/>
        </w:rPr>
        <w:t>, que “no cabe cu</w:t>
      </w:r>
      <w:r w:rsidR="00811829" w:rsidRPr="009162D5">
        <w:rPr>
          <w:rFonts w:asciiTheme="majorHAnsi" w:hAnsiTheme="majorHAnsi" w:cs="Verdana"/>
          <w:sz w:val="18"/>
          <w:szCs w:val="20"/>
          <w:lang w:val="es-ES" w:eastAsia="es-ES"/>
        </w:rPr>
        <w:t xml:space="preserve">estionamiento de las normas que </w:t>
      </w:r>
      <w:r w:rsidRPr="009162D5">
        <w:rPr>
          <w:rFonts w:asciiTheme="majorHAnsi" w:hAnsiTheme="majorHAnsi" w:cs="Verdana"/>
          <w:sz w:val="18"/>
          <w:szCs w:val="20"/>
          <w:lang w:val="es-ES" w:eastAsia="es-ES"/>
        </w:rPr>
        <w:t>regularon los ceses colectivos […], sino tan sólo de</w:t>
      </w:r>
      <w:r w:rsidR="00811829" w:rsidRPr="009162D5">
        <w:rPr>
          <w:rFonts w:asciiTheme="majorHAnsi" w:hAnsiTheme="majorHAnsi" w:cs="Verdana"/>
          <w:sz w:val="18"/>
          <w:szCs w:val="20"/>
          <w:lang w:val="es-ES" w:eastAsia="es-ES"/>
        </w:rPr>
        <w:t xml:space="preserve"> los procedimientos a través de </w:t>
      </w:r>
      <w:r w:rsidRPr="009162D5">
        <w:rPr>
          <w:rFonts w:asciiTheme="majorHAnsi" w:hAnsiTheme="majorHAnsi" w:cs="Verdana"/>
          <w:sz w:val="18"/>
          <w:szCs w:val="20"/>
          <w:lang w:val="es-ES" w:eastAsia="es-ES"/>
        </w:rPr>
        <w:t>los cuales se llevaron a cabo” los mis</w:t>
      </w:r>
      <w:r w:rsidR="00811829" w:rsidRPr="009162D5">
        <w:rPr>
          <w:rFonts w:asciiTheme="majorHAnsi" w:hAnsiTheme="majorHAnsi" w:cs="Verdana"/>
          <w:sz w:val="18"/>
          <w:szCs w:val="20"/>
          <w:lang w:val="es-ES" w:eastAsia="es-ES"/>
        </w:rPr>
        <w:t xml:space="preserve">mos. Asimismo, acordó “que toda </w:t>
      </w:r>
      <w:r w:rsidRPr="009162D5">
        <w:rPr>
          <w:rFonts w:asciiTheme="majorHAnsi" w:hAnsiTheme="majorHAnsi" w:cs="Verdana"/>
          <w:sz w:val="18"/>
          <w:szCs w:val="20"/>
          <w:lang w:val="es-ES" w:eastAsia="es-ES"/>
        </w:rPr>
        <w:t>recomendación de reincorporación o reposición d</w:t>
      </w:r>
      <w:r w:rsidR="00811829" w:rsidRPr="009162D5">
        <w:rPr>
          <w:rFonts w:asciiTheme="majorHAnsi" w:hAnsiTheme="majorHAnsi" w:cs="Verdana"/>
          <w:sz w:val="18"/>
          <w:szCs w:val="20"/>
          <w:lang w:val="es-ES" w:eastAsia="es-ES"/>
        </w:rPr>
        <w:t xml:space="preserve">ebe ser entendida como un nuevo </w:t>
      </w:r>
      <w:r w:rsidRPr="009162D5">
        <w:rPr>
          <w:rFonts w:asciiTheme="majorHAnsi" w:hAnsiTheme="majorHAnsi" w:cs="Verdana"/>
          <w:sz w:val="18"/>
          <w:szCs w:val="20"/>
          <w:lang w:val="es-ES" w:eastAsia="es-ES"/>
        </w:rPr>
        <w:t>vínculo laboral, pudiendo ser una nueva contratac</w:t>
      </w:r>
      <w:r w:rsidR="00811829" w:rsidRPr="009162D5">
        <w:rPr>
          <w:rFonts w:asciiTheme="majorHAnsi" w:hAnsiTheme="majorHAnsi" w:cs="Verdana"/>
          <w:sz w:val="18"/>
          <w:szCs w:val="20"/>
          <w:lang w:val="es-ES" w:eastAsia="es-ES"/>
        </w:rPr>
        <w:t xml:space="preserve">ión o nuevo nombramiento, en la </w:t>
      </w:r>
      <w:r w:rsidRPr="009162D5">
        <w:rPr>
          <w:rFonts w:asciiTheme="majorHAnsi" w:hAnsiTheme="majorHAnsi" w:cs="Verdana"/>
          <w:sz w:val="18"/>
          <w:szCs w:val="20"/>
          <w:lang w:val="es-ES" w:eastAsia="es-ES"/>
        </w:rPr>
        <w:t>medida que existan o se generen plazas presupuest</w:t>
      </w:r>
      <w:r w:rsidR="00811829" w:rsidRPr="009162D5">
        <w:rPr>
          <w:rFonts w:asciiTheme="majorHAnsi" w:hAnsiTheme="majorHAnsi" w:cs="Verdana"/>
          <w:sz w:val="18"/>
          <w:szCs w:val="20"/>
          <w:lang w:val="es-ES" w:eastAsia="es-ES"/>
        </w:rPr>
        <w:t xml:space="preserve">adas vacantes en las entidades, </w:t>
      </w:r>
      <w:r w:rsidRPr="009162D5">
        <w:rPr>
          <w:rFonts w:asciiTheme="majorHAnsi" w:hAnsiTheme="majorHAnsi" w:cs="Verdana"/>
          <w:sz w:val="18"/>
          <w:szCs w:val="20"/>
          <w:lang w:val="es-ES" w:eastAsia="es-ES"/>
        </w:rPr>
        <w:t>que los trabajadores cumplan con los requisitos exigidos para esas plazas, que se</w:t>
      </w:r>
      <w:r w:rsidR="00811829" w:rsidRPr="009162D5">
        <w:rPr>
          <w:rFonts w:asciiTheme="majorHAnsi" w:hAnsiTheme="majorHAnsi" w:cs="Verdana"/>
          <w:sz w:val="18"/>
          <w:szCs w:val="20"/>
          <w:lang w:val="es-ES" w:eastAsia="es-ES"/>
        </w:rPr>
        <w:t xml:space="preserve"> </w:t>
      </w:r>
      <w:r w:rsidRPr="009162D5">
        <w:rPr>
          <w:rFonts w:asciiTheme="majorHAnsi" w:hAnsiTheme="majorHAnsi" w:cs="Verdana"/>
          <w:sz w:val="18"/>
          <w:szCs w:val="20"/>
          <w:lang w:val="es-ES" w:eastAsia="es-ES"/>
        </w:rPr>
        <w:t>cuente con habilitación legal para contratar y que exista la norma legal que autorice</w:t>
      </w:r>
      <w:r w:rsidR="00811829" w:rsidRPr="009162D5">
        <w:rPr>
          <w:rFonts w:asciiTheme="majorHAnsi" w:hAnsiTheme="majorHAnsi" w:cs="Verdana"/>
          <w:sz w:val="18"/>
          <w:szCs w:val="20"/>
          <w:lang w:val="es-ES" w:eastAsia="es-ES"/>
        </w:rPr>
        <w:t xml:space="preserve"> </w:t>
      </w:r>
      <w:r w:rsidRPr="009162D5">
        <w:rPr>
          <w:rFonts w:asciiTheme="majorHAnsi" w:hAnsiTheme="majorHAnsi" w:cs="Verdana"/>
          <w:sz w:val="18"/>
          <w:szCs w:val="20"/>
          <w:lang w:val="es-ES" w:eastAsia="es-ES"/>
        </w:rPr>
        <w:t>los nombramientos”. Tomando como base las</w:t>
      </w:r>
      <w:r w:rsidR="00811829" w:rsidRPr="009162D5">
        <w:rPr>
          <w:rFonts w:asciiTheme="majorHAnsi" w:hAnsiTheme="majorHAnsi" w:cs="Verdana"/>
          <w:sz w:val="18"/>
          <w:szCs w:val="20"/>
          <w:lang w:val="es-ES" w:eastAsia="es-ES"/>
        </w:rPr>
        <w:t xml:space="preserve"> recomendaciones de la Comisión </w:t>
      </w:r>
      <w:r w:rsidRPr="009162D5">
        <w:rPr>
          <w:rFonts w:asciiTheme="majorHAnsi" w:hAnsiTheme="majorHAnsi" w:cs="Verdana"/>
          <w:sz w:val="18"/>
          <w:szCs w:val="20"/>
          <w:lang w:val="es-ES" w:eastAsia="es-ES"/>
        </w:rPr>
        <w:t>Especial, consideró que había habido 760 casos de ceses irregulares en re</w:t>
      </w:r>
      <w:r w:rsidR="00811829" w:rsidRPr="009162D5">
        <w:rPr>
          <w:rFonts w:asciiTheme="majorHAnsi" w:hAnsiTheme="majorHAnsi" w:cs="Verdana"/>
          <w:sz w:val="18"/>
          <w:szCs w:val="20"/>
          <w:lang w:val="es-ES" w:eastAsia="es-ES"/>
        </w:rPr>
        <w:t xml:space="preserve">lación con </w:t>
      </w:r>
      <w:r w:rsidRPr="009162D5">
        <w:rPr>
          <w:rFonts w:asciiTheme="majorHAnsi" w:hAnsiTheme="majorHAnsi" w:cs="Verdana"/>
          <w:sz w:val="18"/>
          <w:szCs w:val="20"/>
          <w:lang w:val="es-ES" w:eastAsia="es-ES"/>
        </w:rPr>
        <w:t>el proceso de evaluación y selección ocurrido en el año 1992 (</w:t>
      </w:r>
      <w:r w:rsidR="00237EEC" w:rsidRPr="009162D5">
        <w:rPr>
          <w:rFonts w:asciiTheme="majorHAnsi" w:hAnsiTheme="majorHAnsi" w:cs="Verdana"/>
          <w:sz w:val="18"/>
          <w:szCs w:val="20"/>
          <w:lang w:val="es-ES" w:eastAsia="es-ES"/>
        </w:rPr>
        <w:t>…</w:t>
      </w:r>
      <w:r w:rsidRPr="009162D5">
        <w:rPr>
          <w:rFonts w:asciiTheme="majorHAnsi" w:hAnsiTheme="majorHAnsi" w:cs="Verdana"/>
          <w:sz w:val="18"/>
          <w:szCs w:val="20"/>
          <w:lang w:val="es-ES" w:eastAsia="es-ES"/>
        </w:rPr>
        <w:t>), respecto de los trabajadores cesados del Congreso de la República.</w:t>
      </w:r>
    </w:p>
    <w:p w14:paraId="614ABA9D" w14:textId="77777777" w:rsidR="00811829" w:rsidRPr="00FB4380" w:rsidRDefault="00811829" w:rsidP="008118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jc w:val="both"/>
        <w:rPr>
          <w:rFonts w:asciiTheme="majorHAnsi" w:hAnsiTheme="majorHAnsi" w:cs="Verdana"/>
          <w:sz w:val="18"/>
          <w:szCs w:val="20"/>
          <w:lang w:val="es-ES" w:eastAsia="es-ES"/>
        </w:rPr>
      </w:pPr>
    </w:p>
    <w:p w14:paraId="0AE60F20" w14:textId="77777777" w:rsidR="004D0592" w:rsidRPr="00FB4380" w:rsidRDefault="00674DAE" w:rsidP="004D0592">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s-ES"/>
        </w:rPr>
      </w:pPr>
      <w:r w:rsidRPr="00FB4380">
        <w:rPr>
          <w:rFonts w:asciiTheme="majorHAnsi" w:hAnsiTheme="majorHAnsi" w:cs="Verdana"/>
          <w:sz w:val="20"/>
          <w:szCs w:val="20"/>
          <w:lang w:val="es-ES"/>
        </w:rPr>
        <w:t xml:space="preserve">Asimismo, </w:t>
      </w:r>
      <w:r w:rsidR="004D0592" w:rsidRPr="00FB4380">
        <w:rPr>
          <w:rFonts w:asciiTheme="majorHAnsi" w:hAnsiTheme="majorHAnsi" w:cs="Verdana"/>
          <w:sz w:val="20"/>
          <w:szCs w:val="20"/>
          <w:lang w:val="es-ES"/>
        </w:rPr>
        <w:t>el 29 de julio de 2002, el Estado adoptó la Ley No. 27803</w:t>
      </w:r>
      <w:r w:rsidR="00B714EC" w:rsidRPr="00FB4380">
        <w:rPr>
          <w:rFonts w:asciiTheme="majorHAnsi" w:hAnsiTheme="majorHAnsi" w:cs="Verdana"/>
          <w:sz w:val="20"/>
          <w:szCs w:val="20"/>
          <w:lang w:val="es-ES"/>
        </w:rPr>
        <w:t xml:space="preserve"> para implementar las recomendaciones de las Comisiones Especiales</w:t>
      </w:r>
      <w:r w:rsidR="004D0592" w:rsidRPr="00FB4380">
        <w:rPr>
          <w:rFonts w:asciiTheme="majorHAnsi" w:hAnsiTheme="majorHAnsi" w:cs="Verdana"/>
          <w:sz w:val="20"/>
          <w:szCs w:val="20"/>
          <w:lang w:val="es-ES"/>
        </w:rPr>
        <w:t>. A</w:t>
      </w:r>
      <w:r w:rsidR="00495D85" w:rsidRPr="00FB4380">
        <w:rPr>
          <w:rFonts w:asciiTheme="majorHAnsi" w:hAnsiTheme="majorHAnsi" w:cs="Verdana"/>
          <w:sz w:val="20"/>
          <w:szCs w:val="20"/>
          <w:lang w:val="es-ES"/>
        </w:rPr>
        <w:t xml:space="preserve">l respecto, la Corte </w:t>
      </w:r>
      <w:r w:rsidR="004D0592" w:rsidRPr="00FB4380">
        <w:rPr>
          <w:rFonts w:asciiTheme="majorHAnsi" w:hAnsiTheme="majorHAnsi" w:cs="Verdana"/>
          <w:sz w:val="20"/>
          <w:szCs w:val="20"/>
          <w:lang w:val="es-ES"/>
        </w:rPr>
        <w:t>señaló lo siguiente</w:t>
      </w:r>
      <w:r w:rsidR="00587459" w:rsidRPr="00FB4380">
        <w:rPr>
          <w:rFonts w:asciiTheme="majorHAnsi" w:hAnsiTheme="majorHAnsi" w:cs="Verdana"/>
          <w:sz w:val="20"/>
          <w:szCs w:val="20"/>
          <w:lang w:val="es-ES"/>
        </w:rPr>
        <w:t xml:space="preserve"> sobre dicha Ley en el caso </w:t>
      </w:r>
      <w:r w:rsidR="00587459" w:rsidRPr="00FB4380">
        <w:rPr>
          <w:rFonts w:asciiTheme="majorHAnsi" w:hAnsiTheme="majorHAnsi" w:cs="Verdana"/>
          <w:i/>
          <w:sz w:val="20"/>
          <w:szCs w:val="20"/>
          <w:lang w:val="es-ES"/>
        </w:rPr>
        <w:t>Canales Huapaya</w:t>
      </w:r>
      <w:r w:rsidR="001F21F8" w:rsidRPr="00FB4380">
        <w:rPr>
          <w:rFonts w:asciiTheme="majorHAnsi" w:hAnsiTheme="majorHAnsi" w:cs="Verdana"/>
          <w:i/>
          <w:sz w:val="20"/>
          <w:szCs w:val="20"/>
          <w:lang w:val="es-ES"/>
        </w:rPr>
        <w:t>:</w:t>
      </w:r>
    </w:p>
    <w:p w14:paraId="36DEFC4B" w14:textId="77777777" w:rsidR="004D0592" w:rsidRPr="00FB4380" w:rsidRDefault="004D0592" w:rsidP="004D059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s-ES"/>
        </w:rPr>
      </w:pPr>
    </w:p>
    <w:p w14:paraId="23818F88" w14:textId="77777777" w:rsidR="00587459" w:rsidRPr="009162D5" w:rsidRDefault="00587459"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lang w:val="es-ES"/>
        </w:rPr>
      </w:pPr>
      <w:r w:rsidRPr="009162D5">
        <w:rPr>
          <w:rFonts w:asciiTheme="majorHAnsi" w:hAnsiTheme="majorHAnsi" w:cs="Verdana"/>
          <w:sz w:val="18"/>
          <w:szCs w:val="20"/>
          <w:lang w:val="es-ES"/>
        </w:rPr>
        <w:t xml:space="preserve">77. El 29 de julio de 2002 fue promulgada la Ley 27803, la cual otorgaba a los trabajadores declarados en situación de cese arbitrario la opción por uno de los siguientes beneficios: reincorporación o reubicación laboral, jubilación adelantada, compensación económica y capacitación laboral. En su cuarta disposición transitoria esta ley señaló que </w:t>
      </w:r>
      <w:r w:rsidRPr="009162D5">
        <w:rPr>
          <w:rFonts w:asciiTheme="majorHAnsi" w:hAnsiTheme="majorHAnsi" w:cs="Verdana"/>
          <w:sz w:val="18"/>
          <w:szCs w:val="20"/>
          <w:lang w:val="es-ES"/>
        </w:rPr>
        <w:lastRenderedPageBreak/>
        <w:t>“se encuentran comprendidos en la presente ley los ceses irregulares de aquellos ex trabajadores que tuvieran procesos judiciales en trámite siempre que […] desistan de la pretensión ante el Órgano Jurisdiccional”. A efectos de ejecutar los beneficios previstos, la misma ley creó un Registro Nacional de Trabajadores Cesados Irregularmente. Hasta julio de 2012 el Ministerio de Trabajo y Promoción del Empleo había publicado cuatro listados de ex trabajadores cesados irregularmente.</w:t>
      </w:r>
    </w:p>
    <w:p w14:paraId="19A4E1B0" w14:textId="77777777" w:rsidR="002F1560" w:rsidRPr="009162D5" w:rsidRDefault="00587459"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lang w:val="es-ES"/>
        </w:rPr>
      </w:pPr>
      <w:r w:rsidRPr="009162D5">
        <w:rPr>
          <w:rFonts w:asciiTheme="majorHAnsi" w:hAnsiTheme="majorHAnsi" w:cs="Verdana"/>
          <w:sz w:val="18"/>
          <w:szCs w:val="20"/>
          <w:lang w:val="es-ES"/>
        </w:rPr>
        <w:t>78. Dicha Ley 27803 establecía que el Estado asumía el pago de aportes pensionarios "por el tiempo en que se extendió el cese del trabajador" y que "en ningún caso implica el cobro de remuneraciones dejadas de percibir durante el mismo período". Asimismo, en 2004 fue agregado un párrafo a este artículo 13, en el cual se estableció que "dicho pago de aportaciones por parte del Estado en ningún caso será por un período mayor a 12 años".</w:t>
      </w:r>
    </w:p>
    <w:p w14:paraId="6572D61B" w14:textId="77777777" w:rsidR="002F1560" w:rsidRPr="00FB4380" w:rsidRDefault="002F1560" w:rsidP="002F156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s-ES"/>
        </w:rPr>
      </w:pPr>
    </w:p>
    <w:p w14:paraId="018CBA5B" w14:textId="77777777" w:rsidR="002F1560" w:rsidRPr="00FB4380" w:rsidRDefault="002F1560" w:rsidP="002F156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s-ES"/>
        </w:rPr>
      </w:pPr>
      <w:r w:rsidRPr="00FB4380">
        <w:rPr>
          <w:rFonts w:asciiTheme="majorHAnsi" w:hAnsiTheme="majorHAnsi" w:cs="Verdana"/>
          <w:sz w:val="20"/>
          <w:szCs w:val="20"/>
          <w:lang w:val="es-ES"/>
        </w:rPr>
        <w:t xml:space="preserve">En esta misma línea, respecto de la implementación de la mencionada Ley, la Corte también </w:t>
      </w:r>
      <w:r w:rsidR="00B714EC" w:rsidRPr="00FB4380">
        <w:rPr>
          <w:rFonts w:asciiTheme="majorHAnsi" w:hAnsiTheme="majorHAnsi" w:cs="Verdana"/>
          <w:sz w:val="20"/>
          <w:szCs w:val="20"/>
          <w:lang w:val="es-ES"/>
        </w:rPr>
        <w:t xml:space="preserve">señaló lo siguiente en el caso </w:t>
      </w:r>
      <w:r w:rsidR="00B714EC" w:rsidRPr="00FB4380">
        <w:rPr>
          <w:rFonts w:asciiTheme="majorHAnsi" w:hAnsiTheme="majorHAnsi" w:cs="Verdana"/>
          <w:i/>
          <w:sz w:val="20"/>
          <w:szCs w:val="20"/>
          <w:lang w:val="es-ES"/>
        </w:rPr>
        <w:t>Trabajadores Cesados de Petroperú y otros Vs. Perú</w:t>
      </w:r>
      <w:r w:rsidR="00B714EC" w:rsidRPr="00FB4380">
        <w:rPr>
          <w:rStyle w:val="FootnoteReference"/>
          <w:rFonts w:asciiTheme="majorHAnsi" w:hAnsiTheme="majorHAnsi" w:cs="Verdana"/>
          <w:i/>
          <w:sz w:val="20"/>
          <w:szCs w:val="20"/>
          <w:lang w:val="es-ES"/>
        </w:rPr>
        <w:footnoteReference w:id="15"/>
      </w:r>
      <w:r w:rsidR="00B714EC" w:rsidRPr="00FB4380">
        <w:rPr>
          <w:rFonts w:asciiTheme="majorHAnsi" w:hAnsiTheme="majorHAnsi" w:cs="Verdana"/>
          <w:sz w:val="20"/>
          <w:szCs w:val="20"/>
          <w:lang w:val="es-ES"/>
        </w:rPr>
        <w:t xml:space="preserve">: </w:t>
      </w:r>
    </w:p>
    <w:p w14:paraId="0ED5E1CB" w14:textId="77777777" w:rsidR="002F1560" w:rsidRPr="00FB4380" w:rsidRDefault="002F1560" w:rsidP="002F156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s-ES"/>
        </w:rPr>
      </w:pPr>
    </w:p>
    <w:p w14:paraId="3E43ED15" w14:textId="77777777" w:rsidR="002F1560" w:rsidRPr="009162D5" w:rsidRDefault="00B714EC"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20"/>
          <w:szCs w:val="20"/>
        </w:rPr>
      </w:pPr>
      <w:r w:rsidRPr="009162D5">
        <w:rPr>
          <w:rFonts w:asciiTheme="majorHAnsi" w:hAnsiTheme="majorHAnsi" w:cs="Verdana"/>
          <w:sz w:val="18"/>
          <w:szCs w:val="20"/>
          <w:lang w:val="es-ES"/>
        </w:rPr>
        <w:t xml:space="preserve">131. </w:t>
      </w:r>
      <w:r w:rsidR="002F1560" w:rsidRPr="009162D5">
        <w:rPr>
          <w:rFonts w:asciiTheme="majorHAnsi" w:hAnsiTheme="majorHAnsi" w:cs="Verdana"/>
          <w:sz w:val="18"/>
          <w:szCs w:val="20"/>
          <w:lang w:val="es-ES"/>
        </w:rPr>
        <w:t xml:space="preserve">En virtud de esta ley se creó el Programa Extraordinario de Acceso a Beneficios y como parte de éste se instituyó el Registro Nacional de Trabajadores Cesados Irregularmente (en adelante también, RNTCI). Adicionalmente, se creó una Comisión Ejecutiva encargada de analizar los documentos probatorios presentados por los ex trabajadores cuya renuncia fue coaccionada, y estableció un programa extraordinario de acceso a beneficios para los ex trabajadores cuyos ceses colectivos habían sido considerados como irregulares por las respectivas comisiones. La Comisión Ejecutiva y el Ministerio de Trabajo y Promoción del Empleo han publicado listados que contienen los nombres de los trabajadores comprendidos en los supuestos de ceses irregulares y de renuncias bajo coacción. </w:t>
      </w:r>
      <w:r w:rsidR="002F1560" w:rsidRPr="009162D5">
        <w:rPr>
          <w:rFonts w:asciiTheme="majorHAnsi" w:hAnsiTheme="majorHAnsi" w:cs="Verdana"/>
          <w:sz w:val="18"/>
          <w:szCs w:val="20"/>
        </w:rPr>
        <w:t xml:space="preserve">En </w:t>
      </w:r>
      <w:r w:rsidRPr="009162D5">
        <w:rPr>
          <w:rFonts w:asciiTheme="majorHAnsi" w:hAnsiTheme="majorHAnsi" w:cs="Verdana"/>
          <w:sz w:val="18"/>
          <w:szCs w:val="20"/>
        </w:rPr>
        <w:t>este</w:t>
      </w:r>
      <w:r w:rsidR="002F1560" w:rsidRPr="009162D5">
        <w:rPr>
          <w:rFonts w:asciiTheme="majorHAnsi" w:hAnsiTheme="majorHAnsi" w:cs="Verdana"/>
          <w:sz w:val="18"/>
          <w:szCs w:val="20"/>
        </w:rPr>
        <w:t xml:space="preserve"> sentido, se expidieron cinco listados:</w:t>
      </w:r>
    </w:p>
    <w:p w14:paraId="4EEB16C8" w14:textId="77777777" w:rsidR="002F1560" w:rsidRPr="009162D5" w:rsidRDefault="002F1560"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20"/>
          <w:szCs w:val="20"/>
          <w:lang w:val="es-ES"/>
        </w:rPr>
      </w:pPr>
    </w:p>
    <w:tbl>
      <w:tblPr>
        <w:tblStyle w:val="TableGrid"/>
        <w:tblW w:w="0" w:type="auto"/>
        <w:jc w:val="center"/>
        <w:tblLook w:val="04A0" w:firstRow="1" w:lastRow="0" w:firstColumn="1" w:lastColumn="0" w:noHBand="0" w:noVBand="1"/>
      </w:tblPr>
      <w:tblGrid>
        <w:gridCol w:w="1952"/>
        <w:gridCol w:w="2670"/>
        <w:gridCol w:w="1474"/>
      </w:tblGrid>
      <w:tr w:rsidR="002F1560" w:rsidRPr="009162D5" w14:paraId="5C9ECAF7" w14:textId="77777777" w:rsidTr="00DD4BFE">
        <w:trPr>
          <w:jc w:val="center"/>
        </w:trPr>
        <w:tc>
          <w:tcPr>
            <w:tcW w:w="1952" w:type="dxa"/>
          </w:tcPr>
          <w:p w14:paraId="2BD5D837" w14:textId="77777777" w:rsidR="002F1560" w:rsidRPr="009162D5" w:rsidRDefault="002F1560"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18"/>
                <w:lang w:val="es-ES"/>
              </w:rPr>
            </w:pPr>
            <w:r w:rsidRPr="009162D5">
              <w:rPr>
                <w:rFonts w:asciiTheme="majorHAnsi" w:hAnsiTheme="majorHAnsi"/>
                <w:sz w:val="18"/>
                <w:szCs w:val="18"/>
              </w:rPr>
              <w:t xml:space="preserve">Primer listado </w:t>
            </w:r>
          </w:p>
        </w:tc>
        <w:tc>
          <w:tcPr>
            <w:tcW w:w="2670" w:type="dxa"/>
          </w:tcPr>
          <w:p w14:paraId="45D47C7D" w14:textId="77777777" w:rsidR="002F1560" w:rsidRPr="009162D5" w:rsidRDefault="002F1560"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18"/>
                <w:lang w:val="es-ES"/>
              </w:rPr>
            </w:pPr>
            <w:r w:rsidRPr="009162D5">
              <w:rPr>
                <w:rFonts w:asciiTheme="majorHAnsi" w:hAnsiTheme="majorHAnsi"/>
                <w:sz w:val="18"/>
                <w:szCs w:val="18"/>
              </w:rPr>
              <w:t>R.M. No. 347-2002-TR</w:t>
            </w:r>
          </w:p>
        </w:tc>
        <w:tc>
          <w:tcPr>
            <w:tcW w:w="1343" w:type="dxa"/>
          </w:tcPr>
          <w:p w14:paraId="03B89E55" w14:textId="77777777" w:rsidR="002F1560" w:rsidRPr="009162D5" w:rsidRDefault="002F1560"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18"/>
                <w:lang w:val="es-ES"/>
              </w:rPr>
            </w:pPr>
            <w:r w:rsidRPr="009162D5">
              <w:rPr>
                <w:rFonts w:asciiTheme="majorHAnsi" w:hAnsiTheme="majorHAnsi"/>
                <w:sz w:val="18"/>
                <w:szCs w:val="18"/>
              </w:rPr>
              <w:t>22/12/2002</w:t>
            </w:r>
          </w:p>
        </w:tc>
      </w:tr>
      <w:tr w:rsidR="002F1560" w:rsidRPr="009162D5" w14:paraId="37A00BE7" w14:textId="77777777" w:rsidTr="00DD4BFE">
        <w:trPr>
          <w:jc w:val="center"/>
        </w:trPr>
        <w:tc>
          <w:tcPr>
            <w:tcW w:w="1952" w:type="dxa"/>
          </w:tcPr>
          <w:p w14:paraId="52DD4663" w14:textId="77777777" w:rsidR="002F1560" w:rsidRPr="009162D5" w:rsidRDefault="002F1560"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18"/>
                <w:lang w:val="es-ES"/>
              </w:rPr>
            </w:pPr>
            <w:r w:rsidRPr="009162D5">
              <w:rPr>
                <w:rFonts w:asciiTheme="majorHAnsi" w:hAnsiTheme="majorHAnsi" w:cs="Verdana"/>
                <w:sz w:val="18"/>
                <w:szCs w:val="18"/>
                <w:lang w:val="es-ES"/>
              </w:rPr>
              <w:t>Segundo listado</w:t>
            </w:r>
          </w:p>
        </w:tc>
        <w:tc>
          <w:tcPr>
            <w:tcW w:w="2670" w:type="dxa"/>
          </w:tcPr>
          <w:p w14:paraId="0DE229F2" w14:textId="77777777" w:rsidR="002F1560" w:rsidRPr="009162D5" w:rsidRDefault="002F1560" w:rsidP="009162D5">
            <w:pPr>
              <w:ind w:left="142" w:right="142"/>
              <w:rPr>
                <w:rFonts w:asciiTheme="majorHAnsi" w:hAnsiTheme="majorHAnsi"/>
                <w:sz w:val="18"/>
                <w:szCs w:val="18"/>
              </w:rPr>
            </w:pPr>
            <w:r w:rsidRPr="009162D5">
              <w:rPr>
                <w:rFonts w:asciiTheme="majorHAnsi" w:hAnsiTheme="majorHAnsi"/>
                <w:sz w:val="18"/>
                <w:szCs w:val="18"/>
              </w:rPr>
              <w:t xml:space="preserve">R.M. No. 059-2003-TR </w:t>
            </w:r>
          </w:p>
        </w:tc>
        <w:tc>
          <w:tcPr>
            <w:tcW w:w="1343" w:type="dxa"/>
          </w:tcPr>
          <w:p w14:paraId="386FE48F" w14:textId="77777777" w:rsidR="002F1560" w:rsidRPr="009162D5" w:rsidRDefault="002F1560" w:rsidP="009162D5">
            <w:pPr>
              <w:ind w:left="142" w:right="142"/>
              <w:rPr>
                <w:rFonts w:asciiTheme="majorHAnsi" w:hAnsiTheme="majorHAnsi"/>
                <w:sz w:val="18"/>
                <w:szCs w:val="18"/>
                <w:lang w:val="es-ES"/>
              </w:rPr>
            </w:pPr>
            <w:r w:rsidRPr="009162D5">
              <w:rPr>
                <w:rFonts w:asciiTheme="majorHAnsi" w:hAnsiTheme="majorHAnsi"/>
                <w:sz w:val="18"/>
                <w:szCs w:val="18"/>
                <w:lang w:val="es-ES"/>
              </w:rPr>
              <w:t>27/12/2003</w:t>
            </w:r>
          </w:p>
        </w:tc>
      </w:tr>
      <w:tr w:rsidR="002F1560" w:rsidRPr="009162D5" w14:paraId="4646EA62" w14:textId="77777777" w:rsidTr="00DD4BFE">
        <w:trPr>
          <w:jc w:val="center"/>
        </w:trPr>
        <w:tc>
          <w:tcPr>
            <w:tcW w:w="1952" w:type="dxa"/>
          </w:tcPr>
          <w:p w14:paraId="11F5817A" w14:textId="77777777" w:rsidR="002F1560" w:rsidRPr="009162D5" w:rsidRDefault="002F1560"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18"/>
                <w:lang w:val="es-ES"/>
              </w:rPr>
            </w:pPr>
            <w:r w:rsidRPr="009162D5">
              <w:rPr>
                <w:rFonts w:asciiTheme="majorHAnsi" w:hAnsiTheme="majorHAnsi" w:cs="Verdana"/>
                <w:sz w:val="18"/>
                <w:szCs w:val="18"/>
                <w:lang w:val="es-ES"/>
              </w:rPr>
              <w:t>Tercer listado</w:t>
            </w:r>
          </w:p>
        </w:tc>
        <w:tc>
          <w:tcPr>
            <w:tcW w:w="2670" w:type="dxa"/>
          </w:tcPr>
          <w:p w14:paraId="1274CFA8" w14:textId="77777777" w:rsidR="002F1560" w:rsidRPr="009162D5" w:rsidRDefault="002F1560"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18"/>
                <w:lang w:val="es-ES"/>
              </w:rPr>
            </w:pPr>
            <w:r w:rsidRPr="009162D5">
              <w:rPr>
                <w:rFonts w:asciiTheme="majorHAnsi" w:hAnsiTheme="majorHAnsi"/>
                <w:sz w:val="18"/>
                <w:szCs w:val="18"/>
              </w:rPr>
              <w:t>R.S. No. 034-2004-TR</w:t>
            </w:r>
          </w:p>
        </w:tc>
        <w:tc>
          <w:tcPr>
            <w:tcW w:w="1343" w:type="dxa"/>
          </w:tcPr>
          <w:p w14:paraId="264F2B90" w14:textId="77777777" w:rsidR="002F1560" w:rsidRPr="009162D5" w:rsidRDefault="002F1560"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18"/>
                <w:lang w:val="es-ES"/>
              </w:rPr>
            </w:pPr>
            <w:r w:rsidRPr="009162D5">
              <w:rPr>
                <w:rFonts w:asciiTheme="majorHAnsi" w:hAnsiTheme="majorHAnsi"/>
                <w:sz w:val="18"/>
                <w:szCs w:val="18"/>
              </w:rPr>
              <w:t>02/10/2004</w:t>
            </w:r>
          </w:p>
        </w:tc>
      </w:tr>
      <w:tr w:rsidR="002F1560" w:rsidRPr="009162D5" w14:paraId="737A6152" w14:textId="77777777" w:rsidTr="00DD4BFE">
        <w:trPr>
          <w:jc w:val="center"/>
        </w:trPr>
        <w:tc>
          <w:tcPr>
            <w:tcW w:w="1952" w:type="dxa"/>
          </w:tcPr>
          <w:p w14:paraId="299A9ED9" w14:textId="77777777" w:rsidR="002F1560" w:rsidRPr="009162D5" w:rsidRDefault="002F1560"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18"/>
                <w:lang w:val="es-ES"/>
              </w:rPr>
            </w:pPr>
            <w:r w:rsidRPr="009162D5">
              <w:rPr>
                <w:rFonts w:asciiTheme="majorHAnsi" w:hAnsiTheme="majorHAnsi" w:cs="Verdana"/>
                <w:sz w:val="18"/>
                <w:szCs w:val="18"/>
                <w:lang w:val="es-ES"/>
              </w:rPr>
              <w:t>Cuarto listado</w:t>
            </w:r>
          </w:p>
        </w:tc>
        <w:tc>
          <w:tcPr>
            <w:tcW w:w="2670" w:type="dxa"/>
          </w:tcPr>
          <w:p w14:paraId="2BCCBE3B" w14:textId="77777777" w:rsidR="002F1560" w:rsidRPr="009162D5" w:rsidRDefault="002F1560"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18"/>
                <w:lang w:val="es-ES"/>
              </w:rPr>
            </w:pPr>
            <w:r w:rsidRPr="009162D5">
              <w:rPr>
                <w:rFonts w:asciiTheme="majorHAnsi" w:hAnsiTheme="majorHAnsi"/>
                <w:sz w:val="18"/>
                <w:szCs w:val="18"/>
              </w:rPr>
              <w:t>R.S. No. 028-2009-TR</w:t>
            </w:r>
          </w:p>
        </w:tc>
        <w:tc>
          <w:tcPr>
            <w:tcW w:w="1343" w:type="dxa"/>
          </w:tcPr>
          <w:p w14:paraId="68AA9747" w14:textId="77777777" w:rsidR="002F1560" w:rsidRPr="009162D5" w:rsidRDefault="002F1560"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18"/>
                <w:lang w:val="es-ES"/>
              </w:rPr>
            </w:pPr>
            <w:r w:rsidRPr="009162D5">
              <w:rPr>
                <w:rFonts w:asciiTheme="majorHAnsi" w:hAnsiTheme="majorHAnsi"/>
                <w:sz w:val="18"/>
                <w:szCs w:val="18"/>
              </w:rPr>
              <w:t>05/08/2009</w:t>
            </w:r>
          </w:p>
        </w:tc>
      </w:tr>
      <w:tr w:rsidR="002F1560" w:rsidRPr="009162D5" w14:paraId="138E438B" w14:textId="77777777" w:rsidTr="00DD4BFE">
        <w:trPr>
          <w:jc w:val="center"/>
        </w:trPr>
        <w:tc>
          <w:tcPr>
            <w:tcW w:w="1952" w:type="dxa"/>
          </w:tcPr>
          <w:p w14:paraId="38F48186" w14:textId="77777777" w:rsidR="002F1560" w:rsidRPr="009162D5" w:rsidRDefault="002F1560"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18"/>
                <w:lang w:val="es-ES"/>
              </w:rPr>
            </w:pPr>
            <w:r w:rsidRPr="009162D5">
              <w:rPr>
                <w:rFonts w:asciiTheme="majorHAnsi" w:hAnsiTheme="majorHAnsi" w:cs="Verdana"/>
                <w:sz w:val="18"/>
                <w:szCs w:val="18"/>
                <w:lang w:val="es-ES"/>
              </w:rPr>
              <w:t>Quinto listado</w:t>
            </w:r>
          </w:p>
        </w:tc>
        <w:tc>
          <w:tcPr>
            <w:tcW w:w="2670" w:type="dxa"/>
          </w:tcPr>
          <w:p w14:paraId="1719B98A" w14:textId="77777777" w:rsidR="002F1560" w:rsidRPr="009162D5" w:rsidRDefault="002F1560"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18"/>
                <w:lang w:val="es-ES"/>
              </w:rPr>
            </w:pPr>
            <w:r w:rsidRPr="009162D5">
              <w:rPr>
                <w:rFonts w:asciiTheme="majorHAnsi" w:hAnsiTheme="majorHAnsi"/>
                <w:sz w:val="18"/>
                <w:szCs w:val="18"/>
              </w:rPr>
              <w:t>R.M. No. 142-2017-TR</w:t>
            </w:r>
          </w:p>
        </w:tc>
        <w:tc>
          <w:tcPr>
            <w:tcW w:w="1343" w:type="dxa"/>
          </w:tcPr>
          <w:p w14:paraId="50EF9E07" w14:textId="77777777" w:rsidR="002F1560" w:rsidRPr="009162D5" w:rsidRDefault="002F1560"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18"/>
                <w:lang w:val="es-ES"/>
              </w:rPr>
            </w:pPr>
            <w:r w:rsidRPr="009162D5">
              <w:rPr>
                <w:rFonts w:asciiTheme="majorHAnsi" w:hAnsiTheme="majorHAnsi"/>
                <w:sz w:val="18"/>
                <w:szCs w:val="18"/>
              </w:rPr>
              <w:t>17/08/2017</w:t>
            </w:r>
          </w:p>
        </w:tc>
      </w:tr>
    </w:tbl>
    <w:p w14:paraId="53C1EC88" w14:textId="77777777" w:rsidR="007C047E" w:rsidRDefault="007C047E" w:rsidP="00B714E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sz w:val="20"/>
          <w:szCs w:val="18"/>
        </w:rPr>
      </w:pPr>
    </w:p>
    <w:p w14:paraId="519C10B8" w14:textId="77777777" w:rsidR="00B714EC" w:rsidRPr="009162D5" w:rsidRDefault="00B714EC" w:rsidP="009162D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18"/>
          <w:lang w:val="es-ES"/>
        </w:rPr>
      </w:pPr>
      <w:r w:rsidRPr="009162D5">
        <w:rPr>
          <w:rFonts w:asciiTheme="majorHAnsi" w:hAnsiTheme="majorHAnsi"/>
          <w:sz w:val="18"/>
          <w:szCs w:val="18"/>
        </w:rPr>
        <w:t>131. El 6 de julio de 2016, se emitió la Ley No. 30484, a través de la cual se reactivó la Comisión Ejecutiva de la Ley No. 27803. Esta Ley dispone que se incorporará a los beneficiarios que optaron por la reincorporación o reubicación laboral y que hasta la fecha no han gozado de tal beneficio. Esta norma también contempla la posibilidad de que los beneficiarios puedan cambiar de opción por la compensación económica o la jubilación anticipada.</w:t>
      </w:r>
    </w:p>
    <w:p w14:paraId="6B3A5196" w14:textId="77777777" w:rsidR="002F1560" w:rsidRPr="00FB4380" w:rsidRDefault="002F1560" w:rsidP="00B714E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18"/>
          <w:szCs w:val="18"/>
          <w:lang w:val="es-ES"/>
        </w:rPr>
      </w:pPr>
    </w:p>
    <w:p w14:paraId="3758D32A" w14:textId="77777777" w:rsidR="00481336" w:rsidRPr="00FB4380" w:rsidRDefault="002F1560" w:rsidP="00A9075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s-ES"/>
        </w:rPr>
      </w:pPr>
      <w:r w:rsidRPr="00FB4380">
        <w:rPr>
          <w:rFonts w:asciiTheme="majorHAnsi" w:hAnsiTheme="majorHAnsi" w:cs="Verdana"/>
          <w:sz w:val="20"/>
          <w:szCs w:val="20"/>
          <w:lang w:val="es-ES"/>
        </w:rPr>
        <w:t xml:space="preserve">En </w:t>
      </w:r>
      <w:r w:rsidR="00A90753" w:rsidRPr="00FB4380">
        <w:rPr>
          <w:rFonts w:asciiTheme="majorHAnsi" w:hAnsiTheme="majorHAnsi" w:cs="Verdana"/>
          <w:sz w:val="20"/>
          <w:szCs w:val="20"/>
          <w:lang w:val="es-ES"/>
        </w:rPr>
        <w:t xml:space="preserve">relación con el cese de las 192 presuntas víctimas del presente caso, no existe controversia entre las partes de que dichos trabajadores fueron parte del grupo de trabajadores del Congreso cesados a través de las resoluciones </w:t>
      </w:r>
      <w:r w:rsidR="00A90753" w:rsidRPr="00FB4380">
        <w:rPr>
          <w:rFonts w:asciiTheme="majorHAnsi" w:hAnsiTheme="majorHAnsi" w:cs="Calibri"/>
          <w:sz w:val="20"/>
          <w:szCs w:val="20"/>
          <w:lang w:val="es-ES"/>
        </w:rPr>
        <w:t>1303-A-92-CACL y 1303-B-92-CACL</w:t>
      </w:r>
      <w:r w:rsidR="00A90753" w:rsidRPr="00FB4380">
        <w:rPr>
          <w:rStyle w:val="FootnoteReference"/>
          <w:rFonts w:asciiTheme="majorHAnsi" w:hAnsiTheme="majorHAnsi" w:cs="Calibri"/>
          <w:sz w:val="20"/>
          <w:szCs w:val="20"/>
          <w:lang w:val="es-ES"/>
        </w:rPr>
        <w:footnoteReference w:id="16"/>
      </w:r>
      <w:r w:rsidR="00481336" w:rsidRPr="00FB4380">
        <w:rPr>
          <w:rFonts w:asciiTheme="majorHAnsi" w:hAnsiTheme="majorHAnsi" w:cs="Calibri"/>
          <w:sz w:val="20"/>
          <w:szCs w:val="20"/>
          <w:lang w:val="es-ES"/>
        </w:rPr>
        <w:t>.</w:t>
      </w:r>
    </w:p>
    <w:p w14:paraId="65A9CCD8" w14:textId="77777777" w:rsidR="00481336" w:rsidRPr="00FB4380" w:rsidRDefault="00481336" w:rsidP="0048133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s-ES"/>
        </w:rPr>
      </w:pPr>
    </w:p>
    <w:p w14:paraId="3E246B76" w14:textId="77777777" w:rsidR="00481336" w:rsidRPr="00FB4380" w:rsidRDefault="00481336" w:rsidP="006672CB">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s-ES"/>
        </w:rPr>
      </w:pPr>
      <w:r w:rsidRPr="00FB4380">
        <w:rPr>
          <w:rFonts w:asciiTheme="majorHAnsi" w:hAnsiTheme="majorHAnsi" w:cs="Calibri"/>
          <w:sz w:val="20"/>
          <w:szCs w:val="20"/>
          <w:lang w:val="es-ES"/>
        </w:rPr>
        <w:t xml:space="preserve">La parte peticionaria indicó que las </w:t>
      </w:r>
      <w:r w:rsidR="00BB7A06" w:rsidRPr="00FB4380">
        <w:rPr>
          <w:rFonts w:asciiTheme="majorHAnsi" w:hAnsiTheme="majorHAnsi" w:cs="Calibri"/>
          <w:sz w:val="20"/>
          <w:szCs w:val="20"/>
          <w:lang w:val="es-ES"/>
        </w:rPr>
        <w:t xml:space="preserve">20 </w:t>
      </w:r>
      <w:r w:rsidRPr="00FB4380">
        <w:rPr>
          <w:rFonts w:asciiTheme="majorHAnsi" w:hAnsiTheme="majorHAnsi" w:cs="Calibri"/>
          <w:sz w:val="20"/>
          <w:szCs w:val="20"/>
          <w:lang w:val="es-ES"/>
        </w:rPr>
        <w:t>presuntas víctimas de la petición 725-03 interpusieron</w:t>
      </w:r>
      <w:r w:rsidR="00B86FD4" w:rsidRPr="00FB4380">
        <w:rPr>
          <w:rFonts w:asciiTheme="majorHAnsi" w:hAnsiTheme="majorHAnsi" w:cs="Calibri"/>
          <w:sz w:val="20"/>
          <w:szCs w:val="20"/>
          <w:lang w:val="es-ES"/>
        </w:rPr>
        <w:t xml:space="preserve"> un recurso de amparo. La CIDH deja constancia de que la sentencia de primer grado no ha sido incluida en el expediente. Sin perjuicio de lo anterior, </w:t>
      </w:r>
      <w:r w:rsidR="00832BAC" w:rsidRPr="00FB4380">
        <w:rPr>
          <w:rFonts w:asciiTheme="majorHAnsi" w:hAnsiTheme="majorHAnsi" w:cs="Calibri"/>
          <w:sz w:val="20"/>
          <w:szCs w:val="20"/>
          <w:lang w:val="es-ES"/>
        </w:rPr>
        <w:t>surge</w:t>
      </w:r>
      <w:r w:rsidR="00B86FD4" w:rsidRPr="00FB4380">
        <w:rPr>
          <w:rFonts w:asciiTheme="majorHAnsi" w:hAnsiTheme="majorHAnsi" w:cs="Calibri"/>
          <w:sz w:val="20"/>
          <w:szCs w:val="20"/>
          <w:lang w:val="es-ES"/>
        </w:rPr>
        <w:t xml:space="preserve"> del expediente que dicha sentencia de primer grado declaró improcedente la pretensión por encontrar que la vía activada no era idónea. Esta sentencia fue apelada </w:t>
      </w:r>
      <w:r w:rsidRPr="00FB4380">
        <w:rPr>
          <w:rFonts w:asciiTheme="majorHAnsi" w:hAnsiTheme="majorHAnsi" w:cs="Calibri"/>
          <w:sz w:val="20"/>
          <w:szCs w:val="20"/>
          <w:lang w:val="es-ES"/>
        </w:rPr>
        <w:t>ante la Quinta Sala de la Corte Superior d</w:t>
      </w:r>
      <w:r w:rsidR="00B86FD4" w:rsidRPr="00FB4380">
        <w:rPr>
          <w:rFonts w:asciiTheme="majorHAnsi" w:hAnsiTheme="majorHAnsi" w:cs="Calibri"/>
          <w:sz w:val="20"/>
          <w:szCs w:val="20"/>
          <w:lang w:val="es-ES"/>
        </w:rPr>
        <w:t xml:space="preserve">e Justicia de Lima, confirmó el </w:t>
      </w:r>
      <w:r w:rsidR="006672CB" w:rsidRPr="00FB4380">
        <w:rPr>
          <w:rFonts w:asciiTheme="majorHAnsi" w:hAnsiTheme="majorHAnsi" w:cs="Calibri"/>
          <w:sz w:val="20"/>
          <w:szCs w:val="20"/>
          <w:lang w:val="es-ES"/>
        </w:rPr>
        <w:t>18 de junio de 2002</w:t>
      </w:r>
      <w:r w:rsidR="00B86FD4" w:rsidRPr="00FB4380">
        <w:rPr>
          <w:rFonts w:asciiTheme="majorHAnsi" w:hAnsiTheme="majorHAnsi" w:cs="Calibri"/>
          <w:sz w:val="20"/>
          <w:szCs w:val="20"/>
          <w:lang w:val="es-ES"/>
        </w:rPr>
        <w:t xml:space="preserve"> la sentencia recurrida, en el entendido de que “lo realmente pretendido por los accionantes es enervar los resultados del proceso de Evaluación y Calificación de Personal para lo cual esta vía no es la idónea toda vez que conforme a los dispuesto por el artículo 13 de la Ley 25398, en las acciones garantía no existe etapa probatoria, etapa procesal que para el caso de autos resultada necesaria”</w:t>
      </w:r>
      <w:r w:rsidR="00B86FD4" w:rsidRPr="00FB4380">
        <w:rPr>
          <w:rStyle w:val="FootnoteReference"/>
          <w:rFonts w:asciiTheme="majorHAnsi" w:hAnsiTheme="majorHAnsi" w:cs="Calibri"/>
          <w:sz w:val="20"/>
          <w:szCs w:val="20"/>
          <w:lang w:val="es-ES"/>
        </w:rPr>
        <w:footnoteReference w:id="17"/>
      </w:r>
      <w:r w:rsidR="006672CB" w:rsidRPr="00FB4380">
        <w:rPr>
          <w:rFonts w:asciiTheme="majorHAnsi" w:hAnsiTheme="majorHAnsi" w:cs="Calibri"/>
          <w:sz w:val="20"/>
          <w:szCs w:val="20"/>
          <w:lang w:val="es-ES"/>
        </w:rPr>
        <w:t>. Finalmente, esta decisión fue apelada ante el Tribunal Cons</w:t>
      </w:r>
      <w:r w:rsidR="00DD4BFE" w:rsidRPr="00FB4380">
        <w:rPr>
          <w:rFonts w:asciiTheme="majorHAnsi" w:hAnsiTheme="majorHAnsi" w:cs="Calibri"/>
          <w:sz w:val="20"/>
          <w:szCs w:val="20"/>
          <w:lang w:val="es-ES"/>
        </w:rPr>
        <w:t xml:space="preserve">titucional, órgano que resolvió, </w:t>
      </w:r>
      <w:r w:rsidR="006672CB" w:rsidRPr="00FB4380">
        <w:rPr>
          <w:rFonts w:asciiTheme="majorHAnsi" w:hAnsiTheme="majorHAnsi" w:cs="Calibri"/>
          <w:sz w:val="20"/>
          <w:szCs w:val="20"/>
          <w:lang w:val="es-ES"/>
        </w:rPr>
        <w:t>el 6 de diciembre de 2002</w:t>
      </w:r>
      <w:r w:rsidR="00DD4BFE" w:rsidRPr="00FB4380">
        <w:rPr>
          <w:rFonts w:asciiTheme="majorHAnsi" w:hAnsiTheme="majorHAnsi" w:cs="Calibri"/>
          <w:sz w:val="20"/>
          <w:szCs w:val="20"/>
          <w:lang w:val="es-ES"/>
        </w:rPr>
        <w:t>,</w:t>
      </w:r>
      <w:r w:rsidR="006672CB" w:rsidRPr="00FB4380">
        <w:rPr>
          <w:rFonts w:asciiTheme="majorHAnsi" w:hAnsiTheme="majorHAnsi" w:cs="Calibri"/>
          <w:sz w:val="20"/>
          <w:szCs w:val="20"/>
          <w:lang w:val="es-ES"/>
        </w:rPr>
        <w:t xml:space="preserve"> confirmar la sentencia recurrida y declaró improcedente la acción de amparo dado que la agresión había devenido en irreparable.</w:t>
      </w:r>
    </w:p>
    <w:p w14:paraId="163B646A" w14:textId="77777777" w:rsidR="006672CB" w:rsidRPr="00FB4380" w:rsidRDefault="006672CB" w:rsidP="006672C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s-ES"/>
        </w:rPr>
      </w:pPr>
    </w:p>
    <w:p w14:paraId="7F87E21D" w14:textId="77777777" w:rsidR="00200068" w:rsidRPr="00FB4380" w:rsidRDefault="006672CB" w:rsidP="00200068">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s-ES"/>
        </w:rPr>
      </w:pPr>
      <w:r w:rsidRPr="00FB4380">
        <w:rPr>
          <w:rFonts w:asciiTheme="majorHAnsi" w:hAnsiTheme="majorHAnsi" w:cs="Calibri"/>
          <w:sz w:val="20"/>
          <w:szCs w:val="20"/>
          <w:lang w:val="es-ES"/>
        </w:rPr>
        <w:t>En relación con las</w:t>
      </w:r>
      <w:r w:rsidR="00BB7A06" w:rsidRPr="00FB4380">
        <w:rPr>
          <w:rFonts w:asciiTheme="majorHAnsi" w:hAnsiTheme="majorHAnsi" w:cs="Calibri"/>
          <w:sz w:val="20"/>
          <w:szCs w:val="20"/>
          <w:lang w:val="es-ES"/>
        </w:rPr>
        <w:t xml:space="preserve"> 1</w:t>
      </w:r>
      <w:r w:rsidR="00F55100" w:rsidRPr="00FB4380">
        <w:rPr>
          <w:rFonts w:asciiTheme="majorHAnsi" w:hAnsiTheme="majorHAnsi" w:cs="Calibri"/>
          <w:sz w:val="20"/>
          <w:szCs w:val="20"/>
          <w:lang w:val="es-ES"/>
        </w:rPr>
        <w:t>7</w:t>
      </w:r>
      <w:r w:rsidR="00BB7A06" w:rsidRPr="00FB4380">
        <w:rPr>
          <w:rFonts w:asciiTheme="majorHAnsi" w:hAnsiTheme="majorHAnsi" w:cs="Calibri"/>
          <w:sz w:val="20"/>
          <w:szCs w:val="20"/>
          <w:lang w:val="es-ES"/>
        </w:rPr>
        <w:t>2</w:t>
      </w:r>
      <w:r w:rsidRPr="00FB4380">
        <w:rPr>
          <w:rFonts w:asciiTheme="majorHAnsi" w:hAnsiTheme="majorHAnsi" w:cs="Calibri"/>
          <w:sz w:val="20"/>
          <w:szCs w:val="20"/>
          <w:lang w:val="es-ES"/>
        </w:rPr>
        <w:t xml:space="preserve"> presuntas víctimas relacionadas al caso a través de la petición 728-00</w:t>
      </w:r>
      <w:r w:rsidR="00941583" w:rsidRPr="00FB4380">
        <w:rPr>
          <w:rFonts w:asciiTheme="majorHAnsi" w:hAnsiTheme="majorHAnsi" w:cs="Calibri"/>
          <w:sz w:val="20"/>
          <w:szCs w:val="20"/>
          <w:lang w:val="es-ES"/>
        </w:rPr>
        <w:t>,</w:t>
      </w:r>
      <w:r w:rsidRPr="00FB4380">
        <w:rPr>
          <w:rFonts w:asciiTheme="majorHAnsi" w:hAnsiTheme="majorHAnsi" w:cs="Calibri"/>
          <w:sz w:val="20"/>
          <w:szCs w:val="20"/>
          <w:lang w:val="es-ES"/>
        </w:rPr>
        <w:t xml:space="preserve"> la parte peticionaria no aportó información sobre procesos judiciales o administrativos que estos trabajadores del Congreso habrían iniciado </w:t>
      </w:r>
      <w:r w:rsidR="00DD4BFE" w:rsidRPr="00FB4380">
        <w:rPr>
          <w:rFonts w:asciiTheme="majorHAnsi" w:hAnsiTheme="majorHAnsi" w:cs="Calibri"/>
          <w:sz w:val="20"/>
          <w:szCs w:val="20"/>
          <w:lang w:val="es-ES"/>
        </w:rPr>
        <w:t>para el cuestionamiento en sede interna de sus desvinculaciones</w:t>
      </w:r>
      <w:r w:rsidR="00200068" w:rsidRPr="00FB4380">
        <w:rPr>
          <w:rFonts w:asciiTheme="majorHAnsi" w:hAnsiTheme="majorHAnsi" w:cs="Calibri"/>
          <w:sz w:val="20"/>
          <w:szCs w:val="20"/>
          <w:lang w:val="es-ES"/>
        </w:rPr>
        <w:t>.</w:t>
      </w:r>
    </w:p>
    <w:p w14:paraId="1AFA67CD" w14:textId="77777777" w:rsidR="00200068" w:rsidRPr="00FB4380" w:rsidRDefault="00200068" w:rsidP="00200068">
      <w:pPr>
        <w:pStyle w:val="ListParagraph"/>
        <w:rPr>
          <w:rFonts w:asciiTheme="majorHAnsi" w:hAnsiTheme="majorHAnsi" w:cs="Calibri"/>
          <w:sz w:val="20"/>
          <w:szCs w:val="20"/>
          <w:lang w:val="es-ES"/>
        </w:rPr>
      </w:pPr>
    </w:p>
    <w:p w14:paraId="136CE14B" w14:textId="77777777" w:rsidR="0064497A" w:rsidRPr="00FB4380" w:rsidRDefault="00200068" w:rsidP="00587459">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b/>
          <w:color w:val="FF0000"/>
          <w:sz w:val="20"/>
          <w:szCs w:val="20"/>
        </w:rPr>
      </w:pPr>
      <w:r w:rsidRPr="00FB4380">
        <w:rPr>
          <w:rFonts w:asciiTheme="majorHAnsi" w:hAnsiTheme="majorHAnsi" w:cs="Calibri"/>
          <w:sz w:val="20"/>
          <w:szCs w:val="20"/>
          <w:lang w:val="es-ES"/>
        </w:rPr>
        <w:t>Finalmente, en relaci</w:t>
      </w:r>
      <w:r w:rsidR="0039566A" w:rsidRPr="00FB4380">
        <w:rPr>
          <w:rFonts w:asciiTheme="majorHAnsi" w:hAnsiTheme="majorHAnsi" w:cs="Calibri"/>
          <w:sz w:val="20"/>
          <w:szCs w:val="20"/>
          <w:lang w:val="es-ES"/>
        </w:rPr>
        <w:t xml:space="preserve">ón con la situación de las presuntas víctimas </w:t>
      </w:r>
      <w:r w:rsidR="00AF35FA" w:rsidRPr="00FB4380">
        <w:rPr>
          <w:rFonts w:asciiTheme="majorHAnsi" w:hAnsiTheme="majorHAnsi" w:cs="Calibri"/>
          <w:sz w:val="20"/>
          <w:szCs w:val="20"/>
          <w:lang w:val="es-ES"/>
        </w:rPr>
        <w:t xml:space="preserve">y su acceso al Programa Extraordinario, fluye del expediente que, de la petición 728-00, </w:t>
      </w:r>
      <w:r w:rsidR="009F00FF" w:rsidRPr="00FB4380">
        <w:rPr>
          <w:rFonts w:asciiTheme="majorHAnsi" w:hAnsiTheme="majorHAnsi" w:cs="Calibri"/>
          <w:sz w:val="20"/>
          <w:szCs w:val="20"/>
          <w:lang w:val="es-ES"/>
        </w:rPr>
        <w:t>121 p</w:t>
      </w:r>
      <w:r w:rsidR="00AF35FA" w:rsidRPr="00FB4380">
        <w:rPr>
          <w:rFonts w:asciiTheme="majorHAnsi" w:hAnsiTheme="majorHAnsi" w:cs="Calibri"/>
          <w:sz w:val="20"/>
          <w:szCs w:val="20"/>
          <w:lang w:val="es-ES"/>
        </w:rPr>
        <w:t>resuntas víctimas</w:t>
      </w:r>
      <w:r w:rsidR="009F00FF" w:rsidRPr="00FB4380">
        <w:rPr>
          <w:rFonts w:asciiTheme="majorHAnsi" w:hAnsiTheme="majorHAnsi" w:cs="Calibri"/>
          <w:sz w:val="20"/>
          <w:szCs w:val="20"/>
          <w:lang w:val="es-ES"/>
        </w:rPr>
        <w:t xml:space="preserve"> accedieron </w:t>
      </w:r>
      <w:r w:rsidR="00E75225" w:rsidRPr="00FB4380">
        <w:rPr>
          <w:rFonts w:asciiTheme="majorHAnsi" w:hAnsiTheme="majorHAnsi" w:cs="Calibri"/>
          <w:sz w:val="20"/>
          <w:szCs w:val="20"/>
          <w:lang w:val="es-ES"/>
        </w:rPr>
        <w:t xml:space="preserve">al </w:t>
      </w:r>
      <w:r w:rsidR="00AF35FA" w:rsidRPr="00FB4380">
        <w:rPr>
          <w:rFonts w:asciiTheme="majorHAnsi" w:hAnsiTheme="majorHAnsi" w:cs="Calibri"/>
          <w:sz w:val="20"/>
          <w:szCs w:val="20"/>
          <w:lang w:val="es-ES"/>
        </w:rPr>
        <w:t xml:space="preserve">mencionado </w:t>
      </w:r>
      <w:r w:rsidR="00E75225" w:rsidRPr="00FB4380">
        <w:rPr>
          <w:rFonts w:asciiTheme="majorHAnsi" w:hAnsiTheme="majorHAnsi" w:cs="Calibri"/>
          <w:sz w:val="20"/>
          <w:szCs w:val="20"/>
          <w:lang w:val="es-ES"/>
        </w:rPr>
        <w:t xml:space="preserve">Programa Extraordinario. Asimismo, se colige también que </w:t>
      </w:r>
      <w:r w:rsidR="0064497A" w:rsidRPr="00FB4380">
        <w:rPr>
          <w:rFonts w:asciiTheme="majorHAnsi" w:hAnsiTheme="majorHAnsi" w:cs="Calibri"/>
          <w:sz w:val="20"/>
          <w:szCs w:val="20"/>
          <w:lang w:val="es-ES"/>
        </w:rPr>
        <w:t xml:space="preserve">51 presuntas víctimas no accedieron al mencionado </w:t>
      </w:r>
      <w:r w:rsidR="00DD690F" w:rsidRPr="00FB4380">
        <w:rPr>
          <w:rFonts w:asciiTheme="majorHAnsi" w:hAnsiTheme="majorHAnsi" w:cs="Calibri"/>
          <w:sz w:val="20"/>
          <w:szCs w:val="20"/>
          <w:lang w:val="es-ES"/>
        </w:rPr>
        <w:t>P</w:t>
      </w:r>
      <w:r w:rsidR="0064497A" w:rsidRPr="00FB4380">
        <w:rPr>
          <w:rFonts w:asciiTheme="majorHAnsi" w:hAnsiTheme="majorHAnsi" w:cs="Calibri"/>
          <w:sz w:val="20"/>
          <w:szCs w:val="20"/>
          <w:lang w:val="es-ES"/>
        </w:rPr>
        <w:t>rograma</w:t>
      </w:r>
      <w:r w:rsidR="00E75225" w:rsidRPr="00FB4380">
        <w:rPr>
          <w:rStyle w:val="FootnoteReference"/>
          <w:rFonts w:asciiTheme="majorHAnsi" w:hAnsiTheme="majorHAnsi" w:cs="Calibri"/>
          <w:sz w:val="20"/>
          <w:szCs w:val="20"/>
          <w:lang w:val="es-ES"/>
        </w:rPr>
        <w:footnoteReference w:id="18"/>
      </w:r>
      <w:r w:rsidR="00E75225" w:rsidRPr="00FB4380">
        <w:rPr>
          <w:rFonts w:asciiTheme="majorHAnsi" w:hAnsiTheme="majorHAnsi" w:cs="Calibri"/>
          <w:sz w:val="20"/>
          <w:szCs w:val="20"/>
          <w:lang w:val="es-ES"/>
        </w:rPr>
        <w:t xml:space="preserve">. </w:t>
      </w:r>
      <w:r w:rsidR="0064497A" w:rsidRPr="00FB4380">
        <w:rPr>
          <w:rFonts w:asciiTheme="majorHAnsi" w:hAnsiTheme="majorHAnsi" w:cs="Calibri"/>
          <w:sz w:val="20"/>
          <w:szCs w:val="20"/>
          <w:lang w:val="es-ES"/>
        </w:rPr>
        <w:t>De otro lado, en relación con las presuntas víctimas de la petición 725-03, se desprende del expediente que una de ellas fue reinstalada en los términos de las Ley 27803</w:t>
      </w:r>
      <w:r w:rsidR="0064497A" w:rsidRPr="00FB4380">
        <w:rPr>
          <w:rStyle w:val="FootnoteReference"/>
          <w:rFonts w:asciiTheme="majorHAnsi" w:hAnsiTheme="majorHAnsi" w:cs="Calibri"/>
          <w:sz w:val="20"/>
          <w:szCs w:val="20"/>
          <w:lang w:val="es-ES"/>
        </w:rPr>
        <w:footnoteReference w:id="19"/>
      </w:r>
      <w:r w:rsidR="00D936B8" w:rsidRPr="00FB4380">
        <w:rPr>
          <w:rFonts w:asciiTheme="majorHAnsi" w:hAnsiTheme="majorHAnsi" w:cs="Calibri"/>
          <w:sz w:val="20"/>
          <w:szCs w:val="20"/>
          <w:lang w:val="es-ES"/>
        </w:rPr>
        <w:t>, otra volvió a trabajar en el Congreso bajo otro régimen laboral y luego cesó por causal disciplinaria</w:t>
      </w:r>
      <w:r w:rsidR="00D936B8" w:rsidRPr="00FB4380">
        <w:rPr>
          <w:rStyle w:val="FootnoteReference"/>
          <w:rFonts w:asciiTheme="majorHAnsi" w:hAnsiTheme="majorHAnsi" w:cs="Calibri"/>
          <w:sz w:val="20"/>
          <w:szCs w:val="20"/>
          <w:lang w:val="es-ES"/>
        </w:rPr>
        <w:footnoteReference w:id="20"/>
      </w:r>
      <w:r w:rsidR="00D936B8" w:rsidRPr="00FB4380">
        <w:rPr>
          <w:rFonts w:asciiTheme="majorHAnsi" w:hAnsiTheme="majorHAnsi" w:cs="Calibri"/>
          <w:sz w:val="20"/>
          <w:szCs w:val="20"/>
          <w:lang w:val="es-ES"/>
        </w:rPr>
        <w:t xml:space="preserve">, y otra </w:t>
      </w:r>
      <w:r w:rsidR="00AF35FA" w:rsidRPr="00FB4380">
        <w:rPr>
          <w:rFonts w:asciiTheme="majorHAnsi" w:hAnsiTheme="majorHAnsi" w:cs="Calibri"/>
          <w:sz w:val="20"/>
          <w:szCs w:val="20"/>
          <w:lang w:val="es-ES"/>
        </w:rPr>
        <w:t xml:space="preserve">también </w:t>
      </w:r>
      <w:r w:rsidR="00D936B8" w:rsidRPr="00FB4380">
        <w:rPr>
          <w:rFonts w:asciiTheme="majorHAnsi" w:hAnsiTheme="majorHAnsi" w:cs="Calibri"/>
          <w:sz w:val="20"/>
          <w:szCs w:val="20"/>
          <w:lang w:val="es-ES"/>
        </w:rPr>
        <w:t>volvió a trabajar en el Congreso bajo otros regímenes laborales y luego cesó por voluntad propia</w:t>
      </w:r>
      <w:r w:rsidR="00D936B8" w:rsidRPr="00FB4380">
        <w:rPr>
          <w:rStyle w:val="FootnoteReference"/>
          <w:rFonts w:asciiTheme="majorHAnsi" w:hAnsiTheme="majorHAnsi" w:cs="Calibri"/>
          <w:sz w:val="20"/>
          <w:szCs w:val="20"/>
          <w:lang w:val="es-ES"/>
        </w:rPr>
        <w:footnoteReference w:id="21"/>
      </w:r>
      <w:r w:rsidR="00AF35FA" w:rsidRPr="00FB4380">
        <w:rPr>
          <w:rFonts w:asciiTheme="majorHAnsi" w:hAnsiTheme="majorHAnsi" w:cs="Calibri"/>
          <w:sz w:val="20"/>
          <w:szCs w:val="20"/>
          <w:lang w:val="es-ES"/>
        </w:rPr>
        <w:t>.</w:t>
      </w:r>
      <w:r w:rsidR="00DD4BFE" w:rsidRPr="00FB4380">
        <w:rPr>
          <w:rFonts w:asciiTheme="majorHAnsi" w:hAnsiTheme="majorHAnsi" w:cs="Calibri"/>
          <w:sz w:val="20"/>
          <w:szCs w:val="20"/>
          <w:lang w:val="es-ES"/>
        </w:rPr>
        <w:t xml:space="preserve"> No se cuenta con información sobre las 17 víctimas restantes, que completan el total de 192 víctimas. </w:t>
      </w:r>
    </w:p>
    <w:p w14:paraId="530BA81A" w14:textId="77777777" w:rsidR="00C909C7" w:rsidRPr="00FB4380" w:rsidRDefault="00C909C7" w:rsidP="00156E1C">
      <w:pPr>
        <w:rPr>
          <w:rFonts w:asciiTheme="majorHAnsi" w:hAnsiTheme="majorHAnsi"/>
          <w:b/>
          <w:color w:val="FF0000"/>
          <w:sz w:val="20"/>
          <w:szCs w:val="20"/>
          <w:lang w:val="es-ES_tradnl"/>
        </w:rPr>
      </w:pPr>
    </w:p>
    <w:p w14:paraId="013CCD95" w14:textId="77777777" w:rsidR="00D12193" w:rsidRPr="00FB4380" w:rsidRDefault="00D12193" w:rsidP="005777B2">
      <w:pPr>
        <w:pStyle w:val="Heading1"/>
        <w:ind w:left="720" w:hanging="720"/>
      </w:pPr>
      <w:bookmarkStart w:id="18" w:name="_Toc5358723"/>
      <w:r w:rsidRPr="00FB4380">
        <w:t>ANÁLISIS DE DERECHO</w:t>
      </w:r>
      <w:r w:rsidR="00101046" w:rsidRPr="00FB4380">
        <w:t xml:space="preserve"> Y CONCLUSIONES</w:t>
      </w:r>
      <w:bookmarkEnd w:id="18"/>
    </w:p>
    <w:p w14:paraId="14A78255" w14:textId="77777777" w:rsidR="007C756A" w:rsidRPr="00FB4380" w:rsidRDefault="007C756A" w:rsidP="00F902EB">
      <w:pPr>
        <w:suppressAutoHyphens/>
        <w:rPr>
          <w:rFonts w:asciiTheme="majorHAnsi" w:hAnsiTheme="majorHAnsi"/>
          <w:b/>
          <w:sz w:val="20"/>
          <w:szCs w:val="20"/>
          <w:lang w:val="es-ES_tradnl"/>
        </w:rPr>
      </w:pPr>
    </w:p>
    <w:p w14:paraId="793FA901" w14:textId="77777777" w:rsidR="00F902EB" w:rsidRPr="00FB4380" w:rsidRDefault="00156E1C" w:rsidP="005777B2">
      <w:pPr>
        <w:pStyle w:val="Heading2"/>
        <w:numPr>
          <w:ilvl w:val="0"/>
          <w:numId w:val="68"/>
        </w:numPr>
        <w:ind w:left="720" w:hanging="720"/>
      </w:pPr>
      <w:bookmarkStart w:id="19" w:name="_Toc5358724"/>
      <w:r w:rsidRPr="00FB4380">
        <w:t>Consideraciones</w:t>
      </w:r>
      <w:r w:rsidR="00567AB7" w:rsidRPr="00FB4380">
        <w:t xml:space="preserve"> </w:t>
      </w:r>
      <w:r w:rsidR="00101046" w:rsidRPr="00FB4380">
        <w:t>sobre la similitud de los hechos con casos ya resueltos por los órganos del sistema interamericano</w:t>
      </w:r>
      <w:bookmarkEnd w:id="19"/>
    </w:p>
    <w:p w14:paraId="1A438490" w14:textId="77777777" w:rsidR="00F55100" w:rsidRPr="00FB4380" w:rsidRDefault="00F55100" w:rsidP="00F55100">
      <w:pPr>
        <w:pStyle w:val="ListParagraph"/>
        <w:ind w:left="1440"/>
        <w:rPr>
          <w:rFonts w:asciiTheme="majorHAnsi" w:hAnsiTheme="majorHAnsi"/>
          <w:b/>
          <w:color w:val="FF0000"/>
          <w:sz w:val="20"/>
          <w:szCs w:val="20"/>
          <w:lang w:val="es-ES_tradnl"/>
        </w:rPr>
      </w:pPr>
    </w:p>
    <w:p w14:paraId="2B41477B" w14:textId="776CFD03" w:rsidR="00674DAE" w:rsidRPr="00FB4380" w:rsidRDefault="00F55100" w:rsidP="00F5510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s-ES"/>
        </w:rPr>
      </w:pPr>
      <w:r w:rsidRPr="00FB4380">
        <w:rPr>
          <w:rFonts w:asciiTheme="majorHAnsi" w:hAnsiTheme="majorHAnsi" w:cs="Calibri"/>
          <w:sz w:val="20"/>
          <w:szCs w:val="20"/>
          <w:lang w:val="es-ES"/>
        </w:rPr>
        <w:t>La Comisión observa que la parte peticionaria ha indicado consistentemente que la situación jurídica de las presuntas víctimas del presente caso e</w:t>
      </w:r>
      <w:r w:rsidR="00674DAE" w:rsidRPr="00FB4380">
        <w:rPr>
          <w:rFonts w:asciiTheme="majorHAnsi" w:hAnsiTheme="majorHAnsi" w:cs="Calibri"/>
          <w:sz w:val="20"/>
          <w:szCs w:val="20"/>
          <w:lang w:val="es-ES"/>
        </w:rPr>
        <w:t xml:space="preserve">s la misma que la analizada por los órganos del sistema interamericano en el marco de los casos </w:t>
      </w:r>
      <w:r w:rsidR="00674DAE" w:rsidRPr="00FB4380">
        <w:rPr>
          <w:rFonts w:asciiTheme="majorHAnsi" w:hAnsiTheme="majorHAnsi" w:cs="Calibri"/>
          <w:bCs/>
          <w:i/>
          <w:sz w:val="20"/>
          <w:szCs w:val="20"/>
          <w:lang w:val="es-ES"/>
        </w:rPr>
        <w:t xml:space="preserve">Trabajadores Cesados del Congreso (Aguado Alfaro y otros) </w:t>
      </w:r>
      <w:r w:rsidR="00674DAE" w:rsidRPr="00FB4380">
        <w:rPr>
          <w:rFonts w:asciiTheme="majorHAnsi" w:hAnsiTheme="majorHAnsi" w:cs="Calibri"/>
          <w:bCs/>
          <w:sz w:val="20"/>
          <w:szCs w:val="20"/>
          <w:lang w:val="es-ES"/>
        </w:rPr>
        <w:t xml:space="preserve">y </w:t>
      </w:r>
      <w:r w:rsidR="00674DAE" w:rsidRPr="00FB4380">
        <w:rPr>
          <w:rFonts w:asciiTheme="majorHAnsi" w:hAnsiTheme="majorHAnsi" w:cs="Calibri"/>
          <w:bCs/>
          <w:i/>
          <w:sz w:val="20"/>
          <w:szCs w:val="20"/>
          <w:lang w:val="es-ES"/>
        </w:rPr>
        <w:t>Canales Huapaya</w:t>
      </w:r>
      <w:r w:rsidR="00CA5A40">
        <w:rPr>
          <w:rFonts w:asciiTheme="majorHAnsi" w:hAnsiTheme="majorHAnsi" w:cs="Calibri"/>
          <w:bCs/>
          <w:i/>
          <w:sz w:val="20"/>
          <w:szCs w:val="20"/>
          <w:lang w:val="es-ES"/>
        </w:rPr>
        <w:t xml:space="preserve"> y</w:t>
      </w:r>
      <w:r w:rsidR="00004071" w:rsidRPr="00FB4380">
        <w:rPr>
          <w:rFonts w:asciiTheme="majorHAnsi" w:hAnsiTheme="majorHAnsi" w:cs="Calibri"/>
          <w:bCs/>
          <w:i/>
          <w:sz w:val="20"/>
          <w:szCs w:val="20"/>
          <w:lang w:val="es-ES"/>
        </w:rPr>
        <w:t xml:space="preserve"> otros</w:t>
      </w:r>
      <w:r w:rsidR="00674DAE" w:rsidRPr="00FB4380">
        <w:rPr>
          <w:rFonts w:asciiTheme="majorHAnsi" w:hAnsiTheme="majorHAnsi" w:cs="Calibri"/>
          <w:bCs/>
          <w:i/>
          <w:sz w:val="20"/>
          <w:szCs w:val="20"/>
          <w:lang w:val="es-ES"/>
        </w:rPr>
        <w:t xml:space="preserve"> </w:t>
      </w:r>
      <w:r w:rsidR="00674DAE" w:rsidRPr="00FB4380">
        <w:rPr>
          <w:rFonts w:asciiTheme="majorHAnsi" w:hAnsiTheme="majorHAnsi" w:cs="Calibri"/>
          <w:bCs/>
          <w:sz w:val="20"/>
          <w:szCs w:val="20"/>
          <w:lang w:val="es-ES"/>
        </w:rPr>
        <w:t xml:space="preserve">ambos sobre esta misma temática. En </w:t>
      </w:r>
      <w:r w:rsidR="00587459" w:rsidRPr="00FB4380">
        <w:rPr>
          <w:rFonts w:asciiTheme="majorHAnsi" w:hAnsiTheme="majorHAnsi" w:cs="Calibri"/>
          <w:bCs/>
          <w:sz w:val="20"/>
          <w:szCs w:val="20"/>
          <w:lang w:val="es-ES"/>
        </w:rPr>
        <w:t>razón de lo anterior</w:t>
      </w:r>
      <w:r w:rsidR="00674DAE" w:rsidRPr="00FB4380">
        <w:rPr>
          <w:rFonts w:asciiTheme="majorHAnsi" w:hAnsiTheme="majorHAnsi" w:cs="Calibri"/>
          <w:bCs/>
          <w:sz w:val="20"/>
          <w:szCs w:val="20"/>
          <w:lang w:val="es-ES"/>
        </w:rPr>
        <w:t xml:space="preserve">, la Comisión </w:t>
      </w:r>
      <w:r w:rsidR="00587459" w:rsidRPr="00FB4380">
        <w:rPr>
          <w:rFonts w:asciiTheme="majorHAnsi" w:hAnsiTheme="majorHAnsi" w:cs="Calibri"/>
          <w:bCs/>
          <w:sz w:val="20"/>
          <w:szCs w:val="20"/>
          <w:lang w:val="es-ES"/>
        </w:rPr>
        <w:t>d</w:t>
      </w:r>
      <w:r w:rsidR="00B93EEC" w:rsidRPr="00FB4380">
        <w:rPr>
          <w:rFonts w:asciiTheme="majorHAnsi" w:hAnsiTheme="majorHAnsi" w:cs="Calibri"/>
          <w:bCs/>
          <w:sz w:val="20"/>
          <w:szCs w:val="20"/>
          <w:lang w:val="es-ES"/>
        </w:rPr>
        <w:t>eterminar</w:t>
      </w:r>
      <w:r w:rsidR="00587459" w:rsidRPr="00FB4380">
        <w:rPr>
          <w:rFonts w:asciiTheme="majorHAnsi" w:hAnsiTheme="majorHAnsi" w:cs="Calibri"/>
          <w:bCs/>
          <w:sz w:val="20"/>
          <w:szCs w:val="20"/>
          <w:lang w:val="es-ES"/>
        </w:rPr>
        <w:t>á</w:t>
      </w:r>
      <w:r w:rsidR="00B93EEC" w:rsidRPr="00FB4380">
        <w:rPr>
          <w:rFonts w:asciiTheme="majorHAnsi" w:hAnsiTheme="majorHAnsi" w:cs="Calibri"/>
          <w:bCs/>
          <w:sz w:val="20"/>
          <w:szCs w:val="20"/>
          <w:lang w:val="es-ES"/>
        </w:rPr>
        <w:t xml:space="preserve"> </w:t>
      </w:r>
      <w:r w:rsidR="009759E1" w:rsidRPr="00FB4380">
        <w:rPr>
          <w:rFonts w:asciiTheme="majorHAnsi" w:hAnsiTheme="majorHAnsi" w:cs="Calibri"/>
          <w:bCs/>
          <w:sz w:val="20"/>
          <w:szCs w:val="20"/>
          <w:lang w:val="es-ES"/>
        </w:rPr>
        <w:t>si existen suficientes similitudes</w:t>
      </w:r>
      <w:r w:rsidR="00B93EEC" w:rsidRPr="00FB4380">
        <w:rPr>
          <w:rFonts w:asciiTheme="majorHAnsi" w:hAnsiTheme="majorHAnsi" w:cs="Calibri"/>
          <w:bCs/>
          <w:sz w:val="20"/>
          <w:szCs w:val="20"/>
          <w:lang w:val="es-ES"/>
        </w:rPr>
        <w:t xml:space="preserve"> en</w:t>
      </w:r>
      <w:r w:rsidR="009759E1" w:rsidRPr="00FB4380">
        <w:rPr>
          <w:rFonts w:asciiTheme="majorHAnsi" w:hAnsiTheme="majorHAnsi" w:cs="Calibri"/>
          <w:bCs/>
          <w:sz w:val="20"/>
          <w:szCs w:val="20"/>
          <w:lang w:val="es-ES"/>
        </w:rPr>
        <w:t>tre</w:t>
      </w:r>
      <w:r w:rsidR="00B93EEC" w:rsidRPr="00FB4380">
        <w:rPr>
          <w:rFonts w:asciiTheme="majorHAnsi" w:hAnsiTheme="majorHAnsi" w:cs="Calibri"/>
          <w:bCs/>
          <w:sz w:val="20"/>
          <w:szCs w:val="20"/>
          <w:lang w:val="es-ES"/>
        </w:rPr>
        <w:t xml:space="preserve"> la base fáctica </w:t>
      </w:r>
      <w:r w:rsidR="009759E1" w:rsidRPr="00FB4380">
        <w:rPr>
          <w:rFonts w:asciiTheme="majorHAnsi" w:hAnsiTheme="majorHAnsi" w:cs="Calibri"/>
          <w:bCs/>
          <w:sz w:val="20"/>
          <w:szCs w:val="20"/>
          <w:lang w:val="es-ES"/>
        </w:rPr>
        <w:t>ya conocida por el s</w:t>
      </w:r>
      <w:r w:rsidR="00567AB7" w:rsidRPr="00FB4380">
        <w:rPr>
          <w:rFonts w:asciiTheme="majorHAnsi" w:hAnsiTheme="majorHAnsi" w:cs="Calibri"/>
          <w:bCs/>
          <w:sz w:val="20"/>
          <w:szCs w:val="20"/>
          <w:lang w:val="es-ES"/>
        </w:rPr>
        <w:t>istema interamericano sobre esta situación en el Perú</w:t>
      </w:r>
      <w:r w:rsidR="009759E1" w:rsidRPr="00FB4380">
        <w:rPr>
          <w:rFonts w:asciiTheme="majorHAnsi" w:hAnsiTheme="majorHAnsi" w:cs="Calibri"/>
          <w:bCs/>
          <w:sz w:val="20"/>
          <w:szCs w:val="20"/>
          <w:lang w:val="es-ES"/>
        </w:rPr>
        <w:t xml:space="preserve">, para la posterior aplicación extensiva del </w:t>
      </w:r>
      <w:r w:rsidR="00B93EEC" w:rsidRPr="00FB4380">
        <w:rPr>
          <w:rFonts w:asciiTheme="majorHAnsi" w:hAnsiTheme="majorHAnsi" w:cs="Calibri"/>
          <w:bCs/>
          <w:sz w:val="20"/>
          <w:szCs w:val="20"/>
          <w:lang w:val="es-ES"/>
        </w:rPr>
        <w:t>aná</w:t>
      </w:r>
      <w:r w:rsidR="009759E1" w:rsidRPr="00FB4380">
        <w:rPr>
          <w:rFonts w:asciiTheme="majorHAnsi" w:hAnsiTheme="majorHAnsi" w:cs="Calibri"/>
          <w:bCs/>
          <w:sz w:val="20"/>
          <w:szCs w:val="20"/>
          <w:lang w:val="es-ES"/>
        </w:rPr>
        <w:t xml:space="preserve">lisis del jurídico </w:t>
      </w:r>
      <w:r w:rsidR="00CC1E3C" w:rsidRPr="00FB4380">
        <w:rPr>
          <w:rFonts w:asciiTheme="majorHAnsi" w:hAnsiTheme="majorHAnsi" w:cs="Calibri"/>
          <w:bCs/>
          <w:sz w:val="20"/>
          <w:szCs w:val="20"/>
          <w:lang w:val="es-ES"/>
        </w:rPr>
        <w:t>correspondiente</w:t>
      </w:r>
      <w:r w:rsidR="009759E1" w:rsidRPr="00FB4380">
        <w:rPr>
          <w:rFonts w:asciiTheme="majorHAnsi" w:hAnsiTheme="majorHAnsi" w:cs="Calibri"/>
          <w:bCs/>
          <w:sz w:val="20"/>
          <w:szCs w:val="20"/>
          <w:lang w:val="es-ES"/>
        </w:rPr>
        <w:t>.</w:t>
      </w:r>
      <w:r w:rsidR="00170162" w:rsidRPr="00FB4380">
        <w:rPr>
          <w:rFonts w:asciiTheme="majorHAnsi" w:hAnsiTheme="majorHAnsi" w:cs="Calibri"/>
          <w:bCs/>
          <w:sz w:val="20"/>
          <w:szCs w:val="20"/>
          <w:lang w:val="es-ES"/>
        </w:rPr>
        <w:t xml:space="preserve"> </w:t>
      </w:r>
    </w:p>
    <w:p w14:paraId="025FF1E2" w14:textId="77777777" w:rsidR="00674DAE" w:rsidRPr="00FB4380" w:rsidRDefault="00674DAE" w:rsidP="00674DA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s-ES"/>
        </w:rPr>
      </w:pPr>
    </w:p>
    <w:p w14:paraId="35CF276B" w14:textId="77777777" w:rsidR="00204B61" w:rsidRPr="00FB4380" w:rsidRDefault="00B93EEC" w:rsidP="00F5510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s-ES"/>
        </w:rPr>
      </w:pPr>
      <w:r w:rsidRPr="00FB4380">
        <w:rPr>
          <w:rFonts w:asciiTheme="majorHAnsi" w:hAnsiTheme="majorHAnsi" w:cs="Calibri"/>
          <w:sz w:val="20"/>
          <w:szCs w:val="20"/>
          <w:lang w:val="es-ES"/>
        </w:rPr>
        <w:t xml:space="preserve">En el caso </w:t>
      </w:r>
      <w:r w:rsidRPr="00FB4380">
        <w:rPr>
          <w:rFonts w:asciiTheme="majorHAnsi" w:hAnsiTheme="majorHAnsi" w:cs="Calibri"/>
          <w:i/>
          <w:sz w:val="20"/>
          <w:szCs w:val="20"/>
          <w:lang w:val="es-ES"/>
        </w:rPr>
        <w:t>Trabajadores Cesados del Congreso</w:t>
      </w:r>
      <w:r w:rsidRPr="00FB4380">
        <w:rPr>
          <w:rFonts w:asciiTheme="majorHAnsi" w:hAnsiTheme="majorHAnsi" w:cs="Calibri"/>
          <w:sz w:val="20"/>
          <w:szCs w:val="20"/>
          <w:lang w:val="es-ES"/>
        </w:rPr>
        <w:t>, la Comisión observa que fácti</w:t>
      </w:r>
      <w:r w:rsidR="00C909C7" w:rsidRPr="00FB4380">
        <w:rPr>
          <w:rFonts w:asciiTheme="majorHAnsi" w:hAnsiTheme="majorHAnsi" w:cs="Calibri"/>
          <w:sz w:val="20"/>
          <w:szCs w:val="20"/>
          <w:lang w:val="es-ES"/>
        </w:rPr>
        <w:t>camente se determinó que los 257</w:t>
      </w:r>
      <w:r w:rsidRPr="00FB4380">
        <w:rPr>
          <w:rFonts w:asciiTheme="majorHAnsi" w:hAnsiTheme="majorHAnsi" w:cs="Calibri"/>
          <w:sz w:val="20"/>
          <w:szCs w:val="20"/>
          <w:lang w:val="es-ES"/>
        </w:rPr>
        <w:t xml:space="preserve"> trabajadores fueron desvinculados por las </w:t>
      </w:r>
      <w:r w:rsidRPr="00FB4380">
        <w:rPr>
          <w:rFonts w:asciiTheme="majorHAnsi" w:hAnsiTheme="majorHAnsi" w:cs="Calibri"/>
          <w:sz w:val="20"/>
          <w:szCs w:val="20"/>
        </w:rPr>
        <w:t xml:space="preserve">Resoluciones No. 1303-A-92-CACL y No. 1303-B-92-CACL en el marco del </w:t>
      </w:r>
      <w:r w:rsidR="005013F4" w:rsidRPr="00FB4380">
        <w:rPr>
          <w:rFonts w:asciiTheme="majorHAnsi" w:hAnsiTheme="majorHAnsi" w:cs="Calibri"/>
          <w:sz w:val="20"/>
          <w:szCs w:val="20"/>
        </w:rPr>
        <w:t>llamado</w:t>
      </w:r>
      <w:r w:rsidRPr="00FB4380">
        <w:rPr>
          <w:rFonts w:asciiTheme="majorHAnsi" w:hAnsiTheme="majorHAnsi" w:cs="Calibri"/>
          <w:sz w:val="20"/>
          <w:szCs w:val="20"/>
        </w:rPr>
        <w:t xml:space="preserve"> proceso de racionalización de personal ejecutado por la Comisión Reorganizadora del Congreso. </w:t>
      </w:r>
      <w:r w:rsidR="005013F4" w:rsidRPr="00FB4380">
        <w:rPr>
          <w:rFonts w:asciiTheme="majorHAnsi" w:hAnsiTheme="majorHAnsi" w:cs="Calibri"/>
          <w:sz w:val="20"/>
          <w:szCs w:val="20"/>
        </w:rPr>
        <w:t xml:space="preserve">Asimismo, este grupo de trabajadores interpuso una serie de recursos administrativos infructuosos entre enero de 1993 y diciembre de 1999 dirigidos al cuestionamiento de sus respectivos ceses. Seguidamente, la CIDH nota que este grupo de trabajadores interpuso un proceso de amparo que inició el 2 marzo de 1995 y que llegó a ser conocido en última instancia por el Tribunal Constitucional el 24 de abril de 1997, órgano que concluyó </w:t>
      </w:r>
      <w:r w:rsidR="00C909C7" w:rsidRPr="00FB4380">
        <w:rPr>
          <w:rFonts w:asciiTheme="majorHAnsi" w:hAnsiTheme="majorHAnsi" w:cs="Calibri"/>
          <w:sz w:val="20"/>
          <w:szCs w:val="20"/>
        </w:rPr>
        <w:t xml:space="preserve">la improcedencia del recurso por </w:t>
      </w:r>
      <w:r w:rsidR="005013F4" w:rsidRPr="00FB4380">
        <w:rPr>
          <w:rFonts w:asciiTheme="majorHAnsi" w:hAnsiTheme="majorHAnsi" w:cs="Calibri"/>
          <w:sz w:val="20"/>
          <w:szCs w:val="20"/>
        </w:rPr>
        <w:t>la caducidad de plazo y que el daño se había tornado irreparable. Posteriormente, estos</w:t>
      </w:r>
      <w:r w:rsidR="00C909C7" w:rsidRPr="00FB4380">
        <w:rPr>
          <w:rFonts w:asciiTheme="majorHAnsi" w:hAnsiTheme="majorHAnsi" w:cs="Calibri"/>
          <w:sz w:val="20"/>
          <w:szCs w:val="20"/>
        </w:rPr>
        <w:t xml:space="preserve"> 257 trabajadores cesados iniciaron</w:t>
      </w:r>
      <w:r w:rsidR="005013F4" w:rsidRPr="00FB4380">
        <w:rPr>
          <w:rFonts w:asciiTheme="majorHAnsi" w:hAnsiTheme="majorHAnsi" w:cs="Calibri"/>
          <w:sz w:val="20"/>
          <w:szCs w:val="20"/>
        </w:rPr>
        <w:t xml:space="preserve"> el trámite en el sistema interamericano, por lo que fueron intencionalmente excluidos de los procesos </w:t>
      </w:r>
      <w:r w:rsidR="00004071" w:rsidRPr="00FB4380">
        <w:rPr>
          <w:rFonts w:asciiTheme="majorHAnsi" w:hAnsiTheme="majorHAnsi" w:cs="Calibri"/>
          <w:sz w:val="20"/>
          <w:szCs w:val="20"/>
        </w:rPr>
        <w:t xml:space="preserve">de revisión de los ceses colectivos de la década de los noventas que buscaban subsanar las desvinculaciones arbitrarias. </w:t>
      </w:r>
    </w:p>
    <w:p w14:paraId="6728162D" w14:textId="77777777" w:rsidR="00004071" w:rsidRPr="00FB4380" w:rsidRDefault="00004071" w:rsidP="00004071">
      <w:pPr>
        <w:pStyle w:val="ListParagraph"/>
        <w:rPr>
          <w:rFonts w:asciiTheme="majorHAnsi" w:hAnsiTheme="majorHAnsi" w:cs="Calibri"/>
          <w:sz w:val="20"/>
          <w:szCs w:val="20"/>
          <w:lang w:val="es-ES"/>
        </w:rPr>
      </w:pPr>
    </w:p>
    <w:p w14:paraId="07E7B92F" w14:textId="47B69E68" w:rsidR="00004071" w:rsidRPr="00FB4380" w:rsidRDefault="00004071" w:rsidP="00F5510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s-ES"/>
        </w:rPr>
      </w:pPr>
      <w:r w:rsidRPr="00FB4380">
        <w:rPr>
          <w:rFonts w:asciiTheme="majorHAnsi" w:hAnsiTheme="majorHAnsi" w:cs="Calibri"/>
          <w:sz w:val="20"/>
          <w:szCs w:val="20"/>
          <w:lang w:val="es-ES"/>
        </w:rPr>
        <w:t xml:space="preserve">En el caso </w:t>
      </w:r>
      <w:r w:rsidRPr="00FB4380">
        <w:rPr>
          <w:rFonts w:asciiTheme="majorHAnsi" w:hAnsiTheme="majorHAnsi" w:cs="Calibri"/>
          <w:i/>
          <w:sz w:val="20"/>
          <w:szCs w:val="20"/>
          <w:lang w:val="es-ES"/>
        </w:rPr>
        <w:t>Canales Huapaya y otros</w:t>
      </w:r>
      <w:r w:rsidRPr="00FB4380">
        <w:rPr>
          <w:rFonts w:asciiTheme="majorHAnsi" w:hAnsiTheme="majorHAnsi" w:cs="Calibri"/>
          <w:sz w:val="20"/>
          <w:szCs w:val="20"/>
          <w:lang w:val="es-ES"/>
        </w:rPr>
        <w:t xml:space="preserve"> </w:t>
      </w:r>
      <w:r w:rsidR="008145CB" w:rsidRPr="00FB4380">
        <w:rPr>
          <w:rFonts w:asciiTheme="majorHAnsi" w:hAnsiTheme="majorHAnsi" w:cs="Calibri"/>
          <w:sz w:val="20"/>
          <w:szCs w:val="20"/>
          <w:lang w:val="es-ES"/>
        </w:rPr>
        <w:t>las tres víctimas fueron cesadas en los mismos té</w:t>
      </w:r>
      <w:r w:rsidR="00CA5A40">
        <w:rPr>
          <w:rFonts w:asciiTheme="majorHAnsi" w:hAnsiTheme="majorHAnsi" w:cs="Calibri"/>
          <w:sz w:val="20"/>
          <w:szCs w:val="20"/>
          <w:lang w:val="es-ES"/>
        </w:rPr>
        <w:t xml:space="preserve">rminos descritos anteriormente. </w:t>
      </w:r>
      <w:r w:rsidR="008145CB" w:rsidRPr="00FB4380">
        <w:rPr>
          <w:rFonts w:asciiTheme="majorHAnsi" w:hAnsiTheme="majorHAnsi" w:cs="Calibri"/>
          <w:sz w:val="20"/>
          <w:szCs w:val="20"/>
          <w:lang w:val="es-ES"/>
        </w:rPr>
        <w:t>Asimismo, las tres víctimas interpusie</w:t>
      </w:r>
      <w:r w:rsidR="009759E1" w:rsidRPr="00FB4380">
        <w:rPr>
          <w:rFonts w:asciiTheme="majorHAnsi" w:hAnsiTheme="majorHAnsi" w:cs="Calibri"/>
          <w:sz w:val="20"/>
          <w:szCs w:val="20"/>
          <w:lang w:val="es-ES"/>
        </w:rPr>
        <w:t xml:space="preserve">ron procesos judiciales (amparos y procesos contencioso administrativo) </w:t>
      </w:r>
      <w:r w:rsidR="004D3E95" w:rsidRPr="00FB4380">
        <w:rPr>
          <w:rFonts w:asciiTheme="majorHAnsi" w:hAnsiTheme="majorHAnsi" w:cs="Calibri"/>
          <w:sz w:val="20"/>
          <w:szCs w:val="20"/>
          <w:lang w:val="es-ES"/>
        </w:rPr>
        <w:t xml:space="preserve">que concluyeron sus respectivos trámites por causal de improcedencia, en la mayoría de los casos, por la caducidad de la acción, ya que estas acciones fueron interpuestas alrededor de 1993 cuando los ceses eran de 1992. </w:t>
      </w:r>
      <w:r w:rsidR="00CA7DF0" w:rsidRPr="00FB4380">
        <w:rPr>
          <w:rFonts w:asciiTheme="majorHAnsi" w:hAnsiTheme="majorHAnsi" w:cs="Calibri"/>
          <w:sz w:val="20"/>
          <w:szCs w:val="20"/>
          <w:lang w:val="es-ES"/>
        </w:rPr>
        <w:t>Asimismo, los casos de estas tres personas tampoco podían ser conocidos por l</w:t>
      </w:r>
      <w:r w:rsidR="0090192B">
        <w:rPr>
          <w:rFonts w:asciiTheme="majorHAnsi" w:hAnsiTheme="majorHAnsi" w:cs="Calibri"/>
          <w:sz w:val="20"/>
          <w:szCs w:val="20"/>
          <w:lang w:val="es-ES"/>
        </w:rPr>
        <w:t>a Comisión Especial y, por tanto</w:t>
      </w:r>
      <w:r w:rsidR="00CA7DF0" w:rsidRPr="00FB4380">
        <w:rPr>
          <w:rFonts w:asciiTheme="majorHAnsi" w:hAnsiTheme="majorHAnsi" w:cs="Calibri"/>
          <w:sz w:val="20"/>
          <w:szCs w:val="20"/>
          <w:lang w:val="es-ES"/>
        </w:rPr>
        <w:t xml:space="preserve"> acceder al Programa Extraordinario, dado que su caso se encontraba bajo litigio internacional.</w:t>
      </w:r>
    </w:p>
    <w:p w14:paraId="5FB7E4B6" w14:textId="77777777" w:rsidR="00B93EEC" w:rsidRPr="00FB4380" w:rsidRDefault="00B93EEC" w:rsidP="00B93EEC">
      <w:pPr>
        <w:pStyle w:val="ListParagraph"/>
        <w:rPr>
          <w:rFonts w:asciiTheme="majorHAnsi" w:hAnsiTheme="majorHAnsi" w:cs="Calibri"/>
          <w:sz w:val="20"/>
          <w:szCs w:val="20"/>
          <w:lang w:val="es-ES"/>
        </w:rPr>
      </w:pPr>
    </w:p>
    <w:p w14:paraId="2CCE1381" w14:textId="09CDCFCA" w:rsidR="009213BD" w:rsidRPr="00FB4380" w:rsidRDefault="006E4DCC" w:rsidP="00782DEE">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s-ES"/>
        </w:rPr>
      </w:pPr>
      <w:r w:rsidRPr="00FB4380">
        <w:rPr>
          <w:rFonts w:asciiTheme="majorHAnsi" w:hAnsiTheme="majorHAnsi" w:cs="Calibri"/>
          <w:sz w:val="20"/>
          <w:szCs w:val="20"/>
          <w:lang w:val="es-ES"/>
        </w:rPr>
        <w:lastRenderedPageBreak/>
        <w:t xml:space="preserve">Así, comparando la base fáctica presentada en el presente caso con la ya establecida en los casos anteriormente determinados por la Comisión y la Corte, la CIDH </w:t>
      </w:r>
      <w:r w:rsidR="00170162" w:rsidRPr="00FB4380">
        <w:rPr>
          <w:rFonts w:asciiTheme="majorHAnsi" w:hAnsiTheme="majorHAnsi" w:cs="Calibri"/>
          <w:sz w:val="20"/>
          <w:szCs w:val="20"/>
          <w:lang w:val="es-ES"/>
        </w:rPr>
        <w:t xml:space="preserve">analizará, en primer lugar; el cese y la normativa aplicable respecto </w:t>
      </w:r>
      <w:r w:rsidR="00CA5A40">
        <w:rPr>
          <w:rFonts w:asciiTheme="majorHAnsi" w:hAnsiTheme="majorHAnsi" w:cs="Calibri"/>
          <w:sz w:val="20"/>
          <w:szCs w:val="20"/>
          <w:lang w:val="es-ES"/>
        </w:rPr>
        <w:t xml:space="preserve">de la desvinculación de </w:t>
      </w:r>
      <w:r w:rsidR="00170162" w:rsidRPr="00FB4380">
        <w:rPr>
          <w:rFonts w:asciiTheme="majorHAnsi" w:hAnsiTheme="majorHAnsi" w:cs="Calibri"/>
          <w:sz w:val="20"/>
          <w:szCs w:val="20"/>
          <w:lang w:val="es-ES"/>
        </w:rPr>
        <w:t>las presuntas víctimas del presente caso;</w:t>
      </w:r>
      <w:r w:rsidR="00205EF8" w:rsidRPr="00FB4380">
        <w:rPr>
          <w:rFonts w:asciiTheme="majorHAnsi" w:hAnsiTheme="majorHAnsi" w:cs="Calibri"/>
          <w:sz w:val="20"/>
          <w:szCs w:val="20"/>
          <w:lang w:val="es-ES"/>
        </w:rPr>
        <w:t xml:space="preserve"> y</w:t>
      </w:r>
      <w:r w:rsidR="00170162" w:rsidRPr="00FB4380">
        <w:rPr>
          <w:rFonts w:asciiTheme="majorHAnsi" w:hAnsiTheme="majorHAnsi" w:cs="Calibri"/>
          <w:sz w:val="20"/>
          <w:szCs w:val="20"/>
          <w:lang w:val="es-ES"/>
        </w:rPr>
        <w:t xml:space="preserve"> en segundo lugar, los procesos judiciales activados para cuestionar el cese laboral.</w:t>
      </w:r>
    </w:p>
    <w:p w14:paraId="373C1D35" w14:textId="31C6CF5B" w:rsidR="00782DEE" w:rsidRPr="00FB4380" w:rsidRDefault="00170162" w:rsidP="00782DEE">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s-ES"/>
        </w:rPr>
      </w:pPr>
      <w:r w:rsidRPr="00FB4380">
        <w:rPr>
          <w:rFonts w:asciiTheme="majorHAnsi" w:hAnsiTheme="majorHAnsi" w:cs="Calibri"/>
          <w:sz w:val="20"/>
          <w:szCs w:val="20"/>
          <w:lang w:val="es-ES"/>
        </w:rPr>
        <w:t xml:space="preserve">En primer lugar, la CIDH </w:t>
      </w:r>
      <w:r w:rsidR="008F0C9D" w:rsidRPr="00FB4380">
        <w:rPr>
          <w:rFonts w:asciiTheme="majorHAnsi" w:hAnsiTheme="majorHAnsi" w:cs="Calibri"/>
          <w:sz w:val="20"/>
          <w:szCs w:val="20"/>
          <w:lang w:val="es-ES"/>
        </w:rPr>
        <w:t>reitera</w:t>
      </w:r>
      <w:r w:rsidR="006E4DCC" w:rsidRPr="00FB4380">
        <w:rPr>
          <w:rFonts w:asciiTheme="majorHAnsi" w:hAnsiTheme="majorHAnsi" w:cs="Calibri"/>
          <w:sz w:val="20"/>
          <w:szCs w:val="20"/>
          <w:lang w:val="es-ES"/>
        </w:rPr>
        <w:t xml:space="preserve"> que </w:t>
      </w:r>
      <w:r w:rsidR="004D3E95" w:rsidRPr="00FB4380">
        <w:rPr>
          <w:rFonts w:asciiTheme="majorHAnsi" w:hAnsiTheme="majorHAnsi" w:cs="Calibri"/>
          <w:sz w:val="20"/>
          <w:szCs w:val="20"/>
          <w:lang w:val="es-ES"/>
        </w:rPr>
        <w:t>las 19</w:t>
      </w:r>
      <w:r w:rsidR="006E4DCC" w:rsidRPr="00FB4380">
        <w:rPr>
          <w:rFonts w:asciiTheme="majorHAnsi" w:hAnsiTheme="majorHAnsi" w:cs="Calibri"/>
          <w:sz w:val="20"/>
          <w:szCs w:val="20"/>
          <w:lang w:val="es-ES"/>
        </w:rPr>
        <w:t xml:space="preserve">2 presuntas víctimas también fueron cesadas sobre la base </w:t>
      </w:r>
      <w:r w:rsidR="00CA7DF0" w:rsidRPr="00FB4380">
        <w:rPr>
          <w:rFonts w:asciiTheme="majorHAnsi" w:hAnsiTheme="majorHAnsi" w:cs="Calibri"/>
          <w:sz w:val="20"/>
          <w:szCs w:val="20"/>
          <w:lang w:val="es-ES"/>
        </w:rPr>
        <w:t xml:space="preserve">de la citada </w:t>
      </w:r>
      <w:r w:rsidR="006E4DCC" w:rsidRPr="00FB4380">
        <w:rPr>
          <w:rFonts w:asciiTheme="majorHAnsi" w:hAnsiTheme="majorHAnsi" w:cs="Calibri"/>
          <w:sz w:val="20"/>
          <w:szCs w:val="20"/>
          <w:lang w:val="es-ES"/>
        </w:rPr>
        <w:t>normativa general adoptada a finales de 1992</w:t>
      </w:r>
      <w:r w:rsidR="00D77E0C" w:rsidRPr="00FB4380">
        <w:rPr>
          <w:rFonts w:asciiTheme="majorHAnsi" w:hAnsiTheme="majorHAnsi" w:cs="Calibri"/>
          <w:sz w:val="20"/>
          <w:szCs w:val="20"/>
          <w:lang w:val="es-ES"/>
        </w:rPr>
        <w:t>, y fueron incluidas en las</w:t>
      </w:r>
      <w:r w:rsidR="004D3E95" w:rsidRPr="00FB4380">
        <w:rPr>
          <w:rFonts w:asciiTheme="majorHAnsi" w:hAnsiTheme="majorHAnsi" w:cs="Calibri"/>
          <w:sz w:val="20"/>
          <w:szCs w:val="20"/>
          <w:lang w:val="es-ES"/>
        </w:rPr>
        <w:t xml:space="preserve"> resoluciones de </w:t>
      </w:r>
      <w:r w:rsidR="00CA7DF0" w:rsidRPr="00FB4380">
        <w:rPr>
          <w:rFonts w:asciiTheme="majorHAnsi" w:hAnsiTheme="majorHAnsi" w:cs="Calibri"/>
          <w:sz w:val="20"/>
          <w:szCs w:val="20"/>
          <w:lang w:val="es-ES"/>
        </w:rPr>
        <w:t>cese</w:t>
      </w:r>
      <w:r w:rsidR="00D77E0C" w:rsidRPr="00FB4380">
        <w:rPr>
          <w:rFonts w:asciiTheme="majorHAnsi" w:hAnsiTheme="majorHAnsi" w:cs="Calibri"/>
          <w:sz w:val="20"/>
          <w:szCs w:val="20"/>
          <w:lang w:val="es-ES"/>
        </w:rPr>
        <w:t xml:space="preserve"> </w:t>
      </w:r>
      <w:r w:rsidR="00CA7DF0" w:rsidRPr="00FB4380">
        <w:rPr>
          <w:rFonts w:asciiTheme="majorHAnsi" w:hAnsiTheme="majorHAnsi" w:cs="Calibri"/>
          <w:sz w:val="20"/>
          <w:szCs w:val="20"/>
          <w:lang w:val="es-ES"/>
        </w:rPr>
        <w:t xml:space="preserve">de </w:t>
      </w:r>
      <w:r w:rsidR="00D77E0C" w:rsidRPr="00FB4380">
        <w:rPr>
          <w:rFonts w:asciiTheme="majorHAnsi" w:hAnsiTheme="majorHAnsi" w:cs="Calibri"/>
          <w:sz w:val="20"/>
          <w:szCs w:val="20"/>
        </w:rPr>
        <w:t xml:space="preserve">No. 1303-A-92-CACL y No. 1303-B-92-CACL. </w:t>
      </w:r>
      <w:r w:rsidR="004D3E95" w:rsidRPr="00FB4380">
        <w:rPr>
          <w:rFonts w:asciiTheme="majorHAnsi" w:hAnsiTheme="majorHAnsi" w:cs="Calibri"/>
          <w:sz w:val="20"/>
          <w:szCs w:val="20"/>
        </w:rPr>
        <w:t xml:space="preserve">En virtud de lo anterior, al igual que en los casos </w:t>
      </w:r>
      <w:r w:rsidR="004D3E95" w:rsidRPr="00FB4380">
        <w:rPr>
          <w:rFonts w:asciiTheme="majorHAnsi" w:hAnsiTheme="majorHAnsi" w:cs="Calibri"/>
          <w:i/>
          <w:sz w:val="20"/>
          <w:szCs w:val="20"/>
        </w:rPr>
        <w:t xml:space="preserve">Trabajadores Cesados </w:t>
      </w:r>
      <w:r w:rsidR="004D3E95" w:rsidRPr="00FB4380">
        <w:rPr>
          <w:rFonts w:asciiTheme="majorHAnsi" w:hAnsiTheme="majorHAnsi" w:cs="Calibri"/>
          <w:sz w:val="20"/>
          <w:szCs w:val="20"/>
        </w:rPr>
        <w:t xml:space="preserve">y </w:t>
      </w:r>
      <w:r w:rsidR="004D3E95" w:rsidRPr="00FB4380">
        <w:rPr>
          <w:rFonts w:asciiTheme="majorHAnsi" w:hAnsiTheme="majorHAnsi" w:cs="Calibri"/>
          <w:i/>
          <w:sz w:val="20"/>
          <w:szCs w:val="20"/>
        </w:rPr>
        <w:t>Canales Huapaya</w:t>
      </w:r>
      <w:r w:rsidR="004D3E95" w:rsidRPr="00FB4380">
        <w:rPr>
          <w:rFonts w:asciiTheme="majorHAnsi" w:hAnsiTheme="majorHAnsi" w:cs="Calibri"/>
          <w:sz w:val="20"/>
          <w:szCs w:val="20"/>
        </w:rPr>
        <w:t>, las presuntas víctimas se encontraron</w:t>
      </w:r>
      <w:r w:rsidR="0090192B">
        <w:rPr>
          <w:rFonts w:asciiTheme="majorHAnsi" w:hAnsiTheme="majorHAnsi" w:cs="Calibri"/>
          <w:sz w:val="20"/>
          <w:szCs w:val="20"/>
        </w:rPr>
        <w:t xml:space="preserve"> sujetas a las regulaciones</w:t>
      </w:r>
      <w:r w:rsidR="004D3E95" w:rsidRPr="00FB4380">
        <w:rPr>
          <w:rFonts w:asciiTheme="majorHAnsi" w:hAnsiTheme="majorHAnsi" w:cs="Calibri"/>
          <w:sz w:val="20"/>
          <w:szCs w:val="20"/>
        </w:rPr>
        <w:t xml:space="preserve"> del </w:t>
      </w:r>
      <w:r w:rsidR="00C7369C" w:rsidRPr="00FB4380">
        <w:rPr>
          <w:rFonts w:asciiTheme="majorHAnsi" w:hAnsiTheme="majorHAnsi" w:cs="Calibri"/>
          <w:sz w:val="20"/>
          <w:szCs w:val="20"/>
        </w:rPr>
        <w:t xml:space="preserve">artículo 9 del Decreto Ley No. 26540 y la </w:t>
      </w:r>
      <w:r w:rsidR="00C7369C" w:rsidRPr="00FB4380">
        <w:rPr>
          <w:rFonts w:asciiTheme="majorHAnsi" w:hAnsiTheme="majorHAnsi" w:cs="Calibri"/>
          <w:sz w:val="20"/>
          <w:szCs w:val="20"/>
          <w:lang w:val="es-ES"/>
        </w:rPr>
        <w:t xml:space="preserve">Resolución No. 1239-A-92-CACL que dispusieron, respectivamente, prohibiciones a las interposiciones de acciones de amparo contra el cese y de reclamos </w:t>
      </w:r>
      <w:r w:rsidR="00782DEE" w:rsidRPr="00FB4380">
        <w:rPr>
          <w:rFonts w:asciiTheme="majorHAnsi" w:hAnsiTheme="majorHAnsi" w:cs="Calibri"/>
          <w:sz w:val="20"/>
          <w:szCs w:val="20"/>
          <w:lang w:val="es-ES"/>
        </w:rPr>
        <w:t>contra los resultados del examen de méritos adoptados por la Comisión Administradora.</w:t>
      </w:r>
      <w:r w:rsidR="00CA7DF0" w:rsidRPr="00FB4380">
        <w:rPr>
          <w:rFonts w:asciiTheme="majorHAnsi" w:hAnsiTheme="majorHAnsi" w:cs="Calibri"/>
          <w:sz w:val="20"/>
          <w:szCs w:val="20"/>
          <w:lang w:val="es-ES"/>
        </w:rPr>
        <w:t xml:space="preserve"> En estos términos, la CIDH concluye que los casos comparten la misma base fáctica en esta temática.</w:t>
      </w:r>
    </w:p>
    <w:p w14:paraId="18394CE7" w14:textId="77777777" w:rsidR="00D77E0C" w:rsidRPr="00FB4380" w:rsidRDefault="00D77E0C" w:rsidP="00D77E0C">
      <w:pPr>
        <w:pStyle w:val="ListParagraph"/>
        <w:rPr>
          <w:rFonts w:asciiTheme="majorHAnsi" w:hAnsiTheme="majorHAnsi" w:cs="Calibri"/>
          <w:sz w:val="20"/>
          <w:szCs w:val="20"/>
          <w:lang w:val="es-ES"/>
        </w:rPr>
      </w:pPr>
    </w:p>
    <w:p w14:paraId="6947FACE" w14:textId="77777777" w:rsidR="00D77E0C" w:rsidRPr="00FB4380" w:rsidRDefault="00170162" w:rsidP="00D77E0C">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s-ES"/>
        </w:rPr>
      </w:pPr>
      <w:r w:rsidRPr="00FB4380">
        <w:rPr>
          <w:rFonts w:asciiTheme="majorHAnsi" w:hAnsiTheme="majorHAnsi" w:cs="Calibri"/>
          <w:sz w:val="20"/>
          <w:szCs w:val="20"/>
          <w:lang w:val="es-ES"/>
        </w:rPr>
        <w:t>En segundo lugar</w:t>
      </w:r>
      <w:r w:rsidR="00D77E0C" w:rsidRPr="00FB4380">
        <w:rPr>
          <w:rFonts w:asciiTheme="majorHAnsi" w:hAnsiTheme="majorHAnsi" w:cs="Calibri"/>
          <w:sz w:val="20"/>
          <w:szCs w:val="20"/>
          <w:lang w:val="es-ES"/>
        </w:rPr>
        <w:t xml:space="preserve">, la CIDH encuentra que en los casos anteriores las víctimas iniciaron procesos </w:t>
      </w:r>
      <w:r w:rsidR="00F952DD" w:rsidRPr="00FB4380">
        <w:rPr>
          <w:rFonts w:asciiTheme="majorHAnsi" w:hAnsiTheme="majorHAnsi" w:cs="Calibri"/>
          <w:sz w:val="20"/>
          <w:szCs w:val="20"/>
          <w:lang w:val="es-ES"/>
        </w:rPr>
        <w:t xml:space="preserve">administrativos y </w:t>
      </w:r>
      <w:r w:rsidR="00D77E0C" w:rsidRPr="00FB4380">
        <w:rPr>
          <w:rFonts w:asciiTheme="majorHAnsi" w:hAnsiTheme="majorHAnsi" w:cs="Calibri"/>
          <w:sz w:val="20"/>
          <w:szCs w:val="20"/>
          <w:lang w:val="es-ES"/>
        </w:rPr>
        <w:t>judici</w:t>
      </w:r>
      <w:r w:rsidR="00F952DD" w:rsidRPr="00FB4380">
        <w:rPr>
          <w:rFonts w:asciiTheme="majorHAnsi" w:hAnsiTheme="majorHAnsi" w:cs="Calibri"/>
          <w:sz w:val="20"/>
          <w:szCs w:val="20"/>
          <w:lang w:val="es-ES"/>
        </w:rPr>
        <w:t>ales para el cuestionamiento de sus desvinculaciones</w:t>
      </w:r>
      <w:r w:rsidR="001A7FE4" w:rsidRPr="00FB4380">
        <w:rPr>
          <w:rFonts w:asciiTheme="majorHAnsi" w:hAnsiTheme="majorHAnsi" w:cs="Calibri"/>
          <w:sz w:val="20"/>
          <w:szCs w:val="20"/>
          <w:lang w:val="es-ES"/>
        </w:rPr>
        <w:t xml:space="preserve"> en fechas cercanas a la determinación de sus ceses</w:t>
      </w:r>
      <w:r w:rsidR="00F952DD" w:rsidRPr="00FB4380">
        <w:rPr>
          <w:rFonts w:asciiTheme="majorHAnsi" w:hAnsiTheme="majorHAnsi" w:cs="Calibri"/>
          <w:sz w:val="20"/>
          <w:szCs w:val="20"/>
          <w:lang w:val="es-ES"/>
        </w:rPr>
        <w:t xml:space="preserve">. En efecto en la sentencia </w:t>
      </w:r>
      <w:r w:rsidRPr="00FB4380">
        <w:rPr>
          <w:rFonts w:asciiTheme="majorHAnsi" w:hAnsiTheme="majorHAnsi" w:cs="Calibri"/>
          <w:i/>
          <w:sz w:val="20"/>
          <w:szCs w:val="20"/>
          <w:lang w:val="es-ES"/>
        </w:rPr>
        <w:t>T</w:t>
      </w:r>
      <w:r w:rsidR="00F952DD" w:rsidRPr="00FB4380">
        <w:rPr>
          <w:rFonts w:asciiTheme="majorHAnsi" w:hAnsiTheme="majorHAnsi" w:cs="Calibri"/>
          <w:i/>
          <w:sz w:val="20"/>
          <w:szCs w:val="20"/>
          <w:lang w:val="es-ES"/>
        </w:rPr>
        <w:t xml:space="preserve">rabajadores </w:t>
      </w:r>
      <w:r w:rsidRPr="00FB4380">
        <w:rPr>
          <w:rFonts w:asciiTheme="majorHAnsi" w:hAnsiTheme="majorHAnsi" w:cs="Calibri"/>
          <w:i/>
          <w:sz w:val="20"/>
          <w:szCs w:val="20"/>
          <w:lang w:val="es-ES"/>
        </w:rPr>
        <w:t>Cesados</w:t>
      </w:r>
      <w:r w:rsidR="00F952DD" w:rsidRPr="00FB4380">
        <w:rPr>
          <w:rFonts w:asciiTheme="majorHAnsi" w:hAnsiTheme="majorHAnsi" w:cs="Calibri"/>
          <w:sz w:val="20"/>
          <w:szCs w:val="20"/>
          <w:lang w:val="es-ES"/>
        </w:rPr>
        <w:t xml:space="preserve"> </w:t>
      </w:r>
      <w:r w:rsidRPr="00FB4380">
        <w:rPr>
          <w:rFonts w:asciiTheme="majorHAnsi" w:hAnsiTheme="majorHAnsi" w:cs="Calibri"/>
          <w:sz w:val="20"/>
          <w:szCs w:val="20"/>
          <w:lang w:val="es-ES"/>
        </w:rPr>
        <w:t>todos los trabajadores fueron litisconsortes en un proceso de amparo</w:t>
      </w:r>
      <w:r w:rsidR="00AB43AE" w:rsidRPr="00FB4380">
        <w:rPr>
          <w:rFonts w:asciiTheme="majorHAnsi" w:hAnsiTheme="majorHAnsi" w:cs="Calibri"/>
          <w:sz w:val="20"/>
          <w:szCs w:val="20"/>
          <w:lang w:val="es-ES"/>
        </w:rPr>
        <w:t xml:space="preserve"> que llegó hasta el Tribunal Constitucional</w:t>
      </w:r>
      <w:r w:rsidR="00F952DD" w:rsidRPr="00FB4380">
        <w:rPr>
          <w:rFonts w:asciiTheme="majorHAnsi" w:hAnsiTheme="majorHAnsi" w:cs="Calibri"/>
          <w:sz w:val="20"/>
          <w:szCs w:val="20"/>
          <w:lang w:val="es-ES"/>
        </w:rPr>
        <w:t xml:space="preserve">. En el presente caso, </w:t>
      </w:r>
      <w:r w:rsidR="00D26CCE" w:rsidRPr="00FB4380">
        <w:rPr>
          <w:rFonts w:asciiTheme="majorHAnsi" w:hAnsiTheme="majorHAnsi" w:cs="Calibri"/>
          <w:sz w:val="20"/>
          <w:szCs w:val="20"/>
          <w:lang w:val="es-ES"/>
        </w:rPr>
        <w:t xml:space="preserve">solo existe información sobre actividad </w:t>
      </w:r>
      <w:r w:rsidR="00782DEE" w:rsidRPr="00FB4380">
        <w:rPr>
          <w:rFonts w:asciiTheme="majorHAnsi" w:hAnsiTheme="majorHAnsi" w:cs="Calibri"/>
          <w:sz w:val="20"/>
          <w:szCs w:val="20"/>
          <w:lang w:val="es-ES"/>
        </w:rPr>
        <w:t xml:space="preserve">judicial de las </w:t>
      </w:r>
      <w:r w:rsidR="00D11D32" w:rsidRPr="00FB4380">
        <w:rPr>
          <w:rFonts w:asciiTheme="majorHAnsi" w:hAnsiTheme="majorHAnsi" w:cs="Calibri"/>
          <w:sz w:val="20"/>
          <w:szCs w:val="20"/>
          <w:lang w:val="es-ES"/>
        </w:rPr>
        <w:t xml:space="preserve">20 </w:t>
      </w:r>
      <w:r w:rsidR="00782DEE" w:rsidRPr="00FB4380">
        <w:rPr>
          <w:rFonts w:asciiTheme="majorHAnsi" w:hAnsiTheme="majorHAnsi" w:cs="Calibri"/>
          <w:sz w:val="20"/>
          <w:szCs w:val="20"/>
          <w:lang w:val="es-ES"/>
        </w:rPr>
        <w:t xml:space="preserve">presuntas víctimas del caso </w:t>
      </w:r>
      <w:r w:rsidR="00D26CCE" w:rsidRPr="00FB4380">
        <w:rPr>
          <w:rFonts w:asciiTheme="majorHAnsi" w:hAnsiTheme="majorHAnsi" w:cs="Calibri"/>
          <w:sz w:val="20"/>
          <w:szCs w:val="20"/>
          <w:lang w:val="es-ES"/>
        </w:rPr>
        <w:t>725-03</w:t>
      </w:r>
      <w:r w:rsidR="00AB43AE" w:rsidRPr="00FB4380">
        <w:rPr>
          <w:rFonts w:asciiTheme="majorHAnsi" w:hAnsiTheme="majorHAnsi" w:cs="Calibri"/>
          <w:sz w:val="20"/>
          <w:szCs w:val="20"/>
          <w:lang w:val="es-ES"/>
        </w:rPr>
        <w:t xml:space="preserve">, por lo que </w:t>
      </w:r>
      <w:r w:rsidR="00616E77" w:rsidRPr="00FB4380">
        <w:rPr>
          <w:rFonts w:asciiTheme="majorHAnsi" w:hAnsiTheme="majorHAnsi" w:cs="Calibri"/>
          <w:sz w:val="20"/>
          <w:szCs w:val="20"/>
          <w:lang w:val="es-ES"/>
        </w:rPr>
        <w:t>la Comisión no puede establecer</w:t>
      </w:r>
      <w:r w:rsidR="00AB43AE" w:rsidRPr="00FB4380">
        <w:rPr>
          <w:rFonts w:asciiTheme="majorHAnsi" w:hAnsiTheme="majorHAnsi" w:cs="Calibri"/>
          <w:sz w:val="20"/>
          <w:szCs w:val="20"/>
          <w:lang w:val="es-ES"/>
        </w:rPr>
        <w:t xml:space="preserve"> </w:t>
      </w:r>
      <w:r w:rsidR="00616E77" w:rsidRPr="00FB4380">
        <w:rPr>
          <w:rFonts w:asciiTheme="majorHAnsi" w:hAnsiTheme="majorHAnsi" w:cs="Calibri"/>
          <w:sz w:val="20"/>
          <w:szCs w:val="20"/>
          <w:lang w:val="es-ES"/>
        </w:rPr>
        <w:t xml:space="preserve">comparaciones </w:t>
      </w:r>
      <w:r w:rsidR="00AB43AE" w:rsidRPr="00FB4380">
        <w:rPr>
          <w:rFonts w:asciiTheme="majorHAnsi" w:hAnsiTheme="majorHAnsi" w:cs="Calibri"/>
          <w:sz w:val="20"/>
          <w:szCs w:val="20"/>
          <w:lang w:val="es-ES"/>
        </w:rPr>
        <w:t xml:space="preserve">fácticas </w:t>
      </w:r>
      <w:r w:rsidR="00616E77" w:rsidRPr="00FB4380">
        <w:rPr>
          <w:rFonts w:asciiTheme="majorHAnsi" w:hAnsiTheme="majorHAnsi" w:cs="Calibri"/>
          <w:sz w:val="20"/>
          <w:szCs w:val="20"/>
          <w:lang w:val="es-ES"/>
        </w:rPr>
        <w:t xml:space="preserve">entre las víctimas y presuntas víctimas de los casos </w:t>
      </w:r>
      <w:r w:rsidR="0081474F" w:rsidRPr="00FB4380">
        <w:rPr>
          <w:rFonts w:asciiTheme="majorHAnsi" w:hAnsiTheme="majorHAnsi" w:cs="Calibri"/>
          <w:sz w:val="20"/>
          <w:szCs w:val="20"/>
          <w:lang w:val="es-ES"/>
        </w:rPr>
        <w:t>referidos</w:t>
      </w:r>
      <w:r w:rsidR="00616E77" w:rsidRPr="00FB4380">
        <w:rPr>
          <w:rFonts w:asciiTheme="majorHAnsi" w:hAnsiTheme="majorHAnsi" w:cs="Calibri"/>
          <w:sz w:val="20"/>
          <w:szCs w:val="20"/>
          <w:lang w:val="es-ES"/>
        </w:rPr>
        <w:t>.</w:t>
      </w:r>
      <w:r w:rsidR="00BD350A" w:rsidRPr="00FB4380">
        <w:rPr>
          <w:rFonts w:asciiTheme="majorHAnsi" w:hAnsiTheme="majorHAnsi" w:cs="Calibri"/>
          <w:sz w:val="20"/>
          <w:szCs w:val="20"/>
          <w:lang w:val="es-ES"/>
        </w:rPr>
        <w:t xml:space="preserve"> Sin perjuicio de lo anterior, </w:t>
      </w:r>
      <w:r w:rsidR="0081474F" w:rsidRPr="00FB4380">
        <w:rPr>
          <w:rFonts w:asciiTheme="majorHAnsi" w:hAnsiTheme="majorHAnsi" w:cs="Calibri"/>
          <w:sz w:val="20"/>
          <w:szCs w:val="20"/>
          <w:lang w:val="es-ES"/>
        </w:rPr>
        <w:t>dado que la</w:t>
      </w:r>
      <w:r w:rsidR="00BD350A" w:rsidRPr="00FB4380">
        <w:rPr>
          <w:rFonts w:asciiTheme="majorHAnsi" w:hAnsiTheme="majorHAnsi" w:cs="Calibri"/>
          <w:sz w:val="20"/>
          <w:szCs w:val="20"/>
          <w:lang w:val="es-ES"/>
        </w:rPr>
        <w:t xml:space="preserve"> Corte</w:t>
      </w:r>
      <w:r w:rsidR="0081474F" w:rsidRPr="00FB4380">
        <w:rPr>
          <w:rFonts w:asciiTheme="majorHAnsi" w:hAnsiTheme="majorHAnsi" w:cs="Calibri"/>
          <w:sz w:val="20"/>
          <w:szCs w:val="20"/>
          <w:lang w:val="es-ES"/>
        </w:rPr>
        <w:t xml:space="preserve"> señaló que</w:t>
      </w:r>
      <w:r w:rsidR="00BD350A" w:rsidRPr="00FB4380">
        <w:rPr>
          <w:rFonts w:asciiTheme="majorHAnsi" w:hAnsiTheme="majorHAnsi" w:cs="Calibri"/>
          <w:sz w:val="20"/>
          <w:szCs w:val="20"/>
          <w:lang w:val="es-ES"/>
        </w:rPr>
        <w:t xml:space="preserve"> la “denegación de justicia tuvo lugar en un contexto generalizado de ineficacia de las instituciones judiciales, de ausencia de garantías de independencia e imparcialidad</w:t>
      </w:r>
      <w:r w:rsidR="00967A49" w:rsidRPr="00FB4380">
        <w:rPr>
          <w:rFonts w:asciiTheme="majorHAnsi" w:hAnsiTheme="majorHAnsi" w:cs="Calibri"/>
          <w:sz w:val="20"/>
          <w:szCs w:val="20"/>
          <w:lang w:val="es-ES"/>
        </w:rPr>
        <w:t xml:space="preserve"> y de ausencia de claridad sobre la vía a la cual acudir frente a ceses colectivos”</w:t>
      </w:r>
      <w:r w:rsidR="0081474F" w:rsidRPr="00FB4380">
        <w:rPr>
          <w:rStyle w:val="FootnoteReference"/>
          <w:rFonts w:asciiTheme="majorHAnsi" w:hAnsiTheme="majorHAnsi" w:cs="Calibri"/>
          <w:sz w:val="20"/>
          <w:szCs w:val="20"/>
          <w:lang w:val="es-ES"/>
        </w:rPr>
        <w:footnoteReference w:id="22"/>
      </w:r>
      <w:r w:rsidR="00967A49" w:rsidRPr="00FB4380">
        <w:rPr>
          <w:rFonts w:asciiTheme="majorHAnsi" w:hAnsiTheme="majorHAnsi" w:cs="Calibri"/>
          <w:sz w:val="20"/>
          <w:szCs w:val="20"/>
          <w:lang w:val="es-ES"/>
        </w:rPr>
        <w:t xml:space="preserve"> </w:t>
      </w:r>
      <w:r w:rsidR="0081474F" w:rsidRPr="00FB4380">
        <w:rPr>
          <w:rFonts w:asciiTheme="majorHAnsi" w:hAnsiTheme="majorHAnsi" w:cs="Calibri"/>
          <w:sz w:val="20"/>
          <w:szCs w:val="20"/>
          <w:lang w:val="es-ES"/>
        </w:rPr>
        <w:t>determinando un comportamiento procesal diferente en los grupos de víctimas que acudieron al sistema interamericano, la CIDH no considera que las diferencias o falta de información en relación con el uso de recursos judiciales posteriores al cese sean razones suficientes para apartarse de las conclusiones establecidas en  los casos análogos</w:t>
      </w:r>
      <w:r w:rsidR="00557A94" w:rsidRPr="00FB4380">
        <w:rPr>
          <w:rFonts w:asciiTheme="majorHAnsi" w:hAnsiTheme="majorHAnsi" w:cs="Calibri"/>
          <w:sz w:val="20"/>
          <w:szCs w:val="20"/>
          <w:lang w:val="es-ES"/>
        </w:rPr>
        <w:t xml:space="preserve"> por su naturaleza estructural respecto de un cuadro generalizado de incertidumbre en el acceso a recursos </w:t>
      </w:r>
      <w:r w:rsidR="00210AE1" w:rsidRPr="00FB4380">
        <w:rPr>
          <w:rFonts w:asciiTheme="majorHAnsi" w:hAnsiTheme="majorHAnsi" w:cs="Calibri"/>
          <w:sz w:val="20"/>
          <w:szCs w:val="20"/>
          <w:lang w:val="es-ES"/>
        </w:rPr>
        <w:t xml:space="preserve">efectivos </w:t>
      </w:r>
      <w:r w:rsidR="00557A94" w:rsidRPr="00FB4380">
        <w:rPr>
          <w:rFonts w:asciiTheme="majorHAnsi" w:hAnsiTheme="majorHAnsi" w:cs="Calibri"/>
          <w:sz w:val="20"/>
          <w:szCs w:val="20"/>
          <w:lang w:val="es-ES"/>
        </w:rPr>
        <w:t>y</w:t>
      </w:r>
      <w:r w:rsidR="00FC2375" w:rsidRPr="00FB4380">
        <w:rPr>
          <w:rFonts w:asciiTheme="majorHAnsi" w:hAnsiTheme="majorHAnsi" w:cs="Calibri"/>
          <w:sz w:val="20"/>
          <w:szCs w:val="20"/>
          <w:lang w:val="es-ES"/>
        </w:rPr>
        <w:t xml:space="preserve"> de</w:t>
      </w:r>
      <w:r w:rsidR="00557A94" w:rsidRPr="00FB4380">
        <w:rPr>
          <w:rFonts w:asciiTheme="majorHAnsi" w:hAnsiTheme="majorHAnsi" w:cs="Calibri"/>
          <w:sz w:val="20"/>
          <w:szCs w:val="20"/>
          <w:lang w:val="es-ES"/>
        </w:rPr>
        <w:t xml:space="preserve"> denegación de justicia. </w:t>
      </w:r>
    </w:p>
    <w:p w14:paraId="096D9638" w14:textId="77777777" w:rsidR="00F952DD" w:rsidRPr="00FB4380" w:rsidRDefault="00F952DD" w:rsidP="00F952DD">
      <w:pPr>
        <w:pStyle w:val="ListParagraph"/>
        <w:rPr>
          <w:rFonts w:asciiTheme="majorHAnsi" w:hAnsiTheme="majorHAnsi" w:cs="Calibri"/>
          <w:sz w:val="20"/>
          <w:szCs w:val="20"/>
          <w:lang w:val="es-ES"/>
        </w:rPr>
      </w:pPr>
    </w:p>
    <w:p w14:paraId="4C288C9A" w14:textId="77777777" w:rsidR="001A7FE4" w:rsidRPr="00FB4380" w:rsidRDefault="00654B97" w:rsidP="00FB4380">
      <w:pPr>
        <w:pStyle w:val="BodyTextInden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r w:rsidRPr="00FB4380">
        <w:rPr>
          <w:rFonts w:asciiTheme="majorHAnsi" w:hAnsiTheme="majorHAnsi"/>
          <w:sz w:val="20"/>
          <w:szCs w:val="20"/>
          <w:lang w:val="es-ES"/>
        </w:rPr>
        <w:t>En</w:t>
      </w:r>
      <w:r w:rsidR="007B7457" w:rsidRPr="00FB4380">
        <w:rPr>
          <w:rFonts w:asciiTheme="majorHAnsi" w:hAnsiTheme="majorHAnsi"/>
          <w:sz w:val="20"/>
          <w:szCs w:val="20"/>
          <w:lang w:val="es-ES"/>
        </w:rPr>
        <w:t xml:space="preserve"> lo relevante para las cuestiones de fondo</w:t>
      </w:r>
      <w:r w:rsidRPr="00FB4380">
        <w:rPr>
          <w:rFonts w:asciiTheme="majorHAnsi" w:hAnsiTheme="majorHAnsi"/>
          <w:sz w:val="20"/>
          <w:szCs w:val="20"/>
          <w:lang w:val="es-ES"/>
        </w:rPr>
        <w:t>, la Comisión e</w:t>
      </w:r>
      <w:r w:rsidR="006D5CAC" w:rsidRPr="00FB4380">
        <w:rPr>
          <w:rFonts w:asciiTheme="majorHAnsi" w:hAnsiTheme="majorHAnsi"/>
          <w:sz w:val="20"/>
          <w:szCs w:val="20"/>
          <w:lang w:val="es-ES"/>
        </w:rPr>
        <w:t xml:space="preserve">ncuentra que en el presente caso </w:t>
      </w:r>
      <w:r w:rsidR="00B70233" w:rsidRPr="00FB4380">
        <w:rPr>
          <w:rFonts w:asciiTheme="majorHAnsi" w:hAnsiTheme="majorHAnsi"/>
          <w:sz w:val="20"/>
          <w:szCs w:val="20"/>
          <w:lang w:val="es-ES"/>
        </w:rPr>
        <w:t xml:space="preserve">las 192 presuntas víctimas </w:t>
      </w:r>
      <w:r w:rsidR="006D5CAC" w:rsidRPr="00FB4380">
        <w:rPr>
          <w:rFonts w:asciiTheme="majorHAnsi" w:hAnsiTheme="majorHAnsi"/>
          <w:sz w:val="20"/>
          <w:szCs w:val="20"/>
          <w:lang w:val="es-ES"/>
        </w:rPr>
        <w:t xml:space="preserve">se encontraban en situación sustancialmente igual a las 257 víctimas del caso </w:t>
      </w:r>
      <w:r w:rsidRPr="00FB4380">
        <w:rPr>
          <w:rFonts w:asciiTheme="majorHAnsi" w:hAnsiTheme="majorHAnsi"/>
          <w:i/>
          <w:sz w:val="20"/>
          <w:szCs w:val="20"/>
          <w:lang w:val="es-ES"/>
        </w:rPr>
        <w:t xml:space="preserve">Trabajadores Cesados </w:t>
      </w:r>
      <w:r w:rsidRPr="00FB4380">
        <w:rPr>
          <w:rFonts w:asciiTheme="majorHAnsi" w:hAnsiTheme="majorHAnsi"/>
          <w:sz w:val="20"/>
          <w:szCs w:val="20"/>
          <w:lang w:val="es-ES"/>
        </w:rPr>
        <w:t>y</w:t>
      </w:r>
      <w:r w:rsidR="006D5CAC" w:rsidRPr="00FB4380">
        <w:rPr>
          <w:rFonts w:asciiTheme="majorHAnsi" w:hAnsiTheme="majorHAnsi"/>
          <w:sz w:val="20"/>
          <w:szCs w:val="20"/>
          <w:lang w:val="es-ES"/>
        </w:rPr>
        <w:t xml:space="preserve"> las 3 víctimas del caso</w:t>
      </w:r>
      <w:r w:rsidRPr="00FB4380">
        <w:rPr>
          <w:rFonts w:asciiTheme="majorHAnsi" w:hAnsiTheme="majorHAnsi"/>
          <w:sz w:val="20"/>
          <w:szCs w:val="20"/>
          <w:lang w:val="es-ES"/>
        </w:rPr>
        <w:t xml:space="preserve"> </w:t>
      </w:r>
      <w:r w:rsidRPr="00FB4380">
        <w:rPr>
          <w:rFonts w:asciiTheme="majorHAnsi" w:hAnsiTheme="majorHAnsi"/>
          <w:i/>
          <w:sz w:val="20"/>
          <w:szCs w:val="20"/>
          <w:lang w:val="es-ES"/>
        </w:rPr>
        <w:t>Canales Huapaya</w:t>
      </w:r>
      <w:r w:rsidR="006D5CAC" w:rsidRPr="00FB4380">
        <w:rPr>
          <w:rFonts w:asciiTheme="majorHAnsi" w:hAnsiTheme="majorHAnsi"/>
          <w:sz w:val="20"/>
          <w:szCs w:val="20"/>
          <w:lang w:val="es-ES"/>
        </w:rPr>
        <w:t xml:space="preserve">. </w:t>
      </w:r>
      <w:r w:rsidRPr="00FB4380">
        <w:rPr>
          <w:rFonts w:asciiTheme="majorHAnsi" w:hAnsiTheme="majorHAnsi"/>
          <w:sz w:val="20"/>
          <w:szCs w:val="20"/>
          <w:lang w:val="es-ES"/>
        </w:rPr>
        <w:t>Así, la CIDH considera que resulta aplicable el</w:t>
      </w:r>
      <w:r w:rsidR="0054300A" w:rsidRPr="00FB4380">
        <w:rPr>
          <w:rFonts w:asciiTheme="majorHAnsi" w:hAnsiTheme="majorHAnsi"/>
          <w:sz w:val="20"/>
          <w:szCs w:val="20"/>
          <w:lang w:val="es-ES"/>
        </w:rPr>
        <w:t xml:space="preserve"> análisis </w:t>
      </w:r>
      <w:r w:rsidRPr="00FB4380">
        <w:rPr>
          <w:rFonts w:asciiTheme="majorHAnsi" w:hAnsiTheme="majorHAnsi"/>
          <w:sz w:val="20"/>
          <w:szCs w:val="20"/>
          <w:lang w:val="es-ES"/>
        </w:rPr>
        <w:t xml:space="preserve">jurídico, en esta temática, de acuerdo a lo ya establecido por la Comisión y la Corte </w:t>
      </w:r>
      <w:r w:rsidR="00495D85" w:rsidRPr="00FB4380">
        <w:rPr>
          <w:rFonts w:asciiTheme="majorHAnsi" w:hAnsiTheme="majorHAnsi"/>
          <w:sz w:val="20"/>
          <w:szCs w:val="20"/>
          <w:lang w:val="es-ES"/>
        </w:rPr>
        <w:t>en la jurisprudencia referida</w:t>
      </w:r>
      <w:r w:rsidR="00217057" w:rsidRPr="00FB4380">
        <w:rPr>
          <w:rFonts w:asciiTheme="majorHAnsi" w:hAnsiTheme="majorHAnsi"/>
          <w:sz w:val="20"/>
          <w:szCs w:val="20"/>
          <w:lang w:val="es-ES"/>
        </w:rPr>
        <w:t>.</w:t>
      </w:r>
    </w:p>
    <w:p w14:paraId="4AA6DADE" w14:textId="77777777" w:rsidR="001A7FE4" w:rsidRPr="00FB4380" w:rsidRDefault="001A7FE4" w:rsidP="001A7FE4">
      <w:pPr>
        <w:pStyle w:val="ListParagraph"/>
        <w:rPr>
          <w:rFonts w:asciiTheme="majorHAnsi" w:hAnsiTheme="majorHAnsi"/>
          <w:sz w:val="20"/>
          <w:szCs w:val="20"/>
          <w:lang w:val="es-ES"/>
        </w:rPr>
      </w:pPr>
    </w:p>
    <w:p w14:paraId="7E275834" w14:textId="77777777" w:rsidR="00E93E20" w:rsidRPr="00FB4380" w:rsidRDefault="00101046" w:rsidP="005777B2">
      <w:pPr>
        <w:pStyle w:val="Heading2"/>
      </w:pPr>
      <w:bookmarkStart w:id="20" w:name="_Toc5358725"/>
      <w:r w:rsidRPr="00FB4380">
        <w:t>Conclusión y</w:t>
      </w:r>
      <w:r w:rsidR="00211927" w:rsidRPr="00FB4380">
        <w:t xml:space="preserve"> atribución de </w:t>
      </w:r>
      <w:r w:rsidRPr="00FB4380">
        <w:t>responsabilidad internacional</w:t>
      </w:r>
      <w:bookmarkEnd w:id="20"/>
    </w:p>
    <w:p w14:paraId="466FAFC3" w14:textId="77777777" w:rsidR="001D18C7" w:rsidRPr="00FB4380" w:rsidRDefault="001D18C7" w:rsidP="00E23F13">
      <w:pPr>
        <w:pStyle w:val="ListParagraph"/>
        <w:ind w:left="1440"/>
        <w:jc w:val="both"/>
        <w:rPr>
          <w:rFonts w:asciiTheme="majorHAnsi" w:hAnsiTheme="majorHAnsi"/>
          <w:b/>
          <w:color w:val="FF0000"/>
          <w:sz w:val="20"/>
          <w:szCs w:val="20"/>
          <w:lang w:val="es-ES"/>
        </w:rPr>
      </w:pPr>
    </w:p>
    <w:p w14:paraId="45B6A2D5" w14:textId="77777777" w:rsidR="00C60C54" w:rsidRPr="00FB4380" w:rsidRDefault="00E23F13" w:rsidP="00FB4380">
      <w:pPr>
        <w:pStyle w:val="BodyTextInden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L"/>
        </w:rPr>
      </w:pPr>
      <w:r w:rsidRPr="00FB4380">
        <w:rPr>
          <w:rFonts w:asciiTheme="majorHAnsi" w:hAnsiTheme="majorHAnsi"/>
          <w:sz w:val="20"/>
          <w:szCs w:val="20"/>
          <w:lang w:val="es-PE"/>
        </w:rPr>
        <w:t xml:space="preserve">En virtud del principio de economía procesal y tratándose, como se dijo, de una problemática de alcance general ya resuelta por ambos órganos del sistema interamericano, la Comisión Interamericana determina la responsabilidad </w:t>
      </w:r>
      <w:r w:rsidRPr="00FB4380">
        <w:rPr>
          <w:rFonts w:asciiTheme="majorHAnsi" w:hAnsiTheme="majorHAnsi"/>
          <w:sz w:val="20"/>
          <w:szCs w:val="20"/>
          <w:lang w:val="es-ES"/>
        </w:rPr>
        <w:t>internacional</w:t>
      </w:r>
      <w:r w:rsidRPr="00FB4380">
        <w:rPr>
          <w:rFonts w:asciiTheme="majorHAnsi" w:hAnsiTheme="majorHAnsi"/>
          <w:sz w:val="20"/>
          <w:szCs w:val="20"/>
          <w:lang w:val="es-PE"/>
        </w:rPr>
        <w:t xml:space="preserve"> del Estado </w:t>
      </w:r>
      <w:r w:rsidR="000866A4" w:rsidRPr="00FB4380">
        <w:rPr>
          <w:rFonts w:asciiTheme="majorHAnsi" w:hAnsiTheme="majorHAnsi"/>
          <w:sz w:val="20"/>
          <w:szCs w:val="20"/>
          <w:lang w:val="es-PE"/>
        </w:rPr>
        <w:t>de Perú</w:t>
      </w:r>
      <w:r w:rsidRPr="00FB4380">
        <w:rPr>
          <w:rFonts w:asciiTheme="majorHAnsi" w:hAnsiTheme="majorHAnsi"/>
          <w:sz w:val="20"/>
          <w:szCs w:val="20"/>
          <w:lang w:val="es-PE"/>
        </w:rPr>
        <w:t xml:space="preserve"> con referencia al análisis de derecho y artículos </w:t>
      </w:r>
      <w:r w:rsidR="00842F10" w:rsidRPr="00FB4380">
        <w:rPr>
          <w:rFonts w:asciiTheme="majorHAnsi" w:hAnsiTheme="majorHAnsi"/>
          <w:sz w:val="20"/>
          <w:szCs w:val="20"/>
          <w:lang w:val="es-PE"/>
        </w:rPr>
        <w:t xml:space="preserve">de la Convención </w:t>
      </w:r>
      <w:r w:rsidRPr="00FB4380">
        <w:rPr>
          <w:rFonts w:asciiTheme="majorHAnsi" w:hAnsiTheme="majorHAnsi"/>
          <w:sz w:val="20"/>
          <w:szCs w:val="20"/>
          <w:lang w:val="es-PE"/>
        </w:rPr>
        <w:t xml:space="preserve">aplicados </w:t>
      </w:r>
      <w:r w:rsidR="001656D8" w:rsidRPr="00FB4380">
        <w:rPr>
          <w:rFonts w:asciiTheme="majorHAnsi" w:hAnsiTheme="majorHAnsi"/>
          <w:sz w:val="20"/>
          <w:szCs w:val="20"/>
          <w:lang w:val="es-PE"/>
        </w:rPr>
        <w:t xml:space="preserve">en la sentencia </w:t>
      </w:r>
      <w:r w:rsidR="001656D8" w:rsidRPr="00FB4380">
        <w:rPr>
          <w:rFonts w:asciiTheme="majorHAnsi" w:hAnsiTheme="majorHAnsi"/>
          <w:i/>
          <w:sz w:val="20"/>
          <w:szCs w:val="20"/>
          <w:lang w:val="es-PE"/>
        </w:rPr>
        <w:t>Trabajadores Cesados del Congreso (Aguado Alfaro y otros) Vs. Per</w:t>
      </w:r>
      <w:r w:rsidR="00F01397" w:rsidRPr="00FB4380">
        <w:rPr>
          <w:rFonts w:asciiTheme="majorHAnsi" w:hAnsiTheme="majorHAnsi"/>
          <w:i/>
          <w:sz w:val="20"/>
          <w:szCs w:val="20"/>
          <w:lang w:val="es-PE"/>
        </w:rPr>
        <w:t xml:space="preserve">ú </w:t>
      </w:r>
      <w:r w:rsidR="00F01397" w:rsidRPr="00FB4380">
        <w:rPr>
          <w:rFonts w:asciiTheme="majorHAnsi" w:hAnsiTheme="majorHAnsi"/>
          <w:sz w:val="20"/>
          <w:szCs w:val="20"/>
          <w:lang w:val="es-PE"/>
        </w:rPr>
        <w:t>de la Corte Interamericana</w:t>
      </w:r>
      <w:r w:rsidR="00C60C54" w:rsidRPr="00FB4380">
        <w:rPr>
          <w:rStyle w:val="FootnoteReference"/>
          <w:rFonts w:asciiTheme="majorHAnsi" w:hAnsiTheme="majorHAnsi"/>
          <w:sz w:val="20"/>
          <w:szCs w:val="20"/>
          <w:lang w:val="es-PE"/>
        </w:rPr>
        <w:footnoteReference w:id="23"/>
      </w:r>
      <w:r w:rsidR="00F01397" w:rsidRPr="00FB4380">
        <w:rPr>
          <w:rFonts w:asciiTheme="majorHAnsi" w:hAnsiTheme="majorHAnsi"/>
          <w:sz w:val="20"/>
          <w:szCs w:val="20"/>
          <w:lang w:val="es-PE"/>
        </w:rPr>
        <w:t xml:space="preserve">, en </w:t>
      </w:r>
      <w:r w:rsidRPr="00FB4380">
        <w:rPr>
          <w:rFonts w:asciiTheme="majorHAnsi" w:hAnsiTheme="majorHAnsi"/>
          <w:sz w:val="20"/>
          <w:szCs w:val="20"/>
          <w:lang w:val="es-PE"/>
        </w:rPr>
        <w:t xml:space="preserve">su informe de fondo </w:t>
      </w:r>
      <w:r w:rsidR="005E649E" w:rsidRPr="00FB4380">
        <w:rPr>
          <w:rFonts w:asciiTheme="majorHAnsi" w:hAnsiTheme="majorHAnsi"/>
          <w:sz w:val="20"/>
          <w:szCs w:val="20"/>
          <w:lang w:val="es-PE"/>
        </w:rPr>
        <w:t>162</w:t>
      </w:r>
      <w:r w:rsidRPr="00FB4380">
        <w:rPr>
          <w:rFonts w:asciiTheme="majorHAnsi" w:hAnsiTheme="majorHAnsi"/>
          <w:sz w:val="20"/>
          <w:szCs w:val="20"/>
          <w:lang w:val="es-PE"/>
        </w:rPr>
        <w:t>/1</w:t>
      </w:r>
      <w:r w:rsidR="005E649E" w:rsidRPr="00FB4380">
        <w:rPr>
          <w:rFonts w:asciiTheme="majorHAnsi" w:hAnsiTheme="majorHAnsi"/>
          <w:sz w:val="20"/>
          <w:szCs w:val="20"/>
          <w:lang w:val="es-PE"/>
        </w:rPr>
        <w:t>2</w:t>
      </w:r>
      <w:r w:rsidR="00C60C54" w:rsidRPr="00FB4380">
        <w:rPr>
          <w:rStyle w:val="FootnoteReference"/>
          <w:rFonts w:asciiTheme="majorHAnsi" w:hAnsiTheme="majorHAnsi"/>
          <w:sz w:val="20"/>
          <w:szCs w:val="20"/>
          <w:lang w:val="es-PE"/>
        </w:rPr>
        <w:footnoteReference w:id="24"/>
      </w:r>
      <w:r w:rsidRPr="00FB4380">
        <w:rPr>
          <w:rFonts w:asciiTheme="majorHAnsi" w:hAnsiTheme="majorHAnsi"/>
          <w:sz w:val="20"/>
          <w:szCs w:val="20"/>
          <w:lang w:val="es-PE"/>
        </w:rPr>
        <w:t xml:space="preserve"> respecto del caso 12.</w:t>
      </w:r>
      <w:r w:rsidR="00F01397" w:rsidRPr="00FB4380">
        <w:rPr>
          <w:rFonts w:asciiTheme="majorHAnsi" w:hAnsiTheme="majorHAnsi"/>
          <w:sz w:val="20"/>
          <w:szCs w:val="20"/>
          <w:lang w:val="es-PE"/>
        </w:rPr>
        <w:t>214</w:t>
      </w:r>
      <w:r w:rsidRPr="00FB4380">
        <w:rPr>
          <w:rFonts w:asciiTheme="majorHAnsi" w:hAnsiTheme="majorHAnsi"/>
          <w:sz w:val="20"/>
          <w:szCs w:val="20"/>
          <w:lang w:val="es-PE"/>
        </w:rPr>
        <w:t xml:space="preserve"> </w:t>
      </w:r>
      <w:r w:rsidR="00F01397" w:rsidRPr="00FB4380">
        <w:rPr>
          <w:rFonts w:asciiTheme="majorHAnsi" w:hAnsiTheme="majorHAnsi"/>
          <w:i/>
          <w:sz w:val="20"/>
          <w:szCs w:val="20"/>
          <w:lang w:val="es-PE"/>
        </w:rPr>
        <w:t>Carlos Alberto Canales Huapaya y otros</w:t>
      </w:r>
      <w:r w:rsidRPr="00FB4380">
        <w:rPr>
          <w:rFonts w:asciiTheme="majorHAnsi" w:hAnsiTheme="majorHAnsi"/>
          <w:i/>
          <w:sz w:val="20"/>
          <w:szCs w:val="20"/>
          <w:lang w:val="es-PE"/>
        </w:rPr>
        <w:t xml:space="preserve">, </w:t>
      </w:r>
      <w:r w:rsidR="00C60C54" w:rsidRPr="00FB4380">
        <w:rPr>
          <w:rFonts w:asciiTheme="majorHAnsi" w:hAnsiTheme="majorHAnsi"/>
          <w:sz w:val="20"/>
          <w:szCs w:val="20"/>
          <w:lang w:val="es-PE"/>
        </w:rPr>
        <w:t>en la S</w:t>
      </w:r>
      <w:r w:rsidRPr="00FB4380">
        <w:rPr>
          <w:rFonts w:asciiTheme="majorHAnsi" w:hAnsiTheme="majorHAnsi"/>
          <w:sz w:val="20"/>
          <w:szCs w:val="20"/>
          <w:lang w:val="es-PE"/>
        </w:rPr>
        <w:t>entencia de Excepciones Preliminares, Fondo, Reparaciones y Costas emitida por la Corte Interamericana de Derechos Humanos</w:t>
      </w:r>
      <w:r w:rsidR="00623008" w:rsidRPr="00FB4380">
        <w:rPr>
          <w:rFonts w:asciiTheme="majorHAnsi" w:hAnsiTheme="majorHAnsi"/>
          <w:sz w:val="20"/>
          <w:szCs w:val="20"/>
          <w:lang w:val="es-PE"/>
        </w:rPr>
        <w:t xml:space="preserve"> en dicho caso</w:t>
      </w:r>
      <w:r w:rsidR="00C60C54" w:rsidRPr="00FB4380">
        <w:rPr>
          <w:rStyle w:val="FootnoteReference"/>
          <w:rFonts w:asciiTheme="majorHAnsi" w:hAnsiTheme="majorHAnsi"/>
          <w:sz w:val="20"/>
          <w:szCs w:val="20"/>
          <w:lang w:val="es-PE"/>
        </w:rPr>
        <w:footnoteReference w:id="25"/>
      </w:r>
      <w:r w:rsidR="00BB3731" w:rsidRPr="00FB4380">
        <w:rPr>
          <w:rFonts w:asciiTheme="majorHAnsi" w:hAnsiTheme="majorHAnsi"/>
          <w:sz w:val="20"/>
          <w:szCs w:val="20"/>
          <w:lang w:val="es-PE"/>
        </w:rPr>
        <w:t xml:space="preserve">, en su informe de fondo 14/15 respecto de los casos </w:t>
      </w:r>
      <w:r w:rsidR="00BB3731" w:rsidRPr="00FB4380">
        <w:rPr>
          <w:rFonts w:asciiTheme="majorHAnsi" w:hAnsiTheme="majorHAnsi"/>
          <w:sz w:val="20"/>
          <w:szCs w:val="20"/>
          <w:lang w:val="es-ES"/>
        </w:rPr>
        <w:t xml:space="preserve">11.602, 12.385, 12.665 y 12.666 </w:t>
      </w:r>
      <w:r w:rsidR="00BB3731" w:rsidRPr="00FB4380">
        <w:rPr>
          <w:rFonts w:asciiTheme="majorHAnsi" w:hAnsiTheme="majorHAnsi"/>
          <w:i/>
          <w:sz w:val="20"/>
          <w:szCs w:val="20"/>
          <w:lang w:val="es-ES"/>
        </w:rPr>
        <w:t>Trabajadores Cesados (Petroperú, MEF y Enapu)</w:t>
      </w:r>
      <w:r w:rsidR="00C33D0B" w:rsidRPr="00FB4380">
        <w:rPr>
          <w:rFonts w:asciiTheme="majorHAnsi" w:hAnsiTheme="majorHAnsi"/>
          <w:i/>
          <w:sz w:val="20"/>
          <w:szCs w:val="20"/>
          <w:lang w:val="es-ES"/>
        </w:rPr>
        <w:t>,</w:t>
      </w:r>
      <w:r w:rsidR="00AE07EF" w:rsidRPr="00FB4380">
        <w:rPr>
          <w:rFonts w:asciiTheme="majorHAnsi" w:hAnsiTheme="majorHAnsi"/>
          <w:i/>
          <w:sz w:val="20"/>
          <w:szCs w:val="20"/>
          <w:lang w:val="es-ES"/>
        </w:rPr>
        <w:t xml:space="preserve"> </w:t>
      </w:r>
      <w:r w:rsidR="00AE07EF" w:rsidRPr="00FB4380">
        <w:rPr>
          <w:rFonts w:asciiTheme="majorHAnsi" w:hAnsiTheme="majorHAnsi"/>
          <w:i/>
          <w:sz w:val="20"/>
          <w:szCs w:val="20"/>
          <w:lang w:val="es-ES"/>
        </w:rPr>
        <w:lastRenderedPageBreak/>
        <w:t>Trabajadores Cesados (Minedu)</w:t>
      </w:r>
      <w:r w:rsidR="00BB3731" w:rsidRPr="00FB4380">
        <w:rPr>
          <w:rStyle w:val="FootnoteReference"/>
          <w:rFonts w:asciiTheme="majorHAnsi" w:hAnsiTheme="majorHAnsi" w:cs="Calibri"/>
          <w:sz w:val="20"/>
          <w:szCs w:val="20"/>
        </w:rPr>
        <w:footnoteReference w:id="26"/>
      </w:r>
      <w:r w:rsidR="001873D0" w:rsidRPr="00FB4380">
        <w:rPr>
          <w:rFonts w:asciiTheme="majorHAnsi" w:hAnsiTheme="majorHAnsi"/>
          <w:i/>
          <w:sz w:val="20"/>
          <w:szCs w:val="20"/>
          <w:lang w:val="es-ES"/>
        </w:rPr>
        <w:t xml:space="preserve">, </w:t>
      </w:r>
      <w:r w:rsidR="001873D0" w:rsidRPr="00FB4380">
        <w:rPr>
          <w:rFonts w:asciiTheme="majorHAnsi" w:hAnsiTheme="majorHAnsi"/>
          <w:sz w:val="20"/>
          <w:szCs w:val="20"/>
          <w:lang w:val="es-ES"/>
        </w:rPr>
        <w:t xml:space="preserve">así como en la sentencia </w:t>
      </w:r>
      <w:r w:rsidR="003506F4" w:rsidRPr="00FB4380">
        <w:rPr>
          <w:rFonts w:asciiTheme="majorHAnsi" w:hAnsiTheme="majorHAnsi"/>
          <w:sz w:val="20"/>
          <w:szCs w:val="20"/>
          <w:lang w:val="es-ES"/>
        </w:rPr>
        <w:t xml:space="preserve">del mismo caso denominado por la Corte </w:t>
      </w:r>
      <w:r w:rsidR="003506F4" w:rsidRPr="00FB4380">
        <w:rPr>
          <w:rFonts w:asciiTheme="majorHAnsi" w:hAnsiTheme="majorHAnsi"/>
          <w:i/>
          <w:sz w:val="20"/>
          <w:szCs w:val="20"/>
          <w:lang w:val="es-ES"/>
        </w:rPr>
        <w:t>Trabajadores Cesados de Petroperú y otros</w:t>
      </w:r>
      <w:r w:rsidR="000A24C1" w:rsidRPr="00FB4380">
        <w:rPr>
          <w:rStyle w:val="FootnoteReference"/>
          <w:rFonts w:asciiTheme="majorHAnsi" w:hAnsiTheme="majorHAnsi"/>
          <w:sz w:val="20"/>
          <w:szCs w:val="20"/>
          <w:lang w:val="es-ES"/>
        </w:rPr>
        <w:footnoteReference w:id="27"/>
      </w:r>
      <w:r w:rsidR="00954263" w:rsidRPr="00FB4380">
        <w:rPr>
          <w:rFonts w:asciiTheme="majorHAnsi" w:hAnsiTheme="majorHAnsi"/>
          <w:i/>
          <w:sz w:val="20"/>
          <w:szCs w:val="20"/>
          <w:lang w:val="es-ES"/>
        </w:rPr>
        <w:t>.</w:t>
      </w:r>
    </w:p>
    <w:p w14:paraId="0A919ACD" w14:textId="77777777" w:rsidR="00B15B5D" w:rsidRPr="00FB4380" w:rsidRDefault="00B15B5D" w:rsidP="00C60C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L"/>
        </w:rPr>
      </w:pPr>
    </w:p>
    <w:p w14:paraId="0EEC60A6" w14:textId="69189198" w:rsidR="00E23F13" w:rsidRPr="00FB4380" w:rsidRDefault="00E23F13" w:rsidP="00FB4380">
      <w:pPr>
        <w:pStyle w:val="BodyTextInden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L"/>
        </w:rPr>
      </w:pPr>
      <w:r w:rsidRPr="00FB4380">
        <w:rPr>
          <w:rFonts w:asciiTheme="majorHAnsi" w:hAnsiTheme="majorHAnsi"/>
          <w:sz w:val="20"/>
          <w:szCs w:val="20"/>
          <w:lang w:val="es-PE"/>
        </w:rPr>
        <w:t>Con base en las consideraciones antes expuestas, la CIDH concluye que</w:t>
      </w:r>
      <w:r w:rsidR="00B42305">
        <w:rPr>
          <w:rFonts w:asciiTheme="majorHAnsi" w:hAnsiTheme="majorHAnsi"/>
          <w:sz w:val="20"/>
          <w:szCs w:val="20"/>
          <w:lang w:val="es-PE"/>
        </w:rPr>
        <w:t xml:space="preserve"> el caso es admisible y que</w:t>
      </w:r>
      <w:r w:rsidRPr="00FB4380">
        <w:rPr>
          <w:rFonts w:asciiTheme="majorHAnsi" w:hAnsiTheme="majorHAnsi"/>
          <w:sz w:val="20"/>
          <w:szCs w:val="20"/>
          <w:lang w:val="es-PE"/>
        </w:rPr>
        <w:t xml:space="preserve"> el Estado de </w:t>
      </w:r>
      <w:r w:rsidR="000866A4" w:rsidRPr="00FB4380">
        <w:rPr>
          <w:rFonts w:asciiTheme="majorHAnsi" w:hAnsiTheme="majorHAnsi"/>
          <w:sz w:val="20"/>
          <w:szCs w:val="20"/>
          <w:lang w:val="es-PE"/>
        </w:rPr>
        <w:t>Perú</w:t>
      </w:r>
      <w:r w:rsidRPr="00FB4380">
        <w:rPr>
          <w:rFonts w:asciiTheme="majorHAnsi" w:hAnsiTheme="majorHAnsi"/>
          <w:sz w:val="20"/>
          <w:szCs w:val="20"/>
          <w:lang w:val="es-PE"/>
        </w:rPr>
        <w:t xml:space="preserve"> violó los derechos consagrados en los artículos </w:t>
      </w:r>
      <w:r w:rsidR="00C60C54" w:rsidRPr="00FB4380">
        <w:rPr>
          <w:rFonts w:asciiTheme="majorHAnsi" w:hAnsiTheme="majorHAnsi"/>
          <w:sz w:val="20"/>
          <w:szCs w:val="20"/>
          <w:lang w:val="es-PE"/>
        </w:rPr>
        <w:t>8</w:t>
      </w:r>
      <w:r w:rsidR="00161195" w:rsidRPr="00FB4380">
        <w:rPr>
          <w:rFonts w:asciiTheme="majorHAnsi" w:hAnsiTheme="majorHAnsi"/>
          <w:sz w:val="20"/>
          <w:szCs w:val="20"/>
          <w:lang w:val="es-PE"/>
        </w:rPr>
        <w:t>.1</w:t>
      </w:r>
      <w:r w:rsidRPr="00FB4380">
        <w:rPr>
          <w:rFonts w:asciiTheme="majorHAnsi" w:hAnsiTheme="majorHAnsi"/>
          <w:sz w:val="20"/>
          <w:szCs w:val="20"/>
          <w:lang w:val="es-PE"/>
        </w:rPr>
        <w:t xml:space="preserve"> (</w:t>
      </w:r>
      <w:r w:rsidR="00C60C54" w:rsidRPr="00FB4380">
        <w:rPr>
          <w:rFonts w:asciiTheme="majorHAnsi" w:hAnsiTheme="majorHAnsi"/>
          <w:sz w:val="20"/>
          <w:szCs w:val="20"/>
          <w:lang w:val="es-PE"/>
        </w:rPr>
        <w:t>garantías judiciales</w:t>
      </w:r>
      <w:r w:rsidRPr="00FB4380">
        <w:rPr>
          <w:rFonts w:asciiTheme="majorHAnsi" w:hAnsiTheme="majorHAnsi"/>
          <w:sz w:val="20"/>
          <w:szCs w:val="20"/>
          <w:lang w:val="es-PE"/>
        </w:rPr>
        <w:t>)</w:t>
      </w:r>
      <w:r w:rsidR="00161195" w:rsidRPr="00FB4380">
        <w:rPr>
          <w:rFonts w:asciiTheme="majorHAnsi" w:hAnsiTheme="majorHAnsi"/>
          <w:sz w:val="20"/>
          <w:szCs w:val="20"/>
          <w:lang w:val="es-PE"/>
        </w:rPr>
        <w:t>,</w:t>
      </w:r>
      <w:r w:rsidRPr="00FB4380">
        <w:rPr>
          <w:rFonts w:asciiTheme="majorHAnsi" w:hAnsiTheme="majorHAnsi"/>
          <w:sz w:val="20"/>
          <w:szCs w:val="20"/>
          <w:lang w:val="es-PE"/>
        </w:rPr>
        <w:t xml:space="preserve"> </w:t>
      </w:r>
      <w:r w:rsidR="00C60C54" w:rsidRPr="00FB4380">
        <w:rPr>
          <w:rFonts w:asciiTheme="majorHAnsi" w:hAnsiTheme="majorHAnsi"/>
          <w:sz w:val="20"/>
          <w:szCs w:val="20"/>
          <w:lang w:val="es-PE"/>
        </w:rPr>
        <w:t>25</w:t>
      </w:r>
      <w:r w:rsidR="00161195" w:rsidRPr="00FB4380">
        <w:rPr>
          <w:rFonts w:asciiTheme="majorHAnsi" w:hAnsiTheme="majorHAnsi"/>
          <w:sz w:val="20"/>
          <w:szCs w:val="20"/>
          <w:lang w:val="es-PE"/>
        </w:rPr>
        <w:t>.1</w:t>
      </w:r>
      <w:r w:rsidR="00C60C54" w:rsidRPr="00FB4380">
        <w:rPr>
          <w:rFonts w:asciiTheme="majorHAnsi" w:hAnsiTheme="majorHAnsi"/>
          <w:sz w:val="20"/>
          <w:szCs w:val="20"/>
          <w:lang w:val="es-PE"/>
        </w:rPr>
        <w:t xml:space="preserve"> </w:t>
      </w:r>
      <w:r w:rsidRPr="00FB4380">
        <w:rPr>
          <w:rFonts w:asciiTheme="majorHAnsi" w:hAnsiTheme="majorHAnsi"/>
          <w:sz w:val="20"/>
          <w:szCs w:val="20"/>
          <w:lang w:val="es-PE"/>
        </w:rPr>
        <w:t>(</w:t>
      </w:r>
      <w:r w:rsidR="00C60C54" w:rsidRPr="00FB4380">
        <w:rPr>
          <w:rFonts w:asciiTheme="majorHAnsi" w:hAnsiTheme="majorHAnsi"/>
          <w:sz w:val="20"/>
          <w:szCs w:val="20"/>
          <w:lang w:val="es-PE"/>
        </w:rPr>
        <w:t>protección judicial</w:t>
      </w:r>
      <w:r w:rsidRPr="00FB4380">
        <w:rPr>
          <w:rFonts w:asciiTheme="majorHAnsi" w:hAnsiTheme="majorHAnsi"/>
          <w:sz w:val="20"/>
          <w:szCs w:val="20"/>
          <w:lang w:val="es-PE"/>
        </w:rPr>
        <w:t>)</w:t>
      </w:r>
      <w:r w:rsidR="002622B1" w:rsidRPr="00FB4380">
        <w:rPr>
          <w:rFonts w:asciiTheme="majorHAnsi" w:hAnsiTheme="majorHAnsi"/>
          <w:sz w:val="20"/>
          <w:szCs w:val="20"/>
          <w:lang w:val="es-PE"/>
        </w:rPr>
        <w:t>, 26 (derecho al trabajo)</w:t>
      </w:r>
      <w:r w:rsidR="00161195" w:rsidRPr="00FB4380">
        <w:rPr>
          <w:rFonts w:asciiTheme="majorHAnsi" w:hAnsiTheme="majorHAnsi"/>
          <w:sz w:val="20"/>
          <w:szCs w:val="20"/>
          <w:lang w:val="es-PE"/>
        </w:rPr>
        <w:t xml:space="preserve"> y </w:t>
      </w:r>
      <w:r w:rsidRPr="00FB4380">
        <w:rPr>
          <w:rFonts w:asciiTheme="majorHAnsi" w:hAnsiTheme="majorHAnsi"/>
          <w:sz w:val="20"/>
          <w:szCs w:val="20"/>
          <w:lang w:val="es-PE"/>
        </w:rPr>
        <w:t xml:space="preserve">de la Convención Americana, en relación con las obligaciones establecidas en los artículos 1.1 (obligación de respetar los derechos) y 2 (deber de adoptar disposiciones de Derecho interno) del mismo instrumento, en perjuicio </w:t>
      </w:r>
      <w:r w:rsidR="00F01397" w:rsidRPr="00FB4380">
        <w:rPr>
          <w:rFonts w:asciiTheme="majorHAnsi" w:hAnsiTheme="majorHAnsi"/>
          <w:sz w:val="20"/>
          <w:szCs w:val="20"/>
          <w:lang w:val="es-PE"/>
        </w:rPr>
        <w:t>de las 192 v</w:t>
      </w:r>
      <w:r w:rsidR="00C60C54" w:rsidRPr="00FB4380">
        <w:rPr>
          <w:rFonts w:asciiTheme="majorHAnsi" w:hAnsiTheme="majorHAnsi"/>
          <w:sz w:val="20"/>
          <w:szCs w:val="20"/>
          <w:lang w:val="es-PE"/>
        </w:rPr>
        <w:t>íctimas identi</w:t>
      </w:r>
      <w:r w:rsidR="0013183C" w:rsidRPr="00FB4380">
        <w:rPr>
          <w:rFonts w:asciiTheme="majorHAnsi" w:hAnsiTheme="majorHAnsi"/>
          <w:sz w:val="20"/>
          <w:szCs w:val="20"/>
          <w:lang w:val="es-PE"/>
        </w:rPr>
        <w:t>ficadas en el presente informe.</w:t>
      </w:r>
    </w:p>
    <w:p w14:paraId="1D44804C" w14:textId="77777777" w:rsidR="000866A4" w:rsidRPr="00FB4380" w:rsidRDefault="000866A4" w:rsidP="00C60C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L"/>
        </w:rPr>
      </w:pPr>
    </w:p>
    <w:p w14:paraId="67FA9BBB" w14:textId="77777777" w:rsidR="00D12193" w:rsidRPr="00FB4380" w:rsidRDefault="00D12193" w:rsidP="005777B2">
      <w:pPr>
        <w:pStyle w:val="Heading1"/>
        <w:ind w:left="720" w:hanging="720"/>
      </w:pPr>
      <w:bookmarkStart w:id="21" w:name="_Toc5358726"/>
      <w:r w:rsidRPr="00FB4380">
        <w:t>RECOMENDACIONES</w:t>
      </w:r>
      <w:bookmarkEnd w:id="21"/>
      <w:r w:rsidRPr="00FB4380">
        <w:t xml:space="preserve"> </w:t>
      </w:r>
    </w:p>
    <w:p w14:paraId="143530A6" w14:textId="77777777" w:rsidR="00D12193" w:rsidRPr="00FB4380" w:rsidRDefault="00D12193" w:rsidP="00D12193">
      <w:pPr>
        <w:suppressAutoHyphens/>
        <w:rPr>
          <w:rFonts w:asciiTheme="majorHAnsi" w:hAnsiTheme="majorHAnsi"/>
          <w:b/>
          <w:sz w:val="20"/>
          <w:szCs w:val="20"/>
          <w:lang w:val="es-ES_tradnl"/>
        </w:rPr>
      </w:pPr>
    </w:p>
    <w:p w14:paraId="5798105E" w14:textId="1CB52877" w:rsidR="00B50860" w:rsidRPr="00FB4380" w:rsidRDefault="00B50860" w:rsidP="00CA5A40">
      <w:pPr>
        <w:pStyle w:val="BodyTextInden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r w:rsidRPr="00FB4380">
        <w:rPr>
          <w:rFonts w:asciiTheme="majorHAnsi" w:hAnsiTheme="majorHAnsi"/>
          <w:sz w:val="20"/>
          <w:szCs w:val="20"/>
          <w:lang w:val="es-ES"/>
        </w:rPr>
        <w:t xml:space="preserve">En materia de reparaciones, la Comisión considera aplicable lo indicado por la Corte Interamericana en el caso </w:t>
      </w:r>
      <w:r w:rsidRPr="00FB4380">
        <w:rPr>
          <w:rFonts w:asciiTheme="majorHAnsi" w:hAnsiTheme="majorHAnsi"/>
          <w:i/>
          <w:sz w:val="20"/>
          <w:szCs w:val="20"/>
          <w:lang w:val="es-ES"/>
        </w:rPr>
        <w:t xml:space="preserve">Canales Huapaya </w:t>
      </w:r>
      <w:r w:rsidRPr="00FB4380">
        <w:rPr>
          <w:rFonts w:asciiTheme="majorHAnsi" w:hAnsiTheme="majorHAnsi"/>
          <w:sz w:val="20"/>
          <w:szCs w:val="20"/>
          <w:lang w:val="es-ES"/>
        </w:rPr>
        <w:t>en los siguientes términos</w:t>
      </w:r>
      <w:r w:rsidR="004570DA">
        <w:rPr>
          <w:rFonts w:asciiTheme="majorHAnsi" w:hAnsiTheme="majorHAnsi"/>
          <w:sz w:val="20"/>
          <w:szCs w:val="20"/>
          <w:lang w:val="es-ES"/>
        </w:rPr>
        <w:t xml:space="preserve"> (citas originales omitidas)</w:t>
      </w:r>
      <w:r w:rsidR="009162D5" w:rsidRPr="009162D5">
        <w:rPr>
          <w:rStyle w:val="FootnoteReference"/>
          <w:rFonts w:asciiTheme="majorHAnsi" w:hAnsiTheme="majorHAnsi"/>
          <w:sz w:val="20"/>
          <w:szCs w:val="18"/>
        </w:rPr>
        <w:t xml:space="preserve"> </w:t>
      </w:r>
      <w:r w:rsidR="009162D5" w:rsidRPr="007C047E">
        <w:rPr>
          <w:rStyle w:val="FootnoteReference"/>
          <w:rFonts w:asciiTheme="majorHAnsi" w:hAnsiTheme="majorHAnsi"/>
          <w:sz w:val="20"/>
          <w:szCs w:val="18"/>
        </w:rPr>
        <w:footnoteReference w:id="28"/>
      </w:r>
      <w:r w:rsidRPr="00FB4380">
        <w:rPr>
          <w:rFonts w:asciiTheme="majorHAnsi" w:hAnsiTheme="majorHAnsi"/>
          <w:sz w:val="20"/>
          <w:szCs w:val="20"/>
          <w:lang w:val="es-ES"/>
        </w:rPr>
        <w:t>:</w:t>
      </w:r>
    </w:p>
    <w:p w14:paraId="7FB8CB99" w14:textId="77777777" w:rsidR="00B50860" w:rsidRPr="00FB4380" w:rsidRDefault="00B50860" w:rsidP="00B50860">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4EF60C97" w14:textId="77777777" w:rsidR="001954DA" w:rsidRDefault="00FB4380" w:rsidP="001954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 w:right="142"/>
        <w:contextualSpacing/>
        <w:jc w:val="both"/>
        <w:rPr>
          <w:rFonts w:asciiTheme="majorHAnsi" w:hAnsiTheme="majorHAnsi"/>
          <w:sz w:val="18"/>
          <w:szCs w:val="18"/>
          <w:lang w:val="es-CO"/>
        </w:rPr>
      </w:pPr>
      <w:r w:rsidRPr="001954DA">
        <w:rPr>
          <w:rFonts w:asciiTheme="majorHAnsi" w:hAnsiTheme="majorHAnsi"/>
          <w:sz w:val="18"/>
          <w:szCs w:val="18"/>
          <w:lang w:val="es-CO"/>
        </w:rPr>
        <w:t xml:space="preserve">En el </w:t>
      </w:r>
      <w:r w:rsidRPr="001954DA">
        <w:rPr>
          <w:rFonts w:asciiTheme="majorHAnsi" w:hAnsiTheme="majorHAnsi"/>
          <w:i/>
          <w:sz w:val="18"/>
          <w:szCs w:val="18"/>
          <w:lang w:val="es-CO"/>
        </w:rPr>
        <w:t>Caso</w:t>
      </w:r>
      <w:r w:rsidRPr="001954DA">
        <w:rPr>
          <w:rFonts w:asciiTheme="majorHAnsi" w:hAnsiTheme="majorHAnsi"/>
          <w:sz w:val="18"/>
          <w:szCs w:val="18"/>
          <w:lang w:val="es-CO"/>
        </w:rPr>
        <w:t xml:space="preserve"> </w:t>
      </w:r>
      <w:r w:rsidRPr="001954DA">
        <w:rPr>
          <w:rFonts w:asciiTheme="majorHAnsi" w:hAnsiTheme="majorHAnsi"/>
          <w:i/>
          <w:sz w:val="18"/>
          <w:szCs w:val="18"/>
          <w:lang w:val="es-CO"/>
        </w:rPr>
        <w:t xml:space="preserve">Trabajadores Cesados </w:t>
      </w:r>
      <w:r w:rsidRPr="001954DA">
        <w:rPr>
          <w:rFonts w:asciiTheme="majorHAnsi" w:hAnsiTheme="majorHAnsi"/>
          <w:sz w:val="18"/>
          <w:szCs w:val="18"/>
          <w:lang w:val="es-CO"/>
        </w:rPr>
        <w:t>la Corte dispuso que “en vista de las violaciones a la Convención Americana declaradas por la Corte”, la reparación consecuente era:</w:t>
      </w:r>
    </w:p>
    <w:p w14:paraId="57712278" w14:textId="77777777" w:rsidR="001954DA" w:rsidRDefault="001954DA" w:rsidP="001954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 w:right="142"/>
        <w:contextualSpacing/>
        <w:jc w:val="both"/>
        <w:rPr>
          <w:rFonts w:asciiTheme="majorHAnsi" w:hAnsiTheme="majorHAnsi"/>
          <w:sz w:val="18"/>
          <w:szCs w:val="18"/>
          <w:lang w:val="es-CO"/>
        </w:rPr>
      </w:pPr>
    </w:p>
    <w:p w14:paraId="438512EB" w14:textId="504DE5AE" w:rsidR="00FB4380" w:rsidRDefault="00FB4380" w:rsidP="001954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5" w:right="425"/>
        <w:contextualSpacing/>
        <w:jc w:val="both"/>
        <w:rPr>
          <w:rFonts w:asciiTheme="majorHAnsi" w:hAnsiTheme="majorHAnsi"/>
          <w:i/>
          <w:sz w:val="18"/>
          <w:szCs w:val="18"/>
          <w:lang w:val="es-CO"/>
        </w:rPr>
      </w:pPr>
      <w:r w:rsidRPr="001954DA">
        <w:rPr>
          <w:rFonts w:asciiTheme="majorHAnsi" w:eastAsia="Times" w:hAnsiTheme="majorHAnsi"/>
          <w:i/>
          <w:sz w:val="18"/>
          <w:szCs w:val="18"/>
          <w:lang w:val="es-CO"/>
        </w:rPr>
        <w:t>disponer que el Estado garantice a los lesionados en el goce de sus derechos o libertades conculcados, a</w:t>
      </w:r>
      <w:r w:rsidRPr="001954DA">
        <w:rPr>
          <w:rFonts w:asciiTheme="majorHAnsi" w:hAnsiTheme="majorHAnsi"/>
          <w:i/>
          <w:sz w:val="18"/>
          <w:szCs w:val="18"/>
          <w:lang w:val="es-CO"/>
        </w:rPr>
        <w:t xml:space="preserve"> través del efectivo </w:t>
      </w:r>
      <w:r w:rsidRPr="001954DA">
        <w:rPr>
          <w:rFonts w:asciiTheme="majorHAnsi" w:hAnsiTheme="majorHAnsi" w:cs="Arial"/>
          <w:i/>
          <w:sz w:val="18"/>
          <w:szCs w:val="18"/>
          <w:lang w:val="es-CO"/>
        </w:rPr>
        <w:t>acceso a un recurso sencillo, rápido y eficaz, para lo cual deberá constituir a la mayor brevedad un órgano independiente e imparcial que cuente con facultades para decidir en forma vinculante y definitiva si esas personas fueron cesadas regular y justificadamente del Congreso de la República o, en caso contrario, que así lo determine y fije las consecuencias jurídicas correspondientes</w:t>
      </w:r>
      <w:r w:rsidRPr="001954DA">
        <w:rPr>
          <w:rFonts w:asciiTheme="majorHAnsi" w:hAnsiTheme="majorHAnsi"/>
          <w:i/>
          <w:sz w:val="18"/>
          <w:szCs w:val="18"/>
          <w:lang w:val="es-CO"/>
        </w:rPr>
        <w:t>, inclusive, en su caso, las compensaciones debidas en función de las circunstancias específicas de cada una de esas personas.</w:t>
      </w:r>
    </w:p>
    <w:p w14:paraId="2A4442C4" w14:textId="77777777" w:rsidR="001954DA" w:rsidRPr="001954DA" w:rsidRDefault="001954DA" w:rsidP="001954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 w:right="142"/>
        <w:contextualSpacing/>
        <w:jc w:val="both"/>
        <w:rPr>
          <w:rFonts w:asciiTheme="majorHAnsi" w:hAnsiTheme="majorHAnsi"/>
          <w:sz w:val="18"/>
          <w:szCs w:val="18"/>
          <w:lang w:val="es-CO"/>
        </w:rPr>
      </w:pPr>
    </w:p>
    <w:p w14:paraId="63338747" w14:textId="77777777" w:rsidR="00FB4380" w:rsidRPr="001954DA" w:rsidRDefault="00FB4380" w:rsidP="001954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 w:right="142"/>
        <w:contextualSpacing/>
        <w:jc w:val="both"/>
        <w:rPr>
          <w:rFonts w:asciiTheme="majorHAnsi" w:hAnsiTheme="majorHAnsi"/>
          <w:sz w:val="18"/>
          <w:szCs w:val="18"/>
          <w:lang w:val="es-CO"/>
        </w:rPr>
      </w:pPr>
      <w:r w:rsidRPr="001954DA">
        <w:rPr>
          <w:rFonts w:asciiTheme="majorHAnsi" w:hAnsiTheme="majorHAnsi"/>
          <w:sz w:val="18"/>
          <w:szCs w:val="18"/>
          <w:lang w:val="es-CO"/>
        </w:rPr>
        <w:t xml:space="preserve">La información recibida en el seguimiento al cumplimiento de la mencionada sentencia indica que se estableció una “Comisión Especial para la Ejecución de la Sentencia en el Caso Trabajadores Cesados del Congreso”, la cual emitió su informe final el 14 de diciembre de 2010. En lo pertinente, </w:t>
      </w:r>
      <w:r w:rsidRPr="001954DA">
        <w:rPr>
          <w:rFonts w:asciiTheme="majorHAnsi" w:hAnsiTheme="majorHAnsi" w:cs="Arial"/>
          <w:sz w:val="18"/>
          <w:szCs w:val="18"/>
          <w:lang w:val="es-CO"/>
        </w:rPr>
        <w:t xml:space="preserve">dicho informe estableció el carácter irregular e injustificado del despido de las 257 víctimas y ordenó i) la reposición en su empleo o su reubicación; ii) el abono de sus remuneraciones devengadas o dejadas de percibir; iii) el reconocimiento, para obtener una pensión de jubilación, de los años de aporte al sistema de pensiones al que se encontraban afiliados al momento de su cese; iv) la realización de los aportes necesarios para que el trabajador y su familia recuperen su derecho de atención y prestaciones ante el Seguro Social de Salud, y v) el reconocimiento como tiempo de servicios del periodo que no han laborado debido a su cese irregular </w:t>
      </w:r>
      <w:r w:rsidRPr="001954DA">
        <w:rPr>
          <w:rFonts w:asciiTheme="majorHAnsi" w:hAnsiTheme="majorHAnsi"/>
          <w:sz w:val="18"/>
          <w:szCs w:val="18"/>
          <w:shd w:val="clear" w:color="auto" w:fill="FFFFFF"/>
          <w:lang w:val="es-ES"/>
        </w:rPr>
        <w:t>y efectuar por el mismo período la reserva correspondiente a la Compensación por Tiempo de Servicios</w:t>
      </w:r>
      <w:r w:rsidRPr="001954DA">
        <w:rPr>
          <w:rFonts w:asciiTheme="majorHAnsi" w:hAnsiTheme="majorHAnsi" w:cs="Arial"/>
          <w:sz w:val="18"/>
          <w:szCs w:val="18"/>
          <w:lang w:val="es-CO"/>
        </w:rPr>
        <w:t xml:space="preserve">. </w:t>
      </w:r>
    </w:p>
    <w:p w14:paraId="4AD99AB0" w14:textId="77777777" w:rsidR="00FB4380" w:rsidRPr="001954DA" w:rsidRDefault="00FB4380" w:rsidP="001954DA">
      <w:pPr>
        <w:ind w:left="142" w:right="142"/>
        <w:rPr>
          <w:rFonts w:asciiTheme="majorHAnsi" w:hAnsiTheme="majorHAnsi"/>
          <w:sz w:val="18"/>
          <w:szCs w:val="18"/>
          <w:shd w:val="clear" w:color="auto" w:fill="FFFFFF"/>
          <w:lang w:val="es-ES"/>
        </w:rPr>
      </w:pPr>
    </w:p>
    <w:p w14:paraId="1910415C" w14:textId="77777777" w:rsidR="00FB4380" w:rsidRPr="001954DA" w:rsidRDefault="00FB4380" w:rsidP="001954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 w:right="142"/>
        <w:contextualSpacing/>
        <w:jc w:val="both"/>
        <w:rPr>
          <w:rFonts w:asciiTheme="majorHAnsi" w:hAnsiTheme="majorHAnsi"/>
          <w:sz w:val="18"/>
          <w:szCs w:val="18"/>
          <w:lang w:val="es-CO"/>
        </w:rPr>
      </w:pPr>
      <w:r w:rsidRPr="001954DA">
        <w:rPr>
          <w:rFonts w:asciiTheme="majorHAnsi" w:hAnsiTheme="majorHAnsi"/>
          <w:sz w:val="18"/>
          <w:szCs w:val="18"/>
          <w:lang w:val="es-CO"/>
        </w:rPr>
        <w:t>En cumplimiento del Acta de la Comisión Especial, el Departamento de Recursos Humanos del Congreso de la República, mediante Resoluciones administrativas individuales determinó lo siguiente: (i) el período computable a ser reconocido a cada uno de los 257 beneficiarios; (ii) el monto dinerario del capital indemnizatorio por lucro cesante (remuneraciones devengadas dejadas de percibir); (iii) deducción de sumas correspondientes a los importes para el sistema previsional en que se encontraba afiliado el administrado, y (iv) se proceda a la liquidación de intereses.</w:t>
      </w:r>
    </w:p>
    <w:p w14:paraId="1FA81DB9" w14:textId="77777777" w:rsidR="00FB4380" w:rsidRPr="001954DA" w:rsidRDefault="00FB4380" w:rsidP="001954DA">
      <w:pPr>
        <w:tabs>
          <w:tab w:val="left" w:pos="6557"/>
        </w:tabs>
        <w:ind w:left="142" w:right="142"/>
        <w:rPr>
          <w:rFonts w:asciiTheme="majorHAnsi" w:hAnsiTheme="majorHAnsi"/>
          <w:sz w:val="18"/>
          <w:szCs w:val="18"/>
          <w:lang w:val="es-CO"/>
        </w:rPr>
      </w:pPr>
      <w:r w:rsidRPr="001954DA">
        <w:rPr>
          <w:rFonts w:asciiTheme="majorHAnsi" w:hAnsiTheme="majorHAnsi"/>
          <w:sz w:val="18"/>
          <w:szCs w:val="18"/>
          <w:lang w:val="es-CO"/>
        </w:rPr>
        <w:tab/>
      </w:r>
    </w:p>
    <w:p w14:paraId="0F88F7A2" w14:textId="77777777" w:rsidR="00FB4380" w:rsidRPr="001954DA" w:rsidRDefault="00FB4380" w:rsidP="001954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 w:right="142"/>
        <w:contextualSpacing/>
        <w:jc w:val="both"/>
        <w:rPr>
          <w:rFonts w:asciiTheme="majorHAnsi" w:hAnsiTheme="majorHAnsi"/>
          <w:sz w:val="18"/>
          <w:szCs w:val="18"/>
          <w:lang w:val="es-CO"/>
        </w:rPr>
      </w:pPr>
      <w:r w:rsidRPr="001954DA">
        <w:rPr>
          <w:rFonts w:asciiTheme="majorHAnsi" w:hAnsiTheme="majorHAnsi"/>
          <w:sz w:val="18"/>
          <w:szCs w:val="18"/>
          <w:lang w:val="es-CO"/>
        </w:rPr>
        <w:t xml:space="preserve">A pesar de que estas consideraciones de la Comisión Especial fueron emitidas en 2010, su implementación aún continúa. La mencionada Comisión Especial ya no se encuentra en funciones. El acta final de dicha Comisión </w:t>
      </w:r>
      <w:r w:rsidRPr="001954DA">
        <w:rPr>
          <w:rFonts w:asciiTheme="majorHAnsi" w:hAnsiTheme="majorHAnsi" w:cs="Times New Roman"/>
          <w:sz w:val="18"/>
          <w:szCs w:val="18"/>
          <w:lang w:val="es-CO"/>
        </w:rPr>
        <w:t>ha sido objeto de judicialización, por disposición expresa del artículo sexto de dicho documento que indicó que su ejecución se efectuaría conforme al procedimiento a que se refiere la Ley N° 27775, “Ley que regula el procedimiento de ejecución de sentencias emitidas por Tribunales Supranacionales”. Esta ley, en su artículo 2° establece que la sentencia emitida por el Tribunal Internacional será transcrita por el Ministerio de Relaciones Exteriores al Presidente de la Corte Suprema, quien la remitirá a la Sala en que se agotó la jurisdicción interna, disponiendo su ejecución por el Juez Especializado o Mixto que conoció el proceso previo. En el caso de no existir proceso interno previo, dispondrá que el Juez Especializado o Mixto competente conozca de la ejecución de la resolución. Ello explica que ante dichos jueces especializados aún se estén planteando controversias sobre los alcances de lo decidido por la Comisión Especial.</w:t>
      </w:r>
    </w:p>
    <w:p w14:paraId="1490C8E3" w14:textId="77777777" w:rsidR="00FB4380" w:rsidRPr="001954DA" w:rsidRDefault="00FB4380" w:rsidP="001954DA">
      <w:pPr>
        <w:ind w:left="142" w:right="142"/>
        <w:rPr>
          <w:rFonts w:asciiTheme="majorHAnsi" w:hAnsiTheme="majorHAnsi"/>
          <w:sz w:val="18"/>
          <w:szCs w:val="18"/>
          <w:lang w:val="es-CO"/>
        </w:rPr>
      </w:pPr>
    </w:p>
    <w:p w14:paraId="11776770" w14:textId="161943A1" w:rsidR="00B50860" w:rsidRPr="001954DA" w:rsidRDefault="00FB4380" w:rsidP="001954D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sz w:val="18"/>
          <w:szCs w:val="18"/>
        </w:rPr>
      </w:pPr>
      <w:r w:rsidRPr="001954DA">
        <w:rPr>
          <w:rFonts w:asciiTheme="majorHAnsi" w:hAnsiTheme="majorHAnsi"/>
          <w:sz w:val="18"/>
          <w:szCs w:val="18"/>
        </w:rPr>
        <w:lastRenderedPageBreak/>
        <w:t xml:space="preserve">Ahora bien, teniendo en cuenta que han transcurrido 23 años de ocurridos los hechos, y 9 años desde la emisión de la sentencia en el </w:t>
      </w:r>
      <w:r w:rsidRPr="001954DA">
        <w:rPr>
          <w:rFonts w:asciiTheme="majorHAnsi" w:hAnsiTheme="majorHAnsi"/>
          <w:i/>
          <w:sz w:val="18"/>
          <w:szCs w:val="18"/>
        </w:rPr>
        <w:t>Caso</w:t>
      </w:r>
      <w:r w:rsidRPr="001954DA">
        <w:rPr>
          <w:rFonts w:asciiTheme="majorHAnsi" w:hAnsiTheme="majorHAnsi"/>
          <w:sz w:val="18"/>
          <w:szCs w:val="18"/>
        </w:rPr>
        <w:t xml:space="preserve"> </w:t>
      </w:r>
      <w:r w:rsidRPr="001954DA">
        <w:rPr>
          <w:rFonts w:asciiTheme="majorHAnsi" w:hAnsiTheme="majorHAnsi"/>
          <w:i/>
          <w:sz w:val="18"/>
          <w:szCs w:val="18"/>
        </w:rPr>
        <w:t>Trabajadores Cesados del Congreso</w:t>
      </w:r>
      <w:r w:rsidRPr="001954DA">
        <w:rPr>
          <w:rFonts w:asciiTheme="majorHAnsi" w:hAnsiTheme="majorHAnsi"/>
          <w:sz w:val="18"/>
          <w:szCs w:val="18"/>
        </w:rPr>
        <w:t>, la cual sigue enfrentando controversias relacionadas con su implementación, la Corte estima oportuno tomar una decisión definitiva sobre las reparaciones que corresponden en el presente caso sin hacer una remisión al ámbito interno dirigida a la conformación de una Comisión, Grupo de Trabajo o mecanismo análogo. Para tal efecto, el Tribunal tomará en consideración la información disponible en el expediente.</w:t>
      </w:r>
    </w:p>
    <w:p w14:paraId="2CC7E54B" w14:textId="77777777" w:rsidR="008E36F7" w:rsidRDefault="008E36F7" w:rsidP="008E3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sz w:val="18"/>
          <w:szCs w:val="18"/>
        </w:rPr>
      </w:pPr>
    </w:p>
    <w:p w14:paraId="0BB42B2B" w14:textId="77777777" w:rsidR="00634F3A" w:rsidRPr="00E37292" w:rsidRDefault="00634F3A" w:rsidP="007C047E">
      <w:pPr>
        <w:pStyle w:val="BodyTextInden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r w:rsidRPr="00E37292">
        <w:rPr>
          <w:rFonts w:ascii="Cambria" w:hAnsi="Cambria"/>
          <w:sz w:val="20"/>
          <w:szCs w:val="20"/>
          <w:lang w:val="es-ES"/>
        </w:rPr>
        <w:t xml:space="preserve">En virtud de lo anterior, la CIDH adopta el mismo criterio sostenido por la Corte en cuanto a la pertinencia de fijar directamente las reparaciones que corresponden en el marco de sus recomendaciones, sin efectuar remisiones al ámbito interno que retrasen aún más la obtención de dicha reparación. En la misma línea de lo decidido en el referido caso </w:t>
      </w:r>
      <w:r w:rsidRPr="00E37292">
        <w:rPr>
          <w:rFonts w:ascii="Cambria" w:hAnsi="Cambria"/>
          <w:i/>
          <w:sz w:val="20"/>
          <w:szCs w:val="20"/>
          <w:lang w:val="es-ES"/>
        </w:rPr>
        <w:t xml:space="preserve">Canales Huapaya, </w:t>
      </w:r>
      <w:r w:rsidRPr="00E37292">
        <w:rPr>
          <w:rFonts w:ascii="Cambria" w:hAnsi="Cambria"/>
          <w:sz w:val="20"/>
          <w:szCs w:val="20"/>
          <w:lang w:val="es-ES"/>
        </w:rPr>
        <w:t xml:space="preserve">la Comisión considera que </w:t>
      </w:r>
      <w:r w:rsidRPr="00E37292">
        <w:rPr>
          <w:rFonts w:ascii="Cambria" w:hAnsi="Cambria"/>
          <w:sz w:val="20"/>
          <w:szCs w:val="20"/>
          <w:lang w:val="es-CO"/>
        </w:rPr>
        <w:t>transcurridos más de 20 años “de los ceses laborales ocurridos en el presente caso, la reincorporación o reposición de las víctimas en sus antiguos cargos o en otros análogos enfrenta diversos niveles de complejidad y operatividad, en particular, por la modificación de la planta de personal en el Congreso”</w:t>
      </w:r>
      <w:r w:rsidRPr="00E37292">
        <w:rPr>
          <w:rStyle w:val="FootnoteReference"/>
          <w:rFonts w:ascii="Cambria" w:hAnsi="Cambria"/>
          <w:sz w:val="18"/>
          <w:szCs w:val="18"/>
        </w:rPr>
        <w:footnoteReference w:id="29"/>
      </w:r>
      <w:r w:rsidRPr="00E37292">
        <w:rPr>
          <w:rFonts w:ascii="Cambria" w:hAnsi="Cambria"/>
          <w:sz w:val="20"/>
          <w:szCs w:val="20"/>
          <w:lang w:val="es-CO"/>
        </w:rPr>
        <w:t>. En consecuencia, en las recomendaciones, no se incluirá el reintegro de las víctimas a sus cargos, aspecto que deberá ser tomado en cuenta al momento de calcular la indemnización compensatoria</w:t>
      </w:r>
      <w:r w:rsidRPr="00E37292">
        <w:rPr>
          <w:rStyle w:val="FootnoteReference"/>
          <w:rFonts w:ascii="Cambria" w:hAnsi="Cambria"/>
          <w:sz w:val="18"/>
          <w:szCs w:val="18"/>
        </w:rPr>
        <w:footnoteReference w:id="30"/>
      </w:r>
      <w:r w:rsidRPr="00E37292">
        <w:rPr>
          <w:rFonts w:ascii="Cambria" w:hAnsi="Cambria"/>
          <w:sz w:val="20"/>
          <w:szCs w:val="20"/>
          <w:lang w:val="es-CO"/>
        </w:rPr>
        <w:t xml:space="preserve">. </w:t>
      </w:r>
    </w:p>
    <w:p w14:paraId="19E8B796" w14:textId="77777777" w:rsidR="00634F3A" w:rsidRPr="00AD159D" w:rsidRDefault="00634F3A" w:rsidP="007C047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16"/>
          <w:szCs w:val="16"/>
          <w:lang w:val="es-ES"/>
        </w:rPr>
      </w:pPr>
    </w:p>
    <w:p w14:paraId="0FD7BA5B" w14:textId="6232E442" w:rsidR="0084708B" w:rsidRPr="00E5696E" w:rsidRDefault="00486203" w:rsidP="007C047E">
      <w:pPr>
        <w:pStyle w:val="BodyTextInden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r>
        <w:rPr>
          <w:rFonts w:asciiTheme="majorHAnsi" w:hAnsiTheme="majorHAnsi"/>
          <w:sz w:val="20"/>
          <w:szCs w:val="20"/>
          <w:lang w:val="es-ES"/>
        </w:rPr>
        <w:t>Sin perjuicio de lo anterior, la Comisión toma nota</w:t>
      </w:r>
      <w:r w:rsidR="00CA5A40">
        <w:rPr>
          <w:rFonts w:asciiTheme="majorHAnsi" w:hAnsiTheme="majorHAnsi"/>
          <w:sz w:val="20"/>
          <w:szCs w:val="20"/>
          <w:lang w:val="es-ES"/>
        </w:rPr>
        <w:t xml:space="preserve"> de</w:t>
      </w:r>
      <w:r>
        <w:rPr>
          <w:rFonts w:asciiTheme="majorHAnsi" w:hAnsiTheme="majorHAnsi"/>
          <w:sz w:val="20"/>
          <w:szCs w:val="20"/>
          <w:lang w:val="es-ES"/>
        </w:rPr>
        <w:t xml:space="preserve"> que </w:t>
      </w:r>
      <w:r w:rsidR="0021146D">
        <w:rPr>
          <w:rFonts w:asciiTheme="majorHAnsi" w:hAnsiTheme="majorHAnsi"/>
          <w:sz w:val="20"/>
          <w:szCs w:val="20"/>
          <w:lang w:val="es-ES"/>
        </w:rPr>
        <w:t>un grupo significativo de víctimas</w:t>
      </w:r>
      <w:r w:rsidR="00CA5A40">
        <w:rPr>
          <w:rFonts w:asciiTheme="majorHAnsi" w:hAnsiTheme="majorHAnsi"/>
          <w:sz w:val="20"/>
          <w:szCs w:val="20"/>
          <w:lang w:val="es-ES"/>
        </w:rPr>
        <w:t xml:space="preserve"> en el presente caso, accedió</w:t>
      </w:r>
      <w:r w:rsidR="0021146D">
        <w:rPr>
          <w:rFonts w:asciiTheme="majorHAnsi" w:hAnsiTheme="majorHAnsi"/>
          <w:sz w:val="20"/>
          <w:szCs w:val="20"/>
          <w:lang w:val="es-ES"/>
        </w:rPr>
        <w:t xml:space="preserve"> de distintos m</w:t>
      </w:r>
      <w:r w:rsidR="00EF7742">
        <w:rPr>
          <w:rFonts w:asciiTheme="majorHAnsi" w:hAnsiTheme="majorHAnsi"/>
          <w:sz w:val="20"/>
          <w:szCs w:val="20"/>
          <w:lang w:val="es-ES"/>
        </w:rPr>
        <w:t xml:space="preserve">odos al Programa Extraordinario. Así, </w:t>
      </w:r>
      <w:r w:rsidR="00EF7742" w:rsidRPr="00EF7742">
        <w:rPr>
          <w:rFonts w:ascii="Cambria" w:hAnsi="Cambria" w:cs="Calibri"/>
          <w:sz w:val="20"/>
          <w:szCs w:val="20"/>
          <w:lang w:val="es-ES"/>
        </w:rPr>
        <w:t xml:space="preserve">del total de 192 presuntas </w:t>
      </w:r>
      <w:r w:rsidR="00EF7742" w:rsidRPr="00E5696E">
        <w:rPr>
          <w:rFonts w:asciiTheme="majorHAnsi" w:hAnsiTheme="majorHAnsi" w:cs="Calibri"/>
          <w:sz w:val="20"/>
          <w:szCs w:val="20"/>
          <w:lang w:val="es-ES"/>
        </w:rPr>
        <w:t>víctimas, la CIDH encuentra que al menos 121 han accedido a algunas de las modalidades de reparación, que tres reingresaron a laborar bajo otras modalidades y regímenes laborales al Congreso, que 51 no accedieron al mencionado Programa, careciendo información respecto de la situación particular de 17 presuntas víctimas.</w:t>
      </w:r>
      <w:r w:rsidR="0084708B" w:rsidRPr="00E5696E">
        <w:rPr>
          <w:rFonts w:asciiTheme="majorHAnsi" w:hAnsiTheme="majorHAnsi" w:cs="Calibri"/>
          <w:sz w:val="20"/>
          <w:szCs w:val="20"/>
          <w:lang w:val="es-ES"/>
        </w:rPr>
        <w:t xml:space="preserve"> Al igual que lo establecido por la Corte en el caso de los </w:t>
      </w:r>
      <w:r w:rsidR="0084708B" w:rsidRPr="00E5696E">
        <w:rPr>
          <w:rFonts w:asciiTheme="majorHAnsi" w:hAnsiTheme="majorHAnsi" w:cs="Calibri"/>
          <w:i/>
          <w:sz w:val="20"/>
          <w:szCs w:val="20"/>
          <w:lang w:val="es-ES"/>
        </w:rPr>
        <w:t xml:space="preserve">Trabajadores Cesados de Petroperú y otros, </w:t>
      </w:r>
      <w:r w:rsidR="0084708B" w:rsidRPr="00E5696E">
        <w:rPr>
          <w:rFonts w:asciiTheme="majorHAnsi" w:hAnsiTheme="majorHAnsi" w:cs="Calibri"/>
          <w:sz w:val="20"/>
          <w:szCs w:val="20"/>
          <w:lang w:val="es-ES"/>
        </w:rPr>
        <w:t>la CIDH “</w:t>
      </w:r>
      <w:r w:rsidR="0084708B" w:rsidRPr="00E5696E">
        <w:rPr>
          <w:rFonts w:asciiTheme="majorHAnsi" w:hAnsiTheme="majorHAnsi" w:cs="Verdana"/>
          <w:sz w:val="20"/>
          <w:szCs w:val="20"/>
          <w:lang w:val="es-CO"/>
        </w:rPr>
        <w:t>reconoce y valora los esfuerzos desarrollados por el Estado en materia de reparación de los trabajadores que fueron considerados cesados irregularmente en la década de los noventa”. En ese sentido, la CIDH “considera que el mecanismo de reparación interno, así como los beneficios que ya han sido otorgados, en virtud de la ley No. 27803, pueden ser tomados en cuenta en lo que concierne a la obligación de reparar integralmente</w:t>
      </w:r>
      <w:r w:rsidR="003E3B6B" w:rsidRPr="00E5696E">
        <w:rPr>
          <w:rStyle w:val="FootnoteReference"/>
          <w:rFonts w:asciiTheme="majorHAnsi" w:hAnsiTheme="majorHAnsi"/>
          <w:sz w:val="20"/>
          <w:szCs w:val="20"/>
          <w:lang w:val="es-ES"/>
        </w:rPr>
        <w:footnoteReference w:id="31"/>
      </w:r>
      <w:r w:rsidR="0084708B" w:rsidRPr="00E5696E">
        <w:rPr>
          <w:rFonts w:asciiTheme="majorHAnsi" w:hAnsiTheme="majorHAnsi" w:cs="Verdana"/>
          <w:sz w:val="20"/>
          <w:szCs w:val="20"/>
          <w:lang w:val="es-CO"/>
        </w:rPr>
        <w:t>.</w:t>
      </w:r>
      <w:r w:rsidR="0084708B" w:rsidRPr="0084708B">
        <w:rPr>
          <w:rFonts w:ascii="Verdana" w:hAnsi="Verdana" w:cs="Verdana"/>
          <w:sz w:val="20"/>
          <w:szCs w:val="20"/>
          <w:lang w:val="es-CO"/>
        </w:rPr>
        <w:t xml:space="preserve"> </w:t>
      </w:r>
    </w:p>
    <w:p w14:paraId="6214E5C3" w14:textId="77777777" w:rsidR="00E5696E" w:rsidRPr="00AD159D" w:rsidRDefault="00E5696E" w:rsidP="007C047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16"/>
          <w:szCs w:val="16"/>
          <w:lang w:val="es-ES"/>
        </w:rPr>
      </w:pPr>
    </w:p>
    <w:p w14:paraId="56BF463A" w14:textId="77777777" w:rsidR="0084708B" w:rsidRPr="00754CD7" w:rsidRDefault="00E5696E" w:rsidP="007C047E">
      <w:pPr>
        <w:pStyle w:val="BodyTextInden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754CD7">
        <w:rPr>
          <w:rFonts w:asciiTheme="majorHAnsi" w:hAnsiTheme="majorHAnsi"/>
          <w:sz w:val="20"/>
          <w:szCs w:val="20"/>
          <w:lang w:val="es-ES"/>
        </w:rPr>
        <w:t xml:space="preserve">En ese sentido, respecto de las </w:t>
      </w:r>
      <w:r w:rsidR="00D54515" w:rsidRPr="00754CD7">
        <w:rPr>
          <w:rFonts w:asciiTheme="majorHAnsi" w:hAnsiTheme="majorHAnsi"/>
          <w:sz w:val="20"/>
          <w:szCs w:val="20"/>
          <w:lang w:val="es-ES"/>
        </w:rPr>
        <w:t xml:space="preserve">víctimas </w:t>
      </w:r>
      <w:r w:rsidRPr="00754CD7">
        <w:rPr>
          <w:rFonts w:asciiTheme="majorHAnsi" w:hAnsiTheme="majorHAnsi"/>
          <w:sz w:val="20"/>
          <w:szCs w:val="20"/>
          <w:lang w:val="es-ES"/>
        </w:rPr>
        <w:t xml:space="preserve">que </w:t>
      </w:r>
      <w:r w:rsidR="00D54515" w:rsidRPr="00754CD7">
        <w:rPr>
          <w:rFonts w:asciiTheme="majorHAnsi" w:hAnsiTheme="majorHAnsi"/>
          <w:sz w:val="20"/>
          <w:szCs w:val="20"/>
          <w:lang w:val="es-ES"/>
        </w:rPr>
        <w:t xml:space="preserve">obtuvieron algún tipo de reparación en el marco del Programa extraordinario, la Comisión reitera su criterio sobre el carácter parcial de la misma </w:t>
      </w:r>
      <w:r w:rsidR="00754CD7" w:rsidRPr="00754CD7">
        <w:rPr>
          <w:rFonts w:asciiTheme="majorHAnsi" w:hAnsiTheme="majorHAnsi"/>
          <w:sz w:val="20"/>
          <w:szCs w:val="20"/>
          <w:lang w:val="es-ES"/>
        </w:rPr>
        <w:t xml:space="preserve">y establece que el Estado podrá descontar, del monto final fijado en el marco del cumplimiento de las </w:t>
      </w:r>
      <w:r w:rsidR="00E82DC0" w:rsidRPr="00754CD7">
        <w:rPr>
          <w:rFonts w:asciiTheme="majorHAnsi" w:hAnsiTheme="majorHAnsi"/>
          <w:sz w:val="20"/>
          <w:szCs w:val="20"/>
          <w:lang w:val="es-ES"/>
        </w:rPr>
        <w:t>recomendaciones</w:t>
      </w:r>
      <w:r w:rsidR="00754CD7" w:rsidRPr="00754CD7">
        <w:rPr>
          <w:rFonts w:asciiTheme="majorHAnsi" w:hAnsiTheme="majorHAnsi"/>
          <w:sz w:val="20"/>
          <w:szCs w:val="20"/>
          <w:lang w:val="es-ES"/>
        </w:rPr>
        <w:t xml:space="preserve">, los montos ya otorgados en la medida de lo pertinente. </w:t>
      </w:r>
    </w:p>
    <w:p w14:paraId="02F5F77D" w14:textId="77777777" w:rsidR="00B55BF5" w:rsidRPr="00AD159D" w:rsidRDefault="00B55BF5" w:rsidP="007C047E">
      <w:pPr>
        <w:pStyle w:val="ListParagraph"/>
        <w:ind w:left="0"/>
        <w:rPr>
          <w:rFonts w:asciiTheme="majorHAnsi" w:hAnsiTheme="majorHAnsi"/>
          <w:sz w:val="16"/>
          <w:szCs w:val="16"/>
          <w:lang w:val="es-ES"/>
        </w:rPr>
      </w:pPr>
    </w:p>
    <w:p w14:paraId="312436C6" w14:textId="77777777" w:rsidR="0037382D" w:rsidRPr="00FB4380" w:rsidRDefault="0037382D" w:rsidP="007C047E">
      <w:pPr>
        <w:pStyle w:val="BodyTextInden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r w:rsidRPr="00FB4380">
        <w:rPr>
          <w:rFonts w:asciiTheme="majorHAnsi" w:hAnsiTheme="majorHAnsi" w:cs="Arial"/>
          <w:sz w:val="20"/>
          <w:szCs w:val="20"/>
          <w:lang w:val="es-AR"/>
        </w:rPr>
        <w:t xml:space="preserve">En </w:t>
      </w:r>
      <w:r w:rsidRPr="00FB4380">
        <w:rPr>
          <w:rFonts w:asciiTheme="majorHAnsi" w:hAnsiTheme="majorHAnsi" w:cs="Arial"/>
          <w:sz w:val="20"/>
          <w:szCs w:val="20"/>
        </w:rPr>
        <w:t>virtud</w:t>
      </w:r>
      <w:r w:rsidRPr="00FB4380">
        <w:rPr>
          <w:rFonts w:asciiTheme="majorHAnsi" w:hAnsiTheme="majorHAnsi" w:cs="Arial"/>
          <w:sz w:val="20"/>
          <w:szCs w:val="20"/>
          <w:lang w:val="es-AR"/>
        </w:rPr>
        <w:t xml:space="preserve"> de las anteriores c</w:t>
      </w:r>
      <w:r w:rsidR="009D4CC1">
        <w:rPr>
          <w:rFonts w:asciiTheme="majorHAnsi" w:hAnsiTheme="majorHAnsi" w:cs="Arial"/>
          <w:sz w:val="20"/>
          <w:szCs w:val="20"/>
          <w:lang w:val="es-AR"/>
        </w:rPr>
        <w:t>onsideraciones</w:t>
      </w:r>
      <w:r w:rsidRPr="00FB4380">
        <w:rPr>
          <w:rFonts w:asciiTheme="majorHAnsi" w:hAnsiTheme="majorHAnsi" w:cs="Arial"/>
          <w:sz w:val="20"/>
          <w:szCs w:val="20"/>
          <w:lang w:val="es-AR"/>
        </w:rPr>
        <w:t>,</w:t>
      </w:r>
    </w:p>
    <w:p w14:paraId="555624E5" w14:textId="77777777" w:rsidR="00006896" w:rsidRPr="00AD159D" w:rsidRDefault="00006896" w:rsidP="00006896">
      <w:pPr>
        <w:suppressAutoHyphens/>
        <w:jc w:val="both"/>
        <w:rPr>
          <w:rFonts w:asciiTheme="majorHAnsi" w:hAnsiTheme="majorHAnsi"/>
          <w:b/>
          <w:sz w:val="16"/>
          <w:szCs w:val="16"/>
          <w:lang w:val="es-ES"/>
        </w:rPr>
      </w:pPr>
    </w:p>
    <w:p w14:paraId="64D2434D" w14:textId="2D22FFBC" w:rsidR="00006896" w:rsidRPr="007C5B49" w:rsidRDefault="00006896" w:rsidP="0031160D">
      <w:pPr>
        <w:jc w:val="both"/>
        <w:rPr>
          <w:rFonts w:asciiTheme="majorHAnsi" w:hAnsiTheme="majorHAnsi"/>
          <w:b/>
          <w:sz w:val="20"/>
          <w:szCs w:val="20"/>
          <w:lang w:val="es-ES_tradnl"/>
        </w:rPr>
      </w:pPr>
      <w:r w:rsidRPr="007C5B49">
        <w:rPr>
          <w:rFonts w:asciiTheme="majorHAnsi" w:hAnsiTheme="majorHAnsi"/>
          <w:b/>
          <w:sz w:val="20"/>
          <w:szCs w:val="20"/>
          <w:lang w:val="es-ES_tradnl"/>
        </w:rPr>
        <w:t>LA COMISIÓN INTERAMERICANA DE DERE</w:t>
      </w:r>
      <w:r w:rsidR="00B24C7E">
        <w:rPr>
          <w:rFonts w:asciiTheme="majorHAnsi" w:hAnsiTheme="majorHAnsi"/>
          <w:b/>
          <w:sz w:val="20"/>
          <w:szCs w:val="20"/>
          <w:lang w:val="es-ES_tradnl"/>
        </w:rPr>
        <w:t>CHOS HUMANOS</w:t>
      </w:r>
      <w:r w:rsidRPr="007C5B49">
        <w:rPr>
          <w:rFonts w:asciiTheme="majorHAnsi" w:hAnsiTheme="majorHAnsi"/>
          <w:b/>
          <w:sz w:val="20"/>
          <w:szCs w:val="20"/>
          <w:lang w:val="es-ES_tradnl"/>
        </w:rPr>
        <w:t xml:space="preserve"> RECOMIENDA AL ESTADO DE </w:t>
      </w:r>
      <w:r w:rsidR="0013183C" w:rsidRPr="007C5B49">
        <w:rPr>
          <w:rFonts w:asciiTheme="majorHAnsi" w:hAnsiTheme="majorHAnsi"/>
          <w:b/>
          <w:sz w:val="20"/>
          <w:szCs w:val="20"/>
          <w:lang w:val="es-ES_tradnl"/>
        </w:rPr>
        <w:t>PERÚ</w:t>
      </w:r>
      <w:r w:rsidR="00B24C7E">
        <w:rPr>
          <w:rFonts w:asciiTheme="majorHAnsi" w:hAnsiTheme="majorHAnsi"/>
          <w:b/>
          <w:sz w:val="20"/>
          <w:szCs w:val="20"/>
          <w:lang w:val="es-ES_tradnl"/>
        </w:rPr>
        <w:t>:</w:t>
      </w:r>
    </w:p>
    <w:p w14:paraId="716CC034" w14:textId="77777777" w:rsidR="00F469EF" w:rsidRDefault="00006896" w:rsidP="00F469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666666"/>
          <w:sz w:val="15"/>
          <w:szCs w:val="15"/>
          <w:bdr w:val="none" w:sz="0" w:space="0" w:color="auto"/>
          <w:lang w:val="es-US"/>
        </w:rPr>
      </w:pPr>
      <w:r w:rsidRPr="007C5B49">
        <w:rPr>
          <w:rFonts w:asciiTheme="majorHAnsi" w:eastAsia="Times New Roman" w:hAnsiTheme="majorHAnsi"/>
          <w:color w:val="666666"/>
          <w:sz w:val="15"/>
          <w:szCs w:val="15"/>
          <w:bdr w:val="none" w:sz="0" w:space="0" w:color="auto"/>
          <w:lang w:val="es-US"/>
        </w:rPr>
        <w:t> </w:t>
      </w:r>
    </w:p>
    <w:p w14:paraId="741685EC" w14:textId="7788B307" w:rsidR="007C5B49" w:rsidRPr="00F469EF" w:rsidRDefault="007C5B49" w:rsidP="00B24C7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olor w:val="666666"/>
          <w:sz w:val="15"/>
          <w:szCs w:val="15"/>
          <w:bdr w:val="none" w:sz="0" w:space="0" w:color="auto"/>
          <w:lang w:val="es-US"/>
        </w:rPr>
      </w:pPr>
      <w:r w:rsidRPr="00F469EF">
        <w:rPr>
          <w:rFonts w:asciiTheme="majorHAnsi" w:hAnsiTheme="majorHAnsi"/>
          <w:sz w:val="20"/>
          <w:szCs w:val="20"/>
          <w:lang w:val="es-VE"/>
        </w:rPr>
        <w:t xml:space="preserve">Reparar integralmente las violaciones de derechos declaradas en el presente informe.  </w:t>
      </w:r>
      <w:r w:rsidR="00E82DC0" w:rsidRPr="00F469EF">
        <w:rPr>
          <w:rFonts w:asciiTheme="majorHAnsi" w:hAnsiTheme="majorHAnsi"/>
          <w:sz w:val="20"/>
          <w:szCs w:val="20"/>
          <w:lang w:val="es-VE"/>
        </w:rPr>
        <w:t xml:space="preserve">Conforme a lo establecido por la Corte Interamericana en los casos </w:t>
      </w:r>
      <w:r w:rsidR="00E82DC0" w:rsidRPr="00F469EF">
        <w:rPr>
          <w:rFonts w:asciiTheme="majorHAnsi" w:hAnsiTheme="majorHAnsi"/>
          <w:i/>
          <w:sz w:val="20"/>
          <w:szCs w:val="20"/>
          <w:lang w:val="es-VE"/>
        </w:rPr>
        <w:t xml:space="preserve">Canales Huapaya </w:t>
      </w:r>
      <w:r w:rsidR="00E82DC0" w:rsidRPr="00F469EF">
        <w:rPr>
          <w:rFonts w:asciiTheme="majorHAnsi" w:hAnsiTheme="majorHAnsi"/>
          <w:sz w:val="20"/>
          <w:szCs w:val="20"/>
          <w:lang w:val="es-VE"/>
        </w:rPr>
        <w:t xml:space="preserve">y </w:t>
      </w:r>
      <w:r w:rsidR="00E82DC0" w:rsidRPr="00F469EF">
        <w:rPr>
          <w:rFonts w:asciiTheme="majorHAnsi" w:hAnsiTheme="majorHAnsi"/>
          <w:i/>
          <w:sz w:val="20"/>
          <w:szCs w:val="20"/>
          <w:lang w:val="es-VE"/>
        </w:rPr>
        <w:t xml:space="preserve">Trabajadores Cesados de Petroperú, </w:t>
      </w:r>
      <w:r w:rsidR="00E82DC0" w:rsidRPr="00F469EF">
        <w:rPr>
          <w:rFonts w:asciiTheme="majorHAnsi" w:hAnsiTheme="majorHAnsi"/>
          <w:sz w:val="20"/>
          <w:szCs w:val="20"/>
          <w:lang w:val="es-VE"/>
        </w:rPr>
        <w:t>esta reparación integral debe incluir</w:t>
      </w:r>
      <w:r w:rsidR="00E0411B">
        <w:rPr>
          <w:rFonts w:asciiTheme="majorHAnsi" w:hAnsiTheme="majorHAnsi"/>
          <w:sz w:val="20"/>
          <w:szCs w:val="20"/>
          <w:lang w:val="es-VE"/>
        </w:rPr>
        <w:t xml:space="preserve"> me</w:t>
      </w:r>
      <w:r w:rsidR="00B24C7E">
        <w:rPr>
          <w:rFonts w:asciiTheme="majorHAnsi" w:hAnsiTheme="majorHAnsi"/>
          <w:sz w:val="20"/>
          <w:szCs w:val="20"/>
          <w:lang w:val="es-VE"/>
        </w:rPr>
        <w:t>didas de satisfacción, así como</w:t>
      </w:r>
      <w:r w:rsidR="00E82DC0" w:rsidRPr="00F469EF">
        <w:rPr>
          <w:rFonts w:asciiTheme="majorHAnsi" w:hAnsiTheme="majorHAnsi"/>
          <w:sz w:val="20"/>
          <w:szCs w:val="20"/>
          <w:lang w:val="es-VE"/>
        </w:rPr>
        <w:t xml:space="preserve"> necesariamente una indemnización por daño material e inmaterial, </w:t>
      </w:r>
      <w:r w:rsidR="004D367D" w:rsidRPr="00F469EF">
        <w:rPr>
          <w:rFonts w:asciiTheme="majorHAnsi" w:hAnsiTheme="majorHAnsi"/>
          <w:sz w:val="20"/>
          <w:szCs w:val="20"/>
          <w:lang w:val="es-VE"/>
        </w:rPr>
        <w:t>que</w:t>
      </w:r>
      <w:r w:rsidR="002917DA">
        <w:rPr>
          <w:rFonts w:asciiTheme="majorHAnsi" w:hAnsiTheme="majorHAnsi"/>
          <w:sz w:val="20"/>
          <w:szCs w:val="20"/>
          <w:lang w:val="es-VE"/>
        </w:rPr>
        <w:t xml:space="preserve"> tome en cuenta que no se está disponiendo la reincorporación por las razones ya indicadas. Este monto indemnizatorio deberá incluir además </w:t>
      </w:r>
      <w:r w:rsidR="00AC1A5B" w:rsidRPr="00F469EF">
        <w:rPr>
          <w:rFonts w:asciiTheme="majorHAnsi" w:hAnsiTheme="majorHAnsi"/>
          <w:sz w:val="20"/>
          <w:szCs w:val="20"/>
          <w:lang w:val="es-VE"/>
        </w:rPr>
        <w:t>una suma por</w:t>
      </w:r>
      <w:r w:rsidR="004D367D" w:rsidRPr="00F469EF">
        <w:rPr>
          <w:rFonts w:asciiTheme="majorHAnsi" w:hAnsiTheme="majorHAnsi"/>
          <w:sz w:val="20"/>
          <w:szCs w:val="20"/>
          <w:lang w:val="es-VE"/>
        </w:rPr>
        <w:t xml:space="preserve"> </w:t>
      </w:r>
      <w:r w:rsidR="00E82DC0" w:rsidRPr="00F469EF">
        <w:rPr>
          <w:rFonts w:asciiTheme="majorHAnsi" w:hAnsiTheme="majorHAnsi"/>
          <w:sz w:val="20"/>
          <w:szCs w:val="20"/>
          <w:lang w:val="es-VE"/>
        </w:rPr>
        <w:t>los aportes</w:t>
      </w:r>
      <w:r w:rsidR="006B3B57" w:rsidRPr="00F469EF">
        <w:rPr>
          <w:rFonts w:asciiTheme="majorHAnsi" w:hAnsiTheme="majorHAnsi"/>
          <w:sz w:val="20"/>
          <w:szCs w:val="20"/>
          <w:lang w:val="es-VE"/>
        </w:rPr>
        <w:t xml:space="preserve"> pensionales que no ingresaron a su patrimonio como consecuencia del cese del cual fueron víctima</w:t>
      </w:r>
      <w:r w:rsidR="00B24C7E">
        <w:rPr>
          <w:rFonts w:asciiTheme="majorHAnsi" w:hAnsiTheme="majorHAnsi"/>
          <w:sz w:val="20"/>
          <w:szCs w:val="20"/>
          <w:lang w:val="es-VE"/>
        </w:rPr>
        <w:t>s</w:t>
      </w:r>
      <w:r w:rsidR="006B3B57" w:rsidRPr="00F469EF">
        <w:rPr>
          <w:rFonts w:asciiTheme="majorHAnsi" w:hAnsiTheme="majorHAnsi"/>
          <w:sz w:val="20"/>
          <w:szCs w:val="20"/>
          <w:lang w:val="es-VE"/>
        </w:rPr>
        <w:t xml:space="preserve">. </w:t>
      </w:r>
    </w:p>
    <w:p w14:paraId="68039964" w14:textId="77777777" w:rsidR="00AD159D" w:rsidRPr="00AD159D" w:rsidRDefault="00AD159D" w:rsidP="00AD159D">
      <w:pPr>
        <w:jc w:val="both"/>
        <w:rPr>
          <w:rFonts w:ascii="Cambria" w:hAnsi="Cambria"/>
          <w:sz w:val="16"/>
          <w:szCs w:val="16"/>
          <w:lang w:val="es-VE"/>
        </w:rPr>
      </w:pPr>
    </w:p>
    <w:p w14:paraId="6D2092F4" w14:textId="77777777" w:rsidR="00AD159D" w:rsidRPr="001D5712" w:rsidRDefault="00AD159D" w:rsidP="00AD159D">
      <w:pPr>
        <w:ind w:firstLine="720"/>
        <w:jc w:val="both"/>
        <w:rPr>
          <w:rFonts w:ascii="Cambria" w:hAnsi="Cambria" w:cs="Arial"/>
          <w:noProof/>
          <w:spacing w:val="-2"/>
          <w:sz w:val="20"/>
          <w:szCs w:val="20"/>
          <w:lang w:val="es-CL"/>
        </w:rPr>
      </w:pPr>
      <w:r w:rsidRPr="001D5712">
        <w:rPr>
          <w:rFonts w:ascii="Cambria" w:hAnsi="Cambria" w:cs="Arial"/>
          <w:noProof/>
          <w:spacing w:val="-2"/>
          <w:sz w:val="20"/>
          <w:szCs w:val="20"/>
          <w:lang w:val="es-CL"/>
        </w:rPr>
        <w:t>Aprobado por la Comisión Interamericana de Derechos Humanos en la ciudad de Kingston, Jamaica, a los 4 días del mes de mayo de 2019.  (Firmado): Esmeralda E. Arosemena Bernal de Troitiño, Presidenta; Joel Hernández, Primer Vicepresidente; Antonia Urrejola, Segunda Vicepresidenta; Margarette May Macaulay, Luis Ernesto Vargas Silva y Flávia Piovesan, Miembros de la Comisión.</w:t>
      </w:r>
      <w:r w:rsidRPr="001D5712">
        <w:rPr>
          <w:rFonts w:ascii="Cambria" w:hAnsi="Cambria" w:cs="Arial"/>
          <w:noProof/>
          <w:sz w:val="20"/>
          <w:szCs w:val="20"/>
          <w:lang w:val="es-CL"/>
        </w:rPr>
        <w:t xml:space="preserve"> </w:t>
      </w:r>
    </w:p>
    <w:p w14:paraId="15B27DA0" w14:textId="77777777" w:rsidR="00AD159D" w:rsidRPr="00AD159D" w:rsidRDefault="00AD159D" w:rsidP="00AD159D">
      <w:pPr>
        <w:suppressAutoHyphens/>
        <w:ind w:firstLine="720"/>
        <w:jc w:val="both"/>
        <w:rPr>
          <w:rFonts w:ascii="Cambria" w:hAnsi="Cambria" w:cs="Arial"/>
          <w:noProof/>
          <w:spacing w:val="-2"/>
          <w:sz w:val="16"/>
          <w:szCs w:val="16"/>
          <w:lang w:val="es-CL"/>
        </w:rPr>
      </w:pPr>
    </w:p>
    <w:p w14:paraId="7B8A14A6" w14:textId="31651A32" w:rsidR="00AD159D" w:rsidRPr="001D5712" w:rsidRDefault="00AD159D" w:rsidP="00AD159D">
      <w:pPr>
        <w:ind w:firstLine="540"/>
        <w:jc w:val="both"/>
        <w:rPr>
          <w:rFonts w:ascii="Cambria" w:hAnsi="Cambria" w:cs="Arial"/>
          <w:noProof/>
          <w:sz w:val="20"/>
          <w:szCs w:val="20"/>
          <w:lang w:val="es-CL"/>
        </w:rPr>
      </w:pPr>
      <w:r>
        <w:rPr>
          <w:rFonts w:ascii="Cambria" w:hAnsi="Cambria" w:cs="Arial"/>
          <w:noProof/>
          <w:sz w:val="20"/>
          <w:szCs w:val="20"/>
          <w:lang w:val="es-CL"/>
        </w:rPr>
        <w:lastRenderedPageBreak/>
        <w:t>El</w:t>
      </w:r>
      <w:r w:rsidRPr="001D5712">
        <w:rPr>
          <w:rFonts w:ascii="Cambria" w:hAnsi="Cambria" w:cs="Arial"/>
          <w:noProof/>
          <w:sz w:val="20"/>
          <w:szCs w:val="20"/>
          <w:lang w:val="es-CL"/>
        </w:rPr>
        <w:t xml:space="preserve"> que suscribe, </w:t>
      </w:r>
      <w:r w:rsidRPr="00AD159D">
        <w:rPr>
          <w:rFonts w:ascii="Cambria" w:hAnsi="Cambria" w:cs="Arial"/>
          <w:sz w:val="20"/>
          <w:szCs w:val="20"/>
          <w:lang w:val="es-US"/>
        </w:rPr>
        <w:t>Paulo Abrão</w:t>
      </w:r>
      <w:r>
        <w:rPr>
          <w:rFonts w:ascii="Cambria" w:hAnsi="Cambria" w:cs="Arial"/>
          <w:noProof/>
          <w:sz w:val="20"/>
          <w:szCs w:val="20"/>
          <w:lang w:val="es-CL"/>
        </w:rPr>
        <w:t>, en su carácter de Secretario Ejecutivo</w:t>
      </w:r>
      <w:r w:rsidRPr="001D5712">
        <w:rPr>
          <w:rFonts w:ascii="Cambria" w:hAnsi="Cambria" w:cs="Arial"/>
          <w:noProof/>
          <w:sz w:val="20"/>
          <w:szCs w:val="20"/>
          <w:lang w:val="es-CL"/>
        </w:rPr>
        <w:t xml:space="preserve"> de la Comisión Interamericana de Derechos Humanos, de conformidad con el artículo 49 del Reglamento de la Comisión, certifica que es copia fiel del original depositado en los archivos de la Secretaría de la CIDH.</w:t>
      </w:r>
    </w:p>
    <w:p w14:paraId="7B4726FA" w14:textId="77777777" w:rsidR="00AD159D" w:rsidRPr="00AD159D" w:rsidRDefault="00AD159D" w:rsidP="00AD159D">
      <w:pPr>
        <w:suppressAutoHyphens/>
        <w:jc w:val="both"/>
        <w:rPr>
          <w:rFonts w:ascii="Cambria" w:hAnsi="Cambria" w:cs="Arial"/>
          <w:noProof/>
          <w:spacing w:val="-2"/>
          <w:sz w:val="20"/>
          <w:szCs w:val="20"/>
          <w:lang w:val="es-CL"/>
        </w:rPr>
      </w:pPr>
    </w:p>
    <w:p w14:paraId="4077731F" w14:textId="77777777" w:rsidR="00AD159D" w:rsidRPr="00AD159D" w:rsidRDefault="00AD159D" w:rsidP="00AD159D">
      <w:pPr>
        <w:tabs>
          <w:tab w:val="left" w:pos="0"/>
        </w:tabs>
        <w:rPr>
          <w:rFonts w:ascii="Cambria" w:hAnsi="Cambria" w:cs="Calibri"/>
          <w:sz w:val="20"/>
          <w:szCs w:val="20"/>
          <w:lang w:val="es-PE"/>
        </w:rPr>
      </w:pPr>
    </w:p>
    <w:p w14:paraId="41884A5F" w14:textId="77777777" w:rsidR="00AD159D" w:rsidRPr="00AD159D" w:rsidRDefault="00AD159D" w:rsidP="00AD159D">
      <w:pPr>
        <w:ind w:left="1440" w:hanging="900"/>
        <w:jc w:val="center"/>
        <w:rPr>
          <w:rFonts w:ascii="Cambria" w:hAnsi="Cambria"/>
          <w:sz w:val="20"/>
          <w:szCs w:val="20"/>
        </w:rPr>
      </w:pPr>
      <w:r w:rsidRPr="00AD159D">
        <w:rPr>
          <w:rFonts w:ascii="Cambria" w:hAnsi="Cambria" w:cs="Arial"/>
          <w:sz w:val="20"/>
          <w:szCs w:val="20"/>
        </w:rPr>
        <w:t>Paulo Abrão</w:t>
      </w:r>
    </w:p>
    <w:p w14:paraId="5D45FA48" w14:textId="603DD069" w:rsidR="00AD159D" w:rsidRPr="00AD159D" w:rsidRDefault="00AD159D" w:rsidP="00AD159D">
      <w:pPr>
        <w:ind w:left="1440" w:hanging="900"/>
        <w:jc w:val="center"/>
        <w:rPr>
          <w:rFonts w:ascii="Cambria" w:hAnsi="Cambria"/>
          <w:sz w:val="20"/>
          <w:szCs w:val="20"/>
          <w:lang w:val="es-PE"/>
        </w:rPr>
      </w:pPr>
      <w:r w:rsidRPr="00AD159D">
        <w:rPr>
          <w:rFonts w:ascii="Cambria" w:hAnsi="Cambria"/>
          <w:sz w:val="20"/>
          <w:szCs w:val="20"/>
          <w:lang w:val="es-PE"/>
        </w:rPr>
        <w:t>Secretario Ejecutivo</w:t>
      </w:r>
    </w:p>
    <w:sectPr w:rsidR="00AD159D" w:rsidRPr="00AD159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8C2D4" w14:textId="77777777" w:rsidR="00505351" w:rsidRDefault="00505351">
      <w:r>
        <w:separator/>
      </w:r>
    </w:p>
  </w:endnote>
  <w:endnote w:type="continuationSeparator" w:id="0">
    <w:p w14:paraId="349CEF98" w14:textId="77777777" w:rsidR="00505351" w:rsidRDefault="0050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294112"/>
      <w:docPartObj>
        <w:docPartGallery w:val="Page Numbers (Bottom of Page)"/>
        <w:docPartUnique/>
      </w:docPartObj>
    </w:sdtPr>
    <w:sdtEndPr>
      <w:rPr>
        <w:noProof/>
        <w:sz w:val="16"/>
        <w:szCs w:val="22"/>
      </w:rPr>
    </w:sdtEndPr>
    <w:sdtContent>
      <w:p w14:paraId="4A5DAE4C" w14:textId="6153D6F9" w:rsidR="00505351" w:rsidRPr="00934A2C" w:rsidRDefault="0050535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049E2">
          <w:rPr>
            <w:noProof/>
            <w:sz w:val="16"/>
            <w:szCs w:val="22"/>
          </w:rPr>
          <w:t>8</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9067D" w14:textId="77777777" w:rsidR="00505351" w:rsidRPr="00934A2C" w:rsidRDefault="00505351">
    <w:pPr>
      <w:pStyle w:val="Footer"/>
      <w:jc w:val="center"/>
      <w:rPr>
        <w:sz w:val="16"/>
        <w:szCs w:val="22"/>
      </w:rPr>
    </w:pPr>
  </w:p>
  <w:p w14:paraId="23AAC666" w14:textId="77777777" w:rsidR="00505351" w:rsidRDefault="00505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D8C50" w14:textId="77777777" w:rsidR="00505351" w:rsidRPr="000F35ED" w:rsidRDefault="0050535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A2975AB" w14:textId="77777777" w:rsidR="00505351" w:rsidRPr="000F35ED" w:rsidRDefault="00505351" w:rsidP="000F35ED">
      <w:pPr>
        <w:rPr>
          <w:rFonts w:asciiTheme="majorHAnsi" w:hAnsiTheme="majorHAnsi"/>
          <w:sz w:val="16"/>
          <w:szCs w:val="16"/>
        </w:rPr>
      </w:pPr>
      <w:r w:rsidRPr="000F35ED">
        <w:rPr>
          <w:rFonts w:asciiTheme="majorHAnsi" w:hAnsiTheme="majorHAnsi"/>
          <w:sz w:val="16"/>
          <w:szCs w:val="16"/>
        </w:rPr>
        <w:separator/>
      </w:r>
    </w:p>
    <w:p w14:paraId="33940D18" w14:textId="77777777" w:rsidR="00505351" w:rsidRPr="000F35ED" w:rsidRDefault="0050535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F664F90" w14:textId="77777777" w:rsidR="00505351" w:rsidRPr="000F35ED" w:rsidRDefault="0050535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A60B10D" w14:textId="77777777" w:rsidR="00505351" w:rsidRPr="0070217C" w:rsidRDefault="00505351" w:rsidP="007C370D">
      <w:pPr>
        <w:pStyle w:val="FootnoteText"/>
        <w:rPr>
          <w:color w:val="auto"/>
          <w:lang w:val="es-ES"/>
        </w:rPr>
      </w:pPr>
      <w:r w:rsidRPr="0070217C">
        <w:rPr>
          <w:rStyle w:val="FootnoteReference"/>
          <w:color w:val="auto"/>
        </w:rPr>
        <w:footnoteRef/>
      </w:r>
      <w:r w:rsidRPr="0070217C">
        <w:rPr>
          <w:color w:val="auto"/>
          <w:lang w:val="es-ES"/>
        </w:rPr>
        <w:t xml:space="preserve"> Conforme a lo dispuesto en el artículo 17.2 del Reglamento de la Comisión, el Comisionado Francisco Eguiguren Praelli, de nacionalidad peruana, no participó en el debate ni en la decisión del presente caso.  </w:t>
      </w:r>
    </w:p>
  </w:footnote>
  <w:footnote w:id="3">
    <w:p w14:paraId="305DF0D5" w14:textId="77777777" w:rsidR="00505351" w:rsidRPr="0070217C" w:rsidRDefault="00505351" w:rsidP="0070217C">
      <w:pPr>
        <w:pStyle w:val="FootnoteText"/>
        <w:rPr>
          <w:color w:val="auto"/>
          <w:lang w:val="es-ES"/>
        </w:rPr>
      </w:pPr>
      <w:r w:rsidRPr="0070217C">
        <w:rPr>
          <w:rStyle w:val="FootnoteReference"/>
          <w:color w:val="auto"/>
        </w:rPr>
        <w:footnoteRef/>
      </w:r>
      <w:r w:rsidRPr="0070217C">
        <w:rPr>
          <w:color w:val="auto"/>
          <w:lang w:val="es-ES"/>
        </w:rPr>
        <w:t xml:space="preserve"> La parte peticionaria en esta petición se identificó como Marcelino Meses Huayra. Posteriormente, el 17 de abril de 2014, comunicó que la representación estaría a cargo de Yaneth Josefina Salcedo Saavedra. </w:t>
      </w:r>
    </w:p>
  </w:footnote>
  <w:footnote w:id="4">
    <w:p w14:paraId="1EECF1EC" w14:textId="77777777" w:rsidR="00505351" w:rsidRPr="0070217C" w:rsidRDefault="00505351" w:rsidP="0070217C">
      <w:pPr>
        <w:pStyle w:val="FootnoteText"/>
        <w:rPr>
          <w:lang w:val="es-ES"/>
        </w:rPr>
      </w:pPr>
      <w:r w:rsidRPr="0070217C">
        <w:rPr>
          <w:rStyle w:val="FootnoteReference"/>
          <w:color w:val="auto"/>
        </w:rPr>
        <w:footnoteRef/>
      </w:r>
      <w:r w:rsidRPr="0070217C">
        <w:rPr>
          <w:color w:val="auto"/>
          <w:lang w:val="es-ES"/>
        </w:rPr>
        <w:t xml:space="preserve"> El 5 de septiembre de 2016 las presuntas víctimas del caso 725-03 indicaron que el abogado Mujica también era su representante.</w:t>
      </w:r>
    </w:p>
  </w:footnote>
  <w:footnote w:id="5">
    <w:p w14:paraId="0309BCB6" w14:textId="77777777" w:rsidR="00505351" w:rsidRPr="0070217C" w:rsidRDefault="00505351" w:rsidP="0070217C">
      <w:pPr>
        <w:pStyle w:val="FootnoteText"/>
        <w:rPr>
          <w:lang w:val="es-ES"/>
        </w:rPr>
      </w:pPr>
      <w:r w:rsidRPr="0070217C">
        <w:rPr>
          <w:rStyle w:val="FootnoteReference"/>
        </w:rPr>
        <w:footnoteRef/>
      </w:r>
      <w:r w:rsidRPr="0070217C">
        <w:rPr>
          <w:lang w:val="es-ES"/>
        </w:rPr>
        <w:t xml:space="preserve"> </w:t>
      </w:r>
      <w:r w:rsidRPr="0070217C">
        <w:rPr>
          <w:bCs/>
          <w:lang w:val="es-ES"/>
        </w:rPr>
        <w:t>Corte IDH. Caso Trabajadores Cesados del Congreso (Aguado Alfaro y otros) Vs. Perú. Excepciones Preliminares, Fondo, Reparaciones y Costas. Sentencia de 24 de noviembre de 2006. Serie C No. 158.</w:t>
      </w:r>
    </w:p>
  </w:footnote>
  <w:footnote w:id="6">
    <w:p w14:paraId="27993AA8" w14:textId="77777777" w:rsidR="00505351" w:rsidRPr="0070217C" w:rsidRDefault="00505351" w:rsidP="0070217C">
      <w:pPr>
        <w:pStyle w:val="FootnoteText"/>
        <w:rPr>
          <w:lang w:val="es-ES"/>
        </w:rPr>
      </w:pPr>
      <w:r w:rsidRPr="0070217C">
        <w:rPr>
          <w:rStyle w:val="FootnoteReference"/>
        </w:rPr>
        <w:footnoteRef/>
      </w:r>
      <w:r w:rsidRPr="0070217C">
        <w:rPr>
          <w:lang w:val="es-ES"/>
        </w:rPr>
        <w:t xml:space="preserve"> </w:t>
      </w:r>
      <w:r w:rsidRPr="0070217C">
        <w:rPr>
          <w:bCs/>
          <w:lang w:val="es-ES"/>
        </w:rPr>
        <w:t>Corte IDH. Caso Canales Huapaya y otros Vs. Perú. Excepciones Preliminares, Fondo, Reparaciones y Costas. Sentencia de 24 de junio de 2015. Serie C No. 296.</w:t>
      </w:r>
    </w:p>
  </w:footnote>
  <w:footnote w:id="7">
    <w:p w14:paraId="3C6BFCC6" w14:textId="77777777" w:rsidR="00505351" w:rsidRPr="0070217C" w:rsidRDefault="00505351" w:rsidP="0070217C">
      <w:pPr>
        <w:pStyle w:val="FootnoteText"/>
        <w:rPr>
          <w:lang w:val="es-ES"/>
        </w:rPr>
      </w:pPr>
      <w:r w:rsidRPr="0070217C">
        <w:rPr>
          <w:rStyle w:val="FootnoteReference"/>
        </w:rPr>
        <w:footnoteRef/>
      </w:r>
      <w:r w:rsidRPr="0070217C">
        <w:rPr>
          <w:lang w:val="es-ES"/>
        </w:rPr>
        <w:t xml:space="preserve"> Ver: CIDH. </w:t>
      </w:r>
      <w:r w:rsidRPr="0070217C">
        <w:rPr>
          <w:bCs/>
          <w:lang w:val="es-AR"/>
        </w:rPr>
        <w:t>Informe N</w:t>
      </w:r>
      <w:r w:rsidRPr="0070217C">
        <w:rPr>
          <w:bCs/>
          <w:vertAlign w:val="superscript"/>
          <w:lang w:val="es-AR"/>
        </w:rPr>
        <w:t>º</w:t>
      </w:r>
      <w:r w:rsidRPr="0070217C">
        <w:rPr>
          <w:bCs/>
          <w:lang w:val="es-AR"/>
        </w:rPr>
        <w:t xml:space="preserve"> 52/00. </w:t>
      </w:r>
      <w:r w:rsidRPr="0070217C">
        <w:rPr>
          <w:lang w:val="es-AR"/>
        </w:rPr>
        <w:t xml:space="preserve">Casos 11.830 y 12.038. Trabajadores cesados del Congreso de la República Perú. 15 de junio de 2000, </w:t>
      </w:r>
      <w:r w:rsidRPr="0070217C">
        <w:rPr>
          <w:lang w:val="es-ES"/>
        </w:rPr>
        <w:t xml:space="preserve">párrs, 21 y 22; y CIDH. </w:t>
      </w:r>
      <w:r w:rsidRPr="0070217C">
        <w:rPr>
          <w:bCs/>
          <w:lang w:val="es-ES"/>
        </w:rPr>
        <w:t>Informe No. 150/10</w:t>
      </w:r>
      <w:r w:rsidRPr="0070217C">
        <w:rPr>
          <w:lang w:val="es-ES"/>
        </w:rPr>
        <w:t xml:space="preserve">. Peticiones 157-99 – José Castro Ballena, María Gracia Barriga Oré y otras. 12.214 – Carlos Alberto Canales Huapaya. Admisibilidad. Perú. 1 de noviembre de 2010, párrs. 36-39. </w:t>
      </w:r>
    </w:p>
  </w:footnote>
  <w:footnote w:id="8">
    <w:p w14:paraId="15CD1C30" w14:textId="77777777" w:rsidR="00505351" w:rsidRPr="0070217C" w:rsidRDefault="00505351" w:rsidP="0070217C">
      <w:pPr>
        <w:pStyle w:val="FootnoteText"/>
        <w:rPr>
          <w:lang w:val="es-ES"/>
        </w:rPr>
      </w:pPr>
      <w:r w:rsidRPr="0070217C">
        <w:rPr>
          <w:rStyle w:val="FootnoteReference"/>
        </w:rPr>
        <w:footnoteRef/>
      </w:r>
      <w:r w:rsidRPr="0070217C">
        <w:rPr>
          <w:lang w:val="es-ES"/>
        </w:rPr>
        <w:t xml:space="preserve"> Decreto Ley No. 25640. Autorizan a la Comisión Administradora del Patrimonio del Congreso a ejecutar un proceso de racionalización del personal de Congreso de la República. Artículo 9: “no procede la acción de amparo dirigida a impugnar directa o indirectamente la aplicación del presente Decreto Ley”. </w:t>
      </w:r>
    </w:p>
  </w:footnote>
  <w:footnote w:id="9">
    <w:p w14:paraId="78BF1242" w14:textId="4A0149B9" w:rsidR="00505351" w:rsidRPr="0070217C" w:rsidRDefault="00505351" w:rsidP="0070217C">
      <w:pPr>
        <w:pStyle w:val="FootnoteText"/>
        <w:rPr>
          <w:lang w:val="es-ES"/>
        </w:rPr>
      </w:pPr>
      <w:r w:rsidRPr="0070217C">
        <w:rPr>
          <w:rStyle w:val="FootnoteReference"/>
        </w:rPr>
        <w:footnoteRef/>
      </w:r>
      <w:r w:rsidRPr="0070217C">
        <w:rPr>
          <w:lang w:val="es-ES"/>
        </w:rPr>
        <w:t xml:space="preserve"> </w:t>
      </w:r>
      <w:r w:rsidRPr="0070217C">
        <w:rPr>
          <w:bCs/>
          <w:lang w:val="es-ES"/>
        </w:rPr>
        <w:t>Corte IDH. Caso Trabajadores Cesados del Congreso (Aguado Alfaro y otros). Vs. Perú. Solicitud de Interpretación de la Sentencia de Excepciones Preliminares, Fondo, Reparacione</w:t>
      </w:r>
      <w:r w:rsidR="00FC74B0">
        <w:rPr>
          <w:bCs/>
          <w:lang w:val="es-ES"/>
        </w:rPr>
        <w:t>s y Costas. Sentencia de 30 de n</w:t>
      </w:r>
      <w:r w:rsidRPr="0070217C">
        <w:rPr>
          <w:bCs/>
          <w:lang w:val="es-ES"/>
        </w:rPr>
        <w:t>oviembre de 2007 Serie C No. 174.</w:t>
      </w:r>
    </w:p>
  </w:footnote>
  <w:footnote w:id="10">
    <w:p w14:paraId="552C705A" w14:textId="77777777" w:rsidR="00505351" w:rsidRPr="0070217C" w:rsidRDefault="00505351" w:rsidP="0070217C">
      <w:pPr>
        <w:pStyle w:val="FootnoteText"/>
        <w:rPr>
          <w:lang w:val="es-ES"/>
        </w:rPr>
      </w:pPr>
      <w:r w:rsidRPr="0070217C">
        <w:rPr>
          <w:rStyle w:val="FootnoteReference"/>
        </w:rPr>
        <w:footnoteRef/>
      </w:r>
      <w:r w:rsidRPr="0070217C">
        <w:rPr>
          <w:lang w:val="es-ES"/>
        </w:rPr>
        <w:t xml:space="preserve"> CIDH. Informe No. 126/12. Caso 12.214. Fondo. Carlos Alberto Canales Huapaya y otros. Perú. 13 de noviembre de 2012. Párr. 56. </w:t>
      </w:r>
    </w:p>
  </w:footnote>
  <w:footnote w:id="11">
    <w:p w14:paraId="24DF08A2" w14:textId="77777777" w:rsidR="00505351" w:rsidRPr="0070217C" w:rsidRDefault="00505351" w:rsidP="0070217C">
      <w:pPr>
        <w:pStyle w:val="FootnoteText"/>
        <w:rPr>
          <w:lang w:val="es-ES"/>
        </w:rPr>
      </w:pPr>
      <w:r w:rsidRPr="0070217C">
        <w:rPr>
          <w:rStyle w:val="FootnoteReference"/>
        </w:rPr>
        <w:footnoteRef/>
      </w:r>
      <w:r w:rsidRPr="0070217C">
        <w:rPr>
          <w:lang w:val="es-ES"/>
        </w:rPr>
        <w:t xml:space="preserve"> </w:t>
      </w:r>
      <w:r w:rsidRPr="0070217C">
        <w:rPr>
          <w:bCs/>
          <w:lang w:val="es-ES"/>
        </w:rPr>
        <w:t>Corte IDH. Caso Canales Huapaya y otros Vs. Perú. Interpretación de la Sentencia de Excepciones Preliminares, Fondo, Reparaciones y Costas. Sentencia de 21 de noviembre de 2016. Serie C No. 321, párr. 104-109.</w:t>
      </w:r>
    </w:p>
  </w:footnote>
  <w:footnote w:id="12">
    <w:p w14:paraId="1B5B03D3" w14:textId="77777777" w:rsidR="00505351" w:rsidRPr="0070217C" w:rsidRDefault="00505351" w:rsidP="0070217C">
      <w:pPr>
        <w:pStyle w:val="FootnoteText"/>
        <w:rPr>
          <w:lang w:val="es-MX"/>
        </w:rPr>
      </w:pPr>
      <w:r w:rsidRPr="0070217C">
        <w:rPr>
          <w:rStyle w:val="FootnoteReference"/>
        </w:rPr>
        <w:footnoteRef/>
      </w:r>
      <w:r w:rsidRPr="004F522D">
        <w:rPr>
          <w:lang w:val="pt-BR"/>
        </w:rPr>
        <w:t xml:space="preserve"> </w:t>
      </w:r>
      <w:r w:rsidRPr="0070217C">
        <w:rPr>
          <w:vertAlign w:val="superscript"/>
        </w:rPr>
        <w:footnoteRef/>
      </w:r>
      <w:r w:rsidRPr="004F522D">
        <w:rPr>
          <w:lang w:val="pt-BR"/>
        </w:rPr>
        <w:t xml:space="preserve"> Corte IDH. </w:t>
      </w:r>
      <w:r w:rsidRPr="004F522D">
        <w:rPr>
          <w:bCs/>
          <w:lang w:val="pt-BR"/>
        </w:rPr>
        <w:t xml:space="preserve">Caso Usón Ramírez Vs. </w:t>
      </w:r>
      <w:r w:rsidRPr="0070217C">
        <w:rPr>
          <w:bCs/>
          <w:lang w:val="es-MX"/>
        </w:rPr>
        <w:t xml:space="preserve">Venezuela. </w:t>
      </w:r>
      <w:r w:rsidRPr="0070217C">
        <w:rPr>
          <w:lang w:val="es-MX"/>
        </w:rPr>
        <w:t xml:space="preserve">Excepción Preliminar, Fondo, Reparaciones y Costas. Sentencia de 20 de noviembre de 2009. Serie C No. 207. Párr. 19. Citando. </w:t>
      </w:r>
      <w:r w:rsidRPr="0070217C">
        <w:rPr>
          <w:i/>
          <w:iCs/>
          <w:lang w:val="es-MX"/>
        </w:rPr>
        <w:t>Caso Velásquez Rodríguez</w:t>
      </w:r>
      <w:r w:rsidRPr="0070217C">
        <w:rPr>
          <w:iCs/>
          <w:lang w:val="es-MX"/>
        </w:rPr>
        <w:t>,</w:t>
      </w:r>
      <w:r w:rsidRPr="0070217C">
        <w:rPr>
          <w:lang w:val="es-MX"/>
        </w:rPr>
        <w:t xml:space="preserve"> párr. 91;</w:t>
      </w:r>
      <w:r w:rsidRPr="0070217C">
        <w:rPr>
          <w:i/>
          <w:lang w:val="es-MX"/>
        </w:rPr>
        <w:t xml:space="preserve"> Caso Garibaldi Vs. Brasil. </w:t>
      </w:r>
      <w:r w:rsidRPr="0070217C">
        <w:rPr>
          <w:i/>
          <w:lang w:val="es-PR"/>
        </w:rPr>
        <w:t xml:space="preserve">Excepciones Preliminares, Fondo, Reparaciones y Costas. </w:t>
      </w:r>
      <w:r w:rsidRPr="0070217C">
        <w:rPr>
          <w:lang w:val="es-PR"/>
        </w:rPr>
        <w:t xml:space="preserve">Sentencia de 23 de septiembre de 2009. Serie C No. 203, párr. 46, y </w:t>
      </w:r>
      <w:r w:rsidRPr="0070217C">
        <w:rPr>
          <w:i/>
          <w:lang w:val="es-PR"/>
        </w:rPr>
        <w:t xml:space="preserve">Caso Escher y otros Vs. </w:t>
      </w:r>
      <w:r w:rsidRPr="0070217C">
        <w:rPr>
          <w:i/>
          <w:lang w:val="es-MX"/>
        </w:rPr>
        <w:t xml:space="preserve">Brasil. </w:t>
      </w:r>
      <w:r w:rsidRPr="0070217C">
        <w:rPr>
          <w:i/>
          <w:lang w:val="es-PR"/>
        </w:rPr>
        <w:t xml:space="preserve">Excepciones Preliminares, Fondo, Reparaciones y Costas. </w:t>
      </w:r>
      <w:r w:rsidRPr="0070217C">
        <w:rPr>
          <w:lang w:val="es-PR"/>
        </w:rPr>
        <w:t xml:space="preserve">Sentencia de 6 de julio de 2009. </w:t>
      </w:r>
      <w:r w:rsidRPr="0070217C">
        <w:rPr>
          <w:lang w:val="es-MX"/>
        </w:rPr>
        <w:t>Serie C No. 199, párr. 28.</w:t>
      </w:r>
    </w:p>
    <w:p w14:paraId="0DAE6862" w14:textId="77777777" w:rsidR="00505351" w:rsidRPr="0070217C" w:rsidRDefault="00505351" w:rsidP="0070217C">
      <w:pPr>
        <w:pStyle w:val="FootnoteText"/>
        <w:rPr>
          <w:lang w:val="es-ES"/>
        </w:rPr>
      </w:pPr>
    </w:p>
  </w:footnote>
  <w:footnote w:id="13">
    <w:p w14:paraId="76E729F3" w14:textId="77777777" w:rsidR="00505351" w:rsidRPr="0070217C" w:rsidRDefault="00505351" w:rsidP="0070217C">
      <w:pPr>
        <w:pStyle w:val="FootnoteText"/>
        <w:rPr>
          <w:lang w:val="es-ES"/>
        </w:rPr>
      </w:pPr>
      <w:r w:rsidRPr="0070217C">
        <w:rPr>
          <w:rStyle w:val="FootnoteReference"/>
        </w:rPr>
        <w:footnoteRef/>
      </w:r>
      <w:r w:rsidRPr="0070217C">
        <w:rPr>
          <w:lang w:val="es-ES"/>
        </w:rPr>
        <w:t xml:space="preserve"> Cfr. </w:t>
      </w:r>
      <w:r w:rsidRPr="0070217C">
        <w:rPr>
          <w:bCs/>
          <w:lang w:val="es-ES"/>
        </w:rPr>
        <w:t>Corte IDH. Caso Trabajadores Cesados del Congreso (Aguado Alfaro y otros). Vs. Perú. Solicitud de Interpretación de la Sentencia de Excepciones Preliminares, Fondo, Reparaciones y Costas. Sentencia de 30 de Noviembre de 2007 Serie C No. 174.</w:t>
      </w:r>
      <w:r w:rsidRPr="0070217C">
        <w:rPr>
          <w:lang w:val="es-ES"/>
        </w:rPr>
        <w:t xml:space="preserve"> Párr. 69-70</w:t>
      </w:r>
    </w:p>
  </w:footnote>
  <w:footnote w:id="14">
    <w:p w14:paraId="1D4151E1" w14:textId="77777777" w:rsidR="00505351" w:rsidRPr="0070217C" w:rsidRDefault="00505351" w:rsidP="0070217C">
      <w:pPr>
        <w:pStyle w:val="FootnoteText"/>
        <w:rPr>
          <w:lang w:val="es-ES"/>
        </w:rPr>
      </w:pPr>
      <w:r w:rsidRPr="0070217C">
        <w:rPr>
          <w:rStyle w:val="FootnoteReference"/>
        </w:rPr>
        <w:footnoteRef/>
      </w:r>
      <w:r w:rsidRPr="0070217C">
        <w:rPr>
          <w:lang w:val="es-ES"/>
        </w:rPr>
        <w:t xml:space="preserve"> Cfr. </w:t>
      </w:r>
      <w:r w:rsidRPr="0070217C">
        <w:rPr>
          <w:bCs/>
          <w:lang w:val="es-ES"/>
        </w:rPr>
        <w:t>Corte IDH. Caso Trabajadores Cesados del Congreso (Aguado Alfaro y otros). Vs. Perú. Solicitud de Interpretación de la Sentencia de Excepciones Preliminares, Fondo, Reparaciones y Costas. Sentencia de 30 de Noviembre de 2007 Serie C No. 174.</w:t>
      </w:r>
      <w:r w:rsidRPr="0070217C">
        <w:rPr>
          <w:lang w:val="es-ES"/>
        </w:rPr>
        <w:t xml:space="preserve"> Párr. 109.</w:t>
      </w:r>
    </w:p>
  </w:footnote>
  <w:footnote w:id="15">
    <w:p w14:paraId="6DEEEF4A" w14:textId="77777777" w:rsidR="00505351" w:rsidRPr="0070217C" w:rsidRDefault="00505351" w:rsidP="0070217C">
      <w:pPr>
        <w:pStyle w:val="FootnoteText"/>
        <w:rPr>
          <w:lang w:val="es-ES"/>
        </w:rPr>
      </w:pPr>
      <w:r w:rsidRPr="0070217C">
        <w:rPr>
          <w:rStyle w:val="FootnoteReference"/>
        </w:rPr>
        <w:footnoteRef/>
      </w:r>
      <w:r w:rsidRPr="0070217C">
        <w:rPr>
          <w:lang w:val="es-ES"/>
        </w:rPr>
        <w:t xml:space="preserve"> </w:t>
      </w:r>
      <w:r w:rsidRPr="0070217C">
        <w:rPr>
          <w:bCs/>
          <w:lang w:val="es-ES"/>
        </w:rPr>
        <w:t>Corte IDH. Caso Trabajadores Cesados de Petroperú y otros Vs. Perú. Excepciones Preliminares, Fondo, Reparaciones y Costas. Sentencia de 23 de noviembre de 2017. Serie C No. 344, párrs. 130-132.</w:t>
      </w:r>
    </w:p>
  </w:footnote>
  <w:footnote w:id="16">
    <w:p w14:paraId="025EDFD3" w14:textId="248A9E98" w:rsidR="00505351" w:rsidRPr="0070217C" w:rsidRDefault="00505351" w:rsidP="0070217C">
      <w:pPr>
        <w:pStyle w:val="FootnoteText"/>
        <w:rPr>
          <w:lang w:val="es-ES"/>
        </w:rPr>
      </w:pPr>
      <w:r w:rsidRPr="0070217C">
        <w:rPr>
          <w:rStyle w:val="FootnoteReference"/>
        </w:rPr>
        <w:footnoteRef/>
      </w:r>
      <w:r w:rsidRPr="0070217C">
        <w:rPr>
          <w:lang w:val="es-ES"/>
        </w:rPr>
        <w:t xml:space="preserve"> Anexo </w:t>
      </w:r>
      <w:r>
        <w:rPr>
          <w:lang w:val="es-ES"/>
        </w:rPr>
        <w:t>1</w:t>
      </w:r>
      <w:r w:rsidRPr="0070217C">
        <w:rPr>
          <w:lang w:val="es-ES"/>
        </w:rPr>
        <w:t>. Resoluciones 1303-A-92-CACL y 1303-B-92-CACL. Anexo a la petición inicial 275-03 de 9 de septiembre de 2003.</w:t>
      </w:r>
    </w:p>
  </w:footnote>
  <w:footnote w:id="17">
    <w:p w14:paraId="0CBD5189" w14:textId="27579F2C" w:rsidR="00505351" w:rsidRPr="0070217C" w:rsidRDefault="00505351" w:rsidP="0070217C">
      <w:pPr>
        <w:pStyle w:val="FootnoteText"/>
        <w:rPr>
          <w:lang w:val="es-ES"/>
        </w:rPr>
      </w:pPr>
      <w:r w:rsidRPr="0070217C">
        <w:rPr>
          <w:rStyle w:val="FootnoteReference"/>
        </w:rPr>
        <w:footnoteRef/>
      </w:r>
      <w:r>
        <w:rPr>
          <w:lang w:val="es-ES"/>
        </w:rPr>
        <w:t xml:space="preserve"> Anexo 2</w:t>
      </w:r>
      <w:r w:rsidRPr="0070217C">
        <w:rPr>
          <w:lang w:val="es-ES"/>
        </w:rPr>
        <w:t xml:space="preserve">. Exp. No. 156-2002. Resolución 11. Quinta Sala Civil. Corte Superior de Justicia de Lima. 18 de junio de 2002. Anexo Anexo a la petición inicial 275-03 de 9 de septiembre de 2003. </w:t>
      </w:r>
    </w:p>
  </w:footnote>
  <w:footnote w:id="18">
    <w:p w14:paraId="55EDAADE" w14:textId="77777777" w:rsidR="00505351" w:rsidRPr="0070217C" w:rsidRDefault="00505351" w:rsidP="0070217C">
      <w:pPr>
        <w:pStyle w:val="FootnoteText"/>
        <w:rPr>
          <w:lang w:val="es-ES"/>
        </w:rPr>
      </w:pPr>
      <w:r w:rsidRPr="0070217C">
        <w:rPr>
          <w:rStyle w:val="FootnoteReference"/>
        </w:rPr>
        <w:footnoteRef/>
      </w:r>
      <w:r w:rsidRPr="0070217C">
        <w:rPr>
          <w:lang w:val="es-ES"/>
        </w:rPr>
        <w:t xml:space="preserve"> Escrito del Estado de 29 de marzo de 2017.</w:t>
      </w:r>
    </w:p>
  </w:footnote>
  <w:footnote w:id="19">
    <w:p w14:paraId="19C0FD07" w14:textId="04070FD1" w:rsidR="00505351" w:rsidRPr="0070217C" w:rsidRDefault="00505351" w:rsidP="0070217C">
      <w:pPr>
        <w:pStyle w:val="FootnoteText"/>
        <w:rPr>
          <w:lang w:val="es-ES"/>
        </w:rPr>
      </w:pPr>
      <w:r w:rsidRPr="0070217C">
        <w:rPr>
          <w:rStyle w:val="FootnoteReference"/>
        </w:rPr>
        <w:footnoteRef/>
      </w:r>
      <w:r w:rsidRPr="0070217C">
        <w:rPr>
          <w:lang w:val="pt-BR"/>
        </w:rPr>
        <w:t xml:space="preserve"> Anexo </w:t>
      </w:r>
      <w:r>
        <w:rPr>
          <w:lang w:val="pt-BR"/>
        </w:rPr>
        <w:t>3</w:t>
      </w:r>
      <w:r w:rsidRPr="0070217C">
        <w:rPr>
          <w:lang w:val="pt-BR"/>
        </w:rPr>
        <w:t xml:space="preserve">. Informe Técnico Administrativo No. 0920-2011-GFRCP-AAP-DRH-CR de 11 de agosto de 2011. </w:t>
      </w:r>
      <w:r w:rsidRPr="0070217C">
        <w:rPr>
          <w:lang w:val="es-ES"/>
        </w:rPr>
        <w:t xml:space="preserve">Anexo al escrito del Estado del 25 de agosto de 2011. Después de su cese, el señor Rojas Guzmán trabajó del 17 de mayo de 2006 hasta el 4 de julio de 2007, y del 27 de mayo de 2008 hasta el 31 de diciembre bajo el régimen laboral del Decreto Ley 276. Finalmente, reingresó el 1 de noviembre de 2010, bajo el régimen laboral del Decreto Ley 276. </w:t>
      </w:r>
    </w:p>
  </w:footnote>
  <w:footnote w:id="20">
    <w:p w14:paraId="1BB7BFCD" w14:textId="15C5FE74" w:rsidR="00505351" w:rsidRPr="0070217C" w:rsidRDefault="00505351" w:rsidP="0070217C">
      <w:pPr>
        <w:pStyle w:val="FootnoteText"/>
        <w:rPr>
          <w:lang w:val="es-ES"/>
        </w:rPr>
      </w:pPr>
      <w:r w:rsidRPr="0070217C">
        <w:rPr>
          <w:rStyle w:val="FootnoteReference"/>
        </w:rPr>
        <w:footnoteRef/>
      </w:r>
      <w:r>
        <w:rPr>
          <w:lang w:val="pt-BR"/>
        </w:rPr>
        <w:t xml:space="preserve"> Anexo 4</w:t>
      </w:r>
      <w:r w:rsidRPr="0070217C">
        <w:rPr>
          <w:lang w:val="pt-BR"/>
        </w:rPr>
        <w:t xml:space="preserve">. Informe Técnico Administrativo No. 0912-2011-GFRCP-AAP-DRH-CR de 11 de agosto de 2011. </w:t>
      </w:r>
      <w:r w:rsidRPr="0070217C">
        <w:rPr>
          <w:lang w:val="es-ES"/>
        </w:rPr>
        <w:t>Anexo al escrito del Estado del 25 de agosto de 2011. Después de su cese, el señor Flores Oyola trabajó del 1 de marzo de 1994 hasta el 31 de diciembre del mismo año y del 12 de febrero de 1996 hasta el 29 de febrero del mismo año bajo la modalidad de servicios no personales. Luego trabajó del 1 de marzo de 1996 hasta el 30 de abril de 1999 bajo el régimen laboral del Decreto Ley 728.</w:t>
      </w:r>
    </w:p>
  </w:footnote>
  <w:footnote w:id="21">
    <w:p w14:paraId="7345CF2C" w14:textId="325B9762" w:rsidR="00505351" w:rsidRPr="0070217C" w:rsidRDefault="00505351" w:rsidP="0070217C">
      <w:pPr>
        <w:pStyle w:val="FootnoteText"/>
        <w:rPr>
          <w:lang w:val="es-ES"/>
        </w:rPr>
      </w:pPr>
      <w:r w:rsidRPr="0070217C">
        <w:rPr>
          <w:rStyle w:val="FootnoteReference"/>
        </w:rPr>
        <w:footnoteRef/>
      </w:r>
      <w:r>
        <w:rPr>
          <w:lang w:val="pt-BR"/>
        </w:rPr>
        <w:t xml:space="preserve"> Anexo 5</w:t>
      </w:r>
      <w:r w:rsidRPr="0070217C">
        <w:rPr>
          <w:lang w:val="pt-BR"/>
        </w:rPr>
        <w:t xml:space="preserve">. Informe Técnico Administrativo No. 0910-2011-GFRCP-AAP-DRH-CR de 11 de agosto de 2011. </w:t>
      </w:r>
      <w:r w:rsidRPr="0070217C">
        <w:rPr>
          <w:lang w:val="es-ES"/>
        </w:rPr>
        <w:t xml:space="preserve">Anexo al escrito del Estado del 25 de agosto de 2011. Después de su cese el señor Espinoza Chávez trabajó del 1 de enero de 1994 al 31 de marzo de 1994 y luego entre el 1 de julio de 1994 y el 31 de octubre de 1994 bajo la modalidad de servicios no personales. Luego trabajó del 1 de noviembre de 1994 hasta el 3 de agosto de 2003 bajo el régimen laboral del Decreto Ley 728. </w:t>
      </w:r>
    </w:p>
  </w:footnote>
  <w:footnote w:id="22">
    <w:p w14:paraId="5829B18F" w14:textId="77777777" w:rsidR="00505351" w:rsidRPr="0070217C" w:rsidRDefault="00505351" w:rsidP="0070217C">
      <w:pPr>
        <w:pStyle w:val="FootnoteText"/>
        <w:rPr>
          <w:lang w:val="es-ES"/>
        </w:rPr>
      </w:pPr>
      <w:r w:rsidRPr="0070217C">
        <w:rPr>
          <w:rStyle w:val="FootnoteReference"/>
        </w:rPr>
        <w:footnoteRef/>
      </w:r>
      <w:r w:rsidRPr="0070217C">
        <w:rPr>
          <w:lang w:val="es-ES"/>
        </w:rPr>
        <w:t xml:space="preserve"> </w:t>
      </w:r>
      <w:r w:rsidRPr="0070217C">
        <w:rPr>
          <w:bCs/>
          <w:lang w:val="es-ES"/>
        </w:rPr>
        <w:t>Corte IDH. Caso Canales Huapaya y otros Vs. Perú. Excepciones Preliminares, Fondo, Reparaciones y Costas. Sentencia de 24 de junio de 2015. Serie C No. 296, párr. 103</w:t>
      </w:r>
    </w:p>
  </w:footnote>
  <w:footnote w:id="23">
    <w:p w14:paraId="528DAE6A" w14:textId="77777777" w:rsidR="00505351" w:rsidRPr="0070217C" w:rsidRDefault="00505351" w:rsidP="0070217C">
      <w:pPr>
        <w:pStyle w:val="FootnoteText"/>
        <w:rPr>
          <w:lang w:val="es-ES"/>
        </w:rPr>
      </w:pPr>
      <w:r w:rsidRPr="0070217C">
        <w:rPr>
          <w:rStyle w:val="FootnoteReference"/>
        </w:rPr>
        <w:footnoteRef/>
      </w:r>
      <w:r w:rsidRPr="0070217C">
        <w:rPr>
          <w:lang w:val="es-ES"/>
        </w:rPr>
        <w:t xml:space="preserve"> </w:t>
      </w:r>
      <w:r w:rsidRPr="0070217C">
        <w:rPr>
          <w:bCs/>
          <w:lang w:val="es-ES"/>
        </w:rPr>
        <w:t xml:space="preserve">Corte IDH. Caso Trabajadores Cesados del Congreso (Aguado Alfaro y otros) Vs. Perú. Excepciones Preliminares, Fondo, Reparaciones y Costas. Sentencia de 24 de noviembre de 2006. </w:t>
      </w:r>
      <w:r w:rsidRPr="00D50524">
        <w:rPr>
          <w:bCs/>
          <w:lang w:val="es-CO"/>
        </w:rPr>
        <w:t>Serie C No. 158.</w:t>
      </w:r>
    </w:p>
  </w:footnote>
  <w:footnote w:id="24">
    <w:p w14:paraId="2068EED4" w14:textId="77777777" w:rsidR="00505351" w:rsidRPr="0070217C" w:rsidRDefault="00505351" w:rsidP="009B1B0E">
      <w:pPr>
        <w:pStyle w:val="FootnoteText"/>
        <w:tabs>
          <w:tab w:val="left" w:pos="2160"/>
        </w:tabs>
        <w:rPr>
          <w:b/>
          <w:lang w:val="es-ES"/>
        </w:rPr>
      </w:pPr>
      <w:r w:rsidRPr="0070217C">
        <w:rPr>
          <w:rStyle w:val="FootnoteReference"/>
        </w:rPr>
        <w:footnoteRef/>
      </w:r>
      <w:r w:rsidRPr="0070217C">
        <w:rPr>
          <w:lang w:val="es-ES"/>
        </w:rPr>
        <w:t xml:space="preserve"> CIDH. Informe No. 126/12. Caso 12.214. Fondo. Carlos Alberto Canales Huapaya y otros. Perú. 13 de noviembre de 2012.</w:t>
      </w:r>
    </w:p>
  </w:footnote>
  <w:footnote w:id="25">
    <w:p w14:paraId="749EF814" w14:textId="77777777" w:rsidR="00505351" w:rsidRPr="0070217C" w:rsidRDefault="00505351" w:rsidP="0070217C">
      <w:pPr>
        <w:pStyle w:val="FootnoteText"/>
        <w:rPr>
          <w:lang w:val="es-ES"/>
        </w:rPr>
      </w:pPr>
      <w:r w:rsidRPr="0070217C">
        <w:rPr>
          <w:rStyle w:val="FootnoteReference"/>
        </w:rPr>
        <w:footnoteRef/>
      </w:r>
      <w:r w:rsidRPr="0070217C">
        <w:rPr>
          <w:lang w:val="es-ES"/>
        </w:rPr>
        <w:t xml:space="preserve"> </w:t>
      </w:r>
      <w:r w:rsidRPr="0070217C">
        <w:rPr>
          <w:bCs/>
          <w:lang w:val="es-ES"/>
        </w:rPr>
        <w:t>Corte IDH. Caso Canales Huapaya y otros Vs. Perú. Excepciones Preliminares, Fondo, Reparaciones y Costas. Sentencia de 24 de junio de 2015. Serie C No. 296.</w:t>
      </w:r>
    </w:p>
  </w:footnote>
  <w:footnote w:id="26">
    <w:p w14:paraId="11A018E5" w14:textId="77777777" w:rsidR="00505351" w:rsidRPr="0070217C" w:rsidRDefault="00505351" w:rsidP="0070217C">
      <w:pPr>
        <w:pStyle w:val="FootnoteText"/>
        <w:rPr>
          <w:lang w:val="es-ES"/>
        </w:rPr>
      </w:pPr>
      <w:r w:rsidRPr="0070217C">
        <w:rPr>
          <w:rStyle w:val="FootnoteReference"/>
        </w:rPr>
        <w:footnoteRef/>
      </w:r>
      <w:r w:rsidRPr="0070217C">
        <w:rPr>
          <w:lang w:val="es-ES"/>
        </w:rPr>
        <w:t xml:space="preserve"> CIDH. Informe No. 14/15, Casos 11.602, 12.385, 12.665 y 12.666. Fondo. Trabajadores Cesados (Petroperú, MEF y Enapu). Admisibilidad y Fondo. Trabajadores Cesados (Minedu). Perú. 23 de marzo de 2015. Párr. 120.</w:t>
      </w:r>
    </w:p>
  </w:footnote>
  <w:footnote w:id="27">
    <w:p w14:paraId="45E7C5F5" w14:textId="77777777" w:rsidR="00505351" w:rsidRPr="0070217C" w:rsidRDefault="00505351" w:rsidP="0070217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16"/>
          <w:szCs w:val="16"/>
          <w:lang w:val="es-CL"/>
        </w:rPr>
      </w:pPr>
      <w:r w:rsidRPr="0070217C">
        <w:rPr>
          <w:rStyle w:val="FootnoteReference"/>
          <w:rFonts w:asciiTheme="majorHAnsi" w:hAnsiTheme="majorHAnsi"/>
          <w:sz w:val="16"/>
          <w:szCs w:val="16"/>
        </w:rPr>
        <w:footnoteRef/>
      </w:r>
      <w:r w:rsidRPr="0070217C">
        <w:rPr>
          <w:rFonts w:asciiTheme="majorHAnsi" w:hAnsiTheme="majorHAnsi"/>
          <w:sz w:val="16"/>
          <w:szCs w:val="16"/>
        </w:rPr>
        <w:t xml:space="preserve"> </w:t>
      </w:r>
      <w:r w:rsidRPr="0070217C">
        <w:rPr>
          <w:rFonts w:asciiTheme="majorHAnsi" w:hAnsiTheme="majorHAnsi"/>
          <w:bCs/>
          <w:sz w:val="16"/>
          <w:szCs w:val="16"/>
          <w:lang w:val="es-ES"/>
        </w:rPr>
        <w:t>Corte IDH. Caso Trabajadores Cesados de Petroperú y otros Vs. Perú. Excepciones Preliminares, Fondo, Reparaciones y Costas. Sentencia de 23 de noviembre de 2017. Serie C No. 344.</w:t>
      </w:r>
    </w:p>
  </w:footnote>
  <w:footnote w:id="28">
    <w:p w14:paraId="6C1FD82D" w14:textId="77777777" w:rsidR="00505351" w:rsidRPr="007C047E" w:rsidRDefault="00505351" w:rsidP="009162D5">
      <w:pPr>
        <w:pStyle w:val="FootnoteText"/>
        <w:rPr>
          <w:lang w:val="es-US"/>
        </w:rPr>
      </w:pPr>
      <w:r>
        <w:rPr>
          <w:rStyle w:val="FootnoteReference"/>
        </w:rPr>
        <w:footnoteRef/>
      </w:r>
      <w:r w:rsidRPr="007A5A7C">
        <w:rPr>
          <w:lang w:val="es-CO"/>
        </w:rPr>
        <w:t xml:space="preserve"> </w:t>
      </w:r>
      <w:r w:rsidRPr="0070217C">
        <w:rPr>
          <w:bCs/>
          <w:lang w:val="es-ES"/>
        </w:rPr>
        <w:t>Corte IDH. Caso Canales Huapaya y otros Vs. Perú. Excepciones Preliminares, Fondo, Reparaciones y Costas. Sentencia de 24 de junio de 2015. Serie C No. 296, párr</w:t>
      </w:r>
      <w:r>
        <w:rPr>
          <w:bCs/>
          <w:lang w:val="es-ES"/>
        </w:rPr>
        <w:t>s</w:t>
      </w:r>
      <w:r w:rsidRPr="0070217C">
        <w:rPr>
          <w:bCs/>
          <w:lang w:val="es-ES"/>
        </w:rPr>
        <w:t>.</w:t>
      </w:r>
      <w:r>
        <w:rPr>
          <w:bCs/>
          <w:lang w:val="es-ES"/>
        </w:rPr>
        <w:t xml:space="preserve"> 138 – 142. </w:t>
      </w:r>
    </w:p>
  </w:footnote>
  <w:footnote w:id="29">
    <w:p w14:paraId="53C23894" w14:textId="77777777" w:rsidR="00505351" w:rsidRPr="00941DA1" w:rsidRDefault="00505351" w:rsidP="00634F3A">
      <w:pPr>
        <w:pStyle w:val="FootnoteText"/>
        <w:rPr>
          <w:lang w:val="es-CO"/>
        </w:rPr>
      </w:pPr>
      <w:r>
        <w:rPr>
          <w:rStyle w:val="FootnoteReference"/>
        </w:rPr>
        <w:footnoteRef/>
      </w:r>
      <w:r w:rsidRPr="007A5A7C">
        <w:rPr>
          <w:lang w:val="es-CO"/>
        </w:rPr>
        <w:t xml:space="preserve"> </w:t>
      </w:r>
      <w:r w:rsidRPr="00E37292">
        <w:rPr>
          <w:rFonts w:ascii="Cambria" w:hAnsi="Cambria"/>
          <w:bCs/>
          <w:lang w:val="es-ES"/>
        </w:rPr>
        <w:t xml:space="preserve">Corte IDH. Caso Canales Huapaya y otros Vs. Perú. Excepciones Preliminares, Fondo, Reparaciones y Costas. Sentencia de 24 de junio de 2015. Serie C No. 296, </w:t>
      </w:r>
      <w:r>
        <w:rPr>
          <w:bCs/>
          <w:lang w:val="es-ES"/>
        </w:rPr>
        <w:t xml:space="preserve">párr. 149. </w:t>
      </w:r>
    </w:p>
  </w:footnote>
  <w:footnote w:id="30">
    <w:p w14:paraId="5D015C15" w14:textId="77777777" w:rsidR="00505351" w:rsidRPr="00941DA1" w:rsidRDefault="00505351" w:rsidP="00634F3A">
      <w:pPr>
        <w:pStyle w:val="FootnoteText"/>
        <w:rPr>
          <w:lang w:val="es-CO"/>
        </w:rPr>
      </w:pPr>
      <w:r>
        <w:rPr>
          <w:rStyle w:val="FootnoteReference"/>
        </w:rPr>
        <w:footnoteRef/>
      </w:r>
      <w:r w:rsidRPr="007A5A7C">
        <w:rPr>
          <w:lang w:val="es-CO"/>
        </w:rPr>
        <w:t xml:space="preserve"> </w:t>
      </w:r>
      <w:r w:rsidRPr="00E37292">
        <w:rPr>
          <w:rFonts w:ascii="Cambria" w:hAnsi="Cambria"/>
          <w:bCs/>
          <w:lang w:val="es-ES"/>
        </w:rPr>
        <w:t xml:space="preserve">Corte IDH. Caso Canales Huapaya y otros Vs. Perú. Excepciones Preliminares, Fondo, Reparaciones y Costas. Sentencia de 24 de junio de 2015. Serie C No. 296, </w:t>
      </w:r>
      <w:r>
        <w:rPr>
          <w:bCs/>
          <w:lang w:val="es-ES"/>
        </w:rPr>
        <w:t xml:space="preserve">párr. 149. </w:t>
      </w:r>
    </w:p>
  </w:footnote>
  <w:footnote w:id="31">
    <w:p w14:paraId="18367510" w14:textId="77777777" w:rsidR="00505351" w:rsidRPr="0070217C" w:rsidRDefault="00505351" w:rsidP="003E3B6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16"/>
          <w:szCs w:val="16"/>
          <w:lang w:val="es-CL"/>
        </w:rPr>
      </w:pPr>
      <w:r w:rsidRPr="0070217C">
        <w:rPr>
          <w:rStyle w:val="FootnoteReference"/>
          <w:rFonts w:asciiTheme="majorHAnsi" w:hAnsiTheme="majorHAnsi"/>
          <w:sz w:val="16"/>
          <w:szCs w:val="16"/>
        </w:rPr>
        <w:footnoteRef/>
      </w:r>
      <w:r w:rsidRPr="0070217C">
        <w:rPr>
          <w:rFonts w:asciiTheme="majorHAnsi" w:hAnsiTheme="majorHAnsi"/>
          <w:sz w:val="16"/>
          <w:szCs w:val="16"/>
        </w:rPr>
        <w:t xml:space="preserve"> </w:t>
      </w:r>
      <w:r w:rsidRPr="0070217C">
        <w:rPr>
          <w:rFonts w:asciiTheme="majorHAnsi" w:hAnsiTheme="majorHAnsi"/>
          <w:bCs/>
          <w:sz w:val="16"/>
          <w:szCs w:val="16"/>
          <w:lang w:val="es-ES"/>
        </w:rPr>
        <w:t>Corte IDH. Caso Trabajadores Cesados de Petroperú y otros Vs. Perú. Excepciones Preliminares, Fondo, Reparaciones y Costas. Sentencia de 23 de noviembre de 2017. Serie C No. 344.</w:t>
      </w:r>
      <w:r>
        <w:rPr>
          <w:rFonts w:asciiTheme="majorHAnsi" w:hAnsiTheme="majorHAnsi"/>
          <w:bCs/>
          <w:sz w:val="16"/>
          <w:szCs w:val="16"/>
          <w:lang w:val="es-ES"/>
        </w:rPr>
        <w:t xml:space="preserve"> Párr. 209.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51E4E" w14:textId="77777777" w:rsidR="00505351" w:rsidRDefault="00505351" w:rsidP="00D3685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1286169" w14:textId="77777777" w:rsidR="00505351" w:rsidRDefault="00505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95CD2" w14:textId="77777777" w:rsidR="00505351" w:rsidRDefault="00505351" w:rsidP="00A50FCF">
    <w:pPr>
      <w:pStyle w:val="Header"/>
      <w:tabs>
        <w:tab w:val="clear" w:pos="4320"/>
        <w:tab w:val="clear" w:pos="8640"/>
      </w:tabs>
      <w:jc w:val="center"/>
      <w:rPr>
        <w:sz w:val="22"/>
        <w:szCs w:val="22"/>
      </w:rPr>
    </w:pPr>
    <w:r>
      <w:rPr>
        <w:noProof/>
        <w:sz w:val="22"/>
        <w:szCs w:val="22"/>
      </w:rPr>
      <w:drawing>
        <wp:inline distT="0" distB="0" distL="0" distR="0" wp14:anchorId="6952345D" wp14:editId="11AFCB99">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AFABC68" w14:textId="77777777" w:rsidR="00505351" w:rsidRPr="00EC7D62" w:rsidRDefault="00B56EF2" w:rsidP="00A50FCF">
    <w:pPr>
      <w:pStyle w:val="Header"/>
      <w:tabs>
        <w:tab w:val="clear" w:pos="4320"/>
        <w:tab w:val="clear" w:pos="8640"/>
      </w:tabs>
      <w:jc w:val="center"/>
      <w:rPr>
        <w:sz w:val="22"/>
        <w:szCs w:val="22"/>
      </w:rPr>
    </w:pPr>
    <w:r>
      <w:rPr>
        <w:sz w:val="22"/>
        <w:szCs w:val="22"/>
      </w:rPr>
      <w:pict w14:anchorId="2022711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40127D8"/>
    <w:multiLevelType w:val="hybridMultilevel"/>
    <w:tmpl w:val="31167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24AAD"/>
    <w:multiLevelType w:val="hybridMultilevel"/>
    <w:tmpl w:val="365CF948"/>
    <w:lvl w:ilvl="0" w:tplc="C232A3CC">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980175"/>
    <w:multiLevelType w:val="hybridMultilevel"/>
    <w:tmpl w:val="9DF40C7E"/>
    <w:lvl w:ilvl="0" w:tplc="2DCEBAD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1B68F9"/>
    <w:multiLevelType w:val="hybridMultilevel"/>
    <w:tmpl w:val="68C85F80"/>
    <w:lvl w:ilvl="0" w:tplc="4C107F8A">
      <w:start w:val="1"/>
      <w:numFmt w:val="upperLetter"/>
      <w:pStyle w:val="Heading2"/>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B66050"/>
    <w:multiLevelType w:val="hybridMultilevel"/>
    <w:tmpl w:val="E304D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83638D"/>
    <w:multiLevelType w:val="hybridMultilevel"/>
    <w:tmpl w:val="54965E2E"/>
    <w:lvl w:ilvl="0" w:tplc="5FDE1F98">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72A0BA1"/>
    <w:multiLevelType w:val="hybridMultilevel"/>
    <w:tmpl w:val="5194EE92"/>
    <w:lvl w:ilvl="0" w:tplc="1534EA50">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FF60FE"/>
    <w:multiLevelType w:val="hybridMultilevel"/>
    <w:tmpl w:val="65640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95D1449"/>
    <w:multiLevelType w:val="hybridMultilevel"/>
    <w:tmpl w:val="B1A459F4"/>
    <w:lvl w:ilvl="0" w:tplc="6E227B34">
      <w:start w:val="1"/>
      <w:numFmt w:val="upperLetter"/>
      <w:lvlText w:val="%1."/>
      <w:lvlJc w:val="left"/>
      <w:pPr>
        <w:ind w:left="36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D7D4B9D"/>
    <w:multiLevelType w:val="hybridMultilevel"/>
    <w:tmpl w:val="1070178A"/>
    <w:lvl w:ilvl="0" w:tplc="6CB001C0">
      <w:start w:val="1"/>
      <w:numFmt w:val="decimal"/>
      <w:lvlText w:val="%1."/>
      <w:lvlJc w:val="left"/>
      <w:pPr>
        <w:ind w:left="360" w:hanging="360"/>
      </w:pPr>
      <w:rPr>
        <w:rFonts w:ascii="Cambria" w:hAnsi="Cambria" w:hint="default"/>
        <w:b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753A80"/>
    <w:multiLevelType w:val="hybridMultilevel"/>
    <w:tmpl w:val="972E4AA2"/>
    <w:lvl w:ilvl="0" w:tplc="D50E3498">
      <w:start w:val="1"/>
      <w:numFmt w:val="decimal"/>
      <w:lvlText w:val="%1."/>
      <w:lvlJc w:val="left"/>
      <w:pPr>
        <w:ind w:left="0" w:firstLine="0"/>
      </w:pPr>
      <w:rPr>
        <w:rFonts w:ascii="Verdana" w:hAnsi="Verdana" w:hint="default"/>
        <w:b w:val="0"/>
        <w:i w:val="0"/>
        <w:strike w:val="0"/>
        <w:color w:val="auto"/>
        <w:sz w:val="20"/>
        <w:szCs w:val="20"/>
        <w:lang w:val="es-ES_tradnl"/>
      </w:rPr>
    </w:lvl>
    <w:lvl w:ilvl="1" w:tplc="2C0A0019">
      <w:start w:val="1"/>
      <w:numFmt w:val="lowerLetter"/>
      <w:lvlText w:val="%2."/>
      <w:lvlJc w:val="left"/>
      <w:pPr>
        <w:ind w:left="1353" w:hanging="360"/>
      </w:pPr>
      <w:rPr>
        <w:rFonts w:hint="default"/>
        <w:lang w:val="es-CR"/>
      </w:rPr>
    </w:lvl>
    <w:lvl w:ilvl="2" w:tplc="B768858A">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58"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E64D32"/>
    <w:multiLevelType w:val="hybridMultilevel"/>
    <w:tmpl w:val="9F8AF72C"/>
    <w:lvl w:ilvl="0" w:tplc="996A088A">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2C0A0019">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4202A1AC">
      <w:start w:val="1"/>
      <w:numFmt w:val="lowerRoman"/>
      <w:pStyle w:val="Estilo7"/>
      <w:lvlText w:val="%3."/>
      <w:lvlJc w:val="right"/>
      <w:pPr>
        <w:tabs>
          <w:tab w:val="num" w:pos="2160"/>
        </w:tabs>
        <w:ind w:left="2160" w:hanging="180"/>
      </w:pPr>
      <w:rPr>
        <w:rFonts w:cs="Times New Roman"/>
      </w:rPr>
    </w:lvl>
    <w:lvl w:ilvl="3" w:tplc="3F0893E6">
      <w:start w:val="1"/>
      <w:numFmt w:val="decimal"/>
      <w:lvlText w:val="%4."/>
      <w:lvlJc w:val="left"/>
      <w:pPr>
        <w:tabs>
          <w:tab w:val="num" w:pos="2880"/>
        </w:tabs>
        <w:ind w:left="2880" w:hanging="360"/>
      </w:pPr>
      <w:rPr>
        <w:rFonts w:cs="Times New Roman"/>
      </w:rPr>
    </w:lvl>
    <w:lvl w:ilvl="4" w:tplc="E7BA4BB6">
      <w:start w:val="1"/>
      <w:numFmt w:val="lowerLetter"/>
      <w:lvlText w:val="%5."/>
      <w:lvlJc w:val="left"/>
      <w:pPr>
        <w:tabs>
          <w:tab w:val="num" w:pos="3600"/>
        </w:tabs>
        <w:ind w:left="3600" w:hanging="360"/>
      </w:pPr>
      <w:rPr>
        <w:rFonts w:cs="Times New Roman"/>
      </w:rPr>
    </w:lvl>
    <w:lvl w:ilvl="5" w:tplc="2C0A001B">
      <w:start w:val="1"/>
      <w:numFmt w:val="lowerRoman"/>
      <w:lvlText w:val="%6."/>
      <w:lvlJc w:val="right"/>
      <w:pPr>
        <w:tabs>
          <w:tab w:val="num" w:pos="4320"/>
        </w:tabs>
        <w:ind w:left="4320" w:hanging="180"/>
      </w:pPr>
      <w:rPr>
        <w:rFonts w:cs="Times New Roman"/>
      </w:rPr>
    </w:lvl>
    <w:lvl w:ilvl="6" w:tplc="2C0A000F">
      <w:start w:val="1"/>
      <w:numFmt w:val="decimal"/>
      <w:lvlText w:val="%7."/>
      <w:lvlJc w:val="left"/>
      <w:pPr>
        <w:tabs>
          <w:tab w:val="num" w:pos="5040"/>
        </w:tabs>
        <w:ind w:left="5040" w:hanging="360"/>
      </w:pPr>
      <w:rPr>
        <w:rFonts w:cs="Times New Roman"/>
      </w:rPr>
    </w:lvl>
    <w:lvl w:ilvl="7" w:tplc="2C0A0019">
      <w:start w:val="1"/>
      <w:numFmt w:val="lowerLetter"/>
      <w:lvlText w:val="%8."/>
      <w:lvlJc w:val="left"/>
      <w:pPr>
        <w:tabs>
          <w:tab w:val="num" w:pos="5760"/>
        </w:tabs>
        <w:ind w:left="5760" w:hanging="360"/>
      </w:pPr>
      <w:rPr>
        <w:rFonts w:cs="Times New Roman"/>
      </w:rPr>
    </w:lvl>
    <w:lvl w:ilvl="8" w:tplc="2C0A001B">
      <w:start w:val="1"/>
      <w:numFmt w:val="lowerRoman"/>
      <w:lvlText w:val="%9."/>
      <w:lvlJc w:val="right"/>
      <w:pPr>
        <w:tabs>
          <w:tab w:val="num" w:pos="6480"/>
        </w:tabs>
        <w:ind w:left="6480" w:hanging="180"/>
      </w:pPr>
      <w:rPr>
        <w:rFonts w:cs="Times New Roman"/>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9"/>
  </w:num>
  <w:num w:numId="4">
    <w:abstractNumId w:val="24"/>
  </w:num>
  <w:num w:numId="5">
    <w:abstractNumId w:val="53"/>
  </w:num>
  <w:num w:numId="6">
    <w:abstractNumId w:val="32"/>
  </w:num>
  <w:num w:numId="7">
    <w:abstractNumId w:val="7"/>
  </w:num>
  <w:num w:numId="8">
    <w:abstractNumId w:val="19"/>
  </w:num>
  <w:num w:numId="9">
    <w:abstractNumId w:val="46"/>
  </w:num>
  <w:num w:numId="10">
    <w:abstractNumId w:val="0"/>
  </w:num>
  <w:num w:numId="11">
    <w:abstractNumId w:val="41"/>
  </w:num>
  <w:num w:numId="12">
    <w:abstractNumId w:val="42"/>
  </w:num>
  <w:num w:numId="13">
    <w:abstractNumId w:val="48"/>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6"/>
  </w:num>
  <w:num w:numId="24">
    <w:abstractNumId w:val="17"/>
  </w:num>
  <w:num w:numId="25">
    <w:abstractNumId w:val="20"/>
  </w:num>
  <w:num w:numId="26">
    <w:abstractNumId w:val="21"/>
  </w:num>
  <w:num w:numId="27">
    <w:abstractNumId w:val="26"/>
  </w:num>
  <w:num w:numId="28">
    <w:abstractNumId w:val="27"/>
  </w:num>
  <w:num w:numId="29">
    <w:abstractNumId w:val="28"/>
  </w:num>
  <w:num w:numId="30">
    <w:abstractNumId w:val="31"/>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3"/>
  </w:num>
  <w:num w:numId="40">
    <w:abstractNumId w:val="44"/>
  </w:num>
  <w:num w:numId="41">
    <w:abstractNumId w:val="52"/>
  </w:num>
  <w:num w:numId="42">
    <w:abstractNumId w:val="54"/>
  </w:num>
  <w:num w:numId="43">
    <w:abstractNumId w:val="55"/>
  </w:num>
  <w:num w:numId="44">
    <w:abstractNumId w:val="56"/>
  </w:num>
  <w:num w:numId="45">
    <w:abstractNumId w:val="58"/>
  </w:num>
  <w:num w:numId="46">
    <w:abstractNumId w:val="60"/>
  </w:num>
  <w:num w:numId="47">
    <w:abstractNumId w:val="61"/>
  </w:num>
  <w:num w:numId="48">
    <w:abstractNumId w:val="62"/>
  </w:num>
  <w:num w:numId="49">
    <w:abstractNumId w:val="64"/>
  </w:num>
  <w:num w:numId="50">
    <w:abstractNumId w:val="65"/>
  </w:num>
  <w:num w:numId="51">
    <w:abstractNumId w:val="23"/>
  </w:num>
  <w:num w:numId="52">
    <w:abstractNumId w:val="45"/>
  </w:num>
  <w:num w:numId="53">
    <w:abstractNumId w:val="49"/>
  </w:num>
  <w:num w:numId="54">
    <w:abstractNumId w:val="29"/>
  </w:num>
  <w:num w:numId="55">
    <w:abstractNumId w:val="18"/>
  </w:num>
  <w:num w:numId="56">
    <w:abstractNumId w:val="50"/>
  </w:num>
  <w:num w:numId="57">
    <w:abstractNumId w:val="22"/>
  </w:num>
  <w:num w:numId="58">
    <w:abstractNumId w:val="5"/>
  </w:num>
  <w:num w:numId="59">
    <w:abstractNumId w:val="47"/>
  </w:num>
  <w:num w:numId="60">
    <w:abstractNumId w:val="13"/>
  </w:num>
  <w:num w:numId="61">
    <w:abstractNumId w:val="6"/>
  </w:num>
  <w:num w:numId="62">
    <w:abstractNumId w:val="30"/>
  </w:num>
  <w:num w:numId="63">
    <w:abstractNumId w:val="63"/>
  </w:num>
  <w:num w:numId="64">
    <w:abstractNumId w:val="57"/>
  </w:num>
  <w:num w:numId="65">
    <w:abstractNumId w:val="51"/>
  </w:num>
  <w:num w:numId="66">
    <w:abstractNumId w:val="25"/>
  </w:num>
  <w:num w:numId="67">
    <w:abstractNumId w:val="18"/>
    <w:lvlOverride w:ilvl="0">
      <w:startOverride w:val="1"/>
    </w:lvlOverride>
  </w:num>
  <w:num w:numId="68">
    <w:abstractNumId w:val="18"/>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hdrShapeDefaults>
    <o:shapedefaults v:ext="edit" spidmax="1229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2005"/>
    <w:rsid w:val="00004071"/>
    <w:rsid w:val="00006896"/>
    <w:rsid w:val="00006E1F"/>
    <w:rsid w:val="000070D7"/>
    <w:rsid w:val="000116EB"/>
    <w:rsid w:val="000158FD"/>
    <w:rsid w:val="0001788C"/>
    <w:rsid w:val="00026999"/>
    <w:rsid w:val="00027A6B"/>
    <w:rsid w:val="00040C3A"/>
    <w:rsid w:val="000412D5"/>
    <w:rsid w:val="00051767"/>
    <w:rsid w:val="00053A5D"/>
    <w:rsid w:val="00055A92"/>
    <w:rsid w:val="00056A14"/>
    <w:rsid w:val="00067A5D"/>
    <w:rsid w:val="000716C5"/>
    <w:rsid w:val="00073602"/>
    <w:rsid w:val="00075E23"/>
    <w:rsid w:val="0007673B"/>
    <w:rsid w:val="00085F2D"/>
    <w:rsid w:val="000866A4"/>
    <w:rsid w:val="0008768F"/>
    <w:rsid w:val="0009173F"/>
    <w:rsid w:val="0009344A"/>
    <w:rsid w:val="00094AAF"/>
    <w:rsid w:val="00095160"/>
    <w:rsid w:val="000A24C1"/>
    <w:rsid w:val="000A392E"/>
    <w:rsid w:val="000A575F"/>
    <w:rsid w:val="000A576A"/>
    <w:rsid w:val="000A57F6"/>
    <w:rsid w:val="000B226D"/>
    <w:rsid w:val="000B6693"/>
    <w:rsid w:val="000C4981"/>
    <w:rsid w:val="000C4D12"/>
    <w:rsid w:val="000D10DB"/>
    <w:rsid w:val="000D3186"/>
    <w:rsid w:val="000D5411"/>
    <w:rsid w:val="000D6A8E"/>
    <w:rsid w:val="000E0C8F"/>
    <w:rsid w:val="000E5783"/>
    <w:rsid w:val="000E5EB5"/>
    <w:rsid w:val="000F0FE9"/>
    <w:rsid w:val="000F113F"/>
    <w:rsid w:val="000F35ED"/>
    <w:rsid w:val="000F68D9"/>
    <w:rsid w:val="000F7BD8"/>
    <w:rsid w:val="00101046"/>
    <w:rsid w:val="00103D54"/>
    <w:rsid w:val="00103E9A"/>
    <w:rsid w:val="001058DF"/>
    <w:rsid w:val="00107131"/>
    <w:rsid w:val="0010736F"/>
    <w:rsid w:val="00113F73"/>
    <w:rsid w:val="00116C7B"/>
    <w:rsid w:val="00121CC2"/>
    <w:rsid w:val="0012412A"/>
    <w:rsid w:val="0013183C"/>
    <w:rsid w:val="00133EE5"/>
    <w:rsid w:val="00144450"/>
    <w:rsid w:val="0014446F"/>
    <w:rsid w:val="00156E1C"/>
    <w:rsid w:val="00161195"/>
    <w:rsid w:val="001656D8"/>
    <w:rsid w:val="00166189"/>
    <w:rsid w:val="00167A34"/>
    <w:rsid w:val="00170162"/>
    <w:rsid w:val="00181F34"/>
    <w:rsid w:val="001820C8"/>
    <w:rsid w:val="00185757"/>
    <w:rsid w:val="001858BE"/>
    <w:rsid w:val="001873D0"/>
    <w:rsid w:val="00193808"/>
    <w:rsid w:val="00194568"/>
    <w:rsid w:val="00195022"/>
    <w:rsid w:val="001954DA"/>
    <w:rsid w:val="001A10C5"/>
    <w:rsid w:val="001A4D23"/>
    <w:rsid w:val="001A72F3"/>
    <w:rsid w:val="001A7870"/>
    <w:rsid w:val="001A7FE4"/>
    <w:rsid w:val="001B373A"/>
    <w:rsid w:val="001C103F"/>
    <w:rsid w:val="001C1B41"/>
    <w:rsid w:val="001C4547"/>
    <w:rsid w:val="001C5BFD"/>
    <w:rsid w:val="001C772A"/>
    <w:rsid w:val="001D18C7"/>
    <w:rsid w:val="001D3307"/>
    <w:rsid w:val="001D65EF"/>
    <w:rsid w:val="001E15B6"/>
    <w:rsid w:val="001E281C"/>
    <w:rsid w:val="001F21F8"/>
    <w:rsid w:val="001F3BF5"/>
    <w:rsid w:val="00200068"/>
    <w:rsid w:val="00204B61"/>
    <w:rsid w:val="00205EF8"/>
    <w:rsid w:val="00210AE1"/>
    <w:rsid w:val="0021146D"/>
    <w:rsid w:val="00211927"/>
    <w:rsid w:val="00217057"/>
    <w:rsid w:val="0022273F"/>
    <w:rsid w:val="002250A3"/>
    <w:rsid w:val="00226031"/>
    <w:rsid w:val="00235217"/>
    <w:rsid w:val="00237EEC"/>
    <w:rsid w:val="00240F7D"/>
    <w:rsid w:val="00246D1F"/>
    <w:rsid w:val="00247403"/>
    <w:rsid w:val="00247542"/>
    <w:rsid w:val="00254252"/>
    <w:rsid w:val="002622B1"/>
    <w:rsid w:val="00262F56"/>
    <w:rsid w:val="00266B61"/>
    <w:rsid w:val="0026712A"/>
    <w:rsid w:val="002704DB"/>
    <w:rsid w:val="00272204"/>
    <w:rsid w:val="0027331D"/>
    <w:rsid w:val="00274ECD"/>
    <w:rsid w:val="00276DF8"/>
    <w:rsid w:val="00277EF9"/>
    <w:rsid w:val="002827DD"/>
    <w:rsid w:val="00286768"/>
    <w:rsid w:val="0028738B"/>
    <w:rsid w:val="002917DA"/>
    <w:rsid w:val="002A0AAE"/>
    <w:rsid w:val="002A5820"/>
    <w:rsid w:val="002C256D"/>
    <w:rsid w:val="002D2B26"/>
    <w:rsid w:val="002D34D8"/>
    <w:rsid w:val="002D620B"/>
    <w:rsid w:val="002D7EA2"/>
    <w:rsid w:val="002E187C"/>
    <w:rsid w:val="002E1C43"/>
    <w:rsid w:val="002E4AEA"/>
    <w:rsid w:val="002F1560"/>
    <w:rsid w:val="002F2C94"/>
    <w:rsid w:val="002F5A00"/>
    <w:rsid w:val="0030129D"/>
    <w:rsid w:val="00302733"/>
    <w:rsid w:val="00303D52"/>
    <w:rsid w:val="00303EE3"/>
    <w:rsid w:val="00307ABC"/>
    <w:rsid w:val="00310138"/>
    <w:rsid w:val="0031160D"/>
    <w:rsid w:val="00314078"/>
    <w:rsid w:val="00314114"/>
    <w:rsid w:val="0031535D"/>
    <w:rsid w:val="0031537F"/>
    <w:rsid w:val="00321826"/>
    <w:rsid w:val="00322B86"/>
    <w:rsid w:val="00322BF2"/>
    <w:rsid w:val="00325F0B"/>
    <w:rsid w:val="0032742E"/>
    <w:rsid w:val="003277D9"/>
    <w:rsid w:val="0033028D"/>
    <w:rsid w:val="0033169F"/>
    <w:rsid w:val="00336DF5"/>
    <w:rsid w:val="00337F01"/>
    <w:rsid w:val="00341D46"/>
    <w:rsid w:val="00346C95"/>
    <w:rsid w:val="003506F4"/>
    <w:rsid w:val="00356185"/>
    <w:rsid w:val="00360380"/>
    <w:rsid w:val="00361415"/>
    <w:rsid w:val="0036189F"/>
    <w:rsid w:val="00364A45"/>
    <w:rsid w:val="00365872"/>
    <w:rsid w:val="00373805"/>
    <w:rsid w:val="0037382D"/>
    <w:rsid w:val="0037399A"/>
    <w:rsid w:val="0037519E"/>
    <w:rsid w:val="00385A61"/>
    <w:rsid w:val="00386CF0"/>
    <w:rsid w:val="0039566A"/>
    <w:rsid w:val="00397A42"/>
    <w:rsid w:val="003A44EA"/>
    <w:rsid w:val="003B3736"/>
    <w:rsid w:val="003C053F"/>
    <w:rsid w:val="003C676B"/>
    <w:rsid w:val="003D2517"/>
    <w:rsid w:val="003D3BC2"/>
    <w:rsid w:val="003D67C7"/>
    <w:rsid w:val="003D7C03"/>
    <w:rsid w:val="003E3B6B"/>
    <w:rsid w:val="003E432F"/>
    <w:rsid w:val="003E6CA1"/>
    <w:rsid w:val="003F7F64"/>
    <w:rsid w:val="004053ED"/>
    <w:rsid w:val="004165C2"/>
    <w:rsid w:val="00424AD3"/>
    <w:rsid w:val="00426114"/>
    <w:rsid w:val="004317F3"/>
    <w:rsid w:val="00434DA4"/>
    <w:rsid w:val="00436FA1"/>
    <w:rsid w:val="00437655"/>
    <w:rsid w:val="00441ECB"/>
    <w:rsid w:val="00442197"/>
    <w:rsid w:val="004470AE"/>
    <w:rsid w:val="00447860"/>
    <w:rsid w:val="00447E7A"/>
    <w:rsid w:val="004570DA"/>
    <w:rsid w:val="00461212"/>
    <w:rsid w:val="00465441"/>
    <w:rsid w:val="00466A42"/>
    <w:rsid w:val="00467B7E"/>
    <w:rsid w:val="004721F4"/>
    <w:rsid w:val="00477592"/>
    <w:rsid w:val="00481336"/>
    <w:rsid w:val="00482EC8"/>
    <w:rsid w:val="00486203"/>
    <w:rsid w:val="00486F1C"/>
    <w:rsid w:val="004924D7"/>
    <w:rsid w:val="0049324C"/>
    <w:rsid w:val="0049419D"/>
    <w:rsid w:val="00495D50"/>
    <w:rsid w:val="00495D85"/>
    <w:rsid w:val="00497C59"/>
    <w:rsid w:val="004A0410"/>
    <w:rsid w:val="004B3583"/>
    <w:rsid w:val="004C20D2"/>
    <w:rsid w:val="004C4B62"/>
    <w:rsid w:val="004C54C9"/>
    <w:rsid w:val="004C790D"/>
    <w:rsid w:val="004D0592"/>
    <w:rsid w:val="004D195F"/>
    <w:rsid w:val="004D2720"/>
    <w:rsid w:val="004D367D"/>
    <w:rsid w:val="004D3E95"/>
    <w:rsid w:val="004D5417"/>
    <w:rsid w:val="004D6025"/>
    <w:rsid w:val="004D6618"/>
    <w:rsid w:val="004E2649"/>
    <w:rsid w:val="004E44AB"/>
    <w:rsid w:val="004E64A6"/>
    <w:rsid w:val="004F0852"/>
    <w:rsid w:val="004F39FD"/>
    <w:rsid w:val="004F47A6"/>
    <w:rsid w:val="004F522D"/>
    <w:rsid w:val="004F627D"/>
    <w:rsid w:val="00500CD4"/>
    <w:rsid w:val="00501399"/>
    <w:rsid w:val="005013F4"/>
    <w:rsid w:val="00501428"/>
    <w:rsid w:val="0050147B"/>
    <w:rsid w:val="005031F8"/>
    <w:rsid w:val="00505351"/>
    <w:rsid w:val="0050633D"/>
    <w:rsid w:val="00507BC4"/>
    <w:rsid w:val="005128E4"/>
    <w:rsid w:val="005133DB"/>
    <w:rsid w:val="00516233"/>
    <w:rsid w:val="00521FFA"/>
    <w:rsid w:val="00522143"/>
    <w:rsid w:val="00525560"/>
    <w:rsid w:val="00525702"/>
    <w:rsid w:val="00527EC8"/>
    <w:rsid w:val="00535489"/>
    <w:rsid w:val="005354F3"/>
    <w:rsid w:val="00536923"/>
    <w:rsid w:val="00536D7E"/>
    <w:rsid w:val="0054300A"/>
    <w:rsid w:val="005430CE"/>
    <w:rsid w:val="00544C49"/>
    <w:rsid w:val="005471D3"/>
    <w:rsid w:val="005516A1"/>
    <w:rsid w:val="00555DCF"/>
    <w:rsid w:val="00556E82"/>
    <w:rsid w:val="00557A94"/>
    <w:rsid w:val="00563D6C"/>
    <w:rsid w:val="00565744"/>
    <w:rsid w:val="00567AB7"/>
    <w:rsid w:val="0057402A"/>
    <w:rsid w:val="005771D0"/>
    <w:rsid w:val="005777B2"/>
    <w:rsid w:val="005823E8"/>
    <w:rsid w:val="00584A0C"/>
    <w:rsid w:val="00587459"/>
    <w:rsid w:val="005900CE"/>
    <w:rsid w:val="00590751"/>
    <w:rsid w:val="0059191A"/>
    <w:rsid w:val="005921FF"/>
    <w:rsid w:val="005937F1"/>
    <w:rsid w:val="00593928"/>
    <w:rsid w:val="00594122"/>
    <w:rsid w:val="00595C1D"/>
    <w:rsid w:val="005A6D0E"/>
    <w:rsid w:val="005A7473"/>
    <w:rsid w:val="005B52B0"/>
    <w:rsid w:val="005B5F09"/>
    <w:rsid w:val="005B6806"/>
    <w:rsid w:val="005C4225"/>
    <w:rsid w:val="005C4CA5"/>
    <w:rsid w:val="005C69B5"/>
    <w:rsid w:val="005D0DB1"/>
    <w:rsid w:val="005D1791"/>
    <w:rsid w:val="005D252F"/>
    <w:rsid w:val="005E649E"/>
    <w:rsid w:val="005F0DAD"/>
    <w:rsid w:val="005F0F33"/>
    <w:rsid w:val="005F309E"/>
    <w:rsid w:val="005F6F7A"/>
    <w:rsid w:val="00600DEB"/>
    <w:rsid w:val="006125C3"/>
    <w:rsid w:val="00616E77"/>
    <w:rsid w:val="00623008"/>
    <w:rsid w:val="00626CB2"/>
    <w:rsid w:val="00627C9F"/>
    <w:rsid w:val="006311E9"/>
    <w:rsid w:val="00632354"/>
    <w:rsid w:val="00634F3A"/>
    <w:rsid w:val="00641A27"/>
    <w:rsid w:val="00642810"/>
    <w:rsid w:val="0064497A"/>
    <w:rsid w:val="00645038"/>
    <w:rsid w:val="00645348"/>
    <w:rsid w:val="00652333"/>
    <w:rsid w:val="00654B97"/>
    <w:rsid w:val="0065519D"/>
    <w:rsid w:val="00655B8E"/>
    <w:rsid w:val="00660E6B"/>
    <w:rsid w:val="006626BA"/>
    <w:rsid w:val="006672CB"/>
    <w:rsid w:val="00674DAE"/>
    <w:rsid w:val="00677C9E"/>
    <w:rsid w:val="0068009E"/>
    <w:rsid w:val="00686114"/>
    <w:rsid w:val="00686497"/>
    <w:rsid w:val="0068693F"/>
    <w:rsid w:val="00692219"/>
    <w:rsid w:val="006970DB"/>
    <w:rsid w:val="006A08FD"/>
    <w:rsid w:val="006A11DA"/>
    <w:rsid w:val="006A17D2"/>
    <w:rsid w:val="006A1B2D"/>
    <w:rsid w:val="006A4B39"/>
    <w:rsid w:val="006A73E6"/>
    <w:rsid w:val="006B2D5C"/>
    <w:rsid w:val="006B3B57"/>
    <w:rsid w:val="006B4D40"/>
    <w:rsid w:val="006B5657"/>
    <w:rsid w:val="006C1A20"/>
    <w:rsid w:val="006C26A6"/>
    <w:rsid w:val="006C4EB1"/>
    <w:rsid w:val="006D23EF"/>
    <w:rsid w:val="006D5CAC"/>
    <w:rsid w:val="006E0166"/>
    <w:rsid w:val="006E2151"/>
    <w:rsid w:val="006E34AE"/>
    <w:rsid w:val="006E4DCC"/>
    <w:rsid w:val="006E6862"/>
    <w:rsid w:val="006E7B34"/>
    <w:rsid w:val="0070217C"/>
    <w:rsid w:val="00702666"/>
    <w:rsid w:val="00704906"/>
    <w:rsid w:val="007062C9"/>
    <w:rsid w:val="0070697F"/>
    <w:rsid w:val="007120E1"/>
    <w:rsid w:val="00720B69"/>
    <w:rsid w:val="0072151D"/>
    <w:rsid w:val="0072199C"/>
    <w:rsid w:val="00721C98"/>
    <w:rsid w:val="00722C9F"/>
    <w:rsid w:val="007253B8"/>
    <w:rsid w:val="00725C14"/>
    <w:rsid w:val="00726154"/>
    <w:rsid w:val="00727475"/>
    <w:rsid w:val="00727FF0"/>
    <w:rsid w:val="0073631B"/>
    <w:rsid w:val="0073741F"/>
    <w:rsid w:val="00745C80"/>
    <w:rsid w:val="0075312F"/>
    <w:rsid w:val="00754CD7"/>
    <w:rsid w:val="00756A96"/>
    <w:rsid w:val="0076643F"/>
    <w:rsid w:val="007730BC"/>
    <w:rsid w:val="00777F63"/>
    <w:rsid w:val="00782DEE"/>
    <w:rsid w:val="007A3660"/>
    <w:rsid w:val="007A5817"/>
    <w:rsid w:val="007A5A7C"/>
    <w:rsid w:val="007A7F12"/>
    <w:rsid w:val="007B0C4C"/>
    <w:rsid w:val="007B2F0F"/>
    <w:rsid w:val="007B60E9"/>
    <w:rsid w:val="007B6CC3"/>
    <w:rsid w:val="007B7457"/>
    <w:rsid w:val="007B7F7D"/>
    <w:rsid w:val="007C047E"/>
    <w:rsid w:val="007C315E"/>
    <w:rsid w:val="007C3334"/>
    <w:rsid w:val="007C370D"/>
    <w:rsid w:val="007C5B49"/>
    <w:rsid w:val="007C5EBE"/>
    <w:rsid w:val="007C756A"/>
    <w:rsid w:val="007C7FBD"/>
    <w:rsid w:val="007D1FF6"/>
    <w:rsid w:val="007D20FA"/>
    <w:rsid w:val="007D2B98"/>
    <w:rsid w:val="007E21BC"/>
    <w:rsid w:val="007F7E9A"/>
    <w:rsid w:val="00800D97"/>
    <w:rsid w:val="0080380A"/>
    <w:rsid w:val="00803F1C"/>
    <w:rsid w:val="008049E2"/>
    <w:rsid w:val="0080600E"/>
    <w:rsid w:val="008063E6"/>
    <w:rsid w:val="00811829"/>
    <w:rsid w:val="00813005"/>
    <w:rsid w:val="00813B42"/>
    <w:rsid w:val="008145CB"/>
    <w:rsid w:val="0081474F"/>
    <w:rsid w:val="00815021"/>
    <w:rsid w:val="00816544"/>
    <w:rsid w:val="00816696"/>
    <w:rsid w:val="00817612"/>
    <w:rsid w:val="008217E6"/>
    <w:rsid w:val="008266A7"/>
    <w:rsid w:val="00832BAC"/>
    <w:rsid w:val="00832F79"/>
    <w:rsid w:val="008338A4"/>
    <w:rsid w:val="00835116"/>
    <w:rsid w:val="00837C45"/>
    <w:rsid w:val="00842F10"/>
    <w:rsid w:val="0084372E"/>
    <w:rsid w:val="00844730"/>
    <w:rsid w:val="008457C2"/>
    <w:rsid w:val="0084708B"/>
    <w:rsid w:val="00857A82"/>
    <w:rsid w:val="0086036C"/>
    <w:rsid w:val="00873836"/>
    <w:rsid w:val="00885737"/>
    <w:rsid w:val="0088694E"/>
    <w:rsid w:val="00890650"/>
    <w:rsid w:val="008942DB"/>
    <w:rsid w:val="00897E12"/>
    <w:rsid w:val="008A078F"/>
    <w:rsid w:val="008A2396"/>
    <w:rsid w:val="008A7E0F"/>
    <w:rsid w:val="008B12F5"/>
    <w:rsid w:val="008B22FE"/>
    <w:rsid w:val="008B36C7"/>
    <w:rsid w:val="008B401C"/>
    <w:rsid w:val="008C3098"/>
    <w:rsid w:val="008D28F9"/>
    <w:rsid w:val="008D47BE"/>
    <w:rsid w:val="008D768D"/>
    <w:rsid w:val="008E2AAE"/>
    <w:rsid w:val="008E2E59"/>
    <w:rsid w:val="008E36F7"/>
    <w:rsid w:val="008E3759"/>
    <w:rsid w:val="008E4CA0"/>
    <w:rsid w:val="008F0C9D"/>
    <w:rsid w:val="008F1912"/>
    <w:rsid w:val="008F1B28"/>
    <w:rsid w:val="008F5D81"/>
    <w:rsid w:val="008F5E58"/>
    <w:rsid w:val="008F604B"/>
    <w:rsid w:val="009014A4"/>
    <w:rsid w:val="0090192B"/>
    <w:rsid w:val="0090270B"/>
    <w:rsid w:val="009041DC"/>
    <w:rsid w:val="00906775"/>
    <w:rsid w:val="00910791"/>
    <w:rsid w:val="00913C68"/>
    <w:rsid w:val="009162D5"/>
    <w:rsid w:val="00916E70"/>
    <w:rsid w:val="00917B5A"/>
    <w:rsid w:val="00920A58"/>
    <w:rsid w:val="00920A8C"/>
    <w:rsid w:val="0092111F"/>
    <w:rsid w:val="009213BD"/>
    <w:rsid w:val="0092252D"/>
    <w:rsid w:val="00923B2F"/>
    <w:rsid w:val="00923C3F"/>
    <w:rsid w:val="00934A2C"/>
    <w:rsid w:val="00937B55"/>
    <w:rsid w:val="00941583"/>
    <w:rsid w:val="00941C6B"/>
    <w:rsid w:val="00941DA1"/>
    <w:rsid w:val="00942E3C"/>
    <w:rsid w:val="00951C2C"/>
    <w:rsid w:val="00951CBC"/>
    <w:rsid w:val="009537A3"/>
    <w:rsid w:val="00954263"/>
    <w:rsid w:val="00956D63"/>
    <w:rsid w:val="009609E8"/>
    <w:rsid w:val="00961F39"/>
    <w:rsid w:val="00964C4A"/>
    <w:rsid w:val="0096706E"/>
    <w:rsid w:val="00967A49"/>
    <w:rsid w:val="00974E93"/>
    <w:rsid w:val="009759E1"/>
    <w:rsid w:val="00975C4E"/>
    <w:rsid w:val="00981000"/>
    <w:rsid w:val="00981FBA"/>
    <w:rsid w:val="009877A8"/>
    <w:rsid w:val="0099117A"/>
    <w:rsid w:val="00997155"/>
    <w:rsid w:val="00997BC5"/>
    <w:rsid w:val="009A0BE3"/>
    <w:rsid w:val="009A4F41"/>
    <w:rsid w:val="009B1B0E"/>
    <w:rsid w:val="009B381B"/>
    <w:rsid w:val="009B7AF8"/>
    <w:rsid w:val="009C4EAA"/>
    <w:rsid w:val="009C5ED9"/>
    <w:rsid w:val="009C7666"/>
    <w:rsid w:val="009C7F72"/>
    <w:rsid w:val="009D1753"/>
    <w:rsid w:val="009D3F08"/>
    <w:rsid w:val="009D4CC1"/>
    <w:rsid w:val="009D7611"/>
    <w:rsid w:val="009E0B61"/>
    <w:rsid w:val="009E16B4"/>
    <w:rsid w:val="009E53DE"/>
    <w:rsid w:val="009F00FF"/>
    <w:rsid w:val="009F4AE1"/>
    <w:rsid w:val="009F602F"/>
    <w:rsid w:val="00A01653"/>
    <w:rsid w:val="00A03A30"/>
    <w:rsid w:val="00A06F25"/>
    <w:rsid w:val="00A16F58"/>
    <w:rsid w:val="00A215FA"/>
    <w:rsid w:val="00A2252E"/>
    <w:rsid w:val="00A22E04"/>
    <w:rsid w:val="00A2598E"/>
    <w:rsid w:val="00A328B3"/>
    <w:rsid w:val="00A32EA9"/>
    <w:rsid w:val="00A33B1E"/>
    <w:rsid w:val="00A3662D"/>
    <w:rsid w:val="00A47158"/>
    <w:rsid w:val="00A47F90"/>
    <w:rsid w:val="00A50FCF"/>
    <w:rsid w:val="00A528D1"/>
    <w:rsid w:val="00A5396D"/>
    <w:rsid w:val="00A610CD"/>
    <w:rsid w:val="00A70627"/>
    <w:rsid w:val="00A72C54"/>
    <w:rsid w:val="00A72D05"/>
    <w:rsid w:val="00A74D4C"/>
    <w:rsid w:val="00A75E63"/>
    <w:rsid w:val="00A814FA"/>
    <w:rsid w:val="00A81ACC"/>
    <w:rsid w:val="00A90753"/>
    <w:rsid w:val="00AA09A2"/>
    <w:rsid w:val="00AA1708"/>
    <w:rsid w:val="00AA527C"/>
    <w:rsid w:val="00AA62A7"/>
    <w:rsid w:val="00AA7996"/>
    <w:rsid w:val="00AB43AE"/>
    <w:rsid w:val="00AC19CB"/>
    <w:rsid w:val="00AC1A5B"/>
    <w:rsid w:val="00AC2FEC"/>
    <w:rsid w:val="00AC48E1"/>
    <w:rsid w:val="00AC55D4"/>
    <w:rsid w:val="00AD159D"/>
    <w:rsid w:val="00AD59F9"/>
    <w:rsid w:val="00AD7FC4"/>
    <w:rsid w:val="00AE07EF"/>
    <w:rsid w:val="00AE31FB"/>
    <w:rsid w:val="00AE3385"/>
    <w:rsid w:val="00AE446C"/>
    <w:rsid w:val="00AE5488"/>
    <w:rsid w:val="00AE6F91"/>
    <w:rsid w:val="00AF0EB9"/>
    <w:rsid w:val="00AF35FA"/>
    <w:rsid w:val="00AF5571"/>
    <w:rsid w:val="00AF7988"/>
    <w:rsid w:val="00AF7D9A"/>
    <w:rsid w:val="00B07184"/>
    <w:rsid w:val="00B07341"/>
    <w:rsid w:val="00B1438A"/>
    <w:rsid w:val="00B14D90"/>
    <w:rsid w:val="00B15B5D"/>
    <w:rsid w:val="00B24C7E"/>
    <w:rsid w:val="00B2586E"/>
    <w:rsid w:val="00B25CB8"/>
    <w:rsid w:val="00B30539"/>
    <w:rsid w:val="00B314A4"/>
    <w:rsid w:val="00B314DB"/>
    <w:rsid w:val="00B34CE7"/>
    <w:rsid w:val="00B361F2"/>
    <w:rsid w:val="00B36A91"/>
    <w:rsid w:val="00B3718B"/>
    <w:rsid w:val="00B372BC"/>
    <w:rsid w:val="00B405AB"/>
    <w:rsid w:val="00B413A2"/>
    <w:rsid w:val="00B42305"/>
    <w:rsid w:val="00B4463F"/>
    <w:rsid w:val="00B4632A"/>
    <w:rsid w:val="00B50860"/>
    <w:rsid w:val="00B513B1"/>
    <w:rsid w:val="00B530F1"/>
    <w:rsid w:val="00B5495D"/>
    <w:rsid w:val="00B54A0C"/>
    <w:rsid w:val="00B55BF5"/>
    <w:rsid w:val="00B56EF2"/>
    <w:rsid w:val="00B6194C"/>
    <w:rsid w:val="00B632D6"/>
    <w:rsid w:val="00B67999"/>
    <w:rsid w:val="00B70233"/>
    <w:rsid w:val="00B714EC"/>
    <w:rsid w:val="00B73CDF"/>
    <w:rsid w:val="00B74069"/>
    <w:rsid w:val="00B80143"/>
    <w:rsid w:val="00B86FD4"/>
    <w:rsid w:val="00B906FE"/>
    <w:rsid w:val="00B918E1"/>
    <w:rsid w:val="00B91C43"/>
    <w:rsid w:val="00B93EEC"/>
    <w:rsid w:val="00BA1068"/>
    <w:rsid w:val="00BA276C"/>
    <w:rsid w:val="00BA461E"/>
    <w:rsid w:val="00BA71C9"/>
    <w:rsid w:val="00BB306F"/>
    <w:rsid w:val="00BB3731"/>
    <w:rsid w:val="00BB51DC"/>
    <w:rsid w:val="00BB72FA"/>
    <w:rsid w:val="00BB7A06"/>
    <w:rsid w:val="00BC1180"/>
    <w:rsid w:val="00BC6DEE"/>
    <w:rsid w:val="00BD20B8"/>
    <w:rsid w:val="00BD350A"/>
    <w:rsid w:val="00BD4B89"/>
    <w:rsid w:val="00BD4EC0"/>
    <w:rsid w:val="00BD5934"/>
    <w:rsid w:val="00BE2278"/>
    <w:rsid w:val="00BE499F"/>
    <w:rsid w:val="00BE755D"/>
    <w:rsid w:val="00BF02CB"/>
    <w:rsid w:val="00BF11D3"/>
    <w:rsid w:val="00BF1664"/>
    <w:rsid w:val="00BF6EE9"/>
    <w:rsid w:val="00BF6FD8"/>
    <w:rsid w:val="00C03680"/>
    <w:rsid w:val="00C054DF"/>
    <w:rsid w:val="00C056D7"/>
    <w:rsid w:val="00C14F9B"/>
    <w:rsid w:val="00C1683B"/>
    <w:rsid w:val="00C200F7"/>
    <w:rsid w:val="00C21762"/>
    <w:rsid w:val="00C24543"/>
    <w:rsid w:val="00C256A2"/>
    <w:rsid w:val="00C27F42"/>
    <w:rsid w:val="00C33D0B"/>
    <w:rsid w:val="00C35ECA"/>
    <w:rsid w:val="00C36361"/>
    <w:rsid w:val="00C36B88"/>
    <w:rsid w:val="00C40789"/>
    <w:rsid w:val="00C46EE5"/>
    <w:rsid w:val="00C51515"/>
    <w:rsid w:val="00C557EF"/>
    <w:rsid w:val="00C5660B"/>
    <w:rsid w:val="00C60C54"/>
    <w:rsid w:val="00C62A75"/>
    <w:rsid w:val="00C6435A"/>
    <w:rsid w:val="00C65232"/>
    <w:rsid w:val="00C66B72"/>
    <w:rsid w:val="00C7369C"/>
    <w:rsid w:val="00C75282"/>
    <w:rsid w:val="00C76A4A"/>
    <w:rsid w:val="00C810D8"/>
    <w:rsid w:val="00C909C7"/>
    <w:rsid w:val="00C9567A"/>
    <w:rsid w:val="00C969E9"/>
    <w:rsid w:val="00C97129"/>
    <w:rsid w:val="00CA5A40"/>
    <w:rsid w:val="00CA7DF0"/>
    <w:rsid w:val="00CB212D"/>
    <w:rsid w:val="00CB2583"/>
    <w:rsid w:val="00CB2660"/>
    <w:rsid w:val="00CC1E3C"/>
    <w:rsid w:val="00CC595F"/>
    <w:rsid w:val="00CC5E90"/>
    <w:rsid w:val="00CC63CF"/>
    <w:rsid w:val="00CD046C"/>
    <w:rsid w:val="00CE076C"/>
    <w:rsid w:val="00CE5199"/>
    <w:rsid w:val="00CE66D5"/>
    <w:rsid w:val="00CF637A"/>
    <w:rsid w:val="00D0318B"/>
    <w:rsid w:val="00D059DE"/>
    <w:rsid w:val="00D107DF"/>
    <w:rsid w:val="00D11D32"/>
    <w:rsid w:val="00D12193"/>
    <w:rsid w:val="00D131AB"/>
    <w:rsid w:val="00D13FCE"/>
    <w:rsid w:val="00D14420"/>
    <w:rsid w:val="00D15352"/>
    <w:rsid w:val="00D26CCE"/>
    <w:rsid w:val="00D306D1"/>
    <w:rsid w:val="00D33B5D"/>
    <w:rsid w:val="00D34786"/>
    <w:rsid w:val="00D36850"/>
    <w:rsid w:val="00D37BFC"/>
    <w:rsid w:val="00D4337D"/>
    <w:rsid w:val="00D47A8E"/>
    <w:rsid w:val="00D50524"/>
    <w:rsid w:val="00D52D14"/>
    <w:rsid w:val="00D54515"/>
    <w:rsid w:val="00D712D3"/>
    <w:rsid w:val="00D71422"/>
    <w:rsid w:val="00D72DC6"/>
    <w:rsid w:val="00D7558D"/>
    <w:rsid w:val="00D765CB"/>
    <w:rsid w:val="00D76E23"/>
    <w:rsid w:val="00D77E0C"/>
    <w:rsid w:val="00D81D92"/>
    <w:rsid w:val="00D82292"/>
    <w:rsid w:val="00D83D73"/>
    <w:rsid w:val="00D85D6B"/>
    <w:rsid w:val="00D936B8"/>
    <w:rsid w:val="00D96E66"/>
    <w:rsid w:val="00DA0331"/>
    <w:rsid w:val="00DA7B5F"/>
    <w:rsid w:val="00DB390C"/>
    <w:rsid w:val="00DC11E7"/>
    <w:rsid w:val="00DC7023"/>
    <w:rsid w:val="00DC769A"/>
    <w:rsid w:val="00DD3D86"/>
    <w:rsid w:val="00DD494E"/>
    <w:rsid w:val="00DD4BFE"/>
    <w:rsid w:val="00DD690F"/>
    <w:rsid w:val="00DF1A37"/>
    <w:rsid w:val="00DF1EC4"/>
    <w:rsid w:val="00DF3642"/>
    <w:rsid w:val="00DF46ED"/>
    <w:rsid w:val="00DF6CFE"/>
    <w:rsid w:val="00E0340B"/>
    <w:rsid w:val="00E0411B"/>
    <w:rsid w:val="00E04A90"/>
    <w:rsid w:val="00E12478"/>
    <w:rsid w:val="00E219C7"/>
    <w:rsid w:val="00E23F13"/>
    <w:rsid w:val="00E25FE4"/>
    <w:rsid w:val="00E274EC"/>
    <w:rsid w:val="00E41912"/>
    <w:rsid w:val="00E43157"/>
    <w:rsid w:val="00E461CE"/>
    <w:rsid w:val="00E55A50"/>
    <w:rsid w:val="00E5696E"/>
    <w:rsid w:val="00E64DAC"/>
    <w:rsid w:val="00E7107E"/>
    <w:rsid w:val="00E720CA"/>
    <w:rsid w:val="00E74898"/>
    <w:rsid w:val="00E75225"/>
    <w:rsid w:val="00E810C3"/>
    <w:rsid w:val="00E82DC0"/>
    <w:rsid w:val="00E84EB5"/>
    <w:rsid w:val="00E85662"/>
    <w:rsid w:val="00E8789F"/>
    <w:rsid w:val="00E905D3"/>
    <w:rsid w:val="00E909AA"/>
    <w:rsid w:val="00E93E20"/>
    <w:rsid w:val="00E97124"/>
    <w:rsid w:val="00E97B71"/>
    <w:rsid w:val="00EA1E05"/>
    <w:rsid w:val="00EA3D34"/>
    <w:rsid w:val="00EA5777"/>
    <w:rsid w:val="00EB454D"/>
    <w:rsid w:val="00ED0A1C"/>
    <w:rsid w:val="00ED76BE"/>
    <w:rsid w:val="00EE55CC"/>
    <w:rsid w:val="00EF08A0"/>
    <w:rsid w:val="00EF08E1"/>
    <w:rsid w:val="00EF619B"/>
    <w:rsid w:val="00EF7742"/>
    <w:rsid w:val="00F00B55"/>
    <w:rsid w:val="00F01397"/>
    <w:rsid w:val="00F01988"/>
    <w:rsid w:val="00F02AD1"/>
    <w:rsid w:val="00F253CC"/>
    <w:rsid w:val="00F37106"/>
    <w:rsid w:val="00F43AE1"/>
    <w:rsid w:val="00F469EF"/>
    <w:rsid w:val="00F519CF"/>
    <w:rsid w:val="00F52354"/>
    <w:rsid w:val="00F55100"/>
    <w:rsid w:val="00F551E4"/>
    <w:rsid w:val="00F56BA5"/>
    <w:rsid w:val="00F60E22"/>
    <w:rsid w:val="00F6209F"/>
    <w:rsid w:val="00F637AB"/>
    <w:rsid w:val="00F702A7"/>
    <w:rsid w:val="00F73104"/>
    <w:rsid w:val="00F805FB"/>
    <w:rsid w:val="00F81395"/>
    <w:rsid w:val="00F84F07"/>
    <w:rsid w:val="00F86009"/>
    <w:rsid w:val="00F902EB"/>
    <w:rsid w:val="00F917D1"/>
    <w:rsid w:val="00F952DD"/>
    <w:rsid w:val="00F9653B"/>
    <w:rsid w:val="00FA1135"/>
    <w:rsid w:val="00FB4380"/>
    <w:rsid w:val="00FB62CF"/>
    <w:rsid w:val="00FC1EF5"/>
    <w:rsid w:val="00FC2375"/>
    <w:rsid w:val="00FC6D5C"/>
    <w:rsid w:val="00FC74B0"/>
    <w:rsid w:val="00FD2D6A"/>
    <w:rsid w:val="00FD3C3B"/>
    <w:rsid w:val="00FD5A99"/>
    <w:rsid w:val="00FE07DD"/>
    <w:rsid w:val="00FE1E41"/>
    <w:rsid w:val="00FE2E21"/>
    <w:rsid w:val="00FE524A"/>
    <w:rsid w:val="00FE6B45"/>
    <w:rsid w:val="00FF00C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4:docId w14:val="0FD6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ListParagraph"/>
    <w:next w:val="Normal"/>
    <w:link w:val="Heading1Char"/>
    <w:uiPriority w:val="9"/>
    <w:qFormat/>
    <w:rsid w:val="00941C6B"/>
    <w:pPr>
      <w:numPr>
        <w:numId w:val="54"/>
      </w:numPr>
      <w:suppressAutoHyphens/>
      <w:ind w:left="1440" w:hanging="810"/>
      <w:outlineLvl w:val="0"/>
    </w:pPr>
    <w:rPr>
      <w:rFonts w:asciiTheme="majorHAnsi" w:hAnsiTheme="majorHAnsi"/>
      <w:b/>
      <w:sz w:val="20"/>
      <w:szCs w:val="20"/>
      <w:lang w:val="es-ES_tradnl"/>
    </w:rPr>
  </w:style>
  <w:style w:type="paragraph" w:styleId="Heading2">
    <w:name w:val="heading 2"/>
    <w:basedOn w:val="ListParagraph"/>
    <w:next w:val="Normal"/>
    <w:link w:val="Heading2Char"/>
    <w:qFormat/>
    <w:rsid w:val="007C047E"/>
    <w:pPr>
      <w:numPr>
        <w:numId w:val="55"/>
      </w:numPr>
      <w:suppressAutoHyphens/>
      <w:ind w:left="0" w:firstLine="0"/>
      <w:outlineLvl w:val="1"/>
    </w:pPr>
    <w:rPr>
      <w:rFonts w:asciiTheme="majorHAnsi" w:hAnsiTheme="majorHAnsi"/>
      <w:b/>
      <w:sz w:val="20"/>
      <w:szCs w:val="20"/>
      <w:lang w:val="es-ES_tradnl"/>
    </w:rPr>
  </w:style>
  <w:style w:type="paragraph" w:styleId="Heading3">
    <w:name w:val="heading 3"/>
    <w:basedOn w:val="Normal"/>
    <w:next w:val="Normal"/>
    <w:link w:val="Heading3Char"/>
    <w:qFormat/>
    <w:rsid w:val="00254252"/>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Cambria" w:eastAsia="Times New Roman" w:hAnsi="Cambria" w:cs="Arial"/>
      <w:b/>
      <w:bCs/>
      <w:sz w:val="20"/>
      <w:szCs w:val="26"/>
      <w:bdr w:val="none" w:sz="0" w:space="0" w:color="auto"/>
    </w:rPr>
  </w:style>
  <w:style w:type="paragraph" w:styleId="Heading5">
    <w:name w:val="heading 5"/>
    <w:basedOn w:val="Normal"/>
    <w:next w:val="Normal"/>
    <w:link w:val="Heading5Char"/>
    <w:uiPriority w:val="9"/>
    <w:semiHidden/>
    <w:unhideWhenUsed/>
    <w:qFormat/>
    <w:rsid w:val="00FB438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941C6B"/>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7C047E"/>
    <w:rPr>
      <w:rFonts w:asciiTheme="majorHAnsi" w:eastAsia="Cambria" w:hAnsiTheme="majorHAnsi" w:cs="Cambria"/>
      <w:b/>
      <w:color w:val="000000"/>
      <w:u w:color="000000"/>
      <w:lang w:val="es-ES_tradnl"/>
    </w:rPr>
  </w:style>
  <w:style w:type="character" w:customStyle="1" w:styleId="Heading3Char">
    <w:name w:val="Heading 3 Char"/>
    <w:basedOn w:val="DefaultParagraphFont"/>
    <w:link w:val="Heading3"/>
    <w:rsid w:val="00254252"/>
    <w:rPr>
      <w:rFonts w:ascii="Cambria" w:eastAsia="Times New Roman" w:hAnsi="Cambria"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99"/>
    <w:locked/>
    <w:rsid w:val="002E4AEA"/>
    <w:rPr>
      <w:rFonts w:ascii="Cambria" w:eastAsia="Cambria" w:hAnsi="Cambria" w:cs="Cambria"/>
      <w:color w:val="000000"/>
      <w:sz w:val="24"/>
      <w:szCs w:val="24"/>
      <w:u w:color="000000"/>
      <w:lang w:val="en-US"/>
    </w:rPr>
  </w:style>
  <w:style w:type="character" w:customStyle="1" w:styleId="BodyTextIndentChar">
    <w:name w:val="Body Text Indent Char"/>
    <w:link w:val="BodyTextIndent"/>
    <w:locked/>
    <w:rsid w:val="00254252"/>
    <w:rPr>
      <w:rFonts w:eastAsia="Times New Roman"/>
      <w:color w:val="000000"/>
      <w:sz w:val="24"/>
      <w:szCs w:val="24"/>
      <w:u w:color="000000"/>
      <w:lang w:val="es-ES_tradnl"/>
    </w:rPr>
  </w:style>
  <w:style w:type="paragraph" w:styleId="NoSpacing">
    <w:name w:val="No Spacing"/>
    <w:uiPriority w:val="1"/>
    <w:qFormat/>
    <w:rsid w:val="00085F2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table" w:styleId="TableGrid">
    <w:name w:val="Table Grid"/>
    <w:basedOn w:val="TableNormal"/>
    <w:uiPriority w:val="59"/>
    <w:rsid w:val="002F1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7382D"/>
    <w:rPr>
      <w:b/>
      <w:bCs/>
    </w:rPr>
  </w:style>
  <w:style w:type="character" w:styleId="CommentReference">
    <w:name w:val="annotation reference"/>
    <w:basedOn w:val="DefaultParagraphFont"/>
    <w:uiPriority w:val="99"/>
    <w:semiHidden/>
    <w:unhideWhenUsed/>
    <w:rsid w:val="00051767"/>
    <w:rPr>
      <w:sz w:val="16"/>
      <w:szCs w:val="16"/>
    </w:rPr>
  </w:style>
  <w:style w:type="paragraph" w:styleId="CommentText">
    <w:name w:val="annotation text"/>
    <w:basedOn w:val="Normal"/>
    <w:link w:val="CommentTextChar"/>
    <w:uiPriority w:val="99"/>
    <w:semiHidden/>
    <w:unhideWhenUsed/>
    <w:rsid w:val="00051767"/>
    <w:rPr>
      <w:sz w:val="20"/>
      <w:szCs w:val="20"/>
    </w:rPr>
  </w:style>
  <w:style w:type="character" w:customStyle="1" w:styleId="CommentTextChar">
    <w:name w:val="Comment Text Char"/>
    <w:basedOn w:val="DefaultParagraphFont"/>
    <w:link w:val="CommentText"/>
    <w:uiPriority w:val="99"/>
    <w:semiHidden/>
    <w:rsid w:val="00051767"/>
    <w:rPr>
      <w:lang w:val="en-US" w:eastAsia="en-US"/>
    </w:rPr>
  </w:style>
  <w:style w:type="paragraph" w:styleId="CommentSubject">
    <w:name w:val="annotation subject"/>
    <w:basedOn w:val="CommentText"/>
    <w:next w:val="CommentText"/>
    <w:link w:val="CommentSubjectChar"/>
    <w:uiPriority w:val="99"/>
    <w:semiHidden/>
    <w:unhideWhenUsed/>
    <w:rsid w:val="00051767"/>
    <w:rPr>
      <w:b/>
      <w:bCs/>
    </w:rPr>
  </w:style>
  <w:style w:type="character" w:customStyle="1" w:styleId="CommentSubjectChar">
    <w:name w:val="Comment Subject Char"/>
    <w:basedOn w:val="CommentTextChar"/>
    <w:link w:val="CommentSubject"/>
    <w:uiPriority w:val="99"/>
    <w:semiHidden/>
    <w:rsid w:val="00051767"/>
    <w:rPr>
      <w:b/>
      <w:bCs/>
      <w:lang w:val="en-US" w:eastAsia="en-US"/>
    </w:rPr>
  </w:style>
  <w:style w:type="character" w:customStyle="1" w:styleId="Heading5Char">
    <w:name w:val="Heading 5 Char"/>
    <w:basedOn w:val="DefaultParagraphFont"/>
    <w:link w:val="Heading5"/>
    <w:uiPriority w:val="9"/>
    <w:rsid w:val="00FB4380"/>
    <w:rPr>
      <w:rFonts w:asciiTheme="majorHAnsi" w:eastAsiaTheme="majorEastAsia" w:hAnsiTheme="majorHAnsi" w:cstheme="majorBidi"/>
      <w:color w:val="243F60" w:themeColor="accent1" w:themeShade="7F"/>
      <w:sz w:val="24"/>
      <w:szCs w:val="24"/>
      <w:lang w:val="en-US" w:eastAsia="en-US"/>
    </w:rPr>
  </w:style>
  <w:style w:type="paragraph" w:customStyle="1" w:styleId="Estilo7">
    <w:name w:val="Estilo7"/>
    <w:basedOn w:val="Normal"/>
    <w:qFormat/>
    <w:rsid w:val="00FB4380"/>
    <w:pPr>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noProof/>
      <w:sz w:val="20"/>
      <w:szCs w:val="20"/>
      <w:bdr w:val="none" w:sz="0" w:space="0" w:color="auto"/>
      <w:lang w:val="es-ES_tradnl" w:eastAsia="es-MX"/>
    </w:rPr>
  </w:style>
  <w:style w:type="paragraph" w:styleId="BodyText3">
    <w:name w:val="Body Text 3"/>
    <w:basedOn w:val="Normal"/>
    <w:link w:val="BodyText3Char"/>
    <w:uiPriority w:val="99"/>
    <w:unhideWhenUsed/>
    <w:rsid w:val="007C5B49"/>
    <w:pPr>
      <w:spacing w:after="120"/>
    </w:pPr>
    <w:rPr>
      <w:sz w:val="16"/>
      <w:szCs w:val="16"/>
    </w:rPr>
  </w:style>
  <w:style w:type="character" w:customStyle="1" w:styleId="BodyText3Char">
    <w:name w:val="Body Text 3 Char"/>
    <w:basedOn w:val="DefaultParagraphFont"/>
    <w:link w:val="BodyText3"/>
    <w:uiPriority w:val="99"/>
    <w:rsid w:val="007C5B49"/>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10394">
      <w:bodyDiv w:val="1"/>
      <w:marLeft w:val="0"/>
      <w:marRight w:val="0"/>
      <w:marTop w:val="0"/>
      <w:marBottom w:val="0"/>
      <w:divBdr>
        <w:top w:val="none" w:sz="0" w:space="0" w:color="auto"/>
        <w:left w:val="none" w:sz="0" w:space="0" w:color="auto"/>
        <w:bottom w:val="none" w:sz="0" w:space="0" w:color="auto"/>
        <w:right w:val="none" w:sz="0" w:space="0" w:color="auto"/>
      </w:divBdr>
    </w:div>
    <w:div w:id="381251180">
      <w:bodyDiv w:val="1"/>
      <w:marLeft w:val="0"/>
      <w:marRight w:val="0"/>
      <w:marTop w:val="0"/>
      <w:marBottom w:val="0"/>
      <w:divBdr>
        <w:top w:val="none" w:sz="0" w:space="0" w:color="auto"/>
        <w:left w:val="none" w:sz="0" w:space="0" w:color="auto"/>
        <w:bottom w:val="none" w:sz="0" w:space="0" w:color="auto"/>
        <w:right w:val="none" w:sz="0" w:space="0" w:color="auto"/>
      </w:divBdr>
    </w:div>
    <w:div w:id="618803022">
      <w:bodyDiv w:val="1"/>
      <w:marLeft w:val="0"/>
      <w:marRight w:val="0"/>
      <w:marTop w:val="0"/>
      <w:marBottom w:val="0"/>
      <w:divBdr>
        <w:top w:val="none" w:sz="0" w:space="0" w:color="auto"/>
        <w:left w:val="none" w:sz="0" w:space="0" w:color="auto"/>
        <w:bottom w:val="none" w:sz="0" w:space="0" w:color="auto"/>
        <w:right w:val="none" w:sz="0" w:space="0" w:color="auto"/>
      </w:divBdr>
    </w:div>
    <w:div w:id="1014041503">
      <w:bodyDiv w:val="1"/>
      <w:marLeft w:val="0"/>
      <w:marRight w:val="0"/>
      <w:marTop w:val="0"/>
      <w:marBottom w:val="0"/>
      <w:divBdr>
        <w:top w:val="none" w:sz="0" w:space="0" w:color="auto"/>
        <w:left w:val="none" w:sz="0" w:space="0" w:color="auto"/>
        <w:bottom w:val="none" w:sz="0" w:space="0" w:color="auto"/>
        <w:right w:val="none" w:sz="0" w:space="0" w:color="auto"/>
      </w:divBdr>
    </w:div>
    <w:div w:id="1050305738">
      <w:bodyDiv w:val="1"/>
      <w:marLeft w:val="0"/>
      <w:marRight w:val="0"/>
      <w:marTop w:val="0"/>
      <w:marBottom w:val="0"/>
      <w:divBdr>
        <w:top w:val="none" w:sz="0" w:space="0" w:color="auto"/>
        <w:left w:val="none" w:sz="0" w:space="0" w:color="auto"/>
        <w:bottom w:val="none" w:sz="0" w:space="0" w:color="auto"/>
        <w:right w:val="none" w:sz="0" w:space="0" w:color="auto"/>
      </w:divBdr>
    </w:div>
    <w:div w:id="1352299592">
      <w:bodyDiv w:val="1"/>
      <w:marLeft w:val="0"/>
      <w:marRight w:val="0"/>
      <w:marTop w:val="0"/>
      <w:marBottom w:val="0"/>
      <w:divBdr>
        <w:top w:val="none" w:sz="0" w:space="0" w:color="auto"/>
        <w:left w:val="none" w:sz="0" w:space="0" w:color="auto"/>
        <w:bottom w:val="none" w:sz="0" w:space="0" w:color="auto"/>
        <w:right w:val="none" w:sz="0" w:space="0" w:color="auto"/>
      </w:divBdr>
    </w:div>
    <w:div w:id="1468737197">
      <w:bodyDiv w:val="1"/>
      <w:marLeft w:val="0"/>
      <w:marRight w:val="0"/>
      <w:marTop w:val="0"/>
      <w:marBottom w:val="0"/>
      <w:divBdr>
        <w:top w:val="none" w:sz="0" w:space="0" w:color="auto"/>
        <w:left w:val="none" w:sz="0" w:space="0" w:color="auto"/>
        <w:bottom w:val="none" w:sz="0" w:space="0" w:color="auto"/>
        <w:right w:val="none" w:sz="0" w:space="0" w:color="auto"/>
      </w:divBdr>
    </w:div>
    <w:div w:id="15146137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8636754">
      <w:bodyDiv w:val="1"/>
      <w:marLeft w:val="0"/>
      <w:marRight w:val="0"/>
      <w:marTop w:val="0"/>
      <w:marBottom w:val="0"/>
      <w:divBdr>
        <w:top w:val="none" w:sz="0" w:space="0" w:color="auto"/>
        <w:left w:val="none" w:sz="0" w:space="0" w:color="auto"/>
        <w:bottom w:val="none" w:sz="0" w:space="0" w:color="auto"/>
        <w:right w:val="none" w:sz="0" w:space="0" w:color="auto"/>
      </w:divBdr>
    </w:div>
    <w:div w:id="2046296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869CC-E4FD-479F-8A21-15A3565F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7711</Words>
  <Characters>43959</Characters>
  <Application>Microsoft Office Word</Application>
  <DocSecurity>0</DocSecurity>
  <Lines>366</Lines>
  <Paragraphs>103</Paragraphs>
  <ScaleCrop>false</ScaleCrop>
  <Company/>
  <LinksUpToDate>false</LinksUpToDate>
  <CharactersWithSpaces>51567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2020-11-03T16:18:00Z</dcterms:created>
  <dcterms:modified xsi:type="dcterms:W3CDTF">2020-11-03T16:18:00Z</dcterms:modified>
</cp:coreProperties>
</file>