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9A7C4" w14:textId="77777777" w:rsidR="00040C3A" w:rsidRPr="00D94314" w:rsidRDefault="00D306D1" w:rsidP="006D72EB">
      <w:pPr>
        <w:jc w:val="both"/>
        <w:rPr>
          <w:rFonts w:asciiTheme="majorHAnsi" w:hAnsiTheme="majorHAnsi" w:cs="Univers"/>
          <w:b/>
          <w:bCs/>
          <w:sz w:val="20"/>
          <w:szCs w:val="20"/>
        </w:rPr>
      </w:pPr>
      <w:r w:rsidRPr="00D94314">
        <w:rPr>
          <w:rFonts w:asciiTheme="majorHAnsi" w:hAnsiTheme="majorHAnsi"/>
          <w:noProof/>
          <w:sz w:val="20"/>
          <w:szCs w:val="20"/>
          <w:lang w:val="en-US"/>
        </w:rPr>
        <mc:AlternateContent>
          <mc:Choice Requires="wps">
            <w:drawing>
              <wp:anchor distT="0" distB="0" distL="114300" distR="114300" simplePos="0" relativeHeight="251650048" behindDoc="0" locked="0" layoutInCell="1" allowOverlap="1" wp14:anchorId="723E6864" wp14:editId="016CCCD0">
                <wp:simplePos x="0" y="0"/>
                <wp:positionH relativeFrom="column">
                  <wp:posOffset>-300088</wp:posOffset>
                </wp:positionH>
                <wp:positionV relativeFrom="paragraph">
                  <wp:posOffset>-1416050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FB18E" id="Rectangle 1" o:spid="_x0000_s1026" style="position:absolute;margin-left:-23.65pt;margin-top:-111.5pt;width:121.5pt;height:71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" fillcolor="#4a7194" stroked="f" strokeweight="2pt"/>
            </w:pict>
          </mc:Fallback>
        </mc:AlternateContent>
      </w:r>
      <w:r w:rsidR="003E6CA1" w:rsidRPr="00D94314">
        <w:rPr>
          <w:rFonts w:asciiTheme="majorHAnsi" w:hAnsiTheme="majorHAnsi"/>
          <w:noProof/>
          <w:sz w:val="20"/>
          <w:szCs w:val="20"/>
          <w:lang w:val="en-US"/>
        </w:rPr>
        <mc:AlternateContent>
          <mc:Choice Requires="wps">
            <w:drawing>
              <wp:anchor distT="0" distB="0" distL="114300" distR="114300" simplePos="0" relativeHeight="251658240" behindDoc="0" locked="0" layoutInCell="1" allowOverlap="1" wp14:anchorId="78F16D5C" wp14:editId="60FD48C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DED1A" w14:textId="77777777" w:rsidR="00FC6B2B" w:rsidRDefault="00FC6B2B" w:rsidP="00AE5488">
                            <w:r>
                              <w:rPr>
                                <w:noProof/>
                                <w:lang w:val="en-US"/>
                              </w:rPr>
                              <w:drawing>
                                <wp:inline distT="0" distB="0" distL="0" distR="0" wp14:anchorId="4990552D" wp14:editId="4120809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16D5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F5DED1A" w14:textId="77777777" w:rsidR="00FC6B2B" w:rsidRDefault="00FC6B2B" w:rsidP="00AE5488">
                      <w:r>
                        <w:rPr>
                          <w:noProof/>
                          <w:lang w:val="en-US"/>
                        </w:rPr>
                        <w:drawing>
                          <wp:inline distT="0" distB="0" distL="0" distR="0" wp14:anchorId="4990552D" wp14:editId="4120809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355EEAE" w14:textId="77777777" w:rsidR="00040C3A" w:rsidRPr="00D94314" w:rsidRDefault="00040C3A" w:rsidP="006D72EB">
      <w:pPr>
        <w:tabs>
          <w:tab w:val="center" w:pos="5400"/>
        </w:tabs>
        <w:suppressAutoHyphens/>
        <w:jc w:val="both"/>
        <w:rPr>
          <w:rFonts w:asciiTheme="majorHAnsi" w:hAnsiTheme="majorHAnsi"/>
          <w:sz w:val="20"/>
          <w:szCs w:val="20"/>
          <w:lang w:val="es-ES"/>
        </w:rPr>
      </w:pPr>
    </w:p>
    <w:p w14:paraId="42B2794E" w14:textId="77777777" w:rsidR="00040C3A" w:rsidRPr="00D94314" w:rsidRDefault="00040C3A" w:rsidP="006D72EB">
      <w:pPr>
        <w:tabs>
          <w:tab w:val="center" w:pos="5400"/>
        </w:tabs>
        <w:suppressAutoHyphens/>
        <w:jc w:val="both"/>
        <w:rPr>
          <w:rFonts w:asciiTheme="majorHAnsi" w:hAnsiTheme="majorHAnsi"/>
          <w:sz w:val="20"/>
          <w:szCs w:val="20"/>
          <w:lang w:val="es-ES"/>
        </w:rPr>
      </w:pPr>
    </w:p>
    <w:p w14:paraId="53E474FC" w14:textId="77777777" w:rsidR="005128E4" w:rsidRPr="00D94314" w:rsidRDefault="005128E4" w:rsidP="006D72EB">
      <w:pPr>
        <w:tabs>
          <w:tab w:val="center" w:pos="5400"/>
        </w:tabs>
        <w:suppressAutoHyphens/>
        <w:rPr>
          <w:rFonts w:asciiTheme="majorHAnsi" w:hAnsiTheme="majorHAnsi"/>
          <w:sz w:val="20"/>
          <w:szCs w:val="20"/>
        </w:rPr>
      </w:pPr>
    </w:p>
    <w:p w14:paraId="7E68C49B" w14:textId="77777777" w:rsidR="005128E4" w:rsidRPr="00D94314" w:rsidRDefault="005128E4" w:rsidP="006D72EB">
      <w:pPr>
        <w:tabs>
          <w:tab w:val="center" w:pos="5400"/>
        </w:tabs>
        <w:suppressAutoHyphens/>
        <w:rPr>
          <w:rFonts w:asciiTheme="majorHAnsi" w:hAnsiTheme="majorHAnsi"/>
          <w:sz w:val="20"/>
          <w:szCs w:val="20"/>
        </w:rPr>
      </w:pPr>
    </w:p>
    <w:p w14:paraId="144B5F14" w14:textId="77777777" w:rsidR="005128E4" w:rsidRPr="00D94314" w:rsidRDefault="005128E4" w:rsidP="006D72EB">
      <w:pPr>
        <w:tabs>
          <w:tab w:val="center" w:pos="5400"/>
        </w:tabs>
        <w:suppressAutoHyphens/>
        <w:rPr>
          <w:rFonts w:asciiTheme="majorHAnsi" w:hAnsiTheme="majorHAnsi"/>
          <w:sz w:val="20"/>
          <w:szCs w:val="20"/>
        </w:rPr>
      </w:pPr>
    </w:p>
    <w:p w14:paraId="2A8B43FB" w14:textId="77777777" w:rsidR="00040C3A" w:rsidRPr="00D94314" w:rsidRDefault="00040C3A" w:rsidP="006D72EB">
      <w:pPr>
        <w:tabs>
          <w:tab w:val="center" w:pos="5400"/>
        </w:tabs>
        <w:suppressAutoHyphens/>
        <w:jc w:val="center"/>
        <w:rPr>
          <w:rFonts w:asciiTheme="majorHAnsi" w:hAnsiTheme="majorHAnsi"/>
          <w:sz w:val="20"/>
          <w:szCs w:val="20"/>
        </w:rPr>
      </w:pPr>
    </w:p>
    <w:p w14:paraId="3BBBB320" w14:textId="77777777" w:rsidR="00040C3A" w:rsidRPr="00D94314" w:rsidRDefault="00040C3A" w:rsidP="006D72EB">
      <w:pPr>
        <w:tabs>
          <w:tab w:val="center" w:pos="5400"/>
        </w:tabs>
        <w:suppressAutoHyphens/>
        <w:jc w:val="center"/>
        <w:rPr>
          <w:rFonts w:asciiTheme="majorHAnsi" w:hAnsiTheme="majorHAnsi"/>
          <w:sz w:val="20"/>
          <w:szCs w:val="20"/>
        </w:rPr>
      </w:pPr>
    </w:p>
    <w:p w14:paraId="2AD39C48" w14:textId="77777777" w:rsidR="005B52B0" w:rsidRPr="00D94314" w:rsidRDefault="005B52B0" w:rsidP="006D72EB">
      <w:pPr>
        <w:tabs>
          <w:tab w:val="center" w:pos="5400"/>
        </w:tabs>
        <w:suppressAutoHyphens/>
        <w:jc w:val="center"/>
        <w:rPr>
          <w:rFonts w:asciiTheme="majorHAnsi" w:hAnsiTheme="majorHAnsi"/>
          <w:sz w:val="20"/>
          <w:szCs w:val="20"/>
        </w:rPr>
      </w:pPr>
    </w:p>
    <w:p w14:paraId="131F3ED7" w14:textId="77777777" w:rsidR="005B52B0" w:rsidRPr="00D94314" w:rsidRDefault="005B52B0" w:rsidP="006D72EB">
      <w:pPr>
        <w:tabs>
          <w:tab w:val="center" w:pos="5400"/>
        </w:tabs>
        <w:suppressAutoHyphens/>
        <w:jc w:val="center"/>
        <w:rPr>
          <w:rFonts w:asciiTheme="majorHAnsi" w:hAnsiTheme="majorHAnsi"/>
          <w:sz w:val="20"/>
          <w:szCs w:val="20"/>
        </w:rPr>
      </w:pPr>
    </w:p>
    <w:p w14:paraId="30BA78ED" w14:textId="77777777" w:rsidR="005B52B0" w:rsidRPr="00D94314" w:rsidRDefault="005B52B0" w:rsidP="006D72EB">
      <w:pPr>
        <w:tabs>
          <w:tab w:val="center" w:pos="5400"/>
        </w:tabs>
        <w:suppressAutoHyphens/>
        <w:jc w:val="center"/>
        <w:rPr>
          <w:rFonts w:asciiTheme="majorHAnsi" w:hAnsiTheme="majorHAnsi"/>
          <w:sz w:val="20"/>
          <w:szCs w:val="20"/>
        </w:rPr>
      </w:pPr>
    </w:p>
    <w:p w14:paraId="7CBDE620" w14:textId="77777777" w:rsidR="00040C3A" w:rsidRPr="00D94314" w:rsidRDefault="00040C3A" w:rsidP="006D72EB">
      <w:pPr>
        <w:tabs>
          <w:tab w:val="center" w:pos="5400"/>
        </w:tabs>
        <w:suppressAutoHyphens/>
        <w:jc w:val="center"/>
        <w:rPr>
          <w:rFonts w:asciiTheme="majorHAnsi" w:hAnsiTheme="majorHAnsi"/>
          <w:sz w:val="20"/>
          <w:szCs w:val="20"/>
        </w:rPr>
      </w:pPr>
    </w:p>
    <w:p w14:paraId="1C324526" w14:textId="77777777" w:rsidR="00040C3A" w:rsidRPr="00D94314" w:rsidRDefault="00040C3A" w:rsidP="006D72EB">
      <w:pPr>
        <w:tabs>
          <w:tab w:val="center" w:pos="5400"/>
        </w:tabs>
        <w:suppressAutoHyphens/>
        <w:jc w:val="center"/>
        <w:rPr>
          <w:rFonts w:asciiTheme="majorHAnsi" w:hAnsiTheme="majorHAnsi"/>
          <w:sz w:val="20"/>
          <w:szCs w:val="20"/>
        </w:rPr>
      </w:pPr>
    </w:p>
    <w:p w14:paraId="4F938F75" w14:textId="77777777" w:rsidR="00040C3A" w:rsidRPr="00D94314" w:rsidRDefault="003D3BC2" w:rsidP="006D72EB">
      <w:pPr>
        <w:tabs>
          <w:tab w:val="center" w:pos="5400"/>
        </w:tabs>
        <w:suppressAutoHyphens/>
        <w:jc w:val="center"/>
        <w:rPr>
          <w:rFonts w:asciiTheme="majorHAnsi" w:hAnsiTheme="majorHAnsi"/>
          <w:sz w:val="20"/>
          <w:szCs w:val="20"/>
        </w:rPr>
      </w:pPr>
      <w:r w:rsidRPr="00D94314">
        <w:rPr>
          <w:rFonts w:asciiTheme="majorHAnsi" w:hAnsiTheme="majorHAnsi"/>
          <w:noProof/>
          <w:sz w:val="20"/>
          <w:szCs w:val="20"/>
          <w:lang w:val="en-US"/>
        </w:rPr>
        <mc:AlternateContent>
          <mc:Choice Requires="wps">
            <w:drawing>
              <wp:anchor distT="0" distB="0" distL="114300" distR="114300" simplePos="0" relativeHeight="251652096" behindDoc="0" locked="0" layoutInCell="1" allowOverlap="1" wp14:anchorId="6FDDB290" wp14:editId="271827F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329D2" w14:textId="0CDCABDA" w:rsidR="00FC6B2B" w:rsidRPr="000A369B" w:rsidRDefault="00FC6B2B" w:rsidP="00997BC5">
                            <w:pPr>
                              <w:spacing w:line="276" w:lineRule="auto"/>
                              <w:rPr>
                                <w:rFonts w:asciiTheme="majorHAnsi" w:hAnsiTheme="majorHAnsi" w:cs="Arial"/>
                                <w:b/>
                                <w:bCs/>
                                <w:color w:val="0D0D0D" w:themeColor="text1" w:themeTint="F2"/>
                                <w:sz w:val="36"/>
                                <w:szCs w:val="22"/>
                                <w:lang w:val="es-MX"/>
                              </w:rPr>
                            </w:pPr>
                            <w:r w:rsidRPr="000A369B">
                              <w:rPr>
                                <w:rFonts w:asciiTheme="majorHAnsi" w:hAnsiTheme="majorHAnsi" w:cs="Arial"/>
                                <w:b/>
                                <w:bCs/>
                                <w:color w:val="0D0D0D" w:themeColor="text1" w:themeTint="F2"/>
                                <w:sz w:val="36"/>
                                <w:szCs w:val="22"/>
                                <w:lang w:val="es-MX"/>
                              </w:rPr>
                              <w:t xml:space="preserve">INFORME </w:t>
                            </w:r>
                            <w:r w:rsidRPr="000A369B">
                              <w:rPr>
                                <w:rFonts w:asciiTheme="majorHAnsi" w:hAnsiTheme="majorHAnsi" w:cs="Arial"/>
                                <w:b/>
                                <w:bCs/>
                                <w:color w:val="0D0D0D" w:themeColor="text1" w:themeTint="F2"/>
                                <w:sz w:val="36"/>
                                <w:szCs w:val="40"/>
                                <w:lang w:val="es-MX"/>
                              </w:rPr>
                              <w:t>No.</w:t>
                            </w:r>
                            <w:r w:rsidRPr="000A369B">
                              <w:rPr>
                                <w:rFonts w:asciiTheme="majorHAnsi" w:hAnsiTheme="majorHAnsi" w:cs="Arial"/>
                                <w:b/>
                                <w:bCs/>
                                <w:color w:val="0D0D0D" w:themeColor="text1" w:themeTint="F2"/>
                                <w:sz w:val="36"/>
                                <w:szCs w:val="22"/>
                                <w:lang w:val="es-MX"/>
                              </w:rPr>
                              <w:t xml:space="preserve"> 125/19</w:t>
                            </w:r>
                          </w:p>
                          <w:p w14:paraId="6DC84F41" w14:textId="769CEBF6" w:rsidR="00FC6B2B" w:rsidRPr="000A369B" w:rsidRDefault="00FC6B2B" w:rsidP="00997BC5">
                            <w:pPr>
                              <w:spacing w:line="276" w:lineRule="auto"/>
                              <w:rPr>
                                <w:rFonts w:asciiTheme="majorHAnsi" w:hAnsiTheme="majorHAnsi" w:cs="Arial"/>
                                <w:b/>
                                <w:color w:val="0D0D0D" w:themeColor="text1" w:themeTint="F2"/>
                                <w:sz w:val="36"/>
                                <w:szCs w:val="22"/>
                                <w:lang w:val="es-MX"/>
                              </w:rPr>
                            </w:pPr>
                            <w:r w:rsidRPr="000A369B">
                              <w:rPr>
                                <w:rFonts w:asciiTheme="majorHAnsi" w:hAnsiTheme="majorHAnsi" w:cs="Arial"/>
                                <w:b/>
                                <w:color w:val="0D0D0D" w:themeColor="text1" w:themeTint="F2"/>
                                <w:sz w:val="36"/>
                                <w:szCs w:val="22"/>
                                <w:lang w:val="es-MX"/>
                              </w:rPr>
                              <w:t>CASO 12.691</w:t>
                            </w:r>
                          </w:p>
                          <w:p w14:paraId="38955505" w14:textId="77777777" w:rsidR="00FC6B2B" w:rsidRPr="0010736F" w:rsidRDefault="00FC6B2B" w:rsidP="000158F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INFORME DE FONDO</w:t>
                            </w:r>
                            <w:r w:rsidRPr="0010736F">
                              <w:rPr>
                                <w:rFonts w:asciiTheme="majorHAnsi" w:hAnsiTheme="majorHAnsi" w:cs="Arial"/>
                                <w:color w:val="0D0D0D" w:themeColor="text1" w:themeTint="F2"/>
                                <w:szCs w:val="22"/>
                              </w:rPr>
                              <w:t xml:space="preserve"> </w:t>
                            </w:r>
                          </w:p>
                          <w:p w14:paraId="5E3FBC29" w14:textId="77777777" w:rsidR="00D70BEE" w:rsidRDefault="00D70BEE" w:rsidP="00233771">
                            <w:pPr>
                              <w:spacing w:line="276" w:lineRule="auto"/>
                              <w:rPr>
                                <w:rFonts w:asciiTheme="majorHAnsi" w:hAnsiTheme="majorHAnsi" w:cs="Arial"/>
                                <w:color w:val="0D0D0D" w:themeColor="text1" w:themeTint="F2"/>
                                <w:szCs w:val="22"/>
                              </w:rPr>
                            </w:pPr>
                            <w:bookmarkStart w:id="0" w:name="_ftnref1"/>
                            <w:r>
                              <w:rPr>
                                <w:rFonts w:asciiTheme="majorHAnsi" w:hAnsiTheme="majorHAnsi" w:cs="Arial"/>
                                <w:color w:val="0D0D0D" w:themeColor="text1" w:themeTint="F2"/>
                                <w:szCs w:val="22"/>
                              </w:rPr>
                              <w:t>MIEMBROS DEL SINDICATO UNICO</w:t>
                            </w:r>
                          </w:p>
                          <w:p w14:paraId="028AD1D3" w14:textId="35C9B3B0" w:rsidR="00FC6B2B" w:rsidRPr="00233771" w:rsidRDefault="00D70BEE" w:rsidP="0023377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DE TRABAJADORES DE </w:t>
                            </w:r>
                            <w:r w:rsidR="00FC6B2B" w:rsidRPr="00233771">
                              <w:rPr>
                                <w:rFonts w:asciiTheme="majorHAnsi" w:hAnsiTheme="majorHAnsi" w:cs="Arial"/>
                                <w:color w:val="0D0D0D" w:themeColor="text1" w:themeTint="F2"/>
                                <w:szCs w:val="22"/>
                                <w:lang w:val="es-AR"/>
                              </w:rPr>
                              <w:t>ECASA</w:t>
                            </w:r>
                            <w:r>
                              <w:rPr>
                                <w:rFonts w:asciiTheme="majorHAnsi" w:hAnsiTheme="majorHAnsi" w:cs="Arial"/>
                                <w:color w:val="0D0D0D" w:themeColor="text1" w:themeTint="F2"/>
                                <w:szCs w:val="22"/>
                                <w:lang w:val="es-AR"/>
                              </w:rPr>
                              <w:t xml:space="preserve"> –SUTECASA-</w:t>
                            </w:r>
                          </w:p>
                          <w:bookmarkEnd w:id="0"/>
                          <w:p w14:paraId="7241626D" w14:textId="2B813AC2" w:rsidR="00FC6B2B" w:rsidRPr="00233771" w:rsidRDefault="00D70BEE" w:rsidP="0023377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AR"/>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DB290" id="Text Box 5" o:spid="_x0000_s1027" type="#_x0000_t202" style="position:absolute;left:0;text-align:left;margin-left:106.5pt;margin-top:8.45pt;width:349.7pt;height:17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8E329D2" w14:textId="0CDCABDA" w:rsidR="00FC6B2B" w:rsidRPr="000A369B" w:rsidRDefault="00FC6B2B" w:rsidP="00997BC5">
                      <w:pPr>
                        <w:spacing w:line="276" w:lineRule="auto"/>
                        <w:rPr>
                          <w:rFonts w:asciiTheme="majorHAnsi" w:hAnsiTheme="majorHAnsi" w:cs="Arial"/>
                          <w:b/>
                          <w:bCs/>
                          <w:color w:val="0D0D0D" w:themeColor="text1" w:themeTint="F2"/>
                          <w:sz w:val="36"/>
                          <w:szCs w:val="22"/>
                          <w:lang w:val="es-MX"/>
                        </w:rPr>
                      </w:pPr>
                      <w:r w:rsidRPr="000A369B">
                        <w:rPr>
                          <w:rFonts w:asciiTheme="majorHAnsi" w:hAnsiTheme="majorHAnsi" w:cs="Arial"/>
                          <w:b/>
                          <w:bCs/>
                          <w:color w:val="0D0D0D" w:themeColor="text1" w:themeTint="F2"/>
                          <w:sz w:val="36"/>
                          <w:szCs w:val="22"/>
                          <w:lang w:val="es-MX"/>
                        </w:rPr>
                        <w:t xml:space="preserve">INFORME </w:t>
                      </w:r>
                      <w:r w:rsidRPr="000A369B">
                        <w:rPr>
                          <w:rFonts w:asciiTheme="majorHAnsi" w:hAnsiTheme="majorHAnsi" w:cs="Arial"/>
                          <w:b/>
                          <w:bCs/>
                          <w:color w:val="0D0D0D" w:themeColor="text1" w:themeTint="F2"/>
                          <w:sz w:val="36"/>
                          <w:szCs w:val="40"/>
                          <w:lang w:val="es-MX"/>
                        </w:rPr>
                        <w:t>No.</w:t>
                      </w:r>
                      <w:r w:rsidRPr="000A369B">
                        <w:rPr>
                          <w:rFonts w:asciiTheme="majorHAnsi" w:hAnsiTheme="majorHAnsi" w:cs="Arial"/>
                          <w:b/>
                          <w:bCs/>
                          <w:color w:val="0D0D0D" w:themeColor="text1" w:themeTint="F2"/>
                          <w:sz w:val="36"/>
                          <w:szCs w:val="22"/>
                          <w:lang w:val="es-MX"/>
                        </w:rPr>
                        <w:t xml:space="preserve"> 125/19</w:t>
                      </w:r>
                    </w:p>
                    <w:p w14:paraId="6DC84F41" w14:textId="769CEBF6" w:rsidR="00FC6B2B" w:rsidRPr="000A369B" w:rsidRDefault="00FC6B2B" w:rsidP="00997BC5">
                      <w:pPr>
                        <w:spacing w:line="276" w:lineRule="auto"/>
                        <w:rPr>
                          <w:rFonts w:asciiTheme="majorHAnsi" w:hAnsiTheme="majorHAnsi" w:cs="Arial"/>
                          <w:b/>
                          <w:color w:val="0D0D0D" w:themeColor="text1" w:themeTint="F2"/>
                          <w:sz w:val="36"/>
                          <w:szCs w:val="22"/>
                          <w:lang w:val="es-MX"/>
                        </w:rPr>
                      </w:pPr>
                      <w:r w:rsidRPr="000A369B">
                        <w:rPr>
                          <w:rFonts w:asciiTheme="majorHAnsi" w:hAnsiTheme="majorHAnsi" w:cs="Arial"/>
                          <w:b/>
                          <w:color w:val="0D0D0D" w:themeColor="text1" w:themeTint="F2"/>
                          <w:sz w:val="36"/>
                          <w:szCs w:val="22"/>
                          <w:lang w:val="es-MX"/>
                        </w:rPr>
                        <w:t>CASO 12.691</w:t>
                      </w:r>
                    </w:p>
                    <w:p w14:paraId="38955505" w14:textId="77777777" w:rsidR="00FC6B2B" w:rsidRPr="0010736F" w:rsidRDefault="00FC6B2B" w:rsidP="000158F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INFORME DE FONDO</w:t>
                      </w:r>
                      <w:r w:rsidRPr="0010736F">
                        <w:rPr>
                          <w:rFonts w:asciiTheme="majorHAnsi" w:hAnsiTheme="majorHAnsi" w:cs="Arial"/>
                          <w:color w:val="0D0D0D" w:themeColor="text1" w:themeTint="F2"/>
                          <w:szCs w:val="22"/>
                        </w:rPr>
                        <w:t xml:space="preserve"> </w:t>
                      </w:r>
                    </w:p>
                    <w:p w14:paraId="5E3FBC29" w14:textId="77777777" w:rsidR="00D70BEE" w:rsidRDefault="00D70BEE" w:rsidP="00233771">
                      <w:pPr>
                        <w:spacing w:line="276" w:lineRule="auto"/>
                        <w:rPr>
                          <w:rFonts w:asciiTheme="majorHAnsi" w:hAnsiTheme="majorHAnsi" w:cs="Arial"/>
                          <w:color w:val="0D0D0D" w:themeColor="text1" w:themeTint="F2"/>
                          <w:szCs w:val="22"/>
                        </w:rPr>
                      </w:pPr>
                      <w:bookmarkStart w:id="1" w:name="_ftnref1"/>
                      <w:r>
                        <w:rPr>
                          <w:rFonts w:asciiTheme="majorHAnsi" w:hAnsiTheme="majorHAnsi" w:cs="Arial"/>
                          <w:color w:val="0D0D0D" w:themeColor="text1" w:themeTint="F2"/>
                          <w:szCs w:val="22"/>
                        </w:rPr>
                        <w:t>MIEMBROS DEL SINDICATO UNICO</w:t>
                      </w:r>
                    </w:p>
                    <w:p w14:paraId="028AD1D3" w14:textId="35C9B3B0" w:rsidR="00FC6B2B" w:rsidRPr="00233771" w:rsidRDefault="00D70BEE" w:rsidP="0023377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DE TRABAJADORES DE </w:t>
                      </w:r>
                      <w:r w:rsidR="00FC6B2B" w:rsidRPr="00233771">
                        <w:rPr>
                          <w:rFonts w:asciiTheme="majorHAnsi" w:hAnsiTheme="majorHAnsi" w:cs="Arial"/>
                          <w:color w:val="0D0D0D" w:themeColor="text1" w:themeTint="F2"/>
                          <w:szCs w:val="22"/>
                          <w:lang w:val="es-AR"/>
                        </w:rPr>
                        <w:t>ECASA</w:t>
                      </w:r>
                      <w:r>
                        <w:rPr>
                          <w:rFonts w:asciiTheme="majorHAnsi" w:hAnsiTheme="majorHAnsi" w:cs="Arial"/>
                          <w:color w:val="0D0D0D" w:themeColor="text1" w:themeTint="F2"/>
                          <w:szCs w:val="22"/>
                          <w:lang w:val="es-AR"/>
                        </w:rPr>
                        <w:t xml:space="preserve"> –SUTECASA-</w:t>
                      </w:r>
                    </w:p>
                    <w:bookmarkEnd w:id="1"/>
                    <w:p w14:paraId="7241626D" w14:textId="2B813AC2" w:rsidR="00FC6B2B" w:rsidRPr="00233771" w:rsidRDefault="00D70BEE" w:rsidP="0023377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AR"/>
                        </w:rPr>
                        <w:t>PERU</w:t>
                      </w:r>
                    </w:p>
                  </w:txbxContent>
                </v:textbox>
              </v:shape>
            </w:pict>
          </mc:Fallback>
        </mc:AlternateContent>
      </w:r>
      <w:r w:rsidR="004E2649" w:rsidRPr="00D94314">
        <w:rPr>
          <w:rFonts w:asciiTheme="majorHAnsi" w:hAnsiTheme="majorHAnsi"/>
          <w:noProof/>
          <w:sz w:val="20"/>
          <w:szCs w:val="20"/>
          <w:lang w:val="en-US"/>
        </w:rPr>
        <mc:AlternateContent>
          <mc:Choice Requires="wps">
            <w:drawing>
              <wp:anchor distT="0" distB="0" distL="114300" distR="114300" simplePos="0" relativeHeight="251656192" behindDoc="0" locked="0" layoutInCell="1" allowOverlap="1" wp14:anchorId="64C1E6B3" wp14:editId="7DBC552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7636D" w14:textId="1F13CB89" w:rsidR="00FC6B2B" w:rsidRPr="00B76CF4" w:rsidRDefault="00FC6B2B" w:rsidP="007A5817">
                            <w:pPr>
                              <w:spacing w:line="276" w:lineRule="auto"/>
                              <w:jc w:val="right"/>
                              <w:rPr>
                                <w:rFonts w:asciiTheme="minorHAnsi" w:hAnsiTheme="minorHAnsi"/>
                                <w:color w:val="FFFFFF" w:themeColor="background1"/>
                                <w:sz w:val="22"/>
                                <w:lang w:val="pt-BR"/>
                              </w:rPr>
                            </w:pPr>
                            <w:r w:rsidRPr="00B76CF4">
                              <w:rPr>
                                <w:rFonts w:asciiTheme="minorHAnsi" w:hAnsiTheme="minorHAnsi"/>
                                <w:color w:val="FFFFFF" w:themeColor="background1"/>
                                <w:sz w:val="22"/>
                                <w:lang w:val="pt-BR"/>
                              </w:rPr>
                              <w:t>OEA/Ser.L/V/II.</w:t>
                            </w:r>
                          </w:p>
                          <w:p w14:paraId="35CE32F3" w14:textId="05B14CD1" w:rsidR="00FC6B2B" w:rsidRPr="00B76CF4" w:rsidRDefault="00FC6B2B" w:rsidP="007A5817">
                            <w:pPr>
                              <w:spacing w:line="276" w:lineRule="auto"/>
                              <w:jc w:val="right"/>
                              <w:rPr>
                                <w:rFonts w:asciiTheme="minorHAnsi" w:hAnsiTheme="minorHAnsi"/>
                                <w:color w:val="FFFFFF" w:themeColor="background1"/>
                                <w:sz w:val="22"/>
                                <w:lang w:val="pt-BR"/>
                              </w:rPr>
                            </w:pPr>
                            <w:r w:rsidRPr="00B76CF4">
                              <w:rPr>
                                <w:rFonts w:asciiTheme="minorHAnsi" w:hAnsiTheme="minorHAnsi"/>
                                <w:color w:val="FFFFFF" w:themeColor="background1"/>
                                <w:sz w:val="22"/>
                                <w:lang w:val="pt-BR"/>
                              </w:rPr>
                              <w:t>Doc. 134</w:t>
                            </w:r>
                          </w:p>
                          <w:p w14:paraId="428572C3" w14:textId="0B472BB9" w:rsidR="00FC6B2B" w:rsidRPr="007C756A" w:rsidRDefault="00FC6B2B"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31</w:t>
                            </w:r>
                            <w:r w:rsidR="00D70BEE">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julio</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19</w:t>
                            </w:r>
                          </w:p>
                          <w:p w14:paraId="14907E8E" w14:textId="77777777" w:rsidR="00FC6B2B" w:rsidRPr="007C756A" w:rsidRDefault="00FC6B2B"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1E6B3" id="Text Box 8" o:spid="_x0000_s1028" type="#_x0000_t202" style="position:absolute;left:0;text-align:left;margin-left:-27pt;margin-top:12.95pt;width:109.5pt;height:10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797636D" w14:textId="1F13CB89" w:rsidR="00FC6B2B" w:rsidRPr="00B76CF4" w:rsidRDefault="00FC6B2B" w:rsidP="007A5817">
                      <w:pPr>
                        <w:spacing w:line="276" w:lineRule="auto"/>
                        <w:jc w:val="right"/>
                        <w:rPr>
                          <w:rFonts w:asciiTheme="minorHAnsi" w:hAnsiTheme="minorHAnsi"/>
                          <w:color w:val="FFFFFF" w:themeColor="background1"/>
                          <w:sz w:val="22"/>
                          <w:lang w:val="pt-BR"/>
                        </w:rPr>
                      </w:pPr>
                      <w:r w:rsidRPr="00B76CF4">
                        <w:rPr>
                          <w:rFonts w:asciiTheme="minorHAnsi" w:hAnsiTheme="minorHAnsi"/>
                          <w:color w:val="FFFFFF" w:themeColor="background1"/>
                          <w:sz w:val="22"/>
                          <w:lang w:val="pt-BR"/>
                        </w:rPr>
                        <w:t>OEA/Ser.L/V/II.</w:t>
                      </w:r>
                    </w:p>
                    <w:p w14:paraId="35CE32F3" w14:textId="05B14CD1" w:rsidR="00FC6B2B" w:rsidRPr="00B76CF4" w:rsidRDefault="00FC6B2B" w:rsidP="007A5817">
                      <w:pPr>
                        <w:spacing w:line="276" w:lineRule="auto"/>
                        <w:jc w:val="right"/>
                        <w:rPr>
                          <w:rFonts w:asciiTheme="minorHAnsi" w:hAnsiTheme="minorHAnsi"/>
                          <w:color w:val="FFFFFF" w:themeColor="background1"/>
                          <w:sz w:val="22"/>
                          <w:lang w:val="pt-BR"/>
                        </w:rPr>
                      </w:pPr>
                      <w:r w:rsidRPr="00B76CF4">
                        <w:rPr>
                          <w:rFonts w:asciiTheme="minorHAnsi" w:hAnsiTheme="minorHAnsi"/>
                          <w:color w:val="FFFFFF" w:themeColor="background1"/>
                          <w:sz w:val="22"/>
                          <w:lang w:val="pt-BR"/>
                        </w:rPr>
                        <w:t>Doc. 134</w:t>
                      </w:r>
                    </w:p>
                    <w:p w14:paraId="428572C3" w14:textId="0B472BB9" w:rsidR="00FC6B2B" w:rsidRPr="007C756A" w:rsidRDefault="00FC6B2B"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31</w:t>
                      </w:r>
                      <w:r w:rsidR="00D70BEE">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julio</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19</w:t>
                      </w:r>
                    </w:p>
                    <w:p w14:paraId="14907E8E" w14:textId="77777777" w:rsidR="00FC6B2B" w:rsidRPr="007C756A" w:rsidRDefault="00FC6B2B"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6AF34E5F" w14:textId="77777777" w:rsidR="00040C3A" w:rsidRPr="00D94314" w:rsidRDefault="00040C3A" w:rsidP="006D72EB">
      <w:pPr>
        <w:tabs>
          <w:tab w:val="center" w:pos="5400"/>
        </w:tabs>
        <w:suppressAutoHyphens/>
        <w:jc w:val="center"/>
        <w:rPr>
          <w:rFonts w:asciiTheme="majorHAnsi" w:hAnsiTheme="majorHAnsi"/>
          <w:sz w:val="20"/>
          <w:szCs w:val="20"/>
        </w:rPr>
      </w:pPr>
    </w:p>
    <w:p w14:paraId="13128EAC" w14:textId="77777777" w:rsidR="00040C3A" w:rsidRPr="00D94314" w:rsidRDefault="00040C3A" w:rsidP="006D72EB">
      <w:pPr>
        <w:tabs>
          <w:tab w:val="center" w:pos="5400"/>
        </w:tabs>
        <w:suppressAutoHyphens/>
        <w:jc w:val="center"/>
        <w:rPr>
          <w:rFonts w:asciiTheme="majorHAnsi" w:hAnsiTheme="majorHAnsi"/>
          <w:sz w:val="20"/>
          <w:szCs w:val="20"/>
        </w:rPr>
      </w:pPr>
    </w:p>
    <w:p w14:paraId="49F80F36" w14:textId="77777777" w:rsidR="00040C3A" w:rsidRPr="00D94314" w:rsidRDefault="00040C3A" w:rsidP="006D72EB">
      <w:pPr>
        <w:tabs>
          <w:tab w:val="center" w:pos="5400"/>
        </w:tabs>
        <w:suppressAutoHyphens/>
        <w:jc w:val="center"/>
        <w:rPr>
          <w:rFonts w:asciiTheme="majorHAnsi" w:hAnsiTheme="majorHAnsi" w:cs="Arial"/>
          <w:sz w:val="20"/>
          <w:szCs w:val="20"/>
        </w:rPr>
      </w:pPr>
    </w:p>
    <w:p w14:paraId="4C6C6355" w14:textId="77777777" w:rsidR="00040C3A" w:rsidRPr="00D94314" w:rsidRDefault="00040C3A" w:rsidP="006D72EB">
      <w:pPr>
        <w:tabs>
          <w:tab w:val="center" w:pos="5400"/>
        </w:tabs>
        <w:suppressAutoHyphens/>
        <w:jc w:val="center"/>
        <w:rPr>
          <w:rFonts w:asciiTheme="majorHAnsi" w:hAnsiTheme="majorHAnsi"/>
          <w:sz w:val="20"/>
          <w:szCs w:val="20"/>
        </w:rPr>
      </w:pPr>
    </w:p>
    <w:p w14:paraId="752B901D" w14:textId="77777777" w:rsidR="00040C3A" w:rsidRPr="00D94314" w:rsidRDefault="00040C3A" w:rsidP="006D72EB">
      <w:pPr>
        <w:tabs>
          <w:tab w:val="center" w:pos="5400"/>
        </w:tabs>
        <w:suppressAutoHyphens/>
        <w:jc w:val="center"/>
        <w:rPr>
          <w:rFonts w:asciiTheme="majorHAnsi" w:hAnsiTheme="majorHAnsi"/>
          <w:sz w:val="20"/>
          <w:szCs w:val="20"/>
        </w:rPr>
      </w:pPr>
    </w:p>
    <w:p w14:paraId="23449961" w14:textId="77777777" w:rsidR="00040C3A" w:rsidRPr="00D94314" w:rsidRDefault="00040C3A" w:rsidP="006D72EB">
      <w:pPr>
        <w:tabs>
          <w:tab w:val="center" w:pos="5400"/>
        </w:tabs>
        <w:suppressAutoHyphens/>
        <w:jc w:val="center"/>
        <w:rPr>
          <w:rFonts w:asciiTheme="majorHAnsi" w:hAnsiTheme="majorHAnsi"/>
          <w:sz w:val="20"/>
          <w:szCs w:val="20"/>
        </w:rPr>
      </w:pPr>
    </w:p>
    <w:p w14:paraId="19BCE6FF" w14:textId="77777777" w:rsidR="00040C3A" w:rsidRPr="00D94314" w:rsidRDefault="00040C3A" w:rsidP="006D72EB">
      <w:pPr>
        <w:tabs>
          <w:tab w:val="center" w:pos="5400"/>
        </w:tabs>
        <w:suppressAutoHyphens/>
        <w:jc w:val="center"/>
        <w:rPr>
          <w:rFonts w:asciiTheme="majorHAnsi" w:hAnsiTheme="majorHAnsi"/>
          <w:sz w:val="20"/>
          <w:szCs w:val="20"/>
        </w:rPr>
      </w:pPr>
    </w:p>
    <w:p w14:paraId="7EF6866C" w14:textId="77777777" w:rsidR="005128E4" w:rsidRPr="00D94314" w:rsidRDefault="005128E4" w:rsidP="006D72EB">
      <w:pPr>
        <w:tabs>
          <w:tab w:val="center" w:pos="5400"/>
        </w:tabs>
        <w:suppressAutoHyphens/>
        <w:jc w:val="center"/>
        <w:rPr>
          <w:rFonts w:asciiTheme="majorHAnsi" w:hAnsiTheme="majorHAnsi"/>
          <w:sz w:val="20"/>
          <w:szCs w:val="20"/>
        </w:rPr>
      </w:pPr>
    </w:p>
    <w:p w14:paraId="528FC981" w14:textId="77777777" w:rsidR="00040C3A" w:rsidRPr="00D94314" w:rsidRDefault="00040C3A" w:rsidP="006D72EB">
      <w:pPr>
        <w:tabs>
          <w:tab w:val="center" w:pos="5400"/>
        </w:tabs>
        <w:suppressAutoHyphens/>
        <w:jc w:val="center"/>
        <w:rPr>
          <w:rFonts w:asciiTheme="majorHAnsi" w:hAnsiTheme="majorHAnsi"/>
          <w:sz w:val="20"/>
          <w:szCs w:val="20"/>
        </w:rPr>
      </w:pPr>
    </w:p>
    <w:p w14:paraId="713245D5" w14:textId="77777777" w:rsidR="005128E4" w:rsidRPr="00D94314" w:rsidRDefault="005128E4" w:rsidP="006D72EB">
      <w:pPr>
        <w:tabs>
          <w:tab w:val="center" w:pos="5400"/>
        </w:tabs>
        <w:suppressAutoHyphens/>
        <w:jc w:val="center"/>
        <w:rPr>
          <w:rFonts w:asciiTheme="majorHAnsi" w:hAnsiTheme="majorHAnsi"/>
          <w:sz w:val="20"/>
          <w:szCs w:val="20"/>
        </w:rPr>
      </w:pPr>
    </w:p>
    <w:p w14:paraId="30ADF2C4" w14:textId="77777777" w:rsidR="005128E4" w:rsidRPr="00D94314" w:rsidRDefault="005128E4" w:rsidP="006D72EB">
      <w:pPr>
        <w:tabs>
          <w:tab w:val="center" w:pos="5400"/>
        </w:tabs>
        <w:suppressAutoHyphens/>
        <w:jc w:val="center"/>
        <w:rPr>
          <w:rFonts w:asciiTheme="majorHAnsi" w:hAnsiTheme="majorHAnsi"/>
          <w:sz w:val="20"/>
          <w:szCs w:val="20"/>
        </w:rPr>
      </w:pPr>
    </w:p>
    <w:p w14:paraId="1C4722BF" w14:textId="77777777" w:rsidR="005128E4" w:rsidRPr="00D94314" w:rsidRDefault="005128E4" w:rsidP="006D72EB">
      <w:pPr>
        <w:tabs>
          <w:tab w:val="center" w:pos="5400"/>
        </w:tabs>
        <w:suppressAutoHyphens/>
        <w:jc w:val="center"/>
        <w:rPr>
          <w:rFonts w:asciiTheme="majorHAnsi" w:hAnsiTheme="majorHAnsi"/>
          <w:sz w:val="20"/>
          <w:szCs w:val="20"/>
        </w:rPr>
      </w:pPr>
    </w:p>
    <w:p w14:paraId="700CAF2F" w14:textId="77777777" w:rsidR="00040C3A" w:rsidRPr="00D94314" w:rsidRDefault="00040C3A" w:rsidP="006D72EB">
      <w:pPr>
        <w:tabs>
          <w:tab w:val="center" w:pos="5400"/>
        </w:tabs>
        <w:suppressAutoHyphens/>
        <w:jc w:val="center"/>
        <w:rPr>
          <w:rFonts w:asciiTheme="majorHAnsi" w:hAnsiTheme="majorHAnsi"/>
          <w:sz w:val="20"/>
          <w:szCs w:val="20"/>
        </w:rPr>
      </w:pPr>
    </w:p>
    <w:p w14:paraId="31A987F3" w14:textId="77777777" w:rsidR="00040C3A" w:rsidRPr="00D94314" w:rsidRDefault="00040C3A" w:rsidP="006D72EB">
      <w:pPr>
        <w:tabs>
          <w:tab w:val="center" w:pos="5400"/>
        </w:tabs>
        <w:suppressAutoHyphens/>
        <w:jc w:val="center"/>
        <w:rPr>
          <w:rFonts w:asciiTheme="majorHAnsi" w:hAnsiTheme="majorHAnsi"/>
          <w:sz w:val="20"/>
          <w:szCs w:val="20"/>
        </w:rPr>
      </w:pPr>
    </w:p>
    <w:p w14:paraId="4FD14214" w14:textId="77777777" w:rsidR="00A50FCF" w:rsidRPr="00D94314" w:rsidRDefault="00A50FCF" w:rsidP="006D72EB">
      <w:pPr>
        <w:tabs>
          <w:tab w:val="center" w:pos="5400"/>
        </w:tabs>
        <w:suppressAutoHyphens/>
        <w:jc w:val="center"/>
        <w:rPr>
          <w:rFonts w:asciiTheme="majorHAnsi" w:hAnsiTheme="majorHAnsi"/>
          <w:sz w:val="20"/>
          <w:szCs w:val="20"/>
        </w:rPr>
      </w:pPr>
    </w:p>
    <w:p w14:paraId="29E0DA13" w14:textId="77777777" w:rsidR="00A50FCF" w:rsidRPr="00D94314" w:rsidRDefault="00A50FCF" w:rsidP="006D72EB">
      <w:pPr>
        <w:tabs>
          <w:tab w:val="center" w:pos="5400"/>
        </w:tabs>
        <w:suppressAutoHyphens/>
        <w:jc w:val="center"/>
        <w:rPr>
          <w:rFonts w:asciiTheme="majorHAnsi" w:hAnsiTheme="majorHAnsi"/>
          <w:sz w:val="20"/>
          <w:szCs w:val="20"/>
        </w:rPr>
      </w:pPr>
    </w:p>
    <w:p w14:paraId="321AD874" w14:textId="77777777" w:rsidR="00A50FCF" w:rsidRPr="00D94314" w:rsidRDefault="00A50FCF" w:rsidP="006D72EB">
      <w:pPr>
        <w:tabs>
          <w:tab w:val="center" w:pos="5400"/>
        </w:tabs>
        <w:suppressAutoHyphens/>
        <w:jc w:val="center"/>
        <w:rPr>
          <w:rFonts w:asciiTheme="majorHAnsi" w:hAnsiTheme="majorHAnsi"/>
          <w:sz w:val="20"/>
          <w:szCs w:val="20"/>
        </w:rPr>
      </w:pPr>
    </w:p>
    <w:p w14:paraId="4AEEB3E8" w14:textId="77777777" w:rsidR="00A50FCF" w:rsidRPr="00D94314" w:rsidRDefault="00A50FCF" w:rsidP="006D72EB">
      <w:pPr>
        <w:tabs>
          <w:tab w:val="center" w:pos="5400"/>
        </w:tabs>
        <w:suppressAutoHyphens/>
        <w:jc w:val="center"/>
        <w:rPr>
          <w:rFonts w:asciiTheme="majorHAnsi" w:hAnsiTheme="majorHAnsi"/>
          <w:sz w:val="20"/>
          <w:szCs w:val="20"/>
        </w:rPr>
      </w:pPr>
    </w:p>
    <w:p w14:paraId="427895FC" w14:textId="77777777" w:rsidR="00A50FCF" w:rsidRPr="00D94314" w:rsidRDefault="00A50FCF" w:rsidP="006D72EB">
      <w:pPr>
        <w:tabs>
          <w:tab w:val="center" w:pos="5400"/>
        </w:tabs>
        <w:suppressAutoHyphens/>
        <w:jc w:val="center"/>
        <w:rPr>
          <w:rFonts w:asciiTheme="majorHAnsi" w:hAnsiTheme="majorHAnsi"/>
          <w:sz w:val="20"/>
          <w:szCs w:val="20"/>
        </w:rPr>
      </w:pPr>
    </w:p>
    <w:p w14:paraId="271EC20F" w14:textId="77777777" w:rsidR="00A50FCF" w:rsidRPr="00D94314" w:rsidRDefault="00A50FCF" w:rsidP="006D72EB">
      <w:pPr>
        <w:tabs>
          <w:tab w:val="center" w:pos="5400"/>
        </w:tabs>
        <w:suppressAutoHyphens/>
        <w:jc w:val="center"/>
        <w:rPr>
          <w:rFonts w:asciiTheme="majorHAnsi" w:hAnsiTheme="majorHAnsi"/>
          <w:sz w:val="20"/>
          <w:szCs w:val="20"/>
        </w:rPr>
      </w:pPr>
    </w:p>
    <w:p w14:paraId="6207874C" w14:textId="77777777" w:rsidR="00A50FCF" w:rsidRPr="00D94314" w:rsidRDefault="00A50FCF" w:rsidP="006D72EB">
      <w:pPr>
        <w:tabs>
          <w:tab w:val="center" w:pos="5400"/>
        </w:tabs>
        <w:suppressAutoHyphens/>
        <w:jc w:val="center"/>
        <w:rPr>
          <w:rFonts w:asciiTheme="majorHAnsi" w:hAnsiTheme="majorHAnsi"/>
          <w:sz w:val="20"/>
          <w:szCs w:val="20"/>
        </w:rPr>
      </w:pPr>
    </w:p>
    <w:p w14:paraId="55DE643F" w14:textId="77777777" w:rsidR="00A50FCF" w:rsidRPr="00D94314" w:rsidRDefault="00A50FCF" w:rsidP="006D72EB">
      <w:pPr>
        <w:tabs>
          <w:tab w:val="center" w:pos="5400"/>
        </w:tabs>
        <w:suppressAutoHyphens/>
        <w:jc w:val="center"/>
        <w:rPr>
          <w:rFonts w:asciiTheme="majorHAnsi" w:hAnsiTheme="majorHAnsi"/>
          <w:sz w:val="20"/>
          <w:szCs w:val="20"/>
        </w:rPr>
      </w:pPr>
    </w:p>
    <w:p w14:paraId="4FB8A578" w14:textId="77777777" w:rsidR="00A50FCF" w:rsidRPr="00D94314" w:rsidRDefault="00A50FCF" w:rsidP="006D72EB">
      <w:pPr>
        <w:tabs>
          <w:tab w:val="center" w:pos="5400"/>
        </w:tabs>
        <w:suppressAutoHyphens/>
        <w:jc w:val="center"/>
        <w:rPr>
          <w:rFonts w:asciiTheme="majorHAnsi" w:hAnsiTheme="majorHAnsi"/>
          <w:sz w:val="20"/>
          <w:szCs w:val="20"/>
        </w:rPr>
      </w:pPr>
    </w:p>
    <w:p w14:paraId="79B0CB9A" w14:textId="77777777" w:rsidR="00A50FCF" w:rsidRPr="00D94314" w:rsidRDefault="00A50FCF" w:rsidP="006D72EB">
      <w:pPr>
        <w:tabs>
          <w:tab w:val="center" w:pos="5400"/>
        </w:tabs>
        <w:suppressAutoHyphens/>
        <w:jc w:val="center"/>
        <w:rPr>
          <w:rFonts w:asciiTheme="majorHAnsi" w:hAnsiTheme="majorHAnsi"/>
          <w:sz w:val="20"/>
          <w:szCs w:val="20"/>
        </w:rPr>
      </w:pPr>
    </w:p>
    <w:p w14:paraId="0E7FB913" w14:textId="77777777" w:rsidR="00A50FCF" w:rsidRPr="00D94314" w:rsidRDefault="00A50FCF" w:rsidP="006D72EB">
      <w:pPr>
        <w:tabs>
          <w:tab w:val="center" w:pos="5400"/>
        </w:tabs>
        <w:suppressAutoHyphens/>
        <w:jc w:val="center"/>
        <w:rPr>
          <w:rFonts w:asciiTheme="majorHAnsi" w:hAnsiTheme="majorHAnsi"/>
          <w:sz w:val="20"/>
          <w:szCs w:val="20"/>
        </w:rPr>
      </w:pPr>
    </w:p>
    <w:p w14:paraId="54EBD78E" w14:textId="77777777" w:rsidR="00A50FCF" w:rsidRPr="00D94314" w:rsidRDefault="00A50FCF" w:rsidP="006D72EB">
      <w:pPr>
        <w:tabs>
          <w:tab w:val="center" w:pos="5400"/>
        </w:tabs>
        <w:suppressAutoHyphens/>
        <w:jc w:val="center"/>
        <w:rPr>
          <w:rFonts w:asciiTheme="majorHAnsi" w:hAnsiTheme="majorHAnsi"/>
          <w:sz w:val="20"/>
          <w:szCs w:val="20"/>
        </w:rPr>
      </w:pPr>
    </w:p>
    <w:p w14:paraId="76B951A0" w14:textId="77777777" w:rsidR="00A50FCF" w:rsidRPr="00D94314" w:rsidRDefault="00A50FCF" w:rsidP="006D72EB">
      <w:pPr>
        <w:tabs>
          <w:tab w:val="center" w:pos="5400"/>
        </w:tabs>
        <w:suppressAutoHyphens/>
        <w:jc w:val="center"/>
        <w:rPr>
          <w:rFonts w:asciiTheme="majorHAnsi" w:hAnsiTheme="majorHAnsi"/>
          <w:sz w:val="20"/>
          <w:szCs w:val="20"/>
        </w:rPr>
      </w:pPr>
    </w:p>
    <w:p w14:paraId="3E7D6EAC" w14:textId="77777777" w:rsidR="00A50FCF" w:rsidRPr="00D94314" w:rsidRDefault="00A50FCF" w:rsidP="006D72EB">
      <w:pPr>
        <w:tabs>
          <w:tab w:val="center" w:pos="5400"/>
        </w:tabs>
        <w:suppressAutoHyphens/>
        <w:jc w:val="center"/>
        <w:rPr>
          <w:rFonts w:asciiTheme="majorHAnsi" w:hAnsiTheme="majorHAnsi"/>
          <w:sz w:val="20"/>
          <w:szCs w:val="20"/>
        </w:rPr>
      </w:pPr>
    </w:p>
    <w:p w14:paraId="6D0B8696" w14:textId="77777777" w:rsidR="00A50FCF" w:rsidRPr="00D94314" w:rsidRDefault="0090270B" w:rsidP="006D72EB">
      <w:pPr>
        <w:tabs>
          <w:tab w:val="center" w:pos="5400"/>
        </w:tabs>
        <w:suppressAutoHyphens/>
        <w:jc w:val="center"/>
        <w:rPr>
          <w:rFonts w:asciiTheme="majorHAnsi" w:hAnsiTheme="majorHAnsi"/>
          <w:sz w:val="20"/>
          <w:szCs w:val="20"/>
        </w:rPr>
      </w:pPr>
      <w:r w:rsidRPr="00D94314">
        <w:rPr>
          <w:rFonts w:asciiTheme="majorHAnsi" w:hAnsiTheme="majorHAnsi"/>
          <w:noProof/>
          <w:sz w:val="20"/>
          <w:szCs w:val="20"/>
          <w:lang w:val="en-US"/>
        </w:rPr>
        <mc:AlternateContent>
          <mc:Choice Requires="wps">
            <w:drawing>
              <wp:anchor distT="0" distB="0" distL="114300" distR="114300" simplePos="0" relativeHeight="251654144" behindDoc="0" locked="0" layoutInCell="1" allowOverlap="1" wp14:anchorId="3D1C1AED" wp14:editId="7A41DA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53EC2" w14:textId="751244C3" w:rsidR="00FC6B2B" w:rsidRPr="00890650" w:rsidRDefault="00FC6B2B" w:rsidP="00247403">
                            <w:pPr>
                              <w:tabs>
                                <w:tab w:val="center" w:pos="5400"/>
                              </w:tabs>
                              <w:suppressAutoHyphens/>
                              <w:spacing w:before="60"/>
                              <w:rPr>
                                <w:rFonts w:asciiTheme="majorHAnsi" w:hAnsiTheme="majorHAnsi" w:cs="Univers"/>
                                <w:color w:val="0D0D0D" w:themeColor="text1" w:themeTint="F2"/>
                                <w:sz w:val="18"/>
                                <w:szCs w:val="20"/>
                              </w:rPr>
                            </w:pPr>
                            <w:r w:rsidRPr="00890650">
                              <w:rPr>
                                <w:rFonts w:asciiTheme="majorHAnsi" w:hAnsiTheme="majorHAnsi"/>
                                <w:color w:val="0D0D0D" w:themeColor="text1" w:themeTint="F2"/>
                                <w:sz w:val="18"/>
                                <w:szCs w:val="20"/>
                                <w:lang w:val="es-ES"/>
                              </w:rPr>
                              <w:t>Aprobado por la Comisión</w:t>
                            </w:r>
                            <w:r>
                              <w:rPr>
                                <w:rFonts w:asciiTheme="majorHAnsi" w:hAnsiTheme="majorHAnsi"/>
                                <w:color w:val="0D0D0D" w:themeColor="text1" w:themeTint="F2"/>
                                <w:sz w:val="18"/>
                                <w:szCs w:val="20"/>
                                <w:lang w:val="es-ES"/>
                              </w:rPr>
                              <w:t xml:space="preserve"> vía</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electr</w:t>
                            </w:r>
                            <w:r>
                              <w:rPr>
                                <w:rFonts w:asciiTheme="majorHAnsi" w:hAnsiTheme="majorHAnsi"/>
                                <w:color w:val="0D0D0D" w:themeColor="text1" w:themeTint="F2"/>
                                <w:sz w:val="18"/>
                                <w:szCs w:val="20"/>
                                <w:lang w:val="es-MX"/>
                              </w:rPr>
                              <w:t xml:space="preserve">ónica el 31 de julio de 2019. </w:t>
                            </w:r>
                          </w:p>
                          <w:p w14:paraId="6EE922FA" w14:textId="77777777" w:rsidR="00FC6B2B" w:rsidRPr="007A5817" w:rsidRDefault="00FC6B2B" w:rsidP="00247403">
                            <w:pPr>
                              <w:tabs>
                                <w:tab w:val="center" w:pos="5400"/>
                              </w:tabs>
                              <w:suppressAutoHyphens/>
                              <w:spacing w:before="60"/>
                              <w:rPr>
                                <w:rFonts w:asciiTheme="minorHAnsi" w:hAnsiTheme="minorHAnsi" w:cs="Univers"/>
                                <w:color w:val="0D0D0D" w:themeColor="text1" w:themeTint="F2"/>
                                <w:sz w:val="20"/>
                                <w:szCs w:val="20"/>
                                <w:lang w:val="es-ES"/>
                              </w:rPr>
                            </w:pPr>
                          </w:p>
                          <w:p w14:paraId="00EFB2C1" w14:textId="77777777" w:rsidR="00FC6B2B" w:rsidRPr="00167A34" w:rsidRDefault="00FC6B2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C1AED" id="Text Box 7" o:spid="_x0000_s1029" type="#_x0000_t202" style="position:absolute;left:0;text-align:left;margin-left:105.65pt;margin-top:1.8pt;width:388.5pt;height:5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8053EC2" w14:textId="751244C3" w:rsidR="00FC6B2B" w:rsidRPr="00890650" w:rsidRDefault="00FC6B2B" w:rsidP="00247403">
                      <w:pPr>
                        <w:tabs>
                          <w:tab w:val="center" w:pos="5400"/>
                        </w:tabs>
                        <w:suppressAutoHyphens/>
                        <w:spacing w:before="60"/>
                        <w:rPr>
                          <w:rFonts w:asciiTheme="majorHAnsi" w:hAnsiTheme="majorHAnsi" w:cs="Univers"/>
                          <w:color w:val="0D0D0D" w:themeColor="text1" w:themeTint="F2"/>
                          <w:sz w:val="18"/>
                          <w:szCs w:val="20"/>
                        </w:rPr>
                      </w:pPr>
                      <w:r w:rsidRPr="00890650">
                        <w:rPr>
                          <w:rFonts w:asciiTheme="majorHAnsi" w:hAnsiTheme="majorHAnsi"/>
                          <w:color w:val="0D0D0D" w:themeColor="text1" w:themeTint="F2"/>
                          <w:sz w:val="18"/>
                          <w:szCs w:val="20"/>
                          <w:lang w:val="es-ES"/>
                        </w:rPr>
                        <w:t>Aprobado por la Comisión</w:t>
                      </w:r>
                      <w:r>
                        <w:rPr>
                          <w:rFonts w:asciiTheme="majorHAnsi" w:hAnsiTheme="majorHAnsi"/>
                          <w:color w:val="0D0D0D" w:themeColor="text1" w:themeTint="F2"/>
                          <w:sz w:val="18"/>
                          <w:szCs w:val="20"/>
                          <w:lang w:val="es-ES"/>
                        </w:rPr>
                        <w:t xml:space="preserve"> vía</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electr</w:t>
                      </w:r>
                      <w:r>
                        <w:rPr>
                          <w:rFonts w:asciiTheme="majorHAnsi" w:hAnsiTheme="majorHAnsi"/>
                          <w:color w:val="0D0D0D" w:themeColor="text1" w:themeTint="F2"/>
                          <w:sz w:val="18"/>
                          <w:szCs w:val="20"/>
                          <w:lang w:val="es-MX"/>
                        </w:rPr>
                        <w:t xml:space="preserve">ónica el 31 de julio de 2019. </w:t>
                      </w:r>
                    </w:p>
                    <w:p w14:paraId="6EE922FA" w14:textId="77777777" w:rsidR="00FC6B2B" w:rsidRPr="007A5817" w:rsidRDefault="00FC6B2B" w:rsidP="00247403">
                      <w:pPr>
                        <w:tabs>
                          <w:tab w:val="center" w:pos="5400"/>
                        </w:tabs>
                        <w:suppressAutoHyphens/>
                        <w:spacing w:before="60"/>
                        <w:rPr>
                          <w:rFonts w:asciiTheme="minorHAnsi" w:hAnsiTheme="minorHAnsi" w:cs="Univers"/>
                          <w:color w:val="0D0D0D" w:themeColor="text1" w:themeTint="F2"/>
                          <w:sz w:val="20"/>
                          <w:szCs w:val="20"/>
                          <w:lang w:val="es-ES"/>
                        </w:rPr>
                      </w:pPr>
                    </w:p>
                    <w:p w14:paraId="00EFB2C1" w14:textId="77777777" w:rsidR="00FC6B2B" w:rsidRPr="00167A34" w:rsidRDefault="00FC6B2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E371AFB" w14:textId="77777777" w:rsidR="00A50FCF" w:rsidRPr="00D94314" w:rsidRDefault="00A50FCF" w:rsidP="006D72EB">
      <w:pPr>
        <w:tabs>
          <w:tab w:val="center" w:pos="5400"/>
        </w:tabs>
        <w:suppressAutoHyphens/>
        <w:jc w:val="center"/>
        <w:rPr>
          <w:rFonts w:asciiTheme="majorHAnsi" w:hAnsiTheme="majorHAnsi"/>
          <w:sz w:val="20"/>
          <w:szCs w:val="20"/>
        </w:rPr>
      </w:pPr>
    </w:p>
    <w:p w14:paraId="5312FE00" w14:textId="77777777" w:rsidR="00A50FCF" w:rsidRPr="00D94314" w:rsidRDefault="00A50FCF" w:rsidP="006D72EB">
      <w:pPr>
        <w:tabs>
          <w:tab w:val="center" w:pos="5400"/>
        </w:tabs>
        <w:suppressAutoHyphens/>
        <w:jc w:val="center"/>
        <w:rPr>
          <w:rFonts w:asciiTheme="majorHAnsi" w:hAnsiTheme="majorHAnsi"/>
          <w:sz w:val="20"/>
          <w:szCs w:val="20"/>
        </w:rPr>
      </w:pPr>
    </w:p>
    <w:p w14:paraId="1AA738B8" w14:textId="77777777" w:rsidR="00A50FCF" w:rsidRPr="00D94314" w:rsidRDefault="00A50FCF" w:rsidP="006D72EB">
      <w:pPr>
        <w:tabs>
          <w:tab w:val="center" w:pos="5400"/>
        </w:tabs>
        <w:suppressAutoHyphens/>
        <w:jc w:val="center"/>
        <w:rPr>
          <w:rFonts w:asciiTheme="majorHAnsi" w:hAnsiTheme="majorHAnsi"/>
          <w:sz w:val="20"/>
          <w:szCs w:val="20"/>
        </w:rPr>
      </w:pPr>
    </w:p>
    <w:p w14:paraId="1C37A1D8" w14:textId="77777777" w:rsidR="00A50FCF" w:rsidRPr="00D94314" w:rsidRDefault="00A50FCF" w:rsidP="006D72EB">
      <w:pPr>
        <w:tabs>
          <w:tab w:val="center" w:pos="5400"/>
        </w:tabs>
        <w:suppressAutoHyphens/>
        <w:jc w:val="center"/>
        <w:rPr>
          <w:rFonts w:asciiTheme="majorHAnsi" w:hAnsiTheme="majorHAnsi"/>
          <w:sz w:val="20"/>
          <w:szCs w:val="20"/>
        </w:rPr>
      </w:pPr>
    </w:p>
    <w:p w14:paraId="1D489B63" w14:textId="77777777" w:rsidR="00A50FCF" w:rsidRPr="00D94314" w:rsidRDefault="0090270B" w:rsidP="006D72EB">
      <w:pPr>
        <w:tabs>
          <w:tab w:val="center" w:pos="5400"/>
        </w:tabs>
        <w:suppressAutoHyphens/>
        <w:jc w:val="center"/>
        <w:rPr>
          <w:rFonts w:asciiTheme="majorHAnsi" w:hAnsiTheme="majorHAnsi"/>
          <w:sz w:val="20"/>
          <w:szCs w:val="20"/>
        </w:rPr>
      </w:pPr>
      <w:r w:rsidRPr="00D94314">
        <w:rPr>
          <w:rFonts w:asciiTheme="majorHAnsi" w:hAnsiTheme="majorHAnsi"/>
          <w:noProof/>
          <w:sz w:val="20"/>
          <w:szCs w:val="20"/>
          <w:lang w:val="en-US"/>
        </w:rPr>
        <mc:AlternateContent>
          <mc:Choice Requires="wps">
            <w:drawing>
              <wp:anchor distT="0" distB="0" distL="114300" distR="114300" simplePos="0" relativeHeight="251660288" behindDoc="0" locked="0" layoutInCell="1" allowOverlap="1" wp14:anchorId="4B76A8FA" wp14:editId="223D645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CEDCA1" w14:textId="2AC42C8A" w:rsidR="00FC6B2B" w:rsidRPr="00E75792" w:rsidRDefault="00FC6B2B" w:rsidP="00113F73">
                            <w:pPr>
                              <w:spacing w:line="276" w:lineRule="auto"/>
                              <w:rPr>
                                <w:rFonts w:asciiTheme="majorHAnsi" w:hAnsiTheme="majorHAnsi"/>
                                <w:color w:val="595959" w:themeColor="text1" w:themeTint="A6"/>
                                <w:sz w:val="18"/>
                                <w:szCs w:val="18"/>
                              </w:rPr>
                            </w:pPr>
                            <w:r w:rsidRPr="00D4054F">
                              <w:rPr>
                                <w:rFonts w:asciiTheme="majorHAnsi" w:hAnsiTheme="majorHAnsi"/>
                                <w:b/>
                                <w:color w:val="595959" w:themeColor="text1" w:themeTint="A6"/>
                                <w:sz w:val="18"/>
                                <w:szCs w:val="18"/>
                                <w:lang w:val="pt-BR"/>
                              </w:rPr>
                              <w:t>Citar como:</w:t>
                            </w:r>
                            <w:r w:rsidRPr="00D4054F">
                              <w:rPr>
                                <w:rFonts w:asciiTheme="majorHAnsi" w:hAnsiTheme="majorHAnsi"/>
                                <w:color w:val="595959" w:themeColor="text1" w:themeTint="A6"/>
                                <w:sz w:val="18"/>
                                <w:szCs w:val="18"/>
                                <w:lang w:val="pt-BR"/>
                              </w:rPr>
                              <w:t xml:space="preserve"> CIDH, Informe No. 125/19, Caso 12.691. </w:t>
                            </w:r>
                            <w:r>
                              <w:rPr>
                                <w:rFonts w:asciiTheme="majorHAnsi" w:hAnsiTheme="majorHAnsi"/>
                                <w:color w:val="595959" w:themeColor="text1" w:themeTint="A6"/>
                                <w:sz w:val="18"/>
                                <w:szCs w:val="18"/>
                              </w:rPr>
                              <w:t>Fondo</w:t>
                            </w:r>
                            <w:r w:rsidRPr="00890650">
                              <w:rPr>
                                <w:rFonts w:asciiTheme="majorHAnsi" w:hAnsiTheme="majorHAnsi"/>
                                <w:color w:val="595959" w:themeColor="text1" w:themeTint="A6"/>
                                <w:sz w:val="18"/>
                                <w:szCs w:val="18"/>
                              </w:rPr>
                              <w:t xml:space="preserve">. </w:t>
                            </w:r>
                            <w:r w:rsidRPr="00E75792">
                              <w:rPr>
                                <w:rFonts w:asciiTheme="majorHAnsi" w:hAnsiTheme="majorHAnsi"/>
                                <w:color w:val="595959" w:themeColor="text1" w:themeTint="A6"/>
                                <w:sz w:val="18"/>
                                <w:szCs w:val="18"/>
                                <w:lang w:val="es-AR"/>
                              </w:rPr>
                              <w:t>Miembros del Sindicato Único de Trabajadores de ECASA</w:t>
                            </w:r>
                            <w:r w:rsidRPr="00890650">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Perú</w:t>
                            </w:r>
                            <w:r w:rsidRPr="00890650">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31 de julio de 2019</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6A8FA" id="Text Box 10" o:spid="_x0000_s1030" type="#_x0000_t202" style="position:absolute;left:0;text-align:left;margin-left:105pt;margin-top:.45pt;width:389.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9CEDCA1" w14:textId="2AC42C8A" w:rsidR="00FC6B2B" w:rsidRPr="00E75792" w:rsidRDefault="00FC6B2B" w:rsidP="00113F73">
                      <w:pPr>
                        <w:spacing w:line="276" w:lineRule="auto"/>
                        <w:rPr>
                          <w:rFonts w:asciiTheme="majorHAnsi" w:hAnsiTheme="majorHAnsi"/>
                          <w:color w:val="595959" w:themeColor="text1" w:themeTint="A6"/>
                          <w:sz w:val="18"/>
                          <w:szCs w:val="18"/>
                        </w:rPr>
                      </w:pPr>
                      <w:r w:rsidRPr="00D4054F">
                        <w:rPr>
                          <w:rFonts w:asciiTheme="majorHAnsi" w:hAnsiTheme="majorHAnsi"/>
                          <w:b/>
                          <w:color w:val="595959" w:themeColor="text1" w:themeTint="A6"/>
                          <w:sz w:val="18"/>
                          <w:szCs w:val="18"/>
                          <w:lang w:val="pt-BR"/>
                        </w:rPr>
                        <w:t>Citar como:</w:t>
                      </w:r>
                      <w:r w:rsidRPr="00D4054F">
                        <w:rPr>
                          <w:rFonts w:asciiTheme="majorHAnsi" w:hAnsiTheme="majorHAnsi"/>
                          <w:color w:val="595959" w:themeColor="text1" w:themeTint="A6"/>
                          <w:sz w:val="18"/>
                          <w:szCs w:val="18"/>
                          <w:lang w:val="pt-BR"/>
                        </w:rPr>
                        <w:t xml:space="preserve"> CIDH, Informe No. 125/19, Caso 12.691. </w:t>
                      </w:r>
                      <w:r>
                        <w:rPr>
                          <w:rFonts w:asciiTheme="majorHAnsi" w:hAnsiTheme="majorHAnsi"/>
                          <w:color w:val="595959" w:themeColor="text1" w:themeTint="A6"/>
                          <w:sz w:val="18"/>
                          <w:szCs w:val="18"/>
                        </w:rPr>
                        <w:t>Fondo</w:t>
                      </w:r>
                      <w:r w:rsidRPr="00890650">
                        <w:rPr>
                          <w:rFonts w:asciiTheme="majorHAnsi" w:hAnsiTheme="majorHAnsi"/>
                          <w:color w:val="595959" w:themeColor="text1" w:themeTint="A6"/>
                          <w:sz w:val="18"/>
                          <w:szCs w:val="18"/>
                        </w:rPr>
                        <w:t xml:space="preserve">. </w:t>
                      </w:r>
                      <w:r w:rsidRPr="00E75792">
                        <w:rPr>
                          <w:rFonts w:asciiTheme="majorHAnsi" w:hAnsiTheme="majorHAnsi"/>
                          <w:color w:val="595959" w:themeColor="text1" w:themeTint="A6"/>
                          <w:sz w:val="18"/>
                          <w:szCs w:val="18"/>
                          <w:lang w:val="es-AR"/>
                        </w:rPr>
                        <w:t>Miembros del Sindicato Único de Trabajadores de ECASA</w:t>
                      </w:r>
                      <w:r w:rsidRPr="00890650">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Perú</w:t>
                      </w:r>
                      <w:r w:rsidRPr="00890650">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31 de julio de 2019</w:t>
                      </w:r>
                      <w:r w:rsidRPr="007C756A">
                        <w:rPr>
                          <w:rFonts w:asciiTheme="majorHAnsi" w:hAnsiTheme="majorHAnsi"/>
                          <w:color w:val="595959" w:themeColor="text1" w:themeTint="A6"/>
                          <w:sz w:val="18"/>
                          <w:szCs w:val="18"/>
                          <w:lang w:val="es-US"/>
                        </w:rPr>
                        <w:t>.</w:t>
                      </w:r>
                    </w:p>
                  </w:txbxContent>
                </v:textbox>
              </v:shape>
            </w:pict>
          </mc:Fallback>
        </mc:AlternateContent>
      </w:r>
    </w:p>
    <w:p w14:paraId="057DD61F" w14:textId="77777777" w:rsidR="00A50FCF" w:rsidRPr="00D94314" w:rsidRDefault="00A50FCF" w:rsidP="006D72EB">
      <w:pPr>
        <w:tabs>
          <w:tab w:val="center" w:pos="5400"/>
        </w:tabs>
        <w:suppressAutoHyphens/>
        <w:jc w:val="center"/>
        <w:rPr>
          <w:rFonts w:asciiTheme="majorHAnsi" w:hAnsiTheme="majorHAnsi"/>
          <w:sz w:val="20"/>
          <w:szCs w:val="20"/>
        </w:rPr>
      </w:pPr>
    </w:p>
    <w:p w14:paraId="478C1CBB" w14:textId="77777777" w:rsidR="0090270B" w:rsidRPr="00D94314" w:rsidRDefault="00D306D1" w:rsidP="006D72EB">
      <w:pPr>
        <w:tabs>
          <w:tab w:val="center" w:pos="5400"/>
        </w:tabs>
        <w:suppressAutoHyphens/>
        <w:jc w:val="center"/>
        <w:rPr>
          <w:rFonts w:asciiTheme="majorHAnsi" w:hAnsiTheme="majorHAnsi"/>
          <w:b/>
          <w:sz w:val="20"/>
          <w:szCs w:val="20"/>
        </w:rPr>
      </w:pPr>
      <w:r w:rsidRPr="00D94314">
        <w:rPr>
          <w:rFonts w:asciiTheme="majorHAnsi" w:hAnsiTheme="majorHAnsi"/>
          <w:noProof/>
          <w:sz w:val="20"/>
          <w:szCs w:val="20"/>
          <w:lang w:val="en-US"/>
        </w:rPr>
        <mc:AlternateContent>
          <mc:Choice Requires="wps">
            <w:drawing>
              <wp:anchor distT="0" distB="0" distL="114300" distR="114300" simplePos="0" relativeHeight="251662336" behindDoc="0" locked="0" layoutInCell="1" allowOverlap="1" wp14:anchorId="283F88E5" wp14:editId="2873758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8DBDF" w14:textId="77777777" w:rsidR="00FC6B2B" w:rsidRPr="00D72DC6" w:rsidRDefault="00FC6B2B"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16F28B4F" wp14:editId="71D716BC">
                                  <wp:extent cx="1338942" cy="390525"/>
                                  <wp:effectExtent l="0" t="0" r="0" b="0"/>
                                  <wp:docPr id="18" name="Picture 18"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F88E5" id="Text Box 9" o:spid="_x0000_s1031" type="#_x0000_t202" style="position:absolute;left:0;text-align:left;margin-left:104.7pt;margin-top:50.3pt;width:322.55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428DBDF" w14:textId="77777777" w:rsidR="00FC6B2B" w:rsidRPr="00D72DC6" w:rsidRDefault="00FC6B2B"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16F28B4F" wp14:editId="71D716BC">
                            <wp:extent cx="1338942" cy="390525"/>
                            <wp:effectExtent l="0" t="0" r="0" b="0"/>
                            <wp:docPr id="18" name="Picture 18"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94314">
        <w:rPr>
          <w:rFonts w:asciiTheme="majorHAnsi" w:hAnsiTheme="majorHAnsi"/>
          <w:noProof/>
          <w:sz w:val="20"/>
          <w:szCs w:val="20"/>
          <w:lang w:val="en-US"/>
        </w:rPr>
        <mc:AlternateContent>
          <mc:Choice Requires="wps">
            <w:drawing>
              <wp:anchor distT="0" distB="0" distL="114300" distR="114300" simplePos="0" relativeHeight="251664384" behindDoc="0" locked="0" layoutInCell="1" allowOverlap="1" wp14:anchorId="706FDE88" wp14:editId="0EB8ED3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39E488" w14:textId="77777777" w:rsidR="00FC6B2B" w:rsidRPr="004B7EB6" w:rsidRDefault="00FC6B2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FDE88" id="Text Box 4" o:spid="_x0000_s1032" type="#_x0000_t202" style="position:absolute;left:0;text-align:left;margin-left:-21.45pt;margin-top:72.05pt;width: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639E488" w14:textId="77777777" w:rsidR="00FC6B2B" w:rsidRPr="004B7EB6" w:rsidRDefault="00FC6B2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53717FC" w14:textId="77777777" w:rsidR="0070697F" w:rsidRPr="00D94314" w:rsidRDefault="0070697F" w:rsidP="006D72EB">
      <w:pPr>
        <w:tabs>
          <w:tab w:val="center" w:pos="5400"/>
        </w:tabs>
        <w:suppressAutoHyphens/>
        <w:jc w:val="center"/>
        <w:rPr>
          <w:rFonts w:asciiTheme="majorHAnsi" w:hAnsiTheme="majorHAnsi"/>
          <w:b/>
          <w:sz w:val="20"/>
          <w:szCs w:val="20"/>
        </w:rPr>
        <w:sectPr w:rsidR="0070697F" w:rsidRPr="00D9431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811591E" w14:textId="77777777" w:rsidR="00722C9F" w:rsidRPr="00D94314" w:rsidRDefault="00722C9F" w:rsidP="006D72EB">
      <w:pPr>
        <w:tabs>
          <w:tab w:val="center" w:pos="5400"/>
        </w:tabs>
        <w:suppressAutoHyphens/>
        <w:jc w:val="center"/>
        <w:rPr>
          <w:rFonts w:asciiTheme="majorHAnsi" w:hAnsiTheme="majorHAnsi"/>
          <w:sz w:val="20"/>
          <w:szCs w:val="20"/>
        </w:rPr>
      </w:pPr>
    </w:p>
    <w:p w14:paraId="1C948CFF" w14:textId="77777777" w:rsidR="00722C9F" w:rsidRDefault="00722C9F" w:rsidP="006D72EB">
      <w:pPr>
        <w:tabs>
          <w:tab w:val="center" w:pos="5400"/>
        </w:tabs>
        <w:suppressAutoHyphens/>
        <w:jc w:val="center"/>
        <w:rPr>
          <w:rFonts w:asciiTheme="majorHAnsi" w:hAnsiTheme="majorHAnsi"/>
          <w:b/>
          <w:sz w:val="20"/>
          <w:szCs w:val="20"/>
        </w:rPr>
      </w:pPr>
      <w:r w:rsidRPr="00D94314">
        <w:rPr>
          <w:rFonts w:asciiTheme="majorHAnsi" w:hAnsiTheme="majorHAnsi"/>
          <w:b/>
          <w:sz w:val="20"/>
          <w:szCs w:val="20"/>
        </w:rPr>
        <w:t>ÍNDICE</w:t>
      </w:r>
    </w:p>
    <w:p w14:paraId="03C01C1B" w14:textId="77777777" w:rsidR="0001094F" w:rsidRPr="00D94314" w:rsidRDefault="0001094F" w:rsidP="006D72EB">
      <w:pPr>
        <w:tabs>
          <w:tab w:val="center" w:pos="5400"/>
        </w:tabs>
        <w:suppressAutoHyphens/>
        <w:jc w:val="center"/>
        <w:rPr>
          <w:rFonts w:asciiTheme="majorHAnsi" w:hAnsiTheme="majorHAnsi"/>
          <w:b/>
          <w:sz w:val="20"/>
          <w:szCs w:val="20"/>
        </w:rPr>
      </w:pPr>
    </w:p>
    <w:p w14:paraId="09F1D5DA" w14:textId="77777777" w:rsidR="008D768D" w:rsidRPr="00D94314" w:rsidRDefault="008D768D" w:rsidP="006D72EB">
      <w:pPr>
        <w:tabs>
          <w:tab w:val="center" w:pos="5400"/>
        </w:tabs>
        <w:suppressAutoHyphens/>
        <w:rPr>
          <w:rFonts w:asciiTheme="majorHAnsi" w:hAnsiTheme="majorHAnsi"/>
          <w:sz w:val="20"/>
          <w:szCs w:val="20"/>
        </w:rPr>
      </w:pPr>
    </w:p>
    <w:p w14:paraId="1DA5BD0D" w14:textId="77777777" w:rsidR="00E909AA" w:rsidRPr="00D94314" w:rsidRDefault="00E909AA" w:rsidP="006D72EB">
      <w:pPr>
        <w:suppressAutoHyphens/>
        <w:rPr>
          <w:rFonts w:asciiTheme="majorHAnsi" w:hAnsiTheme="majorHAnsi"/>
          <w:b/>
          <w:sz w:val="20"/>
          <w:szCs w:val="20"/>
        </w:rPr>
      </w:pPr>
    </w:p>
    <w:p w14:paraId="35D52B1F" w14:textId="5EB6C0E3" w:rsidR="00B867B7" w:rsidRPr="009B234A" w:rsidRDefault="00B76CF4" w:rsidP="009B234A">
      <w:pPr>
        <w:pStyle w:val="TOC1"/>
        <w:rPr>
          <w:rFonts w:asciiTheme="majorHAnsi" w:eastAsiaTheme="minorEastAsia" w:hAnsiTheme="majorHAnsi" w:cstheme="minorBidi"/>
          <w:b/>
          <w:noProof/>
          <w:sz w:val="20"/>
          <w:szCs w:val="20"/>
          <w:bdr w:val="none" w:sz="0" w:space="0" w:color="auto"/>
          <w:lang w:val="en-US"/>
        </w:rPr>
      </w:pPr>
      <w:r w:rsidRPr="00B76CF4">
        <w:fldChar w:fldCharType="begin"/>
      </w:r>
      <w:r w:rsidRPr="00B76CF4">
        <w:instrText xml:space="preserve"> TOC \o "1-3" \h \z \u </w:instrText>
      </w:r>
      <w:r w:rsidRPr="00B76CF4">
        <w:fldChar w:fldCharType="separate"/>
      </w:r>
      <w:hyperlink w:anchor="_Toc21421506" w:history="1">
        <w:r w:rsidR="00B867B7" w:rsidRPr="009B234A">
          <w:rPr>
            <w:rStyle w:val="Hyperlink"/>
            <w:rFonts w:asciiTheme="majorHAnsi" w:hAnsiTheme="majorHAnsi"/>
            <w:b/>
            <w:noProof/>
            <w:sz w:val="20"/>
            <w:szCs w:val="20"/>
          </w:rPr>
          <w:t>I.</w:t>
        </w:r>
        <w:r w:rsidR="00B867B7" w:rsidRPr="009B234A">
          <w:rPr>
            <w:rFonts w:asciiTheme="majorHAnsi" w:eastAsiaTheme="minorEastAsia" w:hAnsiTheme="majorHAnsi" w:cstheme="minorBidi"/>
            <w:b/>
            <w:noProof/>
            <w:sz w:val="20"/>
            <w:szCs w:val="20"/>
            <w:bdr w:val="none" w:sz="0" w:space="0" w:color="auto"/>
            <w:lang w:val="en-US"/>
          </w:rPr>
          <w:tab/>
        </w:r>
        <w:r w:rsidR="00B867B7" w:rsidRPr="009B234A">
          <w:rPr>
            <w:rStyle w:val="Hyperlink"/>
            <w:rFonts w:asciiTheme="majorHAnsi" w:hAnsiTheme="majorHAnsi"/>
            <w:b/>
            <w:noProof/>
            <w:sz w:val="20"/>
            <w:szCs w:val="20"/>
          </w:rPr>
          <w:t>RESUMEN</w:t>
        </w:r>
        <w:r w:rsidR="00B867B7" w:rsidRPr="009B234A">
          <w:rPr>
            <w:rFonts w:asciiTheme="majorHAnsi" w:hAnsiTheme="majorHAnsi"/>
            <w:b/>
            <w:noProof/>
            <w:webHidden/>
            <w:sz w:val="20"/>
            <w:szCs w:val="20"/>
          </w:rPr>
          <w:tab/>
        </w:r>
        <w:r w:rsidR="00B867B7" w:rsidRPr="009B234A">
          <w:rPr>
            <w:rFonts w:asciiTheme="majorHAnsi" w:hAnsiTheme="majorHAnsi"/>
            <w:b/>
            <w:noProof/>
            <w:webHidden/>
            <w:sz w:val="20"/>
            <w:szCs w:val="20"/>
          </w:rPr>
          <w:fldChar w:fldCharType="begin"/>
        </w:r>
        <w:r w:rsidR="00B867B7" w:rsidRPr="009B234A">
          <w:rPr>
            <w:rFonts w:asciiTheme="majorHAnsi" w:hAnsiTheme="majorHAnsi"/>
            <w:b/>
            <w:noProof/>
            <w:webHidden/>
            <w:sz w:val="20"/>
            <w:szCs w:val="20"/>
          </w:rPr>
          <w:instrText xml:space="preserve"> PAGEREF _Toc21421506 \h </w:instrText>
        </w:r>
        <w:r w:rsidR="00B867B7" w:rsidRPr="009B234A">
          <w:rPr>
            <w:rFonts w:asciiTheme="majorHAnsi" w:hAnsiTheme="majorHAnsi"/>
            <w:b/>
            <w:noProof/>
            <w:webHidden/>
            <w:sz w:val="20"/>
            <w:szCs w:val="20"/>
          </w:rPr>
        </w:r>
        <w:r w:rsidR="00B867B7" w:rsidRPr="009B234A">
          <w:rPr>
            <w:rFonts w:asciiTheme="majorHAnsi" w:hAnsiTheme="majorHAnsi"/>
            <w:b/>
            <w:noProof/>
            <w:webHidden/>
            <w:sz w:val="20"/>
            <w:szCs w:val="20"/>
          </w:rPr>
          <w:fldChar w:fldCharType="separate"/>
        </w:r>
        <w:r w:rsidR="00C40029">
          <w:rPr>
            <w:rFonts w:asciiTheme="majorHAnsi" w:hAnsiTheme="majorHAnsi"/>
            <w:b/>
            <w:noProof/>
            <w:webHidden/>
            <w:sz w:val="20"/>
            <w:szCs w:val="20"/>
          </w:rPr>
          <w:t>2</w:t>
        </w:r>
        <w:r w:rsidR="00B867B7" w:rsidRPr="009B234A">
          <w:rPr>
            <w:rFonts w:asciiTheme="majorHAnsi" w:hAnsiTheme="majorHAnsi"/>
            <w:b/>
            <w:noProof/>
            <w:webHidden/>
            <w:sz w:val="20"/>
            <w:szCs w:val="20"/>
          </w:rPr>
          <w:fldChar w:fldCharType="end"/>
        </w:r>
      </w:hyperlink>
    </w:p>
    <w:p w14:paraId="4DE40380" w14:textId="57969309" w:rsidR="00B867B7" w:rsidRPr="009B234A" w:rsidRDefault="00C40029" w:rsidP="009B234A">
      <w:pPr>
        <w:pStyle w:val="TOC1"/>
        <w:rPr>
          <w:rFonts w:asciiTheme="majorHAnsi" w:eastAsiaTheme="minorEastAsia" w:hAnsiTheme="majorHAnsi" w:cstheme="minorBidi"/>
          <w:b/>
          <w:noProof/>
          <w:sz w:val="20"/>
          <w:szCs w:val="20"/>
          <w:bdr w:val="none" w:sz="0" w:space="0" w:color="auto"/>
          <w:lang w:val="en-US"/>
        </w:rPr>
      </w:pPr>
      <w:hyperlink w:anchor="_Toc21421507" w:history="1">
        <w:r w:rsidR="00B867B7" w:rsidRPr="009B234A">
          <w:rPr>
            <w:rStyle w:val="Hyperlink"/>
            <w:rFonts w:asciiTheme="majorHAnsi" w:hAnsiTheme="majorHAnsi"/>
            <w:b/>
            <w:noProof/>
            <w:sz w:val="20"/>
            <w:szCs w:val="20"/>
          </w:rPr>
          <w:t>II.</w:t>
        </w:r>
        <w:r w:rsidR="00B867B7" w:rsidRPr="009B234A">
          <w:rPr>
            <w:rFonts w:asciiTheme="majorHAnsi" w:eastAsiaTheme="minorEastAsia" w:hAnsiTheme="majorHAnsi" w:cstheme="minorBidi"/>
            <w:b/>
            <w:noProof/>
            <w:sz w:val="20"/>
            <w:szCs w:val="20"/>
            <w:bdr w:val="none" w:sz="0" w:space="0" w:color="auto"/>
            <w:lang w:val="en-US"/>
          </w:rPr>
          <w:tab/>
        </w:r>
        <w:r w:rsidR="00B867B7" w:rsidRPr="009B234A">
          <w:rPr>
            <w:rStyle w:val="Hyperlink"/>
            <w:rFonts w:asciiTheme="majorHAnsi" w:hAnsiTheme="majorHAnsi"/>
            <w:b/>
            <w:noProof/>
            <w:sz w:val="20"/>
            <w:szCs w:val="20"/>
          </w:rPr>
          <w:t>POSICION DE LAS PARTES</w:t>
        </w:r>
        <w:r w:rsidR="00B867B7" w:rsidRPr="009B234A">
          <w:rPr>
            <w:rFonts w:asciiTheme="majorHAnsi" w:hAnsiTheme="majorHAnsi"/>
            <w:b/>
            <w:noProof/>
            <w:webHidden/>
            <w:sz w:val="20"/>
            <w:szCs w:val="20"/>
          </w:rPr>
          <w:tab/>
        </w:r>
        <w:r w:rsidR="00B867B7" w:rsidRPr="009B234A">
          <w:rPr>
            <w:rFonts w:asciiTheme="majorHAnsi" w:hAnsiTheme="majorHAnsi"/>
            <w:b/>
            <w:noProof/>
            <w:webHidden/>
            <w:sz w:val="20"/>
            <w:szCs w:val="20"/>
          </w:rPr>
          <w:fldChar w:fldCharType="begin"/>
        </w:r>
        <w:r w:rsidR="00B867B7" w:rsidRPr="009B234A">
          <w:rPr>
            <w:rFonts w:asciiTheme="majorHAnsi" w:hAnsiTheme="majorHAnsi"/>
            <w:b/>
            <w:noProof/>
            <w:webHidden/>
            <w:sz w:val="20"/>
            <w:szCs w:val="20"/>
          </w:rPr>
          <w:instrText xml:space="preserve"> PAGEREF _Toc21421507 \h </w:instrText>
        </w:r>
        <w:r w:rsidR="00B867B7" w:rsidRPr="009B234A">
          <w:rPr>
            <w:rFonts w:asciiTheme="majorHAnsi" w:hAnsiTheme="majorHAnsi"/>
            <w:b/>
            <w:noProof/>
            <w:webHidden/>
            <w:sz w:val="20"/>
            <w:szCs w:val="20"/>
          </w:rPr>
        </w:r>
        <w:r w:rsidR="00B867B7" w:rsidRPr="009B234A">
          <w:rPr>
            <w:rFonts w:asciiTheme="majorHAnsi" w:hAnsiTheme="majorHAnsi"/>
            <w:b/>
            <w:noProof/>
            <w:webHidden/>
            <w:sz w:val="20"/>
            <w:szCs w:val="20"/>
          </w:rPr>
          <w:fldChar w:fldCharType="separate"/>
        </w:r>
        <w:r>
          <w:rPr>
            <w:rFonts w:asciiTheme="majorHAnsi" w:hAnsiTheme="majorHAnsi"/>
            <w:b/>
            <w:noProof/>
            <w:webHidden/>
            <w:sz w:val="20"/>
            <w:szCs w:val="20"/>
          </w:rPr>
          <w:t>2</w:t>
        </w:r>
        <w:r w:rsidR="00B867B7" w:rsidRPr="009B234A">
          <w:rPr>
            <w:rFonts w:asciiTheme="majorHAnsi" w:hAnsiTheme="majorHAnsi"/>
            <w:b/>
            <w:noProof/>
            <w:webHidden/>
            <w:sz w:val="20"/>
            <w:szCs w:val="20"/>
          </w:rPr>
          <w:fldChar w:fldCharType="end"/>
        </w:r>
      </w:hyperlink>
    </w:p>
    <w:p w14:paraId="3F672B07" w14:textId="2B578A22" w:rsidR="00B867B7" w:rsidRPr="009B234A" w:rsidRDefault="00C40029" w:rsidP="009B234A">
      <w:pPr>
        <w:pStyle w:val="TOC1"/>
        <w:rPr>
          <w:rStyle w:val="Hyperlink"/>
          <w:rFonts w:asciiTheme="majorHAnsi" w:hAnsiTheme="majorHAnsi"/>
          <w:b/>
          <w:sz w:val="20"/>
          <w:szCs w:val="20"/>
        </w:rPr>
      </w:pPr>
      <w:hyperlink w:anchor="_Toc21421508" w:history="1">
        <w:r w:rsidR="00B867B7" w:rsidRPr="009B234A">
          <w:rPr>
            <w:rStyle w:val="Hyperlink"/>
            <w:rFonts w:asciiTheme="majorHAnsi" w:hAnsiTheme="majorHAnsi"/>
            <w:b/>
            <w:noProof/>
            <w:sz w:val="20"/>
            <w:szCs w:val="20"/>
          </w:rPr>
          <w:t>A.</w:t>
        </w:r>
        <w:r w:rsidR="00B867B7" w:rsidRPr="009B234A">
          <w:rPr>
            <w:rStyle w:val="Hyperlink"/>
            <w:rFonts w:asciiTheme="majorHAnsi" w:hAnsiTheme="majorHAnsi"/>
            <w:b/>
            <w:sz w:val="20"/>
            <w:szCs w:val="20"/>
          </w:rPr>
          <w:tab/>
        </w:r>
        <w:r w:rsidR="00B867B7" w:rsidRPr="009B234A">
          <w:rPr>
            <w:rStyle w:val="Hyperlink"/>
            <w:rFonts w:asciiTheme="majorHAnsi" w:hAnsiTheme="majorHAnsi"/>
            <w:b/>
            <w:noProof/>
            <w:sz w:val="20"/>
            <w:szCs w:val="20"/>
          </w:rPr>
          <w:t>PARTE PETICIONARIA</w:t>
        </w:r>
        <w:r w:rsidR="00B867B7" w:rsidRPr="009B234A">
          <w:rPr>
            <w:rStyle w:val="Hyperlink"/>
            <w:rFonts w:asciiTheme="majorHAnsi" w:hAnsiTheme="majorHAnsi"/>
            <w:b/>
            <w:webHidden/>
            <w:sz w:val="20"/>
            <w:szCs w:val="20"/>
          </w:rPr>
          <w:tab/>
        </w:r>
        <w:r w:rsidR="00B867B7" w:rsidRPr="009B234A">
          <w:rPr>
            <w:rStyle w:val="Hyperlink"/>
            <w:rFonts w:asciiTheme="majorHAnsi" w:hAnsiTheme="majorHAnsi"/>
            <w:b/>
            <w:webHidden/>
            <w:sz w:val="20"/>
            <w:szCs w:val="20"/>
          </w:rPr>
          <w:fldChar w:fldCharType="begin"/>
        </w:r>
        <w:r w:rsidR="00B867B7" w:rsidRPr="009B234A">
          <w:rPr>
            <w:rStyle w:val="Hyperlink"/>
            <w:rFonts w:asciiTheme="majorHAnsi" w:hAnsiTheme="majorHAnsi"/>
            <w:b/>
            <w:webHidden/>
            <w:sz w:val="20"/>
            <w:szCs w:val="20"/>
          </w:rPr>
          <w:instrText xml:space="preserve"> PAGEREF _Toc21421508 \h </w:instrText>
        </w:r>
        <w:r w:rsidR="00B867B7" w:rsidRPr="009B234A">
          <w:rPr>
            <w:rStyle w:val="Hyperlink"/>
            <w:rFonts w:asciiTheme="majorHAnsi" w:hAnsiTheme="majorHAnsi"/>
            <w:b/>
            <w:webHidden/>
            <w:sz w:val="20"/>
            <w:szCs w:val="20"/>
          </w:rPr>
        </w:r>
        <w:r w:rsidR="00B867B7" w:rsidRPr="009B234A">
          <w:rPr>
            <w:rStyle w:val="Hyperlink"/>
            <w:rFonts w:asciiTheme="majorHAnsi" w:hAnsiTheme="majorHAnsi"/>
            <w:b/>
            <w:webHidden/>
            <w:sz w:val="20"/>
            <w:szCs w:val="20"/>
          </w:rPr>
          <w:fldChar w:fldCharType="separate"/>
        </w:r>
        <w:r>
          <w:rPr>
            <w:rStyle w:val="Hyperlink"/>
            <w:rFonts w:asciiTheme="majorHAnsi" w:hAnsiTheme="majorHAnsi"/>
            <w:b/>
            <w:noProof/>
            <w:webHidden/>
            <w:sz w:val="20"/>
            <w:szCs w:val="20"/>
          </w:rPr>
          <w:t>2</w:t>
        </w:r>
        <w:r w:rsidR="00B867B7" w:rsidRPr="009B234A">
          <w:rPr>
            <w:rStyle w:val="Hyperlink"/>
            <w:rFonts w:asciiTheme="majorHAnsi" w:hAnsiTheme="majorHAnsi"/>
            <w:b/>
            <w:webHidden/>
            <w:sz w:val="20"/>
            <w:szCs w:val="20"/>
          </w:rPr>
          <w:fldChar w:fldCharType="end"/>
        </w:r>
      </w:hyperlink>
    </w:p>
    <w:p w14:paraId="73EA8A1A" w14:textId="374B02AF" w:rsidR="00B867B7" w:rsidRPr="00F15066" w:rsidRDefault="00C40029" w:rsidP="009B234A">
      <w:pPr>
        <w:pStyle w:val="TOC1"/>
        <w:rPr>
          <w:rStyle w:val="Hyperlink"/>
          <w:rFonts w:asciiTheme="majorHAnsi" w:hAnsiTheme="majorHAnsi"/>
          <w:b/>
          <w:sz w:val="20"/>
          <w:szCs w:val="20"/>
        </w:rPr>
      </w:pPr>
      <w:hyperlink w:anchor="_Toc21421509" w:history="1">
        <w:r w:rsidR="00B867B7" w:rsidRPr="00F15066">
          <w:rPr>
            <w:rStyle w:val="Hyperlink"/>
            <w:rFonts w:asciiTheme="majorHAnsi" w:hAnsiTheme="majorHAnsi"/>
            <w:b/>
            <w:noProof/>
            <w:sz w:val="20"/>
            <w:szCs w:val="20"/>
          </w:rPr>
          <w:t>B.</w:t>
        </w:r>
        <w:r w:rsidR="00B867B7" w:rsidRPr="00F15066">
          <w:rPr>
            <w:rStyle w:val="Hyperlink"/>
            <w:rFonts w:asciiTheme="majorHAnsi" w:hAnsiTheme="majorHAnsi"/>
            <w:b/>
            <w:sz w:val="20"/>
            <w:szCs w:val="20"/>
          </w:rPr>
          <w:tab/>
        </w:r>
        <w:r w:rsidR="00B867B7" w:rsidRPr="00F15066">
          <w:rPr>
            <w:rStyle w:val="Hyperlink"/>
            <w:rFonts w:asciiTheme="majorHAnsi" w:hAnsiTheme="majorHAnsi"/>
            <w:b/>
            <w:noProof/>
            <w:sz w:val="20"/>
            <w:szCs w:val="20"/>
          </w:rPr>
          <w:t>ESTADO</w:t>
        </w:r>
        <w:r w:rsidR="00B867B7" w:rsidRPr="00F15066">
          <w:rPr>
            <w:rStyle w:val="Hyperlink"/>
            <w:rFonts w:asciiTheme="majorHAnsi" w:hAnsiTheme="majorHAnsi"/>
            <w:b/>
            <w:webHidden/>
            <w:sz w:val="20"/>
            <w:szCs w:val="20"/>
          </w:rPr>
          <w:tab/>
        </w:r>
        <w:r w:rsidR="00B867B7" w:rsidRPr="00F15066">
          <w:rPr>
            <w:rStyle w:val="Hyperlink"/>
            <w:rFonts w:asciiTheme="majorHAnsi" w:hAnsiTheme="majorHAnsi"/>
            <w:b/>
            <w:webHidden/>
            <w:sz w:val="20"/>
            <w:szCs w:val="20"/>
          </w:rPr>
          <w:fldChar w:fldCharType="begin"/>
        </w:r>
        <w:r w:rsidR="00B867B7" w:rsidRPr="00F15066">
          <w:rPr>
            <w:rStyle w:val="Hyperlink"/>
            <w:rFonts w:asciiTheme="majorHAnsi" w:hAnsiTheme="majorHAnsi"/>
            <w:b/>
            <w:webHidden/>
            <w:sz w:val="20"/>
            <w:szCs w:val="20"/>
          </w:rPr>
          <w:instrText xml:space="preserve"> PAGEREF _Toc21421509 \h </w:instrText>
        </w:r>
        <w:r w:rsidR="00B867B7" w:rsidRPr="00F15066">
          <w:rPr>
            <w:rStyle w:val="Hyperlink"/>
            <w:rFonts w:asciiTheme="majorHAnsi" w:hAnsiTheme="majorHAnsi"/>
            <w:b/>
            <w:webHidden/>
            <w:sz w:val="20"/>
            <w:szCs w:val="20"/>
          </w:rPr>
        </w:r>
        <w:r w:rsidR="00B867B7" w:rsidRPr="00F15066">
          <w:rPr>
            <w:rStyle w:val="Hyperlink"/>
            <w:rFonts w:asciiTheme="majorHAnsi" w:hAnsiTheme="majorHAnsi"/>
            <w:b/>
            <w:webHidden/>
            <w:sz w:val="20"/>
            <w:szCs w:val="20"/>
          </w:rPr>
          <w:fldChar w:fldCharType="separate"/>
        </w:r>
        <w:r>
          <w:rPr>
            <w:rStyle w:val="Hyperlink"/>
            <w:rFonts w:asciiTheme="majorHAnsi" w:hAnsiTheme="majorHAnsi"/>
            <w:b/>
            <w:noProof/>
            <w:webHidden/>
            <w:sz w:val="20"/>
            <w:szCs w:val="20"/>
          </w:rPr>
          <w:t>3</w:t>
        </w:r>
        <w:r w:rsidR="00B867B7" w:rsidRPr="00F15066">
          <w:rPr>
            <w:rStyle w:val="Hyperlink"/>
            <w:rFonts w:asciiTheme="majorHAnsi" w:hAnsiTheme="majorHAnsi"/>
            <w:b/>
            <w:webHidden/>
            <w:sz w:val="20"/>
            <w:szCs w:val="20"/>
          </w:rPr>
          <w:fldChar w:fldCharType="end"/>
        </w:r>
      </w:hyperlink>
    </w:p>
    <w:p w14:paraId="07C0EA21" w14:textId="0B3A874F" w:rsidR="00B867B7" w:rsidRPr="009B234A" w:rsidRDefault="00C40029" w:rsidP="009B234A">
      <w:pPr>
        <w:pStyle w:val="TOC1"/>
        <w:rPr>
          <w:rFonts w:asciiTheme="majorHAnsi" w:eastAsiaTheme="minorEastAsia" w:hAnsiTheme="majorHAnsi" w:cstheme="minorBidi"/>
          <w:noProof/>
          <w:sz w:val="20"/>
          <w:szCs w:val="20"/>
          <w:bdr w:val="none" w:sz="0" w:space="0" w:color="auto"/>
          <w:lang w:val="en-US"/>
        </w:rPr>
      </w:pPr>
      <w:hyperlink w:anchor="_Toc21421510" w:history="1">
        <w:r w:rsidR="00B867B7" w:rsidRPr="009B234A">
          <w:rPr>
            <w:rStyle w:val="Hyperlink"/>
            <w:rFonts w:asciiTheme="majorHAnsi" w:hAnsiTheme="majorHAnsi"/>
            <w:b/>
            <w:noProof/>
            <w:sz w:val="20"/>
            <w:szCs w:val="20"/>
          </w:rPr>
          <w:t>III.</w:t>
        </w:r>
        <w:r w:rsidR="00B867B7" w:rsidRPr="009B234A">
          <w:rPr>
            <w:rFonts w:asciiTheme="majorHAnsi" w:eastAsiaTheme="minorEastAsia" w:hAnsiTheme="majorHAnsi" w:cstheme="minorBidi"/>
            <w:noProof/>
            <w:sz w:val="20"/>
            <w:szCs w:val="20"/>
            <w:bdr w:val="none" w:sz="0" w:space="0" w:color="auto"/>
            <w:lang w:val="en-US"/>
          </w:rPr>
          <w:tab/>
        </w:r>
        <w:r w:rsidR="00B867B7" w:rsidRPr="009B234A">
          <w:rPr>
            <w:rStyle w:val="Hyperlink"/>
            <w:rFonts w:asciiTheme="majorHAnsi" w:hAnsiTheme="majorHAnsi"/>
            <w:b/>
            <w:noProof/>
            <w:sz w:val="20"/>
            <w:szCs w:val="20"/>
          </w:rPr>
          <w:t>DETERMINACIONES DE HECHO</w:t>
        </w:r>
        <w:r w:rsidR="00B867B7" w:rsidRPr="009B234A">
          <w:rPr>
            <w:rFonts w:asciiTheme="majorHAnsi" w:hAnsiTheme="majorHAnsi"/>
            <w:noProof/>
            <w:webHidden/>
            <w:sz w:val="20"/>
            <w:szCs w:val="20"/>
          </w:rPr>
          <w:tab/>
        </w:r>
        <w:r w:rsidR="00B867B7" w:rsidRPr="009B234A">
          <w:rPr>
            <w:rFonts w:asciiTheme="majorHAnsi" w:hAnsiTheme="majorHAnsi"/>
            <w:noProof/>
            <w:webHidden/>
            <w:sz w:val="20"/>
            <w:szCs w:val="20"/>
          </w:rPr>
          <w:fldChar w:fldCharType="begin"/>
        </w:r>
        <w:r w:rsidR="00B867B7" w:rsidRPr="009B234A">
          <w:rPr>
            <w:rFonts w:asciiTheme="majorHAnsi" w:hAnsiTheme="majorHAnsi"/>
            <w:noProof/>
            <w:webHidden/>
            <w:sz w:val="20"/>
            <w:szCs w:val="20"/>
          </w:rPr>
          <w:instrText xml:space="preserve"> PAGEREF _Toc21421510 \h </w:instrText>
        </w:r>
        <w:r w:rsidR="00B867B7" w:rsidRPr="009B234A">
          <w:rPr>
            <w:rFonts w:asciiTheme="majorHAnsi" w:hAnsiTheme="majorHAnsi"/>
            <w:noProof/>
            <w:webHidden/>
            <w:sz w:val="20"/>
            <w:szCs w:val="20"/>
          </w:rPr>
        </w:r>
        <w:r w:rsidR="00B867B7" w:rsidRPr="009B234A">
          <w:rPr>
            <w:rFonts w:asciiTheme="majorHAnsi" w:hAnsiTheme="majorHAnsi"/>
            <w:noProof/>
            <w:webHidden/>
            <w:sz w:val="20"/>
            <w:szCs w:val="20"/>
          </w:rPr>
          <w:fldChar w:fldCharType="separate"/>
        </w:r>
        <w:r>
          <w:rPr>
            <w:rFonts w:asciiTheme="majorHAnsi" w:hAnsiTheme="majorHAnsi"/>
            <w:noProof/>
            <w:webHidden/>
            <w:sz w:val="20"/>
            <w:szCs w:val="20"/>
          </w:rPr>
          <w:t>4</w:t>
        </w:r>
        <w:r w:rsidR="00B867B7" w:rsidRPr="009B234A">
          <w:rPr>
            <w:rFonts w:asciiTheme="majorHAnsi" w:hAnsiTheme="majorHAnsi"/>
            <w:noProof/>
            <w:webHidden/>
            <w:sz w:val="20"/>
            <w:szCs w:val="20"/>
          </w:rPr>
          <w:fldChar w:fldCharType="end"/>
        </w:r>
      </w:hyperlink>
    </w:p>
    <w:p w14:paraId="0EE2B002" w14:textId="554CC5B6" w:rsidR="00B867B7" w:rsidRPr="009B234A" w:rsidRDefault="00C40029" w:rsidP="009B234A">
      <w:pPr>
        <w:pStyle w:val="TOC1"/>
        <w:rPr>
          <w:rStyle w:val="Hyperlink"/>
          <w:rFonts w:asciiTheme="majorHAnsi" w:hAnsiTheme="majorHAnsi"/>
          <w:b/>
          <w:sz w:val="20"/>
          <w:szCs w:val="20"/>
        </w:rPr>
      </w:pPr>
      <w:hyperlink w:anchor="_Toc21421511" w:history="1">
        <w:r w:rsidR="00B867B7" w:rsidRPr="009B234A">
          <w:rPr>
            <w:rStyle w:val="Hyperlink"/>
            <w:rFonts w:asciiTheme="majorHAnsi" w:hAnsiTheme="majorHAnsi"/>
            <w:b/>
            <w:noProof/>
            <w:sz w:val="20"/>
            <w:szCs w:val="20"/>
          </w:rPr>
          <w:t>A.</w:t>
        </w:r>
        <w:r w:rsidR="00B867B7" w:rsidRPr="009B234A">
          <w:rPr>
            <w:rStyle w:val="Hyperlink"/>
            <w:rFonts w:asciiTheme="majorHAnsi" w:hAnsiTheme="majorHAnsi"/>
            <w:b/>
            <w:sz w:val="20"/>
            <w:szCs w:val="20"/>
          </w:rPr>
          <w:tab/>
        </w:r>
        <w:r w:rsidR="00B867B7" w:rsidRPr="009B234A">
          <w:rPr>
            <w:rStyle w:val="Hyperlink"/>
            <w:rFonts w:asciiTheme="majorHAnsi" w:hAnsiTheme="majorHAnsi"/>
            <w:b/>
            <w:noProof/>
            <w:sz w:val="20"/>
            <w:szCs w:val="20"/>
          </w:rPr>
          <w:t>ANTECEDENTES</w:t>
        </w:r>
        <w:r w:rsidR="00B867B7" w:rsidRPr="009B234A">
          <w:rPr>
            <w:rStyle w:val="Hyperlink"/>
            <w:rFonts w:asciiTheme="majorHAnsi" w:hAnsiTheme="majorHAnsi"/>
            <w:b/>
            <w:webHidden/>
            <w:sz w:val="20"/>
            <w:szCs w:val="20"/>
          </w:rPr>
          <w:tab/>
        </w:r>
        <w:r w:rsidR="00B867B7" w:rsidRPr="009B234A">
          <w:rPr>
            <w:rStyle w:val="Hyperlink"/>
            <w:rFonts w:asciiTheme="majorHAnsi" w:hAnsiTheme="majorHAnsi"/>
            <w:b/>
            <w:webHidden/>
            <w:sz w:val="20"/>
            <w:szCs w:val="20"/>
          </w:rPr>
          <w:fldChar w:fldCharType="begin"/>
        </w:r>
        <w:r w:rsidR="00B867B7" w:rsidRPr="009B234A">
          <w:rPr>
            <w:rStyle w:val="Hyperlink"/>
            <w:rFonts w:asciiTheme="majorHAnsi" w:hAnsiTheme="majorHAnsi"/>
            <w:b/>
            <w:webHidden/>
            <w:sz w:val="20"/>
            <w:szCs w:val="20"/>
          </w:rPr>
          <w:instrText xml:space="preserve"> PAGEREF _Toc21421511 \h </w:instrText>
        </w:r>
        <w:r w:rsidR="00B867B7" w:rsidRPr="009B234A">
          <w:rPr>
            <w:rStyle w:val="Hyperlink"/>
            <w:rFonts w:asciiTheme="majorHAnsi" w:hAnsiTheme="majorHAnsi"/>
            <w:b/>
            <w:webHidden/>
            <w:sz w:val="20"/>
            <w:szCs w:val="20"/>
          </w:rPr>
        </w:r>
        <w:r w:rsidR="00B867B7" w:rsidRPr="009B234A">
          <w:rPr>
            <w:rStyle w:val="Hyperlink"/>
            <w:rFonts w:asciiTheme="majorHAnsi" w:hAnsiTheme="majorHAnsi"/>
            <w:b/>
            <w:webHidden/>
            <w:sz w:val="20"/>
            <w:szCs w:val="20"/>
          </w:rPr>
          <w:fldChar w:fldCharType="separate"/>
        </w:r>
        <w:r>
          <w:rPr>
            <w:rStyle w:val="Hyperlink"/>
            <w:rFonts w:asciiTheme="majorHAnsi" w:hAnsiTheme="majorHAnsi"/>
            <w:b/>
            <w:noProof/>
            <w:webHidden/>
            <w:sz w:val="20"/>
            <w:szCs w:val="20"/>
          </w:rPr>
          <w:t>4</w:t>
        </w:r>
        <w:r w:rsidR="00B867B7" w:rsidRPr="009B234A">
          <w:rPr>
            <w:rStyle w:val="Hyperlink"/>
            <w:rFonts w:asciiTheme="majorHAnsi" w:hAnsiTheme="majorHAnsi"/>
            <w:b/>
            <w:webHidden/>
            <w:sz w:val="20"/>
            <w:szCs w:val="20"/>
          </w:rPr>
          <w:fldChar w:fldCharType="end"/>
        </w:r>
      </w:hyperlink>
    </w:p>
    <w:p w14:paraId="29870329" w14:textId="10192D0A" w:rsidR="00B867B7" w:rsidRPr="009B234A" w:rsidRDefault="00C40029" w:rsidP="009B234A">
      <w:pPr>
        <w:pStyle w:val="TOC1"/>
        <w:rPr>
          <w:rStyle w:val="Hyperlink"/>
          <w:rFonts w:asciiTheme="majorHAnsi" w:hAnsiTheme="majorHAnsi"/>
          <w:b/>
          <w:sz w:val="20"/>
          <w:szCs w:val="20"/>
        </w:rPr>
      </w:pPr>
      <w:hyperlink w:anchor="_Toc21421512" w:history="1">
        <w:r w:rsidR="00B867B7" w:rsidRPr="009B234A">
          <w:rPr>
            <w:rStyle w:val="Hyperlink"/>
            <w:rFonts w:asciiTheme="majorHAnsi" w:hAnsiTheme="majorHAnsi"/>
            <w:b/>
            <w:noProof/>
            <w:sz w:val="20"/>
            <w:szCs w:val="20"/>
          </w:rPr>
          <w:t>B.</w:t>
        </w:r>
        <w:r w:rsidR="00B867B7" w:rsidRPr="009B234A">
          <w:rPr>
            <w:rStyle w:val="Hyperlink"/>
            <w:rFonts w:asciiTheme="majorHAnsi" w:hAnsiTheme="majorHAnsi"/>
            <w:b/>
            <w:sz w:val="20"/>
            <w:szCs w:val="20"/>
          </w:rPr>
          <w:tab/>
        </w:r>
        <w:r w:rsidR="00B867B7" w:rsidRPr="009B234A">
          <w:rPr>
            <w:rStyle w:val="Hyperlink"/>
            <w:rFonts w:asciiTheme="majorHAnsi" w:hAnsiTheme="majorHAnsi"/>
            <w:b/>
            <w:noProof/>
            <w:sz w:val="20"/>
            <w:szCs w:val="20"/>
          </w:rPr>
          <w:t>RECURSO DE AMPARO Y PROCESO DE EJECUCIÓN DE SENTENCIA</w:t>
        </w:r>
        <w:r w:rsidR="00B867B7" w:rsidRPr="009B234A">
          <w:rPr>
            <w:rStyle w:val="Hyperlink"/>
            <w:rFonts w:asciiTheme="majorHAnsi" w:hAnsiTheme="majorHAnsi"/>
            <w:b/>
            <w:webHidden/>
            <w:sz w:val="20"/>
            <w:szCs w:val="20"/>
          </w:rPr>
          <w:tab/>
          <w:t>……..</w:t>
        </w:r>
        <w:r w:rsidR="00B867B7" w:rsidRPr="009B234A">
          <w:rPr>
            <w:rStyle w:val="Hyperlink"/>
            <w:rFonts w:asciiTheme="majorHAnsi" w:hAnsiTheme="majorHAnsi"/>
            <w:b/>
            <w:webHidden/>
            <w:sz w:val="20"/>
            <w:szCs w:val="20"/>
          </w:rPr>
          <w:fldChar w:fldCharType="begin"/>
        </w:r>
        <w:r w:rsidR="00B867B7" w:rsidRPr="009B234A">
          <w:rPr>
            <w:rStyle w:val="Hyperlink"/>
            <w:rFonts w:asciiTheme="majorHAnsi" w:hAnsiTheme="majorHAnsi"/>
            <w:b/>
            <w:webHidden/>
            <w:sz w:val="20"/>
            <w:szCs w:val="20"/>
          </w:rPr>
          <w:instrText xml:space="preserve"> PAGEREF _Toc21421512 \h </w:instrText>
        </w:r>
        <w:r w:rsidR="00B867B7" w:rsidRPr="009B234A">
          <w:rPr>
            <w:rStyle w:val="Hyperlink"/>
            <w:rFonts w:asciiTheme="majorHAnsi" w:hAnsiTheme="majorHAnsi"/>
            <w:b/>
            <w:webHidden/>
            <w:sz w:val="20"/>
            <w:szCs w:val="20"/>
          </w:rPr>
        </w:r>
        <w:r w:rsidR="00B867B7" w:rsidRPr="009B234A">
          <w:rPr>
            <w:rStyle w:val="Hyperlink"/>
            <w:rFonts w:asciiTheme="majorHAnsi" w:hAnsiTheme="majorHAnsi"/>
            <w:b/>
            <w:webHidden/>
            <w:sz w:val="20"/>
            <w:szCs w:val="20"/>
          </w:rPr>
          <w:fldChar w:fldCharType="separate"/>
        </w:r>
        <w:r>
          <w:rPr>
            <w:rStyle w:val="Hyperlink"/>
            <w:rFonts w:asciiTheme="majorHAnsi" w:hAnsiTheme="majorHAnsi"/>
            <w:b/>
            <w:noProof/>
            <w:webHidden/>
            <w:sz w:val="20"/>
            <w:szCs w:val="20"/>
          </w:rPr>
          <w:t>5</w:t>
        </w:r>
        <w:r w:rsidR="00B867B7" w:rsidRPr="009B234A">
          <w:rPr>
            <w:rStyle w:val="Hyperlink"/>
            <w:rFonts w:asciiTheme="majorHAnsi" w:hAnsiTheme="majorHAnsi"/>
            <w:b/>
            <w:webHidden/>
            <w:sz w:val="20"/>
            <w:szCs w:val="20"/>
          </w:rPr>
          <w:fldChar w:fldCharType="end"/>
        </w:r>
      </w:hyperlink>
    </w:p>
    <w:p w14:paraId="3B910BD8" w14:textId="59A04AA2" w:rsidR="00B867B7" w:rsidRPr="00F15066" w:rsidRDefault="00C40029" w:rsidP="009B234A">
      <w:pPr>
        <w:pStyle w:val="TOC1"/>
        <w:rPr>
          <w:rStyle w:val="Hyperlink"/>
          <w:rFonts w:asciiTheme="majorHAnsi" w:hAnsiTheme="majorHAnsi"/>
          <w:b/>
          <w:sz w:val="20"/>
          <w:szCs w:val="20"/>
        </w:rPr>
      </w:pPr>
      <w:hyperlink w:anchor="_Toc21421513" w:history="1">
        <w:r w:rsidR="00B867B7" w:rsidRPr="00F15066">
          <w:rPr>
            <w:rStyle w:val="Hyperlink"/>
            <w:rFonts w:asciiTheme="majorHAnsi" w:hAnsiTheme="majorHAnsi"/>
            <w:b/>
            <w:noProof/>
            <w:sz w:val="20"/>
            <w:szCs w:val="20"/>
          </w:rPr>
          <w:t>C.</w:t>
        </w:r>
        <w:r w:rsidR="00B867B7" w:rsidRPr="00F15066">
          <w:rPr>
            <w:rStyle w:val="Hyperlink"/>
            <w:rFonts w:asciiTheme="majorHAnsi" w:hAnsiTheme="majorHAnsi"/>
            <w:b/>
            <w:sz w:val="20"/>
            <w:szCs w:val="20"/>
          </w:rPr>
          <w:tab/>
        </w:r>
        <w:r w:rsidR="00B867B7" w:rsidRPr="00F15066">
          <w:rPr>
            <w:rStyle w:val="Hyperlink"/>
            <w:rFonts w:asciiTheme="majorHAnsi" w:hAnsiTheme="majorHAnsi"/>
            <w:b/>
            <w:noProof/>
            <w:sz w:val="20"/>
            <w:szCs w:val="20"/>
          </w:rPr>
          <w:t>DEMANDA DE EJECUCIÓN DE RESOLUCIÓN JUDICIAL EN FIRME EN EL FUERO LABORAL</w:t>
        </w:r>
        <w:r w:rsidR="00B867B7" w:rsidRPr="00F15066">
          <w:rPr>
            <w:rStyle w:val="Hyperlink"/>
            <w:rFonts w:asciiTheme="majorHAnsi" w:hAnsiTheme="majorHAnsi"/>
            <w:b/>
            <w:webHidden/>
            <w:sz w:val="20"/>
            <w:szCs w:val="20"/>
          </w:rPr>
          <w:tab/>
          <w:t>………</w:t>
        </w:r>
        <w:r w:rsidR="00B867B7" w:rsidRPr="00F15066">
          <w:rPr>
            <w:rStyle w:val="Hyperlink"/>
            <w:rFonts w:asciiTheme="majorHAnsi" w:hAnsiTheme="majorHAnsi"/>
            <w:b/>
            <w:webHidden/>
            <w:sz w:val="20"/>
            <w:szCs w:val="20"/>
          </w:rPr>
          <w:fldChar w:fldCharType="begin"/>
        </w:r>
        <w:r w:rsidR="00B867B7" w:rsidRPr="00F15066">
          <w:rPr>
            <w:rStyle w:val="Hyperlink"/>
            <w:rFonts w:asciiTheme="majorHAnsi" w:hAnsiTheme="majorHAnsi"/>
            <w:b/>
            <w:webHidden/>
            <w:sz w:val="20"/>
            <w:szCs w:val="20"/>
          </w:rPr>
          <w:instrText xml:space="preserve"> PAGEREF _Toc21421513 \h </w:instrText>
        </w:r>
        <w:r w:rsidR="00B867B7" w:rsidRPr="00F15066">
          <w:rPr>
            <w:rStyle w:val="Hyperlink"/>
            <w:rFonts w:asciiTheme="majorHAnsi" w:hAnsiTheme="majorHAnsi"/>
            <w:b/>
            <w:webHidden/>
            <w:sz w:val="20"/>
            <w:szCs w:val="20"/>
          </w:rPr>
        </w:r>
        <w:r w:rsidR="00B867B7" w:rsidRPr="00F15066">
          <w:rPr>
            <w:rStyle w:val="Hyperlink"/>
            <w:rFonts w:asciiTheme="majorHAnsi" w:hAnsiTheme="majorHAnsi"/>
            <w:b/>
            <w:webHidden/>
            <w:sz w:val="20"/>
            <w:szCs w:val="20"/>
          </w:rPr>
          <w:fldChar w:fldCharType="separate"/>
        </w:r>
        <w:r>
          <w:rPr>
            <w:rStyle w:val="Hyperlink"/>
            <w:rFonts w:asciiTheme="majorHAnsi" w:hAnsiTheme="majorHAnsi"/>
            <w:b/>
            <w:noProof/>
            <w:webHidden/>
            <w:sz w:val="20"/>
            <w:szCs w:val="20"/>
          </w:rPr>
          <w:t>9</w:t>
        </w:r>
        <w:r w:rsidR="00B867B7" w:rsidRPr="00F15066">
          <w:rPr>
            <w:rStyle w:val="Hyperlink"/>
            <w:rFonts w:asciiTheme="majorHAnsi" w:hAnsiTheme="majorHAnsi"/>
            <w:b/>
            <w:webHidden/>
            <w:sz w:val="20"/>
            <w:szCs w:val="20"/>
          </w:rPr>
          <w:fldChar w:fldCharType="end"/>
        </w:r>
      </w:hyperlink>
    </w:p>
    <w:p w14:paraId="4680300A" w14:textId="68023966" w:rsidR="00B867B7" w:rsidRPr="00F15066" w:rsidRDefault="00C40029" w:rsidP="009B234A">
      <w:pPr>
        <w:pStyle w:val="TOC1"/>
        <w:rPr>
          <w:rStyle w:val="Hyperlink"/>
          <w:rFonts w:asciiTheme="majorHAnsi" w:hAnsiTheme="majorHAnsi"/>
          <w:b/>
          <w:sz w:val="20"/>
          <w:szCs w:val="20"/>
        </w:rPr>
      </w:pPr>
      <w:hyperlink w:anchor="_Toc21421514" w:history="1">
        <w:r w:rsidR="00B867B7" w:rsidRPr="00F15066">
          <w:rPr>
            <w:rStyle w:val="Hyperlink"/>
            <w:rFonts w:asciiTheme="majorHAnsi" w:hAnsiTheme="majorHAnsi"/>
            <w:b/>
            <w:noProof/>
            <w:sz w:val="20"/>
            <w:szCs w:val="20"/>
          </w:rPr>
          <w:t>D.</w:t>
        </w:r>
        <w:r w:rsidR="00B867B7" w:rsidRPr="00F15066">
          <w:rPr>
            <w:rStyle w:val="Hyperlink"/>
            <w:rFonts w:asciiTheme="majorHAnsi" w:hAnsiTheme="majorHAnsi"/>
            <w:b/>
            <w:sz w:val="20"/>
            <w:szCs w:val="20"/>
          </w:rPr>
          <w:tab/>
        </w:r>
        <w:r w:rsidR="00B867B7" w:rsidRPr="00F15066">
          <w:rPr>
            <w:rStyle w:val="Hyperlink"/>
            <w:rFonts w:asciiTheme="majorHAnsi" w:hAnsiTheme="majorHAnsi"/>
            <w:b/>
            <w:noProof/>
            <w:sz w:val="20"/>
            <w:szCs w:val="20"/>
          </w:rPr>
          <w:t>OTRAS VÍAS INTENTADAS POR LOS PETICIONARIOS</w:t>
        </w:r>
        <w:r w:rsidR="00B867B7" w:rsidRPr="00F15066">
          <w:rPr>
            <w:rStyle w:val="Hyperlink"/>
            <w:rFonts w:asciiTheme="majorHAnsi" w:hAnsiTheme="majorHAnsi"/>
            <w:b/>
            <w:webHidden/>
            <w:sz w:val="20"/>
            <w:szCs w:val="20"/>
          </w:rPr>
          <w:tab/>
        </w:r>
        <w:r w:rsidR="00B867B7" w:rsidRPr="00F15066">
          <w:rPr>
            <w:rStyle w:val="Hyperlink"/>
            <w:rFonts w:asciiTheme="majorHAnsi" w:hAnsiTheme="majorHAnsi"/>
            <w:b/>
            <w:webHidden/>
            <w:sz w:val="20"/>
            <w:szCs w:val="20"/>
          </w:rPr>
          <w:fldChar w:fldCharType="begin"/>
        </w:r>
        <w:r w:rsidR="00B867B7" w:rsidRPr="00F15066">
          <w:rPr>
            <w:rStyle w:val="Hyperlink"/>
            <w:rFonts w:asciiTheme="majorHAnsi" w:hAnsiTheme="majorHAnsi"/>
            <w:b/>
            <w:webHidden/>
            <w:sz w:val="20"/>
            <w:szCs w:val="20"/>
          </w:rPr>
          <w:instrText xml:space="preserve"> PAGEREF _Toc21421514 \h </w:instrText>
        </w:r>
        <w:r w:rsidR="00B867B7" w:rsidRPr="00F15066">
          <w:rPr>
            <w:rStyle w:val="Hyperlink"/>
            <w:rFonts w:asciiTheme="majorHAnsi" w:hAnsiTheme="majorHAnsi"/>
            <w:b/>
            <w:webHidden/>
            <w:sz w:val="20"/>
            <w:szCs w:val="20"/>
          </w:rPr>
        </w:r>
        <w:r w:rsidR="00B867B7" w:rsidRPr="00F15066">
          <w:rPr>
            <w:rStyle w:val="Hyperlink"/>
            <w:rFonts w:asciiTheme="majorHAnsi" w:hAnsiTheme="majorHAnsi"/>
            <w:b/>
            <w:webHidden/>
            <w:sz w:val="20"/>
            <w:szCs w:val="20"/>
          </w:rPr>
          <w:fldChar w:fldCharType="separate"/>
        </w:r>
        <w:r>
          <w:rPr>
            <w:rStyle w:val="Hyperlink"/>
            <w:rFonts w:asciiTheme="majorHAnsi" w:hAnsiTheme="majorHAnsi"/>
            <w:b/>
            <w:noProof/>
            <w:webHidden/>
            <w:sz w:val="20"/>
            <w:szCs w:val="20"/>
          </w:rPr>
          <w:t>10</w:t>
        </w:r>
        <w:r w:rsidR="00B867B7" w:rsidRPr="00F15066">
          <w:rPr>
            <w:rStyle w:val="Hyperlink"/>
            <w:rFonts w:asciiTheme="majorHAnsi" w:hAnsiTheme="majorHAnsi"/>
            <w:b/>
            <w:webHidden/>
            <w:sz w:val="20"/>
            <w:szCs w:val="20"/>
          </w:rPr>
          <w:fldChar w:fldCharType="end"/>
        </w:r>
      </w:hyperlink>
    </w:p>
    <w:p w14:paraId="3EBFCFEB" w14:textId="799A1794" w:rsidR="00B867B7" w:rsidRPr="00F15066" w:rsidRDefault="00C40029" w:rsidP="009B234A">
      <w:pPr>
        <w:pStyle w:val="TOC1"/>
        <w:rPr>
          <w:rFonts w:eastAsiaTheme="minorEastAsia" w:cstheme="minorBidi"/>
          <w:noProof/>
          <w:bdr w:val="none" w:sz="0" w:space="0" w:color="auto"/>
          <w:lang w:val="en-US"/>
        </w:rPr>
      </w:pPr>
      <w:hyperlink w:anchor="_Toc21421515" w:history="1">
        <w:r w:rsidR="00B867B7" w:rsidRPr="00F15066">
          <w:rPr>
            <w:rStyle w:val="Hyperlink"/>
            <w:rFonts w:asciiTheme="majorHAnsi" w:hAnsiTheme="majorHAnsi"/>
            <w:b/>
            <w:noProof/>
            <w:sz w:val="20"/>
            <w:szCs w:val="20"/>
          </w:rPr>
          <w:t>IV.</w:t>
        </w:r>
        <w:r w:rsidR="00B867B7" w:rsidRPr="00F15066">
          <w:rPr>
            <w:rFonts w:eastAsiaTheme="minorEastAsia" w:cstheme="minorBidi"/>
            <w:noProof/>
            <w:bdr w:val="none" w:sz="0" w:space="0" w:color="auto"/>
            <w:lang w:val="en-US"/>
          </w:rPr>
          <w:tab/>
        </w:r>
        <w:r w:rsidR="00B867B7" w:rsidRPr="00F15066">
          <w:rPr>
            <w:rStyle w:val="Hyperlink"/>
            <w:rFonts w:asciiTheme="majorHAnsi" w:hAnsiTheme="majorHAnsi"/>
            <w:b/>
            <w:noProof/>
            <w:sz w:val="20"/>
            <w:szCs w:val="20"/>
          </w:rPr>
          <w:t>ANÁLISIS DE DERECHO</w:t>
        </w:r>
        <w:r w:rsidR="00B867B7" w:rsidRPr="00F15066">
          <w:rPr>
            <w:noProof/>
            <w:webHidden/>
          </w:rPr>
          <w:tab/>
        </w:r>
        <w:r w:rsidR="00B867B7" w:rsidRPr="009B234A">
          <w:rPr>
            <w:rFonts w:asciiTheme="majorHAnsi" w:hAnsiTheme="majorHAnsi"/>
            <w:b/>
            <w:noProof/>
            <w:webHidden/>
            <w:sz w:val="20"/>
            <w:szCs w:val="20"/>
          </w:rPr>
          <w:fldChar w:fldCharType="begin"/>
        </w:r>
        <w:r w:rsidR="00B867B7" w:rsidRPr="009B234A">
          <w:rPr>
            <w:rFonts w:asciiTheme="majorHAnsi" w:hAnsiTheme="majorHAnsi"/>
            <w:b/>
            <w:noProof/>
            <w:webHidden/>
            <w:sz w:val="20"/>
            <w:szCs w:val="20"/>
          </w:rPr>
          <w:instrText xml:space="preserve"> PAGEREF _Toc21421515 \h </w:instrText>
        </w:r>
        <w:r w:rsidR="00B867B7" w:rsidRPr="009B234A">
          <w:rPr>
            <w:rFonts w:asciiTheme="majorHAnsi" w:hAnsiTheme="majorHAnsi"/>
            <w:b/>
            <w:noProof/>
            <w:webHidden/>
            <w:sz w:val="20"/>
            <w:szCs w:val="20"/>
          </w:rPr>
        </w:r>
        <w:r w:rsidR="00B867B7" w:rsidRPr="009B234A">
          <w:rPr>
            <w:rFonts w:asciiTheme="majorHAnsi" w:hAnsiTheme="majorHAnsi"/>
            <w:b/>
            <w:noProof/>
            <w:webHidden/>
            <w:sz w:val="20"/>
            <w:szCs w:val="20"/>
          </w:rPr>
          <w:fldChar w:fldCharType="separate"/>
        </w:r>
        <w:r>
          <w:rPr>
            <w:rFonts w:asciiTheme="majorHAnsi" w:hAnsiTheme="majorHAnsi"/>
            <w:b/>
            <w:noProof/>
            <w:webHidden/>
            <w:sz w:val="20"/>
            <w:szCs w:val="20"/>
          </w:rPr>
          <w:t>10</w:t>
        </w:r>
        <w:r w:rsidR="00B867B7" w:rsidRPr="009B234A">
          <w:rPr>
            <w:rFonts w:asciiTheme="majorHAnsi" w:hAnsiTheme="majorHAnsi"/>
            <w:b/>
            <w:noProof/>
            <w:webHidden/>
            <w:sz w:val="20"/>
            <w:szCs w:val="20"/>
          </w:rPr>
          <w:fldChar w:fldCharType="end"/>
        </w:r>
      </w:hyperlink>
    </w:p>
    <w:p w14:paraId="5F982D81" w14:textId="16B8172B" w:rsidR="00B867B7" w:rsidRPr="00F15066" w:rsidRDefault="00C40029" w:rsidP="009B234A">
      <w:pPr>
        <w:pStyle w:val="TOC1"/>
        <w:rPr>
          <w:rStyle w:val="Hyperlink"/>
          <w:rFonts w:asciiTheme="majorHAnsi" w:hAnsiTheme="majorHAnsi"/>
          <w:b/>
          <w:sz w:val="20"/>
          <w:szCs w:val="20"/>
        </w:rPr>
      </w:pPr>
      <w:hyperlink w:anchor="_Toc21421516" w:history="1">
        <w:r w:rsidR="00B867B7" w:rsidRPr="00F15066">
          <w:rPr>
            <w:rStyle w:val="Hyperlink"/>
            <w:rFonts w:asciiTheme="majorHAnsi" w:hAnsiTheme="majorHAnsi"/>
            <w:b/>
            <w:noProof/>
            <w:sz w:val="20"/>
            <w:szCs w:val="20"/>
          </w:rPr>
          <w:t>A.</w:t>
        </w:r>
        <w:r w:rsidR="00B867B7" w:rsidRPr="00F15066">
          <w:rPr>
            <w:rStyle w:val="Hyperlink"/>
            <w:rFonts w:asciiTheme="majorHAnsi" w:hAnsiTheme="majorHAnsi"/>
            <w:b/>
            <w:sz w:val="20"/>
            <w:szCs w:val="20"/>
          </w:rPr>
          <w:tab/>
        </w:r>
        <w:r w:rsidR="00B867B7" w:rsidRPr="00F15066">
          <w:rPr>
            <w:rStyle w:val="Hyperlink"/>
            <w:rFonts w:asciiTheme="majorHAnsi" w:hAnsiTheme="majorHAnsi"/>
            <w:b/>
            <w:noProof/>
            <w:sz w:val="20"/>
            <w:szCs w:val="20"/>
          </w:rPr>
          <w:t>Consideraciones previas</w:t>
        </w:r>
        <w:r w:rsidR="00B867B7" w:rsidRPr="00F15066">
          <w:rPr>
            <w:rStyle w:val="Hyperlink"/>
            <w:rFonts w:asciiTheme="majorHAnsi" w:hAnsiTheme="majorHAnsi"/>
            <w:b/>
            <w:webHidden/>
            <w:sz w:val="20"/>
            <w:szCs w:val="20"/>
          </w:rPr>
          <w:tab/>
        </w:r>
        <w:r w:rsidR="00B867B7" w:rsidRPr="00F15066">
          <w:rPr>
            <w:rStyle w:val="Hyperlink"/>
            <w:rFonts w:asciiTheme="majorHAnsi" w:hAnsiTheme="majorHAnsi"/>
            <w:b/>
            <w:webHidden/>
            <w:sz w:val="20"/>
            <w:szCs w:val="20"/>
          </w:rPr>
          <w:fldChar w:fldCharType="begin"/>
        </w:r>
        <w:r w:rsidR="00B867B7" w:rsidRPr="00F15066">
          <w:rPr>
            <w:rStyle w:val="Hyperlink"/>
            <w:rFonts w:asciiTheme="majorHAnsi" w:hAnsiTheme="majorHAnsi"/>
            <w:b/>
            <w:webHidden/>
            <w:sz w:val="20"/>
            <w:szCs w:val="20"/>
          </w:rPr>
          <w:instrText xml:space="preserve"> PAGEREF _Toc21421516 \h </w:instrText>
        </w:r>
        <w:r w:rsidR="00B867B7" w:rsidRPr="00F15066">
          <w:rPr>
            <w:rStyle w:val="Hyperlink"/>
            <w:rFonts w:asciiTheme="majorHAnsi" w:hAnsiTheme="majorHAnsi"/>
            <w:b/>
            <w:webHidden/>
            <w:sz w:val="20"/>
            <w:szCs w:val="20"/>
          </w:rPr>
        </w:r>
        <w:r w:rsidR="00B867B7" w:rsidRPr="00F15066">
          <w:rPr>
            <w:rStyle w:val="Hyperlink"/>
            <w:rFonts w:asciiTheme="majorHAnsi" w:hAnsiTheme="majorHAnsi"/>
            <w:b/>
            <w:webHidden/>
            <w:sz w:val="20"/>
            <w:szCs w:val="20"/>
          </w:rPr>
          <w:fldChar w:fldCharType="separate"/>
        </w:r>
        <w:r>
          <w:rPr>
            <w:rStyle w:val="Hyperlink"/>
            <w:rFonts w:asciiTheme="majorHAnsi" w:hAnsiTheme="majorHAnsi"/>
            <w:b/>
            <w:noProof/>
            <w:webHidden/>
            <w:sz w:val="20"/>
            <w:szCs w:val="20"/>
          </w:rPr>
          <w:t>10</w:t>
        </w:r>
        <w:r w:rsidR="00B867B7" w:rsidRPr="00F15066">
          <w:rPr>
            <w:rStyle w:val="Hyperlink"/>
            <w:rFonts w:asciiTheme="majorHAnsi" w:hAnsiTheme="majorHAnsi"/>
            <w:b/>
            <w:webHidden/>
            <w:sz w:val="20"/>
            <w:szCs w:val="20"/>
          </w:rPr>
          <w:fldChar w:fldCharType="end"/>
        </w:r>
      </w:hyperlink>
    </w:p>
    <w:p w14:paraId="6C16A479" w14:textId="34B9C635" w:rsidR="00B867B7" w:rsidRPr="00F15066" w:rsidRDefault="00C40029" w:rsidP="009B234A">
      <w:pPr>
        <w:pStyle w:val="TOC1"/>
        <w:rPr>
          <w:rStyle w:val="Hyperlink"/>
          <w:rFonts w:asciiTheme="majorHAnsi" w:hAnsiTheme="majorHAnsi"/>
          <w:b/>
          <w:sz w:val="20"/>
          <w:szCs w:val="20"/>
        </w:rPr>
      </w:pPr>
      <w:hyperlink w:anchor="_Toc21421517" w:history="1">
        <w:r w:rsidR="00B867B7" w:rsidRPr="00F15066">
          <w:rPr>
            <w:rStyle w:val="Hyperlink"/>
            <w:rFonts w:asciiTheme="majorHAnsi" w:hAnsiTheme="majorHAnsi"/>
            <w:b/>
            <w:noProof/>
            <w:sz w:val="20"/>
            <w:szCs w:val="20"/>
          </w:rPr>
          <w:t>B.</w:t>
        </w:r>
        <w:r w:rsidR="00B867B7" w:rsidRPr="00F15066">
          <w:rPr>
            <w:rStyle w:val="Hyperlink"/>
            <w:rFonts w:asciiTheme="majorHAnsi" w:hAnsiTheme="majorHAnsi"/>
            <w:b/>
            <w:sz w:val="20"/>
            <w:szCs w:val="20"/>
          </w:rPr>
          <w:tab/>
        </w:r>
        <w:r w:rsidR="00B867B7" w:rsidRPr="00F15066">
          <w:rPr>
            <w:rStyle w:val="Hyperlink"/>
            <w:rFonts w:asciiTheme="majorHAnsi" w:hAnsiTheme="majorHAnsi"/>
            <w:b/>
            <w:noProof/>
            <w:sz w:val="20"/>
            <w:szCs w:val="20"/>
          </w:rPr>
          <w:t>Derechos a las garantías judiciales, propiedad privada, protección judicial y negociación colectiva (artículos 8.1, 21.1 y 25.2.c) de la Convención Americana, en relación con los artículos 1.1 y 2 del mismo instrumento)</w:t>
        </w:r>
        <w:r w:rsidR="00B867B7" w:rsidRPr="00F15066">
          <w:rPr>
            <w:rStyle w:val="Hyperlink"/>
            <w:rFonts w:asciiTheme="majorHAnsi" w:hAnsiTheme="majorHAnsi"/>
            <w:b/>
            <w:webHidden/>
            <w:sz w:val="20"/>
            <w:szCs w:val="20"/>
          </w:rPr>
          <w:tab/>
        </w:r>
        <w:r w:rsidR="00B867B7" w:rsidRPr="00F15066">
          <w:rPr>
            <w:rStyle w:val="Hyperlink"/>
            <w:rFonts w:asciiTheme="majorHAnsi" w:hAnsiTheme="majorHAnsi"/>
            <w:b/>
            <w:webHidden/>
            <w:sz w:val="20"/>
            <w:szCs w:val="20"/>
          </w:rPr>
          <w:fldChar w:fldCharType="begin"/>
        </w:r>
        <w:r w:rsidR="00B867B7" w:rsidRPr="00F15066">
          <w:rPr>
            <w:rStyle w:val="Hyperlink"/>
            <w:rFonts w:asciiTheme="majorHAnsi" w:hAnsiTheme="majorHAnsi"/>
            <w:b/>
            <w:webHidden/>
            <w:sz w:val="20"/>
            <w:szCs w:val="20"/>
          </w:rPr>
          <w:instrText xml:space="preserve"> PAGEREF _Toc21421517 \h </w:instrText>
        </w:r>
        <w:r w:rsidR="00B867B7" w:rsidRPr="00F15066">
          <w:rPr>
            <w:rStyle w:val="Hyperlink"/>
            <w:rFonts w:asciiTheme="majorHAnsi" w:hAnsiTheme="majorHAnsi"/>
            <w:b/>
            <w:webHidden/>
            <w:sz w:val="20"/>
            <w:szCs w:val="20"/>
          </w:rPr>
        </w:r>
        <w:r w:rsidR="00B867B7" w:rsidRPr="00F15066">
          <w:rPr>
            <w:rStyle w:val="Hyperlink"/>
            <w:rFonts w:asciiTheme="majorHAnsi" w:hAnsiTheme="majorHAnsi"/>
            <w:b/>
            <w:webHidden/>
            <w:sz w:val="20"/>
            <w:szCs w:val="20"/>
          </w:rPr>
          <w:fldChar w:fldCharType="separate"/>
        </w:r>
        <w:r>
          <w:rPr>
            <w:rStyle w:val="Hyperlink"/>
            <w:rFonts w:asciiTheme="majorHAnsi" w:hAnsiTheme="majorHAnsi"/>
            <w:b/>
            <w:noProof/>
            <w:webHidden/>
            <w:sz w:val="20"/>
            <w:szCs w:val="20"/>
          </w:rPr>
          <w:t>11</w:t>
        </w:r>
        <w:r w:rsidR="00B867B7" w:rsidRPr="00F15066">
          <w:rPr>
            <w:rStyle w:val="Hyperlink"/>
            <w:rFonts w:asciiTheme="majorHAnsi" w:hAnsiTheme="majorHAnsi"/>
            <w:b/>
            <w:webHidden/>
            <w:sz w:val="20"/>
            <w:szCs w:val="20"/>
          </w:rPr>
          <w:fldChar w:fldCharType="end"/>
        </w:r>
      </w:hyperlink>
    </w:p>
    <w:p w14:paraId="3BB0A467" w14:textId="4CC256CC" w:rsidR="00B867B7" w:rsidRPr="00F15066" w:rsidRDefault="00C40029" w:rsidP="009B234A">
      <w:pPr>
        <w:pStyle w:val="TOC1"/>
        <w:jc w:val="both"/>
        <w:rPr>
          <w:rStyle w:val="Hyperlink"/>
          <w:rFonts w:asciiTheme="majorHAnsi" w:hAnsiTheme="majorHAnsi"/>
          <w:b/>
          <w:sz w:val="20"/>
          <w:szCs w:val="20"/>
        </w:rPr>
      </w:pPr>
      <w:hyperlink w:anchor="_Toc21421518" w:history="1">
        <w:r w:rsidR="00B867B7" w:rsidRPr="00F15066">
          <w:rPr>
            <w:rStyle w:val="Hyperlink"/>
            <w:rFonts w:asciiTheme="majorHAnsi" w:hAnsiTheme="majorHAnsi"/>
            <w:b/>
            <w:noProof/>
            <w:sz w:val="20"/>
            <w:szCs w:val="20"/>
          </w:rPr>
          <w:t xml:space="preserve">1. </w:t>
        </w:r>
        <w:r w:rsidR="00B867B7" w:rsidRPr="00F15066">
          <w:rPr>
            <w:rStyle w:val="Hyperlink"/>
            <w:rFonts w:asciiTheme="majorHAnsi" w:hAnsiTheme="majorHAnsi"/>
            <w:b/>
            <w:sz w:val="20"/>
            <w:szCs w:val="20"/>
          </w:rPr>
          <w:tab/>
        </w:r>
        <w:r w:rsidR="00B867B7" w:rsidRPr="00F15066">
          <w:rPr>
            <w:rStyle w:val="Hyperlink"/>
            <w:rFonts w:asciiTheme="majorHAnsi" w:hAnsiTheme="majorHAnsi"/>
            <w:b/>
            <w:noProof/>
            <w:sz w:val="20"/>
            <w:szCs w:val="20"/>
          </w:rPr>
          <w:t>Consideraciones generales sobre la tutela judicial efectiva y el cumplimiento de los fallos internos………………………………………………………………………………………………………………………..</w:t>
        </w:r>
        <w:r w:rsidR="00B867B7" w:rsidRPr="00F15066">
          <w:rPr>
            <w:rStyle w:val="Hyperlink"/>
            <w:rFonts w:asciiTheme="majorHAnsi" w:hAnsiTheme="majorHAnsi"/>
            <w:b/>
            <w:webHidden/>
            <w:sz w:val="20"/>
            <w:szCs w:val="20"/>
          </w:rPr>
          <w:tab/>
        </w:r>
        <w:r w:rsidR="00B867B7" w:rsidRPr="00F15066">
          <w:rPr>
            <w:rStyle w:val="Hyperlink"/>
            <w:rFonts w:asciiTheme="majorHAnsi" w:hAnsiTheme="majorHAnsi"/>
            <w:b/>
            <w:webHidden/>
            <w:sz w:val="20"/>
            <w:szCs w:val="20"/>
          </w:rPr>
          <w:fldChar w:fldCharType="begin"/>
        </w:r>
        <w:r w:rsidR="00B867B7" w:rsidRPr="00F15066">
          <w:rPr>
            <w:rStyle w:val="Hyperlink"/>
            <w:rFonts w:asciiTheme="majorHAnsi" w:hAnsiTheme="majorHAnsi"/>
            <w:b/>
            <w:webHidden/>
            <w:sz w:val="20"/>
            <w:szCs w:val="20"/>
          </w:rPr>
          <w:instrText xml:space="preserve"> PAGEREF _Toc21421518 \h </w:instrText>
        </w:r>
        <w:r w:rsidR="00B867B7" w:rsidRPr="00F15066">
          <w:rPr>
            <w:rStyle w:val="Hyperlink"/>
            <w:rFonts w:asciiTheme="majorHAnsi" w:hAnsiTheme="majorHAnsi"/>
            <w:b/>
            <w:webHidden/>
            <w:sz w:val="20"/>
            <w:szCs w:val="20"/>
          </w:rPr>
        </w:r>
        <w:r w:rsidR="00B867B7" w:rsidRPr="00F15066">
          <w:rPr>
            <w:rStyle w:val="Hyperlink"/>
            <w:rFonts w:asciiTheme="majorHAnsi" w:hAnsiTheme="majorHAnsi"/>
            <w:b/>
            <w:webHidden/>
            <w:sz w:val="20"/>
            <w:szCs w:val="20"/>
          </w:rPr>
          <w:fldChar w:fldCharType="separate"/>
        </w:r>
        <w:r>
          <w:rPr>
            <w:rStyle w:val="Hyperlink"/>
            <w:rFonts w:asciiTheme="majorHAnsi" w:hAnsiTheme="majorHAnsi"/>
            <w:b/>
            <w:noProof/>
            <w:webHidden/>
            <w:sz w:val="20"/>
            <w:szCs w:val="20"/>
          </w:rPr>
          <w:t>11</w:t>
        </w:r>
        <w:r w:rsidR="00B867B7" w:rsidRPr="00F15066">
          <w:rPr>
            <w:rStyle w:val="Hyperlink"/>
            <w:rFonts w:asciiTheme="majorHAnsi" w:hAnsiTheme="majorHAnsi"/>
            <w:b/>
            <w:webHidden/>
            <w:sz w:val="20"/>
            <w:szCs w:val="20"/>
          </w:rPr>
          <w:fldChar w:fldCharType="end"/>
        </w:r>
      </w:hyperlink>
    </w:p>
    <w:p w14:paraId="029FD338" w14:textId="5667E45E" w:rsidR="00B867B7" w:rsidRPr="00F15066" w:rsidRDefault="00C40029" w:rsidP="009B234A">
      <w:pPr>
        <w:pStyle w:val="TOC1"/>
        <w:rPr>
          <w:rStyle w:val="Hyperlink"/>
          <w:rFonts w:asciiTheme="majorHAnsi" w:hAnsiTheme="majorHAnsi"/>
          <w:b/>
          <w:sz w:val="20"/>
          <w:szCs w:val="20"/>
        </w:rPr>
      </w:pPr>
      <w:hyperlink w:anchor="_Toc21421519" w:history="1">
        <w:r w:rsidR="00B867B7" w:rsidRPr="00F15066">
          <w:rPr>
            <w:rStyle w:val="Hyperlink"/>
            <w:rFonts w:asciiTheme="majorHAnsi" w:hAnsiTheme="majorHAnsi"/>
            <w:b/>
            <w:noProof/>
            <w:sz w:val="20"/>
            <w:szCs w:val="20"/>
          </w:rPr>
          <w:t xml:space="preserve">2. </w:t>
        </w:r>
        <w:r w:rsidR="00B867B7" w:rsidRPr="00F15066">
          <w:rPr>
            <w:rStyle w:val="Hyperlink"/>
            <w:rFonts w:asciiTheme="majorHAnsi" w:hAnsiTheme="majorHAnsi"/>
            <w:b/>
            <w:sz w:val="20"/>
            <w:szCs w:val="20"/>
          </w:rPr>
          <w:tab/>
        </w:r>
        <w:r w:rsidR="00B867B7" w:rsidRPr="00F15066">
          <w:rPr>
            <w:rStyle w:val="Hyperlink"/>
            <w:rFonts w:asciiTheme="majorHAnsi" w:hAnsiTheme="majorHAnsi"/>
            <w:b/>
            <w:noProof/>
            <w:sz w:val="20"/>
            <w:szCs w:val="20"/>
          </w:rPr>
          <w:t>Información sobre la problemática de incumplimiento de fallos internos en Perú</w:t>
        </w:r>
        <w:r w:rsidR="00B867B7" w:rsidRPr="00F15066">
          <w:rPr>
            <w:rStyle w:val="Hyperlink"/>
            <w:rFonts w:asciiTheme="majorHAnsi" w:hAnsiTheme="majorHAnsi"/>
            <w:b/>
            <w:webHidden/>
            <w:sz w:val="20"/>
            <w:szCs w:val="20"/>
          </w:rPr>
          <w:tab/>
        </w:r>
        <w:r w:rsidR="00B867B7" w:rsidRPr="00F15066">
          <w:rPr>
            <w:rStyle w:val="Hyperlink"/>
            <w:rFonts w:asciiTheme="majorHAnsi" w:hAnsiTheme="majorHAnsi"/>
            <w:b/>
            <w:webHidden/>
            <w:sz w:val="20"/>
            <w:szCs w:val="20"/>
          </w:rPr>
          <w:fldChar w:fldCharType="begin"/>
        </w:r>
        <w:r w:rsidR="00B867B7" w:rsidRPr="00F15066">
          <w:rPr>
            <w:rStyle w:val="Hyperlink"/>
            <w:rFonts w:asciiTheme="majorHAnsi" w:hAnsiTheme="majorHAnsi"/>
            <w:b/>
            <w:webHidden/>
            <w:sz w:val="20"/>
            <w:szCs w:val="20"/>
          </w:rPr>
          <w:instrText xml:space="preserve"> PAGEREF _Toc21421519 \h </w:instrText>
        </w:r>
        <w:r w:rsidR="00B867B7" w:rsidRPr="00F15066">
          <w:rPr>
            <w:rStyle w:val="Hyperlink"/>
            <w:rFonts w:asciiTheme="majorHAnsi" w:hAnsiTheme="majorHAnsi"/>
            <w:b/>
            <w:webHidden/>
            <w:sz w:val="20"/>
            <w:szCs w:val="20"/>
          </w:rPr>
        </w:r>
        <w:r w:rsidR="00B867B7" w:rsidRPr="00F15066">
          <w:rPr>
            <w:rStyle w:val="Hyperlink"/>
            <w:rFonts w:asciiTheme="majorHAnsi" w:hAnsiTheme="majorHAnsi"/>
            <w:b/>
            <w:webHidden/>
            <w:sz w:val="20"/>
            <w:szCs w:val="20"/>
          </w:rPr>
          <w:fldChar w:fldCharType="separate"/>
        </w:r>
        <w:r>
          <w:rPr>
            <w:rStyle w:val="Hyperlink"/>
            <w:rFonts w:asciiTheme="majorHAnsi" w:hAnsiTheme="majorHAnsi"/>
            <w:b/>
            <w:noProof/>
            <w:webHidden/>
            <w:sz w:val="20"/>
            <w:szCs w:val="20"/>
          </w:rPr>
          <w:t>12</w:t>
        </w:r>
        <w:r w:rsidR="00B867B7" w:rsidRPr="00F15066">
          <w:rPr>
            <w:rStyle w:val="Hyperlink"/>
            <w:rFonts w:asciiTheme="majorHAnsi" w:hAnsiTheme="majorHAnsi"/>
            <w:b/>
            <w:webHidden/>
            <w:sz w:val="20"/>
            <w:szCs w:val="20"/>
          </w:rPr>
          <w:fldChar w:fldCharType="end"/>
        </w:r>
      </w:hyperlink>
    </w:p>
    <w:p w14:paraId="4876CFFA" w14:textId="1BC8A229" w:rsidR="00B867B7" w:rsidRPr="00F15066" w:rsidRDefault="00C40029" w:rsidP="009B234A">
      <w:pPr>
        <w:pStyle w:val="TOC1"/>
        <w:rPr>
          <w:rStyle w:val="Hyperlink"/>
          <w:rFonts w:asciiTheme="majorHAnsi" w:hAnsiTheme="majorHAnsi"/>
          <w:b/>
          <w:sz w:val="20"/>
          <w:szCs w:val="20"/>
        </w:rPr>
      </w:pPr>
      <w:hyperlink w:anchor="_Toc21421520" w:history="1">
        <w:r w:rsidR="00B867B7" w:rsidRPr="00F15066">
          <w:rPr>
            <w:rStyle w:val="Hyperlink"/>
            <w:rFonts w:asciiTheme="majorHAnsi" w:hAnsiTheme="majorHAnsi"/>
            <w:b/>
            <w:noProof/>
            <w:sz w:val="20"/>
            <w:szCs w:val="20"/>
          </w:rPr>
          <w:t xml:space="preserve">3. </w:t>
        </w:r>
        <w:r w:rsidR="00B867B7" w:rsidRPr="00F15066">
          <w:rPr>
            <w:rStyle w:val="Hyperlink"/>
            <w:rFonts w:asciiTheme="majorHAnsi" w:hAnsiTheme="majorHAnsi"/>
            <w:b/>
            <w:sz w:val="20"/>
            <w:szCs w:val="20"/>
          </w:rPr>
          <w:tab/>
        </w:r>
        <w:r w:rsidR="00B867B7" w:rsidRPr="00F15066">
          <w:rPr>
            <w:rStyle w:val="Hyperlink"/>
            <w:rFonts w:asciiTheme="majorHAnsi" w:hAnsiTheme="majorHAnsi"/>
            <w:b/>
            <w:noProof/>
            <w:sz w:val="20"/>
            <w:szCs w:val="20"/>
          </w:rPr>
          <w:t>Análisis del caso concreto……………………………………………………………………………………….</w:t>
        </w:r>
        <w:r w:rsidR="00B867B7" w:rsidRPr="00F15066">
          <w:rPr>
            <w:rStyle w:val="Hyperlink"/>
            <w:rFonts w:asciiTheme="majorHAnsi" w:hAnsiTheme="majorHAnsi"/>
            <w:b/>
            <w:webHidden/>
            <w:sz w:val="20"/>
            <w:szCs w:val="20"/>
          </w:rPr>
          <w:tab/>
        </w:r>
        <w:r w:rsidR="00B867B7" w:rsidRPr="00F15066">
          <w:rPr>
            <w:rStyle w:val="Hyperlink"/>
            <w:rFonts w:asciiTheme="majorHAnsi" w:hAnsiTheme="majorHAnsi"/>
            <w:b/>
            <w:webHidden/>
            <w:sz w:val="20"/>
            <w:szCs w:val="20"/>
          </w:rPr>
          <w:fldChar w:fldCharType="begin"/>
        </w:r>
        <w:r w:rsidR="00B867B7" w:rsidRPr="00F15066">
          <w:rPr>
            <w:rStyle w:val="Hyperlink"/>
            <w:rFonts w:asciiTheme="majorHAnsi" w:hAnsiTheme="majorHAnsi"/>
            <w:b/>
            <w:webHidden/>
            <w:sz w:val="20"/>
            <w:szCs w:val="20"/>
          </w:rPr>
          <w:instrText xml:space="preserve"> PAGEREF _Toc21421520 \h </w:instrText>
        </w:r>
        <w:r w:rsidR="00B867B7" w:rsidRPr="00F15066">
          <w:rPr>
            <w:rStyle w:val="Hyperlink"/>
            <w:rFonts w:asciiTheme="majorHAnsi" w:hAnsiTheme="majorHAnsi"/>
            <w:b/>
            <w:webHidden/>
            <w:sz w:val="20"/>
            <w:szCs w:val="20"/>
          </w:rPr>
        </w:r>
        <w:r w:rsidR="00B867B7" w:rsidRPr="00F15066">
          <w:rPr>
            <w:rStyle w:val="Hyperlink"/>
            <w:rFonts w:asciiTheme="majorHAnsi" w:hAnsiTheme="majorHAnsi"/>
            <w:b/>
            <w:webHidden/>
            <w:sz w:val="20"/>
            <w:szCs w:val="20"/>
          </w:rPr>
          <w:fldChar w:fldCharType="separate"/>
        </w:r>
        <w:r>
          <w:rPr>
            <w:rStyle w:val="Hyperlink"/>
            <w:rFonts w:asciiTheme="majorHAnsi" w:hAnsiTheme="majorHAnsi"/>
            <w:b/>
            <w:noProof/>
            <w:webHidden/>
            <w:sz w:val="20"/>
            <w:szCs w:val="20"/>
          </w:rPr>
          <w:t>13</w:t>
        </w:r>
        <w:r w:rsidR="00B867B7" w:rsidRPr="00F15066">
          <w:rPr>
            <w:rStyle w:val="Hyperlink"/>
            <w:rFonts w:asciiTheme="majorHAnsi" w:hAnsiTheme="majorHAnsi"/>
            <w:b/>
            <w:webHidden/>
            <w:sz w:val="20"/>
            <w:szCs w:val="20"/>
          </w:rPr>
          <w:fldChar w:fldCharType="end"/>
        </w:r>
      </w:hyperlink>
    </w:p>
    <w:p w14:paraId="1115925A" w14:textId="0D21814C" w:rsidR="00B867B7" w:rsidRPr="00F15066" w:rsidRDefault="00C40029" w:rsidP="009B234A">
      <w:pPr>
        <w:pStyle w:val="TOC1"/>
        <w:rPr>
          <w:rStyle w:val="Hyperlink"/>
          <w:rFonts w:asciiTheme="majorHAnsi" w:hAnsiTheme="majorHAnsi"/>
          <w:b/>
          <w:sz w:val="20"/>
          <w:szCs w:val="20"/>
        </w:rPr>
      </w:pPr>
      <w:hyperlink w:anchor="_Toc21421521" w:history="1">
        <w:r w:rsidR="00B867B7" w:rsidRPr="00F15066">
          <w:rPr>
            <w:rStyle w:val="Hyperlink"/>
            <w:rFonts w:asciiTheme="majorHAnsi" w:hAnsiTheme="majorHAnsi"/>
            <w:b/>
            <w:noProof/>
            <w:sz w:val="20"/>
            <w:szCs w:val="20"/>
          </w:rPr>
          <w:t>4.</w:t>
        </w:r>
        <w:r w:rsidR="00B867B7" w:rsidRPr="00F15066">
          <w:rPr>
            <w:rStyle w:val="Hyperlink"/>
            <w:rFonts w:asciiTheme="majorHAnsi" w:hAnsiTheme="majorHAnsi"/>
            <w:b/>
            <w:sz w:val="20"/>
            <w:szCs w:val="20"/>
          </w:rPr>
          <w:tab/>
        </w:r>
        <w:r w:rsidR="00B867B7" w:rsidRPr="00F15066">
          <w:rPr>
            <w:rStyle w:val="Hyperlink"/>
            <w:rFonts w:asciiTheme="majorHAnsi" w:hAnsiTheme="majorHAnsi"/>
            <w:b/>
            <w:noProof/>
            <w:sz w:val="20"/>
            <w:szCs w:val="20"/>
          </w:rPr>
          <w:t>Plazo razonable en la ejecución de fallos internos…………………………………………………………</w:t>
        </w:r>
        <w:r w:rsidR="00B867B7" w:rsidRPr="00F15066">
          <w:rPr>
            <w:rStyle w:val="Hyperlink"/>
            <w:rFonts w:asciiTheme="majorHAnsi" w:hAnsiTheme="majorHAnsi"/>
            <w:b/>
            <w:webHidden/>
            <w:sz w:val="20"/>
            <w:szCs w:val="20"/>
          </w:rPr>
          <w:tab/>
        </w:r>
        <w:r w:rsidR="00B867B7" w:rsidRPr="00F15066">
          <w:rPr>
            <w:rStyle w:val="Hyperlink"/>
            <w:rFonts w:asciiTheme="majorHAnsi" w:hAnsiTheme="majorHAnsi"/>
            <w:b/>
            <w:webHidden/>
            <w:sz w:val="20"/>
            <w:szCs w:val="20"/>
          </w:rPr>
          <w:fldChar w:fldCharType="begin"/>
        </w:r>
        <w:r w:rsidR="00B867B7" w:rsidRPr="00F15066">
          <w:rPr>
            <w:rStyle w:val="Hyperlink"/>
            <w:rFonts w:asciiTheme="majorHAnsi" w:hAnsiTheme="majorHAnsi"/>
            <w:b/>
            <w:webHidden/>
            <w:sz w:val="20"/>
            <w:szCs w:val="20"/>
          </w:rPr>
          <w:instrText xml:space="preserve"> PAGEREF _Toc21421521 \h </w:instrText>
        </w:r>
        <w:r w:rsidR="00B867B7" w:rsidRPr="00F15066">
          <w:rPr>
            <w:rStyle w:val="Hyperlink"/>
            <w:rFonts w:asciiTheme="majorHAnsi" w:hAnsiTheme="majorHAnsi"/>
            <w:b/>
            <w:webHidden/>
            <w:sz w:val="20"/>
            <w:szCs w:val="20"/>
          </w:rPr>
        </w:r>
        <w:r w:rsidR="00B867B7" w:rsidRPr="00F15066">
          <w:rPr>
            <w:rStyle w:val="Hyperlink"/>
            <w:rFonts w:asciiTheme="majorHAnsi" w:hAnsiTheme="majorHAnsi"/>
            <w:b/>
            <w:webHidden/>
            <w:sz w:val="20"/>
            <w:szCs w:val="20"/>
          </w:rPr>
          <w:fldChar w:fldCharType="separate"/>
        </w:r>
        <w:r>
          <w:rPr>
            <w:rStyle w:val="Hyperlink"/>
            <w:rFonts w:asciiTheme="majorHAnsi" w:hAnsiTheme="majorHAnsi"/>
            <w:b/>
            <w:noProof/>
            <w:webHidden/>
            <w:sz w:val="20"/>
            <w:szCs w:val="20"/>
          </w:rPr>
          <w:t>14</w:t>
        </w:r>
        <w:r w:rsidR="00B867B7" w:rsidRPr="00F15066">
          <w:rPr>
            <w:rStyle w:val="Hyperlink"/>
            <w:rFonts w:asciiTheme="majorHAnsi" w:hAnsiTheme="majorHAnsi"/>
            <w:b/>
            <w:webHidden/>
            <w:sz w:val="20"/>
            <w:szCs w:val="20"/>
          </w:rPr>
          <w:fldChar w:fldCharType="end"/>
        </w:r>
      </w:hyperlink>
    </w:p>
    <w:p w14:paraId="039C39BA" w14:textId="50A34337" w:rsidR="00B867B7" w:rsidRPr="00F15066" w:rsidRDefault="00C40029" w:rsidP="009B234A">
      <w:pPr>
        <w:pStyle w:val="TOC1"/>
        <w:rPr>
          <w:rStyle w:val="Hyperlink"/>
          <w:rFonts w:asciiTheme="majorHAnsi" w:hAnsiTheme="majorHAnsi"/>
          <w:b/>
          <w:sz w:val="20"/>
          <w:szCs w:val="20"/>
        </w:rPr>
      </w:pPr>
      <w:hyperlink w:anchor="_Toc21421522" w:history="1">
        <w:r w:rsidR="00B867B7" w:rsidRPr="00F15066">
          <w:rPr>
            <w:rStyle w:val="Hyperlink"/>
            <w:rFonts w:asciiTheme="majorHAnsi" w:hAnsiTheme="majorHAnsi"/>
            <w:b/>
            <w:noProof/>
            <w:sz w:val="20"/>
            <w:szCs w:val="20"/>
          </w:rPr>
          <w:t>5.</w:t>
        </w:r>
        <w:r w:rsidR="00B867B7" w:rsidRPr="00F15066">
          <w:rPr>
            <w:rStyle w:val="Hyperlink"/>
            <w:rFonts w:asciiTheme="majorHAnsi" w:hAnsiTheme="majorHAnsi"/>
            <w:b/>
            <w:sz w:val="20"/>
            <w:szCs w:val="20"/>
          </w:rPr>
          <w:tab/>
        </w:r>
        <w:r w:rsidR="00B867B7" w:rsidRPr="00F15066">
          <w:rPr>
            <w:rStyle w:val="Hyperlink"/>
            <w:rFonts w:asciiTheme="majorHAnsi" w:hAnsiTheme="majorHAnsi"/>
            <w:b/>
            <w:noProof/>
            <w:sz w:val="20"/>
            <w:szCs w:val="20"/>
          </w:rPr>
          <w:t>El derecho a la negociación colectiva……………………………………………………………………</w:t>
        </w:r>
        <w:r w:rsidR="00B867B7" w:rsidRPr="00F15066">
          <w:rPr>
            <w:rStyle w:val="Hyperlink"/>
            <w:rFonts w:asciiTheme="majorHAnsi" w:hAnsiTheme="majorHAnsi"/>
            <w:b/>
            <w:webHidden/>
            <w:sz w:val="20"/>
            <w:szCs w:val="20"/>
          </w:rPr>
          <w:tab/>
        </w:r>
        <w:r w:rsidR="00B867B7" w:rsidRPr="00F15066">
          <w:rPr>
            <w:rStyle w:val="Hyperlink"/>
            <w:rFonts w:asciiTheme="majorHAnsi" w:hAnsiTheme="majorHAnsi"/>
            <w:b/>
            <w:webHidden/>
            <w:sz w:val="20"/>
            <w:szCs w:val="20"/>
          </w:rPr>
          <w:fldChar w:fldCharType="begin"/>
        </w:r>
        <w:r w:rsidR="00B867B7" w:rsidRPr="00F15066">
          <w:rPr>
            <w:rStyle w:val="Hyperlink"/>
            <w:rFonts w:asciiTheme="majorHAnsi" w:hAnsiTheme="majorHAnsi"/>
            <w:b/>
            <w:webHidden/>
            <w:sz w:val="20"/>
            <w:szCs w:val="20"/>
          </w:rPr>
          <w:instrText xml:space="preserve"> PAGEREF _Toc21421522 \h </w:instrText>
        </w:r>
        <w:r w:rsidR="00B867B7" w:rsidRPr="00F15066">
          <w:rPr>
            <w:rStyle w:val="Hyperlink"/>
            <w:rFonts w:asciiTheme="majorHAnsi" w:hAnsiTheme="majorHAnsi"/>
            <w:b/>
            <w:webHidden/>
            <w:sz w:val="20"/>
            <w:szCs w:val="20"/>
          </w:rPr>
        </w:r>
        <w:r w:rsidR="00B867B7" w:rsidRPr="00F15066">
          <w:rPr>
            <w:rStyle w:val="Hyperlink"/>
            <w:rFonts w:asciiTheme="majorHAnsi" w:hAnsiTheme="majorHAnsi"/>
            <w:b/>
            <w:webHidden/>
            <w:sz w:val="20"/>
            <w:szCs w:val="20"/>
          </w:rPr>
          <w:fldChar w:fldCharType="separate"/>
        </w:r>
        <w:r>
          <w:rPr>
            <w:rStyle w:val="Hyperlink"/>
            <w:rFonts w:asciiTheme="majorHAnsi" w:hAnsiTheme="majorHAnsi"/>
            <w:b/>
            <w:noProof/>
            <w:webHidden/>
            <w:sz w:val="20"/>
            <w:szCs w:val="20"/>
          </w:rPr>
          <w:t>15</w:t>
        </w:r>
        <w:r w:rsidR="00B867B7" w:rsidRPr="00F15066">
          <w:rPr>
            <w:rStyle w:val="Hyperlink"/>
            <w:rFonts w:asciiTheme="majorHAnsi" w:hAnsiTheme="majorHAnsi"/>
            <w:b/>
            <w:webHidden/>
            <w:sz w:val="20"/>
            <w:szCs w:val="20"/>
          </w:rPr>
          <w:fldChar w:fldCharType="end"/>
        </w:r>
      </w:hyperlink>
    </w:p>
    <w:p w14:paraId="1B5F3C6F" w14:textId="6A7E6D98" w:rsidR="00B867B7" w:rsidRPr="00F15066" w:rsidRDefault="00C40029" w:rsidP="009B234A">
      <w:pPr>
        <w:pStyle w:val="TOC3"/>
        <w:rPr>
          <w:rFonts w:eastAsiaTheme="minorEastAsia" w:cstheme="minorBidi"/>
          <w:noProof/>
          <w:bdr w:val="none" w:sz="0" w:space="0" w:color="auto"/>
          <w:lang w:val="en-US"/>
        </w:rPr>
      </w:pPr>
      <w:hyperlink w:anchor="_Toc21421523" w:history="1">
        <w:r w:rsidR="00B867B7" w:rsidRPr="00F15066">
          <w:rPr>
            <w:rStyle w:val="Hyperlink"/>
            <w:rFonts w:asciiTheme="majorHAnsi" w:hAnsiTheme="majorHAnsi"/>
            <w:b/>
            <w:noProof/>
            <w:sz w:val="20"/>
            <w:szCs w:val="20"/>
          </w:rPr>
          <w:t>6.</w:t>
        </w:r>
        <w:r w:rsidR="00B867B7" w:rsidRPr="00F15066">
          <w:rPr>
            <w:rStyle w:val="Hyperlink"/>
            <w:rFonts w:asciiTheme="majorHAnsi" w:hAnsiTheme="majorHAnsi"/>
            <w:b/>
            <w:sz w:val="20"/>
            <w:szCs w:val="20"/>
          </w:rPr>
          <w:tab/>
        </w:r>
        <w:r w:rsidR="00B867B7" w:rsidRPr="00F15066">
          <w:rPr>
            <w:rStyle w:val="Hyperlink"/>
            <w:rFonts w:asciiTheme="majorHAnsi" w:hAnsiTheme="majorHAnsi"/>
            <w:b/>
            <w:noProof/>
            <w:sz w:val="20"/>
            <w:szCs w:val="20"/>
          </w:rPr>
          <w:t>El derecho a la propiedad privada en relación con la falta de ejecución de fallos internos………………………………………………………………………………………………………………………</w:t>
        </w:r>
        <w:r w:rsidR="009B234A">
          <w:rPr>
            <w:rStyle w:val="Hyperlink"/>
            <w:rFonts w:asciiTheme="majorHAnsi" w:hAnsiTheme="majorHAnsi"/>
            <w:b/>
            <w:noProof/>
            <w:sz w:val="20"/>
            <w:szCs w:val="20"/>
          </w:rPr>
          <w:t>.</w:t>
        </w:r>
        <w:r w:rsidR="00B867B7" w:rsidRPr="00F15066">
          <w:rPr>
            <w:rStyle w:val="Hyperlink"/>
            <w:rFonts w:asciiTheme="majorHAnsi" w:hAnsiTheme="majorHAnsi"/>
            <w:b/>
            <w:noProof/>
            <w:sz w:val="20"/>
            <w:szCs w:val="20"/>
          </w:rPr>
          <w:t>…</w:t>
        </w:r>
        <w:r w:rsidR="009B234A">
          <w:rPr>
            <w:rStyle w:val="Hyperlink"/>
            <w:rFonts w:asciiTheme="majorHAnsi" w:hAnsiTheme="majorHAnsi"/>
            <w:b/>
            <w:noProof/>
            <w:sz w:val="20"/>
            <w:szCs w:val="20"/>
          </w:rPr>
          <w:t>…………</w:t>
        </w:r>
        <w:r w:rsidR="009B234A">
          <w:rPr>
            <w:rStyle w:val="Hyperlink"/>
            <w:rFonts w:asciiTheme="majorHAnsi" w:hAnsiTheme="majorHAnsi"/>
            <w:b/>
            <w:noProof/>
            <w:webHidden/>
            <w:sz w:val="20"/>
            <w:szCs w:val="20"/>
          </w:rPr>
          <w:t>…………….</w:t>
        </w:r>
        <w:r w:rsidR="00F15066" w:rsidRPr="00F15066">
          <w:rPr>
            <w:rStyle w:val="Hyperlink"/>
            <w:rFonts w:asciiTheme="majorHAnsi" w:hAnsiTheme="majorHAnsi"/>
            <w:b/>
            <w:noProof/>
            <w:webHidden/>
            <w:sz w:val="20"/>
            <w:szCs w:val="20"/>
          </w:rPr>
          <w:t xml:space="preserve">       </w:t>
        </w:r>
        <w:r w:rsidR="00B867B7" w:rsidRPr="00F15066">
          <w:rPr>
            <w:rStyle w:val="Hyperlink"/>
            <w:rFonts w:asciiTheme="majorHAnsi" w:hAnsiTheme="majorHAnsi"/>
            <w:b/>
            <w:noProof/>
            <w:webHidden/>
            <w:sz w:val="20"/>
            <w:szCs w:val="20"/>
          </w:rPr>
          <w:fldChar w:fldCharType="begin"/>
        </w:r>
        <w:r w:rsidR="00B867B7" w:rsidRPr="00F15066">
          <w:rPr>
            <w:rStyle w:val="Hyperlink"/>
            <w:rFonts w:asciiTheme="majorHAnsi" w:hAnsiTheme="majorHAnsi"/>
            <w:b/>
            <w:noProof/>
            <w:webHidden/>
            <w:sz w:val="20"/>
            <w:szCs w:val="20"/>
          </w:rPr>
          <w:instrText xml:space="preserve"> PAGEREF _Toc21421523 \h </w:instrText>
        </w:r>
        <w:r w:rsidR="00B867B7" w:rsidRPr="00F15066">
          <w:rPr>
            <w:rStyle w:val="Hyperlink"/>
            <w:rFonts w:asciiTheme="majorHAnsi" w:hAnsiTheme="majorHAnsi"/>
            <w:b/>
            <w:noProof/>
            <w:webHidden/>
            <w:sz w:val="20"/>
            <w:szCs w:val="20"/>
          </w:rPr>
        </w:r>
        <w:r w:rsidR="00B867B7" w:rsidRPr="00F15066">
          <w:rPr>
            <w:rStyle w:val="Hyperlink"/>
            <w:rFonts w:asciiTheme="majorHAnsi" w:hAnsiTheme="majorHAnsi"/>
            <w:b/>
            <w:noProof/>
            <w:webHidden/>
            <w:sz w:val="20"/>
            <w:szCs w:val="20"/>
          </w:rPr>
          <w:fldChar w:fldCharType="separate"/>
        </w:r>
        <w:r>
          <w:rPr>
            <w:rStyle w:val="Hyperlink"/>
            <w:rFonts w:asciiTheme="majorHAnsi" w:hAnsiTheme="majorHAnsi"/>
            <w:b/>
            <w:noProof/>
            <w:webHidden/>
            <w:sz w:val="20"/>
            <w:szCs w:val="20"/>
          </w:rPr>
          <w:t>18</w:t>
        </w:r>
        <w:r w:rsidR="00B867B7" w:rsidRPr="00F15066">
          <w:rPr>
            <w:rStyle w:val="Hyperlink"/>
            <w:rFonts w:asciiTheme="majorHAnsi" w:hAnsiTheme="majorHAnsi"/>
            <w:b/>
            <w:noProof/>
            <w:webHidden/>
            <w:sz w:val="20"/>
            <w:szCs w:val="20"/>
          </w:rPr>
          <w:fldChar w:fldCharType="end"/>
        </w:r>
      </w:hyperlink>
    </w:p>
    <w:p w14:paraId="2F9E3A14" w14:textId="0BDBF27F" w:rsidR="00B867B7" w:rsidRPr="009B234A" w:rsidRDefault="00C40029" w:rsidP="009B234A">
      <w:pPr>
        <w:pStyle w:val="TOC1"/>
        <w:rPr>
          <w:rFonts w:asciiTheme="majorHAnsi" w:eastAsiaTheme="minorEastAsia" w:hAnsiTheme="majorHAnsi" w:cstheme="minorBidi"/>
          <w:b/>
          <w:noProof/>
          <w:sz w:val="20"/>
          <w:szCs w:val="20"/>
          <w:bdr w:val="none" w:sz="0" w:space="0" w:color="auto"/>
          <w:lang w:val="en-US"/>
        </w:rPr>
      </w:pPr>
      <w:hyperlink w:anchor="_Toc21421524" w:history="1">
        <w:r w:rsidR="00B867B7" w:rsidRPr="009B234A">
          <w:rPr>
            <w:rStyle w:val="Hyperlink"/>
            <w:rFonts w:asciiTheme="majorHAnsi" w:hAnsiTheme="majorHAnsi"/>
            <w:b/>
            <w:noProof/>
            <w:sz w:val="20"/>
            <w:szCs w:val="20"/>
          </w:rPr>
          <w:t xml:space="preserve">V. </w:t>
        </w:r>
        <w:r w:rsidR="00B867B7" w:rsidRPr="009B234A">
          <w:rPr>
            <w:rFonts w:asciiTheme="majorHAnsi" w:eastAsiaTheme="minorEastAsia" w:hAnsiTheme="majorHAnsi" w:cstheme="minorBidi"/>
            <w:b/>
            <w:noProof/>
            <w:sz w:val="20"/>
            <w:szCs w:val="20"/>
            <w:bdr w:val="none" w:sz="0" w:space="0" w:color="auto"/>
            <w:lang w:val="en-US"/>
          </w:rPr>
          <w:tab/>
        </w:r>
        <w:r w:rsidR="00B867B7" w:rsidRPr="009B234A">
          <w:rPr>
            <w:rStyle w:val="Hyperlink"/>
            <w:rFonts w:asciiTheme="majorHAnsi" w:hAnsiTheme="majorHAnsi"/>
            <w:b/>
            <w:noProof/>
            <w:sz w:val="20"/>
            <w:szCs w:val="20"/>
          </w:rPr>
          <w:t>CONCLUSIONES</w:t>
        </w:r>
        <w:r w:rsidR="00B867B7" w:rsidRPr="009B234A">
          <w:rPr>
            <w:rFonts w:asciiTheme="majorHAnsi" w:hAnsiTheme="majorHAnsi"/>
            <w:b/>
            <w:noProof/>
            <w:webHidden/>
            <w:sz w:val="20"/>
            <w:szCs w:val="20"/>
          </w:rPr>
          <w:tab/>
        </w:r>
        <w:r w:rsidR="00B867B7" w:rsidRPr="009B234A">
          <w:rPr>
            <w:rFonts w:asciiTheme="majorHAnsi" w:hAnsiTheme="majorHAnsi"/>
            <w:b/>
            <w:noProof/>
            <w:webHidden/>
            <w:sz w:val="20"/>
            <w:szCs w:val="20"/>
          </w:rPr>
          <w:fldChar w:fldCharType="begin"/>
        </w:r>
        <w:r w:rsidR="00B867B7" w:rsidRPr="009B234A">
          <w:rPr>
            <w:rFonts w:asciiTheme="majorHAnsi" w:hAnsiTheme="majorHAnsi"/>
            <w:b/>
            <w:noProof/>
            <w:webHidden/>
            <w:sz w:val="20"/>
            <w:szCs w:val="20"/>
          </w:rPr>
          <w:instrText xml:space="preserve"> PAGEREF _Toc21421524 \h </w:instrText>
        </w:r>
        <w:r w:rsidR="00B867B7" w:rsidRPr="009B234A">
          <w:rPr>
            <w:rFonts w:asciiTheme="majorHAnsi" w:hAnsiTheme="majorHAnsi"/>
            <w:b/>
            <w:noProof/>
            <w:webHidden/>
            <w:sz w:val="20"/>
            <w:szCs w:val="20"/>
          </w:rPr>
        </w:r>
        <w:r w:rsidR="00B867B7" w:rsidRPr="009B234A">
          <w:rPr>
            <w:rFonts w:asciiTheme="majorHAnsi" w:hAnsiTheme="majorHAnsi"/>
            <w:b/>
            <w:noProof/>
            <w:webHidden/>
            <w:sz w:val="20"/>
            <w:szCs w:val="20"/>
          </w:rPr>
          <w:fldChar w:fldCharType="separate"/>
        </w:r>
        <w:r>
          <w:rPr>
            <w:rFonts w:asciiTheme="majorHAnsi" w:hAnsiTheme="majorHAnsi"/>
            <w:b/>
            <w:noProof/>
            <w:webHidden/>
            <w:sz w:val="20"/>
            <w:szCs w:val="20"/>
          </w:rPr>
          <w:t>20</w:t>
        </w:r>
        <w:r w:rsidR="00B867B7" w:rsidRPr="009B234A">
          <w:rPr>
            <w:rFonts w:asciiTheme="majorHAnsi" w:hAnsiTheme="majorHAnsi"/>
            <w:b/>
            <w:noProof/>
            <w:webHidden/>
            <w:sz w:val="20"/>
            <w:szCs w:val="20"/>
          </w:rPr>
          <w:fldChar w:fldCharType="end"/>
        </w:r>
      </w:hyperlink>
    </w:p>
    <w:p w14:paraId="6426DD3E" w14:textId="6E37E221" w:rsidR="00B867B7" w:rsidRPr="009B234A" w:rsidRDefault="00C40029" w:rsidP="009B234A">
      <w:pPr>
        <w:pStyle w:val="TOC1"/>
        <w:rPr>
          <w:rFonts w:asciiTheme="majorHAnsi" w:eastAsiaTheme="minorEastAsia" w:hAnsiTheme="majorHAnsi" w:cstheme="minorBidi"/>
          <w:b/>
          <w:noProof/>
          <w:sz w:val="20"/>
          <w:szCs w:val="20"/>
          <w:bdr w:val="none" w:sz="0" w:space="0" w:color="auto"/>
          <w:lang w:val="en-US"/>
        </w:rPr>
      </w:pPr>
      <w:hyperlink w:anchor="_Toc21421525" w:history="1">
        <w:r w:rsidR="00B867B7" w:rsidRPr="009B234A">
          <w:rPr>
            <w:rStyle w:val="Hyperlink"/>
            <w:rFonts w:asciiTheme="majorHAnsi" w:hAnsiTheme="majorHAnsi"/>
            <w:b/>
            <w:noProof/>
            <w:sz w:val="20"/>
            <w:szCs w:val="20"/>
          </w:rPr>
          <w:t xml:space="preserve">VI. </w:t>
        </w:r>
        <w:r w:rsidR="00B867B7" w:rsidRPr="009B234A">
          <w:rPr>
            <w:rFonts w:asciiTheme="majorHAnsi" w:eastAsiaTheme="minorEastAsia" w:hAnsiTheme="majorHAnsi" w:cstheme="minorBidi"/>
            <w:b/>
            <w:noProof/>
            <w:sz w:val="20"/>
            <w:szCs w:val="20"/>
            <w:bdr w:val="none" w:sz="0" w:space="0" w:color="auto"/>
            <w:lang w:val="en-US"/>
          </w:rPr>
          <w:tab/>
        </w:r>
        <w:r w:rsidR="00B867B7" w:rsidRPr="009B234A">
          <w:rPr>
            <w:rStyle w:val="Hyperlink"/>
            <w:rFonts w:asciiTheme="majorHAnsi" w:hAnsiTheme="majorHAnsi"/>
            <w:b/>
            <w:noProof/>
            <w:sz w:val="20"/>
            <w:szCs w:val="20"/>
          </w:rPr>
          <w:t>RECOMENDACIONES</w:t>
        </w:r>
        <w:r w:rsidR="00B867B7" w:rsidRPr="009B234A">
          <w:rPr>
            <w:rFonts w:asciiTheme="majorHAnsi" w:hAnsiTheme="majorHAnsi"/>
            <w:b/>
            <w:noProof/>
            <w:webHidden/>
            <w:sz w:val="20"/>
            <w:szCs w:val="20"/>
          </w:rPr>
          <w:tab/>
        </w:r>
        <w:r w:rsidR="00B867B7" w:rsidRPr="009B234A">
          <w:rPr>
            <w:rFonts w:asciiTheme="majorHAnsi" w:hAnsiTheme="majorHAnsi"/>
            <w:b/>
            <w:noProof/>
            <w:webHidden/>
            <w:sz w:val="20"/>
            <w:szCs w:val="20"/>
          </w:rPr>
          <w:fldChar w:fldCharType="begin"/>
        </w:r>
        <w:r w:rsidR="00B867B7" w:rsidRPr="009B234A">
          <w:rPr>
            <w:rFonts w:asciiTheme="majorHAnsi" w:hAnsiTheme="majorHAnsi"/>
            <w:b/>
            <w:noProof/>
            <w:webHidden/>
            <w:sz w:val="20"/>
            <w:szCs w:val="20"/>
          </w:rPr>
          <w:instrText xml:space="preserve"> PAGEREF _Toc21421525 \h </w:instrText>
        </w:r>
        <w:r w:rsidR="00B867B7" w:rsidRPr="009B234A">
          <w:rPr>
            <w:rFonts w:asciiTheme="majorHAnsi" w:hAnsiTheme="majorHAnsi"/>
            <w:b/>
            <w:noProof/>
            <w:webHidden/>
            <w:sz w:val="20"/>
            <w:szCs w:val="20"/>
          </w:rPr>
        </w:r>
        <w:r w:rsidR="00B867B7" w:rsidRPr="009B234A">
          <w:rPr>
            <w:rFonts w:asciiTheme="majorHAnsi" w:hAnsiTheme="majorHAnsi"/>
            <w:b/>
            <w:noProof/>
            <w:webHidden/>
            <w:sz w:val="20"/>
            <w:szCs w:val="20"/>
          </w:rPr>
          <w:fldChar w:fldCharType="separate"/>
        </w:r>
        <w:r>
          <w:rPr>
            <w:rFonts w:asciiTheme="majorHAnsi" w:hAnsiTheme="majorHAnsi"/>
            <w:b/>
            <w:noProof/>
            <w:webHidden/>
            <w:sz w:val="20"/>
            <w:szCs w:val="20"/>
          </w:rPr>
          <w:t>20</w:t>
        </w:r>
        <w:r w:rsidR="00B867B7" w:rsidRPr="009B234A">
          <w:rPr>
            <w:rFonts w:asciiTheme="majorHAnsi" w:hAnsiTheme="majorHAnsi"/>
            <w:b/>
            <w:noProof/>
            <w:webHidden/>
            <w:sz w:val="20"/>
            <w:szCs w:val="20"/>
          </w:rPr>
          <w:fldChar w:fldCharType="end"/>
        </w:r>
      </w:hyperlink>
    </w:p>
    <w:p w14:paraId="7F7D6302" w14:textId="586092ED" w:rsidR="008D768D" w:rsidRPr="00D94314" w:rsidRDefault="00B76CF4" w:rsidP="006D72EB">
      <w:pPr>
        <w:tabs>
          <w:tab w:val="center" w:pos="5400"/>
        </w:tabs>
        <w:suppressAutoHyphens/>
        <w:rPr>
          <w:rFonts w:asciiTheme="majorHAnsi" w:hAnsiTheme="majorHAnsi"/>
          <w:sz w:val="20"/>
          <w:szCs w:val="20"/>
        </w:rPr>
      </w:pPr>
      <w:r w:rsidRPr="00B76CF4">
        <w:rPr>
          <w:rFonts w:asciiTheme="majorHAnsi" w:hAnsiTheme="majorHAnsi"/>
          <w:b/>
          <w:sz w:val="20"/>
          <w:szCs w:val="20"/>
        </w:rPr>
        <w:fldChar w:fldCharType="end"/>
      </w:r>
    </w:p>
    <w:p w14:paraId="084C4BF3" w14:textId="77777777" w:rsidR="00722C9F" w:rsidRPr="00D94314" w:rsidRDefault="00722C9F" w:rsidP="006D72EB">
      <w:pPr>
        <w:rPr>
          <w:rFonts w:asciiTheme="majorHAnsi" w:hAnsiTheme="majorHAnsi" w:cs="Calibri"/>
          <w:sz w:val="20"/>
          <w:szCs w:val="20"/>
          <w:lang w:val="es-ES"/>
        </w:rPr>
      </w:pPr>
      <w:r w:rsidRPr="00D94314">
        <w:rPr>
          <w:rFonts w:asciiTheme="majorHAnsi" w:hAnsiTheme="majorHAnsi" w:cs="Calibri"/>
          <w:sz w:val="20"/>
          <w:szCs w:val="20"/>
          <w:lang w:val="es-ES"/>
        </w:rPr>
        <w:br w:type="page"/>
      </w:r>
    </w:p>
    <w:p w14:paraId="720A6571" w14:textId="4C655874" w:rsidR="00722C9F" w:rsidRPr="000A369B" w:rsidRDefault="007C756A" w:rsidP="006D72EB">
      <w:pPr>
        <w:tabs>
          <w:tab w:val="center" w:pos="5400"/>
        </w:tabs>
        <w:suppressAutoHyphens/>
        <w:jc w:val="center"/>
        <w:rPr>
          <w:rFonts w:asciiTheme="majorHAnsi" w:hAnsiTheme="majorHAnsi"/>
          <w:b/>
          <w:sz w:val="20"/>
          <w:szCs w:val="20"/>
          <w:lang w:val="es-MX"/>
        </w:rPr>
      </w:pPr>
      <w:r w:rsidRPr="00D94314">
        <w:rPr>
          <w:rFonts w:asciiTheme="majorHAnsi" w:hAnsiTheme="majorHAnsi"/>
          <w:b/>
          <w:sz w:val="20"/>
          <w:szCs w:val="20"/>
          <w:lang w:val="es-ES"/>
        </w:rPr>
        <w:lastRenderedPageBreak/>
        <w:t xml:space="preserve">INFORME No. </w:t>
      </w:r>
      <w:r w:rsidR="00B76CF4">
        <w:rPr>
          <w:rFonts w:asciiTheme="majorHAnsi" w:hAnsiTheme="majorHAnsi"/>
          <w:b/>
          <w:sz w:val="20"/>
          <w:szCs w:val="20"/>
          <w:lang w:val="es-MX"/>
        </w:rPr>
        <w:t>125</w:t>
      </w:r>
      <w:r w:rsidRPr="000A369B">
        <w:rPr>
          <w:rFonts w:asciiTheme="majorHAnsi" w:hAnsiTheme="majorHAnsi"/>
          <w:b/>
          <w:sz w:val="20"/>
          <w:szCs w:val="20"/>
          <w:lang w:val="es-MX"/>
        </w:rPr>
        <w:t>/</w:t>
      </w:r>
      <w:r w:rsidR="00207887" w:rsidRPr="000A369B">
        <w:rPr>
          <w:rFonts w:asciiTheme="majorHAnsi" w:hAnsiTheme="majorHAnsi"/>
          <w:b/>
          <w:sz w:val="20"/>
          <w:szCs w:val="20"/>
          <w:lang w:val="es-MX"/>
        </w:rPr>
        <w:t>19</w:t>
      </w:r>
    </w:p>
    <w:p w14:paraId="13E29AC9" w14:textId="4BB14341" w:rsidR="00722C9F" w:rsidRPr="00D94314" w:rsidRDefault="00722C9F" w:rsidP="006D72EB">
      <w:pPr>
        <w:tabs>
          <w:tab w:val="center" w:pos="5400"/>
        </w:tabs>
        <w:suppressAutoHyphens/>
        <w:jc w:val="center"/>
        <w:rPr>
          <w:rFonts w:asciiTheme="majorHAnsi" w:hAnsiTheme="majorHAnsi"/>
          <w:b/>
          <w:sz w:val="20"/>
          <w:szCs w:val="20"/>
          <w:lang w:val="es-ES"/>
        </w:rPr>
      </w:pPr>
      <w:r w:rsidRPr="000A369B">
        <w:rPr>
          <w:rFonts w:asciiTheme="majorHAnsi" w:hAnsiTheme="majorHAnsi"/>
          <w:b/>
          <w:sz w:val="20"/>
          <w:szCs w:val="20"/>
          <w:lang w:val="es-MX"/>
        </w:rPr>
        <w:t xml:space="preserve"> </w:t>
      </w:r>
      <w:r w:rsidRPr="00D94314">
        <w:rPr>
          <w:rFonts w:asciiTheme="majorHAnsi" w:hAnsiTheme="majorHAnsi"/>
          <w:b/>
          <w:sz w:val="20"/>
          <w:szCs w:val="20"/>
          <w:lang w:val="es-ES"/>
        </w:rPr>
        <w:t xml:space="preserve">CASO </w:t>
      </w:r>
      <w:r w:rsidR="00A44F64" w:rsidRPr="00D94314">
        <w:rPr>
          <w:rFonts w:asciiTheme="majorHAnsi" w:hAnsiTheme="majorHAnsi"/>
          <w:b/>
          <w:sz w:val="20"/>
          <w:szCs w:val="20"/>
          <w:lang w:val="es-ES"/>
        </w:rPr>
        <w:t>12.691</w:t>
      </w:r>
    </w:p>
    <w:p w14:paraId="7758D8DF" w14:textId="77777777" w:rsidR="00722C9F" w:rsidRPr="00D94314" w:rsidRDefault="007C756A" w:rsidP="006D72EB">
      <w:pPr>
        <w:tabs>
          <w:tab w:val="center" w:pos="5400"/>
        </w:tabs>
        <w:suppressAutoHyphens/>
        <w:jc w:val="center"/>
        <w:rPr>
          <w:rFonts w:asciiTheme="majorHAnsi" w:hAnsiTheme="majorHAnsi"/>
          <w:sz w:val="20"/>
          <w:szCs w:val="20"/>
        </w:rPr>
      </w:pPr>
      <w:r w:rsidRPr="00D94314">
        <w:rPr>
          <w:rFonts w:asciiTheme="majorHAnsi" w:hAnsiTheme="majorHAnsi"/>
          <w:sz w:val="20"/>
          <w:szCs w:val="20"/>
        </w:rPr>
        <w:t>FONDO</w:t>
      </w:r>
    </w:p>
    <w:p w14:paraId="6952F29F" w14:textId="3B82B2EA" w:rsidR="00D70BEE" w:rsidRPr="00D70BEE" w:rsidRDefault="00D70BEE" w:rsidP="00D70BEE">
      <w:pPr>
        <w:jc w:val="center"/>
        <w:rPr>
          <w:rFonts w:asciiTheme="majorHAnsi" w:hAnsiTheme="majorHAnsi" w:cs="Arial"/>
          <w:color w:val="0D0D0D" w:themeColor="text1" w:themeTint="F2"/>
          <w:sz w:val="20"/>
          <w:szCs w:val="20"/>
        </w:rPr>
      </w:pPr>
      <w:r w:rsidRPr="00D70BEE">
        <w:rPr>
          <w:rFonts w:asciiTheme="majorHAnsi" w:hAnsiTheme="majorHAnsi" w:cs="Arial"/>
          <w:color w:val="0D0D0D" w:themeColor="text1" w:themeTint="F2"/>
          <w:sz w:val="20"/>
          <w:szCs w:val="20"/>
        </w:rPr>
        <w:t>INFORME DE FONDO</w:t>
      </w:r>
    </w:p>
    <w:p w14:paraId="4E37D6A8" w14:textId="106AF080" w:rsidR="00902C3A" w:rsidRPr="00D70BEE" w:rsidRDefault="00D70BEE" w:rsidP="00D70BEE">
      <w:pPr>
        <w:jc w:val="center"/>
        <w:rPr>
          <w:rFonts w:asciiTheme="majorHAnsi" w:hAnsiTheme="majorHAnsi"/>
          <w:sz w:val="20"/>
          <w:szCs w:val="20"/>
        </w:rPr>
      </w:pPr>
      <w:r w:rsidRPr="00D70BEE">
        <w:rPr>
          <w:rFonts w:asciiTheme="majorHAnsi" w:hAnsiTheme="majorHAnsi" w:cs="Arial"/>
          <w:color w:val="0D0D0D" w:themeColor="text1" w:themeTint="F2"/>
          <w:sz w:val="20"/>
          <w:szCs w:val="20"/>
        </w:rPr>
        <w:t>MIEMBROS DEL SINDICATO UNICO</w:t>
      </w:r>
      <w:r>
        <w:rPr>
          <w:rFonts w:asciiTheme="majorHAnsi" w:hAnsiTheme="majorHAnsi" w:cs="Arial"/>
          <w:color w:val="0D0D0D" w:themeColor="text1" w:themeTint="F2"/>
          <w:sz w:val="20"/>
          <w:szCs w:val="20"/>
        </w:rPr>
        <w:t xml:space="preserve"> </w:t>
      </w:r>
      <w:r w:rsidRPr="00D70BEE">
        <w:rPr>
          <w:rFonts w:asciiTheme="majorHAnsi" w:hAnsiTheme="majorHAnsi" w:cs="Arial"/>
          <w:color w:val="0D0D0D" w:themeColor="text1" w:themeTint="F2"/>
          <w:sz w:val="20"/>
          <w:szCs w:val="20"/>
        </w:rPr>
        <w:t xml:space="preserve">DE TRABAJADORES DE </w:t>
      </w:r>
      <w:r w:rsidRPr="00D70BEE">
        <w:rPr>
          <w:rFonts w:asciiTheme="majorHAnsi" w:hAnsiTheme="majorHAnsi" w:cs="Arial"/>
          <w:color w:val="0D0D0D" w:themeColor="text1" w:themeTint="F2"/>
          <w:sz w:val="20"/>
          <w:szCs w:val="20"/>
          <w:lang w:val="es-AR"/>
        </w:rPr>
        <w:t>ECASA –SUTECASA-</w:t>
      </w:r>
    </w:p>
    <w:p w14:paraId="542A19FF" w14:textId="7EC5C1B8" w:rsidR="00722C9F" w:rsidRPr="00D94314" w:rsidRDefault="00D70BEE" w:rsidP="00902C3A">
      <w:pPr>
        <w:tabs>
          <w:tab w:val="center" w:pos="5400"/>
        </w:tabs>
        <w:suppressAutoHyphens/>
        <w:jc w:val="center"/>
        <w:rPr>
          <w:rFonts w:asciiTheme="majorHAnsi" w:hAnsiTheme="majorHAnsi"/>
          <w:sz w:val="20"/>
          <w:szCs w:val="20"/>
        </w:rPr>
      </w:pPr>
      <w:r>
        <w:rPr>
          <w:rFonts w:asciiTheme="majorHAnsi" w:hAnsiTheme="majorHAnsi"/>
          <w:sz w:val="20"/>
          <w:szCs w:val="20"/>
        </w:rPr>
        <w:t>PERU</w:t>
      </w:r>
      <w:r w:rsidR="005C4CA5" w:rsidRPr="00D94314">
        <w:rPr>
          <w:rStyle w:val="FootnoteReference"/>
          <w:rFonts w:asciiTheme="majorHAnsi" w:hAnsiTheme="majorHAnsi"/>
          <w:sz w:val="20"/>
          <w:szCs w:val="20"/>
        </w:rPr>
        <w:footnoteReference w:id="2"/>
      </w:r>
    </w:p>
    <w:p w14:paraId="6E3440F9" w14:textId="4EC5C168" w:rsidR="00722C9F" w:rsidRPr="00D94314" w:rsidRDefault="00B76CF4" w:rsidP="006D72EB">
      <w:pPr>
        <w:tabs>
          <w:tab w:val="center" w:pos="5400"/>
        </w:tabs>
        <w:suppressAutoHyphens/>
        <w:jc w:val="center"/>
        <w:rPr>
          <w:rFonts w:asciiTheme="majorHAnsi" w:hAnsiTheme="majorHAnsi"/>
          <w:sz w:val="20"/>
          <w:szCs w:val="20"/>
        </w:rPr>
      </w:pPr>
      <w:r>
        <w:rPr>
          <w:rFonts w:asciiTheme="majorHAnsi" w:hAnsiTheme="majorHAnsi"/>
          <w:sz w:val="20"/>
          <w:szCs w:val="20"/>
        </w:rPr>
        <w:t>31 de julio de 2019</w:t>
      </w:r>
    </w:p>
    <w:p w14:paraId="4B68D99C" w14:textId="77777777" w:rsidR="00605F3A" w:rsidRPr="0001094F" w:rsidRDefault="00D12193" w:rsidP="0001094F">
      <w:pPr>
        <w:pStyle w:val="Heading1"/>
        <w:ind w:hanging="90"/>
        <w:rPr>
          <w:color w:val="auto"/>
          <w:sz w:val="20"/>
          <w:szCs w:val="20"/>
        </w:rPr>
      </w:pPr>
      <w:bookmarkStart w:id="2" w:name="_Toc21421506"/>
      <w:r w:rsidRPr="0001094F">
        <w:rPr>
          <w:color w:val="auto"/>
          <w:sz w:val="20"/>
          <w:szCs w:val="20"/>
        </w:rPr>
        <w:t>RESUMEN</w:t>
      </w:r>
      <w:bookmarkEnd w:id="2"/>
      <w:r w:rsidR="00361415" w:rsidRPr="0001094F">
        <w:rPr>
          <w:color w:val="auto"/>
          <w:sz w:val="20"/>
          <w:szCs w:val="20"/>
        </w:rPr>
        <w:t xml:space="preserve"> </w:t>
      </w:r>
    </w:p>
    <w:p w14:paraId="10712146" w14:textId="77777777" w:rsidR="00605F3A" w:rsidRPr="00D94314" w:rsidRDefault="00605F3A" w:rsidP="006D72EB">
      <w:pPr>
        <w:pStyle w:val="ListParagraph"/>
        <w:suppressAutoHyphens/>
        <w:ind w:left="1440"/>
        <w:rPr>
          <w:rFonts w:asciiTheme="majorHAnsi" w:hAnsiTheme="majorHAnsi"/>
          <w:b/>
          <w:color w:val="auto"/>
          <w:sz w:val="20"/>
          <w:szCs w:val="20"/>
          <w:lang w:val="es-ES_tradnl"/>
        </w:rPr>
      </w:pPr>
    </w:p>
    <w:p w14:paraId="1279761B" w14:textId="3C8C7D10" w:rsidR="000E49D8" w:rsidRPr="00D94314" w:rsidRDefault="000E49D8" w:rsidP="000E49D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D94314">
        <w:rPr>
          <w:rFonts w:asciiTheme="majorHAnsi" w:hAnsiTheme="majorHAnsi"/>
          <w:color w:val="000000"/>
          <w:sz w:val="20"/>
          <w:szCs w:val="20"/>
          <w:lang w:val="es-AR"/>
        </w:rPr>
        <w:t>El 11 y 12 de noviembre de 1998 la Comisión Interamericana de Derechos Humanos (en adelante también "la Comisión Interamericana", "la Comisión" o "la CIDH") recibió una petición presentada por el señor Jesús Mogollón, Pablo Álvarez y el Sindicato Único de Trabajadores de ECASA</w:t>
      </w:r>
      <w:hyperlink r:id="rId14" w:anchor="_ftn1" w:history="1"/>
      <w:r w:rsidRPr="00D94314">
        <w:rPr>
          <w:rFonts w:asciiTheme="majorHAnsi" w:hAnsiTheme="majorHAnsi"/>
          <w:color w:val="000000"/>
          <w:sz w:val="20"/>
          <w:szCs w:val="20"/>
          <w:lang w:val="es-AR"/>
        </w:rPr>
        <w:t> (en adelante también “el SUTECASA” o "los peticionarios") a favor de los miembros del Sindicato Único de Trabajadores de ECASA (en adelante también “las presuntas víctimas”), en la cual se alega la violación por parte de la República de Perú (en adelante también "Perú", "el Estado" o "el Estado peruano") de la Convención Americana sobre Derechos Humanos (en adelante también “la Convención Americana”, “la Convención” o la “CADH”)</w:t>
      </w:r>
      <w:r w:rsidR="007D6EF1" w:rsidRPr="00D94314">
        <w:rPr>
          <w:rFonts w:asciiTheme="majorHAnsi" w:hAnsiTheme="majorHAnsi"/>
          <w:color w:val="000000"/>
          <w:sz w:val="20"/>
          <w:szCs w:val="20"/>
          <w:lang w:val="es-AR"/>
        </w:rPr>
        <w:t xml:space="preserve"> por el incumplimiento de fallos judiciales emitidos en su favor. </w:t>
      </w:r>
    </w:p>
    <w:p w14:paraId="2BBFFC3E" w14:textId="77777777" w:rsidR="000E49D8" w:rsidRPr="00D94314" w:rsidRDefault="000E49D8" w:rsidP="000E49D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VE"/>
        </w:rPr>
      </w:pPr>
    </w:p>
    <w:p w14:paraId="03B4F38C" w14:textId="1F73EABA" w:rsidR="00115F12" w:rsidRPr="00D94314" w:rsidRDefault="009014A4" w:rsidP="00F925E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D94314">
        <w:rPr>
          <w:rFonts w:asciiTheme="majorHAnsi" w:hAnsiTheme="majorHAnsi"/>
          <w:sz w:val="20"/>
          <w:szCs w:val="20"/>
          <w:lang w:val="es-VE"/>
        </w:rPr>
        <w:t>L</w:t>
      </w:r>
      <w:r w:rsidRPr="00D94314">
        <w:rPr>
          <w:rFonts w:asciiTheme="majorHAnsi" w:hAnsiTheme="majorHAnsi"/>
          <w:sz w:val="20"/>
          <w:szCs w:val="20"/>
        </w:rPr>
        <w:t xml:space="preserve">a Comisión aprobó el informe de admisibilidad No. </w:t>
      </w:r>
      <w:r w:rsidR="008721EE" w:rsidRPr="00D94314">
        <w:rPr>
          <w:rFonts w:asciiTheme="majorHAnsi" w:hAnsiTheme="majorHAnsi"/>
          <w:sz w:val="20"/>
          <w:szCs w:val="20"/>
        </w:rPr>
        <w:t>4</w:t>
      </w:r>
      <w:r w:rsidRPr="00D94314">
        <w:rPr>
          <w:rFonts w:asciiTheme="majorHAnsi" w:hAnsiTheme="majorHAnsi"/>
          <w:sz w:val="20"/>
          <w:szCs w:val="20"/>
        </w:rPr>
        <w:t>/</w:t>
      </w:r>
      <w:r w:rsidR="008721EE" w:rsidRPr="00D94314">
        <w:rPr>
          <w:rFonts w:asciiTheme="majorHAnsi" w:hAnsiTheme="majorHAnsi"/>
          <w:sz w:val="20"/>
          <w:szCs w:val="20"/>
        </w:rPr>
        <w:t>09</w:t>
      </w:r>
      <w:r w:rsidRPr="00D94314">
        <w:rPr>
          <w:rFonts w:asciiTheme="majorHAnsi" w:hAnsiTheme="majorHAnsi"/>
          <w:sz w:val="20"/>
          <w:szCs w:val="20"/>
        </w:rPr>
        <w:t xml:space="preserve"> el </w:t>
      </w:r>
      <w:r w:rsidR="008721EE" w:rsidRPr="00D94314">
        <w:rPr>
          <w:rFonts w:asciiTheme="majorHAnsi" w:hAnsiTheme="majorHAnsi"/>
          <w:sz w:val="20"/>
          <w:szCs w:val="20"/>
        </w:rPr>
        <w:t>11</w:t>
      </w:r>
      <w:r w:rsidRPr="00D94314">
        <w:rPr>
          <w:rFonts w:asciiTheme="majorHAnsi" w:hAnsiTheme="majorHAnsi"/>
          <w:sz w:val="20"/>
          <w:szCs w:val="20"/>
        </w:rPr>
        <w:t xml:space="preserve"> de </w:t>
      </w:r>
      <w:r w:rsidR="008721EE" w:rsidRPr="00D94314">
        <w:rPr>
          <w:rFonts w:asciiTheme="majorHAnsi" w:hAnsiTheme="majorHAnsi"/>
          <w:sz w:val="20"/>
          <w:szCs w:val="20"/>
        </w:rPr>
        <w:t>febrero</w:t>
      </w:r>
      <w:r w:rsidR="00A062F9" w:rsidRPr="00D94314">
        <w:rPr>
          <w:rFonts w:asciiTheme="majorHAnsi" w:hAnsiTheme="majorHAnsi"/>
          <w:sz w:val="20"/>
          <w:szCs w:val="20"/>
        </w:rPr>
        <w:t xml:space="preserve"> </w:t>
      </w:r>
      <w:r w:rsidRPr="00D94314">
        <w:rPr>
          <w:rFonts w:asciiTheme="majorHAnsi" w:hAnsiTheme="majorHAnsi"/>
          <w:sz w:val="20"/>
          <w:szCs w:val="20"/>
        </w:rPr>
        <w:t xml:space="preserve">de </w:t>
      </w:r>
      <w:r w:rsidR="008721EE" w:rsidRPr="00D94314">
        <w:rPr>
          <w:rFonts w:asciiTheme="majorHAnsi" w:hAnsiTheme="majorHAnsi"/>
          <w:sz w:val="20"/>
          <w:szCs w:val="20"/>
        </w:rPr>
        <w:t>2009</w:t>
      </w:r>
      <w:r w:rsidRPr="00D94314">
        <w:rPr>
          <w:rStyle w:val="FootnoteReference"/>
          <w:rFonts w:asciiTheme="majorHAnsi" w:hAnsiTheme="majorHAnsi"/>
          <w:sz w:val="20"/>
          <w:szCs w:val="20"/>
        </w:rPr>
        <w:footnoteReference w:id="3"/>
      </w:r>
      <w:r w:rsidR="00AF7988" w:rsidRPr="00D94314">
        <w:rPr>
          <w:rFonts w:asciiTheme="majorHAnsi" w:hAnsiTheme="majorHAnsi"/>
          <w:sz w:val="20"/>
          <w:szCs w:val="20"/>
        </w:rPr>
        <w:t xml:space="preserve">. </w:t>
      </w:r>
      <w:r w:rsidRPr="00D94314">
        <w:rPr>
          <w:rFonts w:asciiTheme="majorHAnsi" w:hAnsiTheme="majorHAnsi"/>
          <w:sz w:val="20"/>
          <w:szCs w:val="20"/>
        </w:rPr>
        <w:t xml:space="preserve">El </w:t>
      </w:r>
      <w:r w:rsidR="00A062F9" w:rsidRPr="00D94314">
        <w:rPr>
          <w:rFonts w:asciiTheme="majorHAnsi" w:hAnsiTheme="majorHAnsi"/>
          <w:sz w:val="20"/>
          <w:szCs w:val="20"/>
        </w:rPr>
        <w:t xml:space="preserve">12 </w:t>
      </w:r>
      <w:r w:rsidRPr="00D94314">
        <w:rPr>
          <w:rFonts w:asciiTheme="majorHAnsi" w:hAnsiTheme="majorHAnsi"/>
          <w:sz w:val="20"/>
          <w:szCs w:val="20"/>
        </w:rPr>
        <w:t xml:space="preserve">de </w:t>
      </w:r>
      <w:r w:rsidR="00A062F9" w:rsidRPr="00D94314">
        <w:rPr>
          <w:rFonts w:asciiTheme="majorHAnsi" w:hAnsiTheme="majorHAnsi"/>
          <w:sz w:val="20"/>
          <w:szCs w:val="20"/>
        </w:rPr>
        <w:t>noviembre de 1993</w:t>
      </w:r>
      <w:r w:rsidRPr="00D94314">
        <w:rPr>
          <w:rFonts w:asciiTheme="majorHAnsi" w:hAnsiTheme="majorHAnsi"/>
          <w:sz w:val="20"/>
          <w:szCs w:val="20"/>
        </w:rPr>
        <w:t xml:space="preserve"> la Comisión notificó dicho informe a las partes y se puso a su disposición a fin de llegar a una solución amistosa</w:t>
      </w:r>
      <w:r w:rsidR="0044170A" w:rsidRPr="00D94314">
        <w:rPr>
          <w:rFonts w:asciiTheme="majorHAnsi" w:hAnsiTheme="majorHAnsi"/>
          <w:sz w:val="20"/>
          <w:szCs w:val="20"/>
        </w:rPr>
        <w:t>, pero no se dieron las condiciones para indicar dicho procedimiento</w:t>
      </w:r>
      <w:r w:rsidRPr="00D94314">
        <w:rPr>
          <w:rFonts w:asciiTheme="majorHAnsi" w:hAnsiTheme="majorHAnsi"/>
          <w:sz w:val="20"/>
          <w:szCs w:val="20"/>
        </w:rPr>
        <w:t>. Las partes contaron con los plazos reglamentarios para presentar sus observaciones adicionales sobre el fondo.</w:t>
      </w:r>
      <w:r w:rsidR="008C3098" w:rsidRPr="00D94314">
        <w:rPr>
          <w:rFonts w:asciiTheme="majorHAnsi" w:hAnsiTheme="majorHAnsi"/>
          <w:sz w:val="20"/>
          <w:szCs w:val="20"/>
        </w:rPr>
        <w:t xml:space="preserve"> </w:t>
      </w:r>
      <w:r w:rsidRPr="00D94314">
        <w:rPr>
          <w:rFonts w:asciiTheme="majorHAnsi" w:hAnsiTheme="majorHAnsi"/>
          <w:sz w:val="20"/>
          <w:szCs w:val="20"/>
        </w:rPr>
        <w:t>Toda la información recibida fue debidamente trasladada entre las partes</w:t>
      </w:r>
      <w:r w:rsidR="000E49D8" w:rsidRPr="00D94314">
        <w:rPr>
          <w:rFonts w:asciiTheme="majorHAnsi" w:hAnsiTheme="majorHAnsi"/>
          <w:sz w:val="20"/>
          <w:szCs w:val="20"/>
        </w:rPr>
        <w:t>.</w:t>
      </w:r>
    </w:p>
    <w:p w14:paraId="70A6DFC1" w14:textId="77777777" w:rsidR="0008768F" w:rsidRPr="0001094F" w:rsidRDefault="00E71067" w:rsidP="0001094F">
      <w:pPr>
        <w:pStyle w:val="Heading1"/>
        <w:ind w:firstLine="0"/>
        <w:rPr>
          <w:color w:val="auto"/>
          <w:sz w:val="20"/>
          <w:szCs w:val="20"/>
        </w:rPr>
      </w:pPr>
      <w:bookmarkStart w:id="3" w:name="_Toc21421507"/>
      <w:r w:rsidRPr="0001094F">
        <w:rPr>
          <w:color w:val="auto"/>
          <w:sz w:val="20"/>
          <w:szCs w:val="20"/>
        </w:rPr>
        <w:t>POSICION</w:t>
      </w:r>
      <w:r w:rsidR="00D12193" w:rsidRPr="0001094F">
        <w:rPr>
          <w:color w:val="auto"/>
          <w:sz w:val="20"/>
          <w:szCs w:val="20"/>
        </w:rPr>
        <w:t xml:space="preserve"> DE LAS PARTES</w:t>
      </w:r>
      <w:bookmarkEnd w:id="3"/>
    </w:p>
    <w:p w14:paraId="4CE2E952" w14:textId="77777777" w:rsidR="00605F3A" w:rsidRPr="00D94314" w:rsidRDefault="00605F3A" w:rsidP="006D72EB">
      <w:pPr>
        <w:pStyle w:val="ListParagraph"/>
        <w:suppressAutoHyphens/>
        <w:ind w:left="1080"/>
        <w:rPr>
          <w:rFonts w:asciiTheme="majorHAnsi" w:hAnsiTheme="majorHAnsi"/>
          <w:b/>
          <w:sz w:val="20"/>
          <w:szCs w:val="20"/>
          <w:lang w:val="es-ES_tradnl"/>
        </w:rPr>
      </w:pPr>
    </w:p>
    <w:p w14:paraId="381DD285" w14:textId="598A1C69" w:rsidR="00D12193" w:rsidRPr="0001094F" w:rsidRDefault="00D12193" w:rsidP="0001094F">
      <w:pPr>
        <w:pStyle w:val="Heading2"/>
        <w:numPr>
          <w:ilvl w:val="0"/>
          <w:numId w:val="68"/>
        </w:numPr>
        <w:ind w:firstLine="0"/>
        <w:rPr>
          <w:rFonts w:asciiTheme="majorHAnsi" w:hAnsiTheme="majorHAnsi"/>
          <w:i w:val="0"/>
          <w:sz w:val="20"/>
          <w:szCs w:val="20"/>
        </w:rPr>
      </w:pPr>
      <w:bookmarkStart w:id="4" w:name="_Toc21421508"/>
      <w:r w:rsidRPr="0001094F">
        <w:rPr>
          <w:rFonts w:asciiTheme="majorHAnsi" w:hAnsiTheme="majorHAnsi"/>
          <w:i w:val="0"/>
          <w:sz w:val="20"/>
          <w:szCs w:val="20"/>
        </w:rPr>
        <w:t>PARTE PETICIONARIA</w:t>
      </w:r>
      <w:bookmarkEnd w:id="4"/>
      <w:r w:rsidR="00CC63CF" w:rsidRPr="0001094F">
        <w:rPr>
          <w:rFonts w:asciiTheme="majorHAnsi" w:hAnsiTheme="majorHAnsi"/>
          <w:i w:val="0"/>
          <w:sz w:val="20"/>
          <w:szCs w:val="20"/>
        </w:rPr>
        <w:t xml:space="preserve"> </w:t>
      </w:r>
    </w:p>
    <w:p w14:paraId="45DBABF7" w14:textId="77777777" w:rsidR="008C184C" w:rsidRPr="00D94314" w:rsidRDefault="008C184C" w:rsidP="008C184C">
      <w:pPr>
        <w:jc w:val="both"/>
        <w:rPr>
          <w:rFonts w:asciiTheme="majorHAnsi" w:hAnsiTheme="majorHAnsi"/>
          <w:sz w:val="20"/>
          <w:szCs w:val="20"/>
          <w:lang w:val="es-CO"/>
        </w:rPr>
      </w:pPr>
    </w:p>
    <w:p w14:paraId="17610EB4" w14:textId="41B96F58" w:rsidR="008C184C" w:rsidRPr="00D94314" w:rsidRDefault="008C184C" w:rsidP="008C184C">
      <w:pPr>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La parte peticionaria señaló que, en el marco del proceso de privatización de empresas estatales en 1991, el gobierno decidió liquidar la Empresa Comercializadora de Alimentos S.A. (ECASA), lo que generó el despido de más de tres mil trabajadores, incluidos los peticionarios. Asegur</w:t>
      </w:r>
      <w:r w:rsidR="00AF6FBC" w:rsidRPr="00D94314">
        <w:rPr>
          <w:rFonts w:asciiTheme="majorHAnsi" w:hAnsiTheme="majorHAnsi"/>
          <w:sz w:val="20"/>
          <w:szCs w:val="20"/>
          <w:lang w:val="es-CO"/>
        </w:rPr>
        <w:t>a</w:t>
      </w:r>
      <w:r w:rsidRPr="00D94314">
        <w:rPr>
          <w:rFonts w:asciiTheme="majorHAnsi" w:hAnsiTheme="majorHAnsi"/>
          <w:sz w:val="20"/>
          <w:szCs w:val="20"/>
          <w:lang w:val="es-CO"/>
        </w:rPr>
        <w:t xml:space="preserve"> que el Estado mediante los Decretos Supremos No. 057-90-TR y 107-90-PCM dispuso suspender los incrementos salariales fijados por Convenios Colectivos, principalmente la aplicación de la Escala Salarial, ello en desconocimiento de las garantías establecidas en el Pacto Colectivo 90/91 que l</w:t>
      </w:r>
      <w:r w:rsidR="00BB4F36" w:rsidRPr="00D94314">
        <w:rPr>
          <w:rFonts w:asciiTheme="majorHAnsi" w:hAnsiTheme="majorHAnsi"/>
          <w:sz w:val="20"/>
          <w:szCs w:val="20"/>
          <w:lang w:val="es-CO"/>
        </w:rPr>
        <w:t>es</w:t>
      </w:r>
      <w:r w:rsidRPr="00D94314">
        <w:rPr>
          <w:rFonts w:asciiTheme="majorHAnsi" w:hAnsiTheme="majorHAnsi"/>
          <w:sz w:val="20"/>
          <w:szCs w:val="20"/>
          <w:lang w:val="es-CO"/>
        </w:rPr>
        <w:t xml:space="preserve"> regía.</w:t>
      </w:r>
    </w:p>
    <w:p w14:paraId="017DDF6B" w14:textId="77777777" w:rsidR="008C184C" w:rsidRPr="00D94314" w:rsidRDefault="008C184C" w:rsidP="008C184C">
      <w:pPr>
        <w:ind w:left="720"/>
        <w:jc w:val="both"/>
        <w:rPr>
          <w:rFonts w:asciiTheme="majorHAnsi" w:hAnsiTheme="majorHAnsi"/>
          <w:sz w:val="20"/>
          <w:szCs w:val="20"/>
          <w:lang w:val="es-CO"/>
        </w:rPr>
      </w:pPr>
      <w:r w:rsidRPr="00D94314">
        <w:rPr>
          <w:rFonts w:asciiTheme="majorHAnsi" w:hAnsiTheme="majorHAnsi"/>
          <w:sz w:val="20"/>
          <w:szCs w:val="20"/>
          <w:lang w:val="es-CO"/>
        </w:rPr>
        <w:t xml:space="preserve"> </w:t>
      </w:r>
    </w:p>
    <w:p w14:paraId="0B6CE2A8" w14:textId="4A973C63" w:rsidR="008C184C" w:rsidRPr="00D94314" w:rsidRDefault="008C184C" w:rsidP="000E3C08">
      <w:pPr>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Indic</w:t>
      </w:r>
      <w:r w:rsidR="00FA6579" w:rsidRPr="00D94314">
        <w:rPr>
          <w:rFonts w:asciiTheme="majorHAnsi" w:hAnsiTheme="majorHAnsi"/>
          <w:sz w:val="20"/>
          <w:szCs w:val="20"/>
          <w:lang w:val="es-CO"/>
        </w:rPr>
        <w:t xml:space="preserve">ó </w:t>
      </w:r>
      <w:r w:rsidRPr="00D94314">
        <w:rPr>
          <w:rFonts w:asciiTheme="majorHAnsi" w:hAnsiTheme="majorHAnsi"/>
          <w:sz w:val="20"/>
          <w:szCs w:val="20"/>
          <w:lang w:val="es-CO"/>
        </w:rPr>
        <w:t xml:space="preserve">que ante </w:t>
      </w:r>
      <w:r w:rsidR="00AF6FBC" w:rsidRPr="00D94314">
        <w:rPr>
          <w:rFonts w:asciiTheme="majorHAnsi" w:hAnsiTheme="majorHAnsi"/>
          <w:sz w:val="20"/>
          <w:szCs w:val="20"/>
          <w:lang w:val="es-CO"/>
        </w:rPr>
        <w:t>e</w:t>
      </w:r>
      <w:r w:rsidRPr="00D94314">
        <w:rPr>
          <w:rFonts w:asciiTheme="majorHAnsi" w:hAnsiTheme="majorHAnsi"/>
          <w:sz w:val="20"/>
          <w:szCs w:val="20"/>
          <w:lang w:val="es-CO"/>
        </w:rPr>
        <w:t xml:space="preserve">sta situación promovieron demanda de </w:t>
      </w:r>
      <w:r w:rsidR="00AF6FBC" w:rsidRPr="00D94314">
        <w:rPr>
          <w:rFonts w:asciiTheme="majorHAnsi" w:hAnsiTheme="majorHAnsi"/>
          <w:sz w:val="20"/>
          <w:szCs w:val="20"/>
          <w:lang w:val="es-CO"/>
        </w:rPr>
        <w:t>a</w:t>
      </w:r>
      <w:r w:rsidRPr="00D94314">
        <w:rPr>
          <w:rFonts w:asciiTheme="majorHAnsi" w:hAnsiTheme="majorHAnsi"/>
          <w:sz w:val="20"/>
          <w:szCs w:val="20"/>
          <w:lang w:val="es-CO"/>
        </w:rPr>
        <w:t xml:space="preserve">cción de </w:t>
      </w:r>
      <w:r w:rsidR="00AF6FBC" w:rsidRPr="00D94314">
        <w:rPr>
          <w:rFonts w:asciiTheme="majorHAnsi" w:hAnsiTheme="majorHAnsi"/>
          <w:sz w:val="20"/>
          <w:szCs w:val="20"/>
          <w:lang w:val="es-CO"/>
        </w:rPr>
        <w:t>a</w:t>
      </w:r>
      <w:r w:rsidRPr="00D94314">
        <w:rPr>
          <w:rFonts w:asciiTheme="majorHAnsi" w:hAnsiTheme="majorHAnsi"/>
          <w:sz w:val="20"/>
          <w:szCs w:val="20"/>
          <w:lang w:val="es-CO"/>
        </w:rPr>
        <w:t>mparo resultando favorable en todas las instancias. Detallaron tanto los peticionarios como el Estado que, el 22 de abril de 1991, el Octavo Juzgado Civil de Lima declaró fundada la demanda de acción de amparo declarando sin efecto la aplicación de los Decretos número 057-90-TR y 107-90-PCM.</w:t>
      </w:r>
      <w:r w:rsidR="00AF6FBC" w:rsidRPr="00D94314">
        <w:rPr>
          <w:rFonts w:asciiTheme="majorHAnsi" w:hAnsiTheme="majorHAnsi"/>
          <w:sz w:val="20"/>
          <w:szCs w:val="20"/>
          <w:lang w:val="es-CO"/>
        </w:rPr>
        <w:t xml:space="preserve"> Agreg</w:t>
      </w:r>
      <w:r w:rsidR="000E3C08" w:rsidRPr="00D94314">
        <w:rPr>
          <w:rFonts w:asciiTheme="majorHAnsi" w:hAnsiTheme="majorHAnsi"/>
          <w:sz w:val="20"/>
          <w:szCs w:val="20"/>
          <w:lang w:val="es-CO"/>
        </w:rPr>
        <w:t>ó qu</w:t>
      </w:r>
      <w:r w:rsidRPr="00D94314">
        <w:rPr>
          <w:rFonts w:asciiTheme="majorHAnsi" w:hAnsiTheme="majorHAnsi"/>
          <w:sz w:val="20"/>
          <w:szCs w:val="20"/>
          <w:lang w:val="es-CO"/>
        </w:rPr>
        <w:t xml:space="preserve">e </w:t>
      </w:r>
      <w:r w:rsidR="000E3C08" w:rsidRPr="00D94314">
        <w:rPr>
          <w:rFonts w:asciiTheme="majorHAnsi" w:hAnsiTheme="majorHAnsi"/>
          <w:sz w:val="20"/>
          <w:szCs w:val="20"/>
          <w:lang w:val="es-CO"/>
        </w:rPr>
        <w:t>e</w:t>
      </w:r>
      <w:r w:rsidRPr="00D94314">
        <w:rPr>
          <w:rFonts w:asciiTheme="majorHAnsi" w:hAnsiTheme="majorHAnsi"/>
          <w:sz w:val="20"/>
          <w:szCs w:val="20"/>
          <w:lang w:val="es-CO"/>
        </w:rPr>
        <w:t>ste fallo fue confirmado por la Sexta Sala Civil de Lima el 27 de septiembre de 1991 y posteriormente elevado ante la Sala de Derecho Constitucional y Social de la Corte Suprema de Justicia de la República, a raíz de la nulidad planteada por el Procurador Público del Ministerio de Trabajo, y que el 16 de febrero de 1993 se declaró no haber nulidad y en consecuencia inaplicables dichos decretos.</w:t>
      </w:r>
      <w:r w:rsidR="000E3C08" w:rsidRPr="00D94314">
        <w:rPr>
          <w:rFonts w:asciiTheme="majorHAnsi" w:hAnsiTheme="majorHAnsi"/>
          <w:sz w:val="20"/>
          <w:szCs w:val="20"/>
          <w:lang w:val="es-CO"/>
        </w:rPr>
        <w:t xml:space="preserve"> Señaló qu</w:t>
      </w:r>
      <w:r w:rsidR="00CB2008" w:rsidRPr="00D94314">
        <w:rPr>
          <w:rFonts w:asciiTheme="majorHAnsi" w:hAnsiTheme="majorHAnsi"/>
          <w:sz w:val="20"/>
          <w:szCs w:val="20"/>
          <w:lang w:val="es-CO"/>
        </w:rPr>
        <w:t>e</w:t>
      </w:r>
      <w:r w:rsidR="00D6073A" w:rsidRPr="00D94314">
        <w:rPr>
          <w:rFonts w:asciiTheme="majorHAnsi" w:hAnsiTheme="majorHAnsi"/>
          <w:sz w:val="20"/>
          <w:szCs w:val="20"/>
          <w:lang w:val="es-CO"/>
        </w:rPr>
        <w:t xml:space="preserve"> a pesar de</w:t>
      </w:r>
      <w:r w:rsidR="00A66DEE" w:rsidRPr="00D94314">
        <w:rPr>
          <w:rFonts w:asciiTheme="majorHAnsi" w:hAnsiTheme="majorHAnsi"/>
          <w:sz w:val="20"/>
          <w:szCs w:val="20"/>
          <w:lang w:val="es-CO"/>
        </w:rPr>
        <w:t xml:space="preserve"> la firmeza de esta decisión,</w:t>
      </w:r>
      <w:r w:rsidR="00CB2008" w:rsidRPr="00D94314">
        <w:rPr>
          <w:rFonts w:asciiTheme="majorHAnsi" w:hAnsiTheme="majorHAnsi"/>
          <w:sz w:val="20"/>
          <w:szCs w:val="20"/>
          <w:lang w:val="es-CO"/>
        </w:rPr>
        <w:t xml:space="preserve"> declarada mediante decisión de 25 de junio de 1996, </w:t>
      </w:r>
      <w:r w:rsidRPr="00D94314">
        <w:rPr>
          <w:rFonts w:asciiTheme="majorHAnsi" w:hAnsiTheme="majorHAnsi"/>
          <w:sz w:val="20"/>
          <w:szCs w:val="20"/>
          <w:lang w:val="es-CO"/>
        </w:rPr>
        <w:t xml:space="preserve">el Estado peruano se ha abstenido de reponer las cosas al estado anterior a la aplicación de los decretos, omitiendo el pago de los beneficios laborales adeudados y reconocidos </w:t>
      </w:r>
      <w:r w:rsidR="00D6073A" w:rsidRPr="00D94314">
        <w:rPr>
          <w:rFonts w:asciiTheme="majorHAnsi" w:hAnsiTheme="majorHAnsi"/>
          <w:sz w:val="20"/>
          <w:szCs w:val="20"/>
          <w:lang w:val="es-CO"/>
        </w:rPr>
        <w:t xml:space="preserve">judicialmente. </w:t>
      </w:r>
    </w:p>
    <w:p w14:paraId="4B4359CC" w14:textId="77777777" w:rsidR="008C184C" w:rsidRPr="00D94314" w:rsidRDefault="008C184C" w:rsidP="00203785">
      <w:pPr>
        <w:jc w:val="both"/>
        <w:rPr>
          <w:rFonts w:asciiTheme="majorHAnsi" w:hAnsiTheme="majorHAnsi"/>
          <w:sz w:val="20"/>
          <w:szCs w:val="20"/>
          <w:lang w:val="es-CO"/>
        </w:rPr>
      </w:pPr>
    </w:p>
    <w:p w14:paraId="5E4C42BC" w14:textId="0B1FCB89" w:rsidR="008C184C" w:rsidRPr="00D94314" w:rsidRDefault="008C184C" w:rsidP="00EB3840">
      <w:pPr>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lastRenderedPageBreak/>
        <w:t>Afirm</w:t>
      </w:r>
      <w:r w:rsidR="00EB3840" w:rsidRPr="00D94314">
        <w:rPr>
          <w:rFonts w:asciiTheme="majorHAnsi" w:hAnsiTheme="majorHAnsi"/>
          <w:sz w:val="20"/>
          <w:szCs w:val="20"/>
          <w:lang w:val="es-CO"/>
        </w:rPr>
        <w:t>ó</w:t>
      </w:r>
      <w:r w:rsidRPr="00D94314">
        <w:rPr>
          <w:rFonts w:asciiTheme="majorHAnsi" w:hAnsiTheme="majorHAnsi"/>
          <w:sz w:val="20"/>
          <w:szCs w:val="20"/>
          <w:lang w:val="es-CO"/>
        </w:rPr>
        <w:t xml:space="preserve"> que</w:t>
      </w:r>
      <w:r w:rsidR="00203785" w:rsidRPr="00D94314">
        <w:rPr>
          <w:rFonts w:asciiTheme="majorHAnsi" w:hAnsiTheme="majorHAnsi"/>
          <w:sz w:val="20"/>
          <w:szCs w:val="20"/>
          <w:lang w:val="es-CO"/>
        </w:rPr>
        <w:t xml:space="preserve"> la falta de ejecución de la sentencia se ha debido a </w:t>
      </w:r>
      <w:r w:rsidRPr="00D94314">
        <w:rPr>
          <w:rFonts w:asciiTheme="majorHAnsi" w:hAnsiTheme="majorHAnsi"/>
          <w:sz w:val="20"/>
          <w:szCs w:val="20"/>
          <w:lang w:val="es-CO"/>
        </w:rPr>
        <w:t xml:space="preserve">dilaciones judiciales consistentes en disponer </w:t>
      </w:r>
      <w:r w:rsidR="00203785" w:rsidRPr="00D94314">
        <w:rPr>
          <w:rFonts w:asciiTheme="majorHAnsi" w:hAnsiTheme="majorHAnsi"/>
          <w:sz w:val="20"/>
          <w:szCs w:val="20"/>
          <w:lang w:val="es-CO"/>
        </w:rPr>
        <w:t xml:space="preserve">reiteradamente </w:t>
      </w:r>
      <w:r w:rsidRPr="00D94314">
        <w:rPr>
          <w:rFonts w:asciiTheme="majorHAnsi" w:hAnsiTheme="majorHAnsi"/>
          <w:sz w:val="20"/>
          <w:szCs w:val="20"/>
          <w:lang w:val="es-CO"/>
        </w:rPr>
        <w:t>nuevas pericias</w:t>
      </w:r>
      <w:r w:rsidR="00EB3840" w:rsidRPr="00D94314">
        <w:rPr>
          <w:rFonts w:asciiTheme="majorHAnsi" w:hAnsiTheme="majorHAnsi"/>
          <w:sz w:val="20"/>
          <w:szCs w:val="20"/>
          <w:lang w:val="es-CO"/>
        </w:rPr>
        <w:t xml:space="preserve"> en las cuales los peritos son renuentes en sus errores. </w:t>
      </w:r>
      <w:r w:rsidR="003C4692" w:rsidRPr="00D94314">
        <w:rPr>
          <w:rFonts w:asciiTheme="majorHAnsi" w:hAnsiTheme="majorHAnsi"/>
          <w:sz w:val="20"/>
          <w:szCs w:val="20"/>
          <w:lang w:val="es-CO"/>
        </w:rPr>
        <w:t>Agreg</w:t>
      </w:r>
      <w:r w:rsidR="00EB3840" w:rsidRPr="00D94314">
        <w:rPr>
          <w:rFonts w:asciiTheme="majorHAnsi" w:hAnsiTheme="majorHAnsi"/>
          <w:sz w:val="20"/>
          <w:szCs w:val="20"/>
          <w:lang w:val="es-CO"/>
        </w:rPr>
        <w:t>ó</w:t>
      </w:r>
      <w:r w:rsidR="003C4692" w:rsidRPr="00D94314">
        <w:rPr>
          <w:rFonts w:asciiTheme="majorHAnsi" w:hAnsiTheme="majorHAnsi"/>
          <w:sz w:val="20"/>
          <w:szCs w:val="20"/>
          <w:lang w:val="es-CO"/>
        </w:rPr>
        <w:t xml:space="preserve"> que el </w:t>
      </w:r>
      <w:r w:rsidRPr="00D94314">
        <w:rPr>
          <w:rFonts w:asciiTheme="majorHAnsi" w:hAnsiTheme="majorHAnsi"/>
          <w:sz w:val="20"/>
          <w:szCs w:val="20"/>
          <w:lang w:val="es-CO"/>
        </w:rPr>
        <w:t>14 de enero de 1999</w:t>
      </w:r>
      <w:r w:rsidR="003C4692" w:rsidRPr="00D94314">
        <w:rPr>
          <w:rFonts w:asciiTheme="majorHAnsi" w:hAnsiTheme="majorHAnsi"/>
          <w:sz w:val="20"/>
          <w:szCs w:val="20"/>
          <w:lang w:val="es-CO"/>
        </w:rPr>
        <w:t xml:space="preserve"> se</w:t>
      </w:r>
      <w:r w:rsidR="00D236D0" w:rsidRPr="00D94314">
        <w:rPr>
          <w:rFonts w:asciiTheme="majorHAnsi" w:hAnsiTheme="majorHAnsi"/>
          <w:sz w:val="20"/>
          <w:szCs w:val="20"/>
          <w:lang w:val="es-CO"/>
        </w:rPr>
        <w:t xml:space="preserve"> emitió un fallo judicial en el marco de</w:t>
      </w:r>
      <w:r w:rsidR="00C54455" w:rsidRPr="00D94314">
        <w:rPr>
          <w:rFonts w:asciiTheme="majorHAnsi" w:hAnsiTheme="majorHAnsi"/>
          <w:sz w:val="20"/>
          <w:szCs w:val="20"/>
          <w:lang w:val="es-CO"/>
        </w:rPr>
        <w:t>l</w:t>
      </w:r>
      <w:r w:rsidR="00D236D0" w:rsidRPr="00D94314">
        <w:rPr>
          <w:rFonts w:asciiTheme="majorHAnsi" w:hAnsiTheme="majorHAnsi"/>
          <w:sz w:val="20"/>
          <w:szCs w:val="20"/>
          <w:lang w:val="es-CO"/>
        </w:rPr>
        <w:t xml:space="preserve"> proceso de ejecución de sentencia en el que se incluyó un </w:t>
      </w:r>
      <w:r w:rsidRPr="00D94314">
        <w:rPr>
          <w:rFonts w:asciiTheme="majorHAnsi" w:hAnsiTheme="majorHAnsi"/>
          <w:sz w:val="20"/>
          <w:szCs w:val="20"/>
          <w:lang w:val="es-CO"/>
        </w:rPr>
        <w:t>razonamiento contradictorio, ya que por un lado establece que el informe pericial se realiza únicamente para “informar al juzgado”, mas no para determinar el monto de los devengados para efectos de pago, pero a la vez, como el informe pericial no arroja determinación de sumas a pagar, opta por declarar inadmisible la demanda de ejecución de pago</w:t>
      </w:r>
      <w:r w:rsidR="00F27199" w:rsidRPr="00D94314">
        <w:rPr>
          <w:rFonts w:asciiTheme="majorHAnsi" w:hAnsiTheme="majorHAnsi"/>
          <w:sz w:val="20"/>
          <w:szCs w:val="20"/>
          <w:lang w:val="es-CO"/>
        </w:rPr>
        <w:t>.</w:t>
      </w:r>
      <w:r w:rsidRPr="00D94314">
        <w:rPr>
          <w:rFonts w:asciiTheme="majorHAnsi" w:hAnsiTheme="majorHAnsi"/>
          <w:sz w:val="20"/>
          <w:szCs w:val="20"/>
          <w:lang w:val="es-CO"/>
        </w:rPr>
        <w:t xml:space="preserve"> </w:t>
      </w:r>
      <w:r w:rsidR="00EB3840" w:rsidRPr="00D94314">
        <w:rPr>
          <w:rFonts w:asciiTheme="majorHAnsi" w:hAnsiTheme="majorHAnsi"/>
          <w:sz w:val="20"/>
          <w:szCs w:val="20"/>
          <w:lang w:val="es-CO"/>
        </w:rPr>
        <w:t xml:space="preserve">Continuó narrando que el 12 de febrero de 1999 la </w:t>
      </w:r>
      <w:r w:rsidRPr="00D94314">
        <w:rPr>
          <w:rFonts w:asciiTheme="majorHAnsi" w:hAnsiTheme="majorHAnsi"/>
          <w:sz w:val="20"/>
          <w:szCs w:val="20"/>
          <w:lang w:val="es-CO"/>
        </w:rPr>
        <w:t xml:space="preserve">Sala Corporativa Transitoria Especializada de Derecho Público confirmó la improcedencia de la demanda de ejecución, </w:t>
      </w:r>
      <w:r w:rsidR="009841F8" w:rsidRPr="00D94314">
        <w:rPr>
          <w:rFonts w:asciiTheme="majorHAnsi" w:hAnsiTheme="majorHAnsi"/>
          <w:sz w:val="20"/>
          <w:szCs w:val="20"/>
          <w:lang w:val="es-CO"/>
        </w:rPr>
        <w:t xml:space="preserve">también con </w:t>
      </w:r>
      <w:r w:rsidRPr="00D94314">
        <w:rPr>
          <w:rFonts w:asciiTheme="majorHAnsi" w:hAnsiTheme="majorHAnsi"/>
          <w:sz w:val="20"/>
          <w:szCs w:val="20"/>
          <w:lang w:val="es-CO"/>
        </w:rPr>
        <w:t>un razonamiento ambiguo en tormo a la pertinencia de la demanda. Así, indic</w:t>
      </w:r>
      <w:r w:rsidR="009841F8" w:rsidRPr="00D94314">
        <w:rPr>
          <w:rFonts w:asciiTheme="majorHAnsi" w:hAnsiTheme="majorHAnsi"/>
          <w:sz w:val="20"/>
          <w:szCs w:val="20"/>
          <w:lang w:val="es-CO"/>
        </w:rPr>
        <w:t>ó</w:t>
      </w:r>
      <w:r w:rsidRPr="00D94314">
        <w:rPr>
          <w:rFonts w:asciiTheme="majorHAnsi" w:hAnsiTheme="majorHAnsi"/>
          <w:sz w:val="20"/>
          <w:szCs w:val="20"/>
          <w:lang w:val="es-CO"/>
        </w:rPr>
        <w:t xml:space="preserve"> que la Sala establece en primer lugar que la pretensión del SUTECASA, al implicar un análisis de orden laboral, no resultaba procedente en el marco de una acción constitucional de ampar</w:t>
      </w:r>
      <w:r w:rsidR="009841F8" w:rsidRPr="00D94314">
        <w:rPr>
          <w:rFonts w:asciiTheme="majorHAnsi" w:hAnsiTheme="majorHAnsi"/>
          <w:sz w:val="20"/>
          <w:szCs w:val="20"/>
          <w:lang w:val="es-CO"/>
        </w:rPr>
        <w:t xml:space="preserve">o, pero </w:t>
      </w:r>
      <w:r w:rsidRPr="00D94314">
        <w:rPr>
          <w:rFonts w:asciiTheme="majorHAnsi" w:hAnsiTheme="majorHAnsi"/>
          <w:sz w:val="20"/>
          <w:szCs w:val="20"/>
          <w:lang w:val="es-CO"/>
        </w:rPr>
        <w:t>luego establece que no existen adeudos que saldar</w:t>
      </w:r>
      <w:r w:rsidR="009841F8" w:rsidRPr="00D94314">
        <w:rPr>
          <w:rFonts w:asciiTheme="majorHAnsi" w:hAnsiTheme="majorHAnsi"/>
          <w:sz w:val="20"/>
          <w:szCs w:val="20"/>
          <w:lang w:val="es-CO"/>
        </w:rPr>
        <w:t xml:space="preserve"> poniendo fin al conflicto y declarando que el proceso “ha concluido por cumplimiento de su finalidad”. </w:t>
      </w:r>
    </w:p>
    <w:p w14:paraId="2EA9145E" w14:textId="77777777" w:rsidR="008C184C" w:rsidRPr="00D94314" w:rsidRDefault="008C184C" w:rsidP="004B3C3D">
      <w:pPr>
        <w:ind w:left="720"/>
        <w:jc w:val="both"/>
        <w:rPr>
          <w:rFonts w:asciiTheme="majorHAnsi" w:hAnsiTheme="majorHAnsi"/>
          <w:sz w:val="20"/>
          <w:szCs w:val="20"/>
          <w:lang w:val="es-CO"/>
        </w:rPr>
      </w:pPr>
    </w:p>
    <w:p w14:paraId="277F2D78" w14:textId="687C6F7D" w:rsidR="008C184C" w:rsidRPr="00D94314" w:rsidRDefault="00DC57D6" w:rsidP="008C184C">
      <w:pPr>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Señaló que</w:t>
      </w:r>
      <w:r w:rsidR="0086218D" w:rsidRPr="00D94314">
        <w:rPr>
          <w:rFonts w:asciiTheme="majorHAnsi" w:hAnsiTheme="majorHAnsi"/>
          <w:sz w:val="20"/>
          <w:szCs w:val="20"/>
          <w:lang w:val="es-CO"/>
        </w:rPr>
        <w:t xml:space="preserve"> </w:t>
      </w:r>
      <w:r w:rsidR="008C184C" w:rsidRPr="00D94314">
        <w:rPr>
          <w:rFonts w:asciiTheme="majorHAnsi" w:hAnsiTheme="majorHAnsi"/>
          <w:sz w:val="20"/>
          <w:szCs w:val="20"/>
          <w:lang w:val="es-CO"/>
        </w:rPr>
        <w:t xml:space="preserve">ante el fallido intento de ejecución de la sentencia de amparo, los trabajadores de SUTECASA de manera independiente, interpusieron demandas de </w:t>
      </w:r>
      <w:r w:rsidR="0086218D" w:rsidRPr="00D94314">
        <w:rPr>
          <w:rFonts w:asciiTheme="majorHAnsi" w:hAnsiTheme="majorHAnsi"/>
          <w:sz w:val="20"/>
          <w:szCs w:val="20"/>
          <w:lang w:val="es-CO"/>
        </w:rPr>
        <w:t>b</w:t>
      </w:r>
      <w:r w:rsidR="008C184C" w:rsidRPr="00D94314">
        <w:rPr>
          <w:rFonts w:asciiTheme="majorHAnsi" w:hAnsiTheme="majorHAnsi"/>
          <w:sz w:val="20"/>
          <w:szCs w:val="20"/>
          <w:lang w:val="es-CO"/>
        </w:rPr>
        <w:t xml:space="preserve">eneficios </w:t>
      </w:r>
      <w:r w:rsidR="0086218D" w:rsidRPr="00D94314">
        <w:rPr>
          <w:rFonts w:asciiTheme="majorHAnsi" w:hAnsiTheme="majorHAnsi"/>
          <w:sz w:val="20"/>
          <w:szCs w:val="20"/>
          <w:lang w:val="es-CO"/>
        </w:rPr>
        <w:t>s</w:t>
      </w:r>
      <w:r w:rsidR="008C184C" w:rsidRPr="00D94314">
        <w:rPr>
          <w:rFonts w:asciiTheme="majorHAnsi" w:hAnsiTheme="majorHAnsi"/>
          <w:sz w:val="20"/>
          <w:szCs w:val="20"/>
          <w:lang w:val="es-CO"/>
        </w:rPr>
        <w:t xml:space="preserve">ociales, solicitando el pago que por ley les correspondía a consecuencia de la indebida aplicación de los Decretos Supremos. </w:t>
      </w:r>
      <w:r w:rsidR="0086218D" w:rsidRPr="00D94314">
        <w:rPr>
          <w:rFonts w:asciiTheme="majorHAnsi" w:hAnsiTheme="majorHAnsi"/>
          <w:sz w:val="20"/>
          <w:szCs w:val="20"/>
          <w:lang w:val="es-CO"/>
        </w:rPr>
        <w:t xml:space="preserve">Agregó que estas </w:t>
      </w:r>
      <w:r w:rsidR="008C184C" w:rsidRPr="00D94314">
        <w:rPr>
          <w:rFonts w:asciiTheme="majorHAnsi" w:hAnsiTheme="majorHAnsi"/>
          <w:sz w:val="20"/>
          <w:szCs w:val="20"/>
          <w:lang w:val="es-CO"/>
        </w:rPr>
        <w:t xml:space="preserve">demandas fueron declaradas fundadas en algunos casos, ordenándose el pago correspondiente por los beneficios en aplicación del Convenio, </w:t>
      </w:r>
      <w:r w:rsidR="00090D2B" w:rsidRPr="00D94314">
        <w:rPr>
          <w:rFonts w:asciiTheme="majorHAnsi" w:hAnsiTheme="majorHAnsi"/>
          <w:sz w:val="20"/>
          <w:szCs w:val="20"/>
          <w:lang w:val="es-CO"/>
        </w:rPr>
        <w:t xml:space="preserve">pero que hubo </w:t>
      </w:r>
      <w:r w:rsidR="008C184C" w:rsidRPr="00D94314">
        <w:rPr>
          <w:rFonts w:asciiTheme="majorHAnsi" w:hAnsiTheme="majorHAnsi"/>
          <w:sz w:val="20"/>
          <w:szCs w:val="20"/>
          <w:lang w:val="es-CO"/>
        </w:rPr>
        <w:t xml:space="preserve">algunas demandas desestimadas y otras declaradas improcedentes pese a que las pretensiones eran las mismas. </w:t>
      </w:r>
    </w:p>
    <w:p w14:paraId="55002DD5" w14:textId="77777777" w:rsidR="008C184C" w:rsidRPr="00D94314" w:rsidRDefault="008C184C" w:rsidP="004B3C3D">
      <w:pPr>
        <w:ind w:left="720"/>
        <w:jc w:val="both"/>
        <w:rPr>
          <w:rFonts w:asciiTheme="majorHAnsi" w:hAnsiTheme="majorHAnsi"/>
          <w:sz w:val="20"/>
          <w:szCs w:val="20"/>
          <w:lang w:val="es-CO"/>
        </w:rPr>
      </w:pPr>
    </w:p>
    <w:p w14:paraId="028F5A27" w14:textId="53698B6E" w:rsidR="008C184C" w:rsidRPr="00D94314" w:rsidRDefault="008C184C" w:rsidP="00D1392C">
      <w:pPr>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 xml:space="preserve">Sobre la posición el Estado </w:t>
      </w:r>
      <w:r w:rsidR="000B716E" w:rsidRPr="00D94314">
        <w:rPr>
          <w:rFonts w:asciiTheme="majorHAnsi" w:hAnsiTheme="majorHAnsi"/>
          <w:sz w:val="20"/>
          <w:szCs w:val="20"/>
          <w:lang w:val="es-CO"/>
        </w:rPr>
        <w:t xml:space="preserve">conforme a la cual </w:t>
      </w:r>
      <w:r w:rsidRPr="00D94314">
        <w:rPr>
          <w:rFonts w:asciiTheme="majorHAnsi" w:hAnsiTheme="majorHAnsi"/>
          <w:sz w:val="20"/>
          <w:szCs w:val="20"/>
          <w:lang w:val="es-CO"/>
        </w:rPr>
        <w:t>los peticionarios debieron recurrir al proceso ordinario laboral</w:t>
      </w:r>
      <w:r w:rsidR="00E015D4" w:rsidRPr="00D94314">
        <w:rPr>
          <w:rFonts w:asciiTheme="majorHAnsi" w:hAnsiTheme="majorHAnsi"/>
          <w:sz w:val="20"/>
          <w:szCs w:val="20"/>
          <w:lang w:val="es-CO"/>
        </w:rPr>
        <w:t xml:space="preserve"> </w:t>
      </w:r>
      <w:r w:rsidRPr="00D94314">
        <w:rPr>
          <w:rFonts w:asciiTheme="majorHAnsi" w:hAnsiTheme="majorHAnsi"/>
          <w:sz w:val="20"/>
          <w:szCs w:val="20"/>
          <w:lang w:val="es-CO"/>
        </w:rPr>
        <w:t>por cuanto en el proceso constitucional de amparo no cabe discutir reclamos laborales</w:t>
      </w:r>
      <w:r w:rsidR="00E015D4" w:rsidRPr="00D94314">
        <w:rPr>
          <w:rFonts w:asciiTheme="majorHAnsi" w:hAnsiTheme="majorHAnsi"/>
          <w:sz w:val="20"/>
          <w:szCs w:val="20"/>
          <w:lang w:val="es-CO"/>
        </w:rPr>
        <w:t xml:space="preserve">, indicó que esta </w:t>
      </w:r>
      <w:r w:rsidRPr="00D94314">
        <w:rPr>
          <w:rFonts w:asciiTheme="majorHAnsi" w:hAnsiTheme="majorHAnsi"/>
          <w:sz w:val="20"/>
          <w:szCs w:val="20"/>
          <w:lang w:val="es-CO"/>
        </w:rPr>
        <w:t>afirmación carece de sentido puesto que</w:t>
      </w:r>
      <w:r w:rsidR="000A2834" w:rsidRPr="00D94314">
        <w:rPr>
          <w:rFonts w:asciiTheme="majorHAnsi" w:hAnsiTheme="majorHAnsi"/>
          <w:sz w:val="20"/>
          <w:szCs w:val="20"/>
          <w:lang w:val="es-CO"/>
        </w:rPr>
        <w:t xml:space="preserve"> fue </w:t>
      </w:r>
      <w:r w:rsidRPr="00D94314">
        <w:rPr>
          <w:rFonts w:asciiTheme="majorHAnsi" w:hAnsiTheme="majorHAnsi"/>
          <w:sz w:val="20"/>
          <w:szCs w:val="20"/>
          <w:lang w:val="es-CO"/>
        </w:rPr>
        <w:t>recién con la entrada en vigencia del Código Procesal Constitucional – Ley 28237 del 1 de junio de 2004, que se produ</w:t>
      </w:r>
      <w:r w:rsidR="000A2834" w:rsidRPr="00D94314">
        <w:rPr>
          <w:rFonts w:asciiTheme="majorHAnsi" w:hAnsiTheme="majorHAnsi"/>
          <w:sz w:val="20"/>
          <w:szCs w:val="20"/>
          <w:lang w:val="es-CO"/>
        </w:rPr>
        <w:t>jo</w:t>
      </w:r>
      <w:r w:rsidRPr="00D94314">
        <w:rPr>
          <w:rFonts w:asciiTheme="majorHAnsi" w:hAnsiTheme="majorHAnsi"/>
          <w:sz w:val="20"/>
          <w:szCs w:val="20"/>
          <w:lang w:val="es-CO"/>
        </w:rPr>
        <w:t xml:space="preserve"> un cambio en el régimen legal del proceso de amparo ya que se establece, entre otros asuntos, la subsidiariedad para la procedencia de demandas de amparo.</w:t>
      </w:r>
      <w:r w:rsidR="00D1392C" w:rsidRPr="00D94314">
        <w:rPr>
          <w:rFonts w:asciiTheme="majorHAnsi" w:hAnsiTheme="majorHAnsi"/>
          <w:sz w:val="20"/>
          <w:szCs w:val="20"/>
          <w:lang w:val="es-CO"/>
        </w:rPr>
        <w:t xml:space="preserve"> </w:t>
      </w:r>
      <w:r w:rsidR="00581B20" w:rsidRPr="00D94314">
        <w:rPr>
          <w:rFonts w:asciiTheme="majorHAnsi" w:hAnsiTheme="majorHAnsi"/>
          <w:sz w:val="20"/>
          <w:szCs w:val="20"/>
          <w:lang w:val="es-CO"/>
        </w:rPr>
        <w:t xml:space="preserve">Agregó que conforme al marco normativo vigente cuando se produjeron </w:t>
      </w:r>
      <w:r w:rsidRPr="00D94314">
        <w:rPr>
          <w:rFonts w:asciiTheme="majorHAnsi" w:hAnsiTheme="majorHAnsi"/>
          <w:sz w:val="20"/>
          <w:szCs w:val="20"/>
          <w:lang w:val="es-CO"/>
        </w:rPr>
        <w:t>los hechos, las acciones de garantía</w:t>
      </w:r>
      <w:r w:rsidR="00A20EC1" w:rsidRPr="00D94314">
        <w:rPr>
          <w:rFonts w:asciiTheme="majorHAnsi" w:hAnsiTheme="majorHAnsi"/>
          <w:sz w:val="20"/>
          <w:szCs w:val="20"/>
          <w:lang w:val="es-CO"/>
        </w:rPr>
        <w:t xml:space="preserve">, incluyendo el amparo, procedían </w:t>
      </w:r>
      <w:r w:rsidRPr="00D94314">
        <w:rPr>
          <w:rFonts w:asciiTheme="majorHAnsi" w:hAnsiTheme="majorHAnsi"/>
          <w:sz w:val="20"/>
          <w:szCs w:val="20"/>
          <w:lang w:val="es-CO"/>
        </w:rPr>
        <w:t>en los casos en que se violen o amenacen los derechos constitucionales por acción, o por omisión</w:t>
      </w:r>
      <w:r w:rsidR="005859B2" w:rsidRPr="00D94314">
        <w:rPr>
          <w:rFonts w:asciiTheme="majorHAnsi" w:hAnsiTheme="majorHAnsi"/>
          <w:sz w:val="20"/>
          <w:szCs w:val="20"/>
          <w:lang w:val="es-CO"/>
        </w:rPr>
        <w:t xml:space="preserve">. </w:t>
      </w:r>
      <w:r w:rsidRPr="00D94314">
        <w:rPr>
          <w:rFonts w:asciiTheme="majorHAnsi" w:hAnsiTheme="majorHAnsi"/>
          <w:sz w:val="20"/>
          <w:szCs w:val="20"/>
          <w:lang w:val="es-CO"/>
        </w:rPr>
        <w:t xml:space="preserve"> </w:t>
      </w:r>
    </w:p>
    <w:p w14:paraId="50823C5F" w14:textId="77777777" w:rsidR="008C184C" w:rsidRPr="00D94314" w:rsidRDefault="008C184C" w:rsidP="004B3C3D">
      <w:pPr>
        <w:ind w:left="720"/>
        <w:jc w:val="both"/>
        <w:rPr>
          <w:rFonts w:asciiTheme="majorHAnsi" w:hAnsiTheme="majorHAnsi"/>
          <w:sz w:val="20"/>
          <w:szCs w:val="20"/>
          <w:lang w:val="es-CO"/>
        </w:rPr>
      </w:pPr>
    </w:p>
    <w:p w14:paraId="2F52D6D1" w14:textId="5DD00BDA" w:rsidR="008C184C" w:rsidRPr="00D94314" w:rsidRDefault="008C184C" w:rsidP="008C184C">
      <w:pPr>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Inform</w:t>
      </w:r>
      <w:r w:rsidR="003A35D9" w:rsidRPr="00D94314">
        <w:rPr>
          <w:rFonts w:asciiTheme="majorHAnsi" w:hAnsiTheme="majorHAnsi"/>
          <w:sz w:val="20"/>
          <w:szCs w:val="20"/>
          <w:lang w:val="es-CO"/>
        </w:rPr>
        <w:t>ó</w:t>
      </w:r>
      <w:r w:rsidRPr="00D94314">
        <w:rPr>
          <w:rFonts w:asciiTheme="majorHAnsi" w:hAnsiTheme="majorHAnsi"/>
          <w:sz w:val="20"/>
          <w:szCs w:val="20"/>
          <w:lang w:val="es-CO"/>
        </w:rPr>
        <w:t xml:space="preserve"> que desde que la petición fue elevada a la Comisión, más de 80 asociados del sindicato peticionario ha</w:t>
      </w:r>
      <w:r w:rsidR="00C54455" w:rsidRPr="00D94314">
        <w:rPr>
          <w:rFonts w:asciiTheme="majorHAnsi" w:hAnsiTheme="majorHAnsi"/>
          <w:sz w:val="20"/>
          <w:szCs w:val="20"/>
          <w:lang w:val="es-CO"/>
        </w:rPr>
        <w:t>n</w:t>
      </w:r>
      <w:r w:rsidRPr="00D94314">
        <w:rPr>
          <w:rFonts w:asciiTheme="majorHAnsi" w:hAnsiTheme="majorHAnsi"/>
          <w:sz w:val="20"/>
          <w:szCs w:val="20"/>
          <w:lang w:val="es-CO"/>
        </w:rPr>
        <w:t xml:space="preserve"> sufrido la muerte.</w:t>
      </w:r>
    </w:p>
    <w:p w14:paraId="1807D34A" w14:textId="77777777" w:rsidR="008C184C" w:rsidRPr="00D94314" w:rsidRDefault="008C184C" w:rsidP="004B3C3D">
      <w:pPr>
        <w:ind w:left="720"/>
        <w:jc w:val="both"/>
        <w:rPr>
          <w:rFonts w:asciiTheme="majorHAnsi" w:hAnsiTheme="majorHAnsi"/>
          <w:sz w:val="20"/>
          <w:szCs w:val="20"/>
          <w:lang w:val="es-CO"/>
        </w:rPr>
      </w:pPr>
    </w:p>
    <w:p w14:paraId="7C13EFAC" w14:textId="774EF7A6" w:rsidR="008C184C" w:rsidRPr="00D94314" w:rsidRDefault="003A35D9" w:rsidP="00861529">
      <w:pPr>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 xml:space="preserve">En cuanto al derecho, consideró que </w:t>
      </w:r>
      <w:r w:rsidR="008C184C" w:rsidRPr="00D94314">
        <w:rPr>
          <w:rFonts w:asciiTheme="majorHAnsi" w:hAnsiTheme="majorHAnsi"/>
          <w:sz w:val="20"/>
          <w:szCs w:val="20"/>
          <w:lang w:val="es-CO"/>
        </w:rPr>
        <w:t>el Estado vulneró los artículos 8 y 25 de la Convención, pues hasta 2009</w:t>
      </w:r>
      <w:r w:rsidRPr="00D94314">
        <w:rPr>
          <w:rFonts w:asciiTheme="majorHAnsi" w:hAnsiTheme="majorHAnsi"/>
          <w:sz w:val="20"/>
          <w:szCs w:val="20"/>
          <w:lang w:val="es-CO"/>
        </w:rPr>
        <w:t xml:space="preserve"> </w:t>
      </w:r>
      <w:r w:rsidR="008C184C" w:rsidRPr="00D94314">
        <w:rPr>
          <w:rFonts w:asciiTheme="majorHAnsi" w:hAnsiTheme="majorHAnsi"/>
          <w:sz w:val="20"/>
          <w:szCs w:val="20"/>
          <w:lang w:val="es-CO"/>
        </w:rPr>
        <w:t>llevaban más de 10 años intentando ejecutar la resolución del Tribunal de Garantías Constitucionales y que tuvieron que iniciar un nuevo proceso de ejecución de sentencia para realizar el cálculo de los montos adeudados. Aleg</w:t>
      </w:r>
      <w:r w:rsidR="00AD6BF5" w:rsidRPr="00D94314">
        <w:rPr>
          <w:rFonts w:asciiTheme="majorHAnsi" w:hAnsiTheme="majorHAnsi"/>
          <w:sz w:val="20"/>
          <w:szCs w:val="20"/>
          <w:lang w:val="es-CO"/>
        </w:rPr>
        <w:t>ó</w:t>
      </w:r>
      <w:r w:rsidR="008C184C" w:rsidRPr="00D94314">
        <w:rPr>
          <w:rFonts w:asciiTheme="majorHAnsi" w:hAnsiTheme="majorHAnsi"/>
          <w:sz w:val="20"/>
          <w:szCs w:val="20"/>
          <w:lang w:val="es-CO"/>
        </w:rPr>
        <w:t xml:space="preserve"> que el hecho de permitir una pericia errónea y archivar el proceso de ejecución de sentencia, no solo impidió que los peticionarios tuvieran la posibilidad de ejecutar una resolución judicial a su favor, sino que también ha dilatado el mismo, vulnerando el acceso a un proceso eficaz.</w:t>
      </w:r>
      <w:r w:rsidR="00AD6BF5" w:rsidRPr="00D94314">
        <w:rPr>
          <w:rFonts w:asciiTheme="majorHAnsi" w:hAnsiTheme="majorHAnsi"/>
          <w:sz w:val="20"/>
          <w:szCs w:val="20"/>
          <w:lang w:val="es-CO"/>
        </w:rPr>
        <w:t xml:space="preserve"> </w:t>
      </w:r>
      <w:r w:rsidR="008C184C" w:rsidRPr="00D94314">
        <w:rPr>
          <w:rFonts w:asciiTheme="majorHAnsi" w:hAnsiTheme="majorHAnsi"/>
          <w:sz w:val="20"/>
          <w:szCs w:val="20"/>
          <w:lang w:val="es-CO"/>
        </w:rPr>
        <w:t>En cuanto al artículo 21</w:t>
      </w:r>
      <w:r w:rsidR="00AD6BF5" w:rsidRPr="00D94314">
        <w:rPr>
          <w:rFonts w:asciiTheme="majorHAnsi" w:hAnsiTheme="majorHAnsi"/>
          <w:sz w:val="20"/>
          <w:szCs w:val="20"/>
          <w:lang w:val="es-CO"/>
        </w:rPr>
        <w:t xml:space="preserve"> de la Convención, </w:t>
      </w:r>
      <w:r w:rsidR="008C184C" w:rsidRPr="00D94314">
        <w:rPr>
          <w:rFonts w:asciiTheme="majorHAnsi" w:hAnsiTheme="majorHAnsi"/>
          <w:sz w:val="20"/>
          <w:szCs w:val="20"/>
          <w:lang w:val="es-CO"/>
        </w:rPr>
        <w:t xml:space="preserve"> señal</w:t>
      </w:r>
      <w:r w:rsidR="00AD6BF5" w:rsidRPr="00D94314">
        <w:rPr>
          <w:rFonts w:asciiTheme="majorHAnsi" w:hAnsiTheme="majorHAnsi"/>
          <w:sz w:val="20"/>
          <w:szCs w:val="20"/>
          <w:lang w:val="es-CO"/>
        </w:rPr>
        <w:t>ó</w:t>
      </w:r>
      <w:r w:rsidR="008C184C" w:rsidRPr="00D94314">
        <w:rPr>
          <w:rFonts w:asciiTheme="majorHAnsi" w:hAnsiTheme="majorHAnsi"/>
          <w:sz w:val="20"/>
          <w:szCs w:val="20"/>
          <w:lang w:val="es-CO"/>
        </w:rPr>
        <w:t xml:space="preserve"> que la imposibilidad de ejecución de la sentencia privó a los peticionarios de recibir el dinero que ECASA les adeudaba, por el hecho de haber aplicado los topes establecidos en los Decretos Supremos, tanto a los trabajadores que se acogieron al Programa de Retiro Voluntario (que cobraron sus beneficios por un monto menor al que les correspondía en aplicación del Convenio Colectivo), como los trabajadores que permanecieron en la empresa y luego fueron cesados.</w:t>
      </w:r>
    </w:p>
    <w:p w14:paraId="71C19C96" w14:textId="77777777" w:rsidR="00D12193" w:rsidRPr="001A1D6A" w:rsidRDefault="00D12193" w:rsidP="001A1D6A">
      <w:pPr>
        <w:pStyle w:val="Heading2"/>
        <w:numPr>
          <w:ilvl w:val="0"/>
          <w:numId w:val="68"/>
        </w:numPr>
        <w:ind w:firstLine="0"/>
        <w:rPr>
          <w:rFonts w:asciiTheme="majorHAnsi" w:hAnsiTheme="majorHAnsi"/>
          <w:i w:val="0"/>
          <w:sz w:val="20"/>
          <w:szCs w:val="20"/>
        </w:rPr>
      </w:pPr>
      <w:bookmarkStart w:id="5" w:name="_Toc21421509"/>
      <w:r w:rsidRPr="001A1D6A">
        <w:rPr>
          <w:rFonts w:asciiTheme="majorHAnsi" w:hAnsiTheme="majorHAnsi"/>
          <w:i w:val="0"/>
          <w:sz w:val="20"/>
          <w:szCs w:val="20"/>
        </w:rPr>
        <w:t>ESTADO</w:t>
      </w:r>
      <w:bookmarkEnd w:id="5"/>
      <w:r w:rsidR="00CC63CF" w:rsidRPr="001A1D6A">
        <w:rPr>
          <w:rFonts w:asciiTheme="majorHAnsi" w:hAnsiTheme="majorHAnsi"/>
          <w:i w:val="0"/>
          <w:sz w:val="20"/>
          <w:szCs w:val="20"/>
        </w:rPr>
        <w:t xml:space="preserve"> </w:t>
      </w:r>
    </w:p>
    <w:p w14:paraId="2BA11384" w14:textId="77777777" w:rsidR="00605F3A" w:rsidRPr="00D94314" w:rsidRDefault="00605F3A" w:rsidP="006D72EB">
      <w:pPr>
        <w:ind w:left="720"/>
        <w:jc w:val="both"/>
        <w:rPr>
          <w:rFonts w:asciiTheme="majorHAnsi" w:hAnsiTheme="majorHAnsi"/>
          <w:sz w:val="20"/>
          <w:szCs w:val="20"/>
          <w:lang w:val="es-AR"/>
        </w:rPr>
      </w:pPr>
    </w:p>
    <w:p w14:paraId="3AF4277C" w14:textId="04B25CC1" w:rsidR="004B3C3D" w:rsidRPr="00D94314" w:rsidRDefault="00861529" w:rsidP="009D3BA4">
      <w:pPr>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 xml:space="preserve">El Estado recordó que la decisión de </w:t>
      </w:r>
      <w:r w:rsidR="004B3C3D" w:rsidRPr="00D94314">
        <w:rPr>
          <w:rFonts w:asciiTheme="majorHAnsi" w:hAnsiTheme="majorHAnsi"/>
          <w:sz w:val="20"/>
          <w:szCs w:val="20"/>
          <w:lang w:val="es-CO"/>
        </w:rPr>
        <w:t>16 de febrero de 1993, en la que se declaró finalmente fundada la</w:t>
      </w:r>
      <w:r w:rsidRPr="00D94314">
        <w:rPr>
          <w:rFonts w:asciiTheme="majorHAnsi" w:hAnsiTheme="majorHAnsi"/>
          <w:sz w:val="20"/>
          <w:szCs w:val="20"/>
          <w:lang w:val="es-CO"/>
        </w:rPr>
        <w:t xml:space="preserve"> acción de amparo, </w:t>
      </w:r>
      <w:r w:rsidR="004B3C3D" w:rsidRPr="00D94314">
        <w:rPr>
          <w:rFonts w:asciiTheme="majorHAnsi" w:hAnsiTheme="majorHAnsi"/>
          <w:sz w:val="20"/>
          <w:szCs w:val="20"/>
          <w:lang w:val="es-CO"/>
        </w:rPr>
        <w:t>se dejó a salvo el derecho de los demandantes a reclamar lo pertinente en la vía idónea</w:t>
      </w:r>
      <w:r w:rsidR="00ED145F" w:rsidRPr="00D94314">
        <w:rPr>
          <w:rFonts w:asciiTheme="majorHAnsi" w:hAnsiTheme="majorHAnsi"/>
          <w:sz w:val="20"/>
          <w:szCs w:val="20"/>
          <w:lang w:val="es-CO"/>
        </w:rPr>
        <w:t xml:space="preserve"> y</w:t>
      </w:r>
      <w:r w:rsidR="004B3C3D" w:rsidRPr="00D94314">
        <w:rPr>
          <w:rFonts w:asciiTheme="majorHAnsi" w:hAnsiTheme="majorHAnsi"/>
          <w:sz w:val="20"/>
          <w:szCs w:val="20"/>
          <w:lang w:val="es-CO"/>
        </w:rPr>
        <w:t xml:space="preserve"> se reiteró que eran inaplicables para los accionantes los Decretos Supremos 57-90-TR y 107-90-PCM</w:t>
      </w:r>
      <w:r w:rsidR="00ED145F" w:rsidRPr="00D94314">
        <w:rPr>
          <w:rFonts w:asciiTheme="majorHAnsi" w:hAnsiTheme="majorHAnsi"/>
          <w:sz w:val="20"/>
          <w:szCs w:val="20"/>
          <w:lang w:val="es-CO"/>
        </w:rPr>
        <w:t xml:space="preserve">. Indicó que </w:t>
      </w:r>
      <w:r w:rsidR="004B3C3D" w:rsidRPr="00D94314">
        <w:rPr>
          <w:rFonts w:asciiTheme="majorHAnsi" w:hAnsiTheme="majorHAnsi"/>
          <w:sz w:val="20"/>
          <w:szCs w:val="20"/>
          <w:lang w:val="es-CO"/>
        </w:rPr>
        <w:t>con esta providencia concluyó el proceso ya que su contenido es meramente declarativo, no conteniendo ningún mandato de pago.</w:t>
      </w:r>
      <w:r w:rsidR="004B3C3D" w:rsidRPr="00D94314">
        <w:rPr>
          <w:rFonts w:asciiTheme="majorHAnsi" w:hAnsiTheme="majorHAnsi"/>
          <w:sz w:val="20"/>
          <w:szCs w:val="20"/>
          <w:vertAlign w:val="superscript"/>
          <w:lang w:val="es-CO"/>
        </w:rPr>
        <w:t xml:space="preserve"> </w:t>
      </w:r>
      <w:r w:rsidR="005D1BC4" w:rsidRPr="00D94314">
        <w:rPr>
          <w:rFonts w:asciiTheme="majorHAnsi" w:hAnsiTheme="majorHAnsi"/>
          <w:sz w:val="20"/>
          <w:szCs w:val="20"/>
          <w:lang w:val="es-CO"/>
        </w:rPr>
        <w:t>Destacó</w:t>
      </w:r>
      <w:r w:rsidR="004B3C3D" w:rsidRPr="00D94314">
        <w:rPr>
          <w:rFonts w:asciiTheme="majorHAnsi" w:hAnsiTheme="majorHAnsi"/>
          <w:sz w:val="20"/>
          <w:szCs w:val="20"/>
          <w:lang w:val="es-CO"/>
        </w:rPr>
        <w:t xml:space="preserve"> que</w:t>
      </w:r>
      <w:r w:rsidR="00C971DE" w:rsidRPr="00D94314">
        <w:rPr>
          <w:rFonts w:asciiTheme="majorHAnsi" w:hAnsiTheme="majorHAnsi"/>
          <w:sz w:val="20"/>
          <w:szCs w:val="20"/>
          <w:lang w:val="es-CO"/>
        </w:rPr>
        <w:t xml:space="preserve"> en</w:t>
      </w:r>
      <w:r w:rsidR="004B3C3D" w:rsidRPr="00D94314">
        <w:rPr>
          <w:rFonts w:asciiTheme="majorHAnsi" w:hAnsiTheme="majorHAnsi"/>
          <w:sz w:val="20"/>
          <w:szCs w:val="20"/>
          <w:lang w:val="es-CO"/>
        </w:rPr>
        <w:t xml:space="preserve"> ninguna parte de la sentencia emitida en última instancia por la Corte Suprema de Justicia, en el referido proceso de amparo, se ordenó el pago de suma</w:t>
      </w:r>
      <w:r w:rsidR="00C971DE" w:rsidRPr="00D94314">
        <w:rPr>
          <w:rFonts w:asciiTheme="majorHAnsi" w:hAnsiTheme="majorHAnsi"/>
          <w:sz w:val="20"/>
          <w:szCs w:val="20"/>
          <w:lang w:val="es-CO"/>
        </w:rPr>
        <w:t xml:space="preserve">s </w:t>
      </w:r>
      <w:r w:rsidR="004B3C3D" w:rsidRPr="00D94314">
        <w:rPr>
          <w:rFonts w:asciiTheme="majorHAnsi" w:hAnsiTheme="majorHAnsi"/>
          <w:sz w:val="20"/>
          <w:szCs w:val="20"/>
          <w:lang w:val="es-CO"/>
        </w:rPr>
        <w:t>de dinero a favor de los peticionarios</w:t>
      </w:r>
      <w:r w:rsidR="00C971DE" w:rsidRPr="00D94314">
        <w:rPr>
          <w:rFonts w:asciiTheme="majorHAnsi" w:hAnsiTheme="majorHAnsi"/>
          <w:sz w:val="20"/>
          <w:szCs w:val="20"/>
          <w:lang w:val="es-CO"/>
        </w:rPr>
        <w:t xml:space="preserve">, </w:t>
      </w:r>
      <w:r w:rsidR="004B3C3D" w:rsidRPr="00D94314">
        <w:rPr>
          <w:rFonts w:asciiTheme="majorHAnsi" w:hAnsiTheme="majorHAnsi"/>
          <w:sz w:val="20"/>
          <w:szCs w:val="20"/>
          <w:lang w:val="es-CO"/>
        </w:rPr>
        <w:t>por lo que el Poder Judicial no pudo determinar dentro de la tramitación de dicha acción de garantía, si le</w:t>
      </w:r>
      <w:r w:rsidR="00C971DE" w:rsidRPr="00D94314">
        <w:rPr>
          <w:rFonts w:asciiTheme="majorHAnsi" w:hAnsiTheme="majorHAnsi"/>
          <w:sz w:val="20"/>
          <w:szCs w:val="20"/>
          <w:lang w:val="es-CO"/>
        </w:rPr>
        <w:t>s</w:t>
      </w:r>
      <w:r w:rsidR="004B3C3D" w:rsidRPr="00D94314">
        <w:rPr>
          <w:rFonts w:asciiTheme="majorHAnsi" w:hAnsiTheme="majorHAnsi"/>
          <w:sz w:val="20"/>
          <w:szCs w:val="20"/>
          <w:lang w:val="es-CO"/>
        </w:rPr>
        <w:t xml:space="preserve"> fueron aplicados o no los dispositivos legales cuestionados a los miembros del SUTECASA. </w:t>
      </w:r>
      <w:r w:rsidR="00E95D15" w:rsidRPr="00D94314">
        <w:rPr>
          <w:rFonts w:asciiTheme="majorHAnsi" w:hAnsiTheme="majorHAnsi"/>
          <w:sz w:val="20"/>
          <w:szCs w:val="20"/>
          <w:lang w:val="es-CO"/>
        </w:rPr>
        <w:t xml:space="preserve">Agregó que, debido a ello, </w:t>
      </w:r>
      <w:r w:rsidR="004B3C3D" w:rsidRPr="00D94314">
        <w:rPr>
          <w:rFonts w:asciiTheme="majorHAnsi" w:hAnsiTheme="majorHAnsi"/>
          <w:sz w:val="20"/>
          <w:szCs w:val="20"/>
          <w:lang w:val="es-CO"/>
        </w:rPr>
        <w:t xml:space="preserve">en </w:t>
      </w:r>
      <w:r w:rsidR="004B3C3D" w:rsidRPr="00D94314">
        <w:rPr>
          <w:rFonts w:asciiTheme="majorHAnsi" w:hAnsiTheme="majorHAnsi"/>
          <w:sz w:val="20"/>
          <w:szCs w:val="20"/>
          <w:lang w:val="es-CO"/>
        </w:rPr>
        <w:lastRenderedPageBreak/>
        <w:t>ejecución de sentencia, el órgano jurisdiccional ordenó se practicara</w:t>
      </w:r>
      <w:r w:rsidR="009D3BA4" w:rsidRPr="00D94314">
        <w:rPr>
          <w:rFonts w:asciiTheme="majorHAnsi" w:hAnsiTheme="majorHAnsi"/>
          <w:sz w:val="20"/>
          <w:szCs w:val="20"/>
          <w:lang w:val="es-CO"/>
        </w:rPr>
        <w:t>n</w:t>
      </w:r>
      <w:r w:rsidR="004B3C3D" w:rsidRPr="00D94314">
        <w:rPr>
          <w:rFonts w:asciiTheme="majorHAnsi" w:hAnsiTheme="majorHAnsi"/>
          <w:sz w:val="20"/>
          <w:szCs w:val="20"/>
          <w:lang w:val="es-CO"/>
        </w:rPr>
        <w:t xml:space="preserve"> perici</w:t>
      </w:r>
      <w:r w:rsidR="009D3BA4" w:rsidRPr="00D94314">
        <w:rPr>
          <w:rFonts w:asciiTheme="majorHAnsi" w:hAnsiTheme="majorHAnsi"/>
          <w:sz w:val="20"/>
          <w:szCs w:val="20"/>
          <w:lang w:val="es-CO"/>
        </w:rPr>
        <w:t>a</w:t>
      </w:r>
      <w:r w:rsidR="004B3C3D" w:rsidRPr="00D94314">
        <w:rPr>
          <w:rFonts w:asciiTheme="majorHAnsi" w:hAnsiTheme="majorHAnsi"/>
          <w:sz w:val="20"/>
          <w:szCs w:val="20"/>
          <w:lang w:val="es-CO"/>
        </w:rPr>
        <w:t xml:space="preserve"> contable</w:t>
      </w:r>
      <w:r w:rsidR="00EF3D80" w:rsidRPr="00D94314">
        <w:rPr>
          <w:rFonts w:asciiTheme="majorHAnsi" w:hAnsiTheme="majorHAnsi"/>
          <w:sz w:val="20"/>
          <w:szCs w:val="20"/>
          <w:lang w:val="es-CO"/>
        </w:rPr>
        <w:t>,</w:t>
      </w:r>
      <w:r w:rsidR="009D3BA4" w:rsidRPr="00D94314">
        <w:rPr>
          <w:rFonts w:asciiTheme="majorHAnsi" w:hAnsiTheme="majorHAnsi"/>
          <w:sz w:val="20"/>
          <w:szCs w:val="20"/>
          <w:lang w:val="es-CO"/>
        </w:rPr>
        <w:t xml:space="preserve"> </w:t>
      </w:r>
      <w:r w:rsidR="004B3C3D" w:rsidRPr="00D94314">
        <w:rPr>
          <w:rFonts w:asciiTheme="majorHAnsi" w:hAnsiTheme="majorHAnsi"/>
          <w:sz w:val="20"/>
          <w:szCs w:val="20"/>
          <w:lang w:val="es-CO"/>
        </w:rPr>
        <w:t>la misma que determinó la inexistencia de la aplicación de los Decretos Supremos cuestionados por los peticionarios y</w:t>
      </w:r>
      <w:r w:rsidR="00C710F6" w:rsidRPr="00D94314">
        <w:rPr>
          <w:rFonts w:asciiTheme="majorHAnsi" w:hAnsiTheme="majorHAnsi"/>
          <w:sz w:val="20"/>
          <w:szCs w:val="20"/>
          <w:lang w:val="es-CO"/>
        </w:rPr>
        <w:t xml:space="preserve">, </w:t>
      </w:r>
      <w:r w:rsidR="004B3C3D" w:rsidRPr="00D94314">
        <w:rPr>
          <w:rFonts w:asciiTheme="majorHAnsi" w:hAnsiTheme="majorHAnsi"/>
          <w:sz w:val="20"/>
          <w:szCs w:val="20"/>
          <w:lang w:val="es-CO"/>
        </w:rPr>
        <w:t xml:space="preserve">por ende, la inexistencia de deuda alguna. </w:t>
      </w:r>
    </w:p>
    <w:p w14:paraId="43010FEC" w14:textId="77777777" w:rsidR="004B3C3D" w:rsidRPr="00D94314" w:rsidRDefault="004B3C3D" w:rsidP="004B3C3D">
      <w:pPr>
        <w:jc w:val="both"/>
        <w:rPr>
          <w:rFonts w:asciiTheme="majorHAnsi" w:hAnsiTheme="majorHAnsi"/>
          <w:sz w:val="20"/>
          <w:szCs w:val="20"/>
          <w:lang w:val="es-CO"/>
        </w:rPr>
      </w:pPr>
    </w:p>
    <w:p w14:paraId="1ACCA927" w14:textId="1163962C" w:rsidR="004B3C3D" w:rsidRPr="00D94314" w:rsidRDefault="004B3C3D" w:rsidP="004B3C3D">
      <w:pPr>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El Estado</w:t>
      </w:r>
      <w:r w:rsidR="00407AD6" w:rsidRPr="00D94314">
        <w:rPr>
          <w:rFonts w:asciiTheme="majorHAnsi" w:hAnsiTheme="majorHAnsi"/>
          <w:sz w:val="20"/>
          <w:szCs w:val="20"/>
          <w:lang w:val="es-CO"/>
        </w:rPr>
        <w:t xml:space="preserve"> indicó que no es cierto que </w:t>
      </w:r>
      <w:r w:rsidR="00C54455" w:rsidRPr="00D94314">
        <w:rPr>
          <w:rFonts w:asciiTheme="majorHAnsi" w:hAnsiTheme="majorHAnsi"/>
          <w:sz w:val="20"/>
          <w:szCs w:val="20"/>
          <w:lang w:val="es-CO"/>
        </w:rPr>
        <w:t xml:space="preserve">la </w:t>
      </w:r>
      <w:r w:rsidR="00407AD6" w:rsidRPr="00D94314">
        <w:rPr>
          <w:rFonts w:asciiTheme="majorHAnsi" w:hAnsiTheme="majorHAnsi"/>
          <w:sz w:val="20"/>
          <w:szCs w:val="20"/>
          <w:lang w:val="es-CO"/>
        </w:rPr>
        <w:t xml:space="preserve">decisión de 15 de octubre de 1998 </w:t>
      </w:r>
      <w:r w:rsidRPr="00D94314">
        <w:rPr>
          <w:rFonts w:asciiTheme="majorHAnsi" w:hAnsiTheme="majorHAnsi"/>
          <w:sz w:val="20"/>
          <w:szCs w:val="20"/>
          <w:lang w:val="es-CO"/>
        </w:rPr>
        <w:t xml:space="preserve">que dispone se practique otra pericia “siente jurisprudencia”, dado que dicha resolución fue revocada el 18 de diciembre de 1998 por la Sala de Derecho Público, la misma que aprobó el dictamen pericial contable de 6 de septiembre de 1998. </w:t>
      </w:r>
      <w:r w:rsidR="00A26BCA" w:rsidRPr="00D94314">
        <w:rPr>
          <w:rFonts w:asciiTheme="majorHAnsi" w:hAnsiTheme="majorHAnsi"/>
          <w:sz w:val="20"/>
          <w:szCs w:val="20"/>
          <w:lang w:val="es-CO"/>
        </w:rPr>
        <w:t>Afirmó que,</w:t>
      </w:r>
      <w:r w:rsidRPr="00D94314">
        <w:rPr>
          <w:rFonts w:asciiTheme="majorHAnsi" w:hAnsiTheme="majorHAnsi"/>
          <w:sz w:val="20"/>
          <w:szCs w:val="20"/>
          <w:lang w:val="es-CO"/>
        </w:rPr>
        <w:t xml:space="preserve"> </w:t>
      </w:r>
      <w:r w:rsidRPr="00D94314">
        <w:rPr>
          <w:rFonts w:asciiTheme="majorHAnsi" w:hAnsiTheme="majorHAnsi"/>
          <w:sz w:val="20"/>
          <w:szCs w:val="20"/>
          <w:lang w:val="es-MX"/>
        </w:rPr>
        <w:t>en ejecución de sentencia del proceso de amparo tramitado ante el Primer Juzgado de Derecho Público</w:t>
      </w:r>
      <w:r w:rsidR="00A26BCA" w:rsidRPr="00D94314">
        <w:rPr>
          <w:rFonts w:asciiTheme="majorHAnsi" w:hAnsiTheme="majorHAnsi"/>
          <w:sz w:val="20"/>
          <w:szCs w:val="20"/>
          <w:lang w:val="es-MX"/>
        </w:rPr>
        <w:t>,</w:t>
      </w:r>
      <w:r w:rsidRPr="00D94314">
        <w:rPr>
          <w:rFonts w:asciiTheme="majorHAnsi" w:hAnsiTheme="majorHAnsi"/>
          <w:sz w:val="20"/>
          <w:szCs w:val="20"/>
          <w:lang w:val="es-MX"/>
        </w:rPr>
        <w:t xml:space="preserve"> se realizó una pericia judicial en la que se concluyó que los decretos impugnados no se aplicaron a los miembros del SUTECASA. </w:t>
      </w:r>
      <w:r w:rsidR="005718AF" w:rsidRPr="00D94314">
        <w:rPr>
          <w:rFonts w:asciiTheme="majorHAnsi" w:hAnsiTheme="majorHAnsi"/>
          <w:sz w:val="20"/>
          <w:szCs w:val="20"/>
          <w:lang w:val="es-MX"/>
        </w:rPr>
        <w:t>Destacó que d</w:t>
      </w:r>
      <w:r w:rsidRPr="00D94314">
        <w:rPr>
          <w:rFonts w:asciiTheme="majorHAnsi" w:hAnsiTheme="majorHAnsi"/>
          <w:sz w:val="20"/>
          <w:szCs w:val="20"/>
          <w:lang w:val="es-MX"/>
        </w:rPr>
        <w:t>icho dictamen fue aprobado el 18 de diciembre de 1998 por la Sala Corporativa Transitoria Especializada de Derecho Público, confirmando que no existe deuda pendiente de pago.</w:t>
      </w:r>
    </w:p>
    <w:p w14:paraId="3881FD88" w14:textId="77777777" w:rsidR="004B3C3D" w:rsidRPr="00D94314" w:rsidRDefault="004B3C3D" w:rsidP="004B3C3D">
      <w:pPr>
        <w:ind w:left="720"/>
        <w:jc w:val="both"/>
        <w:rPr>
          <w:rFonts w:asciiTheme="majorHAnsi" w:hAnsiTheme="majorHAnsi"/>
          <w:sz w:val="20"/>
          <w:szCs w:val="20"/>
          <w:lang w:val="es-CO"/>
        </w:rPr>
      </w:pPr>
    </w:p>
    <w:p w14:paraId="2285276E" w14:textId="0A833C5D" w:rsidR="004B3C3D" w:rsidRPr="00D94314" w:rsidRDefault="00904142" w:rsidP="00AF4E40">
      <w:pPr>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 xml:space="preserve">Indicó que, </w:t>
      </w:r>
      <w:r w:rsidR="004B3C3D" w:rsidRPr="00D94314">
        <w:rPr>
          <w:rFonts w:asciiTheme="majorHAnsi" w:hAnsiTheme="majorHAnsi"/>
          <w:sz w:val="20"/>
          <w:szCs w:val="20"/>
          <w:lang w:val="es-CO"/>
        </w:rPr>
        <w:t xml:space="preserve">como consecuencia de la aprobación de dicha pericia contable, el Juzgado de Derecho Público por </w:t>
      </w:r>
      <w:r w:rsidRPr="00D94314">
        <w:rPr>
          <w:rFonts w:asciiTheme="majorHAnsi" w:hAnsiTheme="majorHAnsi"/>
          <w:sz w:val="20"/>
          <w:szCs w:val="20"/>
          <w:lang w:val="es-CO"/>
        </w:rPr>
        <w:t>r</w:t>
      </w:r>
      <w:r w:rsidR="004B3C3D" w:rsidRPr="00D94314">
        <w:rPr>
          <w:rFonts w:asciiTheme="majorHAnsi" w:hAnsiTheme="majorHAnsi"/>
          <w:sz w:val="20"/>
          <w:szCs w:val="20"/>
          <w:lang w:val="es-CO"/>
        </w:rPr>
        <w:t xml:space="preserve">esolución de 14 de enero de 1999 declaró improcedente el pedido del SUTECASA, </w:t>
      </w:r>
      <w:r w:rsidR="004B3C3D" w:rsidRPr="00D94314">
        <w:rPr>
          <w:rFonts w:asciiTheme="majorHAnsi" w:hAnsiTheme="majorHAnsi"/>
          <w:sz w:val="20"/>
          <w:szCs w:val="20"/>
          <w:lang w:val="es-MX"/>
        </w:rPr>
        <w:t xml:space="preserve">dejando a salvo el derecho para que lo hagan valer en la forma y modo que corresponda, disponiendo el archivo del proceso por haber concluido. </w:t>
      </w:r>
      <w:r w:rsidRPr="00D94314">
        <w:rPr>
          <w:rFonts w:asciiTheme="majorHAnsi" w:hAnsiTheme="majorHAnsi"/>
          <w:sz w:val="20"/>
          <w:szCs w:val="20"/>
          <w:lang w:val="es-MX"/>
        </w:rPr>
        <w:t>Agregó que e</w:t>
      </w:r>
      <w:r w:rsidR="004B3C3D" w:rsidRPr="00D94314">
        <w:rPr>
          <w:rFonts w:asciiTheme="majorHAnsi" w:hAnsiTheme="majorHAnsi"/>
          <w:sz w:val="20"/>
          <w:szCs w:val="20"/>
          <w:lang w:val="es-CO"/>
        </w:rPr>
        <w:t>st</w:t>
      </w:r>
      <w:r w:rsidR="00313121" w:rsidRPr="00D94314">
        <w:rPr>
          <w:rFonts w:asciiTheme="majorHAnsi" w:hAnsiTheme="majorHAnsi"/>
          <w:sz w:val="20"/>
          <w:szCs w:val="20"/>
          <w:lang w:val="es-CO"/>
        </w:rPr>
        <w:t>o</w:t>
      </w:r>
      <w:r w:rsidRPr="00D94314">
        <w:rPr>
          <w:rFonts w:asciiTheme="majorHAnsi" w:hAnsiTheme="majorHAnsi"/>
          <w:sz w:val="20"/>
          <w:szCs w:val="20"/>
          <w:lang w:val="es-CO"/>
        </w:rPr>
        <w:t xml:space="preserve"> fue </w:t>
      </w:r>
      <w:r w:rsidR="004B3C3D" w:rsidRPr="00D94314">
        <w:rPr>
          <w:rFonts w:asciiTheme="majorHAnsi" w:hAnsiTheme="majorHAnsi"/>
          <w:sz w:val="20"/>
          <w:szCs w:val="20"/>
          <w:lang w:val="es-CO"/>
        </w:rPr>
        <w:t>confirmad</w:t>
      </w:r>
      <w:r w:rsidRPr="00D94314">
        <w:rPr>
          <w:rFonts w:asciiTheme="majorHAnsi" w:hAnsiTheme="majorHAnsi"/>
          <w:sz w:val="20"/>
          <w:szCs w:val="20"/>
          <w:lang w:val="es-CO"/>
        </w:rPr>
        <w:t>o</w:t>
      </w:r>
      <w:r w:rsidR="004B3C3D" w:rsidRPr="00D94314">
        <w:rPr>
          <w:rFonts w:asciiTheme="majorHAnsi" w:hAnsiTheme="majorHAnsi"/>
          <w:sz w:val="20"/>
          <w:szCs w:val="20"/>
          <w:lang w:val="es-CO"/>
        </w:rPr>
        <w:t xml:space="preserve"> por la Sala Corporativa Transitoria de Derecho Público el 12 de febrero de 1999, con lo cual se entiende que quedó concluido definitivamente el proceso de amparo en su etapa de ejecución. Ratifica que, devuelto el expediente al juzgado de origen, por </w:t>
      </w:r>
      <w:r w:rsidR="00AF4E40" w:rsidRPr="00D94314">
        <w:rPr>
          <w:rFonts w:asciiTheme="majorHAnsi" w:hAnsiTheme="majorHAnsi"/>
          <w:sz w:val="20"/>
          <w:szCs w:val="20"/>
          <w:lang w:val="es-CO"/>
        </w:rPr>
        <w:t>r</w:t>
      </w:r>
      <w:r w:rsidR="004B3C3D" w:rsidRPr="00D94314">
        <w:rPr>
          <w:rFonts w:asciiTheme="majorHAnsi" w:hAnsiTheme="majorHAnsi"/>
          <w:sz w:val="20"/>
          <w:szCs w:val="20"/>
          <w:lang w:val="es-CO"/>
        </w:rPr>
        <w:t xml:space="preserve">esolución de 4 de julio de 2003 se ordenó nuevamente el archivo definitivo de los autos, resolución que al ser apelada por SUTECASA fue confirmada por la Sexta Sala Civil de Lima </w:t>
      </w:r>
      <w:r w:rsidR="00A8401A" w:rsidRPr="00D94314">
        <w:rPr>
          <w:rFonts w:asciiTheme="majorHAnsi" w:hAnsiTheme="majorHAnsi"/>
          <w:sz w:val="20"/>
          <w:szCs w:val="20"/>
          <w:lang w:val="es-CO"/>
        </w:rPr>
        <w:t xml:space="preserve">el </w:t>
      </w:r>
      <w:r w:rsidR="004B3C3D" w:rsidRPr="00D94314">
        <w:rPr>
          <w:rFonts w:asciiTheme="majorHAnsi" w:hAnsiTheme="majorHAnsi"/>
          <w:sz w:val="20"/>
          <w:szCs w:val="20"/>
          <w:lang w:val="es-CO"/>
        </w:rPr>
        <w:t>7 de diciembre de 2007.</w:t>
      </w:r>
    </w:p>
    <w:p w14:paraId="69466D04" w14:textId="77777777" w:rsidR="004B3C3D" w:rsidRPr="00D94314" w:rsidRDefault="004B3C3D" w:rsidP="00664800">
      <w:pPr>
        <w:ind w:left="720"/>
        <w:jc w:val="both"/>
        <w:rPr>
          <w:rFonts w:asciiTheme="majorHAnsi" w:hAnsiTheme="majorHAnsi"/>
          <w:sz w:val="20"/>
          <w:szCs w:val="20"/>
          <w:lang w:val="es-CO"/>
        </w:rPr>
      </w:pPr>
    </w:p>
    <w:p w14:paraId="0918BF7E" w14:textId="5CCA7C37" w:rsidR="004B3C3D" w:rsidRPr="00D94314" w:rsidRDefault="00CF6EC0" w:rsidP="00594EFD">
      <w:pPr>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 xml:space="preserve">Señaló que </w:t>
      </w:r>
      <w:r w:rsidR="004B3C3D" w:rsidRPr="00D94314">
        <w:rPr>
          <w:rFonts w:asciiTheme="majorHAnsi" w:hAnsiTheme="majorHAnsi"/>
          <w:sz w:val="20"/>
          <w:szCs w:val="20"/>
          <w:lang w:val="es-CO"/>
        </w:rPr>
        <w:t xml:space="preserve">no obstante haber concluido el proceso de amparo en su etapa de ejecución, los peticionarios insisten en señalar que existe una deuda de la extinta empresa ECASA a </w:t>
      </w:r>
      <w:r w:rsidRPr="00D94314">
        <w:rPr>
          <w:rFonts w:asciiTheme="majorHAnsi" w:hAnsiTheme="majorHAnsi"/>
          <w:sz w:val="20"/>
          <w:szCs w:val="20"/>
          <w:lang w:val="es-CO"/>
        </w:rPr>
        <w:t xml:space="preserve">su </w:t>
      </w:r>
      <w:r w:rsidR="004B3C3D" w:rsidRPr="00D94314">
        <w:rPr>
          <w:rFonts w:asciiTheme="majorHAnsi" w:hAnsiTheme="majorHAnsi"/>
          <w:sz w:val="20"/>
          <w:szCs w:val="20"/>
          <w:lang w:val="es-CO"/>
        </w:rPr>
        <w:t>favor, lo cual no es cierto, por cuanto en el expediente judicial sólo existe pronunciamiento respecto a un nuevo pedido de desarchivamiento realizado por el SUTECASA, el cual fue denegado en primera instancia y revocado por la Sexta Sala Civil de Lima. Frente a todo el proceso, el Estado reiter</w:t>
      </w:r>
      <w:r w:rsidR="00FE32E9" w:rsidRPr="00D94314">
        <w:rPr>
          <w:rFonts w:asciiTheme="majorHAnsi" w:hAnsiTheme="majorHAnsi"/>
          <w:sz w:val="20"/>
          <w:szCs w:val="20"/>
          <w:lang w:val="es-CO"/>
        </w:rPr>
        <w:t>ó</w:t>
      </w:r>
      <w:r w:rsidR="004B3C3D" w:rsidRPr="00D94314">
        <w:rPr>
          <w:rFonts w:asciiTheme="majorHAnsi" w:hAnsiTheme="majorHAnsi"/>
          <w:sz w:val="20"/>
          <w:szCs w:val="20"/>
          <w:lang w:val="es-CO"/>
        </w:rPr>
        <w:t xml:space="preserve"> que no existe pronunciamiento judicial respecto de la existencia de deuda alguna a favor de los peticionarios, habiendo simplemente concluido la controversia respecto de un acto procesal, el de desarchivamiento del expediente solicitado por el SUTECASA</w:t>
      </w:r>
      <w:r w:rsidR="00496CC4" w:rsidRPr="00D94314">
        <w:rPr>
          <w:rFonts w:asciiTheme="majorHAnsi" w:hAnsiTheme="majorHAnsi"/>
          <w:sz w:val="20"/>
          <w:szCs w:val="20"/>
          <w:lang w:val="es-CO"/>
        </w:rPr>
        <w:t>.</w:t>
      </w:r>
      <w:r w:rsidR="004B3C3D" w:rsidRPr="00D94314">
        <w:rPr>
          <w:rFonts w:asciiTheme="majorHAnsi" w:hAnsiTheme="majorHAnsi"/>
          <w:sz w:val="20"/>
          <w:szCs w:val="20"/>
          <w:lang w:val="es-CO"/>
        </w:rPr>
        <w:t xml:space="preserve"> </w:t>
      </w:r>
    </w:p>
    <w:p w14:paraId="1577037E" w14:textId="77777777" w:rsidR="004B3C3D" w:rsidRPr="00D94314" w:rsidRDefault="004B3C3D" w:rsidP="00664800">
      <w:pPr>
        <w:ind w:left="720"/>
        <w:jc w:val="both"/>
        <w:rPr>
          <w:rFonts w:asciiTheme="majorHAnsi" w:hAnsiTheme="majorHAnsi"/>
          <w:sz w:val="20"/>
          <w:szCs w:val="20"/>
          <w:lang w:val="es-CO"/>
        </w:rPr>
      </w:pPr>
    </w:p>
    <w:p w14:paraId="2E7D9D20" w14:textId="7B7A60DE" w:rsidR="004B3C3D" w:rsidRPr="00D94314" w:rsidRDefault="00DB6D91" w:rsidP="004C13A5">
      <w:pPr>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E</w:t>
      </w:r>
      <w:r w:rsidR="004B3C3D" w:rsidRPr="00D94314">
        <w:rPr>
          <w:rFonts w:asciiTheme="majorHAnsi" w:hAnsiTheme="majorHAnsi"/>
          <w:sz w:val="20"/>
          <w:szCs w:val="20"/>
          <w:lang w:val="es-CO"/>
        </w:rPr>
        <w:t>l Estado peruano sost</w:t>
      </w:r>
      <w:r w:rsidRPr="00D94314">
        <w:rPr>
          <w:rFonts w:asciiTheme="majorHAnsi" w:hAnsiTheme="majorHAnsi"/>
          <w:sz w:val="20"/>
          <w:szCs w:val="20"/>
          <w:lang w:val="es-CO"/>
        </w:rPr>
        <w:t xml:space="preserve">uvo </w:t>
      </w:r>
      <w:r w:rsidR="004B3C3D" w:rsidRPr="00D94314">
        <w:rPr>
          <w:rFonts w:asciiTheme="majorHAnsi" w:hAnsiTheme="majorHAnsi"/>
          <w:sz w:val="20"/>
          <w:szCs w:val="20"/>
          <w:lang w:val="es-CO"/>
        </w:rPr>
        <w:t>reiterada</w:t>
      </w:r>
      <w:r w:rsidRPr="00D94314">
        <w:rPr>
          <w:rFonts w:asciiTheme="majorHAnsi" w:hAnsiTheme="majorHAnsi"/>
          <w:sz w:val="20"/>
          <w:szCs w:val="20"/>
          <w:lang w:val="es-CO"/>
        </w:rPr>
        <w:t>mente</w:t>
      </w:r>
      <w:r w:rsidR="004B3C3D" w:rsidRPr="00D94314">
        <w:rPr>
          <w:rFonts w:asciiTheme="majorHAnsi" w:hAnsiTheme="majorHAnsi"/>
          <w:sz w:val="20"/>
          <w:szCs w:val="20"/>
          <w:lang w:val="es-CO"/>
        </w:rPr>
        <w:t xml:space="preserve"> que una cosa es la declaración del derecho constitucional de los accionantes respecto de los cuales se amparó la pretensión ordenando que no se les aplicaran las normas que</w:t>
      </w:r>
      <w:r w:rsidRPr="00D94314">
        <w:rPr>
          <w:rFonts w:asciiTheme="majorHAnsi" w:hAnsiTheme="majorHAnsi"/>
          <w:sz w:val="20"/>
          <w:szCs w:val="20"/>
          <w:lang w:val="es-CO"/>
        </w:rPr>
        <w:t xml:space="preserve"> afectaban dichos derechos, </w:t>
      </w:r>
      <w:r w:rsidR="004B3C3D" w:rsidRPr="00D94314">
        <w:rPr>
          <w:rFonts w:asciiTheme="majorHAnsi" w:hAnsiTheme="majorHAnsi"/>
          <w:sz w:val="20"/>
          <w:szCs w:val="20"/>
          <w:lang w:val="es-CO"/>
        </w:rPr>
        <w:t xml:space="preserve">y otra cosa distinta es el examen fáctico de si la demandada </w:t>
      </w:r>
      <w:r w:rsidR="00E4308E" w:rsidRPr="00D94314">
        <w:rPr>
          <w:rFonts w:asciiTheme="majorHAnsi" w:hAnsiTheme="majorHAnsi"/>
          <w:sz w:val="20"/>
          <w:szCs w:val="20"/>
          <w:lang w:val="es-CO"/>
        </w:rPr>
        <w:t xml:space="preserve">efectivamente aplicó tales normas. </w:t>
      </w:r>
      <w:r w:rsidR="004B3C3D" w:rsidRPr="00D94314">
        <w:rPr>
          <w:rFonts w:asciiTheme="majorHAnsi" w:hAnsiTheme="majorHAnsi"/>
          <w:sz w:val="20"/>
          <w:szCs w:val="20"/>
          <w:lang w:val="es-CO"/>
        </w:rPr>
        <w:t>Expres</w:t>
      </w:r>
      <w:r w:rsidR="006A3755" w:rsidRPr="00D94314">
        <w:rPr>
          <w:rFonts w:asciiTheme="majorHAnsi" w:hAnsiTheme="majorHAnsi"/>
          <w:sz w:val="20"/>
          <w:szCs w:val="20"/>
          <w:lang w:val="es-CO"/>
        </w:rPr>
        <w:t>ó</w:t>
      </w:r>
      <w:r w:rsidR="004B3C3D" w:rsidRPr="00D94314">
        <w:rPr>
          <w:rFonts w:asciiTheme="majorHAnsi" w:hAnsiTheme="majorHAnsi"/>
          <w:sz w:val="20"/>
          <w:szCs w:val="20"/>
          <w:lang w:val="es-CO"/>
        </w:rPr>
        <w:t xml:space="preserve"> que l</w:t>
      </w:r>
      <w:r w:rsidR="004B3C3D" w:rsidRPr="00D94314">
        <w:rPr>
          <w:rFonts w:asciiTheme="majorHAnsi" w:hAnsiTheme="majorHAnsi"/>
          <w:sz w:val="20"/>
          <w:szCs w:val="20"/>
          <w:lang w:val="es-MX"/>
        </w:rPr>
        <w:t>a sentencia de amparo no puede ejecutarse para efectos de pago, sino que primero debe tramitarse un proceso ordinario en el que un juez declare la existencia de una deuda, el monto y quién es el obligado a pagarla</w:t>
      </w:r>
      <w:r w:rsidR="007C01C2" w:rsidRPr="00D94314">
        <w:rPr>
          <w:rFonts w:asciiTheme="majorHAnsi" w:hAnsiTheme="majorHAnsi"/>
          <w:sz w:val="20"/>
          <w:szCs w:val="20"/>
          <w:lang w:val="es-MX"/>
        </w:rPr>
        <w:t>.</w:t>
      </w:r>
      <w:r w:rsidR="004B3C3D" w:rsidRPr="00D94314">
        <w:rPr>
          <w:rFonts w:asciiTheme="majorHAnsi" w:hAnsiTheme="majorHAnsi"/>
          <w:sz w:val="20"/>
          <w:szCs w:val="20"/>
          <w:lang w:val="es-MX"/>
        </w:rPr>
        <w:t xml:space="preserve"> </w:t>
      </w:r>
    </w:p>
    <w:p w14:paraId="5F124749" w14:textId="77777777" w:rsidR="00664800" w:rsidRPr="00D94314" w:rsidRDefault="00664800" w:rsidP="00664800">
      <w:pPr>
        <w:jc w:val="both"/>
        <w:rPr>
          <w:rFonts w:asciiTheme="majorHAnsi" w:hAnsiTheme="majorHAnsi"/>
          <w:sz w:val="20"/>
          <w:szCs w:val="20"/>
          <w:lang w:val="es-MX"/>
        </w:rPr>
      </w:pPr>
    </w:p>
    <w:p w14:paraId="4CEC2430" w14:textId="20881B09" w:rsidR="004B3C3D" w:rsidRPr="00D94314" w:rsidRDefault="004B3C3D" w:rsidP="00433EDD">
      <w:pPr>
        <w:numPr>
          <w:ilvl w:val="0"/>
          <w:numId w:val="57"/>
        </w:numPr>
        <w:ind w:left="0" w:firstLine="720"/>
        <w:jc w:val="both"/>
        <w:rPr>
          <w:rFonts w:asciiTheme="majorHAnsi" w:hAnsiTheme="majorHAnsi"/>
          <w:sz w:val="20"/>
          <w:szCs w:val="20"/>
          <w:lang w:val="es-MX"/>
        </w:rPr>
      </w:pPr>
      <w:r w:rsidRPr="00D94314">
        <w:rPr>
          <w:rFonts w:asciiTheme="majorHAnsi" w:hAnsiTheme="majorHAnsi"/>
          <w:sz w:val="20"/>
          <w:szCs w:val="20"/>
          <w:lang w:val="es-MX"/>
        </w:rPr>
        <w:t>Respecto de la supuesta violación del artículo 8</w:t>
      </w:r>
      <w:r w:rsidR="004C13A5" w:rsidRPr="00D94314">
        <w:rPr>
          <w:rFonts w:asciiTheme="majorHAnsi" w:hAnsiTheme="majorHAnsi"/>
          <w:sz w:val="20"/>
          <w:szCs w:val="20"/>
          <w:lang w:val="es-MX"/>
        </w:rPr>
        <w:t xml:space="preserve"> de la Convención</w:t>
      </w:r>
      <w:r w:rsidRPr="00D94314">
        <w:rPr>
          <w:rFonts w:asciiTheme="majorHAnsi" w:hAnsiTheme="majorHAnsi"/>
          <w:sz w:val="20"/>
          <w:szCs w:val="20"/>
          <w:lang w:val="es-MX"/>
        </w:rPr>
        <w:t>, sost</w:t>
      </w:r>
      <w:r w:rsidR="000F7B38" w:rsidRPr="00D94314">
        <w:rPr>
          <w:rFonts w:asciiTheme="majorHAnsi" w:hAnsiTheme="majorHAnsi"/>
          <w:sz w:val="20"/>
          <w:szCs w:val="20"/>
          <w:lang w:val="es-MX"/>
        </w:rPr>
        <w:t xml:space="preserve">uvo </w:t>
      </w:r>
      <w:r w:rsidRPr="00D94314">
        <w:rPr>
          <w:rFonts w:asciiTheme="majorHAnsi" w:hAnsiTheme="majorHAnsi"/>
          <w:sz w:val="20"/>
          <w:szCs w:val="20"/>
          <w:lang w:val="es-MX"/>
        </w:rPr>
        <w:t>que los peticionarios han tenido expeditas las vías para acudir a los tribunales nacionales competentes, independientes e imparciales, en búsqueda de que sus pretensiones sean acogidas y de la determinación de sus derechos invocados en materia laboral, con el debido proceso. Agregó que el hecho de que no se hayan acogido las pretensiones de los peticionarios, no implica una vulneración a las garantías judiciales.</w:t>
      </w:r>
      <w:r w:rsidR="000F7B38" w:rsidRPr="00D94314">
        <w:rPr>
          <w:rFonts w:asciiTheme="majorHAnsi" w:hAnsiTheme="majorHAnsi"/>
          <w:sz w:val="20"/>
          <w:szCs w:val="20"/>
          <w:lang w:val="es-MX"/>
        </w:rPr>
        <w:t xml:space="preserve"> </w:t>
      </w:r>
      <w:r w:rsidRPr="00D94314">
        <w:rPr>
          <w:rFonts w:asciiTheme="majorHAnsi" w:hAnsiTheme="majorHAnsi"/>
          <w:sz w:val="20"/>
          <w:szCs w:val="20"/>
          <w:lang w:val="es-MX"/>
        </w:rPr>
        <w:t>En cuanto al artículo 25</w:t>
      </w:r>
      <w:r w:rsidR="006423EC" w:rsidRPr="00D94314">
        <w:rPr>
          <w:rFonts w:asciiTheme="majorHAnsi" w:hAnsiTheme="majorHAnsi"/>
          <w:sz w:val="20"/>
          <w:szCs w:val="20"/>
          <w:lang w:val="es-MX"/>
        </w:rPr>
        <w:t xml:space="preserve"> de la Convención</w:t>
      </w:r>
      <w:r w:rsidRPr="00D94314">
        <w:rPr>
          <w:rFonts w:asciiTheme="majorHAnsi" w:hAnsiTheme="majorHAnsi"/>
          <w:sz w:val="20"/>
          <w:szCs w:val="20"/>
          <w:lang w:val="es-MX"/>
        </w:rPr>
        <w:t xml:space="preserve">, insistió que el mismo órgano jurisdiccional interno se basó en la pericia realizada para determinar que no existía monto dinerario adeudado a favor de los </w:t>
      </w:r>
      <w:r w:rsidR="005623FE" w:rsidRPr="00D94314">
        <w:rPr>
          <w:rFonts w:asciiTheme="majorHAnsi" w:hAnsiTheme="majorHAnsi"/>
          <w:sz w:val="20"/>
          <w:szCs w:val="20"/>
          <w:lang w:val="es-MX"/>
        </w:rPr>
        <w:t xml:space="preserve">ex </w:t>
      </w:r>
      <w:r w:rsidRPr="00D94314">
        <w:rPr>
          <w:rFonts w:asciiTheme="majorHAnsi" w:hAnsiTheme="majorHAnsi"/>
          <w:sz w:val="20"/>
          <w:szCs w:val="20"/>
          <w:lang w:val="es-MX"/>
        </w:rPr>
        <w:t>trabajadores en tanto no se les aplicaron los decretos supremos y ordenó el archivo del proceso, por lo que no existe disposición judicial pendiente de cumplimiento.</w:t>
      </w:r>
      <w:r w:rsidR="00433EDD" w:rsidRPr="00D94314">
        <w:rPr>
          <w:rFonts w:asciiTheme="majorHAnsi" w:hAnsiTheme="majorHAnsi"/>
          <w:sz w:val="20"/>
          <w:szCs w:val="20"/>
          <w:lang w:val="es-MX"/>
        </w:rPr>
        <w:t xml:space="preserve"> </w:t>
      </w:r>
      <w:r w:rsidR="000775C6" w:rsidRPr="00D94314">
        <w:rPr>
          <w:rFonts w:asciiTheme="majorHAnsi" w:hAnsiTheme="majorHAnsi"/>
          <w:sz w:val="20"/>
          <w:szCs w:val="20"/>
          <w:lang w:val="es-CO"/>
        </w:rPr>
        <w:t xml:space="preserve">Alegó que </w:t>
      </w:r>
      <w:r w:rsidRPr="00D94314">
        <w:rPr>
          <w:rFonts w:asciiTheme="majorHAnsi" w:hAnsiTheme="majorHAnsi"/>
          <w:sz w:val="20"/>
          <w:szCs w:val="20"/>
          <w:lang w:val="es-CO"/>
        </w:rPr>
        <w:t xml:space="preserve">el accionar del Estado peruano no ha configurado la violación del artículo 21 de la Convención Americana, siendo importante señalar que el derecho a la propiedad no es absoluto y permite ciertas limitaciones </w:t>
      </w:r>
      <w:r w:rsidR="00CF14D5" w:rsidRPr="00D94314">
        <w:rPr>
          <w:rFonts w:asciiTheme="majorHAnsi" w:hAnsiTheme="majorHAnsi"/>
          <w:sz w:val="20"/>
          <w:szCs w:val="20"/>
          <w:lang w:val="es-CO"/>
        </w:rPr>
        <w:t xml:space="preserve">con base en el </w:t>
      </w:r>
      <w:r w:rsidRPr="00D94314">
        <w:rPr>
          <w:rFonts w:asciiTheme="majorHAnsi" w:hAnsiTheme="majorHAnsi"/>
          <w:sz w:val="20"/>
          <w:szCs w:val="20"/>
          <w:lang w:val="es-CO"/>
        </w:rPr>
        <w:t xml:space="preserve">interés social. </w:t>
      </w:r>
    </w:p>
    <w:p w14:paraId="3BA0E1A6" w14:textId="77777777" w:rsidR="00D12193" w:rsidRPr="001A1D6A" w:rsidRDefault="00D12193" w:rsidP="001A1D6A">
      <w:pPr>
        <w:pStyle w:val="Heading1"/>
        <w:ind w:firstLine="0"/>
        <w:rPr>
          <w:color w:val="auto"/>
          <w:sz w:val="20"/>
          <w:szCs w:val="20"/>
        </w:rPr>
      </w:pPr>
      <w:bookmarkStart w:id="6" w:name="_Toc21421510"/>
      <w:r w:rsidRPr="001A1D6A">
        <w:rPr>
          <w:color w:val="auto"/>
          <w:sz w:val="20"/>
          <w:szCs w:val="20"/>
        </w:rPr>
        <w:t>DETERMINACIONES DE HECHO</w:t>
      </w:r>
      <w:bookmarkEnd w:id="6"/>
    </w:p>
    <w:p w14:paraId="25FD6C48" w14:textId="77777777" w:rsidR="00605F3A" w:rsidRPr="00D94314" w:rsidRDefault="00605F3A" w:rsidP="006D72EB">
      <w:pPr>
        <w:pStyle w:val="ListParagraph"/>
        <w:suppressAutoHyphens/>
        <w:ind w:left="1080"/>
        <w:rPr>
          <w:rFonts w:asciiTheme="majorHAnsi" w:hAnsiTheme="majorHAnsi"/>
          <w:b/>
          <w:sz w:val="20"/>
          <w:szCs w:val="20"/>
          <w:lang w:val="es-ES_tradnl"/>
        </w:rPr>
      </w:pPr>
    </w:p>
    <w:p w14:paraId="28BA901B" w14:textId="65BDA852" w:rsidR="006A564D" w:rsidRPr="001A1D6A" w:rsidRDefault="00660E83" w:rsidP="001A1D6A">
      <w:pPr>
        <w:pStyle w:val="Heading2"/>
        <w:numPr>
          <w:ilvl w:val="0"/>
          <w:numId w:val="70"/>
        </w:numPr>
        <w:ind w:firstLine="0"/>
        <w:rPr>
          <w:rFonts w:asciiTheme="majorHAnsi" w:hAnsiTheme="majorHAnsi"/>
          <w:i w:val="0"/>
          <w:sz w:val="20"/>
          <w:szCs w:val="20"/>
          <w:lang w:val="es-CO"/>
        </w:rPr>
      </w:pPr>
      <w:bookmarkStart w:id="7" w:name="_Toc21421511"/>
      <w:r w:rsidRPr="001A1D6A">
        <w:rPr>
          <w:rFonts w:asciiTheme="majorHAnsi" w:hAnsiTheme="majorHAnsi"/>
          <w:i w:val="0"/>
          <w:sz w:val="20"/>
          <w:szCs w:val="20"/>
          <w:lang w:val="es-CO"/>
        </w:rPr>
        <w:t>ANTECEDENTES</w:t>
      </w:r>
      <w:bookmarkEnd w:id="7"/>
    </w:p>
    <w:p w14:paraId="1837174E" w14:textId="77777777" w:rsidR="006A564D" w:rsidRPr="00D94314" w:rsidRDefault="006A564D" w:rsidP="006A564D">
      <w:pPr>
        <w:pStyle w:val="ListParagraph"/>
        <w:rPr>
          <w:rFonts w:asciiTheme="majorHAnsi" w:hAnsiTheme="majorHAnsi"/>
          <w:b/>
          <w:sz w:val="20"/>
          <w:szCs w:val="20"/>
          <w:lang w:val="es-CO"/>
        </w:rPr>
      </w:pPr>
    </w:p>
    <w:p w14:paraId="394215B9" w14:textId="28D9F8EC" w:rsidR="006A564D" w:rsidRPr="00D94314" w:rsidRDefault="006A564D" w:rsidP="002D53C6">
      <w:pPr>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lastRenderedPageBreak/>
        <w:t>La Empresa Comercializadora de Alimentos S.A. – ECASA, era una empresa del Estado sujeta al régimen de la actividad privada</w:t>
      </w:r>
      <w:r w:rsidRPr="00D94314">
        <w:rPr>
          <w:rFonts w:asciiTheme="majorHAnsi" w:hAnsiTheme="majorHAnsi"/>
          <w:sz w:val="20"/>
          <w:szCs w:val="20"/>
          <w:vertAlign w:val="superscript"/>
          <w:lang w:val="es-CO"/>
        </w:rPr>
        <w:footnoteReference w:id="4"/>
      </w:r>
      <w:r w:rsidRPr="00D94314">
        <w:rPr>
          <w:rFonts w:asciiTheme="majorHAnsi" w:hAnsiTheme="majorHAnsi"/>
          <w:sz w:val="20"/>
          <w:szCs w:val="20"/>
          <w:lang w:val="es-CO"/>
        </w:rPr>
        <w:t>.</w:t>
      </w:r>
      <w:r w:rsidR="002D53C6" w:rsidRPr="00D94314">
        <w:rPr>
          <w:rFonts w:asciiTheme="majorHAnsi" w:hAnsiTheme="majorHAnsi"/>
          <w:b/>
          <w:sz w:val="20"/>
          <w:szCs w:val="20"/>
          <w:lang w:val="es-CO"/>
        </w:rPr>
        <w:t xml:space="preserve"> </w:t>
      </w:r>
      <w:r w:rsidRPr="00D94314">
        <w:rPr>
          <w:rFonts w:asciiTheme="majorHAnsi" w:hAnsiTheme="majorHAnsi"/>
          <w:sz w:val="20"/>
          <w:szCs w:val="20"/>
          <w:lang w:val="es-CO"/>
        </w:rPr>
        <w:t xml:space="preserve">El 20 de junio de 1990 ECASA aprobó la implementación de la Estructura Salarial Única de sus </w:t>
      </w:r>
      <w:r w:rsidRPr="00D94314">
        <w:rPr>
          <w:rFonts w:asciiTheme="majorHAnsi" w:hAnsiTheme="majorHAnsi"/>
          <w:sz w:val="20"/>
          <w:szCs w:val="20"/>
          <w:lang w:val="es-MX"/>
        </w:rPr>
        <w:t>Trabajadores</w:t>
      </w:r>
      <w:r w:rsidRPr="00D94314">
        <w:rPr>
          <w:rFonts w:asciiTheme="majorHAnsi" w:hAnsiTheme="majorHAnsi"/>
          <w:sz w:val="20"/>
          <w:szCs w:val="20"/>
          <w:lang w:val="es-CO"/>
        </w:rPr>
        <w:t>, aplicable a partir del 1 de agosto de 1990, a cuyo cumplimiento se comprometieron las partes. Esta estructura estaba ceñida a los lineamientos dados por el Consejo Nacional de Desarrollo – CONADE</w:t>
      </w:r>
      <w:r w:rsidRPr="00D94314">
        <w:rPr>
          <w:rFonts w:asciiTheme="majorHAnsi" w:hAnsiTheme="majorHAnsi"/>
          <w:sz w:val="20"/>
          <w:szCs w:val="20"/>
          <w:vertAlign w:val="superscript"/>
          <w:lang w:val="es-CO"/>
        </w:rPr>
        <w:footnoteReference w:id="5"/>
      </w:r>
      <w:r w:rsidRPr="00D94314">
        <w:rPr>
          <w:rFonts w:asciiTheme="majorHAnsi" w:hAnsiTheme="majorHAnsi"/>
          <w:sz w:val="20"/>
          <w:szCs w:val="20"/>
          <w:lang w:val="es-CO"/>
        </w:rPr>
        <w:t>.</w:t>
      </w:r>
    </w:p>
    <w:p w14:paraId="427E90CB" w14:textId="77777777" w:rsidR="006A564D" w:rsidRPr="00D94314" w:rsidRDefault="006A564D" w:rsidP="006A564D">
      <w:pPr>
        <w:rPr>
          <w:rFonts w:asciiTheme="majorHAnsi" w:hAnsiTheme="majorHAnsi"/>
          <w:b/>
          <w:sz w:val="20"/>
          <w:szCs w:val="20"/>
          <w:u w:color="000000"/>
          <w:lang w:val="es-CO"/>
        </w:rPr>
      </w:pPr>
    </w:p>
    <w:p w14:paraId="573BDD18" w14:textId="2D0A82DF" w:rsidR="006A564D" w:rsidRPr="00D94314" w:rsidRDefault="006A564D" w:rsidP="006A564D">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El 25 de junio de 1990 surgió entre ECASA y SUTECASA el Convenio Colectivo 90/91</w:t>
      </w:r>
      <w:r w:rsidRPr="00D94314">
        <w:rPr>
          <w:rFonts w:asciiTheme="majorHAnsi" w:hAnsiTheme="majorHAnsi"/>
          <w:sz w:val="20"/>
          <w:szCs w:val="20"/>
          <w:vertAlign w:val="superscript"/>
          <w:lang w:val="es-CO"/>
        </w:rPr>
        <w:footnoteReference w:id="6"/>
      </w:r>
      <w:r w:rsidRPr="00D94314">
        <w:rPr>
          <w:rFonts w:asciiTheme="majorHAnsi" w:hAnsiTheme="majorHAnsi"/>
          <w:sz w:val="20"/>
          <w:szCs w:val="20"/>
          <w:lang w:val="es-CO"/>
        </w:rPr>
        <w:t>, con vigencia del 1 de mayo de 1990 al 30 de abril de 1991, en el que se establecieron como beneficios para los trabajadores: la asignación escolar o por escolaridad, bonificación por quinquenio, aumento general y tres incrementos adicionales.</w:t>
      </w:r>
    </w:p>
    <w:p w14:paraId="2E9DCEBE" w14:textId="77777777" w:rsidR="006A564D" w:rsidRPr="00D94314" w:rsidRDefault="006A564D" w:rsidP="006A564D">
      <w:pPr>
        <w:rPr>
          <w:rFonts w:asciiTheme="majorHAnsi" w:hAnsiTheme="majorHAnsi"/>
          <w:b/>
          <w:sz w:val="20"/>
          <w:szCs w:val="20"/>
          <w:u w:color="000000"/>
          <w:lang w:val="es-CO"/>
        </w:rPr>
      </w:pPr>
    </w:p>
    <w:p w14:paraId="10F6D161" w14:textId="0EBCB437" w:rsidR="006A564D" w:rsidRPr="00D94314" w:rsidRDefault="006A564D" w:rsidP="00B55A4B">
      <w:pPr>
        <w:pStyle w:val="ListParagraph"/>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El 17 de agosto de 1990 se emitió el Decreto Supremo No. 057-90-TR</w:t>
      </w:r>
      <w:r w:rsidR="0057718D" w:rsidRPr="00D94314">
        <w:rPr>
          <w:rFonts w:asciiTheme="majorHAnsi" w:hAnsiTheme="majorHAnsi"/>
          <w:sz w:val="20"/>
          <w:szCs w:val="20"/>
          <w:lang w:val="es-CO"/>
        </w:rPr>
        <w:t xml:space="preserve"> e</w:t>
      </w:r>
      <w:r w:rsidR="009809EA" w:rsidRPr="00D94314">
        <w:rPr>
          <w:rFonts w:asciiTheme="majorHAnsi" w:hAnsiTheme="majorHAnsi"/>
          <w:sz w:val="20"/>
          <w:szCs w:val="20"/>
          <w:lang w:val="es-CO"/>
        </w:rPr>
        <w:t>n</w:t>
      </w:r>
      <w:r w:rsidR="0057718D" w:rsidRPr="00D94314">
        <w:rPr>
          <w:rFonts w:asciiTheme="majorHAnsi" w:hAnsiTheme="majorHAnsi"/>
          <w:sz w:val="20"/>
          <w:szCs w:val="20"/>
          <w:lang w:val="es-CO"/>
        </w:rPr>
        <w:t xml:space="preserve"> el marco del </w:t>
      </w:r>
      <w:r w:rsidRPr="00D94314">
        <w:rPr>
          <w:rFonts w:asciiTheme="majorHAnsi" w:hAnsiTheme="majorHAnsi"/>
          <w:sz w:val="20"/>
          <w:szCs w:val="20"/>
          <w:lang w:val="es-CO"/>
        </w:rPr>
        <w:t>Programa de Estabilización Económica</w:t>
      </w:r>
      <w:r w:rsidRPr="00D94314">
        <w:rPr>
          <w:rFonts w:asciiTheme="majorHAnsi" w:hAnsiTheme="majorHAnsi"/>
          <w:sz w:val="20"/>
          <w:szCs w:val="20"/>
          <w:vertAlign w:val="superscript"/>
          <w:lang w:val="es-CO"/>
        </w:rPr>
        <w:footnoteReference w:id="7"/>
      </w:r>
      <w:r w:rsidR="0057718D" w:rsidRPr="00D94314">
        <w:rPr>
          <w:rFonts w:asciiTheme="majorHAnsi" w:hAnsiTheme="majorHAnsi"/>
          <w:sz w:val="20"/>
          <w:szCs w:val="20"/>
          <w:lang w:val="es-CO"/>
        </w:rPr>
        <w:t>. Según dicho Decreto</w:t>
      </w:r>
      <w:r w:rsidRPr="00D94314">
        <w:rPr>
          <w:rFonts w:asciiTheme="majorHAnsi" w:hAnsiTheme="majorHAnsi"/>
          <w:sz w:val="20"/>
          <w:szCs w:val="20"/>
          <w:lang w:val="es-CO"/>
        </w:rPr>
        <w:t xml:space="preserve"> “</w:t>
      </w:r>
      <w:r w:rsidR="0057718D" w:rsidRPr="00D94314">
        <w:rPr>
          <w:rFonts w:asciiTheme="majorHAnsi" w:hAnsiTheme="majorHAnsi"/>
          <w:sz w:val="20"/>
          <w:szCs w:val="20"/>
          <w:lang w:val="es-CO"/>
        </w:rPr>
        <w:t>l</w:t>
      </w:r>
      <w:r w:rsidRPr="00D94314">
        <w:rPr>
          <w:rFonts w:asciiTheme="majorHAnsi" w:hAnsiTheme="majorHAnsi"/>
          <w:sz w:val="20"/>
          <w:szCs w:val="20"/>
          <w:lang w:val="es-CO"/>
        </w:rPr>
        <w:t>as empresas comprendidas en la Ley 24948 de 02 de diciembre de 1988, Ley de Actividad Empresarial del Estado, así como las entidades del Estado cuyos trabajadores se encuentren sujetos al régimen laboral de la actividad privada, no podrán otorgar hasta el 31 de diciembre de 1990, incrementos de remuneraciones, cualquiera que sea su denominación, sistema, modalidad o periodicidad que adopten y que hayan sido fijados con decisión unilateral del empleador o en virtud de convenio colectivo. El Estado podrá regular los incrementos que fueran necesarios durante este periodo”</w:t>
      </w:r>
      <w:r w:rsidR="004E0840" w:rsidRPr="00D94314">
        <w:rPr>
          <w:rFonts w:asciiTheme="majorHAnsi" w:hAnsiTheme="majorHAnsi"/>
          <w:sz w:val="20"/>
          <w:szCs w:val="20"/>
          <w:lang w:val="es-CO"/>
        </w:rPr>
        <w:t>.</w:t>
      </w:r>
      <w:r w:rsidRPr="00D94314">
        <w:rPr>
          <w:rFonts w:asciiTheme="majorHAnsi" w:hAnsiTheme="majorHAnsi"/>
          <w:sz w:val="20"/>
          <w:szCs w:val="20"/>
          <w:lang w:val="es-CO"/>
        </w:rPr>
        <w:t xml:space="preserve"> El 24 de agosto de 1990 se emitió el Decreto Supremo 107-90-PCM</w:t>
      </w:r>
      <w:r w:rsidRPr="00D94314">
        <w:rPr>
          <w:sz w:val="20"/>
          <w:szCs w:val="20"/>
          <w:vertAlign w:val="superscript"/>
        </w:rPr>
        <w:footnoteReference w:id="8"/>
      </w:r>
      <w:r w:rsidRPr="00D94314">
        <w:rPr>
          <w:rFonts w:asciiTheme="majorHAnsi" w:hAnsiTheme="majorHAnsi"/>
          <w:sz w:val="20"/>
          <w:szCs w:val="20"/>
          <w:lang w:val="es-CO"/>
        </w:rPr>
        <w:t xml:space="preserve"> </w:t>
      </w:r>
      <w:r w:rsidR="009809EA" w:rsidRPr="00D94314">
        <w:rPr>
          <w:rFonts w:asciiTheme="majorHAnsi" w:hAnsiTheme="majorHAnsi"/>
          <w:sz w:val="20"/>
          <w:szCs w:val="20"/>
          <w:lang w:val="es-CO"/>
        </w:rPr>
        <w:t xml:space="preserve">conforme al cual </w:t>
      </w:r>
      <w:r w:rsidRPr="00D94314">
        <w:rPr>
          <w:rFonts w:asciiTheme="majorHAnsi" w:hAnsiTheme="majorHAnsi"/>
          <w:sz w:val="20"/>
          <w:szCs w:val="20"/>
          <w:lang w:val="es-CO"/>
        </w:rPr>
        <w:t>“</w:t>
      </w:r>
      <w:r w:rsidR="009809EA" w:rsidRPr="00D94314">
        <w:rPr>
          <w:rFonts w:asciiTheme="majorHAnsi" w:hAnsiTheme="majorHAnsi"/>
          <w:sz w:val="20"/>
          <w:szCs w:val="20"/>
          <w:lang w:val="es-CO"/>
        </w:rPr>
        <w:t>a</w:t>
      </w:r>
      <w:r w:rsidRPr="00D94314">
        <w:rPr>
          <w:rFonts w:asciiTheme="majorHAnsi" w:hAnsiTheme="majorHAnsi"/>
          <w:sz w:val="20"/>
          <w:szCs w:val="20"/>
          <w:lang w:val="es-CO"/>
        </w:rPr>
        <w:t xml:space="preserve"> partir del 1° de agosto del presente año las empresas y entidades a que se refiere el Decreto Supremo 057-90-TR, otorgarán a sus trabajadores sujetos o no a negociación colectiva un incremento de remuneraciones que será igual al 100 por ciento de la remuneración ordinaria que por todo concepto percibieron al 31 de julio de 1990. El incremento no podrá exceder de I/. 75’000.000 mensuales. (…)”</w:t>
      </w:r>
      <w:r w:rsidRPr="00D94314">
        <w:rPr>
          <w:sz w:val="20"/>
          <w:szCs w:val="20"/>
          <w:vertAlign w:val="superscript"/>
        </w:rPr>
        <w:footnoteReference w:id="9"/>
      </w:r>
      <w:r w:rsidR="009809EA" w:rsidRPr="00D94314">
        <w:rPr>
          <w:rFonts w:asciiTheme="majorHAnsi" w:hAnsiTheme="majorHAnsi"/>
          <w:sz w:val="20"/>
          <w:szCs w:val="20"/>
          <w:lang w:val="es-CO"/>
        </w:rPr>
        <w:t>.</w:t>
      </w:r>
    </w:p>
    <w:p w14:paraId="1E8F74F9" w14:textId="18E58862" w:rsidR="006A564D" w:rsidRPr="001A1D6A" w:rsidRDefault="006A564D" w:rsidP="001A1D6A">
      <w:pPr>
        <w:pStyle w:val="Heading2"/>
        <w:numPr>
          <w:ilvl w:val="0"/>
          <w:numId w:val="70"/>
        </w:numPr>
        <w:ind w:firstLine="0"/>
        <w:rPr>
          <w:rFonts w:asciiTheme="majorHAnsi" w:hAnsiTheme="majorHAnsi"/>
          <w:i w:val="0"/>
          <w:sz w:val="20"/>
          <w:szCs w:val="20"/>
          <w:lang w:val="es-CO"/>
        </w:rPr>
      </w:pPr>
      <w:bookmarkStart w:id="8" w:name="_Toc21421512"/>
      <w:r w:rsidRPr="001A1D6A">
        <w:rPr>
          <w:rFonts w:asciiTheme="majorHAnsi" w:hAnsiTheme="majorHAnsi"/>
          <w:i w:val="0"/>
          <w:sz w:val="20"/>
          <w:szCs w:val="20"/>
          <w:lang w:val="es-CO"/>
        </w:rPr>
        <w:t>RECURSO DE AMPARO</w:t>
      </w:r>
      <w:r w:rsidR="00D556CC" w:rsidRPr="001A1D6A">
        <w:rPr>
          <w:rFonts w:asciiTheme="majorHAnsi" w:hAnsiTheme="majorHAnsi"/>
          <w:i w:val="0"/>
          <w:sz w:val="20"/>
          <w:szCs w:val="20"/>
          <w:lang w:val="es-CO"/>
        </w:rPr>
        <w:t xml:space="preserve"> Y PROCESO DE EJECUCI</w:t>
      </w:r>
      <w:r w:rsidR="00615B87" w:rsidRPr="001A1D6A">
        <w:rPr>
          <w:rFonts w:asciiTheme="majorHAnsi" w:hAnsiTheme="majorHAnsi"/>
          <w:i w:val="0"/>
          <w:sz w:val="20"/>
          <w:szCs w:val="20"/>
          <w:lang w:val="es-CO"/>
        </w:rPr>
        <w:t>Ó</w:t>
      </w:r>
      <w:r w:rsidR="00D556CC" w:rsidRPr="001A1D6A">
        <w:rPr>
          <w:rFonts w:asciiTheme="majorHAnsi" w:hAnsiTheme="majorHAnsi"/>
          <w:i w:val="0"/>
          <w:sz w:val="20"/>
          <w:szCs w:val="20"/>
          <w:lang w:val="es-CO"/>
        </w:rPr>
        <w:t>N DE SENTENCIA</w:t>
      </w:r>
      <w:bookmarkEnd w:id="8"/>
    </w:p>
    <w:p w14:paraId="00873041" w14:textId="77777777" w:rsidR="006A564D" w:rsidRPr="00D94314" w:rsidRDefault="006A564D" w:rsidP="006A564D">
      <w:pPr>
        <w:rPr>
          <w:rFonts w:asciiTheme="majorHAnsi" w:hAnsiTheme="majorHAnsi"/>
          <w:b/>
          <w:sz w:val="20"/>
          <w:szCs w:val="20"/>
          <w:u w:color="000000"/>
          <w:lang w:val="es-CO"/>
        </w:rPr>
      </w:pPr>
    </w:p>
    <w:p w14:paraId="7C178D3C" w14:textId="3E05C3D9" w:rsidR="006A564D" w:rsidRPr="00D94314" w:rsidRDefault="006A564D" w:rsidP="003337C9">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El 22 de agosto de 1990, algunos trabajadores de ECASA a</w:t>
      </w:r>
      <w:r w:rsidR="003337C9" w:rsidRPr="00D94314">
        <w:rPr>
          <w:rFonts w:asciiTheme="majorHAnsi" w:hAnsiTheme="majorHAnsi"/>
          <w:sz w:val="20"/>
          <w:szCs w:val="20"/>
          <w:lang w:val="es-CO"/>
        </w:rPr>
        <w:t>sociados</w:t>
      </w:r>
      <w:r w:rsidRPr="00D94314">
        <w:rPr>
          <w:rFonts w:asciiTheme="majorHAnsi" w:hAnsiTheme="majorHAnsi"/>
          <w:sz w:val="20"/>
          <w:szCs w:val="20"/>
          <w:lang w:val="es-CO"/>
        </w:rPr>
        <w:t xml:space="preserve"> sindicalmente como SUTECASA interpusieron demanda de </w:t>
      </w:r>
      <w:r w:rsidR="003337C9" w:rsidRPr="00D94314">
        <w:rPr>
          <w:rFonts w:asciiTheme="majorHAnsi" w:hAnsiTheme="majorHAnsi"/>
          <w:sz w:val="20"/>
          <w:szCs w:val="20"/>
          <w:lang w:val="es-CO"/>
        </w:rPr>
        <w:t>a</w:t>
      </w:r>
      <w:r w:rsidRPr="00D94314">
        <w:rPr>
          <w:rFonts w:asciiTheme="majorHAnsi" w:hAnsiTheme="majorHAnsi"/>
          <w:sz w:val="20"/>
          <w:szCs w:val="20"/>
          <w:lang w:val="es-CO"/>
        </w:rPr>
        <w:t xml:space="preserve">cción de </w:t>
      </w:r>
      <w:r w:rsidR="003337C9" w:rsidRPr="00D94314">
        <w:rPr>
          <w:rFonts w:asciiTheme="majorHAnsi" w:hAnsiTheme="majorHAnsi"/>
          <w:sz w:val="20"/>
          <w:szCs w:val="20"/>
          <w:lang w:val="es-CO"/>
        </w:rPr>
        <w:t>a</w:t>
      </w:r>
      <w:r w:rsidRPr="00D94314">
        <w:rPr>
          <w:rFonts w:asciiTheme="majorHAnsi" w:hAnsiTheme="majorHAnsi"/>
          <w:sz w:val="20"/>
          <w:szCs w:val="20"/>
          <w:lang w:val="es-CO"/>
        </w:rPr>
        <w:t>mparo</w:t>
      </w:r>
      <w:r w:rsidRPr="00D94314">
        <w:rPr>
          <w:rFonts w:asciiTheme="majorHAnsi" w:hAnsiTheme="majorHAnsi"/>
          <w:sz w:val="20"/>
          <w:szCs w:val="20"/>
          <w:vertAlign w:val="superscript"/>
          <w:lang w:val="es-CO"/>
        </w:rPr>
        <w:footnoteReference w:id="10"/>
      </w:r>
      <w:r w:rsidRPr="00D94314">
        <w:rPr>
          <w:rFonts w:asciiTheme="majorHAnsi" w:hAnsiTheme="majorHAnsi"/>
          <w:sz w:val="20"/>
          <w:szCs w:val="20"/>
          <w:lang w:val="es-CO"/>
        </w:rPr>
        <w:t xml:space="preserve"> contra la Presidencia del Consejo de Ministros, el Ministro de Economía y Finanzas, el Ministro de Trabajo y ECASA por la indebida aplicación de los Decretos Supremos 057-90-TR y 107-90-PCM, con la pretensión de que estas disposiciones legales les fueran declaradas inaplicables ya que contravenían el Convenio Colectivo vigente para el periodo 1990-1991.</w:t>
      </w:r>
      <w:r w:rsidR="003337C9" w:rsidRPr="00D94314">
        <w:rPr>
          <w:rFonts w:asciiTheme="majorHAnsi" w:hAnsiTheme="majorHAnsi"/>
          <w:sz w:val="20"/>
          <w:szCs w:val="20"/>
          <w:lang w:val="es-CO"/>
        </w:rPr>
        <w:t xml:space="preserve"> </w:t>
      </w:r>
      <w:r w:rsidRPr="00D94314">
        <w:rPr>
          <w:rFonts w:asciiTheme="majorHAnsi" w:hAnsiTheme="majorHAnsi"/>
          <w:sz w:val="20"/>
          <w:szCs w:val="20"/>
          <w:lang w:val="es-CO"/>
        </w:rPr>
        <w:t>El MEF (Ministerio de Economía y Finanzas) presentó escrito ante el Octavo Juzgado Civil de la Corte Superior de Lima</w:t>
      </w:r>
      <w:r w:rsidRPr="00D94314">
        <w:rPr>
          <w:sz w:val="20"/>
          <w:szCs w:val="20"/>
          <w:vertAlign w:val="superscript"/>
        </w:rPr>
        <w:footnoteReference w:id="11"/>
      </w:r>
      <w:r w:rsidRPr="00D94314">
        <w:rPr>
          <w:rFonts w:asciiTheme="majorHAnsi" w:hAnsiTheme="majorHAnsi"/>
          <w:sz w:val="20"/>
          <w:szCs w:val="20"/>
          <w:lang w:val="es-CO"/>
        </w:rPr>
        <w:t xml:space="preserve"> a través del cual solicitó se declarara improcedente e infundada la Acción de Amparo interpuesta por el SUTECASA.</w:t>
      </w:r>
    </w:p>
    <w:p w14:paraId="4F8FED38" w14:textId="77777777" w:rsidR="00D40343" w:rsidRPr="00D94314" w:rsidRDefault="00D40343" w:rsidP="00D40343">
      <w:pPr>
        <w:pStyle w:val="ListParagraph"/>
        <w:jc w:val="both"/>
        <w:rPr>
          <w:rFonts w:asciiTheme="majorHAnsi" w:hAnsiTheme="majorHAnsi"/>
          <w:b/>
          <w:sz w:val="20"/>
          <w:szCs w:val="20"/>
          <w:lang w:val="es-CO"/>
        </w:rPr>
      </w:pPr>
    </w:p>
    <w:p w14:paraId="33AD1426" w14:textId="4C20A9D3" w:rsidR="006A564D" w:rsidRPr="00D94314" w:rsidRDefault="006A564D" w:rsidP="00396AA0">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El 14 de diciembre de 1990 a través de Resolución del Octavo Juzgado Civil de Lima</w:t>
      </w:r>
      <w:r w:rsidRPr="00D94314">
        <w:rPr>
          <w:rFonts w:asciiTheme="majorHAnsi" w:hAnsiTheme="majorHAnsi"/>
          <w:sz w:val="20"/>
          <w:szCs w:val="20"/>
          <w:vertAlign w:val="superscript"/>
          <w:lang w:val="es-CO"/>
        </w:rPr>
        <w:footnoteReference w:id="12"/>
      </w:r>
      <w:r w:rsidRPr="00D94314">
        <w:rPr>
          <w:rFonts w:asciiTheme="majorHAnsi" w:hAnsiTheme="majorHAnsi"/>
          <w:sz w:val="20"/>
          <w:szCs w:val="20"/>
          <w:lang w:val="es-CO"/>
        </w:rPr>
        <w:t>, en el expediente de medida cautelar, se dejaron sin efectos los Decretos Supremos N° 057-90-TR y N° 107-90-PCM, en tanto no se dictar</w:t>
      </w:r>
      <w:r w:rsidR="00465CCB" w:rsidRPr="00D94314">
        <w:rPr>
          <w:rFonts w:asciiTheme="majorHAnsi" w:hAnsiTheme="majorHAnsi"/>
          <w:sz w:val="20"/>
          <w:szCs w:val="20"/>
          <w:lang w:val="es-CO"/>
        </w:rPr>
        <w:t>a</w:t>
      </w:r>
      <w:r w:rsidRPr="00D94314">
        <w:rPr>
          <w:rFonts w:asciiTheme="majorHAnsi" w:hAnsiTheme="majorHAnsi"/>
          <w:sz w:val="20"/>
          <w:szCs w:val="20"/>
          <w:lang w:val="es-CO"/>
        </w:rPr>
        <w:t xml:space="preserve"> sentencia en el proceso de amparo seguido por el SUTECASA. </w:t>
      </w:r>
      <w:r w:rsidR="00690106" w:rsidRPr="00D94314">
        <w:rPr>
          <w:rFonts w:asciiTheme="majorHAnsi" w:hAnsiTheme="majorHAnsi"/>
          <w:sz w:val="20"/>
          <w:szCs w:val="20"/>
          <w:lang w:val="es-CO"/>
        </w:rPr>
        <w:t>Esta r</w:t>
      </w:r>
      <w:r w:rsidRPr="00D94314">
        <w:rPr>
          <w:rFonts w:asciiTheme="majorHAnsi" w:hAnsiTheme="majorHAnsi"/>
          <w:sz w:val="20"/>
          <w:szCs w:val="20"/>
          <w:lang w:val="es-CO"/>
        </w:rPr>
        <w:t>esolución fue confirmada el 25 de febrero de 1991 por la Sexta Sala Civil de la Corte Superior de Justicia de Lima</w:t>
      </w:r>
      <w:r w:rsidRPr="00D94314">
        <w:rPr>
          <w:rFonts w:asciiTheme="majorHAnsi" w:hAnsiTheme="majorHAnsi"/>
          <w:sz w:val="20"/>
          <w:szCs w:val="20"/>
          <w:vertAlign w:val="superscript"/>
          <w:lang w:val="es-CO"/>
        </w:rPr>
        <w:footnoteReference w:id="13"/>
      </w:r>
      <w:r w:rsidR="005C6DA6" w:rsidRPr="00D94314">
        <w:rPr>
          <w:rFonts w:asciiTheme="majorHAnsi" w:hAnsiTheme="majorHAnsi"/>
          <w:sz w:val="20"/>
          <w:szCs w:val="20"/>
          <w:lang w:val="es-CO"/>
        </w:rPr>
        <w:t>.</w:t>
      </w:r>
      <w:r w:rsidR="00396AA0" w:rsidRPr="00D94314">
        <w:rPr>
          <w:rFonts w:asciiTheme="majorHAnsi" w:hAnsiTheme="majorHAnsi"/>
          <w:sz w:val="20"/>
          <w:szCs w:val="20"/>
          <w:lang w:val="es-CO"/>
        </w:rPr>
        <w:t xml:space="preserve"> </w:t>
      </w:r>
      <w:r w:rsidRPr="00D94314">
        <w:rPr>
          <w:rFonts w:asciiTheme="majorHAnsi" w:hAnsiTheme="majorHAnsi"/>
          <w:sz w:val="20"/>
          <w:szCs w:val="20"/>
          <w:lang w:val="es-CO"/>
        </w:rPr>
        <w:t xml:space="preserve">El 24 de abril de 1991 se </w:t>
      </w:r>
      <w:r w:rsidRPr="00D94314">
        <w:rPr>
          <w:rFonts w:asciiTheme="majorHAnsi" w:hAnsiTheme="majorHAnsi"/>
          <w:sz w:val="20"/>
          <w:szCs w:val="20"/>
          <w:lang w:val="es-CO"/>
        </w:rPr>
        <w:lastRenderedPageBreak/>
        <w:t>dictó Resolución por el Octavo Juzgado Civil de Lima en el cuaderno de medidas cautelares la cual ordenó “Cúmplase lo ejecutoriado”</w:t>
      </w:r>
      <w:r w:rsidRPr="00D94314">
        <w:rPr>
          <w:sz w:val="20"/>
          <w:szCs w:val="20"/>
          <w:vertAlign w:val="superscript"/>
        </w:rPr>
        <w:footnoteReference w:id="14"/>
      </w:r>
      <w:r w:rsidR="00396AA0" w:rsidRPr="00D94314">
        <w:rPr>
          <w:rFonts w:asciiTheme="majorHAnsi" w:hAnsiTheme="majorHAnsi"/>
          <w:sz w:val="20"/>
          <w:szCs w:val="20"/>
          <w:lang w:val="es-CO"/>
        </w:rPr>
        <w:t>.</w:t>
      </w:r>
    </w:p>
    <w:p w14:paraId="723A2DB4" w14:textId="77777777" w:rsidR="006A564D" w:rsidRPr="00D94314" w:rsidRDefault="006A564D" w:rsidP="006A564D">
      <w:pPr>
        <w:rPr>
          <w:rFonts w:asciiTheme="majorHAnsi" w:hAnsiTheme="majorHAnsi"/>
          <w:b/>
          <w:sz w:val="20"/>
          <w:szCs w:val="20"/>
          <w:u w:color="000000"/>
          <w:lang w:val="es-CO"/>
        </w:rPr>
      </w:pPr>
    </w:p>
    <w:p w14:paraId="14FDEA3B" w14:textId="2CE149FA" w:rsidR="006A564D" w:rsidRPr="00D94314" w:rsidRDefault="006A564D" w:rsidP="0091284D">
      <w:pPr>
        <w:pStyle w:val="ListParagraph"/>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 xml:space="preserve">El Octavo Juzgado Civil de Lima emitió sentencia el 22 de abril de 1991 </w:t>
      </w:r>
      <w:r w:rsidR="007C4E5E" w:rsidRPr="00D94314">
        <w:rPr>
          <w:rFonts w:asciiTheme="majorHAnsi" w:hAnsiTheme="majorHAnsi"/>
          <w:sz w:val="20"/>
          <w:szCs w:val="20"/>
          <w:lang w:val="es-CO"/>
        </w:rPr>
        <w:t xml:space="preserve">declarando </w:t>
      </w:r>
      <w:r w:rsidRPr="00D94314">
        <w:rPr>
          <w:rFonts w:asciiTheme="majorHAnsi" w:hAnsiTheme="majorHAnsi"/>
          <w:sz w:val="20"/>
          <w:szCs w:val="20"/>
          <w:lang w:val="es-CO"/>
        </w:rPr>
        <w:t xml:space="preserve">fundada la demanda de </w:t>
      </w:r>
      <w:r w:rsidR="0091284D" w:rsidRPr="00D94314">
        <w:rPr>
          <w:rFonts w:asciiTheme="majorHAnsi" w:hAnsiTheme="majorHAnsi"/>
          <w:sz w:val="20"/>
          <w:szCs w:val="20"/>
          <w:lang w:val="es-CO"/>
        </w:rPr>
        <w:t>a</w:t>
      </w:r>
      <w:r w:rsidRPr="00D94314">
        <w:rPr>
          <w:rFonts w:asciiTheme="majorHAnsi" w:hAnsiTheme="majorHAnsi"/>
          <w:sz w:val="20"/>
          <w:szCs w:val="20"/>
          <w:lang w:val="es-CO"/>
        </w:rPr>
        <w:t>mparo y sin efectos los decretos recurridos</w:t>
      </w:r>
      <w:r w:rsidRPr="00D94314">
        <w:rPr>
          <w:rFonts w:asciiTheme="majorHAnsi" w:hAnsiTheme="majorHAnsi"/>
          <w:sz w:val="20"/>
          <w:szCs w:val="20"/>
          <w:vertAlign w:val="superscript"/>
          <w:lang w:val="es-CO"/>
        </w:rPr>
        <w:footnoteReference w:id="15"/>
      </w:r>
      <w:r w:rsidR="0091284D" w:rsidRPr="00D94314">
        <w:rPr>
          <w:rFonts w:asciiTheme="majorHAnsi" w:hAnsiTheme="majorHAnsi"/>
          <w:sz w:val="20"/>
          <w:szCs w:val="20"/>
          <w:lang w:val="es-CO"/>
        </w:rPr>
        <w:t>.</w:t>
      </w:r>
      <w:r w:rsidRPr="00D94314">
        <w:rPr>
          <w:rFonts w:asciiTheme="majorHAnsi" w:hAnsiTheme="majorHAnsi"/>
          <w:sz w:val="20"/>
          <w:szCs w:val="20"/>
          <w:lang w:val="es-CO"/>
        </w:rPr>
        <w:t xml:space="preserve"> La Sexta Sala Civil de Lima el 27 de septiembre de 1991</w:t>
      </w:r>
      <w:r w:rsidRPr="00D94314">
        <w:rPr>
          <w:sz w:val="20"/>
          <w:szCs w:val="20"/>
          <w:vertAlign w:val="superscript"/>
        </w:rPr>
        <w:footnoteReference w:id="16"/>
      </w:r>
      <w:r w:rsidRPr="00D94314">
        <w:rPr>
          <w:rFonts w:asciiTheme="majorHAnsi" w:hAnsiTheme="majorHAnsi"/>
          <w:sz w:val="20"/>
          <w:szCs w:val="20"/>
          <w:lang w:val="es-CO"/>
        </w:rPr>
        <w:t xml:space="preserve"> confirmó la sentencia </w:t>
      </w:r>
      <w:r w:rsidR="00845490" w:rsidRPr="00D94314">
        <w:rPr>
          <w:rFonts w:asciiTheme="majorHAnsi" w:hAnsiTheme="majorHAnsi"/>
          <w:sz w:val="20"/>
          <w:szCs w:val="20"/>
          <w:lang w:val="es-CO"/>
        </w:rPr>
        <w:t>favorable</w:t>
      </w:r>
      <w:r w:rsidRPr="00D94314">
        <w:rPr>
          <w:rFonts w:asciiTheme="majorHAnsi" w:hAnsiTheme="majorHAnsi"/>
          <w:sz w:val="20"/>
          <w:szCs w:val="20"/>
          <w:lang w:val="es-CO"/>
        </w:rPr>
        <w:t>.</w:t>
      </w:r>
    </w:p>
    <w:p w14:paraId="6C0F88B6" w14:textId="77777777" w:rsidR="006A564D" w:rsidRPr="00D94314" w:rsidRDefault="006A564D" w:rsidP="006A564D">
      <w:pPr>
        <w:rPr>
          <w:rFonts w:asciiTheme="majorHAnsi" w:hAnsiTheme="majorHAnsi"/>
          <w:sz w:val="20"/>
          <w:szCs w:val="20"/>
          <w:u w:color="000000"/>
          <w:lang w:val="es-CO"/>
        </w:rPr>
      </w:pPr>
    </w:p>
    <w:p w14:paraId="5CDA9F79" w14:textId="1665CBD1" w:rsidR="006A564D" w:rsidRPr="00D94314" w:rsidRDefault="006A564D" w:rsidP="00E110E6">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El 16 de febrero de 1993 la Sala de Derecho Constitucional y Social de la Corte Suprema de Justicia de la República</w:t>
      </w:r>
      <w:r w:rsidRPr="00D94314">
        <w:rPr>
          <w:sz w:val="20"/>
          <w:szCs w:val="20"/>
          <w:vertAlign w:val="superscript"/>
        </w:rPr>
        <w:footnoteReference w:id="17"/>
      </w:r>
      <w:r w:rsidR="00E110E6" w:rsidRPr="00D94314">
        <w:rPr>
          <w:rFonts w:asciiTheme="majorHAnsi" w:hAnsiTheme="majorHAnsi"/>
          <w:sz w:val="20"/>
          <w:szCs w:val="20"/>
          <w:lang w:val="es-CO"/>
        </w:rPr>
        <w:t xml:space="preserve"> </w:t>
      </w:r>
      <w:r w:rsidRPr="00D94314">
        <w:rPr>
          <w:rFonts w:asciiTheme="majorHAnsi" w:hAnsiTheme="majorHAnsi"/>
          <w:sz w:val="20"/>
          <w:szCs w:val="20"/>
          <w:lang w:val="es-CO"/>
        </w:rPr>
        <w:t xml:space="preserve">resolvió </w:t>
      </w:r>
      <w:r w:rsidR="00E110E6" w:rsidRPr="00D94314">
        <w:rPr>
          <w:rFonts w:asciiTheme="majorHAnsi" w:hAnsiTheme="majorHAnsi"/>
          <w:sz w:val="20"/>
          <w:szCs w:val="20"/>
          <w:lang w:val="es-CO"/>
        </w:rPr>
        <w:t xml:space="preserve">definitivamente </w:t>
      </w:r>
      <w:r w:rsidRPr="00D94314">
        <w:rPr>
          <w:rFonts w:asciiTheme="majorHAnsi" w:hAnsiTheme="majorHAnsi"/>
          <w:sz w:val="20"/>
          <w:szCs w:val="20"/>
          <w:lang w:val="es-CO"/>
        </w:rPr>
        <w:t>confirmando que era fundada la acción de amparo interpuesta por SUTECASA</w:t>
      </w:r>
      <w:r w:rsidR="00E110E6" w:rsidRPr="00D94314">
        <w:rPr>
          <w:rFonts w:asciiTheme="majorHAnsi" w:hAnsiTheme="majorHAnsi"/>
          <w:sz w:val="20"/>
          <w:szCs w:val="20"/>
          <w:lang w:val="es-CO"/>
        </w:rPr>
        <w:t xml:space="preserve">. En particular, dispuso que </w:t>
      </w:r>
      <w:r w:rsidRPr="00D94314">
        <w:rPr>
          <w:rFonts w:asciiTheme="majorHAnsi" w:hAnsiTheme="majorHAnsi"/>
          <w:sz w:val="20"/>
          <w:szCs w:val="20"/>
          <w:lang w:val="es-CO"/>
        </w:rPr>
        <w:t>“eran inaplicables para los accionantes los Decretos Supremos número [57-90-TR] y [107-90-PCM]”</w:t>
      </w:r>
      <w:r w:rsidRPr="00D94314">
        <w:rPr>
          <w:sz w:val="20"/>
          <w:szCs w:val="20"/>
          <w:vertAlign w:val="superscript"/>
        </w:rPr>
        <w:footnoteReference w:id="18"/>
      </w:r>
      <w:r w:rsidR="00E110E6" w:rsidRPr="00D94314">
        <w:rPr>
          <w:rFonts w:asciiTheme="majorHAnsi" w:hAnsiTheme="majorHAnsi"/>
          <w:sz w:val="20"/>
          <w:szCs w:val="20"/>
          <w:lang w:val="es-CO"/>
        </w:rPr>
        <w:t>.</w:t>
      </w:r>
      <w:r w:rsidRPr="00D94314">
        <w:rPr>
          <w:rFonts w:asciiTheme="majorHAnsi" w:hAnsiTheme="majorHAnsi"/>
          <w:sz w:val="20"/>
          <w:szCs w:val="20"/>
          <w:lang w:val="es-CO"/>
        </w:rPr>
        <w:t xml:space="preserve"> El 19 de marzo de 1993 el MEF </w:t>
      </w:r>
      <w:r w:rsidR="00E110E6" w:rsidRPr="00D94314">
        <w:rPr>
          <w:rFonts w:asciiTheme="majorHAnsi" w:hAnsiTheme="majorHAnsi"/>
          <w:sz w:val="20"/>
          <w:szCs w:val="20"/>
          <w:lang w:val="es-CO"/>
        </w:rPr>
        <w:t>interpuso r</w:t>
      </w:r>
      <w:r w:rsidRPr="00D94314">
        <w:rPr>
          <w:rFonts w:asciiTheme="majorHAnsi" w:hAnsiTheme="majorHAnsi"/>
          <w:sz w:val="20"/>
          <w:szCs w:val="20"/>
          <w:lang w:val="es-CO"/>
        </w:rPr>
        <w:t xml:space="preserve">ecurso de casación en contra de la </w:t>
      </w:r>
      <w:r w:rsidR="00954584" w:rsidRPr="00D94314">
        <w:rPr>
          <w:rFonts w:asciiTheme="majorHAnsi" w:hAnsiTheme="majorHAnsi"/>
          <w:sz w:val="20"/>
          <w:szCs w:val="20"/>
          <w:lang w:val="es-CO"/>
        </w:rPr>
        <w:t>r</w:t>
      </w:r>
      <w:r w:rsidRPr="00D94314">
        <w:rPr>
          <w:rFonts w:asciiTheme="majorHAnsi" w:hAnsiTheme="majorHAnsi"/>
          <w:sz w:val="20"/>
          <w:szCs w:val="20"/>
          <w:lang w:val="es-CO"/>
        </w:rPr>
        <w:t>esolución de 16 de febrero de 1993</w:t>
      </w:r>
      <w:r w:rsidRPr="00D94314">
        <w:rPr>
          <w:sz w:val="20"/>
          <w:szCs w:val="20"/>
          <w:vertAlign w:val="superscript"/>
        </w:rPr>
        <w:footnoteReference w:id="19"/>
      </w:r>
      <w:r w:rsidR="00E110E6" w:rsidRPr="00D94314">
        <w:rPr>
          <w:rFonts w:asciiTheme="majorHAnsi" w:hAnsiTheme="majorHAnsi"/>
          <w:sz w:val="20"/>
          <w:szCs w:val="20"/>
          <w:lang w:val="es-CO"/>
        </w:rPr>
        <w:t xml:space="preserve">. </w:t>
      </w:r>
      <w:r w:rsidRPr="00D94314">
        <w:rPr>
          <w:rFonts w:asciiTheme="majorHAnsi" w:hAnsiTheme="majorHAnsi"/>
          <w:sz w:val="20"/>
          <w:szCs w:val="20"/>
          <w:lang w:val="es-CO"/>
        </w:rPr>
        <w:t>El 15 de marzo de 1994 se emitió auto cautelar que contenía la obligación de ECASA de abonarse a todos los trabajadores los beneficios pactados en el Convenio Colectivo 90/91 con SUTECASA</w:t>
      </w:r>
      <w:r w:rsidRPr="00D94314">
        <w:rPr>
          <w:sz w:val="20"/>
          <w:szCs w:val="20"/>
          <w:vertAlign w:val="superscript"/>
        </w:rPr>
        <w:footnoteReference w:id="20"/>
      </w:r>
      <w:r w:rsidR="00E110E6" w:rsidRPr="00D94314">
        <w:rPr>
          <w:rFonts w:asciiTheme="majorHAnsi" w:hAnsiTheme="majorHAnsi"/>
          <w:sz w:val="20"/>
          <w:szCs w:val="20"/>
          <w:lang w:val="es-CO"/>
        </w:rPr>
        <w:t>.</w:t>
      </w:r>
      <w:r w:rsidRPr="00D94314">
        <w:rPr>
          <w:rFonts w:asciiTheme="majorHAnsi" w:hAnsiTheme="majorHAnsi"/>
          <w:sz w:val="20"/>
          <w:szCs w:val="20"/>
          <w:lang w:val="es-CO"/>
        </w:rPr>
        <w:t xml:space="preserve"> </w:t>
      </w:r>
    </w:p>
    <w:p w14:paraId="1AEEFF23" w14:textId="77777777" w:rsidR="006A564D" w:rsidRPr="00D94314" w:rsidRDefault="006A564D" w:rsidP="003548EB">
      <w:pPr>
        <w:jc w:val="both"/>
        <w:rPr>
          <w:rFonts w:asciiTheme="majorHAnsi" w:hAnsiTheme="majorHAnsi"/>
          <w:b/>
          <w:sz w:val="20"/>
          <w:szCs w:val="20"/>
          <w:lang w:val="es-CO"/>
        </w:rPr>
      </w:pPr>
    </w:p>
    <w:p w14:paraId="008B94CE" w14:textId="3BA613BF" w:rsidR="006A564D" w:rsidRPr="00D94314" w:rsidRDefault="00550104" w:rsidP="0091621E">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L</w:t>
      </w:r>
      <w:r w:rsidR="006A564D" w:rsidRPr="00D94314">
        <w:rPr>
          <w:rFonts w:asciiTheme="majorHAnsi" w:hAnsiTheme="majorHAnsi"/>
          <w:sz w:val="20"/>
          <w:szCs w:val="20"/>
          <w:lang w:val="es-CO"/>
        </w:rPr>
        <w:t>a Sexta Sala Civil de la Corte Superior de Justicia de Lima</w:t>
      </w:r>
      <w:r w:rsidRPr="00D94314">
        <w:rPr>
          <w:rFonts w:asciiTheme="majorHAnsi" w:hAnsiTheme="majorHAnsi"/>
          <w:sz w:val="20"/>
          <w:szCs w:val="20"/>
          <w:lang w:val="es-CO"/>
        </w:rPr>
        <w:t>,</w:t>
      </w:r>
      <w:r w:rsidR="006A564D" w:rsidRPr="00D94314">
        <w:rPr>
          <w:rFonts w:asciiTheme="majorHAnsi" w:hAnsiTheme="majorHAnsi"/>
          <w:sz w:val="20"/>
          <w:szCs w:val="20"/>
          <w:lang w:val="es-CO"/>
        </w:rPr>
        <w:t xml:space="preserve"> el 11 de octubre de 1994, ordenó designar “dos peritos contadores públicos a efecto que informen al juzgado respecto a la aplicación del convenio colectivo [90-91] y la inaplicación de los decretos supremos (…) y precisen la cantidad que adeuda a los trabajadores representados por el sindicato demandante”</w:t>
      </w:r>
      <w:r w:rsidR="006A564D" w:rsidRPr="00D94314">
        <w:rPr>
          <w:rFonts w:asciiTheme="majorHAnsi" w:hAnsiTheme="majorHAnsi"/>
          <w:sz w:val="20"/>
          <w:szCs w:val="20"/>
          <w:vertAlign w:val="superscript"/>
          <w:lang w:val="es-CO"/>
        </w:rPr>
        <w:footnoteReference w:id="21"/>
      </w:r>
      <w:r w:rsidR="000B1F64" w:rsidRPr="00D94314">
        <w:rPr>
          <w:rFonts w:asciiTheme="majorHAnsi" w:hAnsiTheme="majorHAnsi"/>
          <w:sz w:val="20"/>
          <w:szCs w:val="20"/>
          <w:lang w:val="es-CO"/>
        </w:rPr>
        <w:t>.</w:t>
      </w:r>
      <w:r w:rsidR="006A564D" w:rsidRPr="00D94314">
        <w:rPr>
          <w:rFonts w:asciiTheme="majorHAnsi" w:hAnsiTheme="majorHAnsi"/>
          <w:sz w:val="20"/>
          <w:szCs w:val="20"/>
          <w:lang w:val="es-CO"/>
        </w:rPr>
        <w:t xml:space="preserve"> El 22 de abril de 1996 se presentó Informe Pericial Contable concluyendo “PRIMERA: (…) ECASA aplicó lo dispuesto en los Decretos Supremos N° 057-90-TR y N° 107-90-PCM. (…) SEGUNDA: (…) dichos incrementos fueron pagados en forma diminuta por ECASA, aplicando los Decretos Supremos N° 057-90-TR y N° 107-90-PCM. (…) QUINTA: (…) la deuda correspondiente a los 2,116 ex trabajadores de ECASA afiliados al [SUTECASA], estableciéndose aquí el monto total de la deuda”</w:t>
      </w:r>
      <w:r w:rsidR="006A564D" w:rsidRPr="00D94314">
        <w:rPr>
          <w:sz w:val="20"/>
          <w:szCs w:val="20"/>
          <w:vertAlign w:val="superscript"/>
        </w:rPr>
        <w:footnoteReference w:id="22"/>
      </w:r>
      <w:r w:rsidR="0001521F" w:rsidRPr="00D94314">
        <w:rPr>
          <w:rFonts w:asciiTheme="majorHAnsi" w:hAnsiTheme="majorHAnsi"/>
          <w:sz w:val="20"/>
          <w:szCs w:val="20"/>
          <w:lang w:val="es-CO"/>
        </w:rPr>
        <w:t>.</w:t>
      </w:r>
    </w:p>
    <w:p w14:paraId="05D85D35" w14:textId="1F4B58F1" w:rsidR="006A564D" w:rsidRPr="00D94314" w:rsidRDefault="006A564D" w:rsidP="006A564D">
      <w:pPr>
        <w:pStyle w:val="ListParagraph"/>
        <w:rPr>
          <w:rFonts w:asciiTheme="majorHAnsi" w:hAnsiTheme="majorHAnsi"/>
          <w:sz w:val="20"/>
          <w:szCs w:val="20"/>
          <w:lang w:val="es-CO"/>
        </w:rPr>
      </w:pPr>
    </w:p>
    <w:p w14:paraId="587C80D6" w14:textId="2017ECC3" w:rsidR="006A564D" w:rsidRPr="00D94314" w:rsidRDefault="004F4C36" w:rsidP="0018734B">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Consta en el expediente que e</w:t>
      </w:r>
      <w:r w:rsidR="006A564D" w:rsidRPr="00D94314">
        <w:rPr>
          <w:rFonts w:asciiTheme="majorHAnsi" w:hAnsiTheme="majorHAnsi"/>
          <w:sz w:val="20"/>
          <w:szCs w:val="20"/>
          <w:lang w:val="es-CO"/>
        </w:rPr>
        <w:t>l 25 de junio de 1996 el Tribunal Constitucional</w:t>
      </w:r>
      <w:r w:rsidRPr="00D94314">
        <w:rPr>
          <w:rFonts w:asciiTheme="majorHAnsi" w:hAnsiTheme="majorHAnsi"/>
          <w:sz w:val="20"/>
          <w:szCs w:val="20"/>
          <w:lang w:val="es-CO"/>
        </w:rPr>
        <w:t xml:space="preserve"> emitió sentencia </w:t>
      </w:r>
      <w:r w:rsidR="006A564D" w:rsidRPr="00D94314">
        <w:rPr>
          <w:rFonts w:asciiTheme="majorHAnsi" w:hAnsiTheme="majorHAnsi"/>
          <w:sz w:val="20"/>
          <w:szCs w:val="20"/>
          <w:lang w:val="es-CO"/>
        </w:rPr>
        <w:t>resolvi</w:t>
      </w:r>
      <w:r w:rsidRPr="00D94314">
        <w:rPr>
          <w:rFonts w:asciiTheme="majorHAnsi" w:hAnsiTheme="majorHAnsi"/>
          <w:sz w:val="20"/>
          <w:szCs w:val="20"/>
          <w:lang w:val="es-CO"/>
        </w:rPr>
        <w:t>endo que</w:t>
      </w:r>
      <w:r w:rsidR="006A564D" w:rsidRPr="00D94314">
        <w:rPr>
          <w:rFonts w:asciiTheme="majorHAnsi" w:hAnsiTheme="majorHAnsi"/>
          <w:sz w:val="20"/>
          <w:szCs w:val="20"/>
          <w:lang w:val="es-CO"/>
        </w:rPr>
        <w:t xml:space="preserve"> de conformidad con la Sexta Disposición Transitoria de la Ley N° 26435 Orgánica del Tribunal Constitucional, “las resoluciones favorables a la parte demandante recaídas en los procesos de amparo en que el Estado es parte, y que estuviesen pendiente de casación por el Tribunal de Garantías Constitucionales, se consideran firmes y ejecutables” y devolvió los autos a la Sala de Derecho Constitucional y Social de la Corte Suprema de Justicia de la República para que disponga su ejecución</w:t>
      </w:r>
      <w:r w:rsidR="006A564D" w:rsidRPr="00D94314">
        <w:rPr>
          <w:rFonts w:asciiTheme="majorHAnsi" w:hAnsiTheme="majorHAnsi"/>
          <w:sz w:val="20"/>
          <w:szCs w:val="20"/>
          <w:vertAlign w:val="superscript"/>
          <w:lang w:val="es-CO"/>
        </w:rPr>
        <w:footnoteReference w:id="23"/>
      </w:r>
      <w:r w:rsidRPr="00D94314">
        <w:rPr>
          <w:rFonts w:asciiTheme="majorHAnsi" w:hAnsiTheme="majorHAnsi"/>
          <w:sz w:val="20"/>
          <w:szCs w:val="20"/>
          <w:lang w:val="es-CO"/>
        </w:rPr>
        <w:t>.</w:t>
      </w:r>
      <w:r w:rsidR="006A564D" w:rsidRPr="00D94314">
        <w:rPr>
          <w:rFonts w:asciiTheme="majorHAnsi" w:hAnsiTheme="majorHAnsi"/>
          <w:sz w:val="20"/>
          <w:szCs w:val="20"/>
          <w:lang w:val="es-CO"/>
        </w:rPr>
        <w:t xml:space="preserve"> </w:t>
      </w:r>
    </w:p>
    <w:p w14:paraId="3B677B20" w14:textId="77777777" w:rsidR="006A564D" w:rsidRPr="00D94314" w:rsidRDefault="006A564D" w:rsidP="006A564D">
      <w:pPr>
        <w:pStyle w:val="ListParagraph"/>
        <w:jc w:val="both"/>
        <w:rPr>
          <w:rFonts w:asciiTheme="majorHAnsi" w:hAnsiTheme="majorHAnsi"/>
          <w:b/>
          <w:sz w:val="20"/>
          <w:szCs w:val="20"/>
          <w:lang w:val="es-CO"/>
        </w:rPr>
      </w:pPr>
    </w:p>
    <w:p w14:paraId="19A9FBAA" w14:textId="1CEB4598" w:rsidR="006A564D" w:rsidRPr="00D94314" w:rsidRDefault="006A564D" w:rsidP="00A67A40">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El 24 de julio de 1996</w:t>
      </w:r>
      <w:r w:rsidR="00547A39" w:rsidRPr="00D94314">
        <w:rPr>
          <w:rFonts w:asciiTheme="majorHAnsi" w:hAnsiTheme="majorHAnsi"/>
          <w:sz w:val="20"/>
          <w:szCs w:val="20"/>
          <w:lang w:val="es-CO"/>
        </w:rPr>
        <w:t xml:space="preserve"> </w:t>
      </w:r>
      <w:r w:rsidRPr="00D94314">
        <w:rPr>
          <w:rFonts w:asciiTheme="majorHAnsi" w:hAnsiTheme="majorHAnsi"/>
          <w:sz w:val="20"/>
          <w:szCs w:val="20"/>
          <w:lang w:val="es-CO"/>
        </w:rPr>
        <w:t>el Décimo Quinto Juzgado Civil de Lima declar</w:t>
      </w:r>
      <w:r w:rsidR="00547A39" w:rsidRPr="00D94314">
        <w:rPr>
          <w:rFonts w:asciiTheme="majorHAnsi" w:hAnsiTheme="majorHAnsi"/>
          <w:sz w:val="20"/>
          <w:szCs w:val="20"/>
          <w:lang w:val="es-CO"/>
        </w:rPr>
        <w:t xml:space="preserve">ó </w:t>
      </w:r>
      <w:r w:rsidRPr="00D94314">
        <w:rPr>
          <w:rFonts w:asciiTheme="majorHAnsi" w:hAnsiTheme="majorHAnsi"/>
          <w:sz w:val="20"/>
          <w:szCs w:val="20"/>
          <w:lang w:val="es-CO"/>
        </w:rPr>
        <w:t>fundadas algunas observaciones hechas por las partes al peritaje de 22 de abril de 1996 y</w:t>
      </w:r>
      <w:r w:rsidR="00547A39" w:rsidRPr="00D94314">
        <w:rPr>
          <w:rFonts w:asciiTheme="majorHAnsi" w:hAnsiTheme="majorHAnsi"/>
          <w:sz w:val="20"/>
          <w:szCs w:val="20"/>
          <w:lang w:val="es-CO"/>
        </w:rPr>
        <w:t>,</w:t>
      </w:r>
      <w:r w:rsidRPr="00D94314">
        <w:rPr>
          <w:rFonts w:asciiTheme="majorHAnsi" w:hAnsiTheme="majorHAnsi"/>
          <w:sz w:val="20"/>
          <w:szCs w:val="20"/>
          <w:lang w:val="es-CO"/>
        </w:rPr>
        <w:t xml:space="preserve"> en consecuencia</w:t>
      </w:r>
      <w:r w:rsidR="00547A39" w:rsidRPr="00D94314">
        <w:rPr>
          <w:rFonts w:asciiTheme="majorHAnsi" w:hAnsiTheme="majorHAnsi"/>
          <w:sz w:val="20"/>
          <w:szCs w:val="20"/>
          <w:lang w:val="es-CO"/>
        </w:rPr>
        <w:t>,</w:t>
      </w:r>
      <w:r w:rsidRPr="00D94314">
        <w:rPr>
          <w:rFonts w:asciiTheme="majorHAnsi" w:hAnsiTheme="majorHAnsi"/>
          <w:sz w:val="20"/>
          <w:szCs w:val="20"/>
          <w:lang w:val="es-CO"/>
        </w:rPr>
        <w:t xml:space="preserve"> resolvi</w:t>
      </w:r>
      <w:r w:rsidR="00547A39" w:rsidRPr="00D94314">
        <w:rPr>
          <w:rFonts w:asciiTheme="majorHAnsi" w:hAnsiTheme="majorHAnsi"/>
          <w:sz w:val="20"/>
          <w:szCs w:val="20"/>
          <w:lang w:val="es-CO"/>
        </w:rPr>
        <w:t xml:space="preserve">ó la necesidad de repetirlo nombrando </w:t>
      </w:r>
      <w:r w:rsidRPr="00D94314">
        <w:rPr>
          <w:rFonts w:asciiTheme="majorHAnsi" w:hAnsiTheme="majorHAnsi"/>
          <w:sz w:val="20"/>
          <w:szCs w:val="20"/>
          <w:lang w:val="es-CO"/>
        </w:rPr>
        <w:t>a dos peritos contables</w:t>
      </w:r>
      <w:r w:rsidRPr="00D94314">
        <w:rPr>
          <w:rFonts w:asciiTheme="majorHAnsi" w:hAnsiTheme="majorHAnsi"/>
          <w:sz w:val="20"/>
          <w:szCs w:val="20"/>
          <w:vertAlign w:val="superscript"/>
          <w:lang w:val="es-CO"/>
        </w:rPr>
        <w:footnoteReference w:id="24"/>
      </w:r>
      <w:r w:rsidR="003B4643" w:rsidRPr="00D94314">
        <w:rPr>
          <w:rFonts w:asciiTheme="majorHAnsi" w:hAnsiTheme="majorHAnsi"/>
          <w:sz w:val="20"/>
          <w:szCs w:val="20"/>
          <w:lang w:val="es-CO"/>
        </w:rPr>
        <w:t>.</w:t>
      </w:r>
      <w:r w:rsidR="00A67A40" w:rsidRPr="00D94314">
        <w:rPr>
          <w:rFonts w:asciiTheme="majorHAnsi" w:hAnsiTheme="majorHAnsi"/>
          <w:sz w:val="20"/>
          <w:szCs w:val="20"/>
          <w:lang w:val="es-CO"/>
        </w:rPr>
        <w:t xml:space="preserve"> </w:t>
      </w:r>
      <w:r w:rsidRPr="00D94314">
        <w:rPr>
          <w:rFonts w:asciiTheme="majorHAnsi" w:hAnsiTheme="majorHAnsi"/>
          <w:sz w:val="20"/>
          <w:szCs w:val="20"/>
          <w:lang w:val="es-CO"/>
        </w:rPr>
        <w:t>El 17 de marzo de 1998</w:t>
      </w:r>
      <w:r w:rsidR="00A67A40" w:rsidRPr="00D94314">
        <w:rPr>
          <w:rFonts w:asciiTheme="majorHAnsi" w:hAnsiTheme="majorHAnsi"/>
          <w:sz w:val="20"/>
          <w:szCs w:val="20"/>
          <w:lang w:val="es-CO"/>
        </w:rPr>
        <w:t xml:space="preserve"> </w:t>
      </w:r>
      <w:r w:rsidRPr="00D94314">
        <w:rPr>
          <w:rFonts w:asciiTheme="majorHAnsi" w:hAnsiTheme="majorHAnsi"/>
          <w:sz w:val="20"/>
          <w:szCs w:val="20"/>
          <w:lang w:val="es-CO"/>
        </w:rPr>
        <w:t>la Sala Especializada Superior ordenó que se practicar</w:t>
      </w:r>
      <w:r w:rsidR="00A67A40" w:rsidRPr="00D94314">
        <w:rPr>
          <w:rFonts w:asciiTheme="majorHAnsi" w:hAnsiTheme="majorHAnsi"/>
          <w:sz w:val="20"/>
          <w:szCs w:val="20"/>
          <w:lang w:val="es-CO"/>
        </w:rPr>
        <w:t>a</w:t>
      </w:r>
      <w:r w:rsidRPr="00D94314">
        <w:rPr>
          <w:rFonts w:asciiTheme="majorHAnsi" w:hAnsiTheme="majorHAnsi"/>
          <w:sz w:val="20"/>
          <w:szCs w:val="20"/>
          <w:lang w:val="es-CO"/>
        </w:rPr>
        <w:t xml:space="preserve"> una nueva pericia contable a fin de verificar si se había cumplido con lo pactado en el Convenio Colectivo. </w:t>
      </w:r>
    </w:p>
    <w:p w14:paraId="29287303" w14:textId="77777777" w:rsidR="006A564D" w:rsidRPr="00D94314" w:rsidRDefault="006A564D" w:rsidP="006A564D">
      <w:pPr>
        <w:pStyle w:val="ListParagraph"/>
        <w:jc w:val="both"/>
        <w:rPr>
          <w:rFonts w:asciiTheme="majorHAnsi" w:hAnsiTheme="majorHAnsi"/>
          <w:b/>
          <w:sz w:val="20"/>
          <w:szCs w:val="20"/>
          <w:lang w:val="es-CO"/>
        </w:rPr>
      </w:pPr>
    </w:p>
    <w:p w14:paraId="6C192669" w14:textId="1A8356CF" w:rsidR="006A564D" w:rsidRPr="00D94314" w:rsidRDefault="006A564D" w:rsidP="00A45003">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El 20 de abril de 1998 el Primer Juzgado Corporativo Transitorio Especializado de Derecho Público</w:t>
      </w:r>
      <w:r w:rsidR="00A67A40" w:rsidRPr="00D94314">
        <w:rPr>
          <w:rFonts w:asciiTheme="majorHAnsi" w:hAnsiTheme="majorHAnsi"/>
          <w:sz w:val="20"/>
          <w:szCs w:val="20"/>
          <w:lang w:val="es-CO"/>
        </w:rPr>
        <w:t xml:space="preserve"> dispuso </w:t>
      </w:r>
      <w:r w:rsidRPr="00D94314">
        <w:rPr>
          <w:rFonts w:asciiTheme="majorHAnsi" w:hAnsiTheme="majorHAnsi"/>
          <w:sz w:val="20"/>
          <w:szCs w:val="20"/>
          <w:lang w:val="es-CO"/>
        </w:rPr>
        <w:t xml:space="preserve">que se practique liquidación con el objeto de precisar las cantidades que supuestamente adeudaría ECASA a cada uno de los demandantes por la aplicación del Convenio Colectivo 90/91 sin las restricciones previstas en los </w:t>
      </w:r>
      <w:r w:rsidRPr="00D94314">
        <w:rPr>
          <w:rFonts w:asciiTheme="majorHAnsi" w:hAnsiTheme="majorHAnsi"/>
          <w:sz w:val="20"/>
          <w:szCs w:val="20"/>
          <w:lang w:val="es-CO"/>
        </w:rPr>
        <w:lastRenderedPageBreak/>
        <w:t>Decretos Supremos</w:t>
      </w:r>
      <w:r w:rsidR="00D30754" w:rsidRPr="00D94314">
        <w:rPr>
          <w:rFonts w:asciiTheme="majorHAnsi" w:hAnsiTheme="majorHAnsi"/>
          <w:sz w:val="20"/>
          <w:szCs w:val="20"/>
          <w:lang w:val="es-CO"/>
        </w:rPr>
        <w:t xml:space="preserve"> y ordenó </w:t>
      </w:r>
      <w:r w:rsidRPr="00D94314">
        <w:rPr>
          <w:rFonts w:asciiTheme="majorHAnsi" w:hAnsiTheme="majorHAnsi"/>
          <w:sz w:val="20"/>
          <w:szCs w:val="20"/>
          <w:lang w:val="es-CO"/>
        </w:rPr>
        <w:t>un nuevo dictamen pericial</w:t>
      </w:r>
      <w:r w:rsidRPr="00D94314">
        <w:rPr>
          <w:rFonts w:asciiTheme="majorHAnsi" w:hAnsiTheme="majorHAnsi"/>
          <w:sz w:val="20"/>
          <w:szCs w:val="20"/>
          <w:vertAlign w:val="superscript"/>
          <w:lang w:val="es-CO"/>
        </w:rPr>
        <w:footnoteReference w:id="25"/>
      </w:r>
      <w:r w:rsidR="005E0299" w:rsidRPr="00D94314">
        <w:rPr>
          <w:rFonts w:asciiTheme="majorHAnsi" w:hAnsiTheme="majorHAnsi"/>
          <w:sz w:val="20"/>
          <w:szCs w:val="20"/>
          <w:lang w:val="es-CO"/>
        </w:rPr>
        <w:t>.</w:t>
      </w:r>
      <w:r w:rsidR="00A45003" w:rsidRPr="00D94314">
        <w:rPr>
          <w:rFonts w:asciiTheme="majorHAnsi" w:hAnsiTheme="majorHAnsi"/>
          <w:sz w:val="20"/>
          <w:szCs w:val="20"/>
          <w:lang w:val="es-CO"/>
        </w:rPr>
        <w:t xml:space="preserve"> </w:t>
      </w:r>
      <w:r w:rsidRPr="00D94314">
        <w:rPr>
          <w:rFonts w:asciiTheme="majorHAnsi" w:hAnsiTheme="majorHAnsi"/>
          <w:sz w:val="20"/>
          <w:szCs w:val="20"/>
          <w:lang w:val="es-CO"/>
        </w:rPr>
        <w:t xml:space="preserve">El 6 de septiembre de 1998 </w:t>
      </w:r>
      <w:r w:rsidR="00A45003" w:rsidRPr="00D94314">
        <w:rPr>
          <w:rFonts w:asciiTheme="majorHAnsi" w:hAnsiTheme="majorHAnsi"/>
          <w:sz w:val="20"/>
          <w:szCs w:val="20"/>
          <w:lang w:val="es-CO"/>
        </w:rPr>
        <w:t>se</w:t>
      </w:r>
      <w:r w:rsidR="000616F3">
        <w:rPr>
          <w:rFonts w:asciiTheme="majorHAnsi" w:hAnsiTheme="majorHAnsi"/>
          <w:sz w:val="20"/>
          <w:szCs w:val="20"/>
          <w:lang w:val="es-CO"/>
        </w:rPr>
        <w:t xml:space="preserve"> emitió</w:t>
      </w:r>
      <w:r w:rsidR="00A45003" w:rsidRPr="00D94314">
        <w:rPr>
          <w:rFonts w:asciiTheme="majorHAnsi" w:hAnsiTheme="majorHAnsi"/>
          <w:sz w:val="20"/>
          <w:szCs w:val="20"/>
          <w:lang w:val="es-CO"/>
        </w:rPr>
        <w:t xml:space="preserve"> </w:t>
      </w:r>
      <w:r w:rsidRPr="00D94314">
        <w:rPr>
          <w:rFonts w:asciiTheme="majorHAnsi" w:hAnsiTheme="majorHAnsi"/>
          <w:sz w:val="20"/>
          <w:szCs w:val="20"/>
          <w:lang w:val="es-CO"/>
        </w:rPr>
        <w:t xml:space="preserve">nuevo dictamen pericial en el que se concluyó no haberse aplicado los </w:t>
      </w:r>
      <w:r w:rsidR="00A45003" w:rsidRPr="00D94314">
        <w:rPr>
          <w:rFonts w:asciiTheme="majorHAnsi" w:hAnsiTheme="majorHAnsi"/>
          <w:sz w:val="20"/>
          <w:szCs w:val="20"/>
          <w:lang w:val="es-CO"/>
        </w:rPr>
        <w:t>D</w:t>
      </w:r>
      <w:r w:rsidRPr="00D94314">
        <w:rPr>
          <w:rFonts w:asciiTheme="majorHAnsi" w:hAnsiTheme="majorHAnsi"/>
          <w:sz w:val="20"/>
          <w:szCs w:val="20"/>
          <w:lang w:val="es-CO"/>
        </w:rPr>
        <w:t xml:space="preserve">ecretos </w:t>
      </w:r>
      <w:r w:rsidR="00A45003" w:rsidRPr="00D94314">
        <w:rPr>
          <w:rFonts w:asciiTheme="majorHAnsi" w:hAnsiTheme="majorHAnsi"/>
          <w:sz w:val="20"/>
          <w:szCs w:val="20"/>
          <w:lang w:val="es-CO"/>
        </w:rPr>
        <w:t>S</w:t>
      </w:r>
      <w:r w:rsidRPr="00D94314">
        <w:rPr>
          <w:rFonts w:asciiTheme="majorHAnsi" w:hAnsiTheme="majorHAnsi"/>
          <w:sz w:val="20"/>
          <w:szCs w:val="20"/>
          <w:lang w:val="es-CO"/>
        </w:rPr>
        <w:t>upremos</w:t>
      </w:r>
      <w:r w:rsidR="00A45003" w:rsidRPr="00D94314">
        <w:rPr>
          <w:rFonts w:asciiTheme="majorHAnsi" w:hAnsiTheme="majorHAnsi"/>
          <w:sz w:val="20"/>
          <w:szCs w:val="20"/>
          <w:lang w:val="es-CO"/>
        </w:rPr>
        <w:t xml:space="preserve">, </w:t>
      </w:r>
      <w:r w:rsidRPr="00D94314">
        <w:rPr>
          <w:rFonts w:asciiTheme="majorHAnsi" w:hAnsiTheme="majorHAnsi"/>
          <w:sz w:val="20"/>
          <w:szCs w:val="20"/>
          <w:lang w:val="es-CO"/>
        </w:rPr>
        <w:t>haber aplicado el Convenio Colectivo y se determinó la inexistencia de una deuda pendiente de ECASA a SUTECASA</w:t>
      </w:r>
      <w:r w:rsidRPr="00D94314">
        <w:rPr>
          <w:sz w:val="20"/>
          <w:szCs w:val="20"/>
          <w:vertAlign w:val="superscript"/>
        </w:rPr>
        <w:footnoteReference w:id="26"/>
      </w:r>
      <w:r w:rsidR="00A45003" w:rsidRPr="00D94314">
        <w:rPr>
          <w:rFonts w:asciiTheme="majorHAnsi" w:hAnsiTheme="majorHAnsi"/>
          <w:sz w:val="20"/>
          <w:szCs w:val="20"/>
          <w:lang w:val="es-CO"/>
        </w:rPr>
        <w:t>.</w:t>
      </w:r>
    </w:p>
    <w:p w14:paraId="1BE37FDC" w14:textId="77777777" w:rsidR="006A564D" w:rsidRPr="00D94314" w:rsidRDefault="006A564D" w:rsidP="006A564D">
      <w:pPr>
        <w:pStyle w:val="ListParagraph"/>
        <w:jc w:val="both"/>
        <w:rPr>
          <w:rFonts w:asciiTheme="majorHAnsi" w:hAnsiTheme="majorHAnsi"/>
          <w:b/>
          <w:sz w:val="20"/>
          <w:szCs w:val="20"/>
          <w:lang w:val="es-CO"/>
        </w:rPr>
      </w:pPr>
    </w:p>
    <w:p w14:paraId="01ACDC30" w14:textId="0B959608" w:rsidR="006A564D" w:rsidRPr="00D94314" w:rsidRDefault="006A564D" w:rsidP="0018734B">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El 15 de octubre de 1998 el Primer Juzgado Corporativo Transitorio de Derecho Público declaró improcedente la nulidad y conclusión del proceso solicitadas por el MEF y fundada la observación del SUTECASA a la pericia</w:t>
      </w:r>
      <w:r w:rsidR="00AA1D2B" w:rsidRPr="00D94314">
        <w:rPr>
          <w:rFonts w:asciiTheme="majorHAnsi" w:hAnsiTheme="majorHAnsi"/>
          <w:sz w:val="20"/>
          <w:szCs w:val="20"/>
          <w:lang w:val="es-CO"/>
        </w:rPr>
        <w:t xml:space="preserve">. En consecuencia, </w:t>
      </w:r>
      <w:r w:rsidRPr="00D94314">
        <w:rPr>
          <w:rFonts w:asciiTheme="majorHAnsi" w:hAnsiTheme="majorHAnsi"/>
          <w:sz w:val="20"/>
          <w:szCs w:val="20"/>
          <w:lang w:val="es-CO"/>
        </w:rPr>
        <w:t xml:space="preserve">ordenó una nueva pericia toda vez que la realizada no cumplió con lo especificado en las resoluciones de 11 de octubre de 1994 y 17 de marzo de 1998. </w:t>
      </w:r>
      <w:r w:rsidR="00190A40" w:rsidRPr="00D94314">
        <w:rPr>
          <w:rFonts w:asciiTheme="majorHAnsi" w:hAnsiTheme="majorHAnsi"/>
          <w:sz w:val="20"/>
          <w:szCs w:val="20"/>
          <w:lang w:val="es-CO"/>
        </w:rPr>
        <w:t>Destacó que h</w:t>
      </w:r>
      <w:r w:rsidRPr="00D94314">
        <w:rPr>
          <w:rFonts w:asciiTheme="majorHAnsi" w:hAnsiTheme="majorHAnsi"/>
          <w:sz w:val="20"/>
          <w:szCs w:val="20"/>
          <w:lang w:val="es-CO"/>
        </w:rPr>
        <w:t>abiéndose amparado la pretensión por Ejecutoria Suprema del 16 de febrero de 1993, el aspecto controversial ha adquirido calidad de cosa juzgada, “no pudiendo por ello esta Judicatura “sustraerse” de los efectos de lo resuelto, en atención de que la Ley de la materia determina los alcances del mismo, esto es, reponerse las cosas al estado anterior que configuran la pretensión amparada”</w:t>
      </w:r>
      <w:r w:rsidRPr="00D94314">
        <w:rPr>
          <w:rFonts w:asciiTheme="majorHAnsi" w:hAnsiTheme="majorHAnsi"/>
          <w:sz w:val="20"/>
          <w:szCs w:val="20"/>
          <w:vertAlign w:val="superscript"/>
          <w:lang w:val="es-CO"/>
        </w:rPr>
        <w:footnoteReference w:id="27"/>
      </w:r>
      <w:r w:rsidRPr="00D94314">
        <w:rPr>
          <w:rFonts w:asciiTheme="majorHAnsi" w:hAnsiTheme="majorHAnsi"/>
          <w:sz w:val="20"/>
          <w:szCs w:val="20"/>
          <w:lang w:val="es-CO"/>
        </w:rPr>
        <w:t xml:space="preserve">. </w:t>
      </w:r>
    </w:p>
    <w:p w14:paraId="5F87D8EE" w14:textId="77777777" w:rsidR="006A564D" w:rsidRPr="00D94314" w:rsidRDefault="006A564D" w:rsidP="006A564D">
      <w:pPr>
        <w:pStyle w:val="ListParagraph"/>
        <w:rPr>
          <w:rFonts w:asciiTheme="majorHAnsi" w:hAnsiTheme="majorHAnsi"/>
          <w:b/>
          <w:sz w:val="20"/>
          <w:szCs w:val="20"/>
          <w:lang w:val="es-CO"/>
        </w:rPr>
      </w:pPr>
    </w:p>
    <w:p w14:paraId="799A04D7" w14:textId="3B65F862" w:rsidR="006A564D" w:rsidRPr="00D94314" w:rsidRDefault="006A564D" w:rsidP="0018734B">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El 18 de diciembre de 1998</w:t>
      </w:r>
      <w:r w:rsidR="00D835B9" w:rsidRPr="00D94314">
        <w:rPr>
          <w:rFonts w:asciiTheme="majorHAnsi" w:hAnsiTheme="majorHAnsi"/>
          <w:sz w:val="20"/>
          <w:szCs w:val="20"/>
          <w:lang w:val="es-CO"/>
        </w:rPr>
        <w:t xml:space="preserve"> la</w:t>
      </w:r>
      <w:r w:rsidRPr="00D94314">
        <w:rPr>
          <w:rFonts w:asciiTheme="majorHAnsi" w:hAnsiTheme="majorHAnsi"/>
          <w:sz w:val="20"/>
          <w:szCs w:val="20"/>
          <w:lang w:val="es-CO"/>
        </w:rPr>
        <w:t xml:space="preserve"> Sala Corporativa Transitoria Especializada de Derecho Público apr</w:t>
      </w:r>
      <w:r w:rsidR="00D835B9" w:rsidRPr="00D94314">
        <w:rPr>
          <w:rFonts w:asciiTheme="majorHAnsi" w:hAnsiTheme="majorHAnsi"/>
          <w:sz w:val="20"/>
          <w:szCs w:val="20"/>
          <w:lang w:val="es-CO"/>
        </w:rPr>
        <w:t xml:space="preserve">obó </w:t>
      </w:r>
      <w:r w:rsidRPr="00D94314">
        <w:rPr>
          <w:rFonts w:asciiTheme="majorHAnsi" w:hAnsiTheme="majorHAnsi"/>
          <w:sz w:val="20"/>
          <w:szCs w:val="20"/>
          <w:lang w:val="es-CO"/>
        </w:rPr>
        <w:t>el</w:t>
      </w:r>
      <w:r w:rsidR="00C239B2" w:rsidRPr="00D94314">
        <w:rPr>
          <w:rFonts w:asciiTheme="majorHAnsi" w:hAnsiTheme="majorHAnsi"/>
          <w:sz w:val="20"/>
          <w:szCs w:val="20"/>
          <w:lang w:val="es-CO"/>
        </w:rPr>
        <w:t xml:space="preserve"> </w:t>
      </w:r>
      <w:r w:rsidR="00573455" w:rsidRPr="00D94314">
        <w:rPr>
          <w:rFonts w:asciiTheme="majorHAnsi" w:hAnsiTheme="majorHAnsi"/>
          <w:sz w:val="20"/>
          <w:szCs w:val="20"/>
          <w:lang w:val="es-CO"/>
        </w:rPr>
        <w:t>d</w:t>
      </w:r>
      <w:r w:rsidRPr="00D94314">
        <w:rPr>
          <w:rFonts w:asciiTheme="majorHAnsi" w:hAnsiTheme="majorHAnsi"/>
          <w:sz w:val="20"/>
          <w:szCs w:val="20"/>
          <w:lang w:val="es-CO"/>
        </w:rPr>
        <w:t>ictamen pericial de 6 de septiembre de 1998</w:t>
      </w:r>
      <w:r w:rsidR="008B5FFB" w:rsidRPr="00D94314">
        <w:rPr>
          <w:rFonts w:asciiTheme="majorHAnsi" w:hAnsiTheme="majorHAnsi"/>
          <w:sz w:val="20"/>
          <w:szCs w:val="20"/>
          <w:lang w:val="es-CO"/>
        </w:rPr>
        <w:t>. Frente al argumento de</w:t>
      </w:r>
      <w:r w:rsidRPr="00D94314">
        <w:rPr>
          <w:rFonts w:asciiTheme="majorHAnsi" w:hAnsiTheme="majorHAnsi"/>
          <w:sz w:val="20"/>
          <w:szCs w:val="20"/>
          <w:lang w:val="es-CO"/>
        </w:rPr>
        <w:t xml:space="preserve"> los accionantes </w:t>
      </w:r>
      <w:r w:rsidR="008B5FFB" w:rsidRPr="00D94314">
        <w:rPr>
          <w:rFonts w:asciiTheme="majorHAnsi" w:hAnsiTheme="majorHAnsi"/>
          <w:sz w:val="20"/>
          <w:szCs w:val="20"/>
          <w:lang w:val="es-CO"/>
        </w:rPr>
        <w:t xml:space="preserve">conforme al cual </w:t>
      </w:r>
      <w:r w:rsidRPr="00D94314">
        <w:rPr>
          <w:rFonts w:asciiTheme="majorHAnsi" w:hAnsiTheme="majorHAnsi"/>
          <w:sz w:val="20"/>
          <w:szCs w:val="20"/>
          <w:lang w:val="es-CO"/>
        </w:rPr>
        <w:t>el segundo incremento adicional de remuneraciones aplicable en ejecución del Pacto Colectivo se tuvo como referencia el tope del 20% sustentado en el Decreto Supremo 121-90 PCM</w:t>
      </w:r>
      <w:r w:rsidR="00137163" w:rsidRPr="00D94314">
        <w:rPr>
          <w:rFonts w:asciiTheme="majorHAnsi" w:hAnsiTheme="majorHAnsi"/>
          <w:sz w:val="20"/>
          <w:szCs w:val="20"/>
          <w:lang w:val="es-CO"/>
        </w:rPr>
        <w:t xml:space="preserve">, motivó que </w:t>
      </w:r>
      <w:r w:rsidRPr="00D94314">
        <w:rPr>
          <w:rFonts w:asciiTheme="majorHAnsi" w:hAnsiTheme="majorHAnsi"/>
          <w:sz w:val="20"/>
          <w:szCs w:val="20"/>
          <w:lang w:val="es-CO"/>
        </w:rPr>
        <w:t xml:space="preserve">este aspecto excede el marco del proceso constitucional considerando que los efectos del Decreto Supremo 121-90 PCM no ha sido materia del fallo que se ejecuta, por lo que se deja a salvo el derecho de las partes para que lo hagan valer con arreglo a la ley. </w:t>
      </w:r>
    </w:p>
    <w:p w14:paraId="24B8AFE8" w14:textId="77777777" w:rsidR="006A564D" w:rsidRPr="00D94314" w:rsidRDefault="006A564D" w:rsidP="006A564D">
      <w:pPr>
        <w:rPr>
          <w:rFonts w:asciiTheme="majorHAnsi" w:hAnsiTheme="majorHAnsi"/>
          <w:b/>
          <w:sz w:val="20"/>
          <w:szCs w:val="20"/>
          <w:u w:color="000000"/>
          <w:lang w:val="es-CO"/>
        </w:rPr>
      </w:pPr>
    </w:p>
    <w:p w14:paraId="5C38AF0F" w14:textId="77777777" w:rsidR="00563834" w:rsidRPr="00D94314" w:rsidRDefault="006A564D" w:rsidP="0018734B">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El 14 de enero de 1999, por la devolución de los autos al juzgado, el Primer Juzgado Corporativo Transitorio Especializado en Derecho Público</w:t>
      </w:r>
      <w:r w:rsidRPr="00D94314">
        <w:rPr>
          <w:rFonts w:asciiTheme="majorHAnsi" w:hAnsiTheme="majorHAnsi"/>
          <w:sz w:val="20"/>
          <w:szCs w:val="20"/>
          <w:vertAlign w:val="superscript"/>
          <w:lang w:val="es-CO"/>
        </w:rPr>
        <w:footnoteReference w:id="28"/>
      </w:r>
      <w:r w:rsidRPr="00D94314">
        <w:rPr>
          <w:rFonts w:asciiTheme="majorHAnsi" w:hAnsiTheme="majorHAnsi"/>
          <w:sz w:val="20"/>
          <w:szCs w:val="20"/>
          <w:lang w:val="es-CO"/>
        </w:rPr>
        <w:t xml:space="preserve"> declaró improcedente la pretendida ejecución de pago de remuneraciones adeudadas</w:t>
      </w:r>
      <w:r w:rsidR="00563834" w:rsidRPr="00D94314">
        <w:rPr>
          <w:rFonts w:asciiTheme="majorHAnsi" w:hAnsiTheme="majorHAnsi"/>
          <w:sz w:val="20"/>
          <w:szCs w:val="20"/>
          <w:lang w:val="es-CO"/>
        </w:rPr>
        <w:t xml:space="preserve">, señalando que </w:t>
      </w:r>
      <w:r w:rsidRPr="00D94314">
        <w:rPr>
          <w:rFonts w:asciiTheme="majorHAnsi" w:hAnsiTheme="majorHAnsi"/>
          <w:sz w:val="20"/>
          <w:szCs w:val="20"/>
          <w:lang w:val="es-CO"/>
        </w:rPr>
        <w:t>con el dictamen pericial de 6 de septiembre de 1998 aprobado el 18 de diciembre de 1998 se arribó a la conclusión de no haberse aplicado los decretos recurridos, por lo que no existen deudos a liquidar.</w:t>
      </w:r>
      <w:r w:rsidR="00563834" w:rsidRPr="00D94314">
        <w:rPr>
          <w:rFonts w:asciiTheme="majorHAnsi" w:hAnsiTheme="majorHAnsi"/>
          <w:sz w:val="20"/>
          <w:szCs w:val="20"/>
          <w:lang w:val="es-CO"/>
        </w:rPr>
        <w:t xml:space="preserve"> En esta sentencia se indicó lo siguiente: </w:t>
      </w:r>
    </w:p>
    <w:p w14:paraId="05A0A9D2" w14:textId="77777777" w:rsidR="00563834" w:rsidRPr="00D94314" w:rsidRDefault="00563834" w:rsidP="00563834">
      <w:pPr>
        <w:pStyle w:val="ListParagraph"/>
        <w:rPr>
          <w:rFonts w:asciiTheme="majorHAnsi" w:hAnsiTheme="majorHAnsi"/>
          <w:sz w:val="20"/>
          <w:szCs w:val="20"/>
          <w:lang w:val="es-CO"/>
        </w:rPr>
      </w:pPr>
    </w:p>
    <w:p w14:paraId="5C411E3D" w14:textId="078FF89B" w:rsidR="006A564D" w:rsidRPr="00D94314" w:rsidRDefault="00563834" w:rsidP="00563834">
      <w:pPr>
        <w:ind w:left="567" w:right="567"/>
        <w:jc w:val="both"/>
        <w:rPr>
          <w:rFonts w:asciiTheme="majorHAnsi" w:hAnsiTheme="majorHAnsi"/>
          <w:b/>
          <w:sz w:val="20"/>
          <w:szCs w:val="20"/>
          <w:lang w:val="es-CO"/>
        </w:rPr>
      </w:pPr>
      <w:r w:rsidRPr="00D94314">
        <w:rPr>
          <w:rFonts w:asciiTheme="majorHAnsi" w:hAnsiTheme="majorHAnsi"/>
          <w:sz w:val="20"/>
          <w:szCs w:val="20"/>
          <w:lang w:val="es-CO"/>
        </w:rPr>
        <w:t xml:space="preserve">(…) </w:t>
      </w:r>
      <w:r w:rsidR="006A564D" w:rsidRPr="00D94314">
        <w:rPr>
          <w:rFonts w:asciiTheme="majorHAnsi" w:hAnsiTheme="majorHAnsi"/>
          <w:sz w:val="20"/>
          <w:szCs w:val="20"/>
          <w:lang w:val="es-CO"/>
        </w:rPr>
        <w:t>en consecuencia haberse amparado la pretensión por Resolución de 16 de febrero de 1993, el aspecto adquiere calidad de cosa juzgada. (…) se debe dejar en claro que en medida cautelar se designó dos peritos sólo para los efectos de informar al juzgado (no para efectos de pago) respecto de la aplicación del convenio colectivo materia de la acción, sin las restricciones previstas en los Decretos Supremos cuestionados, precisando la cantidad que se adeuda tal como se ordenó en Resolución de 11 de octubre de 1994, señalando entre sus considerandos que es a través de la ejecución de sentencia que debe analizarse si se cumplió con la ejecución de la medida judicial; aspecto que ha quedado definido en la aprobación del dictamen pericial de 6 de septiembre de 1998, arribándose a la conclusión de que al no haberse aplicado los dispositivos legales, no existen adeudos a liquidar, siendo completamente ajeno al proceso los efectos del Decreto Supremo 121-90 PCM de 21 de septiembre de 1990</w:t>
      </w:r>
      <w:r w:rsidR="006A564D" w:rsidRPr="00D94314">
        <w:rPr>
          <w:rFonts w:asciiTheme="majorHAnsi" w:hAnsiTheme="majorHAnsi"/>
          <w:sz w:val="20"/>
          <w:szCs w:val="20"/>
          <w:vertAlign w:val="superscript"/>
          <w:lang w:val="es-CO"/>
        </w:rPr>
        <w:footnoteReference w:id="29"/>
      </w:r>
      <w:r w:rsidRPr="00D94314">
        <w:rPr>
          <w:rFonts w:asciiTheme="majorHAnsi" w:hAnsiTheme="majorHAnsi"/>
          <w:sz w:val="20"/>
          <w:szCs w:val="20"/>
          <w:lang w:val="es-CO"/>
        </w:rPr>
        <w:t>.</w:t>
      </w:r>
    </w:p>
    <w:p w14:paraId="10AD2846" w14:textId="77777777" w:rsidR="006A564D" w:rsidRPr="00D94314" w:rsidRDefault="006A564D" w:rsidP="006A564D">
      <w:pPr>
        <w:pStyle w:val="ListParagraph"/>
        <w:jc w:val="both"/>
        <w:rPr>
          <w:rFonts w:asciiTheme="majorHAnsi" w:hAnsiTheme="majorHAnsi"/>
          <w:b/>
          <w:sz w:val="20"/>
          <w:szCs w:val="20"/>
          <w:lang w:val="es-CO"/>
        </w:rPr>
      </w:pPr>
    </w:p>
    <w:p w14:paraId="3722A41C" w14:textId="77777777" w:rsidR="00EC1A52" w:rsidRPr="00D94314" w:rsidRDefault="006A564D" w:rsidP="0018734B">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El SUTECASA apeló la resolución de 14 de enero de 1999</w:t>
      </w:r>
      <w:r w:rsidR="00EC1A52" w:rsidRPr="00D94314">
        <w:rPr>
          <w:rFonts w:asciiTheme="majorHAnsi" w:hAnsiTheme="majorHAnsi"/>
          <w:sz w:val="20"/>
          <w:szCs w:val="20"/>
          <w:lang w:val="es-CO"/>
        </w:rPr>
        <w:t xml:space="preserve"> y</w:t>
      </w:r>
      <w:r w:rsidRPr="00D94314">
        <w:rPr>
          <w:rFonts w:asciiTheme="majorHAnsi" w:hAnsiTheme="majorHAnsi"/>
          <w:sz w:val="20"/>
          <w:szCs w:val="20"/>
          <w:lang w:val="es-CO"/>
        </w:rPr>
        <w:t xml:space="preserve"> el 12 de febrero de 1999 la Sala Corporativa Transitoria Especializada de Derecho Público la confirmó y dispuso su archivo. </w:t>
      </w:r>
      <w:r w:rsidR="00EC1A52" w:rsidRPr="00D94314">
        <w:rPr>
          <w:rFonts w:asciiTheme="majorHAnsi" w:hAnsiTheme="majorHAnsi"/>
          <w:sz w:val="20"/>
          <w:szCs w:val="20"/>
          <w:lang w:val="es-CO"/>
        </w:rPr>
        <w:t xml:space="preserve">En dicha decisión se señaló que: </w:t>
      </w:r>
    </w:p>
    <w:p w14:paraId="6536CF7D" w14:textId="77777777" w:rsidR="00EC1A52" w:rsidRPr="00D94314" w:rsidRDefault="00EC1A52" w:rsidP="00EC1A52">
      <w:pPr>
        <w:jc w:val="both"/>
        <w:rPr>
          <w:rFonts w:asciiTheme="majorHAnsi" w:hAnsiTheme="majorHAnsi"/>
          <w:sz w:val="20"/>
          <w:szCs w:val="20"/>
          <w:lang w:val="es-CO"/>
        </w:rPr>
      </w:pPr>
    </w:p>
    <w:p w14:paraId="1A18C4C5" w14:textId="12A87DC1" w:rsidR="006A564D" w:rsidRPr="00D94314" w:rsidRDefault="006A564D" w:rsidP="00EC1A52">
      <w:pPr>
        <w:ind w:left="567" w:right="709"/>
        <w:jc w:val="both"/>
        <w:rPr>
          <w:rFonts w:asciiTheme="majorHAnsi" w:hAnsiTheme="majorHAnsi"/>
          <w:sz w:val="20"/>
          <w:szCs w:val="20"/>
          <w:lang w:val="es-CO"/>
        </w:rPr>
      </w:pPr>
      <w:r w:rsidRPr="00D94314">
        <w:rPr>
          <w:rFonts w:asciiTheme="majorHAnsi" w:hAnsiTheme="majorHAnsi"/>
          <w:sz w:val="20"/>
          <w:szCs w:val="20"/>
          <w:lang w:val="es-CO"/>
        </w:rPr>
        <w:t xml:space="preserve">la cuestión declarativa materia de este amparo se ha convertido en una cuestión de hecho y en una pretensión de pago; debiendo precisarse que una cosa es la declaración del derecho constitucional de los accionantes respecto de los cuales se amparó su pretensión ordenado que no se les aplicaran las normas legales que se los recortaban, y otra cosa distinta es el examen fáctico de si la demandada se los recortó en los hechos o no mediante la aplicación o inaplicación de las normas materia de </w:t>
      </w:r>
      <w:r w:rsidRPr="00D94314">
        <w:rPr>
          <w:rFonts w:asciiTheme="majorHAnsi" w:hAnsiTheme="majorHAnsi"/>
          <w:sz w:val="20"/>
          <w:szCs w:val="20"/>
          <w:lang w:val="es-CO"/>
        </w:rPr>
        <w:lastRenderedPageBreak/>
        <w:t>proceso; situación que obviamente entraña un análisis de orden laboral sobre los incrementos remunerativos, su monto, su periodicidad, nada de lo cual procede en esta acción constitucional y menos en ejecución de sentencia</w:t>
      </w:r>
      <w:r w:rsidRPr="00D94314">
        <w:rPr>
          <w:rFonts w:asciiTheme="majorHAnsi" w:hAnsiTheme="majorHAnsi"/>
          <w:sz w:val="20"/>
          <w:szCs w:val="20"/>
          <w:vertAlign w:val="superscript"/>
        </w:rPr>
        <w:footnoteReference w:id="30"/>
      </w:r>
      <w:r w:rsidR="00EC1A52" w:rsidRPr="00D94314">
        <w:rPr>
          <w:rFonts w:asciiTheme="majorHAnsi" w:hAnsiTheme="majorHAnsi"/>
          <w:sz w:val="20"/>
          <w:szCs w:val="20"/>
          <w:lang w:val="es-CO"/>
        </w:rPr>
        <w:t>.</w:t>
      </w:r>
      <w:r w:rsidRPr="00D94314">
        <w:rPr>
          <w:rFonts w:asciiTheme="majorHAnsi" w:hAnsiTheme="majorHAnsi"/>
          <w:sz w:val="20"/>
          <w:szCs w:val="20"/>
          <w:vertAlign w:val="superscript"/>
          <w:lang w:val="es-CO"/>
        </w:rPr>
        <w:t xml:space="preserve"> </w:t>
      </w:r>
    </w:p>
    <w:p w14:paraId="4341761C" w14:textId="77777777" w:rsidR="006A564D" w:rsidRPr="00D94314" w:rsidRDefault="006A564D" w:rsidP="006A564D">
      <w:pPr>
        <w:jc w:val="both"/>
        <w:rPr>
          <w:rFonts w:asciiTheme="majorHAnsi" w:hAnsiTheme="majorHAnsi"/>
          <w:b/>
          <w:sz w:val="20"/>
          <w:szCs w:val="20"/>
          <w:u w:color="000000"/>
          <w:lang w:val="es-CO"/>
        </w:rPr>
      </w:pPr>
    </w:p>
    <w:p w14:paraId="36C7DD5A" w14:textId="0E790461" w:rsidR="006A564D" w:rsidRPr="00D94314" w:rsidRDefault="00F777E1" w:rsidP="00390097">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 xml:space="preserve">El </w:t>
      </w:r>
      <w:r w:rsidR="006A564D" w:rsidRPr="00D94314">
        <w:rPr>
          <w:rFonts w:asciiTheme="majorHAnsi" w:hAnsiTheme="majorHAnsi"/>
          <w:sz w:val="20"/>
          <w:szCs w:val="20"/>
          <w:lang w:val="es-CO"/>
        </w:rPr>
        <w:t>SUTECASA</w:t>
      </w:r>
      <w:r w:rsidRPr="00D94314">
        <w:rPr>
          <w:rFonts w:asciiTheme="majorHAnsi" w:hAnsiTheme="majorHAnsi"/>
          <w:sz w:val="20"/>
          <w:szCs w:val="20"/>
          <w:lang w:val="es-CO"/>
        </w:rPr>
        <w:t xml:space="preserve"> presentó recurso de queja </w:t>
      </w:r>
      <w:r w:rsidR="005063F3" w:rsidRPr="00D94314">
        <w:rPr>
          <w:rFonts w:asciiTheme="majorHAnsi" w:hAnsiTheme="majorHAnsi"/>
          <w:sz w:val="20"/>
          <w:szCs w:val="20"/>
          <w:lang w:val="es-CO"/>
        </w:rPr>
        <w:t>y</w:t>
      </w:r>
      <w:r w:rsidRPr="00D94314">
        <w:rPr>
          <w:rFonts w:asciiTheme="majorHAnsi" w:hAnsiTheme="majorHAnsi"/>
          <w:sz w:val="20"/>
          <w:szCs w:val="20"/>
          <w:lang w:val="es-CO"/>
        </w:rPr>
        <w:t xml:space="preserve"> el </w:t>
      </w:r>
      <w:r w:rsidR="006A564D" w:rsidRPr="00D94314">
        <w:rPr>
          <w:rFonts w:asciiTheme="majorHAnsi" w:hAnsiTheme="majorHAnsi"/>
          <w:sz w:val="20"/>
          <w:szCs w:val="20"/>
          <w:lang w:val="es-CO"/>
        </w:rPr>
        <w:t>7 de junio de 1999</w:t>
      </w:r>
      <w:r w:rsidRPr="00D94314">
        <w:rPr>
          <w:rFonts w:asciiTheme="majorHAnsi" w:hAnsiTheme="majorHAnsi"/>
          <w:sz w:val="20"/>
          <w:szCs w:val="20"/>
          <w:lang w:val="es-CO"/>
        </w:rPr>
        <w:t xml:space="preserve"> </w:t>
      </w:r>
      <w:r w:rsidR="006A564D" w:rsidRPr="00D94314">
        <w:rPr>
          <w:rFonts w:asciiTheme="majorHAnsi" w:hAnsiTheme="majorHAnsi"/>
          <w:sz w:val="20"/>
          <w:szCs w:val="20"/>
          <w:lang w:val="es-CO"/>
        </w:rPr>
        <w:t>la Sala Constitucional y Social de la Corte Suprema declaró infundado el recurso y concluido definitivamente el proceso en su etapa de ejecución</w:t>
      </w:r>
      <w:r w:rsidR="006A564D" w:rsidRPr="00D94314">
        <w:rPr>
          <w:rFonts w:asciiTheme="majorHAnsi" w:hAnsiTheme="majorHAnsi"/>
          <w:sz w:val="20"/>
          <w:szCs w:val="20"/>
          <w:vertAlign w:val="superscript"/>
          <w:lang w:val="es-CO"/>
        </w:rPr>
        <w:footnoteReference w:id="31"/>
      </w:r>
      <w:r w:rsidR="00390097" w:rsidRPr="00D94314">
        <w:rPr>
          <w:rFonts w:asciiTheme="majorHAnsi" w:hAnsiTheme="majorHAnsi"/>
          <w:sz w:val="20"/>
          <w:szCs w:val="20"/>
          <w:lang w:val="es-CO"/>
        </w:rPr>
        <w:t xml:space="preserve">. </w:t>
      </w:r>
      <w:r w:rsidR="006A564D" w:rsidRPr="00D94314">
        <w:rPr>
          <w:rFonts w:asciiTheme="majorHAnsi" w:hAnsiTheme="majorHAnsi"/>
          <w:sz w:val="20"/>
          <w:szCs w:val="20"/>
          <w:lang w:val="es-CO"/>
        </w:rPr>
        <w:t xml:space="preserve">El 22 de noviembre de 1999 el Primer Juzgado Corporativo Transitorio Especializado de Derecho Público ordenó el archivamiento del proceso. </w:t>
      </w:r>
    </w:p>
    <w:p w14:paraId="4DD19BDE" w14:textId="5AEE8BC2" w:rsidR="006A564D" w:rsidRPr="00D94314" w:rsidRDefault="006A564D" w:rsidP="00CB64C2">
      <w:pPr>
        <w:jc w:val="both"/>
        <w:rPr>
          <w:rFonts w:asciiTheme="majorHAnsi" w:hAnsiTheme="majorHAnsi"/>
          <w:b/>
          <w:sz w:val="20"/>
          <w:szCs w:val="20"/>
          <w:lang w:val="es-CO"/>
        </w:rPr>
      </w:pPr>
    </w:p>
    <w:p w14:paraId="7D557101" w14:textId="77777777" w:rsidR="006A564D" w:rsidRPr="00D94314" w:rsidRDefault="006A564D" w:rsidP="006A564D">
      <w:pPr>
        <w:pStyle w:val="ListParagraph"/>
        <w:jc w:val="both"/>
        <w:rPr>
          <w:rFonts w:asciiTheme="majorHAnsi" w:hAnsiTheme="majorHAnsi"/>
          <w:b/>
          <w:sz w:val="20"/>
          <w:szCs w:val="20"/>
          <w:lang w:val="es-CO"/>
        </w:rPr>
      </w:pPr>
    </w:p>
    <w:p w14:paraId="1E0DF0FC" w14:textId="4D9163B0" w:rsidR="006A564D" w:rsidRPr="00D94314" w:rsidRDefault="00CB64C2" w:rsidP="00752439">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 xml:space="preserve">A pesar de lo anterior, la Comisión observa que mediante resoluciones de 12 y </w:t>
      </w:r>
      <w:r w:rsidR="006A564D" w:rsidRPr="00D94314">
        <w:rPr>
          <w:rFonts w:asciiTheme="majorHAnsi" w:hAnsiTheme="majorHAnsi"/>
          <w:sz w:val="20"/>
          <w:szCs w:val="20"/>
          <w:lang w:val="es-CO"/>
        </w:rPr>
        <w:t>26 de diciembre de 2001</w:t>
      </w:r>
      <w:r w:rsidR="00541EF1" w:rsidRPr="00D94314">
        <w:rPr>
          <w:rFonts w:asciiTheme="majorHAnsi" w:hAnsiTheme="majorHAnsi"/>
          <w:sz w:val="20"/>
          <w:szCs w:val="20"/>
          <w:lang w:val="es-CO"/>
        </w:rPr>
        <w:t xml:space="preserve"> </w:t>
      </w:r>
      <w:r w:rsidR="006A564D" w:rsidRPr="00D94314">
        <w:rPr>
          <w:rFonts w:asciiTheme="majorHAnsi" w:hAnsiTheme="majorHAnsi"/>
          <w:sz w:val="20"/>
          <w:szCs w:val="20"/>
          <w:lang w:val="es-CO"/>
        </w:rPr>
        <w:t>el Juzgado Especializado de Derecho Público dej</w:t>
      </w:r>
      <w:r w:rsidR="00541EF1" w:rsidRPr="00D94314">
        <w:rPr>
          <w:rFonts w:asciiTheme="majorHAnsi" w:hAnsiTheme="majorHAnsi"/>
          <w:sz w:val="20"/>
          <w:szCs w:val="20"/>
          <w:lang w:val="es-CO"/>
        </w:rPr>
        <w:t>ó</w:t>
      </w:r>
      <w:r w:rsidR="006A564D" w:rsidRPr="00D94314">
        <w:rPr>
          <w:rFonts w:asciiTheme="majorHAnsi" w:hAnsiTheme="majorHAnsi"/>
          <w:sz w:val="20"/>
          <w:szCs w:val="20"/>
          <w:lang w:val="es-CO"/>
        </w:rPr>
        <w:t xml:space="preserve"> constancia de que los </w:t>
      </w:r>
      <w:r w:rsidR="00541EF1" w:rsidRPr="00D94314">
        <w:rPr>
          <w:rFonts w:asciiTheme="majorHAnsi" w:hAnsiTheme="majorHAnsi"/>
          <w:sz w:val="20"/>
          <w:szCs w:val="20"/>
          <w:lang w:val="es-CO"/>
        </w:rPr>
        <w:t>a</w:t>
      </w:r>
      <w:r w:rsidR="006A564D" w:rsidRPr="00D94314">
        <w:rPr>
          <w:rFonts w:asciiTheme="majorHAnsi" w:hAnsiTheme="majorHAnsi"/>
          <w:sz w:val="20"/>
          <w:szCs w:val="20"/>
          <w:lang w:val="es-CO"/>
        </w:rPr>
        <w:t>utos se encuentran en ejecución de sentencia</w:t>
      </w:r>
      <w:r w:rsidR="006A564D" w:rsidRPr="00D94314">
        <w:rPr>
          <w:rFonts w:asciiTheme="majorHAnsi" w:hAnsiTheme="majorHAnsi"/>
          <w:sz w:val="20"/>
          <w:szCs w:val="20"/>
          <w:vertAlign w:val="superscript"/>
          <w:lang w:val="es-CO"/>
        </w:rPr>
        <w:footnoteReference w:id="32"/>
      </w:r>
      <w:r w:rsidR="00541EF1" w:rsidRPr="00D94314">
        <w:rPr>
          <w:rFonts w:asciiTheme="majorHAnsi" w:hAnsiTheme="majorHAnsi"/>
          <w:sz w:val="20"/>
          <w:szCs w:val="20"/>
          <w:lang w:val="es-CO"/>
        </w:rPr>
        <w:t>.</w:t>
      </w:r>
      <w:r w:rsidR="00A42C47" w:rsidRPr="00D94314">
        <w:rPr>
          <w:rFonts w:asciiTheme="majorHAnsi" w:hAnsiTheme="majorHAnsi"/>
          <w:sz w:val="20"/>
          <w:szCs w:val="20"/>
          <w:lang w:val="es-CO"/>
        </w:rPr>
        <w:t xml:space="preserve"> </w:t>
      </w:r>
      <w:r w:rsidR="006A564D" w:rsidRPr="00D94314">
        <w:rPr>
          <w:rFonts w:asciiTheme="majorHAnsi" w:hAnsiTheme="majorHAnsi"/>
          <w:sz w:val="20"/>
          <w:szCs w:val="20"/>
          <w:lang w:val="es-CO"/>
        </w:rPr>
        <w:t>El 19 de julio de 2002 el Juzgado Especializado de Derecho Público orden</w:t>
      </w:r>
      <w:r w:rsidR="00FF2CA9" w:rsidRPr="00D94314">
        <w:rPr>
          <w:rFonts w:asciiTheme="majorHAnsi" w:hAnsiTheme="majorHAnsi"/>
          <w:sz w:val="20"/>
          <w:szCs w:val="20"/>
          <w:lang w:val="es-CO"/>
        </w:rPr>
        <w:t xml:space="preserve">ó que </w:t>
      </w:r>
      <w:r w:rsidR="006A564D" w:rsidRPr="00D94314">
        <w:rPr>
          <w:rFonts w:asciiTheme="majorHAnsi" w:hAnsiTheme="majorHAnsi"/>
          <w:sz w:val="20"/>
          <w:szCs w:val="20"/>
          <w:lang w:val="es-CO"/>
        </w:rPr>
        <w:t xml:space="preserve">se entregue el Padrón Sindical de los afiliados al sindicato SUTECASA para determinar </w:t>
      </w:r>
      <w:r w:rsidR="00752439" w:rsidRPr="00D94314">
        <w:rPr>
          <w:rFonts w:asciiTheme="majorHAnsi" w:hAnsiTheme="majorHAnsi"/>
          <w:sz w:val="20"/>
          <w:szCs w:val="20"/>
          <w:lang w:val="es-CO"/>
        </w:rPr>
        <w:t xml:space="preserve">los </w:t>
      </w:r>
      <w:r w:rsidR="006A564D" w:rsidRPr="00D94314">
        <w:rPr>
          <w:rFonts w:asciiTheme="majorHAnsi" w:hAnsiTheme="majorHAnsi"/>
          <w:sz w:val="20"/>
          <w:szCs w:val="20"/>
          <w:lang w:val="es-CO"/>
        </w:rPr>
        <w:t xml:space="preserve">trabajadores a </w:t>
      </w:r>
      <w:r w:rsidR="00C51FEE" w:rsidRPr="00D94314">
        <w:rPr>
          <w:rFonts w:asciiTheme="majorHAnsi" w:hAnsiTheme="majorHAnsi"/>
          <w:sz w:val="20"/>
          <w:szCs w:val="20"/>
          <w:lang w:val="es-CO"/>
        </w:rPr>
        <w:t xml:space="preserve">los </w:t>
      </w:r>
      <w:r w:rsidR="006A564D" w:rsidRPr="00D94314">
        <w:rPr>
          <w:rFonts w:asciiTheme="majorHAnsi" w:hAnsiTheme="majorHAnsi"/>
          <w:sz w:val="20"/>
          <w:szCs w:val="20"/>
          <w:lang w:val="es-CO"/>
        </w:rPr>
        <w:t>que les corresponde su derecho.</w:t>
      </w:r>
      <w:r w:rsidR="00752439" w:rsidRPr="00D94314">
        <w:rPr>
          <w:rFonts w:asciiTheme="majorHAnsi" w:hAnsiTheme="majorHAnsi"/>
          <w:sz w:val="20"/>
          <w:szCs w:val="20"/>
          <w:lang w:val="es-CO"/>
        </w:rPr>
        <w:t xml:space="preserve"> </w:t>
      </w:r>
      <w:r w:rsidR="006A564D" w:rsidRPr="00D94314">
        <w:rPr>
          <w:rFonts w:asciiTheme="majorHAnsi" w:hAnsiTheme="majorHAnsi"/>
          <w:sz w:val="20"/>
          <w:szCs w:val="20"/>
          <w:lang w:val="es-CO"/>
        </w:rPr>
        <w:t>El SUTECASA elevó ante el Sexagésimo Cuarto Juzgado Especializado en lo Civil de Lima</w:t>
      </w:r>
      <w:r w:rsidR="006A564D" w:rsidRPr="00D94314">
        <w:rPr>
          <w:sz w:val="20"/>
          <w:szCs w:val="20"/>
          <w:vertAlign w:val="superscript"/>
        </w:rPr>
        <w:footnoteReference w:id="33"/>
      </w:r>
      <w:r w:rsidR="006A564D" w:rsidRPr="00D94314">
        <w:rPr>
          <w:rFonts w:asciiTheme="majorHAnsi" w:hAnsiTheme="majorHAnsi"/>
          <w:sz w:val="20"/>
          <w:szCs w:val="20"/>
          <w:lang w:val="es-CO"/>
        </w:rPr>
        <w:t xml:space="preserve"> un escrito el 7 de abril de 2003 en el que presentó el Padrón Sindical actualizado a nivel nacional de los trabajadores de ECASA. </w:t>
      </w:r>
    </w:p>
    <w:p w14:paraId="5282BDF4" w14:textId="77777777" w:rsidR="006A564D" w:rsidRPr="00D94314" w:rsidRDefault="006A564D" w:rsidP="00990B9E">
      <w:pPr>
        <w:jc w:val="both"/>
        <w:rPr>
          <w:rFonts w:asciiTheme="majorHAnsi" w:hAnsiTheme="majorHAnsi"/>
          <w:b/>
          <w:sz w:val="20"/>
          <w:szCs w:val="20"/>
          <w:lang w:val="es-CO"/>
        </w:rPr>
      </w:pPr>
    </w:p>
    <w:p w14:paraId="7CBE08B0" w14:textId="44564037" w:rsidR="006A564D" w:rsidRPr="00D94314" w:rsidRDefault="006A564D" w:rsidP="0018734B">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El 25 de junio de 2003, se llevó a cabo audiencia ante el Décimo Tercer Juzgado Laboral de la Corte Superior de Justicia de Lima. Participaron el SUTECASA y el Comité de Defensa de los Ex Trabajadores de ECASA, en la que se fijó como punto controvertido el “determinar si le corresponde a favor de la demandante la aplicación del Convenio Colectivo 90-91” y se requirió a la demandada “poner a disposición del juzgado sus libros de planillas y boletas de pagos de los integrantes del Comité de Defensa de los Ex Trabajadores de [ECASA]”</w:t>
      </w:r>
      <w:r w:rsidRPr="00D94314">
        <w:rPr>
          <w:rFonts w:asciiTheme="majorHAnsi" w:hAnsiTheme="majorHAnsi"/>
          <w:sz w:val="20"/>
          <w:szCs w:val="20"/>
          <w:vertAlign w:val="superscript"/>
          <w:lang w:val="es-CO"/>
        </w:rPr>
        <w:footnoteReference w:id="34"/>
      </w:r>
      <w:r w:rsidR="00CD3AF0" w:rsidRPr="00D94314">
        <w:rPr>
          <w:rFonts w:asciiTheme="majorHAnsi" w:hAnsiTheme="majorHAnsi"/>
          <w:sz w:val="20"/>
          <w:szCs w:val="20"/>
          <w:lang w:val="es-CO"/>
        </w:rPr>
        <w:t>.</w:t>
      </w:r>
    </w:p>
    <w:p w14:paraId="216039FB" w14:textId="77777777" w:rsidR="006A564D" w:rsidRPr="00D94314" w:rsidRDefault="006A564D" w:rsidP="006A564D">
      <w:pPr>
        <w:pStyle w:val="ListParagraph"/>
        <w:jc w:val="both"/>
        <w:rPr>
          <w:rFonts w:asciiTheme="majorHAnsi" w:hAnsiTheme="majorHAnsi"/>
          <w:b/>
          <w:sz w:val="20"/>
          <w:szCs w:val="20"/>
          <w:lang w:val="es-CO"/>
        </w:rPr>
      </w:pPr>
    </w:p>
    <w:p w14:paraId="039D1759" w14:textId="6E15D25B" w:rsidR="006A564D" w:rsidRPr="00D94314" w:rsidRDefault="00CD3AF0" w:rsidP="0018734B">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E</w:t>
      </w:r>
      <w:r w:rsidR="006A564D" w:rsidRPr="00D94314">
        <w:rPr>
          <w:rFonts w:asciiTheme="majorHAnsi" w:hAnsiTheme="majorHAnsi"/>
          <w:sz w:val="20"/>
          <w:szCs w:val="20"/>
          <w:lang w:val="es-CO"/>
        </w:rPr>
        <w:t>l Sexagésimo Cuarto Juzgado Especializado en lo Civil de Lima</w:t>
      </w:r>
      <w:r w:rsidR="006A564D" w:rsidRPr="00D94314">
        <w:rPr>
          <w:rFonts w:asciiTheme="majorHAnsi" w:hAnsiTheme="majorHAnsi"/>
          <w:sz w:val="20"/>
          <w:szCs w:val="20"/>
          <w:vertAlign w:val="superscript"/>
          <w:lang w:val="es-CO"/>
        </w:rPr>
        <w:footnoteReference w:id="35"/>
      </w:r>
      <w:r w:rsidR="006A564D" w:rsidRPr="00D94314">
        <w:rPr>
          <w:rFonts w:asciiTheme="majorHAnsi" w:hAnsiTheme="majorHAnsi"/>
          <w:sz w:val="20"/>
          <w:szCs w:val="20"/>
          <w:lang w:val="es-CO"/>
        </w:rPr>
        <w:t xml:space="preserve"> </w:t>
      </w:r>
      <w:r w:rsidRPr="00D94314">
        <w:rPr>
          <w:rFonts w:asciiTheme="majorHAnsi" w:hAnsiTheme="majorHAnsi"/>
          <w:sz w:val="20"/>
          <w:szCs w:val="20"/>
          <w:lang w:val="es-CO"/>
        </w:rPr>
        <w:t xml:space="preserve">el </w:t>
      </w:r>
      <w:r w:rsidR="006A564D" w:rsidRPr="00D94314">
        <w:rPr>
          <w:rFonts w:asciiTheme="majorHAnsi" w:hAnsiTheme="majorHAnsi"/>
          <w:sz w:val="20"/>
          <w:szCs w:val="20"/>
          <w:lang w:val="es-CO"/>
        </w:rPr>
        <w:t>4 de julio de 2003 dictó estarse a lo dispuesto en la Resolución de 12 de febrero de 1999, no existiendo nada que ejecutar</w:t>
      </w:r>
      <w:r w:rsidRPr="00D94314">
        <w:rPr>
          <w:rFonts w:asciiTheme="majorHAnsi" w:hAnsiTheme="majorHAnsi"/>
          <w:sz w:val="20"/>
          <w:szCs w:val="20"/>
          <w:lang w:val="es-CO"/>
        </w:rPr>
        <w:t xml:space="preserve"> y disponiendo el archivo de </w:t>
      </w:r>
      <w:r w:rsidR="006A564D" w:rsidRPr="00D94314">
        <w:rPr>
          <w:rFonts w:asciiTheme="majorHAnsi" w:hAnsiTheme="majorHAnsi"/>
          <w:sz w:val="20"/>
          <w:szCs w:val="20"/>
          <w:lang w:val="es-CO"/>
        </w:rPr>
        <w:t>lo actuado definitivamente</w:t>
      </w:r>
      <w:r w:rsidRPr="00D94314">
        <w:rPr>
          <w:rFonts w:asciiTheme="majorHAnsi" w:hAnsiTheme="majorHAnsi"/>
          <w:sz w:val="20"/>
          <w:szCs w:val="20"/>
          <w:lang w:val="es-CO"/>
        </w:rPr>
        <w:t>.</w:t>
      </w:r>
      <w:r w:rsidR="006A564D" w:rsidRPr="00D94314">
        <w:rPr>
          <w:rFonts w:asciiTheme="majorHAnsi" w:hAnsiTheme="majorHAnsi"/>
          <w:sz w:val="20"/>
          <w:szCs w:val="20"/>
          <w:lang w:val="es-CO"/>
        </w:rPr>
        <w:t xml:space="preserve"> </w:t>
      </w:r>
      <w:r w:rsidRPr="00D94314">
        <w:rPr>
          <w:rFonts w:asciiTheme="majorHAnsi" w:hAnsiTheme="majorHAnsi"/>
          <w:sz w:val="20"/>
          <w:szCs w:val="20"/>
          <w:lang w:val="es-CO"/>
        </w:rPr>
        <w:t>En esta decisión se indicó:</w:t>
      </w:r>
    </w:p>
    <w:p w14:paraId="3C95578C" w14:textId="77777777" w:rsidR="006A564D" w:rsidRPr="00D94314" w:rsidRDefault="006A564D" w:rsidP="006A564D">
      <w:pPr>
        <w:pStyle w:val="ListParagraph"/>
        <w:rPr>
          <w:rFonts w:asciiTheme="majorHAnsi" w:hAnsiTheme="majorHAnsi"/>
          <w:sz w:val="20"/>
          <w:szCs w:val="20"/>
          <w:lang w:val="es-CO"/>
        </w:rPr>
      </w:pPr>
    </w:p>
    <w:p w14:paraId="3EB377C1" w14:textId="62D3B30A" w:rsidR="006A564D" w:rsidRPr="00D94314" w:rsidRDefault="00CD3AF0" w:rsidP="00D83CF6">
      <w:pPr>
        <w:ind w:left="567" w:right="567"/>
        <w:jc w:val="both"/>
        <w:rPr>
          <w:rFonts w:asciiTheme="majorHAnsi" w:hAnsiTheme="majorHAnsi"/>
          <w:sz w:val="20"/>
          <w:szCs w:val="20"/>
          <w:lang w:val="es-CO"/>
        </w:rPr>
      </w:pPr>
      <w:r w:rsidRPr="00D94314">
        <w:rPr>
          <w:rFonts w:asciiTheme="majorHAnsi" w:hAnsiTheme="majorHAnsi"/>
          <w:sz w:val="20"/>
          <w:szCs w:val="20"/>
          <w:lang w:val="es-CO"/>
        </w:rPr>
        <w:t xml:space="preserve"> </w:t>
      </w:r>
      <w:r w:rsidR="006A564D" w:rsidRPr="00D94314">
        <w:rPr>
          <w:rFonts w:asciiTheme="majorHAnsi" w:hAnsiTheme="majorHAnsi"/>
          <w:sz w:val="20"/>
          <w:szCs w:val="20"/>
          <w:lang w:val="es-CO"/>
        </w:rPr>
        <w:t xml:space="preserve">(…) </w:t>
      </w:r>
      <w:r w:rsidRPr="00D94314">
        <w:rPr>
          <w:rFonts w:asciiTheme="majorHAnsi" w:hAnsiTheme="majorHAnsi"/>
          <w:sz w:val="20"/>
          <w:szCs w:val="20"/>
          <w:lang w:val="es-CO"/>
        </w:rPr>
        <w:t>e</w:t>
      </w:r>
      <w:r w:rsidR="006A564D" w:rsidRPr="00D94314">
        <w:rPr>
          <w:rFonts w:asciiTheme="majorHAnsi" w:hAnsiTheme="majorHAnsi"/>
          <w:sz w:val="20"/>
          <w:szCs w:val="20"/>
          <w:lang w:val="es-CO"/>
        </w:rPr>
        <w:t>n Ejecución de sentencia el Sindicato actor solicitó el pago de remuneraciones a favor de los accionantes, lo que conllevó a un largo debate procesal, pronunciándose definitivamente en sentido negativo la Sala Corporativa Transitoria Especializada en Derecho Público mediante auto de 12 de febrero de 1999 que CONFIRMA la Resolución de primera instancia de 14 de enero de 1999, por lo que  declara IMPROCEDENTE la pretendida ejecución de pago de remuneraciones adeudadas, dejando a salvo el derecho de los accionantes del sindicato demandante para que lo hagan valer en la forma y modo que corresponda, disponiendo el archivamiento del proceso por encontrarse concluido, resolución ejecutoriada que se encuentra plenamente vigente</w:t>
      </w:r>
      <w:r w:rsidR="00476EC4">
        <w:rPr>
          <w:rStyle w:val="FootnoteReference"/>
          <w:rFonts w:asciiTheme="majorHAnsi" w:hAnsiTheme="majorHAnsi"/>
          <w:sz w:val="20"/>
          <w:szCs w:val="20"/>
          <w:lang w:val="es-CO"/>
        </w:rPr>
        <w:footnoteReference w:id="36"/>
      </w:r>
      <w:r w:rsidR="006A564D" w:rsidRPr="00D94314">
        <w:rPr>
          <w:rFonts w:asciiTheme="majorHAnsi" w:hAnsiTheme="majorHAnsi"/>
          <w:sz w:val="20"/>
          <w:szCs w:val="20"/>
          <w:lang w:val="es-CO"/>
        </w:rPr>
        <w:t xml:space="preserve">. </w:t>
      </w:r>
    </w:p>
    <w:p w14:paraId="75500B1D" w14:textId="77777777" w:rsidR="006A564D" w:rsidRPr="00D94314" w:rsidRDefault="006A564D" w:rsidP="006A564D">
      <w:pPr>
        <w:rPr>
          <w:rFonts w:asciiTheme="majorHAnsi" w:hAnsiTheme="majorHAnsi"/>
          <w:b/>
          <w:sz w:val="20"/>
          <w:szCs w:val="20"/>
          <w:lang w:val="es-CO"/>
        </w:rPr>
      </w:pPr>
    </w:p>
    <w:p w14:paraId="39B9F2D1" w14:textId="6E423E8C" w:rsidR="006A564D" w:rsidRPr="00D94314" w:rsidRDefault="00F6234E" w:rsidP="00CD3963">
      <w:pPr>
        <w:pStyle w:val="ListParagraph"/>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Consta en el expediente r</w:t>
      </w:r>
      <w:r w:rsidR="006A564D" w:rsidRPr="00D94314">
        <w:rPr>
          <w:rFonts w:asciiTheme="majorHAnsi" w:hAnsiTheme="majorHAnsi"/>
          <w:sz w:val="20"/>
          <w:szCs w:val="20"/>
          <w:lang w:val="es-CO"/>
        </w:rPr>
        <w:t>esolución de la Sexta Sala Civil de la Corte Superior de Justicia de 7 de diciembre de 2007</w:t>
      </w:r>
      <w:r w:rsidRPr="00D94314">
        <w:rPr>
          <w:rFonts w:asciiTheme="majorHAnsi" w:hAnsiTheme="majorHAnsi"/>
          <w:sz w:val="20"/>
          <w:szCs w:val="20"/>
          <w:lang w:val="es-CO"/>
        </w:rPr>
        <w:t xml:space="preserve"> mediante la cual</w:t>
      </w:r>
      <w:r w:rsidR="006A564D" w:rsidRPr="00D94314">
        <w:rPr>
          <w:rFonts w:asciiTheme="majorHAnsi" w:hAnsiTheme="majorHAnsi"/>
          <w:sz w:val="20"/>
          <w:szCs w:val="20"/>
          <w:lang w:val="es-CO"/>
        </w:rPr>
        <w:t xml:space="preserve"> se resolvió apelación planteada</w:t>
      </w:r>
      <w:r w:rsidRPr="00D94314">
        <w:rPr>
          <w:rFonts w:asciiTheme="majorHAnsi" w:hAnsiTheme="majorHAnsi"/>
          <w:sz w:val="20"/>
          <w:szCs w:val="20"/>
          <w:lang w:val="es-CO"/>
        </w:rPr>
        <w:t xml:space="preserve"> y confirmó </w:t>
      </w:r>
      <w:r w:rsidR="006A564D" w:rsidRPr="00D94314">
        <w:rPr>
          <w:rFonts w:asciiTheme="majorHAnsi" w:hAnsiTheme="majorHAnsi"/>
          <w:sz w:val="20"/>
          <w:szCs w:val="20"/>
          <w:lang w:val="es-CO"/>
        </w:rPr>
        <w:t xml:space="preserve">la </w:t>
      </w:r>
      <w:r w:rsidRPr="00D94314">
        <w:rPr>
          <w:rFonts w:asciiTheme="majorHAnsi" w:hAnsiTheme="majorHAnsi"/>
          <w:sz w:val="20"/>
          <w:szCs w:val="20"/>
          <w:lang w:val="es-CO"/>
        </w:rPr>
        <w:t xml:space="preserve">decisión </w:t>
      </w:r>
      <w:r w:rsidR="006A564D" w:rsidRPr="00D94314">
        <w:rPr>
          <w:rFonts w:asciiTheme="majorHAnsi" w:hAnsiTheme="majorHAnsi"/>
          <w:sz w:val="20"/>
          <w:szCs w:val="20"/>
          <w:lang w:val="es-CO"/>
        </w:rPr>
        <w:t>de 4 de julio de 200</w:t>
      </w:r>
      <w:r w:rsidR="006404EE" w:rsidRPr="00D94314">
        <w:rPr>
          <w:rFonts w:asciiTheme="majorHAnsi" w:hAnsiTheme="majorHAnsi"/>
          <w:sz w:val="20"/>
          <w:szCs w:val="20"/>
          <w:lang w:val="es-CO"/>
        </w:rPr>
        <w:t>3</w:t>
      </w:r>
      <w:r w:rsidR="006A564D" w:rsidRPr="00D94314">
        <w:rPr>
          <w:rFonts w:asciiTheme="majorHAnsi" w:hAnsiTheme="majorHAnsi"/>
          <w:sz w:val="20"/>
          <w:szCs w:val="20"/>
          <w:vertAlign w:val="superscript"/>
          <w:lang w:val="es-CO"/>
        </w:rPr>
        <w:footnoteReference w:id="37"/>
      </w:r>
      <w:r w:rsidRPr="00D94314">
        <w:rPr>
          <w:rFonts w:asciiTheme="majorHAnsi" w:hAnsiTheme="majorHAnsi"/>
          <w:sz w:val="20"/>
          <w:szCs w:val="20"/>
          <w:lang w:val="es-CO"/>
        </w:rPr>
        <w:t>.</w:t>
      </w:r>
      <w:r w:rsidR="00CD3963" w:rsidRPr="00D94314">
        <w:rPr>
          <w:rFonts w:asciiTheme="majorHAnsi" w:hAnsiTheme="majorHAnsi"/>
          <w:sz w:val="20"/>
          <w:szCs w:val="20"/>
          <w:lang w:val="es-CO"/>
        </w:rPr>
        <w:t xml:space="preserve"> Asimismo, consta r</w:t>
      </w:r>
      <w:r w:rsidR="006A564D" w:rsidRPr="00D94314">
        <w:rPr>
          <w:rFonts w:asciiTheme="majorHAnsi" w:hAnsiTheme="majorHAnsi"/>
          <w:sz w:val="20"/>
          <w:szCs w:val="20"/>
          <w:lang w:val="es-CO"/>
        </w:rPr>
        <w:t xml:space="preserve">esolución del Sexagésimo Primer Juzgado Especializado en lo Civil de Lima de 15 de abril de </w:t>
      </w:r>
      <w:r w:rsidR="006A564D" w:rsidRPr="00D94314">
        <w:rPr>
          <w:rFonts w:asciiTheme="majorHAnsi" w:hAnsiTheme="majorHAnsi"/>
          <w:sz w:val="20"/>
          <w:szCs w:val="20"/>
          <w:lang w:val="es-CO"/>
        </w:rPr>
        <w:lastRenderedPageBreak/>
        <w:t>2008, se recibieron los autos del superior jerárquico y se ordenó el archivo definitivo de los mismos</w:t>
      </w:r>
      <w:r w:rsidR="00B26366" w:rsidRPr="00D94314">
        <w:rPr>
          <w:rFonts w:asciiTheme="majorHAnsi" w:hAnsiTheme="majorHAnsi"/>
          <w:sz w:val="20"/>
          <w:szCs w:val="20"/>
          <w:lang w:val="es-CO"/>
        </w:rPr>
        <w:t xml:space="preserve"> conforme a la decisión </w:t>
      </w:r>
      <w:r w:rsidR="006A564D" w:rsidRPr="00D94314">
        <w:rPr>
          <w:rFonts w:asciiTheme="majorHAnsi" w:hAnsiTheme="majorHAnsi"/>
          <w:sz w:val="20"/>
          <w:szCs w:val="20"/>
          <w:lang w:val="es-CO"/>
        </w:rPr>
        <w:t>de 7 de diciembre de 2007</w:t>
      </w:r>
      <w:r w:rsidR="006A564D" w:rsidRPr="00D94314">
        <w:rPr>
          <w:sz w:val="20"/>
          <w:szCs w:val="20"/>
          <w:vertAlign w:val="superscript"/>
        </w:rPr>
        <w:footnoteReference w:id="38"/>
      </w:r>
      <w:r w:rsidR="00B26366" w:rsidRPr="00D94314">
        <w:rPr>
          <w:rFonts w:asciiTheme="majorHAnsi" w:hAnsiTheme="majorHAnsi"/>
          <w:sz w:val="20"/>
          <w:szCs w:val="20"/>
          <w:lang w:val="es-CO"/>
        </w:rPr>
        <w:t>.</w:t>
      </w:r>
    </w:p>
    <w:p w14:paraId="2DA5158B" w14:textId="77777777" w:rsidR="006A564D" w:rsidRPr="00D94314" w:rsidRDefault="006A564D" w:rsidP="006A564D">
      <w:pPr>
        <w:pStyle w:val="ListParagraph"/>
        <w:jc w:val="both"/>
        <w:rPr>
          <w:rFonts w:asciiTheme="majorHAnsi" w:hAnsiTheme="majorHAnsi"/>
          <w:b/>
          <w:sz w:val="20"/>
          <w:szCs w:val="20"/>
          <w:lang w:val="es-CO"/>
        </w:rPr>
      </w:pPr>
    </w:p>
    <w:p w14:paraId="5BC83948" w14:textId="6FB8B973" w:rsidR="006A564D" w:rsidRPr="00D94314" w:rsidRDefault="00DC126C" w:rsidP="00CA0B5D">
      <w:pPr>
        <w:pStyle w:val="ListParagraph"/>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El 12 de marzo de 2009</w:t>
      </w:r>
      <w:r w:rsidR="006A564D" w:rsidRPr="00D94314">
        <w:rPr>
          <w:rFonts w:asciiTheme="majorHAnsi" w:hAnsiTheme="majorHAnsi"/>
          <w:sz w:val="20"/>
          <w:szCs w:val="20"/>
          <w:lang w:val="es-CO"/>
        </w:rPr>
        <w:t xml:space="preserve"> la Sexta Sala Civil de la Corte Superior de Justicia de Lima de 12 de marzo de 2009</w:t>
      </w:r>
      <w:r w:rsidR="006A564D" w:rsidRPr="00D94314">
        <w:rPr>
          <w:rFonts w:asciiTheme="majorHAnsi" w:hAnsiTheme="majorHAnsi"/>
          <w:sz w:val="20"/>
          <w:szCs w:val="20"/>
          <w:vertAlign w:val="superscript"/>
          <w:lang w:val="es-CO"/>
        </w:rPr>
        <w:footnoteReference w:id="39"/>
      </w:r>
      <w:r w:rsidR="006A564D" w:rsidRPr="00D94314">
        <w:rPr>
          <w:rFonts w:asciiTheme="majorHAnsi" w:hAnsiTheme="majorHAnsi"/>
          <w:sz w:val="20"/>
          <w:szCs w:val="20"/>
          <w:lang w:val="es-CO"/>
        </w:rPr>
        <w:t>, declaró nula la</w:t>
      </w:r>
      <w:r w:rsidRPr="00D94314">
        <w:rPr>
          <w:rFonts w:asciiTheme="majorHAnsi" w:hAnsiTheme="majorHAnsi"/>
          <w:sz w:val="20"/>
          <w:szCs w:val="20"/>
          <w:lang w:val="es-CO"/>
        </w:rPr>
        <w:t xml:space="preserve"> decisión </w:t>
      </w:r>
      <w:r w:rsidR="006A564D" w:rsidRPr="00D94314">
        <w:rPr>
          <w:rFonts w:asciiTheme="majorHAnsi" w:hAnsiTheme="majorHAnsi"/>
          <w:sz w:val="20"/>
          <w:szCs w:val="20"/>
          <w:lang w:val="es-CO"/>
        </w:rPr>
        <w:t>de 15 de abril de 2008, que decretó el archivo definitivo, y ordenó al Juez de la causa que proceda a la ejecución de lo decidido. Además, recordó que “el amparo se constituye como un remedio contra las lesiones a derechos constitucionales, debiendo el juez constitucional, en consecuencia (…) reponer las cosas al estado anterior a la violación o amenaza de violación de un derecho constitucional (…). De lo expuesto [por los demandantes] resulta claro que la inaplicación solicitada [de los Decretos Supremos] tenía por objeto que se respetara la vigencia de la Estructura Salarial Única y se realizaran los incrementos adicionales de remuneraciones, de acuerdo a lo acordado en los Convenios Colectivos acordados por las partes</w:t>
      </w:r>
      <w:r w:rsidRPr="00D94314">
        <w:rPr>
          <w:rFonts w:asciiTheme="majorHAnsi" w:hAnsiTheme="majorHAnsi"/>
          <w:sz w:val="20"/>
          <w:szCs w:val="20"/>
          <w:lang w:val="es-CO"/>
        </w:rPr>
        <w:t>”</w:t>
      </w:r>
      <w:r w:rsidR="006A564D" w:rsidRPr="00D94314">
        <w:rPr>
          <w:rFonts w:asciiTheme="majorHAnsi" w:hAnsiTheme="majorHAnsi"/>
          <w:sz w:val="20"/>
          <w:szCs w:val="20"/>
          <w:lang w:val="es-CO"/>
        </w:rPr>
        <w:t xml:space="preserve">. </w:t>
      </w:r>
      <w:r w:rsidR="005B42D1" w:rsidRPr="00D94314">
        <w:rPr>
          <w:rFonts w:asciiTheme="majorHAnsi" w:hAnsiTheme="majorHAnsi"/>
          <w:sz w:val="20"/>
          <w:szCs w:val="20"/>
          <w:lang w:val="es-CO"/>
        </w:rPr>
        <w:t>Agregó que “</w:t>
      </w:r>
      <w:r w:rsidR="006A564D" w:rsidRPr="00D94314">
        <w:rPr>
          <w:rFonts w:asciiTheme="majorHAnsi" w:hAnsiTheme="majorHAnsi"/>
          <w:sz w:val="20"/>
          <w:szCs w:val="20"/>
          <w:lang w:val="es-CO"/>
        </w:rPr>
        <w:t>si no hubieran existido actos materiales lesivos el amparo debía ser declarado improcedente, por cuanto (…) el proceso de amparo estaba destinado a reponer las cosa al estado anterior a la violación o amenaza de violación de un derecho constitucional”</w:t>
      </w:r>
      <w:r w:rsidR="005B42D1" w:rsidRPr="00D94314">
        <w:rPr>
          <w:rFonts w:asciiTheme="majorHAnsi" w:hAnsiTheme="majorHAnsi"/>
          <w:sz w:val="20"/>
          <w:szCs w:val="20"/>
          <w:lang w:val="es-CO"/>
        </w:rPr>
        <w:t>. También señaló que “</w:t>
      </w:r>
      <w:r w:rsidR="006A564D" w:rsidRPr="00D94314">
        <w:rPr>
          <w:rFonts w:asciiTheme="majorHAnsi" w:hAnsiTheme="majorHAnsi"/>
          <w:sz w:val="20"/>
          <w:szCs w:val="20"/>
          <w:lang w:val="es-CO"/>
        </w:rPr>
        <w:t>la pretensión de los demandantes no podía y no puede satisfacerse únicamente con una sentencia declarativa, sino con las correcciones materiales (la llamada reposición al estado anterior a la afectación) que está ínsito en este proceso constitucional</w:t>
      </w:r>
      <w:r w:rsidR="00CA0B5D" w:rsidRPr="00D94314">
        <w:rPr>
          <w:rFonts w:asciiTheme="majorHAnsi" w:hAnsiTheme="majorHAnsi"/>
          <w:sz w:val="20"/>
          <w:szCs w:val="20"/>
          <w:lang w:val="es-CO"/>
        </w:rPr>
        <w:t xml:space="preserve"> (…) s</w:t>
      </w:r>
      <w:r w:rsidR="006A564D" w:rsidRPr="00D94314">
        <w:rPr>
          <w:rFonts w:asciiTheme="majorHAnsi" w:hAnsiTheme="majorHAnsi"/>
          <w:sz w:val="20"/>
          <w:szCs w:val="20"/>
          <w:lang w:val="es-CO"/>
        </w:rPr>
        <w:t>iendo ello así, habiendo ordenado el Tribunal Constitucional la ejecución de la sentencia de amparo el derecho de los demandantes, toda orden en contrario debe anularse y procederse, en consecuencia, a la ejecución de lo decidido</w:t>
      </w:r>
      <w:r w:rsidR="00CA0B5D" w:rsidRPr="00D94314">
        <w:rPr>
          <w:rFonts w:asciiTheme="majorHAnsi" w:hAnsiTheme="majorHAnsi"/>
          <w:sz w:val="20"/>
          <w:szCs w:val="20"/>
          <w:lang w:val="es-CO"/>
        </w:rPr>
        <w:t>”</w:t>
      </w:r>
      <w:r w:rsidR="006A564D" w:rsidRPr="00D94314">
        <w:rPr>
          <w:rFonts w:asciiTheme="majorHAnsi" w:hAnsiTheme="majorHAnsi"/>
          <w:sz w:val="20"/>
          <w:szCs w:val="20"/>
          <w:lang w:val="es-CO"/>
        </w:rPr>
        <w:t>.</w:t>
      </w:r>
    </w:p>
    <w:p w14:paraId="05996699" w14:textId="77777777" w:rsidR="00141BDC" w:rsidRPr="00D94314" w:rsidRDefault="00141BDC" w:rsidP="00141BDC">
      <w:pPr>
        <w:jc w:val="both"/>
        <w:rPr>
          <w:rFonts w:asciiTheme="majorHAnsi" w:hAnsiTheme="majorHAnsi"/>
          <w:sz w:val="20"/>
          <w:szCs w:val="20"/>
          <w:lang w:val="es-CO"/>
        </w:rPr>
      </w:pPr>
    </w:p>
    <w:p w14:paraId="3714658A" w14:textId="54EB1288" w:rsidR="006A564D" w:rsidRPr="00D94314" w:rsidRDefault="006A564D" w:rsidP="001B6238">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 xml:space="preserve">El Procurador Público del MEF solicitó la nulidad de dicha resolución </w:t>
      </w:r>
      <w:r w:rsidR="001B6238" w:rsidRPr="00D94314">
        <w:rPr>
          <w:rFonts w:asciiTheme="majorHAnsi" w:hAnsiTheme="majorHAnsi"/>
          <w:sz w:val="20"/>
          <w:szCs w:val="20"/>
          <w:lang w:val="es-CO"/>
        </w:rPr>
        <w:t xml:space="preserve">y la </w:t>
      </w:r>
      <w:r w:rsidRPr="00D94314">
        <w:rPr>
          <w:rFonts w:asciiTheme="majorHAnsi" w:hAnsiTheme="majorHAnsi"/>
          <w:sz w:val="20"/>
          <w:szCs w:val="20"/>
          <w:lang w:val="es-MX"/>
        </w:rPr>
        <w:t>Sexta Sala Civil de la Corte Superior de Justicia de Lima por Resolución de 28 de enero de 2010, declaro infundada la nulidad deducida, debiendo el proceso continuar de acuerdo a</w:t>
      </w:r>
      <w:r w:rsidR="001B6238" w:rsidRPr="00D94314">
        <w:rPr>
          <w:rFonts w:asciiTheme="majorHAnsi" w:hAnsiTheme="majorHAnsi"/>
          <w:sz w:val="20"/>
          <w:szCs w:val="20"/>
          <w:lang w:val="es-MX"/>
        </w:rPr>
        <w:t xml:space="preserve"> </w:t>
      </w:r>
      <w:r w:rsidRPr="00D94314">
        <w:rPr>
          <w:rFonts w:asciiTheme="majorHAnsi" w:hAnsiTheme="majorHAnsi"/>
          <w:sz w:val="20"/>
          <w:szCs w:val="20"/>
          <w:lang w:val="es-MX"/>
        </w:rPr>
        <w:t>su estado</w:t>
      </w:r>
      <w:r w:rsidRPr="00D94314">
        <w:rPr>
          <w:sz w:val="20"/>
          <w:szCs w:val="20"/>
          <w:vertAlign w:val="superscript"/>
        </w:rPr>
        <w:footnoteReference w:id="40"/>
      </w:r>
      <w:r w:rsidR="001B6238" w:rsidRPr="00D94314">
        <w:rPr>
          <w:rFonts w:asciiTheme="majorHAnsi" w:hAnsiTheme="majorHAnsi"/>
          <w:sz w:val="20"/>
          <w:szCs w:val="20"/>
          <w:lang w:val="es-CO"/>
        </w:rPr>
        <w:t>.</w:t>
      </w:r>
    </w:p>
    <w:p w14:paraId="0EC830E7" w14:textId="77777777" w:rsidR="006A37F1" w:rsidRPr="00D94314" w:rsidRDefault="006A37F1" w:rsidP="006A37F1">
      <w:pPr>
        <w:pStyle w:val="ListParagraph"/>
        <w:rPr>
          <w:rFonts w:asciiTheme="majorHAnsi" w:hAnsiTheme="majorHAnsi"/>
          <w:b/>
          <w:sz w:val="20"/>
          <w:szCs w:val="20"/>
          <w:lang w:val="es-CO"/>
        </w:rPr>
      </w:pPr>
    </w:p>
    <w:p w14:paraId="5932D953" w14:textId="64B06BA7" w:rsidR="006A37F1" w:rsidRPr="00D94314" w:rsidRDefault="006A37F1" w:rsidP="001B6238">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Consta en el expediente</w:t>
      </w:r>
      <w:r w:rsidR="00A22A96" w:rsidRPr="00D94314">
        <w:rPr>
          <w:rFonts w:asciiTheme="majorHAnsi" w:hAnsiTheme="majorHAnsi"/>
          <w:sz w:val="20"/>
          <w:szCs w:val="20"/>
          <w:lang w:val="es-CO"/>
        </w:rPr>
        <w:t xml:space="preserve"> que </w:t>
      </w:r>
      <w:r w:rsidRPr="00D94314">
        <w:rPr>
          <w:rFonts w:asciiTheme="majorHAnsi" w:hAnsiTheme="majorHAnsi"/>
          <w:sz w:val="20"/>
          <w:szCs w:val="20"/>
          <w:lang w:val="es-CO"/>
        </w:rPr>
        <w:t xml:space="preserve">el Décimo Juzgado Constitucional </w:t>
      </w:r>
      <w:r w:rsidR="005063F3" w:rsidRPr="00D94314">
        <w:rPr>
          <w:rFonts w:asciiTheme="majorHAnsi" w:hAnsiTheme="majorHAnsi"/>
          <w:sz w:val="20"/>
          <w:szCs w:val="20"/>
          <w:lang w:val="es-CO"/>
        </w:rPr>
        <w:t xml:space="preserve">emitió resolución </w:t>
      </w:r>
      <w:r w:rsidRPr="00D94314">
        <w:rPr>
          <w:rFonts w:asciiTheme="majorHAnsi" w:hAnsiTheme="majorHAnsi"/>
          <w:sz w:val="20"/>
          <w:szCs w:val="20"/>
          <w:lang w:val="es-CO"/>
        </w:rPr>
        <w:t xml:space="preserve">de 15 de abril de 2011, mediante </w:t>
      </w:r>
      <w:r w:rsidR="00A22A96" w:rsidRPr="00D94314">
        <w:rPr>
          <w:rFonts w:asciiTheme="majorHAnsi" w:hAnsiTheme="majorHAnsi"/>
          <w:sz w:val="20"/>
          <w:szCs w:val="20"/>
          <w:lang w:val="es-CO"/>
        </w:rPr>
        <w:t>l</w:t>
      </w:r>
      <w:r w:rsidR="005063F3" w:rsidRPr="00D94314">
        <w:rPr>
          <w:rFonts w:asciiTheme="majorHAnsi" w:hAnsiTheme="majorHAnsi"/>
          <w:sz w:val="20"/>
          <w:szCs w:val="20"/>
          <w:lang w:val="es-CO"/>
        </w:rPr>
        <w:t>a</w:t>
      </w:r>
      <w:r w:rsidR="00A22A96" w:rsidRPr="00D94314">
        <w:rPr>
          <w:rFonts w:asciiTheme="majorHAnsi" w:hAnsiTheme="majorHAnsi"/>
          <w:sz w:val="20"/>
          <w:szCs w:val="20"/>
          <w:lang w:val="es-CO"/>
        </w:rPr>
        <w:t xml:space="preserve"> cual se dispuso</w:t>
      </w:r>
      <w:r w:rsidRPr="00D94314">
        <w:rPr>
          <w:rFonts w:asciiTheme="majorHAnsi" w:hAnsiTheme="majorHAnsi"/>
          <w:sz w:val="20"/>
          <w:szCs w:val="20"/>
          <w:lang w:val="es-CO"/>
        </w:rPr>
        <w:t xml:space="preserve"> que se realice una nueva pericia ordenada por la Sexta Sala Civil de Lima para poder establecer si existe agravio en perjuicio del sindicato SUTECASA.</w:t>
      </w:r>
    </w:p>
    <w:p w14:paraId="17BF687D" w14:textId="77777777" w:rsidR="006A564D" w:rsidRPr="001A1D6A" w:rsidRDefault="006A564D" w:rsidP="001A1D6A">
      <w:pPr>
        <w:pStyle w:val="Heading2"/>
        <w:numPr>
          <w:ilvl w:val="0"/>
          <w:numId w:val="70"/>
        </w:numPr>
        <w:ind w:firstLine="0"/>
        <w:rPr>
          <w:rFonts w:asciiTheme="majorHAnsi" w:hAnsiTheme="majorHAnsi"/>
          <w:i w:val="0"/>
          <w:sz w:val="20"/>
          <w:szCs w:val="20"/>
          <w:lang w:val="es-CO"/>
        </w:rPr>
      </w:pPr>
      <w:bookmarkStart w:id="9" w:name="_Toc21421513"/>
      <w:r w:rsidRPr="001A1D6A">
        <w:rPr>
          <w:rFonts w:asciiTheme="majorHAnsi" w:hAnsiTheme="majorHAnsi"/>
          <w:i w:val="0"/>
          <w:sz w:val="20"/>
          <w:szCs w:val="20"/>
          <w:lang w:val="es-CO"/>
        </w:rPr>
        <w:t>DEMANDA DE EJECUCIÓN DE RESOLUCIÓN JUDICIAL EN FIRME EN EL FUERO LABORAL</w:t>
      </w:r>
      <w:bookmarkEnd w:id="9"/>
    </w:p>
    <w:p w14:paraId="25183384" w14:textId="77777777" w:rsidR="006A564D" w:rsidRPr="00D94314" w:rsidRDefault="006A564D" w:rsidP="006A564D">
      <w:pPr>
        <w:rPr>
          <w:rFonts w:asciiTheme="majorHAnsi" w:hAnsiTheme="majorHAnsi"/>
          <w:b/>
          <w:sz w:val="20"/>
          <w:szCs w:val="20"/>
          <w:u w:color="000000"/>
          <w:lang w:val="es-CO"/>
        </w:rPr>
      </w:pPr>
    </w:p>
    <w:p w14:paraId="2C7D19F5" w14:textId="6D19EF3E" w:rsidR="006A564D" w:rsidRPr="00D94314" w:rsidRDefault="006A564D" w:rsidP="0018734B">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 xml:space="preserve">Al obstaculizarse el proceso de </w:t>
      </w:r>
      <w:r w:rsidR="00D4704E" w:rsidRPr="00D94314">
        <w:rPr>
          <w:rFonts w:asciiTheme="majorHAnsi" w:hAnsiTheme="majorHAnsi"/>
          <w:sz w:val="20"/>
          <w:szCs w:val="20"/>
          <w:lang w:val="es-CO"/>
        </w:rPr>
        <w:t>a</w:t>
      </w:r>
      <w:r w:rsidRPr="00D94314">
        <w:rPr>
          <w:rFonts w:asciiTheme="majorHAnsi" w:hAnsiTheme="majorHAnsi"/>
          <w:sz w:val="20"/>
          <w:szCs w:val="20"/>
          <w:lang w:val="es-CO"/>
        </w:rPr>
        <w:t>mparo, el SUTECASA interpuso una demanda de Ejecución de Resolución Judicial Firme ante el Décimo Tercer Juzgado Laboral</w:t>
      </w:r>
      <w:r w:rsidRPr="00D94314">
        <w:rPr>
          <w:rFonts w:asciiTheme="majorHAnsi" w:hAnsiTheme="majorHAnsi"/>
          <w:sz w:val="20"/>
          <w:szCs w:val="20"/>
          <w:vertAlign w:val="superscript"/>
          <w:lang w:val="es-CO"/>
        </w:rPr>
        <w:footnoteReference w:id="41"/>
      </w:r>
      <w:r w:rsidRPr="00D94314">
        <w:rPr>
          <w:rFonts w:asciiTheme="majorHAnsi" w:hAnsiTheme="majorHAnsi"/>
          <w:sz w:val="20"/>
          <w:szCs w:val="20"/>
          <w:lang w:val="es-CO"/>
        </w:rPr>
        <w:t xml:space="preserve"> de la Corte Superior de Justicia de Lima el 31 de diciembre de 2003</w:t>
      </w:r>
      <w:r w:rsidRPr="00D94314">
        <w:rPr>
          <w:rFonts w:asciiTheme="majorHAnsi" w:hAnsiTheme="majorHAnsi"/>
          <w:sz w:val="20"/>
          <w:szCs w:val="20"/>
          <w:vertAlign w:val="superscript"/>
          <w:lang w:val="es-CO"/>
        </w:rPr>
        <w:footnoteReference w:id="42"/>
      </w:r>
      <w:r w:rsidRPr="00D94314">
        <w:rPr>
          <w:rFonts w:asciiTheme="majorHAnsi" w:hAnsiTheme="majorHAnsi"/>
          <w:sz w:val="20"/>
          <w:szCs w:val="20"/>
          <w:lang w:val="es-CO"/>
        </w:rPr>
        <w:t xml:space="preserve">, en contra del Presidente del Consejo de Ministros, el Ministro de Economía y Finanzas, y el Ministro de Trabajo, sobre ejecución de resolución judicial, con la finalidad de que ordene a los demandados el pago de la suma correspondiente a la remuneraciones devengadas, incidencias de las remuneraciones devengadas de los beneficios sociales, intereses legales no capitalizados, que resulta del Convenio Colectivo  90/91 y el acta de 5 de julio de 1990. SUTECASA </w:t>
      </w:r>
      <w:r w:rsidR="003E1BDC" w:rsidRPr="00D94314">
        <w:rPr>
          <w:rFonts w:asciiTheme="majorHAnsi" w:hAnsiTheme="majorHAnsi"/>
          <w:sz w:val="20"/>
          <w:szCs w:val="20"/>
          <w:lang w:val="es-CO"/>
        </w:rPr>
        <w:t xml:space="preserve">se fundamentó en </w:t>
      </w:r>
      <w:r w:rsidRPr="00D94314">
        <w:rPr>
          <w:rFonts w:asciiTheme="majorHAnsi" w:hAnsiTheme="majorHAnsi"/>
          <w:sz w:val="20"/>
          <w:szCs w:val="20"/>
          <w:lang w:val="es-CO"/>
        </w:rPr>
        <w:t xml:space="preserve">la sentencia judicial emitida por el Primer Juzgado Corporativo de Derecho Público de Lima de 22 de abril de 1991 (confirmada por </w:t>
      </w:r>
      <w:r w:rsidR="00F52BA8" w:rsidRPr="00D94314">
        <w:rPr>
          <w:rFonts w:asciiTheme="majorHAnsi" w:hAnsiTheme="majorHAnsi"/>
          <w:sz w:val="20"/>
          <w:szCs w:val="20"/>
          <w:lang w:val="es-CO"/>
        </w:rPr>
        <w:t>r</w:t>
      </w:r>
      <w:r w:rsidRPr="00D94314">
        <w:rPr>
          <w:rFonts w:asciiTheme="majorHAnsi" w:hAnsiTheme="majorHAnsi"/>
          <w:sz w:val="20"/>
          <w:szCs w:val="20"/>
          <w:lang w:val="es-CO"/>
        </w:rPr>
        <w:t>esolución de 16 de febrero de 1993)</w:t>
      </w:r>
      <w:r w:rsidRPr="00D94314">
        <w:rPr>
          <w:rFonts w:asciiTheme="majorHAnsi" w:hAnsiTheme="majorHAnsi"/>
          <w:sz w:val="20"/>
          <w:szCs w:val="20"/>
          <w:vertAlign w:val="superscript"/>
          <w:lang w:val="es-CO"/>
        </w:rPr>
        <w:footnoteReference w:id="43"/>
      </w:r>
      <w:r w:rsidRPr="00D94314">
        <w:rPr>
          <w:rFonts w:asciiTheme="majorHAnsi" w:hAnsiTheme="majorHAnsi"/>
          <w:sz w:val="20"/>
          <w:szCs w:val="20"/>
          <w:lang w:val="es-CO"/>
        </w:rPr>
        <w:t xml:space="preserve">. </w:t>
      </w:r>
    </w:p>
    <w:p w14:paraId="56599F06" w14:textId="77777777" w:rsidR="006A564D" w:rsidRPr="00D94314" w:rsidRDefault="006A564D" w:rsidP="00EB309A">
      <w:pPr>
        <w:rPr>
          <w:rFonts w:asciiTheme="majorHAnsi" w:hAnsiTheme="majorHAnsi"/>
          <w:b/>
          <w:sz w:val="20"/>
          <w:szCs w:val="20"/>
          <w:u w:color="000000"/>
          <w:lang w:val="es-CO"/>
        </w:rPr>
      </w:pPr>
    </w:p>
    <w:p w14:paraId="47368CE9" w14:textId="154F7598" w:rsidR="006A564D" w:rsidRPr="00D94314" w:rsidRDefault="006A564D" w:rsidP="0018734B">
      <w:pPr>
        <w:pStyle w:val="ListParagraph"/>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 xml:space="preserve">El 22 de enero de 2004 la Corte Superior de Justicia de Lima admitió a trámite la acción y requirió al Presidente del Consejo de Ministros, al Ministro de Economía y Finanzas y al Ministro de Trabajo “la obligación de efectivizar las acciones que conlleven al pago efectivo de los importes líquidos de los beneficios y derechos que se restituyan como consecuencia de la aplicación de los D.D. 057-90-TR y 107-90-PCM”. En sus consideraciones tomó </w:t>
      </w:r>
      <w:r w:rsidRPr="00D94314">
        <w:rPr>
          <w:rFonts w:asciiTheme="majorHAnsi" w:hAnsiTheme="majorHAnsi"/>
          <w:sz w:val="20"/>
          <w:szCs w:val="20"/>
          <w:lang w:val="es-CO"/>
        </w:rPr>
        <w:lastRenderedPageBreak/>
        <w:t>en cuenta esta Corte que “habiendo la Sala Corporativa Transitoria Especializada en Derecho Público [mediante auto de 12 de febrero de 1999 que CONFIRMA la Resolución de primera instancia de 14 de enero de 1999] dispuesto la improcedencia en esta vía de la ejecución de los derechos y beneficios que se derivan de la inaplicación de las normas presentemente acotadas, mediante  la cual esta instancia jurisdiccional dejó a salvo el derecho de los accionantes del sindicato demandante para que lo hagan valer en la forma y modo que corresponda; que por lo demás los mencionados derechos y beneficios tienen naturaleza laboral, los mismos han sido liquidados mediante informe pericial de parte”</w:t>
      </w:r>
      <w:r w:rsidRPr="00D94314">
        <w:rPr>
          <w:rFonts w:asciiTheme="majorHAnsi" w:hAnsiTheme="majorHAnsi"/>
          <w:sz w:val="20"/>
          <w:szCs w:val="20"/>
          <w:vertAlign w:val="superscript"/>
          <w:lang w:val="es-CO"/>
        </w:rPr>
        <w:footnoteReference w:id="44"/>
      </w:r>
      <w:r w:rsidR="0007755F" w:rsidRPr="00D94314">
        <w:rPr>
          <w:rFonts w:asciiTheme="majorHAnsi" w:hAnsiTheme="majorHAnsi"/>
          <w:sz w:val="20"/>
          <w:szCs w:val="20"/>
          <w:lang w:val="es-CO"/>
        </w:rPr>
        <w:t xml:space="preserve">. </w:t>
      </w:r>
    </w:p>
    <w:p w14:paraId="12C8976C" w14:textId="77777777" w:rsidR="006A564D" w:rsidRPr="00D94314" w:rsidRDefault="006A564D" w:rsidP="00EB309A">
      <w:pPr>
        <w:rPr>
          <w:rFonts w:asciiTheme="majorHAnsi" w:hAnsiTheme="majorHAnsi"/>
          <w:sz w:val="20"/>
          <w:szCs w:val="20"/>
          <w:u w:color="000000"/>
          <w:lang w:val="es-CO"/>
        </w:rPr>
      </w:pPr>
    </w:p>
    <w:p w14:paraId="3D120D77" w14:textId="5720101F" w:rsidR="006A564D" w:rsidRPr="00D94314" w:rsidRDefault="006A564D" w:rsidP="0018734B">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Se elevó un escrito del Procurador Público ante el Décimo Tercer Juzgado Laboral de la Corte Superior de Justicia de Lima</w:t>
      </w:r>
      <w:r w:rsidRPr="00D94314">
        <w:rPr>
          <w:rFonts w:asciiTheme="majorHAnsi" w:hAnsiTheme="majorHAnsi"/>
          <w:sz w:val="20"/>
          <w:szCs w:val="20"/>
          <w:vertAlign w:val="superscript"/>
          <w:lang w:val="es-CO"/>
        </w:rPr>
        <w:footnoteReference w:id="45"/>
      </w:r>
      <w:r w:rsidRPr="00D94314">
        <w:rPr>
          <w:rFonts w:asciiTheme="majorHAnsi" w:hAnsiTheme="majorHAnsi"/>
          <w:sz w:val="20"/>
          <w:szCs w:val="20"/>
          <w:lang w:val="es-CO"/>
        </w:rPr>
        <w:t xml:space="preserve"> en el que solicitó la nulidad de la resolución de 22 de enero de 2004 “por implicar la ejecución de una sentencia expedida por un juez civil (amparo) en la vía laboral”. A </w:t>
      </w:r>
      <w:r w:rsidR="007C17B3" w:rsidRPr="00D94314">
        <w:rPr>
          <w:rFonts w:asciiTheme="majorHAnsi" w:hAnsiTheme="majorHAnsi"/>
          <w:sz w:val="20"/>
          <w:szCs w:val="20"/>
          <w:lang w:val="es-CO"/>
        </w:rPr>
        <w:t>e</w:t>
      </w:r>
      <w:r w:rsidRPr="00D94314">
        <w:rPr>
          <w:rFonts w:asciiTheme="majorHAnsi" w:hAnsiTheme="majorHAnsi"/>
          <w:sz w:val="20"/>
          <w:szCs w:val="20"/>
          <w:lang w:val="es-CO"/>
        </w:rPr>
        <w:t>ste escrito contestó el SUTECASA diciendo que el argumento es falso toda vez que “conforme es de verse de la Resolución de fecha 12 de febrero de 1999 (…) el fuero civil estableció que la petición en vía de ejecución sobre pago de remuneraciones como es el caso de la presente acción, no debe tramitarse en el fuero civil sino en el fuero laboral y por esta razón se deja a salvo el derecho de los integrantes del sindicato”</w:t>
      </w:r>
      <w:r w:rsidR="00F7691D" w:rsidRPr="00D94314">
        <w:rPr>
          <w:rFonts w:asciiTheme="majorHAnsi" w:hAnsiTheme="majorHAnsi"/>
          <w:sz w:val="20"/>
          <w:szCs w:val="20"/>
          <w:lang w:val="es-CO"/>
        </w:rPr>
        <w:t>.</w:t>
      </w:r>
      <w:r w:rsidRPr="00D94314">
        <w:rPr>
          <w:rFonts w:asciiTheme="majorHAnsi" w:hAnsiTheme="majorHAnsi"/>
          <w:sz w:val="20"/>
          <w:szCs w:val="20"/>
          <w:lang w:val="es-CO"/>
        </w:rPr>
        <w:t xml:space="preserve"> </w:t>
      </w:r>
    </w:p>
    <w:p w14:paraId="45BB834E" w14:textId="77777777" w:rsidR="00EB309A" w:rsidRPr="00D94314" w:rsidRDefault="00EB309A" w:rsidP="00EB309A">
      <w:pPr>
        <w:jc w:val="both"/>
        <w:rPr>
          <w:rFonts w:asciiTheme="majorHAnsi" w:hAnsiTheme="majorHAnsi"/>
          <w:b/>
          <w:sz w:val="20"/>
          <w:szCs w:val="20"/>
          <w:u w:color="000000"/>
          <w:lang w:val="es-CO"/>
        </w:rPr>
      </w:pPr>
    </w:p>
    <w:p w14:paraId="789B557C" w14:textId="77024143" w:rsidR="006A564D" w:rsidRPr="00D94314" w:rsidRDefault="00432E01" w:rsidP="0018734B">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 xml:space="preserve">El </w:t>
      </w:r>
      <w:r w:rsidR="006A564D" w:rsidRPr="00D94314">
        <w:rPr>
          <w:rFonts w:asciiTheme="majorHAnsi" w:hAnsiTheme="majorHAnsi"/>
          <w:sz w:val="20"/>
          <w:szCs w:val="20"/>
          <w:lang w:val="es-CO"/>
        </w:rPr>
        <w:t>Décimo Tercer Juzgado de Especializado Laboral de Lima</w:t>
      </w:r>
      <w:r w:rsidRPr="00D94314">
        <w:rPr>
          <w:rFonts w:asciiTheme="majorHAnsi" w:hAnsiTheme="majorHAnsi"/>
          <w:sz w:val="20"/>
          <w:szCs w:val="20"/>
          <w:lang w:val="es-CO"/>
        </w:rPr>
        <w:t xml:space="preserve">, el </w:t>
      </w:r>
      <w:r w:rsidR="006A564D" w:rsidRPr="00D94314">
        <w:rPr>
          <w:rFonts w:asciiTheme="majorHAnsi" w:hAnsiTheme="majorHAnsi"/>
          <w:sz w:val="20"/>
          <w:szCs w:val="20"/>
          <w:lang w:val="es-CO"/>
        </w:rPr>
        <w:t>de 25 de febrero de 2004, declaró improcedente la contradicción formulada toda vez que “el ejecutado solo puede oponerse al mandato de ejecución de resolución judicial firme si se acredita con prueba documental el cumplimiento de la obligación, y como se puede advertir en autos en las sentencia acompañadas por las propias ejecutadas (…), se deja a salvo el derecho de los integrantes del sindicato para que hagan valer su derecho en la forma y modo que corresponda, y estando a que los documentos adjuntados como pruebas no acreditan fehacientemente el cumplimiento de la obligación”</w:t>
      </w:r>
      <w:r w:rsidR="006A564D" w:rsidRPr="00D94314">
        <w:rPr>
          <w:rFonts w:asciiTheme="majorHAnsi" w:hAnsiTheme="majorHAnsi"/>
          <w:sz w:val="20"/>
          <w:szCs w:val="20"/>
          <w:vertAlign w:val="superscript"/>
          <w:lang w:val="es-CO"/>
        </w:rPr>
        <w:footnoteReference w:id="46"/>
      </w:r>
      <w:r w:rsidR="00DE510D" w:rsidRPr="00D94314">
        <w:rPr>
          <w:rFonts w:asciiTheme="majorHAnsi" w:hAnsiTheme="majorHAnsi"/>
          <w:sz w:val="20"/>
          <w:szCs w:val="20"/>
          <w:lang w:val="es-CO"/>
        </w:rPr>
        <w:t>.</w:t>
      </w:r>
    </w:p>
    <w:p w14:paraId="7A2B6C48" w14:textId="77777777" w:rsidR="006A564D" w:rsidRPr="00D94314" w:rsidRDefault="006A564D" w:rsidP="00EB309A">
      <w:pPr>
        <w:pStyle w:val="ListParagraph"/>
        <w:jc w:val="both"/>
        <w:rPr>
          <w:rFonts w:asciiTheme="majorHAnsi" w:hAnsiTheme="majorHAnsi"/>
          <w:b/>
          <w:sz w:val="20"/>
          <w:szCs w:val="20"/>
          <w:lang w:val="es-CO"/>
        </w:rPr>
      </w:pPr>
    </w:p>
    <w:p w14:paraId="4A12939C" w14:textId="51A50D77" w:rsidR="006A564D" w:rsidRPr="00D94314" w:rsidRDefault="006A564D" w:rsidP="00553A6F">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El 7 de diciembre de 2004</w:t>
      </w:r>
      <w:r w:rsidR="0042391F" w:rsidRPr="00D94314">
        <w:rPr>
          <w:rFonts w:asciiTheme="majorHAnsi" w:hAnsiTheme="majorHAnsi"/>
          <w:sz w:val="20"/>
          <w:szCs w:val="20"/>
          <w:lang w:val="es-CO"/>
        </w:rPr>
        <w:t xml:space="preserve"> se</w:t>
      </w:r>
      <w:r w:rsidRPr="00D94314">
        <w:rPr>
          <w:rFonts w:asciiTheme="majorHAnsi" w:hAnsiTheme="majorHAnsi"/>
          <w:sz w:val="20"/>
          <w:szCs w:val="20"/>
          <w:lang w:val="es-CO"/>
        </w:rPr>
        <w:t xml:space="preserve"> declaró nulo el auto de 25 de febrero de 2004 y todo lo actuado</w:t>
      </w:r>
      <w:r w:rsidR="00B62B94" w:rsidRPr="00D94314">
        <w:rPr>
          <w:rFonts w:asciiTheme="majorHAnsi" w:hAnsiTheme="majorHAnsi"/>
          <w:sz w:val="20"/>
          <w:szCs w:val="20"/>
          <w:lang w:val="es-CO"/>
        </w:rPr>
        <w:t xml:space="preserve">, además de </w:t>
      </w:r>
      <w:r w:rsidRPr="00D94314">
        <w:rPr>
          <w:rFonts w:asciiTheme="majorHAnsi" w:hAnsiTheme="majorHAnsi"/>
          <w:sz w:val="20"/>
          <w:szCs w:val="20"/>
          <w:lang w:val="es-CO"/>
        </w:rPr>
        <w:t xml:space="preserve">improcedente la demanda de ejecución de resolución judicial </w:t>
      </w:r>
      <w:r w:rsidR="00B62B94" w:rsidRPr="00D94314">
        <w:rPr>
          <w:rFonts w:asciiTheme="majorHAnsi" w:hAnsiTheme="majorHAnsi"/>
          <w:sz w:val="20"/>
          <w:szCs w:val="20"/>
          <w:lang w:val="es-CO"/>
        </w:rPr>
        <w:t>bajo el argumento de que</w:t>
      </w:r>
      <w:r w:rsidRPr="00D94314">
        <w:rPr>
          <w:rFonts w:asciiTheme="majorHAnsi" w:hAnsiTheme="majorHAnsi"/>
          <w:sz w:val="20"/>
          <w:szCs w:val="20"/>
          <w:lang w:val="es-CO"/>
        </w:rPr>
        <w:t xml:space="preserve"> los jueces laborales no pueden conocer sobre acciones de amparo, siendo estas competencias de los jueces civiles</w:t>
      </w:r>
      <w:r w:rsidRPr="00D94314">
        <w:rPr>
          <w:rFonts w:asciiTheme="majorHAnsi" w:hAnsiTheme="majorHAnsi"/>
          <w:sz w:val="20"/>
          <w:szCs w:val="20"/>
          <w:vertAlign w:val="superscript"/>
          <w:lang w:val="es-CO"/>
        </w:rPr>
        <w:footnoteReference w:id="47"/>
      </w:r>
      <w:r w:rsidR="00506F32" w:rsidRPr="00D94314">
        <w:rPr>
          <w:rFonts w:asciiTheme="majorHAnsi" w:hAnsiTheme="majorHAnsi"/>
          <w:sz w:val="20"/>
          <w:szCs w:val="20"/>
          <w:lang w:val="es-CO"/>
        </w:rPr>
        <w:t>.</w:t>
      </w:r>
      <w:r w:rsidRPr="00D94314">
        <w:rPr>
          <w:rFonts w:asciiTheme="majorHAnsi" w:hAnsiTheme="majorHAnsi"/>
          <w:sz w:val="20"/>
          <w:szCs w:val="20"/>
          <w:lang w:val="es-CO"/>
        </w:rPr>
        <w:t xml:space="preserve"> </w:t>
      </w:r>
    </w:p>
    <w:p w14:paraId="171F462B" w14:textId="657A300D" w:rsidR="00AD3B1C" w:rsidRPr="00D94314" w:rsidRDefault="00AD3B1C" w:rsidP="001A1D6A">
      <w:pPr>
        <w:pStyle w:val="Heading2"/>
        <w:numPr>
          <w:ilvl w:val="0"/>
          <w:numId w:val="70"/>
        </w:numPr>
        <w:ind w:firstLine="0"/>
        <w:rPr>
          <w:rFonts w:asciiTheme="majorHAnsi" w:hAnsiTheme="majorHAnsi"/>
          <w:b w:val="0"/>
          <w:sz w:val="20"/>
          <w:szCs w:val="20"/>
          <w:lang w:val="es-CO"/>
        </w:rPr>
      </w:pPr>
      <w:bookmarkStart w:id="10" w:name="_Toc21421514"/>
      <w:r w:rsidRPr="001A1D6A">
        <w:rPr>
          <w:rFonts w:asciiTheme="majorHAnsi" w:hAnsiTheme="majorHAnsi"/>
          <w:i w:val="0"/>
          <w:sz w:val="20"/>
          <w:szCs w:val="20"/>
          <w:lang w:val="es-CO"/>
        </w:rPr>
        <w:t xml:space="preserve">OTRAS VÍAS </w:t>
      </w:r>
      <w:r w:rsidR="003C6BA3" w:rsidRPr="001A1D6A">
        <w:rPr>
          <w:rFonts w:asciiTheme="majorHAnsi" w:hAnsiTheme="majorHAnsi"/>
          <w:i w:val="0"/>
          <w:sz w:val="20"/>
          <w:szCs w:val="20"/>
          <w:lang w:val="es-CO"/>
        </w:rPr>
        <w:t>INTENTADAS</w:t>
      </w:r>
      <w:r w:rsidRPr="001A1D6A">
        <w:rPr>
          <w:rFonts w:asciiTheme="majorHAnsi" w:hAnsiTheme="majorHAnsi"/>
          <w:i w:val="0"/>
          <w:sz w:val="20"/>
          <w:szCs w:val="20"/>
          <w:lang w:val="es-CO"/>
        </w:rPr>
        <w:t xml:space="preserve"> POR LOS PETICIONARIOS</w:t>
      </w:r>
      <w:bookmarkEnd w:id="10"/>
    </w:p>
    <w:p w14:paraId="019A659B" w14:textId="77777777" w:rsidR="00AD3B1C" w:rsidRPr="00D94314" w:rsidRDefault="00AD3B1C" w:rsidP="00EB309A">
      <w:pPr>
        <w:rPr>
          <w:rFonts w:asciiTheme="majorHAnsi" w:hAnsiTheme="majorHAnsi"/>
          <w:sz w:val="20"/>
          <w:szCs w:val="20"/>
          <w:u w:color="000000"/>
          <w:lang w:val="es-CO"/>
        </w:rPr>
      </w:pPr>
    </w:p>
    <w:p w14:paraId="7DFA2672" w14:textId="7A446CC5" w:rsidR="006A564D" w:rsidRPr="00D94314" w:rsidRDefault="006A564D" w:rsidP="00EB309A">
      <w:pPr>
        <w:pStyle w:val="ListParagraph"/>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De</w:t>
      </w:r>
      <w:r w:rsidR="003D653C" w:rsidRPr="00D94314">
        <w:rPr>
          <w:rFonts w:asciiTheme="majorHAnsi" w:hAnsiTheme="majorHAnsi"/>
          <w:sz w:val="20"/>
          <w:szCs w:val="20"/>
          <w:lang w:val="es-CO"/>
        </w:rPr>
        <w:t xml:space="preserve">l expediente surge que existen </w:t>
      </w:r>
      <w:r w:rsidRPr="00D94314">
        <w:rPr>
          <w:rFonts w:asciiTheme="majorHAnsi" w:hAnsiTheme="majorHAnsi"/>
          <w:sz w:val="20"/>
          <w:szCs w:val="20"/>
          <w:lang w:val="es-CO"/>
        </w:rPr>
        <w:t xml:space="preserve">más de treinta procesos de miembros del sindicato SUTECASA, iniciados individualmente ante juzgados laborales. En estos se solicitan sean reconocidos los derechos laborales de orden económico que les correspondían por la inaplicación de los Decretos Supremos impugnados. Algunas de estas acciones fueron declaradas infundadas y otras admitidas.   </w:t>
      </w:r>
    </w:p>
    <w:p w14:paraId="00A1D130" w14:textId="77777777" w:rsidR="006A564D" w:rsidRPr="00D94314" w:rsidRDefault="006A564D" w:rsidP="00EB309A">
      <w:pPr>
        <w:rPr>
          <w:rFonts w:asciiTheme="majorHAnsi" w:hAnsiTheme="majorHAnsi"/>
          <w:b/>
          <w:sz w:val="20"/>
          <w:szCs w:val="20"/>
          <w:u w:color="000000"/>
          <w:lang w:val="es-CO"/>
        </w:rPr>
      </w:pPr>
    </w:p>
    <w:p w14:paraId="1955812A" w14:textId="3322F633" w:rsidR="006A564D" w:rsidRPr="00D94314" w:rsidRDefault="006A564D" w:rsidP="008064DD">
      <w:pPr>
        <w:pStyle w:val="ListParagraph"/>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 xml:space="preserve">Del acervo probatorio se desprende que los peticionarios paralelamente a todo el proceso judicial </w:t>
      </w:r>
      <w:r w:rsidR="00A70E08" w:rsidRPr="00D94314">
        <w:rPr>
          <w:rFonts w:asciiTheme="majorHAnsi" w:hAnsiTheme="majorHAnsi"/>
          <w:sz w:val="20"/>
          <w:szCs w:val="20"/>
          <w:lang w:val="es-CO"/>
        </w:rPr>
        <w:t xml:space="preserve">buscaron </w:t>
      </w:r>
      <w:r w:rsidRPr="00D94314">
        <w:rPr>
          <w:rFonts w:asciiTheme="majorHAnsi" w:hAnsiTheme="majorHAnsi"/>
          <w:sz w:val="20"/>
          <w:szCs w:val="20"/>
          <w:lang w:val="es-CO"/>
        </w:rPr>
        <w:t>que se activaran mecanismos legislativos</w:t>
      </w:r>
      <w:r w:rsidR="008064DD" w:rsidRPr="00D94314">
        <w:rPr>
          <w:rFonts w:asciiTheme="majorHAnsi" w:hAnsiTheme="majorHAnsi"/>
          <w:sz w:val="20"/>
          <w:szCs w:val="20"/>
          <w:lang w:val="es-CO"/>
        </w:rPr>
        <w:t xml:space="preserve"> para promover los pagos que exigían. </w:t>
      </w:r>
      <w:r w:rsidR="001E640F" w:rsidRPr="00D94314">
        <w:rPr>
          <w:rFonts w:asciiTheme="majorHAnsi" w:hAnsiTheme="majorHAnsi"/>
          <w:sz w:val="20"/>
          <w:szCs w:val="20"/>
          <w:lang w:val="es-CO"/>
        </w:rPr>
        <w:t xml:space="preserve">En ese sentido, se creó </w:t>
      </w:r>
      <w:r w:rsidRPr="00D94314">
        <w:rPr>
          <w:rFonts w:asciiTheme="majorHAnsi" w:hAnsiTheme="majorHAnsi"/>
          <w:sz w:val="20"/>
          <w:szCs w:val="20"/>
          <w:lang w:val="es-CO"/>
        </w:rPr>
        <w:t xml:space="preserve">una Comisión de Fiscalización que supervisara directamente el caso contencioso entre SUTECASA y la extinta ECASA. Esta Comisión en diferentes oportunidades desde el año 1993 hasta el 2004 emitió comunicados al Ministerio de Economía y Finanzas, a la Sub Comisión de ECASA en liquidación, a PROINVERSION, entre otras, procurando fueran cumplidos los derechos reclamados por los ex trabajadores. </w:t>
      </w:r>
    </w:p>
    <w:p w14:paraId="5FD7E4A1" w14:textId="77777777" w:rsidR="00F362CE" w:rsidRPr="001A1D6A" w:rsidRDefault="00F362CE" w:rsidP="001A1D6A">
      <w:pPr>
        <w:pStyle w:val="Heading1"/>
        <w:ind w:firstLine="0"/>
        <w:rPr>
          <w:color w:val="auto"/>
          <w:sz w:val="20"/>
          <w:szCs w:val="20"/>
        </w:rPr>
      </w:pPr>
      <w:bookmarkStart w:id="11" w:name="_Toc480636772"/>
      <w:bookmarkStart w:id="12" w:name="_Toc21421515"/>
      <w:r w:rsidRPr="001A1D6A">
        <w:rPr>
          <w:color w:val="auto"/>
          <w:sz w:val="20"/>
          <w:szCs w:val="20"/>
        </w:rPr>
        <w:t>ANÁLISIS DE DERECHO</w:t>
      </w:r>
      <w:bookmarkEnd w:id="11"/>
      <w:bookmarkEnd w:id="12"/>
    </w:p>
    <w:p w14:paraId="786ACC87" w14:textId="77777777" w:rsidR="00F362CE" w:rsidRPr="00D94314" w:rsidRDefault="00F362CE" w:rsidP="00F362CE">
      <w:pPr>
        <w:rPr>
          <w:rFonts w:asciiTheme="majorHAnsi" w:hAnsiTheme="majorHAnsi"/>
          <w:b/>
          <w:sz w:val="20"/>
          <w:szCs w:val="20"/>
          <w:lang w:val="es-ES"/>
        </w:rPr>
      </w:pPr>
    </w:p>
    <w:p w14:paraId="3435414B" w14:textId="77777777" w:rsidR="00F362CE" w:rsidRPr="00D94314" w:rsidRDefault="00F362CE" w:rsidP="0018734B">
      <w:pPr>
        <w:pStyle w:val="Heading2"/>
        <w:numPr>
          <w:ilvl w:val="0"/>
          <w:numId w:val="59"/>
        </w:numPr>
        <w:spacing w:before="0" w:after="0"/>
        <w:rPr>
          <w:rFonts w:asciiTheme="majorHAnsi" w:hAnsiTheme="majorHAnsi"/>
          <w:i w:val="0"/>
          <w:sz w:val="20"/>
          <w:szCs w:val="20"/>
        </w:rPr>
      </w:pPr>
      <w:bookmarkStart w:id="13" w:name="_Toc346449090"/>
      <w:bookmarkStart w:id="14" w:name="_Toc474398497"/>
      <w:bookmarkStart w:id="15" w:name="_Toc480636773"/>
      <w:bookmarkStart w:id="16" w:name="_Toc19528389"/>
      <w:bookmarkStart w:id="17" w:name="_Toc21421516"/>
      <w:r w:rsidRPr="00D94314">
        <w:rPr>
          <w:rFonts w:asciiTheme="majorHAnsi" w:hAnsiTheme="majorHAnsi"/>
          <w:i w:val="0"/>
          <w:sz w:val="20"/>
          <w:szCs w:val="20"/>
        </w:rPr>
        <w:t>Consideraciones previa</w:t>
      </w:r>
      <w:bookmarkEnd w:id="13"/>
      <w:bookmarkEnd w:id="14"/>
      <w:r w:rsidRPr="00D94314">
        <w:rPr>
          <w:rFonts w:asciiTheme="majorHAnsi" w:hAnsiTheme="majorHAnsi"/>
          <w:i w:val="0"/>
          <w:sz w:val="20"/>
          <w:szCs w:val="20"/>
        </w:rPr>
        <w:t>s</w:t>
      </w:r>
      <w:bookmarkEnd w:id="15"/>
      <w:bookmarkEnd w:id="16"/>
      <w:bookmarkEnd w:id="17"/>
    </w:p>
    <w:p w14:paraId="7A16A399" w14:textId="77777777" w:rsidR="00F362CE" w:rsidRPr="00D94314" w:rsidRDefault="00F362CE" w:rsidP="00F362CE">
      <w:pPr>
        <w:ind w:left="1440"/>
        <w:rPr>
          <w:rFonts w:asciiTheme="majorHAnsi" w:hAnsiTheme="majorHAnsi"/>
          <w:b/>
          <w:sz w:val="20"/>
          <w:szCs w:val="20"/>
        </w:rPr>
      </w:pPr>
    </w:p>
    <w:p w14:paraId="518F1E1D" w14:textId="64995770" w:rsidR="00F362CE" w:rsidRPr="00D94314" w:rsidRDefault="00F362CE" w:rsidP="0022129B">
      <w:pPr>
        <w:pStyle w:val="ListParagraph"/>
        <w:numPr>
          <w:ilvl w:val="0"/>
          <w:numId w:val="57"/>
        </w:numPr>
        <w:ind w:left="0" w:firstLine="720"/>
        <w:jc w:val="both"/>
        <w:rPr>
          <w:rFonts w:asciiTheme="majorHAnsi" w:hAnsiTheme="majorHAnsi"/>
          <w:color w:val="auto"/>
          <w:sz w:val="20"/>
          <w:szCs w:val="20"/>
          <w:lang w:val="es-AR"/>
        </w:rPr>
      </w:pPr>
      <w:r w:rsidRPr="00D94314">
        <w:rPr>
          <w:rFonts w:asciiTheme="majorHAnsi" w:hAnsiTheme="majorHAnsi"/>
          <w:color w:val="auto"/>
          <w:sz w:val="20"/>
          <w:szCs w:val="20"/>
          <w:lang w:val="es-AR"/>
        </w:rPr>
        <w:lastRenderedPageBreak/>
        <w:t xml:space="preserve">Antes </w:t>
      </w:r>
      <w:r w:rsidRPr="00D94314">
        <w:rPr>
          <w:rFonts w:asciiTheme="majorHAnsi" w:hAnsiTheme="majorHAnsi"/>
          <w:sz w:val="20"/>
          <w:szCs w:val="20"/>
          <w:lang w:val="es-CO"/>
        </w:rPr>
        <w:t>de</w:t>
      </w:r>
      <w:r w:rsidRPr="00D94314">
        <w:rPr>
          <w:rFonts w:asciiTheme="majorHAnsi" w:hAnsiTheme="majorHAnsi"/>
          <w:color w:val="auto"/>
          <w:sz w:val="20"/>
          <w:szCs w:val="20"/>
          <w:lang w:val="es-AR"/>
        </w:rPr>
        <w:t xml:space="preserve"> iniciar el análisis de derecho a la luz de los hechos establecidos y de los alegatos de las partes, la Comisión co</w:t>
      </w:r>
      <w:r w:rsidR="00A05613" w:rsidRPr="00D94314">
        <w:rPr>
          <w:rFonts w:asciiTheme="majorHAnsi" w:hAnsiTheme="majorHAnsi"/>
          <w:color w:val="auto"/>
          <w:sz w:val="20"/>
          <w:szCs w:val="20"/>
          <w:lang w:val="es-AR"/>
        </w:rPr>
        <w:t>nsidera pertinente efectuar una consideración previa</w:t>
      </w:r>
      <w:r w:rsidRPr="00D94314">
        <w:rPr>
          <w:rFonts w:asciiTheme="majorHAnsi" w:hAnsiTheme="majorHAnsi"/>
          <w:color w:val="auto"/>
          <w:sz w:val="20"/>
          <w:szCs w:val="20"/>
          <w:lang w:val="es-AR"/>
        </w:rPr>
        <w:t>.</w:t>
      </w:r>
    </w:p>
    <w:p w14:paraId="7A833059" w14:textId="77777777" w:rsidR="00F362CE" w:rsidRPr="00D94314" w:rsidRDefault="00F362CE" w:rsidP="00F362C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color w:val="auto"/>
          <w:sz w:val="20"/>
          <w:szCs w:val="20"/>
          <w:lang w:val="es-AR"/>
        </w:rPr>
      </w:pPr>
    </w:p>
    <w:p w14:paraId="44D7714E" w14:textId="698E1742" w:rsidR="00BF3EED" w:rsidRPr="00D94314" w:rsidRDefault="00166C5C" w:rsidP="001B2A6C">
      <w:pPr>
        <w:pStyle w:val="ListParagraph"/>
        <w:numPr>
          <w:ilvl w:val="0"/>
          <w:numId w:val="57"/>
        </w:numPr>
        <w:ind w:left="0" w:firstLine="720"/>
        <w:jc w:val="both"/>
        <w:rPr>
          <w:rFonts w:asciiTheme="majorHAnsi" w:hAnsiTheme="majorHAnsi"/>
          <w:color w:val="auto"/>
          <w:sz w:val="20"/>
          <w:szCs w:val="20"/>
          <w:lang w:val="es-AR"/>
        </w:rPr>
      </w:pPr>
      <w:r w:rsidRPr="00D94314">
        <w:rPr>
          <w:rFonts w:asciiTheme="majorHAnsi" w:hAnsiTheme="majorHAnsi"/>
          <w:color w:val="auto"/>
          <w:sz w:val="20"/>
          <w:szCs w:val="20"/>
          <w:lang w:val="es-AR"/>
        </w:rPr>
        <w:t xml:space="preserve">La Comisión ha tomado nota de la </w:t>
      </w:r>
      <w:r w:rsidR="00F362CE" w:rsidRPr="00D94314">
        <w:rPr>
          <w:rFonts w:asciiTheme="majorHAnsi" w:hAnsiTheme="majorHAnsi"/>
          <w:color w:val="auto"/>
          <w:sz w:val="20"/>
          <w:szCs w:val="20"/>
          <w:lang w:val="es-AR"/>
        </w:rPr>
        <w:t xml:space="preserve">discrepancia entre las partes sobre si la sentencia </w:t>
      </w:r>
      <w:r w:rsidR="00905F32" w:rsidRPr="00D94314">
        <w:rPr>
          <w:rFonts w:asciiTheme="majorHAnsi" w:hAnsiTheme="majorHAnsi"/>
          <w:color w:val="auto"/>
          <w:sz w:val="20"/>
          <w:szCs w:val="20"/>
          <w:lang w:val="es-CO"/>
        </w:rPr>
        <w:t xml:space="preserve">16 de febrero de 1993 de la Corte Suprema de Justicia </w:t>
      </w:r>
      <w:r w:rsidR="00F362CE" w:rsidRPr="00D94314">
        <w:rPr>
          <w:rFonts w:asciiTheme="majorHAnsi" w:hAnsiTheme="majorHAnsi"/>
          <w:color w:val="auto"/>
          <w:sz w:val="20"/>
          <w:szCs w:val="20"/>
          <w:lang w:val="es-AR"/>
        </w:rPr>
        <w:t xml:space="preserve">se encuentra efectivamente cumplida. Mientras los peticionarios indican que permanece incumplida a la fecha, el Estado ha argumentado que </w:t>
      </w:r>
      <w:r w:rsidR="00796D14" w:rsidRPr="00D94314">
        <w:rPr>
          <w:rFonts w:asciiTheme="majorHAnsi" w:hAnsiTheme="majorHAnsi"/>
          <w:color w:val="auto"/>
          <w:sz w:val="20"/>
          <w:szCs w:val="20"/>
          <w:lang w:val="es-CO"/>
        </w:rPr>
        <w:t>no existe ningún pronunciamiento judicial sobre la existencia de alguna deuda pendiente de pago a favor de los peticionarios</w:t>
      </w:r>
      <w:r w:rsidR="00BF3EED" w:rsidRPr="00D94314">
        <w:rPr>
          <w:rFonts w:asciiTheme="majorHAnsi" w:hAnsiTheme="majorHAnsi"/>
          <w:color w:val="auto"/>
          <w:sz w:val="20"/>
          <w:szCs w:val="20"/>
          <w:lang w:val="es-CO"/>
        </w:rPr>
        <w:t xml:space="preserve">. </w:t>
      </w:r>
      <w:r w:rsidR="005F3ECA" w:rsidRPr="00D94314">
        <w:rPr>
          <w:rFonts w:asciiTheme="majorHAnsi" w:hAnsiTheme="majorHAnsi"/>
          <w:color w:val="auto"/>
          <w:sz w:val="20"/>
          <w:szCs w:val="20"/>
          <w:lang w:val="es-CO"/>
        </w:rPr>
        <w:t xml:space="preserve">El Estado ha indicado reiteradamente </w:t>
      </w:r>
      <w:r w:rsidR="00BF3EED" w:rsidRPr="00D94314">
        <w:rPr>
          <w:rFonts w:asciiTheme="majorHAnsi" w:hAnsiTheme="majorHAnsi"/>
          <w:color w:val="auto"/>
          <w:sz w:val="20"/>
          <w:szCs w:val="20"/>
          <w:lang w:val="es-CO"/>
        </w:rPr>
        <w:t>que</w:t>
      </w:r>
      <w:r w:rsidR="005F3ECA" w:rsidRPr="00D94314">
        <w:rPr>
          <w:rFonts w:asciiTheme="majorHAnsi" w:hAnsiTheme="majorHAnsi"/>
          <w:color w:val="auto"/>
          <w:sz w:val="20"/>
          <w:szCs w:val="20"/>
          <w:lang w:val="es-CO"/>
        </w:rPr>
        <w:t xml:space="preserve"> el contenido del referido fallo </w:t>
      </w:r>
      <w:r w:rsidR="00BF3EED" w:rsidRPr="00D94314">
        <w:rPr>
          <w:rFonts w:asciiTheme="majorHAnsi" w:hAnsiTheme="majorHAnsi"/>
          <w:color w:val="auto"/>
          <w:sz w:val="20"/>
          <w:szCs w:val="20"/>
          <w:lang w:val="es-CO"/>
        </w:rPr>
        <w:t xml:space="preserve">es meramente declarativo, pues la </w:t>
      </w:r>
      <w:r w:rsidR="00BE19D3" w:rsidRPr="00D94314">
        <w:rPr>
          <w:rFonts w:asciiTheme="majorHAnsi" w:hAnsiTheme="majorHAnsi"/>
          <w:color w:val="auto"/>
          <w:sz w:val="20"/>
          <w:szCs w:val="20"/>
          <w:lang w:val="es-CO"/>
        </w:rPr>
        <w:t>r</w:t>
      </w:r>
      <w:r w:rsidR="00BF3EED" w:rsidRPr="00D94314">
        <w:rPr>
          <w:rFonts w:asciiTheme="majorHAnsi" w:hAnsiTheme="majorHAnsi"/>
          <w:color w:val="auto"/>
          <w:sz w:val="20"/>
          <w:szCs w:val="20"/>
          <w:lang w:val="es-CO"/>
        </w:rPr>
        <w:t>esolución indicó inaplicables los Decretos Supremos para los miembros del SUTECASA, no conteniendo ningún mandato de pago</w:t>
      </w:r>
      <w:r w:rsidR="00BE19D3" w:rsidRPr="00D94314">
        <w:rPr>
          <w:rFonts w:asciiTheme="majorHAnsi" w:hAnsiTheme="majorHAnsi"/>
          <w:color w:val="auto"/>
          <w:sz w:val="20"/>
          <w:szCs w:val="20"/>
          <w:lang w:val="es-CO"/>
        </w:rPr>
        <w:t>.</w:t>
      </w:r>
      <w:r w:rsidR="00EB181C" w:rsidRPr="00D94314">
        <w:rPr>
          <w:rFonts w:asciiTheme="majorHAnsi" w:hAnsiTheme="majorHAnsi"/>
          <w:color w:val="auto"/>
          <w:sz w:val="20"/>
          <w:szCs w:val="20"/>
          <w:lang w:val="es-CO"/>
        </w:rPr>
        <w:t xml:space="preserve"> </w:t>
      </w:r>
    </w:p>
    <w:p w14:paraId="34EC3161" w14:textId="77777777" w:rsidR="001B2A6C" w:rsidRPr="00D94314" w:rsidRDefault="001B2A6C" w:rsidP="001B2A6C">
      <w:pPr>
        <w:pStyle w:val="ListParagraph"/>
        <w:rPr>
          <w:rFonts w:asciiTheme="majorHAnsi" w:hAnsiTheme="majorHAnsi"/>
          <w:color w:val="auto"/>
          <w:sz w:val="20"/>
          <w:szCs w:val="20"/>
          <w:lang w:val="es-AR"/>
        </w:rPr>
      </w:pPr>
    </w:p>
    <w:p w14:paraId="1C885331" w14:textId="5F1EC739" w:rsidR="001B2A6C" w:rsidRPr="00D94314" w:rsidRDefault="001B2A6C" w:rsidP="001B2A6C">
      <w:pPr>
        <w:pStyle w:val="ListParagraph"/>
        <w:numPr>
          <w:ilvl w:val="0"/>
          <w:numId w:val="57"/>
        </w:numPr>
        <w:ind w:left="0" w:firstLine="720"/>
        <w:jc w:val="both"/>
        <w:rPr>
          <w:rFonts w:asciiTheme="majorHAnsi" w:hAnsiTheme="majorHAnsi"/>
          <w:color w:val="auto"/>
          <w:sz w:val="20"/>
          <w:szCs w:val="20"/>
          <w:lang w:val="es-AR"/>
        </w:rPr>
      </w:pPr>
      <w:r w:rsidRPr="00D94314">
        <w:rPr>
          <w:rFonts w:asciiTheme="majorHAnsi" w:hAnsiTheme="majorHAnsi"/>
          <w:color w:val="auto"/>
          <w:sz w:val="20"/>
          <w:szCs w:val="20"/>
          <w:lang w:val="es-AR"/>
        </w:rPr>
        <w:t xml:space="preserve">La Comisión aclara que, en las circunstancias del presente caso, no está llamada ni cuenta con elementos para pronunciarse sobre la modalidad correcta de cumplimiento de la referida sentencia ni sobre las cuestiones que han permanecido en debate en la vía interna por </w:t>
      </w:r>
      <w:r w:rsidR="0001427F" w:rsidRPr="00D94314">
        <w:rPr>
          <w:rFonts w:asciiTheme="majorHAnsi" w:hAnsiTheme="majorHAnsi"/>
          <w:color w:val="auto"/>
          <w:sz w:val="20"/>
          <w:szCs w:val="20"/>
          <w:lang w:val="es-AR"/>
        </w:rPr>
        <w:t>26 años, las cuales han oscilado en</w:t>
      </w:r>
      <w:r w:rsidR="00D105B7" w:rsidRPr="00D94314">
        <w:rPr>
          <w:rFonts w:asciiTheme="majorHAnsi" w:hAnsiTheme="majorHAnsi"/>
          <w:color w:val="auto"/>
          <w:sz w:val="20"/>
          <w:szCs w:val="20"/>
          <w:lang w:val="es-AR"/>
        </w:rPr>
        <w:t xml:space="preserve"> dos grandes temas. Por una parte, </w:t>
      </w:r>
      <w:r w:rsidR="0001427F" w:rsidRPr="00D94314">
        <w:rPr>
          <w:rFonts w:asciiTheme="majorHAnsi" w:hAnsiTheme="majorHAnsi"/>
          <w:color w:val="auto"/>
          <w:sz w:val="20"/>
          <w:szCs w:val="20"/>
          <w:lang w:val="es-AR"/>
        </w:rPr>
        <w:t>si los Decretos fueron efectivamente aplicados o no y, por lo tanto, corresponde un pago a las presuntas víctimas para volver las cosas al estado anterior a la declaratoria de inaplicabilidad de los mismos</w:t>
      </w:r>
      <w:r w:rsidR="00D105B7" w:rsidRPr="00D94314">
        <w:rPr>
          <w:rFonts w:asciiTheme="majorHAnsi" w:hAnsiTheme="majorHAnsi"/>
          <w:color w:val="auto"/>
          <w:sz w:val="20"/>
          <w:szCs w:val="20"/>
          <w:lang w:val="es-AR"/>
        </w:rPr>
        <w:t>. Y</w:t>
      </w:r>
      <w:r w:rsidR="00C379E6" w:rsidRPr="00D94314">
        <w:rPr>
          <w:rFonts w:asciiTheme="majorHAnsi" w:hAnsiTheme="majorHAnsi"/>
          <w:color w:val="auto"/>
          <w:sz w:val="20"/>
          <w:szCs w:val="20"/>
          <w:lang w:val="es-AR"/>
        </w:rPr>
        <w:t xml:space="preserve"> </w:t>
      </w:r>
      <w:r w:rsidR="00D105B7" w:rsidRPr="00D94314">
        <w:rPr>
          <w:rFonts w:asciiTheme="majorHAnsi" w:hAnsiTheme="majorHAnsi"/>
          <w:color w:val="auto"/>
          <w:sz w:val="20"/>
          <w:szCs w:val="20"/>
          <w:lang w:val="es-AR"/>
        </w:rPr>
        <w:t>por otra parte,</w:t>
      </w:r>
      <w:r w:rsidR="0001427F" w:rsidRPr="00D94314">
        <w:rPr>
          <w:rFonts w:asciiTheme="majorHAnsi" w:hAnsiTheme="majorHAnsi"/>
          <w:color w:val="auto"/>
          <w:sz w:val="20"/>
          <w:szCs w:val="20"/>
          <w:lang w:val="es-AR"/>
        </w:rPr>
        <w:t xml:space="preserve"> si la vía de la ejecución de sentencia constitucional era la adecuada para efectuar tal reclamo. </w:t>
      </w:r>
      <w:r w:rsidRPr="00D94314">
        <w:rPr>
          <w:rFonts w:asciiTheme="majorHAnsi" w:hAnsiTheme="majorHAnsi"/>
          <w:color w:val="auto"/>
          <w:sz w:val="20"/>
          <w:szCs w:val="20"/>
          <w:lang w:val="es-AR"/>
        </w:rPr>
        <w:t>Para efectos del presente informe, la Comisión destaca que no existe controversia entre las partes en cuanto a que tras 2</w:t>
      </w:r>
      <w:r w:rsidR="00EB181C" w:rsidRPr="00D94314">
        <w:rPr>
          <w:rFonts w:asciiTheme="majorHAnsi" w:hAnsiTheme="majorHAnsi"/>
          <w:color w:val="auto"/>
          <w:sz w:val="20"/>
          <w:szCs w:val="20"/>
          <w:lang w:val="es-AR"/>
        </w:rPr>
        <w:t>6</w:t>
      </w:r>
      <w:r w:rsidRPr="00D94314">
        <w:rPr>
          <w:rFonts w:asciiTheme="majorHAnsi" w:hAnsiTheme="majorHAnsi"/>
          <w:color w:val="auto"/>
          <w:sz w:val="20"/>
          <w:szCs w:val="20"/>
          <w:lang w:val="es-AR"/>
        </w:rPr>
        <w:t xml:space="preserve"> años de dicha decisión, el proceso de ejecución a nivel interno sigue abierto y aún no se han </w:t>
      </w:r>
      <w:r w:rsidR="008F7F08" w:rsidRPr="00D94314">
        <w:rPr>
          <w:rFonts w:asciiTheme="majorHAnsi" w:hAnsiTheme="majorHAnsi"/>
          <w:color w:val="auto"/>
          <w:sz w:val="20"/>
          <w:szCs w:val="20"/>
          <w:lang w:val="es-AR"/>
        </w:rPr>
        <w:t xml:space="preserve">concluido </w:t>
      </w:r>
      <w:r w:rsidR="00C379E6" w:rsidRPr="00D94314">
        <w:rPr>
          <w:rFonts w:asciiTheme="majorHAnsi" w:hAnsiTheme="majorHAnsi"/>
          <w:color w:val="auto"/>
          <w:sz w:val="20"/>
          <w:szCs w:val="20"/>
          <w:lang w:val="es-AR"/>
        </w:rPr>
        <w:t xml:space="preserve">de manera definitiva tales debates, </w:t>
      </w:r>
      <w:r w:rsidRPr="00D94314">
        <w:rPr>
          <w:rFonts w:asciiTheme="majorHAnsi" w:hAnsiTheme="majorHAnsi"/>
          <w:color w:val="auto"/>
          <w:sz w:val="20"/>
          <w:szCs w:val="20"/>
          <w:lang w:val="es-AR"/>
        </w:rPr>
        <w:t xml:space="preserve">cuestión que será analizada a la luz de las disposiciones relevantes de la Convención, en particular, el derecho a que los fallos judiciales sean cumplidos, la garantía del plazo razonable en los procesos de ejecución de sentencia y el impacto de dicho análisis en </w:t>
      </w:r>
      <w:r w:rsidR="008F7F08" w:rsidRPr="00D94314">
        <w:rPr>
          <w:rFonts w:asciiTheme="majorHAnsi" w:hAnsiTheme="majorHAnsi"/>
          <w:color w:val="auto"/>
          <w:sz w:val="20"/>
          <w:szCs w:val="20"/>
          <w:lang w:val="es-AR"/>
        </w:rPr>
        <w:t>los</w:t>
      </w:r>
      <w:r w:rsidRPr="00D94314">
        <w:rPr>
          <w:rFonts w:asciiTheme="majorHAnsi" w:hAnsiTheme="majorHAnsi"/>
          <w:color w:val="auto"/>
          <w:sz w:val="20"/>
          <w:szCs w:val="20"/>
          <w:lang w:val="es-AR"/>
        </w:rPr>
        <w:t xml:space="preserve"> derecho</w:t>
      </w:r>
      <w:r w:rsidR="008F7F08" w:rsidRPr="00D94314">
        <w:rPr>
          <w:rFonts w:asciiTheme="majorHAnsi" w:hAnsiTheme="majorHAnsi"/>
          <w:color w:val="auto"/>
          <w:sz w:val="20"/>
          <w:szCs w:val="20"/>
          <w:lang w:val="es-AR"/>
        </w:rPr>
        <w:t>s</w:t>
      </w:r>
      <w:r w:rsidRPr="00D94314">
        <w:rPr>
          <w:rFonts w:asciiTheme="majorHAnsi" w:hAnsiTheme="majorHAnsi"/>
          <w:color w:val="auto"/>
          <w:sz w:val="20"/>
          <w:szCs w:val="20"/>
          <w:lang w:val="es-AR"/>
        </w:rPr>
        <w:t xml:space="preserve"> a la propiedad privada</w:t>
      </w:r>
      <w:r w:rsidR="008F7F08" w:rsidRPr="00D94314">
        <w:rPr>
          <w:rFonts w:asciiTheme="majorHAnsi" w:hAnsiTheme="majorHAnsi"/>
          <w:color w:val="auto"/>
          <w:sz w:val="20"/>
          <w:szCs w:val="20"/>
          <w:lang w:val="es-AR"/>
        </w:rPr>
        <w:t xml:space="preserve"> y a la negociación colectiva</w:t>
      </w:r>
      <w:r w:rsidRPr="00D94314">
        <w:rPr>
          <w:rFonts w:asciiTheme="majorHAnsi" w:hAnsiTheme="majorHAnsi"/>
          <w:color w:val="auto"/>
          <w:sz w:val="20"/>
          <w:szCs w:val="20"/>
          <w:lang w:val="es-AR"/>
        </w:rPr>
        <w:t>.</w:t>
      </w:r>
    </w:p>
    <w:p w14:paraId="758DD70F" w14:textId="7EA60FD0" w:rsidR="00926D1C" w:rsidRPr="002B2E34" w:rsidRDefault="00926D1C" w:rsidP="002B2E34">
      <w:pPr>
        <w:pStyle w:val="Heading2"/>
        <w:numPr>
          <w:ilvl w:val="0"/>
          <w:numId w:val="59"/>
        </w:numPr>
        <w:jc w:val="both"/>
        <w:rPr>
          <w:rFonts w:asciiTheme="majorHAnsi" w:hAnsiTheme="majorHAnsi"/>
          <w:i w:val="0"/>
          <w:sz w:val="20"/>
          <w:szCs w:val="20"/>
          <w:lang w:val="es-ES"/>
        </w:rPr>
      </w:pPr>
      <w:bookmarkStart w:id="18" w:name="_Toc19528390"/>
      <w:bookmarkStart w:id="19" w:name="_Toc21421517"/>
      <w:r w:rsidRPr="002B2E34">
        <w:rPr>
          <w:rFonts w:asciiTheme="majorHAnsi" w:hAnsiTheme="majorHAnsi"/>
          <w:i w:val="0"/>
          <w:sz w:val="20"/>
          <w:szCs w:val="20"/>
          <w:lang w:val="es-ES"/>
        </w:rPr>
        <w:t>Derechos a las garantías judiciales, propiedad privada</w:t>
      </w:r>
      <w:r w:rsidR="00A762A4" w:rsidRPr="002B2E34">
        <w:rPr>
          <w:rFonts w:asciiTheme="majorHAnsi" w:hAnsiTheme="majorHAnsi"/>
          <w:i w:val="0"/>
          <w:sz w:val="20"/>
          <w:szCs w:val="20"/>
          <w:lang w:val="es-ES"/>
        </w:rPr>
        <w:t xml:space="preserve">, </w:t>
      </w:r>
      <w:r w:rsidRPr="002B2E34">
        <w:rPr>
          <w:rFonts w:asciiTheme="majorHAnsi" w:hAnsiTheme="majorHAnsi"/>
          <w:i w:val="0"/>
          <w:sz w:val="20"/>
          <w:szCs w:val="20"/>
          <w:lang w:val="es-ES"/>
        </w:rPr>
        <w:t>protección judicial</w:t>
      </w:r>
      <w:r w:rsidR="00A762A4" w:rsidRPr="002B2E34">
        <w:rPr>
          <w:rFonts w:asciiTheme="majorHAnsi" w:hAnsiTheme="majorHAnsi"/>
          <w:i w:val="0"/>
          <w:sz w:val="20"/>
          <w:szCs w:val="20"/>
          <w:lang w:val="es-ES"/>
        </w:rPr>
        <w:t xml:space="preserve"> y negociación colectiva</w:t>
      </w:r>
      <w:r w:rsidRPr="002B2E34">
        <w:rPr>
          <w:rFonts w:asciiTheme="majorHAnsi" w:hAnsiTheme="majorHAnsi"/>
          <w:i w:val="0"/>
          <w:sz w:val="20"/>
          <w:szCs w:val="20"/>
          <w:lang w:val="es-ES"/>
        </w:rPr>
        <w:t xml:space="preserve"> (artículos 8.1</w:t>
      </w:r>
      <w:r w:rsidRPr="002B2E34">
        <w:rPr>
          <w:rStyle w:val="FootnoteReference"/>
          <w:rFonts w:asciiTheme="majorHAnsi" w:hAnsiTheme="majorHAnsi"/>
          <w:i w:val="0"/>
          <w:sz w:val="20"/>
          <w:szCs w:val="20"/>
          <w:lang w:val="es-ES"/>
        </w:rPr>
        <w:footnoteReference w:id="48"/>
      </w:r>
      <w:r w:rsidRPr="002B2E34">
        <w:rPr>
          <w:rFonts w:asciiTheme="majorHAnsi" w:hAnsiTheme="majorHAnsi"/>
          <w:i w:val="0"/>
          <w:sz w:val="20"/>
          <w:szCs w:val="20"/>
          <w:lang w:val="es-ES"/>
        </w:rPr>
        <w:t>, 21.1</w:t>
      </w:r>
      <w:r w:rsidRPr="002B2E34">
        <w:rPr>
          <w:rStyle w:val="FootnoteReference"/>
          <w:rFonts w:asciiTheme="majorHAnsi" w:hAnsiTheme="majorHAnsi"/>
          <w:i w:val="0"/>
          <w:sz w:val="20"/>
          <w:szCs w:val="20"/>
          <w:lang w:val="es-ES"/>
        </w:rPr>
        <w:footnoteReference w:id="49"/>
      </w:r>
      <w:r w:rsidRPr="002B2E34">
        <w:rPr>
          <w:rFonts w:asciiTheme="majorHAnsi" w:hAnsiTheme="majorHAnsi"/>
          <w:i w:val="0"/>
          <w:sz w:val="20"/>
          <w:szCs w:val="20"/>
          <w:lang w:val="es-ES"/>
        </w:rPr>
        <w:t xml:space="preserve"> y 25.2.c)</w:t>
      </w:r>
      <w:r w:rsidRPr="002B2E34">
        <w:rPr>
          <w:rStyle w:val="FootnoteReference"/>
          <w:rFonts w:asciiTheme="majorHAnsi" w:hAnsiTheme="majorHAnsi"/>
          <w:i w:val="0"/>
          <w:sz w:val="20"/>
          <w:szCs w:val="20"/>
          <w:lang w:val="es-ES"/>
        </w:rPr>
        <w:footnoteReference w:id="50"/>
      </w:r>
      <w:r w:rsidRPr="002B2E34">
        <w:rPr>
          <w:rFonts w:asciiTheme="majorHAnsi" w:hAnsiTheme="majorHAnsi"/>
          <w:i w:val="0"/>
          <w:sz w:val="20"/>
          <w:szCs w:val="20"/>
          <w:lang w:val="es-ES"/>
        </w:rPr>
        <w:t xml:space="preserve"> de la Convención Americana, en relación con </w:t>
      </w:r>
      <w:r w:rsidR="003D7290" w:rsidRPr="002B2E34">
        <w:rPr>
          <w:rFonts w:asciiTheme="majorHAnsi" w:hAnsiTheme="majorHAnsi"/>
          <w:i w:val="0"/>
          <w:sz w:val="20"/>
          <w:szCs w:val="20"/>
          <w:lang w:val="es-ES"/>
        </w:rPr>
        <w:t>los</w:t>
      </w:r>
      <w:r w:rsidRPr="002B2E34">
        <w:rPr>
          <w:rFonts w:asciiTheme="majorHAnsi" w:hAnsiTheme="majorHAnsi"/>
          <w:i w:val="0"/>
          <w:sz w:val="20"/>
          <w:szCs w:val="20"/>
          <w:lang w:val="es-ES"/>
        </w:rPr>
        <w:t xml:space="preserve"> artículo</w:t>
      </w:r>
      <w:r w:rsidR="003D7290" w:rsidRPr="002B2E34">
        <w:rPr>
          <w:rFonts w:asciiTheme="majorHAnsi" w:hAnsiTheme="majorHAnsi"/>
          <w:i w:val="0"/>
          <w:sz w:val="20"/>
          <w:szCs w:val="20"/>
          <w:lang w:val="es-ES"/>
        </w:rPr>
        <w:t>s</w:t>
      </w:r>
      <w:r w:rsidRPr="002B2E34">
        <w:rPr>
          <w:rFonts w:asciiTheme="majorHAnsi" w:hAnsiTheme="majorHAnsi"/>
          <w:i w:val="0"/>
          <w:sz w:val="20"/>
          <w:szCs w:val="20"/>
          <w:lang w:val="es-ES"/>
        </w:rPr>
        <w:t xml:space="preserve"> 1.1 </w:t>
      </w:r>
      <w:r w:rsidR="003D7290" w:rsidRPr="002B2E34">
        <w:rPr>
          <w:rFonts w:asciiTheme="majorHAnsi" w:hAnsiTheme="majorHAnsi"/>
          <w:i w:val="0"/>
          <w:sz w:val="20"/>
          <w:szCs w:val="20"/>
          <w:lang w:val="es-ES"/>
        </w:rPr>
        <w:t xml:space="preserve">y 2 </w:t>
      </w:r>
      <w:r w:rsidRPr="002B2E34">
        <w:rPr>
          <w:rFonts w:asciiTheme="majorHAnsi" w:hAnsiTheme="majorHAnsi"/>
          <w:i w:val="0"/>
          <w:sz w:val="20"/>
          <w:szCs w:val="20"/>
          <w:lang w:val="es-ES"/>
        </w:rPr>
        <w:t>del mismo instrumento)</w:t>
      </w:r>
      <w:bookmarkEnd w:id="18"/>
      <w:bookmarkEnd w:id="19"/>
    </w:p>
    <w:p w14:paraId="211F7F09" w14:textId="0E312AF2" w:rsidR="00926D1C" w:rsidRPr="002B2E34" w:rsidRDefault="00193B89" w:rsidP="002B2E34">
      <w:pPr>
        <w:pStyle w:val="Heading3"/>
        <w:ind w:left="1440" w:hanging="720"/>
        <w:jc w:val="both"/>
        <w:rPr>
          <w:rFonts w:asciiTheme="majorHAnsi" w:hAnsiTheme="majorHAnsi"/>
          <w:sz w:val="20"/>
          <w:szCs w:val="20"/>
        </w:rPr>
      </w:pPr>
      <w:bookmarkStart w:id="20" w:name="_Toc346449092"/>
      <w:bookmarkStart w:id="21" w:name="_Toc474398499"/>
      <w:bookmarkStart w:id="22" w:name="_Toc480636775"/>
      <w:bookmarkStart w:id="23" w:name="_Toc19528391"/>
      <w:bookmarkStart w:id="24" w:name="_Toc21421518"/>
      <w:r w:rsidRPr="002B2E34">
        <w:rPr>
          <w:rFonts w:asciiTheme="majorHAnsi" w:hAnsiTheme="majorHAnsi"/>
          <w:sz w:val="20"/>
          <w:szCs w:val="20"/>
        </w:rPr>
        <w:t xml:space="preserve">1. </w:t>
      </w:r>
      <w:r w:rsidRPr="002B2E34">
        <w:rPr>
          <w:rFonts w:asciiTheme="majorHAnsi" w:hAnsiTheme="majorHAnsi"/>
          <w:sz w:val="20"/>
          <w:szCs w:val="20"/>
        </w:rPr>
        <w:tab/>
      </w:r>
      <w:r w:rsidR="00926D1C" w:rsidRPr="002B2E34">
        <w:rPr>
          <w:rFonts w:asciiTheme="majorHAnsi" w:hAnsiTheme="majorHAnsi"/>
          <w:sz w:val="20"/>
          <w:szCs w:val="20"/>
        </w:rPr>
        <w:t>Consideraciones generales sobre la tutela judicial efectiva y el cumplimiento de los fallos internos</w:t>
      </w:r>
      <w:bookmarkEnd w:id="20"/>
      <w:bookmarkEnd w:id="21"/>
      <w:bookmarkEnd w:id="22"/>
      <w:bookmarkEnd w:id="23"/>
      <w:bookmarkEnd w:id="24"/>
    </w:p>
    <w:p w14:paraId="50594B3E" w14:textId="77777777" w:rsidR="00926D1C" w:rsidRPr="00D94314" w:rsidRDefault="00926D1C" w:rsidP="00926D1C">
      <w:pPr>
        <w:rPr>
          <w:rFonts w:asciiTheme="majorHAnsi" w:hAnsiTheme="majorHAnsi"/>
          <w:b/>
          <w:sz w:val="20"/>
          <w:szCs w:val="20"/>
          <w:lang w:val="es-ES"/>
        </w:rPr>
      </w:pPr>
    </w:p>
    <w:p w14:paraId="3F0BE2AE" w14:textId="77777777" w:rsidR="001E75AD" w:rsidRPr="00D94314" w:rsidRDefault="001E75AD" w:rsidP="001E75AD">
      <w:pPr>
        <w:pStyle w:val="ListParagraph"/>
        <w:numPr>
          <w:ilvl w:val="0"/>
          <w:numId w:val="57"/>
        </w:numPr>
        <w:ind w:left="0" w:firstLine="720"/>
        <w:jc w:val="both"/>
        <w:rPr>
          <w:sz w:val="20"/>
          <w:szCs w:val="20"/>
          <w:lang w:val="es-ES"/>
        </w:rPr>
      </w:pPr>
      <w:r w:rsidRPr="00D94314">
        <w:rPr>
          <w:sz w:val="20"/>
          <w:szCs w:val="20"/>
          <w:lang w:val="es-ES"/>
        </w:rPr>
        <w:t xml:space="preserve">La Corte </w:t>
      </w:r>
      <w:r w:rsidRPr="00D94314">
        <w:rPr>
          <w:rFonts w:asciiTheme="majorHAnsi" w:hAnsiTheme="majorHAnsi"/>
          <w:color w:val="auto"/>
          <w:sz w:val="20"/>
          <w:szCs w:val="20"/>
          <w:lang w:val="es-AR"/>
        </w:rPr>
        <w:t>Interamericana</w:t>
      </w:r>
      <w:r w:rsidRPr="00D94314">
        <w:rPr>
          <w:sz w:val="20"/>
          <w:szCs w:val="20"/>
          <w:lang w:val="es-ES"/>
        </w:rPr>
        <w:t xml:space="preserve"> ha señalado que uno de los componentes del derecho a la protección judicial, establecido en el artículo 25 de la Convención Americana, es que los Estados “garanti</w:t>
      </w:r>
      <w:r w:rsidRPr="00D94314">
        <w:rPr>
          <w:rFonts w:cs="Arial"/>
          <w:sz w:val="20"/>
          <w:szCs w:val="20"/>
          <w:lang w:val="es-ES"/>
        </w:rPr>
        <w:t>[cen]</w:t>
      </w:r>
      <w:r w:rsidRPr="00D94314">
        <w:rPr>
          <w:sz w:val="20"/>
          <w:szCs w:val="20"/>
          <w:lang w:val="es-ES"/>
        </w:rPr>
        <w:t xml:space="preserve"> los medios para ejecutar las respectivas decisiones y sentencias definitivas emitidas por (…) autoridades competentes</w:t>
      </w:r>
      <w:r w:rsidRPr="00D94314">
        <w:rPr>
          <w:sz w:val="20"/>
          <w:szCs w:val="20"/>
          <w:vertAlign w:val="superscript"/>
          <w:lang w:val="es-ES"/>
        </w:rPr>
        <w:footnoteReference w:id="51"/>
      </w:r>
      <w:r w:rsidRPr="00D94314">
        <w:rPr>
          <w:sz w:val="20"/>
          <w:szCs w:val="20"/>
          <w:lang w:val="es-ES"/>
        </w:rPr>
        <w:t>”. Ello a efectos de que se protejan efectivamente los derechos declarados o reconocidos frente a actos que violen los derechos fundamentales</w:t>
      </w:r>
      <w:r w:rsidRPr="00D94314">
        <w:rPr>
          <w:rStyle w:val="FootnoteReference"/>
          <w:sz w:val="20"/>
          <w:szCs w:val="20"/>
          <w:lang w:val="es-ES"/>
        </w:rPr>
        <w:footnoteReference w:id="52"/>
      </w:r>
      <w:r w:rsidRPr="00D94314">
        <w:rPr>
          <w:sz w:val="20"/>
          <w:szCs w:val="20"/>
          <w:lang w:val="es-ES"/>
        </w:rPr>
        <w:t>. Por su parte, la CIDH ha sostenido que “para que el Poder Judicial pueda servir de manera efectiva como órgano de control, garantía y protección de los derechos humanos, no sólo se requiere que éste exista de manera formal, sino que además sea independiente, imparcial y que sus sentencias sean cumplidas”</w:t>
      </w:r>
      <w:r w:rsidRPr="00D94314">
        <w:rPr>
          <w:rStyle w:val="FootnoteReference"/>
          <w:sz w:val="20"/>
          <w:szCs w:val="20"/>
          <w:lang w:val="es-ES"/>
        </w:rPr>
        <w:footnoteReference w:id="53"/>
      </w:r>
      <w:r w:rsidRPr="00D94314">
        <w:rPr>
          <w:sz w:val="20"/>
          <w:szCs w:val="20"/>
          <w:lang w:val="es-ES"/>
        </w:rPr>
        <w:t>.</w:t>
      </w:r>
    </w:p>
    <w:p w14:paraId="46041057" w14:textId="77777777" w:rsidR="001E75AD" w:rsidRPr="00D94314" w:rsidRDefault="001E75AD" w:rsidP="001E75AD">
      <w:pPr>
        <w:jc w:val="both"/>
        <w:rPr>
          <w:rFonts w:ascii="Cambria" w:hAnsi="Cambria"/>
          <w:sz w:val="20"/>
          <w:szCs w:val="20"/>
          <w:lang w:val="es-ES"/>
        </w:rPr>
      </w:pPr>
    </w:p>
    <w:p w14:paraId="24F3BF5C" w14:textId="77777777" w:rsidR="001E75AD" w:rsidRPr="00D94314" w:rsidRDefault="001E75AD" w:rsidP="001E75AD">
      <w:pPr>
        <w:pStyle w:val="ListParagraph"/>
        <w:numPr>
          <w:ilvl w:val="0"/>
          <w:numId w:val="57"/>
        </w:numPr>
        <w:ind w:left="0" w:firstLine="720"/>
        <w:jc w:val="both"/>
        <w:rPr>
          <w:sz w:val="20"/>
          <w:szCs w:val="20"/>
          <w:lang w:val="es-ES"/>
        </w:rPr>
      </w:pPr>
      <w:r w:rsidRPr="00D94314">
        <w:rPr>
          <w:sz w:val="20"/>
          <w:szCs w:val="20"/>
          <w:lang w:val="es-ES"/>
        </w:rPr>
        <w:t>En ese sentido, la efectividad de las sentencias depende de su ejecución</w:t>
      </w:r>
      <w:r w:rsidRPr="00D94314">
        <w:rPr>
          <w:rStyle w:val="FootnoteReference"/>
          <w:sz w:val="20"/>
          <w:szCs w:val="20"/>
          <w:lang w:val="es-ES"/>
        </w:rPr>
        <w:footnoteReference w:id="54"/>
      </w:r>
      <w:r w:rsidRPr="00D94314">
        <w:rPr>
          <w:sz w:val="20"/>
          <w:szCs w:val="20"/>
          <w:lang w:val="es-ES"/>
        </w:rPr>
        <w:t>. Lo contrario supone la negación misma del derecho involucrado</w:t>
      </w:r>
      <w:r w:rsidRPr="00D94314">
        <w:rPr>
          <w:sz w:val="20"/>
          <w:szCs w:val="20"/>
          <w:vertAlign w:val="superscript"/>
          <w:lang w:val="es-ES"/>
        </w:rPr>
        <w:footnoteReference w:id="55"/>
      </w:r>
      <w:r w:rsidRPr="00D94314">
        <w:rPr>
          <w:sz w:val="20"/>
          <w:szCs w:val="20"/>
          <w:lang w:val="es-ES"/>
        </w:rPr>
        <w:t xml:space="preserve">. La CIDH ha sostenido que las decisiones judiciales deben ser cumplidas, </w:t>
      </w:r>
      <w:r w:rsidRPr="00D94314">
        <w:rPr>
          <w:sz w:val="20"/>
          <w:szCs w:val="20"/>
          <w:lang w:val="es-ES"/>
        </w:rPr>
        <w:lastRenderedPageBreak/>
        <w:t>ya sea de forma voluntaria o de manera coercitiva de ser necesario</w:t>
      </w:r>
      <w:r w:rsidRPr="00D94314">
        <w:rPr>
          <w:rStyle w:val="FootnoteReference"/>
          <w:sz w:val="20"/>
          <w:szCs w:val="20"/>
          <w:lang w:val="es-ES"/>
        </w:rPr>
        <w:footnoteReference w:id="56"/>
      </w:r>
      <w:r w:rsidRPr="00D94314">
        <w:rPr>
          <w:sz w:val="20"/>
          <w:szCs w:val="20"/>
          <w:lang w:val="es-ES"/>
        </w:rPr>
        <w:t xml:space="preserve">. Asimismo, la Corte ha resaltado que la ejecución de las sentencias debe ser regida por aquellos estándares específicos que permitan hacer efectivos los principios, </w:t>
      </w:r>
      <w:r w:rsidRPr="00D94314">
        <w:rPr>
          <w:i/>
          <w:iCs/>
          <w:sz w:val="20"/>
          <w:szCs w:val="20"/>
          <w:lang w:val="es-ES"/>
        </w:rPr>
        <w:t>inter alia,</w:t>
      </w:r>
      <w:r w:rsidRPr="00D94314">
        <w:rPr>
          <w:sz w:val="20"/>
          <w:szCs w:val="20"/>
          <w:lang w:val="es-ES"/>
        </w:rPr>
        <w:t xml:space="preserve"> de tutela judicial, debido proceso, seguridad jurídica, independencia judicial y estado de derecho</w:t>
      </w:r>
      <w:r w:rsidRPr="00D94314">
        <w:rPr>
          <w:rStyle w:val="FootnoteReference"/>
          <w:sz w:val="20"/>
          <w:szCs w:val="20"/>
          <w:lang w:val="es-ES"/>
        </w:rPr>
        <w:footnoteReference w:id="57"/>
      </w:r>
      <w:r w:rsidRPr="00D94314">
        <w:rPr>
          <w:sz w:val="20"/>
          <w:szCs w:val="20"/>
          <w:lang w:val="es-ES"/>
        </w:rPr>
        <w:t>. En ese sentido, el principio de tutela judicial efectiva requiere que los procedimientos de ejecución sean accesibles para las partes, sin obstáculos o demoras indebidas, a fin de que alcancen su objetivo de manera rápida, sencilla e integral</w:t>
      </w:r>
      <w:r w:rsidRPr="00D94314">
        <w:rPr>
          <w:sz w:val="20"/>
          <w:szCs w:val="20"/>
          <w:vertAlign w:val="superscript"/>
          <w:lang w:val="es-ES"/>
        </w:rPr>
        <w:footnoteReference w:id="58"/>
      </w:r>
      <w:r w:rsidRPr="00D94314">
        <w:rPr>
          <w:sz w:val="20"/>
          <w:szCs w:val="20"/>
          <w:lang w:val="es-ES"/>
        </w:rPr>
        <w:t xml:space="preserve">. </w:t>
      </w:r>
    </w:p>
    <w:p w14:paraId="3600F986" w14:textId="77777777" w:rsidR="001E75AD" w:rsidRPr="00D94314" w:rsidRDefault="001E75AD" w:rsidP="001E75AD">
      <w:pPr>
        <w:rPr>
          <w:rFonts w:ascii="Cambria" w:hAnsi="Cambria"/>
          <w:sz w:val="20"/>
          <w:szCs w:val="20"/>
          <w:lang w:val="es-ES"/>
        </w:rPr>
      </w:pPr>
    </w:p>
    <w:p w14:paraId="5E715FFF" w14:textId="77777777" w:rsidR="001E75AD" w:rsidRPr="00D94314" w:rsidRDefault="001E75AD" w:rsidP="00A105BF">
      <w:pPr>
        <w:pStyle w:val="ListParagraph"/>
        <w:numPr>
          <w:ilvl w:val="0"/>
          <w:numId w:val="57"/>
        </w:numPr>
        <w:ind w:left="0" w:firstLine="720"/>
        <w:jc w:val="both"/>
        <w:rPr>
          <w:sz w:val="20"/>
          <w:szCs w:val="20"/>
          <w:lang w:val="es-ES"/>
        </w:rPr>
      </w:pPr>
      <w:r w:rsidRPr="00D94314">
        <w:rPr>
          <w:sz w:val="20"/>
          <w:szCs w:val="20"/>
          <w:lang w:val="es-ES"/>
        </w:rPr>
        <w:t>Por su parte, la Corte Europea de Derechos Humanos ha sostenido que para lograr plenamente la efectividad de la sentencia la ejecución debe ser completa, perfecta, integral</w:t>
      </w:r>
      <w:r w:rsidRPr="00D94314">
        <w:rPr>
          <w:rStyle w:val="FootnoteReference"/>
          <w:sz w:val="20"/>
          <w:szCs w:val="20"/>
          <w:lang w:val="es-ES"/>
        </w:rPr>
        <w:footnoteReference w:id="59"/>
      </w:r>
      <w:r w:rsidRPr="00D94314">
        <w:rPr>
          <w:sz w:val="20"/>
          <w:szCs w:val="20"/>
          <w:lang w:val="es-ES"/>
        </w:rPr>
        <w:t xml:space="preserve"> y sin demora</w:t>
      </w:r>
      <w:r w:rsidRPr="00D94314">
        <w:rPr>
          <w:rStyle w:val="FootnoteReference"/>
          <w:sz w:val="20"/>
          <w:szCs w:val="20"/>
          <w:lang w:val="es-ES"/>
        </w:rPr>
        <w:footnoteReference w:id="60"/>
      </w:r>
      <w:r w:rsidRPr="00D94314">
        <w:rPr>
          <w:sz w:val="20"/>
          <w:szCs w:val="20"/>
          <w:lang w:val="es-ES"/>
        </w:rPr>
        <w:t>. Es por ello que las disposiciones que rigen la independencia del orden jurisdiccional deben estar formuladas de manera idónea para asegurar la puntual ejecución de las sentencias sin que exista interferencia por los otros poderes del Estado y garantizar el carácter vinculante y obligatorio de las decisiones de última instancia</w:t>
      </w:r>
      <w:r w:rsidRPr="00D94314">
        <w:rPr>
          <w:sz w:val="20"/>
          <w:szCs w:val="20"/>
          <w:vertAlign w:val="superscript"/>
          <w:lang w:val="es-ES"/>
        </w:rPr>
        <w:footnoteReference w:id="61"/>
      </w:r>
      <w:r w:rsidRPr="00D94314">
        <w:rPr>
          <w:sz w:val="20"/>
          <w:szCs w:val="20"/>
          <w:lang w:val="es-ES"/>
        </w:rPr>
        <w:t>.</w:t>
      </w:r>
    </w:p>
    <w:p w14:paraId="3E7C9D11" w14:textId="77777777" w:rsidR="001E75AD" w:rsidRPr="00D94314" w:rsidRDefault="001E75AD" w:rsidP="001E75AD">
      <w:pPr>
        <w:jc w:val="both"/>
        <w:rPr>
          <w:rFonts w:ascii="Cambria" w:hAnsi="Cambria"/>
          <w:sz w:val="20"/>
          <w:szCs w:val="20"/>
          <w:lang w:val="es-ES"/>
        </w:rPr>
      </w:pPr>
    </w:p>
    <w:p w14:paraId="4DA27070" w14:textId="77777777" w:rsidR="001E75AD" w:rsidRPr="00D94314" w:rsidRDefault="001E75AD" w:rsidP="00604621">
      <w:pPr>
        <w:pStyle w:val="ListParagraph"/>
        <w:numPr>
          <w:ilvl w:val="0"/>
          <w:numId w:val="57"/>
        </w:numPr>
        <w:ind w:left="0" w:firstLine="720"/>
        <w:jc w:val="both"/>
        <w:rPr>
          <w:sz w:val="20"/>
          <w:szCs w:val="20"/>
          <w:lang w:val="es-ES"/>
        </w:rPr>
      </w:pPr>
      <w:r w:rsidRPr="00D94314">
        <w:rPr>
          <w:sz w:val="20"/>
          <w:szCs w:val="20"/>
          <w:lang w:val="es-ES"/>
        </w:rPr>
        <w:t>La Corte Interamericana ha sostenido que en un ordenamiento basado sobre el principio del Estado de Derecho todas las autoridades públicas, dentro del marco de su competencia, deben atender las decisiones judiciales, así como dar impulso y ejecución a las mismas sin obstaculizar el sentido y alcance de la decisión ni retrasar indebidamente su ejecución</w:t>
      </w:r>
      <w:r w:rsidRPr="00D94314">
        <w:rPr>
          <w:sz w:val="20"/>
          <w:szCs w:val="20"/>
          <w:vertAlign w:val="superscript"/>
          <w:lang w:val="es-ES"/>
        </w:rPr>
        <w:footnoteReference w:id="62"/>
      </w:r>
      <w:r w:rsidRPr="00D94314">
        <w:rPr>
          <w:sz w:val="20"/>
          <w:szCs w:val="20"/>
          <w:lang w:val="es-ES"/>
        </w:rPr>
        <w:t>. En el mismo, sentido, la CIDH resaltó que “lograr la ejecución de las sentencias judiciales constituye así un aspecto fundamental a la esencia misma del Estado de derecho”</w:t>
      </w:r>
      <w:r w:rsidRPr="00D94314">
        <w:rPr>
          <w:rStyle w:val="FootnoteReference"/>
          <w:sz w:val="20"/>
          <w:szCs w:val="20"/>
          <w:lang w:val="es-ES"/>
        </w:rPr>
        <w:footnoteReference w:id="63"/>
      </w:r>
      <w:r w:rsidRPr="00D94314">
        <w:rPr>
          <w:sz w:val="20"/>
          <w:szCs w:val="20"/>
          <w:lang w:val="es-ES"/>
        </w:rPr>
        <w:t>.</w:t>
      </w:r>
    </w:p>
    <w:p w14:paraId="4D8986F0" w14:textId="67CEE08F" w:rsidR="001E75AD" w:rsidRPr="00010AB5" w:rsidRDefault="00604621" w:rsidP="00010AB5">
      <w:pPr>
        <w:pStyle w:val="Heading3"/>
        <w:ind w:firstLine="720"/>
        <w:jc w:val="both"/>
        <w:rPr>
          <w:rFonts w:asciiTheme="majorHAnsi" w:hAnsiTheme="majorHAnsi"/>
          <w:sz w:val="20"/>
          <w:szCs w:val="20"/>
        </w:rPr>
      </w:pPr>
      <w:bookmarkStart w:id="25" w:name="_Toc19528392"/>
      <w:bookmarkStart w:id="26" w:name="_Toc21421519"/>
      <w:r w:rsidRPr="00010AB5">
        <w:rPr>
          <w:rFonts w:asciiTheme="majorHAnsi" w:hAnsiTheme="majorHAnsi"/>
          <w:sz w:val="20"/>
          <w:szCs w:val="20"/>
        </w:rPr>
        <w:t xml:space="preserve">2. </w:t>
      </w:r>
      <w:r w:rsidRPr="00010AB5">
        <w:rPr>
          <w:rFonts w:asciiTheme="majorHAnsi" w:hAnsiTheme="majorHAnsi"/>
          <w:sz w:val="20"/>
          <w:szCs w:val="20"/>
        </w:rPr>
        <w:tab/>
      </w:r>
      <w:r w:rsidR="001E75AD" w:rsidRPr="00010AB5">
        <w:rPr>
          <w:rFonts w:asciiTheme="majorHAnsi" w:hAnsiTheme="majorHAnsi"/>
          <w:sz w:val="20"/>
          <w:szCs w:val="20"/>
        </w:rPr>
        <w:t>Información sobre la problemática de incumplimiento de fallos internos en Perú</w:t>
      </w:r>
      <w:bookmarkEnd w:id="25"/>
      <w:bookmarkEnd w:id="26"/>
    </w:p>
    <w:p w14:paraId="300A7A88" w14:textId="77777777" w:rsidR="001E75AD" w:rsidRPr="00D94314" w:rsidRDefault="001E75AD" w:rsidP="001E75AD">
      <w:pPr>
        <w:rPr>
          <w:rFonts w:ascii="Cambria" w:hAnsi="Cambria"/>
          <w:sz w:val="20"/>
          <w:szCs w:val="20"/>
          <w:lang w:val="es-ES"/>
        </w:rPr>
      </w:pPr>
    </w:p>
    <w:p w14:paraId="2674B8F4" w14:textId="77777777" w:rsidR="003201DF" w:rsidRPr="00D94314" w:rsidRDefault="003201DF" w:rsidP="003201DF">
      <w:pPr>
        <w:pStyle w:val="ListParagraph"/>
        <w:numPr>
          <w:ilvl w:val="0"/>
          <w:numId w:val="57"/>
        </w:numPr>
        <w:ind w:left="0" w:firstLine="720"/>
        <w:jc w:val="both"/>
        <w:rPr>
          <w:sz w:val="20"/>
          <w:szCs w:val="20"/>
          <w:lang w:val="es-ES"/>
        </w:rPr>
      </w:pPr>
      <w:r w:rsidRPr="00D94314">
        <w:rPr>
          <w:sz w:val="20"/>
          <w:szCs w:val="20"/>
          <w:lang w:val="es-ES"/>
        </w:rPr>
        <w:t xml:space="preserve">La CIDH toma nota de que el incumplimiento de las sentencias por parte del Estado peruano en contra de entidades estatales desde la década de 1990 trasciende a la situación individual de las presuntas víctimas del presente caso y hace parte de un contexto más general. </w:t>
      </w:r>
    </w:p>
    <w:p w14:paraId="66E83584" w14:textId="77777777" w:rsidR="003201DF" w:rsidRPr="00D94314" w:rsidRDefault="003201DF" w:rsidP="003201DF">
      <w:pPr>
        <w:rPr>
          <w:rFonts w:ascii="Cambria" w:hAnsi="Cambria"/>
          <w:sz w:val="20"/>
          <w:szCs w:val="20"/>
          <w:lang w:val="es-ES"/>
        </w:rPr>
      </w:pPr>
    </w:p>
    <w:p w14:paraId="7559F0BA" w14:textId="77777777" w:rsidR="003201DF" w:rsidRPr="00D94314" w:rsidRDefault="003201DF" w:rsidP="003201DF">
      <w:pPr>
        <w:pStyle w:val="ListParagraph"/>
        <w:numPr>
          <w:ilvl w:val="0"/>
          <w:numId w:val="57"/>
        </w:numPr>
        <w:ind w:left="0" w:firstLine="720"/>
        <w:jc w:val="both"/>
        <w:rPr>
          <w:sz w:val="20"/>
          <w:szCs w:val="20"/>
          <w:lang w:val="es-ES"/>
        </w:rPr>
      </w:pPr>
      <w:r w:rsidRPr="00D94314">
        <w:rPr>
          <w:sz w:val="20"/>
          <w:szCs w:val="20"/>
          <w:lang w:val="es-ES"/>
        </w:rPr>
        <w:t>Así, la Corte Interamericana ya se pronunció en dos casos sobre la falta de cumplimiento de sentencias en Perú a efectos de nivelar las pensiones de ex-trabajadores públicos conforme al Decreto Ley 20530 en la década de 1990</w:t>
      </w:r>
      <w:r w:rsidRPr="00D94314">
        <w:rPr>
          <w:rStyle w:val="FootnoteReference"/>
          <w:sz w:val="20"/>
          <w:szCs w:val="20"/>
          <w:lang w:val="es-ES"/>
        </w:rPr>
        <w:footnoteReference w:id="64"/>
      </w:r>
      <w:r w:rsidRPr="00D94314">
        <w:rPr>
          <w:sz w:val="20"/>
          <w:szCs w:val="20"/>
          <w:lang w:val="es-ES"/>
        </w:rPr>
        <w:t>. En las dos sentencias emitidas por la Corte se indicó que los fallos judiciales que restablecían determinados beneficios laborales y de pensiones a las víctimas no fueron ejecutados.</w:t>
      </w:r>
    </w:p>
    <w:p w14:paraId="1674FF5E" w14:textId="77777777" w:rsidR="003201DF" w:rsidRPr="00D94314" w:rsidRDefault="003201DF" w:rsidP="003201DF">
      <w:pPr>
        <w:rPr>
          <w:rFonts w:ascii="Cambria" w:hAnsi="Cambria"/>
          <w:sz w:val="20"/>
          <w:szCs w:val="20"/>
          <w:lang w:val="es-ES"/>
        </w:rPr>
      </w:pPr>
    </w:p>
    <w:p w14:paraId="21756CED" w14:textId="37AD0961" w:rsidR="003201DF" w:rsidRPr="00D94314" w:rsidRDefault="003201DF" w:rsidP="003201DF">
      <w:pPr>
        <w:pStyle w:val="ListParagraph"/>
        <w:numPr>
          <w:ilvl w:val="0"/>
          <w:numId w:val="57"/>
        </w:numPr>
        <w:ind w:left="0" w:firstLine="720"/>
        <w:jc w:val="both"/>
        <w:rPr>
          <w:sz w:val="20"/>
          <w:szCs w:val="20"/>
          <w:lang w:val="es-ES"/>
        </w:rPr>
      </w:pPr>
      <w:r w:rsidRPr="00D94314">
        <w:rPr>
          <w:sz w:val="20"/>
          <w:szCs w:val="20"/>
          <w:lang w:val="es-ES"/>
        </w:rPr>
        <w:t>Por su parte, en el marco de uno de dichos casos, la CIDH ha sostenido que el incumplimiento de sentencias por parte del Estado peruano “desdibuja la práctica y el sentido de la administración de justicia y resta confianza a los asociados en los pronunciamientos de los jueces”</w:t>
      </w:r>
      <w:r w:rsidRPr="00D94314">
        <w:rPr>
          <w:rStyle w:val="FootnoteReference"/>
          <w:sz w:val="20"/>
          <w:szCs w:val="20"/>
          <w:lang w:val="es-ES"/>
        </w:rPr>
        <w:t xml:space="preserve"> </w:t>
      </w:r>
      <w:r w:rsidRPr="00D94314">
        <w:rPr>
          <w:rStyle w:val="FootnoteReference"/>
          <w:sz w:val="20"/>
          <w:szCs w:val="20"/>
          <w:lang w:val="es-ES"/>
        </w:rPr>
        <w:footnoteReference w:id="65"/>
      </w:r>
      <w:r w:rsidRPr="00D94314">
        <w:rPr>
          <w:sz w:val="20"/>
          <w:szCs w:val="20"/>
          <w:lang w:val="es-ES"/>
        </w:rPr>
        <w:t>. Asimismo,</w:t>
      </w:r>
      <w:r w:rsidR="000C42E9" w:rsidRPr="00D94314">
        <w:rPr>
          <w:sz w:val="20"/>
          <w:szCs w:val="20"/>
          <w:lang w:val="es-ES"/>
        </w:rPr>
        <w:t xml:space="preserve"> la Comisión ha admitido y se ha pronunciado sobre el fondo de casos relacionados con la misma probl</w:t>
      </w:r>
      <w:r w:rsidR="00C33420" w:rsidRPr="00D94314">
        <w:rPr>
          <w:sz w:val="20"/>
          <w:szCs w:val="20"/>
          <w:lang w:val="es-ES"/>
        </w:rPr>
        <w:t>e</w:t>
      </w:r>
      <w:r w:rsidR="000C42E9" w:rsidRPr="00D94314">
        <w:rPr>
          <w:sz w:val="20"/>
          <w:szCs w:val="20"/>
          <w:lang w:val="es-ES"/>
        </w:rPr>
        <w:t>mática</w:t>
      </w:r>
      <w:r w:rsidR="0032296A" w:rsidRPr="00D94314">
        <w:rPr>
          <w:sz w:val="20"/>
          <w:szCs w:val="20"/>
          <w:lang w:val="es-ES"/>
        </w:rPr>
        <w:t xml:space="preserve">. </w:t>
      </w:r>
      <w:r w:rsidR="000C42E9" w:rsidRPr="00D94314">
        <w:rPr>
          <w:sz w:val="20"/>
          <w:szCs w:val="20"/>
          <w:lang w:val="es-ES"/>
        </w:rPr>
        <w:t xml:space="preserve"> </w:t>
      </w:r>
    </w:p>
    <w:p w14:paraId="30E08748" w14:textId="77777777" w:rsidR="003201DF" w:rsidRPr="00D94314" w:rsidRDefault="003201DF" w:rsidP="003201DF">
      <w:pPr>
        <w:jc w:val="both"/>
        <w:rPr>
          <w:rFonts w:ascii="Cambria" w:hAnsi="Cambria"/>
          <w:sz w:val="20"/>
          <w:szCs w:val="20"/>
          <w:lang w:val="es-ES"/>
        </w:rPr>
      </w:pPr>
    </w:p>
    <w:p w14:paraId="4AB2DEF9" w14:textId="30B29E10" w:rsidR="00926D1C" w:rsidRPr="00D94314" w:rsidRDefault="003201DF" w:rsidP="003201DF">
      <w:pPr>
        <w:pStyle w:val="ListParagraph"/>
        <w:numPr>
          <w:ilvl w:val="0"/>
          <w:numId w:val="57"/>
        </w:numPr>
        <w:ind w:left="0" w:firstLine="720"/>
        <w:jc w:val="both"/>
        <w:rPr>
          <w:rFonts w:asciiTheme="majorHAnsi" w:hAnsiTheme="majorHAnsi"/>
          <w:color w:val="auto"/>
          <w:sz w:val="20"/>
          <w:szCs w:val="20"/>
          <w:lang w:val="es-ES"/>
        </w:rPr>
      </w:pPr>
      <w:r w:rsidRPr="00D94314">
        <w:rPr>
          <w:sz w:val="20"/>
          <w:szCs w:val="20"/>
          <w:lang w:val="es-ES"/>
        </w:rPr>
        <w:t>En similar sentido, la Comisión observa que en octubre de 1998 la Defensoría del Pueblo emitió un informe denominado “Incumplimiento de sentencias por parte de la administración estatal”</w:t>
      </w:r>
      <w:r w:rsidRPr="00D94314">
        <w:rPr>
          <w:rStyle w:val="FootnoteReference"/>
          <w:sz w:val="20"/>
          <w:szCs w:val="20"/>
          <w:lang w:val="es-ES"/>
        </w:rPr>
        <w:footnoteReference w:id="66"/>
      </w:r>
      <w:r w:rsidRPr="00D94314">
        <w:rPr>
          <w:sz w:val="20"/>
          <w:szCs w:val="20"/>
          <w:lang w:val="es-ES"/>
        </w:rPr>
        <w:t xml:space="preserve">. La Defensoría </w:t>
      </w:r>
      <w:r w:rsidRPr="00D94314">
        <w:rPr>
          <w:sz w:val="20"/>
          <w:szCs w:val="20"/>
          <w:lang w:val="es-ES"/>
        </w:rPr>
        <w:lastRenderedPageBreak/>
        <w:t>identificó que un problema que se presenta en el marco del Poder Judicial es la falta de ejecución de sentencias en contra de una entidad estatal</w:t>
      </w:r>
      <w:r w:rsidRPr="00D94314">
        <w:rPr>
          <w:rStyle w:val="FootnoteReference"/>
          <w:sz w:val="20"/>
          <w:szCs w:val="20"/>
          <w:lang w:val="es-ES"/>
        </w:rPr>
        <w:footnoteReference w:id="67"/>
      </w:r>
      <w:r w:rsidRPr="00D94314">
        <w:rPr>
          <w:sz w:val="20"/>
          <w:szCs w:val="20"/>
          <w:lang w:val="es-ES"/>
        </w:rPr>
        <w:t>. Sostuvo que desde su creación en 1993 ha tramitado alrededor de 101 quejas presentadas contra diversos entes estatales por incumplimiento de sentencias firmes en su contra</w:t>
      </w:r>
      <w:r w:rsidRPr="00D94314">
        <w:rPr>
          <w:rStyle w:val="FootnoteReference"/>
          <w:sz w:val="20"/>
          <w:szCs w:val="20"/>
          <w:lang w:val="es-ES"/>
        </w:rPr>
        <w:footnoteReference w:id="68"/>
      </w:r>
      <w:r w:rsidRPr="00D94314">
        <w:rPr>
          <w:sz w:val="20"/>
          <w:szCs w:val="20"/>
          <w:lang w:val="es-ES"/>
        </w:rPr>
        <w:t>. Indicó que más del 50% de las quejas se refieren a “mandatos judiciales de contenido laboral que son incumplidos”</w:t>
      </w:r>
      <w:r w:rsidRPr="00D94314">
        <w:rPr>
          <w:rStyle w:val="FootnoteReference"/>
          <w:sz w:val="20"/>
          <w:szCs w:val="20"/>
          <w:lang w:val="es-ES"/>
        </w:rPr>
        <w:footnoteReference w:id="69"/>
      </w:r>
      <w:r w:rsidRPr="00D94314">
        <w:rPr>
          <w:sz w:val="20"/>
          <w:szCs w:val="20"/>
          <w:lang w:val="es-ES"/>
        </w:rPr>
        <w:t>.</w:t>
      </w:r>
    </w:p>
    <w:p w14:paraId="450C0378" w14:textId="054F39E8" w:rsidR="00926D1C" w:rsidRPr="00010AB5" w:rsidRDefault="00D419AD" w:rsidP="00010AB5">
      <w:pPr>
        <w:pStyle w:val="Heading3"/>
        <w:ind w:firstLine="720"/>
        <w:jc w:val="both"/>
        <w:rPr>
          <w:rFonts w:asciiTheme="majorHAnsi" w:hAnsiTheme="majorHAnsi"/>
          <w:sz w:val="20"/>
          <w:szCs w:val="20"/>
        </w:rPr>
      </w:pPr>
      <w:bookmarkStart w:id="27" w:name="_Toc346449094"/>
      <w:bookmarkStart w:id="28" w:name="_Toc474398501"/>
      <w:bookmarkStart w:id="29" w:name="_Toc480636777"/>
      <w:bookmarkStart w:id="30" w:name="_Toc19528393"/>
      <w:bookmarkStart w:id="31" w:name="_Toc21421520"/>
      <w:r w:rsidRPr="00010AB5">
        <w:rPr>
          <w:rFonts w:asciiTheme="majorHAnsi" w:hAnsiTheme="majorHAnsi"/>
          <w:sz w:val="20"/>
          <w:szCs w:val="20"/>
        </w:rPr>
        <w:t xml:space="preserve">3. </w:t>
      </w:r>
      <w:r w:rsidRPr="00010AB5">
        <w:rPr>
          <w:rFonts w:asciiTheme="majorHAnsi" w:hAnsiTheme="majorHAnsi"/>
          <w:sz w:val="20"/>
          <w:szCs w:val="20"/>
        </w:rPr>
        <w:tab/>
      </w:r>
      <w:r w:rsidR="00926D1C" w:rsidRPr="00010AB5">
        <w:rPr>
          <w:rFonts w:asciiTheme="majorHAnsi" w:hAnsiTheme="majorHAnsi"/>
          <w:sz w:val="20"/>
          <w:szCs w:val="20"/>
        </w:rPr>
        <w:t>Análisis del caso concreto</w:t>
      </w:r>
      <w:bookmarkEnd w:id="27"/>
      <w:bookmarkEnd w:id="28"/>
      <w:bookmarkEnd w:id="29"/>
      <w:bookmarkEnd w:id="30"/>
      <w:bookmarkEnd w:id="31"/>
    </w:p>
    <w:p w14:paraId="78EDFF03" w14:textId="77777777" w:rsidR="00926D1C" w:rsidRPr="00D94314" w:rsidRDefault="00926D1C" w:rsidP="00010AB5">
      <w:pPr>
        <w:jc w:val="both"/>
        <w:rPr>
          <w:rFonts w:asciiTheme="majorHAnsi" w:hAnsiTheme="majorHAnsi"/>
          <w:sz w:val="20"/>
          <w:szCs w:val="20"/>
          <w:lang w:val="es-ES"/>
        </w:rPr>
      </w:pPr>
    </w:p>
    <w:p w14:paraId="175CCCF9" w14:textId="55762D4B" w:rsidR="00926D1C" w:rsidRPr="00D94314" w:rsidRDefault="00926D1C" w:rsidP="00010AB5">
      <w:pPr>
        <w:numPr>
          <w:ilvl w:val="0"/>
          <w:numId w:val="57"/>
        </w:numPr>
        <w:ind w:left="0" w:firstLine="720"/>
        <w:jc w:val="both"/>
        <w:rPr>
          <w:rFonts w:asciiTheme="majorHAnsi" w:hAnsiTheme="majorHAnsi"/>
          <w:sz w:val="20"/>
          <w:szCs w:val="20"/>
          <w:lang w:val="es-ES"/>
        </w:rPr>
      </w:pPr>
      <w:r w:rsidRPr="00D94314">
        <w:rPr>
          <w:rFonts w:asciiTheme="majorHAnsi" w:hAnsiTheme="majorHAnsi"/>
          <w:sz w:val="20"/>
          <w:szCs w:val="20"/>
          <w:lang w:val="es-ES"/>
        </w:rPr>
        <w:t xml:space="preserve">Como se desprende de los hechos probados, en el presente asunto no está en controversia que </w:t>
      </w:r>
      <w:r w:rsidR="009070FA" w:rsidRPr="00D94314">
        <w:rPr>
          <w:rFonts w:asciiTheme="majorHAnsi" w:hAnsiTheme="majorHAnsi"/>
          <w:sz w:val="20"/>
          <w:szCs w:val="20"/>
          <w:lang w:val="es-CO"/>
        </w:rPr>
        <w:t>el Estado mediante los Decretos Supremos No. 057-90-TR y 107-90-PCM dispuso suspender los incrementos salariales fijados por Convenios Colectivos, principalmente la aplicación de la Escala Salarial, ello en desconocimiento de las garantías establecidas en el Pacto Colectivo 90/91 que las regía.</w:t>
      </w:r>
      <w:r w:rsidR="00B3027E" w:rsidRPr="00D94314">
        <w:rPr>
          <w:rFonts w:asciiTheme="majorHAnsi" w:hAnsiTheme="majorHAnsi"/>
          <w:sz w:val="20"/>
          <w:szCs w:val="20"/>
          <w:lang w:val="es-CO"/>
        </w:rPr>
        <w:t xml:space="preserve"> Frente </w:t>
      </w:r>
      <w:r w:rsidRPr="00D94314">
        <w:rPr>
          <w:rFonts w:asciiTheme="majorHAnsi" w:hAnsiTheme="majorHAnsi"/>
          <w:sz w:val="20"/>
          <w:szCs w:val="20"/>
          <w:lang w:val="es-ES"/>
        </w:rPr>
        <w:t xml:space="preserve">a esta situación, los miembros de </w:t>
      </w:r>
      <w:r w:rsidR="00B3027E" w:rsidRPr="00D94314">
        <w:rPr>
          <w:rFonts w:asciiTheme="majorHAnsi" w:hAnsiTheme="majorHAnsi"/>
          <w:sz w:val="20"/>
          <w:szCs w:val="20"/>
          <w:lang w:val="es-ES"/>
        </w:rPr>
        <w:t>SUTECASA</w:t>
      </w:r>
      <w:r w:rsidRPr="00D94314">
        <w:rPr>
          <w:rFonts w:asciiTheme="majorHAnsi" w:hAnsiTheme="majorHAnsi"/>
          <w:sz w:val="20"/>
          <w:szCs w:val="20"/>
          <w:lang w:val="es-ES"/>
        </w:rPr>
        <w:t xml:space="preserve"> presentaron una primera acción de amparo. Tras varias instancias, este proceso de amparo culminó el </w:t>
      </w:r>
      <w:r w:rsidR="00B3027E" w:rsidRPr="00D94314">
        <w:rPr>
          <w:rFonts w:asciiTheme="majorHAnsi" w:hAnsiTheme="majorHAnsi"/>
          <w:sz w:val="20"/>
          <w:szCs w:val="20"/>
          <w:lang w:val="es-CO"/>
        </w:rPr>
        <w:t>16 de febrero de 1993</w:t>
      </w:r>
      <w:r w:rsidRPr="00D94314">
        <w:rPr>
          <w:rFonts w:asciiTheme="majorHAnsi" w:hAnsiTheme="majorHAnsi"/>
          <w:sz w:val="20"/>
          <w:szCs w:val="20"/>
          <w:lang w:val="es-ES"/>
        </w:rPr>
        <w:t xml:space="preserve"> cuando la Corte Suprema de Justicia emitió una sentencia </w:t>
      </w:r>
      <w:r w:rsidR="00072F3F" w:rsidRPr="00D94314">
        <w:rPr>
          <w:rFonts w:asciiTheme="majorHAnsi" w:hAnsiTheme="majorHAnsi"/>
          <w:sz w:val="20"/>
          <w:szCs w:val="20"/>
          <w:lang w:val="es-ES"/>
        </w:rPr>
        <w:t xml:space="preserve">ordenando que </w:t>
      </w:r>
      <w:r w:rsidR="00072F3F" w:rsidRPr="00D94314">
        <w:rPr>
          <w:rFonts w:asciiTheme="majorHAnsi" w:hAnsiTheme="majorHAnsi"/>
          <w:sz w:val="20"/>
          <w:szCs w:val="20"/>
          <w:lang w:val="es-CO"/>
        </w:rPr>
        <w:t>eran inaplicables para los accionantes los Decretos Supremos número 57-90-TR y 107-90-PCM</w:t>
      </w:r>
      <w:r w:rsidRPr="00D94314">
        <w:rPr>
          <w:rFonts w:asciiTheme="majorHAnsi" w:hAnsiTheme="majorHAnsi"/>
          <w:sz w:val="20"/>
          <w:szCs w:val="20"/>
          <w:lang w:val="es-ES"/>
        </w:rPr>
        <w:t>. Asimismo, el Tribunal Constitucional ordenó la ejecución de la sentencia de la Corte Suprema de Justicia.</w:t>
      </w:r>
      <w:r w:rsidR="00F147A1" w:rsidRPr="00D94314">
        <w:rPr>
          <w:rFonts w:asciiTheme="majorHAnsi" w:hAnsiTheme="majorHAnsi"/>
          <w:sz w:val="20"/>
          <w:szCs w:val="20"/>
          <w:lang w:val="es-ES"/>
        </w:rPr>
        <w:t xml:space="preserve"> A partir de ese momento se inició un proceso de cumplimiento de sentencia que, </w:t>
      </w:r>
      <w:r w:rsidR="00362303" w:rsidRPr="00D94314">
        <w:rPr>
          <w:rFonts w:asciiTheme="majorHAnsi" w:hAnsiTheme="majorHAnsi"/>
          <w:sz w:val="20"/>
          <w:szCs w:val="20"/>
          <w:lang w:val="es-ES"/>
        </w:rPr>
        <w:t>transcurrido</w:t>
      </w:r>
      <w:r w:rsidR="00F147A1" w:rsidRPr="00D94314">
        <w:rPr>
          <w:rFonts w:asciiTheme="majorHAnsi" w:hAnsiTheme="majorHAnsi"/>
          <w:sz w:val="20"/>
          <w:szCs w:val="20"/>
          <w:lang w:val="es-ES"/>
        </w:rPr>
        <w:t>s</w:t>
      </w:r>
      <w:r w:rsidR="00362303" w:rsidRPr="00D94314">
        <w:rPr>
          <w:rFonts w:asciiTheme="majorHAnsi" w:hAnsiTheme="majorHAnsi"/>
          <w:sz w:val="20"/>
          <w:szCs w:val="20"/>
          <w:lang w:val="es-ES"/>
        </w:rPr>
        <w:t xml:space="preserve"> </w:t>
      </w:r>
      <w:r w:rsidR="00F147A1" w:rsidRPr="00D94314">
        <w:rPr>
          <w:rFonts w:asciiTheme="majorHAnsi" w:hAnsiTheme="majorHAnsi"/>
          <w:sz w:val="20"/>
          <w:szCs w:val="20"/>
          <w:lang w:val="es-ES"/>
        </w:rPr>
        <w:t xml:space="preserve">26 </w:t>
      </w:r>
      <w:r w:rsidRPr="00D94314">
        <w:rPr>
          <w:rFonts w:asciiTheme="majorHAnsi" w:hAnsiTheme="majorHAnsi"/>
          <w:sz w:val="20"/>
          <w:szCs w:val="20"/>
          <w:lang w:val="es-ES"/>
        </w:rPr>
        <w:t xml:space="preserve">años desde la sentencia de </w:t>
      </w:r>
      <w:r w:rsidR="009613C5" w:rsidRPr="00D94314">
        <w:rPr>
          <w:rFonts w:asciiTheme="majorHAnsi" w:hAnsiTheme="majorHAnsi"/>
          <w:sz w:val="20"/>
          <w:szCs w:val="20"/>
          <w:lang w:val="es-CO"/>
        </w:rPr>
        <w:t>16 de febrero de 1993</w:t>
      </w:r>
      <w:r w:rsidR="00F147A1" w:rsidRPr="00D94314">
        <w:rPr>
          <w:rFonts w:asciiTheme="majorHAnsi" w:hAnsiTheme="majorHAnsi"/>
          <w:sz w:val="20"/>
          <w:szCs w:val="20"/>
          <w:lang w:val="es-CO"/>
        </w:rPr>
        <w:t xml:space="preserve">, </w:t>
      </w:r>
      <w:r w:rsidR="00F147A1" w:rsidRPr="00D94314">
        <w:rPr>
          <w:rFonts w:asciiTheme="majorHAnsi" w:hAnsiTheme="majorHAnsi"/>
          <w:sz w:val="20"/>
          <w:szCs w:val="20"/>
          <w:lang w:val="es-ES"/>
        </w:rPr>
        <w:t xml:space="preserve">permanece </w:t>
      </w:r>
      <w:r w:rsidRPr="00D94314">
        <w:rPr>
          <w:rFonts w:asciiTheme="majorHAnsi" w:hAnsiTheme="majorHAnsi"/>
          <w:sz w:val="20"/>
          <w:szCs w:val="20"/>
          <w:lang w:val="es-ES"/>
        </w:rPr>
        <w:t xml:space="preserve">abierto. </w:t>
      </w:r>
      <w:r w:rsidR="007318B1" w:rsidRPr="00D94314">
        <w:rPr>
          <w:rFonts w:asciiTheme="majorHAnsi" w:hAnsiTheme="majorHAnsi"/>
          <w:sz w:val="20"/>
          <w:szCs w:val="20"/>
          <w:lang w:val="es-ES"/>
        </w:rPr>
        <w:t>Asimismo, las presuntas v</w:t>
      </w:r>
      <w:r w:rsidR="007318B1" w:rsidRPr="00D94314">
        <w:rPr>
          <w:rFonts w:asciiTheme="majorHAnsi" w:hAnsiTheme="majorHAnsi"/>
          <w:sz w:val="20"/>
          <w:szCs w:val="20"/>
          <w:lang w:val="es-CO"/>
        </w:rPr>
        <w:t>íctimas</w:t>
      </w:r>
      <w:r w:rsidR="00B66FD5" w:rsidRPr="00D94314">
        <w:rPr>
          <w:rFonts w:asciiTheme="majorHAnsi" w:hAnsiTheme="majorHAnsi"/>
          <w:sz w:val="20"/>
          <w:szCs w:val="20"/>
          <w:lang w:val="es-CO"/>
        </w:rPr>
        <w:t xml:space="preserve"> intentaron otras vías para la fijación de los efectos patrimoniales de dicha sentencia. </w:t>
      </w:r>
      <w:r w:rsidR="007318B1" w:rsidRPr="00D94314">
        <w:rPr>
          <w:rFonts w:asciiTheme="majorHAnsi" w:hAnsiTheme="majorHAnsi"/>
          <w:sz w:val="20"/>
          <w:szCs w:val="20"/>
          <w:lang w:val="es-CO"/>
        </w:rPr>
        <w:t xml:space="preserve"> </w:t>
      </w:r>
    </w:p>
    <w:p w14:paraId="5E302421" w14:textId="77777777" w:rsidR="00926D1C" w:rsidRPr="00D94314" w:rsidRDefault="00926D1C" w:rsidP="00010AB5">
      <w:pPr>
        <w:jc w:val="both"/>
        <w:rPr>
          <w:rFonts w:asciiTheme="majorHAnsi" w:hAnsiTheme="majorHAnsi"/>
          <w:sz w:val="20"/>
          <w:szCs w:val="20"/>
          <w:lang w:val="es-ES"/>
        </w:rPr>
      </w:pPr>
    </w:p>
    <w:p w14:paraId="3C4ADC2A" w14:textId="6BE82A66" w:rsidR="0073333F" w:rsidRPr="00D94314" w:rsidRDefault="00926D1C" w:rsidP="00010AB5">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ES"/>
        </w:rPr>
        <w:t xml:space="preserve">La Comisión recapitula que a lo largo del proceso de ejecución de sentencia han surgido múltiples controversias que las autoridades judiciales no han logrado resolver de manera </w:t>
      </w:r>
      <w:r w:rsidR="00C96845" w:rsidRPr="00D94314">
        <w:rPr>
          <w:rFonts w:asciiTheme="majorHAnsi" w:hAnsiTheme="majorHAnsi"/>
          <w:sz w:val="20"/>
          <w:szCs w:val="20"/>
          <w:lang w:val="es-ES"/>
        </w:rPr>
        <w:t xml:space="preserve">eficaz y </w:t>
      </w:r>
      <w:r w:rsidRPr="00D94314">
        <w:rPr>
          <w:rFonts w:asciiTheme="majorHAnsi" w:hAnsiTheme="majorHAnsi"/>
          <w:sz w:val="20"/>
          <w:szCs w:val="20"/>
          <w:lang w:val="es-ES"/>
        </w:rPr>
        <w:t xml:space="preserve">definitiva por más de dos décadas. </w:t>
      </w:r>
      <w:r w:rsidR="00754DF6" w:rsidRPr="00D94314">
        <w:rPr>
          <w:rFonts w:asciiTheme="majorHAnsi" w:hAnsiTheme="majorHAnsi"/>
          <w:sz w:val="20"/>
          <w:szCs w:val="20"/>
          <w:lang w:val="es-ES"/>
        </w:rPr>
        <w:t xml:space="preserve">Una de estas controversias se encuentra relacionada son la determinación de si los mencionados decretos fueron efectivamente aplicados a las presuntas víctimas y, de ser así, los montos concretos adeudados a cada </w:t>
      </w:r>
      <w:r w:rsidR="00EA73FB" w:rsidRPr="00D94314">
        <w:rPr>
          <w:rFonts w:asciiTheme="majorHAnsi" w:hAnsiTheme="majorHAnsi"/>
          <w:sz w:val="20"/>
          <w:szCs w:val="20"/>
          <w:lang w:val="es-ES"/>
        </w:rPr>
        <w:t>u</w:t>
      </w:r>
      <w:r w:rsidR="00754DF6" w:rsidRPr="00D94314">
        <w:rPr>
          <w:rFonts w:asciiTheme="majorHAnsi" w:hAnsiTheme="majorHAnsi"/>
          <w:sz w:val="20"/>
          <w:szCs w:val="20"/>
          <w:lang w:val="es-ES"/>
        </w:rPr>
        <w:t xml:space="preserve">na de ellas. Con relación a esta controversia, </w:t>
      </w:r>
      <w:r w:rsidR="00FF6298" w:rsidRPr="00D94314">
        <w:rPr>
          <w:rFonts w:asciiTheme="majorHAnsi" w:hAnsiTheme="majorHAnsi"/>
          <w:sz w:val="20"/>
          <w:szCs w:val="20"/>
          <w:lang w:val="es-ES"/>
        </w:rPr>
        <w:t>conforme a los hechos probados, en el marco de proceso de ejecución de sentencia el 11 de octubre de 1994</w:t>
      </w:r>
      <w:r w:rsidR="00E8002B" w:rsidRPr="00D94314">
        <w:rPr>
          <w:rFonts w:asciiTheme="majorHAnsi" w:hAnsiTheme="majorHAnsi"/>
          <w:sz w:val="20"/>
          <w:szCs w:val="20"/>
          <w:lang w:val="es-ES"/>
        </w:rPr>
        <w:t xml:space="preserve"> se ordenó una pericia contable, la cual fue presentada el 22 de abril de 1996</w:t>
      </w:r>
      <w:r w:rsidR="00194E98" w:rsidRPr="00D94314">
        <w:rPr>
          <w:rFonts w:asciiTheme="majorHAnsi" w:hAnsiTheme="majorHAnsi"/>
          <w:sz w:val="20"/>
          <w:szCs w:val="20"/>
          <w:lang w:val="es-ES"/>
        </w:rPr>
        <w:t xml:space="preserve"> con la conclusión de que los decretos sí fueron aplicados</w:t>
      </w:r>
      <w:r w:rsidR="001D163E" w:rsidRPr="00D94314">
        <w:rPr>
          <w:rFonts w:asciiTheme="majorHAnsi" w:hAnsiTheme="majorHAnsi"/>
          <w:sz w:val="20"/>
          <w:szCs w:val="20"/>
          <w:lang w:val="es-ES"/>
        </w:rPr>
        <w:t xml:space="preserve"> y que existía una deuda a favor de los miembros del sindicato.</w:t>
      </w:r>
      <w:r w:rsidR="00E8002B" w:rsidRPr="00D94314">
        <w:rPr>
          <w:rFonts w:asciiTheme="majorHAnsi" w:hAnsiTheme="majorHAnsi"/>
          <w:sz w:val="20"/>
          <w:szCs w:val="20"/>
          <w:lang w:val="es-ES"/>
        </w:rPr>
        <w:t xml:space="preserve"> Esta pericia fue dejada sin efecto el 24 de julio de 1996 y se ordenó rehacerla. Posteriormente, </w:t>
      </w:r>
      <w:r w:rsidR="00F90F60" w:rsidRPr="00D94314">
        <w:rPr>
          <w:rFonts w:asciiTheme="majorHAnsi" w:hAnsiTheme="majorHAnsi"/>
          <w:sz w:val="20"/>
          <w:szCs w:val="20"/>
          <w:lang w:val="es-ES"/>
        </w:rPr>
        <w:t>entre</w:t>
      </w:r>
      <w:r w:rsidR="00E8002B" w:rsidRPr="00D94314">
        <w:rPr>
          <w:rFonts w:asciiTheme="majorHAnsi" w:hAnsiTheme="majorHAnsi"/>
          <w:sz w:val="20"/>
          <w:szCs w:val="20"/>
          <w:lang w:val="es-ES"/>
        </w:rPr>
        <w:t xml:space="preserve"> marzo</w:t>
      </w:r>
      <w:r w:rsidR="00F90F60" w:rsidRPr="00D94314">
        <w:rPr>
          <w:rFonts w:asciiTheme="majorHAnsi" w:hAnsiTheme="majorHAnsi"/>
          <w:sz w:val="20"/>
          <w:szCs w:val="20"/>
          <w:lang w:val="es-ES"/>
        </w:rPr>
        <w:t xml:space="preserve"> y abril d</w:t>
      </w:r>
      <w:r w:rsidR="00E8002B" w:rsidRPr="00D94314">
        <w:rPr>
          <w:rFonts w:asciiTheme="majorHAnsi" w:hAnsiTheme="majorHAnsi"/>
          <w:sz w:val="20"/>
          <w:szCs w:val="20"/>
          <w:lang w:val="es-ES"/>
        </w:rPr>
        <w:t xml:space="preserve">e 1998 se ordenó nueva pericia contable. </w:t>
      </w:r>
      <w:r w:rsidR="00194E98" w:rsidRPr="00D94314">
        <w:rPr>
          <w:rFonts w:asciiTheme="majorHAnsi" w:hAnsiTheme="majorHAnsi"/>
          <w:sz w:val="20"/>
          <w:szCs w:val="20"/>
          <w:lang w:val="es-ES"/>
        </w:rPr>
        <w:t>El 6 de septiembre de 1998 se reali</w:t>
      </w:r>
      <w:r w:rsidR="00194E98" w:rsidRPr="00D94314">
        <w:rPr>
          <w:rFonts w:asciiTheme="majorHAnsi" w:hAnsiTheme="majorHAnsi"/>
          <w:sz w:val="20"/>
          <w:szCs w:val="20"/>
          <w:lang w:val="es-CO"/>
        </w:rPr>
        <w:t>zó un nuevo dictamen pericial</w:t>
      </w:r>
      <w:r w:rsidR="001D163E" w:rsidRPr="00D94314">
        <w:rPr>
          <w:rFonts w:asciiTheme="majorHAnsi" w:hAnsiTheme="majorHAnsi"/>
          <w:sz w:val="20"/>
          <w:szCs w:val="20"/>
          <w:lang w:val="es-CO"/>
        </w:rPr>
        <w:t xml:space="preserve"> en el que se concluyó que los decretos no fueron aplicados y que no existía deuda pendiente. </w:t>
      </w:r>
      <w:r w:rsidR="004653EB" w:rsidRPr="00D94314">
        <w:rPr>
          <w:rFonts w:asciiTheme="majorHAnsi" w:hAnsiTheme="majorHAnsi"/>
          <w:sz w:val="20"/>
          <w:szCs w:val="20"/>
          <w:lang w:val="es-CO"/>
        </w:rPr>
        <w:t>El 15 de octubre de 1998 se determinó que la pericia no cumplió con los parámetros de lo solicitado y se dispuso practicar una nueva</w:t>
      </w:r>
      <w:r w:rsidR="00B66A5F" w:rsidRPr="00D94314">
        <w:rPr>
          <w:rFonts w:asciiTheme="majorHAnsi" w:hAnsiTheme="majorHAnsi"/>
          <w:sz w:val="20"/>
          <w:szCs w:val="20"/>
          <w:lang w:val="es-CO"/>
        </w:rPr>
        <w:t xml:space="preserve">, sin embargo, en diciembre de 1998 se aprobó la pericia </w:t>
      </w:r>
      <w:r w:rsidR="00661FCE" w:rsidRPr="00D94314">
        <w:rPr>
          <w:rFonts w:asciiTheme="majorHAnsi" w:hAnsiTheme="majorHAnsi"/>
          <w:sz w:val="20"/>
          <w:szCs w:val="20"/>
          <w:lang w:val="es-CO"/>
        </w:rPr>
        <w:t>d</w:t>
      </w:r>
      <w:r w:rsidR="00B66A5F" w:rsidRPr="00D94314">
        <w:rPr>
          <w:rFonts w:asciiTheme="majorHAnsi" w:hAnsiTheme="majorHAnsi"/>
          <w:sz w:val="20"/>
          <w:szCs w:val="20"/>
          <w:lang w:val="es-CO"/>
        </w:rPr>
        <w:t>e septiembre.</w:t>
      </w:r>
      <w:r w:rsidR="00446785" w:rsidRPr="00D94314">
        <w:rPr>
          <w:rFonts w:asciiTheme="majorHAnsi" w:hAnsiTheme="majorHAnsi"/>
          <w:sz w:val="20"/>
          <w:szCs w:val="20"/>
          <w:lang w:val="es-CO"/>
        </w:rPr>
        <w:t xml:space="preserve"> Esto</w:t>
      </w:r>
      <w:r w:rsidR="004F0184" w:rsidRPr="00D94314">
        <w:rPr>
          <w:rFonts w:asciiTheme="majorHAnsi" w:hAnsiTheme="majorHAnsi"/>
          <w:sz w:val="20"/>
          <w:szCs w:val="20"/>
          <w:lang w:val="es-CO"/>
        </w:rPr>
        <w:t xml:space="preserve"> llevó al archivo del proceso de ejecución de sentencia</w:t>
      </w:r>
      <w:r w:rsidR="001D25E1" w:rsidRPr="00D94314">
        <w:rPr>
          <w:rFonts w:asciiTheme="majorHAnsi" w:hAnsiTheme="majorHAnsi"/>
          <w:sz w:val="20"/>
          <w:szCs w:val="20"/>
          <w:lang w:val="es-CO"/>
        </w:rPr>
        <w:t xml:space="preserve"> mediante decisión de 12 de f</w:t>
      </w:r>
      <w:r w:rsidR="00D3701B" w:rsidRPr="00D94314">
        <w:rPr>
          <w:rFonts w:asciiTheme="majorHAnsi" w:hAnsiTheme="majorHAnsi"/>
          <w:sz w:val="20"/>
          <w:szCs w:val="20"/>
          <w:lang w:val="es-CO"/>
        </w:rPr>
        <w:t>ebrero de 199</w:t>
      </w:r>
      <w:r w:rsidR="00446785" w:rsidRPr="00D94314">
        <w:rPr>
          <w:rFonts w:asciiTheme="majorHAnsi" w:hAnsiTheme="majorHAnsi"/>
          <w:sz w:val="20"/>
          <w:szCs w:val="20"/>
          <w:lang w:val="es-CO"/>
        </w:rPr>
        <w:t xml:space="preserve">9. </w:t>
      </w:r>
    </w:p>
    <w:p w14:paraId="06936AD2" w14:textId="77777777" w:rsidR="0073333F" w:rsidRPr="00D94314" w:rsidRDefault="0073333F" w:rsidP="0073333F">
      <w:pPr>
        <w:pStyle w:val="ListParagraph"/>
        <w:jc w:val="both"/>
        <w:rPr>
          <w:rFonts w:asciiTheme="majorHAnsi" w:hAnsiTheme="majorHAnsi"/>
          <w:b/>
          <w:sz w:val="20"/>
          <w:szCs w:val="20"/>
          <w:lang w:val="es-CO"/>
        </w:rPr>
      </w:pPr>
    </w:p>
    <w:p w14:paraId="5ED5323C" w14:textId="42A0C1E5" w:rsidR="00754DF6" w:rsidRPr="00D94314" w:rsidRDefault="00FE2CF3" w:rsidP="0018734B">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 xml:space="preserve">A pesar de ello, consta decisión de diciembre de 2001 mediante la cual se deja constancia de que los autos estaban en ejecución de sentencia y en julio de 2002 se solicitó el padrón de afiliados al sindicato. </w:t>
      </w:r>
      <w:r w:rsidR="000E189C" w:rsidRPr="00D94314">
        <w:rPr>
          <w:rFonts w:asciiTheme="majorHAnsi" w:hAnsiTheme="majorHAnsi"/>
          <w:sz w:val="20"/>
          <w:szCs w:val="20"/>
          <w:lang w:val="es-CO"/>
        </w:rPr>
        <w:t xml:space="preserve">El 4 de julio de 2003 se declaró estarse a lo decidido en febrero de 1999, esto es el archivo del proceso de ejecución de sentencia, no habiendo nada que ejecutar. Después de una serie de recursos, el 12 de marzo de 2009 </w:t>
      </w:r>
      <w:r w:rsidR="00655421" w:rsidRPr="00D94314">
        <w:rPr>
          <w:rFonts w:asciiTheme="majorHAnsi" w:hAnsiTheme="majorHAnsi"/>
          <w:sz w:val="20"/>
          <w:szCs w:val="20"/>
          <w:lang w:val="es-CO"/>
        </w:rPr>
        <w:t xml:space="preserve">se declaró la nulidad </w:t>
      </w:r>
      <w:r w:rsidR="00957B78" w:rsidRPr="00D94314">
        <w:rPr>
          <w:rFonts w:asciiTheme="majorHAnsi" w:hAnsiTheme="majorHAnsi"/>
          <w:sz w:val="20"/>
          <w:szCs w:val="20"/>
          <w:lang w:val="es-CO"/>
        </w:rPr>
        <w:t xml:space="preserve">de </w:t>
      </w:r>
      <w:r w:rsidR="00FC6B2B">
        <w:rPr>
          <w:rFonts w:asciiTheme="majorHAnsi" w:hAnsiTheme="majorHAnsi"/>
          <w:sz w:val="20"/>
          <w:szCs w:val="20"/>
          <w:lang w:val="es-CO"/>
        </w:rPr>
        <w:t xml:space="preserve">la </w:t>
      </w:r>
      <w:r w:rsidR="00957B78" w:rsidRPr="00D94314">
        <w:rPr>
          <w:rFonts w:asciiTheme="majorHAnsi" w:hAnsiTheme="majorHAnsi"/>
          <w:sz w:val="20"/>
          <w:szCs w:val="20"/>
          <w:lang w:val="es-CO"/>
        </w:rPr>
        <w:t>decisión de abril de 2008</w:t>
      </w:r>
      <w:r w:rsidR="0098381B" w:rsidRPr="00D94314">
        <w:rPr>
          <w:rFonts w:asciiTheme="majorHAnsi" w:hAnsiTheme="majorHAnsi"/>
          <w:sz w:val="20"/>
          <w:szCs w:val="20"/>
          <w:lang w:val="es-CO"/>
        </w:rPr>
        <w:t xml:space="preserve"> que dispuso el archivo definitivo</w:t>
      </w:r>
      <w:r w:rsidR="00957B78" w:rsidRPr="00D94314">
        <w:rPr>
          <w:rFonts w:asciiTheme="majorHAnsi" w:hAnsiTheme="majorHAnsi"/>
          <w:sz w:val="20"/>
          <w:szCs w:val="20"/>
          <w:lang w:val="es-CO"/>
        </w:rPr>
        <w:t xml:space="preserve"> </w:t>
      </w:r>
      <w:r w:rsidR="0098381B" w:rsidRPr="00D94314">
        <w:rPr>
          <w:rFonts w:asciiTheme="majorHAnsi" w:hAnsiTheme="majorHAnsi"/>
          <w:sz w:val="20"/>
          <w:szCs w:val="20"/>
          <w:lang w:val="es-CO"/>
        </w:rPr>
        <w:t>y se ordenó</w:t>
      </w:r>
      <w:r w:rsidR="0073333F" w:rsidRPr="00D94314">
        <w:rPr>
          <w:rFonts w:asciiTheme="majorHAnsi" w:hAnsiTheme="majorHAnsi"/>
          <w:sz w:val="20"/>
          <w:szCs w:val="20"/>
          <w:lang w:val="es-CO"/>
        </w:rPr>
        <w:t xml:space="preserve"> que el juez proceda a ejecutar la sentencia. El 28 de enero de 2010 se dispuso continuar con el proceso de ejecución y en 2011 se ordenó una nueva pericia. Según la información disponible, desde ese momento, a la fecha, el proceso de ejecución </w:t>
      </w:r>
      <w:r w:rsidR="00371CF8" w:rsidRPr="00D94314">
        <w:rPr>
          <w:rFonts w:asciiTheme="majorHAnsi" w:hAnsiTheme="majorHAnsi"/>
          <w:sz w:val="20"/>
          <w:szCs w:val="20"/>
          <w:lang w:val="es-CO"/>
        </w:rPr>
        <w:t>d</w:t>
      </w:r>
      <w:r w:rsidR="0073333F" w:rsidRPr="00D94314">
        <w:rPr>
          <w:rFonts w:asciiTheme="majorHAnsi" w:hAnsiTheme="majorHAnsi"/>
          <w:sz w:val="20"/>
          <w:szCs w:val="20"/>
          <w:lang w:val="es-CO"/>
        </w:rPr>
        <w:t xml:space="preserve">e sentencia continúa abierto. </w:t>
      </w:r>
    </w:p>
    <w:p w14:paraId="1BF7B83C" w14:textId="77777777" w:rsidR="008B4D04" w:rsidRPr="00D94314" w:rsidRDefault="008B4D04" w:rsidP="008B4D04">
      <w:pPr>
        <w:pStyle w:val="ListParagraph"/>
        <w:rPr>
          <w:rFonts w:asciiTheme="majorHAnsi" w:hAnsiTheme="majorHAnsi"/>
          <w:b/>
          <w:sz w:val="20"/>
          <w:szCs w:val="20"/>
          <w:lang w:val="es-CO"/>
        </w:rPr>
      </w:pPr>
    </w:p>
    <w:p w14:paraId="1DA6F05A" w14:textId="24382AFE" w:rsidR="00EE279D" w:rsidRPr="00D94314" w:rsidRDefault="008B4D04" w:rsidP="0018734B">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El otro debate que se ha dado a lo largo de tod</w:t>
      </w:r>
      <w:r w:rsidR="000F61A6" w:rsidRPr="00D94314">
        <w:rPr>
          <w:rFonts w:asciiTheme="majorHAnsi" w:hAnsiTheme="majorHAnsi"/>
          <w:sz w:val="20"/>
          <w:szCs w:val="20"/>
          <w:lang w:val="es-CO"/>
        </w:rPr>
        <w:t>o el proceso es el relativo a cuál es la vía idónea</w:t>
      </w:r>
      <w:r w:rsidR="00F714EA" w:rsidRPr="00D94314">
        <w:rPr>
          <w:rFonts w:asciiTheme="majorHAnsi" w:hAnsiTheme="majorHAnsi"/>
          <w:sz w:val="20"/>
          <w:szCs w:val="20"/>
          <w:lang w:val="es-CO"/>
        </w:rPr>
        <w:t xml:space="preserve"> para la determinación de los efectos patrimoniales </w:t>
      </w:r>
      <w:r w:rsidR="00371CF8" w:rsidRPr="00D94314">
        <w:rPr>
          <w:rFonts w:asciiTheme="majorHAnsi" w:hAnsiTheme="majorHAnsi"/>
          <w:sz w:val="20"/>
          <w:szCs w:val="20"/>
          <w:lang w:val="es-CO"/>
        </w:rPr>
        <w:t xml:space="preserve">y laborales </w:t>
      </w:r>
      <w:r w:rsidR="00F714EA" w:rsidRPr="00D94314">
        <w:rPr>
          <w:rFonts w:asciiTheme="majorHAnsi" w:hAnsiTheme="majorHAnsi"/>
          <w:sz w:val="20"/>
          <w:szCs w:val="20"/>
          <w:lang w:val="es-CO"/>
        </w:rPr>
        <w:t>de la decisión final de amparo de 16 de febrero de</w:t>
      </w:r>
      <w:r w:rsidR="00035800" w:rsidRPr="00D94314">
        <w:rPr>
          <w:rFonts w:asciiTheme="majorHAnsi" w:hAnsiTheme="majorHAnsi"/>
          <w:sz w:val="20"/>
          <w:szCs w:val="20"/>
          <w:lang w:val="es-CO"/>
        </w:rPr>
        <w:t xml:space="preserve"> </w:t>
      </w:r>
      <w:r w:rsidR="00F714EA" w:rsidRPr="00D94314">
        <w:rPr>
          <w:rFonts w:asciiTheme="majorHAnsi" w:hAnsiTheme="majorHAnsi"/>
          <w:sz w:val="20"/>
          <w:szCs w:val="20"/>
          <w:lang w:val="es-CO"/>
        </w:rPr>
        <w:t xml:space="preserve">1993. </w:t>
      </w:r>
      <w:r w:rsidR="005D0AA5" w:rsidRPr="00D94314">
        <w:rPr>
          <w:rFonts w:asciiTheme="majorHAnsi" w:hAnsiTheme="majorHAnsi"/>
          <w:sz w:val="20"/>
          <w:szCs w:val="20"/>
          <w:lang w:val="es-CO"/>
        </w:rPr>
        <w:t>Sobre esta cuestión, la CIDH observa</w:t>
      </w:r>
      <w:r w:rsidR="00371CF8" w:rsidRPr="00D94314">
        <w:rPr>
          <w:rFonts w:asciiTheme="majorHAnsi" w:hAnsiTheme="majorHAnsi"/>
          <w:sz w:val="20"/>
          <w:szCs w:val="20"/>
          <w:lang w:val="es-CO"/>
        </w:rPr>
        <w:t>, como lo hizo en el Informe de Admisibilidad del presente asunto,</w:t>
      </w:r>
      <w:r w:rsidR="005D0AA5" w:rsidRPr="00D94314">
        <w:rPr>
          <w:rFonts w:asciiTheme="majorHAnsi" w:hAnsiTheme="majorHAnsi"/>
          <w:sz w:val="20"/>
          <w:szCs w:val="20"/>
          <w:lang w:val="es-CO"/>
        </w:rPr>
        <w:t xml:space="preserve"> que el hecho de haber solicitado judicialmente reiteradas pericias y darle curso al proceso de ejecución por más de seis años desde dicha decisión hasta el 12 de febrero de 1999</w:t>
      </w:r>
      <w:r w:rsidR="00035800" w:rsidRPr="00D94314">
        <w:rPr>
          <w:rFonts w:asciiTheme="majorHAnsi" w:hAnsiTheme="majorHAnsi"/>
          <w:sz w:val="20"/>
          <w:szCs w:val="20"/>
          <w:lang w:val="es-CO"/>
        </w:rPr>
        <w:t xml:space="preserve">, envió un mensaje a las presuntas víctimas sobre que efectivamente esa era la vía idónea para tal efecto. </w:t>
      </w:r>
      <w:r w:rsidR="00892EBB" w:rsidRPr="00D94314">
        <w:rPr>
          <w:rFonts w:asciiTheme="majorHAnsi" w:hAnsiTheme="majorHAnsi"/>
          <w:sz w:val="20"/>
          <w:szCs w:val="20"/>
          <w:lang w:val="es-CO"/>
        </w:rPr>
        <w:t xml:space="preserve">Además, si bien en varias oportunidades las decisiones de archivo del proceso de ejecución de sentencia hicieron referencia a que se dejaba a salvo el derecho de las presuntas víctimas </w:t>
      </w:r>
      <w:r w:rsidR="00D0637F" w:rsidRPr="00D94314">
        <w:rPr>
          <w:rFonts w:asciiTheme="majorHAnsi" w:hAnsiTheme="majorHAnsi"/>
          <w:sz w:val="20"/>
          <w:szCs w:val="20"/>
          <w:lang w:val="es-CO"/>
        </w:rPr>
        <w:t xml:space="preserve">de hacer valer sus derechos en la vía que corresponda, lo cierto es que posteriormente las autoridades judiciales peruanas reabrieron el proceso de ejecución de sentencia, sin que haya culminado de manera definitiva </w:t>
      </w:r>
      <w:r w:rsidR="00D0637F" w:rsidRPr="00D94314">
        <w:rPr>
          <w:rFonts w:asciiTheme="majorHAnsi" w:hAnsiTheme="majorHAnsi"/>
          <w:sz w:val="20"/>
          <w:szCs w:val="20"/>
          <w:lang w:val="es-CO"/>
        </w:rPr>
        <w:lastRenderedPageBreak/>
        <w:t xml:space="preserve">hasta la fecha. </w:t>
      </w:r>
      <w:r w:rsidR="0096363C" w:rsidRPr="00D94314">
        <w:rPr>
          <w:rFonts w:asciiTheme="majorHAnsi" w:hAnsiTheme="majorHAnsi"/>
          <w:sz w:val="20"/>
          <w:szCs w:val="20"/>
          <w:lang w:val="es-CO"/>
        </w:rPr>
        <w:t>La Comisión observa que además de que las autoridades judiciales peruanas no han logrado tener una posición clara y definitiva sobre la vía idónea</w:t>
      </w:r>
      <w:r w:rsidR="00694791" w:rsidRPr="00D94314">
        <w:rPr>
          <w:rFonts w:asciiTheme="majorHAnsi" w:hAnsiTheme="majorHAnsi"/>
          <w:sz w:val="20"/>
          <w:szCs w:val="20"/>
          <w:lang w:val="es-CO"/>
        </w:rPr>
        <w:t xml:space="preserve"> para </w:t>
      </w:r>
      <w:r w:rsidR="002C4D62" w:rsidRPr="00D94314">
        <w:rPr>
          <w:rFonts w:asciiTheme="majorHAnsi" w:hAnsiTheme="majorHAnsi"/>
          <w:sz w:val="20"/>
          <w:szCs w:val="20"/>
          <w:lang w:val="es-CO"/>
        </w:rPr>
        <w:t>ventilar la pretensión de las presuntas víctimas, las propias decisiones que</w:t>
      </w:r>
      <w:r w:rsidR="002B6D48" w:rsidRPr="00D94314">
        <w:rPr>
          <w:rFonts w:asciiTheme="majorHAnsi" w:hAnsiTheme="majorHAnsi"/>
          <w:sz w:val="20"/>
          <w:szCs w:val="20"/>
          <w:lang w:val="es-CO"/>
        </w:rPr>
        <w:t xml:space="preserve"> archivaron</w:t>
      </w:r>
      <w:r w:rsidR="002C4D62" w:rsidRPr="00D94314">
        <w:rPr>
          <w:rFonts w:asciiTheme="majorHAnsi" w:hAnsiTheme="majorHAnsi"/>
          <w:sz w:val="20"/>
          <w:szCs w:val="20"/>
          <w:lang w:val="es-CO"/>
        </w:rPr>
        <w:t xml:space="preserve"> el proceso de ejecución de sentencia</w:t>
      </w:r>
      <w:r w:rsidR="002B6D48" w:rsidRPr="00D94314">
        <w:rPr>
          <w:rFonts w:asciiTheme="majorHAnsi" w:hAnsiTheme="majorHAnsi"/>
          <w:sz w:val="20"/>
          <w:szCs w:val="20"/>
          <w:lang w:val="es-CO"/>
        </w:rPr>
        <w:t xml:space="preserve">, incurren en una contradicción al señalar, por un lado, que conforme a las pericias </w:t>
      </w:r>
      <w:r w:rsidR="00B06467" w:rsidRPr="00D94314">
        <w:rPr>
          <w:rFonts w:asciiTheme="majorHAnsi" w:hAnsiTheme="majorHAnsi"/>
          <w:sz w:val="20"/>
          <w:szCs w:val="20"/>
          <w:lang w:val="es-CO"/>
        </w:rPr>
        <w:t xml:space="preserve">no existe deuda que liquidar porque los decretos no fueron aplicados y, por otro lado, </w:t>
      </w:r>
      <w:r w:rsidR="001E7BDA" w:rsidRPr="00D94314">
        <w:rPr>
          <w:rFonts w:asciiTheme="majorHAnsi" w:hAnsiTheme="majorHAnsi"/>
          <w:sz w:val="20"/>
          <w:szCs w:val="20"/>
          <w:lang w:val="es-CO"/>
        </w:rPr>
        <w:t xml:space="preserve">que queda abierta otra vía para hacer efectivos los derechos. El Estado peruano también ante la CIDH ha oscilado entre darle plena validez a las pericias que indican que no existe deuda alguna y alegar que </w:t>
      </w:r>
      <w:r w:rsidR="00EE279D" w:rsidRPr="00D94314">
        <w:rPr>
          <w:rFonts w:asciiTheme="majorHAnsi" w:hAnsiTheme="majorHAnsi"/>
          <w:sz w:val="20"/>
          <w:szCs w:val="20"/>
          <w:lang w:val="es-CO"/>
        </w:rPr>
        <w:t>el proceso de ejecución de sentencia de amparo no era la vía idónea para lograr la determinación y pago de los montos.</w:t>
      </w:r>
    </w:p>
    <w:p w14:paraId="6F4C7A65" w14:textId="77777777" w:rsidR="00EE279D" w:rsidRPr="00D94314" w:rsidRDefault="00EE279D" w:rsidP="00EE279D">
      <w:pPr>
        <w:pStyle w:val="ListParagraph"/>
        <w:jc w:val="both"/>
        <w:rPr>
          <w:rFonts w:asciiTheme="majorHAnsi" w:hAnsiTheme="majorHAnsi"/>
          <w:b/>
          <w:sz w:val="20"/>
          <w:szCs w:val="20"/>
          <w:lang w:val="es-CO"/>
        </w:rPr>
      </w:pPr>
    </w:p>
    <w:p w14:paraId="7A86AF15" w14:textId="6349FF1B" w:rsidR="008B4D04" w:rsidRPr="00D94314" w:rsidRDefault="00EE279D" w:rsidP="0018734B">
      <w:pPr>
        <w:pStyle w:val="ListParagraph"/>
        <w:numPr>
          <w:ilvl w:val="0"/>
          <w:numId w:val="57"/>
        </w:numPr>
        <w:ind w:left="0" w:firstLine="720"/>
        <w:jc w:val="both"/>
        <w:rPr>
          <w:rFonts w:asciiTheme="majorHAnsi" w:hAnsiTheme="majorHAnsi"/>
          <w:b/>
          <w:sz w:val="20"/>
          <w:szCs w:val="20"/>
          <w:lang w:val="es-CO"/>
        </w:rPr>
      </w:pPr>
      <w:r w:rsidRPr="00D94314">
        <w:rPr>
          <w:rFonts w:asciiTheme="majorHAnsi" w:hAnsiTheme="majorHAnsi"/>
          <w:sz w:val="20"/>
          <w:szCs w:val="20"/>
          <w:lang w:val="es-CO"/>
        </w:rPr>
        <w:t xml:space="preserve"> Con base en lo indicado en los párrafos precedentes</w:t>
      </w:r>
      <w:r w:rsidR="0064551E" w:rsidRPr="00D94314">
        <w:rPr>
          <w:rFonts w:asciiTheme="majorHAnsi" w:hAnsiTheme="majorHAnsi"/>
          <w:sz w:val="20"/>
          <w:szCs w:val="20"/>
          <w:lang w:val="es-CO"/>
        </w:rPr>
        <w:t xml:space="preserve">, </w:t>
      </w:r>
      <w:r w:rsidRPr="00D94314">
        <w:rPr>
          <w:rFonts w:asciiTheme="majorHAnsi" w:hAnsiTheme="majorHAnsi"/>
          <w:sz w:val="20"/>
          <w:szCs w:val="20"/>
          <w:lang w:val="es-CO"/>
        </w:rPr>
        <w:t xml:space="preserve">la Comisión </w:t>
      </w:r>
      <w:r w:rsidR="0064551E" w:rsidRPr="00D94314">
        <w:rPr>
          <w:rFonts w:asciiTheme="majorHAnsi" w:hAnsiTheme="majorHAnsi"/>
          <w:sz w:val="20"/>
          <w:szCs w:val="20"/>
          <w:lang w:val="es-CO"/>
        </w:rPr>
        <w:t xml:space="preserve">considera que a lo largo de 26 años que las autoridades judiciales peruanas han permitido que se sustancie un proceso de ejecución de sentencia sin lograr resolver de manera definitiva los debates principales para lograr el cumplimiento de la sentencia de amparo de 16 de febrero de 1993, </w:t>
      </w:r>
      <w:r w:rsidR="008A0E1D" w:rsidRPr="00D94314">
        <w:rPr>
          <w:rFonts w:asciiTheme="majorHAnsi" w:hAnsiTheme="majorHAnsi"/>
          <w:sz w:val="20"/>
          <w:szCs w:val="20"/>
          <w:lang w:val="es-CO"/>
        </w:rPr>
        <w:t>resulta incompatible con el derecho a que las sentencias judiciales en firme sean debidamente ejecutadas, para  lo cual el Estado, a través de sus autoridades judiciales, debe contar con mecanismos efectivos y oportunos para tal efecto</w:t>
      </w:r>
      <w:r w:rsidR="00F06971" w:rsidRPr="00D94314">
        <w:rPr>
          <w:rFonts w:asciiTheme="majorHAnsi" w:hAnsiTheme="majorHAnsi"/>
          <w:sz w:val="20"/>
          <w:szCs w:val="20"/>
          <w:lang w:val="es-CO"/>
        </w:rPr>
        <w:t>. En el presente caso, los procesos internos han demostrado su total inefectividad para brindar una respuesta definitiva a las presuntas víctimas sobre el alcance de sus derechos y los efectos patrimoniales</w:t>
      </w:r>
      <w:r w:rsidR="00371CF8" w:rsidRPr="00D94314">
        <w:rPr>
          <w:rFonts w:asciiTheme="majorHAnsi" w:hAnsiTheme="majorHAnsi"/>
          <w:sz w:val="20"/>
          <w:szCs w:val="20"/>
          <w:lang w:val="es-CO"/>
        </w:rPr>
        <w:t xml:space="preserve"> o laborales</w:t>
      </w:r>
      <w:r w:rsidR="00F06971" w:rsidRPr="00D94314">
        <w:rPr>
          <w:rFonts w:asciiTheme="majorHAnsi" w:hAnsiTheme="majorHAnsi"/>
          <w:sz w:val="20"/>
          <w:szCs w:val="20"/>
          <w:lang w:val="es-CO"/>
        </w:rPr>
        <w:t xml:space="preserve"> de la decisión de amparo a su favor, con miras a su debida ejecución. </w:t>
      </w:r>
    </w:p>
    <w:p w14:paraId="3EDDAA62" w14:textId="77777777" w:rsidR="00F06971" w:rsidRPr="00D94314" w:rsidRDefault="00F06971" w:rsidP="00F06971">
      <w:pPr>
        <w:pStyle w:val="ListParagraph"/>
        <w:rPr>
          <w:rFonts w:asciiTheme="majorHAnsi" w:hAnsiTheme="majorHAnsi"/>
          <w:b/>
          <w:sz w:val="20"/>
          <w:szCs w:val="20"/>
          <w:lang w:val="es-CO"/>
        </w:rPr>
      </w:pPr>
    </w:p>
    <w:p w14:paraId="6A1632CC" w14:textId="77777777" w:rsidR="00061FBF" w:rsidRPr="00D94314" w:rsidRDefault="00C717F7" w:rsidP="00061FBF">
      <w:pPr>
        <w:pStyle w:val="ListParagraph"/>
        <w:numPr>
          <w:ilvl w:val="0"/>
          <w:numId w:val="57"/>
        </w:numPr>
        <w:ind w:left="0" w:firstLine="720"/>
        <w:jc w:val="both"/>
        <w:rPr>
          <w:rFonts w:asciiTheme="majorHAnsi" w:hAnsiTheme="majorHAnsi"/>
          <w:b/>
          <w:sz w:val="20"/>
          <w:szCs w:val="20"/>
          <w:lang w:val="es-CO"/>
        </w:rPr>
      </w:pPr>
      <w:r w:rsidRPr="00D94314">
        <w:rPr>
          <w:color w:val="auto"/>
          <w:sz w:val="20"/>
          <w:szCs w:val="20"/>
          <w:lang w:val="es-AR"/>
        </w:rPr>
        <w:t xml:space="preserve">En virtud de las anteriores consideraciones, la Comisión concluye que el Estado peruano es responsable por la violación del derecho a protección judicial, específicamente en lo relativo a la ejecución de decisiones judiciales en firme, en los términos del artículo 25.2 c) de la Convención Americana en relación con las obligaciones establecidas en </w:t>
      </w:r>
      <w:r w:rsidR="0047427A" w:rsidRPr="00D94314">
        <w:rPr>
          <w:color w:val="auto"/>
          <w:sz w:val="20"/>
          <w:szCs w:val="20"/>
          <w:lang w:val="es-AR"/>
        </w:rPr>
        <w:t xml:space="preserve">el </w:t>
      </w:r>
      <w:r w:rsidRPr="00D94314">
        <w:rPr>
          <w:color w:val="auto"/>
          <w:sz w:val="20"/>
          <w:szCs w:val="20"/>
          <w:lang w:val="es-AR"/>
        </w:rPr>
        <w:t>artículo 1.1 del mismo instrumento, en perjuicio de la totalidad de víctimas del presente caso, beneficiarias de la</w:t>
      </w:r>
      <w:r w:rsidR="0047427A" w:rsidRPr="00D94314">
        <w:rPr>
          <w:color w:val="auto"/>
          <w:sz w:val="20"/>
          <w:szCs w:val="20"/>
          <w:lang w:val="es-AR"/>
        </w:rPr>
        <w:t xml:space="preserve"> decisión de 16 de febrero de 1993, </w:t>
      </w:r>
      <w:r w:rsidRPr="00D94314">
        <w:rPr>
          <w:color w:val="auto"/>
          <w:sz w:val="20"/>
          <w:szCs w:val="20"/>
          <w:lang w:val="es-AR"/>
        </w:rPr>
        <w:t>conforme se individualiza en el Anexo Único de víctimas del presente informe de fondo.</w:t>
      </w:r>
    </w:p>
    <w:p w14:paraId="70A79CEA" w14:textId="77777777" w:rsidR="00061FBF" w:rsidRPr="00D94314" w:rsidRDefault="00061FBF" w:rsidP="00061FBF">
      <w:pPr>
        <w:pStyle w:val="ListParagraph"/>
        <w:rPr>
          <w:sz w:val="20"/>
          <w:szCs w:val="20"/>
          <w:lang w:val="es-ES"/>
        </w:rPr>
      </w:pPr>
    </w:p>
    <w:p w14:paraId="74EA1D9F" w14:textId="61496F73" w:rsidR="008B4D04" w:rsidRPr="00D94314" w:rsidRDefault="00061FBF" w:rsidP="00DC519A">
      <w:pPr>
        <w:pStyle w:val="ListParagraph"/>
        <w:numPr>
          <w:ilvl w:val="0"/>
          <w:numId w:val="57"/>
        </w:numPr>
        <w:ind w:left="0" w:firstLine="720"/>
        <w:jc w:val="both"/>
        <w:rPr>
          <w:rFonts w:asciiTheme="majorHAnsi" w:hAnsiTheme="majorHAnsi"/>
          <w:b/>
          <w:sz w:val="20"/>
          <w:szCs w:val="20"/>
          <w:lang w:val="es-CO"/>
        </w:rPr>
      </w:pPr>
      <w:r w:rsidRPr="00D94314">
        <w:rPr>
          <w:sz w:val="20"/>
          <w:szCs w:val="20"/>
          <w:lang w:val="es-ES"/>
        </w:rPr>
        <w:t xml:space="preserve">Adicionalmente y tomando en cuenta las consideraciones efectuadas </w:t>
      </w:r>
      <w:r w:rsidRPr="00D94314">
        <w:rPr>
          <w:i/>
          <w:sz w:val="20"/>
          <w:szCs w:val="20"/>
          <w:lang w:val="es-ES"/>
        </w:rPr>
        <w:t xml:space="preserve">supra, </w:t>
      </w:r>
      <w:r w:rsidRPr="00D94314">
        <w:rPr>
          <w:sz w:val="20"/>
          <w:szCs w:val="20"/>
          <w:lang w:val="es-ES"/>
        </w:rPr>
        <w:t>la Comisión considera que el caso del SUTECASA es un ejemplo más de una problemática estructural de alcance general consistente en el incumplimiento de sentencias judiciales. Ello se encuentra agravado por una práctica conforme a la cual las autoridades judiciales a cargo de la ejecución de dichas sentencias no toman las medidas necesarias para resolver debates fundamentales sobre la implementación de las mismas. La Comisión destaca qu</w:t>
      </w:r>
      <w:r w:rsidR="00D429C9" w:rsidRPr="00D94314">
        <w:rPr>
          <w:sz w:val="20"/>
          <w:szCs w:val="20"/>
          <w:lang w:val="es-ES"/>
        </w:rPr>
        <w:t>e</w:t>
      </w:r>
      <w:r w:rsidRPr="00D94314">
        <w:rPr>
          <w:sz w:val="20"/>
          <w:szCs w:val="20"/>
          <w:lang w:val="es-ES"/>
        </w:rPr>
        <w:t xml:space="preserve"> a pesar de estar en conocimiento de esta problemática, el Estado no ha adoptado las medidas generales necesarias para remediarla y evitar su repetición. En consecuencia, la Comisión considera que el Estado también es responsable por la violación del artículo 2 de la Convención Americana. </w:t>
      </w:r>
    </w:p>
    <w:p w14:paraId="3FEC6F9A" w14:textId="77777777" w:rsidR="00926D1C" w:rsidRPr="00D94314" w:rsidRDefault="00926D1C" w:rsidP="00926D1C">
      <w:pPr>
        <w:rPr>
          <w:rFonts w:asciiTheme="majorHAnsi" w:hAnsiTheme="majorHAnsi"/>
          <w:sz w:val="20"/>
          <w:szCs w:val="20"/>
          <w:lang w:val="es-ES"/>
        </w:rPr>
      </w:pPr>
    </w:p>
    <w:p w14:paraId="6C824427" w14:textId="7AD15820" w:rsidR="00926D1C" w:rsidRPr="00D94314" w:rsidRDefault="00575C65" w:rsidP="00926D1C">
      <w:pPr>
        <w:pStyle w:val="Heading3"/>
        <w:keepNext w:val="0"/>
        <w:spacing w:before="0" w:after="0"/>
        <w:ind w:left="360" w:firstLine="360"/>
        <w:jc w:val="both"/>
        <w:rPr>
          <w:rFonts w:asciiTheme="majorHAnsi" w:hAnsiTheme="majorHAnsi"/>
          <w:sz w:val="20"/>
          <w:szCs w:val="20"/>
        </w:rPr>
      </w:pPr>
      <w:bookmarkStart w:id="32" w:name="_Toc346449095"/>
      <w:bookmarkStart w:id="33" w:name="_Toc474398502"/>
      <w:bookmarkStart w:id="34" w:name="_Toc480636778"/>
      <w:bookmarkStart w:id="35" w:name="_Toc19528394"/>
      <w:bookmarkStart w:id="36" w:name="_Toc21421521"/>
      <w:r w:rsidRPr="00D94314">
        <w:rPr>
          <w:rFonts w:asciiTheme="majorHAnsi" w:hAnsiTheme="majorHAnsi"/>
          <w:sz w:val="20"/>
          <w:szCs w:val="20"/>
        </w:rPr>
        <w:t>4.</w:t>
      </w:r>
      <w:r w:rsidRPr="00D94314">
        <w:rPr>
          <w:rFonts w:asciiTheme="majorHAnsi" w:hAnsiTheme="majorHAnsi"/>
          <w:sz w:val="20"/>
          <w:szCs w:val="20"/>
        </w:rPr>
        <w:tab/>
      </w:r>
      <w:r w:rsidR="00926D1C" w:rsidRPr="00D94314">
        <w:rPr>
          <w:rFonts w:asciiTheme="majorHAnsi" w:hAnsiTheme="majorHAnsi"/>
          <w:sz w:val="20"/>
          <w:szCs w:val="20"/>
        </w:rPr>
        <w:t>Plazo razonable en la ejecución de fallos internos</w:t>
      </w:r>
      <w:bookmarkEnd w:id="32"/>
      <w:bookmarkEnd w:id="33"/>
      <w:bookmarkEnd w:id="34"/>
      <w:bookmarkEnd w:id="35"/>
      <w:bookmarkEnd w:id="36"/>
    </w:p>
    <w:p w14:paraId="5C7D8ADF" w14:textId="77777777" w:rsidR="00926D1C" w:rsidRPr="00D94314" w:rsidRDefault="00926D1C" w:rsidP="00926D1C">
      <w:pPr>
        <w:rPr>
          <w:rFonts w:asciiTheme="majorHAnsi" w:hAnsiTheme="majorHAnsi"/>
          <w:sz w:val="20"/>
          <w:szCs w:val="20"/>
          <w:lang w:val="es-ES"/>
        </w:rPr>
      </w:pPr>
    </w:p>
    <w:p w14:paraId="57456CD8" w14:textId="6AC763AE" w:rsidR="00926D1C" w:rsidRPr="00D94314" w:rsidRDefault="00926D1C" w:rsidP="005E4D9F">
      <w:pPr>
        <w:pStyle w:val="ListParagraph"/>
        <w:numPr>
          <w:ilvl w:val="0"/>
          <w:numId w:val="57"/>
        </w:numPr>
        <w:ind w:left="0" w:firstLine="720"/>
        <w:jc w:val="both"/>
        <w:rPr>
          <w:rFonts w:asciiTheme="majorHAnsi" w:hAnsiTheme="majorHAnsi"/>
          <w:sz w:val="20"/>
          <w:szCs w:val="20"/>
          <w:lang w:val="es-ES"/>
        </w:rPr>
      </w:pPr>
      <w:r w:rsidRPr="00D94314">
        <w:rPr>
          <w:rFonts w:asciiTheme="majorHAnsi" w:hAnsiTheme="majorHAnsi"/>
          <w:sz w:val="20"/>
          <w:szCs w:val="20"/>
          <w:lang w:val="es-ES"/>
        </w:rPr>
        <w:t>El artículo 8.1 de la Convención Americana establece como uno de los elementos del debido proceso que los tribunales decidan los casos sometidos a su conocimiento en un plazo razonable. En este sentido, una demora prolongada puede llegar a constituir, por sí misma, una violación de las garantías judiciales</w:t>
      </w:r>
      <w:r w:rsidRPr="00D94314">
        <w:rPr>
          <w:rStyle w:val="FootnoteReference"/>
          <w:rFonts w:asciiTheme="majorHAnsi" w:hAnsiTheme="majorHAnsi"/>
          <w:sz w:val="20"/>
          <w:szCs w:val="20"/>
        </w:rPr>
        <w:footnoteReference w:id="70"/>
      </w:r>
      <w:r w:rsidRPr="00D94314">
        <w:rPr>
          <w:rFonts w:asciiTheme="majorHAnsi" w:hAnsiTheme="majorHAnsi"/>
          <w:sz w:val="20"/>
          <w:szCs w:val="20"/>
          <w:lang w:val="es-ES"/>
        </w:rPr>
        <w:t xml:space="preserve">. Aunque la CIDH y la Corte se han pronunciado de manera extensa sobre el plazo razonable en procesos de carácter penal, </w:t>
      </w:r>
      <w:r w:rsidR="0058520A" w:rsidRPr="00D94314">
        <w:rPr>
          <w:rFonts w:asciiTheme="majorHAnsi" w:hAnsiTheme="majorHAnsi"/>
          <w:sz w:val="20"/>
          <w:szCs w:val="20"/>
          <w:lang w:val="es-ES"/>
        </w:rPr>
        <w:t>esta</w:t>
      </w:r>
      <w:r w:rsidRPr="00D94314">
        <w:rPr>
          <w:rFonts w:asciiTheme="majorHAnsi" w:hAnsiTheme="majorHAnsi"/>
          <w:sz w:val="20"/>
          <w:szCs w:val="20"/>
          <w:lang w:val="es-ES"/>
        </w:rPr>
        <w:t xml:space="preserve"> disposición también puede ser aplicada a la ejecución de una sentencia judicial en firme.</w:t>
      </w:r>
    </w:p>
    <w:p w14:paraId="1D6D8086" w14:textId="77777777" w:rsidR="00926D1C" w:rsidRPr="00D94314" w:rsidRDefault="00926D1C" w:rsidP="00926D1C">
      <w:pPr>
        <w:ind w:left="720"/>
        <w:jc w:val="both"/>
        <w:rPr>
          <w:rFonts w:asciiTheme="majorHAnsi" w:hAnsiTheme="majorHAnsi"/>
          <w:sz w:val="20"/>
          <w:szCs w:val="20"/>
          <w:lang w:val="es-ES"/>
        </w:rPr>
      </w:pPr>
    </w:p>
    <w:p w14:paraId="0CE8574B" w14:textId="77777777" w:rsidR="00926D1C" w:rsidRPr="00D94314" w:rsidRDefault="00926D1C" w:rsidP="00575C65">
      <w:pPr>
        <w:pStyle w:val="ListParagraph"/>
        <w:numPr>
          <w:ilvl w:val="0"/>
          <w:numId w:val="57"/>
        </w:numPr>
        <w:ind w:left="0" w:firstLine="720"/>
        <w:jc w:val="both"/>
        <w:rPr>
          <w:rFonts w:asciiTheme="majorHAnsi" w:hAnsiTheme="majorHAnsi"/>
          <w:sz w:val="20"/>
          <w:szCs w:val="20"/>
          <w:lang w:val="es-ES"/>
        </w:rPr>
      </w:pPr>
      <w:r w:rsidRPr="00D94314">
        <w:rPr>
          <w:rFonts w:asciiTheme="majorHAnsi" w:hAnsiTheme="majorHAnsi"/>
          <w:sz w:val="20"/>
          <w:szCs w:val="20"/>
          <w:lang w:val="es-ES"/>
        </w:rPr>
        <w:t>Ello ha sido reiterado en la jurisprudencia de la Corte Europea, al indicar que el retraso injustificado en la ejecución de una sentencia judicial puede constituir una violación del derecho a tener una demanda judicial resuelta dentro un plazo razonable</w:t>
      </w:r>
      <w:r w:rsidRPr="00D94314">
        <w:rPr>
          <w:rStyle w:val="FootnoteReference"/>
          <w:rFonts w:asciiTheme="majorHAnsi" w:hAnsiTheme="majorHAnsi"/>
          <w:sz w:val="20"/>
          <w:szCs w:val="20"/>
          <w:lang w:val="es-ES"/>
        </w:rPr>
        <w:footnoteReference w:id="71"/>
      </w:r>
      <w:r w:rsidRPr="00D94314">
        <w:rPr>
          <w:rFonts w:asciiTheme="majorHAnsi" w:hAnsiTheme="majorHAnsi"/>
          <w:sz w:val="20"/>
          <w:szCs w:val="20"/>
          <w:lang w:val="es-ES"/>
        </w:rPr>
        <w:t xml:space="preserve">. La Corte Europea remarcó que en ningún caso el retraso de la ejecución de una sentencia judicial en firme “podrá comprometer la esencia del derecho recogido por el derecho </w:t>
      </w:r>
      <w:r w:rsidRPr="00D94314">
        <w:rPr>
          <w:rFonts w:asciiTheme="majorHAnsi" w:hAnsiTheme="majorHAnsi" w:cs="Arial"/>
          <w:sz w:val="20"/>
          <w:szCs w:val="20"/>
          <w:lang w:val="es-ES"/>
        </w:rPr>
        <w:t>[al debido proceso]</w:t>
      </w:r>
      <w:r w:rsidRPr="00D94314">
        <w:rPr>
          <w:rFonts w:asciiTheme="majorHAnsi" w:hAnsiTheme="majorHAnsi"/>
          <w:sz w:val="20"/>
          <w:szCs w:val="20"/>
          <w:lang w:val="es-ES"/>
        </w:rPr>
        <w:t>”</w:t>
      </w:r>
      <w:r w:rsidRPr="00D94314">
        <w:rPr>
          <w:rStyle w:val="FootnoteReference"/>
          <w:rFonts w:asciiTheme="majorHAnsi" w:hAnsiTheme="majorHAnsi"/>
          <w:sz w:val="20"/>
          <w:szCs w:val="20"/>
          <w:lang w:val="es-ES"/>
        </w:rPr>
        <w:footnoteReference w:id="72"/>
      </w:r>
      <w:r w:rsidRPr="00D94314">
        <w:rPr>
          <w:rFonts w:asciiTheme="majorHAnsi" w:hAnsiTheme="majorHAnsi"/>
          <w:sz w:val="20"/>
          <w:szCs w:val="20"/>
          <w:lang w:val="es-ES"/>
        </w:rPr>
        <w:t>.</w:t>
      </w:r>
    </w:p>
    <w:p w14:paraId="48699E14" w14:textId="77777777" w:rsidR="00926D1C" w:rsidRPr="00D94314" w:rsidRDefault="00926D1C" w:rsidP="00926D1C">
      <w:pPr>
        <w:pStyle w:val="BodyTextIndent"/>
        <w:ind w:left="0" w:firstLine="0"/>
        <w:rPr>
          <w:rFonts w:asciiTheme="majorHAnsi" w:hAnsiTheme="majorHAnsi"/>
          <w:color w:val="auto"/>
          <w:sz w:val="20"/>
          <w:szCs w:val="20"/>
          <w:lang w:val="es-ES"/>
        </w:rPr>
      </w:pPr>
    </w:p>
    <w:p w14:paraId="16E24A32" w14:textId="77777777" w:rsidR="00926D1C" w:rsidRPr="00D94314" w:rsidRDefault="00926D1C" w:rsidP="00575C65">
      <w:pPr>
        <w:pStyle w:val="ListParagraph"/>
        <w:numPr>
          <w:ilvl w:val="0"/>
          <w:numId w:val="57"/>
        </w:numPr>
        <w:ind w:left="0" w:firstLine="720"/>
        <w:jc w:val="both"/>
        <w:rPr>
          <w:rFonts w:asciiTheme="majorHAnsi" w:hAnsiTheme="majorHAnsi"/>
          <w:sz w:val="20"/>
          <w:szCs w:val="20"/>
          <w:lang w:val="es-ES"/>
        </w:rPr>
      </w:pPr>
      <w:r w:rsidRPr="00D94314">
        <w:rPr>
          <w:rFonts w:asciiTheme="majorHAnsi" w:hAnsiTheme="majorHAnsi"/>
          <w:sz w:val="20"/>
          <w:szCs w:val="20"/>
          <w:lang w:val="es-PE"/>
        </w:rPr>
        <w:t xml:space="preserve">Según los términos del artículo 8.1 de la Convención Americana, la Comisión tomará en consideración, a la luz de las circunstancias concretas del caso, los siguientes cuatro elementos para analizar la </w:t>
      </w:r>
      <w:r w:rsidRPr="00D94314">
        <w:rPr>
          <w:rFonts w:asciiTheme="majorHAnsi" w:hAnsiTheme="majorHAnsi"/>
          <w:sz w:val="20"/>
          <w:szCs w:val="20"/>
          <w:lang w:val="es-PE"/>
        </w:rPr>
        <w:lastRenderedPageBreak/>
        <w:t>razonabilidad del plazo, a saber</w:t>
      </w:r>
      <w:r w:rsidRPr="00D94314">
        <w:rPr>
          <w:rFonts w:asciiTheme="majorHAnsi" w:hAnsiTheme="majorHAnsi"/>
          <w:sz w:val="20"/>
          <w:szCs w:val="20"/>
          <w:lang w:val="es-ES"/>
        </w:rPr>
        <w:t>: i) la complejidad del asunto; ii) la actividad procesal del interesado;  iii) la conducta de las autoridades judiciales;</w:t>
      </w:r>
      <w:r w:rsidRPr="00D94314">
        <w:rPr>
          <w:rFonts w:asciiTheme="majorHAnsi" w:hAnsiTheme="majorHAnsi"/>
          <w:sz w:val="20"/>
          <w:szCs w:val="20"/>
          <w:lang w:val="es-PE"/>
        </w:rPr>
        <w:t xml:space="preserve"> y iv) la afectación generada en la situación jurídica de la persona involucrada en el proceso</w:t>
      </w:r>
      <w:r w:rsidRPr="00D94314">
        <w:rPr>
          <w:rStyle w:val="FootnoteReference"/>
          <w:rFonts w:asciiTheme="majorHAnsi" w:hAnsiTheme="majorHAnsi"/>
          <w:sz w:val="20"/>
          <w:szCs w:val="20"/>
        </w:rPr>
        <w:footnoteReference w:id="73"/>
      </w:r>
      <w:r w:rsidRPr="00D94314">
        <w:rPr>
          <w:rFonts w:asciiTheme="majorHAnsi" w:hAnsiTheme="majorHAnsi"/>
          <w:sz w:val="20"/>
          <w:szCs w:val="20"/>
          <w:lang w:val="es-ES"/>
        </w:rPr>
        <w:t>.</w:t>
      </w:r>
    </w:p>
    <w:p w14:paraId="02452D58" w14:textId="77777777" w:rsidR="00926D1C" w:rsidRPr="00D94314" w:rsidRDefault="00926D1C" w:rsidP="00926D1C">
      <w:pPr>
        <w:pStyle w:val="BodyTextIndent"/>
        <w:rPr>
          <w:rFonts w:asciiTheme="majorHAnsi" w:hAnsiTheme="majorHAnsi"/>
          <w:color w:val="auto"/>
          <w:sz w:val="20"/>
          <w:szCs w:val="20"/>
          <w:lang w:val="es-ES"/>
        </w:rPr>
      </w:pPr>
    </w:p>
    <w:p w14:paraId="32E93FE4" w14:textId="3C9C70BA" w:rsidR="00926D1C" w:rsidRPr="00D94314" w:rsidRDefault="00926D1C" w:rsidP="00575C65">
      <w:pPr>
        <w:pStyle w:val="ListParagraph"/>
        <w:numPr>
          <w:ilvl w:val="0"/>
          <w:numId w:val="57"/>
        </w:numPr>
        <w:ind w:left="0" w:firstLine="720"/>
        <w:jc w:val="both"/>
        <w:rPr>
          <w:rFonts w:asciiTheme="majorHAnsi" w:hAnsiTheme="majorHAnsi"/>
          <w:sz w:val="20"/>
          <w:szCs w:val="20"/>
          <w:lang w:val="es-CO"/>
        </w:rPr>
      </w:pPr>
      <w:r w:rsidRPr="00D94314">
        <w:rPr>
          <w:rFonts w:asciiTheme="majorHAnsi" w:hAnsiTheme="majorHAnsi" w:cs="Univers"/>
          <w:sz w:val="20"/>
          <w:szCs w:val="20"/>
          <w:lang w:val="es-ES" w:eastAsia="es-ES_tradnl"/>
        </w:rPr>
        <w:t>En relación con la complejidad, la CIDH toma nota de que, en principio, el asunto no resultaba</w:t>
      </w:r>
      <w:r w:rsidR="00A34FF1" w:rsidRPr="00D94314">
        <w:rPr>
          <w:rFonts w:asciiTheme="majorHAnsi" w:hAnsiTheme="majorHAnsi" w:cs="Univers"/>
          <w:sz w:val="20"/>
          <w:szCs w:val="20"/>
          <w:lang w:val="es-ES" w:eastAsia="es-ES_tradnl"/>
        </w:rPr>
        <w:t xml:space="preserve"> particularmente</w:t>
      </w:r>
      <w:r w:rsidRPr="00D94314">
        <w:rPr>
          <w:rFonts w:asciiTheme="majorHAnsi" w:hAnsiTheme="majorHAnsi" w:cs="Univers"/>
          <w:sz w:val="20"/>
          <w:szCs w:val="20"/>
          <w:lang w:val="es-ES" w:eastAsia="es-ES_tradnl"/>
        </w:rPr>
        <w:t xml:space="preserve"> complejo en tanto existía una decisión judicial en firme que debía ser ejecutada. Sin perjuicio de ello, si bien la actuación específica de la determinación de los efectos patrimoniales</w:t>
      </w:r>
      <w:r w:rsidR="000E3919" w:rsidRPr="00D94314">
        <w:rPr>
          <w:rFonts w:asciiTheme="majorHAnsi" w:hAnsiTheme="majorHAnsi" w:cs="Univers"/>
          <w:sz w:val="20"/>
          <w:szCs w:val="20"/>
          <w:lang w:val="es-ES" w:eastAsia="es-ES_tradnl"/>
        </w:rPr>
        <w:t xml:space="preserve"> y laborales</w:t>
      </w:r>
      <w:r w:rsidRPr="00D94314">
        <w:rPr>
          <w:rFonts w:asciiTheme="majorHAnsi" w:hAnsiTheme="majorHAnsi" w:cs="Univers"/>
          <w:sz w:val="20"/>
          <w:szCs w:val="20"/>
          <w:lang w:val="es-ES" w:eastAsia="es-ES_tradnl"/>
        </w:rPr>
        <w:t xml:space="preserve"> de dicha decisión respecto de cada uno de los beneficiarios de la misma</w:t>
      </w:r>
      <w:r w:rsidR="00A672C4" w:rsidRPr="00D94314">
        <w:rPr>
          <w:rFonts w:asciiTheme="majorHAnsi" w:hAnsiTheme="majorHAnsi" w:cs="Univers"/>
          <w:sz w:val="20"/>
          <w:szCs w:val="20"/>
          <w:lang w:val="es-ES" w:eastAsia="es-ES_tradnl"/>
        </w:rPr>
        <w:t xml:space="preserve"> y la aprobación de peritajes relativos a los presuntos montos adeudados</w:t>
      </w:r>
      <w:r w:rsidRPr="00D94314">
        <w:rPr>
          <w:rFonts w:asciiTheme="majorHAnsi" w:hAnsiTheme="majorHAnsi" w:cs="Univers"/>
          <w:sz w:val="20"/>
          <w:szCs w:val="20"/>
          <w:lang w:val="es-ES" w:eastAsia="es-ES_tradnl"/>
        </w:rPr>
        <w:t xml:space="preserve"> podría revestir cierta complejidad, la misma no </w:t>
      </w:r>
      <w:r w:rsidRPr="00D94314">
        <w:rPr>
          <w:rFonts w:asciiTheme="majorHAnsi" w:hAnsiTheme="majorHAnsi"/>
          <w:sz w:val="20"/>
          <w:szCs w:val="20"/>
          <w:lang w:val="es-CO"/>
        </w:rPr>
        <w:t>guarda</w:t>
      </w:r>
      <w:r w:rsidRPr="00D94314">
        <w:rPr>
          <w:rFonts w:asciiTheme="majorHAnsi" w:hAnsiTheme="majorHAnsi" w:cs="Univers"/>
          <w:sz w:val="20"/>
          <w:szCs w:val="20"/>
          <w:lang w:val="es-ES" w:eastAsia="es-ES_tradnl"/>
        </w:rPr>
        <w:t xml:space="preserve"> relación de proporcionali</w:t>
      </w:r>
      <w:r w:rsidR="005D080A" w:rsidRPr="00D94314">
        <w:rPr>
          <w:rFonts w:asciiTheme="majorHAnsi" w:hAnsiTheme="majorHAnsi" w:cs="Univers"/>
          <w:sz w:val="20"/>
          <w:szCs w:val="20"/>
          <w:lang w:val="es-ES" w:eastAsia="es-ES_tradnl"/>
        </w:rPr>
        <w:t>dad con el plazo desmedido de 2</w:t>
      </w:r>
      <w:r w:rsidR="00A34FF1" w:rsidRPr="00D94314">
        <w:rPr>
          <w:rFonts w:asciiTheme="majorHAnsi" w:hAnsiTheme="majorHAnsi" w:cs="Univers"/>
          <w:sz w:val="20"/>
          <w:szCs w:val="20"/>
          <w:lang w:val="es-ES" w:eastAsia="es-ES_tradnl"/>
        </w:rPr>
        <w:t>6</w:t>
      </w:r>
      <w:r w:rsidRPr="00D94314">
        <w:rPr>
          <w:rFonts w:asciiTheme="majorHAnsi" w:hAnsiTheme="majorHAnsi" w:cs="Univers"/>
          <w:sz w:val="20"/>
          <w:szCs w:val="20"/>
          <w:lang w:val="es-ES" w:eastAsia="es-ES_tradnl"/>
        </w:rPr>
        <w:t xml:space="preserve"> años para resolver tales cuestiones</w:t>
      </w:r>
      <w:r w:rsidR="00874CCB" w:rsidRPr="00D94314">
        <w:rPr>
          <w:rFonts w:asciiTheme="majorHAnsi" w:hAnsiTheme="majorHAnsi" w:cs="Univers"/>
          <w:sz w:val="20"/>
          <w:szCs w:val="20"/>
          <w:lang w:val="es-ES" w:eastAsia="es-ES_tradnl"/>
        </w:rPr>
        <w:t xml:space="preserve">. </w:t>
      </w:r>
      <w:r w:rsidRPr="00D94314">
        <w:rPr>
          <w:rFonts w:asciiTheme="majorHAnsi" w:hAnsiTheme="majorHAnsi" w:cs="Univers"/>
          <w:sz w:val="20"/>
          <w:szCs w:val="20"/>
          <w:lang w:val="es-ES" w:eastAsia="es-ES_tradnl"/>
        </w:rPr>
        <w:t xml:space="preserve"> </w:t>
      </w:r>
    </w:p>
    <w:p w14:paraId="3944ED24" w14:textId="77777777" w:rsidR="00926D1C" w:rsidRPr="00D94314" w:rsidRDefault="00926D1C" w:rsidP="00926D1C">
      <w:pPr>
        <w:pStyle w:val="BodyTextIndent"/>
        <w:ind w:left="0" w:firstLine="0"/>
        <w:rPr>
          <w:rFonts w:asciiTheme="majorHAnsi" w:hAnsiTheme="majorHAnsi"/>
          <w:sz w:val="20"/>
          <w:szCs w:val="20"/>
          <w:lang w:val="es-ES"/>
        </w:rPr>
      </w:pPr>
    </w:p>
    <w:p w14:paraId="244A4A5B" w14:textId="32832A5B" w:rsidR="00926D1C" w:rsidRPr="00D94314" w:rsidRDefault="00926D1C" w:rsidP="00575C65">
      <w:pPr>
        <w:pStyle w:val="ListParagraph"/>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ES"/>
        </w:rPr>
        <w:t xml:space="preserve">En cuanto a la participación del interesado, </w:t>
      </w:r>
      <w:r w:rsidR="00341A26" w:rsidRPr="00D94314">
        <w:rPr>
          <w:rFonts w:asciiTheme="majorHAnsi" w:hAnsiTheme="majorHAnsi"/>
          <w:sz w:val="20"/>
          <w:szCs w:val="20"/>
          <w:lang w:val="es-ES"/>
        </w:rPr>
        <w:t xml:space="preserve">en </w:t>
      </w:r>
      <w:r w:rsidRPr="00D94314">
        <w:rPr>
          <w:rFonts w:asciiTheme="majorHAnsi" w:hAnsiTheme="majorHAnsi"/>
          <w:sz w:val="20"/>
          <w:szCs w:val="20"/>
          <w:lang w:val="es-ES"/>
        </w:rPr>
        <w:t xml:space="preserve">el presente caso la Comisión observa que </w:t>
      </w:r>
      <w:r w:rsidRPr="00D94314">
        <w:rPr>
          <w:rFonts w:asciiTheme="majorHAnsi" w:hAnsiTheme="majorHAnsi"/>
          <w:sz w:val="20"/>
          <w:szCs w:val="20"/>
          <w:lang w:val="es-CO"/>
        </w:rPr>
        <w:t xml:space="preserve">los miembros de </w:t>
      </w:r>
      <w:r w:rsidR="00341A26" w:rsidRPr="00D94314">
        <w:rPr>
          <w:rFonts w:asciiTheme="majorHAnsi" w:hAnsiTheme="majorHAnsi" w:cs="Univers"/>
          <w:sz w:val="20"/>
          <w:szCs w:val="20"/>
          <w:lang w:val="es-ES" w:eastAsia="es-ES_tradnl"/>
        </w:rPr>
        <w:t>SUTECASA</w:t>
      </w:r>
      <w:r w:rsidRPr="00D94314">
        <w:rPr>
          <w:rFonts w:asciiTheme="majorHAnsi" w:hAnsiTheme="majorHAnsi"/>
          <w:sz w:val="20"/>
          <w:szCs w:val="20"/>
          <w:lang w:val="es-CO"/>
        </w:rPr>
        <w:t xml:space="preserve"> dieron seguimiento e impulso a la ejecución del fallo, quejándose en reiteradas ocasiones por la demora en su tramitación. En ese sentido, el Estado no ha demostrado que la actuación de </w:t>
      </w:r>
      <w:r w:rsidR="00865CDA" w:rsidRPr="00D94314">
        <w:rPr>
          <w:rFonts w:asciiTheme="majorHAnsi" w:hAnsiTheme="majorHAnsi"/>
          <w:sz w:val="20"/>
          <w:szCs w:val="20"/>
          <w:lang w:val="es-CO"/>
        </w:rPr>
        <w:t>SUTECASA</w:t>
      </w:r>
      <w:r w:rsidRPr="00D94314">
        <w:rPr>
          <w:rFonts w:asciiTheme="majorHAnsi" w:hAnsiTheme="majorHAnsi"/>
          <w:sz w:val="20"/>
          <w:szCs w:val="20"/>
          <w:lang w:val="es-CO"/>
        </w:rPr>
        <w:t xml:space="preserve"> constituyó una forma de obstaculización o dilación más allá del ejercicio de los medios legales para lograr el cumplimiento del fallo.  </w:t>
      </w:r>
    </w:p>
    <w:p w14:paraId="51135B73" w14:textId="77777777" w:rsidR="00926D1C" w:rsidRPr="00D94314" w:rsidRDefault="00926D1C" w:rsidP="00926D1C">
      <w:pPr>
        <w:jc w:val="both"/>
        <w:rPr>
          <w:rFonts w:asciiTheme="majorHAnsi" w:hAnsiTheme="majorHAnsi"/>
          <w:sz w:val="20"/>
          <w:szCs w:val="20"/>
        </w:rPr>
      </w:pPr>
    </w:p>
    <w:p w14:paraId="6EA8352C" w14:textId="1D41964F" w:rsidR="00926D1C" w:rsidRPr="00D94314" w:rsidRDefault="00926D1C" w:rsidP="00575C65">
      <w:pPr>
        <w:pStyle w:val="ListParagraph"/>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 xml:space="preserve">En relación con la </w:t>
      </w:r>
      <w:r w:rsidRPr="00D94314">
        <w:rPr>
          <w:rFonts w:asciiTheme="majorHAnsi" w:hAnsiTheme="majorHAnsi"/>
          <w:sz w:val="20"/>
          <w:szCs w:val="20"/>
          <w:lang w:val="es-ES"/>
        </w:rPr>
        <w:t xml:space="preserve">conducta de las autoridades judiciales, la Comisión reitera en todos sus términos lo indicado en los párrafos </w:t>
      </w:r>
      <w:r w:rsidR="008B5ECA" w:rsidRPr="00D94314">
        <w:rPr>
          <w:rFonts w:asciiTheme="majorHAnsi" w:hAnsiTheme="majorHAnsi"/>
          <w:sz w:val="20"/>
          <w:szCs w:val="20"/>
          <w:lang w:val="es-ES"/>
        </w:rPr>
        <w:t>57-61</w:t>
      </w:r>
      <w:r w:rsidRPr="00D94314">
        <w:rPr>
          <w:rFonts w:asciiTheme="majorHAnsi" w:hAnsiTheme="majorHAnsi"/>
          <w:sz w:val="20"/>
          <w:szCs w:val="20"/>
          <w:lang w:val="es-ES"/>
        </w:rPr>
        <w:t xml:space="preserve"> </w:t>
      </w:r>
      <w:r w:rsidR="006E555E" w:rsidRPr="00D94314">
        <w:rPr>
          <w:rFonts w:asciiTheme="majorHAnsi" w:hAnsiTheme="majorHAnsi"/>
          <w:sz w:val="20"/>
          <w:szCs w:val="20"/>
          <w:lang w:val="es-ES"/>
        </w:rPr>
        <w:t xml:space="preserve">del presente informe, sobre la </w:t>
      </w:r>
      <w:r w:rsidRPr="00D94314">
        <w:rPr>
          <w:rFonts w:asciiTheme="majorHAnsi" w:hAnsiTheme="majorHAnsi"/>
          <w:sz w:val="20"/>
          <w:szCs w:val="20"/>
          <w:lang w:val="es-ES"/>
        </w:rPr>
        <w:t xml:space="preserve">manera en que la actuación de las autoridades judiciales durante la etapa de ejecución de sentencia ha sido marcadamente inefectiva para resolver aspectos indispensables para el cumplimiento de la misma. </w:t>
      </w:r>
    </w:p>
    <w:p w14:paraId="460CD67D" w14:textId="77777777" w:rsidR="00926D1C" w:rsidRPr="00D94314" w:rsidRDefault="00926D1C" w:rsidP="00926D1C">
      <w:pPr>
        <w:pStyle w:val="BodyTextIndent"/>
        <w:ind w:left="0" w:firstLine="0"/>
        <w:rPr>
          <w:rFonts w:asciiTheme="majorHAnsi" w:hAnsiTheme="majorHAnsi" w:cs="Garamond"/>
          <w:color w:val="auto"/>
          <w:spacing w:val="-2"/>
          <w:sz w:val="20"/>
          <w:szCs w:val="20"/>
          <w:lang w:val="es-ES"/>
        </w:rPr>
      </w:pPr>
    </w:p>
    <w:p w14:paraId="758D5CD6" w14:textId="670D50B1" w:rsidR="00926D1C" w:rsidRPr="00D94314" w:rsidRDefault="00926D1C" w:rsidP="00575C65">
      <w:pPr>
        <w:pStyle w:val="ListParagraph"/>
        <w:numPr>
          <w:ilvl w:val="0"/>
          <w:numId w:val="57"/>
        </w:numPr>
        <w:ind w:left="0" w:firstLine="720"/>
        <w:jc w:val="both"/>
        <w:rPr>
          <w:rFonts w:asciiTheme="majorHAnsi" w:hAnsiTheme="majorHAnsi" w:cs="Garamond"/>
          <w:spacing w:val="-2"/>
          <w:sz w:val="20"/>
          <w:szCs w:val="20"/>
          <w:lang w:val="es-ES"/>
        </w:rPr>
      </w:pPr>
      <w:r w:rsidRPr="00D94314">
        <w:rPr>
          <w:rFonts w:asciiTheme="majorHAnsi" w:hAnsiTheme="majorHAnsi"/>
          <w:sz w:val="20"/>
          <w:szCs w:val="20"/>
          <w:lang w:val="es-CO"/>
        </w:rPr>
        <w:t>En cuanto al cuarto elemento, la Corte ha indicado que para determinar la razonabilidad del plazo se debe considerar la afectación generada por la duración del procedimiento en la situación jurídica de la persona involucrada así como los intereses en juego</w:t>
      </w:r>
      <w:r w:rsidRPr="00D94314">
        <w:rPr>
          <w:rStyle w:val="FootnoteReference"/>
          <w:rFonts w:asciiTheme="majorHAnsi" w:hAnsiTheme="majorHAnsi"/>
          <w:sz w:val="20"/>
          <w:szCs w:val="20"/>
        </w:rPr>
        <w:footnoteReference w:id="74"/>
      </w:r>
      <w:r w:rsidRPr="00D94314">
        <w:rPr>
          <w:rFonts w:asciiTheme="majorHAnsi" w:hAnsiTheme="majorHAnsi"/>
          <w:sz w:val="20"/>
          <w:szCs w:val="20"/>
          <w:lang w:val="es-CO"/>
        </w:rPr>
        <w:t>.</w:t>
      </w:r>
      <w:r w:rsidR="00AD0B17" w:rsidRPr="00D94314">
        <w:rPr>
          <w:rFonts w:asciiTheme="majorHAnsi" w:hAnsiTheme="majorHAnsi"/>
          <w:sz w:val="20"/>
          <w:szCs w:val="20"/>
          <w:lang w:val="es-CO"/>
        </w:rPr>
        <w:t xml:space="preserve"> L</w:t>
      </w:r>
      <w:r w:rsidRPr="00D94314">
        <w:rPr>
          <w:rFonts w:asciiTheme="majorHAnsi" w:hAnsiTheme="majorHAnsi"/>
          <w:sz w:val="20"/>
          <w:szCs w:val="20"/>
          <w:lang w:val="es-CO"/>
        </w:rPr>
        <w:t xml:space="preserve">os peticionarios han informado que a la fecha han fallecido más de 100 miembros de </w:t>
      </w:r>
      <w:r w:rsidR="00AE50FD" w:rsidRPr="00D94314">
        <w:rPr>
          <w:rFonts w:asciiTheme="majorHAnsi" w:hAnsiTheme="majorHAnsi"/>
          <w:sz w:val="20"/>
          <w:szCs w:val="20"/>
          <w:lang w:val="es-CO"/>
        </w:rPr>
        <w:t>SUTECASA</w:t>
      </w:r>
      <w:r w:rsidRPr="00D94314">
        <w:rPr>
          <w:rFonts w:asciiTheme="majorHAnsi" w:hAnsiTheme="majorHAnsi"/>
          <w:sz w:val="20"/>
          <w:szCs w:val="20"/>
          <w:lang w:val="es-CO"/>
        </w:rPr>
        <w:t xml:space="preserve"> debido a su edad. Asimismo, la CIDH observa que</w:t>
      </w:r>
      <w:r w:rsidR="006967A4" w:rsidRPr="00D94314">
        <w:rPr>
          <w:rFonts w:asciiTheme="majorHAnsi" w:hAnsiTheme="majorHAnsi"/>
          <w:sz w:val="20"/>
          <w:szCs w:val="20"/>
          <w:lang w:val="es-CO"/>
        </w:rPr>
        <w:t xml:space="preserve"> según lo indicado por los peticionarios, </w:t>
      </w:r>
      <w:r w:rsidRPr="00D94314">
        <w:rPr>
          <w:rFonts w:asciiTheme="majorHAnsi" w:hAnsiTheme="majorHAnsi"/>
          <w:sz w:val="20"/>
          <w:szCs w:val="20"/>
          <w:lang w:val="es-CO"/>
        </w:rPr>
        <w:t xml:space="preserve">muchas de estas personas se encuentran en una situación económica y de salud precaria, lo cual no ha sido controvertido por el Estado. En ese sentido, la Comisión considera que este elemento resulta aplicable al presente caso y que constituye un factor adicional para establecer </w:t>
      </w:r>
      <w:r w:rsidR="00AE2CA2" w:rsidRPr="00D94314">
        <w:rPr>
          <w:rFonts w:asciiTheme="majorHAnsi" w:hAnsiTheme="majorHAnsi"/>
          <w:sz w:val="20"/>
          <w:szCs w:val="20"/>
          <w:lang w:val="es-CO"/>
        </w:rPr>
        <w:t xml:space="preserve">lo irrazonable del </w:t>
      </w:r>
      <w:r w:rsidRPr="00D94314">
        <w:rPr>
          <w:rFonts w:asciiTheme="majorHAnsi" w:hAnsiTheme="majorHAnsi"/>
          <w:sz w:val="20"/>
          <w:szCs w:val="20"/>
          <w:lang w:val="es-CO"/>
        </w:rPr>
        <w:t xml:space="preserve">plazo.  </w:t>
      </w:r>
    </w:p>
    <w:p w14:paraId="4B2F7F5E" w14:textId="77777777" w:rsidR="00926D1C" w:rsidRPr="00D94314" w:rsidRDefault="00926D1C" w:rsidP="00926D1C">
      <w:pPr>
        <w:pStyle w:val="BodyTextIndent"/>
        <w:ind w:left="0" w:firstLine="0"/>
        <w:rPr>
          <w:rFonts w:asciiTheme="majorHAnsi" w:hAnsiTheme="majorHAnsi" w:cs="Garamond"/>
          <w:color w:val="auto"/>
          <w:spacing w:val="-2"/>
          <w:sz w:val="20"/>
          <w:szCs w:val="20"/>
          <w:lang w:val="es-ES"/>
        </w:rPr>
      </w:pPr>
    </w:p>
    <w:p w14:paraId="31A5EF7B" w14:textId="77777777" w:rsidR="004964E5" w:rsidRPr="00B76CF4" w:rsidRDefault="00926D1C" w:rsidP="004964E5">
      <w:pPr>
        <w:pStyle w:val="ListParagraph"/>
        <w:numPr>
          <w:ilvl w:val="0"/>
          <w:numId w:val="57"/>
        </w:numPr>
        <w:ind w:left="0" w:firstLine="720"/>
        <w:jc w:val="both"/>
        <w:rPr>
          <w:rFonts w:asciiTheme="majorHAnsi" w:hAnsiTheme="majorHAnsi"/>
          <w:sz w:val="20"/>
          <w:szCs w:val="20"/>
          <w:lang w:val="es-CO"/>
        </w:rPr>
      </w:pPr>
      <w:r w:rsidRPr="00D94314">
        <w:rPr>
          <w:rFonts w:asciiTheme="majorHAnsi" w:hAnsiTheme="majorHAnsi"/>
          <w:sz w:val="20"/>
          <w:szCs w:val="20"/>
          <w:lang w:val="es-CO"/>
        </w:rPr>
        <w:t>En</w:t>
      </w:r>
      <w:r w:rsidRPr="00D94314">
        <w:rPr>
          <w:rFonts w:asciiTheme="majorHAnsi" w:hAnsiTheme="majorHAnsi"/>
          <w:sz w:val="20"/>
          <w:szCs w:val="20"/>
          <w:lang w:val="es-ES"/>
        </w:rPr>
        <w:t xml:space="preserve"> suma, </w:t>
      </w:r>
      <w:r w:rsidRPr="00D94314">
        <w:rPr>
          <w:rFonts w:asciiTheme="majorHAnsi" w:hAnsiTheme="majorHAnsi"/>
          <w:sz w:val="20"/>
          <w:szCs w:val="20"/>
          <w:lang w:val="es-CO"/>
        </w:rPr>
        <w:t>la Comisión con</w:t>
      </w:r>
      <w:r w:rsidR="007856EA" w:rsidRPr="00D94314">
        <w:rPr>
          <w:rFonts w:asciiTheme="majorHAnsi" w:hAnsiTheme="majorHAnsi"/>
          <w:sz w:val="20"/>
          <w:szCs w:val="20"/>
          <w:lang w:val="es-CO"/>
        </w:rPr>
        <w:t xml:space="preserve">sidera que el lapso de </w:t>
      </w:r>
      <w:r w:rsidR="005D02EC" w:rsidRPr="00D94314">
        <w:rPr>
          <w:rFonts w:asciiTheme="majorHAnsi" w:hAnsiTheme="majorHAnsi"/>
          <w:sz w:val="20"/>
          <w:szCs w:val="20"/>
          <w:lang w:val="es-CO"/>
        </w:rPr>
        <w:t xml:space="preserve">26 </w:t>
      </w:r>
      <w:r w:rsidRPr="00D94314">
        <w:rPr>
          <w:rFonts w:asciiTheme="majorHAnsi" w:hAnsiTheme="majorHAnsi"/>
          <w:sz w:val="20"/>
          <w:szCs w:val="20"/>
          <w:lang w:val="es-CO"/>
        </w:rPr>
        <w:t>años sin que se ejecute la sentencia de la Corte Suprema de</w:t>
      </w:r>
      <w:r w:rsidR="0058520A" w:rsidRPr="00D94314">
        <w:rPr>
          <w:rFonts w:asciiTheme="majorHAnsi" w:hAnsiTheme="majorHAnsi"/>
          <w:sz w:val="20"/>
          <w:szCs w:val="20"/>
          <w:lang w:val="es-CO"/>
        </w:rPr>
        <w:t xml:space="preserve"> febrero</w:t>
      </w:r>
      <w:r w:rsidRPr="00D94314">
        <w:rPr>
          <w:rFonts w:asciiTheme="majorHAnsi" w:hAnsiTheme="majorHAnsi"/>
          <w:sz w:val="20"/>
          <w:szCs w:val="20"/>
          <w:lang w:val="es-CO"/>
        </w:rPr>
        <w:t xml:space="preserve"> de 1993 sobrepasa a todas luces un plazo que pueda considerarse razonable. En consecuencia, la CIDH concluye que el Estado peruano también es responsable por la violación del derecho a un plazo razonable establecido en el artículo 8.1 de la Convención Americana en relación con las obligaciones establecidas en el artículo </w:t>
      </w:r>
      <w:r w:rsidRPr="00B76CF4">
        <w:rPr>
          <w:rFonts w:asciiTheme="majorHAnsi" w:hAnsiTheme="majorHAnsi"/>
          <w:sz w:val="20"/>
          <w:szCs w:val="20"/>
          <w:lang w:val="es-CO"/>
        </w:rPr>
        <w:t xml:space="preserve">1.1 </w:t>
      </w:r>
      <w:r w:rsidR="0051542D" w:rsidRPr="00B76CF4">
        <w:rPr>
          <w:rFonts w:asciiTheme="majorHAnsi" w:hAnsiTheme="majorHAnsi"/>
          <w:sz w:val="20"/>
          <w:szCs w:val="20"/>
          <w:lang w:val="es-CO"/>
        </w:rPr>
        <w:t xml:space="preserve">y 2 </w:t>
      </w:r>
      <w:r w:rsidRPr="00B76CF4">
        <w:rPr>
          <w:rFonts w:asciiTheme="majorHAnsi" w:hAnsiTheme="majorHAnsi"/>
          <w:sz w:val="20"/>
          <w:szCs w:val="20"/>
          <w:lang w:val="es-CO"/>
        </w:rPr>
        <w:t>del mismo instrumento en perjuicio de las personas incluidas en el Anexo Único al presente informe.</w:t>
      </w:r>
    </w:p>
    <w:p w14:paraId="7F1F3B17" w14:textId="4F2A2BDF" w:rsidR="00926D1C" w:rsidRPr="00B76CF4" w:rsidRDefault="00926D1C" w:rsidP="00926D1C">
      <w:pPr>
        <w:ind w:left="720"/>
        <w:jc w:val="both"/>
        <w:rPr>
          <w:rFonts w:asciiTheme="majorHAnsi" w:hAnsiTheme="majorHAnsi"/>
          <w:sz w:val="20"/>
          <w:szCs w:val="20"/>
          <w:lang w:val="es-CO"/>
        </w:rPr>
      </w:pPr>
    </w:p>
    <w:p w14:paraId="52DC5166" w14:textId="772248F1" w:rsidR="005C5801" w:rsidRPr="00B76CF4" w:rsidRDefault="00194C62" w:rsidP="00194C62">
      <w:pPr>
        <w:pStyle w:val="Heading3"/>
        <w:keepNext w:val="0"/>
        <w:spacing w:before="0" w:after="0"/>
        <w:ind w:firstLine="720"/>
        <w:jc w:val="both"/>
        <w:rPr>
          <w:rFonts w:ascii="Cambria" w:hAnsi="Cambria"/>
          <w:sz w:val="20"/>
          <w:szCs w:val="20"/>
        </w:rPr>
      </w:pPr>
      <w:bookmarkStart w:id="37" w:name="_Toc19528395"/>
      <w:bookmarkStart w:id="38" w:name="_Toc21421522"/>
      <w:r w:rsidRPr="00B76CF4">
        <w:rPr>
          <w:rFonts w:ascii="Cambria" w:hAnsi="Cambria"/>
          <w:sz w:val="20"/>
          <w:szCs w:val="20"/>
        </w:rPr>
        <w:t>5.</w:t>
      </w:r>
      <w:r w:rsidRPr="00B76CF4">
        <w:rPr>
          <w:rFonts w:ascii="Cambria" w:hAnsi="Cambria"/>
          <w:sz w:val="20"/>
          <w:szCs w:val="20"/>
        </w:rPr>
        <w:tab/>
      </w:r>
      <w:r w:rsidR="005C5801" w:rsidRPr="00B76CF4">
        <w:rPr>
          <w:rFonts w:ascii="Cambria" w:hAnsi="Cambria"/>
          <w:sz w:val="20"/>
          <w:szCs w:val="20"/>
        </w:rPr>
        <w:t>El derecho a la negociación colectiva</w:t>
      </w:r>
      <w:bookmarkEnd w:id="37"/>
      <w:bookmarkEnd w:id="38"/>
    </w:p>
    <w:p w14:paraId="692B9955" w14:textId="77777777" w:rsidR="005C5801" w:rsidRPr="00B76CF4" w:rsidRDefault="005C5801" w:rsidP="005C5801">
      <w:pPr>
        <w:jc w:val="both"/>
        <w:rPr>
          <w:rFonts w:ascii="Cambria" w:hAnsi="Cambria"/>
          <w:sz w:val="20"/>
          <w:szCs w:val="20"/>
        </w:rPr>
      </w:pPr>
    </w:p>
    <w:p w14:paraId="48A64591" w14:textId="77777777" w:rsidR="005C5801" w:rsidRPr="00B76CF4" w:rsidRDefault="005C5801" w:rsidP="005C5801">
      <w:pPr>
        <w:pStyle w:val="ListParagraph"/>
        <w:numPr>
          <w:ilvl w:val="0"/>
          <w:numId w:val="57"/>
        </w:numPr>
        <w:ind w:left="0" w:firstLine="720"/>
        <w:jc w:val="both"/>
        <w:rPr>
          <w:sz w:val="20"/>
          <w:szCs w:val="20"/>
          <w:lang w:val="es-ES"/>
        </w:rPr>
      </w:pPr>
      <w:r w:rsidRPr="00B76CF4">
        <w:rPr>
          <w:sz w:val="20"/>
          <w:szCs w:val="20"/>
          <w:lang w:val="es-CO"/>
        </w:rPr>
        <w:t xml:space="preserve">El artículo 26 de la Convención Americana establece una obligación en cabeza de los Estados partes, de procurar el desarrollo progresivo de los derechos que dicha norma contiene. Ambos órganos del sistema interamericano </w:t>
      </w:r>
      <w:r w:rsidRPr="00B76CF4">
        <w:rPr>
          <w:rFonts w:cs="Arial"/>
          <w:snapToGrid w:val="0"/>
          <w:sz w:val="20"/>
          <w:szCs w:val="20"/>
          <w:lang w:val="es-CO"/>
        </w:rPr>
        <w:t xml:space="preserve">han reafirmado su competencia para pronunciarse sobre posibles violaciones del artículo 26 </w:t>
      </w:r>
      <w:r w:rsidRPr="00B76CF4">
        <w:rPr>
          <w:rFonts w:eastAsia="Batang"/>
          <w:sz w:val="20"/>
          <w:szCs w:val="20"/>
          <w:bdr w:val="none" w:sz="0" w:space="0" w:color="auto" w:frame="1"/>
          <w:lang w:val="es-UY"/>
        </w:rPr>
        <w:t>de</w:t>
      </w:r>
      <w:r w:rsidRPr="00B76CF4">
        <w:rPr>
          <w:rFonts w:cs="Arial"/>
          <w:snapToGrid w:val="0"/>
          <w:sz w:val="20"/>
          <w:szCs w:val="20"/>
          <w:lang w:val="es-CO"/>
        </w:rPr>
        <w:t xml:space="preserve"> la Convención Americana en el marco del sistema de peticiones y casos individuales</w:t>
      </w:r>
      <w:r w:rsidRPr="00B76CF4">
        <w:rPr>
          <w:rFonts w:cs="Arial"/>
          <w:i/>
          <w:snapToGrid w:val="0"/>
          <w:sz w:val="20"/>
          <w:szCs w:val="20"/>
          <w:lang w:val="es-CO"/>
        </w:rPr>
        <w:t xml:space="preserve">. </w:t>
      </w:r>
      <w:r w:rsidRPr="00B76CF4">
        <w:rPr>
          <w:sz w:val="20"/>
          <w:szCs w:val="20"/>
          <w:bdr w:val="none" w:sz="0" w:space="0" w:color="auto" w:frame="1"/>
          <w:lang w:val="es-MX"/>
        </w:rPr>
        <w:t xml:space="preserve">En sus pronunciamientos sobre la materia, la Corte ha enfatizado la </w:t>
      </w:r>
      <w:r w:rsidRPr="00B76CF4">
        <w:rPr>
          <w:rFonts w:cs="Arial"/>
          <w:snapToGrid w:val="0"/>
          <w:sz w:val="20"/>
          <w:szCs w:val="20"/>
          <w:bdr w:val="none" w:sz="0" w:space="0" w:color="auto" w:frame="1"/>
          <w:lang w:val="es-CO"/>
        </w:rPr>
        <w:t>interdependencia e indivisibilidad de los derechos económicos, sociales y culturales respecto de los derechos civiles y políticos</w:t>
      </w:r>
      <w:r w:rsidRPr="00B76CF4">
        <w:rPr>
          <w:rStyle w:val="FootnoteReference"/>
          <w:rFonts w:cs="Arial"/>
          <w:snapToGrid w:val="0"/>
          <w:sz w:val="20"/>
          <w:szCs w:val="20"/>
          <w:bdr w:val="none" w:sz="0" w:space="0" w:color="auto" w:frame="1"/>
          <w:lang w:val="es-CO"/>
        </w:rPr>
        <w:footnoteReference w:id="75"/>
      </w:r>
      <w:r w:rsidRPr="00B76CF4">
        <w:rPr>
          <w:rFonts w:cs="Arial"/>
          <w:snapToGrid w:val="0"/>
          <w:sz w:val="20"/>
          <w:szCs w:val="20"/>
          <w:bdr w:val="none" w:sz="0" w:space="0" w:color="auto" w:frame="1"/>
          <w:lang w:val="es-CO"/>
        </w:rPr>
        <w:t>.</w:t>
      </w:r>
    </w:p>
    <w:p w14:paraId="2DC7B6E6" w14:textId="77777777" w:rsidR="005C5801" w:rsidRPr="00B76CF4" w:rsidRDefault="005C5801" w:rsidP="005C5801">
      <w:pPr>
        <w:pStyle w:val="ListParagraph"/>
        <w:jc w:val="both"/>
        <w:rPr>
          <w:sz w:val="20"/>
          <w:szCs w:val="20"/>
          <w:lang w:val="es-ES"/>
        </w:rPr>
      </w:pPr>
    </w:p>
    <w:p w14:paraId="61C06C9F" w14:textId="77777777" w:rsidR="005C5801" w:rsidRPr="00B76CF4" w:rsidRDefault="005C5801" w:rsidP="005C5801">
      <w:pPr>
        <w:pStyle w:val="ListParagraph"/>
        <w:numPr>
          <w:ilvl w:val="0"/>
          <w:numId w:val="57"/>
        </w:numPr>
        <w:ind w:left="0" w:firstLine="720"/>
        <w:jc w:val="both"/>
        <w:rPr>
          <w:sz w:val="20"/>
          <w:szCs w:val="20"/>
          <w:lang w:val="es-ES"/>
        </w:rPr>
      </w:pPr>
      <w:r w:rsidRPr="00B76CF4">
        <w:rPr>
          <w:sz w:val="20"/>
          <w:szCs w:val="20"/>
          <w:lang w:val="es-MX"/>
        </w:rPr>
        <w:lastRenderedPageBreak/>
        <w:t xml:space="preserve">La Comisión ya ha indicado que el análisis de un caso concreto a la luz del artículo 26 de la Convención Americana debe ser efectuado en dos niveles. En un primer momento, es necesario establecer si el derecho del que se trata el caso se deriva “de las normas económicas, sociales y sobre educación, ciencia y cultura, contenidas en la Carta de la Organización de Estados Americanos”, tal como remite el texto del artículo 26. Es decir, el artículo 26 de la CADH es el que atribuye a la Carta de la OEA como fuente directa de derechos, asignando carácter de derechos humanos a las disposiciones que sobre la materia pueden desprenderse de dicho tratado. Dado que el objeto de la Carta de la OEA no fue individualizar derechos sino constituir un organismo internacional, es necesario recurrir a textos auxiliares para identificar los derechos que se desprenden de las disposiciones de dicho instrumento, incluyendo fundamentalmente la Declaración Americana y otras normas relevantes del </w:t>
      </w:r>
      <w:r w:rsidRPr="00B76CF4">
        <w:rPr>
          <w:i/>
          <w:sz w:val="20"/>
          <w:szCs w:val="20"/>
          <w:lang w:val="es-MX"/>
        </w:rPr>
        <w:t xml:space="preserve">corpus iuris </w:t>
      </w:r>
      <w:r w:rsidRPr="00B76CF4">
        <w:rPr>
          <w:sz w:val="20"/>
          <w:szCs w:val="20"/>
          <w:lang w:val="es-MX"/>
        </w:rPr>
        <w:t>internacional</w:t>
      </w:r>
      <w:r w:rsidRPr="00B76CF4">
        <w:rPr>
          <w:rStyle w:val="FootnoteReference"/>
          <w:sz w:val="20"/>
          <w:szCs w:val="20"/>
          <w:lang w:val="es-MX"/>
        </w:rPr>
        <w:footnoteReference w:id="76"/>
      </w:r>
      <w:r w:rsidRPr="00B76CF4">
        <w:rPr>
          <w:sz w:val="20"/>
          <w:szCs w:val="20"/>
          <w:lang w:val="es-MX"/>
        </w:rPr>
        <w:t>.</w:t>
      </w:r>
    </w:p>
    <w:p w14:paraId="2E13EC26" w14:textId="77777777" w:rsidR="005C5801" w:rsidRPr="00B76CF4" w:rsidRDefault="005C5801" w:rsidP="005C5801">
      <w:pPr>
        <w:pStyle w:val="ListParagraph"/>
        <w:jc w:val="both"/>
        <w:rPr>
          <w:sz w:val="20"/>
          <w:szCs w:val="20"/>
          <w:lang w:val="es-ES"/>
        </w:rPr>
      </w:pPr>
    </w:p>
    <w:p w14:paraId="4D574638" w14:textId="77777777" w:rsidR="005C5801" w:rsidRPr="00B76CF4" w:rsidRDefault="005C5801" w:rsidP="005C5801">
      <w:pPr>
        <w:pStyle w:val="ListParagraph"/>
        <w:numPr>
          <w:ilvl w:val="0"/>
          <w:numId w:val="57"/>
        </w:numPr>
        <w:ind w:left="0" w:firstLine="720"/>
        <w:jc w:val="both"/>
        <w:rPr>
          <w:sz w:val="20"/>
          <w:szCs w:val="20"/>
          <w:lang w:val="es-ES"/>
        </w:rPr>
      </w:pPr>
      <w:r w:rsidRPr="00B76CF4">
        <w:rPr>
          <w:sz w:val="20"/>
          <w:szCs w:val="20"/>
          <w:lang w:val="es-MX"/>
        </w:rPr>
        <w:t xml:space="preserve">Una vez establecido ello, corresponde determinar si el Estado en cuestión incumplió la obligación de “lograr progresivamente” la plena efectividad de tal derecho, o aquellas obligaciones generales de respetar y de garantizar el mismo. En este segundo nivel de análisis, es preciso tomar en consideración la naturaleza y </w:t>
      </w:r>
      <w:r w:rsidRPr="00B76CF4">
        <w:rPr>
          <w:sz w:val="20"/>
          <w:szCs w:val="20"/>
          <w:lang w:val="es-PE"/>
        </w:rPr>
        <w:t>alcance</w:t>
      </w:r>
      <w:r w:rsidRPr="00B76CF4">
        <w:rPr>
          <w:sz w:val="20"/>
          <w:szCs w:val="20"/>
          <w:lang w:val="es-MX"/>
        </w:rPr>
        <w:t xml:space="preserve"> de las obligaciones exigibles al Estado bajo los artículos 1.1, 2 y 26 de la Convención, así como los contenidos del derecho de que se trate</w:t>
      </w:r>
      <w:r w:rsidRPr="00B76CF4">
        <w:rPr>
          <w:rStyle w:val="FootnoteReference"/>
          <w:sz w:val="20"/>
          <w:szCs w:val="20"/>
          <w:lang w:val="es-MX"/>
        </w:rPr>
        <w:footnoteReference w:id="77"/>
      </w:r>
      <w:r w:rsidRPr="00B76CF4">
        <w:rPr>
          <w:sz w:val="20"/>
          <w:szCs w:val="20"/>
          <w:lang w:val="es-MX"/>
        </w:rPr>
        <w:t>.</w:t>
      </w:r>
    </w:p>
    <w:p w14:paraId="282DB912" w14:textId="77777777" w:rsidR="005C5801" w:rsidRPr="00B76CF4" w:rsidRDefault="005C5801" w:rsidP="005C5801">
      <w:pPr>
        <w:jc w:val="both"/>
        <w:rPr>
          <w:rFonts w:ascii="Cambria" w:hAnsi="Cambria"/>
          <w:sz w:val="20"/>
          <w:szCs w:val="20"/>
          <w:lang w:val="es-ES"/>
        </w:rPr>
      </w:pPr>
    </w:p>
    <w:p w14:paraId="7D21C280" w14:textId="77777777" w:rsidR="005C5801" w:rsidRPr="00B76CF4" w:rsidRDefault="005C5801" w:rsidP="005C5801">
      <w:pPr>
        <w:pStyle w:val="ListParagraph"/>
        <w:numPr>
          <w:ilvl w:val="0"/>
          <w:numId w:val="57"/>
        </w:numPr>
        <w:ind w:left="0" w:firstLine="720"/>
        <w:jc w:val="both"/>
        <w:rPr>
          <w:sz w:val="20"/>
          <w:szCs w:val="20"/>
          <w:lang w:val="es-ES"/>
        </w:rPr>
      </w:pPr>
      <w:r w:rsidRPr="00B76CF4">
        <w:rPr>
          <w:rFonts w:cs="Arial"/>
          <w:snapToGrid w:val="0"/>
          <w:sz w:val="20"/>
          <w:szCs w:val="20"/>
          <w:lang w:val="es-CO"/>
        </w:rPr>
        <w:t xml:space="preserve">La Comisión también ha indicado que el artículo 26 de la Convención Americana impone diversas obligaciones a los Estados que no se limitan a una prohibición de regresividad, el cual es un correlato de la obligación de progresividad, pero no puede entenderse como la única obligación justiciable en el sistema interamericano bajo esta norma. Así, la Comisión afirma que teniendo en cuenta el marco interpretativo del artículo 29 de la Convención Americana, el artículo 26 visto a la luz de los artículos 1.1 y 2 del mismo instrumento, se desprenden, al menos las siguientes obligaciones exigibles de manera inmediata: i) obligaciones generales de respeto y garantía, ii) aplicación del principio de no discriminación a los derechos económicos, sociales y culturales, iii) obligaciones de dar pasos o adoptar medidas para </w:t>
      </w:r>
      <w:r w:rsidRPr="00B76CF4">
        <w:rPr>
          <w:rFonts w:cs="Helvetica"/>
          <w:sz w:val="20"/>
          <w:szCs w:val="20"/>
          <w:lang w:val="es-CO" w:bidi="en-US"/>
        </w:rPr>
        <w:t>lograr</w:t>
      </w:r>
      <w:r w:rsidRPr="00B76CF4">
        <w:rPr>
          <w:rFonts w:cs="Arial"/>
          <w:snapToGrid w:val="0"/>
          <w:sz w:val="20"/>
          <w:szCs w:val="20"/>
          <w:lang w:val="es-CO"/>
        </w:rPr>
        <w:t xml:space="preserve"> el goce de los derechos incorporados en dicho artículo y iv) ofrecer recursos idóneos y efectivos para su protección. Las metodologías o fuentes de análisis que resulten pertinentes para cada una de estas obligaciones, deberán ser establecidas según las circunstancias propias de cada caso</w:t>
      </w:r>
      <w:r w:rsidRPr="00B76CF4">
        <w:rPr>
          <w:rStyle w:val="FootnoteReference"/>
          <w:rFonts w:cs="Arial"/>
          <w:snapToGrid w:val="0"/>
          <w:sz w:val="20"/>
          <w:szCs w:val="20"/>
          <w:lang w:val="es-CO"/>
        </w:rPr>
        <w:footnoteReference w:id="78"/>
      </w:r>
      <w:r w:rsidRPr="00B76CF4">
        <w:rPr>
          <w:rFonts w:cs="Arial"/>
          <w:snapToGrid w:val="0"/>
          <w:sz w:val="20"/>
          <w:szCs w:val="20"/>
          <w:lang w:val="es-CO"/>
        </w:rPr>
        <w:t>. Además, e</w:t>
      </w:r>
      <w:r w:rsidRPr="00B76CF4">
        <w:rPr>
          <w:rFonts w:cs="Arial"/>
          <w:sz w:val="20"/>
          <w:szCs w:val="20"/>
          <w:shd w:val="clear" w:color="auto" w:fill="FFFFFF"/>
          <w:lang w:val="es-PE"/>
        </w:rPr>
        <w:t xml:space="preserve">l Estado tiene obligaciones básicas que deben satisfacer niveles esenciales de tales derechos, las cuales no están sujetas al desarrollo </w:t>
      </w:r>
      <w:r w:rsidRPr="00B76CF4">
        <w:rPr>
          <w:sz w:val="20"/>
          <w:szCs w:val="20"/>
          <w:lang w:val="es-ES"/>
        </w:rPr>
        <w:t>progresivo</w:t>
      </w:r>
      <w:r w:rsidRPr="00B76CF4">
        <w:rPr>
          <w:rFonts w:cs="Arial"/>
          <w:sz w:val="20"/>
          <w:szCs w:val="20"/>
          <w:shd w:val="clear" w:color="auto" w:fill="FFFFFF"/>
          <w:lang w:val="es-PE"/>
        </w:rPr>
        <w:t xml:space="preserve"> sino que son de carácter inmediato</w:t>
      </w:r>
      <w:r w:rsidRPr="00B76CF4">
        <w:rPr>
          <w:rStyle w:val="FootnoteReference"/>
          <w:rFonts w:cs="Arial"/>
          <w:snapToGrid w:val="0"/>
          <w:sz w:val="20"/>
          <w:szCs w:val="20"/>
          <w:lang w:val="es-CO"/>
        </w:rPr>
        <w:footnoteReference w:id="79"/>
      </w:r>
      <w:r w:rsidRPr="00B76CF4">
        <w:rPr>
          <w:rFonts w:cs="Arial"/>
          <w:sz w:val="20"/>
          <w:szCs w:val="20"/>
          <w:shd w:val="clear" w:color="auto" w:fill="FFFFFF"/>
          <w:lang w:val="es-PE"/>
        </w:rPr>
        <w:t>.</w:t>
      </w:r>
    </w:p>
    <w:p w14:paraId="132F95F9" w14:textId="77777777" w:rsidR="005C5801" w:rsidRPr="00B76CF4" w:rsidRDefault="005C5801" w:rsidP="005C5801">
      <w:pPr>
        <w:pStyle w:val="ListParagraph"/>
        <w:jc w:val="both"/>
        <w:rPr>
          <w:sz w:val="20"/>
          <w:szCs w:val="20"/>
          <w:lang w:val="es-ES"/>
        </w:rPr>
      </w:pPr>
    </w:p>
    <w:p w14:paraId="23993379" w14:textId="77777777" w:rsidR="005C5801" w:rsidRPr="00B76CF4" w:rsidRDefault="005C5801" w:rsidP="005C5801">
      <w:pPr>
        <w:pStyle w:val="ListParagraph"/>
        <w:numPr>
          <w:ilvl w:val="0"/>
          <w:numId w:val="57"/>
        </w:numPr>
        <w:ind w:left="0" w:firstLine="720"/>
        <w:jc w:val="both"/>
        <w:rPr>
          <w:sz w:val="20"/>
          <w:szCs w:val="20"/>
          <w:lang w:val="es-ES"/>
        </w:rPr>
      </w:pPr>
      <w:r w:rsidRPr="00B76CF4">
        <w:rPr>
          <w:sz w:val="20"/>
          <w:szCs w:val="20"/>
          <w:lang w:val="es-PE"/>
        </w:rPr>
        <w:t xml:space="preserve">En aplicación de los anteriores parámetros al presente caso, la Comisión empieza destacando que </w:t>
      </w:r>
      <w:r w:rsidRPr="00B76CF4">
        <w:rPr>
          <w:sz w:val="20"/>
          <w:szCs w:val="20"/>
          <w:lang w:val="es-ES"/>
        </w:rPr>
        <w:t>el derecho a la negociación colectiva se encuentra protegido por el artículo 26 de la CADH en tanto que el artículo 45 inciso c) de la Carta de la OEA lo incorpora de manera expresa en relación al ejercicio colectivo del derecho al trabajo; la CIDH subraya la claridad con que dicho tratado protege el derecho a la negociación colectiva al establecer que: “</w:t>
      </w:r>
      <w:r w:rsidRPr="00B76CF4">
        <w:rPr>
          <w:rFonts w:cs="Tahoma"/>
          <w:sz w:val="20"/>
          <w:szCs w:val="20"/>
          <w:shd w:val="clear" w:color="auto" w:fill="FFFFFF"/>
          <w:lang w:val="es-PE"/>
        </w:rPr>
        <w:t>Los empleadores y los trabajadores, tanto rurales como urbanos, tienen el derecho de asociarse libremente para la defensa y promoción de sus intereses, incluyendo el derecho de negociación colectiva y el de huelga por parte de los trabajadores</w:t>
      </w:r>
      <w:r w:rsidRPr="00B76CF4">
        <w:rPr>
          <w:sz w:val="20"/>
          <w:szCs w:val="20"/>
          <w:lang w:val="es-ES"/>
        </w:rPr>
        <w:t xml:space="preserve">”. En ese sentido, los Estados partes se encuentran en la obligación de respetar, garantizar y adoptar las medidas necesarias para hacer efectivo tal derecho. </w:t>
      </w:r>
    </w:p>
    <w:p w14:paraId="47585D68" w14:textId="77777777" w:rsidR="005C5801" w:rsidRPr="00B76CF4" w:rsidRDefault="005C5801" w:rsidP="005C5801">
      <w:pPr>
        <w:pStyle w:val="ListParagraph"/>
        <w:rPr>
          <w:sz w:val="20"/>
          <w:szCs w:val="20"/>
          <w:lang w:val="es-ES"/>
        </w:rPr>
      </w:pPr>
    </w:p>
    <w:p w14:paraId="24043E51" w14:textId="77777777" w:rsidR="005C5801" w:rsidRPr="00B76CF4" w:rsidRDefault="005C5801" w:rsidP="005C5801">
      <w:pPr>
        <w:pStyle w:val="ListParagraph"/>
        <w:numPr>
          <w:ilvl w:val="0"/>
          <w:numId w:val="57"/>
        </w:numPr>
        <w:ind w:left="0" w:firstLine="720"/>
        <w:jc w:val="both"/>
        <w:rPr>
          <w:sz w:val="20"/>
          <w:szCs w:val="20"/>
          <w:lang w:val="es-ES"/>
        </w:rPr>
      </w:pPr>
      <w:r w:rsidRPr="00B76CF4">
        <w:rPr>
          <w:sz w:val="20"/>
          <w:szCs w:val="20"/>
          <w:lang w:val="es-ES"/>
        </w:rPr>
        <w:t>Además de la referencia directa por parte de la Carta de la OEA, la CIDH observa que dentro del derecho internacional, la negociación colectiva está protegida por el Convenio No. 98 de la Organización Internacional del Trabajo (OIT)</w:t>
      </w:r>
      <w:r w:rsidRPr="00B76CF4">
        <w:rPr>
          <w:rStyle w:val="FootnoteReference"/>
          <w:sz w:val="20"/>
          <w:szCs w:val="20"/>
          <w:lang w:val="es-ES"/>
        </w:rPr>
        <w:footnoteReference w:id="80"/>
      </w:r>
      <w:r w:rsidRPr="00B76CF4">
        <w:rPr>
          <w:sz w:val="20"/>
          <w:szCs w:val="20"/>
          <w:lang w:val="es-ES"/>
        </w:rPr>
        <w:t>, tratado que fue ratificado por el Estado peruano el 13 de marzo de 1968. A nivel interno, tanto el artículo 54 de la Constitución Política del Perú de 1979</w:t>
      </w:r>
      <w:r w:rsidRPr="00B76CF4">
        <w:rPr>
          <w:rStyle w:val="FootnoteReference"/>
          <w:sz w:val="20"/>
          <w:szCs w:val="20"/>
          <w:lang w:val="es-ES"/>
        </w:rPr>
        <w:footnoteReference w:id="81"/>
      </w:r>
      <w:r w:rsidRPr="00B76CF4">
        <w:rPr>
          <w:sz w:val="20"/>
          <w:szCs w:val="20"/>
          <w:lang w:val="es-ES"/>
        </w:rPr>
        <w:t xml:space="preserve">, vigente al momento de los hechos, como </w:t>
      </w:r>
      <w:r w:rsidRPr="00B76CF4">
        <w:rPr>
          <w:sz w:val="20"/>
          <w:szCs w:val="20"/>
          <w:lang w:val="es-ES"/>
        </w:rPr>
        <w:lastRenderedPageBreak/>
        <w:t>el artículo 28 de la Constitución Política de 1993</w:t>
      </w:r>
      <w:r w:rsidRPr="00B76CF4">
        <w:rPr>
          <w:rStyle w:val="FootnoteReference"/>
          <w:sz w:val="20"/>
          <w:szCs w:val="20"/>
          <w:lang w:val="es-ES"/>
        </w:rPr>
        <w:footnoteReference w:id="82"/>
      </w:r>
      <w:r w:rsidRPr="00B76CF4">
        <w:rPr>
          <w:sz w:val="20"/>
          <w:szCs w:val="20"/>
          <w:lang w:val="es-ES"/>
        </w:rPr>
        <w:t xml:space="preserve"> también incorporan expresamente el derecho a la negociación colectica como derecho constitucional protegido. Sin perjuicio de lo anterior, la CIDH también tiene en cuenta que si bien el derecho a la negociación colectiva por lo general está asociado al funcionamiento de los sindicatos al configurarse como parte esencial del ejercicio efectivo del derecho de los trabajadores y trabajadoras de organizar y afiliarse a sindicatos, también es un derecho autónomo en tanto tiene un contenido y alcance propio a la luz de los estándares internacionales en esta materia.</w:t>
      </w:r>
    </w:p>
    <w:p w14:paraId="51D7739B" w14:textId="77777777" w:rsidR="005C5801" w:rsidRPr="00B76CF4" w:rsidRDefault="005C5801" w:rsidP="005C5801">
      <w:pPr>
        <w:jc w:val="both"/>
        <w:rPr>
          <w:rFonts w:ascii="Cambria" w:hAnsi="Cambria"/>
          <w:sz w:val="20"/>
          <w:szCs w:val="20"/>
          <w:lang w:val="es-ES"/>
        </w:rPr>
      </w:pPr>
    </w:p>
    <w:p w14:paraId="517AD467" w14:textId="77777777" w:rsidR="005C5801" w:rsidRPr="00B76CF4" w:rsidRDefault="005C5801" w:rsidP="005C5801">
      <w:pPr>
        <w:pStyle w:val="ListParagraph"/>
        <w:numPr>
          <w:ilvl w:val="0"/>
          <w:numId w:val="57"/>
        </w:numPr>
        <w:ind w:left="0" w:firstLine="720"/>
        <w:jc w:val="both"/>
        <w:rPr>
          <w:sz w:val="20"/>
          <w:szCs w:val="20"/>
          <w:lang w:val="es-ES"/>
        </w:rPr>
      </w:pPr>
      <w:r w:rsidRPr="00B76CF4">
        <w:rPr>
          <w:sz w:val="20"/>
          <w:szCs w:val="20"/>
          <w:lang w:val="es-ES"/>
        </w:rPr>
        <w:t>En cuanto al contenido jurídico de este derecho, la CIDH recuerda, en primer lugar, que la Corte Interamericana ha llamado la atención sobre el carácter fundamental de los derechos laborales, incluyendo expresamente la negociación colectiva, como parte del marco de los derechos humanos, en tanto permiten el disfrute de una vida digna</w:t>
      </w:r>
      <w:r w:rsidRPr="00B76CF4">
        <w:rPr>
          <w:rStyle w:val="FootnoteReference"/>
          <w:sz w:val="20"/>
          <w:szCs w:val="20"/>
          <w:lang w:val="es-ES"/>
        </w:rPr>
        <w:footnoteReference w:id="83"/>
      </w:r>
      <w:r w:rsidRPr="00B76CF4">
        <w:rPr>
          <w:sz w:val="20"/>
          <w:szCs w:val="20"/>
          <w:lang w:val="es-ES"/>
        </w:rPr>
        <w:t xml:space="preserve">. Por su parte, la CIDH recuerda que a partir de las reglas de interpretación contenidas en el artículo 29 de la CADH, ambos órganos del sistema interamericano de derechos humanos han acudido a pronunciamientos tanto de otros órganos internacionales especializados como de altas cortes nacionales con objeto de orientar el desarrollo del contenido de los derechos analizados y la protección jurídica requerida en casos determinados. </w:t>
      </w:r>
    </w:p>
    <w:p w14:paraId="70335E1D" w14:textId="77777777" w:rsidR="005C5801" w:rsidRPr="00B76CF4" w:rsidRDefault="005C5801" w:rsidP="005C5801">
      <w:pPr>
        <w:pStyle w:val="ListParagraph"/>
        <w:rPr>
          <w:sz w:val="20"/>
          <w:szCs w:val="20"/>
          <w:lang w:val="es-ES"/>
        </w:rPr>
      </w:pPr>
    </w:p>
    <w:p w14:paraId="7DAE718C" w14:textId="77777777" w:rsidR="005C5801" w:rsidRPr="00B76CF4" w:rsidRDefault="005C5801" w:rsidP="005C5801">
      <w:pPr>
        <w:pStyle w:val="ListParagraph"/>
        <w:numPr>
          <w:ilvl w:val="0"/>
          <w:numId w:val="57"/>
        </w:numPr>
        <w:ind w:left="0" w:firstLine="720"/>
        <w:jc w:val="both"/>
        <w:rPr>
          <w:sz w:val="20"/>
          <w:szCs w:val="20"/>
          <w:lang w:val="es-ES"/>
        </w:rPr>
      </w:pPr>
      <w:r w:rsidRPr="00B76CF4">
        <w:rPr>
          <w:sz w:val="20"/>
          <w:szCs w:val="20"/>
          <w:lang w:val="es-ES"/>
        </w:rPr>
        <w:t xml:space="preserve">Para efectos del presente caso cabe referir que el Comité de Derechos Económicos, Sociales y Culturales ha manifestado en forma general que “la negociación colectiva es un instrumento de importancia fundamental en la </w:t>
      </w:r>
      <w:r w:rsidRPr="00B76CF4">
        <w:rPr>
          <w:color w:val="000000" w:themeColor="text1"/>
          <w:sz w:val="20"/>
          <w:szCs w:val="20"/>
          <w:lang w:val="es-ES"/>
        </w:rPr>
        <w:t>formulación de políticas de empleo”</w:t>
      </w:r>
      <w:r w:rsidRPr="00B76CF4">
        <w:rPr>
          <w:rStyle w:val="FootnoteReference"/>
          <w:color w:val="000000" w:themeColor="text1"/>
          <w:sz w:val="20"/>
          <w:szCs w:val="20"/>
          <w:lang w:val="es-ES"/>
        </w:rPr>
        <w:footnoteReference w:id="84"/>
      </w:r>
      <w:r w:rsidRPr="00B76CF4">
        <w:rPr>
          <w:color w:val="000000" w:themeColor="text1"/>
          <w:sz w:val="20"/>
          <w:szCs w:val="20"/>
          <w:lang w:val="es-ES"/>
        </w:rPr>
        <w:t xml:space="preserve">. De manera más específica la OIT ha indicado que el </w:t>
      </w:r>
      <w:r w:rsidRPr="00B76CF4">
        <w:rPr>
          <w:color w:val="000000" w:themeColor="text1"/>
          <w:sz w:val="20"/>
          <w:szCs w:val="20"/>
          <w:lang w:val="es-PE"/>
        </w:rPr>
        <w:t>derecho de negociación colectiva es un principio y un derecho fundamental</w:t>
      </w:r>
      <w:r w:rsidRPr="00B76CF4">
        <w:rPr>
          <w:rStyle w:val="FootnoteReference"/>
          <w:color w:val="000000" w:themeColor="text1"/>
          <w:sz w:val="20"/>
          <w:szCs w:val="20"/>
          <w:lang w:val="es-PE"/>
        </w:rPr>
        <w:footnoteReference w:id="85"/>
      </w:r>
      <w:r w:rsidRPr="00B76CF4">
        <w:rPr>
          <w:color w:val="000000" w:themeColor="text1"/>
          <w:sz w:val="20"/>
          <w:szCs w:val="20"/>
          <w:lang w:val="es-PE"/>
        </w:rPr>
        <w:t xml:space="preserve"> y que, junto con la libertad sindical, representa un mecanismo de dialogo social para la regulación de las condiciones de empleo y el mantenimiento de las buenas relaciones laborales, </w:t>
      </w:r>
      <w:r w:rsidRPr="00B76CF4">
        <w:rPr>
          <w:color w:val="000000" w:themeColor="text1"/>
          <w:sz w:val="20"/>
          <w:szCs w:val="20"/>
          <w:shd w:val="clear" w:color="auto" w:fill="FFFFFF"/>
          <w:lang w:val="es-PE"/>
        </w:rPr>
        <w:t>incluyendo la reducción de la desigualdad en el trabajo y la ampliación del ámbito de la protección laboral</w:t>
      </w:r>
      <w:r w:rsidRPr="00B76CF4">
        <w:rPr>
          <w:rStyle w:val="FootnoteReference"/>
          <w:color w:val="000000" w:themeColor="text1"/>
          <w:sz w:val="20"/>
          <w:szCs w:val="20"/>
          <w:lang w:val="es-PE"/>
        </w:rPr>
        <w:footnoteReference w:id="86"/>
      </w:r>
      <w:r w:rsidRPr="00B76CF4">
        <w:rPr>
          <w:color w:val="000000" w:themeColor="text1"/>
          <w:sz w:val="20"/>
          <w:szCs w:val="20"/>
          <w:shd w:val="clear" w:color="auto" w:fill="FFFFFF"/>
          <w:lang w:val="es-PE"/>
        </w:rPr>
        <w:t>. También se refiere a la negociación colectiva como un proceso constructivo para dotar de respuestas efectivas a las crisis económicas y promover una recuperación equilibrada</w:t>
      </w:r>
      <w:r w:rsidRPr="00B76CF4">
        <w:rPr>
          <w:rStyle w:val="FootnoteReference"/>
          <w:color w:val="000000" w:themeColor="text1"/>
          <w:sz w:val="20"/>
          <w:szCs w:val="20"/>
          <w:shd w:val="clear" w:color="auto" w:fill="FFFFFF"/>
          <w:lang w:val="es-PE"/>
        </w:rPr>
        <w:footnoteReference w:id="87"/>
      </w:r>
      <w:r w:rsidRPr="00B76CF4">
        <w:rPr>
          <w:color w:val="000000" w:themeColor="text1"/>
          <w:sz w:val="20"/>
          <w:szCs w:val="20"/>
          <w:shd w:val="clear" w:color="auto" w:fill="FFFFFF"/>
          <w:lang w:val="es-PE"/>
        </w:rPr>
        <w:t>.</w:t>
      </w:r>
      <w:r w:rsidRPr="00B76CF4">
        <w:rPr>
          <w:color w:val="000000" w:themeColor="text1"/>
          <w:sz w:val="20"/>
          <w:szCs w:val="20"/>
          <w:lang w:val="es-PE"/>
        </w:rPr>
        <w:t xml:space="preserve"> De </w:t>
      </w:r>
      <w:r w:rsidRPr="00B76CF4">
        <w:rPr>
          <w:sz w:val="20"/>
          <w:szCs w:val="20"/>
          <w:lang w:val="es-PE"/>
        </w:rPr>
        <w:t>forma similar y en correspondencia con lo anterior, e</w:t>
      </w:r>
      <w:r w:rsidRPr="00B76CF4">
        <w:rPr>
          <w:sz w:val="20"/>
          <w:szCs w:val="20"/>
          <w:lang w:val="es-ES"/>
        </w:rPr>
        <w:t>l Tribunal Constitucional peruano indicó sobre el contenido de este derecho que “mediante el ejercicio del derecho a la negociación colectiva se busca cumplir la finalidad de lograr el bienestar y la justicia social en las relaciones que surgen entre empleadores y trabajadores […] la negociación colectiva constituye el medio primordial de acción de la organización sindical para la defensa y promoción de los intereses económicos y sociales que les son propios”</w:t>
      </w:r>
      <w:r w:rsidRPr="00B76CF4">
        <w:rPr>
          <w:rStyle w:val="FootnoteReference"/>
          <w:sz w:val="20"/>
          <w:szCs w:val="20"/>
          <w:lang w:val="es-ES"/>
        </w:rPr>
        <w:footnoteReference w:id="88"/>
      </w:r>
      <w:r w:rsidRPr="00B76CF4">
        <w:rPr>
          <w:sz w:val="20"/>
          <w:szCs w:val="20"/>
          <w:lang w:val="es-ES"/>
        </w:rPr>
        <w:t>.</w:t>
      </w:r>
    </w:p>
    <w:p w14:paraId="2847012C" w14:textId="77777777" w:rsidR="005C5801" w:rsidRPr="00B76CF4" w:rsidRDefault="005C5801" w:rsidP="005C5801">
      <w:pPr>
        <w:pStyle w:val="ListParagraph"/>
        <w:jc w:val="both"/>
        <w:rPr>
          <w:sz w:val="20"/>
          <w:szCs w:val="20"/>
          <w:lang w:val="es-ES"/>
        </w:rPr>
      </w:pPr>
    </w:p>
    <w:p w14:paraId="4704AB75" w14:textId="77777777" w:rsidR="005C5801" w:rsidRPr="00B76CF4" w:rsidRDefault="005C5801" w:rsidP="005C5801">
      <w:pPr>
        <w:pStyle w:val="ListParagraph"/>
        <w:numPr>
          <w:ilvl w:val="0"/>
          <w:numId w:val="57"/>
        </w:numPr>
        <w:ind w:left="0" w:firstLine="720"/>
        <w:jc w:val="both"/>
        <w:rPr>
          <w:sz w:val="20"/>
          <w:szCs w:val="20"/>
          <w:lang w:val="es-ES"/>
        </w:rPr>
      </w:pPr>
      <w:r w:rsidRPr="00B76CF4">
        <w:rPr>
          <w:sz w:val="20"/>
          <w:szCs w:val="20"/>
          <w:lang w:val="es-ES"/>
        </w:rPr>
        <w:t>Ahora bien, teniendo en cuenta lo anterior la CIDH entiende que el derecho a la negociación colectiva puede calificarse de libertad en tanto que es necesario que el Estado se abstenga de interferir indebidamente en el ejercicio de dicho derecho como de asegurar que existan las condiciones y garantías necesarias para su realización efectiva. La CIDH observa que e</w:t>
      </w:r>
      <w:r w:rsidRPr="00B76CF4">
        <w:rPr>
          <w:sz w:val="20"/>
          <w:szCs w:val="20"/>
          <w:lang w:val="es-PE"/>
        </w:rPr>
        <w:t xml:space="preserve">l disfrute del derecho a la negociación colectiva es un requisito previo, y a la vez, el resultado del disfrute de otros derechos humanos; por ejemplo, se encuentra intrínsecamente vinculado al disfrute del derecho a las condiciones justas y equitativas del trabajo, al regular aspectos relacionados directamente a este derecho, y es un componente inherente a la libertad sindical, como manifestación del ejercicio colectivo del derecho al trabajo, incluso puede relacionarse directamente al derecho a la libertad de asociación en el ámbito laboral protegido por el artículo 16 de la CADH a la luz de los hechos de cada caso en particular. </w:t>
      </w:r>
    </w:p>
    <w:p w14:paraId="1932835E" w14:textId="77777777" w:rsidR="005C5801" w:rsidRPr="00B76CF4" w:rsidRDefault="005C5801" w:rsidP="005C5801">
      <w:pPr>
        <w:pStyle w:val="ListParagraph"/>
        <w:jc w:val="both"/>
        <w:rPr>
          <w:sz w:val="20"/>
          <w:szCs w:val="20"/>
          <w:lang w:val="es-PE"/>
        </w:rPr>
      </w:pPr>
    </w:p>
    <w:p w14:paraId="41E67B26" w14:textId="77777777" w:rsidR="005C5801" w:rsidRPr="00B76CF4" w:rsidRDefault="005C5801" w:rsidP="005C5801">
      <w:pPr>
        <w:pStyle w:val="ListParagraph"/>
        <w:numPr>
          <w:ilvl w:val="0"/>
          <w:numId w:val="57"/>
        </w:numPr>
        <w:ind w:left="0" w:firstLine="720"/>
        <w:jc w:val="both"/>
        <w:rPr>
          <w:sz w:val="20"/>
          <w:szCs w:val="20"/>
          <w:lang w:val="es-ES"/>
        </w:rPr>
      </w:pPr>
      <w:r w:rsidRPr="00B76CF4">
        <w:rPr>
          <w:sz w:val="20"/>
          <w:szCs w:val="20"/>
          <w:lang w:val="es-PE"/>
        </w:rPr>
        <w:t xml:space="preserve">Sobre esa base, también observa que el elemento de progresividad, que usualmente puede afectar la evaluación de ciertos componentes de los derechos económicos y sociales, no genera consecuencias sustantivas sobre el análisis del derecho a la negociación colectiva o libertad sindical por la forma en que dichos derechos  llegan a realizarse en la práctica, de allí que el umbral para permitir limitaciones relacionadas a la obligación de </w:t>
      </w:r>
      <w:r w:rsidRPr="00B76CF4">
        <w:rPr>
          <w:sz w:val="20"/>
          <w:szCs w:val="20"/>
          <w:lang w:val="es-PE"/>
        </w:rPr>
        <w:lastRenderedPageBreak/>
        <w:t xml:space="preserve">progresividad de los Estados sobre dichos derechos sea mucho más estricto y elevado, en donde se exige sobre todo, la existencia de </w:t>
      </w:r>
      <w:r w:rsidRPr="00B76CF4">
        <w:rPr>
          <w:sz w:val="20"/>
          <w:szCs w:val="20"/>
          <w:lang w:val="es-ES"/>
        </w:rPr>
        <w:t>garantías para que los actores sociales, como los sindicatos, puedan ejercerlos y tengan protección contra actos de discriminación, injerencia o incumplimiento de lo pactado o de las decisiones judiciales que los protegen, todos supuestos de exigibilidad inmediata.</w:t>
      </w:r>
    </w:p>
    <w:p w14:paraId="420F3E04" w14:textId="77777777" w:rsidR="005C5801" w:rsidRPr="00B76CF4" w:rsidRDefault="005C5801" w:rsidP="005C5801">
      <w:pPr>
        <w:jc w:val="both"/>
        <w:rPr>
          <w:rFonts w:ascii="Cambria" w:hAnsi="Cambria"/>
          <w:sz w:val="20"/>
          <w:szCs w:val="20"/>
          <w:lang w:val="es-PE"/>
        </w:rPr>
      </w:pPr>
    </w:p>
    <w:p w14:paraId="5DCAF7CB" w14:textId="77777777" w:rsidR="005C5801" w:rsidRPr="00B76CF4" w:rsidRDefault="005C5801" w:rsidP="005C5801">
      <w:pPr>
        <w:pStyle w:val="ListParagraph"/>
        <w:numPr>
          <w:ilvl w:val="0"/>
          <w:numId w:val="57"/>
        </w:numPr>
        <w:ind w:left="0" w:firstLine="720"/>
        <w:jc w:val="both"/>
        <w:rPr>
          <w:sz w:val="20"/>
          <w:szCs w:val="20"/>
          <w:lang w:val="es-ES"/>
        </w:rPr>
      </w:pPr>
      <w:r w:rsidRPr="00B76CF4">
        <w:rPr>
          <w:sz w:val="20"/>
          <w:szCs w:val="20"/>
          <w:lang w:val="es-PE"/>
        </w:rPr>
        <w:t>Respecto al contenido autónomo del derecho a la negociación colectiva, la CIDH también considera útil recurrir a</w:t>
      </w:r>
      <w:r w:rsidRPr="00B76CF4">
        <w:rPr>
          <w:sz w:val="20"/>
          <w:szCs w:val="20"/>
          <w:lang w:val="es-ES"/>
        </w:rPr>
        <w:t>l Comité de Libertad Sindical del Consejo de Administración de la OIT el cual ha establecido que existen dos principios fundamentales que le aplican: (i) la negociación libre y voluntaria</w:t>
      </w:r>
      <w:r w:rsidRPr="00B76CF4">
        <w:rPr>
          <w:rStyle w:val="FootnoteReference"/>
          <w:sz w:val="20"/>
          <w:szCs w:val="20"/>
          <w:lang w:val="es-ES"/>
        </w:rPr>
        <w:footnoteReference w:id="89"/>
      </w:r>
      <w:r w:rsidRPr="00B76CF4">
        <w:rPr>
          <w:sz w:val="20"/>
          <w:szCs w:val="20"/>
          <w:lang w:val="es-ES"/>
        </w:rPr>
        <w:t>; y (ii) la negociación de buena fe</w:t>
      </w:r>
      <w:r w:rsidRPr="00B76CF4">
        <w:rPr>
          <w:rStyle w:val="FootnoteReference"/>
          <w:sz w:val="20"/>
          <w:szCs w:val="20"/>
          <w:lang w:val="es-ES"/>
        </w:rPr>
        <w:footnoteReference w:id="90"/>
      </w:r>
      <w:r w:rsidRPr="00B76CF4">
        <w:rPr>
          <w:sz w:val="20"/>
          <w:szCs w:val="20"/>
          <w:lang w:val="es-ES"/>
        </w:rPr>
        <w:t>. Respecto de este segundo principio, dicho Comité entiende que “los acuerdos deben ser de cumplimiento obligatorio para las partes”</w:t>
      </w:r>
      <w:r w:rsidRPr="00B76CF4">
        <w:rPr>
          <w:rStyle w:val="FootnoteReference"/>
          <w:sz w:val="20"/>
          <w:szCs w:val="20"/>
          <w:lang w:val="es-ES"/>
        </w:rPr>
        <w:footnoteReference w:id="91"/>
      </w:r>
      <w:r w:rsidRPr="00B76CF4">
        <w:rPr>
          <w:sz w:val="20"/>
          <w:szCs w:val="20"/>
          <w:lang w:val="es-ES"/>
        </w:rPr>
        <w:t>, ya que “la negociación colectiva significativa está basada en la premisa según la cual todas las partes representadas están sujetas a disposiciones establecidas voluntariamente; y urge al Gobierno a que vele por la aplicabilidad legal de todo convenio colectivo entre las personas representadas por las partes firmantes”</w:t>
      </w:r>
      <w:r w:rsidRPr="00B76CF4">
        <w:rPr>
          <w:rStyle w:val="FootnoteReference"/>
          <w:sz w:val="20"/>
          <w:szCs w:val="20"/>
          <w:lang w:val="es-ES"/>
        </w:rPr>
        <w:footnoteReference w:id="92"/>
      </w:r>
      <w:r w:rsidRPr="00B76CF4">
        <w:rPr>
          <w:sz w:val="20"/>
          <w:szCs w:val="20"/>
          <w:lang w:val="es-ES"/>
        </w:rPr>
        <w:t>. En ese sentido, “la falta de aplicación del convenio colectivo, incluso de manera temporal, supone una violación del derecho de negociación colectiva, así como del principio de negociación de buena fe”</w:t>
      </w:r>
      <w:r w:rsidRPr="00B76CF4">
        <w:rPr>
          <w:rStyle w:val="FootnoteReference"/>
          <w:sz w:val="20"/>
          <w:szCs w:val="20"/>
          <w:lang w:val="es-ES"/>
        </w:rPr>
        <w:footnoteReference w:id="93"/>
      </w:r>
      <w:r w:rsidRPr="00B76CF4">
        <w:rPr>
          <w:sz w:val="20"/>
          <w:szCs w:val="20"/>
          <w:lang w:val="es-ES"/>
        </w:rPr>
        <w:t xml:space="preserve">. Por tanto, de lo anterior la CIDH desprende que </w:t>
      </w:r>
      <w:r w:rsidRPr="00B76CF4">
        <w:rPr>
          <w:sz w:val="20"/>
          <w:szCs w:val="20"/>
          <w:lang w:val="es-PE"/>
        </w:rPr>
        <w:t>el derecho a la negociación colectiva involucra no solo la fase de gestión para alcanzar un acuerdo, el cual debe ser libre y voluntario entre las partes, sino además abarca la fase de cumplimiento y ejecución del acuerdo, convenio o contrato alcanzado en tanto elementos esenciales e inherentes al mismo.</w:t>
      </w:r>
    </w:p>
    <w:p w14:paraId="4E910681" w14:textId="77777777" w:rsidR="005C5801" w:rsidRPr="00B76CF4" w:rsidRDefault="005C5801" w:rsidP="005C5801">
      <w:pPr>
        <w:jc w:val="both"/>
        <w:rPr>
          <w:rFonts w:ascii="Cambria" w:hAnsi="Cambria"/>
          <w:sz w:val="20"/>
          <w:szCs w:val="20"/>
          <w:lang w:val="es-ES"/>
        </w:rPr>
      </w:pPr>
    </w:p>
    <w:p w14:paraId="2CB361F3" w14:textId="77777777" w:rsidR="005C5801" w:rsidRPr="00B76CF4" w:rsidRDefault="005C5801" w:rsidP="005C5801">
      <w:pPr>
        <w:pStyle w:val="ListParagraph"/>
        <w:numPr>
          <w:ilvl w:val="0"/>
          <w:numId w:val="57"/>
        </w:numPr>
        <w:ind w:left="0" w:firstLine="720"/>
        <w:jc w:val="both"/>
        <w:rPr>
          <w:sz w:val="20"/>
          <w:szCs w:val="20"/>
          <w:lang w:val="es-ES"/>
        </w:rPr>
      </w:pPr>
      <w:r w:rsidRPr="00B76CF4">
        <w:rPr>
          <w:sz w:val="20"/>
          <w:szCs w:val="20"/>
          <w:lang w:val="es-ES"/>
        </w:rPr>
        <w:t xml:space="preserve">Teniendo ello en cuenta, para la CIDH resulta importante indicar que </w:t>
      </w:r>
      <w:r w:rsidRPr="00B76CF4">
        <w:rPr>
          <w:sz w:val="20"/>
          <w:szCs w:val="20"/>
          <w:lang w:val="es-PE"/>
        </w:rPr>
        <w:t>si bien este derecho no implica la imposición formal de negociar o llegar a un acuerdo,</w:t>
      </w:r>
      <w:r w:rsidRPr="00B76CF4">
        <w:rPr>
          <w:sz w:val="20"/>
          <w:szCs w:val="20"/>
          <w:lang w:val="es-ES"/>
        </w:rPr>
        <w:t xml:space="preserve"> bajo la CADH el Estado </w:t>
      </w:r>
      <w:r w:rsidRPr="00B76CF4">
        <w:rPr>
          <w:sz w:val="20"/>
          <w:szCs w:val="20"/>
          <w:lang w:val="es-PE"/>
        </w:rPr>
        <w:t>tiene la responsabilidad de garantizar el reconocimiento efectivo del derecho de negociación colectiva en el ámbito del trabajo, lo que significa, por ejemplo, desincentivar conductas contrarias a la buena fe o prácticas desleales por las partes ya sea al inicio o en el proceso de negociación, o sea adoptando medidas apropiadas que cautelen el cumplimiento y protección de lo acordado; el Estado también debe promover la negociación colectiva respetando la autonomía de las partes involucradas y la naturaleza libre y voluntaria del proceso bajo los estándares aplicables.</w:t>
      </w:r>
    </w:p>
    <w:p w14:paraId="78C16E02" w14:textId="77777777" w:rsidR="005C5801" w:rsidRPr="00B76CF4" w:rsidRDefault="005C5801" w:rsidP="005C5801">
      <w:pPr>
        <w:pStyle w:val="ListParagraph"/>
        <w:jc w:val="both"/>
        <w:rPr>
          <w:sz w:val="20"/>
          <w:szCs w:val="20"/>
          <w:lang w:val="es-ES"/>
        </w:rPr>
      </w:pPr>
    </w:p>
    <w:p w14:paraId="2FA62E8D" w14:textId="77777777" w:rsidR="005C5801" w:rsidRPr="00B76CF4" w:rsidRDefault="005C5801" w:rsidP="005C5801">
      <w:pPr>
        <w:pStyle w:val="ListParagraph"/>
        <w:numPr>
          <w:ilvl w:val="0"/>
          <w:numId w:val="57"/>
        </w:numPr>
        <w:ind w:left="0" w:firstLine="720"/>
        <w:jc w:val="both"/>
        <w:rPr>
          <w:sz w:val="20"/>
          <w:szCs w:val="20"/>
          <w:lang w:val="es-ES"/>
        </w:rPr>
      </w:pPr>
      <w:r w:rsidRPr="00B76CF4">
        <w:rPr>
          <w:sz w:val="20"/>
          <w:szCs w:val="20"/>
          <w:lang w:val="es-PE"/>
        </w:rPr>
        <w:t xml:space="preserve">En el presente caso, la CIDH ya ha indicado que no está controvertida la validez del Convenio Colectivo 90/91, y todos los componentes y prestaciones laborales allí contenidos, y por tanto que los </w:t>
      </w:r>
      <w:r w:rsidRPr="00B76CF4">
        <w:rPr>
          <w:sz w:val="20"/>
          <w:szCs w:val="20"/>
          <w:lang w:val="es-CO"/>
        </w:rPr>
        <w:t>Decretos Supremos No. 057-90-TR y 107-90-PCM n</w:t>
      </w:r>
      <w:r w:rsidRPr="00B76CF4">
        <w:rPr>
          <w:sz w:val="20"/>
          <w:szCs w:val="20"/>
          <w:lang w:val="es-PE"/>
        </w:rPr>
        <w:t xml:space="preserve">o son aplicables a los trabajadores de ECASA según lo indicado por los propios tribunales internos del Estado peruano; independientemente de que no se haya definido, por comportamiento atribuible al Estado, si efectivamente se aplicaron y en qué medida tales Decretos a la situación individual de cada trabajador, para la CIDH es claro que estos tienen derecho a lo acordado en dicho Convenio, que no es sino el resultado o la cristalización del ejercicio del derecho a la negociación colectiva. La incertidumbre judicial y falta de ejecución de las decisiones a nivel interno relacionados a este derecho por más de 26 años generó que el mismo no se haya hecho efectivo en la práctica, por tanto se ha afectado la fase de cumplimiento de la negociación colectiva como elemento esencial de dicho derecho. </w:t>
      </w:r>
    </w:p>
    <w:p w14:paraId="15549963" w14:textId="77777777" w:rsidR="005C5801" w:rsidRPr="00B76CF4" w:rsidRDefault="005C5801" w:rsidP="005C5801">
      <w:pPr>
        <w:pStyle w:val="ListParagraph"/>
        <w:jc w:val="both"/>
        <w:rPr>
          <w:sz w:val="20"/>
          <w:szCs w:val="20"/>
          <w:lang w:val="es-ES"/>
        </w:rPr>
      </w:pPr>
    </w:p>
    <w:p w14:paraId="698D2D59" w14:textId="77777777" w:rsidR="005C5801" w:rsidRPr="00B76CF4" w:rsidRDefault="005C5801" w:rsidP="005C5801">
      <w:pPr>
        <w:pStyle w:val="ListParagraph"/>
        <w:numPr>
          <w:ilvl w:val="0"/>
          <w:numId w:val="57"/>
        </w:numPr>
        <w:ind w:left="0" w:firstLine="720"/>
        <w:jc w:val="both"/>
        <w:rPr>
          <w:sz w:val="20"/>
          <w:szCs w:val="20"/>
          <w:lang w:val="es-ES"/>
        </w:rPr>
      </w:pPr>
      <w:r w:rsidRPr="00B76CF4">
        <w:rPr>
          <w:sz w:val="20"/>
          <w:szCs w:val="20"/>
          <w:lang w:val="es-CO"/>
        </w:rPr>
        <w:t>En conclusión, la Comisión considera que el Estado peruano es responsable por la violación del derecho a la negociación colectiva contenido en el artículo 26 de la Convención Americana en relación con las obligaciones establecidas en el artículo 1.1 del mismo instrumento en perjuicio de las personas incluidas en el Anexo Único al presente informe.</w:t>
      </w:r>
    </w:p>
    <w:p w14:paraId="6811ACFC" w14:textId="77777777" w:rsidR="005C5801" w:rsidRPr="00D94314" w:rsidRDefault="005C5801" w:rsidP="005C5801">
      <w:pPr>
        <w:pStyle w:val="Heading3"/>
        <w:keepNext w:val="0"/>
        <w:spacing w:before="0" w:after="0"/>
        <w:jc w:val="both"/>
        <w:rPr>
          <w:rFonts w:ascii="Cambria" w:hAnsi="Cambria"/>
          <w:sz w:val="20"/>
          <w:szCs w:val="20"/>
        </w:rPr>
      </w:pPr>
    </w:p>
    <w:p w14:paraId="092630D8" w14:textId="5CEE5204" w:rsidR="005C5801" w:rsidRPr="00D94314" w:rsidRDefault="00D94314" w:rsidP="005C5801">
      <w:pPr>
        <w:pStyle w:val="Heading3"/>
        <w:keepNext w:val="0"/>
        <w:spacing w:before="0" w:after="0"/>
        <w:ind w:left="1440" w:hanging="720"/>
        <w:jc w:val="both"/>
        <w:rPr>
          <w:rFonts w:ascii="Cambria" w:hAnsi="Cambria"/>
          <w:sz w:val="20"/>
          <w:szCs w:val="20"/>
        </w:rPr>
      </w:pPr>
      <w:bookmarkStart w:id="39" w:name="_Toc19528396"/>
      <w:bookmarkStart w:id="40" w:name="_Toc21421523"/>
      <w:r>
        <w:rPr>
          <w:rFonts w:ascii="Cambria" w:hAnsi="Cambria"/>
          <w:sz w:val="20"/>
          <w:szCs w:val="20"/>
        </w:rPr>
        <w:t>6.</w:t>
      </w:r>
      <w:r>
        <w:rPr>
          <w:rFonts w:ascii="Cambria" w:hAnsi="Cambria"/>
          <w:sz w:val="20"/>
          <w:szCs w:val="20"/>
        </w:rPr>
        <w:tab/>
      </w:r>
      <w:r w:rsidR="005C5801" w:rsidRPr="00D94314">
        <w:rPr>
          <w:rFonts w:ascii="Cambria" w:hAnsi="Cambria"/>
          <w:sz w:val="20"/>
          <w:szCs w:val="20"/>
        </w:rPr>
        <w:t>El derecho a la propiedad privada en relación con la falta de ejecución de fallos internos</w:t>
      </w:r>
      <w:bookmarkEnd w:id="39"/>
      <w:bookmarkEnd w:id="40"/>
      <w:r w:rsidR="005C5801" w:rsidRPr="00D94314">
        <w:rPr>
          <w:rFonts w:ascii="Cambria" w:hAnsi="Cambria"/>
          <w:sz w:val="20"/>
          <w:szCs w:val="20"/>
        </w:rPr>
        <w:t xml:space="preserve"> </w:t>
      </w:r>
    </w:p>
    <w:p w14:paraId="192C7429" w14:textId="77777777" w:rsidR="005C5801" w:rsidRPr="00D94314" w:rsidRDefault="005C5801" w:rsidP="005C5801">
      <w:pPr>
        <w:jc w:val="both"/>
        <w:rPr>
          <w:rFonts w:ascii="Cambria" w:hAnsi="Cambria"/>
          <w:sz w:val="20"/>
          <w:szCs w:val="20"/>
          <w:lang w:val="es-ES"/>
        </w:rPr>
      </w:pPr>
    </w:p>
    <w:p w14:paraId="59710A61" w14:textId="77777777" w:rsidR="005C5801" w:rsidRPr="00D94314" w:rsidRDefault="005C5801" w:rsidP="005C5801">
      <w:pPr>
        <w:pStyle w:val="ListParagraph"/>
        <w:numPr>
          <w:ilvl w:val="0"/>
          <w:numId w:val="57"/>
        </w:numPr>
        <w:ind w:left="0" w:firstLine="720"/>
        <w:jc w:val="both"/>
        <w:rPr>
          <w:sz w:val="20"/>
          <w:szCs w:val="20"/>
          <w:lang w:val="es-PE"/>
        </w:rPr>
      </w:pPr>
      <w:r w:rsidRPr="00D94314">
        <w:rPr>
          <w:sz w:val="20"/>
          <w:szCs w:val="20"/>
          <w:lang w:val="es-PE"/>
        </w:rPr>
        <w:t>Tanto la Comisión como la Corte han desarrollado en su jurisprudencia un concepto amplio de propiedad que abarca, entre otros, el uso y goce de los bienes, definidos como cosas materiales apropiables, así como todo derecho que pueda formar parte del patrimonio de una persona</w:t>
      </w:r>
      <w:r w:rsidRPr="00D94314">
        <w:rPr>
          <w:rStyle w:val="FootnoteReference"/>
          <w:sz w:val="20"/>
          <w:szCs w:val="20"/>
        </w:rPr>
        <w:footnoteReference w:id="94"/>
      </w:r>
      <w:r w:rsidRPr="00D94314">
        <w:rPr>
          <w:sz w:val="20"/>
          <w:szCs w:val="20"/>
          <w:lang w:val="es-PE"/>
        </w:rPr>
        <w:t xml:space="preserve">. Asimismo, la Corte ha protegido a </w:t>
      </w:r>
      <w:r w:rsidRPr="00D94314">
        <w:rPr>
          <w:sz w:val="20"/>
          <w:szCs w:val="20"/>
          <w:lang w:val="es-PE"/>
        </w:rPr>
        <w:lastRenderedPageBreak/>
        <w:t>través del derecho a la propiedad los derechos adquiridos, entendidos como derechos que se han incorporado al patrimonio de las personas</w:t>
      </w:r>
      <w:r w:rsidRPr="00D94314">
        <w:rPr>
          <w:rStyle w:val="FootnoteReference"/>
          <w:sz w:val="20"/>
          <w:szCs w:val="20"/>
        </w:rPr>
        <w:footnoteReference w:id="95"/>
      </w:r>
      <w:r w:rsidRPr="00D94314">
        <w:rPr>
          <w:sz w:val="20"/>
          <w:szCs w:val="20"/>
          <w:lang w:val="es-PE"/>
        </w:rPr>
        <w:t>. La Comisión recuerda que el derecho a la propiedad protege el derecho al disfrute y goce de los bienes sin interferencias arbitrarias por parte del Estado</w:t>
      </w:r>
      <w:r w:rsidRPr="00D94314">
        <w:rPr>
          <w:rStyle w:val="FootnoteReference"/>
          <w:sz w:val="20"/>
          <w:szCs w:val="20"/>
        </w:rPr>
        <w:footnoteReference w:id="96"/>
      </w:r>
      <w:r w:rsidRPr="00D94314">
        <w:rPr>
          <w:sz w:val="20"/>
          <w:szCs w:val="20"/>
          <w:lang w:val="es-PE"/>
        </w:rPr>
        <w:t>, y consecuentemente acarrea el derecho a recibir una compensación ante la afectación o privación del mismo</w:t>
      </w:r>
      <w:r w:rsidRPr="00D94314">
        <w:rPr>
          <w:rStyle w:val="FootnoteReference"/>
          <w:sz w:val="20"/>
          <w:szCs w:val="20"/>
        </w:rPr>
        <w:footnoteReference w:id="97"/>
      </w:r>
      <w:r w:rsidRPr="00D94314">
        <w:rPr>
          <w:sz w:val="20"/>
          <w:szCs w:val="20"/>
          <w:lang w:val="es-PE"/>
        </w:rPr>
        <w:t>.</w:t>
      </w:r>
    </w:p>
    <w:p w14:paraId="60A821FF" w14:textId="77777777" w:rsidR="005C5801" w:rsidRPr="00D94314" w:rsidRDefault="005C5801" w:rsidP="005C5801">
      <w:pPr>
        <w:pStyle w:val="ListParagraph"/>
        <w:jc w:val="both"/>
        <w:rPr>
          <w:sz w:val="20"/>
          <w:szCs w:val="20"/>
          <w:lang w:val="es-PE"/>
        </w:rPr>
      </w:pPr>
    </w:p>
    <w:p w14:paraId="2D2D3005" w14:textId="77777777" w:rsidR="005C5801" w:rsidRPr="00D94314" w:rsidRDefault="005C5801" w:rsidP="005C5801">
      <w:pPr>
        <w:pStyle w:val="ListParagraph"/>
        <w:numPr>
          <w:ilvl w:val="0"/>
          <w:numId w:val="57"/>
        </w:numPr>
        <w:ind w:left="0" w:firstLine="720"/>
        <w:jc w:val="both"/>
        <w:rPr>
          <w:sz w:val="20"/>
          <w:szCs w:val="20"/>
          <w:lang w:val="es-PE"/>
        </w:rPr>
      </w:pPr>
      <w:r w:rsidRPr="00D94314">
        <w:rPr>
          <w:sz w:val="20"/>
          <w:szCs w:val="20"/>
          <w:lang w:val="es-PE"/>
        </w:rPr>
        <w:t>Más aún, cabe destacar que este derecho comprende todos los muebles e inmuebles, los elementos corporales e incorporales y cualquier otro objeto inmaterial susceptible de valor</w:t>
      </w:r>
      <w:r w:rsidRPr="00D94314">
        <w:rPr>
          <w:rStyle w:val="FootnoteReference"/>
          <w:sz w:val="20"/>
          <w:szCs w:val="20"/>
        </w:rPr>
        <w:footnoteReference w:id="98"/>
      </w:r>
      <w:r w:rsidRPr="00D94314">
        <w:rPr>
          <w:sz w:val="20"/>
          <w:szCs w:val="20"/>
          <w:lang w:val="es-PE"/>
        </w:rPr>
        <w:t>, lo cual se extiende sobre un rango determinado de bienes pecuniarios tal y como, los emanados de la ejecución de negocios y del trabajo</w:t>
      </w:r>
      <w:r w:rsidRPr="00D94314">
        <w:rPr>
          <w:rStyle w:val="FootnoteReference"/>
          <w:sz w:val="20"/>
          <w:szCs w:val="20"/>
        </w:rPr>
        <w:footnoteReference w:id="99"/>
      </w:r>
      <w:r w:rsidRPr="00D94314">
        <w:rPr>
          <w:sz w:val="20"/>
          <w:szCs w:val="20"/>
          <w:lang w:val="es-PE"/>
        </w:rPr>
        <w:t xml:space="preserve">, tal y como lo serían el salario y posterior pensión, en los casos que corresponda.  </w:t>
      </w:r>
    </w:p>
    <w:p w14:paraId="3997F760" w14:textId="77777777" w:rsidR="005C5801" w:rsidRPr="00D94314" w:rsidRDefault="005C5801" w:rsidP="005C580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r w:rsidRPr="00D94314">
        <w:rPr>
          <w:rFonts w:ascii="Cambria" w:hAnsi="Cambria"/>
          <w:sz w:val="20"/>
          <w:szCs w:val="20"/>
        </w:rPr>
        <w:t xml:space="preserve"> </w:t>
      </w:r>
    </w:p>
    <w:p w14:paraId="15F9E343" w14:textId="77777777" w:rsidR="005C5801" w:rsidRPr="00D94314" w:rsidRDefault="005C5801" w:rsidP="005C5801">
      <w:pPr>
        <w:pStyle w:val="ListParagraph"/>
        <w:numPr>
          <w:ilvl w:val="0"/>
          <w:numId w:val="57"/>
        </w:numPr>
        <w:ind w:left="0" w:firstLine="720"/>
        <w:jc w:val="both"/>
        <w:rPr>
          <w:sz w:val="20"/>
          <w:szCs w:val="20"/>
          <w:lang w:val="es-PE"/>
        </w:rPr>
      </w:pPr>
      <w:r w:rsidRPr="00D94314">
        <w:rPr>
          <w:sz w:val="20"/>
          <w:szCs w:val="20"/>
          <w:lang w:val="es-PE"/>
        </w:rPr>
        <w:t xml:space="preserve">En la misma línea, </w:t>
      </w:r>
      <w:r w:rsidRPr="00D94314">
        <w:rPr>
          <w:sz w:val="20"/>
          <w:szCs w:val="20"/>
          <w:lang w:val="es-CO"/>
        </w:rPr>
        <w:t xml:space="preserve">es preciso indicar que el derecho a la propiedad contenido en el artículo </w:t>
      </w:r>
      <w:r w:rsidRPr="00D94314">
        <w:rPr>
          <w:sz w:val="20"/>
          <w:szCs w:val="20"/>
          <w:lang w:val="es-PE"/>
        </w:rPr>
        <w:t>21 de la Convención Americana</w:t>
      </w:r>
      <w:r w:rsidRPr="00D94314">
        <w:rPr>
          <w:sz w:val="20"/>
          <w:szCs w:val="20"/>
          <w:lang w:val="es-CO"/>
        </w:rPr>
        <w:t xml:space="preserve"> no es un derecho absoluto, y por ende responde a limitaciones legítimas que se relacionan con razones de utilidad pública o de interés social, en los casos y según las formas establecidas por la ley, donde debe primar un balance justo entre el derecho individual y el interés colectivo</w:t>
      </w:r>
      <w:r w:rsidRPr="00D94314">
        <w:rPr>
          <w:rStyle w:val="FootnoteReference"/>
          <w:sz w:val="20"/>
          <w:szCs w:val="20"/>
        </w:rPr>
        <w:footnoteReference w:id="100"/>
      </w:r>
      <w:r w:rsidRPr="00D94314">
        <w:rPr>
          <w:sz w:val="20"/>
          <w:szCs w:val="20"/>
          <w:lang w:val="es-PE"/>
        </w:rPr>
        <w:t>.</w:t>
      </w:r>
    </w:p>
    <w:p w14:paraId="2E903C76" w14:textId="77777777" w:rsidR="005C5801" w:rsidRPr="00D94314" w:rsidRDefault="005C5801" w:rsidP="005C580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14:paraId="6E6C3A67" w14:textId="77777777" w:rsidR="005C5801" w:rsidRPr="00D94314" w:rsidRDefault="005C5801" w:rsidP="005C5801">
      <w:pPr>
        <w:pStyle w:val="ListParagraph"/>
        <w:numPr>
          <w:ilvl w:val="0"/>
          <w:numId w:val="57"/>
        </w:numPr>
        <w:ind w:left="0" w:firstLine="720"/>
        <w:jc w:val="both"/>
        <w:rPr>
          <w:rFonts w:eastAsia="Times New Roman"/>
          <w:sz w:val="20"/>
          <w:szCs w:val="20"/>
          <w:lang w:val="es-ES"/>
        </w:rPr>
      </w:pPr>
      <w:r w:rsidRPr="00D94314">
        <w:rPr>
          <w:sz w:val="20"/>
          <w:szCs w:val="20"/>
          <w:lang w:val="es-PE"/>
        </w:rPr>
        <w:t>En</w:t>
      </w:r>
      <w:r w:rsidRPr="00D94314">
        <w:rPr>
          <w:sz w:val="20"/>
          <w:szCs w:val="20"/>
          <w:lang w:val="es-ES"/>
        </w:rPr>
        <w:t xml:space="preserve"> el caso Cinco Pensionistas vs. Perú, la Corte Interamericana declaró una violación del derecho a la propiedad por la afectación patrimonial causada por el incumplimiento de sentencias que pretendían proteger el derecho a una pensión, el cual había sido adquirido por las víctimas de conformidad con la normativa interna. En esa sentencia Corte </w:t>
      </w:r>
      <w:r w:rsidRPr="00D94314">
        <w:rPr>
          <w:sz w:val="20"/>
          <w:szCs w:val="20"/>
          <w:lang w:val="es-PE"/>
        </w:rPr>
        <w:t>señaló</w:t>
      </w:r>
      <w:r w:rsidRPr="00D94314">
        <w:rPr>
          <w:sz w:val="20"/>
          <w:szCs w:val="20"/>
          <w:lang w:val="es-ES"/>
        </w:rPr>
        <w:t xml:space="preserve"> que, desde el momento en que un pensionista paga sus contribuciones a un fondo de pensiones y deja de prestar servicios a la institución concernida para acogerse al régimen de jubilaciones previsto en la ley, adquiere el derecho a que su pensión se rija en los términos y condiciones previstas en dicha ley. </w:t>
      </w:r>
    </w:p>
    <w:p w14:paraId="490982D2" w14:textId="77777777" w:rsidR="005C5801" w:rsidRPr="00D94314" w:rsidRDefault="005C5801" w:rsidP="005C5801">
      <w:pPr>
        <w:ind w:left="720"/>
        <w:jc w:val="both"/>
        <w:rPr>
          <w:rFonts w:ascii="Cambria" w:hAnsi="Cambria"/>
          <w:sz w:val="20"/>
          <w:szCs w:val="20"/>
          <w:lang w:val="es-ES"/>
        </w:rPr>
      </w:pPr>
    </w:p>
    <w:p w14:paraId="0CEC8071" w14:textId="77777777" w:rsidR="005C5801" w:rsidRPr="00D94314" w:rsidRDefault="005C5801" w:rsidP="005C5801">
      <w:pPr>
        <w:pStyle w:val="ListParagraph"/>
        <w:numPr>
          <w:ilvl w:val="0"/>
          <w:numId w:val="57"/>
        </w:numPr>
        <w:ind w:left="0" w:firstLine="720"/>
        <w:jc w:val="both"/>
        <w:rPr>
          <w:rFonts w:eastAsia="Times New Roman"/>
          <w:sz w:val="20"/>
          <w:szCs w:val="20"/>
          <w:lang w:val="es-ES"/>
        </w:rPr>
      </w:pPr>
      <w:r w:rsidRPr="00D94314">
        <w:rPr>
          <w:sz w:val="20"/>
          <w:szCs w:val="20"/>
          <w:lang w:val="es-ES"/>
        </w:rPr>
        <w:t>Asimismo, la Corte declaró que el derecho a la pensión que adquiere dicha persona tiene “efectos patrimoniales”, los cuales están protegidos bajo el artículo 21 de la Convención Americana</w:t>
      </w:r>
      <w:r w:rsidRPr="00D94314">
        <w:rPr>
          <w:rStyle w:val="FootnoteReference"/>
          <w:rFonts w:eastAsia="Times New Roman"/>
          <w:sz w:val="20"/>
          <w:szCs w:val="20"/>
        </w:rPr>
        <w:footnoteReference w:id="101"/>
      </w:r>
      <w:r w:rsidRPr="00D94314">
        <w:rPr>
          <w:sz w:val="20"/>
          <w:szCs w:val="20"/>
          <w:lang w:val="es-ES"/>
        </w:rPr>
        <w:t xml:space="preserve">. Consecuentemente, en aquél caso la Corte declaró que al haber cambiado arbitrariamente el monto de las pensiones que venían percibiendo las </w:t>
      </w:r>
      <w:r w:rsidRPr="00D94314">
        <w:rPr>
          <w:sz w:val="20"/>
          <w:szCs w:val="20"/>
          <w:lang w:val="es-PE"/>
        </w:rPr>
        <w:t>presuntas</w:t>
      </w:r>
      <w:r w:rsidRPr="00D94314">
        <w:rPr>
          <w:sz w:val="20"/>
          <w:szCs w:val="20"/>
          <w:lang w:val="es-ES"/>
        </w:rPr>
        <w:t xml:space="preserve"> víctimas y al no haber dado cumplimiento a las sentencias judiciales emitidas con ocasión de las acciones de garantía interpuestas, el Estado </w:t>
      </w:r>
      <w:r w:rsidRPr="00D94314">
        <w:rPr>
          <w:rFonts w:eastAsia="Times New Roman"/>
          <w:sz w:val="20"/>
          <w:szCs w:val="20"/>
          <w:lang w:val="es-ES"/>
        </w:rPr>
        <w:t>violó el derecho a la propiedad reconocido en el artículo 21 de la Convención Americana</w:t>
      </w:r>
      <w:r w:rsidRPr="00D94314">
        <w:rPr>
          <w:rStyle w:val="FootnoteReference"/>
          <w:rFonts w:eastAsia="Times New Roman"/>
          <w:sz w:val="20"/>
          <w:szCs w:val="20"/>
        </w:rPr>
        <w:footnoteReference w:id="102"/>
      </w:r>
      <w:r w:rsidRPr="00D94314">
        <w:rPr>
          <w:rFonts w:eastAsia="Times New Roman"/>
          <w:sz w:val="20"/>
          <w:szCs w:val="20"/>
          <w:lang w:val="es-ES"/>
        </w:rPr>
        <w:t>.</w:t>
      </w:r>
    </w:p>
    <w:p w14:paraId="680833D5" w14:textId="77777777" w:rsidR="005C5801" w:rsidRPr="00D94314" w:rsidRDefault="005C5801" w:rsidP="005C5801">
      <w:pPr>
        <w:ind w:left="720"/>
        <w:jc w:val="both"/>
        <w:rPr>
          <w:rFonts w:ascii="Cambria" w:eastAsia="Times New Roman" w:hAnsi="Cambria"/>
          <w:sz w:val="20"/>
          <w:szCs w:val="20"/>
          <w:lang w:val="es-ES"/>
        </w:rPr>
      </w:pPr>
    </w:p>
    <w:p w14:paraId="1DB968D8" w14:textId="77777777" w:rsidR="005C5801" w:rsidRPr="00D94314" w:rsidRDefault="005C5801" w:rsidP="005C5801">
      <w:pPr>
        <w:pStyle w:val="ListParagraph"/>
        <w:numPr>
          <w:ilvl w:val="0"/>
          <w:numId w:val="57"/>
        </w:numPr>
        <w:ind w:left="0" w:firstLine="720"/>
        <w:jc w:val="both"/>
        <w:rPr>
          <w:rFonts w:eastAsia="Times New Roman"/>
          <w:sz w:val="20"/>
          <w:szCs w:val="20"/>
          <w:lang w:val="es-ES"/>
        </w:rPr>
      </w:pPr>
      <w:r w:rsidRPr="00D94314">
        <w:rPr>
          <w:sz w:val="20"/>
          <w:szCs w:val="20"/>
          <w:lang w:val="es-CO"/>
        </w:rPr>
        <w:t>Posteriormente</w:t>
      </w:r>
      <w:r w:rsidRPr="00D94314">
        <w:rPr>
          <w:rFonts w:eastAsia="Times New Roman"/>
          <w:sz w:val="20"/>
          <w:szCs w:val="20"/>
          <w:lang w:val="es-ES"/>
        </w:rPr>
        <w:t xml:space="preserve">, en la sentencia del caso </w:t>
      </w:r>
      <w:r w:rsidRPr="00D94314">
        <w:rPr>
          <w:rFonts w:eastAsia="Times New Roman"/>
          <w:bCs/>
          <w:sz w:val="20"/>
          <w:szCs w:val="20"/>
          <w:shd w:val="clear" w:color="auto" w:fill="FFFFFF"/>
          <w:lang w:val="es-ES"/>
        </w:rPr>
        <w:t>Acevedo Buendía y otros ("Cesantes y Jubilados de la Contraloría") vs. Perú, la Corte Interamericana analizó una situación similar sobre la falta de cumplimiento de sentencias que ordenaban a las víctimas acceder al régimen pensionario del Decreto Ley 20530. La Corte consideró que dichas víctimas cumplieron con los requisitos establecidos por dicho decreto y qu</w:t>
      </w:r>
      <w:r w:rsidRPr="00D94314">
        <w:rPr>
          <w:rFonts w:eastAsia="Times New Roman"/>
          <w:sz w:val="20"/>
          <w:szCs w:val="20"/>
          <w:lang w:val="es-ES"/>
        </w:rPr>
        <w:t xml:space="preserve">e el derecho a la pensión que adquirieron generó un </w:t>
      </w:r>
      <w:r w:rsidRPr="00D94314">
        <w:rPr>
          <w:sz w:val="20"/>
          <w:szCs w:val="20"/>
          <w:lang w:val="es-CO"/>
        </w:rPr>
        <w:t>efecto</w:t>
      </w:r>
      <w:r w:rsidRPr="00D94314">
        <w:rPr>
          <w:rFonts w:eastAsia="Times New Roman"/>
          <w:sz w:val="20"/>
          <w:szCs w:val="20"/>
          <w:lang w:val="es-ES"/>
        </w:rPr>
        <w:t xml:space="preserve"> en el patrimonio de éstas, quienes recibían los montos correspondientes cada mes</w:t>
      </w:r>
      <w:r w:rsidRPr="00D94314">
        <w:rPr>
          <w:rStyle w:val="FootnoteReference"/>
          <w:rFonts w:eastAsia="Times New Roman"/>
          <w:sz w:val="20"/>
          <w:szCs w:val="20"/>
        </w:rPr>
        <w:footnoteReference w:id="103"/>
      </w:r>
      <w:r w:rsidRPr="00D94314">
        <w:rPr>
          <w:rFonts w:eastAsia="Times New Roman"/>
          <w:sz w:val="20"/>
          <w:szCs w:val="20"/>
          <w:lang w:val="es-ES"/>
        </w:rPr>
        <w:t>. La Corte tomó en cuenta que el Tribunal Constitucional emitió sentencias mediante las cuales ordenó al Estado reintegrar a las víctimas los montos pensionarios retenidos. En virtud de ello, la Corte consideró que se afectó a las víctimas en tanto no “pudieron gozar integralmente de su derecho a la propiedad sobre los efectos patrimoniales de su pensión nivelable, legalmente reconocida, entendiendo aquéllos como los montos dejados de percibir”</w:t>
      </w:r>
      <w:r w:rsidRPr="00D94314">
        <w:rPr>
          <w:rStyle w:val="FootnoteReference"/>
          <w:rFonts w:eastAsia="Times New Roman"/>
          <w:sz w:val="20"/>
          <w:szCs w:val="20"/>
        </w:rPr>
        <w:footnoteReference w:id="104"/>
      </w:r>
      <w:r w:rsidRPr="00D94314">
        <w:rPr>
          <w:rFonts w:eastAsia="Times New Roman"/>
          <w:sz w:val="20"/>
          <w:szCs w:val="20"/>
          <w:lang w:val="es-ES"/>
        </w:rPr>
        <w:t>.</w:t>
      </w:r>
    </w:p>
    <w:p w14:paraId="6CF7E09C" w14:textId="77777777" w:rsidR="005C5801" w:rsidRPr="00D94314" w:rsidRDefault="005C5801" w:rsidP="005C5801">
      <w:pPr>
        <w:pStyle w:val="ListParagraph"/>
        <w:jc w:val="both"/>
        <w:rPr>
          <w:rFonts w:eastAsia="Times New Roman"/>
          <w:sz w:val="20"/>
          <w:szCs w:val="20"/>
          <w:lang w:val="es-ES"/>
        </w:rPr>
      </w:pPr>
    </w:p>
    <w:p w14:paraId="7C70BF13" w14:textId="77777777" w:rsidR="005C5801" w:rsidRPr="00D94314" w:rsidRDefault="005C5801" w:rsidP="005C5801">
      <w:pPr>
        <w:pStyle w:val="ListParagraph"/>
        <w:numPr>
          <w:ilvl w:val="0"/>
          <w:numId w:val="57"/>
        </w:numPr>
        <w:ind w:left="0" w:firstLine="720"/>
        <w:jc w:val="both"/>
        <w:rPr>
          <w:rFonts w:eastAsia="Times New Roman"/>
          <w:sz w:val="20"/>
          <w:szCs w:val="20"/>
          <w:lang w:val="es-ES"/>
        </w:rPr>
      </w:pPr>
      <w:r w:rsidRPr="00D94314">
        <w:rPr>
          <w:rFonts w:eastAsia="Times New Roman"/>
          <w:sz w:val="20"/>
          <w:szCs w:val="20"/>
          <w:lang w:val="es-ES"/>
        </w:rPr>
        <w:t xml:space="preserve">De manera más reciente, esta posición fue reiterada en la sentencia del caso Muelle Flores vs. Perú, en donde las Corte IDH encontró que el Estado peruano había afectado el patrimonio y propiedad privada de la </w:t>
      </w:r>
      <w:r w:rsidRPr="00D94314">
        <w:rPr>
          <w:rFonts w:eastAsia="Times New Roman"/>
          <w:sz w:val="20"/>
          <w:szCs w:val="20"/>
          <w:lang w:val="es-ES"/>
        </w:rPr>
        <w:lastRenderedPageBreak/>
        <w:t>víctima al decidir suspender los pagos relacionados a su pensión por jubilación así como por el incumplimiento y la falta de ejecución de sentencias judiciales que ordenaban el pago de la misma</w:t>
      </w:r>
      <w:r w:rsidRPr="00D94314">
        <w:rPr>
          <w:rStyle w:val="FootnoteReference"/>
          <w:rFonts w:eastAsia="Times New Roman"/>
          <w:sz w:val="20"/>
          <w:szCs w:val="20"/>
          <w:lang w:val="es-ES"/>
        </w:rPr>
        <w:footnoteReference w:id="105"/>
      </w:r>
      <w:r w:rsidRPr="00D94314">
        <w:rPr>
          <w:rFonts w:eastAsia="Times New Roman"/>
          <w:sz w:val="20"/>
          <w:szCs w:val="20"/>
          <w:lang w:val="es-ES"/>
        </w:rPr>
        <w:t>.</w:t>
      </w:r>
    </w:p>
    <w:p w14:paraId="0C5F263B" w14:textId="77777777" w:rsidR="005C5801" w:rsidRPr="00D94314" w:rsidRDefault="005C5801" w:rsidP="005C5801">
      <w:p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jc w:val="both"/>
        <w:rPr>
          <w:rFonts w:ascii="Cambria" w:eastAsia="Times New Roman" w:hAnsi="Cambria"/>
          <w:sz w:val="20"/>
          <w:szCs w:val="20"/>
          <w:lang w:val="es-ES"/>
        </w:rPr>
      </w:pPr>
    </w:p>
    <w:p w14:paraId="394A4F52" w14:textId="77777777" w:rsidR="005C5801" w:rsidRPr="00D94314" w:rsidRDefault="005C5801" w:rsidP="005C5801">
      <w:pPr>
        <w:pStyle w:val="ListParagraph"/>
        <w:numPr>
          <w:ilvl w:val="0"/>
          <w:numId w:val="57"/>
        </w:numPr>
        <w:ind w:left="0" w:firstLine="720"/>
        <w:jc w:val="both"/>
        <w:rPr>
          <w:rFonts w:eastAsia="Times New Roman"/>
          <w:sz w:val="20"/>
          <w:szCs w:val="20"/>
          <w:lang w:val="es-ES"/>
        </w:rPr>
      </w:pPr>
      <w:r w:rsidRPr="00D94314">
        <w:rPr>
          <w:rFonts w:cs="Verdana"/>
          <w:sz w:val="20"/>
          <w:szCs w:val="20"/>
          <w:lang w:val="es-CO"/>
        </w:rPr>
        <w:t xml:space="preserve"> </w:t>
      </w:r>
      <w:r w:rsidRPr="00D94314">
        <w:rPr>
          <w:sz w:val="20"/>
          <w:szCs w:val="20"/>
          <w:lang w:val="es-ES"/>
        </w:rPr>
        <w:t xml:space="preserve">La Comisión considera que los precedentes antes planteados resultan asimilables al presente caso. Ello en tanto los miembros de SUTECASA: </w:t>
      </w:r>
      <w:r w:rsidRPr="00D94314">
        <w:rPr>
          <w:sz w:val="20"/>
          <w:szCs w:val="20"/>
          <w:lang w:val="es-CO"/>
        </w:rPr>
        <w:t xml:space="preserve">i) presentaron recursos judiciales a efectos de que se estableciera la inaplicabilidad de los decretos que afectaban los incrementos salariales derivados de su convenio colectivo; ii) contaron con sentencia judicial en firme favorable a su pretensión y, por lo tanto, los eventuales montos que habrían dejado de percibir por la aplicación de tales derechos ingresaron al patrimonio de las víctimas; y iii) a la fecha no se ha logrado brindar certeza alguna sobre los efectos patrimoniales concretos de tal fallo, cuyo proceso de ejecución permanece abierto pasados 26 años. </w:t>
      </w:r>
    </w:p>
    <w:p w14:paraId="72D1C4DE" w14:textId="77777777" w:rsidR="005C5801" w:rsidRPr="00D94314" w:rsidRDefault="005C5801" w:rsidP="005C5801">
      <w:pPr>
        <w:pStyle w:val="ListParagraph"/>
        <w:jc w:val="both"/>
        <w:rPr>
          <w:sz w:val="20"/>
          <w:szCs w:val="20"/>
          <w:lang w:val="es-ES"/>
        </w:rPr>
      </w:pPr>
    </w:p>
    <w:p w14:paraId="747A6ECF" w14:textId="77777777" w:rsidR="005C5801" w:rsidRPr="00D94314" w:rsidRDefault="005C5801" w:rsidP="005C5801">
      <w:pPr>
        <w:pStyle w:val="ListParagraph"/>
        <w:numPr>
          <w:ilvl w:val="0"/>
          <w:numId w:val="57"/>
        </w:numPr>
        <w:ind w:left="0" w:firstLine="720"/>
        <w:jc w:val="both"/>
        <w:rPr>
          <w:sz w:val="20"/>
          <w:szCs w:val="20"/>
          <w:lang w:val="es-ES"/>
        </w:rPr>
      </w:pPr>
      <w:r w:rsidRPr="00D94314">
        <w:rPr>
          <w:sz w:val="20"/>
          <w:szCs w:val="20"/>
          <w:lang w:val="es-CO"/>
        </w:rPr>
        <w:t xml:space="preserve">En conclusión, la Comisión considera que el Estado peruano es responsable por la violación del derecho a la propiedad privada establecido en el artículo 21 de la Convención Americana en relación con las obligaciones establecidas en los artículos 1.1 y 2 del mismo instrumento </w:t>
      </w:r>
      <w:r w:rsidRPr="00D94314">
        <w:rPr>
          <w:color w:val="auto"/>
          <w:sz w:val="20"/>
          <w:szCs w:val="20"/>
          <w:lang w:val="es-AR"/>
        </w:rPr>
        <w:t xml:space="preserve">en perjuicio </w:t>
      </w:r>
      <w:r w:rsidRPr="00D94314">
        <w:rPr>
          <w:sz w:val="20"/>
          <w:szCs w:val="20"/>
          <w:lang w:val="es-CO"/>
        </w:rPr>
        <w:t>en perjuicio de las personas incluidas en el Anexo Único al presente informe.</w:t>
      </w:r>
    </w:p>
    <w:p w14:paraId="17F9E646" w14:textId="77777777" w:rsidR="005C5801" w:rsidRPr="00D94314" w:rsidRDefault="005C5801" w:rsidP="005C5801">
      <w:pPr>
        <w:ind w:left="720"/>
        <w:jc w:val="both"/>
        <w:rPr>
          <w:rFonts w:ascii="Cambria" w:hAnsi="Cambria"/>
          <w:sz w:val="20"/>
          <w:szCs w:val="20"/>
          <w:lang w:val="es-ES"/>
        </w:rPr>
      </w:pPr>
    </w:p>
    <w:p w14:paraId="6903D4A2" w14:textId="77777777" w:rsidR="005C5801" w:rsidRPr="00D94314" w:rsidRDefault="005C5801" w:rsidP="005C5801">
      <w:pPr>
        <w:pStyle w:val="Heading1"/>
        <w:numPr>
          <w:ilvl w:val="0"/>
          <w:numId w:val="0"/>
        </w:numPr>
        <w:tabs>
          <w:tab w:val="left" w:pos="1440"/>
        </w:tabs>
        <w:spacing w:before="0"/>
        <w:ind w:left="720"/>
        <w:jc w:val="both"/>
        <w:rPr>
          <w:rFonts w:ascii="Cambria" w:hAnsi="Cambria"/>
          <w:color w:val="auto"/>
          <w:sz w:val="20"/>
          <w:szCs w:val="20"/>
        </w:rPr>
      </w:pPr>
      <w:bookmarkStart w:id="41" w:name="_Toc19528397"/>
      <w:bookmarkStart w:id="42" w:name="_Toc21421524"/>
      <w:r w:rsidRPr="00D94314">
        <w:rPr>
          <w:rFonts w:ascii="Cambria" w:hAnsi="Cambria"/>
          <w:color w:val="auto"/>
          <w:sz w:val="20"/>
          <w:szCs w:val="20"/>
        </w:rPr>
        <w:t xml:space="preserve">V. </w:t>
      </w:r>
      <w:r w:rsidRPr="00D94314">
        <w:rPr>
          <w:rFonts w:ascii="Cambria" w:hAnsi="Cambria"/>
          <w:color w:val="auto"/>
          <w:sz w:val="20"/>
          <w:szCs w:val="20"/>
        </w:rPr>
        <w:tab/>
        <w:t>CONCLUSIONES</w:t>
      </w:r>
      <w:bookmarkEnd w:id="41"/>
      <w:bookmarkEnd w:id="42"/>
    </w:p>
    <w:p w14:paraId="53013673" w14:textId="77777777" w:rsidR="005C5801" w:rsidRPr="00D94314" w:rsidRDefault="005C5801" w:rsidP="005C5801">
      <w:pPr>
        <w:jc w:val="both"/>
        <w:rPr>
          <w:rFonts w:ascii="Cambria" w:hAnsi="Cambria"/>
          <w:sz w:val="20"/>
          <w:szCs w:val="20"/>
        </w:rPr>
      </w:pPr>
    </w:p>
    <w:p w14:paraId="1FE1E26E" w14:textId="2E1890A2" w:rsidR="009A73C6" w:rsidRPr="00D94314" w:rsidRDefault="005C5801" w:rsidP="005C5801">
      <w:pPr>
        <w:pStyle w:val="ListParagraph"/>
        <w:numPr>
          <w:ilvl w:val="0"/>
          <w:numId w:val="57"/>
        </w:numPr>
        <w:ind w:left="0" w:firstLine="720"/>
        <w:jc w:val="both"/>
        <w:rPr>
          <w:rFonts w:eastAsia="Times New Roman"/>
          <w:sz w:val="20"/>
          <w:szCs w:val="20"/>
          <w:lang w:val="es-ES"/>
        </w:rPr>
      </w:pPr>
      <w:r w:rsidRPr="00D94314">
        <w:rPr>
          <w:sz w:val="20"/>
          <w:szCs w:val="20"/>
          <w:lang w:val="es-ES"/>
        </w:rPr>
        <w:t>Con</w:t>
      </w:r>
      <w:r w:rsidRPr="00D94314">
        <w:rPr>
          <w:rFonts w:eastAsia="Times New Roman"/>
          <w:sz w:val="20"/>
          <w:szCs w:val="20"/>
          <w:lang w:val="es-ES"/>
        </w:rPr>
        <w:t xml:space="preserve"> base en las consideraciones de hecho y de derecho expuestas a lo largo del presente informe de fondo, la </w:t>
      </w:r>
      <w:r w:rsidRPr="00D94314">
        <w:rPr>
          <w:sz w:val="20"/>
          <w:szCs w:val="20"/>
          <w:lang w:val="es-ES"/>
        </w:rPr>
        <w:t>Comisión</w:t>
      </w:r>
      <w:r w:rsidRPr="00D94314">
        <w:rPr>
          <w:rFonts w:eastAsia="Times New Roman"/>
          <w:sz w:val="20"/>
          <w:szCs w:val="20"/>
          <w:lang w:val="es-ES"/>
        </w:rPr>
        <w:t xml:space="preserve"> Interamericana concluye que el Estado de Perú es responsable por</w:t>
      </w:r>
      <w:r w:rsidRPr="00D94314">
        <w:rPr>
          <w:sz w:val="20"/>
          <w:szCs w:val="20"/>
          <w:lang w:val="es-ES"/>
        </w:rPr>
        <w:t xml:space="preserve"> la violación de los derechos a las garantías judiciales, propiedad privada y protección judicial, establecido en los artículos 8.1, 21, 25.1, 25.2.c) y 26 de la Convención Americana, en relación con las obligaciones establecidas en el artículo 1.1 del mismo instrumento, en perjuicio de las personas incluidas en el Anexo Único al presente informe. Asimismo, la Comisión concluye que el Estado incumplió las obligaciones establecidas en el artículo 2 del mismo instrumento.</w:t>
      </w:r>
    </w:p>
    <w:p w14:paraId="779DCC15" w14:textId="77777777" w:rsidR="00926D1C" w:rsidRPr="00D94314" w:rsidRDefault="00926D1C" w:rsidP="00926D1C">
      <w:pPr>
        <w:jc w:val="both"/>
        <w:rPr>
          <w:rFonts w:asciiTheme="majorHAnsi" w:hAnsiTheme="majorHAnsi"/>
          <w:sz w:val="20"/>
          <w:szCs w:val="20"/>
        </w:rPr>
      </w:pPr>
      <w:bookmarkStart w:id="43" w:name="_Toc346449098"/>
      <w:bookmarkStart w:id="44" w:name="_Toc474398504"/>
    </w:p>
    <w:p w14:paraId="7BAB3E62" w14:textId="37224B19" w:rsidR="00926D1C" w:rsidRPr="00D94314" w:rsidRDefault="00695A90" w:rsidP="00695A90">
      <w:pPr>
        <w:pStyle w:val="Heading1"/>
        <w:numPr>
          <w:ilvl w:val="0"/>
          <w:numId w:val="0"/>
        </w:numPr>
        <w:tabs>
          <w:tab w:val="left" w:pos="1440"/>
        </w:tabs>
        <w:spacing w:before="0"/>
        <w:ind w:left="720"/>
        <w:jc w:val="both"/>
        <w:rPr>
          <w:color w:val="auto"/>
          <w:sz w:val="20"/>
          <w:szCs w:val="20"/>
        </w:rPr>
      </w:pPr>
      <w:bookmarkStart w:id="45" w:name="_Toc480636781"/>
      <w:bookmarkStart w:id="46" w:name="_Toc19528398"/>
      <w:bookmarkStart w:id="47" w:name="_Toc21421525"/>
      <w:r w:rsidRPr="00D94314">
        <w:rPr>
          <w:color w:val="auto"/>
          <w:sz w:val="20"/>
          <w:szCs w:val="20"/>
        </w:rPr>
        <w:t xml:space="preserve">VI. </w:t>
      </w:r>
      <w:r w:rsidRPr="00D94314">
        <w:rPr>
          <w:color w:val="auto"/>
          <w:sz w:val="20"/>
          <w:szCs w:val="20"/>
        </w:rPr>
        <w:tab/>
      </w:r>
      <w:r w:rsidR="00926D1C" w:rsidRPr="00D94314">
        <w:rPr>
          <w:color w:val="auto"/>
          <w:sz w:val="20"/>
          <w:szCs w:val="20"/>
        </w:rPr>
        <w:t>RECOMENDACIONES</w:t>
      </w:r>
      <w:bookmarkEnd w:id="43"/>
      <w:bookmarkEnd w:id="44"/>
      <w:bookmarkEnd w:id="45"/>
      <w:bookmarkEnd w:id="46"/>
      <w:bookmarkEnd w:id="47"/>
    </w:p>
    <w:p w14:paraId="73852012" w14:textId="77777777" w:rsidR="00926D1C" w:rsidRPr="00D94314" w:rsidRDefault="00926D1C" w:rsidP="00926D1C">
      <w:pPr>
        <w:ind w:left="720"/>
        <w:jc w:val="both"/>
        <w:rPr>
          <w:rFonts w:asciiTheme="majorHAnsi" w:hAnsiTheme="majorHAnsi"/>
          <w:sz w:val="20"/>
          <w:szCs w:val="20"/>
          <w:lang w:val="es-ES"/>
        </w:rPr>
      </w:pPr>
    </w:p>
    <w:p w14:paraId="552C5716" w14:textId="77777777" w:rsidR="00926D1C" w:rsidRPr="00D94314" w:rsidRDefault="00926D1C" w:rsidP="00391E48">
      <w:pPr>
        <w:pStyle w:val="ListParagraph"/>
        <w:numPr>
          <w:ilvl w:val="0"/>
          <w:numId w:val="57"/>
        </w:numPr>
        <w:ind w:left="0" w:firstLine="720"/>
        <w:jc w:val="both"/>
        <w:rPr>
          <w:rFonts w:asciiTheme="majorHAnsi" w:eastAsia="Times New Roman" w:hAnsiTheme="majorHAnsi"/>
          <w:sz w:val="20"/>
          <w:szCs w:val="20"/>
          <w:lang w:val="es-ES"/>
        </w:rPr>
      </w:pPr>
      <w:r w:rsidRPr="00D94314">
        <w:rPr>
          <w:rFonts w:asciiTheme="majorHAnsi" w:eastAsia="Times New Roman" w:hAnsiTheme="majorHAnsi"/>
          <w:sz w:val="20"/>
          <w:szCs w:val="20"/>
          <w:lang w:val="es-ES"/>
        </w:rPr>
        <w:t xml:space="preserve">En </w:t>
      </w:r>
      <w:r w:rsidRPr="00D94314">
        <w:rPr>
          <w:rFonts w:asciiTheme="majorHAnsi" w:hAnsiTheme="majorHAnsi"/>
          <w:sz w:val="20"/>
          <w:szCs w:val="20"/>
          <w:lang w:val="es-ES"/>
        </w:rPr>
        <w:t>virtud</w:t>
      </w:r>
      <w:r w:rsidRPr="00D94314">
        <w:rPr>
          <w:rFonts w:asciiTheme="majorHAnsi" w:eastAsia="Times New Roman" w:hAnsiTheme="majorHAnsi"/>
          <w:sz w:val="20"/>
          <w:szCs w:val="20"/>
          <w:lang w:val="es-ES"/>
        </w:rPr>
        <w:t xml:space="preserve"> de las anteriores conclusiones, </w:t>
      </w:r>
    </w:p>
    <w:p w14:paraId="2115CD46" w14:textId="77777777" w:rsidR="00926D1C" w:rsidRPr="00D94314" w:rsidRDefault="00926D1C" w:rsidP="00B867B7">
      <w:pPr>
        <w:ind w:left="720"/>
        <w:jc w:val="center"/>
        <w:rPr>
          <w:rFonts w:asciiTheme="majorHAnsi" w:eastAsia="Times New Roman" w:hAnsiTheme="majorHAnsi"/>
          <w:sz w:val="20"/>
          <w:szCs w:val="20"/>
          <w:lang w:val="es-ES"/>
        </w:rPr>
      </w:pPr>
    </w:p>
    <w:p w14:paraId="5C70A795" w14:textId="77777777" w:rsidR="00926D1C" w:rsidRPr="00D94314" w:rsidRDefault="00926D1C" w:rsidP="00B867B7">
      <w:pPr>
        <w:jc w:val="center"/>
        <w:rPr>
          <w:rFonts w:asciiTheme="majorHAnsi" w:eastAsia="Times New Roman" w:hAnsiTheme="majorHAnsi"/>
          <w:b/>
          <w:sz w:val="20"/>
          <w:szCs w:val="20"/>
          <w:lang w:val="es-ES"/>
        </w:rPr>
      </w:pPr>
      <w:r w:rsidRPr="00D94314">
        <w:rPr>
          <w:rFonts w:asciiTheme="majorHAnsi" w:eastAsia="Times New Roman" w:hAnsiTheme="majorHAnsi"/>
          <w:b/>
          <w:sz w:val="20"/>
          <w:szCs w:val="20"/>
          <w:lang w:val="es-ES"/>
        </w:rPr>
        <w:t>LA COMISIÓN INTERAMERICANA DE DERECHOS HUMANOS</w:t>
      </w:r>
    </w:p>
    <w:p w14:paraId="68D9DEF6" w14:textId="77777777" w:rsidR="00926D1C" w:rsidRPr="00D94314" w:rsidRDefault="00926D1C" w:rsidP="00B867B7">
      <w:pPr>
        <w:jc w:val="center"/>
        <w:rPr>
          <w:rFonts w:asciiTheme="majorHAnsi" w:eastAsia="Times New Roman" w:hAnsiTheme="majorHAnsi"/>
          <w:sz w:val="20"/>
          <w:szCs w:val="20"/>
          <w:lang w:val="es-ES"/>
        </w:rPr>
      </w:pPr>
      <w:r w:rsidRPr="00D94314">
        <w:rPr>
          <w:rFonts w:asciiTheme="majorHAnsi" w:eastAsia="Times New Roman" w:hAnsiTheme="majorHAnsi"/>
          <w:b/>
          <w:sz w:val="20"/>
          <w:szCs w:val="20"/>
          <w:lang w:val="es-ES"/>
        </w:rPr>
        <w:t>RECOMIENDA AL ESTADO DE PERÚ,</w:t>
      </w:r>
    </w:p>
    <w:p w14:paraId="094B696C" w14:textId="77777777" w:rsidR="00926D1C" w:rsidRPr="00D94314" w:rsidRDefault="00926D1C" w:rsidP="00926D1C">
      <w:pPr>
        <w:ind w:right="720"/>
        <w:jc w:val="both"/>
        <w:rPr>
          <w:rFonts w:asciiTheme="majorHAnsi" w:eastAsia="Times New Roman" w:hAnsiTheme="majorHAnsi"/>
          <w:sz w:val="20"/>
          <w:szCs w:val="20"/>
          <w:lang w:val="es-ES"/>
        </w:rPr>
      </w:pPr>
    </w:p>
    <w:p w14:paraId="2D1816D9" w14:textId="2B72FD68" w:rsidR="00926D1C" w:rsidRPr="00D94314" w:rsidRDefault="00926D1C" w:rsidP="0018734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val="es-ES"/>
        </w:rPr>
      </w:pPr>
      <w:r w:rsidRPr="00D94314">
        <w:rPr>
          <w:rFonts w:asciiTheme="majorHAnsi" w:eastAsia="Times New Roman" w:hAnsiTheme="majorHAnsi"/>
          <w:sz w:val="20"/>
          <w:szCs w:val="20"/>
          <w:lang w:val="es-ES"/>
        </w:rPr>
        <w:t xml:space="preserve">Dar cumplimiento a la mayor brevedad posible a la sentencia de la Corte Suprema de Justicia de </w:t>
      </w:r>
      <w:r w:rsidR="00FD2CBC" w:rsidRPr="00D94314">
        <w:rPr>
          <w:rFonts w:asciiTheme="majorHAnsi" w:eastAsia="Times New Roman" w:hAnsiTheme="majorHAnsi"/>
          <w:sz w:val="20"/>
          <w:szCs w:val="20"/>
          <w:lang w:val="es-ES"/>
        </w:rPr>
        <w:t>16</w:t>
      </w:r>
      <w:r w:rsidRPr="00D94314">
        <w:rPr>
          <w:rFonts w:asciiTheme="majorHAnsi" w:eastAsia="Times New Roman" w:hAnsiTheme="majorHAnsi"/>
          <w:sz w:val="20"/>
          <w:szCs w:val="20"/>
          <w:lang w:val="es-ES"/>
        </w:rPr>
        <w:t xml:space="preserve"> de </w:t>
      </w:r>
      <w:r w:rsidR="00FD2CBC" w:rsidRPr="00D94314">
        <w:rPr>
          <w:rFonts w:asciiTheme="majorHAnsi" w:eastAsia="Times New Roman" w:hAnsiTheme="majorHAnsi"/>
          <w:sz w:val="20"/>
          <w:szCs w:val="20"/>
          <w:lang w:val="es-ES"/>
        </w:rPr>
        <w:t>febrero</w:t>
      </w:r>
      <w:r w:rsidRPr="00D94314">
        <w:rPr>
          <w:rFonts w:asciiTheme="majorHAnsi" w:eastAsia="Times New Roman" w:hAnsiTheme="majorHAnsi"/>
          <w:sz w:val="20"/>
          <w:szCs w:val="20"/>
          <w:lang w:val="es-ES"/>
        </w:rPr>
        <w:t xml:space="preserve"> de 1993. Lo anterior incluye </w:t>
      </w:r>
      <w:r w:rsidR="00FD2CBC" w:rsidRPr="00D94314">
        <w:rPr>
          <w:rFonts w:asciiTheme="majorHAnsi" w:eastAsia="Times New Roman" w:hAnsiTheme="majorHAnsi"/>
          <w:sz w:val="20"/>
          <w:szCs w:val="20"/>
          <w:lang w:val="es-ES"/>
        </w:rPr>
        <w:t xml:space="preserve">la </w:t>
      </w:r>
      <w:r w:rsidR="00E6769D" w:rsidRPr="00D94314">
        <w:rPr>
          <w:rFonts w:asciiTheme="majorHAnsi" w:eastAsia="Times New Roman" w:hAnsiTheme="majorHAnsi"/>
          <w:sz w:val="20"/>
          <w:szCs w:val="20"/>
          <w:lang w:val="es-ES"/>
        </w:rPr>
        <w:t xml:space="preserve">adopción de todas las medidas necesarias para definir de la manera más expedita posible </w:t>
      </w:r>
      <w:r w:rsidR="00FD2CBC" w:rsidRPr="00D94314">
        <w:rPr>
          <w:rFonts w:asciiTheme="majorHAnsi" w:eastAsia="Times New Roman" w:hAnsiTheme="majorHAnsi"/>
          <w:sz w:val="20"/>
          <w:szCs w:val="20"/>
          <w:lang w:val="es-ES"/>
        </w:rPr>
        <w:t xml:space="preserve">los montos </w:t>
      </w:r>
      <w:r w:rsidR="00E6769D" w:rsidRPr="00D94314">
        <w:rPr>
          <w:rFonts w:asciiTheme="majorHAnsi" w:eastAsia="Times New Roman" w:hAnsiTheme="majorHAnsi"/>
          <w:sz w:val="20"/>
          <w:szCs w:val="20"/>
          <w:lang w:val="es-ES"/>
        </w:rPr>
        <w:t xml:space="preserve">que se habrían dejado de percibir como consecuencia de la aplicación de los decretos declarados inaplicables en el referido fallo judicial. </w:t>
      </w:r>
      <w:r w:rsidRPr="00D94314">
        <w:rPr>
          <w:rFonts w:asciiTheme="majorHAnsi" w:eastAsia="Times New Roman" w:hAnsiTheme="majorHAnsi"/>
          <w:sz w:val="20"/>
          <w:szCs w:val="20"/>
          <w:lang w:val="es-ES"/>
        </w:rPr>
        <w:t>Tomando en cuenta la inefectividad del proceso judicial de ejec</w:t>
      </w:r>
      <w:r w:rsidR="00FD2CBC" w:rsidRPr="00D94314">
        <w:rPr>
          <w:rFonts w:asciiTheme="majorHAnsi" w:eastAsia="Times New Roman" w:hAnsiTheme="majorHAnsi"/>
          <w:sz w:val="20"/>
          <w:szCs w:val="20"/>
          <w:lang w:val="es-ES"/>
        </w:rPr>
        <w:t xml:space="preserve">ución de sentencia por </w:t>
      </w:r>
      <w:r w:rsidR="00AD1F87" w:rsidRPr="00D94314">
        <w:rPr>
          <w:rFonts w:asciiTheme="majorHAnsi" w:eastAsia="Times New Roman" w:hAnsiTheme="majorHAnsi"/>
          <w:sz w:val="20"/>
          <w:szCs w:val="20"/>
          <w:lang w:val="es-ES"/>
        </w:rPr>
        <w:t xml:space="preserve">26 </w:t>
      </w:r>
      <w:r w:rsidRPr="00D94314">
        <w:rPr>
          <w:rFonts w:asciiTheme="majorHAnsi" w:eastAsia="Times New Roman" w:hAnsiTheme="majorHAnsi"/>
          <w:sz w:val="20"/>
          <w:szCs w:val="20"/>
          <w:lang w:val="es-ES"/>
        </w:rPr>
        <w:t xml:space="preserve">años y la urgencia del cumplimiento del fallo dada la avanzada edad de las víctimas, la Comisión insta al Estado a implementar inmediatamente un mecanismo expedito para que en el tiempo más breve posible se establezcan los efectos patrimoniales del fallo y se disponga su pago </w:t>
      </w:r>
      <w:r w:rsidR="00050E52" w:rsidRPr="00D94314">
        <w:rPr>
          <w:rFonts w:asciiTheme="majorHAnsi" w:eastAsia="Times New Roman" w:hAnsiTheme="majorHAnsi"/>
          <w:sz w:val="20"/>
          <w:szCs w:val="20"/>
          <w:lang w:val="es-ES"/>
        </w:rPr>
        <w:t xml:space="preserve">efectivo </w:t>
      </w:r>
      <w:r w:rsidRPr="00D94314">
        <w:rPr>
          <w:rFonts w:asciiTheme="majorHAnsi" w:eastAsia="Times New Roman" w:hAnsiTheme="majorHAnsi"/>
          <w:sz w:val="20"/>
          <w:szCs w:val="20"/>
          <w:lang w:val="es-ES"/>
        </w:rPr>
        <w:t xml:space="preserve">sin mayores dilaciones y obstáculos. </w:t>
      </w:r>
    </w:p>
    <w:p w14:paraId="103148AB" w14:textId="77777777" w:rsidR="00926D1C" w:rsidRPr="00D94314" w:rsidRDefault="00926D1C" w:rsidP="00926D1C">
      <w:pPr>
        <w:ind w:firstLine="720"/>
        <w:jc w:val="both"/>
        <w:rPr>
          <w:rFonts w:asciiTheme="majorHAnsi" w:eastAsia="Times New Roman" w:hAnsiTheme="majorHAnsi"/>
          <w:sz w:val="20"/>
          <w:szCs w:val="20"/>
          <w:lang w:val="es-ES"/>
        </w:rPr>
      </w:pPr>
    </w:p>
    <w:p w14:paraId="4DBD86B0" w14:textId="77026501" w:rsidR="00926D1C" w:rsidRPr="00D94314" w:rsidRDefault="00926D1C" w:rsidP="0018734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val="es-ES"/>
        </w:rPr>
      </w:pPr>
      <w:r w:rsidRPr="00D94314">
        <w:rPr>
          <w:rFonts w:asciiTheme="majorHAnsi" w:eastAsia="Times New Roman" w:hAnsiTheme="majorHAnsi"/>
          <w:sz w:val="20"/>
          <w:szCs w:val="20"/>
          <w:lang w:val="es-ES"/>
        </w:rPr>
        <w:t xml:space="preserve">Reparar integralmente las violaciones declaradas en el presente informe, incluyendo una debida compensación que incluya el daño material e inmaterial causado. Esta reparación debe ser implementada no sólo respecto de los miembros de </w:t>
      </w:r>
      <w:r w:rsidR="00FD2CBC" w:rsidRPr="00D94314">
        <w:rPr>
          <w:rFonts w:asciiTheme="majorHAnsi" w:eastAsia="Times New Roman" w:hAnsiTheme="majorHAnsi"/>
          <w:sz w:val="20"/>
          <w:szCs w:val="20"/>
          <w:lang w:val="es-ES"/>
        </w:rPr>
        <w:t>SUTECASA</w:t>
      </w:r>
      <w:r w:rsidRPr="00D94314">
        <w:rPr>
          <w:rFonts w:asciiTheme="majorHAnsi" w:eastAsia="Times New Roman" w:hAnsiTheme="majorHAnsi"/>
          <w:sz w:val="20"/>
          <w:szCs w:val="20"/>
          <w:lang w:val="es-ES"/>
        </w:rPr>
        <w:t xml:space="preserve"> que continúan con vida, sino también respecto de aquellos que fallecieron a la esperar del cumplimiento del fallo a su favor. En el caso de estas personas, el Estado deberá hacer efectiva la reparación respecto de sus familiares.    </w:t>
      </w:r>
    </w:p>
    <w:p w14:paraId="7AE4DB1C" w14:textId="77777777" w:rsidR="00926D1C" w:rsidRPr="00D94314" w:rsidRDefault="00926D1C" w:rsidP="00926D1C">
      <w:pPr>
        <w:ind w:firstLine="720"/>
        <w:jc w:val="both"/>
        <w:rPr>
          <w:rFonts w:asciiTheme="majorHAnsi" w:eastAsia="Times New Roman" w:hAnsiTheme="majorHAnsi"/>
          <w:sz w:val="20"/>
          <w:szCs w:val="20"/>
          <w:lang w:val="es-ES"/>
        </w:rPr>
      </w:pPr>
    </w:p>
    <w:p w14:paraId="38B6C4D2" w14:textId="62263CD4" w:rsidR="00926D1C" w:rsidRPr="00D94314" w:rsidRDefault="00926D1C" w:rsidP="0018734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val="es-ES"/>
        </w:rPr>
      </w:pPr>
      <w:r w:rsidRPr="00D94314">
        <w:rPr>
          <w:rFonts w:asciiTheme="majorHAnsi" w:eastAsia="Times New Roman" w:hAnsiTheme="majorHAnsi"/>
          <w:sz w:val="20"/>
          <w:szCs w:val="20"/>
          <w:lang w:val="es-ES"/>
        </w:rPr>
        <w:t>Adoptar las medidas legislativas</w:t>
      </w:r>
      <w:r w:rsidR="00050E52" w:rsidRPr="00D94314">
        <w:rPr>
          <w:rFonts w:asciiTheme="majorHAnsi" w:eastAsia="Times New Roman" w:hAnsiTheme="majorHAnsi"/>
          <w:sz w:val="20"/>
          <w:szCs w:val="20"/>
          <w:lang w:val="es-ES"/>
        </w:rPr>
        <w:t>, administrativas</w:t>
      </w:r>
      <w:r w:rsidRPr="00D94314">
        <w:rPr>
          <w:rFonts w:asciiTheme="majorHAnsi" w:eastAsia="Times New Roman" w:hAnsiTheme="majorHAnsi"/>
          <w:sz w:val="20"/>
          <w:szCs w:val="20"/>
          <w:lang w:val="es-ES"/>
        </w:rPr>
        <w:t xml:space="preserve"> o de otra índole necesarias para evitar la repetición de las violaciones declaradas en el presente informe. Al respecto, el Estado deberá disponer las medidas necesarias para: i) Asegurar que los procesos de ejecución de sentencia cumplan con el estándar convencional de sencillez y rapidez; y ii) Asegurar que las autoridades judiciales que conocen tales procesos se encuentren </w:t>
      </w:r>
      <w:r w:rsidRPr="00D94314">
        <w:rPr>
          <w:rFonts w:asciiTheme="majorHAnsi" w:eastAsia="Times New Roman" w:hAnsiTheme="majorHAnsi"/>
          <w:sz w:val="20"/>
          <w:szCs w:val="20"/>
          <w:lang w:val="es-ES"/>
        </w:rPr>
        <w:lastRenderedPageBreak/>
        <w:t xml:space="preserve">facultados legalmente y apliquen en la práctica los mecanismos coercitivos necesarios para garantizar el cumplimiento de los fallos judiciales. </w:t>
      </w:r>
    </w:p>
    <w:p w14:paraId="56A98BAC" w14:textId="77777777" w:rsidR="00926D1C" w:rsidRPr="00660E83" w:rsidRDefault="00926D1C" w:rsidP="00926D1C">
      <w:pPr>
        <w:suppressAutoHyphens/>
        <w:jc w:val="both"/>
        <w:rPr>
          <w:rFonts w:asciiTheme="majorHAnsi" w:hAnsiTheme="majorHAnsi"/>
          <w:sz w:val="20"/>
          <w:szCs w:val="20"/>
          <w:lang w:val="es-CO"/>
        </w:rPr>
      </w:pPr>
    </w:p>
    <w:p w14:paraId="6E420384" w14:textId="35C579A2" w:rsidR="00926D1C" w:rsidRPr="00660E83" w:rsidRDefault="00926D1C" w:rsidP="00926D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sectPr w:rsidR="00926D1C" w:rsidRPr="00660E83" w:rsidSect="00471085">
      <w:type w:val="oddPage"/>
      <w:pgSz w:w="12240" w:h="15840"/>
      <w:pgMar w:top="1440" w:right="1183" w:bottom="1440"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58CF8" w14:textId="77777777" w:rsidR="00FC6B2B" w:rsidRDefault="00FC6B2B">
      <w:r>
        <w:separator/>
      </w:r>
    </w:p>
  </w:endnote>
  <w:endnote w:type="continuationSeparator" w:id="0">
    <w:p w14:paraId="276F70F0" w14:textId="77777777" w:rsidR="00FC6B2B" w:rsidRDefault="00FC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080394"/>
      <w:docPartObj>
        <w:docPartGallery w:val="Page Numbers (Bottom of Page)"/>
        <w:docPartUnique/>
      </w:docPartObj>
    </w:sdtPr>
    <w:sdtEndPr>
      <w:rPr>
        <w:noProof/>
        <w:sz w:val="16"/>
        <w:szCs w:val="22"/>
      </w:rPr>
    </w:sdtEndPr>
    <w:sdtContent>
      <w:p w14:paraId="671C5090" w14:textId="7F9DA52D" w:rsidR="00FC6B2B" w:rsidRPr="00934A2C" w:rsidRDefault="00FC6B2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70BEE">
          <w:rPr>
            <w:noProof/>
            <w:sz w:val="16"/>
            <w:szCs w:val="22"/>
          </w:rPr>
          <w:t>21</w:t>
        </w:r>
        <w:r w:rsidRPr="00934A2C">
          <w:rPr>
            <w:noProof/>
            <w:sz w:val="16"/>
            <w:szCs w:val="22"/>
          </w:rPr>
          <w:fldChar w:fldCharType="end"/>
        </w:r>
      </w:p>
    </w:sdtContent>
  </w:sdt>
  <w:p w14:paraId="444B93E1" w14:textId="77777777" w:rsidR="00FC6B2B" w:rsidRDefault="00FC6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58C9" w14:textId="77777777" w:rsidR="00FC6B2B" w:rsidRPr="00934A2C" w:rsidRDefault="00FC6B2B">
    <w:pPr>
      <w:pStyle w:val="Footer"/>
      <w:jc w:val="center"/>
      <w:rPr>
        <w:sz w:val="16"/>
        <w:szCs w:val="22"/>
      </w:rPr>
    </w:pPr>
  </w:p>
  <w:p w14:paraId="30CD052A" w14:textId="77777777" w:rsidR="00FC6B2B" w:rsidRDefault="00FC6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2981" w14:textId="77777777" w:rsidR="00FC6B2B" w:rsidRPr="000F35ED" w:rsidRDefault="00FC6B2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9CF136E" w14:textId="77777777" w:rsidR="00FC6B2B" w:rsidRPr="000F35ED" w:rsidRDefault="00FC6B2B" w:rsidP="000F35ED">
      <w:pPr>
        <w:rPr>
          <w:rFonts w:asciiTheme="majorHAnsi" w:hAnsiTheme="majorHAnsi"/>
          <w:sz w:val="16"/>
          <w:szCs w:val="16"/>
        </w:rPr>
      </w:pPr>
      <w:r w:rsidRPr="000F35ED">
        <w:rPr>
          <w:rFonts w:asciiTheme="majorHAnsi" w:hAnsiTheme="majorHAnsi"/>
          <w:sz w:val="16"/>
          <w:szCs w:val="16"/>
        </w:rPr>
        <w:separator/>
      </w:r>
    </w:p>
    <w:p w14:paraId="58293169" w14:textId="77777777" w:rsidR="00FC6B2B" w:rsidRPr="000F35ED" w:rsidRDefault="00FC6B2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43CC373" w14:textId="77777777" w:rsidR="00FC6B2B" w:rsidRPr="000F35ED" w:rsidRDefault="00FC6B2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1993D67" w14:textId="72DBA171" w:rsidR="00FC6B2B" w:rsidRPr="001E75AD" w:rsidRDefault="00FC6B2B" w:rsidP="00663A42">
      <w:pPr>
        <w:pStyle w:val="FootnoteText"/>
        <w:jc w:val="both"/>
        <w:rPr>
          <w:rFonts w:asciiTheme="majorHAnsi" w:hAnsiTheme="majorHAnsi"/>
          <w:sz w:val="16"/>
          <w:szCs w:val="16"/>
          <w:lang w:val="es-US"/>
        </w:rPr>
      </w:pPr>
      <w:r w:rsidRPr="001E75AD">
        <w:rPr>
          <w:rStyle w:val="FootnoteReference"/>
          <w:rFonts w:asciiTheme="majorHAnsi" w:hAnsiTheme="majorHAnsi"/>
          <w:sz w:val="16"/>
          <w:szCs w:val="16"/>
        </w:rPr>
        <w:footnoteRef/>
      </w:r>
      <w:r w:rsidRPr="001E75AD">
        <w:rPr>
          <w:rFonts w:asciiTheme="majorHAnsi" w:hAnsiTheme="majorHAnsi"/>
          <w:sz w:val="16"/>
          <w:szCs w:val="16"/>
          <w:lang w:val="es-US"/>
        </w:rPr>
        <w:t xml:space="preserve"> </w:t>
      </w:r>
      <w:r w:rsidRPr="001E75AD">
        <w:rPr>
          <w:rFonts w:asciiTheme="majorHAnsi" w:hAnsiTheme="majorHAnsi"/>
          <w:sz w:val="16"/>
          <w:szCs w:val="16"/>
          <w:lang w:val="es-CO"/>
        </w:rPr>
        <w:t>Conforme a lo dispuesto en el artículo 17.2 del Reglamento de la Comisión, el Comisionado Francisco Eguiguren, de nacionalidad peruana, no participó en el debate ni en la decisión del presente cas</w:t>
      </w:r>
      <w:r w:rsidRPr="001E75AD">
        <w:rPr>
          <w:rFonts w:asciiTheme="majorHAnsi" w:hAnsiTheme="majorHAnsi"/>
          <w:color w:val="auto"/>
          <w:sz w:val="16"/>
          <w:szCs w:val="16"/>
          <w:lang w:val="es-CO"/>
        </w:rPr>
        <w:t>o.</w:t>
      </w:r>
      <w:r w:rsidRPr="001E75AD">
        <w:rPr>
          <w:rFonts w:asciiTheme="majorHAnsi" w:hAnsiTheme="majorHAnsi" w:cs="Tahoma"/>
          <w:sz w:val="16"/>
          <w:szCs w:val="16"/>
          <w:lang w:val="es-PE"/>
        </w:rPr>
        <w:t xml:space="preserve">  </w:t>
      </w:r>
    </w:p>
  </w:footnote>
  <w:footnote w:id="3">
    <w:p w14:paraId="4B1A7BD7" w14:textId="42D86D21"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color w:val="auto"/>
          <w:sz w:val="16"/>
          <w:szCs w:val="16"/>
        </w:rPr>
        <w:footnoteRef/>
      </w:r>
      <w:r w:rsidRPr="000A369B">
        <w:rPr>
          <w:rFonts w:asciiTheme="majorHAnsi" w:hAnsiTheme="majorHAnsi"/>
          <w:color w:val="auto"/>
          <w:sz w:val="16"/>
          <w:szCs w:val="16"/>
          <w:lang w:val="es-MX"/>
        </w:rPr>
        <w:t xml:space="preserve"> CIDH. Informe No. 4/09. </w:t>
      </w:r>
      <w:r w:rsidRPr="001E75AD">
        <w:rPr>
          <w:rFonts w:asciiTheme="majorHAnsi" w:hAnsiTheme="majorHAnsi"/>
          <w:sz w:val="16"/>
          <w:szCs w:val="16"/>
          <w:lang w:val="es-AR"/>
        </w:rPr>
        <w:t>Petición 914-98</w:t>
      </w:r>
      <w:r w:rsidRPr="001E75AD">
        <w:rPr>
          <w:rFonts w:asciiTheme="majorHAnsi" w:hAnsiTheme="majorHAnsi"/>
          <w:color w:val="auto"/>
          <w:sz w:val="16"/>
          <w:szCs w:val="16"/>
          <w:lang w:val="es-US"/>
        </w:rPr>
        <w:t xml:space="preserve">. </w:t>
      </w:r>
      <w:r w:rsidRPr="001E75AD">
        <w:rPr>
          <w:rFonts w:asciiTheme="majorHAnsi" w:hAnsiTheme="majorHAnsi"/>
          <w:color w:val="auto"/>
          <w:sz w:val="16"/>
          <w:szCs w:val="16"/>
          <w:lang w:val="es-AR"/>
        </w:rPr>
        <w:t>Miembros del Sindicato Único de Trabajadores de ECASA</w:t>
      </w:r>
      <w:r w:rsidRPr="001E75AD">
        <w:rPr>
          <w:rFonts w:asciiTheme="majorHAnsi" w:hAnsiTheme="majorHAnsi"/>
          <w:color w:val="auto"/>
          <w:sz w:val="16"/>
          <w:szCs w:val="16"/>
          <w:lang w:val="es-US"/>
        </w:rPr>
        <w:t xml:space="preserve">. </w:t>
      </w:r>
      <w:r w:rsidRPr="001E75AD">
        <w:rPr>
          <w:rFonts w:asciiTheme="majorHAnsi" w:hAnsiTheme="majorHAnsi"/>
          <w:color w:val="auto"/>
          <w:sz w:val="16"/>
          <w:szCs w:val="16"/>
          <w:lang w:val="es-ES_tradnl"/>
        </w:rPr>
        <w:t>11 de febrero de 2009</w:t>
      </w:r>
      <w:r w:rsidRPr="001E75AD">
        <w:rPr>
          <w:rFonts w:asciiTheme="majorHAnsi" w:hAnsiTheme="majorHAnsi"/>
          <w:color w:val="auto"/>
          <w:sz w:val="16"/>
          <w:szCs w:val="16"/>
          <w:lang w:val="es-US"/>
        </w:rPr>
        <w:t xml:space="preserve">. </w:t>
      </w:r>
    </w:p>
  </w:footnote>
  <w:footnote w:id="4">
    <w:p w14:paraId="6F0B60C4" w14:textId="77777777" w:rsidR="00FC6B2B" w:rsidRPr="001E75AD" w:rsidRDefault="00FC6B2B" w:rsidP="00663A42">
      <w:pPr>
        <w:jc w:val="both"/>
        <w:rPr>
          <w:rFonts w:asciiTheme="majorHAnsi" w:hAnsiTheme="majorHAnsi"/>
          <w:sz w:val="16"/>
          <w:szCs w:val="16"/>
        </w:rPr>
      </w:pPr>
      <w:r w:rsidRPr="001E75AD">
        <w:rPr>
          <w:rStyle w:val="FootnoteReference"/>
          <w:rFonts w:asciiTheme="majorHAnsi" w:eastAsia="Calibri" w:hAnsiTheme="majorHAnsi"/>
          <w:sz w:val="16"/>
          <w:szCs w:val="16"/>
        </w:rPr>
        <w:footnoteRef/>
      </w:r>
      <w:r w:rsidRPr="001E75AD">
        <w:rPr>
          <w:rFonts w:asciiTheme="majorHAnsi" w:hAnsiTheme="majorHAnsi"/>
          <w:sz w:val="16"/>
          <w:szCs w:val="16"/>
        </w:rPr>
        <w:t xml:space="preserve"> </w:t>
      </w:r>
      <w:r w:rsidRPr="001E75AD">
        <w:rPr>
          <w:rFonts w:asciiTheme="majorHAnsi" w:eastAsia="Calibri" w:hAnsiTheme="majorHAnsi"/>
          <w:sz w:val="16"/>
          <w:szCs w:val="16"/>
        </w:rPr>
        <w:t>Escrito de los peticionarios de 23 de junio de 2009.</w:t>
      </w:r>
    </w:p>
  </w:footnote>
  <w:footnote w:id="5">
    <w:p w14:paraId="228C23C2" w14:textId="211FC245"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1. </w:t>
      </w:r>
      <w:r w:rsidRPr="001E75AD">
        <w:rPr>
          <w:rFonts w:asciiTheme="majorHAnsi" w:hAnsiTheme="majorHAnsi"/>
          <w:sz w:val="16"/>
          <w:szCs w:val="16"/>
          <w:lang w:val="es-CO"/>
        </w:rPr>
        <w:t>Presentación de Estructura Salarial Única aprobada por Resolución de Gerencia General N° 43/90-ECA/AG de 8 de agosto de 1990 que no resulta aplicable a los ex trabajadores sino a aquel personal no sujeto a convenios colectivos.</w:t>
      </w:r>
    </w:p>
  </w:footnote>
  <w:footnote w:id="6">
    <w:p w14:paraId="75449A52" w14:textId="3EE1524F"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2. </w:t>
      </w:r>
      <w:r w:rsidRPr="001E75AD">
        <w:rPr>
          <w:rFonts w:asciiTheme="majorHAnsi" w:hAnsiTheme="majorHAnsi"/>
          <w:sz w:val="16"/>
          <w:szCs w:val="16"/>
          <w:lang w:val="es-CO"/>
        </w:rPr>
        <w:t>Convenio Colectivo 90/91 de 25 de junio de 1990</w:t>
      </w:r>
      <w:r>
        <w:rPr>
          <w:rFonts w:asciiTheme="majorHAnsi" w:hAnsiTheme="majorHAnsi"/>
          <w:sz w:val="16"/>
          <w:szCs w:val="16"/>
          <w:lang w:val="es-CO"/>
        </w:rPr>
        <w:t xml:space="preserve">. </w:t>
      </w:r>
      <w:r w:rsidRPr="001E75AD">
        <w:rPr>
          <w:rFonts w:asciiTheme="majorHAnsi" w:hAnsiTheme="majorHAnsi"/>
          <w:sz w:val="16"/>
          <w:szCs w:val="16"/>
          <w:lang w:val="es-CO"/>
        </w:rPr>
        <w:t>Anexo al escrito de los peticionarios de 30 de agosto de 2003.</w:t>
      </w:r>
    </w:p>
  </w:footnote>
  <w:footnote w:id="7">
    <w:p w14:paraId="52B8F1BE" w14:textId="133656DD"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3. </w:t>
      </w:r>
      <w:r w:rsidRPr="001E75AD">
        <w:rPr>
          <w:rFonts w:asciiTheme="majorHAnsi" w:hAnsiTheme="majorHAnsi"/>
          <w:sz w:val="16"/>
          <w:szCs w:val="16"/>
          <w:lang w:val="es-CO"/>
        </w:rPr>
        <w:t>Informe Pericial 062-2004-PJ-JC. Demandante. Comité de Defensa Ex Trabajadores de ECASA. Dirigido al Juez del 13 Juzgado Laboral de Lima.</w:t>
      </w:r>
    </w:p>
  </w:footnote>
  <w:footnote w:id="8">
    <w:p w14:paraId="1C1EDB98" w14:textId="77E44F4A"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4. </w:t>
      </w:r>
      <w:r w:rsidRPr="001E75AD">
        <w:rPr>
          <w:rFonts w:asciiTheme="majorHAnsi" w:hAnsiTheme="majorHAnsi"/>
          <w:sz w:val="16"/>
          <w:szCs w:val="16"/>
          <w:lang w:val="es-CO"/>
        </w:rPr>
        <w:t>Decreto Supremo 107-90-PCM “A partir del 1° de agosto del presente año las empresas y entidades a que se refiere el Decreto Supremo No. 057-90-TR, otorgarán a sus trabajadores sujetos o no a negociación colectiva un incremento de remuneraciones que será igual al 100 por ciento de la remuneración ordinaria”, publicado el 25 de agosto de 1990 en “El Peruano”</w:t>
      </w:r>
      <w:r>
        <w:rPr>
          <w:rFonts w:asciiTheme="majorHAnsi" w:hAnsiTheme="majorHAnsi"/>
          <w:sz w:val="16"/>
          <w:szCs w:val="16"/>
          <w:lang w:val="es-CO"/>
        </w:rPr>
        <w:t xml:space="preserve">. </w:t>
      </w:r>
      <w:r w:rsidRPr="001E75AD">
        <w:rPr>
          <w:rFonts w:asciiTheme="majorHAnsi" w:hAnsiTheme="majorHAnsi"/>
          <w:sz w:val="16"/>
          <w:szCs w:val="16"/>
          <w:lang w:val="es-CO"/>
        </w:rPr>
        <w:t>Anexo al escrito de los peticionarios de 30 de agosto de 2003.</w:t>
      </w:r>
    </w:p>
  </w:footnote>
  <w:footnote w:id="9">
    <w:p w14:paraId="66DB1A54" w14:textId="55F559D0"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FC6B2B">
        <w:rPr>
          <w:rFonts w:asciiTheme="majorHAnsi" w:hAnsiTheme="majorHAnsi"/>
          <w:sz w:val="16"/>
          <w:szCs w:val="16"/>
          <w:lang w:val="es-CO"/>
        </w:rPr>
        <w:t xml:space="preserve"> Anexo 3. Informe Pericial 062-2004-PJ-JC. </w:t>
      </w:r>
      <w:r w:rsidRPr="001E75AD">
        <w:rPr>
          <w:rFonts w:asciiTheme="majorHAnsi" w:hAnsiTheme="majorHAnsi"/>
          <w:sz w:val="16"/>
          <w:szCs w:val="16"/>
          <w:lang w:val="es-CO"/>
        </w:rPr>
        <w:t>Demandante. Comité de Defensa Ez Trabajadores de ECASA. Dirigido al Juez del 13 Juzgado Laboral de Lima.</w:t>
      </w:r>
    </w:p>
  </w:footnote>
  <w:footnote w:id="10">
    <w:p w14:paraId="7E8DE69F" w14:textId="58716F9D"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5. </w:t>
      </w:r>
      <w:r w:rsidRPr="001E75AD">
        <w:rPr>
          <w:rFonts w:asciiTheme="majorHAnsi" w:hAnsiTheme="majorHAnsi"/>
          <w:sz w:val="16"/>
          <w:szCs w:val="16"/>
          <w:lang w:val="es-CO"/>
        </w:rPr>
        <w:t>Demanda de amparo interpuesta por el SUTECASA el 22 de agosto de 1990</w:t>
      </w:r>
      <w:r>
        <w:rPr>
          <w:rFonts w:asciiTheme="majorHAnsi" w:hAnsiTheme="majorHAnsi"/>
          <w:sz w:val="16"/>
          <w:szCs w:val="16"/>
          <w:lang w:val="es-CO"/>
        </w:rPr>
        <w:t>.</w:t>
      </w:r>
      <w:r w:rsidRPr="001E75AD">
        <w:rPr>
          <w:rFonts w:asciiTheme="majorHAnsi" w:hAnsiTheme="majorHAnsi"/>
          <w:sz w:val="16"/>
          <w:szCs w:val="16"/>
          <w:lang w:val="es-CO"/>
        </w:rPr>
        <w:t xml:space="preserve"> Anexo al escrito del Estado de 9 de mayo de 2006.</w:t>
      </w:r>
    </w:p>
  </w:footnote>
  <w:footnote w:id="11">
    <w:p w14:paraId="24D5675C" w14:textId="6A77CAAE"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6. </w:t>
      </w:r>
      <w:r w:rsidRPr="001E75AD">
        <w:rPr>
          <w:rFonts w:asciiTheme="majorHAnsi" w:hAnsiTheme="majorHAnsi"/>
          <w:sz w:val="16"/>
          <w:szCs w:val="16"/>
          <w:lang w:val="es-CO"/>
        </w:rPr>
        <w:t>Escrito del representante del MEF ante el Octavo Juzgado Civil de la Corte Superior de Lima de 19 de septiembre de 1990</w:t>
      </w:r>
      <w:r>
        <w:rPr>
          <w:rFonts w:asciiTheme="majorHAnsi" w:hAnsiTheme="majorHAnsi"/>
          <w:sz w:val="16"/>
          <w:szCs w:val="16"/>
          <w:lang w:val="es-CO"/>
        </w:rPr>
        <w:t>.</w:t>
      </w:r>
      <w:r w:rsidRPr="001E75AD">
        <w:rPr>
          <w:rFonts w:asciiTheme="majorHAnsi" w:hAnsiTheme="majorHAnsi"/>
          <w:sz w:val="16"/>
          <w:szCs w:val="16"/>
          <w:lang w:val="es-CO"/>
        </w:rPr>
        <w:t xml:space="preserve"> Anexo al escrito del Estado de 13 de mayo de 2009.</w:t>
      </w:r>
    </w:p>
  </w:footnote>
  <w:footnote w:id="12">
    <w:p w14:paraId="29EB092B" w14:textId="1DBFD8BD"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Anexo 7.</w:t>
      </w:r>
      <w:r w:rsidRPr="001E75AD">
        <w:rPr>
          <w:rFonts w:asciiTheme="majorHAnsi" w:hAnsiTheme="majorHAnsi"/>
          <w:sz w:val="16"/>
          <w:szCs w:val="16"/>
          <w:lang w:val="es-CO"/>
        </w:rPr>
        <w:t>Resolución del Octavo Juzgado Civil de Lima de 14 de diciembre de 1990 en el expediente de medida cautelar</w:t>
      </w:r>
      <w:r>
        <w:rPr>
          <w:rFonts w:asciiTheme="majorHAnsi" w:hAnsiTheme="majorHAnsi"/>
          <w:sz w:val="16"/>
          <w:szCs w:val="16"/>
          <w:lang w:val="es-CO"/>
        </w:rPr>
        <w:t>.</w:t>
      </w:r>
      <w:r w:rsidRPr="001E75AD">
        <w:rPr>
          <w:rFonts w:asciiTheme="majorHAnsi" w:hAnsiTheme="majorHAnsi"/>
          <w:sz w:val="16"/>
          <w:szCs w:val="16"/>
          <w:lang w:val="es-CO"/>
        </w:rPr>
        <w:t xml:space="preserve"> Anexo al escrito de los peticionarios de 30 de agosto de 2003.</w:t>
      </w:r>
    </w:p>
  </w:footnote>
  <w:footnote w:id="13">
    <w:p w14:paraId="38CB7ACE" w14:textId="0CFC98D1"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8. </w:t>
      </w:r>
      <w:r w:rsidRPr="001E75AD">
        <w:rPr>
          <w:rFonts w:asciiTheme="majorHAnsi" w:hAnsiTheme="majorHAnsi"/>
          <w:sz w:val="16"/>
          <w:szCs w:val="16"/>
          <w:lang w:val="es-CO"/>
        </w:rPr>
        <w:t>Resolución de la Sexta Sala Civil de la Corte Superior de Justicia de Lima de 25 de febrero de 1991</w:t>
      </w:r>
      <w:r>
        <w:rPr>
          <w:rFonts w:asciiTheme="majorHAnsi" w:hAnsiTheme="majorHAnsi"/>
          <w:sz w:val="16"/>
          <w:szCs w:val="16"/>
          <w:lang w:val="es-CO"/>
        </w:rPr>
        <w:t>.</w:t>
      </w:r>
      <w:r w:rsidRPr="001E75AD">
        <w:rPr>
          <w:rFonts w:asciiTheme="majorHAnsi" w:hAnsiTheme="majorHAnsi"/>
          <w:sz w:val="16"/>
          <w:szCs w:val="16"/>
          <w:lang w:val="es-CO"/>
        </w:rPr>
        <w:t xml:space="preserve"> Anexo al escrito de los peticionarios de 30 de agosto de 2003.</w:t>
      </w:r>
    </w:p>
  </w:footnote>
  <w:footnote w:id="14">
    <w:p w14:paraId="713315E9" w14:textId="7D10B8F6"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9. </w:t>
      </w:r>
      <w:r w:rsidRPr="001E75AD">
        <w:rPr>
          <w:rFonts w:asciiTheme="majorHAnsi" w:hAnsiTheme="majorHAnsi"/>
          <w:sz w:val="16"/>
          <w:szCs w:val="16"/>
          <w:lang w:val="es-CO"/>
        </w:rPr>
        <w:t>Resolución del Octavo Juzgado Civil de Lima de 24 de abril de 1991 en el cuaderno de medidas cautelares</w:t>
      </w:r>
      <w:r>
        <w:rPr>
          <w:rFonts w:asciiTheme="majorHAnsi" w:hAnsiTheme="majorHAnsi"/>
          <w:sz w:val="16"/>
          <w:szCs w:val="16"/>
          <w:lang w:val="es-CO"/>
        </w:rPr>
        <w:t>.</w:t>
      </w:r>
      <w:r w:rsidRPr="001E75AD">
        <w:rPr>
          <w:rFonts w:asciiTheme="majorHAnsi" w:hAnsiTheme="majorHAnsi"/>
          <w:sz w:val="16"/>
          <w:szCs w:val="16"/>
          <w:lang w:val="es-CO"/>
        </w:rPr>
        <w:t xml:space="preserve"> Anexo al escrito de los peticionarios de 30 de agosto de 2003.</w:t>
      </w:r>
    </w:p>
  </w:footnote>
  <w:footnote w:id="15">
    <w:p w14:paraId="5B1EB34E" w14:textId="5CE340D0" w:rsidR="00FC6B2B" w:rsidRPr="00606A2D" w:rsidRDefault="00FC6B2B" w:rsidP="00606A2D">
      <w:pPr>
        <w:jc w:val="both"/>
        <w:rPr>
          <w:rFonts w:asciiTheme="majorHAnsi" w:hAnsiTheme="majorHAnsi"/>
          <w:sz w:val="16"/>
          <w:szCs w:val="16"/>
        </w:rPr>
      </w:pPr>
      <w:r w:rsidRPr="001E75AD">
        <w:rPr>
          <w:rStyle w:val="FootnoteReference"/>
          <w:rFonts w:asciiTheme="majorHAnsi" w:hAnsiTheme="majorHAnsi"/>
          <w:sz w:val="16"/>
          <w:szCs w:val="16"/>
        </w:rPr>
        <w:footnoteRef/>
      </w:r>
      <w:r w:rsidRPr="001E75AD">
        <w:rPr>
          <w:rFonts w:asciiTheme="majorHAnsi" w:hAnsiTheme="majorHAnsi"/>
          <w:sz w:val="16"/>
          <w:szCs w:val="16"/>
        </w:rPr>
        <w:t xml:space="preserve"> </w:t>
      </w:r>
      <w:r>
        <w:rPr>
          <w:rFonts w:asciiTheme="majorHAnsi" w:hAnsiTheme="majorHAnsi"/>
          <w:sz w:val="16"/>
          <w:szCs w:val="16"/>
        </w:rPr>
        <w:t xml:space="preserve">Anexo 10. </w:t>
      </w:r>
      <w:r w:rsidRPr="001E75AD">
        <w:rPr>
          <w:rFonts w:asciiTheme="majorHAnsi" w:hAnsiTheme="majorHAnsi"/>
          <w:sz w:val="16"/>
          <w:szCs w:val="16"/>
        </w:rPr>
        <w:t>Resolución de del Octavo Juzgado Civil de la Corte Superior de Justicia de Lima de 22 de abril de 1991</w:t>
      </w:r>
      <w:r>
        <w:rPr>
          <w:rFonts w:asciiTheme="majorHAnsi" w:hAnsiTheme="majorHAnsi"/>
          <w:sz w:val="16"/>
          <w:szCs w:val="16"/>
        </w:rPr>
        <w:t>.</w:t>
      </w:r>
      <w:r w:rsidRPr="001E75AD">
        <w:rPr>
          <w:rFonts w:asciiTheme="majorHAnsi" w:hAnsiTheme="majorHAnsi"/>
          <w:sz w:val="16"/>
          <w:szCs w:val="16"/>
        </w:rPr>
        <w:t xml:space="preserve"> Anexo al escrito del Estado de 13 de mayo de 2009. </w:t>
      </w:r>
    </w:p>
  </w:footnote>
  <w:footnote w:id="16">
    <w:p w14:paraId="43D19765" w14:textId="575C560F"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11. </w:t>
      </w:r>
      <w:r w:rsidRPr="001E75AD">
        <w:rPr>
          <w:rFonts w:asciiTheme="majorHAnsi" w:hAnsiTheme="majorHAnsi"/>
          <w:sz w:val="16"/>
          <w:szCs w:val="16"/>
          <w:lang w:val="es-CO"/>
        </w:rPr>
        <w:t>Resolución de la Sexta Sala Civil de Lima de 27 de septiembre de 1991</w:t>
      </w:r>
      <w:r>
        <w:rPr>
          <w:rFonts w:asciiTheme="majorHAnsi" w:hAnsiTheme="majorHAnsi"/>
          <w:sz w:val="16"/>
          <w:szCs w:val="16"/>
          <w:lang w:val="es-CO"/>
        </w:rPr>
        <w:t>.</w:t>
      </w:r>
      <w:r w:rsidRPr="001E75AD">
        <w:rPr>
          <w:rFonts w:asciiTheme="majorHAnsi" w:hAnsiTheme="majorHAnsi"/>
          <w:sz w:val="16"/>
          <w:szCs w:val="16"/>
          <w:lang w:val="es-CO"/>
        </w:rPr>
        <w:t xml:space="preserve"> Anexo a la petición inicial de 12 de noviembre de 1998.</w:t>
      </w:r>
    </w:p>
  </w:footnote>
  <w:footnote w:id="17">
    <w:p w14:paraId="3FF51722" w14:textId="2E288A60"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12. </w:t>
      </w:r>
      <w:r w:rsidRPr="001E75AD">
        <w:rPr>
          <w:rFonts w:asciiTheme="majorHAnsi" w:hAnsiTheme="majorHAnsi"/>
          <w:sz w:val="16"/>
          <w:szCs w:val="16"/>
          <w:lang w:val="es-CO"/>
        </w:rPr>
        <w:t>Resolución de la Sala de Derecho Constitucional y Social de la Corte Suprema de Justicia de la República de 16 de febrero de 1993</w:t>
      </w:r>
      <w:r>
        <w:rPr>
          <w:rFonts w:asciiTheme="majorHAnsi" w:hAnsiTheme="majorHAnsi"/>
          <w:sz w:val="16"/>
          <w:szCs w:val="16"/>
          <w:lang w:val="es-CO"/>
        </w:rPr>
        <w:t>.</w:t>
      </w:r>
      <w:r w:rsidRPr="001E75AD">
        <w:rPr>
          <w:rFonts w:asciiTheme="majorHAnsi" w:hAnsiTheme="majorHAnsi"/>
          <w:sz w:val="16"/>
          <w:szCs w:val="16"/>
          <w:lang w:val="es-CO"/>
        </w:rPr>
        <w:t xml:space="preserve"> Anexo a la petición inicial de 12 de noviembre de 1998. Declaró fundada la acción de amparo interpuesta por SUTECASA en contra de del Supremo Gobierno y en consecuencia “inaplicable para los accionantes los Decretos Supremos número [57-90-TR] y [107-90-PCM]”.</w:t>
      </w:r>
    </w:p>
  </w:footnote>
  <w:footnote w:id="18">
    <w:p w14:paraId="38853A4F" w14:textId="77777777"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Escrito del Estado de 09 de junio de 2011. </w:t>
      </w:r>
    </w:p>
  </w:footnote>
  <w:footnote w:id="19">
    <w:p w14:paraId="6A1AC30F" w14:textId="2179BE33"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13. </w:t>
      </w:r>
      <w:r w:rsidRPr="001E75AD">
        <w:rPr>
          <w:rFonts w:asciiTheme="majorHAnsi" w:hAnsiTheme="majorHAnsi"/>
          <w:sz w:val="16"/>
          <w:szCs w:val="16"/>
          <w:lang w:val="es-CO"/>
        </w:rPr>
        <w:t>Recurso de casación interpuesto por el MEF de 19 de marzo de 1993. En contra de la resolución de 16 de febrero de 1993</w:t>
      </w:r>
      <w:r>
        <w:rPr>
          <w:rFonts w:asciiTheme="majorHAnsi" w:hAnsiTheme="majorHAnsi"/>
          <w:sz w:val="16"/>
          <w:szCs w:val="16"/>
          <w:lang w:val="es-CO"/>
        </w:rPr>
        <w:t>.</w:t>
      </w:r>
      <w:r w:rsidRPr="001E75AD">
        <w:rPr>
          <w:rFonts w:asciiTheme="majorHAnsi" w:hAnsiTheme="majorHAnsi"/>
          <w:sz w:val="16"/>
          <w:szCs w:val="16"/>
          <w:lang w:val="es-CO"/>
        </w:rPr>
        <w:t xml:space="preserve"> Anexo al escrito de los peticionarios de 16 de agosto de 2002.</w:t>
      </w:r>
    </w:p>
  </w:footnote>
  <w:footnote w:id="20">
    <w:p w14:paraId="1FBA18E7" w14:textId="59FA6437"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14. </w:t>
      </w:r>
      <w:r w:rsidRPr="001E75AD">
        <w:rPr>
          <w:rFonts w:asciiTheme="majorHAnsi" w:hAnsiTheme="majorHAnsi"/>
          <w:sz w:val="16"/>
          <w:szCs w:val="16"/>
          <w:lang w:val="es-CO"/>
        </w:rPr>
        <w:t>Resolución de la Sexta Sala Civil de la Corte Superior de Justicia de Lima el 11 de octubre de 1994. Anexo al escrito del Estado de 13 de mayo de 2009.</w:t>
      </w:r>
    </w:p>
  </w:footnote>
  <w:footnote w:id="21">
    <w:p w14:paraId="378309B7" w14:textId="1D007D5F"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14. </w:t>
      </w:r>
      <w:r w:rsidRPr="001E75AD">
        <w:rPr>
          <w:rFonts w:asciiTheme="majorHAnsi" w:hAnsiTheme="majorHAnsi"/>
          <w:sz w:val="16"/>
          <w:szCs w:val="16"/>
          <w:lang w:val="es-CO"/>
        </w:rPr>
        <w:t>Resolución de la Sexta Sala Civil de la Corte Superior de Justicia de Lima de 11 de octubre de 1994</w:t>
      </w:r>
      <w:r>
        <w:rPr>
          <w:rFonts w:asciiTheme="majorHAnsi" w:hAnsiTheme="majorHAnsi"/>
          <w:sz w:val="16"/>
          <w:szCs w:val="16"/>
          <w:lang w:val="es-CO"/>
        </w:rPr>
        <w:t>.</w:t>
      </w:r>
      <w:r w:rsidRPr="001E75AD">
        <w:rPr>
          <w:rFonts w:asciiTheme="majorHAnsi" w:hAnsiTheme="majorHAnsi"/>
          <w:sz w:val="16"/>
          <w:szCs w:val="16"/>
          <w:lang w:val="es-CO"/>
        </w:rPr>
        <w:t xml:space="preserve"> Anexo al escrito del Estado de 13 de mayo de 2009.</w:t>
      </w:r>
    </w:p>
  </w:footnote>
  <w:footnote w:id="22">
    <w:p w14:paraId="39188AF2" w14:textId="5C608866"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15. </w:t>
      </w:r>
      <w:r w:rsidRPr="001E75AD">
        <w:rPr>
          <w:rFonts w:asciiTheme="majorHAnsi" w:hAnsiTheme="majorHAnsi"/>
          <w:sz w:val="16"/>
          <w:szCs w:val="16"/>
          <w:lang w:val="es-CO"/>
        </w:rPr>
        <w:t>Informe Pericial Contable de 22 de abril de 1996</w:t>
      </w:r>
      <w:r>
        <w:rPr>
          <w:rFonts w:asciiTheme="majorHAnsi" w:hAnsiTheme="majorHAnsi"/>
          <w:sz w:val="16"/>
          <w:szCs w:val="16"/>
          <w:lang w:val="es-CO"/>
        </w:rPr>
        <w:t>.</w:t>
      </w:r>
      <w:r w:rsidRPr="001E75AD">
        <w:rPr>
          <w:rFonts w:asciiTheme="majorHAnsi" w:hAnsiTheme="majorHAnsi"/>
          <w:sz w:val="16"/>
          <w:szCs w:val="16"/>
          <w:lang w:val="es-CO"/>
        </w:rPr>
        <w:t xml:space="preserve"> </w:t>
      </w:r>
      <w:r>
        <w:rPr>
          <w:rFonts w:asciiTheme="majorHAnsi" w:hAnsiTheme="majorHAnsi"/>
          <w:sz w:val="16"/>
          <w:szCs w:val="16"/>
          <w:lang w:val="es-CO"/>
        </w:rPr>
        <w:t xml:space="preserve"> </w:t>
      </w:r>
      <w:r w:rsidRPr="001E75AD">
        <w:rPr>
          <w:rFonts w:asciiTheme="majorHAnsi" w:hAnsiTheme="majorHAnsi"/>
          <w:sz w:val="16"/>
          <w:szCs w:val="16"/>
          <w:lang w:val="es-CO"/>
        </w:rPr>
        <w:t>Anexo al escrito de los peticionarios de 30 de agosto de 2003.</w:t>
      </w:r>
    </w:p>
  </w:footnote>
  <w:footnote w:id="23">
    <w:p w14:paraId="7D973B1B" w14:textId="2CB649F7"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16. </w:t>
      </w:r>
      <w:r w:rsidRPr="001E75AD">
        <w:rPr>
          <w:rFonts w:asciiTheme="majorHAnsi" w:hAnsiTheme="majorHAnsi"/>
          <w:sz w:val="16"/>
          <w:szCs w:val="16"/>
          <w:lang w:val="es-CO"/>
        </w:rPr>
        <w:t>Sentencia del Tribunal Constitucional de 25 de junio de 1996</w:t>
      </w:r>
      <w:r>
        <w:rPr>
          <w:rFonts w:asciiTheme="majorHAnsi" w:hAnsiTheme="majorHAnsi"/>
          <w:sz w:val="16"/>
          <w:szCs w:val="16"/>
          <w:lang w:val="es-CO"/>
        </w:rPr>
        <w:t>.</w:t>
      </w:r>
      <w:r w:rsidRPr="001E75AD">
        <w:rPr>
          <w:rFonts w:asciiTheme="majorHAnsi" w:hAnsiTheme="majorHAnsi"/>
          <w:sz w:val="16"/>
          <w:szCs w:val="16"/>
          <w:lang w:val="es-CO"/>
        </w:rPr>
        <w:t xml:space="preserve"> Anexo a la petición inicial de 12 de noviembre de 1998.</w:t>
      </w:r>
    </w:p>
  </w:footnote>
  <w:footnote w:id="24">
    <w:p w14:paraId="2DC368CE" w14:textId="7BD79E2E"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17. </w:t>
      </w:r>
      <w:r w:rsidRPr="001E75AD">
        <w:rPr>
          <w:rFonts w:asciiTheme="majorHAnsi" w:hAnsiTheme="majorHAnsi"/>
          <w:sz w:val="16"/>
          <w:szCs w:val="16"/>
          <w:lang w:val="es-CO"/>
        </w:rPr>
        <w:t>Resolución del Décimo Quinto Juzgado Civil de Lima de 24 de julio de 1996</w:t>
      </w:r>
      <w:r>
        <w:rPr>
          <w:rFonts w:asciiTheme="majorHAnsi" w:hAnsiTheme="majorHAnsi"/>
          <w:sz w:val="16"/>
          <w:szCs w:val="16"/>
          <w:lang w:val="es-CO"/>
        </w:rPr>
        <w:t xml:space="preserve">. </w:t>
      </w:r>
      <w:r w:rsidRPr="001E75AD">
        <w:rPr>
          <w:rFonts w:asciiTheme="majorHAnsi" w:hAnsiTheme="majorHAnsi"/>
          <w:sz w:val="16"/>
          <w:szCs w:val="16"/>
          <w:lang w:val="es-CO"/>
        </w:rPr>
        <w:t>Anexo al escrito del Estado de 13 de mayo de 2009.</w:t>
      </w:r>
    </w:p>
  </w:footnote>
  <w:footnote w:id="25">
    <w:p w14:paraId="3C987330" w14:textId="13D192E6" w:rsidR="00FC6B2B" w:rsidRPr="001E75AD" w:rsidRDefault="00FC6B2B" w:rsidP="00663A42">
      <w:pPr>
        <w:jc w:val="both"/>
        <w:rPr>
          <w:rFonts w:asciiTheme="majorHAnsi" w:hAnsiTheme="majorHAnsi"/>
          <w:sz w:val="16"/>
          <w:szCs w:val="16"/>
        </w:rPr>
      </w:pPr>
      <w:r w:rsidRPr="001E75AD">
        <w:rPr>
          <w:rStyle w:val="FootnoteReference"/>
          <w:rFonts w:asciiTheme="majorHAnsi" w:hAnsiTheme="majorHAnsi"/>
          <w:sz w:val="16"/>
          <w:szCs w:val="16"/>
        </w:rPr>
        <w:footnoteRef/>
      </w:r>
      <w:r w:rsidRPr="001E75AD">
        <w:rPr>
          <w:rFonts w:asciiTheme="majorHAnsi" w:hAnsiTheme="majorHAnsi"/>
          <w:sz w:val="16"/>
          <w:szCs w:val="16"/>
        </w:rPr>
        <w:t xml:space="preserve"> </w:t>
      </w:r>
      <w:r>
        <w:rPr>
          <w:rFonts w:asciiTheme="majorHAnsi" w:hAnsiTheme="majorHAnsi"/>
          <w:sz w:val="16"/>
          <w:szCs w:val="16"/>
        </w:rPr>
        <w:t xml:space="preserve">Anexo 18. </w:t>
      </w:r>
      <w:r w:rsidRPr="001E75AD">
        <w:rPr>
          <w:rFonts w:asciiTheme="majorHAnsi" w:eastAsia="Calibri" w:hAnsiTheme="majorHAnsi"/>
          <w:sz w:val="16"/>
          <w:szCs w:val="16"/>
        </w:rPr>
        <w:t>Informe Nº 001-2009-PRO-CGP de PCM de 8 de mayo de 2009</w:t>
      </w:r>
      <w:r>
        <w:rPr>
          <w:rFonts w:asciiTheme="majorHAnsi" w:eastAsia="Calibri" w:hAnsiTheme="majorHAnsi"/>
          <w:sz w:val="16"/>
          <w:szCs w:val="16"/>
        </w:rPr>
        <w:t xml:space="preserve">. </w:t>
      </w:r>
      <w:r w:rsidRPr="001E75AD">
        <w:rPr>
          <w:rFonts w:asciiTheme="majorHAnsi" w:eastAsia="Calibri" w:hAnsiTheme="majorHAnsi"/>
          <w:sz w:val="16"/>
          <w:szCs w:val="16"/>
        </w:rPr>
        <w:t>Anexo al Escrito del Estado de 19 de enero de 2010.</w:t>
      </w:r>
    </w:p>
  </w:footnote>
  <w:footnote w:id="26">
    <w:p w14:paraId="3F87D5CC" w14:textId="0A484D46"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19. </w:t>
      </w:r>
      <w:r w:rsidRPr="001E75AD">
        <w:rPr>
          <w:rFonts w:asciiTheme="majorHAnsi" w:hAnsiTheme="majorHAnsi"/>
          <w:sz w:val="16"/>
          <w:szCs w:val="16"/>
          <w:lang w:val="es-CO"/>
        </w:rPr>
        <w:t xml:space="preserve">Informe Pericial de 06 de septiembre de 1998. </w:t>
      </w:r>
    </w:p>
  </w:footnote>
  <w:footnote w:id="27">
    <w:p w14:paraId="5921D963" w14:textId="619E076A"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20. </w:t>
      </w:r>
      <w:r w:rsidRPr="001E75AD">
        <w:rPr>
          <w:rFonts w:asciiTheme="majorHAnsi" w:hAnsiTheme="majorHAnsi"/>
          <w:sz w:val="16"/>
          <w:szCs w:val="16"/>
          <w:lang w:val="es-CO"/>
        </w:rPr>
        <w:t>Resolución del Primer Juzgado Corporativo Transitorio de Derecho Público de 15 de octubre de 1998</w:t>
      </w:r>
      <w:r>
        <w:rPr>
          <w:rFonts w:asciiTheme="majorHAnsi" w:hAnsiTheme="majorHAnsi"/>
          <w:sz w:val="16"/>
          <w:szCs w:val="16"/>
          <w:lang w:val="es-CO"/>
        </w:rPr>
        <w:t>.</w:t>
      </w:r>
      <w:r w:rsidRPr="001E75AD">
        <w:rPr>
          <w:rFonts w:asciiTheme="majorHAnsi" w:hAnsiTheme="majorHAnsi"/>
          <w:sz w:val="16"/>
          <w:szCs w:val="16"/>
          <w:lang w:val="es-CO"/>
        </w:rPr>
        <w:t xml:space="preserve"> Anexo a la petición inicial de 11 de noviembre de 1992.</w:t>
      </w:r>
    </w:p>
  </w:footnote>
  <w:footnote w:id="28">
    <w:p w14:paraId="029D827C" w14:textId="7012E8EF"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21. </w:t>
      </w:r>
      <w:r w:rsidRPr="001E75AD">
        <w:rPr>
          <w:rFonts w:asciiTheme="majorHAnsi" w:hAnsiTheme="majorHAnsi"/>
          <w:sz w:val="16"/>
          <w:szCs w:val="16"/>
          <w:lang w:val="es-CO"/>
        </w:rPr>
        <w:t>Resolución del Primer Juzgado Corporativo Transitorio Especializado en Derecho Público de 14 de enero de 1999</w:t>
      </w:r>
      <w:r>
        <w:rPr>
          <w:rFonts w:asciiTheme="majorHAnsi" w:hAnsiTheme="majorHAnsi"/>
          <w:sz w:val="16"/>
          <w:szCs w:val="16"/>
          <w:lang w:val="es-CO"/>
        </w:rPr>
        <w:t>.</w:t>
      </w:r>
      <w:r w:rsidRPr="001E75AD">
        <w:rPr>
          <w:rFonts w:asciiTheme="majorHAnsi" w:hAnsiTheme="majorHAnsi"/>
          <w:sz w:val="16"/>
          <w:szCs w:val="16"/>
          <w:lang w:val="es-CO"/>
        </w:rPr>
        <w:t xml:space="preserve"> Anexo al escrito de los peticionarios de 30 de agosto de 2003.</w:t>
      </w:r>
    </w:p>
  </w:footnote>
  <w:footnote w:id="29">
    <w:p w14:paraId="6FA38884" w14:textId="0DD3273C"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22. </w:t>
      </w:r>
      <w:r w:rsidRPr="001E75AD">
        <w:rPr>
          <w:rFonts w:asciiTheme="majorHAnsi" w:hAnsiTheme="majorHAnsi"/>
          <w:sz w:val="16"/>
          <w:szCs w:val="16"/>
          <w:lang w:val="es-CO"/>
        </w:rPr>
        <w:t>Resolución de la Sala Corporativa Transitoria Especializada de Derecho Público de 12 de febrero de 1999</w:t>
      </w:r>
      <w:r>
        <w:rPr>
          <w:rFonts w:asciiTheme="majorHAnsi" w:hAnsiTheme="majorHAnsi"/>
          <w:sz w:val="16"/>
          <w:szCs w:val="16"/>
          <w:lang w:val="es-CO"/>
        </w:rPr>
        <w:t xml:space="preserve">. </w:t>
      </w:r>
      <w:r w:rsidRPr="001E75AD">
        <w:rPr>
          <w:rFonts w:asciiTheme="majorHAnsi" w:hAnsiTheme="majorHAnsi"/>
          <w:sz w:val="16"/>
          <w:szCs w:val="16"/>
          <w:lang w:val="es-CO"/>
        </w:rPr>
        <w:t>Anexo al escrito del Estado de 9 de mayo de 2006.</w:t>
      </w:r>
    </w:p>
  </w:footnote>
  <w:footnote w:id="30">
    <w:p w14:paraId="6FB91601" w14:textId="67D03AE8" w:rsidR="00FC6B2B" w:rsidRPr="001E75AD" w:rsidRDefault="00FC6B2B" w:rsidP="00476EC4">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22. </w:t>
      </w:r>
      <w:r w:rsidRPr="001E75AD">
        <w:rPr>
          <w:rFonts w:asciiTheme="majorHAnsi" w:hAnsiTheme="majorHAnsi"/>
          <w:sz w:val="16"/>
          <w:szCs w:val="16"/>
          <w:lang w:val="es-CO"/>
        </w:rPr>
        <w:t>Resolución de la Sala Corporativa Transitoria Especializada de Derecho Público de 12 de febrero de 1999</w:t>
      </w:r>
      <w:r>
        <w:rPr>
          <w:rFonts w:asciiTheme="majorHAnsi" w:hAnsiTheme="majorHAnsi"/>
          <w:sz w:val="16"/>
          <w:szCs w:val="16"/>
          <w:lang w:val="es-CO"/>
        </w:rPr>
        <w:t>.</w:t>
      </w:r>
      <w:r w:rsidRPr="001E75AD">
        <w:rPr>
          <w:rFonts w:asciiTheme="majorHAnsi" w:hAnsiTheme="majorHAnsi"/>
          <w:sz w:val="16"/>
          <w:szCs w:val="16"/>
          <w:lang w:val="es-CO"/>
        </w:rPr>
        <w:t xml:space="preserve"> Anexo al escrito del Estado de 9 de mayo de 2006.</w:t>
      </w:r>
    </w:p>
  </w:footnote>
  <w:footnote w:id="31">
    <w:p w14:paraId="2A8E246B" w14:textId="77777777" w:rsidR="00FC6B2B" w:rsidRPr="001E75AD" w:rsidRDefault="00FC6B2B" w:rsidP="00476EC4">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Escrito del Estado sobre  Informe No. 23 de 2010.</w:t>
      </w:r>
    </w:p>
  </w:footnote>
  <w:footnote w:id="32">
    <w:p w14:paraId="2A17E0AF" w14:textId="0174C0AC" w:rsidR="00FC6B2B" w:rsidRPr="001E75AD" w:rsidRDefault="00FC6B2B" w:rsidP="00476EC4">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23. </w:t>
      </w:r>
      <w:r w:rsidRPr="001E75AD">
        <w:rPr>
          <w:rFonts w:asciiTheme="majorHAnsi" w:hAnsiTheme="majorHAnsi"/>
          <w:sz w:val="16"/>
          <w:szCs w:val="16"/>
          <w:lang w:val="es-CO"/>
        </w:rPr>
        <w:t>Resolución del Segundo Juzgado Especializado en Derecho Público de 12 de diciembre de 2001</w:t>
      </w:r>
      <w:r>
        <w:rPr>
          <w:rFonts w:asciiTheme="majorHAnsi" w:hAnsiTheme="majorHAnsi"/>
          <w:sz w:val="16"/>
          <w:szCs w:val="16"/>
          <w:lang w:val="es-CO"/>
        </w:rPr>
        <w:t>.</w:t>
      </w:r>
      <w:r w:rsidRPr="001E75AD">
        <w:rPr>
          <w:rFonts w:asciiTheme="majorHAnsi" w:hAnsiTheme="majorHAnsi"/>
          <w:sz w:val="16"/>
          <w:szCs w:val="16"/>
          <w:lang w:val="es-CO"/>
        </w:rPr>
        <w:t xml:space="preserve"> Anexo al escrito de los peticionarios de 16 de agosto de 2002.</w:t>
      </w:r>
    </w:p>
  </w:footnote>
  <w:footnote w:id="33">
    <w:p w14:paraId="71135BCF" w14:textId="27AEE1F8" w:rsidR="00FC6B2B" w:rsidRPr="001E75AD" w:rsidRDefault="00FC6B2B" w:rsidP="00476EC4">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Pr>
          <w:rFonts w:asciiTheme="majorHAnsi" w:hAnsiTheme="majorHAnsi"/>
          <w:sz w:val="16"/>
          <w:szCs w:val="16"/>
          <w:lang w:val="es-CO"/>
        </w:rPr>
        <w:t xml:space="preserve"> Anexo 24.</w:t>
      </w:r>
      <w:r w:rsidRPr="001E75AD">
        <w:rPr>
          <w:rFonts w:asciiTheme="majorHAnsi" w:hAnsiTheme="majorHAnsi"/>
          <w:sz w:val="16"/>
          <w:szCs w:val="16"/>
          <w:lang w:val="es-CO"/>
        </w:rPr>
        <w:t xml:space="preserve"> Escrito del SUTECASA ante el Sexagésimo Cuarto Juzgado Especializado en lo Civil de Lima de 7 de abril de 2003</w:t>
      </w:r>
      <w:r>
        <w:rPr>
          <w:rFonts w:asciiTheme="majorHAnsi" w:hAnsiTheme="majorHAnsi"/>
          <w:sz w:val="16"/>
          <w:szCs w:val="16"/>
          <w:lang w:val="es-CO"/>
        </w:rPr>
        <w:t>.</w:t>
      </w:r>
      <w:r w:rsidRPr="001E75AD">
        <w:rPr>
          <w:rFonts w:asciiTheme="majorHAnsi" w:hAnsiTheme="majorHAnsi"/>
          <w:sz w:val="16"/>
          <w:szCs w:val="16"/>
          <w:lang w:val="es-CO"/>
        </w:rPr>
        <w:t xml:space="preserve"> Anexo al escrito del Estado de 13 de mayo de 2009.</w:t>
      </w:r>
    </w:p>
  </w:footnote>
  <w:footnote w:id="34">
    <w:p w14:paraId="77C1219D" w14:textId="175C10CE" w:rsidR="00FC6B2B" w:rsidRPr="001E75AD" w:rsidRDefault="00FC6B2B" w:rsidP="00476EC4">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25. </w:t>
      </w:r>
      <w:r w:rsidRPr="001E75AD">
        <w:rPr>
          <w:rFonts w:asciiTheme="majorHAnsi" w:hAnsiTheme="majorHAnsi"/>
          <w:sz w:val="16"/>
          <w:szCs w:val="16"/>
          <w:lang w:val="es-CO"/>
        </w:rPr>
        <w:t>Audiencia única ante el Décimo Tercer Juzgado Laboral de la Corte Superior de Justicia de Lima de 25 de junio de 2003</w:t>
      </w:r>
      <w:r>
        <w:rPr>
          <w:rFonts w:asciiTheme="majorHAnsi" w:hAnsiTheme="majorHAnsi"/>
          <w:sz w:val="16"/>
          <w:szCs w:val="16"/>
          <w:lang w:val="es-CO"/>
        </w:rPr>
        <w:t>.</w:t>
      </w:r>
      <w:r w:rsidRPr="001E75AD">
        <w:rPr>
          <w:rFonts w:asciiTheme="majorHAnsi" w:hAnsiTheme="majorHAnsi"/>
          <w:sz w:val="16"/>
          <w:szCs w:val="16"/>
          <w:lang w:val="es-CO"/>
        </w:rPr>
        <w:t xml:space="preserve"> Anexo al escrito de los peticionarios de 29 de noviembre de 2006.</w:t>
      </w:r>
    </w:p>
  </w:footnote>
  <w:footnote w:id="35">
    <w:p w14:paraId="47337CAB" w14:textId="16A569AC" w:rsidR="00FC6B2B" w:rsidRPr="001E75AD" w:rsidRDefault="00FC6B2B" w:rsidP="00476EC4">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26. </w:t>
      </w:r>
      <w:r w:rsidRPr="001E75AD">
        <w:rPr>
          <w:rFonts w:asciiTheme="majorHAnsi" w:hAnsiTheme="majorHAnsi"/>
          <w:sz w:val="16"/>
          <w:szCs w:val="16"/>
          <w:lang w:val="es-CO"/>
        </w:rPr>
        <w:t>Resolución del Sexagésimo Cuarto Juzgado Especializado en lo Civil de Lima de 4 de julio de 2003</w:t>
      </w:r>
      <w:r>
        <w:rPr>
          <w:rFonts w:asciiTheme="majorHAnsi" w:hAnsiTheme="majorHAnsi"/>
          <w:sz w:val="16"/>
          <w:szCs w:val="16"/>
          <w:lang w:val="es-CO"/>
        </w:rPr>
        <w:t>.</w:t>
      </w:r>
      <w:r w:rsidRPr="001E75AD">
        <w:rPr>
          <w:rFonts w:asciiTheme="majorHAnsi" w:hAnsiTheme="majorHAnsi"/>
          <w:sz w:val="16"/>
          <w:szCs w:val="16"/>
          <w:lang w:val="es-CO"/>
        </w:rPr>
        <w:t xml:space="preserve"> Anexo al escrito del Estado de 13 de mayo de 2009.</w:t>
      </w:r>
    </w:p>
  </w:footnote>
  <w:footnote w:id="36">
    <w:p w14:paraId="6E887261" w14:textId="7A6E21DB" w:rsidR="00FC6B2B" w:rsidRPr="00476EC4" w:rsidRDefault="00FC6B2B" w:rsidP="00476EC4">
      <w:pPr>
        <w:pStyle w:val="FootnoteText"/>
        <w:jc w:val="both"/>
        <w:rPr>
          <w:lang w:val="es-MX"/>
        </w:rPr>
      </w:pPr>
      <w:r w:rsidRPr="00476EC4">
        <w:rPr>
          <w:rStyle w:val="FootnoteReference"/>
          <w:rFonts w:asciiTheme="majorHAnsi" w:hAnsiTheme="majorHAnsi"/>
          <w:sz w:val="16"/>
          <w:szCs w:val="16"/>
        </w:rPr>
        <w:footnoteRef/>
      </w:r>
      <w:r w:rsidRPr="00476EC4">
        <w:rPr>
          <w:rFonts w:asciiTheme="majorHAnsi" w:hAnsiTheme="majorHAnsi"/>
          <w:sz w:val="16"/>
          <w:szCs w:val="16"/>
          <w:lang w:val="es-MX"/>
        </w:rPr>
        <w:t xml:space="preserve"> </w:t>
      </w:r>
      <w:r>
        <w:rPr>
          <w:rFonts w:asciiTheme="majorHAnsi" w:hAnsiTheme="majorHAnsi"/>
          <w:sz w:val="16"/>
          <w:szCs w:val="16"/>
          <w:lang w:val="es-CO"/>
        </w:rPr>
        <w:t xml:space="preserve">Anexo 26. </w:t>
      </w:r>
      <w:r w:rsidRPr="001E75AD">
        <w:rPr>
          <w:rFonts w:asciiTheme="majorHAnsi" w:hAnsiTheme="majorHAnsi"/>
          <w:sz w:val="16"/>
          <w:szCs w:val="16"/>
          <w:lang w:val="es-CO"/>
        </w:rPr>
        <w:t>Resolución del Sexagésimo Cuarto Juzgado Especializado en lo Civil de Lima de 4 de julio de 2003</w:t>
      </w:r>
      <w:r>
        <w:rPr>
          <w:rFonts w:asciiTheme="majorHAnsi" w:hAnsiTheme="majorHAnsi"/>
          <w:sz w:val="16"/>
          <w:szCs w:val="16"/>
          <w:lang w:val="es-CO"/>
        </w:rPr>
        <w:t>.</w:t>
      </w:r>
      <w:r w:rsidRPr="001E75AD">
        <w:rPr>
          <w:rFonts w:asciiTheme="majorHAnsi" w:hAnsiTheme="majorHAnsi"/>
          <w:sz w:val="16"/>
          <w:szCs w:val="16"/>
          <w:lang w:val="es-CO"/>
        </w:rPr>
        <w:t xml:space="preserve"> Anexo al escrito del Estado de 13 de mayo de 2009.</w:t>
      </w:r>
    </w:p>
  </w:footnote>
  <w:footnote w:id="37">
    <w:p w14:paraId="6336A817" w14:textId="6693B84E" w:rsidR="00FC6B2B" w:rsidRPr="001E75AD" w:rsidRDefault="00FC6B2B" w:rsidP="00476EC4">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27. </w:t>
      </w:r>
      <w:r w:rsidRPr="001E75AD">
        <w:rPr>
          <w:rFonts w:asciiTheme="majorHAnsi" w:hAnsiTheme="majorHAnsi"/>
          <w:sz w:val="16"/>
          <w:szCs w:val="16"/>
          <w:lang w:val="es-CO"/>
        </w:rPr>
        <w:t>Resolución de la Sexta Sala Civil de la Corte Superior de Justicia de 7 de diciembre de 2007</w:t>
      </w:r>
      <w:r>
        <w:rPr>
          <w:rFonts w:asciiTheme="majorHAnsi" w:hAnsiTheme="majorHAnsi"/>
          <w:sz w:val="16"/>
          <w:szCs w:val="16"/>
          <w:lang w:val="es-CO"/>
        </w:rPr>
        <w:t>.</w:t>
      </w:r>
      <w:r w:rsidRPr="001E75AD">
        <w:rPr>
          <w:rFonts w:asciiTheme="majorHAnsi" w:hAnsiTheme="majorHAnsi"/>
          <w:sz w:val="16"/>
          <w:szCs w:val="16"/>
          <w:lang w:val="es-CO"/>
        </w:rPr>
        <w:t xml:space="preserve"> Anexo al escrito del Estado de 19 de enero de 2010.</w:t>
      </w:r>
    </w:p>
  </w:footnote>
  <w:footnote w:id="38">
    <w:p w14:paraId="42DB77A3" w14:textId="5DFBF0DF"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28. </w:t>
      </w:r>
      <w:r w:rsidRPr="001E75AD">
        <w:rPr>
          <w:rFonts w:asciiTheme="majorHAnsi" w:hAnsiTheme="majorHAnsi"/>
          <w:sz w:val="16"/>
          <w:szCs w:val="16"/>
          <w:lang w:val="es-CO"/>
        </w:rPr>
        <w:t>Resolución del Sexagésimo Primer Juzgado Especializado en lo Civil de Lima de 15 de abril de 2008</w:t>
      </w:r>
      <w:r>
        <w:rPr>
          <w:rFonts w:asciiTheme="majorHAnsi" w:hAnsiTheme="majorHAnsi"/>
          <w:sz w:val="16"/>
          <w:szCs w:val="16"/>
          <w:lang w:val="es-CO"/>
        </w:rPr>
        <w:t>.</w:t>
      </w:r>
      <w:r w:rsidRPr="001E75AD">
        <w:rPr>
          <w:rFonts w:asciiTheme="majorHAnsi" w:hAnsiTheme="majorHAnsi"/>
          <w:sz w:val="16"/>
          <w:szCs w:val="16"/>
          <w:lang w:val="es-CO"/>
        </w:rPr>
        <w:t xml:space="preserve"> Anexo al escrito del Estado de 19 de enero de 2010.</w:t>
      </w:r>
    </w:p>
  </w:footnote>
  <w:footnote w:id="39">
    <w:p w14:paraId="788976A9" w14:textId="601C07C4"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29. </w:t>
      </w:r>
      <w:r w:rsidRPr="001E75AD">
        <w:rPr>
          <w:rFonts w:asciiTheme="majorHAnsi" w:hAnsiTheme="majorHAnsi"/>
          <w:sz w:val="16"/>
          <w:szCs w:val="16"/>
          <w:lang w:val="es-CO"/>
        </w:rPr>
        <w:t>Resolución de la Sexta Sala Civil de la Corte Superior de Justicia de Lima de 12 de marzo de 2009</w:t>
      </w:r>
      <w:r>
        <w:rPr>
          <w:rFonts w:asciiTheme="majorHAnsi" w:hAnsiTheme="majorHAnsi"/>
          <w:sz w:val="16"/>
          <w:szCs w:val="16"/>
          <w:lang w:val="es-CO"/>
        </w:rPr>
        <w:t>.</w:t>
      </w:r>
      <w:r w:rsidRPr="001E75AD">
        <w:rPr>
          <w:rFonts w:asciiTheme="majorHAnsi" w:hAnsiTheme="majorHAnsi"/>
          <w:sz w:val="16"/>
          <w:szCs w:val="16"/>
          <w:lang w:val="es-CO"/>
        </w:rPr>
        <w:t xml:space="preserve"> Anexo al escrito del Estado de 10 de septiembre de 2009.</w:t>
      </w:r>
    </w:p>
  </w:footnote>
  <w:footnote w:id="40">
    <w:p w14:paraId="4C9A386A" w14:textId="1C674CD4" w:rsidR="00FC6B2B" w:rsidRPr="00FC6B2B" w:rsidRDefault="00FC6B2B" w:rsidP="00663A42">
      <w:pPr>
        <w:pStyle w:val="FootnoteText"/>
        <w:jc w:val="both"/>
        <w:rPr>
          <w:rFonts w:asciiTheme="majorHAnsi" w:hAnsiTheme="majorHAnsi"/>
          <w:sz w:val="16"/>
          <w:szCs w:val="16"/>
          <w:lang w:val="es-MX"/>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30. </w:t>
      </w:r>
      <w:r w:rsidRPr="001E75AD">
        <w:rPr>
          <w:rFonts w:asciiTheme="majorHAnsi" w:hAnsiTheme="majorHAnsi"/>
          <w:sz w:val="16"/>
          <w:szCs w:val="16"/>
          <w:lang w:val="es-CO"/>
        </w:rPr>
        <w:t xml:space="preserve">Resolución  de 20 de enero de 2010. </w:t>
      </w:r>
      <w:r w:rsidRPr="00415348">
        <w:rPr>
          <w:rFonts w:asciiTheme="majorHAnsi" w:hAnsiTheme="majorHAnsi"/>
          <w:sz w:val="16"/>
          <w:szCs w:val="16"/>
          <w:lang w:val="pt-BR"/>
        </w:rPr>
        <w:t xml:space="preserve">Corte Superior de Justicia de Lima Sala Sexta Civil. </w:t>
      </w:r>
      <w:r w:rsidRPr="00415348">
        <w:rPr>
          <w:rFonts w:asciiTheme="majorHAnsi" w:hAnsiTheme="majorHAnsi"/>
          <w:sz w:val="16"/>
          <w:szCs w:val="16"/>
          <w:lang w:val="es-CO"/>
        </w:rPr>
        <w:t xml:space="preserve">Anexo a escrito del Estado de 20 de </w:t>
      </w:r>
      <w:r w:rsidRPr="00FC6B2B">
        <w:rPr>
          <w:rFonts w:asciiTheme="majorHAnsi" w:hAnsiTheme="majorHAnsi"/>
          <w:sz w:val="16"/>
          <w:szCs w:val="16"/>
          <w:lang w:val="es-MX"/>
        </w:rPr>
        <w:t>julio de 2012.</w:t>
      </w:r>
    </w:p>
  </w:footnote>
  <w:footnote w:id="41">
    <w:p w14:paraId="537320A2" w14:textId="71525736"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Interpusieron la acción en este Juzgado Laboral de acuerdo con la aplicación del inc. 1) Art. 76 de la LEY 2626 - Ley P</w:t>
      </w:r>
      <w:r>
        <w:rPr>
          <w:rFonts w:asciiTheme="majorHAnsi" w:hAnsiTheme="majorHAnsi"/>
          <w:sz w:val="16"/>
          <w:szCs w:val="16"/>
          <w:lang w:val="es-CO"/>
        </w:rPr>
        <w:t xml:space="preserve">rocesal del Trabajo.  “Artículo </w:t>
      </w:r>
      <w:r w:rsidRPr="001E75AD">
        <w:rPr>
          <w:rFonts w:asciiTheme="majorHAnsi" w:hAnsiTheme="majorHAnsi"/>
          <w:sz w:val="16"/>
          <w:szCs w:val="16"/>
          <w:lang w:val="es-CO"/>
        </w:rPr>
        <w:t>76.- TÍTULOS DE EJECUCIÓN.- Son títulos de ejecución: 1. Las resoluciones judiciales firmes. 2. Las actas de conciliación judicial o extrajudicial. 3. Las resoluciones administrativas firmes. 4. Los laudos arbitrales firmes que resuelven conflictos jurídicos.”.</w:t>
      </w:r>
    </w:p>
  </w:footnote>
  <w:footnote w:id="42">
    <w:p w14:paraId="02B7D6CC" w14:textId="5067C8C4"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Pr>
          <w:rFonts w:asciiTheme="majorHAnsi" w:hAnsiTheme="majorHAnsi"/>
          <w:sz w:val="16"/>
          <w:szCs w:val="16"/>
          <w:lang w:val="es-CO"/>
        </w:rPr>
        <w:t>Anexo 31.</w:t>
      </w:r>
      <w:r w:rsidRPr="001E75AD">
        <w:rPr>
          <w:rFonts w:asciiTheme="majorHAnsi" w:hAnsiTheme="majorHAnsi"/>
          <w:sz w:val="16"/>
          <w:szCs w:val="16"/>
          <w:lang w:val="es-CO"/>
        </w:rPr>
        <w:t xml:space="preserve"> Demanda de ejecución de resolución judicial interpuesta por el SUTECASA ante el Juzgado Especializado Laboral de Turno de Lima de 31 de diciembre de 2003</w:t>
      </w:r>
      <w:r>
        <w:rPr>
          <w:rFonts w:asciiTheme="majorHAnsi" w:hAnsiTheme="majorHAnsi"/>
          <w:sz w:val="16"/>
          <w:szCs w:val="16"/>
          <w:lang w:val="es-CO"/>
        </w:rPr>
        <w:t>.</w:t>
      </w:r>
      <w:r w:rsidRPr="001E75AD">
        <w:rPr>
          <w:rFonts w:asciiTheme="majorHAnsi" w:hAnsiTheme="majorHAnsi"/>
          <w:sz w:val="16"/>
          <w:szCs w:val="16"/>
          <w:lang w:val="es-CO"/>
        </w:rPr>
        <w:t xml:space="preserve"> Anexo al escrito del Estado de 13 de mayo de 2009.</w:t>
      </w:r>
    </w:p>
  </w:footnote>
  <w:footnote w:id="43">
    <w:p w14:paraId="61B811D2" w14:textId="35AA8F82"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32. </w:t>
      </w:r>
      <w:r w:rsidRPr="001E75AD">
        <w:rPr>
          <w:rFonts w:asciiTheme="majorHAnsi" w:hAnsiTheme="majorHAnsi"/>
          <w:sz w:val="16"/>
          <w:szCs w:val="16"/>
          <w:lang w:val="es-CO"/>
        </w:rPr>
        <w:t>Resolución del Especialista Legal de la Corte Superior de Justicia de Lima de 22 de enero de 2004</w:t>
      </w:r>
      <w:r>
        <w:rPr>
          <w:rFonts w:asciiTheme="majorHAnsi" w:hAnsiTheme="majorHAnsi"/>
          <w:sz w:val="16"/>
          <w:szCs w:val="16"/>
          <w:lang w:val="es-CO"/>
        </w:rPr>
        <w:t>.</w:t>
      </w:r>
      <w:r w:rsidRPr="001E75AD">
        <w:rPr>
          <w:rFonts w:asciiTheme="majorHAnsi" w:hAnsiTheme="majorHAnsi"/>
          <w:sz w:val="16"/>
          <w:szCs w:val="16"/>
          <w:lang w:val="es-CO"/>
        </w:rPr>
        <w:t xml:space="preserve"> Anexo al escrito del Estado de 13 de mayo de 2009.</w:t>
      </w:r>
    </w:p>
  </w:footnote>
  <w:footnote w:id="44">
    <w:p w14:paraId="6D908A98" w14:textId="1C8CE933"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32. </w:t>
      </w:r>
      <w:r w:rsidRPr="001E75AD">
        <w:rPr>
          <w:rFonts w:asciiTheme="majorHAnsi" w:hAnsiTheme="majorHAnsi"/>
          <w:sz w:val="16"/>
          <w:szCs w:val="16"/>
          <w:lang w:val="es-CO"/>
        </w:rPr>
        <w:t>Resolución del Especialista Legal de la Corte Superior de Justicia de Lima de 22 de enero de 2004</w:t>
      </w:r>
      <w:r>
        <w:rPr>
          <w:rFonts w:asciiTheme="majorHAnsi" w:hAnsiTheme="majorHAnsi"/>
          <w:sz w:val="16"/>
          <w:szCs w:val="16"/>
          <w:lang w:val="es-CO"/>
        </w:rPr>
        <w:t>.</w:t>
      </w:r>
      <w:r w:rsidRPr="001E75AD">
        <w:rPr>
          <w:rFonts w:asciiTheme="majorHAnsi" w:hAnsiTheme="majorHAnsi"/>
          <w:sz w:val="16"/>
          <w:szCs w:val="16"/>
          <w:lang w:val="es-CO"/>
        </w:rPr>
        <w:t xml:space="preserve"> Anexo al escrito del Estado de 13 de mayo de 2009.</w:t>
      </w:r>
    </w:p>
  </w:footnote>
  <w:footnote w:id="45">
    <w:p w14:paraId="5D21C9E0" w14:textId="587D1BF2"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33. </w:t>
      </w:r>
      <w:r w:rsidRPr="001E75AD">
        <w:rPr>
          <w:rFonts w:asciiTheme="majorHAnsi" w:hAnsiTheme="majorHAnsi"/>
          <w:sz w:val="16"/>
          <w:szCs w:val="16"/>
          <w:lang w:val="es-CO"/>
        </w:rPr>
        <w:t>Escrito del Procurador Público de la PCM ante el Décimo Tercer Juzgado Laboral de la Corte Superior de Justicia de Lima de 2 de febrero de 2004</w:t>
      </w:r>
      <w:r>
        <w:rPr>
          <w:rFonts w:asciiTheme="majorHAnsi" w:hAnsiTheme="majorHAnsi"/>
          <w:sz w:val="16"/>
          <w:szCs w:val="16"/>
          <w:lang w:val="es-CO"/>
        </w:rPr>
        <w:t xml:space="preserve">. </w:t>
      </w:r>
      <w:r w:rsidRPr="001E75AD">
        <w:rPr>
          <w:rFonts w:asciiTheme="majorHAnsi" w:hAnsiTheme="majorHAnsi"/>
          <w:sz w:val="16"/>
          <w:szCs w:val="16"/>
          <w:lang w:val="es-CO"/>
        </w:rPr>
        <w:t>Anexo al escrito del Estado de 13 de mayo de 2009.</w:t>
      </w:r>
    </w:p>
  </w:footnote>
  <w:footnote w:id="46">
    <w:p w14:paraId="744A7C80" w14:textId="5005AC46"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34. </w:t>
      </w:r>
      <w:r w:rsidRPr="001E75AD">
        <w:rPr>
          <w:rFonts w:asciiTheme="majorHAnsi" w:hAnsiTheme="majorHAnsi"/>
          <w:sz w:val="16"/>
          <w:szCs w:val="16"/>
          <w:lang w:val="es-CO"/>
        </w:rPr>
        <w:t>Resolución del Décimo Tercer Juzgado de Especializado Laboral de Lima de 25 de febrero de 2004</w:t>
      </w:r>
      <w:r>
        <w:rPr>
          <w:rFonts w:asciiTheme="majorHAnsi" w:hAnsiTheme="majorHAnsi"/>
          <w:sz w:val="16"/>
          <w:szCs w:val="16"/>
          <w:lang w:val="es-CO"/>
        </w:rPr>
        <w:t>.</w:t>
      </w:r>
      <w:r w:rsidRPr="001E75AD">
        <w:rPr>
          <w:rFonts w:asciiTheme="majorHAnsi" w:hAnsiTheme="majorHAnsi"/>
          <w:sz w:val="16"/>
          <w:szCs w:val="16"/>
          <w:lang w:val="es-CO"/>
        </w:rPr>
        <w:t xml:space="preserve"> Anexo al escrito del Estado de 13 de mayo de 2009.</w:t>
      </w:r>
    </w:p>
  </w:footnote>
  <w:footnote w:id="47">
    <w:p w14:paraId="68972A71" w14:textId="5BF783EE" w:rsidR="00FC6B2B" w:rsidRPr="001E75AD" w:rsidRDefault="00FC6B2B" w:rsidP="00663A42">
      <w:pPr>
        <w:pStyle w:val="FootnoteText"/>
        <w:jc w:val="both"/>
        <w:rPr>
          <w:rFonts w:asciiTheme="majorHAnsi" w:hAnsiTheme="majorHAnsi"/>
          <w:sz w:val="16"/>
          <w:szCs w:val="16"/>
          <w:lang w:val="es-CO"/>
        </w:rPr>
      </w:pPr>
      <w:r w:rsidRPr="001E75AD">
        <w:rPr>
          <w:rStyle w:val="FootnoteReference"/>
          <w:rFonts w:asciiTheme="majorHAnsi" w:hAnsiTheme="majorHAnsi"/>
          <w:sz w:val="16"/>
          <w:szCs w:val="16"/>
          <w:lang w:val="es-CO"/>
        </w:rPr>
        <w:footnoteRef/>
      </w:r>
      <w:r w:rsidRPr="001E75AD">
        <w:rPr>
          <w:rFonts w:asciiTheme="majorHAnsi" w:hAnsiTheme="majorHAnsi"/>
          <w:sz w:val="16"/>
          <w:szCs w:val="16"/>
          <w:lang w:val="es-CO"/>
        </w:rPr>
        <w:t xml:space="preserve"> </w:t>
      </w:r>
      <w:r>
        <w:rPr>
          <w:rFonts w:asciiTheme="majorHAnsi" w:hAnsiTheme="majorHAnsi"/>
          <w:sz w:val="16"/>
          <w:szCs w:val="16"/>
          <w:lang w:val="es-CO"/>
        </w:rPr>
        <w:t xml:space="preserve">Anexo 35. </w:t>
      </w:r>
      <w:r w:rsidRPr="001E75AD">
        <w:rPr>
          <w:rFonts w:asciiTheme="majorHAnsi" w:hAnsiTheme="majorHAnsi"/>
          <w:sz w:val="16"/>
          <w:szCs w:val="16"/>
          <w:lang w:val="es-CO"/>
        </w:rPr>
        <w:t>Resolución de 7 de diciembre de 2004</w:t>
      </w:r>
      <w:r>
        <w:rPr>
          <w:rFonts w:asciiTheme="majorHAnsi" w:hAnsiTheme="majorHAnsi"/>
          <w:sz w:val="16"/>
          <w:szCs w:val="16"/>
          <w:lang w:val="es-CO"/>
        </w:rPr>
        <w:t>.</w:t>
      </w:r>
      <w:r w:rsidRPr="001E75AD">
        <w:rPr>
          <w:rFonts w:asciiTheme="majorHAnsi" w:hAnsiTheme="majorHAnsi"/>
          <w:sz w:val="16"/>
          <w:szCs w:val="16"/>
          <w:lang w:val="es-CO"/>
        </w:rPr>
        <w:t xml:space="preserve"> Anexo al escrito del Estado de 9 de mayo de 2006.</w:t>
      </w:r>
    </w:p>
  </w:footnote>
  <w:footnote w:id="48">
    <w:p w14:paraId="20EED5B2" w14:textId="77777777" w:rsidR="00FC6B2B" w:rsidRPr="001E75AD" w:rsidRDefault="00FC6B2B" w:rsidP="00663A42">
      <w:pPr>
        <w:pStyle w:val="FootnoteText"/>
        <w:jc w:val="both"/>
        <w:rPr>
          <w:rFonts w:asciiTheme="majorHAnsi" w:hAnsiTheme="majorHAnsi"/>
          <w:sz w:val="16"/>
          <w:szCs w:val="16"/>
          <w:lang w:val="es-ES"/>
        </w:rPr>
      </w:pPr>
      <w:r w:rsidRPr="001E75AD">
        <w:rPr>
          <w:rStyle w:val="FootnoteReference"/>
          <w:rFonts w:asciiTheme="majorHAnsi" w:hAnsiTheme="majorHAnsi"/>
          <w:sz w:val="16"/>
          <w:szCs w:val="16"/>
        </w:rPr>
        <w:footnoteRef/>
      </w:r>
      <w:r w:rsidRPr="001E75AD">
        <w:rPr>
          <w:rFonts w:asciiTheme="majorHAnsi" w:hAnsiTheme="majorHAnsi"/>
          <w:sz w:val="16"/>
          <w:szCs w:val="16"/>
          <w:lang w:val="es-ES"/>
        </w:rPr>
        <w:t xml:space="preserve"> </w:t>
      </w:r>
      <w:r w:rsidRPr="001E75AD">
        <w:rPr>
          <w:rFonts w:asciiTheme="majorHAnsi" w:hAnsiTheme="majorHAnsi" w:cs="Tahoma"/>
          <w:sz w:val="16"/>
          <w:szCs w:val="16"/>
          <w:lang w:val="es-ES"/>
        </w:rPr>
        <w:t> Artículo 8.1: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49">
    <w:p w14:paraId="0588D141" w14:textId="77777777" w:rsidR="00FC6B2B" w:rsidRPr="001E75AD" w:rsidRDefault="00FC6B2B" w:rsidP="00663A42">
      <w:pPr>
        <w:pStyle w:val="FootnoteText"/>
        <w:jc w:val="both"/>
        <w:rPr>
          <w:rFonts w:asciiTheme="majorHAnsi" w:hAnsiTheme="majorHAnsi"/>
          <w:sz w:val="16"/>
          <w:szCs w:val="16"/>
          <w:lang w:val="es-ES"/>
        </w:rPr>
      </w:pPr>
      <w:r w:rsidRPr="001E75AD">
        <w:rPr>
          <w:rStyle w:val="FootnoteReference"/>
          <w:rFonts w:asciiTheme="majorHAnsi" w:hAnsiTheme="majorHAnsi"/>
          <w:sz w:val="16"/>
          <w:szCs w:val="16"/>
        </w:rPr>
        <w:footnoteRef/>
      </w:r>
      <w:r w:rsidRPr="001E75AD">
        <w:rPr>
          <w:rFonts w:asciiTheme="majorHAnsi" w:hAnsiTheme="majorHAnsi"/>
          <w:sz w:val="16"/>
          <w:szCs w:val="16"/>
          <w:lang w:val="es-ES"/>
        </w:rPr>
        <w:t xml:space="preserve"> Artículo 21.1:</w:t>
      </w:r>
      <w:r w:rsidRPr="001E75AD">
        <w:rPr>
          <w:rFonts w:asciiTheme="majorHAnsi" w:eastAsia="Arial Unicode MS" w:hAnsiTheme="majorHAnsi" w:cs="Tahoma"/>
          <w:sz w:val="16"/>
          <w:szCs w:val="16"/>
          <w:lang w:val="es-ES" w:eastAsia="en-US"/>
        </w:rPr>
        <w:t> Toda persona tiene derecho al uso y goce de sus bienes.  La ley puede subordinar tal uso y goce al interés social.</w:t>
      </w:r>
    </w:p>
  </w:footnote>
  <w:footnote w:id="50">
    <w:p w14:paraId="6CD057F1" w14:textId="77777777" w:rsidR="00FC6B2B" w:rsidRPr="001E75AD" w:rsidRDefault="00FC6B2B" w:rsidP="00663A42">
      <w:pPr>
        <w:pStyle w:val="FootnoteText"/>
        <w:jc w:val="both"/>
        <w:rPr>
          <w:rFonts w:asciiTheme="majorHAnsi" w:hAnsiTheme="majorHAnsi"/>
          <w:sz w:val="16"/>
          <w:szCs w:val="16"/>
          <w:lang w:val="es-ES"/>
        </w:rPr>
      </w:pPr>
      <w:r w:rsidRPr="001E75AD">
        <w:rPr>
          <w:rStyle w:val="FootnoteReference"/>
          <w:rFonts w:asciiTheme="majorHAnsi" w:hAnsiTheme="majorHAnsi"/>
          <w:sz w:val="16"/>
          <w:szCs w:val="16"/>
        </w:rPr>
        <w:footnoteRef/>
      </w:r>
      <w:r w:rsidRPr="001E75AD">
        <w:rPr>
          <w:rFonts w:asciiTheme="majorHAnsi" w:hAnsiTheme="majorHAnsi"/>
          <w:sz w:val="16"/>
          <w:szCs w:val="16"/>
          <w:lang w:val="es-ES"/>
        </w:rPr>
        <w:t xml:space="preserve"> Artículo 25.2.c): </w:t>
      </w:r>
      <w:r w:rsidRPr="001E75AD">
        <w:rPr>
          <w:rFonts w:asciiTheme="majorHAnsi" w:hAnsiTheme="majorHAnsi" w:cs="Tahoma"/>
          <w:sz w:val="16"/>
          <w:szCs w:val="16"/>
          <w:lang w:val="es-ES"/>
        </w:rPr>
        <w:t xml:space="preserve">Los Estados Partes se comprometen a garantizar el cumplimiento, por las autoridades competentes, de toda decisión en que se haya estimado procedente el recurso. </w:t>
      </w:r>
    </w:p>
  </w:footnote>
  <w:footnote w:id="51">
    <w:p w14:paraId="4C7BB3F5" w14:textId="77777777" w:rsidR="00FC6B2B" w:rsidRPr="001E75AD" w:rsidRDefault="00FC6B2B" w:rsidP="00663A42">
      <w:pPr>
        <w:pStyle w:val="FootnoteText"/>
        <w:jc w:val="both"/>
        <w:rPr>
          <w:rFonts w:asciiTheme="majorHAnsi" w:hAnsiTheme="majorHAnsi"/>
          <w:bCs/>
          <w:sz w:val="16"/>
          <w:szCs w:val="16"/>
          <w:lang w:val="es-ES"/>
        </w:rPr>
      </w:pPr>
      <w:r w:rsidRPr="001E75AD">
        <w:rPr>
          <w:rStyle w:val="FootnoteReference"/>
          <w:rFonts w:asciiTheme="majorHAnsi" w:hAnsiTheme="majorHAnsi"/>
          <w:sz w:val="16"/>
          <w:szCs w:val="16"/>
          <w:lang w:val="es-ES"/>
        </w:rPr>
        <w:footnoteRef/>
      </w:r>
      <w:r w:rsidRPr="001E75AD">
        <w:rPr>
          <w:rFonts w:asciiTheme="majorHAnsi" w:hAnsiTheme="majorHAnsi"/>
          <w:sz w:val="16"/>
          <w:szCs w:val="16"/>
          <w:lang w:val="pt-BR"/>
        </w:rPr>
        <w:t xml:space="preserve">  Corte IDH. </w:t>
      </w:r>
      <w:r w:rsidRPr="001E75AD">
        <w:rPr>
          <w:rFonts w:asciiTheme="majorHAnsi" w:hAnsiTheme="majorHAnsi"/>
          <w:bCs/>
          <w:sz w:val="16"/>
          <w:szCs w:val="16"/>
          <w:lang w:val="pt-BR"/>
        </w:rPr>
        <w:t xml:space="preserve">Caso Suárez Rosero Vs. </w:t>
      </w:r>
      <w:r w:rsidRPr="001E75AD">
        <w:rPr>
          <w:rFonts w:asciiTheme="majorHAnsi" w:hAnsiTheme="majorHAnsi"/>
          <w:bCs/>
          <w:sz w:val="16"/>
          <w:szCs w:val="16"/>
          <w:lang w:val="es-ES"/>
        </w:rPr>
        <w:t>Ecuador. Fondo. Sentencia de 12 de noviembre de 1997. Serie C No. 35, párr. 65;</w:t>
      </w:r>
      <w:r w:rsidRPr="001E75AD">
        <w:rPr>
          <w:rFonts w:asciiTheme="majorHAnsi" w:hAnsiTheme="majorHAnsi"/>
          <w:sz w:val="16"/>
          <w:szCs w:val="16"/>
          <w:lang w:val="es-EC"/>
        </w:rPr>
        <w:t xml:space="preserve"> y </w:t>
      </w:r>
      <w:r w:rsidRPr="001E75AD">
        <w:rPr>
          <w:rFonts w:asciiTheme="majorHAnsi" w:hAnsiTheme="majorHAnsi"/>
          <w:bCs/>
          <w:sz w:val="16"/>
          <w:szCs w:val="16"/>
          <w:lang w:val="es-ES"/>
        </w:rPr>
        <w:t>Caso Rosendo Cantú y otra Vs. México. Excepción Preliminar, Fondo, Reparaciones y Costas. Sentencia de 31 de agosto de 2010. Serie C No. 216, párr. 166.</w:t>
      </w:r>
    </w:p>
  </w:footnote>
  <w:footnote w:id="52">
    <w:p w14:paraId="40B39692" w14:textId="77777777" w:rsidR="00FC6B2B" w:rsidRPr="001E75AD" w:rsidRDefault="00FC6B2B" w:rsidP="00663A42">
      <w:pPr>
        <w:pStyle w:val="FootnoteText"/>
        <w:jc w:val="both"/>
        <w:rPr>
          <w:rFonts w:asciiTheme="majorHAnsi" w:hAnsiTheme="majorHAnsi"/>
          <w:sz w:val="16"/>
          <w:szCs w:val="16"/>
          <w:lang w:val="es-ES"/>
        </w:rPr>
      </w:pPr>
      <w:r w:rsidRPr="001E75AD">
        <w:rPr>
          <w:rStyle w:val="FootnoteReference"/>
          <w:rFonts w:asciiTheme="majorHAnsi" w:hAnsiTheme="majorHAnsi"/>
          <w:sz w:val="16"/>
          <w:szCs w:val="16"/>
        </w:rPr>
        <w:footnoteRef/>
      </w:r>
      <w:r w:rsidRPr="001E75AD">
        <w:rPr>
          <w:rFonts w:asciiTheme="majorHAnsi" w:hAnsiTheme="majorHAnsi"/>
          <w:sz w:val="16"/>
          <w:szCs w:val="16"/>
          <w:lang w:val="es-ES"/>
        </w:rPr>
        <w:t xml:space="preserve"> </w:t>
      </w:r>
      <w:r w:rsidRPr="001E75AD">
        <w:rPr>
          <w:rFonts w:asciiTheme="majorHAnsi" w:eastAsia="Arial Unicode MS" w:hAnsiTheme="majorHAnsi" w:cs="Times New Roman"/>
          <w:bCs/>
          <w:sz w:val="16"/>
          <w:szCs w:val="16"/>
          <w:shd w:val="clear" w:color="auto" w:fill="FFFFFF"/>
          <w:lang w:val="es-ES" w:eastAsia="en-US"/>
        </w:rPr>
        <w:t>Corte IDH. Caso Mejía Idrovo Vs. Ecuador. Excepciones Preliminares, Fondo, Reparaciones y Costas. Sentencia de 5 de julio de 2011. Serie C No. 228, párr. 104.</w:t>
      </w:r>
    </w:p>
  </w:footnote>
  <w:footnote w:id="53">
    <w:p w14:paraId="44A42D57" w14:textId="77777777" w:rsidR="00FC6B2B" w:rsidRPr="001E75AD" w:rsidRDefault="00FC6B2B" w:rsidP="00663A42">
      <w:pPr>
        <w:pStyle w:val="FootnoteText"/>
        <w:jc w:val="both"/>
        <w:rPr>
          <w:rFonts w:asciiTheme="majorHAnsi" w:hAnsiTheme="majorHAnsi"/>
          <w:sz w:val="16"/>
          <w:szCs w:val="16"/>
          <w:lang w:val="es-ES"/>
        </w:rPr>
      </w:pPr>
      <w:r w:rsidRPr="001E75AD">
        <w:rPr>
          <w:rStyle w:val="FootnoteReference"/>
          <w:rFonts w:asciiTheme="majorHAnsi" w:hAnsiTheme="majorHAnsi"/>
          <w:sz w:val="16"/>
          <w:szCs w:val="16"/>
        </w:rPr>
        <w:footnoteRef/>
      </w:r>
      <w:r w:rsidRPr="001E75AD">
        <w:rPr>
          <w:rFonts w:asciiTheme="majorHAnsi" w:hAnsiTheme="majorHAnsi"/>
          <w:sz w:val="16"/>
          <w:szCs w:val="16"/>
          <w:lang w:val="es-ES"/>
        </w:rPr>
        <w:t xml:space="preserve"> CIDH, Caso 12.357, Demanda ante la Corte IDH, Integrantes de la Asociación de Cesantes y Jubilados de la Contraloría General de la República, Perú, 1 de abril de 2008, párr. 52.</w:t>
      </w:r>
    </w:p>
  </w:footnote>
  <w:footnote w:id="54">
    <w:p w14:paraId="696C3553" w14:textId="77777777" w:rsidR="00FC6B2B" w:rsidRPr="001E75AD" w:rsidRDefault="00FC6B2B" w:rsidP="00663A42">
      <w:pPr>
        <w:pStyle w:val="FootnoteText"/>
        <w:jc w:val="both"/>
        <w:rPr>
          <w:rFonts w:asciiTheme="majorHAnsi" w:hAnsiTheme="majorHAnsi"/>
          <w:sz w:val="16"/>
          <w:szCs w:val="16"/>
          <w:lang w:val="es-ES"/>
        </w:rPr>
      </w:pPr>
      <w:r w:rsidRPr="001E75AD">
        <w:rPr>
          <w:rStyle w:val="FootnoteReference"/>
          <w:rFonts w:asciiTheme="majorHAnsi" w:hAnsiTheme="majorHAnsi"/>
          <w:sz w:val="16"/>
          <w:szCs w:val="16"/>
        </w:rPr>
        <w:footnoteRef/>
      </w:r>
      <w:r w:rsidRPr="001E75AD">
        <w:rPr>
          <w:rFonts w:asciiTheme="majorHAnsi" w:hAnsiTheme="majorHAnsi"/>
          <w:sz w:val="16"/>
          <w:szCs w:val="16"/>
          <w:lang w:val="es-ES"/>
        </w:rPr>
        <w:t xml:space="preserve"> </w:t>
      </w:r>
      <w:r w:rsidRPr="001E75AD">
        <w:rPr>
          <w:rFonts w:asciiTheme="majorHAnsi" w:eastAsia="Arial Unicode MS" w:hAnsiTheme="majorHAnsi" w:cs="Times New Roman"/>
          <w:bCs/>
          <w:sz w:val="16"/>
          <w:szCs w:val="16"/>
          <w:shd w:val="clear" w:color="auto" w:fill="FFFFFF"/>
          <w:lang w:val="es-ES" w:eastAsia="en-US"/>
        </w:rPr>
        <w:t>Corte IDH. Caso Mejía Idrovo Vs. Ecuador. Excepciones Preliminares, Fondo, Reparaciones y Costas. Sentencia de 5 de julio de 2011. Serie C No. 228, párr. 104.</w:t>
      </w:r>
    </w:p>
  </w:footnote>
  <w:footnote w:id="55">
    <w:p w14:paraId="77469F5E" w14:textId="77777777" w:rsidR="00FC6B2B" w:rsidRPr="001E75AD" w:rsidRDefault="00FC6B2B" w:rsidP="00663A42">
      <w:pPr>
        <w:pStyle w:val="FootnoteText"/>
        <w:jc w:val="both"/>
        <w:rPr>
          <w:rFonts w:asciiTheme="majorHAnsi" w:hAnsiTheme="majorHAnsi"/>
          <w:sz w:val="16"/>
          <w:szCs w:val="16"/>
          <w:lang w:val="es-ES"/>
        </w:rPr>
      </w:pPr>
      <w:r w:rsidRPr="001E75AD">
        <w:rPr>
          <w:rStyle w:val="FootnoteReference"/>
          <w:rFonts w:asciiTheme="majorHAnsi" w:hAnsiTheme="majorHAnsi"/>
          <w:sz w:val="16"/>
          <w:szCs w:val="16"/>
          <w:lang w:val="es-ES"/>
        </w:rPr>
        <w:footnoteRef/>
      </w:r>
      <w:r w:rsidRPr="001E75AD">
        <w:rPr>
          <w:rFonts w:asciiTheme="majorHAnsi" w:hAnsiTheme="majorHAnsi"/>
          <w:sz w:val="16"/>
          <w:szCs w:val="16"/>
          <w:lang w:val="es-ES"/>
        </w:rPr>
        <w:t xml:space="preserve"> Corte IDH, Caso Acevedo Jaramillo Vs. Per</w:t>
      </w:r>
      <w:r w:rsidRPr="001E75AD">
        <w:rPr>
          <w:rFonts w:asciiTheme="majorHAnsi" w:hAnsiTheme="majorHAnsi"/>
          <w:sz w:val="16"/>
          <w:szCs w:val="16"/>
          <w:lang w:val="es-CR"/>
        </w:rPr>
        <w:t>ú</w:t>
      </w:r>
      <w:r w:rsidRPr="001E75AD">
        <w:rPr>
          <w:rFonts w:asciiTheme="majorHAnsi" w:hAnsiTheme="majorHAnsi"/>
          <w:sz w:val="16"/>
          <w:szCs w:val="16"/>
          <w:lang w:val="es-ES"/>
        </w:rPr>
        <w:t>, Excepciones Preliminares, Fondo, Reparaciones y Costas. Sentencia de 7 de febrero de 2006, párr. 220.</w:t>
      </w:r>
    </w:p>
  </w:footnote>
  <w:footnote w:id="56">
    <w:p w14:paraId="6B5CE0C4" w14:textId="77777777" w:rsidR="00FC6B2B" w:rsidRPr="001E75AD" w:rsidRDefault="00FC6B2B" w:rsidP="00663A42">
      <w:pPr>
        <w:pStyle w:val="FootnoteText"/>
        <w:jc w:val="both"/>
        <w:rPr>
          <w:rFonts w:asciiTheme="majorHAnsi" w:hAnsiTheme="majorHAnsi"/>
          <w:sz w:val="16"/>
          <w:szCs w:val="16"/>
          <w:lang w:val="es-ES"/>
        </w:rPr>
      </w:pPr>
      <w:r w:rsidRPr="001E75AD">
        <w:rPr>
          <w:rStyle w:val="FootnoteReference"/>
          <w:rFonts w:asciiTheme="majorHAnsi" w:hAnsiTheme="majorHAnsi"/>
          <w:sz w:val="16"/>
          <w:szCs w:val="16"/>
        </w:rPr>
        <w:footnoteRef/>
      </w:r>
      <w:r w:rsidRPr="001E75AD">
        <w:rPr>
          <w:rFonts w:asciiTheme="majorHAnsi" w:hAnsiTheme="majorHAnsi"/>
          <w:sz w:val="16"/>
          <w:szCs w:val="16"/>
          <w:lang w:val="es-ES"/>
        </w:rPr>
        <w:t xml:space="preserve"> CIDH, Caso 12.357, Demanda ante la Corte IDH, Integrantes de la Asociación de Cesantes y Jubilados de la Contraloría General de la República, Perú, 1 de abril de 2008, párr. 53.</w:t>
      </w:r>
    </w:p>
  </w:footnote>
  <w:footnote w:id="57">
    <w:p w14:paraId="6527B6B6" w14:textId="77777777" w:rsidR="00FC6B2B" w:rsidRPr="001E75AD" w:rsidRDefault="00FC6B2B" w:rsidP="00663A42">
      <w:pPr>
        <w:pStyle w:val="FootnoteText"/>
        <w:jc w:val="both"/>
        <w:rPr>
          <w:rFonts w:asciiTheme="majorHAnsi" w:hAnsiTheme="majorHAnsi"/>
          <w:sz w:val="16"/>
          <w:szCs w:val="16"/>
          <w:lang w:val="es-ES"/>
        </w:rPr>
      </w:pPr>
      <w:r w:rsidRPr="001E75AD">
        <w:rPr>
          <w:rStyle w:val="FootnoteReference"/>
          <w:rFonts w:asciiTheme="majorHAnsi" w:hAnsiTheme="majorHAnsi"/>
          <w:sz w:val="16"/>
          <w:szCs w:val="16"/>
        </w:rPr>
        <w:footnoteRef/>
      </w:r>
      <w:r w:rsidRPr="001E75AD">
        <w:rPr>
          <w:rFonts w:asciiTheme="majorHAnsi" w:hAnsiTheme="majorHAnsi"/>
          <w:sz w:val="16"/>
          <w:szCs w:val="16"/>
          <w:lang w:val="es-ES"/>
        </w:rPr>
        <w:t xml:space="preserve"> </w:t>
      </w:r>
      <w:r w:rsidRPr="001E75AD">
        <w:rPr>
          <w:rFonts w:asciiTheme="majorHAnsi" w:eastAsia="Arial Unicode MS" w:hAnsiTheme="majorHAnsi" w:cs="Times New Roman"/>
          <w:bCs/>
          <w:sz w:val="16"/>
          <w:szCs w:val="16"/>
          <w:shd w:val="clear" w:color="auto" w:fill="FFFFFF"/>
          <w:lang w:val="es-ES" w:eastAsia="en-US"/>
        </w:rPr>
        <w:t>Corte IDH. Caso Mejía Idrovo Vs. Ecuador. Excepciones Preliminares, Fondo, Reparaciones y Costas. Sentencia de 5 de julio de 2011. Serie C No. 228, párr. 105.</w:t>
      </w:r>
    </w:p>
  </w:footnote>
  <w:footnote w:id="58">
    <w:p w14:paraId="3F995988" w14:textId="77777777" w:rsidR="00FC6B2B" w:rsidRPr="001E75AD" w:rsidRDefault="00FC6B2B" w:rsidP="00663A42">
      <w:pPr>
        <w:pStyle w:val="FootnoteText"/>
        <w:jc w:val="both"/>
        <w:rPr>
          <w:rFonts w:asciiTheme="majorHAnsi" w:hAnsiTheme="majorHAnsi"/>
          <w:bCs/>
          <w:sz w:val="16"/>
          <w:szCs w:val="16"/>
          <w:lang w:val="es-ES"/>
        </w:rPr>
      </w:pPr>
      <w:r w:rsidRPr="001E75AD">
        <w:rPr>
          <w:rStyle w:val="FootnoteReference"/>
          <w:rFonts w:asciiTheme="majorHAnsi" w:hAnsiTheme="majorHAnsi" w:cs="Times"/>
          <w:sz w:val="16"/>
          <w:szCs w:val="16"/>
          <w:lang w:val="es-ES"/>
        </w:rPr>
        <w:footnoteRef/>
      </w:r>
      <w:r w:rsidRPr="001E75AD">
        <w:rPr>
          <w:rFonts w:asciiTheme="majorHAnsi" w:hAnsiTheme="majorHAnsi"/>
          <w:sz w:val="16"/>
          <w:szCs w:val="16"/>
          <w:lang w:val="es-ES"/>
        </w:rPr>
        <w:t xml:space="preserve"> </w:t>
      </w:r>
      <w:r w:rsidRPr="001E75AD">
        <w:rPr>
          <w:rFonts w:asciiTheme="majorHAnsi" w:eastAsia="Arial Unicode MS" w:hAnsiTheme="majorHAnsi" w:cs="Times New Roman"/>
          <w:bCs/>
          <w:sz w:val="16"/>
          <w:szCs w:val="16"/>
          <w:shd w:val="clear" w:color="auto" w:fill="FFFFFF"/>
          <w:lang w:val="es-ES" w:eastAsia="en-US"/>
        </w:rPr>
        <w:t xml:space="preserve">Corte IDH. Caso Mejía Idrovo Vs. Ecuador. Excepciones Preliminares, Fondo, Reparaciones y Costas. Sentencia de 5 de julio de 2011. Serie C No. 228, párr. 106. </w:t>
      </w:r>
    </w:p>
  </w:footnote>
  <w:footnote w:id="59">
    <w:p w14:paraId="790C8215" w14:textId="77777777" w:rsidR="00FC6B2B" w:rsidRPr="001E75AD" w:rsidRDefault="00FC6B2B" w:rsidP="00663A42">
      <w:pPr>
        <w:pStyle w:val="NormalWeb"/>
        <w:spacing w:before="0" w:beforeAutospacing="0" w:after="0" w:afterAutospacing="0"/>
        <w:jc w:val="both"/>
        <w:rPr>
          <w:rFonts w:asciiTheme="majorHAnsi" w:hAnsiTheme="majorHAnsi"/>
          <w:sz w:val="16"/>
          <w:szCs w:val="16"/>
        </w:rPr>
      </w:pPr>
      <w:r w:rsidRPr="001E75AD">
        <w:rPr>
          <w:rStyle w:val="FootnoteReference"/>
          <w:rFonts w:asciiTheme="majorHAnsi" w:hAnsiTheme="majorHAnsi"/>
          <w:sz w:val="16"/>
          <w:szCs w:val="16"/>
        </w:rPr>
        <w:footnoteRef/>
      </w:r>
      <w:r w:rsidRPr="001E75AD">
        <w:rPr>
          <w:rFonts w:asciiTheme="majorHAnsi" w:hAnsiTheme="majorHAnsi"/>
          <w:sz w:val="16"/>
          <w:szCs w:val="16"/>
        </w:rPr>
        <w:t xml:space="preserve"> Corte Europea de Derechos Humanos (CEDH), Caso Matheus versus Francia, n° 62740/01, Sentencia del 31.03.2005, párr. 58; y CEDH, Caso Sabin Popescu versus Romania, n° 48102/99, Sentencia del 2.03.2004, párrs. 68 y ss. </w:t>
      </w:r>
    </w:p>
  </w:footnote>
  <w:footnote w:id="60">
    <w:p w14:paraId="6FE74B00" w14:textId="77777777" w:rsidR="00FC6B2B" w:rsidRPr="001E75AD" w:rsidRDefault="00FC6B2B" w:rsidP="00663A42">
      <w:pPr>
        <w:pStyle w:val="FootnoteText"/>
        <w:jc w:val="both"/>
        <w:rPr>
          <w:rFonts w:asciiTheme="majorHAnsi" w:hAnsiTheme="majorHAnsi"/>
          <w:sz w:val="16"/>
          <w:szCs w:val="16"/>
          <w:lang w:val="es-ES"/>
        </w:rPr>
      </w:pPr>
      <w:r w:rsidRPr="001E75AD">
        <w:rPr>
          <w:rStyle w:val="FootnoteReference"/>
          <w:rFonts w:asciiTheme="majorHAnsi" w:hAnsiTheme="majorHAnsi"/>
          <w:sz w:val="16"/>
          <w:szCs w:val="16"/>
        </w:rPr>
        <w:footnoteRef/>
      </w:r>
      <w:r w:rsidRPr="001E75AD">
        <w:rPr>
          <w:rFonts w:asciiTheme="majorHAnsi" w:hAnsiTheme="majorHAnsi"/>
          <w:sz w:val="16"/>
          <w:szCs w:val="16"/>
          <w:lang w:val="es-ES"/>
        </w:rPr>
        <w:t xml:space="preserve"> CEDH, Caso Cocchiarella Vs. Italia. Sentencia de 29 de marzo de 2006, párr. 89.</w:t>
      </w:r>
    </w:p>
  </w:footnote>
  <w:footnote w:id="61">
    <w:p w14:paraId="17352415" w14:textId="77777777" w:rsidR="00FC6B2B" w:rsidRPr="001E75AD" w:rsidRDefault="00FC6B2B" w:rsidP="00663A42">
      <w:pPr>
        <w:pStyle w:val="FootnoteText"/>
        <w:jc w:val="both"/>
        <w:rPr>
          <w:rFonts w:asciiTheme="majorHAnsi" w:hAnsiTheme="majorHAnsi"/>
          <w:sz w:val="16"/>
          <w:szCs w:val="16"/>
          <w:lang w:val="es-ES"/>
        </w:rPr>
      </w:pPr>
      <w:r w:rsidRPr="001E75AD">
        <w:rPr>
          <w:rStyle w:val="FootnoteReference"/>
          <w:rFonts w:asciiTheme="majorHAnsi" w:hAnsiTheme="majorHAnsi" w:cs="Times"/>
          <w:sz w:val="16"/>
          <w:szCs w:val="16"/>
          <w:lang w:val="es-ES"/>
        </w:rPr>
        <w:footnoteRef/>
      </w:r>
      <w:r w:rsidRPr="001E75AD">
        <w:rPr>
          <w:rFonts w:asciiTheme="majorHAnsi" w:hAnsiTheme="majorHAnsi"/>
          <w:sz w:val="16"/>
          <w:szCs w:val="16"/>
          <w:lang w:val="es-ES"/>
        </w:rPr>
        <w:t xml:space="preserve"> CEDH, </w:t>
      </w:r>
      <w:r w:rsidRPr="001E75AD">
        <w:rPr>
          <w:rFonts w:asciiTheme="majorHAnsi" w:hAnsiTheme="majorHAnsi"/>
          <w:iCs/>
          <w:sz w:val="16"/>
          <w:szCs w:val="16"/>
          <w:lang w:val="es-ES"/>
        </w:rPr>
        <w:t>Matheus Vs. Francia</w:t>
      </w:r>
      <w:r w:rsidRPr="001E75AD">
        <w:rPr>
          <w:rFonts w:asciiTheme="majorHAnsi" w:hAnsiTheme="majorHAnsi"/>
          <w:sz w:val="16"/>
          <w:szCs w:val="16"/>
          <w:lang w:val="es-ES"/>
        </w:rPr>
        <w:t xml:space="preserve">. Sentencia de 31 de junio de 2005, </w:t>
      </w:r>
      <w:r w:rsidRPr="001E75AD">
        <w:rPr>
          <w:rFonts w:asciiTheme="majorHAnsi" w:hAnsiTheme="majorHAnsi"/>
          <w:iCs/>
          <w:sz w:val="16"/>
          <w:szCs w:val="16"/>
          <w:lang w:val="es-ES"/>
        </w:rPr>
        <w:t>párr. 58</w:t>
      </w:r>
      <w:r w:rsidRPr="001E75AD">
        <w:rPr>
          <w:rFonts w:asciiTheme="majorHAnsi" w:hAnsiTheme="majorHAnsi"/>
          <w:sz w:val="16"/>
          <w:szCs w:val="16"/>
          <w:lang w:val="es-ES"/>
        </w:rPr>
        <w:t>.</w:t>
      </w:r>
    </w:p>
  </w:footnote>
  <w:footnote w:id="62">
    <w:p w14:paraId="6CB5EE73" w14:textId="77777777" w:rsidR="00FC6B2B" w:rsidRPr="001E75AD" w:rsidRDefault="00FC6B2B" w:rsidP="00663A42">
      <w:pPr>
        <w:pStyle w:val="FootnoteText"/>
        <w:jc w:val="both"/>
        <w:rPr>
          <w:rFonts w:asciiTheme="majorHAnsi" w:hAnsiTheme="majorHAnsi"/>
          <w:sz w:val="16"/>
          <w:szCs w:val="16"/>
          <w:lang w:val="es-ES"/>
        </w:rPr>
      </w:pPr>
      <w:r w:rsidRPr="001E75AD">
        <w:rPr>
          <w:rStyle w:val="FootnoteReference"/>
          <w:rFonts w:asciiTheme="majorHAnsi" w:hAnsiTheme="majorHAnsi" w:cs="Times"/>
          <w:sz w:val="16"/>
          <w:szCs w:val="16"/>
          <w:lang w:val="es-ES"/>
        </w:rPr>
        <w:footnoteRef/>
      </w:r>
      <w:r w:rsidRPr="001E75AD">
        <w:rPr>
          <w:rFonts w:asciiTheme="majorHAnsi" w:hAnsiTheme="majorHAnsi"/>
          <w:sz w:val="16"/>
          <w:szCs w:val="16"/>
          <w:lang w:val="es-ES"/>
        </w:rPr>
        <w:t xml:space="preserve"> </w:t>
      </w:r>
      <w:r w:rsidRPr="001E75AD">
        <w:rPr>
          <w:rFonts w:asciiTheme="majorHAnsi" w:eastAsia="Arial Unicode MS" w:hAnsiTheme="majorHAnsi" w:cs="Times New Roman"/>
          <w:bCs/>
          <w:sz w:val="16"/>
          <w:szCs w:val="16"/>
          <w:shd w:val="clear" w:color="auto" w:fill="FFFFFF"/>
          <w:lang w:val="es-ES" w:eastAsia="en-US"/>
        </w:rPr>
        <w:t>Corte IDH. Caso Mejía Idrovo Vs. Ecuador. Excepciones Preliminares, Fondo, Reparaciones y Costas. Sentencia de 5 de julio de 2011. Serie C No. 228, párr. 106.</w:t>
      </w:r>
    </w:p>
  </w:footnote>
  <w:footnote w:id="63">
    <w:p w14:paraId="1A89B428" w14:textId="77777777" w:rsidR="00FC6B2B" w:rsidRPr="001E75AD" w:rsidRDefault="00FC6B2B" w:rsidP="00663A42">
      <w:pPr>
        <w:pStyle w:val="FootnoteText"/>
        <w:jc w:val="both"/>
        <w:rPr>
          <w:rFonts w:asciiTheme="majorHAnsi" w:hAnsiTheme="majorHAnsi"/>
          <w:sz w:val="16"/>
          <w:szCs w:val="16"/>
          <w:lang w:val="es-ES"/>
        </w:rPr>
      </w:pPr>
      <w:r w:rsidRPr="001E75AD">
        <w:rPr>
          <w:rStyle w:val="FootnoteReference"/>
          <w:rFonts w:asciiTheme="majorHAnsi" w:hAnsiTheme="majorHAnsi"/>
          <w:sz w:val="16"/>
          <w:szCs w:val="16"/>
        </w:rPr>
        <w:footnoteRef/>
      </w:r>
      <w:r w:rsidRPr="001E75AD">
        <w:rPr>
          <w:rFonts w:asciiTheme="majorHAnsi" w:hAnsiTheme="majorHAnsi"/>
          <w:sz w:val="16"/>
          <w:szCs w:val="16"/>
          <w:lang w:val="es-ES"/>
        </w:rPr>
        <w:t xml:space="preserve"> CIDH, Caso 12.357, Demanda ante la Corte IDH, Integrantes de la Asociación de Cesantes y Jubilados de la Contraloría General de la República, Perú, 1 de abril de 2008, párr. 54.</w:t>
      </w:r>
    </w:p>
  </w:footnote>
  <w:footnote w:id="64">
    <w:p w14:paraId="4F669B89" w14:textId="77777777" w:rsidR="00FC6B2B" w:rsidRPr="00B42AC9" w:rsidRDefault="00FC6B2B" w:rsidP="00663A42">
      <w:pPr>
        <w:pStyle w:val="FootnoteText"/>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Corte IDH. </w:t>
      </w:r>
      <w:r w:rsidRPr="00B42AC9">
        <w:rPr>
          <w:rFonts w:ascii="Cambria" w:hAnsi="Cambria"/>
          <w:i/>
          <w:sz w:val="16"/>
          <w:szCs w:val="16"/>
          <w:lang w:val="es-ES"/>
        </w:rPr>
        <w:t>Caso "Cinco Pensionistas" Vs. Perú</w:t>
      </w:r>
      <w:r w:rsidRPr="00B42AC9">
        <w:rPr>
          <w:rFonts w:ascii="Cambria" w:hAnsi="Cambria"/>
          <w:sz w:val="16"/>
          <w:szCs w:val="16"/>
          <w:lang w:val="es-ES"/>
        </w:rPr>
        <w:t xml:space="preserve">. Fondo, Reparaciones y Costas. Sentencia de 28 de febrero de 2003. Serie C No. 98; y </w:t>
      </w:r>
      <w:r w:rsidRPr="00B42AC9">
        <w:rPr>
          <w:rFonts w:ascii="Cambria" w:eastAsia="Arial Unicode MS" w:hAnsi="Cambria" w:cs="Times New Roman"/>
          <w:bCs/>
          <w:i/>
          <w:sz w:val="16"/>
          <w:szCs w:val="16"/>
          <w:shd w:val="clear" w:color="auto" w:fill="FFFFFF"/>
          <w:lang w:val="es-ES" w:eastAsia="en-US"/>
        </w:rPr>
        <w:t>Caso Acevedo Buendía y otros (“Cesantes y Jubilados de la Contraloría”) Vs. Perú</w:t>
      </w:r>
      <w:r w:rsidRPr="00B42AC9">
        <w:rPr>
          <w:rFonts w:ascii="Cambria" w:eastAsia="Arial Unicode MS" w:hAnsi="Cambria" w:cs="Times New Roman"/>
          <w:bCs/>
          <w:sz w:val="16"/>
          <w:szCs w:val="16"/>
          <w:shd w:val="clear" w:color="auto" w:fill="FFFFFF"/>
          <w:lang w:val="es-ES" w:eastAsia="en-US"/>
        </w:rPr>
        <w:t>. Excepción Preliminar, Fondo, Reparaciones y Costas. Sentencia de 1 de julio de 2009. Serie C No. 198.</w:t>
      </w:r>
    </w:p>
  </w:footnote>
  <w:footnote w:id="65">
    <w:p w14:paraId="2E69BACD" w14:textId="77777777" w:rsidR="00FC6B2B" w:rsidRPr="00B42AC9" w:rsidRDefault="00FC6B2B" w:rsidP="00663A42">
      <w:pPr>
        <w:pStyle w:val="FootnoteText"/>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CIDH, Caso 12.357, Demanda ante la Corte IDH, Integrantes de la Asociación de Cesantes y Jubilados de la Contraloría General de la República, Perú, 1 de abril de 2008, párr. 63.</w:t>
      </w:r>
    </w:p>
  </w:footnote>
  <w:footnote w:id="66">
    <w:p w14:paraId="33FFA47D" w14:textId="77777777" w:rsidR="00FC6B2B" w:rsidRPr="00B42AC9" w:rsidRDefault="00FC6B2B" w:rsidP="00663A42">
      <w:pPr>
        <w:pStyle w:val="FootnoteText"/>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hyperlink r:id="rId1" w:history="1">
        <w:r w:rsidRPr="00B42AC9">
          <w:rPr>
            <w:rStyle w:val="Hyperlink"/>
            <w:rFonts w:ascii="Cambria" w:hAnsi="Cambria"/>
            <w:sz w:val="16"/>
            <w:szCs w:val="16"/>
            <w:lang w:val="es-ES"/>
          </w:rPr>
          <w:t>Informe Defensorial No. 19</w:t>
        </w:r>
      </w:hyperlink>
      <w:r w:rsidRPr="00B42AC9">
        <w:rPr>
          <w:rFonts w:ascii="Cambria" w:hAnsi="Cambria"/>
          <w:sz w:val="16"/>
          <w:szCs w:val="16"/>
          <w:lang w:val="es-ES"/>
        </w:rPr>
        <w:t xml:space="preserve">, Defensoría del Pueblo, Incumplimiento de sentencias por parte de la administración estatal, octubre de 1998. </w:t>
      </w:r>
    </w:p>
  </w:footnote>
  <w:footnote w:id="67">
    <w:p w14:paraId="71562A38" w14:textId="77777777" w:rsidR="00FC6B2B" w:rsidRPr="00B42AC9" w:rsidRDefault="00FC6B2B" w:rsidP="00663A42">
      <w:pPr>
        <w:pStyle w:val="FootnoteText"/>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hyperlink r:id="rId2" w:history="1">
        <w:r w:rsidRPr="00B42AC9">
          <w:rPr>
            <w:rStyle w:val="Hyperlink"/>
            <w:rFonts w:ascii="Cambria" w:hAnsi="Cambria"/>
            <w:sz w:val="16"/>
            <w:szCs w:val="16"/>
            <w:lang w:val="es-ES"/>
          </w:rPr>
          <w:t>Informe Defensorial No. 19</w:t>
        </w:r>
      </w:hyperlink>
      <w:r w:rsidRPr="00B42AC9">
        <w:rPr>
          <w:rFonts w:ascii="Cambria" w:hAnsi="Cambria"/>
          <w:sz w:val="16"/>
          <w:szCs w:val="16"/>
          <w:lang w:val="es-ES"/>
        </w:rPr>
        <w:t xml:space="preserve">, Defensoría del Pueblo, Incumplimiento de sentencias por parte de la administración estatal, octubre de 1998. </w:t>
      </w:r>
    </w:p>
  </w:footnote>
  <w:footnote w:id="68">
    <w:p w14:paraId="119EAC3E" w14:textId="77777777" w:rsidR="00FC6B2B" w:rsidRPr="00B42AC9" w:rsidRDefault="00FC6B2B" w:rsidP="00663A42">
      <w:pPr>
        <w:pStyle w:val="FootnoteText"/>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hyperlink r:id="rId3" w:history="1">
        <w:r w:rsidRPr="00B42AC9">
          <w:rPr>
            <w:rStyle w:val="Hyperlink"/>
            <w:rFonts w:ascii="Cambria" w:hAnsi="Cambria"/>
            <w:sz w:val="16"/>
            <w:szCs w:val="16"/>
            <w:lang w:val="es-ES"/>
          </w:rPr>
          <w:t>Informe Defensorial No. 19</w:t>
        </w:r>
      </w:hyperlink>
      <w:r w:rsidRPr="00B42AC9">
        <w:rPr>
          <w:rFonts w:ascii="Cambria" w:hAnsi="Cambria"/>
          <w:sz w:val="16"/>
          <w:szCs w:val="16"/>
          <w:lang w:val="es-ES"/>
        </w:rPr>
        <w:t xml:space="preserve">, Defensoría del Pueblo, Incumplimiento de sentencias por parte de la administración estatal, octubre de 1998. </w:t>
      </w:r>
    </w:p>
  </w:footnote>
  <w:footnote w:id="69">
    <w:p w14:paraId="0F4290C8" w14:textId="77777777" w:rsidR="00FC6B2B" w:rsidRPr="00B42AC9" w:rsidRDefault="00FC6B2B" w:rsidP="00663A42">
      <w:pPr>
        <w:pStyle w:val="FootnoteText"/>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hyperlink r:id="rId4" w:history="1">
        <w:r w:rsidRPr="00B42AC9">
          <w:rPr>
            <w:rStyle w:val="Hyperlink"/>
            <w:rFonts w:ascii="Cambria" w:hAnsi="Cambria"/>
            <w:sz w:val="16"/>
            <w:szCs w:val="16"/>
            <w:lang w:val="es-ES"/>
          </w:rPr>
          <w:t>Informe Defensorial No. 19</w:t>
        </w:r>
      </w:hyperlink>
      <w:r w:rsidRPr="00B42AC9">
        <w:rPr>
          <w:rFonts w:ascii="Cambria" w:hAnsi="Cambria"/>
          <w:sz w:val="16"/>
          <w:szCs w:val="16"/>
          <w:lang w:val="es-ES"/>
        </w:rPr>
        <w:t xml:space="preserve">, Defensoría del Pueblo, Incumplimiento de sentencias por parte de la administración estatal, octubre de 1998. </w:t>
      </w:r>
    </w:p>
  </w:footnote>
  <w:footnote w:id="70">
    <w:p w14:paraId="75B50319" w14:textId="77777777" w:rsidR="00FC6B2B" w:rsidRPr="001E75AD" w:rsidRDefault="00FC6B2B" w:rsidP="00663A42">
      <w:pPr>
        <w:pStyle w:val="FootnoteText"/>
        <w:jc w:val="both"/>
        <w:rPr>
          <w:rFonts w:asciiTheme="majorHAnsi" w:hAnsiTheme="majorHAnsi"/>
          <w:sz w:val="16"/>
          <w:szCs w:val="16"/>
          <w:lang w:val="es-ES"/>
        </w:rPr>
      </w:pPr>
      <w:r w:rsidRPr="001E75AD">
        <w:rPr>
          <w:rStyle w:val="FootnoteReference"/>
          <w:rFonts w:asciiTheme="majorHAnsi" w:hAnsiTheme="majorHAnsi"/>
          <w:sz w:val="16"/>
          <w:szCs w:val="16"/>
        </w:rPr>
        <w:footnoteRef/>
      </w:r>
      <w:r w:rsidRPr="0032296A">
        <w:rPr>
          <w:rFonts w:asciiTheme="majorHAnsi" w:hAnsiTheme="majorHAnsi" w:cs="Arial"/>
          <w:sz w:val="16"/>
          <w:szCs w:val="16"/>
          <w:lang w:val="es-CO"/>
        </w:rPr>
        <w:t xml:space="preserve"> </w:t>
      </w:r>
      <w:r w:rsidRPr="0032296A">
        <w:rPr>
          <w:rFonts w:asciiTheme="majorHAnsi" w:hAnsiTheme="majorHAnsi"/>
          <w:sz w:val="16"/>
          <w:szCs w:val="16"/>
          <w:lang w:val="es-CO"/>
        </w:rPr>
        <w:t xml:space="preserve">Corte IDH. </w:t>
      </w:r>
      <w:r w:rsidRPr="001E75AD">
        <w:rPr>
          <w:rFonts w:asciiTheme="majorHAnsi" w:hAnsiTheme="majorHAnsi"/>
          <w:sz w:val="16"/>
          <w:szCs w:val="16"/>
          <w:lang w:val="es-ES_tradnl"/>
        </w:rPr>
        <w:t>Caso García Asto y Ramírez Rojas Vs. Perú. Sentencia de 25 de noviembre de 2005. Serie C No. 137</w:t>
      </w:r>
      <w:r w:rsidRPr="001E75AD">
        <w:rPr>
          <w:rFonts w:asciiTheme="majorHAnsi" w:hAnsiTheme="majorHAnsi" w:cs="Arial"/>
          <w:iCs/>
          <w:sz w:val="16"/>
          <w:szCs w:val="16"/>
          <w:lang w:val="es-ES"/>
        </w:rPr>
        <w:t xml:space="preserve">, párr. 166; </w:t>
      </w:r>
      <w:r w:rsidRPr="001E75AD">
        <w:rPr>
          <w:rFonts w:asciiTheme="majorHAnsi" w:hAnsiTheme="majorHAnsi"/>
          <w:sz w:val="16"/>
          <w:szCs w:val="16"/>
          <w:lang w:val="es-ES_tradnl"/>
        </w:rPr>
        <w:t xml:space="preserve">Caso Gómez Palomino Vs. Perú. </w:t>
      </w:r>
      <w:hyperlink r:id="rId5" w:history="1">
        <w:r w:rsidRPr="001E75AD">
          <w:rPr>
            <w:rStyle w:val="Hyperlink"/>
            <w:rFonts w:asciiTheme="majorHAnsi" w:hAnsiTheme="majorHAnsi" w:cs="Arial"/>
            <w:color w:val="auto"/>
            <w:sz w:val="16"/>
            <w:szCs w:val="16"/>
            <w:shd w:val="clear" w:color="auto" w:fill="FFFFFF"/>
            <w:lang w:val="es-ES"/>
          </w:rPr>
          <w:t>Fondo, Reparaciones y Costas. Sentencia de 22 de noviembre de 2005. Serie C No. 136</w:t>
        </w:r>
      </w:hyperlink>
      <w:r w:rsidRPr="001E75AD">
        <w:rPr>
          <w:rFonts w:asciiTheme="majorHAnsi" w:hAnsiTheme="majorHAnsi"/>
          <w:sz w:val="16"/>
          <w:szCs w:val="16"/>
          <w:lang w:val="es-ES_tradnl"/>
        </w:rPr>
        <w:t xml:space="preserve">, párr. </w:t>
      </w:r>
      <w:r w:rsidRPr="001E75AD">
        <w:rPr>
          <w:rFonts w:asciiTheme="majorHAnsi" w:hAnsiTheme="majorHAnsi" w:cs="Arial"/>
          <w:sz w:val="16"/>
          <w:szCs w:val="16"/>
          <w:lang w:val="es-ES"/>
        </w:rPr>
        <w:t xml:space="preserve">85; y </w:t>
      </w:r>
      <w:r w:rsidRPr="001E75AD">
        <w:rPr>
          <w:rFonts w:asciiTheme="majorHAnsi" w:hAnsiTheme="majorHAnsi"/>
          <w:sz w:val="16"/>
          <w:szCs w:val="16"/>
          <w:lang w:val="es-ES"/>
        </w:rPr>
        <w:t>Caso de la Comunidad Moiwana Vs. Surinam. Sentencia de 15 de junio de 2005. Serie C No. 124</w:t>
      </w:r>
      <w:r w:rsidRPr="001E75AD">
        <w:rPr>
          <w:rFonts w:asciiTheme="majorHAnsi" w:hAnsiTheme="majorHAnsi" w:cs="Arial"/>
          <w:sz w:val="16"/>
          <w:szCs w:val="16"/>
          <w:lang w:val="es-ES"/>
        </w:rPr>
        <w:t>, párr. 160.</w:t>
      </w:r>
    </w:p>
  </w:footnote>
  <w:footnote w:id="71">
    <w:p w14:paraId="3C44D6F6" w14:textId="77777777" w:rsidR="00FC6B2B" w:rsidRPr="001E75AD" w:rsidRDefault="00FC6B2B" w:rsidP="00663A42">
      <w:pPr>
        <w:pStyle w:val="FootnoteText"/>
        <w:jc w:val="both"/>
        <w:rPr>
          <w:rFonts w:asciiTheme="majorHAnsi" w:hAnsiTheme="majorHAnsi"/>
          <w:sz w:val="16"/>
          <w:szCs w:val="16"/>
          <w:lang w:val="es-ES"/>
        </w:rPr>
      </w:pPr>
      <w:r w:rsidRPr="001E75AD">
        <w:rPr>
          <w:rStyle w:val="FootnoteReference"/>
          <w:rFonts w:asciiTheme="majorHAnsi" w:hAnsiTheme="majorHAnsi"/>
          <w:sz w:val="16"/>
          <w:szCs w:val="16"/>
        </w:rPr>
        <w:footnoteRef/>
      </w:r>
      <w:r w:rsidRPr="001E75AD">
        <w:rPr>
          <w:rFonts w:asciiTheme="majorHAnsi" w:hAnsiTheme="majorHAnsi"/>
          <w:sz w:val="16"/>
          <w:szCs w:val="16"/>
          <w:lang w:val="es-ES"/>
        </w:rPr>
        <w:t xml:space="preserve"> CEDH, Hornsby Vs. </w:t>
      </w:r>
      <w:r w:rsidRPr="001E75AD">
        <w:rPr>
          <w:rFonts w:asciiTheme="majorHAnsi" w:hAnsiTheme="majorHAnsi"/>
          <w:iCs/>
          <w:sz w:val="16"/>
          <w:szCs w:val="16"/>
          <w:lang w:val="es-ES"/>
        </w:rPr>
        <w:t xml:space="preserve">Grecia. </w:t>
      </w:r>
      <w:r w:rsidRPr="001E75AD">
        <w:rPr>
          <w:rFonts w:asciiTheme="majorHAnsi" w:hAnsiTheme="majorHAnsi"/>
          <w:sz w:val="16"/>
          <w:szCs w:val="16"/>
          <w:lang w:val="es-ES"/>
        </w:rPr>
        <w:t xml:space="preserve">Sentencia de 19 de marzo de 1997, párr. 40. </w:t>
      </w:r>
    </w:p>
  </w:footnote>
  <w:footnote w:id="72">
    <w:p w14:paraId="37F75F07" w14:textId="77777777" w:rsidR="00FC6B2B" w:rsidRPr="001E75AD" w:rsidRDefault="00FC6B2B" w:rsidP="00663A42">
      <w:pPr>
        <w:pStyle w:val="FootnoteText"/>
        <w:jc w:val="both"/>
        <w:rPr>
          <w:rFonts w:asciiTheme="majorHAnsi" w:hAnsiTheme="majorHAnsi"/>
          <w:sz w:val="16"/>
          <w:szCs w:val="16"/>
          <w:lang w:val="es-ES"/>
        </w:rPr>
      </w:pPr>
      <w:r w:rsidRPr="001E75AD">
        <w:rPr>
          <w:rStyle w:val="FootnoteReference"/>
          <w:rFonts w:asciiTheme="majorHAnsi" w:hAnsiTheme="majorHAnsi"/>
          <w:sz w:val="16"/>
          <w:szCs w:val="16"/>
        </w:rPr>
        <w:footnoteRef/>
      </w:r>
      <w:r w:rsidRPr="001E75AD">
        <w:rPr>
          <w:rFonts w:asciiTheme="majorHAnsi" w:hAnsiTheme="majorHAnsi"/>
          <w:sz w:val="16"/>
          <w:szCs w:val="16"/>
          <w:lang w:val="es-ES"/>
        </w:rPr>
        <w:t xml:space="preserve"> CEDH, Di Pede Vs. </w:t>
      </w:r>
      <w:r w:rsidRPr="001E75AD">
        <w:rPr>
          <w:rFonts w:asciiTheme="majorHAnsi" w:hAnsiTheme="majorHAnsi"/>
          <w:iCs/>
          <w:sz w:val="16"/>
          <w:szCs w:val="16"/>
          <w:lang w:val="es-ES"/>
        </w:rPr>
        <w:t>Italia. Sentencia de 26 de septiembre de 1996, párr. 16.</w:t>
      </w:r>
    </w:p>
  </w:footnote>
  <w:footnote w:id="73">
    <w:p w14:paraId="28056A35" w14:textId="77777777" w:rsidR="00FC6B2B" w:rsidRPr="001E75AD" w:rsidRDefault="00FC6B2B" w:rsidP="00663A42">
      <w:pPr>
        <w:pStyle w:val="FootnoteText"/>
        <w:jc w:val="both"/>
        <w:rPr>
          <w:rFonts w:asciiTheme="majorHAnsi" w:hAnsiTheme="majorHAnsi"/>
          <w:sz w:val="16"/>
          <w:szCs w:val="16"/>
          <w:lang w:val="es-ES_tradnl"/>
        </w:rPr>
      </w:pPr>
      <w:r w:rsidRPr="001E75AD">
        <w:rPr>
          <w:rStyle w:val="FootnoteReference"/>
          <w:rFonts w:asciiTheme="majorHAnsi" w:hAnsiTheme="majorHAnsi"/>
          <w:sz w:val="16"/>
          <w:szCs w:val="16"/>
        </w:rPr>
        <w:footnoteRef/>
      </w:r>
      <w:r w:rsidRPr="001E75AD">
        <w:rPr>
          <w:rFonts w:asciiTheme="majorHAnsi" w:hAnsiTheme="majorHAnsi" w:cs="Arial"/>
          <w:sz w:val="16"/>
          <w:szCs w:val="16"/>
          <w:lang w:val="es-ES"/>
        </w:rPr>
        <w:t xml:space="preserve"> CIDH, Informe No. 28/16, Caso 11.550, Admisibilidad y Fondo, Maurilia Coc Max y otros (Masacre de Xamán), Guatemala, 10 de junio de 2016. párr. 145. Corte IDH. </w:t>
      </w:r>
      <w:r w:rsidRPr="001E75AD">
        <w:rPr>
          <w:rFonts w:asciiTheme="majorHAnsi" w:hAnsiTheme="majorHAnsi" w:cs="Arial"/>
          <w:sz w:val="16"/>
          <w:szCs w:val="16"/>
          <w:shd w:val="clear" w:color="auto" w:fill="FFFFFF"/>
          <w:lang w:val="es-ES"/>
        </w:rPr>
        <w:t xml:space="preserve">Caso Masacre de Santo Domingo Vs. </w:t>
      </w:r>
      <w:r w:rsidRPr="001E75AD">
        <w:rPr>
          <w:rFonts w:asciiTheme="majorHAnsi" w:hAnsiTheme="majorHAnsi" w:cs="Arial"/>
          <w:sz w:val="16"/>
          <w:szCs w:val="16"/>
          <w:shd w:val="clear" w:color="auto" w:fill="FFFFFF"/>
          <w:lang w:val="es-ES_tradnl"/>
        </w:rPr>
        <w:t>Colombia. Excepciones Preliminares, Fondo y Reparaciones. Sentencia de 30 de noviembre de 2012. Serie C No. 259,</w:t>
      </w:r>
      <w:r w:rsidRPr="001E75AD">
        <w:rPr>
          <w:rFonts w:asciiTheme="majorHAnsi" w:hAnsiTheme="majorHAnsi" w:cs="Arial"/>
          <w:sz w:val="16"/>
          <w:szCs w:val="16"/>
          <w:lang w:val="es-ES_tradnl"/>
        </w:rPr>
        <w:t xml:space="preserve"> párr. </w:t>
      </w:r>
      <w:r w:rsidRPr="001E75AD">
        <w:rPr>
          <w:rFonts w:asciiTheme="majorHAnsi" w:hAnsiTheme="majorHAnsi" w:cs="Arial"/>
          <w:sz w:val="16"/>
          <w:szCs w:val="16"/>
          <w:lang w:val="es-ES"/>
        </w:rPr>
        <w:t>164.</w:t>
      </w:r>
    </w:p>
  </w:footnote>
  <w:footnote w:id="74">
    <w:p w14:paraId="72C844D9" w14:textId="77777777" w:rsidR="00FC6B2B" w:rsidRPr="001E75AD" w:rsidRDefault="00FC6B2B" w:rsidP="00663A42">
      <w:pPr>
        <w:pStyle w:val="FootnoteText"/>
        <w:jc w:val="both"/>
        <w:rPr>
          <w:rFonts w:asciiTheme="majorHAnsi" w:hAnsiTheme="majorHAnsi"/>
          <w:sz w:val="16"/>
          <w:szCs w:val="16"/>
          <w:lang w:val="es-ES_tradnl"/>
        </w:rPr>
      </w:pPr>
      <w:r w:rsidRPr="001E75AD">
        <w:rPr>
          <w:rStyle w:val="FootnoteReference"/>
          <w:rFonts w:asciiTheme="majorHAnsi" w:hAnsiTheme="majorHAnsi"/>
          <w:sz w:val="16"/>
          <w:szCs w:val="16"/>
        </w:rPr>
        <w:footnoteRef/>
      </w:r>
      <w:r w:rsidRPr="00D70BEE">
        <w:rPr>
          <w:rFonts w:asciiTheme="majorHAnsi" w:hAnsiTheme="majorHAnsi"/>
          <w:sz w:val="16"/>
          <w:szCs w:val="16"/>
          <w:lang w:val="pt-BR"/>
        </w:rPr>
        <w:t xml:space="preserve"> Corte IDH. Caso Garibaldi Vs. </w:t>
      </w:r>
      <w:r w:rsidRPr="001E75AD">
        <w:rPr>
          <w:rFonts w:asciiTheme="majorHAnsi" w:hAnsiTheme="majorHAnsi"/>
          <w:sz w:val="16"/>
          <w:szCs w:val="16"/>
          <w:lang w:val="es-ES_tradnl"/>
        </w:rPr>
        <w:t xml:space="preserve">Brasil, </w:t>
      </w:r>
      <w:hyperlink r:id="rId6" w:history="1">
        <w:r w:rsidRPr="001E75AD">
          <w:rPr>
            <w:rStyle w:val="Hyperlink"/>
            <w:rFonts w:asciiTheme="majorHAnsi" w:hAnsiTheme="majorHAnsi" w:cs="Arial"/>
            <w:color w:val="auto"/>
            <w:sz w:val="16"/>
            <w:szCs w:val="16"/>
            <w:shd w:val="clear" w:color="auto" w:fill="FFFFFF"/>
            <w:lang w:val="es-ES_tradnl"/>
          </w:rPr>
          <w:t xml:space="preserve">Excepciones Preliminares, Fondo, Reparaciones y Costas. </w:t>
        </w:r>
        <w:r w:rsidRPr="001E75AD">
          <w:rPr>
            <w:rStyle w:val="Hyperlink"/>
            <w:rFonts w:asciiTheme="majorHAnsi" w:hAnsiTheme="majorHAnsi" w:cs="Arial"/>
            <w:color w:val="auto"/>
            <w:sz w:val="16"/>
            <w:szCs w:val="16"/>
            <w:shd w:val="clear" w:color="auto" w:fill="FFFFFF"/>
            <w:lang w:val="es-ES"/>
          </w:rPr>
          <w:t>Sentencia de 23 de septiembre de 2009. Serie C No. 203</w:t>
        </w:r>
      </w:hyperlink>
      <w:r w:rsidRPr="001E75AD">
        <w:rPr>
          <w:rFonts w:asciiTheme="majorHAnsi" w:hAnsiTheme="majorHAnsi"/>
          <w:sz w:val="16"/>
          <w:szCs w:val="16"/>
          <w:lang w:val="es-ES_tradnl"/>
        </w:rPr>
        <w:t xml:space="preserve">, párr. 138; Caso Valle Jaramillo y otros, Vs. Colombia. </w:t>
      </w:r>
      <w:hyperlink r:id="rId7" w:history="1">
        <w:r w:rsidRPr="001E75AD">
          <w:rPr>
            <w:rStyle w:val="Hyperlink"/>
            <w:rFonts w:asciiTheme="majorHAnsi" w:hAnsiTheme="majorHAnsi" w:cs="Arial"/>
            <w:color w:val="auto"/>
            <w:sz w:val="16"/>
            <w:szCs w:val="16"/>
            <w:shd w:val="clear" w:color="auto" w:fill="FFFFFF"/>
            <w:lang w:val="es-ES"/>
          </w:rPr>
          <w:t>Fondo, Reparaciones y Costas. Sentencia de 27 de noviembre de 2008. Serie C No. 192</w:t>
        </w:r>
      </w:hyperlink>
      <w:r w:rsidRPr="001E75AD">
        <w:rPr>
          <w:rFonts w:asciiTheme="majorHAnsi" w:hAnsiTheme="majorHAnsi"/>
          <w:sz w:val="16"/>
          <w:szCs w:val="16"/>
          <w:lang w:val="es-ES_tradnl"/>
        </w:rPr>
        <w:t xml:space="preserve">, párr. 155; y </w:t>
      </w:r>
      <w:hyperlink r:id="rId8" w:history="1">
        <w:r w:rsidRPr="001E75AD">
          <w:rPr>
            <w:rStyle w:val="Hyperlink"/>
            <w:rFonts w:asciiTheme="majorHAnsi" w:hAnsiTheme="majorHAnsi" w:cs="Arial"/>
            <w:color w:val="auto"/>
            <w:sz w:val="16"/>
            <w:szCs w:val="16"/>
            <w:shd w:val="clear" w:color="auto" w:fill="FFFFFF"/>
            <w:lang w:val="es-ES"/>
          </w:rPr>
          <w:t>Caso Kawas Fernández Vs. Honduras. Fondo, Reparaciones y Costas. Sentencia de 3 de abril de 2009 Serie C No. 196</w:t>
        </w:r>
      </w:hyperlink>
      <w:r w:rsidRPr="001E75AD">
        <w:rPr>
          <w:rFonts w:asciiTheme="majorHAnsi" w:hAnsiTheme="majorHAnsi"/>
          <w:sz w:val="16"/>
          <w:szCs w:val="16"/>
          <w:lang w:val="es-ES_tradnl"/>
        </w:rPr>
        <w:t>, párr. 115.</w:t>
      </w:r>
    </w:p>
  </w:footnote>
  <w:footnote w:id="75">
    <w:p w14:paraId="71667B43" w14:textId="77777777" w:rsidR="00FC6B2B" w:rsidRPr="00C1710A" w:rsidRDefault="00FC6B2B" w:rsidP="005C5801">
      <w:pPr>
        <w:pStyle w:val="FootnoteText"/>
        <w:jc w:val="both"/>
        <w:rPr>
          <w:rFonts w:ascii="Cambria" w:hAnsi="Cambria"/>
          <w:sz w:val="16"/>
          <w:szCs w:val="16"/>
          <w:highlight w:val="green"/>
          <w:lang w:val="es-CO"/>
        </w:rPr>
      </w:pPr>
      <w:r w:rsidRPr="00C1710A">
        <w:rPr>
          <w:rStyle w:val="FootnoteReference"/>
          <w:rFonts w:ascii="Cambria" w:hAnsi="Cambria"/>
          <w:b/>
          <w:sz w:val="16"/>
          <w:szCs w:val="16"/>
        </w:rPr>
        <w:footnoteRef/>
      </w:r>
      <w:r w:rsidRPr="00C1710A">
        <w:rPr>
          <w:rFonts w:ascii="Cambria" w:hAnsi="Cambria"/>
          <w:b/>
          <w:sz w:val="16"/>
          <w:szCs w:val="16"/>
          <w:lang w:val="es-CO"/>
        </w:rPr>
        <w:t xml:space="preserve"> </w:t>
      </w:r>
      <w:r w:rsidRPr="00DF2505">
        <w:rPr>
          <w:rStyle w:val="Strong"/>
          <w:rFonts w:ascii="Cambria" w:eastAsia="Times New Roman" w:hAnsi="Cambria"/>
          <w:b w:val="0"/>
          <w:bCs w:val="0"/>
          <w:sz w:val="16"/>
          <w:szCs w:val="16"/>
          <w:lang w:val="es-PE"/>
        </w:rPr>
        <w:t>Ver, por ejemplo.</w:t>
      </w:r>
      <w:r w:rsidRPr="00C1710A">
        <w:rPr>
          <w:rStyle w:val="Strong"/>
          <w:rFonts w:ascii="Cambria" w:eastAsia="Times New Roman" w:hAnsi="Cambria"/>
          <w:sz w:val="16"/>
          <w:szCs w:val="16"/>
          <w:lang w:val="es-PE"/>
        </w:rPr>
        <w:t xml:space="preserve"> </w:t>
      </w:r>
      <w:r w:rsidRPr="00C1710A">
        <w:rPr>
          <w:rFonts w:ascii="Cambria" w:hAnsi="Cambria" w:cs="Times New Roman"/>
          <w:bCs/>
          <w:sz w:val="16"/>
          <w:szCs w:val="16"/>
          <w:lang w:val="es-CO"/>
        </w:rPr>
        <w:t xml:space="preserve">Corte IDH. Caso Cuscul Pivaral y otros Vs. Guatemala. Excepción Preliminar, Fondo, Reparaciones y Costas. Sentencia de 23 de agosto de 2018. Serie C No. 359. Párrs. 74 – 97, </w:t>
      </w:r>
      <w:r w:rsidRPr="00DF2505">
        <w:rPr>
          <w:rStyle w:val="Strong"/>
          <w:rFonts w:ascii="Cambria" w:eastAsia="Times New Roman" w:hAnsi="Cambria"/>
          <w:b w:val="0"/>
          <w:bCs w:val="0"/>
          <w:sz w:val="16"/>
          <w:szCs w:val="16"/>
          <w:lang w:val="es-PE"/>
        </w:rPr>
        <w:t>Corte IDH. Caso Lagos del Campo Vs. Perú. Excepciones Preliminares, Fondo, Reparaciones y Costas. Sentencia de 31 de agosto de 2017. Serie C No. 340. Párr. 141; y</w:t>
      </w:r>
      <w:r w:rsidRPr="00C1710A">
        <w:rPr>
          <w:rStyle w:val="Strong"/>
          <w:rFonts w:ascii="Cambria" w:eastAsia="Times New Roman" w:hAnsi="Cambria"/>
          <w:sz w:val="16"/>
          <w:szCs w:val="16"/>
          <w:lang w:val="es-PE"/>
        </w:rPr>
        <w:t xml:space="preserve"> </w:t>
      </w:r>
      <w:r w:rsidRPr="00C1710A">
        <w:rPr>
          <w:rFonts w:ascii="Cambria" w:hAnsi="Cambria" w:cs="Helvetica"/>
          <w:color w:val="141413"/>
          <w:sz w:val="16"/>
          <w:szCs w:val="16"/>
          <w:lang w:val="es-CO" w:bidi="en-US"/>
        </w:rPr>
        <w:t>Caso Acevedo Buendía y otros (“Cesantes y Jubilados de la Contraloría”) vs. Perú (Excepción Preliminar, Fondo, Reparaciones y Costas), Sentencia del 1 de julio de 2009. Párr. 101.</w:t>
      </w:r>
    </w:p>
  </w:footnote>
  <w:footnote w:id="76">
    <w:p w14:paraId="03939C66" w14:textId="77777777" w:rsidR="00FC6B2B" w:rsidRPr="00C1710A" w:rsidRDefault="00FC6B2B" w:rsidP="005C5801">
      <w:pPr>
        <w:pStyle w:val="FootnoteText"/>
        <w:jc w:val="both"/>
        <w:rPr>
          <w:rFonts w:ascii="Cambria" w:hAnsi="Cambria"/>
          <w:sz w:val="16"/>
          <w:szCs w:val="16"/>
          <w:lang w:val="es-PE"/>
        </w:rPr>
      </w:pPr>
      <w:r w:rsidRPr="00C1710A">
        <w:rPr>
          <w:rStyle w:val="FootnoteReference"/>
          <w:rFonts w:ascii="Cambria" w:hAnsi="Cambria"/>
          <w:sz w:val="16"/>
          <w:szCs w:val="16"/>
        </w:rPr>
        <w:footnoteRef/>
      </w:r>
      <w:r w:rsidRPr="00C1710A">
        <w:rPr>
          <w:rFonts w:ascii="Cambria" w:hAnsi="Cambria"/>
          <w:sz w:val="16"/>
          <w:szCs w:val="16"/>
          <w:lang w:val="es-PE"/>
        </w:rPr>
        <w:t xml:space="preserve"> CIDH, Informe No. 25/18, Caso 12.428. Admisibilidad y Fondo. Empleados de la Fábrica de Fuegos en Santo Antonio de Jesus y sus familiares. Brasil. 2 de marzo de 2018, párr. 129.</w:t>
      </w:r>
    </w:p>
  </w:footnote>
  <w:footnote w:id="77">
    <w:p w14:paraId="50E3ADA0" w14:textId="77777777" w:rsidR="00FC6B2B" w:rsidRPr="00C1710A" w:rsidRDefault="00FC6B2B" w:rsidP="005C5801">
      <w:pPr>
        <w:pStyle w:val="FootnoteText"/>
        <w:jc w:val="both"/>
        <w:rPr>
          <w:rFonts w:ascii="Cambria" w:hAnsi="Cambria"/>
          <w:sz w:val="16"/>
          <w:szCs w:val="16"/>
          <w:lang w:val="es-PE"/>
        </w:rPr>
      </w:pPr>
      <w:r w:rsidRPr="00C1710A">
        <w:rPr>
          <w:rStyle w:val="FootnoteReference"/>
          <w:rFonts w:ascii="Cambria" w:hAnsi="Cambria"/>
          <w:sz w:val="16"/>
          <w:szCs w:val="16"/>
        </w:rPr>
        <w:footnoteRef/>
      </w:r>
      <w:r w:rsidRPr="00C1710A">
        <w:rPr>
          <w:rFonts w:ascii="Cambria" w:hAnsi="Cambria"/>
          <w:sz w:val="16"/>
          <w:szCs w:val="16"/>
          <w:lang w:val="es-PE"/>
        </w:rPr>
        <w:t xml:space="preserve"> CIDH, Informe No. 25/18, Caso 12.428. Admisibilidad y Fondo. Empleados de la Fábrica de Fuegos en Santo Antonio de Jesus y sus familiares. Brasil. 2 de marzo de 2018, párr. 130.</w:t>
      </w:r>
    </w:p>
  </w:footnote>
  <w:footnote w:id="78">
    <w:p w14:paraId="4988B249" w14:textId="77777777" w:rsidR="00FC6B2B" w:rsidRPr="00C1710A" w:rsidRDefault="00FC6B2B" w:rsidP="005C5801">
      <w:pPr>
        <w:pStyle w:val="FootnoteText"/>
        <w:jc w:val="both"/>
        <w:rPr>
          <w:rFonts w:ascii="Cambria" w:hAnsi="Cambria"/>
          <w:sz w:val="16"/>
          <w:szCs w:val="16"/>
          <w:lang w:val="es-PE"/>
        </w:rPr>
      </w:pPr>
      <w:r w:rsidRPr="00C1710A">
        <w:rPr>
          <w:rStyle w:val="FootnoteReference"/>
          <w:rFonts w:ascii="Cambria" w:hAnsi="Cambria"/>
          <w:sz w:val="16"/>
          <w:szCs w:val="16"/>
        </w:rPr>
        <w:footnoteRef/>
      </w:r>
      <w:r w:rsidRPr="00C1710A">
        <w:rPr>
          <w:rFonts w:ascii="Cambria" w:hAnsi="Cambria"/>
          <w:sz w:val="16"/>
          <w:szCs w:val="16"/>
          <w:lang w:val="es-PE"/>
        </w:rPr>
        <w:t xml:space="preserve"> CIDH, Informe No. 25/18, Caso 12.428. Admisibilidad y Fondo. Empleados de la Fábrica de Fuegos en Santo Antonio de Jesus y sus familiares. Brasil. 2 de marzo de 2018, párr. 134.</w:t>
      </w:r>
    </w:p>
  </w:footnote>
  <w:footnote w:id="79">
    <w:p w14:paraId="1C2C6839" w14:textId="346A80B8" w:rsidR="00FC6B2B" w:rsidRPr="00C1710A" w:rsidRDefault="00FC6B2B" w:rsidP="005C5801">
      <w:pPr>
        <w:jc w:val="both"/>
        <w:rPr>
          <w:rFonts w:ascii="Cambria" w:eastAsia="Times New Roman" w:hAnsi="Cambria"/>
          <w:sz w:val="16"/>
          <w:szCs w:val="16"/>
          <w:lang w:val="es-PE"/>
        </w:rPr>
      </w:pPr>
      <w:r w:rsidRPr="00C1710A">
        <w:rPr>
          <w:rStyle w:val="FootnoteReference"/>
          <w:rFonts w:ascii="Cambria" w:hAnsi="Cambria"/>
          <w:sz w:val="16"/>
          <w:szCs w:val="16"/>
        </w:rPr>
        <w:footnoteRef/>
      </w:r>
      <w:r w:rsidRPr="00C1710A">
        <w:rPr>
          <w:rFonts w:ascii="Cambria" w:hAnsi="Cambria"/>
          <w:sz w:val="16"/>
          <w:szCs w:val="16"/>
          <w:lang w:val="es-PE"/>
        </w:rPr>
        <w:t xml:space="preserve"> </w:t>
      </w:r>
      <w:r w:rsidRPr="00C1710A">
        <w:rPr>
          <w:rFonts w:ascii="Cambria" w:eastAsia="Times New Roman" w:hAnsi="Cambria"/>
          <w:color w:val="000000"/>
          <w:sz w:val="16"/>
          <w:szCs w:val="16"/>
          <w:lang w:val="es-PE"/>
        </w:rPr>
        <w:t>Comité de Derechos Económicos, Sociales y Culturales de Naciones Unidas,</w:t>
      </w:r>
      <w:r w:rsidRPr="00C1710A">
        <w:rPr>
          <w:rStyle w:val="apple-converted-space"/>
          <w:rFonts w:ascii="Cambria" w:eastAsia="Times New Roman" w:hAnsi="Cambria"/>
          <w:sz w:val="16"/>
          <w:szCs w:val="16"/>
          <w:lang w:val="es-PE"/>
        </w:rPr>
        <w:t> </w:t>
      </w:r>
      <w:r w:rsidRPr="00C1710A">
        <w:rPr>
          <w:rFonts w:ascii="Cambria" w:eastAsia="Times New Roman" w:hAnsi="Cambria"/>
          <w:iCs/>
          <w:color w:val="000000"/>
          <w:sz w:val="16"/>
          <w:szCs w:val="16"/>
          <w:lang w:val="es-PE"/>
        </w:rPr>
        <w:t>Observación general 3: La índole de las obligaciones de los Estados Partes (párrafo 1 del artículo 2 del Pacto)</w:t>
      </w:r>
      <w:r w:rsidRPr="00C1710A">
        <w:rPr>
          <w:rFonts w:ascii="Cambria" w:eastAsia="Times New Roman" w:hAnsi="Cambria"/>
          <w:color w:val="000000"/>
          <w:sz w:val="16"/>
          <w:szCs w:val="16"/>
          <w:lang w:val="es-PE"/>
        </w:rPr>
        <w:t xml:space="preserve">, 1990. En ese sentido ver: </w:t>
      </w:r>
      <w:r w:rsidRPr="00C1710A">
        <w:rPr>
          <w:rFonts w:ascii="Cambria" w:hAnsi="Cambria"/>
          <w:sz w:val="16"/>
          <w:szCs w:val="16"/>
          <w:lang w:val="es-PE"/>
        </w:rPr>
        <w:t>CIDH. Informe sobre pobreza y derechos humanos en las Américas OEA/Ser.L/V/II.164 Doc. 147 (7 de septiembre de 2017) párrs. 236 y 237.</w:t>
      </w:r>
    </w:p>
  </w:footnote>
  <w:footnote w:id="80">
    <w:p w14:paraId="6EA7140B" w14:textId="77777777" w:rsidR="00FC6B2B" w:rsidRPr="00C1710A" w:rsidRDefault="00FC6B2B" w:rsidP="005C5801">
      <w:pPr>
        <w:pStyle w:val="FootnoteText"/>
        <w:jc w:val="both"/>
        <w:rPr>
          <w:rFonts w:ascii="Cambria" w:hAnsi="Cambria"/>
          <w:sz w:val="16"/>
          <w:szCs w:val="16"/>
          <w:lang w:val="es-PE"/>
        </w:rPr>
      </w:pPr>
      <w:r w:rsidRPr="00C1710A">
        <w:rPr>
          <w:rStyle w:val="FootnoteReference"/>
          <w:rFonts w:ascii="Cambria" w:hAnsi="Cambria"/>
          <w:sz w:val="16"/>
          <w:szCs w:val="16"/>
        </w:rPr>
        <w:footnoteRef/>
      </w:r>
      <w:r w:rsidRPr="00C1710A">
        <w:rPr>
          <w:rFonts w:ascii="Cambria" w:hAnsi="Cambria"/>
          <w:sz w:val="16"/>
          <w:szCs w:val="16"/>
          <w:lang w:val="es-PE"/>
        </w:rPr>
        <w:t xml:space="preserve"> En particular observar la Recomendación 91 de la Conferencia General de la Organización Internacional del Trabajo adoptada el 29 de junio de 1951 relativa a los contratos colectivos. </w:t>
      </w:r>
    </w:p>
  </w:footnote>
  <w:footnote w:id="81">
    <w:p w14:paraId="1AB8D2D3" w14:textId="77777777" w:rsidR="00FC6B2B" w:rsidRPr="00C1710A" w:rsidRDefault="00FC6B2B" w:rsidP="005C5801">
      <w:pPr>
        <w:pStyle w:val="FootnoteText"/>
        <w:jc w:val="both"/>
        <w:rPr>
          <w:rFonts w:ascii="Cambria" w:hAnsi="Cambria"/>
          <w:sz w:val="16"/>
          <w:szCs w:val="16"/>
          <w:lang w:val="es-PE"/>
        </w:rPr>
      </w:pPr>
      <w:r w:rsidRPr="00C1710A">
        <w:rPr>
          <w:rStyle w:val="FootnoteReference"/>
          <w:rFonts w:ascii="Cambria" w:hAnsi="Cambria"/>
          <w:sz w:val="16"/>
          <w:szCs w:val="16"/>
        </w:rPr>
        <w:footnoteRef/>
      </w:r>
      <w:r w:rsidRPr="00C1710A">
        <w:rPr>
          <w:rFonts w:ascii="Cambria" w:hAnsi="Cambria"/>
          <w:sz w:val="16"/>
          <w:szCs w:val="16"/>
          <w:lang w:val="es-PE"/>
        </w:rPr>
        <w:t xml:space="preserve"> El artículo 54 de la Constitución Política del Perú de 1979 establecía: </w:t>
      </w:r>
      <w:r w:rsidRPr="00C1710A">
        <w:rPr>
          <w:rFonts w:ascii="Cambria" w:hAnsi="Cambria"/>
          <w:sz w:val="16"/>
          <w:szCs w:val="16"/>
          <w:lang w:val="es-ES"/>
        </w:rPr>
        <w:t>“</w:t>
      </w:r>
      <w:r w:rsidRPr="00C1710A">
        <w:rPr>
          <w:rFonts w:ascii="Cambria" w:hAnsi="Cambria"/>
          <w:sz w:val="16"/>
          <w:szCs w:val="16"/>
          <w:lang w:val="es-PE"/>
        </w:rPr>
        <w:t>Las convenciones colectivas de trabajo entre trabajadores y empleadores tiene fuerza de ley para las partes. El Estado garantiza el derecho a la negociación colectiva</w:t>
      </w:r>
      <w:r w:rsidRPr="00C1710A">
        <w:rPr>
          <w:rFonts w:ascii="Cambria" w:hAnsi="Cambria"/>
          <w:sz w:val="16"/>
          <w:szCs w:val="16"/>
          <w:lang w:val="es-ES"/>
        </w:rPr>
        <w:t>”.</w:t>
      </w:r>
    </w:p>
  </w:footnote>
  <w:footnote w:id="82">
    <w:p w14:paraId="3F7CA0A0" w14:textId="77777777" w:rsidR="00FC6B2B" w:rsidRPr="00C1710A" w:rsidRDefault="00FC6B2B" w:rsidP="005C5801">
      <w:pPr>
        <w:pStyle w:val="FootnoteText"/>
        <w:jc w:val="both"/>
        <w:rPr>
          <w:rFonts w:ascii="Cambria" w:hAnsi="Cambria"/>
          <w:sz w:val="16"/>
          <w:szCs w:val="16"/>
          <w:lang w:val="es-PE"/>
        </w:rPr>
      </w:pPr>
      <w:r w:rsidRPr="00C1710A">
        <w:rPr>
          <w:rStyle w:val="FootnoteReference"/>
          <w:rFonts w:ascii="Cambria" w:hAnsi="Cambria"/>
          <w:sz w:val="16"/>
          <w:szCs w:val="16"/>
        </w:rPr>
        <w:footnoteRef/>
      </w:r>
      <w:r w:rsidRPr="00C1710A">
        <w:rPr>
          <w:rFonts w:ascii="Cambria" w:hAnsi="Cambria"/>
          <w:sz w:val="16"/>
          <w:szCs w:val="16"/>
          <w:lang w:val="es-PE"/>
        </w:rPr>
        <w:t xml:space="preserve"> El artículo 28 de la Constitución Política del Perú de 1993 establece que: “El Estado reconoce los derechos de sindicación, negociación colectiva y huelga […] Fomenta la negociación colectiva y promueve formas de solución pacífica de los conflictos laborales. La convención colectiva tiene fuerza vinculante en el ámbito de lo concertado”</w:t>
      </w:r>
    </w:p>
  </w:footnote>
  <w:footnote w:id="83">
    <w:p w14:paraId="2B2AE7E7" w14:textId="77777777" w:rsidR="00FC6B2B" w:rsidRPr="00C1710A" w:rsidRDefault="00FC6B2B" w:rsidP="005C5801">
      <w:pPr>
        <w:pStyle w:val="FootnoteText"/>
        <w:jc w:val="both"/>
        <w:rPr>
          <w:rFonts w:ascii="Cambria" w:hAnsi="Cambria"/>
          <w:b/>
          <w:sz w:val="16"/>
          <w:szCs w:val="16"/>
          <w:lang w:val="es-PE"/>
        </w:rPr>
      </w:pPr>
      <w:r w:rsidRPr="00C1710A">
        <w:rPr>
          <w:rStyle w:val="FootnoteReference"/>
          <w:rFonts w:ascii="Cambria" w:hAnsi="Cambria"/>
          <w:b/>
          <w:sz w:val="16"/>
          <w:szCs w:val="16"/>
        </w:rPr>
        <w:footnoteRef/>
      </w:r>
      <w:r w:rsidRPr="00C1710A">
        <w:rPr>
          <w:rFonts w:ascii="Cambria" w:hAnsi="Cambria"/>
          <w:b/>
          <w:sz w:val="16"/>
          <w:szCs w:val="16"/>
          <w:lang w:val="es-PE"/>
        </w:rPr>
        <w:t xml:space="preserve"> </w:t>
      </w:r>
      <w:r w:rsidRPr="005C5801">
        <w:rPr>
          <w:rFonts w:ascii="Cambria" w:hAnsi="Cambria"/>
          <w:bCs/>
          <w:sz w:val="16"/>
          <w:szCs w:val="16"/>
          <w:lang w:val="es-PE"/>
        </w:rPr>
        <w:t>C</w:t>
      </w:r>
      <w:r w:rsidRPr="005C5801">
        <w:rPr>
          <w:rStyle w:val="Strong"/>
          <w:rFonts w:ascii="Cambria" w:hAnsi="Cambria"/>
          <w:b w:val="0"/>
          <w:sz w:val="16"/>
          <w:szCs w:val="16"/>
          <w:shd w:val="clear" w:color="auto" w:fill="FFFFFF"/>
          <w:lang w:val="es-PE"/>
        </w:rPr>
        <w:t>orte IDH. Condición jurídica y derechos de los migrantes indocumentados. Opinión Consultiva OC-18/03 de 17 de septiembre de 2003. Serie A No. 18. p</w:t>
      </w:r>
      <w:r w:rsidRPr="005C5801">
        <w:rPr>
          <w:rFonts w:ascii="Cambria" w:hAnsi="Cambria"/>
          <w:bCs/>
          <w:sz w:val="16"/>
          <w:szCs w:val="16"/>
          <w:lang w:val="es-PE"/>
        </w:rPr>
        <w:t>árrs.</w:t>
      </w:r>
      <w:r w:rsidRPr="00C1710A">
        <w:rPr>
          <w:rFonts w:ascii="Cambria" w:hAnsi="Cambria"/>
          <w:b/>
          <w:sz w:val="16"/>
          <w:szCs w:val="16"/>
          <w:lang w:val="es-PE"/>
        </w:rPr>
        <w:t xml:space="preserve"> </w:t>
      </w:r>
      <w:r w:rsidRPr="00C1710A">
        <w:rPr>
          <w:rFonts w:ascii="Cambria" w:hAnsi="Cambria"/>
          <w:sz w:val="16"/>
          <w:szCs w:val="16"/>
          <w:lang w:val="es-PE"/>
        </w:rPr>
        <w:t>157 y 158</w:t>
      </w:r>
    </w:p>
  </w:footnote>
  <w:footnote w:id="84">
    <w:p w14:paraId="280F513A" w14:textId="77777777" w:rsidR="00FC6B2B" w:rsidRPr="00C1710A" w:rsidRDefault="00FC6B2B" w:rsidP="005C5801">
      <w:pPr>
        <w:pStyle w:val="FootnoteText"/>
        <w:jc w:val="both"/>
        <w:rPr>
          <w:rFonts w:ascii="Cambria" w:hAnsi="Cambria"/>
          <w:sz w:val="16"/>
          <w:szCs w:val="16"/>
          <w:lang w:val="es-PE"/>
        </w:rPr>
      </w:pPr>
      <w:r w:rsidRPr="00C1710A">
        <w:rPr>
          <w:rStyle w:val="FootnoteReference"/>
          <w:rFonts w:ascii="Cambria" w:hAnsi="Cambria"/>
          <w:sz w:val="16"/>
          <w:szCs w:val="16"/>
        </w:rPr>
        <w:footnoteRef/>
      </w:r>
      <w:r w:rsidRPr="00C1710A">
        <w:rPr>
          <w:rFonts w:ascii="Cambria" w:hAnsi="Cambria"/>
          <w:sz w:val="16"/>
          <w:szCs w:val="16"/>
          <w:lang w:val="es-PE"/>
        </w:rPr>
        <w:t xml:space="preserve"> Comité DESC. Observación General No. 18. UN Doc. E/C.12/GC/18, 6 de febrero de 2006, párr. 39.</w:t>
      </w:r>
    </w:p>
  </w:footnote>
  <w:footnote w:id="85">
    <w:p w14:paraId="6EABDC68" w14:textId="77777777" w:rsidR="00FC6B2B" w:rsidRPr="00C1710A" w:rsidRDefault="00FC6B2B" w:rsidP="005C5801">
      <w:pPr>
        <w:pStyle w:val="FootnoteText"/>
        <w:jc w:val="both"/>
        <w:rPr>
          <w:rFonts w:ascii="Cambria" w:hAnsi="Cambria"/>
          <w:sz w:val="16"/>
          <w:szCs w:val="16"/>
          <w:lang w:val="es-PE"/>
        </w:rPr>
      </w:pPr>
      <w:r w:rsidRPr="00C1710A">
        <w:rPr>
          <w:rStyle w:val="FootnoteReference"/>
          <w:rFonts w:ascii="Cambria" w:hAnsi="Cambria"/>
          <w:sz w:val="16"/>
          <w:szCs w:val="16"/>
        </w:rPr>
        <w:footnoteRef/>
      </w:r>
      <w:r w:rsidRPr="00C1710A">
        <w:rPr>
          <w:rFonts w:ascii="Cambria" w:hAnsi="Cambria"/>
          <w:sz w:val="16"/>
          <w:szCs w:val="16"/>
          <w:lang w:val="es-PE"/>
        </w:rPr>
        <w:t xml:space="preserve"> OIT. Conferencia Internacional del Trabajo. Declaración de la OIT relativa a los principios y derechos fundamentales en el trabajo, 18 de junio de 1998.</w:t>
      </w:r>
    </w:p>
  </w:footnote>
  <w:footnote w:id="86">
    <w:p w14:paraId="523386C7" w14:textId="77777777" w:rsidR="00FC6B2B" w:rsidRPr="00C1710A" w:rsidRDefault="00FC6B2B" w:rsidP="005C5801">
      <w:pPr>
        <w:pStyle w:val="FootnoteText"/>
        <w:jc w:val="both"/>
        <w:rPr>
          <w:rFonts w:ascii="Cambria" w:hAnsi="Cambria"/>
          <w:sz w:val="16"/>
          <w:szCs w:val="16"/>
          <w:lang w:val="es-PE"/>
        </w:rPr>
      </w:pPr>
      <w:r w:rsidRPr="00C1710A">
        <w:rPr>
          <w:rStyle w:val="FootnoteReference"/>
          <w:rFonts w:ascii="Cambria" w:hAnsi="Cambria"/>
          <w:sz w:val="16"/>
          <w:szCs w:val="16"/>
        </w:rPr>
        <w:footnoteRef/>
      </w:r>
      <w:r w:rsidRPr="00C1710A">
        <w:rPr>
          <w:rFonts w:ascii="Cambria" w:hAnsi="Cambria"/>
          <w:sz w:val="16"/>
          <w:szCs w:val="16"/>
          <w:lang w:val="es-PE"/>
        </w:rPr>
        <w:t xml:space="preserve"> OIT. </w:t>
      </w:r>
      <w:hyperlink r:id="rId9" w:history="1">
        <w:r w:rsidRPr="00C1710A">
          <w:rPr>
            <w:rStyle w:val="Hyperlink"/>
            <w:rFonts w:ascii="Cambria" w:hAnsi="Cambria"/>
            <w:sz w:val="16"/>
            <w:szCs w:val="16"/>
            <w:lang w:val="es-PE"/>
          </w:rPr>
          <w:t>Negociación Colectiva y Relaciones Laborales</w:t>
        </w:r>
      </w:hyperlink>
      <w:r w:rsidRPr="00C1710A">
        <w:rPr>
          <w:rFonts w:ascii="Cambria" w:hAnsi="Cambria"/>
          <w:sz w:val="16"/>
          <w:szCs w:val="16"/>
          <w:lang w:val="es-PE"/>
        </w:rPr>
        <w:t>. Acceso 12 de marzo de 2019.</w:t>
      </w:r>
    </w:p>
  </w:footnote>
  <w:footnote w:id="87">
    <w:p w14:paraId="1DC66A05" w14:textId="77777777" w:rsidR="00FC6B2B" w:rsidRPr="00C1710A" w:rsidRDefault="00FC6B2B" w:rsidP="005C5801">
      <w:pPr>
        <w:pStyle w:val="FootnoteText"/>
        <w:jc w:val="both"/>
        <w:rPr>
          <w:rFonts w:ascii="Cambria" w:hAnsi="Cambria"/>
          <w:sz w:val="16"/>
          <w:szCs w:val="16"/>
          <w:lang w:val="es-PE"/>
        </w:rPr>
      </w:pPr>
      <w:r w:rsidRPr="00C1710A">
        <w:rPr>
          <w:rStyle w:val="FootnoteReference"/>
          <w:rFonts w:ascii="Cambria" w:hAnsi="Cambria"/>
          <w:sz w:val="16"/>
          <w:szCs w:val="16"/>
        </w:rPr>
        <w:footnoteRef/>
      </w:r>
      <w:r w:rsidRPr="00C1710A">
        <w:rPr>
          <w:rFonts w:ascii="Cambria" w:hAnsi="Cambria"/>
          <w:sz w:val="16"/>
          <w:szCs w:val="16"/>
          <w:lang w:val="es-PE"/>
        </w:rPr>
        <w:t xml:space="preserve"> OIT. </w:t>
      </w:r>
      <w:hyperlink r:id="rId10" w:history="1">
        <w:r w:rsidRPr="00C1710A">
          <w:rPr>
            <w:rStyle w:val="Hyperlink"/>
            <w:rFonts w:ascii="Cambria" w:hAnsi="Cambria"/>
            <w:sz w:val="16"/>
            <w:szCs w:val="16"/>
            <w:lang w:val="es-PE"/>
          </w:rPr>
          <w:t>Para recuperarse de la crisis: un Pacto Mundial para el Empleo</w:t>
        </w:r>
      </w:hyperlink>
      <w:r w:rsidRPr="00C1710A">
        <w:rPr>
          <w:rFonts w:ascii="Cambria" w:hAnsi="Cambria"/>
          <w:sz w:val="16"/>
          <w:szCs w:val="16"/>
          <w:lang w:val="es-PE"/>
        </w:rPr>
        <w:t>, 19 de junio de 2009.</w:t>
      </w:r>
    </w:p>
  </w:footnote>
  <w:footnote w:id="88">
    <w:p w14:paraId="5FDE009B" w14:textId="77777777" w:rsidR="00FC6B2B" w:rsidRPr="00C1710A" w:rsidRDefault="00FC6B2B" w:rsidP="005C5801">
      <w:pPr>
        <w:pStyle w:val="FootnoteText"/>
        <w:rPr>
          <w:rFonts w:ascii="Cambria" w:hAnsi="Cambria"/>
          <w:sz w:val="16"/>
          <w:szCs w:val="16"/>
          <w:lang w:val="es-PE"/>
        </w:rPr>
      </w:pPr>
      <w:r w:rsidRPr="00C1710A">
        <w:rPr>
          <w:rStyle w:val="FootnoteReference"/>
          <w:rFonts w:ascii="Cambria" w:hAnsi="Cambria"/>
          <w:sz w:val="16"/>
          <w:szCs w:val="16"/>
        </w:rPr>
        <w:footnoteRef/>
      </w:r>
      <w:r w:rsidRPr="00C1710A">
        <w:rPr>
          <w:rFonts w:ascii="Cambria" w:hAnsi="Cambria"/>
          <w:sz w:val="16"/>
          <w:szCs w:val="16"/>
          <w:lang w:val="es-PE"/>
        </w:rPr>
        <w:t xml:space="preserve"> Tribunal Constitucional (Perú). Expediente No. 03561-2009-PA/TC, 17 de agosto de 2009, fj. 20</w:t>
      </w:r>
    </w:p>
  </w:footnote>
  <w:footnote w:id="89">
    <w:p w14:paraId="62CA1C63" w14:textId="77777777" w:rsidR="00FC6B2B" w:rsidRPr="00C1710A" w:rsidRDefault="00FC6B2B" w:rsidP="005C5801">
      <w:pPr>
        <w:pStyle w:val="FootnoteText"/>
        <w:rPr>
          <w:rFonts w:ascii="Cambria" w:hAnsi="Cambria"/>
          <w:sz w:val="16"/>
          <w:szCs w:val="16"/>
          <w:lang w:val="es-US"/>
        </w:rPr>
      </w:pPr>
      <w:r w:rsidRPr="00C1710A">
        <w:rPr>
          <w:rStyle w:val="FootnoteReference"/>
          <w:rFonts w:ascii="Cambria" w:hAnsi="Cambria"/>
          <w:sz w:val="16"/>
          <w:szCs w:val="16"/>
        </w:rPr>
        <w:footnoteRef/>
      </w:r>
      <w:r w:rsidRPr="00C1710A">
        <w:rPr>
          <w:rFonts w:ascii="Cambria" w:hAnsi="Cambria"/>
          <w:sz w:val="16"/>
          <w:szCs w:val="16"/>
          <w:lang w:val="es-US"/>
        </w:rPr>
        <w:t xml:space="preserve"> OIT. La Libertad Sindical: Recopilación de decisiones del Comité de Libertad Sindical. Ginebra: OIT, 6ª edición, 2018, párrafo 1313.</w:t>
      </w:r>
    </w:p>
  </w:footnote>
  <w:footnote w:id="90">
    <w:p w14:paraId="7EAFF93F" w14:textId="77777777" w:rsidR="00FC6B2B" w:rsidRPr="00C1710A" w:rsidRDefault="00FC6B2B" w:rsidP="005C5801">
      <w:pPr>
        <w:pStyle w:val="FootnoteText"/>
        <w:rPr>
          <w:rFonts w:ascii="Cambria" w:hAnsi="Cambria"/>
          <w:sz w:val="16"/>
          <w:szCs w:val="16"/>
          <w:lang w:val="es-US"/>
        </w:rPr>
      </w:pPr>
      <w:r w:rsidRPr="00C1710A">
        <w:rPr>
          <w:rStyle w:val="FootnoteReference"/>
          <w:rFonts w:ascii="Cambria" w:hAnsi="Cambria"/>
          <w:sz w:val="16"/>
          <w:szCs w:val="16"/>
        </w:rPr>
        <w:footnoteRef/>
      </w:r>
      <w:r w:rsidRPr="00C1710A">
        <w:rPr>
          <w:rFonts w:ascii="Cambria" w:hAnsi="Cambria"/>
          <w:sz w:val="16"/>
          <w:szCs w:val="16"/>
          <w:lang w:val="es-US"/>
        </w:rPr>
        <w:t xml:space="preserve"> OIT. La Libertad Sindical: Recopilación de decisiones del Comité de Libertad Sindical. Ginebra: OIT, 6ª edición, 2018, párrafo 1327.</w:t>
      </w:r>
    </w:p>
  </w:footnote>
  <w:footnote w:id="91">
    <w:p w14:paraId="3FF9ECAF" w14:textId="77777777" w:rsidR="00FC6B2B" w:rsidRPr="00C1710A" w:rsidRDefault="00FC6B2B" w:rsidP="005C5801">
      <w:pPr>
        <w:pStyle w:val="FootnoteText"/>
        <w:rPr>
          <w:rFonts w:ascii="Cambria" w:hAnsi="Cambria"/>
          <w:sz w:val="16"/>
          <w:szCs w:val="16"/>
          <w:lang w:val="es-US"/>
        </w:rPr>
      </w:pPr>
      <w:r w:rsidRPr="00C1710A">
        <w:rPr>
          <w:rStyle w:val="FootnoteReference"/>
          <w:rFonts w:ascii="Cambria" w:hAnsi="Cambria"/>
          <w:sz w:val="16"/>
          <w:szCs w:val="16"/>
        </w:rPr>
        <w:footnoteRef/>
      </w:r>
      <w:r w:rsidRPr="00C1710A">
        <w:rPr>
          <w:rFonts w:ascii="Cambria" w:hAnsi="Cambria"/>
          <w:sz w:val="16"/>
          <w:szCs w:val="16"/>
          <w:lang w:val="es-US"/>
        </w:rPr>
        <w:t xml:space="preserve"> OIT. La Libertad Sindical: Recopilación de decisiones del Comité de Libertad Sindical. Ginebra: OIT, 6ª edición, 2018, párrafo 1334.</w:t>
      </w:r>
    </w:p>
  </w:footnote>
  <w:footnote w:id="92">
    <w:p w14:paraId="71F9C6B8" w14:textId="77777777" w:rsidR="00FC6B2B" w:rsidRPr="00C1710A" w:rsidRDefault="00FC6B2B" w:rsidP="005C5801">
      <w:pPr>
        <w:pStyle w:val="FootnoteText"/>
        <w:rPr>
          <w:rFonts w:ascii="Cambria" w:hAnsi="Cambria"/>
          <w:sz w:val="16"/>
          <w:szCs w:val="16"/>
          <w:lang w:val="es-US"/>
        </w:rPr>
      </w:pPr>
      <w:r w:rsidRPr="00C1710A">
        <w:rPr>
          <w:rStyle w:val="FootnoteReference"/>
          <w:rFonts w:ascii="Cambria" w:hAnsi="Cambria"/>
          <w:sz w:val="16"/>
          <w:szCs w:val="16"/>
        </w:rPr>
        <w:footnoteRef/>
      </w:r>
      <w:r w:rsidRPr="00C1710A">
        <w:rPr>
          <w:rFonts w:ascii="Cambria" w:hAnsi="Cambria"/>
          <w:sz w:val="16"/>
          <w:szCs w:val="16"/>
          <w:lang w:val="es-US"/>
        </w:rPr>
        <w:t xml:space="preserve"> OIT. La Libertad Sindical: Recopilación de decisiones del Comité de Libertad Sindical. Ginebra: OIT, 6ª edición, 2018, párrafo 1335.</w:t>
      </w:r>
    </w:p>
  </w:footnote>
  <w:footnote w:id="93">
    <w:p w14:paraId="1649762F" w14:textId="77777777" w:rsidR="00FC6B2B" w:rsidRPr="00C1710A" w:rsidRDefault="00FC6B2B" w:rsidP="005C5801">
      <w:pPr>
        <w:pStyle w:val="FootnoteText"/>
        <w:rPr>
          <w:rFonts w:ascii="Cambria" w:hAnsi="Cambria"/>
          <w:sz w:val="16"/>
          <w:szCs w:val="16"/>
          <w:lang w:val="es-US"/>
        </w:rPr>
      </w:pPr>
      <w:r w:rsidRPr="00C1710A">
        <w:rPr>
          <w:rStyle w:val="FootnoteReference"/>
          <w:rFonts w:ascii="Cambria" w:hAnsi="Cambria"/>
          <w:sz w:val="16"/>
          <w:szCs w:val="16"/>
        </w:rPr>
        <w:footnoteRef/>
      </w:r>
      <w:r w:rsidRPr="00C1710A">
        <w:rPr>
          <w:rFonts w:ascii="Cambria" w:hAnsi="Cambria"/>
          <w:sz w:val="16"/>
          <w:szCs w:val="16"/>
          <w:lang w:val="es-US"/>
        </w:rPr>
        <w:t xml:space="preserve"> OIT. La Libertad Sindical: Recopilación de decisiones del Comité de Libertad Sindical. Ginebra: OIT, 6ª edición, 2018, párrafo 1340.</w:t>
      </w:r>
    </w:p>
  </w:footnote>
  <w:footnote w:id="94">
    <w:p w14:paraId="1B47ADF0" w14:textId="77777777" w:rsidR="00FC6B2B" w:rsidRPr="00C1710A" w:rsidRDefault="00FC6B2B" w:rsidP="005C5801">
      <w:pPr>
        <w:pStyle w:val="FootnoteText"/>
        <w:jc w:val="both"/>
        <w:rPr>
          <w:rFonts w:ascii="Cambria" w:hAnsi="Cambria" w:cs="Arial"/>
          <w:sz w:val="16"/>
          <w:szCs w:val="16"/>
          <w:lang w:val="es-ES_tradnl"/>
        </w:rPr>
      </w:pPr>
      <w:r w:rsidRPr="00C1710A">
        <w:rPr>
          <w:rStyle w:val="FootnoteReference"/>
          <w:rFonts w:ascii="Cambria" w:hAnsi="Cambria" w:cs="Arial"/>
          <w:sz w:val="16"/>
          <w:szCs w:val="16"/>
        </w:rPr>
        <w:footnoteRef/>
      </w:r>
      <w:r w:rsidRPr="00C1710A">
        <w:rPr>
          <w:rFonts w:ascii="Cambria" w:hAnsi="Cambria" w:cs="Arial"/>
          <w:sz w:val="16"/>
          <w:szCs w:val="16"/>
          <w:lang w:val="es-ES"/>
        </w:rPr>
        <w:t xml:space="preserve"> CIDH, Caso 12.357, Demanda ante la Corte IDH, Integrantes de la Asociación de Cesantes y Jubilados de la Contraloría General de la República, Perú, 1 de abril de 2008, párr. 72. </w:t>
      </w:r>
      <w:r w:rsidRPr="00C1710A">
        <w:rPr>
          <w:rFonts w:ascii="Cambria" w:hAnsi="Cambria" w:cs="Arial"/>
          <w:sz w:val="16"/>
          <w:szCs w:val="16"/>
          <w:lang w:val="es-ES_tradnl"/>
        </w:rPr>
        <w:t>Corte IDH. Caso Chaparro Álvarez y Lapo Íñiguez Vs. Ecuador. Excepciones Preliminares, Fondo, Reparaciones y Costas. Sentencia de 21 de noviembre de 2007. Serie C No. 170, párr. 174.</w:t>
      </w:r>
    </w:p>
  </w:footnote>
  <w:footnote w:id="95">
    <w:p w14:paraId="27E880E5" w14:textId="77777777" w:rsidR="00FC6B2B" w:rsidRPr="00C1710A" w:rsidRDefault="00FC6B2B" w:rsidP="005C5801">
      <w:pPr>
        <w:jc w:val="both"/>
        <w:rPr>
          <w:rFonts w:ascii="Cambria" w:eastAsia="Times New Roman" w:hAnsi="Cambria" w:cs="Arial"/>
          <w:sz w:val="16"/>
          <w:szCs w:val="16"/>
          <w:lang w:val="es-ES"/>
        </w:rPr>
      </w:pPr>
      <w:r w:rsidRPr="00C1710A">
        <w:rPr>
          <w:rStyle w:val="FootnoteReference"/>
          <w:rFonts w:ascii="Cambria" w:hAnsi="Cambria" w:cs="Arial"/>
          <w:sz w:val="16"/>
          <w:szCs w:val="16"/>
        </w:rPr>
        <w:footnoteRef/>
      </w:r>
      <w:r w:rsidRPr="00C1710A">
        <w:rPr>
          <w:rFonts w:ascii="Cambria" w:hAnsi="Cambria" w:cs="Arial"/>
          <w:sz w:val="16"/>
          <w:szCs w:val="16"/>
          <w:lang w:val="es-ES"/>
        </w:rPr>
        <w:t xml:space="preserve"> </w:t>
      </w:r>
      <w:r w:rsidRPr="00C1710A">
        <w:rPr>
          <w:rFonts w:ascii="Cambria" w:eastAsia="Times New Roman" w:hAnsi="Cambria" w:cs="Arial"/>
          <w:bCs/>
          <w:color w:val="000000"/>
          <w:sz w:val="16"/>
          <w:szCs w:val="16"/>
          <w:shd w:val="clear" w:color="auto" w:fill="FFFFFF"/>
          <w:lang w:val="es-ES"/>
        </w:rPr>
        <w:t>Corte IDH. Caso "Cinco Pensionistas" Vs. Perú. Fondo, Reparaciones y Costas. Sentencia de 28 de febrero de 2003. Serie C No. 98, párr. 102.</w:t>
      </w:r>
    </w:p>
  </w:footnote>
  <w:footnote w:id="96">
    <w:p w14:paraId="1DA58738" w14:textId="77777777" w:rsidR="00FC6B2B" w:rsidRPr="00C1710A" w:rsidRDefault="00FC6B2B" w:rsidP="005C5801">
      <w:pPr>
        <w:pStyle w:val="FootnoteText"/>
        <w:jc w:val="both"/>
        <w:rPr>
          <w:rFonts w:ascii="Cambria" w:hAnsi="Cambria" w:cs="Arial"/>
          <w:color w:val="000000" w:themeColor="text1"/>
          <w:sz w:val="16"/>
          <w:szCs w:val="16"/>
          <w:lang w:val="es-CO"/>
        </w:rPr>
      </w:pPr>
      <w:r w:rsidRPr="00C1710A">
        <w:rPr>
          <w:rStyle w:val="FootnoteReference"/>
          <w:rFonts w:ascii="Cambria" w:hAnsi="Cambria" w:cs="Arial"/>
          <w:color w:val="000000" w:themeColor="text1"/>
          <w:sz w:val="16"/>
          <w:szCs w:val="16"/>
        </w:rPr>
        <w:footnoteRef/>
      </w:r>
      <w:r w:rsidRPr="00C1710A">
        <w:rPr>
          <w:rFonts w:ascii="Cambria" w:hAnsi="Cambria" w:cs="Arial"/>
          <w:color w:val="000000" w:themeColor="text1"/>
          <w:sz w:val="16"/>
          <w:szCs w:val="16"/>
          <w:lang w:val="es-CO"/>
        </w:rPr>
        <w:t xml:space="preserve"> Tribunal Europeo de Derechos Humanos, Case </w:t>
      </w:r>
      <w:r w:rsidRPr="00C1710A">
        <w:rPr>
          <w:rFonts w:ascii="Cambria" w:hAnsi="Cambria" w:cs="Arial"/>
          <w:iCs/>
          <w:color w:val="000000" w:themeColor="text1"/>
          <w:sz w:val="16"/>
          <w:szCs w:val="16"/>
          <w:lang w:val="es-CO"/>
        </w:rPr>
        <w:t>Marckx v. Belgium</w:t>
      </w:r>
      <w:r w:rsidRPr="00C1710A">
        <w:rPr>
          <w:rFonts w:ascii="Cambria" w:hAnsi="Cambria" w:cs="Arial"/>
          <w:color w:val="000000" w:themeColor="text1"/>
          <w:sz w:val="16"/>
          <w:szCs w:val="16"/>
          <w:lang w:val="es-CO"/>
        </w:rPr>
        <w:t>, Application no. 6833/74, Judgement 13 June 1979.</w:t>
      </w:r>
    </w:p>
  </w:footnote>
  <w:footnote w:id="97">
    <w:p w14:paraId="72412165" w14:textId="77777777" w:rsidR="00FC6B2B" w:rsidRPr="00C1710A" w:rsidRDefault="00FC6B2B" w:rsidP="005C5801">
      <w:pPr>
        <w:jc w:val="both"/>
        <w:rPr>
          <w:rFonts w:ascii="Cambria" w:eastAsia="Times New Roman" w:hAnsi="Cambria" w:cs="Arial"/>
          <w:color w:val="000000" w:themeColor="text1"/>
          <w:sz w:val="16"/>
          <w:szCs w:val="16"/>
          <w:lang w:val="en-US"/>
        </w:rPr>
      </w:pPr>
      <w:r w:rsidRPr="00C1710A">
        <w:rPr>
          <w:rStyle w:val="FootnoteReference"/>
          <w:rFonts w:ascii="Cambria" w:hAnsi="Cambria" w:cs="Arial"/>
          <w:color w:val="000000" w:themeColor="text1"/>
          <w:sz w:val="16"/>
          <w:szCs w:val="16"/>
        </w:rPr>
        <w:footnoteRef/>
      </w:r>
      <w:r w:rsidRPr="00C1710A">
        <w:rPr>
          <w:rFonts w:ascii="Cambria" w:hAnsi="Cambria" w:cs="Arial"/>
          <w:color w:val="000000" w:themeColor="text1"/>
          <w:sz w:val="16"/>
          <w:szCs w:val="16"/>
          <w:lang w:val="en-US"/>
        </w:rPr>
        <w:t xml:space="preserve"> Tribunal Europeo de Derechos Humanos, Case </w:t>
      </w:r>
      <w:r w:rsidRPr="00C1710A">
        <w:rPr>
          <w:rFonts w:ascii="Cambria" w:eastAsia="Times New Roman" w:hAnsi="Cambria" w:cs="Arial"/>
          <w:iCs/>
          <w:color w:val="000000" w:themeColor="text1"/>
          <w:sz w:val="16"/>
          <w:szCs w:val="16"/>
          <w:lang w:val="en-US"/>
        </w:rPr>
        <w:t>The Holy Monasteries v. Greece</w:t>
      </w:r>
      <w:r w:rsidRPr="00C1710A">
        <w:rPr>
          <w:rFonts w:ascii="Cambria" w:eastAsia="Times New Roman" w:hAnsi="Cambria" w:cs="Arial"/>
          <w:color w:val="000000" w:themeColor="text1"/>
          <w:sz w:val="16"/>
          <w:szCs w:val="16"/>
          <w:shd w:val="clear" w:color="auto" w:fill="F9F9F9"/>
          <w:lang w:val="en-US"/>
        </w:rPr>
        <w:t xml:space="preserve">, 10/1993/405/483-484, Council of Europe: European Court of Human Rights, 21 November 1994; </w:t>
      </w:r>
      <w:r w:rsidRPr="00C1710A">
        <w:rPr>
          <w:rFonts w:ascii="Cambria" w:hAnsi="Cambria" w:cs="Arial"/>
          <w:iCs/>
          <w:color w:val="000000" w:themeColor="text1"/>
          <w:sz w:val="16"/>
          <w:szCs w:val="16"/>
          <w:lang w:val="en-US"/>
        </w:rPr>
        <w:t>The Holy Monasteries v. Greece</w:t>
      </w:r>
      <w:r w:rsidRPr="00C1710A">
        <w:rPr>
          <w:rFonts w:ascii="Cambria" w:hAnsi="Cambria" w:cs="Arial"/>
          <w:color w:val="000000" w:themeColor="text1"/>
          <w:sz w:val="16"/>
          <w:szCs w:val="16"/>
          <w:lang w:val="en-US"/>
        </w:rPr>
        <w:t>, 10/1993/405/483-484, Council of Europe: European Court of Human Rights, 21 November 1994.</w:t>
      </w:r>
    </w:p>
  </w:footnote>
  <w:footnote w:id="98">
    <w:p w14:paraId="47AB066B" w14:textId="77777777" w:rsidR="00FC6B2B" w:rsidRPr="000A369B" w:rsidRDefault="00FC6B2B" w:rsidP="005C5801">
      <w:pPr>
        <w:pStyle w:val="FootnoteText"/>
        <w:jc w:val="both"/>
        <w:rPr>
          <w:rFonts w:ascii="Cambria" w:hAnsi="Cambria" w:cs="Arial"/>
          <w:color w:val="000000" w:themeColor="text1"/>
          <w:sz w:val="16"/>
          <w:szCs w:val="16"/>
        </w:rPr>
      </w:pPr>
      <w:r w:rsidRPr="00C1710A">
        <w:rPr>
          <w:rStyle w:val="FootnoteReference"/>
          <w:rFonts w:ascii="Cambria" w:hAnsi="Cambria" w:cs="Arial"/>
          <w:color w:val="000000" w:themeColor="text1"/>
          <w:sz w:val="16"/>
          <w:szCs w:val="16"/>
        </w:rPr>
        <w:footnoteRef/>
      </w:r>
      <w:r w:rsidRPr="000A369B">
        <w:rPr>
          <w:rFonts w:ascii="Cambria" w:hAnsi="Cambria" w:cs="Arial"/>
          <w:color w:val="000000" w:themeColor="text1"/>
          <w:sz w:val="16"/>
          <w:szCs w:val="16"/>
        </w:rPr>
        <w:t xml:space="preserve"> CIDH, Informe No. 61/11, Caso No. 12.416, Masacre de Santo Domingo Colombia. </w:t>
      </w:r>
    </w:p>
  </w:footnote>
  <w:footnote w:id="99">
    <w:p w14:paraId="072211EA" w14:textId="77777777" w:rsidR="00FC6B2B" w:rsidRPr="00C1710A" w:rsidRDefault="00FC6B2B" w:rsidP="005C5801">
      <w:pPr>
        <w:pStyle w:val="FootnoteText"/>
        <w:jc w:val="both"/>
        <w:rPr>
          <w:rFonts w:ascii="Cambria" w:hAnsi="Cambria" w:cs="Arial"/>
          <w:color w:val="000000" w:themeColor="text1"/>
          <w:sz w:val="16"/>
          <w:szCs w:val="16"/>
          <w:lang w:val="pt-BR"/>
        </w:rPr>
      </w:pPr>
      <w:r w:rsidRPr="00C1710A">
        <w:rPr>
          <w:rStyle w:val="FootnoteReference"/>
          <w:rFonts w:ascii="Cambria" w:hAnsi="Cambria" w:cs="Arial"/>
          <w:sz w:val="16"/>
          <w:szCs w:val="16"/>
        </w:rPr>
        <w:footnoteRef/>
      </w:r>
      <w:r w:rsidRPr="000A369B">
        <w:rPr>
          <w:rFonts w:ascii="Cambria" w:hAnsi="Cambria" w:cs="Arial"/>
          <w:sz w:val="16"/>
          <w:szCs w:val="16"/>
        </w:rPr>
        <w:t xml:space="preserve"> </w:t>
      </w:r>
      <w:r w:rsidRPr="000A369B">
        <w:rPr>
          <w:rFonts w:ascii="Cambria" w:hAnsi="Cambria" w:cs="Arial"/>
          <w:color w:val="000000" w:themeColor="text1"/>
          <w:sz w:val="16"/>
          <w:szCs w:val="16"/>
        </w:rPr>
        <w:t xml:space="preserve">Tribunal Europeo de Derechos Humanos, Case X. v. Germany, Application no. </w:t>
      </w:r>
      <w:r w:rsidRPr="00C1710A">
        <w:rPr>
          <w:rFonts w:ascii="Cambria" w:hAnsi="Cambria" w:cs="Arial"/>
          <w:color w:val="000000" w:themeColor="text1"/>
          <w:sz w:val="16"/>
          <w:szCs w:val="16"/>
          <w:lang w:val="pt-BR"/>
        </w:rPr>
        <w:t xml:space="preserve">(7705/76), Judgment 5 de julio de 1977. </w:t>
      </w:r>
    </w:p>
  </w:footnote>
  <w:footnote w:id="100">
    <w:p w14:paraId="4115E5B8" w14:textId="77777777" w:rsidR="00FC6B2B" w:rsidRPr="00C1710A" w:rsidRDefault="00FC6B2B" w:rsidP="005C5801">
      <w:pPr>
        <w:jc w:val="both"/>
        <w:rPr>
          <w:rFonts w:ascii="Cambria" w:eastAsia="Times New Roman" w:hAnsi="Cambria" w:cs="Arial"/>
          <w:sz w:val="16"/>
          <w:szCs w:val="16"/>
          <w:lang w:val="es-ES"/>
        </w:rPr>
      </w:pPr>
      <w:r w:rsidRPr="00C1710A">
        <w:rPr>
          <w:rStyle w:val="FootnoteReference"/>
          <w:rFonts w:ascii="Cambria" w:hAnsi="Cambria" w:cs="Arial"/>
          <w:sz w:val="16"/>
          <w:szCs w:val="16"/>
        </w:rPr>
        <w:footnoteRef/>
      </w:r>
      <w:r w:rsidRPr="00C1710A">
        <w:rPr>
          <w:rFonts w:ascii="Cambria" w:hAnsi="Cambria" w:cs="Arial"/>
          <w:sz w:val="16"/>
          <w:szCs w:val="16"/>
          <w:lang w:val="pt-BR"/>
        </w:rPr>
        <w:t xml:space="preserve"> </w:t>
      </w:r>
      <w:r w:rsidRPr="00C1710A">
        <w:rPr>
          <w:rFonts w:ascii="Cambria" w:eastAsia="Times New Roman" w:hAnsi="Cambria" w:cs="Arial"/>
          <w:bCs/>
          <w:color w:val="000000"/>
          <w:sz w:val="16"/>
          <w:szCs w:val="16"/>
          <w:shd w:val="clear" w:color="auto" w:fill="FFFFFF"/>
          <w:lang w:val="pt-BR"/>
        </w:rPr>
        <w:t xml:space="preserve">Corte IDH. Caso Salvador Chiriboga Vs. </w:t>
      </w:r>
      <w:r w:rsidRPr="00C1710A">
        <w:rPr>
          <w:rFonts w:ascii="Cambria" w:eastAsia="Times New Roman" w:hAnsi="Cambria" w:cs="Arial"/>
          <w:bCs/>
          <w:color w:val="000000"/>
          <w:sz w:val="16"/>
          <w:szCs w:val="16"/>
          <w:shd w:val="clear" w:color="auto" w:fill="FFFFFF"/>
          <w:lang w:val="es-ES"/>
        </w:rPr>
        <w:t>Ecuador. Excepción Preliminar y Fondo. Sentencia de 6 de mayo de 2008. Serie C No. 179, párr. 54.</w:t>
      </w:r>
    </w:p>
  </w:footnote>
  <w:footnote w:id="101">
    <w:p w14:paraId="001AA807" w14:textId="77777777" w:rsidR="00FC6B2B" w:rsidRPr="00C1710A" w:rsidRDefault="00FC6B2B" w:rsidP="005C5801">
      <w:pPr>
        <w:jc w:val="both"/>
        <w:rPr>
          <w:rFonts w:ascii="Cambria" w:eastAsia="Times New Roman" w:hAnsi="Cambria" w:cs="Arial"/>
          <w:sz w:val="16"/>
          <w:szCs w:val="16"/>
          <w:lang w:val="es-ES"/>
        </w:rPr>
      </w:pPr>
      <w:r w:rsidRPr="00C1710A">
        <w:rPr>
          <w:rStyle w:val="FootnoteReference"/>
          <w:rFonts w:ascii="Cambria" w:hAnsi="Cambria" w:cs="Arial"/>
          <w:sz w:val="16"/>
          <w:szCs w:val="16"/>
        </w:rPr>
        <w:footnoteRef/>
      </w:r>
      <w:r w:rsidRPr="00C1710A">
        <w:rPr>
          <w:rFonts w:ascii="Cambria" w:hAnsi="Cambria" w:cs="Arial"/>
          <w:sz w:val="16"/>
          <w:szCs w:val="16"/>
          <w:lang w:val="es-ES"/>
        </w:rPr>
        <w:t xml:space="preserve"> </w:t>
      </w:r>
      <w:r w:rsidRPr="00C1710A">
        <w:rPr>
          <w:rFonts w:ascii="Cambria" w:eastAsia="Times New Roman" w:hAnsi="Cambria" w:cs="Arial"/>
          <w:bCs/>
          <w:color w:val="000000"/>
          <w:sz w:val="16"/>
          <w:szCs w:val="16"/>
          <w:shd w:val="clear" w:color="auto" w:fill="FFFFFF"/>
          <w:lang w:val="es-ES"/>
        </w:rPr>
        <w:t>Corte IDH. Caso "Cinco Pensionistas" Vs. Perú. Fondo, Reparaciones y Costas. Sentencia de 28 de febrero de 2003. Serie C No. 98, párr. 103.</w:t>
      </w:r>
      <w:r w:rsidRPr="00C1710A">
        <w:rPr>
          <w:rFonts w:ascii="Cambria" w:eastAsia="Times New Roman" w:hAnsi="Cambria" w:cs="Arial"/>
          <w:b/>
          <w:bCs/>
          <w:color w:val="000000"/>
          <w:sz w:val="16"/>
          <w:szCs w:val="16"/>
          <w:shd w:val="clear" w:color="auto" w:fill="FFFFFF"/>
          <w:lang w:val="es-ES"/>
        </w:rPr>
        <w:t xml:space="preserve"> </w:t>
      </w:r>
    </w:p>
  </w:footnote>
  <w:footnote w:id="102">
    <w:p w14:paraId="19ACC267" w14:textId="77777777" w:rsidR="00FC6B2B" w:rsidRPr="00C1710A" w:rsidRDefault="00FC6B2B" w:rsidP="005C5801">
      <w:pPr>
        <w:jc w:val="both"/>
        <w:rPr>
          <w:rFonts w:ascii="Cambria" w:eastAsia="Times New Roman" w:hAnsi="Cambria" w:cs="Arial"/>
          <w:sz w:val="16"/>
          <w:szCs w:val="16"/>
          <w:lang w:val="es-ES"/>
        </w:rPr>
      </w:pPr>
      <w:r w:rsidRPr="00C1710A">
        <w:rPr>
          <w:rStyle w:val="FootnoteReference"/>
          <w:rFonts w:ascii="Cambria" w:hAnsi="Cambria" w:cs="Arial"/>
          <w:sz w:val="16"/>
          <w:szCs w:val="16"/>
        </w:rPr>
        <w:footnoteRef/>
      </w:r>
      <w:r w:rsidRPr="00C1710A">
        <w:rPr>
          <w:rFonts w:ascii="Cambria" w:hAnsi="Cambria" w:cs="Arial"/>
          <w:sz w:val="16"/>
          <w:szCs w:val="16"/>
          <w:lang w:val="es-ES"/>
        </w:rPr>
        <w:t xml:space="preserve"> </w:t>
      </w:r>
      <w:r w:rsidRPr="00C1710A">
        <w:rPr>
          <w:rFonts w:ascii="Cambria" w:eastAsia="Times New Roman" w:hAnsi="Cambria" w:cs="Arial"/>
          <w:bCs/>
          <w:color w:val="000000"/>
          <w:sz w:val="16"/>
          <w:szCs w:val="16"/>
          <w:shd w:val="clear" w:color="auto" w:fill="FFFFFF"/>
          <w:lang w:val="es-ES"/>
        </w:rPr>
        <w:t>Corte IDH. Caso "Cinco Pensionistas" Vs. Perú. Fondo, Reparaciones y Costas. Sentencia de 28 de febrero de 2003. Serie C No. 98, párrs. 115 y 121.</w:t>
      </w:r>
      <w:r w:rsidRPr="00C1710A">
        <w:rPr>
          <w:rFonts w:ascii="Cambria" w:eastAsia="Times New Roman" w:hAnsi="Cambria" w:cs="Arial"/>
          <w:b/>
          <w:bCs/>
          <w:color w:val="000000"/>
          <w:sz w:val="16"/>
          <w:szCs w:val="16"/>
          <w:shd w:val="clear" w:color="auto" w:fill="FFFFFF"/>
          <w:lang w:val="es-ES"/>
        </w:rPr>
        <w:t xml:space="preserve"> </w:t>
      </w:r>
    </w:p>
  </w:footnote>
  <w:footnote w:id="103">
    <w:p w14:paraId="13AAA331" w14:textId="77777777" w:rsidR="00FC6B2B" w:rsidRPr="00C1710A" w:rsidRDefault="00FC6B2B" w:rsidP="005C5801">
      <w:pPr>
        <w:pStyle w:val="FootnoteText"/>
        <w:jc w:val="both"/>
        <w:rPr>
          <w:rFonts w:ascii="Cambria" w:hAnsi="Cambria" w:cs="Arial"/>
          <w:sz w:val="16"/>
          <w:szCs w:val="16"/>
          <w:lang w:val="es-ES_tradnl"/>
        </w:rPr>
      </w:pPr>
      <w:r w:rsidRPr="00C1710A">
        <w:rPr>
          <w:rStyle w:val="FootnoteReference"/>
          <w:rFonts w:ascii="Cambria" w:hAnsi="Cambria" w:cs="Arial"/>
          <w:sz w:val="16"/>
          <w:szCs w:val="16"/>
        </w:rPr>
        <w:footnoteRef/>
      </w:r>
      <w:r w:rsidRPr="00C1710A">
        <w:rPr>
          <w:rFonts w:ascii="Cambria" w:hAnsi="Cambria" w:cs="Arial"/>
          <w:sz w:val="16"/>
          <w:szCs w:val="16"/>
          <w:lang w:val="es-ES"/>
        </w:rPr>
        <w:t xml:space="preserve"> </w:t>
      </w:r>
      <w:r w:rsidRPr="00C1710A">
        <w:rPr>
          <w:rFonts w:ascii="Cambria" w:hAnsi="Cambria" w:cs="Arial"/>
          <w:sz w:val="16"/>
          <w:szCs w:val="16"/>
          <w:lang w:val="es-ES_tradnl"/>
        </w:rPr>
        <w:t xml:space="preserve">Corte IDH. </w:t>
      </w:r>
      <w:r w:rsidRPr="00C1710A">
        <w:rPr>
          <w:rFonts w:ascii="Cambria" w:eastAsia="Arial Unicode MS" w:hAnsi="Cambria" w:cs="Arial"/>
          <w:bCs/>
          <w:sz w:val="16"/>
          <w:szCs w:val="16"/>
          <w:shd w:val="clear" w:color="auto" w:fill="FFFFFF"/>
          <w:lang w:val="es-ES" w:eastAsia="en-US"/>
        </w:rPr>
        <w:t xml:space="preserve">Caso Acevedo Buendía y otros (“Cesantes y Jubilados de la Contraloría”) Vs. Perú. Excepción Preliminar, Fondo, Reparaciones y Costas. Sentencia de 1 de julio de 2009. Serie C No. 198, párr. 88. </w:t>
      </w:r>
    </w:p>
  </w:footnote>
  <w:footnote w:id="104">
    <w:p w14:paraId="1443525F" w14:textId="77777777" w:rsidR="00FC6B2B" w:rsidRPr="00C1710A" w:rsidRDefault="00FC6B2B" w:rsidP="005C5801">
      <w:pPr>
        <w:pStyle w:val="FootnoteText"/>
        <w:jc w:val="both"/>
        <w:rPr>
          <w:rFonts w:ascii="Cambria" w:hAnsi="Cambria" w:cs="Arial"/>
          <w:sz w:val="16"/>
          <w:szCs w:val="16"/>
          <w:lang w:val="es-ES_tradnl"/>
        </w:rPr>
      </w:pPr>
      <w:r w:rsidRPr="00C1710A">
        <w:rPr>
          <w:rStyle w:val="FootnoteReference"/>
          <w:rFonts w:ascii="Cambria" w:hAnsi="Cambria" w:cs="Arial"/>
          <w:sz w:val="16"/>
          <w:szCs w:val="16"/>
        </w:rPr>
        <w:footnoteRef/>
      </w:r>
      <w:r w:rsidRPr="00C1710A">
        <w:rPr>
          <w:rFonts w:ascii="Cambria" w:hAnsi="Cambria" w:cs="Arial"/>
          <w:sz w:val="16"/>
          <w:szCs w:val="16"/>
          <w:lang w:val="es-ES"/>
        </w:rPr>
        <w:t xml:space="preserve"> </w:t>
      </w:r>
      <w:r w:rsidRPr="00C1710A">
        <w:rPr>
          <w:rFonts w:ascii="Cambria" w:hAnsi="Cambria" w:cs="Arial"/>
          <w:sz w:val="16"/>
          <w:szCs w:val="16"/>
          <w:lang w:val="es-ES_tradnl"/>
        </w:rPr>
        <w:t xml:space="preserve">Corte IDH. </w:t>
      </w:r>
      <w:r w:rsidRPr="00C1710A">
        <w:rPr>
          <w:rFonts w:ascii="Cambria" w:eastAsia="Arial Unicode MS" w:hAnsi="Cambria" w:cs="Arial"/>
          <w:bCs/>
          <w:sz w:val="16"/>
          <w:szCs w:val="16"/>
          <w:shd w:val="clear" w:color="auto" w:fill="FFFFFF"/>
          <w:lang w:val="es-ES" w:eastAsia="en-US"/>
        </w:rPr>
        <w:t xml:space="preserve">Caso Acevedo Buendía y otros (“Cesantes y Jubilados de la Contraloría”) Vs. Perú. Excepción Preliminar, Fondo, Reparaciones y Costas. Sentencia de 1 de julio de 2009. Serie C No. 198, párr. 88. </w:t>
      </w:r>
    </w:p>
  </w:footnote>
  <w:footnote w:id="105">
    <w:p w14:paraId="75BBBBB0" w14:textId="77777777" w:rsidR="00FC6B2B" w:rsidRPr="007F6CAE" w:rsidRDefault="00FC6B2B" w:rsidP="005C5801">
      <w:pPr>
        <w:pStyle w:val="FootnoteText"/>
        <w:jc w:val="both"/>
        <w:rPr>
          <w:rFonts w:ascii="Cambria" w:hAnsi="Cambria" w:cs="Arial"/>
          <w:bCs/>
          <w:sz w:val="16"/>
          <w:szCs w:val="16"/>
        </w:rPr>
      </w:pPr>
      <w:r w:rsidRPr="007F6CAE">
        <w:rPr>
          <w:rStyle w:val="FootnoteReference"/>
          <w:rFonts w:ascii="Cambria" w:hAnsi="Cambria" w:cs="Arial"/>
          <w:bCs/>
          <w:sz w:val="16"/>
          <w:szCs w:val="16"/>
        </w:rPr>
        <w:footnoteRef/>
      </w:r>
      <w:r w:rsidRPr="007F6CAE">
        <w:rPr>
          <w:rFonts w:ascii="Cambria" w:hAnsi="Cambria" w:cs="Arial"/>
          <w:bCs/>
          <w:sz w:val="16"/>
          <w:szCs w:val="16"/>
          <w:lang w:val="es-PE"/>
        </w:rPr>
        <w:t xml:space="preserve"> </w:t>
      </w:r>
      <w:r w:rsidRPr="007F6CAE">
        <w:rPr>
          <w:rStyle w:val="Strong"/>
          <w:rFonts w:ascii="Cambria" w:hAnsi="Cambria" w:cs="Arial"/>
          <w:b w:val="0"/>
          <w:sz w:val="16"/>
          <w:szCs w:val="16"/>
          <w:shd w:val="clear" w:color="auto" w:fill="FFFFFF"/>
          <w:lang w:val="es-PE"/>
        </w:rPr>
        <w:t xml:space="preserve">Corte IDH. Caso Muelle Flores Vs. Perú. Excepciones Preliminares, Fondo, Reparaciones y Costas. </w:t>
      </w:r>
      <w:r w:rsidRPr="007F6CAE">
        <w:rPr>
          <w:rStyle w:val="Strong"/>
          <w:rFonts w:ascii="Cambria" w:hAnsi="Cambria" w:cs="Arial"/>
          <w:b w:val="0"/>
          <w:sz w:val="16"/>
          <w:szCs w:val="16"/>
          <w:shd w:val="clear" w:color="auto" w:fill="FFFFFF"/>
        </w:rPr>
        <w:t>Sentencia de 6 de marzo de 2019. Serie C No. 375, párrs. 212 – 218.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1C766" w14:textId="77777777" w:rsidR="00FC6B2B" w:rsidRDefault="00FC6B2B" w:rsidP="00451B0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22B8053" w14:textId="77777777" w:rsidR="00FC6B2B" w:rsidRDefault="00FC6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787B8" w14:textId="77777777" w:rsidR="00FC6B2B" w:rsidRDefault="00FC6B2B" w:rsidP="00A50FCF">
    <w:pPr>
      <w:pStyle w:val="Header"/>
      <w:tabs>
        <w:tab w:val="clear" w:pos="4320"/>
        <w:tab w:val="clear" w:pos="8640"/>
      </w:tabs>
      <w:jc w:val="center"/>
      <w:rPr>
        <w:sz w:val="22"/>
        <w:szCs w:val="22"/>
      </w:rPr>
    </w:pPr>
    <w:r>
      <w:rPr>
        <w:noProof/>
        <w:sz w:val="22"/>
        <w:szCs w:val="22"/>
        <w:lang w:val="en-US"/>
      </w:rPr>
      <w:drawing>
        <wp:inline distT="0" distB="0" distL="0" distR="0" wp14:anchorId="16038AA2" wp14:editId="20EA13B6">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83EA4B6" w14:textId="77777777" w:rsidR="00FC6B2B" w:rsidRPr="00EC7D62" w:rsidRDefault="00C40029" w:rsidP="00A50FCF">
    <w:pPr>
      <w:pStyle w:val="Header"/>
      <w:tabs>
        <w:tab w:val="clear" w:pos="4320"/>
        <w:tab w:val="clear" w:pos="8640"/>
      </w:tabs>
      <w:jc w:val="center"/>
      <w:rPr>
        <w:sz w:val="22"/>
        <w:szCs w:val="22"/>
      </w:rPr>
    </w:pPr>
    <w:r>
      <w:rPr>
        <w:sz w:val="22"/>
        <w:szCs w:val="22"/>
      </w:rPr>
      <w:pict w14:anchorId="4F03030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9050020"/>
    <w:multiLevelType w:val="hybridMultilevel"/>
    <w:tmpl w:val="8FCE38EE"/>
    <w:lvl w:ilvl="0" w:tplc="57BAD2D0">
      <w:start w:val="1"/>
      <w:numFmt w:val="decimal"/>
      <w:lvlText w:val="%1."/>
      <w:lvlJc w:val="left"/>
      <w:pPr>
        <w:tabs>
          <w:tab w:val="num" w:pos="1429"/>
        </w:tabs>
        <w:ind w:firstLine="720"/>
      </w:pPr>
      <w:rPr>
        <w:rFonts w:ascii="Cambria" w:hAnsi="Cambria" w:cs="Times New Roman" w:hint="default"/>
        <w:b w:val="0"/>
        <w:i w:val="0"/>
        <w:sz w:val="20"/>
        <w:szCs w:val="20"/>
        <w:lang w:val="es-AR"/>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05C29"/>
    <w:multiLevelType w:val="hybridMultilevel"/>
    <w:tmpl w:val="37E83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3900FDB"/>
    <w:multiLevelType w:val="hybridMultilevel"/>
    <w:tmpl w:val="250A5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1B68F9"/>
    <w:multiLevelType w:val="hybridMultilevel"/>
    <w:tmpl w:val="3CE0E556"/>
    <w:lvl w:ilvl="0" w:tplc="18921E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BE5711"/>
    <w:multiLevelType w:val="hybridMultilevel"/>
    <w:tmpl w:val="38B27BAE"/>
    <w:lvl w:ilvl="0" w:tplc="6CA0A36C">
      <w:start w:val="132"/>
      <w:numFmt w:val="decimal"/>
      <w:lvlText w:val="%1."/>
      <w:lvlJc w:val="left"/>
      <w:pPr>
        <w:ind w:left="1080" w:hanging="360"/>
      </w:pPr>
      <w:rPr>
        <w:rFonts w:hint="default"/>
        <w:b w:val="0"/>
        <w:i w:val="0"/>
      </w:rPr>
    </w:lvl>
    <w:lvl w:ilvl="1" w:tplc="5966FB2E">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2A0BA1"/>
    <w:multiLevelType w:val="multilevel"/>
    <w:tmpl w:val="13AADAD4"/>
    <w:lvl w:ilvl="0">
      <w:start w:val="1"/>
      <w:numFmt w:val="upperRoman"/>
      <w:lvlText w:val="%1."/>
      <w:lvlJc w:val="left"/>
      <w:pPr>
        <w:ind w:left="1080" w:hanging="72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7EE70F2"/>
    <w:multiLevelType w:val="hybridMultilevel"/>
    <w:tmpl w:val="B6F42BC0"/>
    <w:lvl w:ilvl="0" w:tplc="BF22298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B055F4B"/>
    <w:multiLevelType w:val="multilevel"/>
    <w:tmpl w:val="37C4B254"/>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6BD03E6"/>
    <w:multiLevelType w:val="hybridMultilevel"/>
    <w:tmpl w:val="4CA83BF0"/>
    <w:lvl w:ilvl="0" w:tplc="58B8D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D0C15F5"/>
    <w:multiLevelType w:val="hybridMultilevel"/>
    <w:tmpl w:val="21EA5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D80A79"/>
    <w:multiLevelType w:val="hybridMultilevel"/>
    <w:tmpl w:val="4CAE3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84482F"/>
    <w:multiLevelType w:val="hybridMultilevel"/>
    <w:tmpl w:val="D6947200"/>
    <w:lvl w:ilvl="0" w:tplc="DE40D790">
      <w:start w:val="1"/>
      <w:numFmt w:val="upperLetter"/>
      <w:lvlText w:val="%1."/>
      <w:lvlJc w:val="left"/>
      <w:pPr>
        <w:ind w:left="1440" w:hanging="720"/>
      </w:pPr>
      <w:rPr>
        <w:rFonts w:asciiTheme="majorHAnsi" w:hAnsiTheme="majorHAnsi" w:hint="default"/>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5D7D4B9D"/>
    <w:multiLevelType w:val="hybridMultilevel"/>
    <w:tmpl w:val="F8E616F8"/>
    <w:lvl w:ilvl="0" w:tplc="939EA0F0">
      <w:start w:val="1"/>
      <w:numFmt w:val="decimal"/>
      <w:lvlText w:val="%1."/>
      <w:lvlJc w:val="left"/>
      <w:pPr>
        <w:ind w:left="720" w:hanging="360"/>
      </w:pPr>
      <w:rPr>
        <w:rFonts w:ascii="Cambria" w:hAnsi="Cambria" w:hint="default"/>
        <w:b w:val="0"/>
        <w:sz w:val="20"/>
        <w:szCs w:val="20"/>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65146B17"/>
    <w:multiLevelType w:val="hybridMultilevel"/>
    <w:tmpl w:val="E286D0CA"/>
    <w:lvl w:ilvl="0" w:tplc="A31CD6B4">
      <w:start w:val="1"/>
      <w:numFmt w:val="decimal"/>
      <w:lvlText w:val="%1."/>
      <w:lvlJc w:val="left"/>
      <w:pPr>
        <w:tabs>
          <w:tab w:val="num" w:pos="2340"/>
        </w:tabs>
        <w:ind w:left="2340" w:hanging="1440"/>
      </w:pPr>
      <w:rPr>
        <w:rFonts w:ascii="Cambria" w:hAnsi="Cambria" w:hint="default"/>
        <w:b w:val="0"/>
        <w:i w:val="0"/>
        <w:sz w:val="20"/>
        <w:szCs w:val="20"/>
      </w:rPr>
    </w:lvl>
    <w:lvl w:ilvl="1" w:tplc="04090019">
      <w:start w:val="6"/>
      <w:numFmt w:val="upperRoman"/>
      <w:lvlText w:val="%2."/>
      <w:lvlJc w:val="left"/>
      <w:pPr>
        <w:tabs>
          <w:tab w:val="num" w:pos="2160"/>
        </w:tabs>
        <w:ind w:left="2160" w:hanging="720"/>
      </w:pPr>
    </w:lvl>
    <w:lvl w:ilvl="2" w:tplc="0409001B">
      <w:start w:val="1"/>
      <w:numFmt w:val="upperLetter"/>
      <w:lvlText w:val="%3."/>
      <w:lvlJc w:val="left"/>
      <w:pPr>
        <w:tabs>
          <w:tab w:val="num" w:pos="3060"/>
        </w:tabs>
        <w:ind w:left="3060" w:hanging="720"/>
      </w:pPr>
    </w:lvl>
    <w:lvl w:ilvl="3" w:tplc="1BC6FDD6">
      <w:start w:val="1"/>
      <w:numFmt w:val="lowerRoman"/>
      <w:lvlText w:val="%4."/>
      <w:lvlJc w:val="left"/>
      <w:pPr>
        <w:tabs>
          <w:tab w:val="num" w:pos="3600"/>
        </w:tabs>
        <w:ind w:left="3600" w:hanging="720"/>
      </w:pPr>
      <w:rPr>
        <w:rFonts w:cs="Times New Roman"/>
      </w:rPr>
    </w:lvl>
    <w:lvl w:ilvl="4" w:tplc="C350752E">
      <w:start w:val="1"/>
      <w:numFmt w:val="lowerRoman"/>
      <w:lvlText w:val="%5)"/>
      <w:lvlJc w:val="left"/>
      <w:pPr>
        <w:tabs>
          <w:tab w:val="num" w:pos="4320"/>
        </w:tabs>
        <w:ind w:left="4320" w:hanging="72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62"/>
  </w:num>
  <w:num w:numId="4">
    <w:abstractNumId w:val="23"/>
  </w:num>
  <w:num w:numId="5">
    <w:abstractNumId w:val="56"/>
  </w:num>
  <w:num w:numId="6">
    <w:abstractNumId w:val="31"/>
  </w:num>
  <w:num w:numId="7">
    <w:abstractNumId w:val="6"/>
  </w:num>
  <w:num w:numId="8">
    <w:abstractNumId w:val="19"/>
  </w:num>
  <w:num w:numId="9">
    <w:abstractNumId w:val="50"/>
  </w:num>
  <w:num w:numId="10">
    <w:abstractNumId w:val="0"/>
  </w:num>
  <w:num w:numId="11">
    <w:abstractNumId w:val="42"/>
  </w:num>
  <w:num w:numId="12">
    <w:abstractNumId w:val="43"/>
  </w:num>
  <w:num w:numId="13">
    <w:abstractNumId w:val="5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4"/>
  </w:num>
  <w:num w:numId="23">
    <w:abstractNumId w:val="16"/>
  </w:num>
  <w:num w:numId="24">
    <w:abstractNumId w:val="17"/>
  </w:num>
  <w:num w:numId="25">
    <w:abstractNumId w:val="20"/>
  </w:num>
  <w:num w:numId="26">
    <w:abstractNumId w:val="21"/>
  </w:num>
  <w:num w:numId="27">
    <w:abstractNumId w:val="24"/>
  </w:num>
  <w:num w:numId="28">
    <w:abstractNumId w:val="25"/>
  </w:num>
  <w:num w:numId="29">
    <w:abstractNumId w:val="26"/>
  </w:num>
  <w:num w:numId="30">
    <w:abstractNumId w:val="30"/>
  </w:num>
  <w:num w:numId="31">
    <w:abstractNumId w:val="32"/>
  </w:num>
  <w:num w:numId="32">
    <w:abstractNumId w:val="34"/>
  </w:num>
  <w:num w:numId="33">
    <w:abstractNumId w:val="35"/>
  </w:num>
  <w:num w:numId="34">
    <w:abstractNumId w:val="36"/>
  </w:num>
  <w:num w:numId="35">
    <w:abstractNumId w:val="37"/>
  </w:num>
  <w:num w:numId="36">
    <w:abstractNumId w:val="38"/>
  </w:num>
  <w:num w:numId="37">
    <w:abstractNumId w:val="40"/>
  </w:num>
  <w:num w:numId="38">
    <w:abstractNumId w:val="41"/>
  </w:num>
  <w:num w:numId="39">
    <w:abstractNumId w:val="47"/>
  </w:num>
  <w:num w:numId="40">
    <w:abstractNumId w:val="48"/>
  </w:num>
  <w:num w:numId="41">
    <w:abstractNumId w:val="54"/>
  </w:num>
  <w:num w:numId="42">
    <w:abstractNumId w:val="57"/>
  </w:num>
  <w:num w:numId="43">
    <w:abstractNumId w:val="58"/>
  </w:num>
  <w:num w:numId="44">
    <w:abstractNumId w:val="60"/>
  </w:num>
  <w:num w:numId="45">
    <w:abstractNumId w:val="61"/>
  </w:num>
  <w:num w:numId="46">
    <w:abstractNumId w:val="63"/>
  </w:num>
  <w:num w:numId="47">
    <w:abstractNumId w:val="64"/>
  </w:num>
  <w:num w:numId="48">
    <w:abstractNumId w:val="65"/>
  </w:num>
  <w:num w:numId="49">
    <w:abstractNumId w:val="66"/>
  </w:num>
  <w:num w:numId="50">
    <w:abstractNumId w:val="67"/>
  </w:num>
  <w:num w:numId="51">
    <w:abstractNumId w:val="22"/>
  </w:num>
  <w:num w:numId="52">
    <w:abstractNumId w:val="49"/>
  </w:num>
  <w:num w:numId="53">
    <w:abstractNumId w:val="59"/>
  </w:num>
  <w:num w:numId="54">
    <w:abstractNumId w:val="52"/>
  </w:num>
  <w:num w:numId="55">
    <w:abstractNumId w:val="28"/>
  </w:num>
  <w:num w:numId="56">
    <w:abstractNumId w:val="18"/>
  </w:num>
  <w:num w:numId="57">
    <w:abstractNumId w:val="53"/>
  </w:num>
  <w:num w:numId="58">
    <w:abstractNumId w:val="5"/>
  </w:num>
  <w:num w:numId="59">
    <w:abstractNumId w:val="46"/>
  </w:num>
  <w:num w:numId="60">
    <w:abstractNumId w:val="39"/>
  </w:num>
  <w:num w:numId="61">
    <w:abstractNumId w:val="33"/>
  </w:num>
  <w:num w:numId="62">
    <w:abstractNumId w:val="27"/>
  </w:num>
  <w:num w:numId="63">
    <w:abstractNumId w:val="45"/>
  </w:num>
  <w:num w:numId="64">
    <w:abstractNumId w:val="15"/>
  </w:num>
  <w:num w:numId="65">
    <w:abstractNumId w:val="44"/>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59"/>
  </w:num>
  <w:num w:numId="70">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defaultTabStop w:val="720"/>
  <w:hyphenationZone w:val="425"/>
  <w:characterSpacingControl w:val="doNotCompress"/>
  <w:hdrShapeDefaults>
    <o:shapedefaults v:ext="edit" spidmax="14338"/>
  </w:hdrShapeDefault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B2D5C"/>
    <w:rsid w:val="0000036F"/>
    <w:rsid w:val="00000CDA"/>
    <w:rsid w:val="0000644C"/>
    <w:rsid w:val="00006896"/>
    <w:rsid w:val="00006E1F"/>
    <w:rsid w:val="000070D7"/>
    <w:rsid w:val="000076E7"/>
    <w:rsid w:val="0001094F"/>
    <w:rsid w:val="00010AB5"/>
    <w:rsid w:val="0001427F"/>
    <w:rsid w:val="0001521F"/>
    <w:rsid w:val="000158FD"/>
    <w:rsid w:val="0001762F"/>
    <w:rsid w:val="0001788C"/>
    <w:rsid w:val="00020670"/>
    <w:rsid w:val="000274EC"/>
    <w:rsid w:val="00033229"/>
    <w:rsid w:val="00035800"/>
    <w:rsid w:val="00040C3A"/>
    <w:rsid w:val="00041FC7"/>
    <w:rsid w:val="000431CA"/>
    <w:rsid w:val="00050E52"/>
    <w:rsid w:val="000616F3"/>
    <w:rsid w:val="00061FBF"/>
    <w:rsid w:val="000620DF"/>
    <w:rsid w:val="00067A5D"/>
    <w:rsid w:val="000716C5"/>
    <w:rsid w:val="00072AAD"/>
    <w:rsid w:val="00072F3F"/>
    <w:rsid w:val="00074BAD"/>
    <w:rsid w:val="00075E23"/>
    <w:rsid w:val="0007755F"/>
    <w:rsid w:val="000775C6"/>
    <w:rsid w:val="0008768F"/>
    <w:rsid w:val="00090D2B"/>
    <w:rsid w:val="0009344A"/>
    <w:rsid w:val="0009739F"/>
    <w:rsid w:val="000A104E"/>
    <w:rsid w:val="000A2834"/>
    <w:rsid w:val="000A369B"/>
    <w:rsid w:val="000A392E"/>
    <w:rsid w:val="000A575F"/>
    <w:rsid w:val="000A576A"/>
    <w:rsid w:val="000A606C"/>
    <w:rsid w:val="000A67BD"/>
    <w:rsid w:val="000B0F12"/>
    <w:rsid w:val="000B1F64"/>
    <w:rsid w:val="000B48DD"/>
    <w:rsid w:val="000B716E"/>
    <w:rsid w:val="000C42E9"/>
    <w:rsid w:val="000D10DB"/>
    <w:rsid w:val="000D1FCE"/>
    <w:rsid w:val="000D7567"/>
    <w:rsid w:val="000E0095"/>
    <w:rsid w:val="000E189C"/>
    <w:rsid w:val="000E3919"/>
    <w:rsid w:val="000E3C08"/>
    <w:rsid w:val="000E49D8"/>
    <w:rsid w:val="000E51FD"/>
    <w:rsid w:val="000E5EB5"/>
    <w:rsid w:val="000F35ED"/>
    <w:rsid w:val="000F5071"/>
    <w:rsid w:val="000F61A6"/>
    <w:rsid w:val="000F7789"/>
    <w:rsid w:val="000F7B38"/>
    <w:rsid w:val="00100D38"/>
    <w:rsid w:val="00105DFB"/>
    <w:rsid w:val="00107131"/>
    <w:rsid w:val="0010736F"/>
    <w:rsid w:val="00112D67"/>
    <w:rsid w:val="00113F73"/>
    <w:rsid w:val="00115F12"/>
    <w:rsid w:val="00117657"/>
    <w:rsid w:val="00117679"/>
    <w:rsid w:val="00121CC2"/>
    <w:rsid w:val="001249C1"/>
    <w:rsid w:val="001252C6"/>
    <w:rsid w:val="00130E86"/>
    <w:rsid w:val="001319FB"/>
    <w:rsid w:val="0013213F"/>
    <w:rsid w:val="00133EE5"/>
    <w:rsid w:val="00137163"/>
    <w:rsid w:val="00141BDC"/>
    <w:rsid w:val="00143016"/>
    <w:rsid w:val="001508EE"/>
    <w:rsid w:val="00160739"/>
    <w:rsid w:val="00166189"/>
    <w:rsid w:val="00166C5C"/>
    <w:rsid w:val="00167A34"/>
    <w:rsid w:val="0017608F"/>
    <w:rsid w:val="00180159"/>
    <w:rsid w:val="00181F34"/>
    <w:rsid w:val="0018734B"/>
    <w:rsid w:val="00190A40"/>
    <w:rsid w:val="00193B89"/>
    <w:rsid w:val="00194C62"/>
    <w:rsid w:val="00194E98"/>
    <w:rsid w:val="0019553C"/>
    <w:rsid w:val="001A1B48"/>
    <w:rsid w:val="001A1D6A"/>
    <w:rsid w:val="001A7870"/>
    <w:rsid w:val="001B1805"/>
    <w:rsid w:val="001B2A6C"/>
    <w:rsid w:val="001B6238"/>
    <w:rsid w:val="001B6DE9"/>
    <w:rsid w:val="001C103F"/>
    <w:rsid w:val="001C1B41"/>
    <w:rsid w:val="001D163E"/>
    <w:rsid w:val="001D18C7"/>
    <w:rsid w:val="001D25E1"/>
    <w:rsid w:val="001D4713"/>
    <w:rsid w:val="001D65EF"/>
    <w:rsid w:val="001E15B6"/>
    <w:rsid w:val="001E33EF"/>
    <w:rsid w:val="001E45EC"/>
    <w:rsid w:val="001E640F"/>
    <w:rsid w:val="001E75AD"/>
    <w:rsid w:val="001E7BDA"/>
    <w:rsid w:val="001F288D"/>
    <w:rsid w:val="001F3A00"/>
    <w:rsid w:val="001F4F97"/>
    <w:rsid w:val="001F6FBA"/>
    <w:rsid w:val="001F7BF5"/>
    <w:rsid w:val="0020002B"/>
    <w:rsid w:val="0020081A"/>
    <w:rsid w:val="00203242"/>
    <w:rsid w:val="00203785"/>
    <w:rsid w:val="00204075"/>
    <w:rsid w:val="00204B61"/>
    <w:rsid w:val="00207887"/>
    <w:rsid w:val="00210128"/>
    <w:rsid w:val="00210831"/>
    <w:rsid w:val="0021594A"/>
    <w:rsid w:val="0022129B"/>
    <w:rsid w:val="002215DE"/>
    <w:rsid w:val="002250A3"/>
    <w:rsid w:val="00227204"/>
    <w:rsid w:val="002272FE"/>
    <w:rsid w:val="00233771"/>
    <w:rsid w:val="00234E92"/>
    <w:rsid w:val="00235217"/>
    <w:rsid w:val="0023764A"/>
    <w:rsid w:val="00240F42"/>
    <w:rsid w:val="0024374D"/>
    <w:rsid w:val="00245653"/>
    <w:rsid w:val="00246D1F"/>
    <w:rsid w:val="00247403"/>
    <w:rsid w:val="00247542"/>
    <w:rsid w:val="00247858"/>
    <w:rsid w:val="002509A5"/>
    <w:rsid w:val="0025434E"/>
    <w:rsid w:val="00256346"/>
    <w:rsid w:val="002662F2"/>
    <w:rsid w:val="00266B61"/>
    <w:rsid w:val="00266BC8"/>
    <w:rsid w:val="0026712A"/>
    <w:rsid w:val="0026760A"/>
    <w:rsid w:val="002704BE"/>
    <w:rsid w:val="002704DB"/>
    <w:rsid w:val="00273810"/>
    <w:rsid w:val="002741F0"/>
    <w:rsid w:val="00276DF8"/>
    <w:rsid w:val="00277EF9"/>
    <w:rsid w:val="002827DD"/>
    <w:rsid w:val="002857B8"/>
    <w:rsid w:val="00286FD9"/>
    <w:rsid w:val="00293B47"/>
    <w:rsid w:val="00296ADA"/>
    <w:rsid w:val="00297A96"/>
    <w:rsid w:val="002A0AAE"/>
    <w:rsid w:val="002A0BCE"/>
    <w:rsid w:val="002A5764"/>
    <w:rsid w:val="002A5820"/>
    <w:rsid w:val="002B2E34"/>
    <w:rsid w:val="002B6D48"/>
    <w:rsid w:val="002C280D"/>
    <w:rsid w:val="002C4D62"/>
    <w:rsid w:val="002C56BF"/>
    <w:rsid w:val="002C74D8"/>
    <w:rsid w:val="002D2B26"/>
    <w:rsid w:val="002D53C6"/>
    <w:rsid w:val="002D7EA2"/>
    <w:rsid w:val="002E187C"/>
    <w:rsid w:val="002E2148"/>
    <w:rsid w:val="002E4AEA"/>
    <w:rsid w:val="002E7880"/>
    <w:rsid w:val="002F4748"/>
    <w:rsid w:val="00302733"/>
    <w:rsid w:val="00303D52"/>
    <w:rsid w:val="00303F89"/>
    <w:rsid w:val="00307ABC"/>
    <w:rsid w:val="00307EA2"/>
    <w:rsid w:val="00311AE2"/>
    <w:rsid w:val="00313121"/>
    <w:rsid w:val="00314078"/>
    <w:rsid w:val="0031535D"/>
    <w:rsid w:val="003201DF"/>
    <w:rsid w:val="0032296A"/>
    <w:rsid w:val="00325F48"/>
    <w:rsid w:val="00326571"/>
    <w:rsid w:val="0033028D"/>
    <w:rsid w:val="0033169F"/>
    <w:rsid w:val="00332D9C"/>
    <w:rsid w:val="00332EB2"/>
    <w:rsid w:val="003337C9"/>
    <w:rsid w:val="00335F60"/>
    <w:rsid w:val="00341A26"/>
    <w:rsid w:val="00341B27"/>
    <w:rsid w:val="00346C95"/>
    <w:rsid w:val="00350891"/>
    <w:rsid w:val="003548EB"/>
    <w:rsid w:val="00355100"/>
    <w:rsid w:val="00356185"/>
    <w:rsid w:val="00360380"/>
    <w:rsid w:val="00361415"/>
    <w:rsid w:val="00362303"/>
    <w:rsid w:val="003632A1"/>
    <w:rsid w:val="00365872"/>
    <w:rsid w:val="00371CF8"/>
    <w:rsid w:val="003733AE"/>
    <w:rsid w:val="00374746"/>
    <w:rsid w:val="0037519E"/>
    <w:rsid w:val="00381499"/>
    <w:rsid w:val="00384F64"/>
    <w:rsid w:val="00386CF0"/>
    <w:rsid w:val="00390097"/>
    <w:rsid w:val="00390884"/>
    <w:rsid w:val="00391CBE"/>
    <w:rsid w:val="00391E48"/>
    <w:rsid w:val="00396AA0"/>
    <w:rsid w:val="003A2DF3"/>
    <w:rsid w:val="003A35D9"/>
    <w:rsid w:val="003A4C9A"/>
    <w:rsid w:val="003B4643"/>
    <w:rsid w:val="003C4692"/>
    <w:rsid w:val="003C676B"/>
    <w:rsid w:val="003C6BA3"/>
    <w:rsid w:val="003D0B8A"/>
    <w:rsid w:val="003D3BC2"/>
    <w:rsid w:val="003D653C"/>
    <w:rsid w:val="003D67C7"/>
    <w:rsid w:val="003D7290"/>
    <w:rsid w:val="003D7C03"/>
    <w:rsid w:val="003E1BDC"/>
    <w:rsid w:val="003E432F"/>
    <w:rsid w:val="003E649C"/>
    <w:rsid w:val="003E6CA1"/>
    <w:rsid w:val="003F1203"/>
    <w:rsid w:val="003F59B7"/>
    <w:rsid w:val="003F6985"/>
    <w:rsid w:val="00404EC5"/>
    <w:rsid w:val="00407AD6"/>
    <w:rsid w:val="00411380"/>
    <w:rsid w:val="004135F0"/>
    <w:rsid w:val="00415348"/>
    <w:rsid w:val="004165C2"/>
    <w:rsid w:val="0042391F"/>
    <w:rsid w:val="00426114"/>
    <w:rsid w:val="00426209"/>
    <w:rsid w:val="00432E01"/>
    <w:rsid w:val="00433EDD"/>
    <w:rsid w:val="00434DA4"/>
    <w:rsid w:val="00437655"/>
    <w:rsid w:val="00440EB7"/>
    <w:rsid w:val="0044170A"/>
    <w:rsid w:val="00441ECB"/>
    <w:rsid w:val="00443738"/>
    <w:rsid w:val="00445D30"/>
    <w:rsid w:val="00446785"/>
    <w:rsid w:val="00446C55"/>
    <w:rsid w:val="00451B0F"/>
    <w:rsid w:val="004545BF"/>
    <w:rsid w:val="004573F7"/>
    <w:rsid w:val="00463B31"/>
    <w:rsid w:val="0046509B"/>
    <w:rsid w:val="004653EB"/>
    <w:rsid w:val="00465CCB"/>
    <w:rsid w:val="00467B7E"/>
    <w:rsid w:val="00471085"/>
    <w:rsid w:val="0047427A"/>
    <w:rsid w:val="00476EC4"/>
    <w:rsid w:val="00477592"/>
    <w:rsid w:val="00482EC8"/>
    <w:rsid w:val="00483B3C"/>
    <w:rsid w:val="00486F1C"/>
    <w:rsid w:val="0049419D"/>
    <w:rsid w:val="004964E5"/>
    <w:rsid w:val="00496CC4"/>
    <w:rsid w:val="004A42AE"/>
    <w:rsid w:val="004A5155"/>
    <w:rsid w:val="004B13DE"/>
    <w:rsid w:val="004B2273"/>
    <w:rsid w:val="004B3C3D"/>
    <w:rsid w:val="004C13A5"/>
    <w:rsid w:val="004C1969"/>
    <w:rsid w:val="004C20D2"/>
    <w:rsid w:val="004C4B62"/>
    <w:rsid w:val="004C54C9"/>
    <w:rsid w:val="004C5946"/>
    <w:rsid w:val="004C790D"/>
    <w:rsid w:val="004D195F"/>
    <w:rsid w:val="004D2720"/>
    <w:rsid w:val="004D6025"/>
    <w:rsid w:val="004D6618"/>
    <w:rsid w:val="004E0840"/>
    <w:rsid w:val="004E1CB0"/>
    <w:rsid w:val="004E2649"/>
    <w:rsid w:val="004F0184"/>
    <w:rsid w:val="004F2AC9"/>
    <w:rsid w:val="004F47A6"/>
    <w:rsid w:val="004F4C36"/>
    <w:rsid w:val="004F5BD2"/>
    <w:rsid w:val="004F627D"/>
    <w:rsid w:val="004F7E8B"/>
    <w:rsid w:val="00500C6D"/>
    <w:rsid w:val="0050128F"/>
    <w:rsid w:val="00501399"/>
    <w:rsid w:val="005025A5"/>
    <w:rsid w:val="0050633D"/>
    <w:rsid w:val="005063F3"/>
    <w:rsid w:val="005066AF"/>
    <w:rsid w:val="00506F32"/>
    <w:rsid w:val="00507BC4"/>
    <w:rsid w:val="0051016E"/>
    <w:rsid w:val="005128A1"/>
    <w:rsid w:val="005128E4"/>
    <w:rsid w:val="005133DB"/>
    <w:rsid w:val="0051542D"/>
    <w:rsid w:val="00525560"/>
    <w:rsid w:val="00533DF3"/>
    <w:rsid w:val="005354F3"/>
    <w:rsid w:val="005363FD"/>
    <w:rsid w:val="00536923"/>
    <w:rsid w:val="00541EF1"/>
    <w:rsid w:val="005430CE"/>
    <w:rsid w:val="00544266"/>
    <w:rsid w:val="005443B4"/>
    <w:rsid w:val="00544C49"/>
    <w:rsid w:val="00547A39"/>
    <w:rsid w:val="00550104"/>
    <w:rsid w:val="005516A1"/>
    <w:rsid w:val="00553A6F"/>
    <w:rsid w:val="005615CB"/>
    <w:rsid w:val="005623FE"/>
    <w:rsid w:val="00563834"/>
    <w:rsid w:val="00565744"/>
    <w:rsid w:val="00567476"/>
    <w:rsid w:val="005717EF"/>
    <w:rsid w:val="005718AF"/>
    <w:rsid w:val="00573108"/>
    <w:rsid w:val="00573455"/>
    <w:rsid w:val="0057402A"/>
    <w:rsid w:val="00575C65"/>
    <w:rsid w:val="0057718D"/>
    <w:rsid w:val="005771D0"/>
    <w:rsid w:val="00581B20"/>
    <w:rsid w:val="005821BE"/>
    <w:rsid w:val="00583153"/>
    <w:rsid w:val="0058520A"/>
    <w:rsid w:val="005859B2"/>
    <w:rsid w:val="00586021"/>
    <w:rsid w:val="005909D3"/>
    <w:rsid w:val="0059191A"/>
    <w:rsid w:val="005921FF"/>
    <w:rsid w:val="005937F1"/>
    <w:rsid w:val="00594EFD"/>
    <w:rsid w:val="0059595A"/>
    <w:rsid w:val="00595C1D"/>
    <w:rsid w:val="005A0800"/>
    <w:rsid w:val="005A1E34"/>
    <w:rsid w:val="005A2945"/>
    <w:rsid w:val="005A5FB4"/>
    <w:rsid w:val="005A6D0E"/>
    <w:rsid w:val="005B4114"/>
    <w:rsid w:val="005B42D1"/>
    <w:rsid w:val="005B4FFA"/>
    <w:rsid w:val="005B52B0"/>
    <w:rsid w:val="005B59DD"/>
    <w:rsid w:val="005B6806"/>
    <w:rsid w:val="005B7D10"/>
    <w:rsid w:val="005C4225"/>
    <w:rsid w:val="005C4CA5"/>
    <w:rsid w:val="005C5801"/>
    <w:rsid w:val="005C6DA6"/>
    <w:rsid w:val="005D02EC"/>
    <w:rsid w:val="005D080A"/>
    <w:rsid w:val="005D0AA5"/>
    <w:rsid w:val="005D0DB1"/>
    <w:rsid w:val="005D17D3"/>
    <w:rsid w:val="005D1BC4"/>
    <w:rsid w:val="005D4723"/>
    <w:rsid w:val="005E0299"/>
    <w:rsid w:val="005E1FAC"/>
    <w:rsid w:val="005E24A0"/>
    <w:rsid w:val="005E4D9F"/>
    <w:rsid w:val="005E55B4"/>
    <w:rsid w:val="005F0DAD"/>
    <w:rsid w:val="005F0F33"/>
    <w:rsid w:val="005F17C8"/>
    <w:rsid w:val="005F309E"/>
    <w:rsid w:val="005F3ECA"/>
    <w:rsid w:val="005F4DC5"/>
    <w:rsid w:val="00600D38"/>
    <w:rsid w:val="00600DEB"/>
    <w:rsid w:val="006040AF"/>
    <w:rsid w:val="00604621"/>
    <w:rsid w:val="00605F3A"/>
    <w:rsid w:val="00606A2D"/>
    <w:rsid w:val="006125C3"/>
    <w:rsid w:val="00613F83"/>
    <w:rsid w:val="006142D8"/>
    <w:rsid w:val="00615B87"/>
    <w:rsid w:val="006165B4"/>
    <w:rsid w:val="00617054"/>
    <w:rsid w:val="00620EB8"/>
    <w:rsid w:val="006214B4"/>
    <w:rsid w:val="00624974"/>
    <w:rsid w:val="0062780B"/>
    <w:rsid w:val="00627C9F"/>
    <w:rsid w:val="006311E9"/>
    <w:rsid w:val="00632354"/>
    <w:rsid w:val="00637BF3"/>
    <w:rsid w:val="006404EE"/>
    <w:rsid w:val="006408E9"/>
    <w:rsid w:val="006423EC"/>
    <w:rsid w:val="00642810"/>
    <w:rsid w:val="0064551E"/>
    <w:rsid w:val="00652333"/>
    <w:rsid w:val="00655421"/>
    <w:rsid w:val="0065637A"/>
    <w:rsid w:val="00660E83"/>
    <w:rsid w:val="00660EFA"/>
    <w:rsid w:val="00661FCE"/>
    <w:rsid w:val="00663A42"/>
    <w:rsid w:val="00664800"/>
    <w:rsid w:val="006714BE"/>
    <w:rsid w:val="00673334"/>
    <w:rsid w:val="006748BE"/>
    <w:rsid w:val="0068009E"/>
    <w:rsid w:val="00681E34"/>
    <w:rsid w:val="006836A6"/>
    <w:rsid w:val="006848F9"/>
    <w:rsid w:val="006878F3"/>
    <w:rsid w:val="00690106"/>
    <w:rsid w:val="0069099C"/>
    <w:rsid w:val="00692219"/>
    <w:rsid w:val="00694791"/>
    <w:rsid w:val="00695A90"/>
    <w:rsid w:val="006967A4"/>
    <w:rsid w:val="006A17D2"/>
    <w:rsid w:val="006A2637"/>
    <w:rsid w:val="006A3755"/>
    <w:rsid w:val="006A37F1"/>
    <w:rsid w:val="006A4B39"/>
    <w:rsid w:val="006A5389"/>
    <w:rsid w:val="006A564D"/>
    <w:rsid w:val="006A73E6"/>
    <w:rsid w:val="006B2D5C"/>
    <w:rsid w:val="006B4D40"/>
    <w:rsid w:val="006B6D63"/>
    <w:rsid w:val="006C1200"/>
    <w:rsid w:val="006C1A20"/>
    <w:rsid w:val="006C4EB1"/>
    <w:rsid w:val="006C6F26"/>
    <w:rsid w:val="006D0565"/>
    <w:rsid w:val="006D360A"/>
    <w:rsid w:val="006D5450"/>
    <w:rsid w:val="006D662B"/>
    <w:rsid w:val="006D72EB"/>
    <w:rsid w:val="006E0166"/>
    <w:rsid w:val="006E1ADB"/>
    <w:rsid w:val="006E555E"/>
    <w:rsid w:val="006E7B34"/>
    <w:rsid w:val="006F0920"/>
    <w:rsid w:val="006F1CBD"/>
    <w:rsid w:val="006F21EB"/>
    <w:rsid w:val="006F3B16"/>
    <w:rsid w:val="006F54C0"/>
    <w:rsid w:val="006F6928"/>
    <w:rsid w:val="00703B6C"/>
    <w:rsid w:val="0070697F"/>
    <w:rsid w:val="00710BA0"/>
    <w:rsid w:val="00714665"/>
    <w:rsid w:val="0072199C"/>
    <w:rsid w:val="00722C9F"/>
    <w:rsid w:val="007253B8"/>
    <w:rsid w:val="00725E83"/>
    <w:rsid w:val="00727B79"/>
    <w:rsid w:val="007318B1"/>
    <w:rsid w:val="0073333F"/>
    <w:rsid w:val="0073631B"/>
    <w:rsid w:val="00736329"/>
    <w:rsid w:val="0073741F"/>
    <w:rsid w:val="00750609"/>
    <w:rsid w:val="00752439"/>
    <w:rsid w:val="0075409F"/>
    <w:rsid w:val="00754DF6"/>
    <w:rsid w:val="00754EC3"/>
    <w:rsid w:val="0076643F"/>
    <w:rsid w:val="007668C4"/>
    <w:rsid w:val="00767E37"/>
    <w:rsid w:val="00771ED4"/>
    <w:rsid w:val="0077293B"/>
    <w:rsid w:val="00777F63"/>
    <w:rsid w:val="00780D9D"/>
    <w:rsid w:val="00781C9E"/>
    <w:rsid w:val="007856EA"/>
    <w:rsid w:val="00792BC3"/>
    <w:rsid w:val="0079502A"/>
    <w:rsid w:val="00796D14"/>
    <w:rsid w:val="007A1907"/>
    <w:rsid w:val="007A21B0"/>
    <w:rsid w:val="007A5817"/>
    <w:rsid w:val="007A6AB2"/>
    <w:rsid w:val="007B60E9"/>
    <w:rsid w:val="007B6385"/>
    <w:rsid w:val="007B6CC3"/>
    <w:rsid w:val="007C01C2"/>
    <w:rsid w:val="007C17B3"/>
    <w:rsid w:val="007C3334"/>
    <w:rsid w:val="007C4E5E"/>
    <w:rsid w:val="007C5FAD"/>
    <w:rsid w:val="007C7059"/>
    <w:rsid w:val="007C756A"/>
    <w:rsid w:val="007D2B98"/>
    <w:rsid w:val="007D3244"/>
    <w:rsid w:val="007D3864"/>
    <w:rsid w:val="007D4DB0"/>
    <w:rsid w:val="007D6EF1"/>
    <w:rsid w:val="007E21BC"/>
    <w:rsid w:val="007E4B8D"/>
    <w:rsid w:val="007E73A4"/>
    <w:rsid w:val="007F0354"/>
    <w:rsid w:val="007F3FE3"/>
    <w:rsid w:val="007F4DD2"/>
    <w:rsid w:val="007F6CAE"/>
    <w:rsid w:val="007F7E9A"/>
    <w:rsid w:val="00803F1C"/>
    <w:rsid w:val="0080600E"/>
    <w:rsid w:val="00806427"/>
    <w:rsid w:val="008064DD"/>
    <w:rsid w:val="0081064F"/>
    <w:rsid w:val="00813CE8"/>
    <w:rsid w:val="00815021"/>
    <w:rsid w:val="00817612"/>
    <w:rsid w:val="00820F7E"/>
    <w:rsid w:val="008217E6"/>
    <w:rsid w:val="008266A7"/>
    <w:rsid w:val="00827BC9"/>
    <w:rsid w:val="0083206C"/>
    <w:rsid w:val="00833590"/>
    <w:rsid w:val="008338A4"/>
    <w:rsid w:val="00837C45"/>
    <w:rsid w:val="00844730"/>
    <w:rsid w:val="0084475F"/>
    <w:rsid w:val="00845490"/>
    <w:rsid w:val="008457C2"/>
    <w:rsid w:val="00845947"/>
    <w:rsid w:val="00845EA0"/>
    <w:rsid w:val="0084785F"/>
    <w:rsid w:val="00847B49"/>
    <w:rsid w:val="008503B8"/>
    <w:rsid w:val="00857A82"/>
    <w:rsid w:val="00861529"/>
    <w:rsid w:val="0086218D"/>
    <w:rsid w:val="00865CDA"/>
    <w:rsid w:val="00871283"/>
    <w:rsid w:val="008721EE"/>
    <w:rsid w:val="00872A95"/>
    <w:rsid w:val="00873836"/>
    <w:rsid w:val="00874CCB"/>
    <w:rsid w:val="0087521B"/>
    <w:rsid w:val="008800F1"/>
    <w:rsid w:val="00881914"/>
    <w:rsid w:val="00885737"/>
    <w:rsid w:val="00886985"/>
    <w:rsid w:val="0088701A"/>
    <w:rsid w:val="00890650"/>
    <w:rsid w:val="00892EBB"/>
    <w:rsid w:val="00894042"/>
    <w:rsid w:val="00894D9F"/>
    <w:rsid w:val="00897E12"/>
    <w:rsid w:val="008A0E1D"/>
    <w:rsid w:val="008A7E0F"/>
    <w:rsid w:val="008B12F5"/>
    <w:rsid w:val="008B3C80"/>
    <w:rsid w:val="008B4D04"/>
    <w:rsid w:val="008B52A7"/>
    <w:rsid w:val="008B5ECA"/>
    <w:rsid w:val="008B5FFB"/>
    <w:rsid w:val="008C184C"/>
    <w:rsid w:val="008C3098"/>
    <w:rsid w:val="008C7CC1"/>
    <w:rsid w:val="008D768D"/>
    <w:rsid w:val="008E3759"/>
    <w:rsid w:val="008E6190"/>
    <w:rsid w:val="008E7182"/>
    <w:rsid w:val="008F073C"/>
    <w:rsid w:val="008F0F37"/>
    <w:rsid w:val="008F1598"/>
    <w:rsid w:val="008F1912"/>
    <w:rsid w:val="008F1B28"/>
    <w:rsid w:val="008F512A"/>
    <w:rsid w:val="008F604B"/>
    <w:rsid w:val="008F7F08"/>
    <w:rsid w:val="00900D4F"/>
    <w:rsid w:val="009014A4"/>
    <w:rsid w:val="00901E19"/>
    <w:rsid w:val="0090270B"/>
    <w:rsid w:val="00902C3A"/>
    <w:rsid w:val="00904142"/>
    <w:rsid w:val="009041DC"/>
    <w:rsid w:val="00905F32"/>
    <w:rsid w:val="009070FA"/>
    <w:rsid w:val="0091284D"/>
    <w:rsid w:val="00913246"/>
    <w:rsid w:val="0091335C"/>
    <w:rsid w:val="0091522B"/>
    <w:rsid w:val="0091621E"/>
    <w:rsid w:val="00917B5A"/>
    <w:rsid w:val="00920A58"/>
    <w:rsid w:val="00920A8C"/>
    <w:rsid w:val="0092111F"/>
    <w:rsid w:val="00922A3B"/>
    <w:rsid w:val="0092392D"/>
    <w:rsid w:val="00926D1C"/>
    <w:rsid w:val="00927F6F"/>
    <w:rsid w:val="00934A2C"/>
    <w:rsid w:val="009421A8"/>
    <w:rsid w:val="00946A10"/>
    <w:rsid w:val="00947133"/>
    <w:rsid w:val="00951CBC"/>
    <w:rsid w:val="00953B07"/>
    <w:rsid w:val="00954584"/>
    <w:rsid w:val="00957B78"/>
    <w:rsid w:val="0096054A"/>
    <w:rsid w:val="009613C5"/>
    <w:rsid w:val="0096363C"/>
    <w:rsid w:val="0096706E"/>
    <w:rsid w:val="00975C4E"/>
    <w:rsid w:val="009809EA"/>
    <w:rsid w:val="00981FBA"/>
    <w:rsid w:val="0098381B"/>
    <w:rsid w:val="009841F8"/>
    <w:rsid w:val="00990B9E"/>
    <w:rsid w:val="00992E29"/>
    <w:rsid w:val="0099720F"/>
    <w:rsid w:val="00997BC5"/>
    <w:rsid w:val="009A02F4"/>
    <w:rsid w:val="009A0701"/>
    <w:rsid w:val="009A0BE3"/>
    <w:rsid w:val="009A4F41"/>
    <w:rsid w:val="009A5290"/>
    <w:rsid w:val="009A73C6"/>
    <w:rsid w:val="009B1F1C"/>
    <w:rsid w:val="009B234A"/>
    <w:rsid w:val="009B381B"/>
    <w:rsid w:val="009B3AA8"/>
    <w:rsid w:val="009B4089"/>
    <w:rsid w:val="009B76AC"/>
    <w:rsid w:val="009C4EAA"/>
    <w:rsid w:val="009D1753"/>
    <w:rsid w:val="009D3BA4"/>
    <w:rsid w:val="009D7611"/>
    <w:rsid w:val="009E0B61"/>
    <w:rsid w:val="009E0E34"/>
    <w:rsid w:val="009E3102"/>
    <w:rsid w:val="009E53DE"/>
    <w:rsid w:val="009E67D5"/>
    <w:rsid w:val="009F4F65"/>
    <w:rsid w:val="009F7AB6"/>
    <w:rsid w:val="00A01BC5"/>
    <w:rsid w:val="00A05613"/>
    <w:rsid w:val="00A062F9"/>
    <w:rsid w:val="00A105BF"/>
    <w:rsid w:val="00A10F3A"/>
    <w:rsid w:val="00A12EEB"/>
    <w:rsid w:val="00A14C27"/>
    <w:rsid w:val="00A20EC1"/>
    <w:rsid w:val="00A21DEB"/>
    <w:rsid w:val="00A22A96"/>
    <w:rsid w:val="00A22C2C"/>
    <w:rsid w:val="00A234B0"/>
    <w:rsid w:val="00A24F13"/>
    <w:rsid w:val="00A25806"/>
    <w:rsid w:val="00A2598E"/>
    <w:rsid w:val="00A25DEB"/>
    <w:rsid w:val="00A26BCA"/>
    <w:rsid w:val="00A30F8B"/>
    <w:rsid w:val="00A328B3"/>
    <w:rsid w:val="00A33B1E"/>
    <w:rsid w:val="00A34BC4"/>
    <w:rsid w:val="00A34FF1"/>
    <w:rsid w:val="00A37A2C"/>
    <w:rsid w:val="00A425C3"/>
    <w:rsid w:val="00A42B57"/>
    <w:rsid w:val="00A42C47"/>
    <w:rsid w:val="00A436AB"/>
    <w:rsid w:val="00A44F64"/>
    <w:rsid w:val="00A45003"/>
    <w:rsid w:val="00A4503B"/>
    <w:rsid w:val="00A45B1C"/>
    <w:rsid w:val="00A50FCF"/>
    <w:rsid w:val="00A528D1"/>
    <w:rsid w:val="00A610CD"/>
    <w:rsid w:val="00A66DEE"/>
    <w:rsid w:val="00A672C4"/>
    <w:rsid w:val="00A67A40"/>
    <w:rsid w:val="00A70E08"/>
    <w:rsid w:val="00A75E63"/>
    <w:rsid w:val="00A762A4"/>
    <w:rsid w:val="00A763D9"/>
    <w:rsid w:val="00A807EB"/>
    <w:rsid w:val="00A814FA"/>
    <w:rsid w:val="00A8401A"/>
    <w:rsid w:val="00A8505D"/>
    <w:rsid w:val="00A85515"/>
    <w:rsid w:val="00A87CFA"/>
    <w:rsid w:val="00A956CE"/>
    <w:rsid w:val="00AA09A2"/>
    <w:rsid w:val="00AA160B"/>
    <w:rsid w:val="00AA1D2B"/>
    <w:rsid w:val="00AA346D"/>
    <w:rsid w:val="00AA39A4"/>
    <w:rsid w:val="00AA7996"/>
    <w:rsid w:val="00AB34E6"/>
    <w:rsid w:val="00AC19CB"/>
    <w:rsid w:val="00AC25F6"/>
    <w:rsid w:val="00AC55D4"/>
    <w:rsid w:val="00AD0B17"/>
    <w:rsid w:val="00AD0D31"/>
    <w:rsid w:val="00AD1F87"/>
    <w:rsid w:val="00AD3895"/>
    <w:rsid w:val="00AD3B1C"/>
    <w:rsid w:val="00AD6BF5"/>
    <w:rsid w:val="00AE2CA2"/>
    <w:rsid w:val="00AE44DA"/>
    <w:rsid w:val="00AE50FD"/>
    <w:rsid w:val="00AE5488"/>
    <w:rsid w:val="00AE6F91"/>
    <w:rsid w:val="00AF4E40"/>
    <w:rsid w:val="00AF5571"/>
    <w:rsid w:val="00AF6FBC"/>
    <w:rsid w:val="00AF7988"/>
    <w:rsid w:val="00B0138C"/>
    <w:rsid w:val="00B02E18"/>
    <w:rsid w:val="00B06467"/>
    <w:rsid w:val="00B069A0"/>
    <w:rsid w:val="00B07184"/>
    <w:rsid w:val="00B07341"/>
    <w:rsid w:val="00B109FD"/>
    <w:rsid w:val="00B1596E"/>
    <w:rsid w:val="00B22701"/>
    <w:rsid w:val="00B231C8"/>
    <w:rsid w:val="00B2505B"/>
    <w:rsid w:val="00B26366"/>
    <w:rsid w:val="00B3027E"/>
    <w:rsid w:val="00B30539"/>
    <w:rsid w:val="00B314DB"/>
    <w:rsid w:val="00B32363"/>
    <w:rsid w:val="00B34969"/>
    <w:rsid w:val="00B34CE7"/>
    <w:rsid w:val="00B3530B"/>
    <w:rsid w:val="00B361F2"/>
    <w:rsid w:val="00B36DF6"/>
    <w:rsid w:val="00B3718B"/>
    <w:rsid w:val="00B405AB"/>
    <w:rsid w:val="00B40B6A"/>
    <w:rsid w:val="00B424EC"/>
    <w:rsid w:val="00B4632A"/>
    <w:rsid w:val="00B513B1"/>
    <w:rsid w:val="00B522E2"/>
    <w:rsid w:val="00B530F1"/>
    <w:rsid w:val="00B54A0C"/>
    <w:rsid w:val="00B55A4B"/>
    <w:rsid w:val="00B56392"/>
    <w:rsid w:val="00B579D9"/>
    <w:rsid w:val="00B620BE"/>
    <w:rsid w:val="00B62B94"/>
    <w:rsid w:val="00B632D6"/>
    <w:rsid w:val="00B66A5F"/>
    <w:rsid w:val="00B66FD5"/>
    <w:rsid w:val="00B679ED"/>
    <w:rsid w:val="00B73A35"/>
    <w:rsid w:val="00B73D5B"/>
    <w:rsid w:val="00B76CF4"/>
    <w:rsid w:val="00B84B24"/>
    <w:rsid w:val="00B85BC4"/>
    <w:rsid w:val="00B867B7"/>
    <w:rsid w:val="00BA276C"/>
    <w:rsid w:val="00BA461E"/>
    <w:rsid w:val="00BB21AF"/>
    <w:rsid w:val="00BB269B"/>
    <w:rsid w:val="00BB2DD4"/>
    <w:rsid w:val="00BB306F"/>
    <w:rsid w:val="00BB4F36"/>
    <w:rsid w:val="00BB6E85"/>
    <w:rsid w:val="00BC1180"/>
    <w:rsid w:val="00BC15F8"/>
    <w:rsid w:val="00BC2CC0"/>
    <w:rsid w:val="00BC625F"/>
    <w:rsid w:val="00BD4B89"/>
    <w:rsid w:val="00BE19D3"/>
    <w:rsid w:val="00BE672D"/>
    <w:rsid w:val="00BF02CB"/>
    <w:rsid w:val="00BF11D3"/>
    <w:rsid w:val="00BF3EED"/>
    <w:rsid w:val="00BF6FD8"/>
    <w:rsid w:val="00C03680"/>
    <w:rsid w:val="00C03FA2"/>
    <w:rsid w:val="00C054DF"/>
    <w:rsid w:val="00C057C8"/>
    <w:rsid w:val="00C07B4B"/>
    <w:rsid w:val="00C147F3"/>
    <w:rsid w:val="00C15D51"/>
    <w:rsid w:val="00C21762"/>
    <w:rsid w:val="00C239B2"/>
    <w:rsid w:val="00C23DE2"/>
    <w:rsid w:val="00C24543"/>
    <w:rsid w:val="00C256A2"/>
    <w:rsid w:val="00C277D1"/>
    <w:rsid w:val="00C33420"/>
    <w:rsid w:val="00C379E6"/>
    <w:rsid w:val="00C40029"/>
    <w:rsid w:val="00C40789"/>
    <w:rsid w:val="00C40A49"/>
    <w:rsid w:val="00C41179"/>
    <w:rsid w:val="00C42AC4"/>
    <w:rsid w:val="00C469E4"/>
    <w:rsid w:val="00C46EE5"/>
    <w:rsid w:val="00C51515"/>
    <w:rsid w:val="00C51FEE"/>
    <w:rsid w:val="00C54455"/>
    <w:rsid w:val="00C54521"/>
    <w:rsid w:val="00C5660B"/>
    <w:rsid w:val="00C56A36"/>
    <w:rsid w:val="00C62307"/>
    <w:rsid w:val="00C62A75"/>
    <w:rsid w:val="00C66B72"/>
    <w:rsid w:val="00C710F6"/>
    <w:rsid w:val="00C717F7"/>
    <w:rsid w:val="00C810D8"/>
    <w:rsid w:val="00C812E0"/>
    <w:rsid w:val="00C8788F"/>
    <w:rsid w:val="00C901B9"/>
    <w:rsid w:val="00C9050F"/>
    <w:rsid w:val="00C91DE7"/>
    <w:rsid w:val="00C9567A"/>
    <w:rsid w:val="00C96845"/>
    <w:rsid w:val="00C96D83"/>
    <w:rsid w:val="00C97129"/>
    <w:rsid w:val="00C971DE"/>
    <w:rsid w:val="00C97857"/>
    <w:rsid w:val="00CA00DB"/>
    <w:rsid w:val="00CA0B5D"/>
    <w:rsid w:val="00CA45D1"/>
    <w:rsid w:val="00CA7CCD"/>
    <w:rsid w:val="00CB2008"/>
    <w:rsid w:val="00CB212D"/>
    <w:rsid w:val="00CB2583"/>
    <w:rsid w:val="00CB2660"/>
    <w:rsid w:val="00CB45B1"/>
    <w:rsid w:val="00CB64C2"/>
    <w:rsid w:val="00CC2A95"/>
    <w:rsid w:val="00CC3304"/>
    <w:rsid w:val="00CC3A05"/>
    <w:rsid w:val="00CC5E90"/>
    <w:rsid w:val="00CC63CF"/>
    <w:rsid w:val="00CD046C"/>
    <w:rsid w:val="00CD12A8"/>
    <w:rsid w:val="00CD1D63"/>
    <w:rsid w:val="00CD32EF"/>
    <w:rsid w:val="00CD3963"/>
    <w:rsid w:val="00CD3AF0"/>
    <w:rsid w:val="00CE076C"/>
    <w:rsid w:val="00CE397B"/>
    <w:rsid w:val="00CE5199"/>
    <w:rsid w:val="00CE61FC"/>
    <w:rsid w:val="00CE66D5"/>
    <w:rsid w:val="00CF14D5"/>
    <w:rsid w:val="00CF564D"/>
    <w:rsid w:val="00CF637A"/>
    <w:rsid w:val="00CF6EC0"/>
    <w:rsid w:val="00D01BFE"/>
    <w:rsid w:val="00D059DE"/>
    <w:rsid w:val="00D0637F"/>
    <w:rsid w:val="00D06B69"/>
    <w:rsid w:val="00D07906"/>
    <w:rsid w:val="00D105B7"/>
    <w:rsid w:val="00D12193"/>
    <w:rsid w:val="00D1392C"/>
    <w:rsid w:val="00D13FCE"/>
    <w:rsid w:val="00D16CC8"/>
    <w:rsid w:val="00D236D0"/>
    <w:rsid w:val="00D23FA6"/>
    <w:rsid w:val="00D2506F"/>
    <w:rsid w:val="00D2758A"/>
    <w:rsid w:val="00D306D1"/>
    <w:rsid w:val="00D30754"/>
    <w:rsid w:val="00D33240"/>
    <w:rsid w:val="00D34786"/>
    <w:rsid w:val="00D3701B"/>
    <w:rsid w:val="00D37BFC"/>
    <w:rsid w:val="00D40343"/>
    <w:rsid w:val="00D4054F"/>
    <w:rsid w:val="00D409A8"/>
    <w:rsid w:val="00D419AD"/>
    <w:rsid w:val="00D423B8"/>
    <w:rsid w:val="00D429C9"/>
    <w:rsid w:val="00D45B5B"/>
    <w:rsid w:val="00D465FA"/>
    <w:rsid w:val="00D4661C"/>
    <w:rsid w:val="00D46EB8"/>
    <w:rsid w:val="00D4704E"/>
    <w:rsid w:val="00D47A8E"/>
    <w:rsid w:val="00D50B7B"/>
    <w:rsid w:val="00D50D5C"/>
    <w:rsid w:val="00D52D14"/>
    <w:rsid w:val="00D534A3"/>
    <w:rsid w:val="00D556CC"/>
    <w:rsid w:val="00D6073A"/>
    <w:rsid w:val="00D6117A"/>
    <w:rsid w:val="00D65555"/>
    <w:rsid w:val="00D67E3E"/>
    <w:rsid w:val="00D70316"/>
    <w:rsid w:val="00D70BEE"/>
    <w:rsid w:val="00D712D3"/>
    <w:rsid w:val="00D71422"/>
    <w:rsid w:val="00D7250F"/>
    <w:rsid w:val="00D72DC6"/>
    <w:rsid w:val="00D73ACD"/>
    <w:rsid w:val="00D73BD2"/>
    <w:rsid w:val="00D74E86"/>
    <w:rsid w:val="00D7558D"/>
    <w:rsid w:val="00D75FD1"/>
    <w:rsid w:val="00D81D92"/>
    <w:rsid w:val="00D835B9"/>
    <w:rsid w:val="00D83CF6"/>
    <w:rsid w:val="00D83D73"/>
    <w:rsid w:val="00D86AB0"/>
    <w:rsid w:val="00D90527"/>
    <w:rsid w:val="00D92734"/>
    <w:rsid w:val="00D94314"/>
    <w:rsid w:val="00D96E66"/>
    <w:rsid w:val="00DA0CDB"/>
    <w:rsid w:val="00DA7B5F"/>
    <w:rsid w:val="00DB6D91"/>
    <w:rsid w:val="00DB7058"/>
    <w:rsid w:val="00DB7221"/>
    <w:rsid w:val="00DC11E7"/>
    <w:rsid w:val="00DC126C"/>
    <w:rsid w:val="00DC2057"/>
    <w:rsid w:val="00DC26F8"/>
    <w:rsid w:val="00DC519A"/>
    <w:rsid w:val="00DC57D6"/>
    <w:rsid w:val="00DC58F8"/>
    <w:rsid w:val="00DC7023"/>
    <w:rsid w:val="00DC769A"/>
    <w:rsid w:val="00DC7F36"/>
    <w:rsid w:val="00DD184E"/>
    <w:rsid w:val="00DD3D86"/>
    <w:rsid w:val="00DE20F6"/>
    <w:rsid w:val="00DE510D"/>
    <w:rsid w:val="00DE691E"/>
    <w:rsid w:val="00DF1EC4"/>
    <w:rsid w:val="00DF2505"/>
    <w:rsid w:val="00DF448C"/>
    <w:rsid w:val="00E015D4"/>
    <w:rsid w:val="00E0340B"/>
    <w:rsid w:val="00E04375"/>
    <w:rsid w:val="00E04A90"/>
    <w:rsid w:val="00E05010"/>
    <w:rsid w:val="00E110E6"/>
    <w:rsid w:val="00E219C7"/>
    <w:rsid w:val="00E21B4A"/>
    <w:rsid w:val="00E22D0B"/>
    <w:rsid w:val="00E23F66"/>
    <w:rsid w:val="00E25152"/>
    <w:rsid w:val="00E32967"/>
    <w:rsid w:val="00E33C79"/>
    <w:rsid w:val="00E33EEE"/>
    <w:rsid w:val="00E3439D"/>
    <w:rsid w:val="00E4308E"/>
    <w:rsid w:val="00E43157"/>
    <w:rsid w:val="00E461CE"/>
    <w:rsid w:val="00E4786C"/>
    <w:rsid w:val="00E64287"/>
    <w:rsid w:val="00E6769D"/>
    <w:rsid w:val="00E7024A"/>
    <w:rsid w:val="00E71067"/>
    <w:rsid w:val="00E720CA"/>
    <w:rsid w:val="00E73B50"/>
    <w:rsid w:val="00E755DE"/>
    <w:rsid w:val="00E75792"/>
    <w:rsid w:val="00E8002B"/>
    <w:rsid w:val="00E810C3"/>
    <w:rsid w:val="00E84EB5"/>
    <w:rsid w:val="00E85662"/>
    <w:rsid w:val="00E86B83"/>
    <w:rsid w:val="00E8789F"/>
    <w:rsid w:val="00E909AA"/>
    <w:rsid w:val="00E947DF"/>
    <w:rsid w:val="00E95D15"/>
    <w:rsid w:val="00E97B71"/>
    <w:rsid w:val="00EA1107"/>
    <w:rsid w:val="00EA3D34"/>
    <w:rsid w:val="00EA5902"/>
    <w:rsid w:val="00EA73FB"/>
    <w:rsid w:val="00EA7850"/>
    <w:rsid w:val="00EA789A"/>
    <w:rsid w:val="00EB181C"/>
    <w:rsid w:val="00EB244B"/>
    <w:rsid w:val="00EB309A"/>
    <w:rsid w:val="00EB3840"/>
    <w:rsid w:val="00EB454D"/>
    <w:rsid w:val="00EC1A52"/>
    <w:rsid w:val="00EC2899"/>
    <w:rsid w:val="00ED145F"/>
    <w:rsid w:val="00ED3D30"/>
    <w:rsid w:val="00ED76BE"/>
    <w:rsid w:val="00EE0568"/>
    <w:rsid w:val="00EE279D"/>
    <w:rsid w:val="00EE39F0"/>
    <w:rsid w:val="00EE3ED6"/>
    <w:rsid w:val="00EF0F0E"/>
    <w:rsid w:val="00EF3D80"/>
    <w:rsid w:val="00EF619B"/>
    <w:rsid w:val="00F00B55"/>
    <w:rsid w:val="00F02AD1"/>
    <w:rsid w:val="00F0554E"/>
    <w:rsid w:val="00F06971"/>
    <w:rsid w:val="00F06A7F"/>
    <w:rsid w:val="00F10E8D"/>
    <w:rsid w:val="00F147A1"/>
    <w:rsid w:val="00F15066"/>
    <w:rsid w:val="00F171B1"/>
    <w:rsid w:val="00F253CC"/>
    <w:rsid w:val="00F27199"/>
    <w:rsid w:val="00F31DE9"/>
    <w:rsid w:val="00F35CAA"/>
    <w:rsid w:val="00F362CE"/>
    <w:rsid w:val="00F37106"/>
    <w:rsid w:val="00F45BD7"/>
    <w:rsid w:val="00F45F6E"/>
    <w:rsid w:val="00F519CF"/>
    <w:rsid w:val="00F52BA8"/>
    <w:rsid w:val="00F56BA5"/>
    <w:rsid w:val="00F5728F"/>
    <w:rsid w:val="00F57979"/>
    <w:rsid w:val="00F60E22"/>
    <w:rsid w:val="00F6234E"/>
    <w:rsid w:val="00F667B9"/>
    <w:rsid w:val="00F714EA"/>
    <w:rsid w:val="00F73104"/>
    <w:rsid w:val="00F7691D"/>
    <w:rsid w:val="00F76CAD"/>
    <w:rsid w:val="00F777E1"/>
    <w:rsid w:val="00F805FB"/>
    <w:rsid w:val="00F81395"/>
    <w:rsid w:val="00F831C4"/>
    <w:rsid w:val="00F85160"/>
    <w:rsid w:val="00F85C35"/>
    <w:rsid w:val="00F902EB"/>
    <w:rsid w:val="00F90F60"/>
    <w:rsid w:val="00F917D1"/>
    <w:rsid w:val="00F925E6"/>
    <w:rsid w:val="00F95221"/>
    <w:rsid w:val="00F9653B"/>
    <w:rsid w:val="00FA6579"/>
    <w:rsid w:val="00FB62CF"/>
    <w:rsid w:val="00FC417F"/>
    <w:rsid w:val="00FC6B2B"/>
    <w:rsid w:val="00FC7009"/>
    <w:rsid w:val="00FD2CBC"/>
    <w:rsid w:val="00FD3C3B"/>
    <w:rsid w:val="00FD5A99"/>
    <w:rsid w:val="00FD67F1"/>
    <w:rsid w:val="00FE07DD"/>
    <w:rsid w:val="00FE2CF3"/>
    <w:rsid w:val="00FE32E9"/>
    <w:rsid w:val="00FE5424"/>
    <w:rsid w:val="00FE6B45"/>
    <w:rsid w:val="00FF1114"/>
    <w:rsid w:val="00FF209E"/>
    <w:rsid w:val="00FF2CA9"/>
    <w:rsid w:val="00FF55F3"/>
    <w:rsid w:val="00FF5851"/>
    <w:rsid w:val="00FF6298"/>
    <w:rsid w:val="00FF707B"/>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F9A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s-ES_tradnl"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B867B7"/>
    <w:pPr>
      <w:tabs>
        <w:tab w:val="left" w:pos="1440"/>
        <w:tab w:val="right" w:leader="dot" w:pos="9900"/>
      </w:tabs>
      <w:spacing w:after="100"/>
      <w:ind w:left="1440" w:hanging="720"/>
    </w:pPr>
  </w:style>
  <w:style w:type="paragraph" w:styleId="TOC1">
    <w:name w:val="toc 1"/>
    <w:basedOn w:val="Normal"/>
    <w:next w:val="Normal"/>
    <w:autoRedefine/>
    <w:uiPriority w:val="39"/>
    <w:unhideWhenUsed/>
    <w:rsid w:val="009B234A"/>
    <w:pPr>
      <w:tabs>
        <w:tab w:val="left" w:pos="720"/>
        <w:tab w:val="right" w:leader="dot" w:pos="9913"/>
      </w:tabs>
      <w:spacing w:after="100"/>
    </w:pPr>
    <w:rPr>
      <w:rFonts w:asciiTheme="minorHAnsi" w:hAnsiTheme="minorHAnsi"/>
      <w:sz w:val="22"/>
    </w:rPr>
  </w:style>
  <w:style w:type="paragraph" w:styleId="TOC3">
    <w:name w:val="toc 3"/>
    <w:basedOn w:val="Normal"/>
    <w:next w:val="Normal"/>
    <w:autoRedefine/>
    <w:uiPriority w:val="39"/>
    <w:unhideWhenUsed/>
    <w:rsid w:val="009B234A"/>
    <w:pPr>
      <w:spacing w:after="100"/>
      <w:jc w:val="both"/>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locked/>
    <w:rsid w:val="002E4AEA"/>
    <w:rPr>
      <w:rFonts w:ascii="Cambria" w:eastAsia="Cambria" w:hAnsi="Cambria" w:cs="Cambria"/>
      <w:color w:val="000000"/>
      <w:sz w:val="24"/>
      <w:szCs w:val="24"/>
      <w:u w:color="000000"/>
      <w:lang w:val="en-US"/>
    </w:rPr>
  </w:style>
  <w:style w:type="paragraph" w:styleId="HTMLPreformatted">
    <w:name w:val="HTML Preformatted"/>
    <w:basedOn w:val="Normal"/>
    <w:link w:val="HTMLPreformattedChar"/>
    <w:uiPriority w:val="99"/>
    <w:semiHidden/>
    <w:unhideWhenUsed/>
    <w:rsid w:val="00A062F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onsolas" w:eastAsia="MS Mincho" w:hAnsi="Consolas" w:cstheme="minorBidi"/>
      <w:sz w:val="20"/>
      <w:szCs w:val="20"/>
      <w:bdr w:val="none" w:sz="0" w:space="0" w:color="auto"/>
    </w:rPr>
  </w:style>
  <w:style w:type="character" w:customStyle="1" w:styleId="HTMLPreformattedChar">
    <w:name w:val="HTML Preformatted Char"/>
    <w:basedOn w:val="DefaultParagraphFont"/>
    <w:link w:val="HTMLPreformatted"/>
    <w:uiPriority w:val="99"/>
    <w:semiHidden/>
    <w:rsid w:val="00A062F9"/>
    <w:rPr>
      <w:rFonts w:ascii="Consolas" w:eastAsia="MS Mincho" w:hAnsi="Consolas" w:cstheme="minorBidi"/>
      <w:bdr w:val="none" w:sz="0" w:space="0" w:color="auto"/>
      <w:lang w:val="en-US" w:eastAsia="en-US"/>
    </w:rPr>
  </w:style>
  <w:style w:type="character" w:styleId="CommentReference">
    <w:name w:val="annotation reference"/>
    <w:basedOn w:val="DefaultParagraphFont"/>
    <w:uiPriority w:val="99"/>
    <w:semiHidden/>
    <w:unhideWhenUsed/>
    <w:rsid w:val="009A0701"/>
    <w:rPr>
      <w:sz w:val="18"/>
      <w:szCs w:val="18"/>
    </w:rPr>
  </w:style>
  <w:style w:type="paragraph" w:styleId="CommentText">
    <w:name w:val="annotation text"/>
    <w:basedOn w:val="Normal"/>
    <w:link w:val="CommentTextChar"/>
    <w:uiPriority w:val="99"/>
    <w:semiHidden/>
    <w:unhideWhenUsed/>
    <w:rsid w:val="009A0701"/>
  </w:style>
  <w:style w:type="character" w:customStyle="1" w:styleId="CommentTextChar">
    <w:name w:val="Comment Text Char"/>
    <w:basedOn w:val="DefaultParagraphFont"/>
    <w:link w:val="CommentText"/>
    <w:uiPriority w:val="99"/>
    <w:semiHidden/>
    <w:rsid w:val="009A0701"/>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9A0701"/>
    <w:rPr>
      <w:b/>
      <w:bCs/>
      <w:sz w:val="20"/>
      <w:szCs w:val="20"/>
    </w:rPr>
  </w:style>
  <w:style w:type="character" w:customStyle="1" w:styleId="CommentSubjectChar">
    <w:name w:val="Comment Subject Char"/>
    <w:basedOn w:val="CommentTextChar"/>
    <w:link w:val="CommentSubject"/>
    <w:uiPriority w:val="99"/>
    <w:semiHidden/>
    <w:rsid w:val="009A0701"/>
    <w:rPr>
      <w:b/>
      <w:bCs/>
      <w:sz w:val="24"/>
      <w:szCs w:val="24"/>
      <w:lang w:val="en-US" w:eastAsia="en-US"/>
    </w:rPr>
  </w:style>
  <w:style w:type="character" w:customStyle="1" w:styleId="BodyTextIndentChar">
    <w:name w:val="Body Text Indent Char"/>
    <w:basedOn w:val="DefaultParagraphFont"/>
    <w:link w:val="BodyTextIndent"/>
    <w:rsid w:val="00F362CE"/>
    <w:rPr>
      <w:rFonts w:eastAsia="Times New Roman"/>
      <w:color w:val="000000"/>
      <w:sz w:val="24"/>
      <w:szCs w:val="24"/>
      <w:u w:color="000000"/>
      <w:lang w:val="es-ES_tradnl"/>
    </w:rPr>
  </w:style>
  <w:style w:type="paragraph" w:styleId="NormalWeb">
    <w:name w:val="Normal (Web)"/>
    <w:basedOn w:val="Normal"/>
    <w:uiPriority w:val="99"/>
    <w:unhideWhenUsed/>
    <w:rsid w:val="00926D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apple-converted-space">
    <w:name w:val="apple-converted-space"/>
    <w:rsid w:val="004964E5"/>
    <w:rPr>
      <w:rFonts w:ascii="Times New Roman" w:hAnsi="Times New Roman" w:cs="Times New Roman" w:hint="default"/>
    </w:rPr>
  </w:style>
  <w:style w:type="character" w:styleId="Strong">
    <w:name w:val="Strong"/>
    <w:basedOn w:val="DefaultParagraphFont"/>
    <w:uiPriority w:val="22"/>
    <w:qFormat/>
    <w:rsid w:val="004964E5"/>
    <w:rPr>
      <w:b/>
      <w:bCs/>
    </w:rPr>
  </w:style>
  <w:style w:type="paragraph" w:customStyle="1" w:styleId="Char2">
    <w:name w:val="Char2"/>
    <w:basedOn w:val="Normal"/>
    <w:rsid w:val="00847B4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1252C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9487">
      <w:bodyDiv w:val="1"/>
      <w:marLeft w:val="0"/>
      <w:marRight w:val="0"/>
      <w:marTop w:val="0"/>
      <w:marBottom w:val="0"/>
      <w:divBdr>
        <w:top w:val="none" w:sz="0" w:space="0" w:color="auto"/>
        <w:left w:val="none" w:sz="0" w:space="0" w:color="auto"/>
        <w:bottom w:val="none" w:sz="0" w:space="0" w:color="auto"/>
        <w:right w:val="none" w:sz="0" w:space="0" w:color="auto"/>
      </w:divBdr>
    </w:div>
    <w:div w:id="46413643">
      <w:bodyDiv w:val="1"/>
      <w:marLeft w:val="0"/>
      <w:marRight w:val="0"/>
      <w:marTop w:val="0"/>
      <w:marBottom w:val="0"/>
      <w:divBdr>
        <w:top w:val="none" w:sz="0" w:space="0" w:color="auto"/>
        <w:left w:val="none" w:sz="0" w:space="0" w:color="auto"/>
        <w:bottom w:val="none" w:sz="0" w:space="0" w:color="auto"/>
        <w:right w:val="none" w:sz="0" w:space="0" w:color="auto"/>
      </w:divBdr>
    </w:div>
    <w:div w:id="290289848">
      <w:bodyDiv w:val="1"/>
      <w:marLeft w:val="0"/>
      <w:marRight w:val="0"/>
      <w:marTop w:val="0"/>
      <w:marBottom w:val="0"/>
      <w:divBdr>
        <w:top w:val="none" w:sz="0" w:space="0" w:color="auto"/>
        <w:left w:val="none" w:sz="0" w:space="0" w:color="auto"/>
        <w:bottom w:val="none" w:sz="0" w:space="0" w:color="auto"/>
        <w:right w:val="none" w:sz="0" w:space="0" w:color="auto"/>
      </w:divBdr>
    </w:div>
    <w:div w:id="318921711">
      <w:bodyDiv w:val="1"/>
      <w:marLeft w:val="0"/>
      <w:marRight w:val="0"/>
      <w:marTop w:val="0"/>
      <w:marBottom w:val="0"/>
      <w:divBdr>
        <w:top w:val="none" w:sz="0" w:space="0" w:color="auto"/>
        <w:left w:val="none" w:sz="0" w:space="0" w:color="auto"/>
        <w:bottom w:val="none" w:sz="0" w:space="0" w:color="auto"/>
        <w:right w:val="none" w:sz="0" w:space="0" w:color="auto"/>
      </w:divBdr>
    </w:div>
    <w:div w:id="388267680">
      <w:bodyDiv w:val="1"/>
      <w:marLeft w:val="0"/>
      <w:marRight w:val="0"/>
      <w:marTop w:val="0"/>
      <w:marBottom w:val="0"/>
      <w:divBdr>
        <w:top w:val="none" w:sz="0" w:space="0" w:color="auto"/>
        <w:left w:val="none" w:sz="0" w:space="0" w:color="auto"/>
        <w:bottom w:val="none" w:sz="0" w:space="0" w:color="auto"/>
        <w:right w:val="none" w:sz="0" w:space="0" w:color="auto"/>
      </w:divBdr>
    </w:div>
    <w:div w:id="462040853">
      <w:bodyDiv w:val="1"/>
      <w:marLeft w:val="0"/>
      <w:marRight w:val="0"/>
      <w:marTop w:val="0"/>
      <w:marBottom w:val="0"/>
      <w:divBdr>
        <w:top w:val="none" w:sz="0" w:space="0" w:color="auto"/>
        <w:left w:val="none" w:sz="0" w:space="0" w:color="auto"/>
        <w:bottom w:val="none" w:sz="0" w:space="0" w:color="auto"/>
        <w:right w:val="none" w:sz="0" w:space="0" w:color="auto"/>
      </w:divBdr>
    </w:div>
    <w:div w:id="484124645">
      <w:bodyDiv w:val="1"/>
      <w:marLeft w:val="0"/>
      <w:marRight w:val="0"/>
      <w:marTop w:val="0"/>
      <w:marBottom w:val="0"/>
      <w:divBdr>
        <w:top w:val="none" w:sz="0" w:space="0" w:color="auto"/>
        <w:left w:val="none" w:sz="0" w:space="0" w:color="auto"/>
        <w:bottom w:val="none" w:sz="0" w:space="0" w:color="auto"/>
        <w:right w:val="none" w:sz="0" w:space="0" w:color="auto"/>
      </w:divBdr>
    </w:div>
    <w:div w:id="554901331">
      <w:bodyDiv w:val="1"/>
      <w:marLeft w:val="0"/>
      <w:marRight w:val="0"/>
      <w:marTop w:val="0"/>
      <w:marBottom w:val="0"/>
      <w:divBdr>
        <w:top w:val="none" w:sz="0" w:space="0" w:color="auto"/>
        <w:left w:val="none" w:sz="0" w:space="0" w:color="auto"/>
        <w:bottom w:val="none" w:sz="0" w:space="0" w:color="auto"/>
        <w:right w:val="none" w:sz="0" w:space="0" w:color="auto"/>
      </w:divBdr>
    </w:div>
    <w:div w:id="730614365">
      <w:bodyDiv w:val="1"/>
      <w:marLeft w:val="0"/>
      <w:marRight w:val="0"/>
      <w:marTop w:val="0"/>
      <w:marBottom w:val="0"/>
      <w:divBdr>
        <w:top w:val="none" w:sz="0" w:space="0" w:color="auto"/>
        <w:left w:val="none" w:sz="0" w:space="0" w:color="auto"/>
        <w:bottom w:val="none" w:sz="0" w:space="0" w:color="auto"/>
        <w:right w:val="none" w:sz="0" w:space="0" w:color="auto"/>
      </w:divBdr>
    </w:div>
    <w:div w:id="904218885">
      <w:bodyDiv w:val="1"/>
      <w:marLeft w:val="0"/>
      <w:marRight w:val="0"/>
      <w:marTop w:val="0"/>
      <w:marBottom w:val="0"/>
      <w:divBdr>
        <w:top w:val="none" w:sz="0" w:space="0" w:color="auto"/>
        <w:left w:val="none" w:sz="0" w:space="0" w:color="auto"/>
        <w:bottom w:val="none" w:sz="0" w:space="0" w:color="auto"/>
        <w:right w:val="none" w:sz="0" w:space="0" w:color="auto"/>
      </w:divBdr>
    </w:div>
    <w:div w:id="966661343">
      <w:bodyDiv w:val="1"/>
      <w:marLeft w:val="0"/>
      <w:marRight w:val="0"/>
      <w:marTop w:val="0"/>
      <w:marBottom w:val="0"/>
      <w:divBdr>
        <w:top w:val="none" w:sz="0" w:space="0" w:color="auto"/>
        <w:left w:val="none" w:sz="0" w:space="0" w:color="auto"/>
        <w:bottom w:val="none" w:sz="0" w:space="0" w:color="auto"/>
        <w:right w:val="none" w:sz="0" w:space="0" w:color="auto"/>
      </w:divBdr>
    </w:div>
    <w:div w:id="1025325504">
      <w:bodyDiv w:val="1"/>
      <w:marLeft w:val="0"/>
      <w:marRight w:val="0"/>
      <w:marTop w:val="0"/>
      <w:marBottom w:val="0"/>
      <w:divBdr>
        <w:top w:val="none" w:sz="0" w:space="0" w:color="auto"/>
        <w:left w:val="none" w:sz="0" w:space="0" w:color="auto"/>
        <w:bottom w:val="none" w:sz="0" w:space="0" w:color="auto"/>
        <w:right w:val="none" w:sz="0" w:space="0" w:color="auto"/>
      </w:divBdr>
    </w:div>
    <w:div w:id="1116942645">
      <w:bodyDiv w:val="1"/>
      <w:marLeft w:val="0"/>
      <w:marRight w:val="0"/>
      <w:marTop w:val="0"/>
      <w:marBottom w:val="0"/>
      <w:divBdr>
        <w:top w:val="none" w:sz="0" w:space="0" w:color="auto"/>
        <w:left w:val="none" w:sz="0" w:space="0" w:color="auto"/>
        <w:bottom w:val="none" w:sz="0" w:space="0" w:color="auto"/>
        <w:right w:val="none" w:sz="0" w:space="0" w:color="auto"/>
      </w:divBdr>
    </w:div>
    <w:div w:id="1262883587">
      <w:bodyDiv w:val="1"/>
      <w:marLeft w:val="0"/>
      <w:marRight w:val="0"/>
      <w:marTop w:val="0"/>
      <w:marBottom w:val="0"/>
      <w:divBdr>
        <w:top w:val="none" w:sz="0" w:space="0" w:color="auto"/>
        <w:left w:val="none" w:sz="0" w:space="0" w:color="auto"/>
        <w:bottom w:val="none" w:sz="0" w:space="0" w:color="auto"/>
        <w:right w:val="none" w:sz="0" w:space="0" w:color="auto"/>
      </w:divBdr>
    </w:div>
    <w:div w:id="1288589022">
      <w:bodyDiv w:val="1"/>
      <w:marLeft w:val="0"/>
      <w:marRight w:val="0"/>
      <w:marTop w:val="0"/>
      <w:marBottom w:val="0"/>
      <w:divBdr>
        <w:top w:val="none" w:sz="0" w:space="0" w:color="auto"/>
        <w:left w:val="none" w:sz="0" w:space="0" w:color="auto"/>
        <w:bottom w:val="none" w:sz="0" w:space="0" w:color="auto"/>
        <w:right w:val="none" w:sz="0" w:space="0" w:color="auto"/>
      </w:divBdr>
    </w:div>
    <w:div w:id="1424959338">
      <w:bodyDiv w:val="1"/>
      <w:marLeft w:val="0"/>
      <w:marRight w:val="0"/>
      <w:marTop w:val="0"/>
      <w:marBottom w:val="0"/>
      <w:divBdr>
        <w:top w:val="none" w:sz="0" w:space="0" w:color="auto"/>
        <w:left w:val="none" w:sz="0" w:space="0" w:color="auto"/>
        <w:bottom w:val="none" w:sz="0" w:space="0" w:color="auto"/>
        <w:right w:val="none" w:sz="0" w:space="0" w:color="auto"/>
      </w:divBdr>
    </w:div>
    <w:div w:id="1568414018">
      <w:bodyDiv w:val="1"/>
      <w:marLeft w:val="0"/>
      <w:marRight w:val="0"/>
      <w:marTop w:val="0"/>
      <w:marBottom w:val="0"/>
      <w:divBdr>
        <w:top w:val="none" w:sz="0" w:space="0" w:color="auto"/>
        <w:left w:val="none" w:sz="0" w:space="0" w:color="auto"/>
        <w:bottom w:val="none" w:sz="0" w:space="0" w:color="auto"/>
        <w:right w:val="none" w:sz="0" w:space="0" w:color="auto"/>
      </w:divBdr>
    </w:div>
    <w:div w:id="1644777718">
      <w:bodyDiv w:val="1"/>
      <w:marLeft w:val="0"/>
      <w:marRight w:val="0"/>
      <w:marTop w:val="0"/>
      <w:marBottom w:val="0"/>
      <w:divBdr>
        <w:top w:val="none" w:sz="0" w:space="0" w:color="auto"/>
        <w:left w:val="none" w:sz="0" w:space="0" w:color="auto"/>
        <w:bottom w:val="none" w:sz="0" w:space="0" w:color="auto"/>
        <w:right w:val="none" w:sz="0" w:space="0" w:color="auto"/>
      </w:divBdr>
    </w:div>
    <w:div w:id="167892213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30554271">
      <w:bodyDiv w:val="1"/>
      <w:marLeft w:val="0"/>
      <w:marRight w:val="0"/>
      <w:marTop w:val="0"/>
      <w:marBottom w:val="0"/>
      <w:divBdr>
        <w:top w:val="none" w:sz="0" w:space="0" w:color="auto"/>
        <w:left w:val="none" w:sz="0" w:space="0" w:color="auto"/>
        <w:bottom w:val="none" w:sz="0" w:space="0" w:color="auto"/>
        <w:right w:val="none" w:sz="0" w:space="0" w:color="auto"/>
      </w:divBdr>
    </w:div>
    <w:div w:id="1880701736">
      <w:bodyDiv w:val="1"/>
      <w:marLeft w:val="0"/>
      <w:marRight w:val="0"/>
      <w:marTop w:val="0"/>
      <w:marBottom w:val="0"/>
      <w:divBdr>
        <w:top w:val="none" w:sz="0" w:space="0" w:color="auto"/>
        <w:left w:val="none" w:sz="0" w:space="0" w:color="auto"/>
        <w:bottom w:val="none" w:sz="0" w:space="0" w:color="auto"/>
        <w:right w:val="none" w:sz="0" w:space="0" w:color="auto"/>
      </w:divBdr>
    </w:div>
    <w:div w:id="2059893686">
      <w:bodyDiv w:val="1"/>
      <w:marLeft w:val="0"/>
      <w:marRight w:val="0"/>
      <w:marTop w:val="0"/>
      <w:marBottom w:val="0"/>
      <w:divBdr>
        <w:top w:val="none" w:sz="0" w:space="0" w:color="auto"/>
        <w:left w:val="none" w:sz="0" w:space="0" w:color="auto"/>
        <w:bottom w:val="none" w:sz="0" w:space="0" w:color="auto"/>
        <w:right w:val="none" w:sz="0" w:space="0" w:color="auto"/>
      </w:divBdr>
    </w:div>
    <w:div w:id="214604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idh.oas.org/annualrep/2009sp/Peru914-98.sp.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824-corte-idh-caso-kawas-fernandez-vs-honduras-fondo-reparaciones-y-costas-sentencia-de-3-de-abril-de-2009-serie-c-no-196" TargetMode="External"/><Relationship Id="rId3" Type="http://schemas.openxmlformats.org/officeDocument/2006/relationships/hyperlink" Target="http://www.defensoria.gob.pe/modules/Downloads/informes/defensoriales/informe_19.pdf" TargetMode="External"/><Relationship Id="rId7" Type="http://schemas.openxmlformats.org/officeDocument/2006/relationships/hyperlink" Target="http://joomla.corteidh.or.cr:8080/joomla/es/casos-contenciosos/38-jurisprudencia/1334-corte-idh-caso-valle-jaramillo-y-otros-vs-colombia-fondo-reparaciones-y-costas-sentencia-de-27-de-noviembre-de-2008-serie-c-no-192" TargetMode="External"/><Relationship Id="rId2" Type="http://schemas.openxmlformats.org/officeDocument/2006/relationships/hyperlink" Target="http://www.defensoria.gob.pe/modules/Downloads/informes/defensoriales/informe_19.pdf" TargetMode="External"/><Relationship Id="rId1" Type="http://schemas.openxmlformats.org/officeDocument/2006/relationships/hyperlink" Target="http://www.defensoria.gob.pe/modules/Downloads/informes/defensoriales/informe_19.pdf" TargetMode="External"/><Relationship Id="rId6" Type="http://schemas.openxmlformats.org/officeDocument/2006/relationships/hyperlink" Target="http://joomla.corteidh.or.cr:8080/joomla/es/casos-contenciosos/38-jurisprudencia/882-corte-idh-caso-garibaldi-vs-brasil-excepciones-preliminares-fondo-reparaciones-y-costas-sentencia-de-23-de-septiembre-de-2009-serie-c-no-203" TargetMode="External"/><Relationship Id="rId5"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10" Type="http://schemas.openxmlformats.org/officeDocument/2006/relationships/hyperlink" Target="https://www.ilo.org/wcmsp5/groups/public/---ed_norm/---relconf/documents/meetingdocument/wcms_108439.pdf" TargetMode="External"/><Relationship Id="rId4" Type="http://schemas.openxmlformats.org/officeDocument/2006/relationships/hyperlink" Target="http://www.defensoria.gob.pe/modules/Downloads/informes/defensoriales/informe_19.pdf" TargetMode="External"/><Relationship Id="rId9" Type="http://schemas.openxmlformats.org/officeDocument/2006/relationships/hyperlink" Target="https://www.ilo.org/global/topics/collective-bargaining-labour-relations/lang--es/inde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775D0-B714-4BC4-AB6F-48D618D0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11168</Words>
  <Characters>63660</Characters>
  <Application>Microsoft Office Word</Application>
  <DocSecurity>0</DocSecurity>
  <Lines>530</Lines>
  <Paragraphs>149</Paragraphs>
  <ScaleCrop>false</ScaleCrop>
  <Company/>
  <LinksUpToDate>false</LinksUpToDate>
  <CharactersWithSpaces>74679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2021-03-30T20:03:00Z</dcterms:created>
  <dcterms:modified xsi:type="dcterms:W3CDTF">2021-03-30T20:03:00Z</dcterms:modified>
</cp:coreProperties>
</file>