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8C23F" w14:textId="77777777" w:rsidR="00040C3A" w:rsidRPr="00470D7E" w:rsidRDefault="00441039" w:rsidP="00627C9F">
      <w:pPr>
        <w:jc w:val="both"/>
        <w:rPr>
          <w:rFonts w:ascii="Cambria" w:hAnsi="Cambria" w:cs="Univers"/>
          <w:b/>
          <w:bCs/>
          <w:sz w:val="22"/>
          <w:szCs w:val="22"/>
          <w:lang w:val="es-ES_tradnl"/>
        </w:rPr>
      </w:pPr>
      <w:r>
        <w:rPr>
          <w:noProof/>
          <w:lang w:val="es-ES" w:eastAsia="es-ES"/>
        </w:rPr>
        <mc:AlternateContent>
          <mc:Choice Requires="wps">
            <w:drawing>
              <wp:anchor distT="0" distB="0" distL="114300" distR="114300" simplePos="0" relativeHeight="251654144" behindDoc="0" locked="0" layoutInCell="1" allowOverlap="1" wp14:anchorId="64C2FF87" wp14:editId="27D1BB2E">
                <wp:simplePos x="0" y="0"/>
                <wp:positionH relativeFrom="column">
                  <wp:posOffset>-415290</wp:posOffset>
                </wp:positionH>
                <wp:positionV relativeFrom="paragraph">
                  <wp:posOffset>-438785</wp:posOffset>
                </wp:positionV>
                <wp:extent cx="1543050" cy="9096375"/>
                <wp:effectExtent l="0" t="0" r="0" b="952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C22E6" id="Rectangle 1" o:spid="_x0000_s1026" style="position:absolute;margin-left:-32.7pt;margin-top:-34.55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" fillcolor="#4a7194" stroked="f" strokeweight="2pt">
                <v:path arrowok="t"/>
              </v:rect>
            </w:pict>
          </mc:Fallback>
        </mc:AlternateContent>
      </w:r>
      <w:r>
        <w:rPr>
          <w:noProof/>
          <w:lang w:val="es-ES" w:eastAsia="es-ES"/>
        </w:rPr>
        <mc:AlternateContent>
          <mc:Choice Requires="wps">
            <w:drawing>
              <wp:anchor distT="0" distB="0" distL="114300" distR="114300" simplePos="0" relativeHeight="251658240" behindDoc="0" locked="0" layoutInCell="1" allowOverlap="1" wp14:anchorId="3406A516" wp14:editId="7DF7FA81">
                <wp:simplePos x="0" y="0"/>
                <wp:positionH relativeFrom="column">
                  <wp:posOffset>1282065</wp:posOffset>
                </wp:positionH>
                <wp:positionV relativeFrom="paragraph">
                  <wp:posOffset>-423545</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txbx>
                        <w:txbxContent>
                          <w:p w14:paraId="676BE43F" w14:textId="77777777" w:rsidR="009D6394" w:rsidRDefault="00441039" w:rsidP="00AE5488">
                            <w:r w:rsidRPr="00470D7E">
                              <w:rPr>
                                <w:noProof/>
                                <w:lang w:val="es-ES" w:eastAsia="es-ES"/>
                              </w:rPr>
                              <w:drawing>
                                <wp:inline distT="0" distB="0" distL="0" distR="0" wp14:anchorId="124A02E3" wp14:editId="3C5D8B31">
                                  <wp:extent cx="2646045" cy="512445"/>
                                  <wp:effectExtent l="0" t="0" r="1905" b="1905"/>
                                  <wp:docPr id="2" name="Picture 12" descr="Description: 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6045" cy="512445"/>
                                          </a:xfrm>
                                          <a:prstGeom prst="rect">
                                            <a:avLst/>
                                          </a:prstGeom>
                                          <a:noFill/>
                                          <a:ln>
                                            <a:noFill/>
                                          </a:ln>
                                        </pic:spPr>
                                      </pic:pic>
                                    </a:graphicData>
                                  </a:graphic>
                                </wp:inline>
                              </w:drawing>
                            </w:r>
                            <w:r w:rsidR="009D6394">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06A516" id="_x0000_t202" coordsize="21600,21600" o:spt="202" path="m,l,21600r21600,l21600,xe">
                <v:stroke joinstyle="miter"/>
                <v:path gradientshapeok="t" o:connecttype="rect"/>
              </v:shapetype>
              <v:shape id="Text Box 11" o:spid="_x0000_s1026" type="#_x0000_t202" style="position:absolute;left:0;text-align:left;margin-left:100.95pt;margin-top:-33.35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" filled="f" stroked="f" strokeweight=".5pt">
                <v:textbox>
                  <w:txbxContent>
                    <w:p w14:paraId="676BE43F" w14:textId="77777777" w:rsidR="009D6394" w:rsidRDefault="00441039" w:rsidP="00AE5488">
                      <w:r w:rsidRPr="00470D7E">
                        <w:rPr>
                          <w:noProof/>
                          <w:lang w:val="es-ES" w:eastAsia="es-ES"/>
                        </w:rPr>
                        <w:drawing>
                          <wp:inline distT="0" distB="0" distL="0" distR="0" wp14:anchorId="124A02E3" wp14:editId="3C5D8B31">
                            <wp:extent cx="2646045" cy="512445"/>
                            <wp:effectExtent l="0" t="0" r="1905" b="1905"/>
                            <wp:docPr id="2" name="Picture 12" descr="Description: 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6045" cy="512445"/>
                                    </a:xfrm>
                                    <a:prstGeom prst="rect">
                                      <a:avLst/>
                                    </a:prstGeom>
                                    <a:noFill/>
                                    <a:ln>
                                      <a:noFill/>
                                    </a:ln>
                                  </pic:spPr>
                                </pic:pic>
                              </a:graphicData>
                            </a:graphic>
                          </wp:inline>
                        </w:drawing>
                      </w:r>
                      <w:r w:rsidR="009D6394">
                        <w:tab/>
                        <w:t xml:space="preserve">                              </w:t>
                      </w:r>
                    </w:p>
                  </w:txbxContent>
                </v:textbox>
              </v:shape>
            </w:pict>
          </mc:Fallback>
        </mc:AlternateContent>
      </w:r>
    </w:p>
    <w:p w14:paraId="7910D1E9" w14:textId="77777777" w:rsidR="00040C3A" w:rsidRPr="00470D7E" w:rsidRDefault="00040C3A" w:rsidP="00040C3A">
      <w:pPr>
        <w:tabs>
          <w:tab w:val="center" w:pos="5400"/>
        </w:tabs>
        <w:suppressAutoHyphens/>
        <w:jc w:val="both"/>
        <w:rPr>
          <w:rFonts w:ascii="Cambria" w:hAnsi="Cambria"/>
          <w:sz w:val="22"/>
          <w:szCs w:val="22"/>
          <w:lang w:val="es-ES"/>
        </w:rPr>
      </w:pPr>
    </w:p>
    <w:p w14:paraId="1551CE7C" w14:textId="77777777" w:rsidR="00040C3A" w:rsidRPr="00470D7E" w:rsidRDefault="00040C3A" w:rsidP="00040C3A">
      <w:pPr>
        <w:tabs>
          <w:tab w:val="center" w:pos="5400"/>
        </w:tabs>
        <w:suppressAutoHyphens/>
        <w:jc w:val="both"/>
        <w:rPr>
          <w:rFonts w:ascii="Cambria" w:hAnsi="Cambria"/>
          <w:sz w:val="22"/>
          <w:szCs w:val="22"/>
          <w:lang w:val="es-ES"/>
        </w:rPr>
      </w:pPr>
    </w:p>
    <w:p w14:paraId="7E6B21D1" w14:textId="77777777" w:rsidR="005128E4" w:rsidRPr="00470D7E" w:rsidRDefault="005128E4" w:rsidP="00040C3A">
      <w:pPr>
        <w:tabs>
          <w:tab w:val="center" w:pos="5400"/>
        </w:tabs>
        <w:suppressAutoHyphens/>
        <w:rPr>
          <w:rFonts w:ascii="Cambria" w:hAnsi="Cambria"/>
          <w:sz w:val="22"/>
          <w:szCs w:val="22"/>
          <w:lang w:val="es-ES_tradnl"/>
        </w:rPr>
      </w:pPr>
    </w:p>
    <w:p w14:paraId="6EFD46A9" w14:textId="77777777" w:rsidR="005128E4" w:rsidRPr="00470D7E" w:rsidRDefault="005128E4" w:rsidP="00040C3A">
      <w:pPr>
        <w:tabs>
          <w:tab w:val="center" w:pos="5400"/>
        </w:tabs>
        <w:suppressAutoHyphens/>
        <w:rPr>
          <w:rFonts w:ascii="Cambria" w:hAnsi="Cambria"/>
          <w:sz w:val="22"/>
          <w:szCs w:val="22"/>
          <w:lang w:val="es-ES_tradnl"/>
        </w:rPr>
      </w:pPr>
    </w:p>
    <w:p w14:paraId="058CA56D" w14:textId="77777777" w:rsidR="005128E4" w:rsidRPr="00470D7E" w:rsidRDefault="005128E4" w:rsidP="00040C3A">
      <w:pPr>
        <w:tabs>
          <w:tab w:val="center" w:pos="5400"/>
        </w:tabs>
        <w:suppressAutoHyphens/>
        <w:rPr>
          <w:rFonts w:ascii="Cambria" w:hAnsi="Cambria"/>
          <w:sz w:val="22"/>
          <w:szCs w:val="22"/>
          <w:lang w:val="es-ES_tradnl"/>
        </w:rPr>
      </w:pPr>
    </w:p>
    <w:p w14:paraId="7FB30CF4" w14:textId="77777777" w:rsidR="00040C3A" w:rsidRPr="00470D7E" w:rsidRDefault="00040C3A" w:rsidP="005128E4">
      <w:pPr>
        <w:tabs>
          <w:tab w:val="center" w:pos="5400"/>
        </w:tabs>
        <w:suppressAutoHyphens/>
        <w:jc w:val="center"/>
        <w:rPr>
          <w:rFonts w:ascii="Cambria" w:hAnsi="Cambria"/>
          <w:sz w:val="22"/>
          <w:szCs w:val="22"/>
          <w:lang w:val="es-ES_tradnl"/>
        </w:rPr>
      </w:pPr>
    </w:p>
    <w:p w14:paraId="1304DBFD" w14:textId="77777777" w:rsidR="00040C3A" w:rsidRPr="00470D7E" w:rsidRDefault="00040C3A" w:rsidP="005128E4">
      <w:pPr>
        <w:tabs>
          <w:tab w:val="center" w:pos="5400"/>
        </w:tabs>
        <w:suppressAutoHyphens/>
        <w:jc w:val="center"/>
        <w:rPr>
          <w:rFonts w:ascii="Cambria" w:hAnsi="Cambria"/>
          <w:sz w:val="22"/>
          <w:szCs w:val="22"/>
          <w:lang w:val="es-ES_tradnl"/>
        </w:rPr>
      </w:pPr>
    </w:p>
    <w:p w14:paraId="3C782964" w14:textId="77777777" w:rsidR="005B52B0" w:rsidRPr="00470D7E" w:rsidRDefault="005B52B0" w:rsidP="005128E4">
      <w:pPr>
        <w:tabs>
          <w:tab w:val="center" w:pos="5400"/>
        </w:tabs>
        <w:suppressAutoHyphens/>
        <w:jc w:val="center"/>
        <w:rPr>
          <w:rFonts w:ascii="Cambria" w:hAnsi="Cambria"/>
          <w:sz w:val="22"/>
          <w:szCs w:val="22"/>
          <w:lang w:val="es-ES_tradnl"/>
        </w:rPr>
      </w:pPr>
    </w:p>
    <w:p w14:paraId="68D8A8CF" w14:textId="77777777" w:rsidR="005B52B0" w:rsidRPr="00470D7E" w:rsidRDefault="005B52B0" w:rsidP="005128E4">
      <w:pPr>
        <w:tabs>
          <w:tab w:val="center" w:pos="5400"/>
        </w:tabs>
        <w:suppressAutoHyphens/>
        <w:jc w:val="center"/>
        <w:rPr>
          <w:rFonts w:ascii="Cambria" w:hAnsi="Cambria"/>
          <w:sz w:val="22"/>
          <w:szCs w:val="22"/>
          <w:lang w:val="es-ES_tradnl"/>
        </w:rPr>
      </w:pPr>
    </w:p>
    <w:p w14:paraId="5AD0F1FA" w14:textId="77777777" w:rsidR="005B52B0" w:rsidRPr="00470D7E" w:rsidRDefault="005B52B0" w:rsidP="005128E4">
      <w:pPr>
        <w:tabs>
          <w:tab w:val="center" w:pos="5400"/>
        </w:tabs>
        <w:suppressAutoHyphens/>
        <w:jc w:val="center"/>
        <w:rPr>
          <w:rFonts w:ascii="Cambria" w:hAnsi="Cambria"/>
          <w:sz w:val="22"/>
          <w:szCs w:val="22"/>
          <w:lang w:val="es-ES_tradnl"/>
        </w:rPr>
      </w:pPr>
    </w:p>
    <w:p w14:paraId="1CDFE96D" w14:textId="77777777" w:rsidR="00040C3A" w:rsidRPr="00470D7E" w:rsidRDefault="00040C3A" w:rsidP="00040C3A">
      <w:pPr>
        <w:tabs>
          <w:tab w:val="center" w:pos="5400"/>
        </w:tabs>
        <w:suppressAutoHyphens/>
        <w:jc w:val="center"/>
        <w:rPr>
          <w:rFonts w:ascii="Cambria" w:hAnsi="Cambria"/>
          <w:sz w:val="22"/>
          <w:szCs w:val="22"/>
          <w:lang w:val="es-ES_tradnl"/>
        </w:rPr>
      </w:pPr>
    </w:p>
    <w:p w14:paraId="550AB9C3" w14:textId="77777777" w:rsidR="00040C3A" w:rsidRPr="00470D7E" w:rsidRDefault="00040C3A" w:rsidP="00040C3A">
      <w:pPr>
        <w:tabs>
          <w:tab w:val="center" w:pos="5400"/>
        </w:tabs>
        <w:suppressAutoHyphens/>
        <w:jc w:val="center"/>
        <w:rPr>
          <w:rFonts w:ascii="Cambria" w:hAnsi="Cambria"/>
          <w:sz w:val="22"/>
          <w:szCs w:val="22"/>
          <w:lang w:val="es-ES_tradnl"/>
        </w:rPr>
      </w:pPr>
    </w:p>
    <w:p w14:paraId="17854C67" w14:textId="77777777" w:rsidR="00040C3A" w:rsidRPr="00470D7E" w:rsidRDefault="00441039" w:rsidP="00040C3A">
      <w:pPr>
        <w:tabs>
          <w:tab w:val="center" w:pos="5400"/>
        </w:tabs>
        <w:suppressAutoHyphens/>
        <w:jc w:val="center"/>
        <w:rPr>
          <w:rFonts w:ascii="Cambria" w:hAnsi="Cambria"/>
          <w:sz w:val="22"/>
          <w:szCs w:val="22"/>
          <w:lang w:val="es-ES_tradnl"/>
        </w:rPr>
      </w:pPr>
      <w:r>
        <w:rPr>
          <w:noProof/>
          <w:lang w:val="es-ES" w:eastAsia="es-ES"/>
        </w:rPr>
        <mc:AlternateContent>
          <mc:Choice Requires="wps">
            <w:drawing>
              <wp:anchor distT="0" distB="0" distL="114300" distR="114300" simplePos="0" relativeHeight="251655168" behindDoc="0" locked="0" layoutInCell="1" allowOverlap="1" wp14:anchorId="2D522BF0" wp14:editId="446C6071">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txbx>
                        <w:txbxContent>
                          <w:p w14:paraId="3A8C3D1E" w14:textId="77777777" w:rsidR="009D6394" w:rsidRPr="00005B72" w:rsidRDefault="009D6394" w:rsidP="00997BC5">
                            <w:pPr>
                              <w:spacing w:line="276" w:lineRule="auto"/>
                              <w:rPr>
                                <w:rFonts w:ascii="Cambria" w:hAnsi="Cambria" w:cs="Arial"/>
                                <w:b/>
                                <w:bCs/>
                                <w:color w:val="0D0D0D"/>
                                <w:sz w:val="36"/>
                                <w:szCs w:val="22"/>
                                <w:lang w:val="es-ES"/>
                              </w:rPr>
                            </w:pPr>
                            <w:r w:rsidRPr="00005B72">
                              <w:rPr>
                                <w:rFonts w:ascii="Cambria" w:hAnsi="Cambria" w:cs="Arial"/>
                                <w:b/>
                                <w:bCs/>
                                <w:color w:val="0D0D0D"/>
                                <w:sz w:val="36"/>
                                <w:szCs w:val="22"/>
                                <w:lang w:val="es-ES"/>
                              </w:rPr>
                              <w:t xml:space="preserve">INFORME </w:t>
                            </w:r>
                            <w:r w:rsidRPr="00005B72">
                              <w:rPr>
                                <w:rFonts w:ascii="Cambria" w:hAnsi="Cambria" w:cs="Arial"/>
                                <w:b/>
                                <w:bCs/>
                                <w:color w:val="0D0D0D"/>
                                <w:sz w:val="36"/>
                                <w:szCs w:val="40"/>
                                <w:lang w:val="es-ES"/>
                              </w:rPr>
                              <w:t>No.</w:t>
                            </w:r>
                            <w:r w:rsidRPr="00005B72">
                              <w:rPr>
                                <w:rFonts w:ascii="Cambria" w:hAnsi="Cambria" w:cs="Arial"/>
                                <w:b/>
                                <w:bCs/>
                                <w:color w:val="0D0D0D"/>
                                <w:sz w:val="36"/>
                                <w:szCs w:val="22"/>
                                <w:lang w:val="es-ES"/>
                              </w:rPr>
                              <w:t xml:space="preserve"> </w:t>
                            </w:r>
                            <w:r w:rsidR="00A668F1">
                              <w:rPr>
                                <w:rFonts w:ascii="Cambria" w:hAnsi="Cambria" w:cs="Arial"/>
                                <w:b/>
                                <w:bCs/>
                                <w:color w:val="0D0D0D"/>
                                <w:sz w:val="36"/>
                                <w:szCs w:val="22"/>
                                <w:lang w:val="es-ES"/>
                              </w:rPr>
                              <w:t>158</w:t>
                            </w:r>
                            <w:r w:rsidRPr="00005B72">
                              <w:rPr>
                                <w:rFonts w:ascii="Cambria" w:hAnsi="Cambria" w:cs="Arial"/>
                                <w:b/>
                                <w:bCs/>
                                <w:color w:val="0D0D0D"/>
                                <w:sz w:val="36"/>
                                <w:szCs w:val="22"/>
                                <w:lang w:val="es-ES"/>
                              </w:rPr>
                              <w:t>/19</w:t>
                            </w:r>
                          </w:p>
                          <w:p w14:paraId="31118CD4" w14:textId="77777777" w:rsidR="009D6394" w:rsidRPr="00F63E11" w:rsidRDefault="009D6394" w:rsidP="00997BC5">
                            <w:pPr>
                              <w:spacing w:line="276" w:lineRule="auto"/>
                              <w:rPr>
                                <w:rFonts w:ascii="Cambria" w:hAnsi="Cambria" w:cs="Arial"/>
                                <w:b/>
                                <w:color w:val="0D0D0D"/>
                                <w:sz w:val="36"/>
                                <w:szCs w:val="22"/>
                                <w:lang w:val="es-CL"/>
                              </w:rPr>
                            </w:pPr>
                            <w:r w:rsidRPr="00F63E11">
                              <w:rPr>
                                <w:rFonts w:ascii="Cambria" w:hAnsi="Cambria" w:cs="Arial"/>
                                <w:b/>
                                <w:color w:val="0D0D0D"/>
                                <w:sz w:val="36"/>
                                <w:szCs w:val="22"/>
                                <w:lang w:val="es-CL"/>
                              </w:rPr>
                              <w:t>CASO 12.921</w:t>
                            </w:r>
                          </w:p>
                          <w:p w14:paraId="09546E32" w14:textId="77777777" w:rsidR="009D6394" w:rsidRPr="00470D7E" w:rsidRDefault="009D6394" w:rsidP="000158FD">
                            <w:pPr>
                              <w:spacing w:line="276" w:lineRule="auto"/>
                              <w:rPr>
                                <w:rFonts w:ascii="Cambria" w:hAnsi="Cambria" w:cs="Arial"/>
                                <w:color w:val="0D0D0D"/>
                                <w:szCs w:val="22"/>
                                <w:lang w:val="es-ES_tradnl"/>
                              </w:rPr>
                            </w:pPr>
                            <w:r w:rsidRPr="00470D7E">
                              <w:rPr>
                                <w:rFonts w:ascii="Cambria" w:hAnsi="Cambria" w:cs="Arial"/>
                                <w:color w:val="0D0D0D"/>
                                <w:szCs w:val="22"/>
                                <w:lang w:val="es-ES_tradnl"/>
                              </w:rPr>
                              <w:t xml:space="preserve">INFORME DE FONDO </w:t>
                            </w:r>
                          </w:p>
                          <w:p w14:paraId="07142B17" w14:textId="77777777" w:rsidR="009D6394" w:rsidRPr="00470D7E" w:rsidRDefault="009D6394" w:rsidP="00997BC5">
                            <w:pPr>
                              <w:spacing w:line="276" w:lineRule="auto"/>
                              <w:rPr>
                                <w:rFonts w:ascii="Cambria" w:hAnsi="Cambria" w:cs="Arial"/>
                                <w:color w:val="0D0D0D"/>
                                <w:szCs w:val="22"/>
                                <w:lang w:val="es-ES_tradnl"/>
                              </w:rPr>
                            </w:pPr>
                            <w:bookmarkStart w:id="0" w:name="_ftnref1"/>
                          </w:p>
                          <w:p w14:paraId="2BC5CA4D" w14:textId="77777777" w:rsidR="009D6394" w:rsidRPr="00470D7E" w:rsidRDefault="009D6394" w:rsidP="00997BC5">
                            <w:pPr>
                              <w:spacing w:line="276" w:lineRule="auto"/>
                              <w:rPr>
                                <w:rFonts w:ascii="Cambria" w:hAnsi="Cambria" w:cs="Arial"/>
                                <w:color w:val="0D0D0D"/>
                                <w:szCs w:val="22"/>
                                <w:lang w:val="es-ES_tradnl"/>
                              </w:rPr>
                            </w:pPr>
                            <w:r>
                              <w:rPr>
                                <w:rFonts w:ascii="Cambria" w:hAnsi="Cambria" w:cs="Arial"/>
                                <w:color w:val="0D0D0D"/>
                                <w:szCs w:val="22"/>
                                <w:lang w:val="es-ES_tradnl"/>
                              </w:rPr>
                              <w:t>HERMINIO DERAS GARCÍA Y FAMILIA</w:t>
                            </w:r>
                          </w:p>
                          <w:bookmarkEnd w:id="0"/>
                          <w:p w14:paraId="5DEEC79C" w14:textId="77777777" w:rsidR="009D6394" w:rsidRPr="00470D7E" w:rsidRDefault="009D6394" w:rsidP="00997BC5">
                            <w:pPr>
                              <w:spacing w:line="276" w:lineRule="auto"/>
                              <w:rPr>
                                <w:rFonts w:ascii="Cambria" w:hAnsi="Cambria" w:cs="Arial"/>
                                <w:color w:val="0D0D0D"/>
                                <w:szCs w:val="22"/>
                                <w:lang w:val="es-ES"/>
                              </w:rPr>
                            </w:pPr>
                            <w:r>
                              <w:rPr>
                                <w:rFonts w:ascii="Cambria" w:hAnsi="Cambria" w:cs="Arial"/>
                                <w:color w:val="0D0D0D"/>
                                <w:szCs w:val="22"/>
                                <w:lang w:val="es-ES_tradnl"/>
                              </w:rPr>
                              <w:t>HONDURAS</w:t>
                            </w:r>
                          </w:p>
                          <w:p w14:paraId="2C6C8B22" w14:textId="77777777" w:rsidR="009D6394" w:rsidRPr="00470D7E" w:rsidRDefault="009D6394" w:rsidP="007A5817">
                            <w:pP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22BF0" id="Text Box 5" o:spid="_x0000_s1027"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" filled="f" stroked="f" strokeweight=".5pt">
                <v:textbox>
                  <w:txbxContent>
                    <w:p w14:paraId="3A8C3D1E" w14:textId="77777777" w:rsidR="009D6394" w:rsidRPr="00005B72" w:rsidRDefault="009D6394" w:rsidP="00997BC5">
                      <w:pPr>
                        <w:spacing w:line="276" w:lineRule="auto"/>
                        <w:rPr>
                          <w:rFonts w:ascii="Cambria" w:hAnsi="Cambria" w:cs="Arial"/>
                          <w:b/>
                          <w:bCs/>
                          <w:color w:val="0D0D0D"/>
                          <w:sz w:val="36"/>
                          <w:szCs w:val="22"/>
                          <w:lang w:val="es-ES"/>
                        </w:rPr>
                      </w:pPr>
                      <w:r w:rsidRPr="00005B72">
                        <w:rPr>
                          <w:rFonts w:ascii="Cambria" w:hAnsi="Cambria" w:cs="Arial"/>
                          <w:b/>
                          <w:bCs/>
                          <w:color w:val="0D0D0D"/>
                          <w:sz w:val="36"/>
                          <w:szCs w:val="22"/>
                          <w:lang w:val="es-ES"/>
                        </w:rPr>
                        <w:t xml:space="preserve">INFORME </w:t>
                      </w:r>
                      <w:r w:rsidRPr="00005B72">
                        <w:rPr>
                          <w:rFonts w:ascii="Cambria" w:hAnsi="Cambria" w:cs="Arial"/>
                          <w:b/>
                          <w:bCs/>
                          <w:color w:val="0D0D0D"/>
                          <w:sz w:val="36"/>
                          <w:szCs w:val="40"/>
                          <w:lang w:val="es-ES"/>
                        </w:rPr>
                        <w:t>No.</w:t>
                      </w:r>
                      <w:r w:rsidRPr="00005B72">
                        <w:rPr>
                          <w:rFonts w:ascii="Cambria" w:hAnsi="Cambria" w:cs="Arial"/>
                          <w:b/>
                          <w:bCs/>
                          <w:color w:val="0D0D0D"/>
                          <w:sz w:val="36"/>
                          <w:szCs w:val="22"/>
                          <w:lang w:val="es-ES"/>
                        </w:rPr>
                        <w:t xml:space="preserve"> </w:t>
                      </w:r>
                      <w:r w:rsidR="00A668F1">
                        <w:rPr>
                          <w:rFonts w:ascii="Cambria" w:hAnsi="Cambria" w:cs="Arial"/>
                          <w:b/>
                          <w:bCs/>
                          <w:color w:val="0D0D0D"/>
                          <w:sz w:val="36"/>
                          <w:szCs w:val="22"/>
                          <w:lang w:val="es-ES"/>
                        </w:rPr>
                        <w:t>158</w:t>
                      </w:r>
                      <w:r w:rsidRPr="00005B72">
                        <w:rPr>
                          <w:rFonts w:ascii="Cambria" w:hAnsi="Cambria" w:cs="Arial"/>
                          <w:b/>
                          <w:bCs/>
                          <w:color w:val="0D0D0D"/>
                          <w:sz w:val="36"/>
                          <w:szCs w:val="22"/>
                          <w:lang w:val="es-ES"/>
                        </w:rPr>
                        <w:t>/19</w:t>
                      </w:r>
                    </w:p>
                    <w:p w14:paraId="31118CD4" w14:textId="77777777" w:rsidR="009D6394" w:rsidRPr="00F63E11" w:rsidRDefault="009D6394" w:rsidP="00997BC5">
                      <w:pPr>
                        <w:spacing w:line="276" w:lineRule="auto"/>
                        <w:rPr>
                          <w:rFonts w:ascii="Cambria" w:hAnsi="Cambria" w:cs="Arial"/>
                          <w:b/>
                          <w:color w:val="0D0D0D"/>
                          <w:sz w:val="36"/>
                          <w:szCs w:val="22"/>
                          <w:lang w:val="es-CL"/>
                        </w:rPr>
                      </w:pPr>
                      <w:r w:rsidRPr="00F63E11">
                        <w:rPr>
                          <w:rFonts w:ascii="Cambria" w:hAnsi="Cambria" w:cs="Arial"/>
                          <w:b/>
                          <w:color w:val="0D0D0D"/>
                          <w:sz w:val="36"/>
                          <w:szCs w:val="22"/>
                          <w:lang w:val="es-CL"/>
                        </w:rPr>
                        <w:t>CASO 12.921</w:t>
                      </w:r>
                    </w:p>
                    <w:p w14:paraId="09546E32" w14:textId="77777777" w:rsidR="009D6394" w:rsidRPr="00470D7E" w:rsidRDefault="009D6394" w:rsidP="000158FD">
                      <w:pPr>
                        <w:spacing w:line="276" w:lineRule="auto"/>
                        <w:rPr>
                          <w:rFonts w:ascii="Cambria" w:hAnsi="Cambria" w:cs="Arial"/>
                          <w:color w:val="0D0D0D"/>
                          <w:szCs w:val="22"/>
                          <w:lang w:val="es-ES_tradnl"/>
                        </w:rPr>
                      </w:pPr>
                      <w:r w:rsidRPr="00470D7E">
                        <w:rPr>
                          <w:rFonts w:ascii="Cambria" w:hAnsi="Cambria" w:cs="Arial"/>
                          <w:color w:val="0D0D0D"/>
                          <w:szCs w:val="22"/>
                          <w:lang w:val="es-ES_tradnl"/>
                        </w:rPr>
                        <w:t xml:space="preserve">INFORME DE FONDO </w:t>
                      </w:r>
                    </w:p>
                    <w:p w14:paraId="07142B17" w14:textId="77777777" w:rsidR="009D6394" w:rsidRPr="00470D7E" w:rsidRDefault="009D6394" w:rsidP="00997BC5">
                      <w:pPr>
                        <w:spacing w:line="276" w:lineRule="auto"/>
                        <w:rPr>
                          <w:rFonts w:ascii="Cambria" w:hAnsi="Cambria" w:cs="Arial"/>
                          <w:color w:val="0D0D0D"/>
                          <w:szCs w:val="22"/>
                          <w:lang w:val="es-ES_tradnl"/>
                        </w:rPr>
                      </w:pPr>
                      <w:bookmarkStart w:id="1" w:name="_ftnref1"/>
                    </w:p>
                    <w:p w14:paraId="2BC5CA4D" w14:textId="77777777" w:rsidR="009D6394" w:rsidRPr="00470D7E" w:rsidRDefault="009D6394" w:rsidP="00997BC5">
                      <w:pPr>
                        <w:spacing w:line="276" w:lineRule="auto"/>
                        <w:rPr>
                          <w:rFonts w:ascii="Cambria" w:hAnsi="Cambria" w:cs="Arial"/>
                          <w:color w:val="0D0D0D"/>
                          <w:szCs w:val="22"/>
                          <w:lang w:val="es-ES_tradnl"/>
                        </w:rPr>
                      </w:pPr>
                      <w:r>
                        <w:rPr>
                          <w:rFonts w:ascii="Cambria" w:hAnsi="Cambria" w:cs="Arial"/>
                          <w:color w:val="0D0D0D"/>
                          <w:szCs w:val="22"/>
                          <w:lang w:val="es-ES_tradnl"/>
                        </w:rPr>
                        <w:t>HERMINIO DERAS GARCÍA Y FAMILIA</w:t>
                      </w:r>
                    </w:p>
                    <w:bookmarkEnd w:id="1"/>
                    <w:p w14:paraId="5DEEC79C" w14:textId="77777777" w:rsidR="009D6394" w:rsidRPr="00470D7E" w:rsidRDefault="009D6394" w:rsidP="00997BC5">
                      <w:pPr>
                        <w:spacing w:line="276" w:lineRule="auto"/>
                        <w:rPr>
                          <w:rFonts w:ascii="Cambria" w:hAnsi="Cambria" w:cs="Arial"/>
                          <w:color w:val="0D0D0D"/>
                          <w:szCs w:val="22"/>
                          <w:lang w:val="es-ES"/>
                        </w:rPr>
                      </w:pPr>
                      <w:r>
                        <w:rPr>
                          <w:rFonts w:ascii="Cambria" w:hAnsi="Cambria" w:cs="Arial"/>
                          <w:color w:val="0D0D0D"/>
                          <w:szCs w:val="22"/>
                          <w:lang w:val="es-ES_tradnl"/>
                        </w:rPr>
                        <w:t>HONDURAS</w:t>
                      </w:r>
                    </w:p>
                    <w:p w14:paraId="2C6C8B22" w14:textId="77777777" w:rsidR="009D6394" w:rsidRPr="00470D7E" w:rsidRDefault="009D6394" w:rsidP="007A5817">
                      <w:pPr>
                        <w:rPr>
                          <w:color w:val="0D0D0D"/>
                          <w:lang w:val="es-ES_tradnl"/>
                        </w:rPr>
                      </w:pPr>
                    </w:p>
                  </w:txbxContent>
                </v:textbox>
              </v:shape>
            </w:pict>
          </mc:Fallback>
        </mc:AlternateContent>
      </w:r>
      <w:r>
        <w:rPr>
          <w:noProof/>
          <w:lang w:val="es-ES" w:eastAsia="es-ES"/>
        </w:rPr>
        <mc:AlternateContent>
          <mc:Choice Requires="wps">
            <w:drawing>
              <wp:anchor distT="0" distB="0" distL="114300" distR="114300" simplePos="0" relativeHeight="251657216" behindDoc="0" locked="0" layoutInCell="1" allowOverlap="1" wp14:anchorId="0CBCA91E" wp14:editId="3CB0A41D">
                <wp:simplePos x="0" y="0"/>
                <wp:positionH relativeFrom="column">
                  <wp:posOffset>-342265</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txbx>
                        <w:txbxContent>
                          <w:p w14:paraId="4FF91D87" w14:textId="77777777" w:rsidR="009D6394" w:rsidRPr="00470D7E" w:rsidRDefault="009D6394" w:rsidP="007A5817">
                            <w:pPr>
                              <w:spacing w:line="276" w:lineRule="auto"/>
                              <w:jc w:val="right"/>
                              <w:rPr>
                                <w:rFonts w:ascii="Calibri" w:hAnsi="Calibri"/>
                                <w:color w:val="FFFFFF"/>
                                <w:sz w:val="22"/>
                                <w:lang w:val="pt-BR"/>
                              </w:rPr>
                            </w:pPr>
                            <w:r w:rsidRPr="00470D7E">
                              <w:rPr>
                                <w:rFonts w:ascii="Calibri" w:hAnsi="Calibri"/>
                                <w:color w:val="FFFFFF"/>
                                <w:sz w:val="22"/>
                                <w:lang w:val="pt-BR"/>
                              </w:rPr>
                              <w:t>OEA/Ser.L/V/II.</w:t>
                            </w:r>
                            <w:r w:rsidR="00A668F1">
                              <w:rPr>
                                <w:rFonts w:ascii="Calibri" w:hAnsi="Calibri"/>
                                <w:color w:val="FFFFFF"/>
                                <w:sz w:val="22"/>
                                <w:lang w:val="pt-BR"/>
                              </w:rPr>
                              <w:t>173</w:t>
                            </w:r>
                          </w:p>
                          <w:p w14:paraId="22EEAE5E" w14:textId="77777777" w:rsidR="009D6394" w:rsidRPr="00470D7E" w:rsidRDefault="009D6394" w:rsidP="007A5817">
                            <w:pPr>
                              <w:spacing w:line="276" w:lineRule="auto"/>
                              <w:jc w:val="right"/>
                              <w:rPr>
                                <w:rFonts w:ascii="Calibri" w:hAnsi="Calibri"/>
                                <w:color w:val="FFFFFF"/>
                                <w:sz w:val="22"/>
                                <w:lang w:val="pt-BR"/>
                              </w:rPr>
                            </w:pPr>
                            <w:r w:rsidRPr="00470D7E">
                              <w:rPr>
                                <w:rFonts w:ascii="Calibri" w:hAnsi="Calibri"/>
                                <w:color w:val="FFFFFF"/>
                                <w:sz w:val="22"/>
                                <w:lang w:val="pt-BR"/>
                              </w:rPr>
                              <w:t xml:space="preserve">Doc. </w:t>
                            </w:r>
                            <w:r w:rsidR="00A668F1">
                              <w:rPr>
                                <w:rFonts w:ascii="Calibri" w:hAnsi="Calibri"/>
                                <w:color w:val="FFFFFF"/>
                                <w:sz w:val="22"/>
                                <w:lang w:val="pt-BR"/>
                              </w:rPr>
                              <w:t>173</w:t>
                            </w:r>
                          </w:p>
                          <w:p w14:paraId="39A41C53" w14:textId="77777777" w:rsidR="009D6394" w:rsidRPr="00470D7E" w:rsidRDefault="00A668F1" w:rsidP="007A5817">
                            <w:pPr>
                              <w:spacing w:line="276" w:lineRule="auto"/>
                              <w:jc w:val="right"/>
                              <w:rPr>
                                <w:rFonts w:ascii="Calibri" w:hAnsi="Calibri"/>
                                <w:color w:val="FFFFFF"/>
                                <w:sz w:val="22"/>
                                <w:lang w:val="es-US"/>
                              </w:rPr>
                            </w:pPr>
                            <w:r>
                              <w:rPr>
                                <w:rFonts w:ascii="Calibri" w:hAnsi="Calibri"/>
                                <w:color w:val="FFFFFF"/>
                                <w:sz w:val="22"/>
                                <w:lang w:val="es-US"/>
                              </w:rPr>
                              <w:t>28 septiembre</w:t>
                            </w:r>
                            <w:r w:rsidR="009D6394" w:rsidRPr="00470D7E">
                              <w:rPr>
                                <w:rFonts w:ascii="Calibri" w:hAnsi="Calibri"/>
                                <w:color w:val="FFFFFF"/>
                                <w:sz w:val="22"/>
                                <w:lang w:val="es-US"/>
                              </w:rPr>
                              <w:t xml:space="preserve"> 20</w:t>
                            </w:r>
                            <w:r w:rsidR="009D6394">
                              <w:rPr>
                                <w:rFonts w:ascii="Calibri" w:hAnsi="Calibri"/>
                                <w:color w:val="FFFFFF"/>
                                <w:sz w:val="22"/>
                                <w:lang w:val="es-US"/>
                              </w:rPr>
                              <w:t>19</w:t>
                            </w:r>
                          </w:p>
                          <w:p w14:paraId="67DF5D43" w14:textId="77777777" w:rsidR="009D6394" w:rsidRPr="00470D7E" w:rsidRDefault="009D6394" w:rsidP="007A5817">
                            <w:pPr>
                              <w:spacing w:line="276" w:lineRule="auto"/>
                              <w:jc w:val="right"/>
                              <w:rPr>
                                <w:rFonts w:ascii="Calibri" w:hAnsi="Calibri"/>
                                <w:color w:val="FFFFFF"/>
                                <w:sz w:val="22"/>
                                <w:lang w:val="es-US"/>
                              </w:rPr>
                            </w:pPr>
                            <w:r w:rsidRPr="00470D7E">
                              <w:rPr>
                                <w:rFonts w:ascii="Calibri" w:hAnsi="Calibri"/>
                                <w:color w:val="FFFFFF"/>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CA91E" id="Text Box 8" o:spid="_x0000_s1028" type="#_x0000_t202" style="position:absolute;left:0;text-align:left;margin-left:-26.95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" filled="f" stroked="f" strokeweight=".5pt">
                <v:textbox>
                  <w:txbxContent>
                    <w:p w14:paraId="4FF91D87" w14:textId="77777777" w:rsidR="009D6394" w:rsidRPr="00470D7E" w:rsidRDefault="009D6394" w:rsidP="007A5817">
                      <w:pPr>
                        <w:spacing w:line="276" w:lineRule="auto"/>
                        <w:jc w:val="right"/>
                        <w:rPr>
                          <w:rFonts w:ascii="Calibri" w:hAnsi="Calibri"/>
                          <w:color w:val="FFFFFF"/>
                          <w:sz w:val="22"/>
                          <w:lang w:val="pt-BR"/>
                        </w:rPr>
                      </w:pPr>
                      <w:r w:rsidRPr="00470D7E">
                        <w:rPr>
                          <w:rFonts w:ascii="Calibri" w:hAnsi="Calibri"/>
                          <w:color w:val="FFFFFF"/>
                          <w:sz w:val="22"/>
                          <w:lang w:val="pt-BR"/>
                        </w:rPr>
                        <w:t>OEA/Ser.L/V/II.</w:t>
                      </w:r>
                      <w:r w:rsidR="00A668F1">
                        <w:rPr>
                          <w:rFonts w:ascii="Calibri" w:hAnsi="Calibri"/>
                          <w:color w:val="FFFFFF"/>
                          <w:sz w:val="22"/>
                          <w:lang w:val="pt-BR"/>
                        </w:rPr>
                        <w:t>173</w:t>
                      </w:r>
                    </w:p>
                    <w:p w14:paraId="22EEAE5E" w14:textId="77777777" w:rsidR="009D6394" w:rsidRPr="00470D7E" w:rsidRDefault="009D6394" w:rsidP="007A5817">
                      <w:pPr>
                        <w:spacing w:line="276" w:lineRule="auto"/>
                        <w:jc w:val="right"/>
                        <w:rPr>
                          <w:rFonts w:ascii="Calibri" w:hAnsi="Calibri"/>
                          <w:color w:val="FFFFFF"/>
                          <w:sz w:val="22"/>
                          <w:lang w:val="pt-BR"/>
                        </w:rPr>
                      </w:pPr>
                      <w:r w:rsidRPr="00470D7E">
                        <w:rPr>
                          <w:rFonts w:ascii="Calibri" w:hAnsi="Calibri"/>
                          <w:color w:val="FFFFFF"/>
                          <w:sz w:val="22"/>
                          <w:lang w:val="pt-BR"/>
                        </w:rPr>
                        <w:t xml:space="preserve">Doc. </w:t>
                      </w:r>
                      <w:r w:rsidR="00A668F1">
                        <w:rPr>
                          <w:rFonts w:ascii="Calibri" w:hAnsi="Calibri"/>
                          <w:color w:val="FFFFFF"/>
                          <w:sz w:val="22"/>
                          <w:lang w:val="pt-BR"/>
                        </w:rPr>
                        <w:t>173</w:t>
                      </w:r>
                    </w:p>
                    <w:p w14:paraId="39A41C53" w14:textId="77777777" w:rsidR="009D6394" w:rsidRPr="00470D7E" w:rsidRDefault="00A668F1" w:rsidP="007A5817">
                      <w:pPr>
                        <w:spacing w:line="276" w:lineRule="auto"/>
                        <w:jc w:val="right"/>
                        <w:rPr>
                          <w:rFonts w:ascii="Calibri" w:hAnsi="Calibri"/>
                          <w:color w:val="FFFFFF"/>
                          <w:sz w:val="22"/>
                          <w:lang w:val="es-US"/>
                        </w:rPr>
                      </w:pPr>
                      <w:r>
                        <w:rPr>
                          <w:rFonts w:ascii="Calibri" w:hAnsi="Calibri"/>
                          <w:color w:val="FFFFFF"/>
                          <w:sz w:val="22"/>
                          <w:lang w:val="es-US"/>
                        </w:rPr>
                        <w:t>28 septiembre</w:t>
                      </w:r>
                      <w:r w:rsidR="009D6394" w:rsidRPr="00470D7E">
                        <w:rPr>
                          <w:rFonts w:ascii="Calibri" w:hAnsi="Calibri"/>
                          <w:color w:val="FFFFFF"/>
                          <w:sz w:val="22"/>
                          <w:lang w:val="es-US"/>
                        </w:rPr>
                        <w:t xml:space="preserve"> 20</w:t>
                      </w:r>
                      <w:r w:rsidR="009D6394">
                        <w:rPr>
                          <w:rFonts w:ascii="Calibri" w:hAnsi="Calibri"/>
                          <w:color w:val="FFFFFF"/>
                          <w:sz w:val="22"/>
                          <w:lang w:val="es-US"/>
                        </w:rPr>
                        <w:t>19</w:t>
                      </w:r>
                    </w:p>
                    <w:p w14:paraId="67DF5D43" w14:textId="77777777" w:rsidR="009D6394" w:rsidRPr="00470D7E" w:rsidRDefault="009D6394" w:rsidP="007A5817">
                      <w:pPr>
                        <w:spacing w:line="276" w:lineRule="auto"/>
                        <w:jc w:val="right"/>
                        <w:rPr>
                          <w:rFonts w:ascii="Calibri" w:hAnsi="Calibri"/>
                          <w:color w:val="FFFFFF"/>
                          <w:sz w:val="22"/>
                          <w:lang w:val="es-US"/>
                        </w:rPr>
                      </w:pPr>
                      <w:r w:rsidRPr="00470D7E">
                        <w:rPr>
                          <w:rFonts w:ascii="Calibri" w:hAnsi="Calibri"/>
                          <w:color w:val="FFFFFF"/>
                          <w:sz w:val="22"/>
                          <w:lang w:val="es-US"/>
                        </w:rPr>
                        <w:t>Original: español</w:t>
                      </w:r>
                    </w:p>
                  </w:txbxContent>
                </v:textbox>
              </v:shape>
            </w:pict>
          </mc:Fallback>
        </mc:AlternateContent>
      </w:r>
    </w:p>
    <w:p w14:paraId="6FD0C7BC" w14:textId="77777777" w:rsidR="00040C3A" w:rsidRPr="00470D7E" w:rsidRDefault="00040C3A" w:rsidP="00040C3A">
      <w:pPr>
        <w:tabs>
          <w:tab w:val="center" w:pos="5400"/>
        </w:tabs>
        <w:suppressAutoHyphens/>
        <w:jc w:val="center"/>
        <w:rPr>
          <w:rFonts w:ascii="Cambria" w:hAnsi="Cambria"/>
          <w:sz w:val="22"/>
          <w:szCs w:val="22"/>
          <w:lang w:val="es-ES_tradnl"/>
        </w:rPr>
      </w:pPr>
    </w:p>
    <w:p w14:paraId="378B599B" w14:textId="77777777" w:rsidR="00040C3A" w:rsidRPr="00470D7E" w:rsidRDefault="00040C3A" w:rsidP="00040C3A">
      <w:pPr>
        <w:tabs>
          <w:tab w:val="center" w:pos="5400"/>
        </w:tabs>
        <w:suppressAutoHyphens/>
        <w:jc w:val="center"/>
        <w:rPr>
          <w:rFonts w:ascii="Cambria" w:hAnsi="Cambria"/>
          <w:sz w:val="22"/>
          <w:szCs w:val="22"/>
          <w:lang w:val="es-ES_tradnl"/>
        </w:rPr>
      </w:pPr>
    </w:p>
    <w:p w14:paraId="77F94EC5" w14:textId="77777777" w:rsidR="00040C3A" w:rsidRPr="00470D7E" w:rsidRDefault="00040C3A" w:rsidP="00040C3A">
      <w:pPr>
        <w:tabs>
          <w:tab w:val="center" w:pos="5400"/>
        </w:tabs>
        <w:suppressAutoHyphens/>
        <w:jc w:val="center"/>
        <w:rPr>
          <w:rFonts w:ascii="Cambria" w:hAnsi="Cambria" w:cs="Arial"/>
          <w:sz w:val="22"/>
          <w:szCs w:val="22"/>
          <w:lang w:val="es-ES_tradnl"/>
        </w:rPr>
      </w:pPr>
    </w:p>
    <w:p w14:paraId="324FD600" w14:textId="77777777" w:rsidR="00040C3A" w:rsidRPr="00470D7E" w:rsidRDefault="00040C3A" w:rsidP="00040C3A">
      <w:pPr>
        <w:tabs>
          <w:tab w:val="center" w:pos="5400"/>
        </w:tabs>
        <w:suppressAutoHyphens/>
        <w:jc w:val="center"/>
        <w:rPr>
          <w:rFonts w:ascii="Cambria" w:hAnsi="Cambria"/>
          <w:sz w:val="22"/>
          <w:szCs w:val="22"/>
          <w:lang w:val="es-ES_tradnl"/>
        </w:rPr>
      </w:pPr>
    </w:p>
    <w:p w14:paraId="3BD19059" w14:textId="77777777" w:rsidR="00040C3A" w:rsidRPr="00470D7E" w:rsidRDefault="00040C3A" w:rsidP="00040C3A">
      <w:pPr>
        <w:tabs>
          <w:tab w:val="center" w:pos="5400"/>
        </w:tabs>
        <w:suppressAutoHyphens/>
        <w:jc w:val="center"/>
        <w:rPr>
          <w:rFonts w:ascii="Cambria" w:hAnsi="Cambria"/>
          <w:sz w:val="22"/>
          <w:szCs w:val="22"/>
          <w:lang w:val="es-ES_tradnl"/>
        </w:rPr>
      </w:pPr>
    </w:p>
    <w:p w14:paraId="719B71B5" w14:textId="77777777" w:rsidR="00040C3A" w:rsidRPr="00470D7E" w:rsidRDefault="00040C3A" w:rsidP="00040C3A">
      <w:pPr>
        <w:tabs>
          <w:tab w:val="center" w:pos="5400"/>
        </w:tabs>
        <w:suppressAutoHyphens/>
        <w:jc w:val="center"/>
        <w:rPr>
          <w:rFonts w:ascii="Cambria" w:hAnsi="Cambria"/>
          <w:sz w:val="22"/>
          <w:szCs w:val="22"/>
          <w:lang w:val="es-ES_tradnl"/>
        </w:rPr>
      </w:pPr>
    </w:p>
    <w:p w14:paraId="7366229D" w14:textId="77777777" w:rsidR="00040C3A" w:rsidRPr="00470D7E" w:rsidRDefault="00040C3A" w:rsidP="00040C3A">
      <w:pPr>
        <w:tabs>
          <w:tab w:val="center" w:pos="5400"/>
        </w:tabs>
        <w:suppressAutoHyphens/>
        <w:jc w:val="center"/>
        <w:rPr>
          <w:rFonts w:ascii="Cambria" w:hAnsi="Cambria"/>
          <w:sz w:val="22"/>
          <w:szCs w:val="22"/>
          <w:lang w:val="es-ES_tradnl"/>
        </w:rPr>
      </w:pPr>
    </w:p>
    <w:p w14:paraId="304AD699" w14:textId="77777777" w:rsidR="005128E4" w:rsidRPr="00470D7E" w:rsidRDefault="005128E4" w:rsidP="00040C3A">
      <w:pPr>
        <w:tabs>
          <w:tab w:val="center" w:pos="5400"/>
        </w:tabs>
        <w:suppressAutoHyphens/>
        <w:jc w:val="center"/>
        <w:rPr>
          <w:rFonts w:ascii="Cambria" w:hAnsi="Cambria"/>
          <w:sz w:val="22"/>
          <w:szCs w:val="22"/>
          <w:lang w:val="es-ES_tradnl"/>
        </w:rPr>
      </w:pPr>
    </w:p>
    <w:p w14:paraId="42178545" w14:textId="77777777" w:rsidR="00040C3A" w:rsidRPr="00470D7E" w:rsidRDefault="00040C3A" w:rsidP="00040C3A">
      <w:pPr>
        <w:tabs>
          <w:tab w:val="center" w:pos="5400"/>
        </w:tabs>
        <w:suppressAutoHyphens/>
        <w:jc w:val="center"/>
        <w:rPr>
          <w:rFonts w:ascii="Cambria" w:hAnsi="Cambria"/>
          <w:sz w:val="22"/>
          <w:szCs w:val="22"/>
          <w:lang w:val="es-ES_tradnl"/>
        </w:rPr>
      </w:pPr>
    </w:p>
    <w:p w14:paraId="1B60922B" w14:textId="77777777" w:rsidR="005128E4" w:rsidRPr="00470D7E" w:rsidRDefault="005128E4" w:rsidP="00040C3A">
      <w:pPr>
        <w:tabs>
          <w:tab w:val="center" w:pos="5400"/>
        </w:tabs>
        <w:suppressAutoHyphens/>
        <w:jc w:val="center"/>
        <w:rPr>
          <w:rFonts w:ascii="Cambria" w:hAnsi="Cambria"/>
          <w:sz w:val="22"/>
          <w:szCs w:val="22"/>
          <w:lang w:val="es-ES_tradnl"/>
        </w:rPr>
      </w:pPr>
    </w:p>
    <w:p w14:paraId="62D436E3" w14:textId="77777777" w:rsidR="005128E4" w:rsidRPr="00470D7E" w:rsidRDefault="005128E4" w:rsidP="00040C3A">
      <w:pPr>
        <w:tabs>
          <w:tab w:val="center" w:pos="5400"/>
        </w:tabs>
        <w:suppressAutoHyphens/>
        <w:jc w:val="center"/>
        <w:rPr>
          <w:rFonts w:ascii="Cambria" w:hAnsi="Cambria"/>
          <w:sz w:val="22"/>
          <w:szCs w:val="22"/>
          <w:lang w:val="es-ES_tradnl"/>
        </w:rPr>
      </w:pPr>
    </w:p>
    <w:p w14:paraId="024A964F" w14:textId="77777777" w:rsidR="005128E4" w:rsidRPr="00470D7E" w:rsidRDefault="005128E4" w:rsidP="00040C3A">
      <w:pPr>
        <w:tabs>
          <w:tab w:val="center" w:pos="5400"/>
        </w:tabs>
        <w:suppressAutoHyphens/>
        <w:jc w:val="center"/>
        <w:rPr>
          <w:rFonts w:ascii="Cambria" w:hAnsi="Cambria"/>
          <w:sz w:val="22"/>
          <w:szCs w:val="22"/>
          <w:lang w:val="es-ES_tradnl"/>
        </w:rPr>
      </w:pPr>
    </w:p>
    <w:p w14:paraId="02750123" w14:textId="77777777" w:rsidR="00040C3A" w:rsidRPr="00470D7E" w:rsidRDefault="00040C3A" w:rsidP="00040C3A">
      <w:pPr>
        <w:tabs>
          <w:tab w:val="center" w:pos="5400"/>
        </w:tabs>
        <w:suppressAutoHyphens/>
        <w:jc w:val="center"/>
        <w:rPr>
          <w:rFonts w:ascii="Cambria" w:hAnsi="Cambria"/>
          <w:sz w:val="22"/>
          <w:szCs w:val="22"/>
          <w:lang w:val="es-ES_tradnl"/>
        </w:rPr>
      </w:pPr>
    </w:p>
    <w:p w14:paraId="5DB9442D" w14:textId="77777777" w:rsidR="00040C3A" w:rsidRPr="00470D7E" w:rsidRDefault="00040C3A" w:rsidP="00040C3A">
      <w:pPr>
        <w:tabs>
          <w:tab w:val="center" w:pos="5400"/>
        </w:tabs>
        <w:suppressAutoHyphens/>
        <w:jc w:val="center"/>
        <w:rPr>
          <w:rFonts w:ascii="Cambria" w:hAnsi="Cambria"/>
          <w:sz w:val="22"/>
          <w:szCs w:val="22"/>
          <w:lang w:val="es-ES_tradnl"/>
        </w:rPr>
      </w:pPr>
    </w:p>
    <w:p w14:paraId="2779667C" w14:textId="77777777" w:rsidR="00A50FCF" w:rsidRPr="00470D7E" w:rsidRDefault="00A50FCF" w:rsidP="00040C3A">
      <w:pPr>
        <w:tabs>
          <w:tab w:val="center" w:pos="5400"/>
        </w:tabs>
        <w:suppressAutoHyphens/>
        <w:jc w:val="center"/>
        <w:rPr>
          <w:rFonts w:ascii="Cambria" w:hAnsi="Cambria"/>
          <w:sz w:val="18"/>
          <w:szCs w:val="22"/>
          <w:lang w:val="es-ES_tradnl"/>
        </w:rPr>
      </w:pPr>
    </w:p>
    <w:p w14:paraId="775D63B5" w14:textId="77777777" w:rsidR="00A50FCF" w:rsidRPr="00470D7E" w:rsidRDefault="00A50FCF" w:rsidP="00040C3A">
      <w:pPr>
        <w:tabs>
          <w:tab w:val="center" w:pos="5400"/>
        </w:tabs>
        <w:suppressAutoHyphens/>
        <w:jc w:val="center"/>
        <w:rPr>
          <w:rFonts w:ascii="Cambria" w:hAnsi="Cambria"/>
          <w:sz w:val="18"/>
          <w:szCs w:val="22"/>
          <w:lang w:val="es-ES_tradnl"/>
        </w:rPr>
      </w:pPr>
    </w:p>
    <w:p w14:paraId="54C70D97" w14:textId="77777777" w:rsidR="00A50FCF" w:rsidRPr="00470D7E" w:rsidRDefault="00A50FCF" w:rsidP="00040C3A">
      <w:pPr>
        <w:tabs>
          <w:tab w:val="center" w:pos="5400"/>
        </w:tabs>
        <w:suppressAutoHyphens/>
        <w:jc w:val="center"/>
        <w:rPr>
          <w:rFonts w:ascii="Cambria" w:hAnsi="Cambria"/>
          <w:sz w:val="18"/>
          <w:szCs w:val="22"/>
          <w:lang w:val="es-ES_tradnl"/>
        </w:rPr>
      </w:pPr>
    </w:p>
    <w:p w14:paraId="736136FD" w14:textId="77777777" w:rsidR="00A50FCF" w:rsidRPr="00470D7E" w:rsidRDefault="00A50FCF" w:rsidP="00040C3A">
      <w:pPr>
        <w:tabs>
          <w:tab w:val="center" w:pos="5400"/>
        </w:tabs>
        <w:suppressAutoHyphens/>
        <w:jc w:val="center"/>
        <w:rPr>
          <w:rFonts w:ascii="Cambria" w:hAnsi="Cambria"/>
          <w:sz w:val="18"/>
          <w:szCs w:val="22"/>
          <w:lang w:val="es-ES_tradnl"/>
        </w:rPr>
      </w:pPr>
    </w:p>
    <w:p w14:paraId="73877FA5" w14:textId="77777777" w:rsidR="00A50FCF" w:rsidRPr="00470D7E" w:rsidRDefault="00A50FCF" w:rsidP="00040C3A">
      <w:pPr>
        <w:tabs>
          <w:tab w:val="center" w:pos="5400"/>
        </w:tabs>
        <w:suppressAutoHyphens/>
        <w:jc w:val="center"/>
        <w:rPr>
          <w:rFonts w:ascii="Cambria" w:hAnsi="Cambria"/>
          <w:sz w:val="18"/>
          <w:szCs w:val="22"/>
          <w:lang w:val="es-ES_tradnl"/>
        </w:rPr>
      </w:pPr>
    </w:p>
    <w:p w14:paraId="3038C0F9" w14:textId="77777777" w:rsidR="00A50FCF" w:rsidRPr="00470D7E" w:rsidRDefault="00A50FCF" w:rsidP="00040C3A">
      <w:pPr>
        <w:tabs>
          <w:tab w:val="center" w:pos="5400"/>
        </w:tabs>
        <w:suppressAutoHyphens/>
        <w:jc w:val="center"/>
        <w:rPr>
          <w:rFonts w:ascii="Cambria" w:hAnsi="Cambria"/>
          <w:sz w:val="18"/>
          <w:szCs w:val="22"/>
          <w:lang w:val="es-ES_tradnl"/>
        </w:rPr>
      </w:pPr>
    </w:p>
    <w:p w14:paraId="0C4FD6D1" w14:textId="77777777" w:rsidR="00A50FCF" w:rsidRPr="00470D7E" w:rsidRDefault="00A50FCF" w:rsidP="00040C3A">
      <w:pPr>
        <w:tabs>
          <w:tab w:val="center" w:pos="5400"/>
        </w:tabs>
        <w:suppressAutoHyphens/>
        <w:jc w:val="center"/>
        <w:rPr>
          <w:rFonts w:ascii="Cambria" w:hAnsi="Cambria"/>
          <w:sz w:val="18"/>
          <w:szCs w:val="22"/>
          <w:lang w:val="es-ES_tradnl"/>
        </w:rPr>
      </w:pPr>
    </w:p>
    <w:p w14:paraId="6DF0D8E7" w14:textId="77777777" w:rsidR="00A50FCF" w:rsidRPr="00470D7E" w:rsidRDefault="00A50FCF" w:rsidP="00040C3A">
      <w:pPr>
        <w:tabs>
          <w:tab w:val="center" w:pos="5400"/>
        </w:tabs>
        <w:suppressAutoHyphens/>
        <w:jc w:val="center"/>
        <w:rPr>
          <w:rFonts w:ascii="Cambria" w:hAnsi="Cambria"/>
          <w:sz w:val="18"/>
          <w:szCs w:val="22"/>
          <w:lang w:val="es-ES_tradnl"/>
        </w:rPr>
      </w:pPr>
    </w:p>
    <w:p w14:paraId="4BBE12F9" w14:textId="77777777" w:rsidR="00A50FCF" w:rsidRPr="00470D7E" w:rsidRDefault="00A50FCF" w:rsidP="00040C3A">
      <w:pPr>
        <w:tabs>
          <w:tab w:val="center" w:pos="5400"/>
        </w:tabs>
        <w:suppressAutoHyphens/>
        <w:jc w:val="center"/>
        <w:rPr>
          <w:rFonts w:ascii="Cambria" w:hAnsi="Cambria"/>
          <w:sz w:val="18"/>
          <w:szCs w:val="22"/>
          <w:lang w:val="es-ES_tradnl"/>
        </w:rPr>
      </w:pPr>
    </w:p>
    <w:p w14:paraId="55EABA70" w14:textId="77777777" w:rsidR="00A50FCF" w:rsidRPr="00470D7E" w:rsidRDefault="00A50FCF" w:rsidP="00040C3A">
      <w:pPr>
        <w:tabs>
          <w:tab w:val="center" w:pos="5400"/>
        </w:tabs>
        <w:suppressAutoHyphens/>
        <w:jc w:val="center"/>
        <w:rPr>
          <w:rFonts w:ascii="Cambria" w:hAnsi="Cambria"/>
          <w:sz w:val="18"/>
          <w:szCs w:val="22"/>
          <w:lang w:val="es-ES_tradnl"/>
        </w:rPr>
      </w:pPr>
    </w:p>
    <w:p w14:paraId="28FF4EAE" w14:textId="77777777" w:rsidR="00A50FCF" w:rsidRPr="00470D7E" w:rsidRDefault="00A50FCF" w:rsidP="00040C3A">
      <w:pPr>
        <w:tabs>
          <w:tab w:val="center" w:pos="5400"/>
        </w:tabs>
        <w:suppressAutoHyphens/>
        <w:jc w:val="center"/>
        <w:rPr>
          <w:rFonts w:ascii="Cambria" w:hAnsi="Cambria"/>
          <w:sz w:val="18"/>
          <w:szCs w:val="22"/>
          <w:lang w:val="es-ES_tradnl"/>
        </w:rPr>
      </w:pPr>
    </w:p>
    <w:p w14:paraId="657A2394" w14:textId="77777777" w:rsidR="00A50FCF" w:rsidRPr="00470D7E" w:rsidRDefault="00A50FCF" w:rsidP="00040C3A">
      <w:pPr>
        <w:tabs>
          <w:tab w:val="center" w:pos="5400"/>
        </w:tabs>
        <w:suppressAutoHyphens/>
        <w:jc w:val="center"/>
        <w:rPr>
          <w:rFonts w:ascii="Cambria" w:hAnsi="Cambria"/>
          <w:sz w:val="18"/>
          <w:szCs w:val="22"/>
          <w:lang w:val="es-ES_tradnl"/>
        </w:rPr>
      </w:pPr>
    </w:p>
    <w:p w14:paraId="19B3D1B7" w14:textId="77777777" w:rsidR="00A50FCF" w:rsidRPr="00470D7E" w:rsidRDefault="00A50FCF" w:rsidP="00040C3A">
      <w:pPr>
        <w:tabs>
          <w:tab w:val="center" w:pos="5400"/>
        </w:tabs>
        <w:suppressAutoHyphens/>
        <w:jc w:val="center"/>
        <w:rPr>
          <w:rFonts w:ascii="Cambria" w:hAnsi="Cambria"/>
          <w:sz w:val="18"/>
          <w:szCs w:val="22"/>
          <w:lang w:val="es-ES_tradnl"/>
        </w:rPr>
      </w:pPr>
    </w:p>
    <w:p w14:paraId="22811101" w14:textId="77777777" w:rsidR="00A50FCF" w:rsidRPr="00470D7E" w:rsidRDefault="00A50FCF" w:rsidP="00040C3A">
      <w:pPr>
        <w:tabs>
          <w:tab w:val="center" w:pos="5400"/>
        </w:tabs>
        <w:suppressAutoHyphens/>
        <w:jc w:val="center"/>
        <w:rPr>
          <w:rFonts w:ascii="Cambria" w:hAnsi="Cambria"/>
          <w:sz w:val="18"/>
          <w:szCs w:val="22"/>
          <w:lang w:val="es-ES_tradnl"/>
        </w:rPr>
      </w:pPr>
    </w:p>
    <w:p w14:paraId="4C761DB1" w14:textId="77777777" w:rsidR="00A50FCF" w:rsidRPr="00470D7E" w:rsidRDefault="00441039" w:rsidP="00040C3A">
      <w:pPr>
        <w:tabs>
          <w:tab w:val="center" w:pos="5400"/>
        </w:tabs>
        <w:suppressAutoHyphens/>
        <w:jc w:val="center"/>
        <w:rPr>
          <w:rFonts w:ascii="Cambria" w:hAnsi="Cambria"/>
          <w:sz w:val="18"/>
          <w:szCs w:val="22"/>
          <w:lang w:val="es-ES_tradnl"/>
        </w:rPr>
      </w:pPr>
      <w:r>
        <w:rPr>
          <w:noProof/>
          <w:lang w:val="es-ES" w:eastAsia="es-ES"/>
        </w:rPr>
        <mc:AlternateContent>
          <mc:Choice Requires="wps">
            <w:drawing>
              <wp:anchor distT="0" distB="0" distL="114300" distR="114300" simplePos="0" relativeHeight="251656192" behindDoc="0" locked="0" layoutInCell="1" allowOverlap="1" wp14:anchorId="5F94B98F" wp14:editId="679F98A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txbx>
                        <w:txbxContent>
                          <w:p w14:paraId="36223763" w14:textId="77777777" w:rsidR="009D6394" w:rsidRPr="00470D7E" w:rsidRDefault="009D6394" w:rsidP="00247403">
                            <w:pPr>
                              <w:tabs>
                                <w:tab w:val="center" w:pos="5400"/>
                              </w:tabs>
                              <w:suppressAutoHyphens/>
                              <w:spacing w:before="60"/>
                              <w:rPr>
                                <w:rFonts w:ascii="Cambria" w:hAnsi="Cambria" w:cs="Univers"/>
                                <w:color w:val="0D0D0D"/>
                                <w:sz w:val="18"/>
                                <w:szCs w:val="20"/>
                                <w:lang w:val="es-ES_tradnl"/>
                              </w:rPr>
                            </w:pPr>
                            <w:r w:rsidRPr="00470D7E">
                              <w:rPr>
                                <w:rFonts w:ascii="Cambria" w:hAnsi="Cambria"/>
                                <w:color w:val="0D0D0D"/>
                                <w:sz w:val="18"/>
                                <w:szCs w:val="20"/>
                                <w:lang w:val="es-ES"/>
                              </w:rPr>
                              <w:t xml:space="preserve">Aprobado por la Comisión en su sesión No. </w:t>
                            </w:r>
                            <w:r w:rsidR="00A668F1">
                              <w:rPr>
                                <w:rFonts w:ascii="Cambria" w:hAnsi="Cambria"/>
                                <w:color w:val="0D0D0D"/>
                                <w:sz w:val="18"/>
                                <w:szCs w:val="20"/>
                                <w:lang w:val="es-ES"/>
                              </w:rPr>
                              <w:t>2154</w:t>
                            </w:r>
                            <w:r w:rsidRPr="00470D7E">
                              <w:rPr>
                                <w:rFonts w:ascii="Cambria" w:hAnsi="Cambria"/>
                                <w:color w:val="0D0D0D"/>
                                <w:sz w:val="18"/>
                                <w:szCs w:val="20"/>
                                <w:lang w:val="es-ES"/>
                              </w:rPr>
                              <w:t xml:space="preserve"> celebrada el </w:t>
                            </w:r>
                            <w:r w:rsidR="00A668F1">
                              <w:rPr>
                                <w:rFonts w:ascii="Cambria" w:hAnsi="Cambria"/>
                                <w:color w:val="0D0D0D"/>
                                <w:sz w:val="18"/>
                                <w:szCs w:val="20"/>
                                <w:lang w:val="es-ES"/>
                              </w:rPr>
                              <w:t>28 de septiembre</w:t>
                            </w:r>
                            <w:r w:rsidRPr="00470D7E">
                              <w:rPr>
                                <w:rFonts w:ascii="Cambria" w:hAnsi="Cambria"/>
                                <w:color w:val="0D0D0D"/>
                                <w:sz w:val="18"/>
                                <w:szCs w:val="20"/>
                                <w:lang w:val="es-ES"/>
                              </w:rPr>
                              <w:t xml:space="preserve"> de 201</w:t>
                            </w:r>
                            <w:r>
                              <w:rPr>
                                <w:rFonts w:ascii="Cambria" w:hAnsi="Cambria"/>
                                <w:color w:val="0D0D0D"/>
                                <w:sz w:val="18"/>
                                <w:szCs w:val="20"/>
                                <w:lang w:val="es-ES"/>
                              </w:rPr>
                              <w:t>9</w:t>
                            </w:r>
                            <w:r w:rsidRPr="00470D7E">
                              <w:rPr>
                                <w:rFonts w:ascii="Cambria" w:hAnsi="Cambria"/>
                                <w:color w:val="0D0D0D"/>
                                <w:sz w:val="18"/>
                                <w:szCs w:val="20"/>
                                <w:lang w:val="es-ES"/>
                              </w:rPr>
                              <w:br/>
                            </w:r>
                            <w:r w:rsidR="00A668F1">
                              <w:rPr>
                                <w:rFonts w:ascii="Cambria" w:hAnsi="Cambria" w:cs="Univers"/>
                                <w:color w:val="0D0D0D"/>
                                <w:sz w:val="18"/>
                                <w:szCs w:val="20"/>
                                <w:lang w:val="es-ES"/>
                              </w:rPr>
                              <w:t>173</w:t>
                            </w:r>
                            <w:r w:rsidRPr="00470D7E">
                              <w:rPr>
                                <w:rFonts w:ascii="Cambria" w:hAnsi="Cambria" w:cs="Univers"/>
                                <w:color w:val="0D0D0D"/>
                                <w:sz w:val="18"/>
                                <w:szCs w:val="20"/>
                                <w:lang w:val="es-ES_tradnl"/>
                              </w:rPr>
                              <w:t xml:space="preserve"> período de sesiones</w:t>
                            </w:r>
                          </w:p>
                          <w:p w14:paraId="59B396B9" w14:textId="77777777" w:rsidR="009D6394" w:rsidRPr="00470D7E" w:rsidRDefault="009D6394" w:rsidP="00247403">
                            <w:pPr>
                              <w:tabs>
                                <w:tab w:val="center" w:pos="5400"/>
                              </w:tabs>
                              <w:suppressAutoHyphens/>
                              <w:spacing w:before="60"/>
                              <w:rPr>
                                <w:rFonts w:ascii="Calibri" w:hAnsi="Calibri" w:cs="Univers"/>
                                <w:color w:val="0D0D0D"/>
                                <w:sz w:val="20"/>
                                <w:szCs w:val="20"/>
                                <w:lang w:val="es-ES"/>
                              </w:rPr>
                            </w:pPr>
                          </w:p>
                          <w:p w14:paraId="59AA152A" w14:textId="77777777" w:rsidR="009D6394" w:rsidRPr="00470D7E" w:rsidRDefault="009D6394" w:rsidP="0059191A">
                            <w:pP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4B98F"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" filled="f" stroked="f" strokeweight=".5pt">
                <v:textbox>
                  <w:txbxContent>
                    <w:p w14:paraId="36223763" w14:textId="77777777" w:rsidR="009D6394" w:rsidRPr="00470D7E" w:rsidRDefault="009D6394" w:rsidP="00247403">
                      <w:pPr>
                        <w:tabs>
                          <w:tab w:val="center" w:pos="5400"/>
                        </w:tabs>
                        <w:suppressAutoHyphens/>
                        <w:spacing w:before="60"/>
                        <w:rPr>
                          <w:rFonts w:ascii="Cambria" w:hAnsi="Cambria" w:cs="Univers"/>
                          <w:color w:val="0D0D0D"/>
                          <w:sz w:val="18"/>
                          <w:szCs w:val="20"/>
                          <w:lang w:val="es-ES_tradnl"/>
                        </w:rPr>
                      </w:pPr>
                      <w:r w:rsidRPr="00470D7E">
                        <w:rPr>
                          <w:rFonts w:ascii="Cambria" w:hAnsi="Cambria"/>
                          <w:color w:val="0D0D0D"/>
                          <w:sz w:val="18"/>
                          <w:szCs w:val="20"/>
                          <w:lang w:val="es-ES"/>
                        </w:rPr>
                        <w:t xml:space="preserve">Aprobado por la Comisión en su sesión No. </w:t>
                      </w:r>
                      <w:r w:rsidR="00A668F1">
                        <w:rPr>
                          <w:rFonts w:ascii="Cambria" w:hAnsi="Cambria"/>
                          <w:color w:val="0D0D0D"/>
                          <w:sz w:val="18"/>
                          <w:szCs w:val="20"/>
                          <w:lang w:val="es-ES"/>
                        </w:rPr>
                        <w:t>2154</w:t>
                      </w:r>
                      <w:r w:rsidRPr="00470D7E">
                        <w:rPr>
                          <w:rFonts w:ascii="Cambria" w:hAnsi="Cambria"/>
                          <w:color w:val="0D0D0D"/>
                          <w:sz w:val="18"/>
                          <w:szCs w:val="20"/>
                          <w:lang w:val="es-ES"/>
                        </w:rPr>
                        <w:t xml:space="preserve"> celebrada el </w:t>
                      </w:r>
                      <w:r w:rsidR="00A668F1">
                        <w:rPr>
                          <w:rFonts w:ascii="Cambria" w:hAnsi="Cambria"/>
                          <w:color w:val="0D0D0D"/>
                          <w:sz w:val="18"/>
                          <w:szCs w:val="20"/>
                          <w:lang w:val="es-ES"/>
                        </w:rPr>
                        <w:t>28 de septiembre</w:t>
                      </w:r>
                      <w:r w:rsidRPr="00470D7E">
                        <w:rPr>
                          <w:rFonts w:ascii="Cambria" w:hAnsi="Cambria"/>
                          <w:color w:val="0D0D0D"/>
                          <w:sz w:val="18"/>
                          <w:szCs w:val="20"/>
                          <w:lang w:val="es-ES"/>
                        </w:rPr>
                        <w:t xml:space="preserve"> de 201</w:t>
                      </w:r>
                      <w:r>
                        <w:rPr>
                          <w:rFonts w:ascii="Cambria" w:hAnsi="Cambria"/>
                          <w:color w:val="0D0D0D"/>
                          <w:sz w:val="18"/>
                          <w:szCs w:val="20"/>
                          <w:lang w:val="es-ES"/>
                        </w:rPr>
                        <w:t>9</w:t>
                      </w:r>
                      <w:r w:rsidRPr="00470D7E">
                        <w:rPr>
                          <w:rFonts w:ascii="Cambria" w:hAnsi="Cambria"/>
                          <w:color w:val="0D0D0D"/>
                          <w:sz w:val="18"/>
                          <w:szCs w:val="20"/>
                          <w:lang w:val="es-ES"/>
                        </w:rPr>
                        <w:br/>
                      </w:r>
                      <w:r w:rsidR="00A668F1">
                        <w:rPr>
                          <w:rFonts w:ascii="Cambria" w:hAnsi="Cambria" w:cs="Univers"/>
                          <w:color w:val="0D0D0D"/>
                          <w:sz w:val="18"/>
                          <w:szCs w:val="20"/>
                          <w:lang w:val="es-ES"/>
                        </w:rPr>
                        <w:t>173</w:t>
                      </w:r>
                      <w:r w:rsidRPr="00470D7E">
                        <w:rPr>
                          <w:rFonts w:ascii="Cambria" w:hAnsi="Cambria" w:cs="Univers"/>
                          <w:color w:val="0D0D0D"/>
                          <w:sz w:val="18"/>
                          <w:szCs w:val="20"/>
                          <w:lang w:val="es-ES_tradnl"/>
                        </w:rPr>
                        <w:t xml:space="preserve"> período de sesiones</w:t>
                      </w:r>
                    </w:p>
                    <w:p w14:paraId="59B396B9" w14:textId="77777777" w:rsidR="009D6394" w:rsidRPr="00470D7E" w:rsidRDefault="009D6394" w:rsidP="00247403">
                      <w:pPr>
                        <w:tabs>
                          <w:tab w:val="center" w:pos="5400"/>
                        </w:tabs>
                        <w:suppressAutoHyphens/>
                        <w:spacing w:before="60"/>
                        <w:rPr>
                          <w:rFonts w:ascii="Calibri" w:hAnsi="Calibri" w:cs="Univers"/>
                          <w:color w:val="0D0D0D"/>
                          <w:sz w:val="20"/>
                          <w:szCs w:val="20"/>
                          <w:lang w:val="es-ES"/>
                        </w:rPr>
                      </w:pPr>
                    </w:p>
                    <w:p w14:paraId="59AA152A" w14:textId="77777777" w:rsidR="009D6394" w:rsidRPr="00470D7E" w:rsidRDefault="009D6394" w:rsidP="0059191A">
                      <w:pPr>
                        <w:tabs>
                          <w:tab w:val="center" w:pos="5400"/>
                        </w:tabs>
                        <w:suppressAutoHyphens/>
                        <w:spacing w:before="60"/>
                        <w:rPr>
                          <w:rFonts w:ascii="Calibri" w:hAnsi="Calibri"/>
                          <w:color w:val="FFFFFF"/>
                          <w:spacing w:val="-2"/>
                          <w:sz w:val="16"/>
                          <w:lang w:val="es-ES"/>
                        </w:rPr>
                      </w:pPr>
                    </w:p>
                  </w:txbxContent>
                </v:textbox>
              </v:shape>
            </w:pict>
          </mc:Fallback>
        </mc:AlternateContent>
      </w:r>
    </w:p>
    <w:p w14:paraId="6A5DF055" w14:textId="77777777" w:rsidR="00A50FCF" w:rsidRPr="00470D7E" w:rsidRDefault="00A50FCF" w:rsidP="00040C3A">
      <w:pPr>
        <w:tabs>
          <w:tab w:val="center" w:pos="5400"/>
        </w:tabs>
        <w:suppressAutoHyphens/>
        <w:jc w:val="center"/>
        <w:rPr>
          <w:rFonts w:ascii="Cambria" w:hAnsi="Cambria"/>
          <w:sz w:val="18"/>
          <w:szCs w:val="22"/>
          <w:lang w:val="es-ES_tradnl"/>
        </w:rPr>
      </w:pPr>
    </w:p>
    <w:p w14:paraId="30D9CF56" w14:textId="77777777" w:rsidR="00A50FCF" w:rsidRPr="00470D7E" w:rsidRDefault="00A50FCF" w:rsidP="00040C3A">
      <w:pPr>
        <w:tabs>
          <w:tab w:val="center" w:pos="5400"/>
        </w:tabs>
        <w:suppressAutoHyphens/>
        <w:jc w:val="center"/>
        <w:rPr>
          <w:rFonts w:ascii="Cambria" w:hAnsi="Cambria"/>
          <w:sz w:val="18"/>
          <w:szCs w:val="22"/>
          <w:lang w:val="es-ES_tradnl"/>
        </w:rPr>
      </w:pPr>
    </w:p>
    <w:p w14:paraId="2EF3E3A5" w14:textId="77777777" w:rsidR="00A50FCF" w:rsidRPr="00470D7E" w:rsidRDefault="00A50FCF" w:rsidP="00040C3A">
      <w:pPr>
        <w:tabs>
          <w:tab w:val="center" w:pos="5400"/>
        </w:tabs>
        <w:suppressAutoHyphens/>
        <w:jc w:val="center"/>
        <w:rPr>
          <w:rFonts w:ascii="Cambria" w:hAnsi="Cambria"/>
          <w:sz w:val="18"/>
          <w:szCs w:val="22"/>
          <w:lang w:val="es-ES_tradnl"/>
        </w:rPr>
      </w:pPr>
    </w:p>
    <w:p w14:paraId="5D70FCC4" w14:textId="77777777" w:rsidR="00A50FCF" w:rsidRPr="00470D7E" w:rsidRDefault="00A50FCF" w:rsidP="00040C3A">
      <w:pPr>
        <w:tabs>
          <w:tab w:val="center" w:pos="5400"/>
        </w:tabs>
        <w:suppressAutoHyphens/>
        <w:jc w:val="center"/>
        <w:rPr>
          <w:rFonts w:ascii="Cambria" w:hAnsi="Cambria"/>
          <w:sz w:val="18"/>
          <w:szCs w:val="22"/>
          <w:lang w:val="es-ES_tradnl"/>
        </w:rPr>
      </w:pPr>
    </w:p>
    <w:p w14:paraId="529DE483" w14:textId="77777777" w:rsidR="00A50FCF" w:rsidRPr="00470D7E" w:rsidRDefault="00441039" w:rsidP="00040C3A">
      <w:pPr>
        <w:tabs>
          <w:tab w:val="center" w:pos="5400"/>
        </w:tabs>
        <w:suppressAutoHyphens/>
        <w:jc w:val="center"/>
        <w:rPr>
          <w:rFonts w:ascii="Cambria" w:hAnsi="Cambria"/>
          <w:sz w:val="18"/>
          <w:szCs w:val="22"/>
          <w:lang w:val="es-ES_tradnl"/>
        </w:rPr>
      </w:pPr>
      <w:r>
        <w:rPr>
          <w:noProof/>
          <w:lang w:val="es-ES" w:eastAsia="es-ES"/>
        </w:rPr>
        <mc:AlternateContent>
          <mc:Choice Requires="wps">
            <w:drawing>
              <wp:anchor distT="0" distB="0" distL="114300" distR="114300" simplePos="0" relativeHeight="251659264" behindDoc="0" locked="0" layoutInCell="1" allowOverlap="1" wp14:anchorId="70B072F1" wp14:editId="3C3688CD">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txbx>
                        <w:txbxContent>
                          <w:p w14:paraId="70068B48" w14:textId="77777777" w:rsidR="009D6394" w:rsidRPr="00470D7E" w:rsidRDefault="009D6394" w:rsidP="00113F73">
                            <w:pPr>
                              <w:spacing w:line="276" w:lineRule="auto"/>
                              <w:rPr>
                                <w:rFonts w:ascii="Cambria" w:hAnsi="Cambria"/>
                                <w:color w:val="595959"/>
                                <w:sz w:val="18"/>
                                <w:szCs w:val="18"/>
                                <w:lang w:val="es-US"/>
                              </w:rPr>
                            </w:pPr>
                            <w:r w:rsidRPr="00470D7E">
                              <w:rPr>
                                <w:rFonts w:ascii="Cambria" w:hAnsi="Cambria"/>
                                <w:b/>
                                <w:color w:val="595959"/>
                                <w:sz w:val="18"/>
                                <w:szCs w:val="18"/>
                                <w:lang w:val="pt-BR"/>
                              </w:rPr>
                              <w:t>Citar como:</w:t>
                            </w:r>
                            <w:r w:rsidRPr="00470D7E">
                              <w:rPr>
                                <w:rFonts w:ascii="Cambria" w:hAnsi="Cambria"/>
                                <w:color w:val="595959"/>
                                <w:sz w:val="18"/>
                                <w:szCs w:val="18"/>
                                <w:lang w:val="pt-BR"/>
                              </w:rPr>
                              <w:t xml:space="preserve"> CIDH. Informe No. </w:t>
                            </w:r>
                            <w:r w:rsidR="00A668F1">
                              <w:rPr>
                                <w:rFonts w:ascii="Cambria" w:hAnsi="Cambria"/>
                                <w:color w:val="595959"/>
                                <w:sz w:val="18"/>
                                <w:szCs w:val="18"/>
                                <w:lang w:val="pt-BR"/>
                              </w:rPr>
                              <w:t>158</w:t>
                            </w:r>
                            <w:r w:rsidRPr="00470D7E">
                              <w:rPr>
                                <w:rFonts w:ascii="Cambria" w:hAnsi="Cambria"/>
                                <w:color w:val="595959"/>
                                <w:sz w:val="18"/>
                                <w:szCs w:val="18"/>
                                <w:lang w:val="pt-BR"/>
                              </w:rPr>
                              <w:t>/</w:t>
                            </w:r>
                            <w:r>
                              <w:rPr>
                                <w:rFonts w:ascii="Cambria" w:hAnsi="Cambria"/>
                                <w:color w:val="595959"/>
                                <w:sz w:val="18"/>
                                <w:szCs w:val="18"/>
                                <w:lang w:val="pt-BR"/>
                              </w:rPr>
                              <w:t>19</w:t>
                            </w:r>
                            <w:r w:rsidRPr="00470D7E">
                              <w:rPr>
                                <w:rFonts w:ascii="Cambria" w:hAnsi="Cambria"/>
                                <w:color w:val="595959"/>
                                <w:sz w:val="18"/>
                                <w:szCs w:val="18"/>
                                <w:lang w:val="pt-BR"/>
                              </w:rPr>
                              <w:t xml:space="preserve">. </w:t>
                            </w:r>
                            <w:r w:rsidRPr="00470D7E">
                              <w:rPr>
                                <w:rFonts w:ascii="Cambria" w:hAnsi="Cambria"/>
                                <w:color w:val="595959"/>
                                <w:sz w:val="18"/>
                                <w:szCs w:val="18"/>
                                <w:lang w:val="es-ES_tradnl"/>
                              </w:rPr>
                              <w:t xml:space="preserve">Caso </w:t>
                            </w:r>
                            <w:r>
                              <w:rPr>
                                <w:rFonts w:ascii="Cambria" w:hAnsi="Cambria"/>
                                <w:color w:val="595959"/>
                                <w:sz w:val="18"/>
                                <w:szCs w:val="18"/>
                                <w:lang w:val="es-ES_tradnl"/>
                              </w:rPr>
                              <w:t>12.921</w:t>
                            </w:r>
                            <w:r w:rsidRPr="00470D7E">
                              <w:rPr>
                                <w:rFonts w:ascii="Cambria" w:hAnsi="Cambria"/>
                                <w:color w:val="595959"/>
                                <w:sz w:val="18"/>
                                <w:szCs w:val="18"/>
                                <w:lang w:val="es-ES_tradnl"/>
                              </w:rPr>
                              <w:t xml:space="preserve">. Fondo. </w:t>
                            </w:r>
                            <w:r>
                              <w:rPr>
                                <w:rFonts w:ascii="Cambria" w:hAnsi="Cambria"/>
                                <w:color w:val="595959"/>
                                <w:sz w:val="18"/>
                                <w:szCs w:val="18"/>
                                <w:lang w:val="es-ES_tradnl"/>
                              </w:rPr>
                              <w:t>Herminio Deras García y familia</w:t>
                            </w:r>
                            <w:r w:rsidRPr="00470D7E">
                              <w:rPr>
                                <w:rFonts w:ascii="Cambria" w:hAnsi="Cambria"/>
                                <w:color w:val="595959"/>
                                <w:sz w:val="18"/>
                                <w:szCs w:val="18"/>
                                <w:lang w:val="es-ES_tradnl"/>
                              </w:rPr>
                              <w:t xml:space="preserve">. </w:t>
                            </w:r>
                            <w:r>
                              <w:rPr>
                                <w:rFonts w:ascii="Cambria" w:hAnsi="Cambria"/>
                                <w:color w:val="595959"/>
                                <w:sz w:val="18"/>
                                <w:szCs w:val="18"/>
                                <w:lang w:val="es-ES_tradnl"/>
                              </w:rPr>
                              <w:t>Honduras</w:t>
                            </w:r>
                            <w:r w:rsidRPr="00470D7E">
                              <w:rPr>
                                <w:rFonts w:ascii="Cambria" w:hAnsi="Cambria"/>
                                <w:color w:val="595959"/>
                                <w:sz w:val="18"/>
                                <w:szCs w:val="18"/>
                                <w:lang w:val="es-ES_tradnl"/>
                              </w:rPr>
                              <w:t xml:space="preserve">. </w:t>
                            </w:r>
                            <w:r w:rsidR="00A668F1">
                              <w:rPr>
                                <w:rFonts w:ascii="Cambria" w:hAnsi="Cambria"/>
                                <w:color w:val="595959"/>
                                <w:sz w:val="18"/>
                                <w:szCs w:val="18"/>
                                <w:lang w:val="es-US"/>
                              </w:rPr>
                              <w:t>28 de septiembre</w:t>
                            </w:r>
                            <w:r>
                              <w:rPr>
                                <w:rFonts w:ascii="Cambria" w:hAnsi="Cambria"/>
                                <w:color w:val="595959"/>
                                <w:sz w:val="18"/>
                                <w:szCs w:val="18"/>
                                <w:lang w:val="es-US"/>
                              </w:rPr>
                              <w:t xml:space="preserve"> de 2019</w:t>
                            </w:r>
                            <w:r w:rsidRPr="00470D7E">
                              <w:rPr>
                                <w:rFonts w:ascii="Cambria" w:hAnsi="Cambria"/>
                                <w:color w:val="595959"/>
                                <w:sz w:val="18"/>
                                <w:szCs w:val="18"/>
                                <w:lang w:val="es-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072F1"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" filled="f" stroked="f" strokeweight=".5pt">
                <v:textbox>
                  <w:txbxContent>
                    <w:p w14:paraId="70068B48" w14:textId="77777777" w:rsidR="009D6394" w:rsidRPr="00470D7E" w:rsidRDefault="009D6394" w:rsidP="00113F73">
                      <w:pPr>
                        <w:spacing w:line="276" w:lineRule="auto"/>
                        <w:rPr>
                          <w:rFonts w:ascii="Cambria" w:hAnsi="Cambria"/>
                          <w:color w:val="595959"/>
                          <w:sz w:val="18"/>
                          <w:szCs w:val="18"/>
                          <w:lang w:val="es-US"/>
                        </w:rPr>
                      </w:pPr>
                      <w:r w:rsidRPr="00470D7E">
                        <w:rPr>
                          <w:rFonts w:ascii="Cambria" w:hAnsi="Cambria"/>
                          <w:b/>
                          <w:color w:val="595959"/>
                          <w:sz w:val="18"/>
                          <w:szCs w:val="18"/>
                          <w:lang w:val="pt-BR"/>
                        </w:rPr>
                        <w:t>Citar como:</w:t>
                      </w:r>
                      <w:r w:rsidRPr="00470D7E">
                        <w:rPr>
                          <w:rFonts w:ascii="Cambria" w:hAnsi="Cambria"/>
                          <w:color w:val="595959"/>
                          <w:sz w:val="18"/>
                          <w:szCs w:val="18"/>
                          <w:lang w:val="pt-BR"/>
                        </w:rPr>
                        <w:t xml:space="preserve"> CIDH. Informe No. </w:t>
                      </w:r>
                      <w:r w:rsidR="00A668F1">
                        <w:rPr>
                          <w:rFonts w:ascii="Cambria" w:hAnsi="Cambria"/>
                          <w:color w:val="595959"/>
                          <w:sz w:val="18"/>
                          <w:szCs w:val="18"/>
                          <w:lang w:val="pt-BR"/>
                        </w:rPr>
                        <w:t>158</w:t>
                      </w:r>
                      <w:r w:rsidRPr="00470D7E">
                        <w:rPr>
                          <w:rFonts w:ascii="Cambria" w:hAnsi="Cambria"/>
                          <w:color w:val="595959"/>
                          <w:sz w:val="18"/>
                          <w:szCs w:val="18"/>
                          <w:lang w:val="pt-BR"/>
                        </w:rPr>
                        <w:t>/</w:t>
                      </w:r>
                      <w:r>
                        <w:rPr>
                          <w:rFonts w:ascii="Cambria" w:hAnsi="Cambria"/>
                          <w:color w:val="595959"/>
                          <w:sz w:val="18"/>
                          <w:szCs w:val="18"/>
                          <w:lang w:val="pt-BR"/>
                        </w:rPr>
                        <w:t>19</w:t>
                      </w:r>
                      <w:r w:rsidRPr="00470D7E">
                        <w:rPr>
                          <w:rFonts w:ascii="Cambria" w:hAnsi="Cambria"/>
                          <w:color w:val="595959"/>
                          <w:sz w:val="18"/>
                          <w:szCs w:val="18"/>
                          <w:lang w:val="pt-BR"/>
                        </w:rPr>
                        <w:t xml:space="preserve">. </w:t>
                      </w:r>
                      <w:r w:rsidRPr="00470D7E">
                        <w:rPr>
                          <w:rFonts w:ascii="Cambria" w:hAnsi="Cambria"/>
                          <w:color w:val="595959"/>
                          <w:sz w:val="18"/>
                          <w:szCs w:val="18"/>
                          <w:lang w:val="es-ES_tradnl"/>
                        </w:rPr>
                        <w:t xml:space="preserve">Caso </w:t>
                      </w:r>
                      <w:r>
                        <w:rPr>
                          <w:rFonts w:ascii="Cambria" w:hAnsi="Cambria"/>
                          <w:color w:val="595959"/>
                          <w:sz w:val="18"/>
                          <w:szCs w:val="18"/>
                          <w:lang w:val="es-ES_tradnl"/>
                        </w:rPr>
                        <w:t>12.921</w:t>
                      </w:r>
                      <w:r w:rsidRPr="00470D7E">
                        <w:rPr>
                          <w:rFonts w:ascii="Cambria" w:hAnsi="Cambria"/>
                          <w:color w:val="595959"/>
                          <w:sz w:val="18"/>
                          <w:szCs w:val="18"/>
                          <w:lang w:val="es-ES_tradnl"/>
                        </w:rPr>
                        <w:t xml:space="preserve">. Fondo. </w:t>
                      </w:r>
                      <w:r>
                        <w:rPr>
                          <w:rFonts w:ascii="Cambria" w:hAnsi="Cambria"/>
                          <w:color w:val="595959"/>
                          <w:sz w:val="18"/>
                          <w:szCs w:val="18"/>
                          <w:lang w:val="es-ES_tradnl"/>
                        </w:rPr>
                        <w:t>Herminio Deras García y familia</w:t>
                      </w:r>
                      <w:r w:rsidRPr="00470D7E">
                        <w:rPr>
                          <w:rFonts w:ascii="Cambria" w:hAnsi="Cambria"/>
                          <w:color w:val="595959"/>
                          <w:sz w:val="18"/>
                          <w:szCs w:val="18"/>
                          <w:lang w:val="es-ES_tradnl"/>
                        </w:rPr>
                        <w:t xml:space="preserve">. </w:t>
                      </w:r>
                      <w:r>
                        <w:rPr>
                          <w:rFonts w:ascii="Cambria" w:hAnsi="Cambria"/>
                          <w:color w:val="595959"/>
                          <w:sz w:val="18"/>
                          <w:szCs w:val="18"/>
                          <w:lang w:val="es-ES_tradnl"/>
                        </w:rPr>
                        <w:t>Honduras</w:t>
                      </w:r>
                      <w:r w:rsidRPr="00470D7E">
                        <w:rPr>
                          <w:rFonts w:ascii="Cambria" w:hAnsi="Cambria"/>
                          <w:color w:val="595959"/>
                          <w:sz w:val="18"/>
                          <w:szCs w:val="18"/>
                          <w:lang w:val="es-ES_tradnl"/>
                        </w:rPr>
                        <w:t xml:space="preserve">. </w:t>
                      </w:r>
                      <w:r w:rsidR="00A668F1">
                        <w:rPr>
                          <w:rFonts w:ascii="Cambria" w:hAnsi="Cambria"/>
                          <w:color w:val="595959"/>
                          <w:sz w:val="18"/>
                          <w:szCs w:val="18"/>
                          <w:lang w:val="es-US"/>
                        </w:rPr>
                        <w:t>28 de septiembre</w:t>
                      </w:r>
                      <w:r>
                        <w:rPr>
                          <w:rFonts w:ascii="Cambria" w:hAnsi="Cambria"/>
                          <w:color w:val="595959"/>
                          <w:sz w:val="18"/>
                          <w:szCs w:val="18"/>
                          <w:lang w:val="es-US"/>
                        </w:rPr>
                        <w:t xml:space="preserve"> de 2019</w:t>
                      </w:r>
                      <w:r w:rsidRPr="00470D7E">
                        <w:rPr>
                          <w:rFonts w:ascii="Cambria" w:hAnsi="Cambria"/>
                          <w:color w:val="595959"/>
                          <w:sz w:val="18"/>
                          <w:szCs w:val="18"/>
                          <w:lang w:val="es-US"/>
                        </w:rPr>
                        <w:t>.</w:t>
                      </w:r>
                    </w:p>
                  </w:txbxContent>
                </v:textbox>
              </v:shape>
            </w:pict>
          </mc:Fallback>
        </mc:AlternateContent>
      </w:r>
    </w:p>
    <w:p w14:paraId="0E54525B" w14:textId="77777777" w:rsidR="00A50FCF" w:rsidRPr="00470D7E" w:rsidRDefault="00A50FCF" w:rsidP="00040C3A">
      <w:pPr>
        <w:tabs>
          <w:tab w:val="center" w:pos="5400"/>
        </w:tabs>
        <w:suppressAutoHyphens/>
        <w:jc w:val="center"/>
        <w:rPr>
          <w:rFonts w:ascii="Cambria" w:hAnsi="Cambria"/>
          <w:sz w:val="18"/>
          <w:szCs w:val="22"/>
          <w:lang w:val="es-ES_tradnl"/>
        </w:rPr>
      </w:pPr>
    </w:p>
    <w:p w14:paraId="53E81B97" w14:textId="77777777" w:rsidR="0070697F" w:rsidRPr="00470D7E" w:rsidRDefault="00441039" w:rsidP="00C42E5C">
      <w:pPr>
        <w:tabs>
          <w:tab w:val="center" w:pos="5400"/>
        </w:tabs>
        <w:suppressAutoHyphens/>
        <w:jc w:val="center"/>
        <w:rPr>
          <w:rFonts w:ascii="Cambria" w:hAnsi="Cambria"/>
          <w:b/>
          <w:sz w:val="20"/>
          <w:lang w:val="es-ES_tradnl"/>
        </w:rPr>
        <w:sectPr w:rsidR="0070697F" w:rsidRPr="00470D7E"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noProof/>
          <w:lang w:val="es-ES" w:eastAsia="es-ES"/>
        </w:rPr>
        <mc:AlternateContent>
          <mc:Choice Requires="wps">
            <w:drawing>
              <wp:anchor distT="0" distB="0" distL="114300" distR="114300" simplePos="0" relativeHeight="251660288" behindDoc="0" locked="0" layoutInCell="1" allowOverlap="1" wp14:anchorId="132B070D" wp14:editId="74BA4ABF">
                <wp:simplePos x="0" y="0"/>
                <wp:positionH relativeFrom="column">
                  <wp:posOffset>1329690</wp:posOffset>
                </wp:positionH>
                <wp:positionV relativeFrom="paragraph">
                  <wp:posOffset>638810</wp:posOffset>
                </wp:positionV>
                <wp:extent cx="4096385" cy="56705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ysClr val="window" lastClr="FFFFFF"/>
                        </a:solidFill>
                        <a:ln w="6350">
                          <a:noFill/>
                        </a:ln>
                        <a:effectLst/>
                      </wps:spPr>
                      <wps:txbx>
                        <w:txbxContent>
                          <w:p w14:paraId="751652DD" w14:textId="77777777" w:rsidR="009D6394" w:rsidRPr="00470D7E" w:rsidRDefault="00441039" w:rsidP="00F02AD1">
                            <w:pPr>
                              <w:rPr>
                                <w:color w:val="FFFFFF"/>
                              </w:rPr>
                            </w:pPr>
                            <w:r w:rsidRPr="00470D7E">
                              <w:rPr>
                                <w:noProof/>
                                <w:color w:val="FFFFFF"/>
                                <w:lang w:val="es-ES" w:eastAsia="es-ES"/>
                              </w:rPr>
                              <w:drawing>
                                <wp:inline distT="0" distB="0" distL="0" distR="0" wp14:anchorId="6BB1B0A3" wp14:editId="1AD25541">
                                  <wp:extent cx="1336675" cy="387985"/>
                                  <wp:effectExtent l="0" t="0" r="0" b="0"/>
                                  <wp:docPr id="3" name="Picture 15" descr="Description: 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6675" cy="3879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B070D" id="Text Box 9" o:spid="_x0000_s1031" type="#_x0000_t202" style="position:absolute;left:0;text-align:left;margin-left:104.7pt;margin-top:50.3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" fillcolor="window" stroked="f" strokeweight=".5pt">
                <v:textbox>
                  <w:txbxContent>
                    <w:p w14:paraId="751652DD" w14:textId="77777777" w:rsidR="009D6394" w:rsidRPr="00470D7E" w:rsidRDefault="00441039" w:rsidP="00F02AD1">
                      <w:pPr>
                        <w:rPr>
                          <w:color w:val="FFFFFF"/>
                        </w:rPr>
                      </w:pPr>
                      <w:r w:rsidRPr="00470D7E">
                        <w:rPr>
                          <w:noProof/>
                          <w:color w:val="FFFFFF"/>
                          <w:lang w:val="es-ES" w:eastAsia="es-ES"/>
                        </w:rPr>
                        <w:drawing>
                          <wp:inline distT="0" distB="0" distL="0" distR="0" wp14:anchorId="6BB1B0A3" wp14:editId="1AD25541">
                            <wp:extent cx="1336675" cy="387985"/>
                            <wp:effectExtent l="0" t="0" r="0" b="0"/>
                            <wp:docPr id="3" name="Picture 15" descr="Description: 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6675" cy="387985"/>
                                    </a:xfrm>
                                    <a:prstGeom prst="rect">
                                      <a:avLst/>
                                    </a:prstGeom>
                                    <a:noFill/>
                                    <a:ln>
                                      <a:noFill/>
                                    </a:ln>
                                  </pic:spPr>
                                </pic:pic>
                              </a:graphicData>
                            </a:graphic>
                          </wp:inline>
                        </w:drawing>
                      </w:r>
                    </w:p>
                  </w:txbxContent>
                </v:textbox>
              </v:shape>
            </w:pict>
          </mc:Fallback>
        </mc:AlternateContent>
      </w:r>
      <w:r>
        <w:rPr>
          <w:noProof/>
          <w:lang w:val="es-ES" w:eastAsia="es-ES"/>
        </w:rPr>
        <mc:AlternateContent>
          <mc:Choice Requires="wps">
            <w:drawing>
              <wp:anchor distT="0" distB="0" distL="114300" distR="114300" simplePos="0" relativeHeight="251661312" behindDoc="0" locked="0" layoutInCell="1" allowOverlap="1" wp14:anchorId="29D2771A" wp14:editId="0A2FE1B6">
                <wp:simplePos x="0" y="0"/>
                <wp:positionH relativeFrom="column">
                  <wp:posOffset>-271780</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14:paraId="664024F3" w14:textId="77777777" w:rsidR="009D6394" w:rsidRPr="00470D7E" w:rsidRDefault="009D6394" w:rsidP="00D306D1">
                            <w:pPr>
                              <w:jc w:val="center"/>
                              <w:rPr>
                                <w:rFonts w:ascii="Calibri" w:hAnsi="Calibri"/>
                                <w:b/>
                                <w:color w:val="FFFFFF"/>
                              </w:rPr>
                            </w:pPr>
                            <w:r w:rsidRPr="00470D7E">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2771A" id="Text Box 4" o:spid="_x0000_s1032" type="#_x0000_t202" style="position:absolute;left:0;text-align:left;margin-left:-21.4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" filled="f" stroked="f" strokeweight=".5pt">
                <v:textbox>
                  <w:txbxContent>
                    <w:p w14:paraId="664024F3" w14:textId="77777777" w:rsidR="009D6394" w:rsidRPr="00470D7E" w:rsidRDefault="009D6394" w:rsidP="00D306D1">
                      <w:pPr>
                        <w:jc w:val="center"/>
                        <w:rPr>
                          <w:rFonts w:ascii="Calibri" w:hAnsi="Calibri"/>
                          <w:b/>
                          <w:color w:val="FFFFFF"/>
                        </w:rPr>
                      </w:pPr>
                      <w:r w:rsidRPr="00470D7E">
                        <w:rPr>
                          <w:rFonts w:ascii="Calibri" w:hAnsi="Calibri"/>
                          <w:b/>
                          <w:color w:val="FFFFFF"/>
                          <w:lang w:val="pt-BR"/>
                        </w:rPr>
                        <w:t>www.cidh.org</w:t>
                      </w:r>
                    </w:p>
                  </w:txbxContent>
                </v:textbox>
              </v:shape>
            </w:pict>
          </mc:Fallback>
        </mc:AlternateContent>
      </w:r>
    </w:p>
    <w:p w14:paraId="0A7741FB" w14:textId="77777777" w:rsidR="00722C9F" w:rsidRPr="00115522" w:rsidRDefault="00722C9F" w:rsidP="00722C9F">
      <w:pPr>
        <w:tabs>
          <w:tab w:val="center" w:pos="5400"/>
        </w:tabs>
        <w:suppressAutoHyphens/>
        <w:spacing w:line="276" w:lineRule="auto"/>
        <w:jc w:val="center"/>
        <w:rPr>
          <w:rFonts w:ascii="Cambria" w:hAnsi="Cambria"/>
          <w:b/>
          <w:szCs w:val="20"/>
          <w:lang w:val="es-ES_tradnl"/>
        </w:rPr>
      </w:pPr>
      <w:r w:rsidRPr="00115522">
        <w:rPr>
          <w:rFonts w:ascii="Cambria" w:hAnsi="Cambria"/>
          <w:b/>
          <w:szCs w:val="20"/>
          <w:lang w:val="es-ES_tradnl"/>
        </w:rPr>
        <w:lastRenderedPageBreak/>
        <w:t>ÍNDICE</w:t>
      </w:r>
    </w:p>
    <w:p w14:paraId="1C2AF0A9" w14:textId="77777777" w:rsidR="008D768D" w:rsidRPr="00115522" w:rsidRDefault="008D768D" w:rsidP="006125C3">
      <w:pPr>
        <w:tabs>
          <w:tab w:val="center" w:pos="5400"/>
        </w:tabs>
        <w:suppressAutoHyphens/>
        <w:spacing w:line="276" w:lineRule="auto"/>
        <w:rPr>
          <w:rFonts w:ascii="Cambria" w:hAnsi="Cambria"/>
          <w:sz w:val="20"/>
          <w:szCs w:val="20"/>
          <w:lang w:val="es-ES_tradnl"/>
        </w:rPr>
      </w:pPr>
    </w:p>
    <w:p w14:paraId="365F38E5" w14:textId="77777777" w:rsidR="00E909AA" w:rsidRPr="00115522" w:rsidRDefault="00E909AA" w:rsidP="00115522">
      <w:pPr>
        <w:suppressAutoHyphens/>
        <w:rPr>
          <w:rFonts w:ascii="Cambria" w:hAnsi="Cambria"/>
          <w:b/>
          <w:sz w:val="20"/>
          <w:szCs w:val="20"/>
          <w:lang w:val="es-ES_tradnl"/>
        </w:rPr>
      </w:pPr>
    </w:p>
    <w:p w14:paraId="7E167730" w14:textId="25FF33FB" w:rsidR="00617E74" w:rsidRPr="00617E74" w:rsidRDefault="00F15B85" w:rsidP="00617E74">
      <w:pPr>
        <w:pStyle w:val="TOC1"/>
        <w:rPr>
          <w:rFonts w:eastAsiaTheme="minorEastAsia" w:cstheme="minorBidi"/>
          <w:bdr w:val="none" w:sz="0" w:space="0" w:color="auto"/>
          <w:lang w:val="es-ES" w:eastAsia="es-ES"/>
        </w:rPr>
      </w:pPr>
      <w:r w:rsidRPr="00617E74">
        <w:rPr>
          <w:lang w:val="es-ES_tradnl"/>
        </w:rPr>
        <w:fldChar w:fldCharType="begin"/>
      </w:r>
      <w:r w:rsidRPr="00617E74">
        <w:rPr>
          <w:lang w:val="es-ES_tradnl"/>
        </w:rPr>
        <w:instrText xml:space="preserve"> TOC \o "1-3" \h \z \u </w:instrText>
      </w:r>
      <w:r w:rsidRPr="00617E74">
        <w:rPr>
          <w:lang w:val="es-ES_tradnl"/>
        </w:rPr>
        <w:fldChar w:fldCharType="separate"/>
      </w:r>
      <w:hyperlink w:anchor="_Toc21442029" w:history="1">
        <w:r w:rsidR="00617E74" w:rsidRPr="00617E74">
          <w:rPr>
            <w:rStyle w:val="Hyperlink"/>
          </w:rPr>
          <w:t>I.</w:t>
        </w:r>
        <w:r w:rsidR="00617E74" w:rsidRPr="00617E74">
          <w:rPr>
            <w:rFonts w:eastAsiaTheme="minorEastAsia" w:cstheme="minorBidi"/>
            <w:bdr w:val="none" w:sz="0" w:space="0" w:color="auto"/>
            <w:lang w:val="es-ES" w:eastAsia="es-ES"/>
          </w:rPr>
          <w:tab/>
        </w:r>
        <w:r w:rsidR="00617E74" w:rsidRPr="00617E74">
          <w:rPr>
            <w:rStyle w:val="Hyperlink"/>
          </w:rPr>
          <w:t>INTRODUCCIÓN</w:t>
        </w:r>
        <w:r w:rsidR="00617E74" w:rsidRPr="00617E74">
          <w:rPr>
            <w:webHidden/>
          </w:rPr>
          <w:tab/>
        </w:r>
        <w:r w:rsidR="00617E74" w:rsidRPr="00617E74">
          <w:rPr>
            <w:webHidden/>
          </w:rPr>
          <w:fldChar w:fldCharType="begin"/>
        </w:r>
        <w:r w:rsidR="00617E74" w:rsidRPr="00617E74">
          <w:rPr>
            <w:webHidden/>
          </w:rPr>
          <w:instrText xml:space="preserve"> PAGEREF _Toc21442029 \h </w:instrText>
        </w:r>
        <w:r w:rsidR="00617E74" w:rsidRPr="00617E74">
          <w:rPr>
            <w:webHidden/>
          </w:rPr>
        </w:r>
        <w:r w:rsidR="00617E74" w:rsidRPr="00617E74">
          <w:rPr>
            <w:webHidden/>
          </w:rPr>
          <w:fldChar w:fldCharType="separate"/>
        </w:r>
        <w:r w:rsidR="005D5215">
          <w:rPr>
            <w:webHidden/>
          </w:rPr>
          <w:t>2</w:t>
        </w:r>
        <w:r w:rsidR="00617E74" w:rsidRPr="00617E74">
          <w:rPr>
            <w:webHidden/>
          </w:rPr>
          <w:fldChar w:fldCharType="end"/>
        </w:r>
      </w:hyperlink>
    </w:p>
    <w:p w14:paraId="3EE77003" w14:textId="77777777" w:rsidR="00617E74" w:rsidRDefault="00617E74" w:rsidP="00617E74">
      <w:pPr>
        <w:pStyle w:val="TOC1"/>
        <w:rPr>
          <w:rStyle w:val="Hyperlink"/>
        </w:rPr>
      </w:pPr>
    </w:p>
    <w:p w14:paraId="4FC0FB6E" w14:textId="7D53AD26" w:rsidR="00617E74" w:rsidRPr="00617E74" w:rsidRDefault="005D5215" w:rsidP="00617E74">
      <w:pPr>
        <w:pStyle w:val="TOC1"/>
        <w:rPr>
          <w:rFonts w:eastAsiaTheme="minorEastAsia" w:cstheme="minorBidi"/>
          <w:bdr w:val="none" w:sz="0" w:space="0" w:color="auto"/>
          <w:lang w:val="es-ES" w:eastAsia="es-ES"/>
        </w:rPr>
      </w:pPr>
      <w:hyperlink w:anchor="_Toc21442030" w:history="1">
        <w:r w:rsidR="00617E74" w:rsidRPr="00617E74">
          <w:rPr>
            <w:rStyle w:val="Hyperlink"/>
          </w:rPr>
          <w:t>II.</w:t>
        </w:r>
        <w:r w:rsidR="00617E74" w:rsidRPr="00617E74">
          <w:rPr>
            <w:rFonts w:eastAsiaTheme="minorEastAsia" w:cstheme="minorBidi"/>
            <w:bdr w:val="none" w:sz="0" w:space="0" w:color="auto"/>
            <w:lang w:val="es-ES" w:eastAsia="es-ES"/>
          </w:rPr>
          <w:tab/>
        </w:r>
        <w:r w:rsidR="00617E74" w:rsidRPr="00617E74">
          <w:rPr>
            <w:rStyle w:val="Hyperlink"/>
          </w:rPr>
          <w:t>ALEGATOS DE LAS PARTES</w:t>
        </w:r>
        <w:r w:rsidR="00617E74" w:rsidRPr="00617E74">
          <w:rPr>
            <w:webHidden/>
          </w:rPr>
          <w:tab/>
        </w:r>
        <w:r w:rsidR="00617E74" w:rsidRPr="00617E74">
          <w:rPr>
            <w:webHidden/>
          </w:rPr>
          <w:fldChar w:fldCharType="begin"/>
        </w:r>
        <w:r w:rsidR="00617E74" w:rsidRPr="00617E74">
          <w:rPr>
            <w:webHidden/>
          </w:rPr>
          <w:instrText xml:space="preserve"> PAGEREF _Toc21442030 \h </w:instrText>
        </w:r>
        <w:r w:rsidR="00617E74" w:rsidRPr="00617E74">
          <w:rPr>
            <w:webHidden/>
          </w:rPr>
        </w:r>
        <w:r w:rsidR="00617E74" w:rsidRPr="00617E74">
          <w:rPr>
            <w:webHidden/>
          </w:rPr>
          <w:fldChar w:fldCharType="separate"/>
        </w:r>
        <w:r>
          <w:rPr>
            <w:webHidden/>
          </w:rPr>
          <w:t>2</w:t>
        </w:r>
        <w:r w:rsidR="00617E74" w:rsidRPr="00617E74">
          <w:rPr>
            <w:webHidden/>
          </w:rPr>
          <w:fldChar w:fldCharType="end"/>
        </w:r>
      </w:hyperlink>
    </w:p>
    <w:p w14:paraId="397A8AB8" w14:textId="75A47502" w:rsidR="00617E74" w:rsidRPr="00617E74" w:rsidRDefault="005D5215" w:rsidP="00617E74">
      <w:pPr>
        <w:pStyle w:val="TOC2"/>
        <w:jc w:val="both"/>
        <w:rPr>
          <w:rFonts w:ascii="Cambria" w:eastAsiaTheme="minorEastAsia" w:hAnsi="Cambria" w:cstheme="minorBidi"/>
          <w:noProof/>
          <w:sz w:val="20"/>
          <w:szCs w:val="20"/>
          <w:bdr w:val="none" w:sz="0" w:space="0" w:color="auto"/>
          <w:lang w:val="es-ES" w:eastAsia="es-ES"/>
        </w:rPr>
      </w:pPr>
      <w:hyperlink w:anchor="_Toc21442031" w:history="1">
        <w:r w:rsidR="00617E74" w:rsidRPr="00617E74">
          <w:rPr>
            <w:rStyle w:val="Hyperlink"/>
            <w:rFonts w:ascii="Cambria" w:hAnsi="Cambria"/>
            <w:noProof/>
            <w:sz w:val="20"/>
            <w:szCs w:val="20"/>
          </w:rPr>
          <w:t>A.</w:t>
        </w:r>
        <w:r w:rsidR="00617E74" w:rsidRPr="00617E74">
          <w:rPr>
            <w:rFonts w:ascii="Cambria" w:eastAsiaTheme="minorEastAsia" w:hAnsi="Cambria" w:cstheme="minorBidi"/>
            <w:noProof/>
            <w:sz w:val="20"/>
            <w:szCs w:val="20"/>
            <w:bdr w:val="none" w:sz="0" w:space="0" w:color="auto"/>
            <w:lang w:val="es-ES" w:eastAsia="es-ES"/>
          </w:rPr>
          <w:tab/>
        </w:r>
        <w:r w:rsidR="00617E74" w:rsidRPr="00617E74">
          <w:rPr>
            <w:rStyle w:val="Hyperlink"/>
            <w:rFonts w:ascii="Cambria" w:hAnsi="Cambria"/>
            <w:noProof/>
            <w:sz w:val="20"/>
            <w:szCs w:val="20"/>
          </w:rPr>
          <w:t>Parte peticionaria</w:t>
        </w:r>
        <w:r w:rsidR="00617E74" w:rsidRPr="00617E74">
          <w:rPr>
            <w:rFonts w:ascii="Cambria" w:hAnsi="Cambria"/>
            <w:noProof/>
            <w:webHidden/>
            <w:sz w:val="20"/>
            <w:szCs w:val="20"/>
          </w:rPr>
          <w:tab/>
        </w:r>
        <w:r w:rsidR="00617E74" w:rsidRPr="00617E74">
          <w:rPr>
            <w:rFonts w:ascii="Cambria" w:hAnsi="Cambria"/>
            <w:noProof/>
            <w:webHidden/>
            <w:sz w:val="20"/>
            <w:szCs w:val="20"/>
          </w:rPr>
          <w:fldChar w:fldCharType="begin"/>
        </w:r>
        <w:r w:rsidR="00617E74" w:rsidRPr="00617E74">
          <w:rPr>
            <w:rFonts w:ascii="Cambria" w:hAnsi="Cambria"/>
            <w:noProof/>
            <w:webHidden/>
            <w:sz w:val="20"/>
            <w:szCs w:val="20"/>
          </w:rPr>
          <w:instrText xml:space="preserve"> PAGEREF _Toc21442031 \h </w:instrText>
        </w:r>
        <w:r w:rsidR="00617E74" w:rsidRPr="00617E74">
          <w:rPr>
            <w:rFonts w:ascii="Cambria" w:hAnsi="Cambria"/>
            <w:noProof/>
            <w:webHidden/>
            <w:sz w:val="20"/>
            <w:szCs w:val="20"/>
          </w:rPr>
        </w:r>
        <w:r w:rsidR="00617E74" w:rsidRPr="00617E74">
          <w:rPr>
            <w:rFonts w:ascii="Cambria" w:hAnsi="Cambria"/>
            <w:noProof/>
            <w:webHidden/>
            <w:sz w:val="20"/>
            <w:szCs w:val="20"/>
          </w:rPr>
          <w:fldChar w:fldCharType="separate"/>
        </w:r>
        <w:r>
          <w:rPr>
            <w:rFonts w:ascii="Cambria" w:hAnsi="Cambria"/>
            <w:noProof/>
            <w:webHidden/>
            <w:sz w:val="20"/>
            <w:szCs w:val="20"/>
          </w:rPr>
          <w:t>2</w:t>
        </w:r>
        <w:r w:rsidR="00617E74" w:rsidRPr="00617E74">
          <w:rPr>
            <w:rFonts w:ascii="Cambria" w:hAnsi="Cambria"/>
            <w:noProof/>
            <w:webHidden/>
            <w:sz w:val="20"/>
            <w:szCs w:val="20"/>
          </w:rPr>
          <w:fldChar w:fldCharType="end"/>
        </w:r>
      </w:hyperlink>
    </w:p>
    <w:p w14:paraId="2D2893EE" w14:textId="7A32E7A0" w:rsidR="00617E74" w:rsidRPr="00617E74" w:rsidRDefault="005D5215" w:rsidP="00617E74">
      <w:pPr>
        <w:pStyle w:val="TOC2"/>
        <w:jc w:val="both"/>
        <w:rPr>
          <w:rFonts w:ascii="Cambria" w:eastAsiaTheme="minorEastAsia" w:hAnsi="Cambria" w:cstheme="minorBidi"/>
          <w:noProof/>
          <w:sz w:val="20"/>
          <w:szCs w:val="20"/>
          <w:bdr w:val="none" w:sz="0" w:space="0" w:color="auto"/>
          <w:lang w:val="es-ES" w:eastAsia="es-ES"/>
        </w:rPr>
      </w:pPr>
      <w:hyperlink w:anchor="_Toc21442032" w:history="1">
        <w:r w:rsidR="00617E74" w:rsidRPr="00617E74">
          <w:rPr>
            <w:rStyle w:val="Hyperlink"/>
            <w:rFonts w:ascii="Cambria" w:hAnsi="Cambria"/>
            <w:noProof/>
            <w:sz w:val="20"/>
            <w:szCs w:val="20"/>
          </w:rPr>
          <w:t>B.</w:t>
        </w:r>
        <w:r w:rsidR="00617E74" w:rsidRPr="00617E74">
          <w:rPr>
            <w:rFonts w:ascii="Cambria" w:eastAsiaTheme="minorEastAsia" w:hAnsi="Cambria" w:cstheme="minorBidi"/>
            <w:noProof/>
            <w:sz w:val="20"/>
            <w:szCs w:val="20"/>
            <w:bdr w:val="none" w:sz="0" w:space="0" w:color="auto"/>
            <w:lang w:val="es-ES" w:eastAsia="es-ES"/>
          </w:rPr>
          <w:tab/>
        </w:r>
        <w:r w:rsidR="00617E74" w:rsidRPr="00617E74">
          <w:rPr>
            <w:rStyle w:val="Hyperlink"/>
            <w:rFonts w:ascii="Cambria" w:hAnsi="Cambria"/>
            <w:noProof/>
            <w:sz w:val="20"/>
            <w:szCs w:val="20"/>
          </w:rPr>
          <w:t>Estado</w:t>
        </w:r>
        <w:r w:rsidR="00617E74" w:rsidRPr="00617E74">
          <w:rPr>
            <w:rFonts w:ascii="Cambria" w:hAnsi="Cambria"/>
            <w:noProof/>
            <w:webHidden/>
            <w:sz w:val="20"/>
            <w:szCs w:val="20"/>
          </w:rPr>
          <w:tab/>
        </w:r>
        <w:r w:rsidR="00617E74" w:rsidRPr="00617E74">
          <w:rPr>
            <w:rFonts w:ascii="Cambria" w:hAnsi="Cambria"/>
            <w:noProof/>
            <w:webHidden/>
            <w:sz w:val="20"/>
            <w:szCs w:val="20"/>
          </w:rPr>
          <w:fldChar w:fldCharType="begin"/>
        </w:r>
        <w:r w:rsidR="00617E74" w:rsidRPr="00617E74">
          <w:rPr>
            <w:rFonts w:ascii="Cambria" w:hAnsi="Cambria"/>
            <w:noProof/>
            <w:webHidden/>
            <w:sz w:val="20"/>
            <w:szCs w:val="20"/>
          </w:rPr>
          <w:instrText xml:space="preserve"> PAGEREF _Toc21442032 \h </w:instrText>
        </w:r>
        <w:r w:rsidR="00617E74" w:rsidRPr="00617E74">
          <w:rPr>
            <w:rFonts w:ascii="Cambria" w:hAnsi="Cambria"/>
            <w:noProof/>
            <w:webHidden/>
            <w:sz w:val="20"/>
            <w:szCs w:val="20"/>
          </w:rPr>
        </w:r>
        <w:r w:rsidR="00617E74" w:rsidRPr="00617E74">
          <w:rPr>
            <w:rFonts w:ascii="Cambria" w:hAnsi="Cambria"/>
            <w:noProof/>
            <w:webHidden/>
            <w:sz w:val="20"/>
            <w:szCs w:val="20"/>
          </w:rPr>
          <w:fldChar w:fldCharType="separate"/>
        </w:r>
        <w:r>
          <w:rPr>
            <w:rFonts w:ascii="Cambria" w:hAnsi="Cambria"/>
            <w:noProof/>
            <w:webHidden/>
            <w:sz w:val="20"/>
            <w:szCs w:val="20"/>
          </w:rPr>
          <w:t>2</w:t>
        </w:r>
        <w:r w:rsidR="00617E74" w:rsidRPr="00617E74">
          <w:rPr>
            <w:rFonts w:ascii="Cambria" w:hAnsi="Cambria"/>
            <w:noProof/>
            <w:webHidden/>
            <w:sz w:val="20"/>
            <w:szCs w:val="20"/>
          </w:rPr>
          <w:fldChar w:fldCharType="end"/>
        </w:r>
      </w:hyperlink>
    </w:p>
    <w:p w14:paraId="08BFD832" w14:textId="77777777" w:rsidR="00617E74" w:rsidRDefault="00617E74" w:rsidP="00617E74">
      <w:pPr>
        <w:pStyle w:val="TOC1"/>
        <w:rPr>
          <w:rStyle w:val="Hyperlink"/>
        </w:rPr>
      </w:pPr>
    </w:p>
    <w:p w14:paraId="42D5BB9F" w14:textId="50696467" w:rsidR="00617E74" w:rsidRPr="00617E74" w:rsidRDefault="005D5215" w:rsidP="00617E74">
      <w:pPr>
        <w:pStyle w:val="TOC1"/>
        <w:rPr>
          <w:rFonts w:eastAsiaTheme="minorEastAsia" w:cstheme="minorBidi"/>
          <w:bdr w:val="none" w:sz="0" w:space="0" w:color="auto"/>
          <w:lang w:val="es-ES" w:eastAsia="es-ES"/>
        </w:rPr>
      </w:pPr>
      <w:hyperlink w:anchor="_Toc21442033" w:history="1">
        <w:r w:rsidR="00617E74" w:rsidRPr="00617E74">
          <w:rPr>
            <w:rStyle w:val="Hyperlink"/>
          </w:rPr>
          <w:t>III.</w:t>
        </w:r>
        <w:r w:rsidR="00617E74" w:rsidRPr="00617E74">
          <w:rPr>
            <w:rFonts w:eastAsiaTheme="minorEastAsia" w:cstheme="minorBidi"/>
            <w:bdr w:val="none" w:sz="0" w:space="0" w:color="auto"/>
            <w:lang w:val="es-ES" w:eastAsia="es-ES"/>
          </w:rPr>
          <w:tab/>
        </w:r>
        <w:r w:rsidR="00617E74" w:rsidRPr="00617E74">
          <w:rPr>
            <w:rStyle w:val="Hyperlink"/>
          </w:rPr>
          <w:t>DETERMINACIONES DE HECHO</w:t>
        </w:r>
        <w:r w:rsidR="00617E74" w:rsidRPr="00617E74">
          <w:rPr>
            <w:webHidden/>
          </w:rPr>
          <w:tab/>
        </w:r>
        <w:r w:rsidR="00617E74" w:rsidRPr="00617E74">
          <w:rPr>
            <w:webHidden/>
          </w:rPr>
          <w:fldChar w:fldCharType="begin"/>
        </w:r>
        <w:r w:rsidR="00617E74" w:rsidRPr="00617E74">
          <w:rPr>
            <w:webHidden/>
          </w:rPr>
          <w:instrText xml:space="preserve"> PAGEREF _Toc21442033 \h </w:instrText>
        </w:r>
        <w:r w:rsidR="00617E74" w:rsidRPr="00617E74">
          <w:rPr>
            <w:webHidden/>
          </w:rPr>
        </w:r>
        <w:r w:rsidR="00617E74" w:rsidRPr="00617E74">
          <w:rPr>
            <w:webHidden/>
          </w:rPr>
          <w:fldChar w:fldCharType="separate"/>
        </w:r>
        <w:r>
          <w:rPr>
            <w:webHidden/>
          </w:rPr>
          <w:t>3</w:t>
        </w:r>
        <w:r w:rsidR="00617E74" w:rsidRPr="00617E74">
          <w:rPr>
            <w:webHidden/>
          </w:rPr>
          <w:fldChar w:fldCharType="end"/>
        </w:r>
      </w:hyperlink>
    </w:p>
    <w:p w14:paraId="1C8BAB37" w14:textId="357BD680" w:rsidR="00617E74" w:rsidRPr="00617E74" w:rsidRDefault="005D5215" w:rsidP="00617E74">
      <w:pPr>
        <w:pStyle w:val="TOC2"/>
        <w:jc w:val="both"/>
        <w:rPr>
          <w:rFonts w:ascii="Cambria" w:eastAsiaTheme="minorEastAsia" w:hAnsi="Cambria" w:cstheme="minorBidi"/>
          <w:noProof/>
          <w:sz w:val="20"/>
          <w:szCs w:val="20"/>
          <w:bdr w:val="none" w:sz="0" w:space="0" w:color="auto"/>
          <w:lang w:val="es-ES" w:eastAsia="es-ES"/>
        </w:rPr>
      </w:pPr>
      <w:hyperlink w:anchor="_Toc21442034" w:history="1">
        <w:r w:rsidR="00617E74" w:rsidRPr="00617E74">
          <w:rPr>
            <w:rStyle w:val="Hyperlink"/>
            <w:rFonts w:ascii="Cambria" w:hAnsi="Cambria"/>
            <w:noProof/>
            <w:sz w:val="20"/>
            <w:szCs w:val="20"/>
          </w:rPr>
          <w:t>A.</w:t>
        </w:r>
        <w:r w:rsidR="00617E74" w:rsidRPr="00617E74">
          <w:rPr>
            <w:rFonts w:ascii="Cambria" w:eastAsiaTheme="minorEastAsia" w:hAnsi="Cambria" w:cstheme="minorBidi"/>
            <w:noProof/>
            <w:sz w:val="20"/>
            <w:szCs w:val="20"/>
            <w:bdr w:val="none" w:sz="0" w:space="0" w:color="auto"/>
            <w:lang w:val="es-ES" w:eastAsia="es-ES"/>
          </w:rPr>
          <w:tab/>
        </w:r>
        <w:r w:rsidR="00617E74" w:rsidRPr="00617E74">
          <w:rPr>
            <w:rStyle w:val="Hyperlink"/>
            <w:rFonts w:ascii="Cambria" w:hAnsi="Cambria"/>
            <w:noProof/>
            <w:sz w:val="20"/>
            <w:szCs w:val="20"/>
          </w:rPr>
          <w:t>Contexto</w:t>
        </w:r>
        <w:r w:rsidR="00617E74" w:rsidRPr="00617E74">
          <w:rPr>
            <w:rFonts w:ascii="Cambria" w:hAnsi="Cambria"/>
            <w:noProof/>
            <w:webHidden/>
            <w:sz w:val="20"/>
            <w:szCs w:val="20"/>
          </w:rPr>
          <w:tab/>
        </w:r>
        <w:r w:rsidR="00617E74" w:rsidRPr="00617E74">
          <w:rPr>
            <w:rFonts w:ascii="Cambria" w:hAnsi="Cambria"/>
            <w:noProof/>
            <w:webHidden/>
            <w:sz w:val="20"/>
            <w:szCs w:val="20"/>
          </w:rPr>
          <w:fldChar w:fldCharType="begin"/>
        </w:r>
        <w:r w:rsidR="00617E74" w:rsidRPr="00617E74">
          <w:rPr>
            <w:rFonts w:ascii="Cambria" w:hAnsi="Cambria"/>
            <w:noProof/>
            <w:webHidden/>
            <w:sz w:val="20"/>
            <w:szCs w:val="20"/>
          </w:rPr>
          <w:instrText xml:space="preserve"> PAGEREF _Toc21442034 \h </w:instrText>
        </w:r>
        <w:r w:rsidR="00617E74" w:rsidRPr="00617E74">
          <w:rPr>
            <w:rFonts w:ascii="Cambria" w:hAnsi="Cambria"/>
            <w:noProof/>
            <w:webHidden/>
            <w:sz w:val="20"/>
            <w:szCs w:val="20"/>
          </w:rPr>
        </w:r>
        <w:r w:rsidR="00617E74" w:rsidRPr="00617E74">
          <w:rPr>
            <w:rFonts w:ascii="Cambria" w:hAnsi="Cambria"/>
            <w:noProof/>
            <w:webHidden/>
            <w:sz w:val="20"/>
            <w:szCs w:val="20"/>
          </w:rPr>
          <w:fldChar w:fldCharType="separate"/>
        </w:r>
        <w:r>
          <w:rPr>
            <w:rFonts w:ascii="Cambria" w:hAnsi="Cambria"/>
            <w:noProof/>
            <w:webHidden/>
            <w:sz w:val="20"/>
            <w:szCs w:val="20"/>
          </w:rPr>
          <w:t>3</w:t>
        </w:r>
        <w:r w:rsidR="00617E74" w:rsidRPr="00617E74">
          <w:rPr>
            <w:rFonts w:ascii="Cambria" w:hAnsi="Cambria"/>
            <w:noProof/>
            <w:webHidden/>
            <w:sz w:val="20"/>
            <w:szCs w:val="20"/>
          </w:rPr>
          <w:fldChar w:fldCharType="end"/>
        </w:r>
      </w:hyperlink>
    </w:p>
    <w:p w14:paraId="35341866" w14:textId="4D6D7A89" w:rsidR="00617E74" w:rsidRPr="00617E74" w:rsidRDefault="005D5215" w:rsidP="00617E74">
      <w:pPr>
        <w:pStyle w:val="TOC2"/>
        <w:jc w:val="both"/>
        <w:rPr>
          <w:rFonts w:ascii="Cambria" w:eastAsiaTheme="minorEastAsia" w:hAnsi="Cambria" w:cstheme="minorBidi"/>
          <w:noProof/>
          <w:sz w:val="20"/>
          <w:szCs w:val="20"/>
          <w:bdr w:val="none" w:sz="0" w:space="0" w:color="auto"/>
          <w:lang w:val="es-ES" w:eastAsia="es-ES"/>
        </w:rPr>
      </w:pPr>
      <w:hyperlink w:anchor="_Toc21442035" w:history="1">
        <w:r w:rsidR="00617E74" w:rsidRPr="00617E74">
          <w:rPr>
            <w:rStyle w:val="Hyperlink"/>
            <w:rFonts w:ascii="Cambria" w:hAnsi="Cambria"/>
            <w:noProof/>
            <w:sz w:val="20"/>
            <w:szCs w:val="20"/>
          </w:rPr>
          <w:t>B.</w:t>
        </w:r>
        <w:r w:rsidR="00617E74" w:rsidRPr="00617E74">
          <w:rPr>
            <w:rFonts w:ascii="Cambria" w:eastAsiaTheme="minorEastAsia" w:hAnsi="Cambria" w:cstheme="minorBidi"/>
            <w:noProof/>
            <w:sz w:val="20"/>
            <w:szCs w:val="20"/>
            <w:bdr w:val="none" w:sz="0" w:space="0" w:color="auto"/>
            <w:lang w:val="es-ES" w:eastAsia="es-ES"/>
          </w:rPr>
          <w:tab/>
        </w:r>
        <w:r w:rsidR="00617E74" w:rsidRPr="00617E74">
          <w:rPr>
            <w:rStyle w:val="Hyperlink"/>
            <w:rFonts w:ascii="Cambria" w:hAnsi="Cambria"/>
            <w:noProof/>
            <w:sz w:val="20"/>
            <w:szCs w:val="20"/>
          </w:rPr>
          <w:t>Sobre Herminio Deras y los hechos ocurridos antes de su muerte</w:t>
        </w:r>
        <w:r w:rsidR="00617E74" w:rsidRPr="00617E74">
          <w:rPr>
            <w:rFonts w:ascii="Cambria" w:hAnsi="Cambria"/>
            <w:noProof/>
            <w:webHidden/>
            <w:sz w:val="20"/>
            <w:szCs w:val="20"/>
          </w:rPr>
          <w:tab/>
        </w:r>
        <w:r w:rsidR="00617E74" w:rsidRPr="00617E74">
          <w:rPr>
            <w:rFonts w:ascii="Cambria" w:hAnsi="Cambria"/>
            <w:noProof/>
            <w:webHidden/>
            <w:sz w:val="20"/>
            <w:szCs w:val="20"/>
          </w:rPr>
          <w:fldChar w:fldCharType="begin"/>
        </w:r>
        <w:r w:rsidR="00617E74" w:rsidRPr="00617E74">
          <w:rPr>
            <w:rFonts w:ascii="Cambria" w:hAnsi="Cambria"/>
            <w:noProof/>
            <w:webHidden/>
            <w:sz w:val="20"/>
            <w:szCs w:val="20"/>
          </w:rPr>
          <w:instrText xml:space="preserve"> PAGEREF _Toc21442035 \h </w:instrText>
        </w:r>
        <w:r w:rsidR="00617E74" w:rsidRPr="00617E74">
          <w:rPr>
            <w:rFonts w:ascii="Cambria" w:hAnsi="Cambria"/>
            <w:noProof/>
            <w:webHidden/>
            <w:sz w:val="20"/>
            <w:szCs w:val="20"/>
          </w:rPr>
        </w:r>
        <w:r w:rsidR="00617E74" w:rsidRPr="00617E74">
          <w:rPr>
            <w:rFonts w:ascii="Cambria" w:hAnsi="Cambria"/>
            <w:noProof/>
            <w:webHidden/>
            <w:sz w:val="20"/>
            <w:szCs w:val="20"/>
          </w:rPr>
          <w:fldChar w:fldCharType="separate"/>
        </w:r>
        <w:r>
          <w:rPr>
            <w:rFonts w:ascii="Cambria" w:hAnsi="Cambria"/>
            <w:noProof/>
            <w:webHidden/>
            <w:sz w:val="20"/>
            <w:szCs w:val="20"/>
          </w:rPr>
          <w:t>4</w:t>
        </w:r>
        <w:r w:rsidR="00617E74" w:rsidRPr="00617E74">
          <w:rPr>
            <w:rFonts w:ascii="Cambria" w:hAnsi="Cambria"/>
            <w:noProof/>
            <w:webHidden/>
            <w:sz w:val="20"/>
            <w:szCs w:val="20"/>
          </w:rPr>
          <w:fldChar w:fldCharType="end"/>
        </w:r>
      </w:hyperlink>
    </w:p>
    <w:p w14:paraId="2A98DC78" w14:textId="0D35CA6B" w:rsidR="00617E74" w:rsidRPr="00617E74" w:rsidRDefault="005D5215" w:rsidP="00617E74">
      <w:pPr>
        <w:pStyle w:val="TOC2"/>
        <w:jc w:val="both"/>
        <w:rPr>
          <w:rFonts w:ascii="Cambria" w:eastAsiaTheme="minorEastAsia" w:hAnsi="Cambria" w:cstheme="minorBidi"/>
          <w:noProof/>
          <w:sz w:val="20"/>
          <w:szCs w:val="20"/>
          <w:bdr w:val="none" w:sz="0" w:space="0" w:color="auto"/>
          <w:lang w:val="es-ES" w:eastAsia="es-ES"/>
        </w:rPr>
      </w:pPr>
      <w:hyperlink w:anchor="_Toc21442036" w:history="1">
        <w:r w:rsidR="00617E74" w:rsidRPr="00617E74">
          <w:rPr>
            <w:rStyle w:val="Hyperlink"/>
            <w:rFonts w:ascii="Cambria" w:hAnsi="Cambria"/>
            <w:noProof/>
            <w:sz w:val="20"/>
            <w:szCs w:val="20"/>
          </w:rPr>
          <w:t>C.</w:t>
        </w:r>
        <w:r w:rsidR="00617E74" w:rsidRPr="00617E74">
          <w:rPr>
            <w:rFonts w:ascii="Cambria" w:eastAsiaTheme="minorEastAsia" w:hAnsi="Cambria" w:cstheme="minorBidi"/>
            <w:noProof/>
            <w:sz w:val="20"/>
            <w:szCs w:val="20"/>
            <w:bdr w:val="none" w:sz="0" w:space="0" w:color="auto"/>
            <w:lang w:val="es-ES" w:eastAsia="es-ES"/>
          </w:rPr>
          <w:tab/>
        </w:r>
        <w:r w:rsidR="00617E74" w:rsidRPr="00617E74">
          <w:rPr>
            <w:rStyle w:val="Hyperlink"/>
            <w:rFonts w:ascii="Cambria" w:hAnsi="Cambria"/>
            <w:noProof/>
            <w:sz w:val="20"/>
            <w:szCs w:val="20"/>
          </w:rPr>
          <w:t>Sobre la muerte del señor Deras y los hechos ocurridos con posterioridad en perjuicio de su familia</w:t>
        </w:r>
        <w:r w:rsidR="00617E74" w:rsidRPr="00617E74">
          <w:rPr>
            <w:rFonts w:ascii="Cambria" w:hAnsi="Cambria"/>
            <w:noProof/>
            <w:webHidden/>
            <w:sz w:val="20"/>
            <w:szCs w:val="20"/>
          </w:rPr>
          <w:tab/>
        </w:r>
        <w:r w:rsidR="00617E74" w:rsidRPr="00617E74">
          <w:rPr>
            <w:rFonts w:ascii="Cambria" w:hAnsi="Cambria"/>
            <w:noProof/>
            <w:webHidden/>
            <w:sz w:val="20"/>
            <w:szCs w:val="20"/>
          </w:rPr>
          <w:fldChar w:fldCharType="begin"/>
        </w:r>
        <w:r w:rsidR="00617E74" w:rsidRPr="00617E74">
          <w:rPr>
            <w:rFonts w:ascii="Cambria" w:hAnsi="Cambria"/>
            <w:noProof/>
            <w:webHidden/>
            <w:sz w:val="20"/>
            <w:szCs w:val="20"/>
          </w:rPr>
          <w:instrText xml:space="preserve"> PAGEREF _Toc21442036 \h </w:instrText>
        </w:r>
        <w:r w:rsidR="00617E74" w:rsidRPr="00617E74">
          <w:rPr>
            <w:rFonts w:ascii="Cambria" w:hAnsi="Cambria"/>
            <w:noProof/>
            <w:webHidden/>
            <w:sz w:val="20"/>
            <w:szCs w:val="20"/>
          </w:rPr>
        </w:r>
        <w:r w:rsidR="00617E74" w:rsidRPr="00617E74">
          <w:rPr>
            <w:rFonts w:ascii="Cambria" w:hAnsi="Cambria"/>
            <w:noProof/>
            <w:webHidden/>
            <w:sz w:val="20"/>
            <w:szCs w:val="20"/>
          </w:rPr>
          <w:fldChar w:fldCharType="separate"/>
        </w:r>
        <w:r>
          <w:rPr>
            <w:rFonts w:ascii="Cambria" w:hAnsi="Cambria"/>
            <w:noProof/>
            <w:webHidden/>
            <w:sz w:val="20"/>
            <w:szCs w:val="20"/>
          </w:rPr>
          <w:t>5</w:t>
        </w:r>
        <w:r w:rsidR="00617E74" w:rsidRPr="00617E74">
          <w:rPr>
            <w:rFonts w:ascii="Cambria" w:hAnsi="Cambria"/>
            <w:noProof/>
            <w:webHidden/>
            <w:sz w:val="20"/>
            <w:szCs w:val="20"/>
          </w:rPr>
          <w:fldChar w:fldCharType="end"/>
        </w:r>
      </w:hyperlink>
    </w:p>
    <w:p w14:paraId="454EB226" w14:textId="04CD02A1" w:rsidR="00617E74" w:rsidRPr="00617E74" w:rsidRDefault="005D5215" w:rsidP="00617E74">
      <w:pPr>
        <w:pStyle w:val="TOC2"/>
        <w:jc w:val="both"/>
        <w:rPr>
          <w:rFonts w:ascii="Cambria" w:eastAsiaTheme="minorEastAsia" w:hAnsi="Cambria" w:cstheme="minorBidi"/>
          <w:noProof/>
          <w:sz w:val="20"/>
          <w:szCs w:val="20"/>
          <w:bdr w:val="none" w:sz="0" w:space="0" w:color="auto"/>
          <w:lang w:val="es-ES" w:eastAsia="es-ES"/>
        </w:rPr>
      </w:pPr>
      <w:hyperlink w:anchor="_Toc21442037" w:history="1">
        <w:r w:rsidR="00617E74" w:rsidRPr="00617E74">
          <w:rPr>
            <w:rStyle w:val="Hyperlink"/>
            <w:rFonts w:ascii="Cambria" w:hAnsi="Cambria"/>
            <w:noProof/>
            <w:sz w:val="20"/>
            <w:szCs w:val="20"/>
          </w:rPr>
          <w:t>D.</w:t>
        </w:r>
        <w:r w:rsidR="00617E74" w:rsidRPr="00617E74">
          <w:rPr>
            <w:rFonts w:ascii="Cambria" w:eastAsiaTheme="minorEastAsia" w:hAnsi="Cambria" w:cstheme="minorBidi"/>
            <w:noProof/>
            <w:sz w:val="20"/>
            <w:szCs w:val="20"/>
            <w:bdr w:val="none" w:sz="0" w:space="0" w:color="auto"/>
            <w:lang w:val="es-ES" w:eastAsia="es-ES"/>
          </w:rPr>
          <w:tab/>
        </w:r>
        <w:r w:rsidR="00617E74" w:rsidRPr="00617E74">
          <w:rPr>
            <w:rStyle w:val="Hyperlink"/>
            <w:rFonts w:ascii="Cambria" w:hAnsi="Cambria"/>
            <w:noProof/>
            <w:sz w:val="20"/>
            <w:szCs w:val="20"/>
          </w:rPr>
          <w:t>Sobre el proceso penal</w:t>
        </w:r>
        <w:r w:rsidR="00617E74" w:rsidRPr="00617E74">
          <w:rPr>
            <w:rFonts w:ascii="Cambria" w:hAnsi="Cambria"/>
            <w:noProof/>
            <w:webHidden/>
            <w:sz w:val="20"/>
            <w:szCs w:val="20"/>
          </w:rPr>
          <w:tab/>
        </w:r>
        <w:r w:rsidR="00617E74" w:rsidRPr="00617E74">
          <w:rPr>
            <w:rFonts w:ascii="Cambria" w:hAnsi="Cambria"/>
            <w:noProof/>
            <w:webHidden/>
            <w:sz w:val="20"/>
            <w:szCs w:val="20"/>
          </w:rPr>
          <w:fldChar w:fldCharType="begin"/>
        </w:r>
        <w:r w:rsidR="00617E74" w:rsidRPr="00617E74">
          <w:rPr>
            <w:rFonts w:ascii="Cambria" w:hAnsi="Cambria"/>
            <w:noProof/>
            <w:webHidden/>
            <w:sz w:val="20"/>
            <w:szCs w:val="20"/>
          </w:rPr>
          <w:instrText xml:space="preserve"> PAGEREF _Toc21442037 \h </w:instrText>
        </w:r>
        <w:r w:rsidR="00617E74" w:rsidRPr="00617E74">
          <w:rPr>
            <w:rFonts w:ascii="Cambria" w:hAnsi="Cambria"/>
            <w:noProof/>
            <w:webHidden/>
            <w:sz w:val="20"/>
            <w:szCs w:val="20"/>
          </w:rPr>
        </w:r>
        <w:r w:rsidR="00617E74" w:rsidRPr="00617E74">
          <w:rPr>
            <w:rFonts w:ascii="Cambria" w:hAnsi="Cambria"/>
            <w:noProof/>
            <w:webHidden/>
            <w:sz w:val="20"/>
            <w:szCs w:val="20"/>
          </w:rPr>
          <w:fldChar w:fldCharType="separate"/>
        </w:r>
        <w:r>
          <w:rPr>
            <w:rFonts w:ascii="Cambria" w:hAnsi="Cambria"/>
            <w:noProof/>
            <w:webHidden/>
            <w:sz w:val="20"/>
            <w:szCs w:val="20"/>
          </w:rPr>
          <w:t>8</w:t>
        </w:r>
        <w:r w:rsidR="00617E74" w:rsidRPr="00617E74">
          <w:rPr>
            <w:rFonts w:ascii="Cambria" w:hAnsi="Cambria"/>
            <w:noProof/>
            <w:webHidden/>
            <w:sz w:val="20"/>
            <w:szCs w:val="20"/>
          </w:rPr>
          <w:fldChar w:fldCharType="end"/>
        </w:r>
      </w:hyperlink>
    </w:p>
    <w:p w14:paraId="77152B60" w14:textId="77777777" w:rsidR="00617E74" w:rsidRDefault="00617E74" w:rsidP="00617E74">
      <w:pPr>
        <w:pStyle w:val="TOC1"/>
        <w:rPr>
          <w:rStyle w:val="Hyperlink"/>
        </w:rPr>
      </w:pPr>
    </w:p>
    <w:p w14:paraId="022DFE56" w14:textId="09A8ED2F" w:rsidR="00617E74" w:rsidRPr="00617E74" w:rsidRDefault="005D5215" w:rsidP="00617E74">
      <w:pPr>
        <w:pStyle w:val="TOC1"/>
        <w:rPr>
          <w:rFonts w:eastAsiaTheme="minorEastAsia" w:cstheme="minorBidi"/>
          <w:bdr w:val="none" w:sz="0" w:space="0" w:color="auto"/>
          <w:lang w:val="es-ES" w:eastAsia="es-ES"/>
        </w:rPr>
      </w:pPr>
      <w:hyperlink w:anchor="_Toc21442038" w:history="1">
        <w:r w:rsidR="00617E74" w:rsidRPr="00617E74">
          <w:rPr>
            <w:rStyle w:val="Hyperlink"/>
          </w:rPr>
          <w:t>IV.</w:t>
        </w:r>
        <w:r w:rsidR="00617E74" w:rsidRPr="00617E74">
          <w:rPr>
            <w:rFonts w:eastAsiaTheme="minorEastAsia" w:cstheme="minorBidi"/>
            <w:bdr w:val="none" w:sz="0" w:space="0" w:color="auto"/>
            <w:lang w:val="es-ES" w:eastAsia="es-ES"/>
          </w:rPr>
          <w:tab/>
        </w:r>
        <w:r w:rsidR="00617E74" w:rsidRPr="00617E74">
          <w:rPr>
            <w:rStyle w:val="Hyperlink"/>
          </w:rPr>
          <w:t>ANÁLISIS DE DERECHO</w:t>
        </w:r>
        <w:r w:rsidR="00617E74" w:rsidRPr="00617E74">
          <w:rPr>
            <w:webHidden/>
          </w:rPr>
          <w:tab/>
        </w:r>
        <w:r w:rsidR="00617E74" w:rsidRPr="00617E74">
          <w:rPr>
            <w:webHidden/>
          </w:rPr>
          <w:fldChar w:fldCharType="begin"/>
        </w:r>
        <w:r w:rsidR="00617E74" w:rsidRPr="00617E74">
          <w:rPr>
            <w:webHidden/>
          </w:rPr>
          <w:instrText xml:space="preserve"> PAGEREF _Toc21442038 \h </w:instrText>
        </w:r>
        <w:r w:rsidR="00617E74" w:rsidRPr="00617E74">
          <w:rPr>
            <w:webHidden/>
          </w:rPr>
        </w:r>
        <w:r w:rsidR="00617E74" w:rsidRPr="00617E74">
          <w:rPr>
            <w:webHidden/>
          </w:rPr>
          <w:fldChar w:fldCharType="separate"/>
        </w:r>
        <w:r>
          <w:rPr>
            <w:webHidden/>
          </w:rPr>
          <w:t>10</w:t>
        </w:r>
        <w:r w:rsidR="00617E74" w:rsidRPr="00617E74">
          <w:rPr>
            <w:webHidden/>
          </w:rPr>
          <w:fldChar w:fldCharType="end"/>
        </w:r>
      </w:hyperlink>
    </w:p>
    <w:p w14:paraId="3982D17B" w14:textId="024D692C" w:rsidR="00617E74" w:rsidRPr="00617E74" w:rsidRDefault="005D5215" w:rsidP="00617E74">
      <w:pPr>
        <w:pStyle w:val="TOC2"/>
        <w:jc w:val="both"/>
        <w:rPr>
          <w:rFonts w:ascii="Cambria" w:eastAsiaTheme="minorEastAsia" w:hAnsi="Cambria" w:cstheme="minorBidi"/>
          <w:noProof/>
          <w:sz w:val="20"/>
          <w:szCs w:val="20"/>
          <w:bdr w:val="none" w:sz="0" w:space="0" w:color="auto"/>
          <w:lang w:val="es-ES" w:eastAsia="es-ES"/>
        </w:rPr>
      </w:pPr>
      <w:hyperlink w:anchor="_Toc21442039" w:history="1">
        <w:r w:rsidR="00617E74" w:rsidRPr="00617E74">
          <w:rPr>
            <w:rStyle w:val="Hyperlink"/>
            <w:rFonts w:ascii="Cambria" w:hAnsi="Cambria"/>
            <w:noProof/>
            <w:sz w:val="20"/>
            <w:szCs w:val="20"/>
          </w:rPr>
          <w:t>A.</w:t>
        </w:r>
        <w:r w:rsidR="00617E74" w:rsidRPr="00617E74">
          <w:rPr>
            <w:rFonts w:ascii="Cambria" w:eastAsiaTheme="minorEastAsia" w:hAnsi="Cambria" w:cstheme="minorBidi"/>
            <w:noProof/>
            <w:sz w:val="20"/>
            <w:szCs w:val="20"/>
            <w:bdr w:val="none" w:sz="0" w:space="0" w:color="auto"/>
            <w:lang w:val="es-ES" w:eastAsia="es-ES"/>
          </w:rPr>
          <w:tab/>
        </w:r>
        <w:r w:rsidR="00617E74" w:rsidRPr="00617E74">
          <w:rPr>
            <w:rStyle w:val="Hyperlink"/>
            <w:rFonts w:ascii="Cambria" w:hAnsi="Cambria"/>
            <w:noProof/>
            <w:sz w:val="20"/>
            <w:szCs w:val="20"/>
          </w:rPr>
          <w:t>Derecho a la vida, libertad de pensamiento y de expresión y libertad de asociación (artículos 4.1, 13.1 y 16.1</w:t>
        </w:r>
        <w:r w:rsidR="00617E74" w:rsidRPr="00617E74">
          <w:rPr>
            <w:rStyle w:val="Hyperlink"/>
            <w:rFonts w:ascii="Cambria" w:hAnsi="Cambria"/>
            <w:noProof/>
            <w:sz w:val="20"/>
            <w:szCs w:val="20"/>
            <w:lang w:val="es-CL"/>
          </w:rPr>
          <w:t xml:space="preserve"> de la Convención Americana </w:t>
        </w:r>
        <w:r w:rsidR="00617E74" w:rsidRPr="00617E74">
          <w:rPr>
            <w:rStyle w:val="Hyperlink"/>
            <w:rFonts w:ascii="Cambria" w:hAnsi="Cambria"/>
            <w:noProof/>
            <w:sz w:val="20"/>
            <w:szCs w:val="20"/>
          </w:rPr>
          <w:t>en relación con el artículo 1.1 del mismo instrumento)</w:t>
        </w:r>
        <w:r w:rsidR="00617E74" w:rsidRPr="00617E74">
          <w:rPr>
            <w:rFonts w:ascii="Cambria" w:hAnsi="Cambria"/>
            <w:noProof/>
            <w:webHidden/>
            <w:sz w:val="20"/>
            <w:szCs w:val="20"/>
          </w:rPr>
          <w:tab/>
        </w:r>
        <w:r w:rsidR="00617E74" w:rsidRPr="00617E74">
          <w:rPr>
            <w:rFonts w:ascii="Cambria" w:hAnsi="Cambria"/>
            <w:noProof/>
            <w:webHidden/>
            <w:sz w:val="20"/>
            <w:szCs w:val="20"/>
          </w:rPr>
          <w:fldChar w:fldCharType="begin"/>
        </w:r>
        <w:r w:rsidR="00617E74" w:rsidRPr="00617E74">
          <w:rPr>
            <w:rFonts w:ascii="Cambria" w:hAnsi="Cambria"/>
            <w:noProof/>
            <w:webHidden/>
            <w:sz w:val="20"/>
            <w:szCs w:val="20"/>
          </w:rPr>
          <w:instrText xml:space="preserve"> PAGEREF _Toc21442039 \h </w:instrText>
        </w:r>
        <w:r w:rsidR="00617E74" w:rsidRPr="00617E74">
          <w:rPr>
            <w:rFonts w:ascii="Cambria" w:hAnsi="Cambria"/>
            <w:noProof/>
            <w:webHidden/>
            <w:sz w:val="20"/>
            <w:szCs w:val="20"/>
          </w:rPr>
        </w:r>
        <w:r w:rsidR="00617E74" w:rsidRPr="00617E74">
          <w:rPr>
            <w:rFonts w:ascii="Cambria" w:hAnsi="Cambria"/>
            <w:noProof/>
            <w:webHidden/>
            <w:sz w:val="20"/>
            <w:szCs w:val="20"/>
          </w:rPr>
          <w:fldChar w:fldCharType="separate"/>
        </w:r>
        <w:r>
          <w:rPr>
            <w:rFonts w:ascii="Cambria" w:hAnsi="Cambria"/>
            <w:noProof/>
            <w:webHidden/>
            <w:sz w:val="20"/>
            <w:szCs w:val="20"/>
          </w:rPr>
          <w:t>10</w:t>
        </w:r>
        <w:r w:rsidR="00617E74" w:rsidRPr="00617E74">
          <w:rPr>
            <w:rFonts w:ascii="Cambria" w:hAnsi="Cambria"/>
            <w:noProof/>
            <w:webHidden/>
            <w:sz w:val="20"/>
            <w:szCs w:val="20"/>
          </w:rPr>
          <w:fldChar w:fldCharType="end"/>
        </w:r>
      </w:hyperlink>
    </w:p>
    <w:p w14:paraId="6AAB23EA" w14:textId="179292F2" w:rsidR="00617E74" w:rsidRPr="00617E74" w:rsidRDefault="005D5215" w:rsidP="00617E74">
      <w:pPr>
        <w:pStyle w:val="TOC2"/>
        <w:jc w:val="both"/>
        <w:rPr>
          <w:rFonts w:ascii="Cambria" w:eastAsiaTheme="minorEastAsia" w:hAnsi="Cambria" w:cstheme="minorBidi"/>
          <w:noProof/>
          <w:sz w:val="20"/>
          <w:szCs w:val="20"/>
          <w:bdr w:val="none" w:sz="0" w:space="0" w:color="auto"/>
          <w:lang w:val="es-ES" w:eastAsia="es-ES"/>
        </w:rPr>
      </w:pPr>
      <w:hyperlink w:anchor="_Toc21442040" w:history="1">
        <w:r w:rsidR="00617E74" w:rsidRPr="00617E74">
          <w:rPr>
            <w:rStyle w:val="Hyperlink"/>
            <w:rFonts w:ascii="Cambria" w:hAnsi="Cambria"/>
            <w:noProof/>
            <w:sz w:val="20"/>
            <w:szCs w:val="20"/>
            <w:lang w:val="es-ES"/>
          </w:rPr>
          <w:t>B.</w:t>
        </w:r>
        <w:r w:rsidR="00617E74" w:rsidRPr="00617E74">
          <w:rPr>
            <w:rFonts w:ascii="Cambria" w:eastAsiaTheme="minorEastAsia" w:hAnsi="Cambria" w:cstheme="minorBidi"/>
            <w:noProof/>
            <w:sz w:val="20"/>
            <w:szCs w:val="20"/>
            <w:bdr w:val="none" w:sz="0" w:space="0" w:color="auto"/>
            <w:lang w:val="es-ES" w:eastAsia="es-ES"/>
          </w:rPr>
          <w:tab/>
        </w:r>
        <w:r w:rsidR="00617E74" w:rsidRPr="00617E74">
          <w:rPr>
            <w:rStyle w:val="Hyperlink"/>
            <w:rFonts w:ascii="Cambria" w:hAnsi="Cambria"/>
            <w:noProof/>
            <w:sz w:val="20"/>
            <w:szCs w:val="20"/>
            <w:lang w:val="es-ES"/>
          </w:rPr>
          <w:t xml:space="preserve">Derechos a la integridad personal, libertad personal, vida privada, protección de la familia y derechos del niño (artículos 5.1, 5.2 7.1, 7.2, 7.3, 11.2, 17.1, 19 y 22.1 </w:t>
        </w:r>
        <w:r w:rsidR="00617E74" w:rsidRPr="00617E74">
          <w:rPr>
            <w:rStyle w:val="Hyperlink"/>
            <w:rFonts w:ascii="Cambria" w:hAnsi="Cambria"/>
            <w:noProof/>
            <w:sz w:val="20"/>
            <w:szCs w:val="20"/>
            <w:lang w:val="es-CL"/>
          </w:rPr>
          <w:t xml:space="preserve">de la Convención Americana, </w:t>
        </w:r>
        <w:r w:rsidR="00617E74" w:rsidRPr="00617E74">
          <w:rPr>
            <w:rStyle w:val="Hyperlink"/>
            <w:rFonts w:ascii="Cambria" w:hAnsi="Cambria"/>
            <w:noProof/>
            <w:sz w:val="20"/>
            <w:szCs w:val="20"/>
            <w:lang w:val="es-ES"/>
          </w:rPr>
          <w:t>en relación con el artículo 1.1 del mismo instrumento)</w:t>
        </w:r>
        <w:r w:rsidR="00617E74" w:rsidRPr="00617E74">
          <w:rPr>
            <w:rFonts w:ascii="Cambria" w:hAnsi="Cambria"/>
            <w:noProof/>
            <w:webHidden/>
            <w:sz w:val="20"/>
            <w:szCs w:val="20"/>
          </w:rPr>
          <w:tab/>
        </w:r>
        <w:r w:rsidR="00617E74" w:rsidRPr="00617E74">
          <w:rPr>
            <w:rFonts w:ascii="Cambria" w:hAnsi="Cambria"/>
            <w:noProof/>
            <w:webHidden/>
            <w:sz w:val="20"/>
            <w:szCs w:val="20"/>
          </w:rPr>
          <w:fldChar w:fldCharType="begin"/>
        </w:r>
        <w:r w:rsidR="00617E74" w:rsidRPr="00617E74">
          <w:rPr>
            <w:rFonts w:ascii="Cambria" w:hAnsi="Cambria"/>
            <w:noProof/>
            <w:webHidden/>
            <w:sz w:val="20"/>
            <w:szCs w:val="20"/>
          </w:rPr>
          <w:instrText xml:space="preserve"> PAGEREF _Toc21442040 \h </w:instrText>
        </w:r>
        <w:r w:rsidR="00617E74" w:rsidRPr="00617E74">
          <w:rPr>
            <w:rFonts w:ascii="Cambria" w:hAnsi="Cambria"/>
            <w:noProof/>
            <w:webHidden/>
            <w:sz w:val="20"/>
            <w:szCs w:val="20"/>
          </w:rPr>
        </w:r>
        <w:r w:rsidR="00617E74" w:rsidRPr="00617E74">
          <w:rPr>
            <w:rFonts w:ascii="Cambria" w:hAnsi="Cambria"/>
            <w:noProof/>
            <w:webHidden/>
            <w:sz w:val="20"/>
            <w:szCs w:val="20"/>
          </w:rPr>
          <w:fldChar w:fldCharType="separate"/>
        </w:r>
        <w:r>
          <w:rPr>
            <w:rFonts w:ascii="Cambria" w:hAnsi="Cambria"/>
            <w:noProof/>
            <w:webHidden/>
            <w:sz w:val="20"/>
            <w:szCs w:val="20"/>
          </w:rPr>
          <w:t>12</w:t>
        </w:r>
        <w:r w:rsidR="00617E74" w:rsidRPr="00617E74">
          <w:rPr>
            <w:rFonts w:ascii="Cambria" w:hAnsi="Cambria"/>
            <w:noProof/>
            <w:webHidden/>
            <w:sz w:val="20"/>
            <w:szCs w:val="20"/>
          </w:rPr>
          <w:fldChar w:fldCharType="end"/>
        </w:r>
      </w:hyperlink>
    </w:p>
    <w:p w14:paraId="428DBCBF" w14:textId="675FA022" w:rsidR="00617E74" w:rsidRPr="00617E74" w:rsidRDefault="005D5215" w:rsidP="00617E74">
      <w:pPr>
        <w:pStyle w:val="TOC2"/>
        <w:jc w:val="both"/>
        <w:rPr>
          <w:rFonts w:ascii="Cambria" w:eastAsiaTheme="minorEastAsia" w:hAnsi="Cambria" w:cstheme="minorBidi"/>
          <w:noProof/>
          <w:sz w:val="20"/>
          <w:szCs w:val="20"/>
          <w:bdr w:val="none" w:sz="0" w:space="0" w:color="auto"/>
          <w:lang w:val="es-ES" w:eastAsia="es-ES"/>
        </w:rPr>
      </w:pPr>
      <w:hyperlink w:anchor="_Toc21442041" w:history="1">
        <w:r w:rsidR="00617E74" w:rsidRPr="00617E74">
          <w:rPr>
            <w:rStyle w:val="Hyperlink"/>
            <w:rFonts w:ascii="Cambria" w:hAnsi="Cambria"/>
            <w:noProof/>
            <w:sz w:val="20"/>
            <w:szCs w:val="20"/>
            <w:lang w:val="es-ES"/>
          </w:rPr>
          <w:t>C.</w:t>
        </w:r>
        <w:r w:rsidR="00617E74" w:rsidRPr="00617E74">
          <w:rPr>
            <w:rFonts w:ascii="Cambria" w:eastAsiaTheme="minorEastAsia" w:hAnsi="Cambria" w:cstheme="minorBidi"/>
            <w:noProof/>
            <w:sz w:val="20"/>
            <w:szCs w:val="20"/>
            <w:bdr w:val="none" w:sz="0" w:space="0" w:color="auto"/>
            <w:lang w:val="es-ES" w:eastAsia="es-ES"/>
          </w:rPr>
          <w:tab/>
        </w:r>
        <w:r w:rsidR="00617E74" w:rsidRPr="00617E74">
          <w:rPr>
            <w:rStyle w:val="Hyperlink"/>
            <w:rFonts w:ascii="Cambria" w:hAnsi="Cambria"/>
            <w:noProof/>
            <w:sz w:val="20"/>
            <w:szCs w:val="20"/>
            <w:lang w:val="es-ES"/>
          </w:rPr>
          <w:t>Derecho a las garantías judiciales y protección judicial (artículos 8.1 y 25.1</w:t>
        </w:r>
        <w:r w:rsidR="00617E74" w:rsidRPr="00617E74">
          <w:rPr>
            <w:rStyle w:val="Hyperlink"/>
            <w:rFonts w:ascii="Cambria" w:hAnsi="Cambria"/>
            <w:noProof/>
            <w:sz w:val="20"/>
            <w:szCs w:val="20"/>
            <w:lang w:val="es-CL"/>
          </w:rPr>
          <w:t xml:space="preserve"> </w:t>
        </w:r>
        <w:r w:rsidR="00617E74" w:rsidRPr="00617E74">
          <w:rPr>
            <w:rStyle w:val="Hyperlink"/>
            <w:rFonts w:ascii="Cambria" w:hAnsi="Cambria"/>
            <w:noProof/>
            <w:sz w:val="20"/>
            <w:szCs w:val="20"/>
            <w:lang w:val="es-ES"/>
          </w:rPr>
          <w:t>en relación con el artículo 1.1 de la Convención Americana)</w:t>
        </w:r>
        <w:r w:rsidR="00617E74" w:rsidRPr="00617E74">
          <w:rPr>
            <w:rFonts w:ascii="Cambria" w:hAnsi="Cambria"/>
            <w:noProof/>
            <w:webHidden/>
            <w:sz w:val="20"/>
            <w:szCs w:val="20"/>
          </w:rPr>
          <w:tab/>
        </w:r>
        <w:r w:rsidR="00617E74" w:rsidRPr="00617E74">
          <w:rPr>
            <w:rFonts w:ascii="Cambria" w:hAnsi="Cambria"/>
            <w:noProof/>
            <w:webHidden/>
            <w:sz w:val="20"/>
            <w:szCs w:val="20"/>
          </w:rPr>
          <w:fldChar w:fldCharType="begin"/>
        </w:r>
        <w:r w:rsidR="00617E74" w:rsidRPr="00617E74">
          <w:rPr>
            <w:rFonts w:ascii="Cambria" w:hAnsi="Cambria"/>
            <w:noProof/>
            <w:webHidden/>
            <w:sz w:val="20"/>
            <w:szCs w:val="20"/>
          </w:rPr>
          <w:instrText xml:space="preserve"> PAGEREF _Toc21442041 \h </w:instrText>
        </w:r>
        <w:r w:rsidR="00617E74" w:rsidRPr="00617E74">
          <w:rPr>
            <w:rFonts w:ascii="Cambria" w:hAnsi="Cambria"/>
            <w:noProof/>
            <w:webHidden/>
            <w:sz w:val="20"/>
            <w:szCs w:val="20"/>
          </w:rPr>
        </w:r>
        <w:r w:rsidR="00617E74" w:rsidRPr="00617E74">
          <w:rPr>
            <w:rFonts w:ascii="Cambria" w:hAnsi="Cambria"/>
            <w:noProof/>
            <w:webHidden/>
            <w:sz w:val="20"/>
            <w:szCs w:val="20"/>
          </w:rPr>
          <w:fldChar w:fldCharType="separate"/>
        </w:r>
        <w:r>
          <w:rPr>
            <w:rFonts w:ascii="Cambria" w:hAnsi="Cambria"/>
            <w:noProof/>
            <w:webHidden/>
            <w:sz w:val="20"/>
            <w:szCs w:val="20"/>
          </w:rPr>
          <w:t>15</w:t>
        </w:r>
        <w:r w:rsidR="00617E74" w:rsidRPr="00617E74">
          <w:rPr>
            <w:rFonts w:ascii="Cambria" w:hAnsi="Cambria"/>
            <w:noProof/>
            <w:webHidden/>
            <w:sz w:val="20"/>
            <w:szCs w:val="20"/>
          </w:rPr>
          <w:fldChar w:fldCharType="end"/>
        </w:r>
      </w:hyperlink>
    </w:p>
    <w:p w14:paraId="528EC513" w14:textId="434B7354" w:rsidR="00617E74" w:rsidRPr="00617E74" w:rsidRDefault="005D5215" w:rsidP="00617E74">
      <w:pPr>
        <w:pStyle w:val="TOC2"/>
        <w:jc w:val="both"/>
        <w:rPr>
          <w:rFonts w:ascii="Cambria" w:eastAsiaTheme="minorEastAsia" w:hAnsi="Cambria" w:cstheme="minorBidi"/>
          <w:noProof/>
          <w:sz w:val="20"/>
          <w:szCs w:val="20"/>
          <w:bdr w:val="none" w:sz="0" w:space="0" w:color="auto"/>
          <w:lang w:val="es-ES" w:eastAsia="es-ES"/>
        </w:rPr>
      </w:pPr>
      <w:hyperlink w:anchor="_Toc21442042" w:history="1">
        <w:r w:rsidR="00617E74" w:rsidRPr="00617E74">
          <w:rPr>
            <w:rStyle w:val="Hyperlink"/>
            <w:rFonts w:ascii="Cambria" w:hAnsi="Cambria"/>
            <w:noProof/>
            <w:sz w:val="20"/>
            <w:szCs w:val="20"/>
            <w:lang w:val="es-ES"/>
          </w:rPr>
          <w:t>D.</w:t>
        </w:r>
        <w:r w:rsidR="00617E74" w:rsidRPr="00617E74">
          <w:rPr>
            <w:rFonts w:ascii="Cambria" w:eastAsiaTheme="minorEastAsia" w:hAnsi="Cambria" w:cstheme="minorBidi"/>
            <w:noProof/>
            <w:sz w:val="20"/>
            <w:szCs w:val="20"/>
            <w:bdr w:val="none" w:sz="0" w:space="0" w:color="auto"/>
            <w:lang w:val="es-ES" w:eastAsia="es-ES"/>
          </w:rPr>
          <w:tab/>
        </w:r>
        <w:r w:rsidR="00617E74" w:rsidRPr="00617E74">
          <w:rPr>
            <w:rStyle w:val="Hyperlink"/>
            <w:rFonts w:ascii="Cambria" w:hAnsi="Cambria"/>
            <w:noProof/>
            <w:sz w:val="20"/>
            <w:szCs w:val="20"/>
            <w:lang w:val="es-ES"/>
          </w:rPr>
          <w:t>Derecho a la integridad personal (artículo 5.1</w:t>
        </w:r>
        <w:r w:rsidR="00617E74" w:rsidRPr="00617E74">
          <w:rPr>
            <w:rStyle w:val="Hyperlink"/>
            <w:rFonts w:ascii="Cambria" w:hAnsi="Cambria"/>
            <w:noProof/>
            <w:sz w:val="20"/>
            <w:szCs w:val="20"/>
            <w:lang w:val="es-CL"/>
          </w:rPr>
          <w:t xml:space="preserve"> </w:t>
        </w:r>
        <w:r w:rsidR="00617E74" w:rsidRPr="00617E74">
          <w:rPr>
            <w:rStyle w:val="Hyperlink"/>
            <w:rFonts w:ascii="Cambria" w:hAnsi="Cambria"/>
            <w:noProof/>
            <w:sz w:val="20"/>
            <w:szCs w:val="20"/>
            <w:lang w:val="es-ES"/>
          </w:rPr>
          <w:t>en relación con el artículo 1.1 de la Convención Americana)</w:t>
        </w:r>
        <w:r w:rsidR="00617E74" w:rsidRPr="00617E74">
          <w:rPr>
            <w:rFonts w:ascii="Cambria" w:hAnsi="Cambria"/>
            <w:noProof/>
            <w:webHidden/>
            <w:sz w:val="20"/>
            <w:szCs w:val="20"/>
          </w:rPr>
          <w:tab/>
        </w:r>
        <w:r w:rsidR="00617E74" w:rsidRPr="00617E74">
          <w:rPr>
            <w:rFonts w:ascii="Cambria" w:hAnsi="Cambria"/>
            <w:noProof/>
            <w:webHidden/>
            <w:sz w:val="20"/>
            <w:szCs w:val="20"/>
          </w:rPr>
          <w:fldChar w:fldCharType="begin"/>
        </w:r>
        <w:r w:rsidR="00617E74" w:rsidRPr="00617E74">
          <w:rPr>
            <w:rFonts w:ascii="Cambria" w:hAnsi="Cambria"/>
            <w:noProof/>
            <w:webHidden/>
            <w:sz w:val="20"/>
            <w:szCs w:val="20"/>
          </w:rPr>
          <w:instrText xml:space="preserve"> PAGEREF _Toc21442042 \h </w:instrText>
        </w:r>
        <w:r w:rsidR="00617E74" w:rsidRPr="00617E74">
          <w:rPr>
            <w:rFonts w:ascii="Cambria" w:hAnsi="Cambria"/>
            <w:noProof/>
            <w:webHidden/>
            <w:sz w:val="20"/>
            <w:szCs w:val="20"/>
          </w:rPr>
        </w:r>
        <w:r w:rsidR="00617E74" w:rsidRPr="00617E74">
          <w:rPr>
            <w:rFonts w:ascii="Cambria" w:hAnsi="Cambria"/>
            <w:noProof/>
            <w:webHidden/>
            <w:sz w:val="20"/>
            <w:szCs w:val="20"/>
          </w:rPr>
          <w:fldChar w:fldCharType="separate"/>
        </w:r>
        <w:r>
          <w:rPr>
            <w:rFonts w:ascii="Cambria" w:hAnsi="Cambria"/>
            <w:noProof/>
            <w:webHidden/>
            <w:sz w:val="20"/>
            <w:szCs w:val="20"/>
          </w:rPr>
          <w:t>17</w:t>
        </w:r>
        <w:r w:rsidR="00617E74" w:rsidRPr="00617E74">
          <w:rPr>
            <w:rFonts w:ascii="Cambria" w:hAnsi="Cambria"/>
            <w:noProof/>
            <w:webHidden/>
            <w:sz w:val="20"/>
            <w:szCs w:val="20"/>
          </w:rPr>
          <w:fldChar w:fldCharType="end"/>
        </w:r>
      </w:hyperlink>
    </w:p>
    <w:p w14:paraId="4A2B5400" w14:textId="77777777" w:rsidR="00617E74" w:rsidRDefault="00617E74" w:rsidP="00617E74">
      <w:pPr>
        <w:pStyle w:val="TOC1"/>
        <w:rPr>
          <w:rStyle w:val="Hyperlink"/>
        </w:rPr>
      </w:pPr>
    </w:p>
    <w:p w14:paraId="7B4265A1" w14:textId="0F6D4322" w:rsidR="00617E74" w:rsidRPr="00617E74" w:rsidRDefault="005D5215" w:rsidP="00617E74">
      <w:pPr>
        <w:pStyle w:val="TOC1"/>
        <w:rPr>
          <w:rFonts w:eastAsiaTheme="minorEastAsia" w:cstheme="minorBidi"/>
          <w:bdr w:val="none" w:sz="0" w:space="0" w:color="auto"/>
          <w:lang w:val="es-ES" w:eastAsia="es-ES"/>
        </w:rPr>
      </w:pPr>
      <w:hyperlink w:anchor="_Toc21442043" w:history="1">
        <w:r w:rsidR="00617E74" w:rsidRPr="00617E74">
          <w:rPr>
            <w:rStyle w:val="Hyperlink"/>
          </w:rPr>
          <w:t>V.</w:t>
        </w:r>
        <w:r w:rsidR="00617E74" w:rsidRPr="00617E74">
          <w:rPr>
            <w:rFonts w:eastAsiaTheme="minorEastAsia" w:cstheme="minorBidi"/>
            <w:bdr w:val="none" w:sz="0" w:space="0" w:color="auto"/>
            <w:lang w:val="es-ES" w:eastAsia="es-ES"/>
          </w:rPr>
          <w:tab/>
        </w:r>
        <w:r w:rsidR="00617E74" w:rsidRPr="00617E74">
          <w:rPr>
            <w:rStyle w:val="Hyperlink"/>
          </w:rPr>
          <w:t>CONCLUSIONES Y RECOMENDACIONES</w:t>
        </w:r>
        <w:r w:rsidR="00617E74" w:rsidRPr="00617E74">
          <w:rPr>
            <w:webHidden/>
          </w:rPr>
          <w:tab/>
        </w:r>
        <w:r w:rsidR="00617E74" w:rsidRPr="00617E74">
          <w:rPr>
            <w:webHidden/>
          </w:rPr>
          <w:fldChar w:fldCharType="begin"/>
        </w:r>
        <w:r w:rsidR="00617E74" w:rsidRPr="00617E74">
          <w:rPr>
            <w:webHidden/>
          </w:rPr>
          <w:instrText xml:space="preserve"> PAGEREF _Toc21442043 \h </w:instrText>
        </w:r>
        <w:r w:rsidR="00617E74" w:rsidRPr="00617E74">
          <w:rPr>
            <w:webHidden/>
          </w:rPr>
        </w:r>
        <w:r w:rsidR="00617E74" w:rsidRPr="00617E74">
          <w:rPr>
            <w:webHidden/>
          </w:rPr>
          <w:fldChar w:fldCharType="separate"/>
        </w:r>
        <w:r>
          <w:rPr>
            <w:webHidden/>
          </w:rPr>
          <w:t>17</w:t>
        </w:r>
        <w:r w:rsidR="00617E74" w:rsidRPr="00617E74">
          <w:rPr>
            <w:webHidden/>
          </w:rPr>
          <w:fldChar w:fldCharType="end"/>
        </w:r>
      </w:hyperlink>
    </w:p>
    <w:p w14:paraId="3D41C554" w14:textId="77777777" w:rsidR="008D768D" w:rsidRPr="00617E74" w:rsidRDefault="00F15B85" w:rsidP="00F15B85">
      <w:pPr>
        <w:tabs>
          <w:tab w:val="left" w:pos="1440"/>
          <w:tab w:val="center" w:pos="5400"/>
        </w:tabs>
        <w:suppressAutoHyphens/>
        <w:spacing w:after="240"/>
        <w:rPr>
          <w:rFonts w:ascii="Cambria" w:hAnsi="Cambria"/>
          <w:sz w:val="20"/>
          <w:szCs w:val="20"/>
          <w:lang w:val="es-ES_tradnl"/>
        </w:rPr>
      </w:pPr>
      <w:r w:rsidRPr="00617E74">
        <w:rPr>
          <w:rFonts w:ascii="Cambria" w:hAnsi="Cambria"/>
          <w:b/>
          <w:sz w:val="20"/>
          <w:szCs w:val="20"/>
          <w:lang w:val="es-ES_tradnl"/>
        </w:rPr>
        <w:fldChar w:fldCharType="end"/>
      </w:r>
    </w:p>
    <w:p w14:paraId="1F3BFA77" w14:textId="77777777" w:rsidR="005937F1" w:rsidRPr="00617E74" w:rsidRDefault="00722C9F" w:rsidP="00005B72">
      <w:pPr>
        <w:rPr>
          <w:rFonts w:ascii="Cambria" w:hAnsi="Cambria"/>
          <w:sz w:val="20"/>
          <w:szCs w:val="20"/>
          <w:lang w:val="es-ES_tradnl"/>
        </w:rPr>
      </w:pPr>
      <w:r w:rsidRPr="00617E74">
        <w:rPr>
          <w:rFonts w:ascii="Cambria" w:hAnsi="Cambria" w:cs="Calibri"/>
          <w:sz w:val="20"/>
          <w:szCs w:val="20"/>
          <w:lang w:val="es-ES"/>
        </w:rPr>
        <w:br w:type="page"/>
      </w:r>
    </w:p>
    <w:p w14:paraId="5B045DA1" w14:textId="77777777" w:rsidR="00D12193" w:rsidRPr="00005B72" w:rsidRDefault="00005B72" w:rsidP="00212202">
      <w:pPr>
        <w:pStyle w:val="Heading1"/>
        <w:tabs>
          <w:tab w:val="left" w:pos="360"/>
        </w:tabs>
        <w:ind w:hanging="1080"/>
      </w:pPr>
      <w:bookmarkStart w:id="2" w:name="_Toc15047993"/>
      <w:bookmarkStart w:id="3" w:name="_Toc21442029"/>
      <w:r w:rsidRPr="00005B72">
        <w:lastRenderedPageBreak/>
        <w:t>INTRODUCCIÓN</w:t>
      </w:r>
      <w:bookmarkEnd w:id="2"/>
      <w:bookmarkEnd w:id="3"/>
    </w:p>
    <w:p w14:paraId="5188BE62" w14:textId="77777777" w:rsidR="005C4CA5" w:rsidRPr="00470D7E" w:rsidRDefault="005C4CA5" w:rsidP="00212202">
      <w:pPr>
        <w:tabs>
          <w:tab w:val="left" w:pos="360"/>
        </w:tabs>
        <w:suppressAutoHyphens/>
        <w:ind w:left="360"/>
        <w:rPr>
          <w:rFonts w:ascii="Cambria" w:hAnsi="Cambria"/>
          <w:b/>
          <w:sz w:val="20"/>
          <w:szCs w:val="20"/>
          <w:lang w:val="es-ES_tradnl"/>
        </w:rPr>
      </w:pPr>
    </w:p>
    <w:p w14:paraId="05FC87BA" w14:textId="77777777" w:rsidR="009014A4" w:rsidRPr="00470D7E" w:rsidRDefault="005C4CA5" w:rsidP="002122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Cambria" w:hAnsi="Cambria"/>
          <w:color w:val="000000"/>
          <w:sz w:val="20"/>
          <w:szCs w:val="20"/>
          <w:lang w:val="es-VE"/>
        </w:rPr>
      </w:pPr>
      <w:r w:rsidRPr="00470D7E">
        <w:rPr>
          <w:rFonts w:ascii="Cambria" w:hAnsi="Cambria"/>
          <w:sz w:val="20"/>
          <w:szCs w:val="20"/>
          <w:lang w:val="es-VE"/>
        </w:rPr>
        <w:t xml:space="preserve">El </w:t>
      </w:r>
      <w:r w:rsidR="0003499E" w:rsidRPr="00470D7E">
        <w:rPr>
          <w:rFonts w:ascii="Cambria" w:hAnsi="Cambria"/>
          <w:sz w:val="20"/>
          <w:szCs w:val="20"/>
          <w:lang w:val="es-VE"/>
        </w:rPr>
        <w:t>6</w:t>
      </w:r>
      <w:r w:rsidRPr="00470D7E">
        <w:rPr>
          <w:rFonts w:ascii="Cambria" w:hAnsi="Cambria"/>
          <w:sz w:val="20"/>
          <w:szCs w:val="20"/>
          <w:lang w:val="es-VE"/>
        </w:rPr>
        <w:t xml:space="preserve"> de </w:t>
      </w:r>
      <w:r w:rsidR="0003499E" w:rsidRPr="00470D7E">
        <w:rPr>
          <w:rFonts w:ascii="Cambria" w:hAnsi="Cambria"/>
          <w:sz w:val="20"/>
          <w:szCs w:val="20"/>
          <w:lang w:val="es-VE"/>
        </w:rPr>
        <w:t>febrero</w:t>
      </w:r>
      <w:r w:rsidRPr="00470D7E">
        <w:rPr>
          <w:rFonts w:ascii="Cambria" w:hAnsi="Cambria"/>
          <w:sz w:val="20"/>
          <w:szCs w:val="20"/>
          <w:lang w:val="es-VE"/>
        </w:rPr>
        <w:t xml:space="preserve"> de </w:t>
      </w:r>
      <w:r w:rsidR="0003499E" w:rsidRPr="00470D7E">
        <w:rPr>
          <w:rFonts w:ascii="Cambria" w:hAnsi="Cambria"/>
          <w:sz w:val="20"/>
          <w:szCs w:val="20"/>
          <w:lang w:val="es-VE"/>
        </w:rPr>
        <w:t>2002</w:t>
      </w:r>
      <w:r w:rsidRPr="00470D7E">
        <w:rPr>
          <w:rFonts w:ascii="Cambria" w:hAnsi="Cambria"/>
          <w:sz w:val="20"/>
          <w:szCs w:val="20"/>
          <w:lang w:val="es-VE"/>
        </w:rPr>
        <w:t xml:space="preserve"> la Comisión Interamericana de Derechos Humanos (en adelante “la Comisión Interamericana”, “la Comisión” o “la CIDH”) recibió una petición presentada por </w:t>
      </w:r>
      <w:r w:rsidR="00244D54">
        <w:rPr>
          <w:rFonts w:ascii="Cambria" w:hAnsi="Cambria"/>
          <w:sz w:val="20"/>
          <w:szCs w:val="20"/>
          <w:lang w:val="es-ES"/>
        </w:rPr>
        <w:t xml:space="preserve">Eustaquia García Alvarado </w:t>
      </w:r>
      <w:r w:rsidRPr="00470D7E">
        <w:rPr>
          <w:rFonts w:ascii="Cambria" w:hAnsi="Cambria"/>
          <w:sz w:val="20"/>
          <w:szCs w:val="20"/>
          <w:lang w:val="es-VE"/>
        </w:rPr>
        <w:t>(en adelante “la parte peticionaria”)</w:t>
      </w:r>
      <w:r w:rsidRPr="00470D7E">
        <w:rPr>
          <w:rStyle w:val="FootnoteReference"/>
          <w:rFonts w:ascii="Cambria" w:hAnsi="Cambria"/>
          <w:sz w:val="20"/>
          <w:szCs w:val="20"/>
          <w:lang w:val="es-VE"/>
        </w:rPr>
        <w:footnoteReference w:id="2"/>
      </w:r>
      <w:r w:rsidRPr="00470D7E">
        <w:rPr>
          <w:rFonts w:ascii="Cambria" w:hAnsi="Cambria"/>
          <w:sz w:val="20"/>
          <w:szCs w:val="20"/>
          <w:lang w:val="es-VE"/>
        </w:rPr>
        <w:t xml:space="preserve"> en la cual se alega la responsabilidad internacional de </w:t>
      </w:r>
      <w:r w:rsidR="0003499E" w:rsidRPr="00470D7E">
        <w:rPr>
          <w:rFonts w:ascii="Cambria" w:hAnsi="Cambria"/>
          <w:sz w:val="20"/>
          <w:szCs w:val="20"/>
          <w:lang w:val="es-VE"/>
        </w:rPr>
        <w:t>la República de Honduras</w:t>
      </w:r>
      <w:r w:rsidRPr="00470D7E">
        <w:rPr>
          <w:rFonts w:ascii="Cambria" w:hAnsi="Cambria"/>
          <w:sz w:val="20"/>
          <w:szCs w:val="20"/>
          <w:lang w:val="es-VE"/>
        </w:rPr>
        <w:t xml:space="preserve"> (en </w:t>
      </w:r>
      <w:r w:rsidRPr="00470D7E">
        <w:rPr>
          <w:rFonts w:ascii="Cambria" w:hAnsi="Cambria"/>
          <w:color w:val="000000"/>
          <w:sz w:val="20"/>
          <w:szCs w:val="20"/>
          <w:lang w:val="es-VE"/>
        </w:rPr>
        <w:t>adelante “el Estado</w:t>
      </w:r>
      <w:r w:rsidR="0082694A">
        <w:rPr>
          <w:rFonts w:ascii="Cambria" w:hAnsi="Cambria"/>
          <w:color w:val="000000"/>
          <w:sz w:val="20"/>
          <w:szCs w:val="20"/>
          <w:lang w:val="es-VE"/>
        </w:rPr>
        <w:t xml:space="preserve"> de</w:t>
      </w:r>
      <w:r w:rsidRPr="00470D7E">
        <w:rPr>
          <w:rFonts w:ascii="Cambria" w:hAnsi="Cambria"/>
          <w:color w:val="000000"/>
          <w:sz w:val="20"/>
          <w:szCs w:val="20"/>
          <w:lang w:val="es-VE"/>
        </w:rPr>
        <w:t xml:space="preserve"> </w:t>
      </w:r>
      <w:r w:rsidR="0003499E" w:rsidRPr="00470D7E">
        <w:rPr>
          <w:rFonts w:ascii="Cambria" w:hAnsi="Cambria"/>
          <w:color w:val="000000"/>
          <w:sz w:val="20"/>
          <w:szCs w:val="20"/>
          <w:lang w:val="es-VE"/>
        </w:rPr>
        <w:t>Honduras</w:t>
      </w:r>
      <w:r w:rsidRPr="00470D7E">
        <w:rPr>
          <w:rFonts w:ascii="Cambria" w:hAnsi="Cambria"/>
          <w:color w:val="000000"/>
          <w:sz w:val="20"/>
          <w:szCs w:val="20"/>
          <w:lang w:val="es-VE"/>
        </w:rPr>
        <w:t>”, “el Estado” o “</w:t>
      </w:r>
      <w:r w:rsidR="0003499E" w:rsidRPr="00470D7E">
        <w:rPr>
          <w:rFonts w:ascii="Cambria" w:hAnsi="Cambria"/>
          <w:color w:val="000000"/>
          <w:sz w:val="20"/>
          <w:szCs w:val="20"/>
          <w:lang w:val="es-VE"/>
        </w:rPr>
        <w:t>Honduras</w:t>
      </w:r>
      <w:r w:rsidRPr="00470D7E">
        <w:rPr>
          <w:rFonts w:ascii="Cambria" w:hAnsi="Cambria"/>
          <w:color w:val="000000"/>
          <w:sz w:val="20"/>
          <w:szCs w:val="20"/>
          <w:lang w:val="es-VE"/>
        </w:rPr>
        <w:t xml:space="preserve">”) </w:t>
      </w:r>
      <w:r w:rsidR="00005B72">
        <w:rPr>
          <w:rFonts w:ascii="Cambria" w:hAnsi="Cambria"/>
          <w:color w:val="000000"/>
          <w:sz w:val="20"/>
          <w:szCs w:val="20"/>
          <w:lang w:val="es-VE"/>
        </w:rPr>
        <w:t xml:space="preserve">por la </w:t>
      </w:r>
      <w:r w:rsidR="00025EDD">
        <w:rPr>
          <w:rFonts w:ascii="Cambria" w:hAnsi="Cambria"/>
          <w:color w:val="000000"/>
          <w:sz w:val="20"/>
          <w:szCs w:val="20"/>
          <w:lang w:val="es-VE"/>
        </w:rPr>
        <w:t xml:space="preserve">alegada </w:t>
      </w:r>
      <w:r w:rsidR="00005B72">
        <w:rPr>
          <w:rFonts w:ascii="Cambria" w:hAnsi="Cambria"/>
          <w:color w:val="000000"/>
          <w:sz w:val="20"/>
          <w:szCs w:val="20"/>
          <w:lang w:val="es-VE"/>
        </w:rPr>
        <w:t xml:space="preserve">ejecución extrajudicial de Herminio Deras García, así como </w:t>
      </w:r>
      <w:r w:rsidR="00A034B4">
        <w:rPr>
          <w:rFonts w:ascii="Cambria" w:hAnsi="Cambria"/>
          <w:color w:val="000000"/>
          <w:sz w:val="20"/>
          <w:szCs w:val="20"/>
          <w:lang w:val="es-VE"/>
        </w:rPr>
        <w:t xml:space="preserve">por las </w:t>
      </w:r>
      <w:r w:rsidR="00025EDD">
        <w:rPr>
          <w:rFonts w:ascii="Cambria" w:hAnsi="Cambria"/>
          <w:color w:val="000000"/>
          <w:sz w:val="20"/>
          <w:szCs w:val="20"/>
          <w:lang w:val="es-VE"/>
        </w:rPr>
        <w:t xml:space="preserve">supuestas </w:t>
      </w:r>
      <w:r w:rsidR="00A034B4">
        <w:rPr>
          <w:rFonts w:ascii="Cambria" w:hAnsi="Cambria"/>
          <w:color w:val="000000"/>
          <w:sz w:val="20"/>
          <w:szCs w:val="20"/>
          <w:lang w:val="es-VE"/>
        </w:rPr>
        <w:t xml:space="preserve">amenazas, </w:t>
      </w:r>
      <w:r w:rsidR="00005B72">
        <w:rPr>
          <w:rFonts w:ascii="Cambria" w:hAnsi="Cambria"/>
          <w:color w:val="000000"/>
          <w:sz w:val="20"/>
          <w:szCs w:val="20"/>
          <w:lang w:val="es-VE"/>
        </w:rPr>
        <w:t xml:space="preserve">detenciones ilegales y </w:t>
      </w:r>
      <w:r w:rsidR="00025EDD">
        <w:rPr>
          <w:rFonts w:ascii="Cambria" w:hAnsi="Cambria"/>
          <w:color w:val="000000"/>
          <w:sz w:val="20"/>
          <w:szCs w:val="20"/>
          <w:lang w:val="es-VE"/>
        </w:rPr>
        <w:t xml:space="preserve">alegados </w:t>
      </w:r>
      <w:r w:rsidR="00005B72">
        <w:rPr>
          <w:rFonts w:ascii="Cambria" w:hAnsi="Cambria"/>
          <w:color w:val="000000"/>
          <w:sz w:val="20"/>
          <w:szCs w:val="20"/>
          <w:lang w:val="es-VE"/>
        </w:rPr>
        <w:t>actos de tortura en contra de sus familiares</w:t>
      </w:r>
      <w:r w:rsidRPr="00470D7E">
        <w:rPr>
          <w:rFonts w:ascii="Cambria" w:hAnsi="Cambria"/>
          <w:color w:val="000000"/>
          <w:sz w:val="20"/>
          <w:szCs w:val="20"/>
          <w:lang w:val="es-VE"/>
        </w:rPr>
        <w:t xml:space="preserve">. </w:t>
      </w:r>
    </w:p>
    <w:p w14:paraId="43EFA10B" w14:textId="77777777" w:rsidR="009014A4" w:rsidRPr="00470D7E" w:rsidRDefault="009014A4" w:rsidP="0021220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630"/>
        <w:jc w:val="both"/>
        <w:rPr>
          <w:rFonts w:ascii="Cambria" w:hAnsi="Cambria"/>
          <w:color w:val="000000"/>
          <w:sz w:val="20"/>
          <w:szCs w:val="20"/>
          <w:lang w:val="es-VE"/>
        </w:rPr>
      </w:pPr>
    </w:p>
    <w:p w14:paraId="5B01FEDB" w14:textId="77777777" w:rsidR="009014A4" w:rsidRPr="00470D7E" w:rsidRDefault="009014A4" w:rsidP="002122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Cambria" w:hAnsi="Cambria"/>
          <w:color w:val="000000"/>
          <w:sz w:val="20"/>
          <w:szCs w:val="20"/>
          <w:lang w:val="es-VE"/>
        </w:rPr>
      </w:pPr>
      <w:r w:rsidRPr="005E5FB8">
        <w:rPr>
          <w:rFonts w:ascii="Cambria" w:hAnsi="Cambria"/>
          <w:sz w:val="20"/>
          <w:szCs w:val="20"/>
          <w:lang w:val="es-VE"/>
        </w:rPr>
        <w:t>L</w:t>
      </w:r>
      <w:r w:rsidRPr="005E5FB8">
        <w:rPr>
          <w:rFonts w:ascii="Cambria" w:hAnsi="Cambria"/>
          <w:sz w:val="20"/>
          <w:szCs w:val="20"/>
          <w:lang w:val="es-ES_tradnl"/>
        </w:rPr>
        <w:t xml:space="preserve">a Comisión aprobó el informe de admisibilidad No. </w:t>
      </w:r>
      <w:r w:rsidR="005E5FB8" w:rsidRPr="005E5FB8">
        <w:rPr>
          <w:rFonts w:ascii="Cambria" w:hAnsi="Cambria"/>
          <w:sz w:val="20"/>
          <w:szCs w:val="20"/>
          <w:lang w:val="es-ES_tradnl"/>
        </w:rPr>
        <w:t>56</w:t>
      </w:r>
      <w:r w:rsidRPr="005E5FB8">
        <w:rPr>
          <w:rFonts w:ascii="Cambria" w:hAnsi="Cambria"/>
          <w:sz w:val="20"/>
          <w:szCs w:val="20"/>
          <w:lang w:val="es-ES_tradnl"/>
        </w:rPr>
        <w:t>/</w:t>
      </w:r>
      <w:r w:rsidR="005E5FB8" w:rsidRPr="005E5FB8">
        <w:rPr>
          <w:rFonts w:ascii="Cambria" w:hAnsi="Cambria"/>
          <w:sz w:val="20"/>
          <w:szCs w:val="20"/>
          <w:lang w:val="es-ES_tradnl"/>
        </w:rPr>
        <w:t>13 el 16 de julio de 2013</w:t>
      </w:r>
      <w:r w:rsidRPr="005E5FB8">
        <w:rPr>
          <w:rStyle w:val="FootnoteReference"/>
          <w:rFonts w:ascii="Cambria" w:hAnsi="Cambria"/>
          <w:sz w:val="20"/>
          <w:szCs w:val="20"/>
          <w:lang w:val="es-ES_tradnl"/>
        </w:rPr>
        <w:footnoteReference w:id="3"/>
      </w:r>
      <w:r w:rsidR="00AF7988" w:rsidRPr="005E5FB8">
        <w:rPr>
          <w:rFonts w:ascii="Cambria" w:hAnsi="Cambria"/>
          <w:sz w:val="20"/>
          <w:szCs w:val="20"/>
          <w:lang w:val="es-ES_tradnl"/>
        </w:rPr>
        <w:t xml:space="preserve">. </w:t>
      </w:r>
      <w:r w:rsidRPr="005E5FB8">
        <w:rPr>
          <w:rFonts w:ascii="Cambria" w:hAnsi="Cambria"/>
          <w:sz w:val="20"/>
          <w:szCs w:val="20"/>
          <w:lang w:val="es-ES_tradnl"/>
        </w:rPr>
        <w:t xml:space="preserve">El </w:t>
      </w:r>
      <w:r w:rsidR="005E5FB8" w:rsidRPr="005E5FB8">
        <w:rPr>
          <w:rFonts w:ascii="Cambria" w:hAnsi="Cambria"/>
          <w:sz w:val="20"/>
          <w:szCs w:val="20"/>
          <w:lang w:val="es-ES_tradnl"/>
        </w:rPr>
        <w:t>1</w:t>
      </w:r>
      <w:r w:rsidRPr="005E5FB8">
        <w:rPr>
          <w:rFonts w:ascii="Cambria" w:hAnsi="Cambria"/>
          <w:sz w:val="20"/>
          <w:szCs w:val="20"/>
          <w:lang w:val="es-ES_tradnl"/>
        </w:rPr>
        <w:t xml:space="preserve"> de </w:t>
      </w:r>
      <w:r w:rsidR="005E5FB8" w:rsidRPr="005E5FB8">
        <w:rPr>
          <w:rFonts w:ascii="Cambria" w:hAnsi="Cambria"/>
          <w:sz w:val="20"/>
          <w:szCs w:val="20"/>
          <w:lang w:val="es-ES_tradnl"/>
        </w:rPr>
        <w:t>agosto</w:t>
      </w:r>
      <w:r w:rsidRPr="005E5FB8">
        <w:rPr>
          <w:rFonts w:ascii="Cambria" w:hAnsi="Cambria"/>
          <w:sz w:val="20"/>
          <w:szCs w:val="20"/>
          <w:lang w:val="es-ES_tradnl"/>
        </w:rPr>
        <w:t xml:space="preserve"> de </w:t>
      </w:r>
      <w:r w:rsidR="005E5FB8" w:rsidRPr="005E5FB8">
        <w:rPr>
          <w:rFonts w:ascii="Cambria" w:hAnsi="Cambria"/>
          <w:sz w:val="20"/>
          <w:szCs w:val="20"/>
          <w:lang w:val="es-ES_tradnl"/>
        </w:rPr>
        <w:t>2013</w:t>
      </w:r>
      <w:r w:rsidRPr="005E5FB8">
        <w:rPr>
          <w:rFonts w:ascii="Cambria" w:hAnsi="Cambria"/>
          <w:sz w:val="20"/>
          <w:szCs w:val="20"/>
          <w:lang w:val="es-ES_tradnl"/>
        </w:rPr>
        <w:t xml:space="preserve"> la Comisión notificó dicho informe a las partes y se puso a su disposición a fin de llegar a una solución amistosa. Las </w:t>
      </w:r>
      <w:r w:rsidRPr="00005B72">
        <w:rPr>
          <w:rFonts w:ascii="Cambria" w:hAnsi="Cambria"/>
          <w:sz w:val="20"/>
          <w:szCs w:val="20"/>
          <w:lang w:val="es-ES_tradnl"/>
        </w:rPr>
        <w:t>partes</w:t>
      </w:r>
      <w:r w:rsidRPr="009014A4">
        <w:rPr>
          <w:rFonts w:ascii="Cambria" w:hAnsi="Cambria"/>
          <w:sz w:val="20"/>
          <w:szCs w:val="20"/>
          <w:lang w:val="es-ES_tradnl"/>
        </w:rPr>
        <w:t xml:space="preserve"> contaron con los plazos reglamentarios para presentar sus observaciones adicionales sobre el fondo.</w:t>
      </w:r>
      <w:r w:rsidR="008C3098">
        <w:rPr>
          <w:rFonts w:ascii="Cambria" w:hAnsi="Cambria"/>
          <w:sz w:val="20"/>
          <w:szCs w:val="20"/>
          <w:lang w:val="es-ES_tradnl"/>
        </w:rPr>
        <w:t xml:space="preserve"> </w:t>
      </w:r>
      <w:r w:rsidRPr="009014A4">
        <w:rPr>
          <w:rFonts w:ascii="Cambria" w:hAnsi="Cambria"/>
          <w:sz w:val="20"/>
          <w:szCs w:val="20"/>
          <w:lang w:val="es-ES_tradnl"/>
        </w:rPr>
        <w:t xml:space="preserve">Toda la información recibida fue debidamente trasladada entre las partes. </w:t>
      </w:r>
    </w:p>
    <w:p w14:paraId="769B0BEB" w14:textId="77777777" w:rsidR="00156359" w:rsidRPr="00470D7E" w:rsidRDefault="00156359" w:rsidP="0021220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Cambria" w:hAnsi="Cambria"/>
          <w:color w:val="000000"/>
          <w:sz w:val="20"/>
          <w:szCs w:val="20"/>
          <w:lang w:val="es-VE"/>
        </w:rPr>
      </w:pPr>
    </w:p>
    <w:p w14:paraId="352539F2" w14:textId="77777777" w:rsidR="00156359" w:rsidRPr="00005B72" w:rsidRDefault="00156359" w:rsidP="00212202">
      <w:pPr>
        <w:pStyle w:val="Heading1"/>
        <w:tabs>
          <w:tab w:val="left" w:pos="360"/>
        </w:tabs>
        <w:ind w:hanging="1080"/>
      </w:pPr>
      <w:bookmarkStart w:id="4" w:name="_Toc15047994"/>
      <w:bookmarkStart w:id="5" w:name="_Toc21442030"/>
      <w:r w:rsidRPr="00005B72">
        <w:t>ALEGATOS DE LAS PARTES</w:t>
      </w:r>
      <w:bookmarkEnd w:id="4"/>
      <w:bookmarkEnd w:id="5"/>
    </w:p>
    <w:p w14:paraId="702CD140" w14:textId="77777777" w:rsidR="00156359" w:rsidRPr="00470D7E" w:rsidRDefault="00156359" w:rsidP="00212202">
      <w:pPr>
        <w:pStyle w:val="MediumGrid1-Accent21"/>
        <w:tabs>
          <w:tab w:val="left" w:pos="360"/>
        </w:tabs>
        <w:suppressAutoHyphens/>
        <w:ind w:left="0"/>
        <w:rPr>
          <w:b/>
          <w:sz w:val="20"/>
          <w:szCs w:val="20"/>
          <w:lang w:val="es-ES_tradnl"/>
        </w:rPr>
      </w:pPr>
    </w:p>
    <w:p w14:paraId="02648A60" w14:textId="77777777" w:rsidR="00156359" w:rsidRPr="00005B72" w:rsidRDefault="00156359" w:rsidP="00212202">
      <w:pPr>
        <w:pStyle w:val="Heading2"/>
        <w:numPr>
          <w:ilvl w:val="0"/>
          <w:numId w:val="62"/>
        </w:numPr>
        <w:tabs>
          <w:tab w:val="left" w:pos="360"/>
        </w:tabs>
        <w:ind w:hanging="720"/>
      </w:pPr>
      <w:bookmarkStart w:id="6" w:name="_Toc15047995"/>
      <w:bookmarkStart w:id="7" w:name="_Toc21442031"/>
      <w:r w:rsidRPr="00005B72">
        <w:t>Parte peticionaria</w:t>
      </w:r>
      <w:bookmarkEnd w:id="6"/>
      <w:bookmarkEnd w:id="7"/>
      <w:r w:rsidRPr="00005B72">
        <w:t xml:space="preserve"> </w:t>
      </w:r>
    </w:p>
    <w:p w14:paraId="661D3DBE" w14:textId="77777777" w:rsidR="00156359" w:rsidRPr="00470D7E" w:rsidRDefault="00156359" w:rsidP="0021220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630"/>
        <w:jc w:val="both"/>
        <w:rPr>
          <w:rFonts w:ascii="Cambria" w:hAnsi="Cambria"/>
          <w:color w:val="000000"/>
          <w:sz w:val="20"/>
          <w:szCs w:val="20"/>
          <w:lang w:val="es-VE"/>
        </w:rPr>
      </w:pPr>
    </w:p>
    <w:p w14:paraId="0AD69D10" w14:textId="77777777" w:rsidR="00C53B44" w:rsidRPr="00C53B44" w:rsidRDefault="00A034B4" w:rsidP="002122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Cambria" w:hAnsi="Cambria"/>
          <w:sz w:val="20"/>
          <w:szCs w:val="20"/>
          <w:lang w:val="es-VE"/>
        </w:rPr>
      </w:pPr>
      <w:r>
        <w:rPr>
          <w:rFonts w:ascii="Cambria" w:hAnsi="Cambria"/>
          <w:sz w:val="20"/>
          <w:szCs w:val="20"/>
          <w:lang w:val="es-CL"/>
        </w:rPr>
        <w:t>La parte peticionaria alega que el Estado es responsable por la ejecución extrajudicial de</w:t>
      </w:r>
      <w:r w:rsidRPr="00A034B4">
        <w:rPr>
          <w:rFonts w:ascii="Cambria" w:hAnsi="Cambria"/>
          <w:sz w:val="20"/>
          <w:szCs w:val="20"/>
          <w:lang w:val="es-CL"/>
        </w:rPr>
        <w:t xml:space="preserve"> </w:t>
      </w:r>
      <w:r w:rsidRPr="006478E3">
        <w:rPr>
          <w:rFonts w:ascii="Cambria" w:hAnsi="Cambria"/>
          <w:sz w:val="20"/>
          <w:szCs w:val="20"/>
          <w:lang w:val="es-CL"/>
        </w:rPr>
        <w:t>Herminio Deras</w:t>
      </w:r>
      <w:r>
        <w:rPr>
          <w:rFonts w:ascii="Cambria" w:hAnsi="Cambria"/>
          <w:sz w:val="20"/>
          <w:szCs w:val="20"/>
          <w:lang w:val="es-CL"/>
        </w:rPr>
        <w:t xml:space="preserve"> por parte de agentes públic</w:t>
      </w:r>
      <w:r w:rsidR="00C53B44">
        <w:rPr>
          <w:rFonts w:ascii="Cambria" w:hAnsi="Cambria"/>
          <w:sz w:val="20"/>
          <w:szCs w:val="20"/>
          <w:lang w:val="es-CL"/>
        </w:rPr>
        <w:t>o</w:t>
      </w:r>
      <w:r>
        <w:rPr>
          <w:rFonts w:ascii="Cambria" w:hAnsi="Cambria"/>
          <w:sz w:val="20"/>
          <w:szCs w:val="20"/>
          <w:lang w:val="es-CL"/>
        </w:rPr>
        <w:t xml:space="preserve">s en enero de 1983. Sostiene que </w:t>
      </w:r>
      <w:r w:rsidR="00C53B44">
        <w:rPr>
          <w:rFonts w:ascii="Cambria" w:hAnsi="Cambria"/>
          <w:sz w:val="20"/>
          <w:szCs w:val="20"/>
          <w:lang w:val="es-CL"/>
        </w:rPr>
        <w:t>la muerte del señor Deras se dio</w:t>
      </w:r>
      <w:r w:rsidR="00441A7E">
        <w:rPr>
          <w:rFonts w:ascii="Cambria" w:hAnsi="Cambria"/>
          <w:sz w:val="20"/>
          <w:szCs w:val="20"/>
          <w:lang w:val="es-CL"/>
        </w:rPr>
        <w:t xml:space="preserve"> debido a sus labores como </w:t>
      </w:r>
      <w:r w:rsidR="00441A7E">
        <w:rPr>
          <w:rFonts w:ascii="Cambria" w:hAnsi="Cambria"/>
          <w:sz w:val="20"/>
          <w:szCs w:val="20"/>
          <w:lang w:val="es-ES"/>
        </w:rPr>
        <w:t>miembro del Partido Comunista y asesor sindical. Ello</w:t>
      </w:r>
      <w:r>
        <w:rPr>
          <w:rFonts w:ascii="Cambria" w:hAnsi="Cambria"/>
          <w:sz w:val="20"/>
          <w:szCs w:val="20"/>
          <w:lang w:val="es-CL"/>
        </w:rPr>
        <w:t xml:space="preserve"> en el marco de un contexto de persecución</w:t>
      </w:r>
      <w:r w:rsidR="00441A7E">
        <w:rPr>
          <w:rFonts w:ascii="Cambria" w:hAnsi="Cambria"/>
          <w:sz w:val="20"/>
          <w:szCs w:val="20"/>
          <w:lang w:val="es-CL"/>
        </w:rPr>
        <w:t xml:space="preserve"> estatal</w:t>
      </w:r>
      <w:r>
        <w:rPr>
          <w:rFonts w:ascii="Cambria" w:hAnsi="Cambria"/>
          <w:sz w:val="20"/>
          <w:szCs w:val="20"/>
          <w:lang w:val="es-CL"/>
        </w:rPr>
        <w:t xml:space="preserve"> y </w:t>
      </w:r>
      <w:r w:rsidR="00C53B44">
        <w:rPr>
          <w:rFonts w:ascii="Cambria" w:hAnsi="Cambria"/>
          <w:sz w:val="20"/>
          <w:szCs w:val="20"/>
          <w:lang w:val="es-CL"/>
        </w:rPr>
        <w:t xml:space="preserve">de </w:t>
      </w:r>
      <w:r>
        <w:rPr>
          <w:rFonts w:ascii="Cambria" w:hAnsi="Cambria"/>
          <w:sz w:val="20"/>
          <w:szCs w:val="20"/>
          <w:lang w:val="es-CL"/>
        </w:rPr>
        <w:t xml:space="preserve">graves violaciones de derechos humanos, incluyendo ejecuciones extrajudiciales, en contra de </w:t>
      </w:r>
      <w:r w:rsidRPr="006478E3">
        <w:rPr>
          <w:rFonts w:ascii="Cambria" w:hAnsi="Cambria"/>
          <w:sz w:val="20"/>
          <w:szCs w:val="20"/>
          <w:lang w:val="es-CL"/>
        </w:rPr>
        <w:t>dirigentes de organizaciones estudiantiles, sindicales y populares</w:t>
      </w:r>
      <w:r>
        <w:rPr>
          <w:rFonts w:ascii="Cambria" w:hAnsi="Cambria"/>
          <w:sz w:val="20"/>
          <w:szCs w:val="20"/>
          <w:lang w:val="es-CL"/>
        </w:rPr>
        <w:t xml:space="preserve"> identificados como personas opositoras al entonces gobierno.</w:t>
      </w:r>
      <w:r w:rsidR="00C53B44">
        <w:rPr>
          <w:rFonts w:ascii="Cambria" w:hAnsi="Cambria"/>
          <w:sz w:val="20"/>
          <w:szCs w:val="20"/>
          <w:lang w:val="es-CL"/>
        </w:rPr>
        <w:t xml:space="preserve"> </w:t>
      </w:r>
    </w:p>
    <w:p w14:paraId="66541CAB" w14:textId="77777777" w:rsidR="00A034B4" w:rsidRDefault="00C53B44" w:rsidP="0021220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Cambria" w:hAnsi="Cambria"/>
          <w:sz w:val="20"/>
          <w:szCs w:val="20"/>
          <w:lang w:val="es-VE"/>
        </w:rPr>
      </w:pPr>
      <w:r w:rsidRPr="001368A1">
        <w:rPr>
          <w:rFonts w:ascii="Cambria" w:hAnsi="Cambria"/>
          <w:sz w:val="20"/>
          <w:szCs w:val="20"/>
          <w:lang w:val="es-ES"/>
        </w:rPr>
        <w:t xml:space="preserve"> </w:t>
      </w:r>
    </w:p>
    <w:p w14:paraId="43DCAC41" w14:textId="77777777" w:rsidR="00C53B44" w:rsidRDefault="00C53B44" w:rsidP="002122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Cambria" w:hAnsi="Cambria"/>
          <w:sz w:val="20"/>
          <w:szCs w:val="20"/>
          <w:lang w:val="es-CL"/>
        </w:rPr>
      </w:pPr>
      <w:r>
        <w:rPr>
          <w:rFonts w:ascii="Cambria" w:hAnsi="Cambria"/>
          <w:sz w:val="20"/>
          <w:szCs w:val="20"/>
          <w:lang w:val="es-VE"/>
        </w:rPr>
        <w:t>M</w:t>
      </w:r>
      <w:r>
        <w:rPr>
          <w:rFonts w:ascii="Cambria" w:hAnsi="Cambria"/>
          <w:sz w:val="20"/>
          <w:szCs w:val="20"/>
          <w:lang w:val="es-CL"/>
        </w:rPr>
        <w:t>anifesta que el Estado vulneró los derechos a integridad personal y libertad personal del señor Deras en tanto, antes de su asesinato, sufrió detenciones ilegales y arbitrarias, amenazas y golpes por parte de agentes públicos. Agrega que Honduras también violó sus derechos a la libertad de pensamiento y expresión, de reunión y libertad de asociación debido a las labores que realizaba el señor Deras.</w:t>
      </w:r>
      <w:r w:rsidR="00817FAC">
        <w:rPr>
          <w:rFonts w:ascii="Cambria" w:hAnsi="Cambria"/>
          <w:sz w:val="20"/>
          <w:szCs w:val="20"/>
          <w:lang w:val="es-CL"/>
        </w:rPr>
        <w:t xml:space="preserve">  La parte peticionaria indica que el proceso penal tuvo una demora irrazonable y que la representación legal del señor Deras no tuvo acceso al expediente. Añade que la ejecución del señor Deras se mantiene en la impunidad puesto que, a pesar de que existe una condena en contra de un agente militar, ésta no se ha ejecutado. </w:t>
      </w:r>
    </w:p>
    <w:p w14:paraId="03C9152E" w14:textId="77777777" w:rsidR="00C53B44" w:rsidRDefault="00C53B44" w:rsidP="00212202">
      <w:pPr>
        <w:pStyle w:val="ListParagraph"/>
        <w:tabs>
          <w:tab w:val="left" w:pos="360"/>
        </w:tabs>
        <w:rPr>
          <w:rFonts w:ascii="Cambria" w:hAnsi="Cambria"/>
          <w:sz w:val="20"/>
          <w:szCs w:val="20"/>
          <w:lang w:val="es-CL"/>
        </w:rPr>
      </w:pPr>
    </w:p>
    <w:p w14:paraId="543E37D6" w14:textId="77777777" w:rsidR="00DE59CC" w:rsidRPr="00817FAC" w:rsidRDefault="00C53B44" w:rsidP="002122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Cambria" w:hAnsi="Cambria"/>
          <w:sz w:val="20"/>
          <w:szCs w:val="20"/>
          <w:lang w:val="es-CL"/>
        </w:rPr>
      </w:pPr>
      <w:r>
        <w:rPr>
          <w:rFonts w:ascii="Cambria" w:hAnsi="Cambria"/>
          <w:sz w:val="20"/>
          <w:szCs w:val="20"/>
          <w:lang w:val="es-CL"/>
        </w:rPr>
        <w:t>A</w:t>
      </w:r>
      <w:r w:rsidR="00817FAC">
        <w:rPr>
          <w:rFonts w:ascii="Cambria" w:hAnsi="Cambria"/>
          <w:sz w:val="20"/>
          <w:szCs w:val="20"/>
          <w:lang w:val="es-CL"/>
        </w:rPr>
        <w:t>dicionalmente</w:t>
      </w:r>
      <w:r>
        <w:rPr>
          <w:rFonts w:ascii="Cambria" w:hAnsi="Cambria"/>
          <w:sz w:val="20"/>
          <w:szCs w:val="20"/>
          <w:lang w:val="es-CL"/>
        </w:rPr>
        <w:t>, la parte peticionaria alega que el Estado vulneró los derechos a la integridad personal</w:t>
      </w:r>
      <w:r w:rsidR="00817FAC">
        <w:rPr>
          <w:rFonts w:ascii="Cambria" w:hAnsi="Cambria"/>
          <w:sz w:val="20"/>
          <w:szCs w:val="20"/>
          <w:lang w:val="es-CL"/>
        </w:rPr>
        <w:t>,</w:t>
      </w:r>
      <w:r>
        <w:rPr>
          <w:rFonts w:ascii="Cambria" w:hAnsi="Cambria"/>
          <w:sz w:val="20"/>
          <w:szCs w:val="20"/>
          <w:lang w:val="es-CL"/>
        </w:rPr>
        <w:t xml:space="preserve"> libertad personal </w:t>
      </w:r>
      <w:r w:rsidR="00817FAC">
        <w:rPr>
          <w:rFonts w:ascii="Cambria" w:hAnsi="Cambria"/>
          <w:sz w:val="20"/>
          <w:szCs w:val="20"/>
          <w:lang w:val="es-CL"/>
        </w:rPr>
        <w:t xml:space="preserve">y vida privada </w:t>
      </w:r>
      <w:r>
        <w:rPr>
          <w:rFonts w:ascii="Cambria" w:hAnsi="Cambria"/>
          <w:sz w:val="20"/>
          <w:szCs w:val="20"/>
          <w:lang w:val="es-CL"/>
        </w:rPr>
        <w:t>de diversos familiares del señor Deras</w:t>
      </w:r>
      <w:r w:rsidR="00817FAC">
        <w:rPr>
          <w:rFonts w:ascii="Cambria" w:hAnsi="Cambria"/>
          <w:sz w:val="20"/>
          <w:szCs w:val="20"/>
          <w:lang w:val="es-CL"/>
        </w:rPr>
        <w:t>, incluyendo a niños</w:t>
      </w:r>
      <w:r w:rsidR="002A41ED">
        <w:rPr>
          <w:rFonts w:ascii="Cambria" w:hAnsi="Cambria"/>
          <w:sz w:val="20"/>
          <w:szCs w:val="20"/>
          <w:lang w:val="es-CL"/>
        </w:rPr>
        <w:t xml:space="preserve"> y niñas</w:t>
      </w:r>
      <w:r>
        <w:rPr>
          <w:rFonts w:ascii="Cambria" w:hAnsi="Cambria"/>
          <w:sz w:val="20"/>
          <w:szCs w:val="20"/>
          <w:lang w:val="es-CL"/>
        </w:rPr>
        <w:t xml:space="preserve">. Ello debido a las detenciones ilegales y arbitrarias, </w:t>
      </w:r>
      <w:r w:rsidR="00DE59CC">
        <w:rPr>
          <w:rFonts w:ascii="Cambria" w:hAnsi="Cambria"/>
          <w:sz w:val="20"/>
          <w:szCs w:val="20"/>
          <w:lang w:val="es-CL"/>
        </w:rPr>
        <w:t>y tratos crueles, inhumanos y degradantes que</w:t>
      </w:r>
      <w:r w:rsidR="001A0370">
        <w:rPr>
          <w:rFonts w:ascii="Cambria" w:hAnsi="Cambria"/>
          <w:sz w:val="20"/>
          <w:szCs w:val="20"/>
          <w:lang w:val="es-CL"/>
        </w:rPr>
        <w:t xml:space="preserve"> habrían </w:t>
      </w:r>
      <w:r w:rsidR="00DE59CC">
        <w:rPr>
          <w:rFonts w:ascii="Cambria" w:hAnsi="Cambria"/>
          <w:sz w:val="20"/>
          <w:szCs w:val="20"/>
          <w:lang w:val="es-CL"/>
        </w:rPr>
        <w:t>sufri</w:t>
      </w:r>
      <w:r w:rsidR="001A0370">
        <w:rPr>
          <w:rFonts w:ascii="Cambria" w:hAnsi="Cambria"/>
          <w:sz w:val="20"/>
          <w:szCs w:val="20"/>
          <w:lang w:val="es-CL"/>
        </w:rPr>
        <w:t>do</w:t>
      </w:r>
      <w:r w:rsidR="00DE59CC">
        <w:rPr>
          <w:rFonts w:ascii="Cambria" w:hAnsi="Cambria"/>
          <w:sz w:val="20"/>
          <w:szCs w:val="20"/>
          <w:lang w:val="es-CL"/>
        </w:rPr>
        <w:t xml:space="preserve"> por parte de agentes públicos. </w:t>
      </w:r>
      <w:r w:rsidR="00DE59CC" w:rsidRPr="00817FAC">
        <w:rPr>
          <w:rFonts w:ascii="Cambria" w:hAnsi="Cambria"/>
          <w:sz w:val="20"/>
          <w:szCs w:val="20"/>
          <w:lang w:val="es-CL"/>
        </w:rPr>
        <w:t xml:space="preserve">También sostiene que se </w:t>
      </w:r>
      <w:r w:rsidR="00817FAC" w:rsidRPr="00817FAC">
        <w:rPr>
          <w:rFonts w:ascii="Cambria" w:hAnsi="Cambria"/>
          <w:sz w:val="20"/>
          <w:szCs w:val="20"/>
          <w:lang w:val="es-CL"/>
        </w:rPr>
        <w:t>violó el derecho a la familia del señor Deras debido a su desintegración producto de los hechos mencionados. Alega que el Estado vulneró el derecho de circulación y residencia de dos hermanos del señor Deras. Ello debido a que se vieron obligados a exiliarse del país por la persecución que sufrían.</w:t>
      </w:r>
      <w:r w:rsidR="00817FAC">
        <w:rPr>
          <w:rFonts w:ascii="Cambria" w:hAnsi="Cambria"/>
          <w:sz w:val="20"/>
          <w:szCs w:val="20"/>
          <w:lang w:val="es-CL"/>
        </w:rPr>
        <w:t xml:space="preserve"> La parte peticionaria manifiesta que a pesar de denunciar estos hechos, el Estado nunca realizó las investigaciones correspondientes para esclarecer lo sucedido e identificar a las personas responsables.</w:t>
      </w:r>
    </w:p>
    <w:p w14:paraId="71F0FA6F" w14:textId="77777777" w:rsidR="00275A41" w:rsidRPr="00470D7E" w:rsidRDefault="00275A41" w:rsidP="0021220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suppressAutoHyphens/>
        <w:jc w:val="both"/>
        <w:rPr>
          <w:rFonts w:ascii="Cambria" w:hAnsi="Cambria"/>
          <w:color w:val="548DD4"/>
          <w:sz w:val="20"/>
          <w:szCs w:val="20"/>
          <w:lang w:val="es-CL"/>
        </w:rPr>
      </w:pPr>
    </w:p>
    <w:p w14:paraId="44C47188" w14:textId="77777777" w:rsidR="00D12193" w:rsidRPr="00005B72" w:rsidRDefault="0022273F" w:rsidP="00212202">
      <w:pPr>
        <w:pStyle w:val="Heading2"/>
        <w:numPr>
          <w:ilvl w:val="0"/>
          <w:numId w:val="62"/>
        </w:numPr>
        <w:tabs>
          <w:tab w:val="left" w:pos="360"/>
        </w:tabs>
        <w:ind w:hanging="720"/>
      </w:pPr>
      <w:bookmarkStart w:id="8" w:name="_Toc15047996"/>
      <w:bookmarkStart w:id="9" w:name="_Toc21442032"/>
      <w:r w:rsidRPr="00005B72">
        <w:t>Estado</w:t>
      </w:r>
      <w:bookmarkEnd w:id="8"/>
      <w:bookmarkEnd w:id="9"/>
      <w:r w:rsidR="00CC63CF" w:rsidRPr="00005B72">
        <w:t xml:space="preserve"> </w:t>
      </w:r>
    </w:p>
    <w:p w14:paraId="3F4435F7" w14:textId="77777777" w:rsidR="008620C6" w:rsidRDefault="008620C6" w:rsidP="0021220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Cambria" w:hAnsi="Cambria"/>
          <w:sz w:val="20"/>
          <w:szCs w:val="20"/>
          <w:lang w:val="es-AR"/>
        </w:rPr>
      </w:pPr>
    </w:p>
    <w:p w14:paraId="36D70A1D" w14:textId="77777777" w:rsidR="00B21C35" w:rsidRDefault="00224A3B" w:rsidP="002122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Cambria" w:hAnsi="Cambria"/>
          <w:sz w:val="20"/>
          <w:szCs w:val="20"/>
          <w:lang w:val="es-AR"/>
        </w:rPr>
      </w:pPr>
      <w:r>
        <w:rPr>
          <w:rFonts w:ascii="Cambria" w:hAnsi="Cambria"/>
          <w:sz w:val="20"/>
          <w:szCs w:val="20"/>
          <w:lang w:val="es-AR"/>
        </w:rPr>
        <w:t xml:space="preserve">Sobre la muerte del señor Deras, </w:t>
      </w:r>
      <w:r w:rsidR="0062582B">
        <w:rPr>
          <w:rFonts w:ascii="Cambria" w:hAnsi="Cambria"/>
          <w:sz w:val="20"/>
          <w:szCs w:val="20"/>
          <w:lang w:val="es-AR"/>
        </w:rPr>
        <w:t xml:space="preserve">Honduras sostiene </w:t>
      </w:r>
      <w:r w:rsidR="00B21C35">
        <w:rPr>
          <w:rFonts w:ascii="Cambria" w:hAnsi="Cambria"/>
          <w:sz w:val="20"/>
          <w:szCs w:val="20"/>
          <w:lang w:val="es-AR"/>
        </w:rPr>
        <w:t xml:space="preserve">alega que se iniciaron las investigaciones respectivas a efectos de esclarecer lo sucedido e identificar a las personas responsables. Indica que el proceso penal cumplió con las debidas garantías y que se condenó a un agente militar por el delito de asesinato a 12 años de prisión. Resalta que dicha sentencia condenatoria no ha podido ser ejecutada debido a que no se ha podido </w:t>
      </w:r>
      <w:r w:rsidR="00B21C35">
        <w:rPr>
          <w:rFonts w:ascii="Cambria" w:hAnsi="Cambria"/>
          <w:sz w:val="20"/>
          <w:szCs w:val="20"/>
          <w:lang w:val="es-AR"/>
        </w:rPr>
        <w:lastRenderedPageBreak/>
        <w:t>localizar a dicha persona. Agrega que la investigación seguida en contra de otros dos agentes estatales está pendiente puesto que éstos se encuentran prófugos.</w:t>
      </w:r>
    </w:p>
    <w:p w14:paraId="72ABDC04" w14:textId="77777777" w:rsidR="00B21C35" w:rsidRDefault="00B21C35" w:rsidP="0021220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Cambria" w:hAnsi="Cambria"/>
          <w:sz w:val="20"/>
          <w:szCs w:val="20"/>
          <w:lang w:val="es-AR"/>
        </w:rPr>
      </w:pPr>
    </w:p>
    <w:p w14:paraId="46246B5B" w14:textId="77777777" w:rsidR="00B21C35" w:rsidRDefault="00B21C35" w:rsidP="002122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Cambria" w:hAnsi="Cambria"/>
          <w:sz w:val="20"/>
          <w:szCs w:val="20"/>
          <w:lang w:val="es-AR"/>
        </w:rPr>
      </w:pPr>
      <w:r>
        <w:rPr>
          <w:rFonts w:ascii="Cambria" w:hAnsi="Cambria"/>
          <w:sz w:val="20"/>
          <w:szCs w:val="20"/>
          <w:lang w:val="es-AR"/>
        </w:rPr>
        <w:t>La Comisión toma nota de que en su</w:t>
      </w:r>
      <w:r w:rsidR="008B5862">
        <w:rPr>
          <w:rFonts w:ascii="Cambria" w:hAnsi="Cambria"/>
          <w:sz w:val="20"/>
          <w:szCs w:val="20"/>
          <w:lang w:val="es-AR"/>
        </w:rPr>
        <w:t xml:space="preserve"> escrito de 7 de junio de 2010, el Estado hondureño, a través d</w:t>
      </w:r>
      <w:r>
        <w:rPr>
          <w:rFonts w:ascii="Cambria" w:hAnsi="Cambria"/>
          <w:sz w:val="20"/>
          <w:szCs w:val="20"/>
          <w:lang w:val="es-AR"/>
        </w:rPr>
        <w:t>el Presidente de la Corte de Justicia de Honduras</w:t>
      </w:r>
      <w:r w:rsidR="008B5862">
        <w:rPr>
          <w:rFonts w:ascii="Cambria" w:hAnsi="Cambria"/>
          <w:sz w:val="20"/>
          <w:szCs w:val="20"/>
          <w:lang w:val="es-AR"/>
        </w:rPr>
        <w:t>,</w:t>
      </w:r>
      <w:r>
        <w:rPr>
          <w:rFonts w:ascii="Cambria" w:hAnsi="Cambria"/>
          <w:sz w:val="20"/>
          <w:szCs w:val="20"/>
          <w:lang w:val="es-AR"/>
        </w:rPr>
        <w:t xml:space="preserve"> </w:t>
      </w:r>
      <w:r w:rsidRPr="00A210F9">
        <w:rPr>
          <w:rFonts w:ascii="Cambria" w:hAnsi="Cambria"/>
          <w:sz w:val="20"/>
          <w:szCs w:val="20"/>
          <w:lang w:val="es-AR"/>
        </w:rPr>
        <w:t>adjuntó un informe</w:t>
      </w:r>
      <w:r>
        <w:rPr>
          <w:rFonts w:ascii="Cambria" w:hAnsi="Cambria"/>
          <w:sz w:val="20"/>
          <w:szCs w:val="20"/>
          <w:lang w:val="es-AR"/>
        </w:rPr>
        <w:t xml:space="preserve"> en donde reconoció lo siguiente: </w:t>
      </w:r>
    </w:p>
    <w:p w14:paraId="7E375D18" w14:textId="77777777" w:rsidR="00B21C35" w:rsidRDefault="00B21C35" w:rsidP="00212202">
      <w:pPr>
        <w:pStyle w:val="ListParagraph"/>
        <w:tabs>
          <w:tab w:val="left" w:pos="360"/>
        </w:tabs>
        <w:rPr>
          <w:rFonts w:ascii="Cambria" w:hAnsi="Cambria"/>
          <w:sz w:val="20"/>
          <w:szCs w:val="20"/>
          <w:lang w:val="es-AR"/>
        </w:rPr>
      </w:pPr>
    </w:p>
    <w:p w14:paraId="2CFB5629" w14:textId="77777777" w:rsidR="00B21C35" w:rsidRDefault="00B21C35" w:rsidP="00212202">
      <w:pPr>
        <w:pStyle w:val="ListParagraph"/>
        <w:tabs>
          <w:tab w:val="left" w:pos="360"/>
        </w:tabs>
        <w:ind w:left="360" w:right="360"/>
        <w:jc w:val="both"/>
        <w:rPr>
          <w:rFonts w:ascii="Cambria" w:hAnsi="Cambria"/>
          <w:snapToGrid w:val="0"/>
          <w:sz w:val="18"/>
          <w:szCs w:val="18"/>
          <w:lang w:val="es-ES"/>
        </w:rPr>
      </w:pPr>
      <w:r>
        <w:rPr>
          <w:rFonts w:ascii="Cambria" w:hAnsi="Cambria"/>
          <w:snapToGrid w:val="0"/>
          <w:sz w:val="18"/>
          <w:szCs w:val="18"/>
          <w:lang w:val="es-ES"/>
        </w:rPr>
        <w:t>[S]í hubo excesos a los plazos razonables, debido a prolongados períodos de inactividad dentro de la tramitación de la causa por las autoridades judiciales, desde 1983 fecha en que sucedió el hecho h</w:t>
      </w:r>
      <w:r w:rsidR="00435C37">
        <w:rPr>
          <w:rFonts w:ascii="Cambria" w:hAnsi="Cambria"/>
          <w:snapToGrid w:val="0"/>
          <w:sz w:val="18"/>
          <w:szCs w:val="18"/>
          <w:lang w:val="es-ES"/>
        </w:rPr>
        <w:t>a</w:t>
      </w:r>
      <w:r>
        <w:rPr>
          <w:rFonts w:ascii="Cambria" w:hAnsi="Cambria"/>
          <w:snapToGrid w:val="0"/>
          <w:sz w:val="18"/>
          <w:szCs w:val="18"/>
          <w:lang w:val="es-ES"/>
        </w:rPr>
        <w:t>sta el año 2007 en que se agota la última instancia, transcurrieron 24 año</w:t>
      </w:r>
      <w:r w:rsidR="00435C37">
        <w:rPr>
          <w:rFonts w:ascii="Cambria" w:hAnsi="Cambria"/>
          <w:snapToGrid w:val="0"/>
          <w:sz w:val="18"/>
          <w:szCs w:val="18"/>
          <w:lang w:val="es-ES"/>
        </w:rPr>
        <w:t xml:space="preserve">s. </w:t>
      </w:r>
    </w:p>
    <w:p w14:paraId="412520DC" w14:textId="77777777" w:rsidR="00435C37" w:rsidRDefault="00435C37" w:rsidP="00212202">
      <w:pPr>
        <w:pStyle w:val="ListParagraph"/>
        <w:tabs>
          <w:tab w:val="left" w:pos="360"/>
        </w:tabs>
        <w:ind w:left="360" w:right="360"/>
        <w:jc w:val="both"/>
        <w:rPr>
          <w:rFonts w:ascii="Cambria" w:hAnsi="Cambria"/>
          <w:snapToGrid w:val="0"/>
          <w:sz w:val="18"/>
          <w:szCs w:val="18"/>
          <w:lang w:val="es-ES"/>
        </w:rPr>
      </w:pPr>
      <w:r>
        <w:rPr>
          <w:rFonts w:ascii="Cambria" w:hAnsi="Cambria"/>
          <w:snapToGrid w:val="0"/>
          <w:sz w:val="18"/>
          <w:szCs w:val="18"/>
          <w:lang w:val="es-ES"/>
        </w:rPr>
        <w:t>(…)</w:t>
      </w:r>
    </w:p>
    <w:p w14:paraId="486A7A14" w14:textId="77777777" w:rsidR="00435C37" w:rsidRPr="00435C37" w:rsidRDefault="00435C37" w:rsidP="00212202">
      <w:pPr>
        <w:pStyle w:val="ListParagraph"/>
        <w:tabs>
          <w:tab w:val="left" w:pos="360"/>
        </w:tabs>
        <w:ind w:left="360" w:right="360"/>
        <w:jc w:val="both"/>
        <w:rPr>
          <w:rFonts w:ascii="Cambria" w:hAnsi="Cambria"/>
          <w:sz w:val="18"/>
          <w:szCs w:val="18"/>
          <w:lang w:val="es-AR"/>
        </w:rPr>
      </w:pPr>
      <w:r w:rsidRPr="00435C37">
        <w:rPr>
          <w:rFonts w:ascii="Cambria" w:hAnsi="Cambria"/>
          <w:snapToGrid w:val="0"/>
          <w:sz w:val="18"/>
          <w:szCs w:val="18"/>
          <w:lang w:val="es-ES"/>
        </w:rPr>
        <w:t>Del examen del expediente (…) apreciando las declaraciones testificales, documentales, así como de la lectura de la respectiva sentencia firm</w:t>
      </w:r>
      <w:r w:rsidR="00051F01">
        <w:rPr>
          <w:rFonts w:ascii="Cambria" w:hAnsi="Cambria"/>
          <w:snapToGrid w:val="0"/>
          <w:sz w:val="18"/>
          <w:szCs w:val="18"/>
          <w:lang w:val="es-ES"/>
        </w:rPr>
        <w:t>e</w:t>
      </w:r>
      <w:r w:rsidRPr="00435C37">
        <w:rPr>
          <w:rFonts w:ascii="Cambria" w:hAnsi="Cambria"/>
          <w:snapToGrid w:val="0"/>
          <w:sz w:val="18"/>
          <w:szCs w:val="18"/>
          <w:lang w:val="es-ES"/>
        </w:rPr>
        <w:t xml:space="preserve">, la privación del derecho a la vida </w:t>
      </w:r>
      <w:r w:rsidRPr="00435C37">
        <w:rPr>
          <w:rFonts w:ascii="Cambria" w:hAnsi="Cambria"/>
          <w:sz w:val="18"/>
          <w:szCs w:val="18"/>
          <w:lang w:val="es-AR"/>
        </w:rPr>
        <w:t>del señor Herminio Deras  por el señor Marco Tulio Regalado Hernández, en su condición de agente del Estado como Miembro de las Fuerzas Armadas y del Escuadrón 3-16, constituye un hecho probado contra el Estado de Honduras (…).</w:t>
      </w:r>
    </w:p>
    <w:p w14:paraId="37DA2928" w14:textId="77777777" w:rsidR="00435C37" w:rsidRPr="00435C37" w:rsidRDefault="00435C37" w:rsidP="00212202">
      <w:pPr>
        <w:pStyle w:val="ListParagraph"/>
        <w:tabs>
          <w:tab w:val="left" w:pos="360"/>
        </w:tabs>
        <w:ind w:left="360" w:right="360"/>
        <w:jc w:val="both"/>
        <w:rPr>
          <w:rFonts w:ascii="Cambria" w:hAnsi="Cambria"/>
          <w:sz w:val="18"/>
          <w:szCs w:val="18"/>
          <w:lang w:val="es-AR"/>
        </w:rPr>
      </w:pPr>
      <w:r w:rsidRPr="00435C37">
        <w:rPr>
          <w:rFonts w:ascii="Cambria" w:hAnsi="Cambria"/>
          <w:sz w:val="18"/>
          <w:szCs w:val="18"/>
          <w:lang w:val="es-AR"/>
        </w:rPr>
        <w:t>[C]onstituye hecho probado que el señor Herminio Deras fue objeto de limitaciones para ejercer su derecho a la libertad de Asociación del cual hacía uso por haber pertenecido  a la Diligencia Sindical y Miembro del Partido Comunista de Honduras.</w:t>
      </w:r>
    </w:p>
    <w:p w14:paraId="4769BFD8" w14:textId="77777777" w:rsidR="00435C37" w:rsidRPr="00435C37" w:rsidRDefault="00435C37" w:rsidP="00212202">
      <w:pPr>
        <w:pStyle w:val="ListParagraph"/>
        <w:tabs>
          <w:tab w:val="left" w:pos="360"/>
        </w:tabs>
        <w:ind w:left="360" w:right="360"/>
        <w:jc w:val="both"/>
        <w:rPr>
          <w:rFonts w:ascii="Cambria" w:hAnsi="Cambria"/>
          <w:sz w:val="18"/>
          <w:szCs w:val="18"/>
          <w:lang w:val="es-AR"/>
        </w:rPr>
      </w:pPr>
      <w:r w:rsidRPr="00435C37">
        <w:rPr>
          <w:rFonts w:ascii="Cambria" w:hAnsi="Cambria"/>
          <w:sz w:val="18"/>
          <w:szCs w:val="18"/>
          <w:lang w:val="es-AR"/>
        </w:rPr>
        <w:t>(…)</w:t>
      </w:r>
    </w:p>
    <w:p w14:paraId="3EF192EB" w14:textId="77777777" w:rsidR="00B21C35" w:rsidRPr="00435C37" w:rsidRDefault="00435C37" w:rsidP="00212202">
      <w:pPr>
        <w:pStyle w:val="ListParagraph"/>
        <w:tabs>
          <w:tab w:val="left" w:pos="360"/>
        </w:tabs>
        <w:ind w:left="360" w:right="360"/>
        <w:jc w:val="both"/>
        <w:rPr>
          <w:rFonts w:ascii="Cambria" w:hAnsi="Cambria"/>
          <w:sz w:val="18"/>
          <w:szCs w:val="18"/>
          <w:lang w:val="es-AR"/>
        </w:rPr>
      </w:pPr>
      <w:r w:rsidRPr="00435C37">
        <w:rPr>
          <w:rFonts w:ascii="Cambria" w:hAnsi="Cambria"/>
          <w:sz w:val="18"/>
          <w:szCs w:val="18"/>
          <w:lang w:val="es-AR"/>
        </w:rPr>
        <w:t>[C]onstituye hecho probado que el señor Herminio Deras fue objeto de limitaciones para ejercer su derecho a la libertad de expresión por parte de las personas que actuaban en su condición de agentes del Estado de Honduras, entre ellos el señor M</w:t>
      </w:r>
      <w:r>
        <w:rPr>
          <w:rFonts w:ascii="Cambria" w:hAnsi="Cambria"/>
          <w:sz w:val="18"/>
          <w:szCs w:val="18"/>
          <w:lang w:val="es-AR"/>
        </w:rPr>
        <w:t xml:space="preserve">arco Tulio Regalado Hernández, </w:t>
      </w:r>
      <w:r w:rsidRPr="00435C37">
        <w:rPr>
          <w:rFonts w:ascii="Cambria" w:hAnsi="Cambria"/>
          <w:sz w:val="18"/>
          <w:szCs w:val="18"/>
          <w:lang w:val="es-AR"/>
        </w:rPr>
        <w:t>durante la década de los años 80 al 90</w:t>
      </w:r>
      <w:r>
        <w:rPr>
          <w:rFonts w:ascii="Cambria" w:hAnsi="Cambria"/>
          <w:sz w:val="18"/>
          <w:szCs w:val="18"/>
          <w:lang w:val="es-AR"/>
        </w:rPr>
        <w:t>.</w:t>
      </w:r>
    </w:p>
    <w:p w14:paraId="549E05DB" w14:textId="77777777" w:rsidR="0062582B" w:rsidRPr="003A651A" w:rsidRDefault="0062582B" w:rsidP="005332DA">
      <w:pPr>
        <w:rPr>
          <w:rFonts w:ascii="Cambria" w:hAnsi="Cambria"/>
          <w:color w:val="FF0000"/>
          <w:sz w:val="20"/>
          <w:szCs w:val="20"/>
          <w:lang w:val="es-AR"/>
        </w:rPr>
      </w:pPr>
    </w:p>
    <w:p w14:paraId="4D537D25" w14:textId="77777777" w:rsidR="00D12193" w:rsidRPr="00DD7055" w:rsidRDefault="00D12193" w:rsidP="00212202">
      <w:pPr>
        <w:pStyle w:val="Heading1"/>
        <w:tabs>
          <w:tab w:val="left" w:pos="360"/>
        </w:tabs>
        <w:ind w:hanging="1080"/>
      </w:pPr>
      <w:bookmarkStart w:id="10" w:name="_Toc15047997"/>
      <w:bookmarkStart w:id="11" w:name="_Toc21442033"/>
      <w:r w:rsidRPr="00DD7055">
        <w:t>DETERMINACIONES DE HECHO</w:t>
      </w:r>
      <w:bookmarkEnd w:id="10"/>
      <w:bookmarkEnd w:id="11"/>
    </w:p>
    <w:p w14:paraId="16F4E570" w14:textId="77777777" w:rsidR="007C756A" w:rsidRPr="003A651A" w:rsidRDefault="007C756A" w:rsidP="00212202">
      <w:pPr>
        <w:tabs>
          <w:tab w:val="left" w:pos="360"/>
        </w:tabs>
        <w:ind w:hanging="1080"/>
        <w:rPr>
          <w:rFonts w:ascii="Cambria" w:hAnsi="Cambria"/>
          <w:b/>
          <w:sz w:val="20"/>
          <w:szCs w:val="20"/>
          <w:lang w:val="es-ES_tradnl"/>
        </w:rPr>
      </w:pPr>
    </w:p>
    <w:p w14:paraId="4C12A9DE" w14:textId="77777777" w:rsidR="00815021" w:rsidRPr="00DD7055" w:rsidRDefault="0022273F" w:rsidP="00212202">
      <w:pPr>
        <w:pStyle w:val="Heading2"/>
        <w:numPr>
          <w:ilvl w:val="0"/>
          <w:numId w:val="61"/>
        </w:numPr>
        <w:tabs>
          <w:tab w:val="left" w:pos="360"/>
        </w:tabs>
        <w:ind w:hanging="720"/>
      </w:pPr>
      <w:bookmarkStart w:id="12" w:name="_Toc15047998"/>
      <w:bookmarkStart w:id="13" w:name="_Toc21442034"/>
      <w:r w:rsidRPr="00DD7055">
        <w:t>Contexto</w:t>
      </w:r>
      <w:bookmarkEnd w:id="12"/>
      <w:bookmarkEnd w:id="13"/>
    </w:p>
    <w:p w14:paraId="030B7BA0" w14:textId="77777777" w:rsidR="007C756A" w:rsidRPr="003A651A" w:rsidRDefault="007C756A" w:rsidP="00212202">
      <w:pPr>
        <w:tabs>
          <w:tab w:val="left" w:pos="360"/>
        </w:tabs>
        <w:suppressAutoHyphens/>
        <w:rPr>
          <w:rFonts w:ascii="Cambria" w:hAnsi="Cambria"/>
          <w:b/>
          <w:sz w:val="20"/>
          <w:szCs w:val="20"/>
          <w:lang w:val="es-ES_tradnl"/>
        </w:rPr>
      </w:pPr>
    </w:p>
    <w:p w14:paraId="6A9251A9" w14:textId="77777777" w:rsidR="008B05A4" w:rsidRPr="008B05A4" w:rsidRDefault="00281B6A" w:rsidP="002122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Cambria" w:hAnsi="Cambria"/>
          <w:sz w:val="20"/>
          <w:szCs w:val="20"/>
          <w:lang w:val="es-CL"/>
        </w:rPr>
      </w:pPr>
      <w:r>
        <w:rPr>
          <w:rFonts w:ascii="Cambria" w:hAnsi="Cambria"/>
          <w:sz w:val="20"/>
          <w:szCs w:val="20"/>
          <w:lang w:val="es-VE"/>
        </w:rPr>
        <w:t>Los órganos del sistema interamericano</w:t>
      </w:r>
      <w:r w:rsidR="00383350">
        <w:rPr>
          <w:rFonts w:ascii="Cambria" w:hAnsi="Cambria"/>
          <w:sz w:val="20"/>
          <w:szCs w:val="20"/>
          <w:lang w:val="es-VE"/>
        </w:rPr>
        <w:t xml:space="preserve"> se han pronunciado sobre </w:t>
      </w:r>
      <w:r>
        <w:rPr>
          <w:rFonts w:ascii="Cambria" w:hAnsi="Cambria"/>
          <w:sz w:val="20"/>
          <w:szCs w:val="20"/>
          <w:lang w:val="es-VE"/>
        </w:rPr>
        <w:t>el contexto</w:t>
      </w:r>
      <w:r w:rsidR="00383350">
        <w:rPr>
          <w:rFonts w:ascii="Cambria" w:hAnsi="Cambria"/>
          <w:sz w:val="20"/>
          <w:szCs w:val="20"/>
          <w:lang w:val="es-VE"/>
        </w:rPr>
        <w:t xml:space="preserve"> </w:t>
      </w:r>
      <w:r>
        <w:rPr>
          <w:rFonts w:ascii="Cambria" w:hAnsi="Cambria"/>
          <w:sz w:val="20"/>
          <w:szCs w:val="20"/>
          <w:lang w:val="es-VE"/>
        </w:rPr>
        <w:t>de graves violaciones de derechos humanos ocurridas en e</w:t>
      </w:r>
      <w:r w:rsidR="00383350">
        <w:rPr>
          <w:rFonts w:ascii="Cambria" w:hAnsi="Cambria"/>
          <w:sz w:val="20"/>
          <w:szCs w:val="20"/>
          <w:lang w:val="es-VE"/>
        </w:rPr>
        <w:t>l Estado hondureño durante la década de 1980</w:t>
      </w:r>
      <w:r>
        <w:rPr>
          <w:rStyle w:val="FootnoteReference"/>
          <w:rFonts w:ascii="Cambria" w:hAnsi="Cambria"/>
          <w:sz w:val="20"/>
          <w:szCs w:val="20"/>
          <w:lang w:val="es-VE"/>
        </w:rPr>
        <w:footnoteReference w:id="4"/>
      </w:r>
      <w:r>
        <w:rPr>
          <w:rFonts w:ascii="Cambria" w:hAnsi="Cambria"/>
          <w:sz w:val="20"/>
          <w:szCs w:val="20"/>
          <w:lang w:val="es-VE"/>
        </w:rPr>
        <w:t xml:space="preserve">. Al respecto, la Corte </w:t>
      </w:r>
      <w:r w:rsidR="001818CB">
        <w:rPr>
          <w:rFonts w:ascii="Cambria" w:hAnsi="Cambria"/>
          <w:sz w:val="20"/>
          <w:szCs w:val="20"/>
          <w:lang w:val="es-VE"/>
        </w:rPr>
        <w:t xml:space="preserve">Interamericana </w:t>
      </w:r>
      <w:r>
        <w:rPr>
          <w:rFonts w:ascii="Cambria" w:hAnsi="Cambria"/>
          <w:sz w:val="20"/>
          <w:szCs w:val="20"/>
          <w:lang w:val="es-VE"/>
        </w:rPr>
        <w:t>sostuvo lo siguiente:</w:t>
      </w:r>
      <w:r w:rsidR="00383350">
        <w:rPr>
          <w:rFonts w:ascii="Cambria" w:hAnsi="Cambria"/>
          <w:sz w:val="20"/>
          <w:szCs w:val="20"/>
          <w:lang w:val="es-VE"/>
        </w:rPr>
        <w:t xml:space="preserve"> </w:t>
      </w:r>
    </w:p>
    <w:p w14:paraId="0A53A481" w14:textId="77777777" w:rsidR="008B05A4" w:rsidRDefault="008B05A4" w:rsidP="0021220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jc w:val="both"/>
        <w:rPr>
          <w:rFonts w:ascii="Cambria" w:hAnsi="Cambria"/>
          <w:sz w:val="20"/>
          <w:szCs w:val="20"/>
          <w:lang w:val="es-CL"/>
        </w:rPr>
      </w:pPr>
    </w:p>
    <w:p w14:paraId="45DAA6C1" w14:textId="77777777" w:rsidR="00383350" w:rsidRPr="00A21666" w:rsidRDefault="00383350" w:rsidP="00212202">
      <w:pPr>
        <w:pStyle w:val="ListParagraph"/>
        <w:tabs>
          <w:tab w:val="left" w:pos="360"/>
        </w:tabs>
        <w:ind w:left="360" w:right="360"/>
        <w:jc w:val="both"/>
        <w:rPr>
          <w:rFonts w:ascii="Cambria" w:hAnsi="Cambria"/>
          <w:sz w:val="18"/>
          <w:szCs w:val="18"/>
          <w:lang w:val="es-ES"/>
        </w:rPr>
      </w:pPr>
      <w:r w:rsidRPr="00A21666">
        <w:rPr>
          <w:rFonts w:ascii="Cambria" w:hAnsi="Cambria"/>
          <w:sz w:val="18"/>
          <w:szCs w:val="18"/>
          <w:lang w:val="es-ES"/>
        </w:rPr>
        <w:t xml:space="preserve">En </w:t>
      </w:r>
      <w:r w:rsidRPr="00212202">
        <w:rPr>
          <w:rFonts w:ascii="Cambria" w:hAnsi="Cambria"/>
          <w:snapToGrid w:val="0"/>
          <w:sz w:val="18"/>
          <w:szCs w:val="18"/>
          <w:lang w:val="es-ES"/>
        </w:rPr>
        <w:t>Honduras</w:t>
      </w:r>
      <w:r w:rsidRPr="00A21666">
        <w:rPr>
          <w:rFonts w:ascii="Cambria" w:hAnsi="Cambria"/>
          <w:sz w:val="18"/>
          <w:szCs w:val="18"/>
          <w:lang w:val="es-ES"/>
        </w:rPr>
        <w:t xml:space="preserve"> existía un patrón de desapariciones forzadas y ejecuciones extrajudiciales cometidas por las fuerzas militares. Éstas tenían un estatus especial de autonomía y actuaban bajo cierta doctrina de seguridad nacional, en razón de la cual éstas capturaban a las personas “peligrosas” o “sospechosas” de ser presuntos subversivos hondureños, simpatizantes de la guerrilla salvadoreña o de los sandinistas. Usualmente estas personas eran detenidas en horas de la noche, interrogadas, torturadas y se les daba un tiro de gracia, y se les enterraba en cementerios clandestinos o en sitios no autorizados. A su vez, las fuerzas militares controlaban a las fuerzas policíacas y los jueces se sentían intimidados de investigar efectivamente las causas penales, donde se denunciaban violaciones de derechos humanos por parte de las fuerzas armadas, creándose un clima de impunidad</w:t>
      </w:r>
      <w:r w:rsidR="00281B6A" w:rsidRPr="00A21666">
        <w:rPr>
          <w:rStyle w:val="FootnoteReference"/>
          <w:rFonts w:ascii="Cambria" w:hAnsi="Cambria"/>
          <w:sz w:val="18"/>
          <w:szCs w:val="18"/>
          <w:lang w:val="es-ES"/>
        </w:rPr>
        <w:footnoteReference w:id="5"/>
      </w:r>
      <w:r w:rsidRPr="00A21666">
        <w:rPr>
          <w:rFonts w:ascii="Cambria" w:hAnsi="Cambria"/>
          <w:sz w:val="18"/>
          <w:szCs w:val="18"/>
          <w:lang w:val="es-ES"/>
        </w:rPr>
        <w:t>.</w:t>
      </w:r>
    </w:p>
    <w:p w14:paraId="703C154C" w14:textId="77777777" w:rsidR="00383350" w:rsidRPr="008B05A4" w:rsidRDefault="00383350" w:rsidP="0021220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jc w:val="both"/>
        <w:rPr>
          <w:rFonts w:ascii="Cambria" w:hAnsi="Cambria"/>
          <w:sz w:val="20"/>
          <w:szCs w:val="20"/>
          <w:lang w:val="es-CL"/>
        </w:rPr>
      </w:pPr>
    </w:p>
    <w:p w14:paraId="4C0A06FC" w14:textId="77777777" w:rsidR="008B05A4" w:rsidRPr="00281B6A" w:rsidRDefault="00383350" w:rsidP="002122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Cambria" w:hAnsi="Cambria"/>
          <w:sz w:val="20"/>
          <w:szCs w:val="20"/>
          <w:lang w:val="es-CL"/>
        </w:rPr>
      </w:pPr>
      <w:r>
        <w:rPr>
          <w:rFonts w:ascii="Cambria" w:hAnsi="Cambria"/>
          <w:sz w:val="20"/>
          <w:szCs w:val="20"/>
          <w:lang w:val="es-CL"/>
        </w:rPr>
        <w:t xml:space="preserve">Dicho contexto ha sido también descrito a nivel doméstico. </w:t>
      </w:r>
      <w:r w:rsidR="008B05A4" w:rsidRPr="00281B6A">
        <w:rPr>
          <w:rFonts w:ascii="Cambria" w:hAnsi="Cambria"/>
          <w:sz w:val="20"/>
          <w:szCs w:val="20"/>
          <w:lang w:val="es-CL"/>
        </w:rPr>
        <w:t xml:space="preserve">En el informe de la Comisión de la Verdad y Reconciliación de julio de 2011 se indicó lo siguiente: </w:t>
      </w:r>
    </w:p>
    <w:p w14:paraId="37BACD7C" w14:textId="77777777" w:rsidR="008B05A4" w:rsidRDefault="008B05A4" w:rsidP="00212202">
      <w:pPr>
        <w:pStyle w:val="ListParagraph"/>
        <w:tabs>
          <w:tab w:val="left" w:pos="360"/>
        </w:tabs>
        <w:rPr>
          <w:rFonts w:ascii="Cambria" w:hAnsi="Cambria"/>
          <w:sz w:val="20"/>
          <w:szCs w:val="20"/>
          <w:lang w:val="es-CL"/>
        </w:rPr>
      </w:pPr>
    </w:p>
    <w:p w14:paraId="1469E305" w14:textId="77777777" w:rsidR="008B05A4" w:rsidRPr="00A21666" w:rsidRDefault="008B05A4" w:rsidP="00212202">
      <w:pPr>
        <w:pStyle w:val="ListParagraph"/>
        <w:tabs>
          <w:tab w:val="left" w:pos="360"/>
        </w:tabs>
        <w:ind w:left="360" w:right="360"/>
        <w:jc w:val="both"/>
        <w:rPr>
          <w:rFonts w:ascii="Cambria" w:hAnsi="Cambria"/>
          <w:sz w:val="18"/>
          <w:szCs w:val="18"/>
          <w:lang w:val="es-CL"/>
        </w:rPr>
      </w:pPr>
      <w:r w:rsidRPr="00A21666">
        <w:rPr>
          <w:rFonts w:ascii="Cambria" w:hAnsi="Cambria"/>
          <w:sz w:val="18"/>
          <w:szCs w:val="18"/>
          <w:lang w:val="es-CL"/>
        </w:rPr>
        <w:t xml:space="preserve">En el marco ideológico de la doctrina de la seguridad nacional, como resultado de la represión </w:t>
      </w:r>
      <w:r w:rsidRPr="00212202">
        <w:rPr>
          <w:rFonts w:ascii="Cambria" w:hAnsi="Cambria"/>
          <w:snapToGrid w:val="0"/>
          <w:sz w:val="18"/>
          <w:szCs w:val="18"/>
          <w:lang w:val="es-ES"/>
        </w:rPr>
        <w:t>proveniente</w:t>
      </w:r>
      <w:r w:rsidRPr="00A21666">
        <w:rPr>
          <w:rFonts w:ascii="Cambria" w:hAnsi="Cambria"/>
          <w:sz w:val="18"/>
          <w:szCs w:val="18"/>
          <w:lang w:val="es-CL"/>
        </w:rPr>
        <w:t xml:space="preserve"> del Estado y grupos paramilitares en Honduras, se practicó la desaparición de personas, ejecuciones extrajudiciales, torturas, detenciones ilegales y otras formas de violencia social. (…)</w:t>
      </w:r>
      <w:r w:rsidRPr="00A21666">
        <w:rPr>
          <w:rFonts w:ascii="Cambria" w:hAnsi="Cambria"/>
          <w:sz w:val="18"/>
          <w:szCs w:val="18"/>
          <w:lang w:val="es-ES"/>
        </w:rPr>
        <w:t xml:space="preserve"> [E]ntre 1982 y 1984 (…) las instituciones judiciales prácticamente estaban subordinadas a las directrices militares y policiales en torno a la doctrina de la seguridad nacional</w:t>
      </w:r>
      <w:r w:rsidRPr="00A21666">
        <w:rPr>
          <w:rStyle w:val="FootnoteReference"/>
          <w:rFonts w:ascii="Cambria" w:hAnsi="Cambria"/>
          <w:sz w:val="18"/>
          <w:szCs w:val="18"/>
          <w:lang w:val="es-CL"/>
        </w:rPr>
        <w:footnoteReference w:id="6"/>
      </w:r>
      <w:r w:rsidRPr="00A21666">
        <w:rPr>
          <w:rFonts w:ascii="Cambria" w:hAnsi="Cambria"/>
          <w:sz w:val="18"/>
          <w:szCs w:val="18"/>
          <w:lang w:val="es-CL"/>
        </w:rPr>
        <w:t>.</w:t>
      </w:r>
    </w:p>
    <w:p w14:paraId="3D36E98B" w14:textId="77777777" w:rsidR="008B05A4" w:rsidRDefault="008B05A4" w:rsidP="0021220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jc w:val="both"/>
        <w:rPr>
          <w:rFonts w:ascii="Cambria" w:hAnsi="Cambria"/>
          <w:sz w:val="20"/>
          <w:szCs w:val="20"/>
          <w:lang w:val="es-CL"/>
        </w:rPr>
      </w:pPr>
    </w:p>
    <w:p w14:paraId="7EAA5235" w14:textId="77777777" w:rsidR="00281B6A" w:rsidRDefault="00281B6A" w:rsidP="002122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es-VE"/>
        </w:rPr>
      </w:pPr>
      <w:r>
        <w:rPr>
          <w:rFonts w:ascii="Cambria" w:hAnsi="Cambria"/>
          <w:sz w:val="20"/>
          <w:szCs w:val="20"/>
          <w:lang w:val="es-CL"/>
        </w:rPr>
        <w:t>De acuerdo al informe preliminar sobre los desaparecidos en Honduras 1980-1993 del Comisionado Nacional de los Derechos Humanos,</w:t>
      </w:r>
      <w:r w:rsidRPr="00281B6A">
        <w:rPr>
          <w:rFonts w:ascii="Cambria" w:hAnsi="Cambria"/>
          <w:sz w:val="20"/>
          <w:szCs w:val="20"/>
          <w:lang w:val="es-VE"/>
        </w:rPr>
        <w:t xml:space="preserve"> </w:t>
      </w:r>
      <w:r w:rsidRPr="003A651A">
        <w:rPr>
          <w:rFonts w:ascii="Cambria" w:hAnsi="Cambria"/>
          <w:sz w:val="20"/>
          <w:szCs w:val="20"/>
          <w:lang w:val="es-VE"/>
        </w:rPr>
        <w:t xml:space="preserve">estas actividades fueron realizadas por unidades de inteligencia de las Fuerzas Armadas, en particular del </w:t>
      </w:r>
      <w:r>
        <w:rPr>
          <w:rFonts w:ascii="Cambria" w:hAnsi="Cambria"/>
          <w:sz w:val="20"/>
          <w:szCs w:val="20"/>
          <w:lang w:val="es-VE"/>
        </w:rPr>
        <w:t>Batallón de I</w:t>
      </w:r>
      <w:r w:rsidRPr="003A651A">
        <w:rPr>
          <w:rFonts w:ascii="Cambria" w:hAnsi="Cambria"/>
          <w:sz w:val="20"/>
          <w:szCs w:val="20"/>
          <w:lang w:val="es-VE"/>
        </w:rPr>
        <w:t>nteligencia 3-16</w:t>
      </w:r>
      <w:r>
        <w:rPr>
          <w:rFonts w:ascii="Cambria" w:hAnsi="Cambria"/>
          <w:sz w:val="20"/>
          <w:szCs w:val="20"/>
          <w:lang w:val="es-VE"/>
        </w:rPr>
        <w:t>. Dicho batallón</w:t>
      </w:r>
      <w:r w:rsidRPr="003A651A">
        <w:rPr>
          <w:rFonts w:ascii="Cambria" w:hAnsi="Cambria"/>
          <w:sz w:val="20"/>
          <w:szCs w:val="20"/>
          <w:lang w:val="es-VE"/>
        </w:rPr>
        <w:t xml:space="preserve"> recibió un entrenamiento </w:t>
      </w:r>
      <w:r w:rsidRPr="003A651A">
        <w:rPr>
          <w:rFonts w:ascii="Cambria" w:hAnsi="Cambria"/>
          <w:sz w:val="20"/>
          <w:szCs w:val="20"/>
          <w:lang w:val="es-VE"/>
        </w:rPr>
        <w:lastRenderedPageBreak/>
        <w:t xml:space="preserve">especializado en actividades de contrainsurgencia, </w:t>
      </w:r>
      <w:r w:rsidR="001041ED">
        <w:rPr>
          <w:rFonts w:ascii="Cambria" w:hAnsi="Cambria"/>
          <w:sz w:val="20"/>
          <w:szCs w:val="20"/>
          <w:lang w:val="es-VE"/>
        </w:rPr>
        <w:t>lo que les dio “</w:t>
      </w:r>
      <w:r w:rsidRPr="003A651A">
        <w:rPr>
          <w:rFonts w:ascii="Cambria" w:hAnsi="Cambria"/>
          <w:sz w:val="20"/>
          <w:szCs w:val="20"/>
          <w:lang w:val="es-VE"/>
        </w:rPr>
        <w:t xml:space="preserve">la seguridad y convicción de que tenían autoridad para detener, </w:t>
      </w:r>
      <w:r>
        <w:rPr>
          <w:rFonts w:ascii="Cambria" w:hAnsi="Cambria"/>
          <w:sz w:val="20"/>
          <w:szCs w:val="20"/>
          <w:lang w:val="es-VE"/>
        </w:rPr>
        <w:t>torturar y ejecutar ciudadanos”</w:t>
      </w:r>
      <w:r w:rsidRPr="003A651A">
        <w:rPr>
          <w:rStyle w:val="FootnoteReference"/>
          <w:rFonts w:ascii="Cambria" w:hAnsi="Cambria"/>
          <w:sz w:val="20"/>
          <w:szCs w:val="20"/>
          <w:lang w:val="es-VE"/>
        </w:rPr>
        <w:footnoteReference w:id="7"/>
      </w:r>
      <w:r>
        <w:rPr>
          <w:rFonts w:ascii="Cambria" w:hAnsi="Cambria"/>
          <w:sz w:val="20"/>
          <w:szCs w:val="20"/>
          <w:lang w:val="es-VE"/>
        </w:rPr>
        <w:t>.</w:t>
      </w:r>
    </w:p>
    <w:p w14:paraId="6720BDDA" w14:textId="77777777" w:rsidR="008B05A4" w:rsidRDefault="008B05A4" w:rsidP="0021220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jc w:val="both"/>
        <w:rPr>
          <w:rFonts w:ascii="Cambria" w:hAnsi="Cambria"/>
          <w:sz w:val="20"/>
          <w:szCs w:val="20"/>
          <w:lang w:val="es-CL"/>
        </w:rPr>
      </w:pPr>
    </w:p>
    <w:p w14:paraId="6E20451C" w14:textId="77777777" w:rsidR="00F66CDD" w:rsidRPr="00E216B6" w:rsidRDefault="00F66CDD" w:rsidP="00212202">
      <w:pPr>
        <w:pStyle w:val="Heading2"/>
        <w:numPr>
          <w:ilvl w:val="0"/>
          <w:numId w:val="61"/>
        </w:numPr>
        <w:tabs>
          <w:tab w:val="left" w:pos="360"/>
        </w:tabs>
        <w:ind w:hanging="720"/>
      </w:pPr>
      <w:bookmarkStart w:id="14" w:name="_Toc15047999"/>
      <w:bookmarkStart w:id="15" w:name="_Toc21442035"/>
      <w:r w:rsidRPr="00E216B6">
        <w:t>Sobre Herminio Deras</w:t>
      </w:r>
      <w:r w:rsidR="0074541D" w:rsidRPr="00E216B6">
        <w:t xml:space="preserve"> y los hechos ocurridos antes de su muerte</w:t>
      </w:r>
      <w:bookmarkEnd w:id="14"/>
      <w:bookmarkEnd w:id="15"/>
      <w:r w:rsidR="0074541D" w:rsidRPr="00E216B6">
        <w:t xml:space="preserve"> </w:t>
      </w:r>
    </w:p>
    <w:p w14:paraId="6708391B" w14:textId="77777777" w:rsidR="00F66CDD" w:rsidRPr="003A651A" w:rsidRDefault="00F66CDD" w:rsidP="0021220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26"/>
          <w:tab w:val="left" w:pos="1440"/>
        </w:tabs>
        <w:jc w:val="both"/>
        <w:rPr>
          <w:rFonts w:ascii="Cambria" w:hAnsi="Cambria"/>
          <w:sz w:val="20"/>
          <w:szCs w:val="20"/>
          <w:lang w:val="es-VE"/>
        </w:rPr>
      </w:pPr>
    </w:p>
    <w:p w14:paraId="4183BD6A" w14:textId="77777777" w:rsidR="004D5BAA" w:rsidRPr="00A21666" w:rsidRDefault="00E84F32" w:rsidP="002122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es-ES_tradnl"/>
        </w:rPr>
      </w:pPr>
      <w:r w:rsidRPr="003A651A">
        <w:rPr>
          <w:rFonts w:ascii="Cambria" w:hAnsi="Cambria"/>
          <w:sz w:val="20"/>
          <w:szCs w:val="20"/>
          <w:lang w:val="es-VE"/>
        </w:rPr>
        <w:t>En</w:t>
      </w:r>
      <w:r w:rsidR="00CD1F94" w:rsidRPr="003A651A">
        <w:rPr>
          <w:rFonts w:ascii="Cambria" w:hAnsi="Cambria"/>
          <w:sz w:val="20"/>
          <w:szCs w:val="20"/>
          <w:lang w:val="es-ES_tradnl"/>
        </w:rPr>
        <w:t xml:space="preserve"> la época de los </w:t>
      </w:r>
      <w:r w:rsidR="008A3112" w:rsidRPr="003A651A">
        <w:rPr>
          <w:rFonts w:ascii="Cambria" w:hAnsi="Cambria"/>
          <w:sz w:val="20"/>
          <w:szCs w:val="20"/>
          <w:lang w:val="es-ES_tradnl"/>
        </w:rPr>
        <w:t>hechos,</w:t>
      </w:r>
      <w:r w:rsidR="00367033" w:rsidRPr="003A651A">
        <w:rPr>
          <w:rFonts w:ascii="Cambria" w:hAnsi="Cambria"/>
          <w:sz w:val="20"/>
          <w:szCs w:val="20"/>
          <w:lang w:val="es-ES_tradnl"/>
        </w:rPr>
        <w:t xml:space="preserve"> Herminio Deras </w:t>
      </w:r>
      <w:r w:rsidR="004D5BAA" w:rsidRPr="003A651A">
        <w:rPr>
          <w:rFonts w:ascii="Cambria" w:hAnsi="Cambria"/>
          <w:sz w:val="20"/>
          <w:szCs w:val="20"/>
          <w:lang w:val="es-ES_tradnl"/>
        </w:rPr>
        <w:t xml:space="preserve">tenía 42 años y vivía </w:t>
      </w:r>
      <w:r w:rsidR="004D5BAA">
        <w:rPr>
          <w:rFonts w:ascii="Cambria" w:hAnsi="Cambria"/>
          <w:sz w:val="20"/>
          <w:szCs w:val="20"/>
          <w:lang w:val="es-ES_tradnl"/>
        </w:rPr>
        <w:t>en la ciudad de</w:t>
      </w:r>
      <w:r w:rsidR="004D5BAA" w:rsidRPr="004D5BAA">
        <w:rPr>
          <w:rFonts w:ascii="Cambria" w:hAnsi="Cambria"/>
          <w:sz w:val="20"/>
          <w:szCs w:val="20"/>
          <w:lang w:val="es-ES_tradnl"/>
        </w:rPr>
        <w:t xml:space="preserve"> San Pedro de Sula</w:t>
      </w:r>
      <w:r w:rsidR="004D5BAA">
        <w:rPr>
          <w:rFonts w:ascii="Cambria" w:hAnsi="Cambria"/>
          <w:sz w:val="20"/>
          <w:szCs w:val="20"/>
          <w:lang w:val="es-ES_tradnl"/>
        </w:rPr>
        <w:t xml:space="preserve">, departamento de Cortés. El señor Deras era </w:t>
      </w:r>
      <w:r w:rsidR="004D5BAA" w:rsidRPr="004D5BAA">
        <w:rPr>
          <w:rFonts w:ascii="Cambria" w:hAnsi="Cambria"/>
          <w:sz w:val="20"/>
          <w:szCs w:val="20"/>
          <w:lang w:val="es-ES_tradnl"/>
        </w:rPr>
        <w:t>maestro de profesión y dirigente político del Partido Comunista de Honduras.</w:t>
      </w:r>
      <w:r w:rsidR="004D5BAA">
        <w:rPr>
          <w:rFonts w:ascii="Cambria" w:hAnsi="Cambria"/>
          <w:sz w:val="20"/>
          <w:szCs w:val="20"/>
          <w:lang w:val="es-ES_tradnl"/>
        </w:rPr>
        <w:t xml:space="preserve"> </w:t>
      </w:r>
      <w:r w:rsidR="004D5BAA" w:rsidRPr="00A21666">
        <w:rPr>
          <w:rFonts w:ascii="Cambria" w:hAnsi="Cambria"/>
          <w:sz w:val="20"/>
          <w:szCs w:val="20"/>
          <w:lang w:val="es-ES_tradnl"/>
        </w:rPr>
        <w:t>Asimismo, se desempeñaba como asesor de varios sindicatos de la costa norte de Honduras</w:t>
      </w:r>
      <w:r w:rsidR="0058157C" w:rsidRPr="004D5BAA">
        <w:rPr>
          <w:rStyle w:val="FootnoteReference"/>
          <w:rFonts w:ascii="Cambria" w:hAnsi="Cambria"/>
          <w:sz w:val="20"/>
          <w:szCs w:val="20"/>
          <w:lang w:val="es-ES_tradnl"/>
        </w:rPr>
        <w:footnoteReference w:id="8"/>
      </w:r>
      <w:r w:rsidR="0058157C" w:rsidRPr="00A21666">
        <w:rPr>
          <w:rFonts w:ascii="Cambria" w:hAnsi="Cambria"/>
          <w:sz w:val="20"/>
          <w:szCs w:val="20"/>
          <w:lang w:val="es-ES_tradnl"/>
        </w:rPr>
        <w:t>.</w:t>
      </w:r>
      <w:r w:rsidR="00847BB9">
        <w:rPr>
          <w:rFonts w:ascii="Cambria" w:hAnsi="Cambria"/>
          <w:sz w:val="20"/>
          <w:szCs w:val="20"/>
          <w:lang w:val="es-ES_tradnl"/>
        </w:rPr>
        <w:t xml:space="preserve"> Según la información aportada por la parte peticionaria, </w:t>
      </w:r>
      <w:r w:rsidR="001818CB">
        <w:rPr>
          <w:rFonts w:ascii="Cambria" w:hAnsi="Cambria"/>
          <w:sz w:val="20"/>
          <w:szCs w:val="20"/>
          <w:lang w:val="es-ES_tradnl"/>
        </w:rPr>
        <w:t>en la época de los hechos</w:t>
      </w:r>
      <w:r w:rsidR="00D721D4" w:rsidRPr="00A21666">
        <w:rPr>
          <w:rFonts w:ascii="Cambria" w:hAnsi="Cambria"/>
          <w:sz w:val="20"/>
          <w:szCs w:val="20"/>
          <w:lang w:val="es-ES_tradnl"/>
        </w:rPr>
        <w:t xml:space="preserve"> la familia del señor Deras</w:t>
      </w:r>
      <w:r w:rsidR="008830CE" w:rsidRPr="00A21666">
        <w:rPr>
          <w:rFonts w:ascii="Cambria" w:hAnsi="Cambria"/>
          <w:sz w:val="20"/>
          <w:szCs w:val="20"/>
          <w:lang w:val="es-ES_tradnl"/>
        </w:rPr>
        <w:t xml:space="preserve"> </w:t>
      </w:r>
      <w:r w:rsidR="00D721D4" w:rsidRPr="00A21666">
        <w:rPr>
          <w:rFonts w:ascii="Cambria" w:hAnsi="Cambria"/>
          <w:sz w:val="20"/>
          <w:szCs w:val="20"/>
          <w:lang w:val="es-ES_tradnl"/>
        </w:rPr>
        <w:t>estaba</w:t>
      </w:r>
      <w:r w:rsidR="003956CF" w:rsidRPr="00A21666">
        <w:rPr>
          <w:rFonts w:ascii="Cambria" w:hAnsi="Cambria"/>
          <w:sz w:val="20"/>
          <w:szCs w:val="20"/>
          <w:lang w:val="es-ES_tradnl"/>
        </w:rPr>
        <w:t xml:space="preserve"> compuesta por: </w:t>
      </w:r>
      <w:r w:rsidR="00D721D4" w:rsidRPr="00A21666">
        <w:rPr>
          <w:rFonts w:ascii="Cambria" w:hAnsi="Cambria"/>
          <w:sz w:val="20"/>
          <w:szCs w:val="20"/>
          <w:lang w:val="es-ES_tradnl"/>
        </w:rPr>
        <w:t>i) su esposa Otilia Flores; ii) sus dos hijos Herminio y Lorena de 7 y 11 años de edad, respectivamente; ii</w:t>
      </w:r>
      <w:r w:rsidR="003956CF" w:rsidRPr="00A21666">
        <w:rPr>
          <w:rFonts w:ascii="Cambria" w:hAnsi="Cambria"/>
          <w:sz w:val="20"/>
          <w:szCs w:val="20"/>
          <w:lang w:val="es-ES_tradnl"/>
        </w:rPr>
        <w:t>i) sus padres Maria Eustaquia García y Domingo Deras</w:t>
      </w:r>
      <w:r w:rsidR="00D721D4" w:rsidRPr="00A21666">
        <w:rPr>
          <w:rFonts w:ascii="Cambria" w:hAnsi="Cambria"/>
          <w:sz w:val="20"/>
          <w:szCs w:val="20"/>
          <w:lang w:val="es-ES_tradnl"/>
        </w:rPr>
        <w:t>; iv</w:t>
      </w:r>
      <w:r w:rsidR="003956CF" w:rsidRPr="00A21666">
        <w:rPr>
          <w:rFonts w:ascii="Cambria" w:hAnsi="Cambria"/>
          <w:sz w:val="20"/>
          <w:szCs w:val="20"/>
          <w:lang w:val="es-ES_tradnl"/>
        </w:rPr>
        <w:t>) sus hermanos</w:t>
      </w:r>
      <w:r w:rsidR="001818CB">
        <w:rPr>
          <w:rFonts w:ascii="Cambria" w:hAnsi="Cambria"/>
          <w:sz w:val="20"/>
          <w:szCs w:val="20"/>
          <w:lang w:val="es-ES_tradnl"/>
        </w:rPr>
        <w:t>/as</w:t>
      </w:r>
      <w:r w:rsidR="003956CF" w:rsidRPr="00A21666">
        <w:rPr>
          <w:rFonts w:ascii="Cambria" w:hAnsi="Cambria"/>
          <w:sz w:val="20"/>
          <w:szCs w:val="20"/>
          <w:lang w:val="es-ES_tradnl"/>
        </w:rPr>
        <w:t xml:space="preserve"> </w:t>
      </w:r>
      <w:r w:rsidR="00D721D4" w:rsidRPr="00A21666">
        <w:rPr>
          <w:rFonts w:ascii="Cambria" w:hAnsi="Cambria"/>
          <w:sz w:val="20"/>
          <w:szCs w:val="20"/>
          <w:lang w:val="es-ES_tradnl"/>
        </w:rPr>
        <w:t>Alba Luz, Irma Isabel, Consuelo, Héctor y Luis Rolando Deras; y v)</w:t>
      </w:r>
      <w:r w:rsidR="0074541D" w:rsidRPr="00A21666">
        <w:rPr>
          <w:rFonts w:ascii="Cambria" w:hAnsi="Cambria"/>
          <w:sz w:val="20"/>
          <w:szCs w:val="20"/>
          <w:lang w:val="es-ES_tradnl"/>
        </w:rPr>
        <w:t xml:space="preserve"> sus sobrinos/as, primos/as, cuñados/as José Herminio Deras Barahona, Sandra Ivón Hernández Deras, Marlin García, Julio Cesar Chavarría Banegas</w:t>
      </w:r>
      <w:r w:rsidR="00376779" w:rsidRPr="00A21666">
        <w:rPr>
          <w:rFonts w:ascii="Cambria" w:hAnsi="Cambria"/>
          <w:sz w:val="20"/>
          <w:szCs w:val="20"/>
          <w:lang w:val="es-ES_tradnl"/>
        </w:rPr>
        <w:t>, Elba Flores Ortiz</w:t>
      </w:r>
      <w:r w:rsidR="0074541D" w:rsidRPr="00A21666">
        <w:rPr>
          <w:rFonts w:ascii="Cambria" w:hAnsi="Cambria"/>
          <w:sz w:val="20"/>
          <w:szCs w:val="20"/>
          <w:lang w:val="es-ES_tradnl"/>
        </w:rPr>
        <w:t xml:space="preserve"> y Cristóbal Hernández Pérez</w:t>
      </w:r>
      <w:r w:rsidR="00D721D4" w:rsidRPr="00A21666">
        <w:rPr>
          <w:rStyle w:val="FootnoteReference"/>
          <w:rFonts w:ascii="Cambria" w:hAnsi="Cambria"/>
          <w:sz w:val="20"/>
          <w:szCs w:val="20"/>
          <w:lang w:val="es-ES_tradnl"/>
        </w:rPr>
        <w:footnoteReference w:id="9"/>
      </w:r>
      <w:r w:rsidR="0074541D" w:rsidRPr="00A21666">
        <w:rPr>
          <w:rFonts w:ascii="Cambria" w:hAnsi="Cambria"/>
          <w:sz w:val="20"/>
          <w:szCs w:val="20"/>
          <w:lang w:val="es-ES_tradnl"/>
        </w:rPr>
        <w:t>.</w:t>
      </w:r>
      <w:r w:rsidR="00D721D4" w:rsidRPr="00A21666">
        <w:rPr>
          <w:rFonts w:ascii="Cambria" w:hAnsi="Cambria"/>
          <w:sz w:val="20"/>
          <w:szCs w:val="20"/>
          <w:lang w:val="es-ES_tradnl"/>
        </w:rPr>
        <w:t xml:space="preserve"> </w:t>
      </w:r>
    </w:p>
    <w:p w14:paraId="760667F7" w14:textId="77777777" w:rsidR="004E6568" w:rsidRPr="00A21666" w:rsidRDefault="004E6568" w:rsidP="00212202">
      <w:pPr>
        <w:tabs>
          <w:tab w:val="left" w:pos="360"/>
        </w:tabs>
        <w:jc w:val="both"/>
        <w:rPr>
          <w:rFonts w:ascii="Cambria" w:hAnsi="Cambria"/>
          <w:b/>
          <w:sz w:val="20"/>
          <w:szCs w:val="20"/>
          <w:lang w:val="es-ES_tradnl"/>
        </w:rPr>
      </w:pPr>
    </w:p>
    <w:p w14:paraId="6ECF747A" w14:textId="77777777" w:rsidR="00376779" w:rsidRPr="00A21666" w:rsidRDefault="00376779" w:rsidP="002122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es-VE"/>
        </w:rPr>
      </w:pPr>
      <w:r w:rsidRPr="00A21666">
        <w:rPr>
          <w:rFonts w:ascii="Cambria" w:hAnsi="Cambria"/>
          <w:sz w:val="20"/>
          <w:szCs w:val="20"/>
          <w:lang w:val="es-VE"/>
        </w:rPr>
        <w:t>La CIDH toma nota de la información proporcionada por la parte peticionaria y por declaraciones de los familiares del señor Deras respecto de diversos actos de allanamiento, detenciones, golpes y amenazas en contra de Herminio y varios de sus familiares</w:t>
      </w:r>
      <w:r w:rsidR="003F3442" w:rsidRPr="00A21666">
        <w:rPr>
          <w:rFonts w:ascii="Cambria" w:hAnsi="Cambria"/>
          <w:sz w:val="20"/>
          <w:szCs w:val="20"/>
          <w:lang w:val="es-VE"/>
        </w:rPr>
        <w:t xml:space="preserve"> entre los años 1977 y 1982, cometidos en muchos casos por agentes públicos</w:t>
      </w:r>
      <w:r w:rsidR="003F3442" w:rsidRPr="00A21666">
        <w:rPr>
          <w:rStyle w:val="FootnoteReference"/>
          <w:rFonts w:ascii="Cambria" w:hAnsi="Cambria"/>
          <w:sz w:val="20"/>
          <w:szCs w:val="20"/>
          <w:lang w:val="es-VE"/>
        </w:rPr>
        <w:footnoteReference w:id="10"/>
      </w:r>
      <w:r w:rsidRPr="00A21666">
        <w:rPr>
          <w:rFonts w:ascii="Cambria" w:hAnsi="Cambria"/>
          <w:sz w:val="20"/>
          <w:szCs w:val="20"/>
          <w:lang w:val="es-VE"/>
        </w:rPr>
        <w:t xml:space="preserve">. </w:t>
      </w:r>
      <w:r w:rsidR="008830CE" w:rsidRPr="00A21666">
        <w:rPr>
          <w:rFonts w:ascii="Cambria" w:hAnsi="Cambria"/>
          <w:sz w:val="20"/>
          <w:szCs w:val="20"/>
          <w:lang w:val="es-VE"/>
        </w:rPr>
        <w:t>Ello debido a la participación del señor Deras y sus familiares en</w:t>
      </w:r>
      <w:r w:rsidR="003F7AB8">
        <w:rPr>
          <w:rFonts w:ascii="Cambria" w:hAnsi="Cambria"/>
          <w:sz w:val="20"/>
          <w:szCs w:val="20"/>
          <w:lang w:val="es-VE"/>
        </w:rPr>
        <w:t xml:space="preserve"> actividades políticas del partido </w:t>
      </w:r>
      <w:r w:rsidR="00C57149">
        <w:rPr>
          <w:rFonts w:ascii="Cambria" w:hAnsi="Cambria"/>
          <w:sz w:val="20"/>
          <w:szCs w:val="20"/>
          <w:lang w:val="es-VE"/>
        </w:rPr>
        <w:t>y en</w:t>
      </w:r>
      <w:r w:rsidR="008830CE" w:rsidRPr="00A21666">
        <w:rPr>
          <w:rFonts w:ascii="Cambria" w:hAnsi="Cambria"/>
          <w:sz w:val="20"/>
          <w:szCs w:val="20"/>
          <w:lang w:val="es-VE"/>
        </w:rPr>
        <w:t xml:space="preserve"> </w:t>
      </w:r>
      <w:r w:rsidR="008830CE" w:rsidRPr="00A21666">
        <w:rPr>
          <w:rFonts w:ascii="Cambria" w:hAnsi="Cambria"/>
          <w:sz w:val="20"/>
          <w:szCs w:val="20"/>
          <w:lang w:val="es-ES_tradnl"/>
        </w:rPr>
        <w:t>organizaciones sindicales.</w:t>
      </w:r>
      <w:r w:rsidR="008830CE" w:rsidRPr="00A21666">
        <w:rPr>
          <w:rFonts w:ascii="Cambria" w:hAnsi="Cambria"/>
          <w:sz w:val="20"/>
          <w:szCs w:val="20"/>
          <w:lang w:val="es-VE"/>
        </w:rPr>
        <w:t xml:space="preserve"> </w:t>
      </w:r>
      <w:r w:rsidR="0058157C" w:rsidRPr="00A21666">
        <w:rPr>
          <w:rFonts w:ascii="Cambria" w:hAnsi="Cambria"/>
          <w:sz w:val="20"/>
          <w:szCs w:val="20"/>
          <w:lang w:val="es-VE"/>
        </w:rPr>
        <w:t xml:space="preserve">Se agregó que a pesar de haber denunciado estos hechos, no se realizó ninguna investigación. </w:t>
      </w:r>
      <w:r w:rsidRPr="00A21666">
        <w:rPr>
          <w:rFonts w:ascii="Cambria" w:hAnsi="Cambria"/>
          <w:sz w:val="20"/>
          <w:szCs w:val="20"/>
          <w:lang w:val="es-VE"/>
        </w:rPr>
        <w:t>Dicha información no fue controvertid</w:t>
      </w:r>
      <w:r w:rsidR="00E216B6" w:rsidRPr="00A21666">
        <w:rPr>
          <w:rFonts w:ascii="Cambria" w:hAnsi="Cambria"/>
          <w:sz w:val="20"/>
          <w:szCs w:val="20"/>
          <w:lang w:val="es-VE"/>
        </w:rPr>
        <w:t>a</w:t>
      </w:r>
      <w:r w:rsidRPr="00A21666">
        <w:rPr>
          <w:rFonts w:ascii="Cambria" w:hAnsi="Cambria"/>
          <w:sz w:val="20"/>
          <w:szCs w:val="20"/>
          <w:lang w:val="es-VE"/>
        </w:rPr>
        <w:t xml:space="preserve"> por el Estado</w:t>
      </w:r>
      <w:r w:rsidR="006C3427">
        <w:rPr>
          <w:rFonts w:ascii="Cambria" w:hAnsi="Cambria"/>
          <w:sz w:val="20"/>
          <w:szCs w:val="20"/>
          <w:lang w:val="es-VE"/>
        </w:rPr>
        <w:t xml:space="preserve"> ni el mismo aportó documentación en contrario</w:t>
      </w:r>
      <w:r w:rsidRPr="00A21666">
        <w:rPr>
          <w:rFonts w:ascii="Cambria" w:hAnsi="Cambria"/>
          <w:sz w:val="20"/>
          <w:szCs w:val="20"/>
          <w:lang w:val="es-VE"/>
        </w:rPr>
        <w:t xml:space="preserve">. La Comisión </w:t>
      </w:r>
      <w:r w:rsidR="003F3442" w:rsidRPr="00A21666">
        <w:rPr>
          <w:rFonts w:ascii="Cambria" w:hAnsi="Cambria"/>
          <w:sz w:val="20"/>
          <w:szCs w:val="20"/>
          <w:lang w:val="es-VE"/>
        </w:rPr>
        <w:t xml:space="preserve">pasa </w:t>
      </w:r>
      <w:r w:rsidR="001041ED" w:rsidRPr="00A21666">
        <w:rPr>
          <w:rFonts w:ascii="Cambria" w:hAnsi="Cambria"/>
          <w:sz w:val="20"/>
          <w:szCs w:val="20"/>
          <w:lang w:val="es-VE"/>
        </w:rPr>
        <w:t>a recapitular dicha información:</w:t>
      </w:r>
    </w:p>
    <w:p w14:paraId="27B44F01" w14:textId="77777777" w:rsidR="00376779" w:rsidRPr="003A651A" w:rsidRDefault="00376779" w:rsidP="00212202">
      <w:pPr>
        <w:pStyle w:val="MediumGrid1-Accent21"/>
        <w:tabs>
          <w:tab w:val="left" w:pos="360"/>
          <w:tab w:val="left" w:pos="1530"/>
        </w:tabs>
        <w:ind w:left="0"/>
        <w:jc w:val="both"/>
        <w:rPr>
          <w:sz w:val="20"/>
          <w:szCs w:val="20"/>
          <w:lang w:val="es-VE"/>
        </w:rPr>
      </w:pPr>
    </w:p>
    <w:p w14:paraId="4B479561" w14:textId="77777777" w:rsidR="00686061" w:rsidRPr="003A651A" w:rsidRDefault="00686061" w:rsidP="00212202">
      <w:pPr>
        <w:pStyle w:val="MediumGrid1-Accent21"/>
        <w:tabs>
          <w:tab w:val="left" w:pos="360"/>
          <w:tab w:val="left" w:pos="720"/>
        </w:tabs>
        <w:ind w:left="0"/>
        <w:jc w:val="both"/>
        <w:rPr>
          <w:b/>
          <w:sz w:val="20"/>
          <w:szCs w:val="20"/>
          <w:lang w:val="es-VE"/>
        </w:rPr>
      </w:pPr>
      <w:r w:rsidRPr="003A651A">
        <w:rPr>
          <w:sz w:val="20"/>
          <w:szCs w:val="20"/>
          <w:lang w:val="es-VE"/>
        </w:rPr>
        <w:tab/>
      </w:r>
      <w:r w:rsidRPr="003A651A">
        <w:rPr>
          <w:b/>
          <w:sz w:val="20"/>
          <w:szCs w:val="20"/>
          <w:lang w:val="es-VE"/>
        </w:rPr>
        <w:t>1977</w:t>
      </w:r>
    </w:p>
    <w:p w14:paraId="143A970A" w14:textId="77777777" w:rsidR="00686061" w:rsidRPr="003A651A" w:rsidRDefault="00686061" w:rsidP="00212202">
      <w:pPr>
        <w:pStyle w:val="MediumGrid1-Accent21"/>
        <w:numPr>
          <w:ilvl w:val="0"/>
          <w:numId w:val="58"/>
        </w:numPr>
        <w:tabs>
          <w:tab w:val="left" w:pos="360"/>
          <w:tab w:val="left" w:pos="630"/>
        </w:tabs>
        <w:ind w:left="360" w:right="360" w:firstLine="0"/>
        <w:jc w:val="both"/>
        <w:rPr>
          <w:sz w:val="20"/>
          <w:szCs w:val="20"/>
          <w:lang w:val="es-VE"/>
        </w:rPr>
      </w:pPr>
      <w:r w:rsidRPr="003A651A">
        <w:rPr>
          <w:sz w:val="20"/>
          <w:szCs w:val="20"/>
          <w:lang w:val="es-VE"/>
        </w:rPr>
        <w:t>A</w:t>
      </w:r>
      <w:r w:rsidR="003F3442" w:rsidRPr="003A651A">
        <w:rPr>
          <w:sz w:val="20"/>
          <w:szCs w:val="20"/>
          <w:lang w:val="es-VE"/>
        </w:rPr>
        <w:t>gentes militares allanaron la casa de la madre del señor Deras</w:t>
      </w:r>
      <w:r w:rsidRPr="003A651A">
        <w:rPr>
          <w:sz w:val="20"/>
          <w:szCs w:val="20"/>
          <w:lang w:val="es-VE"/>
        </w:rPr>
        <w:t>. Debido a que no lo encontraron,</w:t>
      </w:r>
      <w:r w:rsidR="003F3442" w:rsidRPr="003A651A">
        <w:rPr>
          <w:sz w:val="20"/>
          <w:szCs w:val="20"/>
          <w:lang w:val="es-VE"/>
        </w:rPr>
        <w:t xml:space="preserve"> </w:t>
      </w:r>
      <w:r w:rsidR="003F3442" w:rsidRPr="003F3442">
        <w:rPr>
          <w:sz w:val="20"/>
          <w:szCs w:val="20"/>
          <w:lang w:val="es-VE"/>
        </w:rPr>
        <w:t xml:space="preserve">golpearon </w:t>
      </w:r>
      <w:r>
        <w:rPr>
          <w:sz w:val="20"/>
          <w:szCs w:val="20"/>
          <w:lang w:val="es-VE"/>
        </w:rPr>
        <w:t xml:space="preserve">a su madre </w:t>
      </w:r>
      <w:r w:rsidR="003F3442" w:rsidRPr="003F3442">
        <w:rPr>
          <w:sz w:val="20"/>
          <w:szCs w:val="20"/>
          <w:lang w:val="es-VE"/>
        </w:rPr>
        <w:t>en la cabeza con</w:t>
      </w:r>
      <w:r w:rsidR="003F3442">
        <w:rPr>
          <w:sz w:val="20"/>
          <w:szCs w:val="20"/>
          <w:lang w:val="es-VE"/>
        </w:rPr>
        <w:t xml:space="preserve"> una pistola</w:t>
      </w:r>
      <w:r>
        <w:rPr>
          <w:sz w:val="20"/>
          <w:szCs w:val="20"/>
          <w:lang w:val="es-VE"/>
        </w:rPr>
        <w:t xml:space="preserve"> y la amenzaron con matarla si es que no encontraban un mimeógra</w:t>
      </w:r>
      <w:r w:rsidR="006C3427">
        <w:rPr>
          <w:sz w:val="20"/>
          <w:szCs w:val="20"/>
          <w:lang w:val="es-VE"/>
        </w:rPr>
        <w:t>f</w:t>
      </w:r>
      <w:r>
        <w:rPr>
          <w:sz w:val="20"/>
          <w:szCs w:val="20"/>
          <w:lang w:val="es-VE"/>
        </w:rPr>
        <w:t>o que presuntamente tenía el señor Deras para realizar sus actividades políticas. Dichos hechos fueron presenciados por Irma Isabel, hermana del señor Deras</w:t>
      </w:r>
      <w:r w:rsidR="008830CE">
        <w:rPr>
          <w:sz w:val="20"/>
          <w:szCs w:val="20"/>
          <w:lang w:val="es-VE"/>
        </w:rPr>
        <w:t>, quien en la época tenía quince años</w:t>
      </w:r>
      <w:r>
        <w:rPr>
          <w:sz w:val="20"/>
          <w:szCs w:val="20"/>
          <w:lang w:val="es-VE"/>
        </w:rPr>
        <w:t>.</w:t>
      </w:r>
    </w:p>
    <w:p w14:paraId="26C10438" w14:textId="77777777" w:rsidR="003F3442" w:rsidRPr="003A651A" w:rsidRDefault="00686061" w:rsidP="00212202">
      <w:pPr>
        <w:pStyle w:val="MediumGrid1-Accent21"/>
        <w:numPr>
          <w:ilvl w:val="0"/>
          <w:numId w:val="58"/>
        </w:numPr>
        <w:tabs>
          <w:tab w:val="left" w:pos="360"/>
          <w:tab w:val="left" w:pos="630"/>
        </w:tabs>
        <w:ind w:left="360" w:right="360" w:firstLine="0"/>
        <w:jc w:val="both"/>
        <w:rPr>
          <w:sz w:val="20"/>
          <w:szCs w:val="20"/>
          <w:lang w:val="es-VE"/>
        </w:rPr>
      </w:pPr>
      <w:r w:rsidRPr="003A651A">
        <w:rPr>
          <w:sz w:val="20"/>
          <w:szCs w:val="20"/>
          <w:lang w:val="es-VE"/>
        </w:rPr>
        <w:t xml:space="preserve">Agentes militares allanaron la casa del padre del señor Deras y lo acusaron </w:t>
      </w:r>
      <w:r w:rsidR="0087394F">
        <w:rPr>
          <w:sz w:val="20"/>
          <w:szCs w:val="20"/>
          <w:lang w:val="es-VE"/>
        </w:rPr>
        <w:t>de manejar una radio clandestina</w:t>
      </w:r>
      <w:r w:rsidRPr="003A651A">
        <w:rPr>
          <w:sz w:val="20"/>
          <w:szCs w:val="20"/>
          <w:lang w:val="es-VE"/>
        </w:rPr>
        <w:t xml:space="preserve">. Su padre fue </w:t>
      </w:r>
      <w:r w:rsidR="008830CE" w:rsidRPr="003A651A">
        <w:rPr>
          <w:sz w:val="20"/>
          <w:szCs w:val="20"/>
          <w:lang w:val="es-VE"/>
        </w:rPr>
        <w:t xml:space="preserve">golpeado, </w:t>
      </w:r>
      <w:r w:rsidRPr="003A651A">
        <w:rPr>
          <w:sz w:val="20"/>
          <w:szCs w:val="20"/>
          <w:lang w:val="es-VE"/>
        </w:rPr>
        <w:t>amarrado y sacado de su residencia.</w:t>
      </w:r>
    </w:p>
    <w:p w14:paraId="55CBAAEA" w14:textId="77777777" w:rsidR="00686061" w:rsidRPr="003A651A" w:rsidRDefault="00686061" w:rsidP="00212202">
      <w:pPr>
        <w:pStyle w:val="MediumGrid1-Accent21"/>
        <w:numPr>
          <w:ilvl w:val="0"/>
          <w:numId w:val="58"/>
        </w:numPr>
        <w:tabs>
          <w:tab w:val="left" w:pos="360"/>
          <w:tab w:val="left" w:pos="630"/>
        </w:tabs>
        <w:ind w:left="360" w:right="360" w:firstLine="0"/>
        <w:jc w:val="both"/>
        <w:rPr>
          <w:sz w:val="20"/>
          <w:szCs w:val="20"/>
          <w:lang w:val="es-VE"/>
        </w:rPr>
      </w:pPr>
      <w:r w:rsidRPr="003A651A">
        <w:rPr>
          <w:sz w:val="20"/>
          <w:szCs w:val="20"/>
          <w:lang w:val="es-VE"/>
        </w:rPr>
        <w:t>Irma Isabel, hermana del señor Deras, fue detenida</w:t>
      </w:r>
      <w:r w:rsidR="008830CE" w:rsidRPr="003A651A">
        <w:rPr>
          <w:sz w:val="20"/>
          <w:szCs w:val="20"/>
          <w:lang w:val="es-VE"/>
        </w:rPr>
        <w:t xml:space="preserve"> junto con dos personas más</w:t>
      </w:r>
      <w:r w:rsidRPr="003A651A">
        <w:rPr>
          <w:sz w:val="20"/>
          <w:szCs w:val="20"/>
          <w:lang w:val="es-VE"/>
        </w:rPr>
        <w:t xml:space="preserve"> por agentes públicos</w:t>
      </w:r>
      <w:r w:rsidR="008830CE" w:rsidRPr="003A651A">
        <w:rPr>
          <w:sz w:val="20"/>
          <w:szCs w:val="20"/>
          <w:lang w:val="es-VE"/>
        </w:rPr>
        <w:t xml:space="preserve"> </w:t>
      </w:r>
      <w:r w:rsidR="0056603B" w:rsidRPr="003A651A">
        <w:rPr>
          <w:sz w:val="20"/>
          <w:szCs w:val="20"/>
          <w:lang w:val="es-VE"/>
        </w:rPr>
        <w:t>por presuntamente distribuir</w:t>
      </w:r>
      <w:r w:rsidR="008830CE" w:rsidRPr="003A651A">
        <w:rPr>
          <w:sz w:val="20"/>
          <w:szCs w:val="20"/>
          <w:lang w:val="es-VE"/>
        </w:rPr>
        <w:t xml:space="preserve"> </w:t>
      </w:r>
      <w:r w:rsidR="008830CE" w:rsidRPr="008830CE">
        <w:rPr>
          <w:rFonts w:eastAsia="Arial Unicode MS" w:cs="Times New Roman"/>
          <w:color w:val="auto"/>
          <w:sz w:val="20"/>
          <w:szCs w:val="20"/>
          <w:lang w:val="es-VE" w:eastAsia="en-US"/>
        </w:rPr>
        <w:t>el periódico Vanguardia</w:t>
      </w:r>
      <w:r w:rsidR="008830CE">
        <w:rPr>
          <w:rFonts w:eastAsia="Arial Unicode MS" w:cs="Times New Roman"/>
          <w:color w:val="auto"/>
          <w:sz w:val="20"/>
          <w:szCs w:val="20"/>
          <w:lang w:val="es-VE" w:eastAsia="en-US"/>
        </w:rPr>
        <w:t xml:space="preserve">, el cual </w:t>
      </w:r>
      <w:r w:rsidR="0058157C">
        <w:rPr>
          <w:rFonts w:eastAsia="Arial Unicode MS" w:cs="Times New Roman"/>
          <w:color w:val="auto"/>
          <w:sz w:val="20"/>
          <w:szCs w:val="20"/>
          <w:lang w:val="es-VE" w:eastAsia="en-US"/>
        </w:rPr>
        <w:t xml:space="preserve">sería </w:t>
      </w:r>
      <w:r w:rsidR="008830CE">
        <w:rPr>
          <w:rFonts w:eastAsia="Arial Unicode MS" w:cs="Times New Roman"/>
          <w:color w:val="auto"/>
          <w:sz w:val="20"/>
          <w:szCs w:val="20"/>
          <w:lang w:val="es-VE" w:eastAsia="en-US"/>
        </w:rPr>
        <w:t>producido y editado por</w:t>
      </w:r>
      <w:r w:rsidR="008830CE" w:rsidRPr="008830CE">
        <w:rPr>
          <w:rFonts w:eastAsia="Arial Unicode MS" w:cs="Times New Roman"/>
          <w:color w:val="auto"/>
          <w:sz w:val="20"/>
          <w:szCs w:val="20"/>
          <w:lang w:val="es-VE" w:eastAsia="en-US"/>
        </w:rPr>
        <w:t xml:space="preserve"> el Partido Comunista</w:t>
      </w:r>
      <w:r w:rsidR="008830CE">
        <w:rPr>
          <w:rFonts w:eastAsia="Arial Unicode MS" w:cs="Times New Roman"/>
          <w:color w:val="auto"/>
          <w:sz w:val="20"/>
          <w:szCs w:val="20"/>
          <w:lang w:val="es-VE" w:eastAsia="en-US"/>
        </w:rPr>
        <w:t xml:space="preserve">. Las tres personas fueron llevadas a </w:t>
      </w:r>
      <w:r w:rsidR="008830CE" w:rsidRPr="008830CE">
        <w:rPr>
          <w:rFonts w:eastAsia="Arial Unicode MS" w:cs="Times New Roman"/>
          <w:color w:val="auto"/>
          <w:sz w:val="20"/>
          <w:szCs w:val="20"/>
          <w:lang w:val="es-VE" w:eastAsia="en-US"/>
        </w:rPr>
        <w:t>las celdas de la Dirección Nacional de Investigación (</w:t>
      </w:r>
      <w:r w:rsidR="0056603B">
        <w:rPr>
          <w:rFonts w:eastAsia="Arial Unicode MS" w:cs="Times New Roman"/>
          <w:color w:val="auto"/>
          <w:sz w:val="20"/>
          <w:szCs w:val="20"/>
          <w:lang w:val="es-VE" w:eastAsia="en-US"/>
        </w:rPr>
        <w:t xml:space="preserve">en adelante </w:t>
      </w:r>
      <w:r w:rsidR="008830CE" w:rsidRPr="008830CE">
        <w:rPr>
          <w:rFonts w:eastAsia="Arial Unicode MS" w:cs="Times New Roman"/>
          <w:color w:val="auto"/>
          <w:sz w:val="20"/>
          <w:szCs w:val="20"/>
          <w:lang w:val="es-VE" w:eastAsia="en-US"/>
        </w:rPr>
        <w:t>DNI)</w:t>
      </w:r>
      <w:r w:rsidR="008830CE">
        <w:rPr>
          <w:rFonts w:eastAsia="Arial Unicode MS" w:cs="Times New Roman"/>
          <w:color w:val="auto"/>
          <w:sz w:val="20"/>
          <w:szCs w:val="20"/>
          <w:lang w:val="es-VE" w:eastAsia="en-US"/>
        </w:rPr>
        <w:t xml:space="preserve">, en donde </w:t>
      </w:r>
      <w:r w:rsidR="008830CE" w:rsidRPr="008830CE">
        <w:rPr>
          <w:rFonts w:eastAsia="Arial Unicode MS" w:cs="Times New Roman"/>
          <w:color w:val="auto"/>
          <w:sz w:val="20"/>
          <w:szCs w:val="20"/>
          <w:lang w:val="es-VE" w:eastAsia="en-US"/>
        </w:rPr>
        <w:t>fueron vendad</w:t>
      </w:r>
      <w:r w:rsidR="0058157C">
        <w:rPr>
          <w:rFonts w:eastAsia="Arial Unicode MS" w:cs="Times New Roman"/>
          <w:color w:val="auto"/>
          <w:sz w:val="20"/>
          <w:szCs w:val="20"/>
          <w:lang w:val="es-VE" w:eastAsia="en-US"/>
        </w:rPr>
        <w:t>a</w:t>
      </w:r>
      <w:r w:rsidR="008830CE" w:rsidRPr="008830CE">
        <w:rPr>
          <w:rFonts w:eastAsia="Arial Unicode MS" w:cs="Times New Roman"/>
          <w:color w:val="auto"/>
          <w:sz w:val="20"/>
          <w:szCs w:val="20"/>
          <w:lang w:val="es-VE" w:eastAsia="en-US"/>
        </w:rPr>
        <w:t>s y amarrad</w:t>
      </w:r>
      <w:r w:rsidR="0058157C">
        <w:rPr>
          <w:rFonts w:eastAsia="Arial Unicode MS" w:cs="Times New Roman"/>
          <w:color w:val="auto"/>
          <w:sz w:val="20"/>
          <w:szCs w:val="20"/>
          <w:lang w:val="es-VE" w:eastAsia="en-US"/>
        </w:rPr>
        <w:t>a</w:t>
      </w:r>
      <w:r w:rsidR="008830CE" w:rsidRPr="008830CE">
        <w:rPr>
          <w:rFonts w:eastAsia="Arial Unicode MS" w:cs="Times New Roman"/>
          <w:color w:val="auto"/>
          <w:sz w:val="20"/>
          <w:szCs w:val="20"/>
          <w:lang w:val="es-VE" w:eastAsia="en-US"/>
        </w:rPr>
        <w:t>s de manos a pies</w:t>
      </w:r>
      <w:r w:rsidR="0056603B">
        <w:rPr>
          <w:rFonts w:eastAsia="Arial Unicode MS" w:cs="Times New Roman"/>
          <w:color w:val="auto"/>
          <w:sz w:val="20"/>
          <w:szCs w:val="20"/>
          <w:lang w:val="es-VE" w:eastAsia="en-US"/>
        </w:rPr>
        <w:t>, y l</w:t>
      </w:r>
      <w:r w:rsidR="0058157C">
        <w:rPr>
          <w:rFonts w:eastAsia="Arial Unicode MS" w:cs="Times New Roman"/>
          <w:color w:val="auto"/>
          <w:sz w:val="20"/>
          <w:szCs w:val="20"/>
          <w:lang w:val="es-VE" w:eastAsia="en-US"/>
        </w:rPr>
        <w:t>a</w:t>
      </w:r>
      <w:r w:rsidR="0056603B">
        <w:rPr>
          <w:rFonts w:eastAsia="Arial Unicode MS" w:cs="Times New Roman"/>
          <w:color w:val="auto"/>
          <w:sz w:val="20"/>
          <w:szCs w:val="20"/>
          <w:lang w:val="es-VE" w:eastAsia="en-US"/>
        </w:rPr>
        <w:t>s amenazaron “</w:t>
      </w:r>
      <w:r w:rsidR="0056603B" w:rsidRPr="0056603B">
        <w:rPr>
          <w:rFonts w:eastAsia="Arial Unicode MS" w:cs="Times New Roman"/>
          <w:color w:val="auto"/>
          <w:sz w:val="20"/>
          <w:szCs w:val="20"/>
          <w:lang w:val="es-VE" w:eastAsia="en-US"/>
        </w:rPr>
        <w:t>con sacarles el periódico del estómago si no entregaban un ejemplar</w:t>
      </w:r>
      <w:r w:rsidR="0056603B">
        <w:rPr>
          <w:rFonts w:eastAsia="Arial Unicode MS" w:cs="Times New Roman"/>
          <w:color w:val="auto"/>
          <w:sz w:val="20"/>
          <w:szCs w:val="20"/>
          <w:lang w:val="es-VE" w:eastAsia="en-US"/>
        </w:rPr>
        <w:t>”.</w:t>
      </w:r>
    </w:p>
    <w:p w14:paraId="0168B34B" w14:textId="77777777" w:rsidR="003F3442" w:rsidRPr="003A651A" w:rsidRDefault="003F3442" w:rsidP="00212202">
      <w:pPr>
        <w:pStyle w:val="MediumGrid1-Accent21"/>
        <w:tabs>
          <w:tab w:val="left" w:pos="360"/>
          <w:tab w:val="left" w:pos="990"/>
        </w:tabs>
        <w:ind w:left="0"/>
        <w:jc w:val="both"/>
        <w:rPr>
          <w:sz w:val="20"/>
          <w:szCs w:val="20"/>
          <w:lang w:val="es-VE"/>
        </w:rPr>
      </w:pPr>
    </w:p>
    <w:p w14:paraId="28B30762" w14:textId="77777777" w:rsidR="0056603B" w:rsidRPr="0056603B" w:rsidRDefault="00E216B6" w:rsidP="00212202">
      <w:pPr>
        <w:pStyle w:val="MediumGrid1-Accent21"/>
        <w:tabs>
          <w:tab w:val="left" w:pos="360"/>
          <w:tab w:val="left" w:pos="720"/>
          <w:tab w:val="left" w:pos="990"/>
        </w:tabs>
        <w:ind w:left="0"/>
        <w:jc w:val="both"/>
        <w:rPr>
          <w:b/>
          <w:sz w:val="20"/>
          <w:szCs w:val="20"/>
          <w:lang w:val="es-VE"/>
        </w:rPr>
      </w:pPr>
      <w:r>
        <w:rPr>
          <w:sz w:val="20"/>
          <w:szCs w:val="20"/>
          <w:lang w:val="es-VE"/>
        </w:rPr>
        <w:tab/>
      </w:r>
      <w:r w:rsidR="0056603B" w:rsidRPr="0056603B">
        <w:rPr>
          <w:b/>
          <w:sz w:val="20"/>
          <w:szCs w:val="20"/>
          <w:lang w:val="es-VE"/>
        </w:rPr>
        <w:t>197</w:t>
      </w:r>
      <w:r w:rsidR="0056603B">
        <w:rPr>
          <w:b/>
          <w:sz w:val="20"/>
          <w:szCs w:val="20"/>
          <w:lang w:val="es-VE"/>
        </w:rPr>
        <w:t>9</w:t>
      </w:r>
    </w:p>
    <w:p w14:paraId="772F0AD9" w14:textId="77777777" w:rsidR="000B11E0" w:rsidRPr="006B1904" w:rsidRDefault="0056603B" w:rsidP="00212202">
      <w:pPr>
        <w:numPr>
          <w:ilvl w:val="0"/>
          <w:numId w:val="58"/>
        </w:numPr>
        <w:tabs>
          <w:tab w:val="left" w:pos="360"/>
          <w:tab w:val="left" w:pos="630"/>
        </w:tabs>
        <w:ind w:left="360" w:right="360" w:firstLine="0"/>
        <w:jc w:val="both"/>
        <w:rPr>
          <w:rFonts w:ascii="Times" w:eastAsia="Times New Roman" w:hAnsi="Times"/>
          <w:sz w:val="20"/>
          <w:szCs w:val="20"/>
          <w:bdr w:val="none" w:sz="0" w:space="0" w:color="auto"/>
          <w:lang w:val="es-CL"/>
        </w:rPr>
      </w:pPr>
      <w:r w:rsidRPr="003A651A">
        <w:rPr>
          <w:rFonts w:ascii="Cambria" w:hAnsi="Cambria"/>
          <w:sz w:val="20"/>
          <w:szCs w:val="20"/>
          <w:lang w:val="es-VE"/>
        </w:rPr>
        <w:t xml:space="preserve">El </w:t>
      </w:r>
      <w:r w:rsidRPr="003A651A">
        <w:rPr>
          <w:rFonts w:ascii="Cambria" w:eastAsia="Cambria" w:hAnsi="Cambria" w:cs="Cambria"/>
          <w:color w:val="000000"/>
          <w:sz w:val="20"/>
          <w:szCs w:val="20"/>
          <w:u w:color="000000"/>
          <w:lang w:val="es-VE" w:eastAsia="es-ES"/>
        </w:rPr>
        <w:t>señor</w:t>
      </w:r>
      <w:r w:rsidRPr="003A651A">
        <w:rPr>
          <w:rFonts w:ascii="Cambria" w:hAnsi="Cambria"/>
          <w:sz w:val="20"/>
          <w:szCs w:val="20"/>
          <w:lang w:val="es-VE"/>
        </w:rPr>
        <w:t xml:space="preserve"> Deras </w:t>
      </w:r>
      <w:r w:rsidRPr="003A651A">
        <w:rPr>
          <w:rFonts w:ascii="Cambria" w:eastAsia="Cambria" w:hAnsi="Cambria" w:cs="Cambria"/>
          <w:color w:val="000000"/>
          <w:sz w:val="20"/>
          <w:szCs w:val="20"/>
          <w:u w:color="000000"/>
          <w:lang w:val="es-VE" w:eastAsia="es-ES"/>
        </w:rPr>
        <w:t>f</w:t>
      </w:r>
      <w:r w:rsidRPr="003A651A">
        <w:rPr>
          <w:rFonts w:ascii="Cambria" w:hAnsi="Cambria"/>
          <w:sz w:val="20"/>
          <w:szCs w:val="20"/>
          <w:lang w:val="es-VE"/>
        </w:rPr>
        <w:t xml:space="preserve">ue detenido por agentes públicos debido a que presuntamente instigó una huelga de trabajadores de una fábrica de textiles. El señor Deras </w:t>
      </w:r>
      <w:r w:rsidR="000B11E0" w:rsidRPr="003A651A">
        <w:rPr>
          <w:rFonts w:ascii="Cambria" w:hAnsi="Cambria"/>
          <w:sz w:val="20"/>
          <w:szCs w:val="20"/>
          <w:lang w:val="es-VE"/>
        </w:rPr>
        <w:t xml:space="preserve">“escapó de la detención en las instalaciones de la </w:t>
      </w:r>
      <w:r w:rsidR="000B11E0" w:rsidRPr="006B1904">
        <w:rPr>
          <w:rFonts w:ascii="Cambria" w:eastAsia="Times New Roman" w:hAnsi="Cambria" w:cs="Arial"/>
          <w:sz w:val="20"/>
          <w:szCs w:val="20"/>
          <w:bdr w:val="none" w:sz="0" w:space="0" w:color="auto"/>
          <w:shd w:val="clear" w:color="auto" w:fill="FFFFFF"/>
          <w:lang w:val="es-CL"/>
        </w:rPr>
        <w:t>[DNI]”.</w:t>
      </w:r>
      <w:r w:rsidR="000B11E0" w:rsidRPr="006B1904">
        <w:rPr>
          <w:rFonts w:ascii="Times" w:eastAsia="Times New Roman" w:hAnsi="Times"/>
          <w:sz w:val="20"/>
          <w:szCs w:val="20"/>
          <w:bdr w:val="none" w:sz="0" w:space="0" w:color="auto"/>
          <w:lang w:val="es-CL"/>
        </w:rPr>
        <w:t> </w:t>
      </w:r>
    </w:p>
    <w:p w14:paraId="62C020C7" w14:textId="77777777" w:rsidR="00593673" w:rsidRPr="003A651A" w:rsidRDefault="00593673" w:rsidP="00212202">
      <w:pPr>
        <w:pStyle w:val="MediumGrid1-Accent21"/>
        <w:tabs>
          <w:tab w:val="left" w:pos="360"/>
          <w:tab w:val="left" w:pos="990"/>
        </w:tabs>
        <w:jc w:val="both"/>
        <w:rPr>
          <w:rFonts w:eastAsia="Arial Unicode MS" w:cs="Times New Roman"/>
          <w:color w:val="auto"/>
          <w:sz w:val="20"/>
          <w:szCs w:val="20"/>
          <w:lang w:val="es-VE" w:eastAsia="en-US"/>
        </w:rPr>
      </w:pPr>
    </w:p>
    <w:p w14:paraId="7FB650C6" w14:textId="77777777" w:rsidR="000B11E0" w:rsidRPr="0056603B" w:rsidRDefault="000B11E0" w:rsidP="00212202">
      <w:pPr>
        <w:pStyle w:val="MediumGrid1-Accent21"/>
        <w:tabs>
          <w:tab w:val="left" w:pos="360"/>
          <w:tab w:val="left" w:pos="720"/>
          <w:tab w:val="left" w:pos="990"/>
        </w:tabs>
        <w:ind w:left="0"/>
        <w:jc w:val="both"/>
        <w:rPr>
          <w:b/>
          <w:sz w:val="20"/>
          <w:szCs w:val="20"/>
          <w:lang w:val="es-VE"/>
        </w:rPr>
      </w:pPr>
      <w:r>
        <w:rPr>
          <w:b/>
          <w:sz w:val="20"/>
          <w:szCs w:val="20"/>
          <w:lang w:val="es-VE"/>
        </w:rPr>
        <w:tab/>
      </w:r>
      <w:r w:rsidRPr="0056603B">
        <w:rPr>
          <w:b/>
          <w:sz w:val="20"/>
          <w:szCs w:val="20"/>
          <w:lang w:val="es-VE"/>
        </w:rPr>
        <w:t>19</w:t>
      </w:r>
      <w:r>
        <w:rPr>
          <w:b/>
          <w:sz w:val="20"/>
          <w:szCs w:val="20"/>
          <w:lang w:val="es-VE"/>
        </w:rPr>
        <w:t>81</w:t>
      </w:r>
    </w:p>
    <w:p w14:paraId="1045BE02" w14:textId="77777777" w:rsidR="000B11E0" w:rsidRPr="006B1904" w:rsidRDefault="00390667" w:rsidP="00212202">
      <w:pPr>
        <w:numPr>
          <w:ilvl w:val="0"/>
          <w:numId w:val="58"/>
        </w:numPr>
        <w:tabs>
          <w:tab w:val="left" w:pos="360"/>
          <w:tab w:val="left" w:pos="630"/>
        </w:tabs>
        <w:ind w:left="360" w:right="360" w:firstLine="0"/>
        <w:jc w:val="both"/>
        <w:rPr>
          <w:rFonts w:ascii="Times" w:eastAsia="Times New Roman" w:hAnsi="Times"/>
          <w:sz w:val="20"/>
          <w:szCs w:val="20"/>
          <w:bdr w:val="none" w:sz="0" w:space="0" w:color="auto"/>
          <w:lang w:val="es-CL"/>
        </w:rPr>
      </w:pPr>
      <w:r>
        <w:rPr>
          <w:rFonts w:ascii="Cambria" w:hAnsi="Cambria"/>
          <w:sz w:val="20"/>
          <w:szCs w:val="20"/>
          <w:lang w:val="es-VE"/>
        </w:rPr>
        <w:t>El</w:t>
      </w:r>
      <w:r w:rsidR="000B11E0" w:rsidRPr="000B11E0">
        <w:rPr>
          <w:rFonts w:ascii="Cambria" w:hAnsi="Cambria"/>
          <w:sz w:val="20"/>
          <w:szCs w:val="20"/>
          <w:lang w:val="es-VE"/>
        </w:rPr>
        <w:t xml:space="preserve"> </w:t>
      </w:r>
      <w:r w:rsidR="00BC32B3">
        <w:rPr>
          <w:rFonts w:ascii="Cambria" w:eastAsia="Cambria" w:hAnsi="Cambria" w:cs="Cambria"/>
          <w:color w:val="000000"/>
          <w:sz w:val="20"/>
          <w:szCs w:val="20"/>
          <w:u w:color="000000"/>
          <w:lang w:val="es-VE" w:eastAsia="es-ES"/>
        </w:rPr>
        <w:t xml:space="preserve">26 de noviembre miembros del </w:t>
      </w:r>
      <w:r w:rsidR="00BC32B3" w:rsidRPr="00BC32B3">
        <w:rPr>
          <w:rFonts w:ascii="Cambria" w:hAnsi="Cambria"/>
          <w:sz w:val="20"/>
          <w:szCs w:val="20"/>
          <w:lang w:val="es-VE"/>
        </w:rPr>
        <w:t>T</w:t>
      </w:r>
      <w:r w:rsidR="00BC32B3">
        <w:rPr>
          <w:rFonts w:ascii="Cambria" w:hAnsi="Cambria"/>
          <w:sz w:val="20"/>
          <w:szCs w:val="20"/>
          <w:lang w:val="es-VE"/>
        </w:rPr>
        <w:t>ercer Batallón de Infantería y a</w:t>
      </w:r>
      <w:r w:rsidR="00BC32B3" w:rsidRPr="00BC32B3">
        <w:rPr>
          <w:rFonts w:ascii="Cambria" w:hAnsi="Cambria"/>
          <w:sz w:val="20"/>
          <w:szCs w:val="20"/>
          <w:lang w:val="es-VE"/>
        </w:rPr>
        <w:t>gentes de la DNI</w:t>
      </w:r>
      <w:r w:rsidR="00BC32B3">
        <w:rPr>
          <w:rFonts w:ascii="Cambria" w:hAnsi="Cambria"/>
          <w:sz w:val="20"/>
          <w:szCs w:val="20"/>
          <w:lang w:val="es-VE"/>
        </w:rPr>
        <w:t xml:space="preserve"> allanaron el domicilio del señor Deras</w:t>
      </w:r>
      <w:r w:rsidR="007F7236">
        <w:rPr>
          <w:rFonts w:ascii="Cambria" w:hAnsi="Cambria"/>
          <w:sz w:val="20"/>
          <w:szCs w:val="20"/>
          <w:lang w:val="es-VE"/>
        </w:rPr>
        <w:t xml:space="preserve">, </w:t>
      </w:r>
      <w:r w:rsidR="00BC32B3">
        <w:rPr>
          <w:rFonts w:ascii="Cambria" w:hAnsi="Cambria"/>
          <w:sz w:val="20"/>
          <w:szCs w:val="20"/>
          <w:lang w:val="es-VE"/>
        </w:rPr>
        <w:t>destruyeron su vivienda</w:t>
      </w:r>
      <w:r w:rsidR="007F7236">
        <w:rPr>
          <w:rFonts w:ascii="Cambria" w:hAnsi="Cambria"/>
          <w:sz w:val="20"/>
          <w:szCs w:val="20"/>
          <w:lang w:val="es-VE"/>
        </w:rPr>
        <w:t xml:space="preserve"> y se llevaron diversos objetos que se encontraban </w:t>
      </w:r>
      <w:r w:rsidR="007F7236">
        <w:rPr>
          <w:rFonts w:ascii="Cambria" w:hAnsi="Cambria"/>
          <w:sz w:val="20"/>
          <w:szCs w:val="20"/>
          <w:lang w:val="es-VE"/>
        </w:rPr>
        <w:lastRenderedPageBreak/>
        <w:t>ahí</w:t>
      </w:r>
      <w:r w:rsidR="00BC32B3">
        <w:rPr>
          <w:rFonts w:ascii="Cambria" w:hAnsi="Cambria"/>
          <w:sz w:val="20"/>
          <w:szCs w:val="20"/>
          <w:lang w:val="es-VE"/>
        </w:rPr>
        <w:t>. En su vivienda arrestaron a su esposa</w:t>
      </w:r>
      <w:r w:rsidR="007F7236">
        <w:rPr>
          <w:rFonts w:ascii="Cambria" w:hAnsi="Cambria"/>
          <w:sz w:val="20"/>
          <w:szCs w:val="20"/>
          <w:lang w:val="es-VE"/>
        </w:rPr>
        <w:t xml:space="preserve"> Otilia Flores</w:t>
      </w:r>
      <w:r w:rsidR="00BC32B3">
        <w:rPr>
          <w:rFonts w:ascii="Cambria" w:hAnsi="Cambria"/>
          <w:sz w:val="20"/>
          <w:szCs w:val="20"/>
          <w:lang w:val="es-VE"/>
        </w:rPr>
        <w:t xml:space="preserve"> y su</w:t>
      </w:r>
      <w:r w:rsidR="007F7236">
        <w:rPr>
          <w:rFonts w:ascii="Cambria" w:hAnsi="Cambria"/>
          <w:sz w:val="20"/>
          <w:szCs w:val="20"/>
          <w:lang w:val="es-VE"/>
        </w:rPr>
        <w:t xml:space="preserve"> cuñada Elba Flores. </w:t>
      </w:r>
      <w:r>
        <w:rPr>
          <w:rFonts w:ascii="Cambria" w:hAnsi="Cambria"/>
          <w:sz w:val="20"/>
          <w:szCs w:val="20"/>
          <w:lang w:val="es-VE"/>
        </w:rPr>
        <w:t>El señor Deras logró escapar al saltar el muro perimetral de su vivienda. Tanto Otilia como Elba fueron llevadas a las instalaciones de la DNI y trasladadas a la ciudad de Tegucigalpa, donde fueron amenazadas, vendadas y no se les dio comida ni bebida por días. Los agentes públicos las interrogaron para que indiquen el paradero del señor Deras. Ambas indicaron que el Teniente Marco Tulio Regalado estuvo a cargo de sus interrogatorios.</w:t>
      </w:r>
    </w:p>
    <w:p w14:paraId="5E9712CA" w14:textId="77777777" w:rsidR="00AD46FC" w:rsidRPr="006B1904" w:rsidRDefault="00AD46FC" w:rsidP="00212202">
      <w:pPr>
        <w:numPr>
          <w:ilvl w:val="0"/>
          <w:numId w:val="58"/>
        </w:numPr>
        <w:tabs>
          <w:tab w:val="left" w:pos="360"/>
          <w:tab w:val="left" w:pos="630"/>
        </w:tabs>
        <w:ind w:left="360" w:right="360" w:firstLine="0"/>
        <w:jc w:val="both"/>
        <w:rPr>
          <w:rFonts w:ascii="Times" w:eastAsia="Times New Roman" w:hAnsi="Times"/>
          <w:sz w:val="20"/>
          <w:szCs w:val="20"/>
          <w:bdr w:val="none" w:sz="0" w:space="0" w:color="auto"/>
          <w:lang w:val="es-CL"/>
        </w:rPr>
      </w:pPr>
      <w:r>
        <w:rPr>
          <w:rFonts w:ascii="Cambria" w:hAnsi="Cambria"/>
          <w:sz w:val="20"/>
          <w:szCs w:val="20"/>
          <w:lang w:val="es-VE"/>
        </w:rPr>
        <w:t xml:space="preserve">El mismo día el hermano del señor Deras, Luis Rolando, fue detenido por agentes públicos y llevado a las instalaciones de la DNI. Indicó que fue amenazado y “torturado físicamente”. Señaló que le indicaron que iban a encontrar y asesinar a su hermano Herminio “porque era </w:t>
      </w:r>
      <w:r w:rsidR="00AA30CA">
        <w:rPr>
          <w:rFonts w:ascii="Cambria" w:hAnsi="Cambria"/>
          <w:sz w:val="20"/>
          <w:szCs w:val="20"/>
          <w:lang w:val="es-VE"/>
        </w:rPr>
        <w:t xml:space="preserve">un </w:t>
      </w:r>
      <w:r>
        <w:rPr>
          <w:rFonts w:ascii="Cambria" w:hAnsi="Cambria"/>
          <w:sz w:val="20"/>
          <w:szCs w:val="20"/>
          <w:lang w:val="es-VE"/>
        </w:rPr>
        <w:t>comunista”.</w:t>
      </w:r>
    </w:p>
    <w:p w14:paraId="64B8B4D5" w14:textId="77777777" w:rsidR="000B11E0" w:rsidRPr="003A651A" w:rsidRDefault="000B11E0" w:rsidP="00212202">
      <w:pPr>
        <w:pStyle w:val="MediumGrid1-Accent21"/>
        <w:tabs>
          <w:tab w:val="left" w:pos="360"/>
          <w:tab w:val="left" w:pos="990"/>
        </w:tabs>
        <w:ind w:left="0"/>
        <w:jc w:val="both"/>
        <w:rPr>
          <w:rFonts w:eastAsia="Arial Unicode MS" w:cs="Times New Roman"/>
          <w:color w:val="auto"/>
          <w:sz w:val="20"/>
          <w:szCs w:val="20"/>
          <w:lang w:val="es-VE" w:eastAsia="en-US"/>
        </w:rPr>
      </w:pPr>
    </w:p>
    <w:p w14:paraId="1CFE4D56" w14:textId="77777777" w:rsidR="004E4EA1" w:rsidRPr="0056603B" w:rsidRDefault="00EC51FE" w:rsidP="00212202">
      <w:pPr>
        <w:tabs>
          <w:tab w:val="left" w:pos="360"/>
          <w:tab w:val="left" w:pos="720"/>
          <w:tab w:val="left" w:pos="990"/>
        </w:tabs>
        <w:jc w:val="both"/>
        <w:rPr>
          <w:b/>
          <w:sz w:val="20"/>
          <w:szCs w:val="20"/>
          <w:lang w:val="es-VE"/>
        </w:rPr>
      </w:pPr>
      <w:r>
        <w:rPr>
          <w:rFonts w:ascii="Cambria" w:eastAsia="Cambria" w:hAnsi="Cambria" w:cs="Cambria"/>
          <w:b/>
          <w:color w:val="000000"/>
          <w:sz w:val="20"/>
          <w:szCs w:val="20"/>
          <w:u w:color="000000"/>
          <w:lang w:val="es-VE" w:eastAsia="es-ES"/>
        </w:rPr>
        <w:tab/>
      </w:r>
      <w:r w:rsidR="004E4EA1" w:rsidRPr="004E4EA1">
        <w:rPr>
          <w:rFonts w:ascii="Cambria" w:eastAsia="Cambria" w:hAnsi="Cambria" w:cs="Cambria"/>
          <w:b/>
          <w:color w:val="000000"/>
          <w:sz w:val="20"/>
          <w:szCs w:val="20"/>
          <w:u w:color="000000"/>
          <w:lang w:val="es-VE" w:eastAsia="es-ES"/>
        </w:rPr>
        <w:t>1982</w:t>
      </w:r>
    </w:p>
    <w:p w14:paraId="62E99CAE" w14:textId="77777777" w:rsidR="00853D77" w:rsidRPr="004E4EA1" w:rsidRDefault="004E4EA1" w:rsidP="00212202">
      <w:pPr>
        <w:numPr>
          <w:ilvl w:val="0"/>
          <w:numId w:val="58"/>
        </w:numPr>
        <w:tabs>
          <w:tab w:val="left" w:pos="360"/>
          <w:tab w:val="left" w:pos="630"/>
        </w:tabs>
        <w:ind w:left="360" w:right="360" w:firstLine="0"/>
        <w:jc w:val="both"/>
        <w:rPr>
          <w:sz w:val="20"/>
          <w:szCs w:val="20"/>
          <w:lang w:val="es-VE"/>
        </w:rPr>
      </w:pPr>
      <w:r>
        <w:rPr>
          <w:rFonts w:ascii="Cambria" w:hAnsi="Cambria"/>
          <w:sz w:val="20"/>
          <w:szCs w:val="20"/>
          <w:lang w:val="es-VE"/>
        </w:rPr>
        <w:t>El</w:t>
      </w:r>
      <w:r w:rsidRPr="000B11E0">
        <w:rPr>
          <w:rFonts w:ascii="Cambria" w:hAnsi="Cambria"/>
          <w:sz w:val="20"/>
          <w:szCs w:val="20"/>
          <w:lang w:val="es-VE"/>
        </w:rPr>
        <w:t xml:space="preserve"> </w:t>
      </w:r>
      <w:r>
        <w:rPr>
          <w:rFonts w:ascii="Cambria" w:hAnsi="Cambria"/>
          <w:sz w:val="20"/>
          <w:szCs w:val="20"/>
          <w:lang w:val="es-VE"/>
        </w:rPr>
        <w:t>1 de enero la residencia del señor Deras fue ametrallada por personas desconocidas.</w:t>
      </w:r>
    </w:p>
    <w:p w14:paraId="372CA125" w14:textId="77777777" w:rsidR="004E4EA1" w:rsidRPr="00C60008" w:rsidRDefault="004E4EA1" w:rsidP="00212202">
      <w:pPr>
        <w:numPr>
          <w:ilvl w:val="0"/>
          <w:numId w:val="58"/>
        </w:numPr>
        <w:tabs>
          <w:tab w:val="left" w:pos="360"/>
          <w:tab w:val="left" w:pos="630"/>
        </w:tabs>
        <w:ind w:left="360" w:right="360" w:firstLine="0"/>
        <w:jc w:val="both"/>
        <w:rPr>
          <w:sz w:val="20"/>
          <w:szCs w:val="20"/>
          <w:lang w:val="es-VE"/>
        </w:rPr>
      </w:pPr>
      <w:r>
        <w:rPr>
          <w:rFonts w:ascii="Cambria" w:hAnsi="Cambria"/>
          <w:sz w:val="20"/>
          <w:szCs w:val="20"/>
          <w:lang w:val="es-VE"/>
        </w:rPr>
        <w:t xml:space="preserve">Durante este año la vivienda del señor Deras fue vigilada por “agentes encubiertos” desde una casa vecina que se encontraba desocupada, </w:t>
      </w:r>
      <w:r w:rsidR="00A3644B">
        <w:rPr>
          <w:rFonts w:ascii="Cambria" w:hAnsi="Cambria"/>
          <w:sz w:val="20"/>
          <w:szCs w:val="20"/>
          <w:lang w:val="es-VE"/>
        </w:rPr>
        <w:t>los cuales realizaban disparos a su domicilio.</w:t>
      </w:r>
    </w:p>
    <w:p w14:paraId="462ECB6D" w14:textId="77777777" w:rsidR="0058157C" w:rsidRPr="003A651A" w:rsidRDefault="0058157C" w:rsidP="00212202">
      <w:pPr>
        <w:tabs>
          <w:tab w:val="left" w:pos="360"/>
          <w:tab w:val="left" w:pos="1440"/>
        </w:tabs>
        <w:jc w:val="both"/>
        <w:rPr>
          <w:rFonts w:ascii="Cambria" w:hAnsi="Cambria"/>
          <w:sz w:val="20"/>
          <w:szCs w:val="20"/>
          <w:lang w:val="es-VE"/>
        </w:rPr>
      </w:pPr>
    </w:p>
    <w:p w14:paraId="0C3EFD47" w14:textId="77777777" w:rsidR="004E6568" w:rsidRPr="00EC51FE" w:rsidRDefault="007266DC" w:rsidP="00212202">
      <w:pPr>
        <w:pStyle w:val="Heading2"/>
        <w:numPr>
          <w:ilvl w:val="0"/>
          <w:numId w:val="61"/>
        </w:numPr>
        <w:tabs>
          <w:tab w:val="left" w:pos="360"/>
        </w:tabs>
        <w:ind w:left="360"/>
        <w:jc w:val="both"/>
      </w:pPr>
      <w:bookmarkStart w:id="16" w:name="_Toc15048000"/>
      <w:bookmarkStart w:id="17" w:name="_Toc21442036"/>
      <w:r w:rsidRPr="00EC51FE">
        <w:t>Sobre la muerte del señor Deras</w:t>
      </w:r>
      <w:r w:rsidR="001B6053" w:rsidRPr="00EC51FE">
        <w:t xml:space="preserve"> y los hechos ocurridos </w:t>
      </w:r>
      <w:r w:rsidR="004F5102">
        <w:t xml:space="preserve">con posterioridad </w:t>
      </w:r>
      <w:r w:rsidR="001B6053" w:rsidRPr="00EC51FE">
        <w:t>en perjuicio de su familia</w:t>
      </w:r>
      <w:bookmarkEnd w:id="16"/>
      <w:bookmarkEnd w:id="17"/>
    </w:p>
    <w:p w14:paraId="678736C0" w14:textId="77777777" w:rsidR="007266DC" w:rsidRPr="003A651A" w:rsidRDefault="007266DC" w:rsidP="00212202">
      <w:pPr>
        <w:tabs>
          <w:tab w:val="left" w:pos="360"/>
          <w:tab w:val="left" w:pos="1440"/>
        </w:tabs>
        <w:jc w:val="both"/>
        <w:rPr>
          <w:rFonts w:ascii="Cambria" w:hAnsi="Cambria"/>
          <w:sz w:val="20"/>
          <w:szCs w:val="20"/>
          <w:lang w:val="es-VE"/>
        </w:rPr>
      </w:pPr>
    </w:p>
    <w:p w14:paraId="494C592A" w14:textId="77777777" w:rsidR="00AA30CA" w:rsidRPr="003A651A" w:rsidRDefault="00AA30CA" w:rsidP="002122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es-VE"/>
        </w:rPr>
      </w:pPr>
      <w:r w:rsidRPr="003A651A">
        <w:rPr>
          <w:rFonts w:ascii="Cambria" w:hAnsi="Cambria"/>
          <w:sz w:val="20"/>
          <w:szCs w:val="20"/>
          <w:lang w:val="es-VE"/>
        </w:rPr>
        <w:t>De acuerdo a lo manifestado por la parte peticionara e Irma Deras, hermana del señor Deras, e</w:t>
      </w:r>
      <w:r w:rsidR="007266DC" w:rsidRPr="003A651A">
        <w:rPr>
          <w:rFonts w:ascii="Cambria" w:hAnsi="Cambria"/>
          <w:sz w:val="20"/>
          <w:szCs w:val="20"/>
          <w:lang w:val="es-VE"/>
        </w:rPr>
        <w:t xml:space="preserve">l 26 de </w:t>
      </w:r>
      <w:r w:rsidR="001818CB">
        <w:rPr>
          <w:rFonts w:ascii="Cambria" w:hAnsi="Cambria"/>
          <w:sz w:val="20"/>
          <w:szCs w:val="20"/>
          <w:lang w:val="es-VE"/>
        </w:rPr>
        <w:t>enero de 1983</w:t>
      </w:r>
      <w:r w:rsidR="00D74459" w:rsidRPr="003A651A">
        <w:rPr>
          <w:rFonts w:ascii="Cambria" w:hAnsi="Cambria"/>
          <w:sz w:val="20"/>
          <w:szCs w:val="20"/>
          <w:lang w:val="es-VE"/>
        </w:rPr>
        <w:t xml:space="preserve"> </w:t>
      </w:r>
      <w:r w:rsidRPr="003A651A">
        <w:rPr>
          <w:rFonts w:ascii="Cambria" w:hAnsi="Cambria"/>
          <w:sz w:val="20"/>
          <w:szCs w:val="20"/>
          <w:lang w:val="es-VE"/>
        </w:rPr>
        <w:t xml:space="preserve">Herminio pidió a su padre </w:t>
      </w:r>
      <w:r w:rsidR="00D74459" w:rsidRPr="003A651A">
        <w:rPr>
          <w:rFonts w:ascii="Cambria" w:hAnsi="Cambria"/>
          <w:sz w:val="20"/>
          <w:szCs w:val="20"/>
          <w:lang w:val="es-VE"/>
        </w:rPr>
        <w:t xml:space="preserve">que intercambiaran de </w:t>
      </w:r>
      <w:r w:rsidRPr="003A651A">
        <w:rPr>
          <w:rFonts w:ascii="Cambria" w:hAnsi="Cambria"/>
          <w:sz w:val="20"/>
          <w:szCs w:val="20"/>
          <w:lang w:val="es-VE"/>
        </w:rPr>
        <w:t xml:space="preserve">autos. Ello debido a que </w:t>
      </w:r>
      <w:r w:rsidR="00D74459" w:rsidRPr="003A651A">
        <w:rPr>
          <w:rFonts w:ascii="Cambria" w:hAnsi="Cambria"/>
          <w:sz w:val="20"/>
          <w:szCs w:val="20"/>
          <w:lang w:val="es-VE"/>
        </w:rPr>
        <w:t xml:space="preserve">la policía de tránsito </w:t>
      </w:r>
      <w:r w:rsidRPr="003A651A">
        <w:rPr>
          <w:rFonts w:ascii="Cambria" w:hAnsi="Cambria"/>
          <w:sz w:val="20"/>
          <w:szCs w:val="20"/>
          <w:lang w:val="es-VE"/>
        </w:rPr>
        <w:t xml:space="preserve">lo </w:t>
      </w:r>
      <w:r w:rsidR="00BC3E74" w:rsidRPr="003A651A">
        <w:rPr>
          <w:rFonts w:ascii="Cambria" w:hAnsi="Cambria"/>
          <w:sz w:val="20"/>
          <w:szCs w:val="20"/>
          <w:lang w:val="es-VE"/>
        </w:rPr>
        <w:t>interceptó</w:t>
      </w:r>
      <w:r w:rsidRPr="003A651A">
        <w:rPr>
          <w:rFonts w:ascii="Cambria" w:hAnsi="Cambria"/>
          <w:sz w:val="20"/>
          <w:szCs w:val="20"/>
          <w:lang w:val="es-VE"/>
        </w:rPr>
        <w:t xml:space="preserve"> y anot</w:t>
      </w:r>
      <w:r w:rsidR="00BC3E74" w:rsidRPr="003A651A">
        <w:rPr>
          <w:rFonts w:ascii="Cambria" w:hAnsi="Cambria"/>
          <w:sz w:val="20"/>
          <w:szCs w:val="20"/>
          <w:lang w:val="es-VE"/>
        </w:rPr>
        <w:t>ó</w:t>
      </w:r>
      <w:r w:rsidRPr="003A651A">
        <w:rPr>
          <w:rFonts w:ascii="Cambria" w:hAnsi="Cambria"/>
          <w:sz w:val="20"/>
          <w:szCs w:val="20"/>
          <w:lang w:val="es-VE"/>
        </w:rPr>
        <w:t xml:space="preserve"> el número de placa de su vehículo. </w:t>
      </w:r>
      <w:r w:rsidR="001818CB">
        <w:rPr>
          <w:rFonts w:ascii="Cambria" w:hAnsi="Cambria"/>
          <w:sz w:val="20"/>
          <w:szCs w:val="20"/>
          <w:lang w:val="es-VE"/>
        </w:rPr>
        <w:t>Señalaron que e</w:t>
      </w:r>
      <w:r w:rsidR="00BC3E74" w:rsidRPr="003A651A">
        <w:rPr>
          <w:rFonts w:ascii="Cambria" w:hAnsi="Cambria"/>
          <w:sz w:val="20"/>
          <w:szCs w:val="20"/>
          <w:lang w:val="es-VE"/>
        </w:rPr>
        <w:t>l señor Deras manifestó que “temía que lo capturaran y desaparecier</w:t>
      </w:r>
      <w:r w:rsidR="0058157C">
        <w:rPr>
          <w:rFonts w:ascii="Cambria" w:hAnsi="Cambria"/>
          <w:sz w:val="20"/>
          <w:szCs w:val="20"/>
          <w:lang w:val="es-VE"/>
        </w:rPr>
        <w:t>a</w:t>
      </w:r>
      <w:r w:rsidR="00BC3E74" w:rsidRPr="003A651A">
        <w:rPr>
          <w:rFonts w:ascii="Cambria" w:hAnsi="Cambria"/>
          <w:sz w:val="20"/>
          <w:szCs w:val="20"/>
          <w:lang w:val="es-VE"/>
        </w:rPr>
        <w:t xml:space="preserve">n”. </w:t>
      </w:r>
      <w:r w:rsidR="001818CB">
        <w:rPr>
          <w:rFonts w:ascii="Cambria" w:hAnsi="Cambria"/>
          <w:sz w:val="20"/>
          <w:szCs w:val="20"/>
          <w:lang w:val="es-VE"/>
        </w:rPr>
        <w:t>Agregaron que el</w:t>
      </w:r>
      <w:r w:rsidR="00BC3E74" w:rsidRPr="003A651A">
        <w:rPr>
          <w:rFonts w:ascii="Cambria" w:hAnsi="Cambria"/>
          <w:sz w:val="20"/>
          <w:szCs w:val="20"/>
          <w:lang w:val="es-VE"/>
        </w:rPr>
        <w:t xml:space="preserve"> padre</w:t>
      </w:r>
      <w:r w:rsidR="001818CB">
        <w:rPr>
          <w:rFonts w:ascii="Cambria" w:hAnsi="Cambria"/>
          <w:sz w:val="20"/>
          <w:szCs w:val="20"/>
          <w:lang w:val="es-VE"/>
        </w:rPr>
        <w:t xml:space="preserve"> del señor Deras se negó a hacerlo y </w:t>
      </w:r>
      <w:r w:rsidR="00BC3E74" w:rsidRPr="003A651A">
        <w:rPr>
          <w:rFonts w:ascii="Cambria" w:hAnsi="Cambria"/>
          <w:sz w:val="20"/>
          <w:szCs w:val="20"/>
          <w:lang w:val="es-VE"/>
        </w:rPr>
        <w:t>pidió</w:t>
      </w:r>
      <w:r w:rsidR="001818CB">
        <w:rPr>
          <w:rFonts w:ascii="Cambria" w:hAnsi="Cambria"/>
          <w:sz w:val="20"/>
          <w:szCs w:val="20"/>
          <w:lang w:val="es-VE"/>
        </w:rPr>
        <w:t xml:space="preserve"> a su hijo</w:t>
      </w:r>
      <w:r w:rsidR="00BC3E74" w:rsidRPr="003A651A">
        <w:rPr>
          <w:rFonts w:ascii="Cambria" w:hAnsi="Cambria"/>
          <w:sz w:val="20"/>
          <w:szCs w:val="20"/>
          <w:lang w:val="es-VE"/>
        </w:rPr>
        <w:t xml:space="preserve"> que </w:t>
      </w:r>
      <w:r w:rsidR="001818CB">
        <w:rPr>
          <w:rFonts w:ascii="Cambria" w:hAnsi="Cambria"/>
          <w:sz w:val="20"/>
          <w:szCs w:val="20"/>
          <w:lang w:val="es-VE"/>
        </w:rPr>
        <w:t>“</w:t>
      </w:r>
      <w:r w:rsidR="00BC3E74" w:rsidRPr="003A651A">
        <w:rPr>
          <w:rFonts w:ascii="Cambria" w:hAnsi="Cambria"/>
          <w:sz w:val="20"/>
          <w:szCs w:val="20"/>
          <w:lang w:val="es-VE"/>
        </w:rPr>
        <w:t>salga del país lo antes posible</w:t>
      </w:r>
      <w:r w:rsidR="001818CB">
        <w:rPr>
          <w:rFonts w:ascii="Cambria" w:hAnsi="Cambria"/>
          <w:sz w:val="20"/>
          <w:szCs w:val="20"/>
          <w:lang w:val="es-VE"/>
        </w:rPr>
        <w:t>”</w:t>
      </w:r>
      <w:r w:rsidR="00BC3E74" w:rsidRPr="00BC3E74">
        <w:rPr>
          <w:rStyle w:val="FootnoteReference"/>
          <w:rFonts w:ascii="Cambria" w:hAnsi="Cambria"/>
          <w:sz w:val="20"/>
          <w:szCs w:val="20"/>
          <w:lang w:val="es-VE"/>
        </w:rPr>
        <w:footnoteReference w:id="11"/>
      </w:r>
      <w:r w:rsidR="00BC3E74" w:rsidRPr="003A651A">
        <w:rPr>
          <w:rFonts w:ascii="Cambria" w:hAnsi="Cambria"/>
          <w:sz w:val="20"/>
          <w:szCs w:val="20"/>
          <w:lang w:val="es-VE"/>
        </w:rPr>
        <w:t>.</w:t>
      </w:r>
    </w:p>
    <w:p w14:paraId="11056BF0" w14:textId="77777777" w:rsidR="004209E0" w:rsidRPr="003A651A" w:rsidRDefault="004209E0" w:rsidP="00212202">
      <w:pPr>
        <w:tabs>
          <w:tab w:val="left" w:pos="360"/>
          <w:tab w:val="left" w:pos="1440"/>
        </w:tabs>
        <w:ind w:left="630"/>
        <w:jc w:val="both"/>
        <w:rPr>
          <w:rFonts w:ascii="Cambria" w:hAnsi="Cambria"/>
          <w:sz w:val="20"/>
          <w:szCs w:val="20"/>
          <w:lang w:val="es-VE"/>
        </w:rPr>
      </w:pPr>
    </w:p>
    <w:p w14:paraId="180A9B33" w14:textId="77777777" w:rsidR="002D38EE" w:rsidRPr="003A651A" w:rsidRDefault="00EE7D35" w:rsidP="002122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b/>
          <w:sz w:val="20"/>
          <w:szCs w:val="20"/>
          <w:lang w:val="es-VE"/>
        </w:rPr>
      </w:pPr>
      <w:r w:rsidRPr="003A651A">
        <w:rPr>
          <w:rFonts w:ascii="Cambria" w:hAnsi="Cambria"/>
          <w:sz w:val="20"/>
          <w:szCs w:val="20"/>
          <w:lang w:val="es-VE"/>
        </w:rPr>
        <w:t>En la madrugada del</w:t>
      </w:r>
      <w:r w:rsidR="002D38EE" w:rsidRPr="003A651A">
        <w:rPr>
          <w:rFonts w:ascii="Cambria" w:hAnsi="Cambria"/>
          <w:sz w:val="20"/>
          <w:szCs w:val="20"/>
          <w:lang w:val="es-VE"/>
        </w:rPr>
        <w:t xml:space="preserve"> 29 de enero de 1983 </w:t>
      </w:r>
      <w:r w:rsidR="00EB7E59" w:rsidRPr="003A651A">
        <w:rPr>
          <w:rFonts w:ascii="Cambria" w:hAnsi="Cambria"/>
          <w:sz w:val="20"/>
          <w:szCs w:val="20"/>
          <w:lang w:val="es-VE"/>
        </w:rPr>
        <w:t xml:space="preserve">Herminio Deras </w:t>
      </w:r>
      <w:r w:rsidR="002D38EE" w:rsidRPr="003A651A">
        <w:rPr>
          <w:rFonts w:ascii="Cambria" w:hAnsi="Cambria"/>
          <w:sz w:val="20"/>
          <w:szCs w:val="20"/>
          <w:lang w:val="es-VE"/>
        </w:rPr>
        <w:t xml:space="preserve">se encontraba manejando su vehículo en el barrio Las Flores en San Pedro Sula cuando fue interceptado por el oficial de tránsito Fausto Reyes. De acuerdo a la declaración del señor </w:t>
      </w:r>
      <w:r w:rsidR="009738D3" w:rsidRPr="003A651A">
        <w:rPr>
          <w:rFonts w:ascii="Cambria" w:hAnsi="Cambria"/>
          <w:sz w:val="20"/>
          <w:szCs w:val="20"/>
          <w:lang w:val="es-VE"/>
        </w:rPr>
        <w:t xml:space="preserve">Reyes, ese día se “montó un operativo de registro de documentos” ordenado por el Capitán </w:t>
      </w:r>
      <w:r w:rsidR="009738D3" w:rsidRPr="009738D3">
        <w:rPr>
          <w:rFonts w:ascii="Cambria" w:hAnsi="Cambria"/>
          <w:sz w:val="20"/>
          <w:szCs w:val="20"/>
          <w:lang w:val="es-VE"/>
        </w:rPr>
        <w:t>Rafael Canales Núñez, a cargo del Batallón de Inteligencia 3-16</w:t>
      </w:r>
      <w:r w:rsidR="009738D3">
        <w:rPr>
          <w:rFonts w:ascii="Cambria" w:hAnsi="Cambria"/>
          <w:sz w:val="20"/>
          <w:szCs w:val="20"/>
          <w:lang w:val="es-VE"/>
        </w:rPr>
        <w:t>. El señor Reyes sostuvo que el Capitán Canales le advirtió que dicho operativo “era una misión especial” en tanto se tenía como objetivo “</w:t>
      </w:r>
      <w:r w:rsidR="009738D3" w:rsidRPr="009738D3">
        <w:rPr>
          <w:rFonts w:ascii="Cambria" w:hAnsi="Cambria"/>
          <w:sz w:val="20"/>
          <w:szCs w:val="20"/>
          <w:lang w:val="es-VE"/>
        </w:rPr>
        <w:t>detener y poner bajo disposición de la Fuerza de Seguridad</w:t>
      </w:r>
      <w:r w:rsidR="009738D3">
        <w:rPr>
          <w:rFonts w:ascii="Cambria" w:hAnsi="Cambria"/>
          <w:sz w:val="20"/>
          <w:szCs w:val="20"/>
          <w:lang w:val="es-VE"/>
        </w:rPr>
        <w:t xml:space="preserve">” a “un terrorista”. Agregó que la persona a cargo de dicha misión </w:t>
      </w:r>
      <w:r w:rsidR="0058157C">
        <w:rPr>
          <w:rFonts w:ascii="Cambria" w:hAnsi="Cambria"/>
          <w:sz w:val="20"/>
          <w:szCs w:val="20"/>
          <w:lang w:val="es-VE"/>
        </w:rPr>
        <w:t>era</w:t>
      </w:r>
      <w:r w:rsidR="009738D3">
        <w:rPr>
          <w:rFonts w:ascii="Cambria" w:hAnsi="Cambria"/>
          <w:sz w:val="20"/>
          <w:szCs w:val="20"/>
          <w:lang w:val="es-VE"/>
        </w:rPr>
        <w:t xml:space="preserve"> el Teniente Marco Tulio Regalado.</w:t>
      </w:r>
    </w:p>
    <w:p w14:paraId="69F0B22A" w14:textId="77777777" w:rsidR="002D38EE" w:rsidRPr="003A651A" w:rsidRDefault="002D38EE" w:rsidP="00212202">
      <w:pPr>
        <w:tabs>
          <w:tab w:val="left" w:pos="360"/>
          <w:tab w:val="left" w:pos="1440"/>
        </w:tabs>
        <w:jc w:val="both"/>
        <w:rPr>
          <w:rFonts w:ascii="Cambria" w:hAnsi="Cambria"/>
          <w:sz w:val="20"/>
          <w:szCs w:val="20"/>
          <w:lang w:val="es-VE"/>
        </w:rPr>
      </w:pPr>
    </w:p>
    <w:p w14:paraId="51EFEFC4" w14:textId="77777777" w:rsidR="00DB477F" w:rsidRPr="003A651A" w:rsidRDefault="009E0CDD" w:rsidP="002122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es-VE"/>
        </w:rPr>
      </w:pPr>
      <w:r w:rsidRPr="003A651A">
        <w:rPr>
          <w:rFonts w:ascii="Cambria" w:hAnsi="Cambria"/>
          <w:sz w:val="20"/>
          <w:szCs w:val="20"/>
          <w:lang w:val="es-VE"/>
        </w:rPr>
        <w:t xml:space="preserve">El señor Reyes manifestó que mientras “hacía la revisión de rutina” al vehículo del señor Deras, “se parqueó (...) un vehículo” de donde “se bajaron dos (...) miembros de contrainteligencia </w:t>
      </w:r>
      <w:r w:rsidRPr="009E0CDD">
        <w:rPr>
          <w:rFonts w:ascii="Cambria" w:hAnsi="Cambria"/>
          <w:sz w:val="20"/>
          <w:szCs w:val="20"/>
          <w:lang w:val="es-VE"/>
        </w:rPr>
        <w:t>militar, conocido como el  batallón 3-16”</w:t>
      </w:r>
      <w:r w:rsidRPr="003A651A">
        <w:rPr>
          <w:rFonts w:ascii="Cambria" w:hAnsi="Cambria"/>
          <w:sz w:val="20"/>
          <w:szCs w:val="20"/>
          <w:lang w:val="es-VE"/>
        </w:rPr>
        <w:t xml:space="preserve">. Indicó que uno de estos dos oficiales era el Teniente </w:t>
      </w:r>
      <w:r w:rsidRPr="009E0CDD">
        <w:rPr>
          <w:rFonts w:ascii="Cambria" w:hAnsi="Cambria"/>
          <w:sz w:val="20"/>
          <w:szCs w:val="20"/>
          <w:lang w:val="es-VE"/>
        </w:rPr>
        <w:t>Marco Tulio Regalado</w:t>
      </w:r>
      <w:r>
        <w:rPr>
          <w:rFonts w:ascii="Cambria" w:hAnsi="Cambria"/>
          <w:sz w:val="20"/>
          <w:szCs w:val="20"/>
          <w:lang w:val="es-VE"/>
        </w:rPr>
        <w:t xml:space="preserve">, los cuales ingresaron al vehículo del señor Deras. </w:t>
      </w:r>
      <w:r w:rsidR="00DB477F">
        <w:rPr>
          <w:rFonts w:ascii="Cambria" w:hAnsi="Cambria"/>
          <w:sz w:val="20"/>
          <w:szCs w:val="20"/>
          <w:lang w:val="es-VE"/>
        </w:rPr>
        <w:t xml:space="preserve">Manifestó que </w:t>
      </w:r>
      <w:r w:rsidR="00DB477F" w:rsidRPr="00DB477F">
        <w:rPr>
          <w:rFonts w:ascii="Cambria" w:hAnsi="Cambria"/>
          <w:sz w:val="20"/>
          <w:szCs w:val="20"/>
          <w:lang w:val="es-VE"/>
        </w:rPr>
        <w:t>“se comentaba qu</w:t>
      </w:r>
      <w:r w:rsidR="00DB477F">
        <w:rPr>
          <w:rFonts w:ascii="Cambria" w:hAnsi="Cambria"/>
          <w:sz w:val="20"/>
          <w:szCs w:val="20"/>
          <w:lang w:val="es-VE"/>
        </w:rPr>
        <w:t xml:space="preserve">e Marco Tulio, era un enfermo, </w:t>
      </w:r>
      <w:r w:rsidR="00DB477F" w:rsidRPr="00DB477F">
        <w:rPr>
          <w:rFonts w:ascii="Cambria" w:hAnsi="Cambria"/>
          <w:sz w:val="20"/>
          <w:szCs w:val="20"/>
          <w:lang w:val="es-VE"/>
        </w:rPr>
        <w:t>dijo que no podí</w:t>
      </w:r>
      <w:r w:rsidR="00DB477F">
        <w:rPr>
          <w:rFonts w:ascii="Cambria" w:hAnsi="Cambria"/>
          <w:sz w:val="20"/>
          <w:szCs w:val="20"/>
          <w:lang w:val="es-VE"/>
        </w:rPr>
        <w:t xml:space="preserve">a vivir sin matar a un persona (...) </w:t>
      </w:r>
      <w:r w:rsidR="00DB477F" w:rsidRPr="00DB477F">
        <w:rPr>
          <w:rFonts w:ascii="Cambria" w:hAnsi="Cambria"/>
          <w:sz w:val="20"/>
          <w:szCs w:val="20"/>
          <w:lang w:val="es-VE"/>
        </w:rPr>
        <w:t>yo personalmente, sé que es un hombre muy violento</w:t>
      </w:r>
      <w:r w:rsidR="00DB477F">
        <w:rPr>
          <w:rFonts w:ascii="Cambria" w:hAnsi="Cambria"/>
          <w:sz w:val="20"/>
          <w:szCs w:val="20"/>
          <w:lang w:val="es-VE"/>
        </w:rPr>
        <w:t>”.</w:t>
      </w:r>
    </w:p>
    <w:p w14:paraId="7CCE0B5D" w14:textId="77777777" w:rsidR="00DB477F" w:rsidRDefault="00DB477F" w:rsidP="00212202">
      <w:pPr>
        <w:tabs>
          <w:tab w:val="left" w:pos="360"/>
          <w:tab w:val="left" w:pos="1440"/>
        </w:tabs>
        <w:jc w:val="both"/>
        <w:rPr>
          <w:rFonts w:ascii="Cambria" w:hAnsi="Cambria"/>
          <w:sz w:val="20"/>
          <w:szCs w:val="20"/>
          <w:lang w:val="es-VE"/>
        </w:rPr>
      </w:pPr>
    </w:p>
    <w:p w14:paraId="0796F4D6" w14:textId="77777777" w:rsidR="002D38EE" w:rsidRPr="003A651A" w:rsidRDefault="009E0CDD" w:rsidP="002122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es-VE"/>
        </w:rPr>
      </w:pPr>
      <w:r w:rsidRPr="00DB477F">
        <w:rPr>
          <w:rFonts w:ascii="Cambria" w:hAnsi="Cambria"/>
          <w:sz w:val="20"/>
          <w:szCs w:val="20"/>
          <w:lang w:val="es-VE"/>
        </w:rPr>
        <w:t>Sostuvo que al preguntar al Teniente</w:t>
      </w:r>
      <w:r w:rsidR="00642E8B" w:rsidRPr="00DB477F">
        <w:rPr>
          <w:rFonts w:ascii="Cambria" w:hAnsi="Cambria"/>
          <w:sz w:val="20"/>
          <w:szCs w:val="20"/>
          <w:lang w:val="es-VE"/>
        </w:rPr>
        <w:t xml:space="preserve"> </w:t>
      </w:r>
      <w:r w:rsidR="00DB477F" w:rsidRPr="00DB477F">
        <w:rPr>
          <w:rFonts w:ascii="Cambria" w:hAnsi="Cambria"/>
          <w:sz w:val="20"/>
          <w:szCs w:val="20"/>
          <w:lang w:val="es-VE"/>
        </w:rPr>
        <w:t xml:space="preserve">Marco Tulio </w:t>
      </w:r>
      <w:r w:rsidR="00642E8B" w:rsidRPr="00DB477F">
        <w:rPr>
          <w:rFonts w:ascii="Cambria" w:hAnsi="Cambria"/>
          <w:sz w:val="20"/>
          <w:szCs w:val="20"/>
          <w:lang w:val="es-VE"/>
        </w:rPr>
        <w:t xml:space="preserve">Regalado por qué motivo se lo iban a llevar, éste le indicó que “eran órdenes superiores”. Explicó que vio al señor Deras conduciendo el auto junto con los dos oficiales. </w:t>
      </w:r>
      <w:r w:rsidR="008C768F">
        <w:rPr>
          <w:rFonts w:ascii="Cambria" w:hAnsi="Cambria"/>
          <w:sz w:val="20"/>
          <w:szCs w:val="20"/>
          <w:lang w:val="es-VE"/>
        </w:rPr>
        <w:t>El señor Reyes a</w:t>
      </w:r>
      <w:r w:rsidR="00642E8B" w:rsidRPr="00DB477F">
        <w:rPr>
          <w:rFonts w:ascii="Cambria" w:hAnsi="Cambria"/>
          <w:sz w:val="20"/>
          <w:szCs w:val="20"/>
          <w:lang w:val="es-VE"/>
        </w:rPr>
        <w:t>gregó que momentos después, mientras se encontraba comprando café en un mercado cercano, oyó un disparo de bala. Manifestó que cuando llegó al lugar de los hechos “allí estaba el señor Herminio, sin vida, estaba dentro del carro en la calle”</w:t>
      </w:r>
      <w:r w:rsidR="00642E8B" w:rsidRPr="00642E8B">
        <w:rPr>
          <w:rStyle w:val="FootnoteReference"/>
          <w:rFonts w:ascii="Cambria" w:hAnsi="Cambria"/>
          <w:sz w:val="20"/>
          <w:szCs w:val="20"/>
          <w:lang w:val="es-VE"/>
        </w:rPr>
        <w:footnoteReference w:id="12"/>
      </w:r>
      <w:r w:rsidR="00642E8B" w:rsidRPr="00DB477F">
        <w:rPr>
          <w:rFonts w:ascii="Cambria" w:hAnsi="Cambria"/>
          <w:sz w:val="20"/>
          <w:szCs w:val="20"/>
          <w:lang w:val="es-VE"/>
        </w:rPr>
        <w:t>.</w:t>
      </w:r>
    </w:p>
    <w:p w14:paraId="453B6792" w14:textId="77777777" w:rsidR="00642E8B" w:rsidRPr="003A651A" w:rsidRDefault="00642E8B" w:rsidP="00212202">
      <w:pPr>
        <w:tabs>
          <w:tab w:val="left" w:pos="360"/>
          <w:tab w:val="left" w:pos="1440"/>
        </w:tabs>
        <w:jc w:val="both"/>
        <w:rPr>
          <w:rFonts w:ascii="Cambria" w:hAnsi="Cambria"/>
          <w:sz w:val="20"/>
          <w:szCs w:val="20"/>
          <w:lang w:val="es-VE"/>
        </w:rPr>
      </w:pPr>
    </w:p>
    <w:p w14:paraId="13011DDD" w14:textId="77777777" w:rsidR="00642E8B" w:rsidRPr="003A651A" w:rsidRDefault="00642E8B" w:rsidP="002122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es-VE"/>
        </w:rPr>
      </w:pPr>
      <w:r>
        <w:rPr>
          <w:rFonts w:ascii="Cambria" w:hAnsi="Cambria"/>
          <w:sz w:val="20"/>
          <w:szCs w:val="20"/>
          <w:lang w:val="es-VE"/>
        </w:rPr>
        <w:t xml:space="preserve">Asimismo, la Comisión toma nota de que </w:t>
      </w:r>
      <w:r w:rsidR="00EE7D35">
        <w:rPr>
          <w:rFonts w:ascii="Cambria" w:hAnsi="Cambria"/>
          <w:sz w:val="20"/>
          <w:szCs w:val="20"/>
          <w:lang w:val="es-VE"/>
        </w:rPr>
        <w:t>Irma Isabel Deras</w:t>
      </w:r>
      <w:r>
        <w:rPr>
          <w:rFonts w:ascii="Cambria" w:hAnsi="Cambria"/>
          <w:sz w:val="20"/>
          <w:szCs w:val="20"/>
          <w:lang w:val="es-VE"/>
        </w:rPr>
        <w:t xml:space="preserve"> manifestó </w:t>
      </w:r>
      <w:r w:rsidR="00EE7D35">
        <w:rPr>
          <w:rFonts w:ascii="Cambria" w:hAnsi="Cambria"/>
          <w:sz w:val="20"/>
          <w:szCs w:val="20"/>
          <w:lang w:val="es-VE"/>
        </w:rPr>
        <w:t>lo siguiente sobre la muerte de su hermano:</w:t>
      </w:r>
    </w:p>
    <w:p w14:paraId="2CE36840" w14:textId="77777777" w:rsidR="00EE7D35" w:rsidRPr="003A651A" w:rsidRDefault="00EE7D35" w:rsidP="00212202">
      <w:pPr>
        <w:tabs>
          <w:tab w:val="left" w:pos="360"/>
          <w:tab w:val="left" w:pos="1440"/>
        </w:tabs>
        <w:jc w:val="both"/>
        <w:rPr>
          <w:rFonts w:ascii="Cambria" w:hAnsi="Cambria"/>
          <w:sz w:val="20"/>
          <w:szCs w:val="20"/>
          <w:lang w:val="es-VE"/>
        </w:rPr>
      </w:pPr>
    </w:p>
    <w:p w14:paraId="2B23253C" w14:textId="77777777" w:rsidR="00EE7D35" w:rsidRPr="00DD7055" w:rsidRDefault="00EE7D35" w:rsidP="00212202">
      <w:pPr>
        <w:pStyle w:val="ListParagraph"/>
        <w:tabs>
          <w:tab w:val="left" w:pos="360"/>
        </w:tabs>
        <w:ind w:left="360" w:right="360"/>
        <w:jc w:val="both"/>
        <w:rPr>
          <w:rFonts w:ascii="Cambria" w:hAnsi="Cambria"/>
          <w:sz w:val="18"/>
          <w:szCs w:val="18"/>
          <w:lang w:val="es-VE"/>
        </w:rPr>
      </w:pPr>
      <w:r w:rsidRPr="00DD7055">
        <w:rPr>
          <w:rFonts w:ascii="Cambria" w:eastAsia="Times New Roman" w:hAnsi="Cambria" w:cs="Arial"/>
          <w:sz w:val="18"/>
          <w:szCs w:val="18"/>
          <w:bdr w:val="none" w:sz="0" w:space="0" w:color="auto"/>
          <w:shd w:val="clear" w:color="auto" w:fill="FFFFFF"/>
          <w:lang w:val="es-CL"/>
        </w:rPr>
        <w:t>[Herminio Deras]</w:t>
      </w:r>
      <w:r w:rsidRPr="00DD7055">
        <w:rPr>
          <w:rFonts w:ascii="Cambria" w:hAnsi="Cambria"/>
          <w:sz w:val="18"/>
          <w:szCs w:val="18"/>
          <w:lang w:val="es-VE"/>
        </w:rPr>
        <w:t xml:space="preserve"> </w:t>
      </w:r>
      <w:r w:rsidR="006C517C" w:rsidRPr="00DD7055">
        <w:rPr>
          <w:rFonts w:ascii="Cambria" w:hAnsi="Cambria"/>
          <w:sz w:val="18"/>
          <w:szCs w:val="18"/>
          <w:lang w:val="es-VE"/>
        </w:rPr>
        <w:t xml:space="preserve">forzó con sus captores, quienes querían introducirlo al vehículo, y al no lograrlo le </w:t>
      </w:r>
      <w:r w:rsidR="006C517C" w:rsidRPr="00212202">
        <w:rPr>
          <w:rFonts w:ascii="Cambria" w:hAnsi="Cambria"/>
          <w:sz w:val="18"/>
          <w:szCs w:val="18"/>
          <w:lang w:val="es-CL"/>
        </w:rPr>
        <w:t>dispararon</w:t>
      </w:r>
      <w:r w:rsidR="006C517C" w:rsidRPr="00DD7055">
        <w:rPr>
          <w:rFonts w:ascii="Cambria" w:hAnsi="Cambria"/>
          <w:sz w:val="18"/>
          <w:szCs w:val="18"/>
          <w:lang w:val="es-VE"/>
        </w:rPr>
        <w:t>, contamos casi 30 disparos que presentaba su cuerpo (…)</w:t>
      </w:r>
      <w:r w:rsidR="00C3478E" w:rsidRPr="00DD7055">
        <w:rPr>
          <w:rFonts w:ascii="Cambria" w:hAnsi="Cambria"/>
          <w:sz w:val="18"/>
          <w:szCs w:val="18"/>
          <w:lang w:val="es-VE"/>
        </w:rPr>
        <w:t>.</w:t>
      </w:r>
      <w:r w:rsidRPr="00DD7055">
        <w:rPr>
          <w:rFonts w:ascii="Cambria" w:hAnsi="Cambria"/>
          <w:sz w:val="18"/>
          <w:szCs w:val="18"/>
          <w:lang w:val="es-VE"/>
        </w:rPr>
        <w:t xml:space="preserve"> En el momento que lo forsejenado (sic) pasó un taxista a quien Herminio le gritaba que avisara a sus familiares, pero este señor fue amenazado por el hombre de la motocicleta. Esto lo sabemos porque él nos envió una nota donde contaba eso pero no la firmó por eso no </w:t>
      </w:r>
      <w:r w:rsidRPr="00DD7055">
        <w:rPr>
          <w:rFonts w:ascii="Cambria" w:hAnsi="Cambria"/>
          <w:sz w:val="18"/>
          <w:szCs w:val="18"/>
          <w:lang w:val="es-VE"/>
        </w:rPr>
        <w:lastRenderedPageBreak/>
        <w:t>pudimos localizarlo (...) ahora que el señor Fausto Reyes ha hecho pública</w:t>
      </w:r>
      <w:r w:rsidR="00EF2976">
        <w:rPr>
          <w:rFonts w:ascii="Cambria" w:hAnsi="Cambria"/>
          <w:sz w:val="18"/>
          <w:szCs w:val="18"/>
          <w:lang w:val="es-VE"/>
        </w:rPr>
        <w:t>s</w:t>
      </w:r>
      <w:r w:rsidRPr="00DD7055">
        <w:rPr>
          <w:rFonts w:ascii="Cambria" w:hAnsi="Cambria"/>
          <w:sz w:val="18"/>
          <w:szCs w:val="18"/>
          <w:lang w:val="es-VE"/>
        </w:rPr>
        <w:t xml:space="preserve"> sus declaraciones, entiendo que fue el quien sacó a Herminio del carro, y se lo entregó a quienes lo asesinaron</w:t>
      </w:r>
      <w:r w:rsidRPr="00DD7055">
        <w:rPr>
          <w:rStyle w:val="FootnoteReference"/>
          <w:rFonts w:ascii="Cambria" w:hAnsi="Cambria"/>
          <w:sz w:val="18"/>
          <w:szCs w:val="18"/>
          <w:lang w:val="es-VE"/>
        </w:rPr>
        <w:footnoteReference w:id="13"/>
      </w:r>
      <w:r w:rsidRPr="00DD7055">
        <w:rPr>
          <w:rFonts w:ascii="Cambria" w:hAnsi="Cambria"/>
          <w:sz w:val="18"/>
          <w:szCs w:val="18"/>
          <w:lang w:val="es-VE"/>
        </w:rPr>
        <w:t>.</w:t>
      </w:r>
    </w:p>
    <w:p w14:paraId="7E583B4C" w14:textId="77777777" w:rsidR="00EE7D35" w:rsidRPr="003A651A" w:rsidRDefault="00EE7D35" w:rsidP="00212202">
      <w:pPr>
        <w:tabs>
          <w:tab w:val="left" w:pos="360"/>
          <w:tab w:val="left" w:pos="1440"/>
        </w:tabs>
        <w:ind w:left="630"/>
        <w:jc w:val="both"/>
        <w:rPr>
          <w:rFonts w:ascii="Cambria" w:hAnsi="Cambria"/>
          <w:sz w:val="20"/>
          <w:szCs w:val="20"/>
          <w:lang w:val="es-VE"/>
        </w:rPr>
      </w:pPr>
    </w:p>
    <w:p w14:paraId="19E7BDE9" w14:textId="77777777" w:rsidR="00E23436" w:rsidRPr="003A651A" w:rsidRDefault="00E23436" w:rsidP="002122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es-VE"/>
        </w:rPr>
      </w:pPr>
      <w:r w:rsidRPr="003A651A">
        <w:rPr>
          <w:rFonts w:ascii="Cambria" w:hAnsi="Cambria"/>
          <w:sz w:val="20"/>
          <w:szCs w:val="20"/>
          <w:lang w:val="es-VE"/>
        </w:rPr>
        <w:t>La CIDH también observa que conforme a una nota de prensa en el diario La Tribuna se indicó lo siguiente sobre la muerte del señor Deras:</w:t>
      </w:r>
    </w:p>
    <w:p w14:paraId="6A6D4B50" w14:textId="77777777" w:rsidR="00E23436" w:rsidRPr="003A651A" w:rsidRDefault="00E23436" w:rsidP="00212202">
      <w:pPr>
        <w:tabs>
          <w:tab w:val="left" w:pos="360"/>
          <w:tab w:val="left" w:pos="1440"/>
        </w:tabs>
        <w:ind w:left="630"/>
        <w:jc w:val="both"/>
        <w:rPr>
          <w:rFonts w:ascii="Cambria" w:hAnsi="Cambria"/>
          <w:sz w:val="20"/>
          <w:szCs w:val="20"/>
          <w:lang w:val="es-VE"/>
        </w:rPr>
      </w:pPr>
    </w:p>
    <w:p w14:paraId="7DEF3AB0" w14:textId="77777777" w:rsidR="00E23436" w:rsidRPr="00DD7055" w:rsidRDefault="00E23436" w:rsidP="00212202">
      <w:pPr>
        <w:pStyle w:val="ListParagraph"/>
        <w:tabs>
          <w:tab w:val="left" w:pos="360"/>
        </w:tabs>
        <w:ind w:left="360" w:right="360"/>
        <w:jc w:val="both"/>
        <w:rPr>
          <w:rFonts w:ascii="Cambria" w:eastAsia="Times New Roman" w:hAnsi="Cambria" w:cs="Arial"/>
          <w:sz w:val="18"/>
          <w:szCs w:val="18"/>
          <w:bdr w:val="none" w:sz="0" w:space="0" w:color="auto"/>
          <w:shd w:val="clear" w:color="auto" w:fill="FFFFFF"/>
          <w:lang w:val="es-CL"/>
        </w:rPr>
      </w:pPr>
      <w:r w:rsidRPr="00DD7055">
        <w:rPr>
          <w:rFonts w:ascii="Cambria" w:eastAsia="Times New Roman" w:hAnsi="Cambria" w:cs="Arial"/>
          <w:sz w:val="18"/>
          <w:szCs w:val="18"/>
          <w:bdr w:val="none" w:sz="0" w:space="0" w:color="auto"/>
          <w:shd w:val="clear" w:color="auto" w:fill="FFFFFF"/>
          <w:lang w:val="es-CL"/>
        </w:rPr>
        <w:t xml:space="preserve">Algunos vecinos, con temor aseguraron a la viuda que tres hombres fuertemente armados y una mujer </w:t>
      </w:r>
      <w:r w:rsidRPr="00212202">
        <w:rPr>
          <w:rFonts w:ascii="Cambria" w:hAnsi="Cambria"/>
          <w:sz w:val="18"/>
          <w:szCs w:val="18"/>
          <w:lang w:val="es-CL"/>
        </w:rPr>
        <w:t>se</w:t>
      </w:r>
      <w:r w:rsidRPr="00DD7055">
        <w:rPr>
          <w:rFonts w:ascii="Cambria" w:eastAsia="Times New Roman" w:hAnsi="Cambria" w:cs="Arial"/>
          <w:sz w:val="18"/>
          <w:szCs w:val="18"/>
          <w:bdr w:val="none" w:sz="0" w:space="0" w:color="auto"/>
          <w:shd w:val="clear" w:color="auto" w:fill="FFFFFF"/>
          <w:lang w:val="es-CL"/>
        </w:rPr>
        <w:t xml:space="preserve"> </w:t>
      </w:r>
      <w:r w:rsidRPr="00EC51FE">
        <w:rPr>
          <w:rFonts w:ascii="Cambria" w:hAnsi="Cambria"/>
          <w:sz w:val="18"/>
          <w:szCs w:val="18"/>
          <w:lang w:val="es-VE"/>
        </w:rPr>
        <w:t>bajaron</w:t>
      </w:r>
      <w:r w:rsidRPr="00DD7055">
        <w:rPr>
          <w:rFonts w:ascii="Cambria" w:eastAsia="Times New Roman" w:hAnsi="Cambria" w:cs="Arial"/>
          <w:sz w:val="18"/>
          <w:szCs w:val="18"/>
          <w:bdr w:val="none" w:sz="0" w:space="0" w:color="auto"/>
          <w:shd w:val="clear" w:color="auto" w:fill="FFFFFF"/>
          <w:lang w:val="es-CL"/>
        </w:rPr>
        <w:t xml:space="preserve"> de ambos carros y enseguida, dándole golpes trataban que [Herminio Deras] se subiera a uno de los vehículos. Momentos después recibió un fuerte castigo de sus agresores, quienes no solamente golpearon su cráneo, sino que lo acuchillaron y luego lo mataron de siete balazos.</w:t>
      </w:r>
    </w:p>
    <w:p w14:paraId="5DAB7117" w14:textId="77777777" w:rsidR="00E23436" w:rsidRPr="003A651A" w:rsidRDefault="00E23436" w:rsidP="00212202">
      <w:pPr>
        <w:tabs>
          <w:tab w:val="left" w:pos="360"/>
          <w:tab w:val="left" w:pos="1440"/>
        </w:tabs>
        <w:jc w:val="both"/>
        <w:rPr>
          <w:rFonts w:ascii="Cambria" w:hAnsi="Cambria"/>
          <w:sz w:val="20"/>
          <w:szCs w:val="20"/>
          <w:lang w:val="es-VE"/>
        </w:rPr>
      </w:pPr>
    </w:p>
    <w:p w14:paraId="151E62A3" w14:textId="77777777" w:rsidR="00111F5E" w:rsidRPr="003A651A" w:rsidRDefault="00E23436" w:rsidP="002122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es-VE"/>
        </w:rPr>
      </w:pPr>
      <w:r w:rsidRPr="003A651A">
        <w:rPr>
          <w:rFonts w:ascii="Cambria" w:hAnsi="Cambria"/>
          <w:sz w:val="20"/>
          <w:szCs w:val="20"/>
          <w:lang w:val="es-VE"/>
        </w:rPr>
        <w:t xml:space="preserve">La misma nota sostiene que el cadáver del señor Deras fue llevado por agentes de la </w:t>
      </w:r>
      <w:r w:rsidR="00EA3F07" w:rsidRPr="003A651A">
        <w:rPr>
          <w:rFonts w:ascii="Cambria" w:hAnsi="Cambria"/>
          <w:sz w:val="20"/>
          <w:szCs w:val="20"/>
          <w:lang w:val="es-VE"/>
        </w:rPr>
        <w:t>Fuerza de Seguridad Pública (FUSEP) a</w:t>
      </w:r>
      <w:r w:rsidR="00111F5E" w:rsidRPr="003A651A">
        <w:rPr>
          <w:rFonts w:ascii="Cambria" w:hAnsi="Cambria"/>
          <w:sz w:val="20"/>
          <w:szCs w:val="20"/>
          <w:lang w:val="es-VE"/>
        </w:rPr>
        <w:t xml:space="preserve"> </w:t>
      </w:r>
      <w:r w:rsidR="00EA3F07" w:rsidRPr="003A651A">
        <w:rPr>
          <w:rFonts w:ascii="Cambria" w:hAnsi="Cambria"/>
          <w:sz w:val="20"/>
          <w:szCs w:val="20"/>
          <w:lang w:val="es-VE"/>
        </w:rPr>
        <w:t>l</w:t>
      </w:r>
      <w:r w:rsidR="00111F5E" w:rsidRPr="003A651A">
        <w:rPr>
          <w:rFonts w:ascii="Cambria" w:hAnsi="Cambria"/>
          <w:sz w:val="20"/>
          <w:szCs w:val="20"/>
          <w:lang w:val="es-VE"/>
        </w:rPr>
        <w:t>a morgue del</w:t>
      </w:r>
      <w:r w:rsidR="00EA3F07" w:rsidRPr="003A651A">
        <w:rPr>
          <w:rFonts w:ascii="Cambria" w:hAnsi="Cambria"/>
          <w:sz w:val="20"/>
          <w:szCs w:val="20"/>
          <w:lang w:val="es-VE"/>
        </w:rPr>
        <w:t xml:space="preserve"> hospital Leonardo Martínez</w:t>
      </w:r>
      <w:r w:rsidR="00EA3F07">
        <w:rPr>
          <w:rStyle w:val="FootnoteReference"/>
          <w:rFonts w:ascii="Cambria" w:eastAsia="Times New Roman" w:hAnsi="Cambria" w:cs="Arial"/>
          <w:sz w:val="20"/>
          <w:szCs w:val="20"/>
          <w:bdr w:val="none" w:sz="0" w:space="0" w:color="auto"/>
          <w:shd w:val="clear" w:color="auto" w:fill="FFFFFF"/>
        </w:rPr>
        <w:footnoteReference w:id="14"/>
      </w:r>
      <w:r w:rsidR="00EA3F07" w:rsidRPr="003A651A">
        <w:rPr>
          <w:rFonts w:ascii="Cambria" w:hAnsi="Cambria"/>
          <w:sz w:val="20"/>
          <w:szCs w:val="20"/>
          <w:lang w:val="es-VE"/>
        </w:rPr>
        <w:t xml:space="preserve">. </w:t>
      </w:r>
      <w:r w:rsidR="00111F5E" w:rsidRPr="003A651A">
        <w:rPr>
          <w:rFonts w:ascii="Cambria" w:hAnsi="Cambria"/>
          <w:sz w:val="20"/>
          <w:szCs w:val="20"/>
          <w:lang w:val="es-VE"/>
        </w:rPr>
        <w:t>La parte peticionaria explicó que el Comandante de la Tercera Estación Policial del barrio Las Flores, la cual se encontraba ubicada cerca de donde ocurrieron los hechos, se hizo presente en el lugar de los hechos y ordenó que el cuerpo de</w:t>
      </w:r>
      <w:r w:rsidR="00306948" w:rsidRPr="003A651A">
        <w:rPr>
          <w:rFonts w:ascii="Cambria" w:hAnsi="Cambria"/>
          <w:sz w:val="20"/>
          <w:szCs w:val="20"/>
          <w:lang w:val="es-VE"/>
        </w:rPr>
        <w:t xml:space="preserve">l señor Deras </w:t>
      </w:r>
      <w:r w:rsidR="00EF2976">
        <w:rPr>
          <w:rFonts w:ascii="Cambria" w:hAnsi="Cambria"/>
          <w:sz w:val="20"/>
          <w:szCs w:val="20"/>
          <w:lang w:val="es-VE"/>
        </w:rPr>
        <w:t>fuera</w:t>
      </w:r>
      <w:r w:rsidR="00306948" w:rsidRPr="003A651A">
        <w:rPr>
          <w:rFonts w:ascii="Cambria" w:hAnsi="Cambria"/>
          <w:sz w:val="20"/>
          <w:szCs w:val="20"/>
          <w:lang w:val="es-VE"/>
        </w:rPr>
        <w:t xml:space="preserve"> enviado a la m</w:t>
      </w:r>
      <w:r w:rsidR="00111F5E" w:rsidRPr="003A651A">
        <w:rPr>
          <w:rFonts w:ascii="Cambria" w:hAnsi="Cambria"/>
          <w:sz w:val="20"/>
          <w:szCs w:val="20"/>
          <w:lang w:val="es-VE"/>
        </w:rPr>
        <w:t>orgue</w:t>
      </w:r>
      <w:r w:rsidR="00111F5E" w:rsidRPr="003A651A">
        <w:rPr>
          <w:rStyle w:val="FootnoteReference"/>
          <w:rFonts w:ascii="Cambria" w:hAnsi="Cambria"/>
          <w:sz w:val="20"/>
          <w:szCs w:val="20"/>
          <w:lang w:val="es-VE"/>
        </w:rPr>
        <w:footnoteReference w:id="15"/>
      </w:r>
      <w:r w:rsidR="00111F5E" w:rsidRPr="003A651A">
        <w:rPr>
          <w:rFonts w:ascii="Cambria" w:hAnsi="Cambria"/>
          <w:sz w:val="20"/>
          <w:szCs w:val="20"/>
          <w:lang w:val="es-VE"/>
        </w:rPr>
        <w:t>. El Estado no controvirtió dicha información.</w:t>
      </w:r>
    </w:p>
    <w:p w14:paraId="49BAD48A" w14:textId="77777777" w:rsidR="00111F5E" w:rsidRPr="003A651A" w:rsidRDefault="00111F5E" w:rsidP="00212202">
      <w:pPr>
        <w:tabs>
          <w:tab w:val="left" w:pos="360"/>
          <w:tab w:val="left" w:pos="1440"/>
        </w:tabs>
        <w:ind w:left="630"/>
        <w:jc w:val="both"/>
        <w:rPr>
          <w:rFonts w:ascii="Cambria" w:hAnsi="Cambria"/>
          <w:sz w:val="20"/>
          <w:szCs w:val="20"/>
          <w:lang w:val="es-VE"/>
        </w:rPr>
      </w:pPr>
    </w:p>
    <w:p w14:paraId="1F789D5C" w14:textId="77777777" w:rsidR="003E5A0B" w:rsidRPr="003A651A" w:rsidRDefault="00EA3F07" w:rsidP="002122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es-VE"/>
        </w:rPr>
      </w:pPr>
      <w:r w:rsidRPr="003A651A">
        <w:rPr>
          <w:rFonts w:ascii="Cambria" w:hAnsi="Cambria"/>
          <w:sz w:val="20"/>
          <w:szCs w:val="20"/>
          <w:lang w:val="es-VE"/>
        </w:rPr>
        <w:t>Otilia Flores, esposa del señor Deras, manifestó que tomó conocim</w:t>
      </w:r>
      <w:r w:rsidR="00306948" w:rsidRPr="003A651A">
        <w:rPr>
          <w:rFonts w:ascii="Cambria" w:hAnsi="Cambria"/>
          <w:sz w:val="20"/>
          <w:szCs w:val="20"/>
          <w:lang w:val="es-VE"/>
        </w:rPr>
        <w:t>iento de lo ocurrido y acudió a dicho</w:t>
      </w:r>
      <w:r w:rsidRPr="003A651A">
        <w:rPr>
          <w:rFonts w:ascii="Cambria" w:hAnsi="Cambria"/>
          <w:sz w:val="20"/>
          <w:szCs w:val="20"/>
          <w:lang w:val="es-VE"/>
        </w:rPr>
        <w:t xml:space="preserve"> hospital. Agregó lo siguiente:</w:t>
      </w:r>
    </w:p>
    <w:p w14:paraId="7139831F" w14:textId="77777777" w:rsidR="00EA3F07" w:rsidRPr="003A651A" w:rsidRDefault="00EA3F07" w:rsidP="00212202">
      <w:pPr>
        <w:tabs>
          <w:tab w:val="left" w:pos="360"/>
          <w:tab w:val="left" w:pos="1440"/>
        </w:tabs>
        <w:ind w:left="630"/>
        <w:jc w:val="both"/>
        <w:rPr>
          <w:rFonts w:ascii="Cambria" w:hAnsi="Cambria"/>
          <w:sz w:val="20"/>
          <w:szCs w:val="20"/>
          <w:lang w:val="es-VE"/>
        </w:rPr>
      </w:pPr>
    </w:p>
    <w:p w14:paraId="46683F03" w14:textId="77777777" w:rsidR="00EA3F07" w:rsidRPr="00DD7055" w:rsidRDefault="00EA3F07" w:rsidP="00212202">
      <w:pPr>
        <w:pStyle w:val="ListParagraph"/>
        <w:tabs>
          <w:tab w:val="left" w:pos="360"/>
        </w:tabs>
        <w:ind w:left="360" w:right="360"/>
        <w:jc w:val="both"/>
        <w:rPr>
          <w:rFonts w:ascii="Cambria" w:hAnsi="Cambria"/>
          <w:sz w:val="18"/>
          <w:szCs w:val="18"/>
          <w:lang w:val="es-VE"/>
        </w:rPr>
      </w:pPr>
      <w:r w:rsidRPr="00DD7055">
        <w:rPr>
          <w:rFonts w:ascii="Cambria" w:eastAsia="Times New Roman" w:hAnsi="Cambria" w:cs="Arial"/>
          <w:sz w:val="18"/>
          <w:szCs w:val="18"/>
          <w:bdr w:val="none" w:sz="0" w:space="0" w:color="auto"/>
          <w:shd w:val="clear" w:color="auto" w:fill="FFFFFF"/>
          <w:lang w:val="es-CL"/>
        </w:rPr>
        <w:t xml:space="preserve">[El </w:t>
      </w:r>
      <w:r w:rsidRPr="00212202">
        <w:rPr>
          <w:rFonts w:ascii="Cambria" w:hAnsi="Cambria"/>
          <w:sz w:val="18"/>
          <w:szCs w:val="18"/>
          <w:lang w:val="es-CL"/>
        </w:rPr>
        <w:t>cuerpo</w:t>
      </w:r>
      <w:r w:rsidRPr="00DD7055">
        <w:rPr>
          <w:rFonts w:ascii="Cambria" w:eastAsia="Times New Roman" w:hAnsi="Cambria" w:cs="Arial"/>
          <w:sz w:val="18"/>
          <w:szCs w:val="18"/>
          <w:bdr w:val="none" w:sz="0" w:space="0" w:color="auto"/>
          <w:shd w:val="clear" w:color="auto" w:fill="FFFFFF"/>
          <w:lang w:val="es-CL"/>
        </w:rPr>
        <w:t xml:space="preserve"> de Herminio Deras] </w:t>
      </w:r>
      <w:r w:rsidRPr="00DD7055">
        <w:rPr>
          <w:rFonts w:ascii="Cambria" w:hAnsi="Cambria"/>
          <w:sz w:val="18"/>
          <w:szCs w:val="18"/>
          <w:lang w:val="es-VE"/>
        </w:rPr>
        <w:t>estaba en la puerta (...) custodiado por militares y lo tenían en un carro de paila tirado cuando yo lo solicité me dijeron ellos (los militares) que me llevara ese maldito de allí</w:t>
      </w:r>
      <w:r w:rsidRPr="00DD7055">
        <w:rPr>
          <w:rStyle w:val="FootnoteReference"/>
          <w:rFonts w:ascii="Cambria" w:hAnsi="Cambria"/>
          <w:sz w:val="18"/>
          <w:szCs w:val="18"/>
          <w:lang w:val="es-VE"/>
        </w:rPr>
        <w:footnoteReference w:id="16"/>
      </w:r>
      <w:r w:rsidRPr="00DD7055">
        <w:rPr>
          <w:rFonts w:ascii="Cambria" w:hAnsi="Cambria"/>
          <w:sz w:val="18"/>
          <w:szCs w:val="18"/>
          <w:lang w:val="es-VE"/>
        </w:rPr>
        <w:t>.</w:t>
      </w:r>
    </w:p>
    <w:p w14:paraId="28462E95" w14:textId="77777777" w:rsidR="00EA3F07" w:rsidRPr="003A651A" w:rsidRDefault="00EA3F07" w:rsidP="00212202">
      <w:pPr>
        <w:tabs>
          <w:tab w:val="left" w:pos="360"/>
          <w:tab w:val="left" w:pos="1440"/>
        </w:tabs>
        <w:jc w:val="both"/>
        <w:rPr>
          <w:rFonts w:ascii="Cambria" w:hAnsi="Cambria"/>
          <w:sz w:val="20"/>
          <w:szCs w:val="20"/>
          <w:lang w:val="es-VE"/>
        </w:rPr>
      </w:pPr>
    </w:p>
    <w:p w14:paraId="2775D176" w14:textId="77777777" w:rsidR="00306948" w:rsidRDefault="00111F5E" w:rsidP="002122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es-VE"/>
        </w:rPr>
      </w:pPr>
      <w:r>
        <w:rPr>
          <w:rFonts w:ascii="Cambria" w:hAnsi="Cambria"/>
          <w:sz w:val="20"/>
          <w:szCs w:val="20"/>
          <w:lang w:val="es-VE"/>
        </w:rPr>
        <w:t xml:space="preserve">La parte peticionaria sostuvo que </w:t>
      </w:r>
      <w:r w:rsidR="00EA3F07" w:rsidRPr="00EA3F07">
        <w:rPr>
          <w:rFonts w:ascii="Cambria" w:hAnsi="Cambria"/>
          <w:sz w:val="20"/>
          <w:szCs w:val="20"/>
          <w:lang w:val="es-VE"/>
        </w:rPr>
        <w:t xml:space="preserve">Otilia </w:t>
      </w:r>
      <w:r w:rsidR="00EA3F07">
        <w:rPr>
          <w:rFonts w:ascii="Cambria" w:hAnsi="Cambria"/>
          <w:sz w:val="20"/>
          <w:szCs w:val="20"/>
          <w:lang w:val="es-VE"/>
        </w:rPr>
        <w:t>Flores llevó el cuerpo de Herminio a su domicilio, y que los militares la siguieron</w:t>
      </w:r>
      <w:r>
        <w:rPr>
          <w:rFonts w:ascii="Cambria" w:hAnsi="Cambria"/>
          <w:sz w:val="20"/>
          <w:szCs w:val="20"/>
          <w:lang w:val="es-VE"/>
        </w:rPr>
        <w:t xml:space="preserve">. </w:t>
      </w:r>
      <w:r w:rsidR="00306948">
        <w:rPr>
          <w:rFonts w:ascii="Cambria" w:hAnsi="Cambria"/>
          <w:sz w:val="20"/>
          <w:szCs w:val="20"/>
          <w:lang w:val="es-VE"/>
        </w:rPr>
        <w:t xml:space="preserve">Agregó que un par de horas </w:t>
      </w:r>
      <w:r w:rsidR="008C768F">
        <w:rPr>
          <w:rFonts w:ascii="Cambria" w:hAnsi="Cambria"/>
          <w:sz w:val="20"/>
          <w:szCs w:val="20"/>
          <w:lang w:val="es-VE"/>
        </w:rPr>
        <w:t xml:space="preserve">después </w:t>
      </w:r>
      <w:r w:rsidR="00306948">
        <w:rPr>
          <w:rFonts w:ascii="Cambria" w:hAnsi="Cambria"/>
          <w:sz w:val="20"/>
          <w:szCs w:val="20"/>
          <w:lang w:val="es-VE"/>
        </w:rPr>
        <w:t>el padre de Herminio llegó con un ataúd y procedieron a lle</w:t>
      </w:r>
      <w:r w:rsidR="002A41ED">
        <w:rPr>
          <w:rFonts w:ascii="Cambria" w:hAnsi="Cambria"/>
          <w:sz w:val="20"/>
          <w:szCs w:val="20"/>
          <w:lang w:val="es-VE"/>
        </w:rPr>
        <w:t>v</w:t>
      </w:r>
      <w:r w:rsidR="00306948">
        <w:rPr>
          <w:rFonts w:ascii="Cambria" w:hAnsi="Cambria"/>
          <w:sz w:val="20"/>
          <w:szCs w:val="20"/>
          <w:lang w:val="es-VE"/>
        </w:rPr>
        <w:t>a</w:t>
      </w:r>
      <w:r w:rsidR="006158A4">
        <w:rPr>
          <w:rFonts w:ascii="Cambria" w:hAnsi="Cambria"/>
          <w:sz w:val="20"/>
          <w:szCs w:val="20"/>
          <w:lang w:val="es-VE"/>
        </w:rPr>
        <w:t>r sus restos a su ciudad natal</w:t>
      </w:r>
      <w:r w:rsidR="002A41ED">
        <w:rPr>
          <w:rFonts w:ascii="Cambria" w:hAnsi="Cambria"/>
          <w:sz w:val="20"/>
          <w:szCs w:val="20"/>
          <w:lang w:val="es-VE"/>
        </w:rPr>
        <w:t xml:space="preserve"> de</w:t>
      </w:r>
      <w:r w:rsidR="006158A4">
        <w:rPr>
          <w:rFonts w:ascii="Cambria" w:hAnsi="Cambria"/>
          <w:sz w:val="20"/>
          <w:szCs w:val="20"/>
          <w:lang w:val="es-VE"/>
        </w:rPr>
        <w:t xml:space="preserve"> El Progreso, departamento de Yoro. Agregó que el mismo día el Sargento Virgilio Padilla, a cargo de la </w:t>
      </w:r>
      <w:r w:rsidR="006158A4" w:rsidRPr="006158A4">
        <w:rPr>
          <w:rFonts w:ascii="Cambria" w:hAnsi="Cambria"/>
          <w:sz w:val="20"/>
          <w:szCs w:val="20"/>
          <w:lang w:val="es-VE"/>
        </w:rPr>
        <w:t>Tercera Estación Policial</w:t>
      </w:r>
      <w:r w:rsidR="006158A4">
        <w:rPr>
          <w:rFonts w:ascii="Cambria" w:hAnsi="Cambria"/>
          <w:sz w:val="20"/>
          <w:szCs w:val="20"/>
          <w:lang w:val="es-VE"/>
        </w:rPr>
        <w:t>, declaró ante los medios de comunicación que frente a dicha estación “había pasado el carro de los criminales, quien para saber que allí iban los asesinos”</w:t>
      </w:r>
      <w:r w:rsidR="006158A4" w:rsidRPr="00EA3F07">
        <w:rPr>
          <w:rStyle w:val="FootnoteReference"/>
          <w:rFonts w:ascii="Cambria" w:hAnsi="Cambria"/>
          <w:sz w:val="20"/>
          <w:szCs w:val="20"/>
          <w:lang w:val="es-VE"/>
        </w:rPr>
        <w:footnoteReference w:id="17"/>
      </w:r>
      <w:r w:rsidR="006158A4">
        <w:rPr>
          <w:rFonts w:ascii="Cambria" w:hAnsi="Cambria"/>
          <w:sz w:val="20"/>
          <w:szCs w:val="20"/>
          <w:lang w:val="es-VE"/>
        </w:rPr>
        <w:t xml:space="preserve">. </w:t>
      </w:r>
      <w:r w:rsidR="006158A4" w:rsidRPr="006158A4">
        <w:rPr>
          <w:rFonts w:ascii="Cambria" w:hAnsi="Cambria"/>
          <w:sz w:val="20"/>
          <w:szCs w:val="20"/>
          <w:lang w:val="es-VE"/>
        </w:rPr>
        <w:t>Dicha información no fue controvertida por el Es</w:t>
      </w:r>
      <w:r w:rsidR="006158A4">
        <w:rPr>
          <w:rFonts w:ascii="Cambria" w:hAnsi="Cambria"/>
          <w:sz w:val="20"/>
          <w:szCs w:val="20"/>
          <w:lang w:val="es-VE"/>
        </w:rPr>
        <w:t>tado.</w:t>
      </w:r>
    </w:p>
    <w:p w14:paraId="6DF172B5" w14:textId="77777777" w:rsidR="006158A4" w:rsidRDefault="006158A4" w:rsidP="00212202">
      <w:pPr>
        <w:tabs>
          <w:tab w:val="left" w:pos="360"/>
          <w:tab w:val="left" w:pos="1440"/>
        </w:tabs>
        <w:ind w:left="630"/>
        <w:jc w:val="both"/>
        <w:rPr>
          <w:rFonts w:ascii="Cambria" w:hAnsi="Cambria"/>
          <w:sz w:val="20"/>
          <w:szCs w:val="20"/>
          <w:lang w:val="es-VE"/>
        </w:rPr>
      </w:pPr>
    </w:p>
    <w:p w14:paraId="62CA7799" w14:textId="77777777" w:rsidR="006158A4" w:rsidRDefault="006158A4" w:rsidP="002122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es-VE"/>
        </w:rPr>
      </w:pPr>
      <w:r>
        <w:rPr>
          <w:rFonts w:ascii="Cambria" w:hAnsi="Cambria"/>
          <w:sz w:val="20"/>
          <w:szCs w:val="20"/>
          <w:lang w:val="es-VE"/>
        </w:rPr>
        <w:t xml:space="preserve">El 4 de </w:t>
      </w:r>
      <w:r w:rsidRPr="006158A4">
        <w:rPr>
          <w:rFonts w:ascii="Cambria" w:hAnsi="Cambria"/>
          <w:sz w:val="20"/>
          <w:szCs w:val="20"/>
          <w:lang w:val="es-VE"/>
        </w:rPr>
        <w:t>febrero de 1983</w:t>
      </w:r>
      <w:r>
        <w:rPr>
          <w:rFonts w:ascii="Cambria" w:hAnsi="Cambria"/>
          <w:sz w:val="20"/>
          <w:szCs w:val="20"/>
          <w:lang w:val="es-VE"/>
        </w:rPr>
        <w:t xml:space="preserve"> Otilia Flores presentó una denuncia por la muerte de su espos</w:t>
      </w:r>
      <w:r w:rsidR="00A03885">
        <w:rPr>
          <w:rFonts w:ascii="Cambria" w:hAnsi="Cambria"/>
          <w:sz w:val="20"/>
          <w:szCs w:val="20"/>
          <w:lang w:val="es-VE"/>
        </w:rPr>
        <w:t>o</w:t>
      </w:r>
      <w:r>
        <w:rPr>
          <w:rFonts w:ascii="Cambria" w:hAnsi="Cambria"/>
          <w:sz w:val="20"/>
          <w:szCs w:val="20"/>
          <w:lang w:val="es-VE"/>
        </w:rPr>
        <w:t xml:space="preserve"> ante el Juzgado Primero de Letr</w:t>
      </w:r>
      <w:r w:rsidR="00A03885">
        <w:rPr>
          <w:rFonts w:ascii="Cambria" w:hAnsi="Cambria"/>
          <w:sz w:val="20"/>
          <w:szCs w:val="20"/>
          <w:lang w:val="es-VE"/>
        </w:rPr>
        <w:t>a</w:t>
      </w:r>
      <w:r>
        <w:rPr>
          <w:rFonts w:ascii="Cambria" w:hAnsi="Cambria"/>
          <w:sz w:val="20"/>
          <w:szCs w:val="20"/>
          <w:lang w:val="es-VE"/>
        </w:rPr>
        <w:t>s de lo Criminal de San Pedro Sula. La señora Flores denunció como presuntos responsables a miembros de la fuerza pública y agregó que en años anteriores Herminio y sus familiares fueron víctimas de diversas amenazas y atentados</w:t>
      </w:r>
      <w:r w:rsidRPr="006158A4">
        <w:rPr>
          <w:rStyle w:val="FootnoteReference"/>
          <w:rFonts w:ascii="Cambria" w:hAnsi="Cambria"/>
          <w:sz w:val="20"/>
          <w:szCs w:val="20"/>
          <w:lang w:val="es-VE"/>
        </w:rPr>
        <w:footnoteReference w:id="18"/>
      </w:r>
      <w:r>
        <w:rPr>
          <w:rFonts w:ascii="Cambria" w:hAnsi="Cambria"/>
          <w:sz w:val="20"/>
          <w:szCs w:val="20"/>
          <w:lang w:val="es-VE"/>
        </w:rPr>
        <w:t>.</w:t>
      </w:r>
    </w:p>
    <w:p w14:paraId="0C5B0D84" w14:textId="77777777" w:rsidR="00C60008" w:rsidRDefault="00C60008" w:rsidP="00212202">
      <w:pPr>
        <w:tabs>
          <w:tab w:val="left" w:pos="360"/>
          <w:tab w:val="left" w:pos="1440"/>
        </w:tabs>
        <w:jc w:val="both"/>
        <w:rPr>
          <w:rFonts w:ascii="Cambria" w:hAnsi="Cambria"/>
          <w:sz w:val="20"/>
          <w:szCs w:val="20"/>
          <w:lang w:val="es-VE"/>
        </w:rPr>
      </w:pPr>
    </w:p>
    <w:p w14:paraId="1C2227C5" w14:textId="77777777" w:rsidR="006E17EF" w:rsidRPr="00C60008" w:rsidRDefault="00C60008" w:rsidP="002122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es-VE"/>
        </w:rPr>
      </w:pPr>
      <w:r>
        <w:rPr>
          <w:rFonts w:ascii="Cambria" w:hAnsi="Cambria"/>
          <w:sz w:val="20"/>
          <w:szCs w:val="20"/>
          <w:lang w:val="es-VE"/>
        </w:rPr>
        <w:t xml:space="preserve">El señor Reyes declaró que días después del asesinato del señor Deras, le informó a su superior, </w:t>
      </w:r>
      <w:r w:rsidRPr="00C60008">
        <w:rPr>
          <w:rFonts w:ascii="Cambria" w:hAnsi="Cambria"/>
          <w:sz w:val="20"/>
          <w:szCs w:val="20"/>
          <w:lang w:val="es-VE"/>
        </w:rPr>
        <w:t>General Gustavo Adolfo Álvarez Martinez,</w:t>
      </w:r>
      <w:r>
        <w:rPr>
          <w:rFonts w:ascii="Cambria" w:hAnsi="Cambria"/>
          <w:sz w:val="20"/>
          <w:szCs w:val="20"/>
          <w:lang w:val="es-VE"/>
        </w:rPr>
        <w:t xml:space="preserve"> que tenía conocimiento sobre las personas que cometieron dicho delito. Sostuvo que dicho General le respondió</w:t>
      </w:r>
      <w:r w:rsidR="006E17EF" w:rsidRPr="003A651A">
        <w:rPr>
          <w:rFonts w:ascii="Cambria" w:hAnsi="Cambria"/>
          <w:sz w:val="20"/>
          <w:szCs w:val="20"/>
          <w:lang w:val="es-VE"/>
        </w:rPr>
        <w:t xml:space="preserve"> “que un soldado, lo que él ve, se lo guarda dentro, po</w:t>
      </w:r>
      <w:r w:rsidRPr="003A651A">
        <w:rPr>
          <w:rFonts w:ascii="Cambria" w:hAnsi="Cambria"/>
          <w:sz w:val="20"/>
          <w:szCs w:val="20"/>
          <w:lang w:val="es-VE"/>
        </w:rPr>
        <w:t>rque de otro forma deja de ser soldado h</w:t>
      </w:r>
      <w:r w:rsidR="006E17EF" w:rsidRPr="003A651A">
        <w:rPr>
          <w:rFonts w:ascii="Cambria" w:hAnsi="Cambria"/>
          <w:sz w:val="20"/>
          <w:szCs w:val="20"/>
          <w:lang w:val="es-VE"/>
        </w:rPr>
        <w:t>onorable, quebrantado el juramento que hizo</w:t>
      </w:r>
      <w:r w:rsidR="00AA326F" w:rsidRPr="003A651A">
        <w:rPr>
          <w:rFonts w:ascii="Cambria" w:hAnsi="Cambria"/>
          <w:sz w:val="20"/>
          <w:szCs w:val="20"/>
          <w:lang w:val="es-VE"/>
        </w:rPr>
        <w:t xml:space="preserve"> a la P</w:t>
      </w:r>
      <w:r w:rsidR="006E17EF" w:rsidRPr="003A651A">
        <w:rPr>
          <w:rFonts w:ascii="Cambria" w:hAnsi="Cambria"/>
          <w:sz w:val="20"/>
          <w:szCs w:val="20"/>
          <w:lang w:val="es-VE"/>
        </w:rPr>
        <w:t>atria</w:t>
      </w:r>
      <w:r w:rsidR="00AA326F" w:rsidRPr="003A651A">
        <w:rPr>
          <w:rFonts w:ascii="Cambria" w:hAnsi="Cambria"/>
          <w:sz w:val="20"/>
          <w:szCs w:val="20"/>
          <w:lang w:val="es-VE"/>
        </w:rPr>
        <w:t xml:space="preserve"> y que él iba a resolver este problema”</w:t>
      </w:r>
      <w:r w:rsidR="00AA326F" w:rsidRPr="003A651A">
        <w:rPr>
          <w:rStyle w:val="FootnoteReference"/>
          <w:rFonts w:ascii="Cambria" w:hAnsi="Cambria"/>
          <w:sz w:val="20"/>
          <w:szCs w:val="20"/>
          <w:lang w:val="es-VE"/>
        </w:rPr>
        <w:footnoteReference w:id="19"/>
      </w:r>
      <w:r w:rsidR="00AA326F" w:rsidRPr="003A651A">
        <w:rPr>
          <w:rFonts w:ascii="Cambria" w:hAnsi="Cambria"/>
          <w:sz w:val="20"/>
          <w:szCs w:val="20"/>
          <w:lang w:val="es-VE"/>
        </w:rPr>
        <w:t>.</w:t>
      </w:r>
      <w:r w:rsidRPr="003A651A">
        <w:rPr>
          <w:rFonts w:ascii="Cambria" w:hAnsi="Cambria"/>
          <w:sz w:val="20"/>
          <w:szCs w:val="20"/>
          <w:lang w:val="es-VE"/>
        </w:rPr>
        <w:t xml:space="preserve"> </w:t>
      </w:r>
    </w:p>
    <w:p w14:paraId="655C677D" w14:textId="77777777" w:rsidR="00C60008" w:rsidRDefault="00C60008" w:rsidP="00212202">
      <w:pPr>
        <w:tabs>
          <w:tab w:val="left" w:pos="360"/>
          <w:tab w:val="left" w:pos="1440"/>
        </w:tabs>
        <w:jc w:val="both"/>
        <w:rPr>
          <w:rFonts w:ascii="Cambria" w:hAnsi="Cambria"/>
          <w:sz w:val="20"/>
          <w:szCs w:val="20"/>
          <w:lang w:val="es-VE"/>
        </w:rPr>
      </w:pPr>
    </w:p>
    <w:p w14:paraId="24FB05B9" w14:textId="77777777" w:rsidR="000F7FC1" w:rsidRPr="00C60008" w:rsidRDefault="009F0DF6" w:rsidP="002122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es-VE"/>
        </w:rPr>
      </w:pPr>
      <w:r>
        <w:rPr>
          <w:rFonts w:ascii="Cambria" w:hAnsi="Cambria"/>
          <w:sz w:val="20"/>
          <w:szCs w:val="20"/>
          <w:lang w:val="es-VE"/>
        </w:rPr>
        <w:t xml:space="preserve">No consta en el expediente </w:t>
      </w:r>
      <w:r w:rsidR="00C60008" w:rsidRPr="003A651A">
        <w:rPr>
          <w:rFonts w:ascii="Cambria" w:hAnsi="Cambria"/>
          <w:sz w:val="20"/>
          <w:szCs w:val="20"/>
          <w:lang w:val="es-VE"/>
        </w:rPr>
        <w:t xml:space="preserve">información alguna sobre </w:t>
      </w:r>
      <w:r w:rsidR="00366568" w:rsidRPr="003A651A">
        <w:rPr>
          <w:rFonts w:ascii="Cambria" w:hAnsi="Cambria"/>
          <w:sz w:val="20"/>
          <w:szCs w:val="20"/>
          <w:lang w:val="es-VE"/>
        </w:rPr>
        <w:t xml:space="preserve">diligencias </w:t>
      </w:r>
      <w:r w:rsidR="00C60008" w:rsidRPr="003A651A">
        <w:rPr>
          <w:rFonts w:ascii="Cambria" w:hAnsi="Cambria"/>
          <w:sz w:val="20"/>
          <w:szCs w:val="20"/>
          <w:lang w:val="es-VE"/>
        </w:rPr>
        <w:t>realizadas desde la presentación de la denuncia</w:t>
      </w:r>
      <w:r w:rsidR="00366568" w:rsidRPr="003A651A">
        <w:rPr>
          <w:rFonts w:ascii="Cambria" w:hAnsi="Cambria"/>
          <w:sz w:val="20"/>
          <w:szCs w:val="20"/>
          <w:lang w:val="es-VE"/>
        </w:rPr>
        <w:t xml:space="preserve"> hasta </w:t>
      </w:r>
      <w:r w:rsidR="00877B6B" w:rsidRPr="003A651A">
        <w:rPr>
          <w:rFonts w:ascii="Cambria" w:hAnsi="Cambria"/>
          <w:sz w:val="20"/>
          <w:szCs w:val="20"/>
          <w:lang w:val="es-VE"/>
        </w:rPr>
        <w:t>1998,</w:t>
      </w:r>
      <w:r w:rsidR="000D7620" w:rsidRPr="003A651A">
        <w:rPr>
          <w:rFonts w:ascii="Cambria" w:hAnsi="Cambria"/>
          <w:sz w:val="20"/>
          <w:szCs w:val="20"/>
          <w:lang w:val="es-VE"/>
        </w:rPr>
        <w:t xml:space="preserve"> fecha en la que el Ministerio P</w:t>
      </w:r>
      <w:r w:rsidR="00A13074" w:rsidRPr="003A651A">
        <w:rPr>
          <w:rFonts w:ascii="Cambria" w:hAnsi="Cambria"/>
          <w:sz w:val="20"/>
          <w:szCs w:val="20"/>
          <w:lang w:val="es-VE"/>
        </w:rPr>
        <w:t>úblico presentó</w:t>
      </w:r>
      <w:r w:rsidR="00366568" w:rsidRPr="003A651A">
        <w:rPr>
          <w:rFonts w:ascii="Cambria" w:hAnsi="Cambria"/>
          <w:sz w:val="20"/>
          <w:szCs w:val="20"/>
          <w:lang w:val="es-VE"/>
        </w:rPr>
        <w:t xml:space="preserve"> nuevamente una denuncia,</w:t>
      </w:r>
      <w:r w:rsidR="0066200A" w:rsidRPr="003A651A">
        <w:rPr>
          <w:rFonts w:ascii="Cambria" w:hAnsi="Cambria"/>
          <w:sz w:val="20"/>
          <w:szCs w:val="20"/>
          <w:lang w:val="es-VE"/>
        </w:rPr>
        <w:t xml:space="preserve"> </w:t>
      </w:r>
      <w:r w:rsidR="00877B6B" w:rsidRPr="003A651A">
        <w:rPr>
          <w:rFonts w:ascii="Cambria" w:hAnsi="Cambria"/>
          <w:sz w:val="20"/>
          <w:szCs w:val="20"/>
          <w:lang w:val="es-VE"/>
        </w:rPr>
        <w:t xml:space="preserve">tal como se indicará </w:t>
      </w:r>
      <w:r w:rsidR="001B6053" w:rsidRPr="003A651A">
        <w:rPr>
          <w:rFonts w:ascii="Cambria" w:hAnsi="Cambria"/>
          <w:sz w:val="20"/>
          <w:szCs w:val="20"/>
          <w:lang w:val="es-VE"/>
        </w:rPr>
        <w:t>en la siguiente sección</w:t>
      </w:r>
      <w:r w:rsidR="00877B6B" w:rsidRPr="003A651A">
        <w:rPr>
          <w:rFonts w:ascii="Cambria" w:hAnsi="Cambria"/>
          <w:sz w:val="20"/>
          <w:szCs w:val="20"/>
          <w:lang w:val="es-VE"/>
        </w:rPr>
        <w:t xml:space="preserve">. </w:t>
      </w:r>
    </w:p>
    <w:p w14:paraId="4D173F7B" w14:textId="77777777" w:rsidR="00CB507B" w:rsidRPr="003A651A" w:rsidRDefault="00CB507B" w:rsidP="00212202">
      <w:pPr>
        <w:tabs>
          <w:tab w:val="left" w:pos="360"/>
          <w:tab w:val="left" w:pos="1440"/>
        </w:tabs>
        <w:jc w:val="both"/>
        <w:rPr>
          <w:rFonts w:ascii="Cambria" w:hAnsi="Cambria"/>
          <w:sz w:val="20"/>
          <w:szCs w:val="20"/>
          <w:lang w:val="es-VE"/>
        </w:rPr>
      </w:pPr>
    </w:p>
    <w:p w14:paraId="0FEB3125" w14:textId="77777777" w:rsidR="00E2015A" w:rsidRPr="003A651A" w:rsidRDefault="001B6053" w:rsidP="002122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es-VE"/>
        </w:rPr>
      </w:pPr>
      <w:r w:rsidRPr="003A651A">
        <w:rPr>
          <w:rFonts w:ascii="Cambria" w:hAnsi="Cambria"/>
          <w:sz w:val="20"/>
          <w:szCs w:val="20"/>
          <w:lang w:val="es-VE"/>
        </w:rPr>
        <w:t xml:space="preserve">Adicionalmente, </w:t>
      </w:r>
      <w:r w:rsidR="00A13074" w:rsidRPr="003A651A">
        <w:rPr>
          <w:rFonts w:ascii="Cambria" w:hAnsi="Cambria"/>
          <w:sz w:val="20"/>
          <w:szCs w:val="20"/>
          <w:lang w:val="es-VE"/>
        </w:rPr>
        <w:t xml:space="preserve">la Comisión observa que conforme a lo indicado por la parte peticionaria y declaraciones de familiares del señor Deras, el 8 de junio de </w:t>
      </w:r>
      <w:r w:rsidR="00D25371" w:rsidRPr="003A651A">
        <w:rPr>
          <w:rFonts w:ascii="Cambria" w:hAnsi="Cambria"/>
          <w:sz w:val="20"/>
          <w:szCs w:val="20"/>
          <w:lang w:val="es-VE"/>
        </w:rPr>
        <w:t>1984</w:t>
      </w:r>
      <w:r w:rsidR="0018003B" w:rsidRPr="003A651A">
        <w:rPr>
          <w:rFonts w:ascii="Cambria" w:hAnsi="Cambria"/>
          <w:sz w:val="20"/>
          <w:szCs w:val="20"/>
          <w:lang w:val="es-VE"/>
        </w:rPr>
        <w:t xml:space="preserve"> efectivos militares </w:t>
      </w:r>
      <w:r w:rsidR="00A13074" w:rsidRPr="003A651A">
        <w:rPr>
          <w:rFonts w:ascii="Cambria" w:hAnsi="Cambria"/>
          <w:sz w:val="20"/>
          <w:szCs w:val="20"/>
          <w:lang w:val="es-VE"/>
        </w:rPr>
        <w:t>allanaron dos viviendas de la familia Deras en la ciudad de El Progreso.</w:t>
      </w:r>
      <w:r w:rsidR="00091D5E" w:rsidRPr="003A651A">
        <w:rPr>
          <w:rFonts w:ascii="Cambria" w:hAnsi="Cambria"/>
          <w:sz w:val="20"/>
          <w:szCs w:val="20"/>
          <w:lang w:val="es-VE"/>
        </w:rPr>
        <w:t xml:space="preserve"> Los siguientes familiares del señor Deras fueron detenidos: i)</w:t>
      </w:r>
      <w:r w:rsidR="00FB6610" w:rsidRPr="003A651A">
        <w:rPr>
          <w:rFonts w:ascii="Cambria" w:hAnsi="Cambria"/>
          <w:sz w:val="20"/>
          <w:szCs w:val="20"/>
          <w:lang w:val="es-VE"/>
        </w:rPr>
        <w:t xml:space="preserve"> su hermana </w:t>
      </w:r>
      <w:r w:rsidR="00FB6610" w:rsidRPr="00FB6610">
        <w:rPr>
          <w:rFonts w:ascii="Cambria" w:hAnsi="Cambria"/>
          <w:sz w:val="20"/>
          <w:szCs w:val="20"/>
          <w:lang w:val="es-VE"/>
        </w:rPr>
        <w:lastRenderedPageBreak/>
        <w:t>Irma Isabel Deras</w:t>
      </w:r>
      <w:r w:rsidR="00FB6610">
        <w:rPr>
          <w:rFonts w:ascii="Cambria" w:hAnsi="Cambria"/>
          <w:sz w:val="20"/>
          <w:szCs w:val="20"/>
          <w:lang w:val="es-VE"/>
        </w:rPr>
        <w:t xml:space="preserve">; ii) su hermana </w:t>
      </w:r>
      <w:r w:rsidR="00FB6610" w:rsidRPr="00FB6610">
        <w:rPr>
          <w:rFonts w:ascii="Cambria" w:hAnsi="Cambria"/>
          <w:sz w:val="20"/>
          <w:szCs w:val="20"/>
          <w:lang w:val="es-VE"/>
        </w:rPr>
        <w:t>Consuelo Deras</w:t>
      </w:r>
      <w:r w:rsidR="00FB6610">
        <w:rPr>
          <w:rFonts w:ascii="Cambria" w:hAnsi="Cambria"/>
          <w:sz w:val="20"/>
          <w:szCs w:val="20"/>
          <w:lang w:val="es-VE"/>
        </w:rPr>
        <w:t xml:space="preserve">; iii) su hermano Héctor Deras; iv) su sobrino </w:t>
      </w:r>
      <w:r w:rsidR="00FB6610" w:rsidRPr="00FB6610">
        <w:rPr>
          <w:rFonts w:ascii="Cambria" w:hAnsi="Cambria"/>
          <w:sz w:val="20"/>
          <w:szCs w:val="20"/>
          <w:lang w:val="es-VE"/>
        </w:rPr>
        <w:t>José Herminio Deras</w:t>
      </w:r>
      <w:r w:rsidR="00FB6610">
        <w:rPr>
          <w:rFonts w:ascii="Cambria" w:hAnsi="Cambria"/>
          <w:sz w:val="20"/>
          <w:szCs w:val="20"/>
          <w:lang w:val="es-VE"/>
        </w:rPr>
        <w:t xml:space="preserve"> de 16 años; v) su padre Domingo Deras; vi) su sobrina </w:t>
      </w:r>
      <w:r w:rsidR="00FB6610" w:rsidRPr="00FB6610">
        <w:rPr>
          <w:rFonts w:ascii="Cambria" w:hAnsi="Cambria"/>
          <w:sz w:val="20"/>
          <w:szCs w:val="20"/>
          <w:lang w:val="es-VE"/>
        </w:rPr>
        <w:t>Sandra Ivonne Hernández Deras</w:t>
      </w:r>
      <w:r w:rsidR="00FB6610">
        <w:rPr>
          <w:rFonts w:ascii="Cambria" w:hAnsi="Cambria"/>
          <w:sz w:val="20"/>
          <w:szCs w:val="20"/>
          <w:lang w:val="es-VE"/>
        </w:rPr>
        <w:t xml:space="preserve"> de 17 años; vi</w:t>
      </w:r>
      <w:r w:rsidR="004D35C3">
        <w:rPr>
          <w:rFonts w:ascii="Cambria" w:hAnsi="Cambria"/>
          <w:sz w:val="20"/>
          <w:szCs w:val="20"/>
          <w:lang w:val="es-VE"/>
        </w:rPr>
        <w:t>i</w:t>
      </w:r>
      <w:r w:rsidR="00FB6610">
        <w:rPr>
          <w:rFonts w:ascii="Cambria" w:hAnsi="Cambria"/>
          <w:sz w:val="20"/>
          <w:szCs w:val="20"/>
          <w:lang w:val="es-VE"/>
        </w:rPr>
        <w:t>) su prima Marlen García; y vi</w:t>
      </w:r>
      <w:r w:rsidR="004D35C3">
        <w:rPr>
          <w:rFonts w:ascii="Cambria" w:hAnsi="Cambria"/>
          <w:sz w:val="20"/>
          <w:szCs w:val="20"/>
          <w:lang w:val="es-VE"/>
        </w:rPr>
        <w:t>i</w:t>
      </w:r>
      <w:r w:rsidR="00FB6610">
        <w:rPr>
          <w:rFonts w:ascii="Cambria" w:hAnsi="Cambria"/>
          <w:sz w:val="20"/>
          <w:szCs w:val="20"/>
          <w:lang w:val="es-VE"/>
        </w:rPr>
        <w:t xml:space="preserve">i) sus cuñados </w:t>
      </w:r>
      <w:r w:rsidR="00FB6610" w:rsidRPr="00FB6610">
        <w:rPr>
          <w:rFonts w:ascii="Cambria" w:hAnsi="Cambria"/>
          <w:sz w:val="20"/>
          <w:szCs w:val="20"/>
          <w:lang w:val="es-VE"/>
        </w:rPr>
        <w:t>Julio Cesar Chavarría Benegas</w:t>
      </w:r>
      <w:r w:rsidR="00FB6610">
        <w:rPr>
          <w:rFonts w:ascii="Cambria" w:hAnsi="Cambria"/>
          <w:sz w:val="20"/>
          <w:szCs w:val="20"/>
          <w:lang w:val="es-VE"/>
        </w:rPr>
        <w:t xml:space="preserve"> y </w:t>
      </w:r>
      <w:r w:rsidR="00FB6610" w:rsidRPr="00FB6610">
        <w:rPr>
          <w:rFonts w:ascii="Cambria" w:hAnsi="Cambria"/>
          <w:sz w:val="20"/>
          <w:szCs w:val="20"/>
          <w:lang w:val="es-VE"/>
        </w:rPr>
        <w:t>Cristóbal Hernández Pérez</w:t>
      </w:r>
      <w:r w:rsidR="00FB6610" w:rsidRPr="00FB6610">
        <w:rPr>
          <w:rStyle w:val="FootnoteReference"/>
          <w:rFonts w:ascii="Cambria" w:hAnsi="Cambria"/>
          <w:sz w:val="20"/>
          <w:szCs w:val="20"/>
          <w:lang w:val="es-VE"/>
        </w:rPr>
        <w:footnoteReference w:id="20"/>
      </w:r>
      <w:r w:rsidR="00FB6610">
        <w:rPr>
          <w:rFonts w:ascii="Cambria" w:hAnsi="Cambria"/>
          <w:sz w:val="20"/>
          <w:szCs w:val="20"/>
          <w:lang w:val="es-VE"/>
        </w:rPr>
        <w:t>.</w:t>
      </w:r>
      <w:r w:rsidR="004D35C3">
        <w:rPr>
          <w:rFonts w:ascii="Cambria" w:hAnsi="Cambria"/>
          <w:sz w:val="20"/>
          <w:szCs w:val="20"/>
          <w:lang w:val="es-VE"/>
        </w:rPr>
        <w:t xml:space="preserve"> </w:t>
      </w:r>
      <w:r w:rsidR="008C768F">
        <w:rPr>
          <w:rFonts w:ascii="Cambria" w:hAnsi="Cambria"/>
          <w:sz w:val="20"/>
          <w:szCs w:val="20"/>
          <w:lang w:val="es-VE"/>
        </w:rPr>
        <w:t>Dicha información no fue controvertida por el Estado.</w:t>
      </w:r>
    </w:p>
    <w:p w14:paraId="4CC91BA7" w14:textId="77777777" w:rsidR="00E2015A" w:rsidRDefault="00E2015A" w:rsidP="00212202">
      <w:pPr>
        <w:tabs>
          <w:tab w:val="left" w:pos="360"/>
          <w:tab w:val="left" w:pos="1440"/>
        </w:tabs>
        <w:jc w:val="both"/>
        <w:rPr>
          <w:rFonts w:ascii="Cambria" w:hAnsi="Cambria"/>
          <w:sz w:val="20"/>
          <w:szCs w:val="20"/>
          <w:lang w:val="es-VE"/>
        </w:rPr>
      </w:pPr>
    </w:p>
    <w:p w14:paraId="5A36ACE2" w14:textId="77777777" w:rsidR="004F5102" w:rsidRDefault="00E2015A" w:rsidP="002122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es-VE"/>
        </w:rPr>
      </w:pPr>
      <w:r w:rsidRPr="00E2015A">
        <w:rPr>
          <w:rFonts w:ascii="Cambria" w:hAnsi="Cambria"/>
          <w:sz w:val="20"/>
          <w:szCs w:val="20"/>
          <w:lang w:val="es-VE"/>
        </w:rPr>
        <w:t>La parte peticionaria indicó que José Herminio Deras declaró que estuvo en una celda</w:t>
      </w:r>
      <w:r>
        <w:rPr>
          <w:rFonts w:ascii="Cambria" w:hAnsi="Cambria"/>
          <w:sz w:val="20"/>
          <w:szCs w:val="20"/>
          <w:lang w:val="es-VE"/>
        </w:rPr>
        <w:t xml:space="preserve"> en la DNI</w:t>
      </w:r>
      <w:r w:rsidRPr="00E2015A">
        <w:rPr>
          <w:rFonts w:ascii="Cambria" w:hAnsi="Cambria"/>
          <w:sz w:val="20"/>
          <w:szCs w:val="20"/>
          <w:lang w:val="es-VE"/>
        </w:rPr>
        <w:t xml:space="preserve"> con dieciocho personas y que “tenía prohibido hablar para no identificarse entre sí</w:t>
      </w:r>
      <w:r w:rsidR="004831AE">
        <w:rPr>
          <w:rFonts w:ascii="Cambria" w:hAnsi="Cambria"/>
          <w:sz w:val="20"/>
          <w:szCs w:val="20"/>
          <w:lang w:val="es-VE"/>
        </w:rPr>
        <w:t>”. Sostuvo que un agente público</w:t>
      </w:r>
      <w:r>
        <w:rPr>
          <w:rFonts w:ascii="Cambria" w:hAnsi="Cambria"/>
          <w:sz w:val="20"/>
          <w:szCs w:val="20"/>
          <w:lang w:val="es-VE"/>
        </w:rPr>
        <w:t xml:space="preserve"> le dijo que “así como matamos al árbol, vamos a matar a las hojitas”. Indicó que todos </w:t>
      </w:r>
      <w:r w:rsidR="0067011E">
        <w:rPr>
          <w:rFonts w:ascii="Cambria" w:hAnsi="Cambria"/>
          <w:sz w:val="20"/>
          <w:szCs w:val="20"/>
          <w:lang w:val="es-VE"/>
        </w:rPr>
        <w:t>fueron fotografiados</w:t>
      </w:r>
      <w:r>
        <w:rPr>
          <w:rFonts w:ascii="Cambria" w:hAnsi="Cambria"/>
          <w:sz w:val="20"/>
          <w:szCs w:val="20"/>
          <w:lang w:val="es-VE"/>
        </w:rPr>
        <w:t xml:space="preserve">, y </w:t>
      </w:r>
      <w:r w:rsidR="0067011E">
        <w:rPr>
          <w:rFonts w:ascii="Cambria" w:hAnsi="Cambria"/>
          <w:sz w:val="20"/>
          <w:szCs w:val="20"/>
          <w:lang w:val="es-VE"/>
        </w:rPr>
        <w:t xml:space="preserve">que </w:t>
      </w:r>
      <w:r w:rsidR="00E93BD7">
        <w:rPr>
          <w:rFonts w:ascii="Cambria" w:hAnsi="Cambria"/>
          <w:sz w:val="20"/>
          <w:szCs w:val="20"/>
          <w:lang w:val="es-VE"/>
        </w:rPr>
        <w:t xml:space="preserve">el 9 de junio </w:t>
      </w:r>
      <w:r w:rsidR="004809E7">
        <w:rPr>
          <w:rFonts w:ascii="Cambria" w:hAnsi="Cambria"/>
          <w:sz w:val="20"/>
          <w:szCs w:val="20"/>
          <w:lang w:val="es-VE"/>
        </w:rPr>
        <w:t xml:space="preserve">él y </w:t>
      </w:r>
      <w:r>
        <w:rPr>
          <w:rFonts w:ascii="Cambria" w:hAnsi="Cambria"/>
          <w:sz w:val="20"/>
          <w:szCs w:val="20"/>
          <w:lang w:val="es-VE"/>
        </w:rPr>
        <w:t xml:space="preserve">su abuelo Domingo Deras </w:t>
      </w:r>
      <w:r w:rsidR="004809E7">
        <w:rPr>
          <w:rFonts w:ascii="Cambria" w:hAnsi="Cambria"/>
          <w:sz w:val="20"/>
          <w:szCs w:val="20"/>
          <w:lang w:val="es-VE"/>
        </w:rPr>
        <w:t>fueron puestos</w:t>
      </w:r>
      <w:r>
        <w:rPr>
          <w:rFonts w:ascii="Cambria" w:hAnsi="Cambria"/>
          <w:sz w:val="20"/>
          <w:szCs w:val="20"/>
          <w:lang w:val="es-VE"/>
        </w:rPr>
        <w:t xml:space="preserve"> en libertad</w:t>
      </w:r>
      <w:r w:rsidRPr="00E2015A">
        <w:rPr>
          <w:rStyle w:val="FootnoteReference"/>
          <w:rFonts w:ascii="Cambria" w:hAnsi="Cambria"/>
          <w:sz w:val="20"/>
          <w:szCs w:val="20"/>
          <w:lang w:val="es-VE"/>
        </w:rPr>
        <w:footnoteReference w:id="21"/>
      </w:r>
      <w:r>
        <w:rPr>
          <w:rFonts w:ascii="Cambria" w:hAnsi="Cambria"/>
          <w:sz w:val="20"/>
          <w:szCs w:val="20"/>
          <w:lang w:val="es-VE"/>
        </w:rPr>
        <w:t xml:space="preserve">. </w:t>
      </w:r>
    </w:p>
    <w:p w14:paraId="7E93446C" w14:textId="77777777" w:rsidR="004F5102" w:rsidRDefault="004F5102" w:rsidP="00212202">
      <w:pPr>
        <w:pStyle w:val="ListParagraph"/>
        <w:tabs>
          <w:tab w:val="left" w:pos="360"/>
        </w:tabs>
        <w:rPr>
          <w:rFonts w:ascii="Cambria" w:hAnsi="Cambria"/>
          <w:sz w:val="20"/>
          <w:szCs w:val="20"/>
          <w:lang w:val="es-VE"/>
        </w:rPr>
      </w:pPr>
    </w:p>
    <w:p w14:paraId="72B4D9C5" w14:textId="77777777" w:rsidR="00A13074" w:rsidRDefault="00E2015A" w:rsidP="002122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es-VE"/>
        </w:rPr>
      </w:pPr>
      <w:r>
        <w:rPr>
          <w:rFonts w:ascii="Cambria" w:hAnsi="Cambria"/>
          <w:sz w:val="20"/>
          <w:szCs w:val="20"/>
          <w:lang w:val="es-VE"/>
        </w:rPr>
        <w:t xml:space="preserve">Por su parte, </w:t>
      </w:r>
      <w:r w:rsidR="004D35C3" w:rsidRPr="00E2015A">
        <w:rPr>
          <w:rFonts w:ascii="Cambria" w:hAnsi="Cambria"/>
          <w:sz w:val="20"/>
          <w:szCs w:val="20"/>
          <w:lang w:val="es-VE"/>
        </w:rPr>
        <w:t xml:space="preserve">Irma Deras manifestó </w:t>
      </w:r>
      <w:r>
        <w:rPr>
          <w:rFonts w:ascii="Cambria" w:hAnsi="Cambria"/>
          <w:sz w:val="20"/>
          <w:szCs w:val="20"/>
          <w:lang w:val="es-VE"/>
        </w:rPr>
        <w:t xml:space="preserve">que </w:t>
      </w:r>
      <w:r w:rsidR="004809E7">
        <w:rPr>
          <w:rFonts w:ascii="Cambria" w:hAnsi="Cambria"/>
          <w:sz w:val="20"/>
          <w:szCs w:val="20"/>
          <w:lang w:val="es-VE"/>
        </w:rPr>
        <w:t>las demás personas fueron sometidas</w:t>
      </w:r>
      <w:r w:rsidRPr="00E2015A">
        <w:rPr>
          <w:rFonts w:ascii="Cambria" w:hAnsi="Cambria"/>
          <w:sz w:val="20"/>
          <w:szCs w:val="20"/>
          <w:lang w:val="es-VE"/>
        </w:rPr>
        <w:t xml:space="preserve"> a golpes constantes y puntapiés.</w:t>
      </w:r>
      <w:r>
        <w:rPr>
          <w:rFonts w:ascii="Cambria" w:hAnsi="Cambria"/>
          <w:sz w:val="20"/>
          <w:szCs w:val="20"/>
          <w:lang w:val="es-VE"/>
        </w:rPr>
        <w:t xml:space="preserve"> </w:t>
      </w:r>
      <w:r w:rsidR="004F5102">
        <w:rPr>
          <w:rFonts w:ascii="Cambria" w:hAnsi="Cambria"/>
          <w:sz w:val="20"/>
          <w:szCs w:val="20"/>
          <w:lang w:val="es-VE"/>
        </w:rPr>
        <w:t>Sostuvo</w:t>
      </w:r>
      <w:r>
        <w:rPr>
          <w:rFonts w:ascii="Cambria" w:hAnsi="Cambria"/>
          <w:sz w:val="20"/>
          <w:szCs w:val="20"/>
          <w:lang w:val="es-VE"/>
        </w:rPr>
        <w:t xml:space="preserve"> lo siguiente:</w:t>
      </w:r>
    </w:p>
    <w:p w14:paraId="1F134232" w14:textId="77777777" w:rsidR="00E2015A" w:rsidRPr="00E2015A" w:rsidRDefault="00E2015A" w:rsidP="00212202">
      <w:pPr>
        <w:tabs>
          <w:tab w:val="left" w:pos="360"/>
          <w:tab w:val="left" w:pos="1440"/>
        </w:tabs>
        <w:jc w:val="both"/>
        <w:rPr>
          <w:rFonts w:ascii="Cambria" w:hAnsi="Cambria"/>
          <w:sz w:val="20"/>
          <w:szCs w:val="20"/>
          <w:lang w:val="es-VE"/>
        </w:rPr>
      </w:pPr>
    </w:p>
    <w:p w14:paraId="40DF33BB" w14:textId="77777777" w:rsidR="00AB2DD2" w:rsidRPr="00DD7055" w:rsidRDefault="004D35C3" w:rsidP="00212202">
      <w:pPr>
        <w:pStyle w:val="ListParagraph"/>
        <w:tabs>
          <w:tab w:val="left" w:pos="360"/>
        </w:tabs>
        <w:ind w:left="360" w:right="360"/>
        <w:jc w:val="both"/>
        <w:rPr>
          <w:rFonts w:ascii="Cambria" w:hAnsi="Cambria"/>
          <w:sz w:val="18"/>
          <w:szCs w:val="18"/>
          <w:lang w:val="es-VE"/>
        </w:rPr>
      </w:pPr>
      <w:r w:rsidRPr="00DD7055">
        <w:rPr>
          <w:rFonts w:ascii="Cambria" w:hAnsi="Cambria"/>
          <w:sz w:val="18"/>
          <w:szCs w:val="18"/>
          <w:lang w:val="es-VE"/>
        </w:rPr>
        <w:t>N</w:t>
      </w:r>
      <w:r w:rsidR="00227A25" w:rsidRPr="00DD7055">
        <w:rPr>
          <w:rFonts w:ascii="Cambria" w:hAnsi="Cambria"/>
          <w:sz w:val="18"/>
          <w:szCs w:val="18"/>
          <w:lang w:val="es-VE"/>
        </w:rPr>
        <w:t>o identificamos a nadie porque estábamos vendados, ama</w:t>
      </w:r>
      <w:r w:rsidR="00D777F5" w:rsidRPr="00DD7055">
        <w:rPr>
          <w:rFonts w:ascii="Cambria" w:hAnsi="Cambria"/>
          <w:sz w:val="18"/>
          <w:szCs w:val="18"/>
          <w:lang w:val="es-VE"/>
        </w:rPr>
        <w:t>r</w:t>
      </w:r>
      <w:r w:rsidR="00227A25" w:rsidRPr="00DD7055">
        <w:rPr>
          <w:rFonts w:ascii="Cambria" w:hAnsi="Cambria"/>
          <w:sz w:val="18"/>
          <w:szCs w:val="18"/>
          <w:lang w:val="es-VE"/>
        </w:rPr>
        <w:t xml:space="preserve">rados, pero si cuando nos soltaron </w:t>
      </w:r>
      <w:r w:rsidR="00227A25" w:rsidRPr="00212202">
        <w:rPr>
          <w:rFonts w:ascii="Cambria" w:hAnsi="Cambria"/>
          <w:sz w:val="18"/>
          <w:szCs w:val="18"/>
          <w:lang w:val="es-CL"/>
        </w:rPr>
        <w:t>estábamos</w:t>
      </w:r>
      <w:r w:rsidR="00227A25" w:rsidRPr="00DD7055">
        <w:rPr>
          <w:rFonts w:ascii="Cambria" w:hAnsi="Cambria"/>
          <w:sz w:val="18"/>
          <w:szCs w:val="18"/>
          <w:lang w:val="es-VE"/>
        </w:rPr>
        <w:t xml:space="preserve"> en la dirección de investigación nacional y de ahí </w:t>
      </w:r>
      <w:r w:rsidR="005F742C" w:rsidRPr="00DD7055">
        <w:rPr>
          <w:rFonts w:ascii="Cambria" w:hAnsi="Cambria"/>
          <w:sz w:val="18"/>
          <w:szCs w:val="18"/>
          <w:lang w:val="es-VE"/>
        </w:rPr>
        <w:t>fuimos trasladados en camiones del ejército hacia las instalaciones de la base área en Tegucigalpa, y nos enviaron a la base área de San Pedro de Sula</w:t>
      </w:r>
      <w:r w:rsidR="005554BA" w:rsidRPr="00DD7055">
        <w:rPr>
          <w:rFonts w:ascii="Cambria" w:hAnsi="Cambria"/>
          <w:sz w:val="18"/>
          <w:szCs w:val="18"/>
          <w:lang w:val="es-VE"/>
        </w:rPr>
        <w:t>, de ahí nos trasladaron al juzgado del Progreso</w:t>
      </w:r>
      <w:r w:rsidRPr="00DD7055">
        <w:rPr>
          <w:rFonts w:ascii="Cambria" w:hAnsi="Cambria"/>
          <w:sz w:val="18"/>
          <w:szCs w:val="18"/>
          <w:lang w:val="es-VE"/>
        </w:rPr>
        <w:t>.</w:t>
      </w:r>
    </w:p>
    <w:p w14:paraId="4DD07648" w14:textId="77777777" w:rsidR="004D35C3" w:rsidRPr="003A651A" w:rsidRDefault="004D35C3" w:rsidP="00212202">
      <w:pPr>
        <w:tabs>
          <w:tab w:val="left" w:pos="360"/>
          <w:tab w:val="left" w:pos="1440"/>
        </w:tabs>
        <w:ind w:left="630" w:right="720"/>
        <w:jc w:val="both"/>
        <w:rPr>
          <w:rFonts w:ascii="Cambria" w:hAnsi="Cambria"/>
          <w:sz w:val="20"/>
          <w:szCs w:val="20"/>
          <w:lang w:val="es-VE"/>
        </w:rPr>
      </w:pPr>
    </w:p>
    <w:p w14:paraId="515690D5" w14:textId="77777777" w:rsidR="004F5102" w:rsidRDefault="00E2015A" w:rsidP="002122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es-VE"/>
        </w:rPr>
      </w:pPr>
      <w:r w:rsidRPr="003A651A">
        <w:rPr>
          <w:rFonts w:ascii="Cambria" w:hAnsi="Cambria"/>
          <w:sz w:val="20"/>
          <w:szCs w:val="20"/>
          <w:lang w:val="es-VE"/>
        </w:rPr>
        <w:t>Irma Deras agregó que en diversas ocasiones fueron interrogados</w:t>
      </w:r>
      <w:r w:rsidR="004F5102">
        <w:rPr>
          <w:rFonts w:ascii="Cambria" w:hAnsi="Cambria"/>
          <w:sz w:val="20"/>
          <w:szCs w:val="20"/>
          <w:lang w:val="es-VE"/>
        </w:rPr>
        <w:t xml:space="preserve"> por los agentes militares quienes les preguntaban</w:t>
      </w:r>
      <w:r w:rsidRPr="003A651A">
        <w:rPr>
          <w:rFonts w:ascii="Cambria" w:hAnsi="Cambria"/>
          <w:sz w:val="20"/>
          <w:szCs w:val="20"/>
          <w:lang w:val="es-VE"/>
        </w:rPr>
        <w:t xml:space="preserve"> </w:t>
      </w:r>
      <w:r w:rsidR="00E93BD7" w:rsidRPr="003A651A">
        <w:rPr>
          <w:rFonts w:ascii="Cambria" w:hAnsi="Cambria"/>
          <w:sz w:val="20"/>
          <w:szCs w:val="20"/>
          <w:lang w:val="es-VE"/>
        </w:rPr>
        <w:t>“</w:t>
      </w:r>
      <w:r w:rsidR="00E93BD7" w:rsidRPr="00E93BD7">
        <w:rPr>
          <w:rFonts w:ascii="Cambria" w:hAnsi="Cambria"/>
          <w:sz w:val="20"/>
          <w:szCs w:val="20"/>
          <w:lang w:val="es-VE"/>
        </w:rPr>
        <w:t>¿</w:t>
      </w:r>
      <w:r w:rsidR="00E93BD7" w:rsidRPr="003A651A">
        <w:rPr>
          <w:rFonts w:ascii="Cambria" w:hAnsi="Cambria"/>
          <w:sz w:val="20"/>
          <w:szCs w:val="20"/>
          <w:lang w:val="es-VE"/>
        </w:rPr>
        <w:t>d</w:t>
      </w:r>
      <w:r w:rsidR="00F74025" w:rsidRPr="003A651A">
        <w:rPr>
          <w:rFonts w:ascii="Cambria" w:hAnsi="Cambria"/>
          <w:sz w:val="20"/>
          <w:szCs w:val="20"/>
          <w:lang w:val="es-VE"/>
        </w:rPr>
        <w:t xml:space="preserve">ónde estaban las armas?, </w:t>
      </w:r>
      <w:r w:rsidR="00031E94" w:rsidRPr="003A651A">
        <w:rPr>
          <w:rFonts w:ascii="Cambria" w:hAnsi="Cambria"/>
          <w:sz w:val="20"/>
          <w:szCs w:val="20"/>
          <w:lang w:val="es-VE"/>
        </w:rPr>
        <w:t>¿cómo se llamaba la célula guerrillera</w:t>
      </w:r>
      <w:r w:rsidR="00E93BD7" w:rsidRPr="003A651A">
        <w:rPr>
          <w:rFonts w:ascii="Cambria" w:hAnsi="Cambria"/>
          <w:sz w:val="20"/>
          <w:szCs w:val="20"/>
          <w:lang w:val="es-VE"/>
        </w:rPr>
        <w:t>? ¿c</w:t>
      </w:r>
      <w:r w:rsidR="00F74025" w:rsidRPr="003A651A">
        <w:rPr>
          <w:rFonts w:ascii="Cambria" w:hAnsi="Cambria"/>
          <w:sz w:val="20"/>
          <w:szCs w:val="20"/>
          <w:lang w:val="es-VE"/>
        </w:rPr>
        <w:t>uántas veces había ido al Salvador?</w:t>
      </w:r>
      <w:r w:rsidR="00E93BD7" w:rsidRPr="003A651A">
        <w:rPr>
          <w:rFonts w:ascii="Cambria" w:hAnsi="Cambria"/>
          <w:sz w:val="20"/>
          <w:szCs w:val="20"/>
          <w:lang w:val="es-VE"/>
        </w:rPr>
        <w:t xml:space="preserve">”. Indicó que al negar dicha información les restregaban lodo en la cara. Sostuvo que pagaron una </w:t>
      </w:r>
      <w:r w:rsidR="009D46E7" w:rsidRPr="003A651A">
        <w:rPr>
          <w:rFonts w:ascii="Cambria" w:hAnsi="Cambria"/>
          <w:sz w:val="20"/>
          <w:szCs w:val="20"/>
          <w:lang w:val="es-VE"/>
        </w:rPr>
        <w:t>“</w:t>
      </w:r>
      <w:r w:rsidR="00E93BD7" w:rsidRPr="003A651A">
        <w:rPr>
          <w:rFonts w:ascii="Cambria" w:hAnsi="Cambria"/>
          <w:sz w:val="20"/>
          <w:szCs w:val="20"/>
          <w:lang w:val="es-VE"/>
        </w:rPr>
        <w:t>fianza colectiva</w:t>
      </w:r>
      <w:r w:rsidR="009D46E7" w:rsidRPr="003A651A">
        <w:rPr>
          <w:rFonts w:ascii="Cambria" w:hAnsi="Cambria"/>
          <w:sz w:val="20"/>
          <w:szCs w:val="20"/>
          <w:lang w:val="es-VE"/>
        </w:rPr>
        <w:t>”</w:t>
      </w:r>
      <w:r w:rsidR="00E93BD7" w:rsidRPr="003A651A">
        <w:rPr>
          <w:rFonts w:ascii="Cambria" w:hAnsi="Cambria"/>
          <w:sz w:val="20"/>
          <w:szCs w:val="20"/>
          <w:lang w:val="es-VE"/>
        </w:rPr>
        <w:t xml:space="preserve"> y “</w:t>
      </w:r>
      <w:r w:rsidR="00E93BD7" w:rsidRPr="00E93BD7">
        <w:rPr>
          <w:rFonts w:ascii="Cambria" w:hAnsi="Cambria"/>
          <w:sz w:val="20"/>
          <w:szCs w:val="20"/>
          <w:lang w:val="es-VE"/>
        </w:rPr>
        <w:t>por presiones de los familiares y las organizaciones populares nos dejaron en libertad</w:t>
      </w:r>
      <w:r w:rsidR="00E93BD7" w:rsidRPr="003A651A">
        <w:rPr>
          <w:rFonts w:ascii="Cambria" w:hAnsi="Cambria"/>
          <w:sz w:val="20"/>
          <w:szCs w:val="20"/>
          <w:lang w:val="es-VE"/>
        </w:rPr>
        <w:t>”</w:t>
      </w:r>
      <w:r w:rsidR="00E93BD7" w:rsidRPr="00E93BD7">
        <w:rPr>
          <w:rStyle w:val="FootnoteReference"/>
          <w:rFonts w:ascii="Cambria" w:hAnsi="Cambria"/>
          <w:sz w:val="20"/>
          <w:szCs w:val="20"/>
          <w:lang w:val="es-VE"/>
        </w:rPr>
        <w:footnoteReference w:id="22"/>
      </w:r>
      <w:r w:rsidR="004F5102">
        <w:rPr>
          <w:rFonts w:ascii="Cambria" w:hAnsi="Cambria"/>
          <w:sz w:val="20"/>
          <w:szCs w:val="20"/>
          <w:lang w:val="es-VE"/>
        </w:rPr>
        <w:t>.</w:t>
      </w:r>
    </w:p>
    <w:p w14:paraId="00FF0BB5" w14:textId="77777777" w:rsidR="004F5102" w:rsidRDefault="004F5102" w:rsidP="0021220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lang w:val="es-VE"/>
        </w:rPr>
      </w:pPr>
    </w:p>
    <w:p w14:paraId="5370C770" w14:textId="77777777" w:rsidR="00E93BD7" w:rsidRPr="003A651A" w:rsidRDefault="009D46E7" w:rsidP="002122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es-VE"/>
        </w:rPr>
      </w:pPr>
      <w:r w:rsidRPr="003A651A">
        <w:rPr>
          <w:rFonts w:ascii="Cambria" w:hAnsi="Cambria"/>
          <w:sz w:val="20"/>
          <w:szCs w:val="20"/>
          <w:lang w:val="es-VE"/>
        </w:rPr>
        <w:t xml:space="preserve">La parte peticionaria informó que “por falta de pruebas a los detenidos se les decretó libertad provisional” por el delito de sedición. </w:t>
      </w:r>
      <w:r w:rsidR="00E93BD7" w:rsidRPr="003A651A">
        <w:rPr>
          <w:rFonts w:ascii="Cambria" w:hAnsi="Cambria"/>
          <w:sz w:val="20"/>
          <w:szCs w:val="20"/>
          <w:lang w:val="es-VE"/>
        </w:rPr>
        <w:t xml:space="preserve">La Comisión toma nota de que el Estado no controvirtió esta información ni presentó </w:t>
      </w:r>
      <w:r w:rsidRPr="003A651A">
        <w:rPr>
          <w:rFonts w:ascii="Cambria" w:hAnsi="Cambria"/>
          <w:sz w:val="20"/>
          <w:szCs w:val="20"/>
          <w:lang w:val="es-VE"/>
        </w:rPr>
        <w:t>documentación</w:t>
      </w:r>
      <w:r w:rsidR="00E93BD7" w:rsidRPr="003A651A">
        <w:rPr>
          <w:rFonts w:ascii="Cambria" w:hAnsi="Cambria"/>
          <w:sz w:val="20"/>
          <w:szCs w:val="20"/>
          <w:lang w:val="es-VE"/>
        </w:rPr>
        <w:t xml:space="preserve"> sobre una investigación realizada en contra de los familiares del señor Deras</w:t>
      </w:r>
      <w:r w:rsidRPr="003A651A">
        <w:rPr>
          <w:rFonts w:ascii="Cambria" w:hAnsi="Cambria"/>
          <w:sz w:val="20"/>
          <w:szCs w:val="20"/>
          <w:lang w:val="es-VE"/>
        </w:rPr>
        <w:t xml:space="preserve"> por el delito de sedición</w:t>
      </w:r>
      <w:r w:rsidR="00E93BD7" w:rsidRPr="003A651A">
        <w:rPr>
          <w:rFonts w:ascii="Cambria" w:hAnsi="Cambria"/>
          <w:sz w:val="20"/>
          <w:szCs w:val="20"/>
          <w:lang w:val="es-VE"/>
        </w:rPr>
        <w:t xml:space="preserve">. </w:t>
      </w:r>
    </w:p>
    <w:p w14:paraId="28A005BB" w14:textId="77777777" w:rsidR="00DF49F5" w:rsidRPr="003A651A" w:rsidRDefault="00DF49F5" w:rsidP="00212202">
      <w:pPr>
        <w:tabs>
          <w:tab w:val="left" w:pos="360"/>
          <w:tab w:val="left" w:pos="1440"/>
        </w:tabs>
        <w:jc w:val="both"/>
        <w:rPr>
          <w:rFonts w:ascii="Cambria" w:hAnsi="Cambria"/>
          <w:sz w:val="20"/>
          <w:szCs w:val="20"/>
          <w:lang w:val="es-VE"/>
        </w:rPr>
      </w:pPr>
    </w:p>
    <w:p w14:paraId="1E08A769" w14:textId="77777777" w:rsidR="00734541" w:rsidRDefault="004F5102" w:rsidP="002122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es-VE"/>
        </w:rPr>
      </w:pPr>
      <w:r>
        <w:rPr>
          <w:rFonts w:ascii="Cambria" w:hAnsi="Cambria"/>
          <w:sz w:val="20"/>
          <w:szCs w:val="20"/>
          <w:lang w:val="es-VE"/>
        </w:rPr>
        <w:t xml:space="preserve">Adicionalmente, </w:t>
      </w:r>
      <w:r w:rsidR="00CD6822">
        <w:rPr>
          <w:rFonts w:ascii="Cambria" w:hAnsi="Cambria"/>
          <w:sz w:val="20"/>
          <w:szCs w:val="20"/>
          <w:lang w:val="es-VE"/>
        </w:rPr>
        <w:t>l</w:t>
      </w:r>
      <w:r w:rsidR="00A50DAD">
        <w:rPr>
          <w:rFonts w:ascii="Cambria" w:hAnsi="Cambria"/>
          <w:sz w:val="20"/>
          <w:szCs w:val="20"/>
          <w:lang w:val="es-VE"/>
        </w:rPr>
        <w:t>a Comisión toma nota de la información proporcionada por la parte peticionaria resp</w:t>
      </w:r>
      <w:r w:rsidR="00DC55B9">
        <w:rPr>
          <w:rFonts w:ascii="Cambria" w:hAnsi="Cambria"/>
          <w:sz w:val="20"/>
          <w:szCs w:val="20"/>
          <w:lang w:val="es-VE"/>
        </w:rPr>
        <w:t xml:space="preserve">ecto de los padres </w:t>
      </w:r>
      <w:r>
        <w:rPr>
          <w:rFonts w:ascii="Cambria" w:hAnsi="Cambria"/>
          <w:sz w:val="20"/>
          <w:szCs w:val="20"/>
          <w:lang w:val="es-VE"/>
        </w:rPr>
        <w:t xml:space="preserve">y dos de los hermanos </w:t>
      </w:r>
      <w:r w:rsidR="00DC55B9">
        <w:rPr>
          <w:rFonts w:ascii="Cambria" w:hAnsi="Cambria"/>
          <w:sz w:val="20"/>
          <w:szCs w:val="20"/>
          <w:lang w:val="es-VE"/>
        </w:rPr>
        <w:t>de Herminio D</w:t>
      </w:r>
      <w:r w:rsidR="00A50DAD">
        <w:rPr>
          <w:rFonts w:ascii="Cambria" w:hAnsi="Cambria"/>
          <w:sz w:val="20"/>
          <w:szCs w:val="20"/>
          <w:lang w:val="es-VE"/>
        </w:rPr>
        <w:t>eras</w:t>
      </w:r>
      <w:r w:rsidRPr="00DD7055">
        <w:rPr>
          <w:rStyle w:val="FootnoteReference"/>
          <w:rFonts w:ascii="Cambria" w:hAnsi="Cambria"/>
          <w:sz w:val="18"/>
          <w:szCs w:val="18"/>
          <w:lang w:val="es-VE"/>
        </w:rPr>
        <w:footnoteReference w:id="23"/>
      </w:r>
      <w:r w:rsidR="00A50DAD">
        <w:rPr>
          <w:rFonts w:ascii="Cambria" w:hAnsi="Cambria"/>
          <w:sz w:val="20"/>
          <w:szCs w:val="20"/>
          <w:lang w:val="es-VE"/>
        </w:rPr>
        <w:t>, la cual no fue controvertida por el Estado. En relación con Domingo Deras, padre de Herminio, l</w:t>
      </w:r>
      <w:r w:rsidR="00E37F31">
        <w:rPr>
          <w:rFonts w:ascii="Cambria" w:hAnsi="Cambria"/>
          <w:sz w:val="20"/>
          <w:szCs w:val="20"/>
          <w:lang w:val="es-VE"/>
        </w:rPr>
        <w:t xml:space="preserve">a parte peticionaria </w:t>
      </w:r>
      <w:r w:rsidR="00734541">
        <w:rPr>
          <w:rFonts w:ascii="Cambria" w:hAnsi="Cambria"/>
          <w:sz w:val="20"/>
          <w:szCs w:val="20"/>
          <w:lang w:val="es-VE"/>
        </w:rPr>
        <w:t>indicó lo siguiente:</w:t>
      </w:r>
    </w:p>
    <w:p w14:paraId="4D0B1DC4" w14:textId="77777777" w:rsidR="00734541" w:rsidRDefault="00734541" w:rsidP="00212202">
      <w:pPr>
        <w:tabs>
          <w:tab w:val="left" w:pos="360"/>
          <w:tab w:val="left" w:pos="1440"/>
        </w:tabs>
        <w:jc w:val="both"/>
        <w:rPr>
          <w:rFonts w:ascii="Cambria" w:hAnsi="Cambria"/>
          <w:sz w:val="20"/>
          <w:szCs w:val="20"/>
          <w:lang w:val="es-VE"/>
        </w:rPr>
      </w:pPr>
    </w:p>
    <w:p w14:paraId="3E81D201" w14:textId="77777777" w:rsidR="00DF49F5" w:rsidRPr="00DD7055" w:rsidRDefault="00DF49F5" w:rsidP="00212202">
      <w:pPr>
        <w:pStyle w:val="ListParagraph"/>
        <w:tabs>
          <w:tab w:val="left" w:pos="360"/>
        </w:tabs>
        <w:ind w:left="360" w:right="360"/>
        <w:jc w:val="both"/>
        <w:rPr>
          <w:rFonts w:ascii="Cambria" w:hAnsi="Cambria"/>
          <w:sz w:val="18"/>
          <w:szCs w:val="18"/>
          <w:lang w:val="es-VE"/>
        </w:rPr>
      </w:pPr>
      <w:r w:rsidRPr="00DD7055">
        <w:rPr>
          <w:rFonts w:ascii="Cambria" w:hAnsi="Cambria"/>
          <w:sz w:val="18"/>
          <w:szCs w:val="18"/>
          <w:lang w:val="es-VE"/>
        </w:rPr>
        <w:t xml:space="preserve">Domingo Deras entró en una profunda depresión, no hablaba con nadie, su trabajo de constructor y su </w:t>
      </w:r>
      <w:r w:rsidRPr="00212202">
        <w:rPr>
          <w:rFonts w:ascii="Cambria" w:hAnsi="Cambria"/>
          <w:sz w:val="18"/>
          <w:szCs w:val="18"/>
          <w:lang w:val="es-CL"/>
        </w:rPr>
        <w:t>fábrica</w:t>
      </w:r>
      <w:r w:rsidRPr="00DD7055">
        <w:rPr>
          <w:rFonts w:ascii="Cambria" w:hAnsi="Cambria"/>
          <w:sz w:val="18"/>
          <w:szCs w:val="18"/>
          <w:lang w:val="es-VE"/>
        </w:rPr>
        <w:t xml:space="preserve"> de bloques y mosaicos quebró, tanto porque estaba estigmatizado y nadie lo contrataba, como por descuidarlo para atendar la demanda de justicia (...). Comenzó a ingerir licor en forma excesiva y cuando se encontraba bajo los efectos del alcohol, repetía reiteradamente “si no me hubiera negado a cambiar el vehículo, Herminio estaría vivo” y repetía que era un mal padre. El 12 de junio de 1987 tenía 72 años, se sentó en una silla y se disparó a la cabeza (</w:t>
      </w:r>
      <w:r w:rsidR="004831AE" w:rsidRPr="00DD7055">
        <w:rPr>
          <w:rFonts w:ascii="Cambria" w:hAnsi="Cambria"/>
          <w:sz w:val="18"/>
          <w:szCs w:val="18"/>
          <w:lang w:val="es-VE"/>
        </w:rPr>
        <w:t>...)</w:t>
      </w:r>
      <w:r w:rsidRPr="00DD7055">
        <w:rPr>
          <w:rFonts w:ascii="Cambria" w:hAnsi="Cambria"/>
          <w:sz w:val="18"/>
          <w:szCs w:val="18"/>
          <w:lang w:val="es-VE"/>
        </w:rPr>
        <w:t xml:space="preserve"> pocos minutos después murió. Dejó una nota que decía “Perdónenme por no haber sido valiente para defenderlos”.</w:t>
      </w:r>
    </w:p>
    <w:p w14:paraId="15623620" w14:textId="77777777" w:rsidR="00734541" w:rsidRDefault="00734541" w:rsidP="00212202">
      <w:pPr>
        <w:tabs>
          <w:tab w:val="left" w:pos="360"/>
          <w:tab w:val="left" w:pos="1440"/>
        </w:tabs>
        <w:ind w:left="630"/>
        <w:jc w:val="both"/>
        <w:rPr>
          <w:rFonts w:ascii="Cambria" w:hAnsi="Cambria"/>
          <w:sz w:val="20"/>
          <w:szCs w:val="20"/>
          <w:lang w:val="es-VE"/>
        </w:rPr>
      </w:pPr>
      <w:r>
        <w:rPr>
          <w:rFonts w:ascii="Cambria" w:hAnsi="Cambria"/>
          <w:sz w:val="20"/>
          <w:szCs w:val="20"/>
          <w:lang w:val="es-VE"/>
        </w:rPr>
        <w:t xml:space="preserve"> </w:t>
      </w:r>
    </w:p>
    <w:p w14:paraId="73C32138" w14:textId="77777777" w:rsidR="00DF49F5" w:rsidRDefault="00A50DAD" w:rsidP="002122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es-VE"/>
        </w:rPr>
      </w:pPr>
      <w:r>
        <w:rPr>
          <w:rFonts w:ascii="Cambria" w:hAnsi="Cambria"/>
          <w:sz w:val="20"/>
          <w:szCs w:val="20"/>
          <w:lang w:val="es-VE"/>
        </w:rPr>
        <w:t xml:space="preserve">Respecto de María Eustaquia García, madre de Herminio, </w:t>
      </w:r>
      <w:r w:rsidR="00DF49F5">
        <w:rPr>
          <w:rFonts w:ascii="Cambria" w:hAnsi="Cambria"/>
          <w:sz w:val="20"/>
          <w:szCs w:val="20"/>
          <w:lang w:val="es-VE"/>
        </w:rPr>
        <w:t>la parte peticionaria sostuvo lo siguiente:</w:t>
      </w:r>
    </w:p>
    <w:p w14:paraId="1FDE5902" w14:textId="77777777" w:rsidR="00DF49F5" w:rsidRDefault="00DF49F5" w:rsidP="00212202">
      <w:pPr>
        <w:tabs>
          <w:tab w:val="left" w:pos="360"/>
          <w:tab w:val="left" w:pos="1440"/>
        </w:tabs>
        <w:ind w:left="630"/>
        <w:jc w:val="both"/>
        <w:rPr>
          <w:rFonts w:ascii="Cambria" w:hAnsi="Cambria"/>
          <w:sz w:val="20"/>
          <w:szCs w:val="20"/>
          <w:lang w:val="es-VE"/>
        </w:rPr>
      </w:pPr>
    </w:p>
    <w:p w14:paraId="3009585A" w14:textId="77777777" w:rsidR="00E37F31" w:rsidRPr="00DD7055" w:rsidRDefault="00DF49F5" w:rsidP="00212202">
      <w:pPr>
        <w:pStyle w:val="ListParagraph"/>
        <w:tabs>
          <w:tab w:val="left" w:pos="360"/>
        </w:tabs>
        <w:ind w:left="360" w:right="360"/>
        <w:jc w:val="both"/>
        <w:rPr>
          <w:rFonts w:ascii="Cambria" w:hAnsi="Cambria"/>
          <w:sz w:val="18"/>
          <w:szCs w:val="18"/>
          <w:lang w:val="es-VE"/>
        </w:rPr>
      </w:pPr>
      <w:r w:rsidRPr="00DD7055">
        <w:rPr>
          <w:rFonts w:ascii="Cambria" w:hAnsi="Cambria"/>
          <w:sz w:val="18"/>
          <w:szCs w:val="18"/>
          <w:lang w:val="es-VE"/>
        </w:rPr>
        <w:t>A</w:t>
      </w:r>
      <w:r w:rsidR="00734541" w:rsidRPr="00DD7055">
        <w:rPr>
          <w:rFonts w:ascii="Cambria" w:hAnsi="Cambria"/>
          <w:sz w:val="18"/>
          <w:szCs w:val="18"/>
          <w:lang w:val="es-VE"/>
        </w:rPr>
        <w:t xml:space="preserve"> raíz de la muerte violenta de su hijo Herminio, entró en una profunda depresión que</w:t>
      </w:r>
      <w:r w:rsidRPr="00DD7055">
        <w:rPr>
          <w:rFonts w:ascii="Cambria" w:hAnsi="Cambria"/>
          <w:sz w:val="18"/>
          <w:szCs w:val="18"/>
          <w:lang w:val="es-VE"/>
        </w:rPr>
        <w:t xml:space="preserve"> le activó el foco epiléptico, </w:t>
      </w:r>
      <w:r w:rsidR="00734541" w:rsidRPr="00DD7055">
        <w:rPr>
          <w:rFonts w:ascii="Cambria" w:hAnsi="Cambria"/>
          <w:sz w:val="18"/>
          <w:szCs w:val="18"/>
          <w:lang w:val="es-VE"/>
        </w:rPr>
        <w:t xml:space="preserve">constantemente sufría ataques y su salud se fue deteriorando, la economía familiar se </w:t>
      </w:r>
      <w:r w:rsidR="00734541" w:rsidRPr="00212202">
        <w:rPr>
          <w:rFonts w:ascii="Cambria" w:hAnsi="Cambria"/>
          <w:sz w:val="18"/>
          <w:szCs w:val="18"/>
          <w:lang w:val="es-CL"/>
        </w:rPr>
        <w:t>deprimió</w:t>
      </w:r>
      <w:r w:rsidR="00734541" w:rsidRPr="00DD7055">
        <w:rPr>
          <w:rFonts w:ascii="Cambria" w:hAnsi="Cambria"/>
          <w:sz w:val="18"/>
          <w:szCs w:val="18"/>
          <w:lang w:val="es-VE"/>
        </w:rPr>
        <w:t>, e</w:t>
      </w:r>
      <w:r w:rsidRPr="00DD7055">
        <w:rPr>
          <w:rFonts w:ascii="Cambria" w:hAnsi="Cambria"/>
          <w:sz w:val="18"/>
          <w:szCs w:val="18"/>
          <w:lang w:val="es-VE"/>
        </w:rPr>
        <w:t>l negocio de construcción de su esposo quebró</w:t>
      </w:r>
      <w:r w:rsidR="00A50DAD" w:rsidRPr="00DD7055">
        <w:rPr>
          <w:rFonts w:ascii="Cambria" w:hAnsi="Cambria"/>
          <w:sz w:val="18"/>
          <w:szCs w:val="18"/>
          <w:lang w:val="es-VE"/>
        </w:rPr>
        <w:t xml:space="preserve">, su hijo Héctor se marchó al exilio para salvar su vida. (...) El suicidio de su esposo profundizó su depresión. Finalmente perdió la salud y se debilitó al extremo que no salió de la cama nunca más. Murió el 22 de mayo de 2010. </w:t>
      </w:r>
    </w:p>
    <w:p w14:paraId="718F3821" w14:textId="77777777" w:rsidR="00E37F31" w:rsidRPr="003A651A" w:rsidRDefault="00E37F31" w:rsidP="00212202">
      <w:pPr>
        <w:tabs>
          <w:tab w:val="left" w:pos="360"/>
          <w:tab w:val="left" w:pos="1440"/>
        </w:tabs>
        <w:jc w:val="both"/>
        <w:rPr>
          <w:rFonts w:ascii="Cambria" w:hAnsi="Cambria"/>
          <w:sz w:val="20"/>
          <w:szCs w:val="20"/>
          <w:lang w:val="es-VE"/>
        </w:rPr>
      </w:pPr>
    </w:p>
    <w:p w14:paraId="1E69361D" w14:textId="77777777" w:rsidR="00DF49F5" w:rsidRPr="00A50DAD" w:rsidRDefault="004F5102" w:rsidP="002122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es-VE"/>
        </w:rPr>
      </w:pPr>
      <w:r>
        <w:rPr>
          <w:rFonts w:ascii="Cambria" w:hAnsi="Cambria"/>
          <w:sz w:val="20"/>
          <w:szCs w:val="20"/>
          <w:lang w:val="es-VE"/>
        </w:rPr>
        <w:t>En relación con los hermanos del señor Deras, l</w:t>
      </w:r>
      <w:r w:rsidR="00A50DAD">
        <w:rPr>
          <w:rFonts w:ascii="Cambria" w:hAnsi="Cambria"/>
          <w:sz w:val="20"/>
          <w:szCs w:val="20"/>
          <w:lang w:val="es-VE"/>
        </w:rPr>
        <w:t xml:space="preserve">a </w:t>
      </w:r>
      <w:r w:rsidR="00DF49F5" w:rsidRPr="00A50DAD">
        <w:rPr>
          <w:rFonts w:ascii="Cambria" w:hAnsi="Cambria"/>
          <w:sz w:val="20"/>
          <w:szCs w:val="20"/>
          <w:lang w:val="es-VE"/>
        </w:rPr>
        <w:t xml:space="preserve">parte peticionaria informó que en septiembre de 1984 </w:t>
      </w:r>
      <w:r>
        <w:rPr>
          <w:rFonts w:ascii="Cambria" w:hAnsi="Cambria"/>
          <w:sz w:val="20"/>
          <w:szCs w:val="20"/>
          <w:lang w:val="es-VE"/>
        </w:rPr>
        <w:t>Héctor Deras</w:t>
      </w:r>
      <w:r w:rsidR="00DF49F5" w:rsidRPr="00A50DAD">
        <w:rPr>
          <w:rFonts w:ascii="Cambria" w:hAnsi="Cambria"/>
          <w:sz w:val="20"/>
          <w:szCs w:val="20"/>
          <w:lang w:val="es-VE"/>
        </w:rPr>
        <w:t xml:space="preserve"> salió del país rumbo a Estados Unidos. Ello luego de que su padre Domingo le dijera que recibió información de agentes de la DNI sobre un plan para asesinarlo. Explicó que dichos agentes le dijeron “ya </w:t>
      </w:r>
      <w:r w:rsidR="00DF49F5" w:rsidRPr="00A50DAD">
        <w:rPr>
          <w:rFonts w:ascii="Cambria" w:hAnsi="Cambria"/>
          <w:sz w:val="20"/>
          <w:szCs w:val="20"/>
          <w:lang w:val="es-VE"/>
        </w:rPr>
        <w:lastRenderedPageBreak/>
        <w:t>perdió un hijo, no pierda a otro”. La parte peticionaria informó que Hécto</w:t>
      </w:r>
      <w:r w:rsidR="00DE4E51">
        <w:rPr>
          <w:rFonts w:ascii="Cambria" w:hAnsi="Cambria"/>
          <w:sz w:val="20"/>
          <w:szCs w:val="20"/>
          <w:lang w:val="es-VE"/>
        </w:rPr>
        <w:t>r</w:t>
      </w:r>
      <w:r w:rsidR="00DF49F5" w:rsidRPr="00A50DAD">
        <w:rPr>
          <w:rFonts w:ascii="Cambria" w:hAnsi="Cambria"/>
          <w:sz w:val="20"/>
          <w:szCs w:val="20"/>
          <w:lang w:val="es-VE"/>
        </w:rPr>
        <w:t xml:space="preserve"> Deras falleció en el año 2010, un día después de regresar a Honduras para visitar a su madre. La Comisión no cuenta con información sobre el fallecimiento de Héctor Deras. </w:t>
      </w:r>
    </w:p>
    <w:p w14:paraId="454DAE35" w14:textId="77777777" w:rsidR="00DF49F5" w:rsidRPr="00DF49F5" w:rsidRDefault="00DF49F5" w:rsidP="00212202">
      <w:pPr>
        <w:tabs>
          <w:tab w:val="left" w:pos="360"/>
          <w:tab w:val="left" w:pos="1440"/>
        </w:tabs>
        <w:jc w:val="both"/>
        <w:rPr>
          <w:rFonts w:ascii="Cambria" w:hAnsi="Cambria"/>
          <w:sz w:val="20"/>
          <w:szCs w:val="20"/>
          <w:lang w:val="es-VE"/>
        </w:rPr>
      </w:pPr>
    </w:p>
    <w:p w14:paraId="5020FF85" w14:textId="77777777" w:rsidR="00DF49F5" w:rsidRPr="00E37F31" w:rsidRDefault="00A50DAD" w:rsidP="002122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es-VE"/>
        </w:rPr>
      </w:pPr>
      <w:r>
        <w:rPr>
          <w:rFonts w:ascii="Cambria" w:hAnsi="Cambria"/>
          <w:sz w:val="20"/>
          <w:szCs w:val="20"/>
          <w:lang w:val="es-VE"/>
        </w:rPr>
        <w:t>Finalmente,</w:t>
      </w:r>
      <w:r w:rsidR="00DF49F5" w:rsidRPr="00DF49F5">
        <w:rPr>
          <w:rFonts w:ascii="Cambria" w:hAnsi="Cambria"/>
          <w:sz w:val="20"/>
          <w:szCs w:val="20"/>
          <w:lang w:val="es-VE"/>
        </w:rPr>
        <w:t xml:space="preserve"> la parte peticionaria manifestó que la hermana del señor Deras, Alba Luz, se encontraba estudiando en Rumania desde 1975. Sostuvo que debido a “la situación política imperante y por la persecusión de que era objeto su familia” no pudo regresar a Honduras. Explicó que Alba Luz recién regresó a Honduras en el año 2000 a trabajar en el Equipo de Reflexión de la Iglesia Católica y que en el año 2009, debido a sus funciones de acompañamiento “al proceso de resistencia”, recibió un mensaje de texto que decía “te vamos a joder”. </w:t>
      </w:r>
    </w:p>
    <w:p w14:paraId="1CF76A1C" w14:textId="77777777" w:rsidR="0099177A" w:rsidRPr="003A651A" w:rsidRDefault="0099177A" w:rsidP="00212202">
      <w:pPr>
        <w:tabs>
          <w:tab w:val="left" w:pos="360"/>
          <w:tab w:val="left" w:pos="1440"/>
        </w:tabs>
        <w:ind w:left="630"/>
        <w:jc w:val="both"/>
        <w:rPr>
          <w:rFonts w:ascii="Cambria" w:hAnsi="Cambria"/>
          <w:sz w:val="20"/>
          <w:szCs w:val="20"/>
          <w:lang w:val="es-VE"/>
        </w:rPr>
      </w:pPr>
    </w:p>
    <w:p w14:paraId="5AAE7103" w14:textId="77777777" w:rsidR="008B59BB" w:rsidRPr="00EC51FE" w:rsidRDefault="008B59BB" w:rsidP="00212202">
      <w:pPr>
        <w:pStyle w:val="Heading2"/>
        <w:numPr>
          <w:ilvl w:val="0"/>
          <w:numId w:val="61"/>
        </w:numPr>
        <w:tabs>
          <w:tab w:val="left" w:pos="360"/>
        </w:tabs>
        <w:ind w:hanging="720"/>
      </w:pPr>
      <w:bookmarkStart w:id="18" w:name="_Toc15048001"/>
      <w:bookmarkStart w:id="19" w:name="_Toc21442037"/>
      <w:r w:rsidRPr="00EC51FE">
        <w:t>Sobre el proceso penal</w:t>
      </w:r>
      <w:bookmarkEnd w:id="18"/>
      <w:bookmarkEnd w:id="19"/>
    </w:p>
    <w:p w14:paraId="71326CCF" w14:textId="77777777" w:rsidR="00927564" w:rsidRPr="003A651A" w:rsidRDefault="00927564" w:rsidP="00212202">
      <w:pPr>
        <w:tabs>
          <w:tab w:val="left" w:pos="360"/>
          <w:tab w:val="left" w:pos="1440"/>
        </w:tabs>
        <w:jc w:val="both"/>
        <w:rPr>
          <w:rFonts w:ascii="Cambria" w:hAnsi="Cambria"/>
          <w:sz w:val="20"/>
          <w:szCs w:val="20"/>
          <w:lang w:val="es-VE"/>
        </w:rPr>
      </w:pPr>
    </w:p>
    <w:p w14:paraId="3685308B" w14:textId="77777777" w:rsidR="0099177A" w:rsidRPr="003A651A" w:rsidRDefault="006B30E8" w:rsidP="002122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es-VE"/>
        </w:rPr>
      </w:pPr>
      <w:r w:rsidRPr="003A651A">
        <w:rPr>
          <w:rFonts w:ascii="Cambria" w:hAnsi="Cambria"/>
          <w:sz w:val="20"/>
          <w:szCs w:val="20"/>
          <w:lang w:val="es-VE"/>
        </w:rPr>
        <w:t>El 30 de julio de 1998</w:t>
      </w:r>
      <w:r w:rsidR="0077682D" w:rsidRPr="003A651A">
        <w:rPr>
          <w:rFonts w:ascii="Cambria" w:hAnsi="Cambria"/>
          <w:sz w:val="20"/>
          <w:szCs w:val="20"/>
          <w:lang w:val="es-VE"/>
        </w:rPr>
        <w:t xml:space="preserve"> el Ministerio P</w:t>
      </w:r>
      <w:r w:rsidR="00F7433B" w:rsidRPr="003A651A">
        <w:rPr>
          <w:rFonts w:ascii="Cambria" w:hAnsi="Cambria"/>
          <w:sz w:val="20"/>
          <w:szCs w:val="20"/>
          <w:lang w:val="es-VE"/>
        </w:rPr>
        <w:t>úblic</w:t>
      </w:r>
      <w:r w:rsidR="00A50DAD" w:rsidRPr="003A651A">
        <w:rPr>
          <w:rFonts w:ascii="Cambria" w:hAnsi="Cambria"/>
          <w:sz w:val="20"/>
          <w:szCs w:val="20"/>
          <w:lang w:val="es-VE"/>
        </w:rPr>
        <w:t xml:space="preserve">o presentó una denuncia contra </w:t>
      </w:r>
      <w:r w:rsidR="00A173DF" w:rsidRPr="003A651A">
        <w:rPr>
          <w:rFonts w:ascii="Cambria" w:hAnsi="Cambria"/>
          <w:sz w:val="20"/>
          <w:szCs w:val="20"/>
          <w:lang w:val="es-VE"/>
        </w:rPr>
        <w:t>los miembros del Batallón 3-16</w:t>
      </w:r>
      <w:r w:rsidR="00A50DAD" w:rsidRPr="003A651A">
        <w:rPr>
          <w:rFonts w:ascii="Cambria" w:hAnsi="Cambria"/>
          <w:sz w:val="20"/>
          <w:szCs w:val="20"/>
          <w:lang w:val="es-VE"/>
        </w:rPr>
        <w:t xml:space="preserve"> </w:t>
      </w:r>
      <w:r w:rsidR="00F7433B" w:rsidRPr="003A651A">
        <w:rPr>
          <w:rFonts w:ascii="Cambria" w:hAnsi="Cambria"/>
          <w:sz w:val="20"/>
          <w:szCs w:val="20"/>
          <w:lang w:val="es-VE"/>
        </w:rPr>
        <w:t>Marco Tulio Regalado, Rafael Canales Núñez</w:t>
      </w:r>
      <w:r w:rsidR="0033636E" w:rsidRPr="003A651A">
        <w:rPr>
          <w:rFonts w:ascii="Cambria" w:hAnsi="Cambria"/>
          <w:sz w:val="20"/>
          <w:szCs w:val="20"/>
          <w:lang w:val="es-VE"/>
        </w:rPr>
        <w:t xml:space="preserve"> y</w:t>
      </w:r>
      <w:r w:rsidR="00F7433B" w:rsidRPr="003A651A">
        <w:rPr>
          <w:rFonts w:ascii="Cambria" w:hAnsi="Cambria"/>
          <w:sz w:val="20"/>
          <w:szCs w:val="20"/>
          <w:lang w:val="es-VE"/>
        </w:rPr>
        <w:t xml:space="preserve"> </w:t>
      </w:r>
      <w:r w:rsidR="00332D9A" w:rsidRPr="003A651A">
        <w:rPr>
          <w:rFonts w:ascii="Cambria" w:hAnsi="Cambria"/>
          <w:sz w:val="20"/>
          <w:szCs w:val="20"/>
          <w:lang w:val="es-VE"/>
        </w:rPr>
        <w:t>Alexa</w:t>
      </w:r>
      <w:r w:rsidR="00A50DAD" w:rsidRPr="003A651A">
        <w:rPr>
          <w:rFonts w:ascii="Cambria" w:hAnsi="Cambria"/>
          <w:sz w:val="20"/>
          <w:szCs w:val="20"/>
          <w:lang w:val="es-VE"/>
        </w:rPr>
        <w:t xml:space="preserve">nder Raymundo Hernández Santos </w:t>
      </w:r>
      <w:r w:rsidR="00332D9A" w:rsidRPr="003A651A">
        <w:rPr>
          <w:rFonts w:ascii="Cambria" w:hAnsi="Cambria"/>
          <w:sz w:val="20"/>
          <w:szCs w:val="20"/>
          <w:lang w:val="es-VE"/>
        </w:rPr>
        <w:t>por el asesinato de</w:t>
      </w:r>
      <w:r w:rsidR="00A50DAD" w:rsidRPr="003A651A">
        <w:rPr>
          <w:rFonts w:ascii="Cambria" w:hAnsi="Cambria"/>
          <w:sz w:val="20"/>
          <w:szCs w:val="20"/>
          <w:lang w:val="es-VE"/>
        </w:rPr>
        <w:t xml:space="preserve"> </w:t>
      </w:r>
      <w:r w:rsidR="00332D9A" w:rsidRPr="003A651A">
        <w:rPr>
          <w:rFonts w:ascii="Cambria" w:hAnsi="Cambria"/>
          <w:sz w:val="20"/>
          <w:szCs w:val="20"/>
          <w:lang w:val="es-VE"/>
        </w:rPr>
        <w:t>Herminio Deras</w:t>
      </w:r>
      <w:r w:rsidR="005169CE" w:rsidRPr="003A651A">
        <w:rPr>
          <w:rFonts w:ascii="Cambria" w:hAnsi="Cambria"/>
          <w:sz w:val="20"/>
          <w:szCs w:val="20"/>
          <w:lang w:val="es-VE"/>
        </w:rPr>
        <w:t xml:space="preserve">. </w:t>
      </w:r>
      <w:r w:rsidR="00A173DF" w:rsidRPr="003A651A">
        <w:rPr>
          <w:rFonts w:ascii="Cambria" w:hAnsi="Cambria"/>
          <w:sz w:val="20"/>
          <w:szCs w:val="20"/>
          <w:lang w:val="es-VE"/>
        </w:rPr>
        <w:t xml:space="preserve">En la denuncia se hizo referencia </w:t>
      </w:r>
      <w:r w:rsidR="00D06BB8" w:rsidRPr="003A651A">
        <w:rPr>
          <w:rFonts w:ascii="Cambria" w:hAnsi="Cambria"/>
          <w:sz w:val="20"/>
          <w:szCs w:val="20"/>
          <w:lang w:val="es-VE"/>
        </w:rPr>
        <w:t xml:space="preserve">al contexto del país </w:t>
      </w:r>
      <w:r w:rsidR="00AB1B4D">
        <w:rPr>
          <w:rFonts w:ascii="Cambria" w:hAnsi="Cambria"/>
          <w:sz w:val="20"/>
          <w:szCs w:val="20"/>
          <w:lang w:val="es-VE"/>
        </w:rPr>
        <w:t>entre</w:t>
      </w:r>
      <w:r w:rsidR="00D06BB8" w:rsidRPr="003A651A">
        <w:rPr>
          <w:rFonts w:ascii="Cambria" w:hAnsi="Cambria"/>
          <w:sz w:val="20"/>
          <w:szCs w:val="20"/>
          <w:lang w:val="es-VE"/>
        </w:rPr>
        <w:t xml:space="preserve"> 1980-1984</w:t>
      </w:r>
      <w:r w:rsidR="0033636E" w:rsidRPr="003A651A">
        <w:rPr>
          <w:rFonts w:ascii="Cambria" w:hAnsi="Cambria"/>
          <w:sz w:val="20"/>
          <w:szCs w:val="20"/>
          <w:lang w:val="es-VE"/>
        </w:rPr>
        <w:t xml:space="preserve">, </w:t>
      </w:r>
      <w:r w:rsidR="00762EF9" w:rsidRPr="003A651A">
        <w:rPr>
          <w:rFonts w:ascii="Cambria" w:hAnsi="Cambria"/>
          <w:sz w:val="20"/>
          <w:szCs w:val="20"/>
          <w:lang w:val="es-VE"/>
        </w:rPr>
        <w:t xml:space="preserve">específicamente </w:t>
      </w:r>
      <w:r w:rsidR="0033636E" w:rsidRPr="003A651A">
        <w:rPr>
          <w:rFonts w:ascii="Cambria" w:hAnsi="Cambria"/>
          <w:sz w:val="20"/>
          <w:szCs w:val="20"/>
          <w:lang w:val="es-VE"/>
        </w:rPr>
        <w:t xml:space="preserve">a la persecución y posterior ejecución extrajudicial </w:t>
      </w:r>
      <w:r w:rsidR="00762EF9" w:rsidRPr="003A651A">
        <w:rPr>
          <w:rFonts w:ascii="Cambria" w:hAnsi="Cambria"/>
          <w:sz w:val="20"/>
          <w:szCs w:val="20"/>
          <w:lang w:val="es-VE"/>
        </w:rPr>
        <w:t>de</w:t>
      </w:r>
      <w:r w:rsidR="0033636E" w:rsidRPr="003A651A">
        <w:rPr>
          <w:rFonts w:ascii="Cambria" w:hAnsi="Cambria"/>
          <w:sz w:val="20"/>
          <w:szCs w:val="20"/>
          <w:lang w:val="es-VE"/>
        </w:rPr>
        <w:t xml:space="preserve"> personas que eran consideradas una amenaza para el gobierno</w:t>
      </w:r>
      <w:r w:rsidR="00A173DF" w:rsidRPr="003A651A">
        <w:rPr>
          <w:rFonts w:ascii="Cambria" w:hAnsi="Cambria"/>
          <w:sz w:val="20"/>
          <w:szCs w:val="20"/>
          <w:lang w:val="es-VE"/>
        </w:rPr>
        <w:t xml:space="preserve"> de dicha época</w:t>
      </w:r>
      <w:r w:rsidR="0033636E" w:rsidRPr="003A651A">
        <w:rPr>
          <w:rFonts w:ascii="Cambria" w:hAnsi="Cambria"/>
          <w:sz w:val="20"/>
          <w:szCs w:val="20"/>
          <w:lang w:val="es-VE"/>
        </w:rPr>
        <w:t>.</w:t>
      </w:r>
      <w:r w:rsidR="00762EF9" w:rsidRPr="003A651A">
        <w:rPr>
          <w:rFonts w:ascii="Cambria" w:hAnsi="Cambria"/>
          <w:sz w:val="20"/>
          <w:szCs w:val="20"/>
          <w:lang w:val="es-VE"/>
        </w:rPr>
        <w:t xml:space="preserve"> </w:t>
      </w:r>
      <w:r w:rsidR="00A173DF" w:rsidRPr="003A651A">
        <w:rPr>
          <w:rFonts w:ascii="Cambria" w:hAnsi="Cambria"/>
          <w:sz w:val="20"/>
          <w:szCs w:val="20"/>
          <w:lang w:val="es-VE"/>
        </w:rPr>
        <w:t xml:space="preserve">Asimismo, en la denuncia se relató </w:t>
      </w:r>
      <w:r w:rsidR="00762EF9" w:rsidRPr="003A651A">
        <w:rPr>
          <w:rFonts w:ascii="Cambria" w:hAnsi="Cambria"/>
          <w:sz w:val="20"/>
          <w:szCs w:val="20"/>
          <w:lang w:val="es-VE"/>
        </w:rPr>
        <w:t>el testimonio rendido por Fausto Reyes sobre lo sucedido el día de la muerte de Herminio Deras</w:t>
      </w:r>
      <w:r w:rsidR="00A173DF" w:rsidRPr="003A651A">
        <w:rPr>
          <w:rFonts w:ascii="Cambria" w:hAnsi="Cambria"/>
          <w:sz w:val="20"/>
          <w:szCs w:val="20"/>
          <w:lang w:val="es-VE"/>
        </w:rPr>
        <w:t xml:space="preserve"> y las declaraciones de diversos familiares</w:t>
      </w:r>
      <w:r w:rsidR="00762EF9" w:rsidRPr="003A651A">
        <w:rPr>
          <w:rStyle w:val="FootnoteReference"/>
          <w:rFonts w:ascii="Cambria" w:hAnsi="Cambria"/>
          <w:sz w:val="20"/>
          <w:szCs w:val="20"/>
          <w:lang w:val="es-VE"/>
        </w:rPr>
        <w:footnoteReference w:id="24"/>
      </w:r>
      <w:r w:rsidR="00A173DF" w:rsidRPr="003A651A">
        <w:rPr>
          <w:rFonts w:ascii="Cambria" w:hAnsi="Cambria"/>
          <w:sz w:val="20"/>
          <w:szCs w:val="20"/>
          <w:lang w:val="es-VE"/>
        </w:rPr>
        <w:t>. Es</w:t>
      </w:r>
      <w:r w:rsidR="009136C9" w:rsidRPr="003A651A">
        <w:rPr>
          <w:rFonts w:ascii="Cambria" w:hAnsi="Cambria"/>
          <w:sz w:val="20"/>
          <w:szCs w:val="20"/>
          <w:lang w:val="es-VE"/>
        </w:rPr>
        <w:t>e mismo d</w:t>
      </w:r>
      <w:r w:rsidR="00A173DF" w:rsidRPr="003A651A">
        <w:rPr>
          <w:rFonts w:ascii="Cambria" w:hAnsi="Cambria"/>
          <w:sz w:val="20"/>
          <w:szCs w:val="20"/>
          <w:lang w:val="es-VE"/>
        </w:rPr>
        <w:t>ía</w:t>
      </w:r>
      <w:r w:rsidR="006807B5" w:rsidRPr="003A651A">
        <w:rPr>
          <w:rFonts w:ascii="Cambria" w:hAnsi="Cambria"/>
          <w:sz w:val="20"/>
          <w:szCs w:val="20"/>
          <w:lang w:val="es-VE"/>
        </w:rPr>
        <w:t xml:space="preserve"> </w:t>
      </w:r>
      <w:r w:rsidR="00EB78BC" w:rsidRPr="003A651A">
        <w:rPr>
          <w:rFonts w:ascii="Cambria" w:hAnsi="Cambria"/>
          <w:sz w:val="20"/>
          <w:szCs w:val="20"/>
          <w:lang w:val="es-VE"/>
        </w:rPr>
        <w:t>la Jueza</w:t>
      </w:r>
      <w:r w:rsidR="00636D4A" w:rsidRPr="003A651A">
        <w:rPr>
          <w:rFonts w:ascii="Cambria" w:hAnsi="Cambria"/>
          <w:sz w:val="20"/>
          <w:szCs w:val="20"/>
          <w:lang w:val="es-VE"/>
        </w:rPr>
        <w:t xml:space="preserve"> de Letras Tercero</w:t>
      </w:r>
      <w:r w:rsidR="00A173DF" w:rsidRPr="003A651A">
        <w:rPr>
          <w:rFonts w:ascii="Cambria" w:hAnsi="Cambria"/>
          <w:sz w:val="20"/>
          <w:szCs w:val="20"/>
          <w:lang w:val="es-VE"/>
        </w:rPr>
        <w:t xml:space="preserve"> de lo C</w:t>
      </w:r>
      <w:r w:rsidR="009136C9" w:rsidRPr="003A651A">
        <w:rPr>
          <w:rFonts w:ascii="Cambria" w:hAnsi="Cambria"/>
          <w:sz w:val="20"/>
          <w:szCs w:val="20"/>
          <w:lang w:val="es-VE"/>
        </w:rPr>
        <w:t>riminal</w:t>
      </w:r>
      <w:r w:rsidR="0038167B" w:rsidRPr="003A651A">
        <w:rPr>
          <w:rFonts w:ascii="Cambria" w:hAnsi="Cambria"/>
          <w:sz w:val="20"/>
          <w:szCs w:val="20"/>
          <w:lang w:val="es-VE"/>
        </w:rPr>
        <w:t xml:space="preserve"> de San Pedro Sula </w:t>
      </w:r>
      <w:r w:rsidR="009136C9" w:rsidRPr="003A651A">
        <w:rPr>
          <w:rFonts w:ascii="Cambria" w:hAnsi="Cambria"/>
          <w:sz w:val="20"/>
          <w:szCs w:val="20"/>
          <w:lang w:val="es-VE"/>
        </w:rPr>
        <w:t>admitió la denuncia</w:t>
      </w:r>
      <w:r w:rsidR="009136C9" w:rsidRPr="003A651A">
        <w:rPr>
          <w:rStyle w:val="FootnoteReference"/>
          <w:rFonts w:ascii="Cambria" w:hAnsi="Cambria"/>
          <w:sz w:val="20"/>
          <w:szCs w:val="20"/>
          <w:lang w:val="es-VE"/>
        </w:rPr>
        <w:footnoteReference w:id="25"/>
      </w:r>
      <w:r w:rsidR="0038167B" w:rsidRPr="003A651A">
        <w:rPr>
          <w:rFonts w:ascii="Cambria" w:hAnsi="Cambria"/>
          <w:sz w:val="20"/>
          <w:szCs w:val="20"/>
          <w:lang w:val="es-VE"/>
        </w:rPr>
        <w:t xml:space="preserve">. </w:t>
      </w:r>
      <w:r w:rsidR="0033636E" w:rsidRPr="003A651A">
        <w:rPr>
          <w:rFonts w:ascii="Cambria" w:hAnsi="Cambria"/>
          <w:sz w:val="20"/>
          <w:szCs w:val="20"/>
          <w:lang w:val="es-VE"/>
        </w:rPr>
        <w:t xml:space="preserve"> </w:t>
      </w:r>
    </w:p>
    <w:p w14:paraId="2EA41B57" w14:textId="77777777" w:rsidR="003B184D" w:rsidRPr="003A651A" w:rsidRDefault="003B184D" w:rsidP="00212202">
      <w:pPr>
        <w:tabs>
          <w:tab w:val="left" w:pos="360"/>
          <w:tab w:val="left" w:pos="1440"/>
        </w:tabs>
        <w:ind w:left="630"/>
        <w:jc w:val="both"/>
        <w:rPr>
          <w:rFonts w:ascii="Cambria" w:hAnsi="Cambria"/>
          <w:sz w:val="20"/>
          <w:szCs w:val="20"/>
          <w:lang w:val="es-VE"/>
        </w:rPr>
      </w:pPr>
    </w:p>
    <w:p w14:paraId="68B9A016" w14:textId="77777777" w:rsidR="0038167B" w:rsidRPr="003A651A" w:rsidRDefault="0038167B" w:rsidP="002122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es-VE"/>
        </w:rPr>
      </w:pPr>
      <w:r w:rsidRPr="003A651A">
        <w:rPr>
          <w:rFonts w:ascii="Cambria" w:hAnsi="Cambria"/>
          <w:sz w:val="20"/>
          <w:szCs w:val="20"/>
          <w:lang w:val="es-VE"/>
        </w:rPr>
        <w:t xml:space="preserve">La Comisión toma nota de que la Jueza tomó la declaración de varios familiares de Herminio Deras, quienes hicieron referencia a los diversos hechos de persecusión, amenazas y hostigamientos por parte de agentes públicos, así como </w:t>
      </w:r>
      <w:r w:rsidR="002D7CE5">
        <w:rPr>
          <w:rFonts w:ascii="Cambria" w:hAnsi="Cambria"/>
          <w:sz w:val="20"/>
          <w:szCs w:val="20"/>
          <w:lang w:val="es-VE"/>
        </w:rPr>
        <w:t>a</w:t>
      </w:r>
      <w:r w:rsidRPr="003A651A">
        <w:rPr>
          <w:rFonts w:ascii="Cambria" w:hAnsi="Cambria"/>
          <w:sz w:val="20"/>
          <w:szCs w:val="20"/>
          <w:lang w:val="es-VE"/>
        </w:rPr>
        <w:t xml:space="preserve"> los hechos del 29 de enero de 1983. </w:t>
      </w:r>
      <w:r w:rsidR="00AB1B4D">
        <w:rPr>
          <w:rFonts w:ascii="Cambria" w:hAnsi="Cambria"/>
          <w:sz w:val="20"/>
          <w:szCs w:val="20"/>
          <w:lang w:val="es-VE"/>
        </w:rPr>
        <w:t xml:space="preserve">Al respecto, </w:t>
      </w:r>
      <w:r w:rsidRPr="003A651A">
        <w:rPr>
          <w:rFonts w:ascii="Cambria" w:hAnsi="Cambria"/>
          <w:sz w:val="20"/>
          <w:szCs w:val="20"/>
          <w:lang w:val="es-VE"/>
        </w:rPr>
        <w:t>Isabel García manifestó lo siguiente:</w:t>
      </w:r>
    </w:p>
    <w:p w14:paraId="343F50C6" w14:textId="77777777" w:rsidR="0038167B" w:rsidRPr="003A651A" w:rsidRDefault="0038167B" w:rsidP="00212202">
      <w:pPr>
        <w:tabs>
          <w:tab w:val="left" w:pos="360"/>
          <w:tab w:val="left" w:pos="1440"/>
        </w:tabs>
        <w:jc w:val="both"/>
        <w:rPr>
          <w:rFonts w:ascii="Cambria" w:hAnsi="Cambria"/>
          <w:sz w:val="20"/>
          <w:szCs w:val="20"/>
          <w:lang w:val="es-VE"/>
        </w:rPr>
      </w:pPr>
    </w:p>
    <w:p w14:paraId="7C0A7B2A" w14:textId="77777777" w:rsidR="0038167B" w:rsidRPr="00DD7055" w:rsidRDefault="0038167B" w:rsidP="00212202">
      <w:pPr>
        <w:pStyle w:val="ListParagraph"/>
        <w:tabs>
          <w:tab w:val="left" w:pos="360"/>
        </w:tabs>
        <w:ind w:left="360" w:right="360"/>
        <w:jc w:val="both"/>
        <w:rPr>
          <w:rFonts w:ascii="Cambria" w:hAnsi="Cambria"/>
          <w:sz w:val="18"/>
          <w:szCs w:val="18"/>
          <w:lang w:val="es-VE"/>
        </w:rPr>
      </w:pPr>
      <w:r w:rsidRPr="00DD7055">
        <w:rPr>
          <w:rFonts w:ascii="Cambria" w:hAnsi="Cambria"/>
          <w:sz w:val="18"/>
          <w:szCs w:val="18"/>
          <w:lang w:val="es-VE"/>
        </w:rPr>
        <w:t xml:space="preserve">Estoy completamente segura de que fue un asesinato planificado (…) quiero manifestar también que </w:t>
      </w:r>
      <w:r w:rsidRPr="00212202">
        <w:rPr>
          <w:rFonts w:ascii="Cambria" w:hAnsi="Cambria"/>
          <w:sz w:val="18"/>
          <w:szCs w:val="18"/>
          <w:lang w:val="es-CL"/>
        </w:rPr>
        <w:t>desde</w:t>
      </w:r>
      <w:r w:rsidRPr="00DD7055">
        <w:rPr>
          <w:rFonts w:ascii="Cambria" w:hAnsi="Cambria"/>
          <w:sz w:val="18"/>
          <w:szCs w:val="18"/>
          <w:lang w:val="es-VE"/>
        </w:rPr>
        <w:t xml:space="preserve"> que tengo uso de razón, mi hermano fue perseguido continuamente, por la policía por elementos del DNI en ese entonces, ya que él era un dirigente político y asesor sindical, pertenecía al partido comunista de Honduras era su secretario general al momento de su muerte, est</w:t>
      </w:r>
      <w:r w:rsidR="005D6742">
        <w:rPr>
          <w:rFonts w:ascii="Cambria" w:hAnsi="Cambria"/>
          <w:sz w:val="18"/>
          <w:szCs w:val="18"/>
          <w:lang w:val="es-VE"/>
        </w:rPr>
        <w:t>a</w:t>
      </w:r>
      <w:r w:rsidRPr="00DD7055">
        <w:rPr>
          <w:rFonts w:ascii="Cambria" w:hAnsi="Cambria"/>
          <w:sz w:val="18"/>
          <w:szCs w:val="18"/>
          <w:lang w:val="es-VE"/>
        </w:rPr>
        <w:t>s persecuciones fueron durante años (…)</w:t>
      </w:r>
      <w:r w:rsidRPr="00DD7055">
        <w:rPr>
          <w:rStyle w:val="FootnoteReference"/>
          <w:rFonts w:ascii="Cambria" w:hAnsi="Cambria"/>
          <w:sz w:val="18"/>
          <w:szCs w:val="18"/>
          <w:lang w:val="es-VE"/>
        </w:rPr>
        <w:footnoteReference w:id="26"/>
      </w:r>
      <w:r w:rsidRPr="00DD7055">
        <w:rPr>
          <w:rFonts w:ascii="Cambria" w:hAnsi="Cambria"/>
          <w:sz w:val="18"/>
          <w:szCs w:val="18"/>
          <w:lang w:val="es-VE"/>
        </w:rPr>
        <w:t>.</w:t>
      </w:r>
    </w:p>
    <w:p w14:paraId="39240626" w14:textId="77777777" w:rsidR="0038167B" w:rsidRPr="003A651A" w:rsidRDefault="0038167B" w:rsidP="00212202">
      <w:pPr>
        <w:tabs>
          <w:tab w:val="left" w:pos="360"/>
          <w:tab w:val="left" w:pos="1440"/>
        </w:tabs>
        <w:jc w:val="both"/>
        <w:rPr>
          <w:rFonts w:ascii="Cambria" w:hAnsi="Cambria"/>
          <w:sz w:val="20"/>
          <w:szCs w:val="20"/>
          <w:lang w:val="es-VE"/>
        </w:rPr>
      </w:pPr>
    </w:p>
    <w:p w14:paraId="360CBE71" w14:textId="77777777" w:rsidR="0038167B" w:rsidRPr="00C60008" w:rsidRDefault="0038167B" w:rsidP="002122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es-VE"/>
        </w:rPr>
      </w:pPr>
      <w:r w:rsidRPr="003A651A">
        <w:rPr>
          <w:rFonts w:ascii="Cambria" w:hAnsi="Cambria"/>
          <w:sz w:val="20"/>
          <w:szCs w:val="20"/>
          <w:lang w:val="es-VE"/>
        </w:rPr>
        <w:t xml:space="preserve">Otilia Flores manifestó que </w:t>
      </w:r>
      <w:r w:rsidRPr="00EA3F07">
        <w:rPr>
          <w:rFonts w:ascii="Cambria" w:hAnsi="Cambria"/>
          <w:sz w:val="20"/>
          <w:szCs w:val="20"/>
          <w:lang w:val="es-VE"/>
        </w:rPr>
        <w:t>no se siguió la investigación</w:t>
      </w:r>
      <w:r>
        <w:rPr>
          <w:rFonts w:ascii="Cambria" w:hAnsi="Cambria"/>
          <w:sz w:val="20"/>
          <w:szCs w:val="20"/>
          <w:lang w:val="es-VE"/>
        </w:rPr>
        <w:t xml:space="preserve"> luego de presentada su denuncia en 1983</w:t>
      </w:r>
      <w:r w:rsidRPr="00EA3F07">
        <w:rPr>
          <w:rFonts w:ascii="Cambria" w:hAnsi="Cambria"/>
          <w:sz w:val="20"/>
          <w:szCs w:val="20"/>
          <w:lang w:val="es-VE"/>
        </w:rPr>
        <w:t xml:space="preserve"> porque </w:t>
      </w:r>
      <w:r>
        <w:rPr>
          <w:rFonts w:ascii="Cambria" w:hAnsi="Cambria"/>
          <w:sz w:val="20"/>
          <w:szCs w:val="20"/>
          <w:lang w:val="es-VE"/>
        </w:rPr>
        <w:t>“</w:t>
      </w:r>
      <w:r w:rsidRPr="00EA3F07">
        <w:rPr>
          <w:rFonts w:ascii="Cambria" w:hAnsi="Cambria"/>
          <w:sz w:val="20"/>
          <w:szCs w:val="20"/>
          <w:lang w:val="es-VE"/>
        </w:rPr>
        <w:t>nadie fue a investigar por miedo porque fue en la década de los ochenta cuando había represión contra todos los dirigentes populares (…)”</w:t>
      </w:r>
      <w:r w:rsidRPr="00EA3F07">
        <w:rPr>
          <w:rStyle w:val="FootnoteReference"/>
          <w:rFonts w:ascii="Cambria" w:hAnsi="Cambria"/>
          <w:sz w:val="20"/>
          <w:szCs w:val="20"/>
          <w:lang w:val="es-VE"/>
        </w:rPr>
        <w:footnoteReference w:id="27"/>
      </w:r>
      <w:r w:rsidRPr="00EA3F07">
        <w:rPr>
          <w:rFonts w:ascii="Cambria" w:hAnsi="Cambria"/>
          <w:sz w:val="20"/>
          <w:szCs w:val="20"/>
          <w:lang w:val="es-VE"/>
        </w:rPr>
        <w:t>.</w:t>
      </w:r>
      <w:r w:rsidR="00B77D81">
        <w:rPr>
          <w:rFonts w:ascii="Cambria" w:hAnsi="Cambria"/>
          <w:sz w:val="20"/>
          <w:szCs w:val="20"/>
          <w:lang w:val="es-VE"/>
        </w:rPr>
        <w:t xml:space="preserve"> </w:t>
      </w:r>
    </w:p>
    <w:p w14:paraId="21F2B857" w14:textId="77777777" w:rsidR="00AA30CA" w:rsidRPr="003A651A" w:rsidRDefault="00AA30CA" w:rsidP="00212202">
      <w:pPr>
        <w:tabs>
          <w:tab w:val="left" w:pos="360"/>
          <w:tab w:val="left" w:pos="1440"/>
        </w:tabs>
        <w:jc w:val="both"/>
        <w:rPr>
          <w:rFonts w:ascii="Cambria" w:hAnsi="Cambria"/>
          <w:sz w:val="20"/>
          <w:szCs w:val="20"/>
          <w:lang w:val="es-VE"/>
        </w:rPr>
      </w:pPr>
    </w:p>
    <w:p w14:paraId="7796996D" w14:textId="77777777" w:rsidR="00441F42" w:rsidRPr="003A651A" w:rsidRDefault="0038167B" w:rsidP="002122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es-VE"/>
        </w:rPr>
      </w:pPr>
      <w:r w:rsidRPr="003A651A">
        <w:rPr>
          <w:rFonts w:ascii="Cambria" w:hAnsi="Cambria"/>
          <w:sz w:val="20"/>
          <w:szCs w:val="20"/>
          <w:lang w:val="es-VE"/>
        </w:rPr>
        <w:t>El 19 de enero de 1999 la Jueza</w:t>
      </w:r>
      <w:r w:rsidR="0040464D" w:rsidRPr="003A651A">
        <w:rPr>
          <w:rFonts w:ascii="Cambria" w:hAnsi="Cambria"/>
          <w:sz w:val="20"/>
          <w:szCs w:val="20"/>
          <w:lang w:val="es-VE"/>
        </w:rPr>
        <w:t xml:space="preserve"> ordenó</w:t>
      </w:r>
      <w:r w:rsidR="00A53823" w:rsidRPr="003A651A">
        <w:rPr>
          <w:rFonts w:ascii="Cambria" w:hAnsi="Cambria"/>
          <w:sz w:val="20"/>
          <w:szCs w:val="20"/>
          <w:lang w:val="es-VE"/>
        </w:rPr>
        <w:t xml:space="preserve"> la captura del</w:t>
      </w:r>
      <w:r w:rsidR="007C3DF7" w:rsidRPr="003A651A">
        <w:rPr>
          <w:rFonts w:ascii="Cambria" w:hAnsi="Cambria"/>
          <w:sz w:val="20"/>
          <w:szCs w:val="20"/>
          <w:lang w:val="es-VE"/>
        </w:rPr>
        <w:t xml:space="preserve"> encausado Marco Tulio Regalado</w:t>
      </w:r>
      <w:r w:rsidR="00A53823" w:rsidRPr="003A651A">
        <w:rPr>
          <w:rStyle w:val="FootnoteReference"/>
          <w:rFonts w:ascii="Cambria" w:hAnsi="Cambria"/>
          <w:sz w:val="20"/>
          <w:szCs w:val="20"/>
          <w:lang w:val="es-VE"/>
        </w:rPr>
        <w:footnoteReference w:id="28"/>
      </w:r>
      <w:r w:rsidR="007C3DF7" w:rsidRPr="003A651A">
        <w:rPr>
          <w:rFonts w:ascii="Cambria" w:hAnsi="Cambria"/>
          <w:sz w:val="20"/>
          <w:szCs w:val="20"/>
          <w:lang w:val="es-VE"/>
        </w:rPr>
        <w:t>, por solicitud de la Fiscalía del Ministerio Público</w:t>
      </w:r>
      <w:r w:rsidR="007C3DF7" w:rsidRPr="003A651A">
        <w:rPr>
          <w:rStyle w:val="FootnoteReference"/>
          <w:rFonts w:ascii="Cambria" w:hAnsi="Cambria"/>
          <w:sz w:val="20"/>
          <w:szCs w:val="20"/>
          <w:lang w:val="es-VE"/>
        </w:rPr>
        <w:footnoteReference w:id="29"/>
      </w:r>
      <w:r w:rsidR="007C3DF7" w:rsidRPr="003A651A">
        <w:rPr>
          <w:rFonts w:ascii="Cambria" w:hAnsi="Cambria"/>
          <w:sz w:val="20"/>
          <w:szCs w:val="20"/>
          <w:lang w:val="es-VE"/>
        </w:rPr>
        <w:t>.</w:t>
      </w:r>
      <w:r w:rsidR="00B77D81" w:rsidRPr="003A651A">
        <w:rPr>
          <w:rFonts w:ascii="Cambria" w:hAnsi="Cambria"/>
          <w:sz w:val="20"/>
          <w:szCs w:val="20"/>
          <w:lang w:val="es-VE"/>
        </w:rPr>
        <w:t xml:space="preserve"> La CIDH toma nota de que en octubre</w:t>
      </w:r>
      <w:r w:rsidR="00B736C6">
        <w:rPr>
          <w:rFonts w:ascii="Cambria" w:hAnsi="Cambria"/>
          <w:sz w:val="20"/>
          <w:szCs w:val="20"/>
          <w:lang w:val="es-VE"/>
        </w:rPr>
        <w:t xml:space="preserve"> de 1999</w:t>
      </w:r>
      <w:r w:rsidR="00B77D81" w:rsidRPr="003A651A">
        <w:rPr>
          <w:rFonts w:ascii="Cambria" w:hAnsi="Cambria"/>
          <w:sz w:val="20"/>
          <w:szCs w:val="20"/>
          <w:lang w:val="es-VE"/>
        </w:rPr>
        <w:t xml:space="preserve"> </w:t>
      </w:r>
      <w:r w:rsidR="00B77D81" w:rsidRPr="00B77D81">
        <w:rPr>
          <w:rFonts w:ascii="Cambria" w:hAnsi="Cambria"/>
          <w:sz w:val="20"/>
          <w:szCs w:val="20"/>
          <w:lang w:val="es-VE"/>
        </w:rPr>
        <w:t>Marco Tulio Regalado</w:t>
      </w:r>
      <w:r w:rsidR="00B77D81">
        <w:rPr>
          <w:rFonts w:ascii="Cambria" w:hAnsi="Cambria"/>
          <w:sz w:val="20"/>
          <w:szCs w:val="20"/>
          <w:lang w:val="es-VE"/>
        </w:rPr>
        <w:t xml:space="preserve"> fue detenido y rindió su indagatoria. </w:t>
      </w:r>
      <w:r w:rsidR="00B77D81" w:rsidRPr="003A651A">
        <w:rPr>
          <w:rFonts w:ascii="Cambria" w:hAnsi="Cambria"/>
          <w:sz w:val="20"/>
          <w:szCs w:val="20"/>
          <w:lang w:val="es-VE"/>
        </w:rPr>
        <w:t>Sostuvo que no participó de la muerte del señor Deras y que no conocía a Fausto Reyes.</w:t>
      </w:r>
      <w:r w:rsidR="00E0170A" w:rsidRPr="003A651A">
        <w:rPr>
          <w:rFonts w:ascii="Cambria" w:hAnsi="Cambria"/>
          <w:sz w:val="20"/>
          <w:szCs w:val="20"/>
          <w:lang w:val="es-VE"/>
        </w:rPr>
        <w:t xml:space="preserve"> Agregó que </w:t>
      </w:r>
      <w:r w:rsidR="00441F42" w:rsidRPr="003A651A">
        <w:rPr>
          <w:rFonts w:ascii="Cambria" w:hAnsi="Cambria"/>
          <w:sz w:val="20"/>
          <w:szCs w:val="20"/>
          <w:lang w:val="es-VE"/>
        </w:rPr>
        <w:t>su labor dent</w:t>
      </w:r>
      <w:r w:rsidR="00E0170A" w:rsidRPr="003A651A">
        <w:rPr>
          <w:rFonts w:ascii="Cambria" w:hAnsi="Cambria"/>
          <w:sz w:val="20"/>
          <w:szCs w:val="20"/>
          <w:lang w:val="es-VE"/>
        </w:rPr>
        <w:t>ro del Batallón 3-16 consistía en</w:t>
      </w:r>
      <w:r w:rsidR="00441F42" w:rsidRPr="003A651A">
        <w:rPr>
          <w:rFonts w:ascii="Cambria" w:hAnsi="Cambria"/>
          <w:sz w:val="20"/>
          <w:szCs w:val="20"/>
          <w:lang w:val="es-VE"/>
        </w:rPr>
        <w:t xml:space="preserve"> “analizar el fin de las organizaciones gremiales, religiosas, políticas, militares y otras, con el fin de dar segurid</w:t>
      </w:r>
      <w:r w:rsidR="00E0170A" w:rsidRPr="003A651A">
        <w:rPr>
          <w:rFonts w:ascii="Cambria" w:hAnsi="Cambria"/>
          <w:sz w:val="20"/>
          <w:szCs w:val="20"/>
          <w:lang w:val="es-VE"/>
        </w:rPr>
        <w:t>ad al país en la guerra fría</w:t>
      </w:r>
      <w:r w:rsidR="00441F42" w:rsidRPr="003A651A">
        <w:rPr>
          <w:rFonts w:ascii="Cambria" w:hAnsi="Cambria"/>
          <w:sz w:val="20"/>
          <w:szCs w:val="20"/>
          <w:lang w:val="es-VE"/>
        </w:rPr>
        <w:t>”</w:t>
      </w:r>
      <w:r w:rsidR="005554FE" w:rsidRPr="003A651A">
        <w:rPr>
          <w:rFonts w:ascii="Cambria" w:hAnsi="Cambria"/>
          <w:sz w:val="20"/>
          <w:szCs w:val="20"/>
          <w:lang w:val="es-VE"/>
        </w:rPr>
        <w:t xml:space="preserve">. </w:t>
      </w:r>
      <w:r w:rsidR="00B736C6">
        <w:rPr>
          <w:rFonts w:ascii="Cambria" w:hAnsi="Cambria"/>
          <w:sz w:val="20"/>
          <w:szCs w:val="20"/>
          <w:lang w:val="es-VE"/>
        </w:rPr>
        <w:t>Añadió</w:t>
      </w:r>
      <w:r w:rsidR="00E0170A" w:rsidRPr="003A651A">
        <w:rPr>
          <w:rFonts w:ascii="Cambria" w:hAnsi="Cambria"/>
          <w:sz w:val="20"/>
          <w:szCs w:val="20"/>
          <w:lang w:val="es-VE"/>
        </w:rPr>
        <w:t xml:space="preserve"> que</w:t>
      </w:r>
      <w:r w:rsidR="00D61F79" w:rsidRPr="003A651A">
        <w:rPr>
          <w:rFonts w:ascii="Cambria" w:hAnsi="Cambria"/>
          <w:sz w:val="20"/>
          <w:szCs w:val="20"/>
          <w:lang w:val="es-VE"/>
        </w:rPr>
        <w:t xml:space="preserve"> “yo no lo conocí al señor</w:t>
      </w:r>
      <w:r w:rsidR="00B736C6">
        <w:rPr>
          <w:rFonts w:ascii="Cambria" w:hAnsi="Cambria"/>
          <w:sz w:val="20"/>
          <w:szCs w:val="20"/>
          <w:lang w:val="es-VE"/>
        </w:rPr>
        <w:t xml:space="preserve"> [Deras]</w:t>
      </w:r>
      <w:r w:rsidR="00D61F79" w:rsidRPr="003A651A">
        <w:rPr>
          <w:rFonts w:ascii="Cambria" w:hAnsi="Cambria"/>
          <w:sz w:val="20"/>
          <w:szCs w:val="20"/>
          <w:lang w:val="es-VE"/>
        </w:rPr>
        <w:t>, ni sé si está vivo o está muerto, esa pregunta me la hizieron (</w:t>
      </w:r>
      <w:r w:rsidR="00714865" w:rsidRPr="003A651A">
        <w:rPr>
          <w:rFonts w:ascii="Cambria" w:hAnsi="Cambria"/>
          <w:sz w:val="20"/>
          <w:szCs w:val="20"/>
          <w:lang w:val="es-VE"/>
        </w:rPr>
        <w:t>sic</w:t>
      </w:r>
      <w:r w:rsidR="00D61F79" w:rsidRPr="003A651A">
        <w:rPr>
          <w:rFonts w:ascii="Cambria" w:hAnsi="Cambria"/>
          <w:sz w:val="20"/>
          <w:szCs w:val="20"/>
          <w:lang w:val="es-VE"/>
        </w:rPr>
        <w:t>) en la Corte Interamericana de Derechos Human</w:t>
      </w:r>
      <w:r w:rsidR="00E0170A" w:rsidRPr="003A651A">
        <w:rPr>
          <w:rFonts w:ascii="Cambria" w:hAnsi="Cambria"/>
          <w:sz w:val="20"/>
          <w:szCs w:val="20"/>
          <w:lang w:val="es-VE"/>
        </w:rPr>
        <w:t>os, me preguntaron  lo anterior</w:t>
      </w:r>
      <w:r w:rsidR="00D61F79" w:rsidRPr="003A651A">
        <w:rPr>
          <w:rFonts w:ascii="Cambria" w:hAnsi="Cambria"/>
          <w:sz w:val="20"/>
          <w:szCs w:val="20"/>
          <w:lang w:val="es-VE"/>
        </w:rPr>
        <w:t>”</w:t>
      </w:r>
      <w:r w:rsidR="00D61F79" w:rsidRPr="003A651A">
        <w:rPr>
          <w:rStyle w:val="FootnoteReference"/>
          <w:rFonts w:ascii="Cambria" w:hAnsi="Cambria"/>
          <w:sz w:val="20"/>
          <w:szCs w:val="20"/>
          <w:lang w:val="es-VE"/>
        </w:rPr>
        <w:footnoteReference w:id="30"/>
      </w:r>
      <w:r w:rsidR="00E0170A" w:rsidRPr="003A651A">
        <w:rPr>
          <w:rFonts w:ascii="Cambria" w:hAnsi="Cambria"/>
          <w:sz w:val="20"/>
          <w:szCs w:val="20"/>
          <w:lang w:val="es-VE"/>
        </w:rPr>
        <w:t>.</w:t>
      </w:r>
    </w:p>
    <w:p w14:paraId="6788D0CC" w14:textId="77777777" w:rsidR="003B184D" w:rsidRPr="003A651A" w:rsidRDefault="003B184D" w:rsidP="00212202">
      <w:pPr>
        <w:tabs>
          <w:tab w:val="left" w:pos="360"/>
          <w:tab w:val="left" w:pos="1440"/>
        </w:tabs>
        <w:ind w:left="630"/>
        <w:jc w:val="both"/>
        <w:rPr>
          <w:rFonts w:ascii="Cambria" w:hAnsi="Cambria"/>
          <w:sz w:val="20"/>
          <w:szCs w:val="20"/>
          <w:lang w:val="es-VE"/>
        </w:rPr>
      </w:pPr>
    </w:p>
    <w:p w14:paraId="06BF1906" w14:textId="77777777" w:rsidR="003B184D" w:rsidRPr="003A651A" w:rsidRDefault="003B184D" w:rsidP="002122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es-VE"/>
        </w:rPr>
      </w:pPr>
      <w:r w:rsidRPr="003A651A">
        <w:rPr>
          <w:rFonts w:ascii="Cambria" w:hAnsi="Cambria"/>
          <w:sz w:val="20"/>
          <w:szCs w:val="20"/>
          <w:lang w:val="es-VE"/>
        </w:rPr>
        <w:t>El 7 de octubre</w:t>
      </w:r>
      <w:r w:rsidR="00441F42" w:rsidRPr="003A651A">
        <w:rPr>
          <w:rFonts w:ascii="Cambria" w:hAnsi="Cambria"/>
          <w:sz w:val="20"/>
          <w:szCs w:val="20"/>
          <w:lang w:val="es-VE"/>
        </w:rPr>
        <w:t xml:space="preserve"> de 1999</w:t>
      </w:r>
      <w:r w:rsidR="00E0170A" w:rsidRPr="003A651A">
        <w:rPr>
          <w:rFonts w:ascii="Cambria" w:hAnsi="Cambria"/>
          <w:sz w:val="20"/>
          <w:szCs w:val="20"/>
          <w:lang w:val="es-VE"/>
        </w:rPr>
        <w:t xml:space="preserve"> la Jueza </w:t>
      </w:r>
      <w:r w:rsidR="00186A0A" w:rsidRPr="003A651A">
        <w:rPr>
          <w:rFonts w:ascii="Cambria" w:hAnsi="Cambria"/>
          <w:sz w:val="20"/>
          <w:szCs w:val="20"/>
          <w:lang w:val="es-VE"/>
        </w:rPr>
        <w:t xml:space="preserve">ordenó la realización </w:t>
      </w:r>
      <w:r w:rsidRPr="003A651A">
        <w:rPr>
          <w:rFonts w:ascii="Cambria" w:hAnsi="Cambria"/>
          <w:sz w:val="20"/>
          <w:szCs w:val="20"/>
          <w:lang w:val="es-VE"/>
        </w:rPr>
        <w:t>de una inspección ocular a la Sección de Personal  de las Fue</w:t>
      </w:r>
      <w:r w:rsidR="00186A0A" w:rsidRPr="003A651A">
        <w:rPr>
          <w:rFonts w:ascii="Cambria" w:hAnsi="Cambria"/>
          <w:sz w:val="20"/>
          <w:szCs w:val="20"/>
          <w:lang w:val="es-VE"/>
        </w:rPr>
        <w:t>rzas Armadas a fin de constatar</w:t>
      </w:r>
      <w:r w:rsidRPr="003A651A">
        <w:rPr>
          <w:rFonts w:ascii="Cambria" w:hAnsi="Cambria"/>
          <w:sz w:val="20"/>
          <w:szCs w:val="20"/>
          <w:lang w:val="es-VE"/>
        </w:rPr>
        <w:t xml:space="preserve"> </w:t>
      </w:r>
      <w:r w:rsidR="00F671FE" w:rsidRPr="003A651A">
        <w:rPr>
          <w:rFonts w:ascii="Cambria" w:hAnsi="Cambria"/>
          <w:sz w:val="20"/>
          <w:szCs w:val="20"/>
          <w:lang w:val="es-VE"/>
        </w:rPr>
        <w:t>las actividades que</w:t>
      </w:r>
      <w:r w:rsidRPr="003A651A">
        <w:rPr>
          <w:rFonts w:ascii="Cambria" w:hAnsi="Cambria"/>
          <w:sz w:val="20"/>
          <w:szCs w:val="20"/>
          <w:lang w:val="es-VE"/>
        </w:rPr>
        <w:t xml:space="preserve"> desempeña</w:t>
      </w:r>
      <w:r w:rsidR="00F671FE" w:rsidRPr="003A651A">
        <w:rPr>
          <w:rFonts w:ascii="Cambria" w:hAnsi="Cambria"/>
          <w:sz w:val="20"/>
          <w:szCs w:val="20"/>
          <w:lang w:val="es-VE"/>
        </w:rPr>
        <w:t>ba</w:t>
      </w:r>
      <w:r w:rsidRPr="003A651A">
        <w:rPr>
          <w:rFonts w:ascii="Cambria" w:hAnsi="Cambria"/>
          <w:sz w:val="20"/>
          <w:szCs w:val="20"/>
          <w:lang w:val="es-VE"/>
        </w:rPr>
        <w:t xml:space="preserve"> Marco Tulio Regalado</w:t>
      </w:r>
      <w:r w:rsidR="00F671FE" w:rsidRPr="003A651A">
        <w:rPr>
          <w:rFonts w:ascii="Cambria" w:hAnsi="Cambria"/>
          <w:sz w:val="20"/>
          <w:szCs w:val="20"/>
          <w:lang w:val="es-VE"/>
        </w:rPr>
        <w:t xml:space="preserve">. </w:t>
      </w:r>
      <w:r w:rsidR="00B736C6">
        <w:rPr>
          <w:rFonts w:ascii="Cambria" w:hAnsi="Cambria"/>
          <w:sz w:val="20"/>
          <w:szCs w:val="20"/>
          <w:lang w:val="es-VE"/>
        </w:rPr>
        <w:t>L</w:t>
      </w:r>
      <w:r w:rsidRPr="003A651A">
        <w:rPr>
          <w:rFonts w:ascii="Cambria" w:hAnsi="Cambria"/>
          <w:sz w:val="20"/>
          <w:szCs w:val="20"/>
          <w:lang w:val="es-VE"/>
        </w:rPr>
        <w:t xml:space="preserve">a misma no se llevó a cabo por encontrarse dichos archivos en la Dirección de Personal </w:t>
      </w:r>
      <w:r w:rsidR="00F671FE" w:rsidRPr="003A651A">
        <w:rPr>
          <w:rFonts w:ascii="Cambria" w:hAnsi="Cambria"/>
          <w:sz w:val="20"/>
          <w:szCs w:val="20"/>
          <w:lang w:val="es-VE"/>
        </w:rPr>
        <w:t>en</w:t>
      </w:r>
      <w:r w:rsidRPr="003A651A">
        <w:rPr>
          <w:rFonts w:ascii="Cambria" w:hAnsi="Cambria"/>
          <w:sz w:val="20"/>
          <w:szCs w:val="20"/>
          <w:lang w:val="es-VE"/>
        </w:rPr>
        <w:t xml:space="preserve"> la ciudad de Tegucigalpa</w:t>
      </w:r>
      <w:r w:rsidR="00186A0A" w:rsidRPr="003A651A">
        <w:rPr>
          <w:rFonts w:ascii="Cambria" w:hAnsi="Cambria"/>
          <w:sz w:val="20"/>
          <w:szCs w:val="20"/>
          <w:lang w:val="es-VE"/>
        </w:rPr>
        <w:t xml:space="preserve">. La </w:t>
      </w:r>
      <w:r w:rsidR="00B736C6">
        <w:rPr>
          <w:rFonts w:ascii="Cambria" w:hAnsi="Cambria"/>
          <w:sz w:val="20"/>
          <w:szCs w:val="20"/>
          <w:lang w:val="es-VE"/>
        </w:rPr>
        <w:lastRenderedPageBreak/>
        <w:t>J</w:t>
      </w:r>
      <w:r w:rsidR="00186A0A" w:rsidRPr="003A651A">
        <w:rPr>
          <w:rFonts w:ascii="Cambria" w:hAnsi="Cambria"/>
          <w:sz w:val="20"/>
          <w:szCs w:val="20"/>
          <w:lang w:val="es-VE"/>
        </w:rPr>
        <w:t>ueza</w:t>
      </w:r>
      <w:r w:rsidR="00454721" w:rsidRPr="003A651A">
        <w:rPr>
          <w:rFonts w:ascii="Cambria" w:hAnsi="Cambria"/>
          <w:sz w:val="20"/>
          <w:szCs w:val="20"/>
          <w:lang w:val="es-VE"/>
        </w:rPr>
        <w:t xml:space="preserve"> ofició a </w:t>
      </w:r>
      <w:r w:rsidR="00714865" w:rsidRPr="003A651A">
        <w:rPr>
          <w:rFonts w:ascii="Cambria" w:hAnsi="Cambria"/>
          <w:sz w:val="20"/>
          <w:szCs w:val="20"/>
          <w:lang w:val="es-VE"/>
        </w:rPr>
        <w:t>esa</w:t>
      </w:r>
      <w:r w:rsidR="00454721" w:rsidRPr="003A651A">
        <w:rPr>
          <w:rFonts w:ascii="Cambria" w:hAnsi="Cambria"/>
          <w:sz w:val="20"/>
          <w:szCs w:val="20"/>
          <w:lang w:val="es-VE"/>
        </w:rPr>
        <w:t xml:space="preserve"> dependencia </w:t>
      </w:r>
      <w:r w:rsidR="00714865" w:rsidRPr="003A651A">
        <w:rPr>
          <w:rFonts w:ascii="Cambria" w:hAnsi="Cambria"/>
          <w:sz w:val="20"/>
          <w:szCs w:val="20"/>
          <w:lang w:val="es-VE"/>
        </w:rPr>
        <w:t>para que certificará</w:t>
      </w:r>
      <w:r w:rsidR="00454721" w:rsidRPr="003A651A">
        <w:rPr>
          <w:rFonts w:ascii="Cambria" w:hAnsi="Cambria"/>
          <w:sz w:val="20"/>
          <w:szCs w:val="20"/>
          <w:lang w:val="es-VE"/>
        </w:rPr>
        <w:t xml:space="preserve"> vía fax la hoja </w:t>
      </w:r>
      <w:r w:rsidR="00714865" w:rsidRPr="003A651A">
        <w:rPr>
          <w:rFonts w:ascii="Cambria" w:hAnsi="Cambria"/>
          <w:sz w:val="20"/>
          <w:szCs w:val="20"/>
          <w:lang w:val="es-VE"/>
        </w:rPr>
        <w:t xml:space="preserve">de vida </w:t>
      </w:r>
      <w:r w:rsidR="00454721" w:rsidRPr="003A651A">
        <w:rPr>
          <w:rFonts w:ascii="Cambria" w:hAnsi="Cambria"/>
          <w:sz w:val="20"/>
          <w:szCs w:val="20"/>
          <w:lang w:val="es-VE"/>
        </w:rPr>
        <w:t>de</w:t>
      </w:r>
      <w:r w:rsidR="00714865" w:rsidRPr="003A651A">
        <w:rPr>
          <w:rFonts w:ascii="Cambria" w:hAnsi="Cambria"/>
          <w:sz w:val="20"/>
          <w:szCs w:val="20"/>
          <w:lang w:val="es-VE"/>
        </w:rPr>
        <w:t>l oficial</w:t>
      </w:r>
      <w:r w:rsidR="00454721" w:rsidRPr="003A651A">
        <w:rPr>
          <w:rFonts w:ascii="Cambria" w:hAnsi="Cambria"/>
          <w:sz w:val="20"/>
          <w:szCs w:val="20"/>
          <w:lang w:val="es-VE"/>
        </w:rPr>
        <w:t xml:space="preserve"> en mención</w:t>
      </w:r>
      <w:r w:rsidR="00F671FE" w:rsidRPr="003A651A">
        <w:rPr>
          <w:rStyle w:val="FootnoteReference"/>
          <w:rFonts w:ascii="Cambria" w:hAnsi="Cambria"/>
          <w:sz w:val="20"/>
          <w:szCs w:val="20"/>
          <w:lang w:val="es-VE"/>
        </w:rPr>
        <w:footnoteReference w:id="31"/>
      </w:r>
      <w:r w:rsidR="00186A0A" w:rsidRPr="003A651A">
        <w:rPr>
          <w:rFonts w:ascii="Cambria" w:hAnsi="Cambria"/>
          <w:sz w:val="20"/>
          <w:szCs w:val="20"/>
          <w:lang w:val="es-VE"/>
        </w:rPr>
        <w:t xml:space="preserve">. La CIDH no cuenta con información sobre si dicha información fue enviada a la </w:t>
      </w:r>
      <w:r w:rsidR="00B736C6">
        <w:rPr>
          <w:rFonts w:ascii="Cambria" w:hAnsi="Cambria"/>
          <w:sz w:val="20"/>
          <w:szCs w:val="20"/>
          <w:lang w:val="es-VE"/>
        </w:rPr>
        <w:t>J</w:t>
      </w:r>
      <w:r w:rsidR="00186A0A" w:rsidRPr="003A651A">
        <w:rPr>
          <w:rFonts w:ascii="Cambria" w:hAnsi="Cambria"/>
          <w:sz w:val="20"/>
          <w:szCs w:val="20"/>
          <w:lang w:val="es-VE"/>
        </w:rPr>
        <w:t>ueza.</w:t>
      </w:r>
    </w:p>
    <w:p w14:paraId="6C2FB8C5" w14:textId="77777777" w:rsidR="005C5B62" w:rsidRPr="003A651A" w:rsidRDefault="005C5B62" w:rsidP="00212202">
      <w:pPr>
        <w:tabs>
          <w:tab w:val="left" w:pos="360"/>
          <w:tab w:val="left" w:pos="1440"/>
        </w:tabs>
        <w:jc w:val="both"/>
        <w:rPr>
          <w:rFonts w:ascii="Cambria" w:hAnsi="Cambria"/>
          <w:sz w:val="20"/>
          <w:szCs w:val="20"/>
          <w:lang w:val="es-VE"/>
        </w:rPr>
      </w:pPr>
    </w:p>
    <w:p w14:paraId="7DD0433E" w14:textId="77777777" w:rsidR="00A26534" w:rsidRPr="003A651A" w:rsidRDefault="00443725" w:rsidP="002122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es-VE"/>
        </w:rPr>
      </w:pPr>
      <w:r w:rsidRPr="003A651A">
        <w:rPr>
          <w:rFonts w:ascii="Cambria" w:hAnsi="Cambria"/>
          <w:sz w:val="20"/>
          <w:szCs w:val="20"/>
          <w:lang w:val="es-VE"/>
        </w:rPr>
        <w:t xml:space="preserve">El </w:t>
      </w:r>
      <w:r w:rsidR="00186A0A" w:rsidRPr="003A651A">
        <w:rPr>
          <w:rFonts w:ascii="Cambria" w:hAnsi="Cambria"/>
          <w:sz w:val="20"/>
          <w:szCs w:val="20"/>
          <w:lang w:val="es-VE"/>
        </w:rPr>
        <w:t>mismo día</w:t>
      </w:r>
      <w:r w:rsidR="00A26534" w:rsidRPr="003A651A">
        <w:rPr>
          <w:rFonts w:ascii="Cambria" w:hAnsi="Cambria"/>
          <w:sz w:val="20"/>
          <w:szCs w:val="20"/>
          <w:lang w:val="es-VE"/>
        </w:rPr>
        <w:t xml:space="preserve"> la</w:t>
      </w:r>
      <w:r w:rsidR="00186A0A" w:rsidRPr="003A651A">
        <w:rPr>
          <w:rFonts w:ascii="Cambria" w:hAnsi="Cambria"/>
          <w:sz w:val="20"/>
          <w:szCs w:val="20"/>
          <w:lang w:val="es-VE"/>
        </w:rPr>
        <w:t xml:space="preserve"> fiscal del Ministerio público solicitó</w:t>
      </w:r>
      <w:r w:rsidR="00A26534" w:rsidRPr="003A651A">
        <w:rPr>
          <w:rFonts w:ascii="Cambria" w:hAnsi="Cambria"/>
          <w:sz w:val="20"/>
          <w:szCs w:val="20"/>
          <w:lang w:val="es-VE"/>
        </w:rPr>
        <w:t xml:space="preserve"> una audiencia de careo entre Otilia Flores y Marco Tulio Regalado</w:t>
      </w:r>
      <w:r w:rsidR="00A26534" w:rsidRPr="003A651A">
        <w:rPr>
          <w:rStyle w:val="FootnoteReference"/>
          <w:rFonts w:ascii="Cambria" w:hAnsi="Cambria"/>
          <w:sz w:val="20"/>
          <w:szCs w:val="20"/>
          <w:lang w:val="es-VE"/>
        </w:rPr>
        <w:footnoteReference w:id="32"/>
      </w:r>
      <w:r w:rsidR="00186A0A" w:rsidRPr="003A651A">
        <w:rPr>
          <w:rFonts w:ascii="Cambria" w:hAnsi="Cambria"/>
          <w:sz w:val="20"/>
          <w:szCs w:val="20"/>
          <w:lang w:val="es-VE"/>
        </w:rPr>
        <w:t xml:space="preserve">. </w:t>
      </w:r>
      <w:r w:rsidR="00A26534" w:rsidRPr="003A651A">
        <w:rPr>
          <w:rFonts w:ascii="Cambria" w:hAnsi="Cambria"/>
          <w:sz w:val="20"/>
          <w:szCs w:val="20"/>
          <w:lang w:val="es-VE"/>
        </w:rPr>
        <w:t xml:space="preserve">El 8 de octubre </w:t>
      </w:r>
      <w:r w:rsidR="00C319D5">
        <w:rPr>
          <w:rFonts w:ascii="Cambria" w:hAnsi="Cambria"/>
          <w:sz w:val="20"/>
          <w:szCs w:val="20"/>
          <w:lang w:val="es-VE"/>
        </w:rPr>
        <w:t xml:space="preserve">de 1999 </w:t>
      </w:r>
      <w:r w:rsidR="00A26534" w:rsidRPr="003A651A">
        <w:rPr>
          <w:rFonts w:ascii="Cambria" w:hAnsi="Cambria"/>
          <w:sz w:val="20"/>
          <w:szCs w:val="20"/>
          <w:lang w:val="es-VE"/>
        </w:rPr>
        <w:t>se llevó a cab</w:t>
      </w:r>
      <w:r w:rsidR="005D735A" w:rsidRPr="003A651A">
        <w:rPr>
          <w:rFonts w:ascii="Cambria" w:hAnsi="Cambria"/>
          <w:sz w:val="20"/>
          <w:szCs w:val="20"/>
          <w:lang w:val="es-VE"/>
        </w:rPr>
        <w:t xml:space="preserve">o </w:t>
      </w:r>
      <w:r w:rsidR="00186A0A" w:rsidRPr="003A651A">
        <w:rPr>
          <w:rFonts w:ascii="Cambria" w:hAnsi="Cambria"/>
          <w:sz w:val="20"/>
          <w:szCs w:val="20"/>
          <w:lang w:val="es-VE"/>
        </w:rPr>
        <w:t xml:space="preserve">dicha </w:t>
      </w:r>
      <w:r w:rsidR="00B26250" w:rsidRPr="003A651A">
        <w:rPr>
          <w:rFonts w:ascii="Cambria" w:hAnsi="Cambria"/>
          <w:sz w:val="20"/>
          <w:szCs w:val="20"/>
          <w:lang w:val="es-VE"/>
        </w:rPr>
        <w:t>diligencia</w:t>
      </w:r>
      <w:r w:rsidR="005D14EA" w:rsidRPr="003A651A">
        <w:rPr>
          <w:rFonts w:ascii="Cambria" w:hAnsi="Cambria"/>
          <w:sz w:val="20"/>
          <w:szCs w:val="20"/>
          <w:lang w:val="es-VE"/>
        </w:rPr>
        <w:t xml:space="preserve"> en San Pedro de Sula</w:t>
      </w:r>
      <w:r w:rsidR="00C152CA" w:rsidRPr="003A651A">
        <w:rPr>
          <w:rFonts w:ascii="Cambria" w:hAnsi="Cambria"/>
          <w:sz w:val="20"/>
          <w:szCs w:val="20"/>
          <w:lang w:val="es-VE"/>
        </w:rPr>
        <w:t xml:space="preserve">. En la misma, el señor </w:t>
      </w:r>
      <w:r w:rsidR="00186A0A" w:rsidRPr="003A651A">
        <w:rPr>
          <w:rFonts w:ascii="Cambria" w:hAnsi="Cambria"/>
          <w:sz w:val="20"/>
          <w:szCs w:val="20"/>
          <w:lang w:val="es-VE"/>
        </w:rPr>
        <w:t>Regalado negó</w:t>
      </w:r>
      <w:r w:rsidR="00C152CA" w:rsidRPr="003A651A">
        <w:rPr>
          <w:rFonts w:ascii="Cambria" w:hAnsi="Cambria"/>
          <w:sz w:val="20"/>
          <w:szCs w:val="20"/>
          <w:lang w:val="es-VE"/>
        </w:rPr>
        <w:t xml:space="preserve"> </w:t>
      </w:r>
      <w:r w:rsidR="00186A0A" w:rsidRPr="003A651A">
        <w:rPr>
          <w:rFonts w:ascii="Cambria" w:hAnsi="Cambria"/>
          <w:sz w:val="20"/>
          <w:szCs w:val="20"/>
          <w:lang w:val="es-VE"/>
        </w:rPr>
        <w:t>conocer</w:t>
      </w:r>
      <w:r w:rsidR="00C152CA" w:rsidRPr="003A651A">
        <w:rPr>
          <w:rFonts w:ascii="Cambria" w:hAnsi="Cambria"/>
          <w:sz w:val="20"/>
          <w:szCs w:val="20"/>
          <w:lang w:val="es-VE"/>
        </w:rPr>
        <w:t xml:space="preserve"> a Fausto Reyes o haber revi</w:t>
      </w:r>
      <w:r w:rsidR="00186A0A" w:rsidRPr="003A651A">
        <w:rPr>
          <w:rFonts w:ascii="Cambria" w:hAnsi="Cambria"/>
          <w:sz w:val="20"/>
          <w:szCs w:val="20"/>
          <w:lang w:val="es-VE"/>
        </w:rPr>
        <w:t>sado el carro de Herminio Deras</w:t>
      </w:r>
      <w:r w:rsidR="00C152CA" w:rsidRPr="003A651A">
        <w:rPr>
          <w:rFonts w:ascii="Cambria" w:hAnsi="Cambria"/>
          <w:sz w:val="20"/>
          <w:szCs w:val="20"/>
          <w:lang w:val="es-VE"/>
        </w:rPr>
        <w:t xml:space="preserve"> el día </w:t>
      </w:r>
      <w:r w:rsidR="00186A0A" w:rsidRPr="003A651A">
        <w:rPr>
          <w:rFonts w:ascii="Cambria" w:hAnsi="Cambria"/>
          <w:sz w:val="20"/>
          <w:szCs w:val="20"/>
          <w:lang w:val="es-VE"/>
        </w:rPr>
        <w:t xml:space="preserve">de su asesinato. Por su parte, </w:t>
      </w:r>
      <w:r w:rsidR="00C152CA" w:rsidRPr="003A651A">
        <w:rPr>
          <w:rFonts w:ascii="Cambria" w:hAnsi="Cambria"/>
          <w:sz w:val="20"/>
          <w:szCs w:val="20"/>
          <w:lang w:val="es-VE"/>
        </w:rPr>
        <w:t>Otilia Flores adujo haber sido torturada por Marco Tulio</w:t>
      </w:r>
      <w:r w:rsidR="00186A0A" w:rsidRPr="003A651A">
        <w:rPr>
          <w:rFonts w:ascii="Cambria" w:hAnsi="Cambria"/>
          <w:sz w:val="20"/>
          <w:szCs w:val="20"/>
          <w:lang w:val="es-VE"/>
        </w:rPr>
        <w:t xml:space="preserve"> Regalado</w:t>
      </w:r>
      <w:r w:rsidR="00B54F88" w:rsidRPr="003A651A">
        <w:rPr>
          <w:rStyle w:val="FootnoteReference"/>
          <w:rFonts w:ascii="Cambria" w:hAnsi="Cambria"/>
          <w:sz w:val="20"/>
          <w:szCs w:val="20"/>
          <w:lang w:val="es-VE"/>
        </w:rPr>
        <w:footnoteReference w:id="33"/>
      </w:r>
      <w:r w:rsidR="00B736C6">
        <w:rPr>
          <w:rFonts w:ascii="Cambria" w:hAnsi="Cambria"/>
          <w:sz w:val="20"/>
          <w:szCs w:val="20"/>
          <w:lang w:val="es-VE"/>
        </w:rPr>
        <w:t>.</w:t>
      </w:r>
    </w:p>
    <w:p w14:paraId="39B08E18" w14:textId="77777777" w:rsidR="00EE1AA1" w:rsidRPr="003A651A" w:rsidRDefault="00EE1AA1" w:rsidP="00212202">
      <w:pPr>
        <w:tabs>
          <w:tab w:val="left" w:pos="0"/>
          <w:tab w:val="left" w:pos="360"/>
          <w:tab w:val="left" w:pos="1440"/>
        </w:tabs>
        <w:jc w:val="both"/>
        <w:rPr>
          <w:rFonts w:ascii="Cambria" w:hAnsi="Cambria"/>
          <w:sz w:val="20"/>
          <w:szCs w:val="20"/>
          <w:lang w:val="es-VE"/>
        </w:rPr>
      </w:pPr>
    </w:p>
    <w:p w14:paraId="45481033" w14:textId="77777777" w:rsidR="00B403FC" w:rsidRPr="003A651A" w:rsidRDefault="00FD00E1" w:rsidP="002122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es-VE"/>
        </w:rPr>
      </w:pPr>
      <w:r w:rsidRPr="003A651A">
        <w:rPr>
          <w:rFonts w:ascii="Cambria" w:hAnsi="Cambria"/>
          <w:sz w:val="20"/>
          <w:szCs w:val="20"/>
          <w:lang w:val="es-VE"/>
        </w:rPr>
        <w:t xml:space="preserve">El </w:t>
      </w:r>
      <w:r w:rsidR="00B403FC" w:rsidRPr="003A651A">
        <w:rPr>
          <w:rFonts w:ascii="Cambria" w:hAnsi="Cambria"/>
          <w:sz w:val="20"/>
          <w:szCs w:val="20"/>
          <w:lang w:val="es-VE"/>
        </w:rPr>
        <w:t>11</w:t>
      </w:r>
      <w:r w:rsidR="00186A0A" w:rsidRPr="003A651A">
        <w:rPr>
          <w:rFonts w:ascii="Cambria" w:hAnsi="Cambria"/>
          <w:sz w:val="20"/>
          <w:szCs w:val="20"/>
          <w:lang w:val="es-VE"/>
        </w:rPr>
        <w:t xml:space="preserve"> de </w:t>
      </w:r>
      <w:r w:rsidR="00C319D5" w:rsidRPr="003A651A">
        <w:rPr>
          <w:rFonts w:ascii="Cambria" w:hAnsi="Cambria"/>
          <w:sz w:val="20"/>
          <w:szCs w:val="20"/>
          <w:lang w:val="es-VE"/>
        </w:rPr>
        <w:t>octubre</w:t>
      </w:r>
      <w:r w:rsidR="00C319D5">
        <w:rPr>
          <w:rFonts w:ascii="Cambria" w:hAnsi="Cambria"/>
          <w:sz w:val="20"/>
          <w:szCs w:val="20"/>
          <w:lang w:val="es-VE"/>
        </w:rPr>
        <w:t xml:space="preserve"> de 1999 </w:t>
      </w:r>
      <w:r w:rsidR="00186A0A" w:rsidRPr="003A651A">
        <w:rPr>
          <w:rFonts w:ascii="Cambria" w:hAnsi="Cambria"/>
          <w:sz w:val="20"/>
          <w:szCs w:val="20"/>
          <w:lang w:val="es-VE"/>
        </w:rPr>
        <w:t xml:space="preserve">la </w:t>
      </w:r>
      <w:r w:rsidR="00B736C6">
        <w:rPr>
          <w:rFonts w:ascii="Cambria" w:hAnsi="Cambria"/>
          <w:sz w:val="20"/>
          <w:szCs w:val="20"/>
          <w:lang w:val="es-VE"/>
        </w:rPr>
        <w:t>J</w:t>
      </w:r>
      <w:r w:rsidR="00186A0A" w:rsidRPr="003A651A">
        <w:rPr>
          <w:rFonts w:ascii="Cambria" w:hAnsi="Cambria"/>
          <w:sz w:val="20"/>
          <w:szCs w:val="20"/>
          <w:lang w:val="es-VE"/>
        </w:rPr>
        <w:t>ueza</w:t>
      </w:r>
      <w:r w:rsidR="00EE1AA1" w:rsidRPr="003A651A">
        <w:rPr>
          <w:rFonts w:ascii="Cambria" w:hAnsi="Cambria"/>
          <w:sz w:val="20"/>
          <w:szCs w:val="20"/>
          <w:lang w:val="es-VE"/>
        </w:rPr>
        <w:t xml:space="preserve"> </w:t>
      </w:r>
      <w:r w:rsidR="00496C12" w:rsidRPr="003A651A">
        <w:rPr>
          <w:rFonts w:ascii="Cambria" w:hAnsi="Cambria"/>
          <w:sz w:val="20"/>
          <w:szCs w:val="20"/>
          <w:lang w:val="es-VE"/>
        </w:rPr>
        <w:t>dictó</w:t>
      </w:r>
      <w:r w:rsidR="00EE1AA1" w:rsidRPr="003A651A">
        <w:rPr>
          <w:rFonts w:ascii="Cambria" w:hAnsi="Cambria"/>
          <w:sz w:val="20"/>
          <w:szCs w:val="20"/>
          <w:lang w:val="es-VE"/>
        </w:rPr>
        <w:t xml:space="preserve"> un auto de prisi</w:t>
      </w:r>
      <w:r w:rsidR="005B30B3" w:rsidRPr="003A651A">
        <w:rPr>
          <w:rFonts w:ascii="Cambria" w:hAnsi="Cambria"/>
          <w:sz w:val="20"/>
          <w:szCs w:val="20"/>
          <w:lang w:val="es-VE"/>
        </w:rPr>
        <w:t xml:space="preserve">ón </w:t>
      </w:r>
      <w:r w:rsidR="00186A0A" w:rsidRPr="003A651A">
        <w:rPr>
          <w:rFonts w:ascii="Cambria" w:hAnsi="Cambria"/>
          <w:sz w:val="20"/>
          <w:szCs w:val="20"/>
          <w:lang w:val="es-VE"/>
        </w:rPr>
        <w:t xml:space="preserve">en </w:t>
      </w:r>
      <w:r w:rsidR="005B30B3" w:rsidRPr="003A651A">
        <w:rPr>
          <w:rFonts w:ascii="Cambria" w:hAnsi="Cambria"/>
          <w:sz w:val="20"/>
          <w:szCs w:val="20"/>
          <w:lang w:val="es-VE"/>
        </w:rPr>
        <w:t>contra Marco Tulio Regalado</w:t>
      </w:r>
      <w:r w:rsidR="00B403FC" w:rsidRPr="003A651A">
        <w:rPr>
          <w:rFonts w:ascii="Cambria" w:hAnsi="Cambria"/>
          <w:sz w:val="20"/>
          <w:szCs w:val="20"/>
          <w:lang w:val="es-VE"/>
        </w:rPr>
        <w:t xml:space="preserve"> por el delito de asesinato</w:t>
      </w:r>
      <w:r w:rsidR="00186A0A" w:rsidRPr="003A651A">
        <w:rPr>
          <w:rStyle w:val="FootnoteReference"/>
          <w:rFonts w:ascii="Cambria" w:hAnsi="Cambria"/>
          <w:sz w:val="20"/>
          <w:szCs w:val="20"/>
          <w:lang w:val="es-VE"/>
        </w:rPr>
        <w:footnoteReference w:id="34"/>
      </w:r>
      <w:r w:rsidR="005B30B3" w:rsidRPr="003A651A">
        <w:rPr>
          <w:rFonts w:ascii="Cambria" w:hAnsi="Cambria"/>
          <w:sz w:val="20"/>
          <w:szCs w:val="20"/>
          <w:lang w:val="es-VE"/>
        </w:rPr>
        <w:t xml:space="preserve">. </w:t>
      </w:r>
      <w:r w:rsidR="00861A8D" w:rsidRPr="003A651A">
        <w:rPr>
          <w:rFonts w:ascii="Cambria" w:hAnsi="Cambria"/>
          <w:sz w:val="20"/>
          <w:szCs w:val="20"/>
          <w:lang w:val="es-VE"/>
        </w:rPr>
        <w:t xml:space="preserve">El 3 de noviembre de 1999 la </w:t>
      </w:r>
      <w:r w:rsidR="00B736C6">
        <w:rPr>
          <w:rFonts w:ascii="Cambria" w:hAnsi="Cambria"/>
          <w:sz w:val="20"/>
          <w:szCs w:val="20"/>
          <w:lang w:val="es-VE"/>
        </w:rPr>
        <w:t>J</w:t>
      </w:r>
      <w:r w:rsidR="00861A8D" w:rsidRPr="003A651A">
        <w:rPr>
          <w:rFonts w:ascii="Cambria" w:hAnsi="Cambria"/>
          <w:sz w:val="20"/>
          <w:szCs w:val="20"/>
          <w:lang w:val="es-VE"/>
        </w:rPr>
        <w:t xml:space="preserve">ueza emitió una resolución en donde decidió tramitar por separada la investigación a </w:t>
      </w:r>
      <w:r w:rsidR="00861A8D" w:rsidRPr="00861A8D">
        <w:rPr>
          <w:rFonts w:ascii="Cambria" w:hAnsi="Cambria"/>
          <w:sz w:val="20"/>
          <w:szCs w:val="20"/>
          <w:lang w:val="es-VE"/>
        </w:rPr>
        <w:t>Rafael Canales Núñez y Alexander Raymundo Hernández Santos</w:t>
      </w:r>
      <w:r w:rsidR="00861A8D">
        <w:rPr>
          <w:rFonts w:ascii="Cambria" w:hAnsi="Cambria"/>
          <w:sz w:val="20"/>
          <w:szCs w:val="20"/>
          <w:lang w:val="es-VE"/>
        </w:rPr>
        <w:t xml:space="preserve"> “por encontrarse prófugos”</w:t>
      </w:r>
      <w:r w:rsidR="00861A8D" w:rsidRPr="00861A8D">
        <w:rPr>
          <w:rStyle w:val="FootnoteReference"/>
          <w:rFonts w:ascii="Cambria" w:hAnsi="Cambria"/>
          <w:sz w:val="20"/>
          <w:szCs w:val="20"/>
          <w:lang w:val="es-VE"/>
        </w:rPr>
        <w:footnoteReference w:id="35"/>
      </w:r>
      <w:r w:rsidR="00861A8D">
        <w:rPr>
          <w:rFonts w:ascii="Cambria" w:hAnsi="Cambria"/>
          <w:sz w:val="20"/>
          <w:szCs w:val="20"/>
          <w:lang w:val="es-VE"/>
        </w:rPr>
        <w:t>.</w:t>
      </w:r>
    </w:p>
    <w:p w14:paraId="78A25A6D" w14:textId="77777777" w:rsidR="00B403FC" w:rsidRPr="003A651A" w:rsidRDefault="00B403FC" w:rsidP="00212202">
      <w:pPr>
        <w:tabs>
          <w:tab w:val="left" w:pos="360"/>
          <w:tab w:val="left" w:pos="1440"/>
        </w:tabs>
        <w:jc w:val="both"/>
        <w:rPr>
          <w:rFonts w:ascii="Cambria" w:hAnsi="Cambria"/>
          <w:sz w:val="20"/>
          <w:szCs w:val="20"/>
          <w:lang w:val="es-VE"/>
        </w:rPr>
      </w:pPr>
    </w:p>
    <w:p w14:paraId="07740901" w14:textId="77777777" w:rsidR="00FC56C2" w:rsidRPr="00FC56C2" w:rsidRDefault="00FC56C2" w:rsidP="002122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es-VE"/>
        </w:rPr>
      </w:pPr>
      <w:r w:rsidRPr="00FC56C2">
        <w:rPr>
          <w:rFonts w:ascii="Cambria" w:hAnsi="Cambria"/>
          <w:sz w:val="20"/>
          <w:szCs w:val="20"/>
          <w:lang w:val="es-VE"/>
        </w:rPr>
        <w:t xml:space="preserve">Según la parte peticionaria, </w:t>
      </w:r>
      <w:r>
        <w:rPr>
          <w:rFonts w:ascii="Cambria" w:hAnsi="Cambria"/>
          <w:sz w:val="20"/>
          <w:szCs w:val="20"/>
          <w:lang w:val="es-VE"/>
        </w:rPr>
        <w:t>e</w:t>
      </w:r>
      <w:r w:rsidRPr="00FC56C2">
        <w:rPr>
          <w:rFonts w:ascii="Cambria" w:hAnsi="Cambria"/>
          <w:sz w:val="20"/>
          <w:szCs w:val="20"/>
          <w:lang w:val="es-VE"/>
        </w:rPr>
        <w:t xml:space="preserve">l 6 de febrero </w:t>
      </w:r>
      <w:r>
        <w:rPr>
          <w:rFonts w:ascii="Cambria" w:hAnsi="Cambria"/>
          <w:sz w:val="20"/>
          <w:szCs w:val="20"/>
          <w:lang w:val="es-VE"/>
        </w:rPr>
        <w:t xml:space="preserve">de 2000 </w:t>
      </w:r>
      <w:r w:rsidRPr="00FC56C2">
        <w:rPr>
          <w:rFonts w:ascii="Cambria" w:hAnsi="Cambria"/>
          <w:sz w:val="20"/>
          <w:szCs w:val="20"/>
          <w:lang w:val="es-VE"/>
        </w:rPr>
        <w:t>Otilia Flores y Elba Flores Ortiz</w:t>
      </w:r>
      <w:r>
        <w:rPr>
          <w:rFonts w:ascii="Cambria" w:hAnsi="Cambria"/>
          <w:sz w:val="20"/>
          <w:szCs w:val="20"/>
          <w:lang w:val="es-VE"/>
        </w:rPr>
        <w:t xml:space="preserve"> fueron amenazadas, mientras se encontraban en el juzgado para rendir una nueva declaración, por</w:t>
      </w:r>
      <w:r w:rsidRPr="00FC56C2">
        <w:rPr>
          <w:rFonts w:ascii="Cambria" w:hAnsi="Cambria"/>
          <w:sz w:val="20"/>
          <w:szCs w:val="20"/>
          <w:lang w:val="es-VE"/>
        </w:rPr>
        <w:t xml:space="preserve"> un grupo de miembros de la</w:t>
      </w:r>
      <w:r>
        <w:rPr>
          <w:rFonts w:ascii="Cambria" w:hAnsi="Cambria"/>
          <w:sz w:val="20"/>
          <w:szCs w:val="20"/>
          <w:lang w:val="es-VE"/>
        </w:rPr>
        <w:t xml:space="preserve"> familia de Marco Tulio Reg</w:t>
      </w:r>
      <w:r w:rsidR="000F2008">
        <w:rPr>
          <w:rFonts w:ascii="Cambria" w:hAnsi="Cambria"/>
          <w:sz w:val="20"/>
          <w:szCs w:val="20"/>
          <w:lang w:val="es-VE"/>
        </w:rPr>
        <w:t>a</w:t>
      </w:r>
      <w:r>
        <w:rPr>
          <w:rFonts w:ascii="Cambria" w:hAnsi="Cambria"/>
          <w:sz w:val="20"/>
          <w:szCs w:val="20"/>
          <w:lang w:val="es-VE"/>
        </w:rPr>
        <w:t>lado. Indicó que tuvieron</w:t>
      </w:r>
      <w:r w:rsidRPr="00FC56C2">
        <w:rPr>
          <w:rFonts w:ascii="Cambria" w:hAnsi="Cambria"/>
          <w:sz w:val="20"/>
          <w:szCs w:val="20"/>
          <w:lang w:val="es-VE"/>
        </w:rPr>
        <w:t xml:space="preserve"> </w:t>
      </w:r>
      <w:r>
        <w:rPr>
          <w:rFonts w:ascii="Cambria" w:hAnsi="Cambria"/>
          <w:sz w:val="20"/>
          <w:szCs w:val="20"/>
          <w:lang w:val="es-VE"/>
        </w:rPr>
        <w:t>que</w:t>
      </w:r>
      <w:r w:rsidRPr="00FC56C2">
        <w:rPr>
          <w:rFonts w:ascii="Cambria" w:hAnsi="Cambria"/>
          <w:sz w:val="20"/>
          <w:szCs w:val="20"/>
          <w:lang w:val="es-VE"/>
        </w:rPr>
        <w:t xml:space="preserve"> ser escoltadas por la fiscalía</w:t>
      </w:r>
      <w:r w:rsidRPr="00FC56C2">
        <w:rPr>
          <w:rStyle w:val="FootnoteReference"/>
          <w:rFonts w:ascii="Cambria" w:hAnsi="Cambria"/>
          <w:sz w:val="20"/>
          <w:szCs w:val="20"/>
          <w:lang w:val="es-VE"/>
        </w:rPr>
        <w:footnoteReference w:id="36"/>
      </w:r>
      <w:r>
        <w:rPr>
          <w:rFonts w:ascii="Cambria" w:hAnsi="Cambria"/>
          <w:sz w:val="20"/>
          <w:szCs w:val="20"/>
          <w:lang w:val="es-VE"/>
        </w:rPr>
        <w:t>. El Estado no controvirtió dicha información.</w:t>
      </w:r>
    </w:p>
    <w:p w14:paraId="098A1327" w14:textId="77777777" w:rsidR="00FC56C2" w:rsidRPr="003A651A" w:rsidRDefault="00FC56C2" w:rsidP="00212202">
      <w:pPr>
        <w:tabs>
          <w:tab w:val="left" w:pos="360"/>
          <w:tab w:val="left" w:pos="1440"/>
        </w:tabs>
        <w:jc w:val="both"/>
        <w:rPr>
          <w:rFonts w:ascii="Cambria" w:hAnsi="Cambria"/>
          <w:sz w:val="20"/>
          <w:szCs w:val="20"/>
          <w:lang w:val="es-VE"/>
        </w:rPr>
      </w:pPr>
    </w:p>
    <w:p w14:paraId="110D83F5" w14:textId="77777777" w:rsidR="00B403FC" w:rsidRPr="003A651A" w:rsidRDefault="00B403FC" w:rsidP="002122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es-VE"/>
        </w:rPr>
      </w:pPr>
      <w:r w:rsidRPr="003A651A">
        <w:rPr>
          <w:rFonts w:ascii="Cambria" w:hAnsi="Cambria"/>
          <w:sz w:val="20"/>
          <w:szCs w:val="20"/>
          <w:lang w:val="es-VE"/>
        </w:rPr>
        <w:t xml:space="preserve">El </w:t>
      </w:r>
      <w:r w:rsidR="00861A8D" w:rsidRPr="003A651A">
        <w:rPr>
          <w:rFonts w:ascii="Cambria" w:hAnsi="Cambria"/>
          <w:sz w:val="20"/>
          <w:szCs w:val="20"/>
          <w:lang w:val="es-VE"/>
        </w:rPr>
        <w:t xml:space="preserve">17 de marzo de 2004 </w:t>
      </w:r>
      <w:r w:rsidRPr="003A651A">
        <w:rPr>
          <w:rFonts w:ascii="Cambria" w:hAnsi="Cambria"/>
          <w:sz w:val="20"/>
          <w:szCs w:val="20"/>
          <w:lang w:val="es-VE"/>
        </w:rPr>
        <w:t>e</w:t>
      </w:r>
      <w:r w:rsidR="00C40D8A" w:rsidRPr="003A651A">
        <w:rPr>
          <w:rFonts w:ascii="Cambria" w:hAnsi="Cambria"/>
          <w:sz w:val="20"/>
          <w:szCs w:val="20"/>
          <w:lang w:val="es-VE"/>
        </w:rPr>
        <w:t>l Juzgado Penal Seccional Judi</w:t>
      </w:r>
      <w:r w:rsidRPr="003A651A">
        <w:rPr>
          <w:rFonts w:ascii="Cambria" w:hAnsi="Cambria"/>
          <w:sz w:val="20"/>
          <w:szCs w:val="20"/>
          <w:lang w:val="es-VE"/>
        </w:rPr>
        <w:t>cial de San Pedro de Sula</w:t>
      </w:r>
      <w:r w:rsidR="00B0366F" w:rsidRPr="003A651A">
        <w:rPr>
          <w:rFonts w:ascii="Cambria" w:hAnsi="Cambria"/>
          <w:sz w:val="20"/>
          <w:szCs w:val="20"/>
          <w:lang w:val="es-VE"/>
        </w:rPr>
        <w:t xml:space="preserve"> dictó</w:t>
      </w:r>
      <w:r w:rsidR="00C40D8A" w:rsidRPr="003A651A">
        <w:rPr>
          <w:rFonts w:ascii="Cambria" w:hAnsi="Cambria"/>
          <w:sz w:val="20"/>
          <w:szCs w:val="20"/>
          <w:lang w:val="es-VE"/>
        </w:rPr>
        <w:t xml:space="preserve"> </w:t>
      </w:r>
      <w:r w:rsidRPr="003A651A">
        <w:rPr>
          <w:rFonts w:ascii="Cambria" w:hAnsi="Cambria"/>
          <w:sz w:val="20"/>
          <w:szCs w:val="20"/>
          <w:lang w:val="es-VE"/>
        </w:rPr>
        <w:t xml:space="preserve">una </w:t>
      </w:r>
      <w:r w:rsidR="00C40D8A" w:rsidRPr="003A651A">
        <w:rPr>
          <w:rFonts w:ascii="Cambria" w:hAnsi="Cambria"/>
          <w:sz w:val="20"/>
          <w:szCs w:val="20"/>
          <w:lang w:val="es-VE"/>
        </w:rPr>
        <w:t>sentencia abs</w:t>
      </w:r>
      <w:r w:rsidR="00886B83" w:rsidRPr="003A651A">
        <w:rPr>
          <w:rFonts w:ascii="Cambria" w:hAnsi="Cambria"/>
          <w:sz w:val="20"/>
          <w:szCs w:val="20"/>
          <w:lang w:val="es-VE"/>
        </w:rPr>
        <w:t xml:space="preserve">olutoria a favor </w:t>
      </w:r>
      <w:r w:rsidRPr="003A651A">
        <w:rPr>
          <w:rFonts w:ascii="Cambria" w:hAnsi="Cambria"/>
          <w:sz w:val="20"/>
          <w:szCs w:val="20"/>
          <w:lang w:val="es-VE"/>
        </w:rPr>
        <w:t>de</w:t>
      </w:r>
      <w:r w:rsidR="00C40D8A" w:rsidRPr="003A651A">
        <w:rPr>
          <w:rFonts w:ascii="Cambria" w:hAnsi="Cambria"/>
          <w:sz w:val="20"/>
          <w:szCs w:val="20"/>
          <w:lang w:val="es-VE"/>
        </w:rPr>
        <w:t xml:space="preserve"> Marco Tulio Regalado</w:t>
      </w:r>
      <w:r w:rsidRPr="003A651A">
        <w:rPr>
          <w:rFonts w:ascii="Cambria" w:hAnsi="Cambria"/>
          <w:sz w:val="20"/>
          <w:szCs w:val="20"/>
          <w:lang w:val="es-VE"/>
        </w:rPr>
        <w:t>. El Juzgado consideró que “</w:t>
      </w:r>
      <w:r w:rsidR="00886BCE" w:rsidRPr="003A651A">
        <w:rPr>
          <w:rFonts w:ascii="Cambria" w:hAnsi="Cambria"/>
          <w:sz w:val="20"/>
          <w:szCs w:val="20"/>
          <w:lang w:val="es-VE"/>
        </w:rPr>
        <w:t xml:space="preserve">al analizar  y valorar toda la prueba aportada </w:t>
      </w:r>
      <w:r w:rsidR="00544981" w:rsidRPr="003A651A">
        <w:rPr>
          <w:rFonts w:ascii="Cambria" w:hAnsi="Cambria"/>
          <w:sz w:val="20"/>
          <w:szCs w:val="20"/>
          <w:lang w:val="es-VE"/>
        </w:rPr>
        <w:t xml:space="preserve">durante el proceso persiste en este tribunal la duda en cuanto la autoría por parte del acusado por lo que considera procedente dictar sentencia </w:t>
      </w:r>
      <w:r w:rsidR="00DF049E" w:rsidRPr="003A651A">
        <w:rPr>
          <w:rFonts w:ascii="Cambria" w:hAnsi="Cambria"/>
          <w:sz w:val="20"/>
          <w:szCs w:val="20"/>
          <w:lang w:val="es-VE"/>
        </w:rPr>
        <w:t>absolutoria</w:t>
      </w:r>
      <w:r w:rsidR="00544981" w:rsidRPr="003A651A">
        <w:rPr>
          <w:rFonts w:ascii="Cambria" w:hAnsi="Cambria"/>
          <w:sz w:val="20"/>
          <w:szCs w:val="20"/>
          <w:lang w:val="es-VE"/>
        </w:rPr>
        <w:t>”</w:t>
      </w:r>
      <w:r w:rsidR="00544981" w:rsidRPr="003A651A">
        <w:rPr>
          <w:rStyle w:val="FootnoteReference"/>
          <w:rFonts w:ascii="Cambria" w:hAnsi="Cambria"/>
          <w:sz w:val="20"/>
          <w:szCs w:val="20"/>
          <w:lang w:val="es-VE"/>
        </w:rPr>
        <w:footnoteReference w:id="37"/>
      </w:r>
      <w:r w:rsidR="0089231F" w:rsidRPr="003A651A">
        <w:rPr>
          <w:rFonts w:ascii="Cambria" w:hAnsi="Cambria"/>
          <w:sz w:val="20"/>
          <w:szCs w:val="20"/>
          <w:lang w:val="es-VE"/>
        </w:rPr>
        <w:t xml:space="preserve">. </w:t>
      </w:r>
      <w:r w:rsidR="00F67C4D">
        <w:rPr>
          <w:rFonts w:ascii="Cambria" w:hAnsi="Cambria"/>
          <w:sz w:val="20"/>
          <w:szCs w:val="20"/>
          <w:lang w:val="es-VE"/>
        </w:rPr>
        <w:t xml:space="preserve">El Estado sostuvo </w:t>
      </w:r>
      <w:r w:rsidR="0034698A">
        <w:rPr>
          <w:rFonts w:ascii="Cambria" w:hAnsi="Cambria"/>
          <w:sz w:val="20"/>
          <w:szCs w:val="20"/>
          <w:lang w:val="es-VE"/>
        </w:rPr>
        <w:t>que luego de dicha sentencia e</w:t>
      </w:r>
      <w:r w:rsidR="00F67C4D">
        <w:rPr>
          <w:rFonts w:ascii="Cambria" w:hAnsi="Cambria"/>
          <w:sz w:val="20"/>
          <w:szCs w:val="20"/>
          <w:lang w:val="es-VE"/>
        </w:rPr>
        <w:t xml:space="preserve">l </w:t>
      </w:r>
      <w:r w:rsidR="0034698A">
        <w:rPr>
          <w:rFonts w:ascii="Cambria" w:hAnsi="Cambria"/>
          <w:sz w:val="20"/>
          <w:szCs w:val="20"/>
          <w:lang w:val="es-VE"/>
        </w:rPr>
        <w:t>señor Tulio Regalado</w:t>
      </w:r>
      <w:r w:rsidR="00F67C4D">
        <w:rPr>
          <w:rFonts w:ascii="Cambria" w:hAnsi="Cambria"/>
          <w:sz w:val="20"/>
          <w:szCs w:val="20"/>
          <w:lang w:val="es-VE"/>
        </w:rPr>
        <w:t xml:space="preserve"> </w:t>
      </w:r>
      <w:r w:rsidR="0034698A">
        <w:rPr>
          <w:rFonts w:ascii="Cambria" w:hAnsi="Cambria"/>
          <w:sz w:val="20"/>
          <w:szCs w:val="20"/>
          <w:lang w:val="es-VE"/>
        </w:rPr>
        <w:t>fue puesto en libertad</w:t>
      </w:r>
      <w:r w:rsidR="00F67C4D">
        <w:rPr>
          <w:rStyle w:val="FootnoteReference"/>
          <w:rFonts w:ascii="Cambria" w:hAnsi="Cambria"/>
          <w:sz w:val="20"/>
          <w:szCs w:val="20"/>
          <w:lang w:val="es-VE"/>
        </w:rPr>
        <w:footnoteReference w:id="38"/>
      </w:r>
      <w:r w:rsidR="0034698A">
        <w:rPr>
          <w:rFonts w:ascii="Cambria" w:hAnsi="Cambria"/>
          <w:sz w:val="20"/>
          <w:szCs w:val="20"/>
          <w:lang w:val="es-VE"/>
        </w:rPr>
        <w:t>.</w:t>
      </w:r>
    </w:p>
    <w:p w14:paraId="4E8BF7BD" w14:textId="77777777" w:rsidR="00B403FC" w:rsidRPr="003A651A" w:rsidRDefault="00B403FC" w:rsidP="00212202">
      <w:pPr>
        <w:tabs>
          <w:tab w:val="left" w:pos="360"/>
          <w:tab w:val="left" w:pos="1440"/>
        </w:tabs>
        <w:jc w:val="both"/>
        <w:rPr>
          <w:rFonts w:ascii="Cambria" w:hAnsi="Cambria"/>
          <w:sz w:val="20"/>
          <w:szCs w:val="20"/>
          <w:lang w:val="es-VE"/>
        </w:rPr>
      </w:pPr>
    </w:p>
    <w:p w14:paraId="6AABEE2A" w14:textId="77777777" w:rsidR="008B7EC1" w:rsidRPr="003A651A" w:rsidRDefault="00861A8D" w:rsidP="002122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es-VE"/>
        </w:rPr>
      </w:pPr>
      <w:r w:rsidRPr="003A651A">
        <w:rPr>
          <w:rFonts w:ascii="Cambria" w:hAnsi="Cambria"/>
          <w:sz w:val="20"/>
          <w:szCs w:val="20"/>
          <w:lang w:val="es-VE"/>
        </w:rPr>
        <w:t xml:space="preserve">Frente al recurso de apelación presentado por el Ministerio Público, el </w:t>
      </w:r>
      <w:r w:rsidR="00517183" w:rsidRPr="003A651A">
        <w:rPr>
          <w:rFonts w:ascii="Cambria" w:hAnsi="Cambria"/>
          <w:sz w:val="20"/>
          <w:szCs w:val="20"/>
          <w:lang w:val="es-VE"/>
        </w:rPr>
        <w:t>23 de mayo de 2005</w:t>
      </w:r>
      <w:r w:rsidR="00774F25" w:rsidRPr="003A651A">
        <w:rPr>
          <w:rFonts w:ascii="Cambria" w:hAnsi="Cambria"/>
          <w:sz w:val="20"/>
          <w:szCs w:val="20"/>
          <w:lang w:val="es-VE"/>
        </w:rPr>
        <w:t xml:space="preserve"> </w:t>
      </w:r>
      <w:r w:rsidR="003F4F9F" w:rsidRPr="003A651A">
        <w:rPr>
          <w:rFonts w:ascii="Cambria" w:hAnsi="Cambria"/>
          <w:sz w:val="20"/>
          <w:szCs w:val="20"/>
          <w:lang w:val="es-VE"/>
        </w:rPr>
        <w:t xml:space="preserve">la Corte de Apelaciones Seccional </w:t>
      </w:r>
      <w:r w:rsidR="00517183" w:rsidRPr="003A651A">
        <w:rPr>
          <w:rFonts w:ascii="Cambria" w:hAnsi="Cambria"/>
          <w:sz w:val="20"/>
          <w:szCs w:val="20"/>
          <w:lang w:val="es-VE"/>
        </w:rPr>
        <w:t xml:space="preserve">de </w:t>
      </w:r>
      <w:r w:rsidR="003F4F9F" w:rsidRPr="003A651A">
        <w:rPr>
          <w:rFonts w:ascii="Cambria" w:hAnsi="Cambria"/>
          <w:sz w:val="20"/>
          <w:szCs w:val="20"/>
          <w:lang w:val="es-VE"/>
        </w:rPr>
        <w:t xml:space="preserve">San Pedro de Sula </w:t>
      </w:r>
      <w:r w:rsidR="00517183" w:rsidRPr="003A651A">
        <w:rPr>
          <w:rFonts w:ascii="Cambria" w:hAnsi="Cambria"/>
          <w:sz w:val="20"/>
          <w:szCs w:val="20"/>
          <w:lang w:val="es-VE"/>
        </w:rPr>
        <w:t>revocó la sentencia de primera instancia y condenó a Marco Tulio Regalado a doce años de prisión por el delito de asesinato.</w:t>
      </w:r>
      <w:r w:rsidR="008B7EC1" w:rsidRPr="003A651A">
        <w:rPr>
          <w:rFonts w:ascii="Cambria" w:hAnsi="Cambria"/>
          <w:sz w:val="20"/>
          <w:szCs w:val="20"/>
          <w:lang w:val="es-VE"/>
        </w:rPr>
        <w:t xml:space="preserve"> La Corte </w:t>
      </w:r>
      <w:r w:rsidR="00504507" w:rsidRPr="003A651A">
        <w:rPr>
          <w:rFonts w:ascii="Cambria" w:hAnsi="Cambria"/>
          <w:sz w:val="20"/>
          <w:szCs w:val="20"/>
          <w:lang w:val="es-VE"/>
        </w:rPr>
        <w:t xml:space="preserve">sostuvo </w:t>
      </w:r>
      <w:r w:rsidR="003F4F9F" w:rsidRPr="003A651A">
        <w:rPr>
          <w:rFonts w:ascii="Cambria" w:hAnsi="Cambria"/>
          <w:sz w:val="20"/>
          <w:szCs w:val="20"/>
          <w:lang w:val="es-VE"/>
        </w:rPr>
        <w:t>que “apreciando en conjunto las declaraciones de Otilia Flores Ortiz, Luis Rolando Deras García, Irma Isabel Deras García</w:t>
      </w:r>
      <w:r w:rsidR="00EB4D54" w:rsidRPr="003A651A">
        <w:rPr>
          <w:rFonts w:ascii="Cambria" w:hAnsi="Cambria"/>
          <w:sz w:val="20"/>
          <w:szCs w:val="20"/>
          <w:lang w:val="es-VE"/>
        </w:rPr>
        <w:t xml:space="preserve">, y Fausto Ramón Reyes Caballero, al acta de defunción y el careo </w:t>
      </w:r>
      <w:r w:rsidR="008B7EC1" w:rsidRPr="003A651A">
        <w:rPr>
          <w:rFonts w:ascii="Cambria" w:hAnsi="Cambria"/>
          <w:sz w:val="20"/>
          <w:szCs w:val="20"/>
          <w:lang w:val="es-VE"/>
        </w:rPr>
        <w:t>(...)</w:t>
      </w:r>
      <w:r w:rsidR="00EB4D54" w:rsidRPr="003A651A">
        <w:rPr>
          <w:rFonts w:ascii="Cambria" w:hAnsi="Cambria"/>
          <w:sz w:val="20"/>
          <w:szCs w:val="20"/>
          <w:lang w:val="es-VE"/>
        </w:rPr>
        <w:t xml:space="preserve">, adquiere la convicción que el procesado Tulio Regalado Hernández </w:t>
      </w:r>
      <w:r w:rsidR="00504507" w:rsidRPr="003A651A">
        <w:rPr>
          <w:rFonts w:ascii="Cambria" w:hAnsi="Cambria"/>
          <w:sz w:val="20"/>
          <w:szCs w:val="20"/>
          <w:lang w:val="es-VE"/>
        </w:rPr>
        <w:t xml:space="preserve"> participo a título de autor en el ilícito objeto de este proceso”</w:t>
      </w:r>
      <w:r w:rsidR="00504507" w:rsidRPr="003A651A">
        <w:rPr>
          <w:rStyle w:val="FootnoteReference"/>
          <w:rFonts w:ascii="Cambria" w:hAnsi="Cambria"/>
          <w:sz w:val="20"/>
          <w:szCs w:val="20"/>
          <w:lang w:val="es-VE"/>
        </w:rPr>
        <w:footnoteReference w:id="39"/>
      </w:r>
      <w:r w:rsidR="00E82B19" w:rsidRPr="003A651A">
        <w:rPr>
          <w:rFonts w:ascii="Cambria" w:hAnsi="Cambria"/>
          <w:sz w:val="20"/>
          <w:szCs w:val="20"/>
          <w:lang w:val="es-VE"/>
        </w:rPr>
        <w:t>.</w:t>
      </w:r>
      <w:r w:rsidR="007815D1" w:rsidRPr="003A651A">
        <w:rPr>
          <w:rFonts w:ascii="Cambria" w:hAnsi="Cambria"/>
          <w:sz w:val="20"/>
          <w:szCs w:val="20"/>
          <w:lang w:val="es-VE"/>
        </w:rPr>
        <w:t xml:space="preserve"> </w:t>
      </w:r>
    </w:p>
    <w:p w14:paraId="60DCBFA9" w14:textId="77777777" w:rsidR="008B7EC1" w:rsidRPr="003A651A" w:rsidRDefault="008B7EC1" w:rsidP="00212202">
      <w:pPr>
        <w:tabs>
          <w:tab w:val="left" w:pos="360"/>
          <w:tab w:val="left" w:pos="1440"/>
        </w:tabs>
        <w:jc w:val="both"/>
        <w:rPr>
          <w:rFonts w:ascii="Cambria" w:hAnsi="Cambria"/>
          <w:sz w:val="20"/>
          <w:szCs w:val="20"/>
          <w:lang w:val="es-VE"/>
        </w:rPr>
      </w:pPr>
    </w:p>
    <w:p w14:paraId="0FB1A0A5" w14:textId="77777777" w:rsidR="006B1904" w:rsidRDefault="000B18EE" w:rsidP="002122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es-VE"/>
        </w:rPr>
      </w:pPr>
      <w:r>
        <w:rPr>
          <w:rFonts w:ascii="Cambria" w:hAnsi="Cambria"/>
          <w:sz w:val="20"/>
          <w:szCs w:val="20"/>
          <w:lang w:val="es-VE"/>
        </w:rPr>
        <w:t xml:space="preserve">La defensa del señor Regalado interpuso recurso de casación que fue declarado sin lugar </w:t>
      </w:r>
      <w:r w:rsidR="008B7EC1" w:rsidRPr="003A651A">
        <w:rPr>
          <w:rFonts w:ascii="Cambria" w:hAnsi="Cambria"/>
          <w:sz w:val="20"/>
          <w:szCs w:val="20"/>
          <w:lang w:val="es-VE"/>
        </w:rPr>
        <w:t>el 5 de marzo de 2009</w:t>
      </w:r>
      <w:r w:rsidR="008F6F6B">
        <w:rPr>
          <w:rFonts w:ascii="Cambria" w:hAnsi="Cambria"/>
          <w:sz w:val="20"/>
          <w:szCs w:val="20"/>
          <w:lang w:val="es-VE"/>
        </w:rPr>
        <w:t xml:space="preserve"> por </w:t>
      </w:r>
      <w:r w:rsidR="00F10C5B" w:rsidRPr="003A651A">
        <w:rPr>
          <w:rFonts w:ascii="Cambria" w:hAnsi="Cambria"/>
          <w:sz w:val="20"/>
          <w:szCs w:val="20"/>
          <w:lang w:val="es-VE"/>
        </w:rPr>
        <w:t>la Corte Suprema de Justicia</w:t>
      </w:r>
      <w:r w:rsidR="0034698A">
        <w:rPr>
          <w:rFonts w:ascii="Cambria" w:hAnsi="Cambria"/>
          <w:sz w:val="20"/>
          <w:szCs w:val="20"/>
          <w:lang w:val="es-VE"/>
        </w:rPr>
        <w:t xml:space="preserve">. </w:t>
      </w:r>
      <w:r w:rsidR="009660F6">
        <w:rPr>
          <w:rFonts w:ascii="Cambria" w:hAnsi="Cambria"/>
          <w:sz w:val="20"/>
          <w:szCs w:val="20"/>
          <w:lang w:val="es-VE"/>
        </w:rPr>
        <w:t xml:space="preserve">Este Tribunal indicó que: </w:t>
      </w:r>
    </w:p>
    <w:p w14:paraId="2C6CA326" w14:textId="77777777" w:rsidR="006B1904" w:rsidRDefault="006B1904" w:rsidP="00212202">
      <w:pPr>
        <w:tabs>
          <w:tab w:val="left" w:pos="360"/>
          <w:tab w:val="left" w:pos="1440"/>
        </w:tabs>
        <w:ind w:left="630"/>
        <w:jc w:val="both"/>
        <w:rPr>
          <w:rFonts w:ascii="Cambria" w:hAnsi="Cambria"/>
          <w:sz w:val="20"/>
          <w:szCs w:val="20"/>
          <w:lang w:val="es-VE"/>
        </w:rPr>
      </w:pPr>
    </w:p>
    <w:p w14:paraId="5EBBAE09" w14:textId="77777777" w:rsidR="006B1904" w:rsidRPr="00DD7055" w:rsidRDefault="006B1904" w:rsidP="00212202">
      <w:pPr>
        <w:pStyle w:val="ListParagraph"/>
        <w:tabs>
          <w:tab w:val="left" w:pos="360"/>
        </w:tabs>
        <w:ind w:left="360" w:right="360"/>
        <w:jc w:val="both"/>
        <w:rPr>
          <w:rFonts w:ascii="Cambria" w:hAnsi="Cambria"/>
          <w:sz w:val="18"/>
          <w:szCs w:val="18"/>
          <w:lang w:val="es-VE"/>
        </w:rPr>
      </w:pPr>
      <w:r w:rsidRPr="00DD7055">
        <w:rPr>
          <w:rFonts w:ascii="Cambria" w:hAnsi="Cambria"/>
          <w:sz w:val="18"/>
          <w:szCs w:val="18"/>
          <w:lang w:val="es-VE"/>
        </w:rPr>
        <w:t xml:space="preserve">Centra su reclamo el casacioncita el afirmar que el juzgador no tomo en cuenta varios documentos </w:t>
      </w:r>
      <w:r w:rsidRPr="00212202">
        <w:rPr>
          <w:rFonts w:ascii="Cambria" w:hAnsi="Cambria"/>
          <w:sz w:val="18"/>
          <w:szCs w:val="18"/>
          <w:lang w:val="es-CL"/>
        </w:rPr>
        <w:t>expedidos</w:t>
      </w:r>
      <w:r w:rsidRPr="00DD7055">
        <w:rPr>
          <w:rFonts w:ascii="Cambria" w:hAnsi="Cambria"/>
          <w:sz w:val="18"/>
          <w:szCs w:val="18"/>
          <w:lang w:val="es-VE"/>
        </w:rPr>
        <w:t xml:space="preserve"> por</w:t>
      </w:r>
      <w:r w:rsidR="00105820">
        <w:rPr>
          <w:rFonts w:ascii="Cambria" w:hAnsi="Cambria"/>
          <w:sz w:val="18"/>
          <w:szCs w:val="18"/>
          <w:lang w:val="es-VE"/>
        </w:rPr>
        <w:t xml:space="preserve"> las fuerzas armadas y los que </w:t>
      </w:r>
      <w:r w:rsidRPr="00DD7055">
        <w:rPr>
          <w:rFonts w:ascii="Cambria" w:hAnsi="Cambria"/>
          <w:sz w:val="18"/>
          <w:szCs w:val="18"/>
          <w:lang w:val="es-VE"/>
        </w:rPr>
        <w:t xml:space="preserve">a su criterio tienen la calidad de documentos auténticos, pero se reitera nuevamente estos documentos </w:t>
      </w:r>
      <w:r w:rsidR="00C77979" w:rsidRPr="00DD7055">
        <w:rPr>
          <w:rFonts w:ascii="Cambria" w:hAnsi="Cambria"/>
          <w:sz w:val="18"/>
          <w:szCs w:val="18"/>
          <w:lang w:val="es-VE"/>
        </w:rPr>
        <w:t xml:space="preserve">únicamente ilustran la trayectoria de la carrera del imputado, pero no demuestran de ninguna manera la participación o no participación del delito que se le imputa, no revistiendo para efectos de casación calidad de documentos auténticos. El juzgador valora la prueba evacuada en juicio y en base a esta valoración, determina la culpabilidad </w:t>
      </w:r>
      <w:r w:rsidR="009155F0" w:rsidRPr="00DD7055">
        <w:rPr>
          <w:rFonts w:ascii="Cambria" w:hAnsi="Cambria"/>
          <w:sz w:val="18"/>
          <w:szCs w:val="18"/>
          <w:lang w:val="es-VE"/>
        </w:rPr>
        <w:t xml:space="preserve">del imputado. No existiendo error de hecho en la apreciación de la prueba tal como lo manifiesta el recurrente, siendo </w:t>
      </w:r>
      <w:r w:rsidR="0034698A">
        <w:rPr>
          <w:rFonts w:ascii="Cambria" w:hAnsi="Cambria"/>
          <w:sz w:val="18"/>
          <w:szCs w:val="18"/>
          <w:lang w:val="es-VE"/>
        </w:rPr>
        <w:t>declarado sin lugar este motivo</w:t>
      </w:r>
      <w:r w:rsidR="0034698A" w:rsidRPr="003A651A">
        <w:rPr>
          <w:rStyle w:val="FootnoteReference"/>
          <w:rFonts w:ascii="Cambria" w:hAnsi="Cambria"/>
          <w:sz w:val="20"/>
          <w:szCs w:val="20"/>
          <w:lang w:val="es-VE"/>
        </w:rPr>
        <w:footnoteReference w:id="40"/>
      </w:r>
      <w:r w:rsidR="0034698A">
        <w:rPr>
          <w:rFonts w:ascii="Cambria" w:hAnsi="Cambria"/>
          <w:sz w:val="18"/>
          <w:szCs w:val="18"/>
          <w:lang w:val="es-VE"/>
        </w:rPr>
        <w:t>.</w:t>
      </w:r>
    </w:p>
    <w:p w14:paraId="6110892D" w14:textId="77777777" w:rsidR="00FC56C2" w:rsidRPr="003A651A" w:rsidRDefault="00FC56C2" w:rsidP="00212202">
      <w:pPr>
        <w:tabs>
          <w:tab w:val="left" w:pos="360"/>
          <w:tab w:val="left" w:pos="1440"/>
        </w:tabs>
        <w:jc w:val="both"/>
        <w:rPr>
          <w:rFonts w:ascii="Cambria" w:hAnsi="Cambria"/>
          <w:sz w:val="20"/>
          <w:szCs w:val="20"/>
          <w:lang w:val="es-VE"/>
        </w:rPr>
      </w:pPr>
    </w:p>
    <w:p w14:paraId="526B717E" w14:textId="77777777" w:rsidR="00083505" w:rsidRDefault="00FC56C2" w:rsidP="002122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es-VE"/>
        </w:rPr>
      </w:pPr>
      <w:r w:rsidRPr="003A651A">
        <w:rPr>
          <w:rFonts w:ascii="Cambria" w:hAnsi="Cambria"/>
          <w:sz w:val="20"/>
          <w:szCs w:val="20"/>
          <w:lang w:val="es-VE"/>
        </w:rPr>
        <w:lastRenderedPageBreak/>
        <w:t xml:space="preserve">El 27 de febrero del 2009 </w:t>
      </w:r>
      <w:r w:rsidR="00F63820" w:rsidRPr="003A651A">
        <w:rPr>
          <w:rFonts w:ascii="Cambria" w:hAnsi="Cambria"/>
          <w:sz w:val="20"/>
          <w:szCs w:val="20"/>
          <w:lang w:val="es-VE"/>
        </w:rPr>
        <w:t>el Juzgado de Ejecución Sección Jud</w:t>
      </w:r>
      <w:r w:rsidRPr="003A651A">
        <w:rPr>
          <w:rFonts w:ascii="Cambria" w:hAnsi="Cambria"/>
          <w:sz w:val="20"/>
          <w:szCs w:val="20"/>
          <w:lang w:val="es-VE"/>
        </w:rPr>
        <w:t>icial de San Pedro de Sula dictó</w:t>
      </w:r>
      <w:r w:rsidR="00F63820" w:rsidRPr="003A651A">
        <w:rPr>
          <w:rFonts w:ascii="Cambria" w:hAnsi="Cambria"/>
          <w:sz w:val="20"/>
          <w:szCs w:val="20"/>
          <w:lang w:val="es-VE"/>
        </w:rPr>
        <w:t xml:space="preserve"> </w:t>
      </w:r>
      <w:r w:rsidRPr="003A651A">
        <w:rPr>
          <w:rFonts w:ascii="Cambria" w:hAnsi="Cambria"/>
          <w:sz w:val="20"/>
          <w:szCs w:val="20"/>
          <w:lang w:val="es-VE"/>
        </w:rPr>
        <w:t xml:space="preserve">una </w:t>
      </w:r>
      <w:r w:rsidR="00F63820" w:rsidRPr="003A651A">
        <w:rPr>
          <w:rFonts w:ascii="Cambria" w:hAnsi="Cambria"/>
          <w:sz w:val="20"/>
          <w:szCs w:val="20"/>
          <w:lang w:val="es-VE"/>
        </w:rPr>
        <w:t>orden de capt</w:t>
      </w:r>
      <w:r w:rsidRPr="003A651A">
        <w:rPr>
          <w:rFonts w:ascii="Cambria" w:hAnsi="Cambria"/>
          <w:sz w:val="20"/>
          <w:szCs w:val="20"/>
          <w:lang w:val="es-VE"/>
        </w:rPr>
        <w:t>ura contra Marco Tulio Regalado</w:t>
      </w:r>
      <w:r w:rsidR="00F63820" w:rsidRPr="003A651A">
        <w:rPr>
          <w:rStyle w:val="FootnoteReference"/>
          <w:rFonts w:ascii="Cambria" w:hAnsi="Cambria"/>
          <w:sz w:val="20"/>
          <w:szCs w:val="20"/>
          <w:lang w:val="es-VE"/>
        </w:rPr>
        <w:footnoteReference w:id="41"/>
      </w:r>
      <w:r w:rsidRPr="003A651A">
        <w:rPr>
          <w:rFonts w:ascii="Cambria" w:hAnsi="Cambria"/>
          <w:sz w:val="20"/>
          <w:szCs w:val="20"/>
          <w:lang w:val="es-VE"/>
        </w:rPr>
        <w:t>.</w:t>
      </w:r>
      <w:r w:rsidR="00EF4CCA" w:rsidRPr="003A651A">
        <w:rPr>
          <w:rFonts w:ascii="Cambria" w:hAnsi="Cambria"/>
          <w:sz w:val="20"/>
          <w:szCs w:val="20"/>
          <w:lang w:val="es-VE"/>
        </w:rPr>
        <w:t xml:space="preserve"> El Estado</w:t>
      </w:r>
      <w:r w:rsidRPr="003A651A">
        <w:rPr>
          <w:rFonts w:ascii="Cambria" w:hAnsi="Cambria"/>
          <w:sz w:val="20"/>
          <w:szCs w:val="20"/>
          <w:lang w:val="es-VE"/>
        </w:rPr>
        <w:t xml:space="preserve"> indicó que</w:t>
      </w:r>
      <w:r w:rsidR="00EF4CCA" w:rsidRPr="003A651A">
        <w:rPr>
          <w:rFonts w:ascii="Cambria" w:hAnsi="Cambria"/>
          <w:sz w:val="20"/>
          <w:szCs w:val="20"/>
          <w:lang w:val="es-VE"/>
        </w:rPr>
        <w:t xml:space="preserve"> </w:t>
      </w:r>
      <w:r w:rsidRPr="003A651A">
        <w:rPr>
          <w:rFonts w:ascii="Cambria" w:hAnsi="Cambria"/>
          <w:sz w:val="20"/>
          <w:szCs w:val="20"/>
          <w:lang w:val="es-VE"/>
        </w:rPr>
        <w:t>solicitó</w:t>
      </w:r>
      <w:r w:rsidR="00EF4CCA" w:rsidRPr="003A651A">
        <w:rPr>
          <w:rFonts w:ascii="Cambria" w:hAnsi="Cambria"/>
          <w:sz w:val="20"/>
          <w:szCs w:val="20"/>
          <w:lang w:val="es-VE"/>
        </w:rPr>
        <w:t xml:space="preserve"> a la Interpol y la Direc</w:t>
      </w:r>
      <w:r w:rsidRPr="003A651A">
        <w:rPr>
          <w:rFonts w:ascii="Cambria" w:hAnsi="Cambria"/>
          <w:sz w:val="20"/>
          <w:szCs w:val="20"/>
          <w:lang w:val="es-VE"/>
        </w:rPr>
        <w:t>ción Nacional de Investigación C</w:t>
      </w:r>
      <w:r w:rsidR="00EF4CCA" w:rsidRPr="003A651A">
        <w:rPr>
          <w:rFonts w:ascii="Cambria" w:hAnsi="Cambria"/>
          <w:sz w:val="20"/>
          <w:szCs w:val="20"/>
          <w:lang w:val="es-VE"/>
        </w:rPr>
        <w:t>riminal</w:t>
      </w:r>
      <w:r w:rsidR="00505DE7" w:rsidRPr="003A651A">
        <w:rPr>
          <w:rFonts w:ascii="Cambria" w:hAnsi="Cambria"/>
          <w:sz w:val="20"/>
          <w:szCs w:val="20"/>
          <w:lang w:val="es-VE"/>
        </w:rPr>
        <w:t xml:space="preserve"> </w:t>
      </w:r>
      <w:r w:rsidR="00EF4CCA" w:rsidRPr="003A651A">
        <w:rPr>
          <w:rFonts w:ascii="Cambria" w:hAnsi="Cambria"/>
          <w:sz w:val="20"/>
          <w:szCs w:val="20"/>
          <w:lang w:val="es-VE"/>
        </w:rPr>
        <w:t>la captura del condenado</w:t>
      </w:r>
      <w:r w:rsidRPr="003A651A">
        <w:rPr>
          <w:rFonts w:ascii="Cambria" w:hAnsi="Cambria"/>
          <w:sz w:val="20"/>
          <w:szCs w:val="20"/>
          <w:lang w:val="es-VE"/>
        </w:rPr>
        <w:t>,</w:t>
      </w:r>
      <w:r w:rsidR="00EF4CCA" w:rsidRPr="003A651A">
        <w:rPr>
          <w:rFonts w:ascii="Cambria" w:hAnsi="Cambria"/>
          <w:sz w:val="20"/>
          <w:szCs w:val="20"/>
          <w:lang w:val="es-VE"/>
        </w:rPr>
        <w:t xml:space="preserve"> siendo la última vez el 15 de enero de 2015</w:t>
      </w:r>
      <w:r w:rsidR="00505DE7" w:rsidRPr="003A651A">
        <w:rPr>
          <w:rStyle w:val="FootnoteReference"/>
          <w:rFonts w:ascii="Cambria" w:hAnsi="Cambria"/>
          <w:sz w:val="20"/>
          <w:szCs w:val="20"/>
          <w:lang w:val="es-VE"/>
        </w:rPr>
        <w:footnoteReference w:id="42"/>
      </w:r>
      <w:r w:rsidR="00EF4CCA" w:rsidRPr="003A651A">
        <w:rPr>
          <w:rFonts w:ascii="Cambria" w:hAnsi="Cambria"/>
          <w:sz w:val="20"/>
          <w:szCs w:val="20"/>
          <w:lang w:val="es-VE"/>
        </w:rPr>
        <w:t>.</w:t>
      </w:r>
      <w:r w:rsidR="00911A4B">
        <w:rPr>
          <w:rFonts w:ascii="Cambria" w:hAnsi="Cambria"/>
          <w:sz w:val="20"/>
          <w:szCs w:val="20"/>
          <w:lang w:val="es-VE"/>
        </w:rPr>
        <w:t xml:space="preserve"> La CIDH no cuenta con información sobre la captura del señor Tulio Regalado.</w:t>
      </w:r>
    </w:p>
    <w:p w14:paraId="7EEDC90F" w14:textId="77777777" w:rsidR="00083505" w:rsidRDefault="00083505" w:rsidP="00212202">
      <w:pPr>
        <w:tabs>
          <w:tab w:val="left" w:pos="360"/>
          <w:tab w:val="left" w:pos="1440"/>
        </w:tabs>
        <w:jc w:val="both"/>
        <w:rPr>
          <w:rFonts w:ascii="Cambria" w:hAnsi="Cambria"/>
          <w:sz w:val="20"/>
          <w:szCs w:val="20"/>
          <w:lang w:val="es-VE"/>
        </w:rPr>
      </w:pPr>
    </w:p>
    <w:p w14:paraId="03473FEF" w14:textId="77777777" w:rsidR="00A15652" w:rsidRDefault="00A15652" w:rsidP="002122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es-VE"/>
        </w:rPr>
      </w:pPr>
      <w:r>
        <w:rPr>
          <w:rFonts w:ascii="Cambria" w:hAnsi="Cambria"/>
          <w:sz w:val="20"/>
          <w:szCs w:val="20"/>
          <w:lang w:val="es-VE"/>
        </w:rPr>
        <w:t xml:space="preserve">Adicionalmente, la CIDH toma nota de la información presentada por la parte peticionaria respecto de </w:t>
      </w:r>
      <w:r w:rsidR="00484AE0">
        <w:rPr>
          <w:rFonts w:ascii="Cambria" w:hAnsi="Cambria"/>
          <w:sz w:val="20"/>
          <w:szCs w:val="20"/>
          <w:lang w:val="es-VE"/>
        </w:rPr>
        <w:t xml:space="preserve">otros </w:t>
      </w:r>
      <w:r>
        <w:rPr>
          <w:rFonts w:ascii="Cambria" w:hAnsi="Cambria"/>
          <w:sz w:val="20"/>
          <w:szCs w:val="20"/>
          <w:lang w:val="es-VE"/>
        </w:rPr>
        <w:t>hostigamientos y amenazas a los familiares del señor Deras. Al respecto, la parte peticionaria sostuvo que el 9 de marzo de 2009 tres hombres no identificados ingresaron a</w:t>
      </w:r>
      <w:r w:rsidR="00B27F6E" w:rsidRPr="00083505">
        <w:rPr>
          <w:rFonts w:ascii="Cambria" w:hAnsi="Cambria"/>
          <w:sz w:val="20"/>
          <w:szCs w:val="20"/>
          <w:lang w:val="es-VE"/>
        </w:rPr>
        <w:t xml:space="preserve"> la residencia de Otilia Flores y su hija, Lore</w:t>
      </w:r>
      <w:r w:rsidR="0070063C" w:rsidRPr="00083505">
        <w:rPr>
          <w:rFonts w:ascii="Cambria" w:hAnsi="Cambria"/>
          <w:sz w:val="20"/>
          <w:szCs w:val="20"/>
          <w:lang w:val="es-VE"/>
        </w:rPr>
        <w:t xml:space="preserve">na,  </w:t>
      </w:r>
      <w:r>
        <w:rPr>
          <w:rFonts w:ascii="Cambria" w:hAnsi="Cambria"/>
          <w:sz w:val="20"/>
          <w:szCs w:val="20"/>
          <w:lang w:val="es-VE"/>
        </w:rPr>
        <w:t>en donde “</w:t>
      </w:r>
      <w:r w:rsidR="0070063C" w:rsidRPr="00083505">
        <w:rPr>
          <w:rFonts w:ascii="Cambria" w:hAnsi="Cambria"/>
          <w:sz w:val="20"/>
          <w:szCs w:val="20"/>
          <w:lang w:val="es-VE"/>
        </w:rPr>
        <w:t>destruyeron todo en la casa</w:t>
      </w:r>
      <w:r>
        <w:rPr>
          <w:rFonts w:ascii="Cambria" w:hAnsi="Cambria"/>
          <w:sz w:val="20"/>
          <w:szCs w:val="20"/>
          <w:lang w:val="es-VE"/>
        </w:rPr>
        <w:t>”</w:t>
      </w:r>
      <w:r w:rsidR="0070063C" w:rsidRPr="00083505">
        <w:rPr>
          <w:rFonts w:ascii="Cambria" w:hAnsi="Cambria"/>
          <w:sz w:val="20"/>
          <w:szCs w:val="20"/>
          <w:lang w:val="es-VE"/>
        </w:rPr>
        <w:t xml:space="preserve"> y se llevaron objetos personales. </w:t>
      </w:r>
      <w:r>
        <w:rPr>
          <w:rFonts w:ascii="Cambria" w:hAnsi="Cambria"/>
          <w:sz w:val="20"/>
          <w:szCs w:val="20"/>
          <w:lang w:val="es-VE"/>
        </w:rPr>
        <w:t>Indicó que a</w:t>
      </w:r>
      <w:r w:rsidR="0070063C" w:rsidRPr="00083505">
        <w:rPr>
          <w:rFonts w:ascii="Cambria" w:hAnsi="Cambria"/>
          <w:sz w:val="20"/>
          <w:szCs w:val="20"/>
          <w:lang w:val="es-VE"/>
        </w:rPr>
        <w:t xml:space="preserve">l hijo de Lorena, de 15 años, lo levantaron abruptamente de su cama </w:t>
      </w:r>
      <w:r>
        <w:rPr>
          <w:rFonts w:ascii="Cambria" w:hAnsi="Cambria"/>
          <w:sz w:val="20"/>
          <w:szCs w:val="20"/>
          <w:lang w:val="es-VE"/>
        </w:rPr>
        <w:t>y le apuntaron en la cara con</w:t>
      </w:r>
      <w:r w:rsidR="00FD7DDB">
        <w:rPr>
          <w:rFonts w:ascii="Cambria" w:hAnsi="Cambria"/>
          <w:sz w:val="20"/>
          <w:szCs w:val="20"/>
          <w:lang w:val="es-VE"/>
        </w:rPr>
        <w:t xml:space="preserve"> </w:t>
      </w:r>
      <w:r>
        <w:rPr>
          <w:rFonts w:ascii="Cambria" w:hAnsi="Cambria"/>
          <w:sz w:val="20"/>
          <w:szCs w:val="20"/>
          <w:lang w:val="es-VE"/>
        </w:rPr>
        <w:t>un arma</w:t>
      </w:r>
      <w:r w:rsidR="0070063C" w:rsidRPr="003A651A">
        <w:rPr>
          <w:rStyle w:val="FootnoteReference"/>
          <w:rFonts w:ascii="Cambria" w:hAnsi="Cambria"/>
          <w:sz w:val="20"/>
          <w:szCs w:val="20"/>
          <w:lang w:val="es-VE"/>
        </w:rPr>
        <w:footnoteReference w:id="43"/>
      </w:r>
      <w:r w:rsidR="0070063C" w:rsidRPr="00083505">
        <w:rPr>
          <w:rFonts w:ascii="Cambria" w:hAnsi="Cambria"/>
          <w:sz w:val="20"/>
          <w:szCs w:val="20"/>
          <w:lang w:val="es-VE"/>
        </w:rPr>
        <w:t xml:space="preserve"> </w:t>
      </w:r>
      <w:r w:rsidR="00FD7DDB">
        <w:rPr>
          <w:rFonts w:ascii="Cambria" w:hAnsi="Cambria"/>
          <w:sz w:val="20"/>
          <w:szCs w:val="20"/>
          <w:lang w:val="es-VE"/>
        </w:rPr>
        <w:t>.</w:t>
      </w:r>
      <w:r>
        <w:rPr>
          <w:rFonts w:ascii="Cambria" w:hAnsi="Cambria"/>
          <w:sz w:val="20"/>
          <w:szCs w:val="20"/>
          <w:lang w:val="es-VE"/>
        </w:rPr>
        <w:t xml:space="preserve"> Asimismo, la parte peticionaria informó sobre los siguientes hechos: </w:t>
      </w:r>
    </w:p>
    <w:p w14:paraId="5F6C747C" w14:textId="77777777" w:rsidR="00A15652" w:rsidRDefault="00A15652" w:rsidP="00212202">
      <w:pPr>
        <w:pStyle w:val="ListParagraph"/>
        <w:tabs>
          <w:tab w:val="left" w:pos="360"/>
        </w:tabs>
        <w:rPr>
          <w:rFonts w:ascii="Cambria" w:hAnsi="Cambria"/>
          <w:sz w:val="20"/>
          <w:szCs w:val="20"/>
          <w:lang w:val="es-VE"/>
        </w:rPr>
      </w:pPr>
    </w:p>
    <w:p w14:paraId="5EBDAFE2" w14:textId="77777777" w:rsidR="00E96282" w:rsidRPr="00A15652" w:rsidRDefault="00501846" w:rsidP="00212202">
      <w:pPr>
        <w:pStyle w:val="ListParagraph"/>
        <w:tabs>
          <w:tab w:val="left" w:pos="360"/>
        </w:tabs>
        <w:ind w:left="360" w:right="360"/>
        <w:jc w:val="both"/>
        <w:rPr>
          <w:rFonts w:ascii="Cambria" w:hAnsi="Cambria"/>
          <w:sz w:val="18"/>
          <w:szCs w:val="18"/>
          <w:lang w:val="es-VE"/>
        </w:rPr>
      </w:pPr>
      <w:r w:rsidRPr="00A15652">
        <w:rPr>
          <w:rFonts w:ascii="Cambria" w:hAnsi="Cambria"/>
          <w:sz w:val="18"/>
          <w:szCs w:val="18"/>
          <w:lang w:val="es-VE"/>
        </w:rPr>
        <w:t>Patricia Alejandra Chavarría, de 15 años,  h</w:t>
      </w:r>
      <w:r w:rsidR="00A15652" w:rsidRPr="00A15652">
        <w:rPr>
          <w:rFonts w:ascii="Cambria" w:hAnsi="Cambria"/>
          <w:sz w:val="18"/>
          <w:szCs w:val="18"/>
          <w:lang w:val="es-VE"/>
        </w:rPr>
        <w:t>ija de Irma Isabel Deras fue fil</w:t>
      </w:r>
      <w:r w:rsidRPr="00A15652">
        <w:rPr>
          <w:rFonts w:ascii="Cambria" w:hAnsi="Cambria"/>
          <w:sz w:val="18"/>
          <w:szCs w:val="18"/>
          <w:lang w:val="es-VE"/>
        </w:rPr>
        <w:t xml:space="preserve">mada y amenazada por </w:t>
      </w:r>
      <w:r w:rsidRPr="00212202">
        <w:rPr>
          <w:rFonts w:ascii="Cambria" w:hAnsi="Cambria"/>
          <w:sz w:val="18"/>
          <w:szCs w:val="18"/>
          <w:lang w:val="es-CL"/>
        </w:rPr>
        <w:t>agentes</w:t>
      </w:r>
      <w:r w:rsidRPr="00A15652">
        <w:rPr>
          <w:rFonts w:ascii="Cambria" w:hAnsi="Cambria"/>
          <w:sz w:val="18"/>
          <w:szCs w:val="18"/>
          <w:lang w:val="es-VE"/>
        </w:rPr>
        <w:t xml:space="preserve"> de la Dirección Nacional de Investigación Criminal, Alba Luz Deras que labora para la Compañía de Jesús, recibió amenazas de muertes a raíz de la militarización de Radio Progreso. Y la residencia </w:t>
      </w:r>
      <w:r w:rsidR="004C2C37" w:rsidRPr="00A15652">
        <w:rPr>
          <w:rFonts w:ascii="Cambria" w:hAnsi="Cambria"/>
          <w:sz w:val="18"/>
          <w:szCs w:val="18"/>
          <w:lang w:val="es-VE"/>
        </w:rPr>
        <w:t>de Luis Rolando Deras García, es sujeto de vigilancia por desconocidos que se transportan en un carro verde, marca Chevrolet, sin placas y vidrios polarizados. Generalmente hac</w:t>
      </w:r>
      <w:r w:rsidR="00A15652" w:rsidRPr="00A15652">
        <w:rPr>
          <w:rFonts w:ascii="Cambria" w:hAnsi="Cambria"/>
          <w:sz w:val="18"/>
          <w:szCs w:val="18"/>
          <w:lang w:val="es-VE"/>
        </w:rPr>
        <w:t>en rondas entre 7:30 y 9:30 pm.</w:t>
      </w:r>
      <w:r w:rsidR="004C2C37" w:rsidRPr="00A15652">
        <w:rPr>
          <w:rStyle w:val="FootnoteReference"/>
          <w:rFonts w:ascii="Cambria" w:hAnsi="Cambria"/>
          <w:sz w:val="18"/>
          <w:szCs w:val="18"/>
          <w:lang w:val="es-VE"/>
        </w:rPr>
        <w:footnoteReference w:id="44"/>
      </w:r>
      <w:r w:rsidR="00A15652" w:rsidRPr="00A15652">
        <w:rPr>
          <w:rFonts w:ascii="Cambria" w:hAnsi="Cambria"/>
          <w:sz w:val="18"/>
          <w:szCs w:val="18"/>
          <w:lang w:val="es-VE"/>
        </w:rPr>
        <w:t>.</w:t>
      </w:r>
    </w:p>
    <w:p w14:paraId="2E116518" w14:textId="77777777" w:rsidR="00083505" w:rsidRDefault="00083505" w:rsidP="00212202">
      <w:pPr>
        <w:tabs>
          <w:tab w:val="left" w:pos="360"/>
          <w:tab w:val="left" w:pos="1440"/>
        </w:tabs>
        <w:ind w:left="630"/>
        <w:jc w:val="both"/>
        <w:rPr>
          <w:rFonts w:ascii="Cambria" w:hAnsi="Cambria"/>
          <w:sz w:val="20"/>
          <w:szCs w:val="20"/>
          <w:lang w:val="es-VE"/>
        </w:rPr>
      </w:pPr>
    </w:p>
    <w:p w14:paraId="6C600416" w14:textId="77777777" w:rsidR="00083505" w:rsidRPr="00FD7DDB" w:rsidRDefault="00083505" w:rsidP="00212202">
      <w:pPr>
        <w:pStyle w:val="Heading1"/>
        <w:tabs>
          <w:tab w:val="left" w:pos="360"/>
        </w:tabs>
        <w:ind w:hanging="1080"/>
      </w:pPr>
      <w:bookmarkStart w:id="20" w:name="_Toc15048002"/>
      <w:bookmarkStart w:id="21" w:name="_Toc21442038"/>
      <w:r w:rsidRPr="00FD7DDB">
        <w:t>ANÁLISIS DE DERECHO</w:t>
      </w:r>
      <w:bookmarkEnd w:id="20"/>
      <w:bookmarkEnd w:id="21"/>
    </w:p>
    <w:p w14:paraId="3A89ACF0" w14:textId="77777777" w:rsidR="00251B12" w:rsidRPr="00A21666" w:rsidRDefault="00251B12" w:rsidP="00212202">
      <w:pPr>
        <w:tabs>
          <w:tab w:val="left" w:pos="360"/>
        </w:tabs>
        <w:suppressAutoHyphens/>
        <w:jc w:val="both"/>
        <w:rPr>
          <w:rFonts w:ascii="Cambria" w:hAnsi="Cambria"/>
          <w:b/>
          <w:sz w:val="20"/>
          <w:szCs w:val="20"/>
          <w:lang w:val="es-ES_tradnl"/>
        </w:rPr>
      </w:pPr>
    </w:p>
    <w:p w14:paraId="4EBC5139" w14:textId="77777777" w:rsidR="00251B12" w:rsidRPr="00A21666" w:rsidRDefault="00251B12" w:rsidP="00617E74">
      <w:pPr>
        <w:pStyle w:val="Heading2"/>
        <w:numPr>
          <w:ilvl w:val="0"/>
          <w:numId w:val="71"/>
        </w:numPr>
        <w:ind w:left="360"/>
      </w:pPr>
      <w:bookmarkStart w:id="22" w:name="_Toc21442039"/>
      <w:r w:rsidRPr="00A21666">
        <w:t>Derecho a la vida</w:t>
      </w:r>
      <w:r w:rsidR="00F5758A" w:rsidRPr="00A21666">
        <w:t xml:space="preserve">, libertad de </w:t>
      </w:r>
      <w:r w:rsidR="00645D73" w:rsidRPr="00A21666">
        <w:t xml:space="preserve">pensamiento y de </w:t>
      </w:r>
      <w:r w:rsidR="00F5758A" w:rsidRPr="00A21666">
        <w:t>expresión</w:t>
      </w:r>
      <w:r w:rsidR="00040810">
        <w:t xml:space="preserve"> </w:t>
      </w:r>
      <w:r w:rsidR="00F5758A" w:rsidRPr="00A21666">
        <w:t>y libertad de asociación (artículos 4</w:t>
      </w:r>
      <w:r w:rsidR="00645D73" w:rsidRPr="00A21666">
        <w:t>.1</w:t>
      </w:r>
      <w:r w:rsidR="00645D73" w:rsidRPr="00645D73">
        <w:rPr>
          <w:rStyle w:val="FootnoteReference"/>
          <w:lang w:val="es-ES"/>
        </w:rPr>
        <w:footnoteReference w:id="45"/>
      </w:r>
      <w:r w:rsidR="00F5758A" w:rsidRPr="00A21666">
        <w:t>, 13</w:t>
      </w:r>
      <w:r w:rsidR="00645D73" w:rsidRPr="00A21666">
        <w:t>.1</w:t>
      </w:r>
      <w:r w:rsidR="00645D73" w:rsidRPr="00645D73">
        <w:rPr>
          <w:rStyle w:val="FootnoteReference"/>
          <w:lang w:val="es-ES"/>
        </w:rPr>
        <w:footnoteReference w:id="46"/>
      </w:r>
      <w:r w:rsidR="00040810">
        <w:t xml:space="preserve"> </w:t>
      </w:r>
      <w:r w:rsidR="00F5758A" w:rsidRPr="00A21666">
        <w:t>y 16</w:t>
      </w:r>
      <w:r w:rsidR="00645D73" w:rsidRPr="00A21666">
        <w:t>.1</w:t>
      </w:r>
      <w:r w:rsidR="00645D73" w:rsidRPr="00645D73">
        <w:rPr>
          <w:rStyle w:val="FootnoteReference"/>
          <w:lang w:val="es-ES"/>
        </w:rPr>
        <w:footnoteReference w:id="47"/>
      </w:r>
      <w:r w:rsidR="00F5758A" w:rsidRPr="00A21666">
        <w:rPr>
          <w:lang w:val="es-CL"/>
        </w:rPr>
        <w:t xml:space="preserve"> </w:t>
      </w:r>
      <w:r w:rsidR="00040810" w:rsidRPr="00040810">
        <w:rPr>
          <w:lang w:val="es-CL"/>
        </w:rPr>
        <w:t xml:space="preserve">de la Convención Americana </w:t>
      </w:r>
      <w:r w:rsidR="00F5758A" w:rsidRPr="00A21666">
        <w:t xml:space="preserve">en relación con el artículo 1.1 </w:t>
      </w:r>
      <w:r w:rsidR="00040810">
        <w:t>del mismo instrumento</w:t>
      </w:r>
      <w:r w:rsidR="00F5758A" w:rsidRPr="00A21666">
        <w:t>)</w:t>
      </w:r>
      <w:bookmarkEnd w:id="22"/>
      <w:r w:rsidR="00527259" w:rsidRPr="00A21666">
        <w:t xml:space="preserve"> </w:t>
      </w:r>
    </w:p>
    <w:p w14:paraId="2984CFF9" w14:textId="77777777" w:rsidR="00F968B0" w:rsidRPr="00A21666" w:rsidRDefault="00F968B0" w:rsidP="00212202">
      <w:pPr>
        <w:tabs>
          <w:tab w:val="left" w:pos="360"/>
          <w:tab w:val="left" w:pos="1440"/>
        </w:tabs>
        <w:jc w:val="both"/>
        <w:rPr>
          <w:rFonts w:ascii="Cambria" w:hAnsi="Cambria"/>
          <w:sz w:val="20"/>
          <w:szCs w:val="20"/>
          <w:lang w:val="es-VE"/>
        </w:rPr>
      </w:pPr>
    </w:p>
    <w:p w14:paraId="672B5C3F" w14:textId="77777777" w:rsidR="00985F2A" w:rsidRPr="00002B1B" w:rsidRDefault="00985F2A" w:rsidP="002122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es-MX"/>
        </w:rPr>
      </w:pPr>
      <w:r w:rsidRPr="00002B1B">
        <w:rPr>
          <w:rFonts w:ascii="Cambria" w:hAnsi="Cambria"/>
          <w:sz w:val="20"/>
          <w:szCs w:val="20"/>
          <w:lang w:val="es-ES"/>
        </w:rPr>
        <w:t xml:space="preserve">Tanto la CIDH como la Corte Interamericana han señalado que el </w:t>
      </w:r>
      <w:r w:rsidRPr="00002B1B">
        <w:rPr>
          <w:rFonts w:ascii="Cambria" w:hAnsi="Cambria"/>
          <w:sz w:val="20"/>
          <w:szCs w:val="20"/>
          <w:lang w:val="es-ES_tradnl"/>
        </w:rPr>
        <w:t>derecho</w:t>
      </w:r>
      <w:r w:rsidRPr="00002B1B">
        <w:rPr>
          <w:rFonts w:ascii="Cambria" w:hAnsi="Cambria"/>
          <w:sz w:val="20"/>
          <w:szCs w:val="20"/>
          <w:lang w:val="es-ES"/>
        </w:rPr>
        <w:t xml:space="preserve"> a la vida es prerrequisito del disfrute de todos los demás derechos humanos y sin cuyo respeto los demás carecen de sentido</w:t>
      </w:r>
      <w:r w:rsidRPr="00002B1B">
        <w:rPr>
          <w:rStyle w:val="FootnoteReference"/>
          <w:rFonts w:ascii="Cambria" w:hAnsi="Cambria"/>
          <w:sz w:val="20"/>
          <w:szCs w:val="20"/>
          <w:lang w:val="es-ES"/>
        </w:rPr>
        <w:footnoteReference w:id="48"/>
      </w:r>
      <w:r w:rsidRPr="00002B1B">
        <w:rPr>
          <w:rFonts w:ascii="Cambria" w:hAnsi="Cambria"/>
          <w:sz w:val="20"/>
          <w:szCs w:val="20"/>
          <w:lang w:val="es-ES"/>
        </w:rPr>
        <w:t xml:space="preserve">. Asimismo, el cumplimiento de las obligaciones que se derivan del artículo 4.1 de la Convención Americana no sólo presupone que ninguna persona sea privada de su vida arbitrariamente, sino que además establece el deber de los Estados de </w:t>
      </w:r>
      <w:r w:rsidRPr="00002B1B">
        <w:rPr>
          <w:rFonts w:ascii="Cambria" w:hAnsi="Cambria"/>
          <w:sz w:val="20"/>
          <w:szCs w:val="20"/>
          <w:lang w:val="es-ES_tradnl"/>
        </w:rPr>
        <w:t>de impedir que sus agentes atenten contra el mismo</w:t>
      </w:r>
      <w:r w:rsidRPr="00002B1B">
        <w:rPr>
          <w:rStyle w:val="FootnoteReference"/>
          <w:rFonts w:ascii="Cambria" w:hAnsi="Cambria"/>
          <w:sz w:val="20"/>
          <w:szCs w:val="20"/>
          <w:lang w:val="es-ES"/>
        </w:rPr>
        <w:footnoteReference w:id="49"/>
      </w:r>
      <w:r w:rsidRPr="00002B1B">
        <w:rPr>
          <w:rFonts w:ascii="Cambria" w:hAnsi="Cambria"/>
          <w:sz w:val="20"/>
          <w:szCs w:val="20"/>
          <w:lang w:val="es-ES"/>
        </w:rPr>
        <w:t>. La Corte agregó lo siguiente:</w:t>
      </w:r>
    </w:p>
    <w:p w14:paraId="057EC018" w14:textId="77777777" w:rsidR="00985F2A" w:rsidRPr="00002B1B" w:rsidRDefault="00985F2A" w:rsidP="0021220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sz w:val="20"/>
          <w:szCs w:val="20"/>
          <w:lang w:val="es-ES"/>
        </w:rPr>
      </w:pPr>
    </w:p>
    <w:p w14:paraId="6A9C1F13" w14:textId="77777777" w:rsidR="00985F2A" w:rsidRPr="00002B1B" w:rsidRDefault="00985F2A" w:rsidP="00212202">
      <w:pPr>
        <w:pStyle w:val="ListParagraph"/>
        <w:tabs>
          <w:tab w:val="left" w:pos="360"/>
        </w:tabs>
        <w:ind w:left="360" w:right="360"/>
        <w:jc w:val="both"/>
        <w:rPr>
          <w:rFonts w:ascii="Cambria" w:hAnsi="Cambria"/>
          <w:sz w:val="18"/>
          <w:szCs w:val="18"/>
          <w:lang w:val="es-ES_tradnl"/>
        </w:rPr>
      </w:pPr>
      <w:r w:rsidRPr="00002B1B">
        <w:rPr>
          <w:rFonts w:ascii="Cambria" w:hAnsi="Cambria"/>
          <w:sz w:val="18"/>
          <w:szCs w:val="18"/>
          <w:lang w:val="es-ES_tradnl"/>
        </w:rPr>
        <w:t xml:space="preserve">[L]os Estados deben adoptar las medidas necesarias para crear un marco normativo adecuado que disuada cualquier amenaza al derecho a la vida; establecer un sistema de justicia efectivo capaz de investigar, </w:t>
      </w:r>
      <w:r w:rsidRPr="00212202">
        <w:rPr>
          <w:rFonts w:ascii="Cambria" w:hAnsi="Cambria"/>
          <w:sz w:val="18"/>
          <w:szCs w:val="18"/>
          <w:lang w:val="es-VE"/>
        </w:rPr>
        <w:t>castigar</w:t>
      </w:r>
      <w:r w:rsidRPr="00002B1B">
        <w:rPr>
          <w:rFonts w:ascii="Cambria" w:hAnsi="Cambria"/>
          <w:sz w:val="18"/>
          <w:szCs w:val="18"/>
          <w:lang w:val="es-ES_tradnl"/>
        </w:rPr>
        <w:t xml:space="preserve"> y dar reparación por la privación de la vida por parte de agentes estatales o particulares; y salvaguardar el derecho a que no se impida el acceso a las condiciones que garanticen una existencia digna. De manera especial los Estados deben vigilar que sus cuerpos de seguridad, a quienes les está atribuido el uso legítimo de la fuerza, respeten el derecho a la vida de quienes se encuentren bajo su jurisdicción</w:t>
      </w:r>
      <w:r w:rsidRPr="00002B1B">
        <w:rPr>
          <w:rStyle w:val="FootnoteReference"/>
          <w:rFonts w:ascii="Cambria" w:hAnsi="Cambria"/>
          <w:sz w:val="18"/>
          <w:szCs w:val="18"/>
        </w:rPr>
        <w:footnoteReference w:id="50"/>
      </w:r>
      <w:r w:rsidRPr="00002B1B">
        <w:rPr>
          <w:rFonts w:ascii="Cambria" w:hAnsi="Cambria"/>
          <w:sz w:val="18"/>
          <w:szCs w:val="18"/>
          <w:lang w:val="es-ES_tradnl"/>
        </w:rPr>
        <w:t>.</w:t>
      </w:r>
    </w:p>
    <w:p w14:paraId="02610B40" w14:textId="77777777" w:rsidR="00040810" w:rsidRDefault="00040810" w:rsidP="00212202">
      <w:pPr>
        <w:tabs>
          <w:tab w:val="left" w:pos="360"/>
          <w:tab w:val="left" w:pos="1440"/>
        </w:tabs>
        <w:jc w:val="both"/>
        <w:rPr>
          <w:rFonts w:ascii="Cambria" w:hAnsi="Cambria"/>
          <w:sz w:val="20"/>
          <w:szCs w:val="20"/>
          <w:lang w:val="es-ES"/>
        </w:rPr>
      </w:pPr>
    </w:p>
    <w:p w14:paraId="5FF94694" w14:textId="77777777" w:rsidR="00524B25" w:rsidRPr="00524B25" w:rsidRDefault="00524B25" w:rsidP="002122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lang w:val="es-ES"/>
        </w:rPr>
      </w:pPr>
      <w:r w:rsidRPr="00E5682B">
        <w:rPr>
          <w:rFonts w:ascii="Cambria" w:hAnsi="Cambria"/>
          <w:sz w:val="20"/>
          <w:szCs w:val="20"/>
          <w:lang w:val="es-ES"/>
        </w:rPr>
        <w:t xml:space="preserve">Respecto del derecho a la libertad de expresión </w:t>
      </w:r>
      <w:r>
        <w:rPr>
          <w:rFonts w:ascii="Cambria" w:hAnsi="Cambria"/>
          <w:sz w:val="20"/>
          <w:szCs w:val="20"/>
          <w:lang w:val="es-ES"/>
        </w:rPr>
        <w:t xml:space="preserve">establecido en el artículo 13 de la Convención Americana, </w:t>
      </w:r>
      <w:r w:rsidRPr="00E5682B">
        <w:rPr>
          <w:rFonts w:ascii="Cambria" w:hAnsi="Cambria"/>
          <w:sz w:val="20"/>
          <w:szCs w:val="20"/>
          <w:lang w:val="es-ES"/>
        </w:rPr>
        <w:t xml:space="preserve">la CIDH ha enfatizado su amplio contenido y ha examinado la norma convencional que lo protege desde </w:t>
      </w:r>
      <w:r w:rsidRPr="00E5682B">
        <w:rPr>
          <w:rFonts w:ascii="Cambria" w:hAnsi="Cambria"/>
          <w:sz w:val="20"/>
          <w:szCs w:val="20"/>
          <w:lang w:val="es-ES"/>
        </w:rPr>
        <w:lastRenderedPageBreak/>
        <w:t>diversas perspectivas, a través de las cuales los seres humanos se relacionan con la información</w:t>
      </w:r>
      <w:r w:rsidRPr="00E5682B">
        <w:rPr>
          <w:rStyle w:val="FootnoteReference"/>
          <w:rFonts w:ascii="Cambria" w:hAnsi="Cambria"/>
          <w:sz w:val="20"/>
          <w:szCs w:val="20"/>
        </w:rPr>
        <w:footnoteReference w:id="51"/>
      </w:r>
      <w:r w:rsidRPr="00E5682B">
        <w:rPr>
          <w:rFonts w:ascii="Cambria" w:hAnsi="Cambria"/>
          <w:sz w:val="20"/>
          <w:szCs w:val="20"/>
          <w:lang w:val="es-ES"/>
        </w:rPr>
        <w:t>. Tanto la CIDH como la Corte han efectuado esta interpretación amplia del derecho a la libertad de pensamiento y de expresión a través del análisis de sus dos dimensiones, individual y social. En ese sentido, la Corte ha establecido que el derecho a la libertad de pensamiento y de expresión otorga a quienes están bajo la protección de la Convención no sólo el derecho y la libertad de expresar su propio pensamiento, sino también el derecho y la libertad de buscar, recibir y difundir informaciones e ideas de toda índole</w:t>
      </w:r>
      <w:r w:rsidRPr="00E5682B">
        <w:rPr>
          <w:rStyle w:val="FootnoteReference"/>
          <w:rFonts w:ascii="Cambria" w:hAnsi="Cambria"/>
          <w:sz w:val="20"/>
          <w:szCs w:val="20"/>
        </w:rPr>
        <w:footnoteReference w:id="52"/>
      </w:r>
      <w:r w:rsidRPr="00E5682B">
        <w:rPr>
          <w:rFonts w:ascii="Cambria" w:hAnsi="Cambria"/>
          <w:sz w:val="20"/>
          <w:szCs w:val="20"/>
          <w:lang w:val="es-ES"/>
        </w:rPr>
        <w:t>.</w:t>
      </w:r>
      <w:r>
        <w:rPr>
          <w:rFonts w:ascii="Cambria" w:hAnsi="Cambria"/>
          <w:sz w:val="20"/>
          <w:szCs w:val="20"/>
          <w:lang w:val="es-ES"/>
        </w:rPr>
        <w:t xml:space="preserve"> </w:t>
      </w:r>
      <w:r w:rsidRPr="00524B25">
        <w:rPr>
          <w:rFonts w:ascii="Cambria" w:hAnsi="Cambria"/>
          <w:sz w:val="20"/>
          <w:szCs w:val="20"/>
          <w:lang w:val="es-ES"/>
        </w:rPr>
        <w:t xml:space="preserve">La Comisión </w:t>
      </w:r>
      <w:r>
        <w:rPr>
          <w:rFonts w:ascii="Cambria" w:hAnsi="Cambria"/>
          <w:sz w:val="20"/>
          <w:szCs w:val="20"/>
          <w:lang w:val="es-ES"/>
        </w:rPr>
        <w:t>resalta</w:t>
      </w:r>
      <w:r w:rsidRPr="00524B25">
        <w:rPr>
          <w:rFonts w:ascii="Cambria" w:hAnsi="Cambria"/>
          <w:sz w:val="20"/>
          <w:szCs w:val="20"/>
          <w:lang w:val="es-ES"/>
        </w:rPr>
        <w:t xml:space="preserve"> que este derecho puede verse afectado cuando</w:t>
      </w:r>
      <w:r w:rsidR="005B34C0">
        <w:rPr>
          <w:rFonts w:ascii="Cambria" w:hAnsi="Cambria"/>
          <w:sz w:val="20"/>
          <w:szCs w:val="20"/>
          <w:lang w:val="es-ES"/>
        </w:rPr>
        <w:t xml:space="preserve"> defensores de derechos humanos, incluyendo </w:t>
      </w:r>
      <w:r w:rsidRPr="00524B25">
        <w:rPr>
          <w:rFonts w:ascii="Cambria" w:hAnsi="Cambria"/>
          <w:sz w:val="20"/>
          <w:szCs w:val="20"/>
          <w:lang w:val="es-ES"/>
        </w:rPr>
        <w:t>líderes sindicales son víctimas de actos de agresión, amenazas y hostigamientos. Ello en tanto tales hechos pueden silenciar o intimidar a quienes ejercen su derecho a expresarse críticamente o a formular denuncias por presuntas violaciones de derechos humanos.</w:t>
      </w:r>
    </w:p>
    <w:p w14:paraId="79157BAC" w14:textId="77777777" w:rsidR="00524B25" w:rsidRDefault="00524B25" w:rsidP="0021220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lang w:val="es-ES"/>
        </w:rPr>
      </w:pPr>
    </w:p>
    <w:p w14:paraId="48367982" w14:textId="77777777" w:rsidR="00435C37" w:rsidRPr="00E5682B" w:rsidRDefault="00435C37" w:rsidP="002122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lang w:val="es-ES"/>
        </w:rPr>
      </w:pPr>
      <w:r w:rsidRPr="00E5682B">
        <w:rPr>
          <w:rFonts w:ascii="Cambria" w:hAnsi="Cambria"/>
          <w:sz w:val="20"/>
          <w:szCs w:val="20"/>
          <w:lang w:val="es-ES"/>
        </w:rPr>
        <w:t>En relación con el derecho a la libertad de asociación,</w:t>
      </w:r>
      <w:r>
        <w:rPr>
          <w:rFonts w:ascii="Cambria" w:hAnsi="Cambria"/>
          <w:sz w:val="20"/>
          <w:szCs w:val="20"/>
          <w:lang w:val="es-ES"/>
        </w:rPr>
        <w:t xml:space="preserve"> establecido en el artículo 16 de la Convención Americana,</w:t>
      </w:r>
      <w:r w:rsidRPr="00E5682B">
        <w:rPr>
          <w:rFonts w:ascii="Cambria" w:hAnsi="Cambria"/>
          <w:sz w:val="20"/>
          <w:szCs w:val="20"/>
          <w:lang w:val="es-ES"/>
        </w:rPr>
        <w:t xml:space="preserve"> la Comisión recuerda que éste tiene dos dimensiones: una individual y otra social. Por un lado, ello implica que “quienes están bajo la protección de la Convención tienen (…) el derecho y la libertad de asociarse libremente con otras personas, sin intervención de las autoridades públicas que limiten o entorpezcan el ejercicio del respectivo derecho”</w:t>
      </w:r>
      <w:r w:rsidRPr="00E5682B">
        <w:rPr>
          <w:rStyle w:val="FootnoteReference"/>
          <w:rFonts w:ascii="Cambria" w:hAnsi="Cambria"/>
          <w:sz w:val="20"/>
          <w:szCs w:val="20"/>
        </w:rPr>
        <w:footnoteReference w:id="53"/>
      </w:r>
      <w:r w:rsidRPr="00E5682B">
        <w:rPr>
          <w:rFonts w:ascii="Cambria" w:hAnsi="Cambria"/>
          <w:sz w:val="20"/>
          <w:szCs w:val="20"/>
          <w:lang w:val="es-ES"/>
        </w:rPr>
        <w:t>.  Por otro lado, la CIDH ha señalado las personas “gozan del derecho y la libertad de buscar la realización común de un fin lícito, sin presiones o intromisiones que puedan alterar o desnaturalizar su finalidad”</w:t>
      </w:r>
      <w:r w:rsidRPr="00E5682B">
        <w:rPr>
          <w:rStyle w:val="FootnoteReference"/>
          <w:rFonts w:ascii="Cambria" w:hAnsi="Cambria"/>
          <w:sz w:val="20"/>
          <w:szCs w:val="20"/>
        </w:rPr>
        <w:footnoteReference w:id="54"/>
      </w:r>
      <w:r w:rsidRPr="00E5682B">
        <w:rPr>
          <w:rFonts w:ascii="Cambria" w:hAnsi="Cambria"/>
          <w:sz w:val="20"/>
          <w:szCs w:val="20"/>
          <w:lang w:val="es-ES"/>
        </w:rPr>
        <w:t xml:space="preserve">. </w:t>
      </w:r>
    </w:p>
    <w:p w14:paraId="6CE04C29" w14:textId="77777777" w:rsidR="00524B25" w:rsidRDefault="00524B25" w:rsidP="0021220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lang w:val="es-ES"/>
        </w:rPr>
      </w:pPr>
    </w:p>
    <w:p w14:paraId="73D6BC39" w14:textId="77777777" w:rsidR="00524B25" w:rsidRPr="00A21666" w:rsidRDefault="00524B25" w:rsidP="002122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lang w:val="es-VE"/>
        </w:rPr>
      </w:pPr>
      <w:r>
        <w:rPr>
          <w:rFonts w:ascii="Cambria" w:hAnsi="Cambria"/>
          <w:sz w:val="20"/>
          <w:szCs w:val="20"/>
          <w:lang w:val="es-VE"/>
        </w:rPr>
        <w:t>Por su parte, l</w:t>
      </w:r>
      <w:r w:rsidRPr="00A21666">
        <w:rPr>
          <w:rFonts w:ascii="Cambria" w:hAnsi="Cambria"/>
          <w:sz w:val="20"/>
          <w:szCs w:val="20"/>
          <w:lang w:val="es-VE"/>
        </w:rPr>
        <w:t>a Corte</w:t>
      </w:r>
      <w:r w:rsidR="00FB7835">
        <w:rPr>
          <w:rFonts w:ascii="Cambria" w:hAnsi="Cambria"/>
          <w:sz w:val="20"/>
          <w:szCs w:val="20"/>
          <w:lang w:val="es-VE"/>
        </w:rPr>
        <w:t xml:space="preserve"> ha sostenido que est</w:t>
      </w:r>
      <w:r w:rsidR="00A13322">
        <w:rPr>
          <w:rFonts w:ascii="Cambria" w:hAnsi="Cambria"/>
          <w:sz w:val="20"/>
          <w:szCs w:val="20"/>
          <w:lang w:val="es-VE"/>
        </w:rPr>
        <w:t>os</w:t>
      </w:r>
      <w:r w:rsidR="00FB7835">
        <w:rPr>
          <w:rFonts w:ascii="Cambria" w:hAnsi="Cambria"/>
          <w:sz w:val="20"/>
          <w:szCs w:val="20"/>
          <w:lang w:val="es-VE"/>
        </w:rPr>
        <w:t xml:space="preserve"> derecho</w:t>
      </w:r>
      <w:r w:rsidR="00A13322">
        <w:rPr>
          <w:rFonts w:ascii="Cambria" w:hAnsi="Cambria"/>
          <w:sz w:val="20"/>
          <w:szCs w:val="20"/>
          <w:lang w:val="es-VE"/>
        </w:rPr>
        <w:t>s</w:t>
      </w:r>
      <w:r w:rsidR="00FB7835">
        <w:rPr>
          <w:rFonts w:ascii="Cambria" w:hAnsi="Cambria"/>
          <w:sz w:val="20"/>
          <w:szCs w:val="20"/>
          <w:lang w:val="es-VE"/>
        </w:rPr>
        <w:t xml:space="preserve"> </w:t>
      </w:r>
      <w:r w:rsidRPr="00A21666">
        <w:rPr>
          <w:rFonts w:ascii="Cambria" w:hAnsi="Cambria"/>
          <w:sz w:val="20"/>
          <w:szCs w:val="20"/>
          <w:lang w:val="es-VE"/>
        </w:rPr>
        <w:t>resu</w:t>
      </w:r>
      <w:r w:rsidR="00FB7835">
        <w:rPr>
          <w:rFonts w:ascii="Cambria" w:hAnsi="Cambria"/>
          <w:sz w:val="20"/>
          <w:szCs w:val="20"/>
          <w:lang w:val="es-VE"/>
        </w:rPr>
        <w:t>lta</w:t>
      </w:r>
      <w:r w:rsidR="00A13322">
        <w:rPr>
          <w:rFonts w:ascii="Cambria" w:hAnsi="Cambria"/>
          <w:sz w:val="20"/>
          <w:szCs w:val="20"/>
          <w:lang w:val="es-VE"/>
        </w:rPr>
        <w:t>n</w:t>
      </w:r>
      <w:r>
        <w:rPr>
          <w:rFonts w:ascii="Cambria" w:hAnsi="Cambria"/>
          <w:sz w:val="20"/>
          <w:szCs w:val="20"/>
          <w:lang w:val="es-VE"/>
        </w:rPr>
        <w:t xml:space="preserve"> particularmente aplicable</w:t>
      </w:r>
      <w:r w:rsidR="00C02502">
        <w:rPr>
          <w:rFonts w:ascii="Cambria" w:hAnsi="Cambria"/>
          <w:sz w:val="20"/>
          <w:szCs w:val="20"/>
          <w:lang w:val="es-VE"/>
        </w:rPr>
        <w:t>s</w:t>
      </w:r>
      <w:r>
        <w:rPr>
          <w:rFonts w:ascii="Cambria" w:hAnsi="Cambria"/>
          <w:sz w:val="20"/>
          <w:szCs w:val="20"/>
          <w:lang w:val="es-VE"/>
        </w:rPr>
        <w:t xml:space="preserve"> en</w:t>
      </w:r>
      <w:r w:rsidR="00105820">
        <w:rPr>
          <w:rFonts w:ascii="Cambria" w:hAnsi="Cambria"/>
          <w:sz w:val="20"/>
          <w:szCs w:val="20"/>
          <w:lang w:val="es-VE"/>
        </w:rPr>
        <w:t xml:space="preserve"> contextos </w:t>
      </w:r>
      <w:r w:rsidRPr="00A21666">
        <w:rPr>
          <w:rFonts w:ascii="Cambria" w:hAnsi="Cambria"/>
          <w:sz w:val="20"/>
          <w:szCs w:val="20"/>
          <w:lang w:val="es-VE"/>
        </w:rPr>
        <w:t>laborales, por lo cual el Estado debe respetarlo y garantizarlo con la finalidad de</w:t>
      </w:r>
      <w:r w:rsidR="00105820">
        <w:rPr>
          <w:rFonts w:ascii="Cambria" w:hAnsi="Cambria"/>
          <w:sz w:val="20"/>
          <w:szCs w:val="20"/>
          <w:lang w:val="es-VE"/>
        </w:rPr>
        <w:t xml:space="preserve"> que los trabajadores o sus </w:t>
      </w:r>
      <w:r w:rsidRPr="00A21666">
        <w:rPr>
          <w:rFonts w:ascii="Cambria" w:hAnsi="Cambria"/>
          <w:sz w:val="20"/>
          <w:szCs w:val="20"/>
          <w:lang w:val="es-VE"/>
        </w:rPr>
        <w:t>representantes  puedan ejercerlo a cabalidad</w:t>
      </w:r>
      <w:r w:rsidR="00105820">
        <w:rPr>
          <w:rFonts w:ascii="Cambria" w:hAnsi="Cambria"/>
          <w:sz w:val="20"/>
          <w:szCs w:val="20"/>
          <w:lang w:val="es-VE"/>
        </w:rPr>
        <w:t>. Es por ello que,</w:t>
      </w:r>
      <w:r w:rsidRPr="00A21666">
        <w:rPr>
          <w:rFonts w:ascii="Cambria" w:hAnsi="Cambria"/>
          <w:sz w:val="20"/>
          <w:szCs w:val="20"/>
          <w:lang w:val="es-VE"/>
        </w:rPr>
        <w:t xml:space="preserve"> “</w:t>
      </w:r>
      <w:r w:rsidR="00FB7835">
        <w:rPr>
          <w:rFonts w:ascii="Cambria" w:hAnsi="Cambria"/>
          <w:sz w:val="20"/>
          <w:szCs w:val="20"/>
          <w:lang w:val="es-VE"/>
        </w:rPr>
        <w:t xml:space="preserve">en caso en que </w:t>
      </w:r>
      <w:r w:rsidRPr="00A21666">
        <w:rPr>
          <w:rFonts w:ascii="Cambria" w:hAnsi="Cambria"/>
          <w:sz w:val="20"/>
          <w:szCs w:val="20"/>
          <w:lang w:val="es-VE"/>
        </w:rPr>
        <w:t>exist</w:t>
      </w:r>
      <w:r w:rsidR="00FB7835">
        <w:rPr>
          <w:rFonts w:ascii="Cambria" w:hAnsi="Cambria"/>
          <w:sz w:val="20"/>
          <w:szCs w:val="20"/>
          <w:lang w:val="es-VE"/>
        </w:rPr>
        <w:t>a un interés general</w:t>
      </w:r>
      <w:r w:rsidR="00105820">
        <w:rPr>
          <w:rFonts w:ascii="Cambria" w:hAnsi="Cambria"/>
          <w:sz w:val="20"/>
          <w:szCs w:val="20"/>
          <w:lang w:val="es-VE"/>
        </w:rPr>
        <w:t xml:space="preserve"> o público, se requiere de un nivel reforzado de protección de la libertad de expresión, y especialmente respecto de quienes</w:t>
      </w:r>
      <w:r w:rsidRPr="00A21666">
        <w:rPr>
          <w:rFonts w:ascii="Cambria" w:hAnsi="Cambria"/>
          <w:sz w:val="20"/>
          <w:szCs w:val="20"/>
          <w:lang w:val="es-VE"/>
        </w:rPr>
        <w:t xml:space="preserve"> ejercen un cargo de representación”</w:t>
      </w:r>
      <w:r w:rsidRPr="00A21666">
        <w:rPr>
          <w:rStyle w:val="FootnoteReference"/>
          <w:rFonts w:ascii="Cambria" w:hAnsi="Cambria"/>
          <w:sz w:val="20"/>
          <w:szCs w:val="20"/>
          <w:lang w:val="es-VE"/>
        </w:rPr>
        <w:footnoteReference w:id="55"/>
      </w:r>
      <w:r w:rsidRPr="00A21666">
        <w:rPr>
          <w:rFonts w:ascii="Cambria" w:hAnsi="Cambria"/>
          <w:sz w:val="20"/>
          <w:szCs w:val="20"/>
          <w:lang w:val="es-VE"/>
        </w:rPr>
        <w:t>.</w:t>
      </w:r>
    </w:p>
    <w:p w14:paraId="0FFFD650" w14:textId="77777777" w:rsidR="00524B25" w:rsidRPr="00524B25" w:rsidRDefault="00524B25" w:rsidP="0021220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lang w:val="es-VE"/>
        </w:rPr>
      </w:pPr>
    </w:p>
    <w:p w14:paraId="64CD7B6D" w14:textId="77777777" w:rsidR="00524B25" w:rsidRDefault="00FC2904" w:rsidP="002122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lang w:val="es-ES"/>
        </w:rPr>
      </w:pPr>
      <w:r>
        <w:rPr>
          <w:rFonts w:ascii="Cambria" w:hAnsi="Cambria"/>
          <w:sz w:val="20"/>
          <w:szCs w:val="20"/>
          <w:lang w:val="es-ES"/>
        </w:rPr>
        <w:t xml:space="preserve">En el presente caso, la Comisión </w:t>
      </w:r>
      <w:r w:rsidR="00212202">
        <w:rPr>
          <w:rFonts w:ascii="Cambria" w:hAnsi="Cambria"/>
          <w:sz w:val="20"/>
          <w:szCs w:val="20"/>
          <w:lang w:val="es-ES"/>
        </w:rPr>
        <w:t xml:space="preserve">observa que no es un hecho controvertido que el señor Deras falleció el 29 de enero de 1983 como consecuencia de varios disparos realizados por agentes militares luego de haber </w:t>
      </w:r>
      <w:r w:rsidR="00427EB0">
        <w:rPr>
          <w:rFonts w:ascii="Cambria" w:hAnsi="Cambria"/>
          <w:sz w:val="20"/>
          <w:szCs w:val="20"/>
          <w:lang w:val="es-ES"/>
        </w:rPr>
        <w:t>sido retenido mientras se encontraba conduciendo</w:t>
      </w:r>
      <w:r w:rsidR="00C15B04">
        <w:rPr>
          <w:rFonts w:ascii="Cambria" w:hAnsi="Cambria"/>
          <w:sz w:val="20"/>
          <w:szCs w:val="20"/>
          <w:lang w:val="es-ES"/>
        </w:rPr>
        <w:t xml:space="preserve"> un vehículo</w:t>
      </w:r>
      <w:r w:rsidR="00105820">
        <w:rPr>
          <w:rFonts w:ascii="Cambria" w:hAnsi="Cambria"/>
          <w:sz w:val="20"/>
          <w:szCs w:val="20"/>
          <w:lang w:val="es-ES"/>
        </w:rPr>
        <w:t xml:space="preserve">. </w:t>
      </w:r>
      <w:r w:rsidR="00105820" w:rsidRPr="00B97AE6">
        <w:rPr>
          <w:rFonts w:ascii="Cambria" w:hAnsi="Cambria"/>
          <w:sz w:val="20"/>
          <w:szCs w:val="20"/>
          <w:lang w:val="es-ES"/>
        </w:rPr>
        <w:t>La CIDH también toma nota de que, a partir de las declaraciones de agentes policiales</w:t>
      </w:r>
      <w:r w:rsidR="00105820">
        <w:rPr>
          <w:rFonts w:ascii="Cambria" w:hAnsi="Cambria"/>
          <w:sz w:val="20"/>
          <w:szCs w:val="20"/>
          <w:lang w:val="es-ES"/>
        </w:rPr>
        <w:t xml:space="preserve"> y testigos</w:t>
      </w:r>
      <w:r w:rsidR="00105820" w:rsidRPr="00B97AE6">
        <w:rPr>
          <w:rFonts w:ascii="Cambria" w:hAnsi="Cambria"/>
          <w:sz w:val="20"/>
          <w:szCs w:val="20"/>
          <w:lang w:val="es-ES"/>
        </w:rPr>
        <w:t xml:space="preserve">, </w:t>
      </w:r>
      <w:r w:rsidR="00105820">
        <w:rPr>
          <w:rFonts w:ascii="Cambria" w:hAnsi="Cambria"/>
          <w:sz w:val="20"/>
          <w:szCs w:val="20"/>
          <w:lang w:val="es-ES"/>
        </w:rPr>
        <w:t>la Corte de Apelaciones Seccional de San Pedro de Sula condenó en segunda instancia al agente militar Marco Tulio</w:t>
      </w:r>
      <w:r w:rsidR="00063AF9">
        <w:rPr>
          <w:rFonts w:ascii="Cambria" w:hAnsi="Cambria"/>
          <w:sz w:val="20"/>
          <w:szCs w:val="20"/>
          <w:lang w:val="es-ES"/>
        </w:rPr>
        <w:t xml:space="preserve"> Regalado</w:t>
      </w:r>
      <w:r w:rsidR="00105820">
        <w:rPr>
          <w:rFonts w:ascii="Cambria" w:hAnsi="Cambria"/>
          <w:sz w:val="20"/>
          <w:szCs w:val="20"/>
          <w:lang w:val="es-ES"/>
        </w:rPr>
        <w:t xml:space="preserve"> por el delito de asesinato. </w:t>
      </w:r>
      <w:r w:rsidR="00063AF9">
        <w:rPr>
          <w:rFonts w:ascii="Cambria" w:hAnsi="Cambria"/>
          <w:sz w:val="20"/>
          <w:szCs w:val="20"/>
          <w:lang w:val="es-ES"/>
        </w:rPr>
        <w:t>La Comisión resalta que dicha sentencia quedó en firme luego de haberse rechazado un recurso de casación presentado por la defensa del señor Regalado.</w:t>
      </w:r>
      <w:r w:rsidR="00C15B04">
        <w:rPr>
          <w:rFonts w:ascii="Cambria" w:hAnsi="Cambria"/>
          <w:sz w:val="20"/>
          <w:szCs w:val="20"/>
          <w:lang w:val="es-ES"/>
        </w:rPr>
        <w:t xml:space="preserve"> Ni el Estado hondureño ni la parte peticionaria han controvertido ante la CIDH el resultado de ese proceso. </w:t>
      </w:r>
    </w:p>
    <w:p w14:paraId="3A04DF90" w14:textId="77777777" w:rsidR="00063AF9" w:rsidRDefault="00063AF9" w:rsidP="00063AF9">
      <w:pPr>
        <w:pStyle w:val="ListParagraph"/>
        <w:rPr>
          <w:rFonts w:ascii="Cambria" w:hAnsi="Cambria"/>
          <w:sz w:val="20"/>
          <w:szCs w:val="20"/>
          <w:lang w:val="es-ES"/>
        </w:rPr>
      </w:pPr>
    </w:p>
    <w:p w14:paraId="68015E6B" w14:textId="77777777" w:rsidR="00063AF9" w:rsidRDefault="00C15B04" w:rsidP="00063A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lang w:val="es-ES_tradnl"/>
        </w:rPr>
      </w:pPr>
      <w:r>
        <w:rPr>
          <w:rFonts w:ascii="Cambria" w:hAnsi="Cambria"/>
          <w:sz w:val="20"/>
          <w:szCs w:val="20"/>
          <w:lang w:val="es-ES"/>
        </w:rPr>
        <w:t xml:space="preserve">Existiendo claridad sobre el hecho de que Herminio Deras murió de manos de agentes estatales, la Comisión destaca que </w:t>
      </w:r>
      <w:r w:rsidR="00063AF9">
        <w:rPr>
          <w:rFonts w:ascii="Cambria" w:hAnsi="Cambria"/>
          <w:sz w:val="20"/>
          <w:szCs w:val="20"/>
          <w:lang w:val="es-ES"/>
        </w:rPr>
        <w:t xml:space="preserve">el Estado hondureño </w:t>
      </w:r>
      <w:r w:rsidR="00063AF9" w:rsidRPr="00B97AE6">
        <w:rPr>
          <w:rFonts w:ascii="Cambria" w:hAnsi="Cambria"/>
          <w:sz w:val="20"/>
          <w:szCs w:val="20"/>
          <w:lang w:val="es-ES_tradnl"/>
        </w:rPr>
        <w:t xml:space="preserve">no ha aportado una explicación que permita considerar que la muerte del señor </w:t>
      </w:r>
      <w:r w:rsidR="00063AF9">
        <w:rPr>
          <w:rFonts w:ascii="Cambria" w:hAnsi="Cambria"/>
          <w:sz w:val="20"/>
          <w:szCs w:val="20"/>
          <w:lang w:val="es-ES_tradnl"/>
        </w:rPr>
        <w:t>Deras</w:t>
      </w:r>
      <w:r w:rsidR="00063AF9" w:rsidRPr="00B97AE6">
        <w:rPr>
          <w:rFonts w:ascii="Cambria" w:hAnsi="Cambria"/>
          <w:sz w:val="20"/>
          <w:szCs w:val="20"/>
          <w:lang w:val="es-ES_tradnl"/>
        </w:rPr>
        <w:t xml:space="preserve"> constituyó un uso legítimo de la fuerza</w:t>
      </w:r>
      <w:r>
        <w:rPr>
          <w:rFonts w:ascii="Cambria" w:hAnsi="Cambria"/>
          <w:sz w:val="20"/>
          <w:szCs w:val="20"/>
          <w:lang w:val="es-ES_tradnl"/>
        </w:rPr>
        <w:t>, a la luz de los principios de finalidad legítima y estricta necesidad y proporcionalidad,</w:t>
      </w:r>
      <w:r w:rsidR="00063AF9" w:rsidRPr="00B97AE6">
        <w:rPr>
          <w:rFonts w:ascii="Cambria" w:hAnsi="Cambria"/>
          <w:sz w:val="20"/>
          <w:szCs w:val="20"/>
          <w:lang w:val="es-ES_tradnl"/>
        </w:rPr>
        <w:t xml:space="preserve"> ni tal información se desprende del expediente.</w:t>
      </w:r>
      <w:r w:rsidR="00063AF9">
        <w:rPr>
          <w:rFonts w:ascii="Cambria" w:hAnsi="Cambria"/>
          <w:sz w:val="20"/>
          <w:szCs w:val="20"/>
          <w:lang w:val="es-ES_tradnl"/>
        </w:rPr>
        <w:t xml:space="preserve"> </w:t>
      </w:r>
      <w:r w:rsidR="00063AF9" w:rsidRPr="00B97AE6">
        <w:rPr>
          <w:rFonts w:ascii="Cambria" w:hAnsi="Cambria"/>
          <w:sz w:val="20"/>
          <w:szCs w:val="20"/>
          <w:lang w:val="es-ES_tradnl"/>
        </w:rPr>
        <w:t xml:space="preserve">Por el contrario, </w:t>
      </w:r>
      <w:r w:rsidR="00092F23">
        <w:rPr>
          <w:rFonts w:ascii="Cambria" w:hAnsi="Cambria"/>
          <w:sz w:val="20"/>
          <w:szCs w:val="20"/>
          <w:lang w:val="es-ES_tradnl"/>
        </w:rPr>
        <w:t xml:space="preserve">como se indicó, </w:t>
      </w:r>
      <w:r w:rsidR="00063AF9" w:rsidRPr="00063AF9">
        <w:rPr>
          <w:rFonts w:ascii="Cambria" w:hAnsi="Cambria"/>
          <w:sz w:val="20"/>
          <w:szCs w:val="20"/>
          <w:lang w:val="es-ES_tradnl"/>
        </w:rPr>
        <w:t xml:space="preserve">el Estado ha reconocido que el agente </w:t>
      </w:r>
      <w:r w:rsidR="00063AF9">
        <w:rPr>
          <w:rFonts w:ascii="Cambria" w:hAnsi="Cambria"/>
          <w:sz w:val="20"/>
          <w:szCs w:val="20"/>
          <w:lang w:val="es-ES_tradnl"/>
        </w:rPr>
        <w:t>Regalado resultó ser responsable</w:t>
      </w:r>
      <w:r w:rsidR="00092F23">
        <w:rPr>
          <w:rFonts w:ascii="Cambria" w:hAnsi="Cambria"/>
          <w:sz w:val="20"/>
          <w:szCs w:val="20"/>
          <w:lang w:val="es-ES_tradnl"/>
        </w:rPr>
        <w:t xml:space="preserve"> penalmente</w:t>
      </w:r>
      <w:r w:rsidR="00063AF9">
        <w:rPr>
          <w:rFonts w:ascii="Cambria" w:hAnsi="Cambria"/>
          <w:sz w:val="20"/>
          <w:szCs w:val="20"/>
          <w:lang w:val="es-ES_tradnl"/>
        </w:rPr>
        <w:t xml:space="preserve"> por la muerte de Herminio Deras. </w:t>
      </w:r>
    </w:p>
    <w:p w14:paraId="1790172D" w14:textId="77777777" w:rsidR="00063AF9" w:rsidRDefault="00063AF9" w:rsidP="00063AF9">
      <w:pPr>
        <w:pStyle w:val="ListParagraph"/>
        <w:rPr>
          <w:rFonts w:ascii="Cambria" w:hAnsi="Cambria"/>
          <w:sz w:val="20"/>
          <w:szCs w:val="20"/>
          <w:lang w:val="es-ES_tradnl"/>
        </w:rPr>
      </w:pPr>
    </w:p>
    <w:p w14:paraId="0DD5C6D5" w14:textId="77777777" w:rsidR="00063AF9" w:rsidRPr="00063AF9" w:rsidRDefault="00063AF9" w:rsidP="00063A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lang w:val="es-ES_tradnl"/>
        </w:rPr>
      </w:pPr>
      <w:r>
        <w:rPr>
          <w:rFonts w:ascii="Cambria" w:hAnsi="Cambria"/>
          <w:sz w:val="20"/>
          <w:szCs w:val="20"/>
          <w:lang w:val="es-ES_tradnl"/>
        </w:rPr>
        <w:t>Por ello la Comisión considera que</w:t>
      </w:r>
      <w:r w:rsidRPr="00063AF9">
        <w:rPr>
          <w:rFonts w:ascii="Cambria" w:hAnsi="Cambria"/>
          <w:sz w:val="20"/>
          <w:szCs w:val="20"/>
          <w:lang w:val="es-ES_tradnl"/>
        </w:rPr>
        <w:t xml:space="preserve"> se desprende con claridad que lo sucedido en el presente caso constituyó una ejecución extrajudicial. </w:t>
      </w:r>
      <w:r w:rsidRPr="00063AF9">
        <w:rPr>
          <w:rFonts w:ascii="Cambria" w:hAnsi="Cambria"/>
          <w:sz w:val="20"/>
          <w:szCs w:val="20"/>
          <w:lang w:val="es-ES"/>
        </w:rPr>
        <w:t>En consecuencia, la CIDH concluye que el Estado hondureño violó el derecho a la vida de Herminio Deras García, establecido en el artículo 4.1 de la Convención Americana, en relación con el artículo 1.1 del mismo instrumento.</w:t>
      </w:r>
    </w:p>
    <w:p w14:paraId="5D3996AB" w14:textId="77777777" w:rsidR="00063AF9" w:rsidRDefault="00063AF9" w:rsidP="00063AF9">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lang w:val="es-ES"/>
        </w:rPr>
      </w:pPr>
    </w:p>
    <w:p w14:paraId="05560E4B" w14:textId="77777777" w:rsidR="00270C7F" w:rsidRPr="00270C7F" w:rsidRDefault="00063AF9" w:rsidP="00270C7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lang w:val="es-ES"/>
        </w:rPr>
      </w:pPr>
      <w:r>
        <w:rPr>
          <w:rFonts w:ascii="Cambria" w:hAnsi="Cambria"/>
          <w:sz w:val="20"/>
          <w:szCs w:val="20"/>
          <w:lang w:val="es-ES"/>
        </w:rPr>
        <w:t xml:space="preserve">Adicionalmente, la Comisión toma nota de </w:t>
      </w:r>
      <w:r w:rsidR="00427EB0">
        <w:rPr>
          <w:rFonts w:ascii="Cambria" w:hAnsi="Cambria"/>
          <w:sz w:val="20"/>
          <w:szCs w:val="20"/>
          <w:lang w:val="es-ES"/>
        </w:rPr>
        <w:t>que la ejecución extrajudicial del señor Deras se dio en el marco de un contexto, reconocido por organi</w:t>
      </w:r>
      <w:r w:rsidR="00E97B16">
        <w:rPr>
          <w:rFonts w:ascii="Cambria" w:hAnsi="Cambria"/>
          <w:sz w:val="20"/>
          <w:szCs w:val="20"/>
          <w:lang w:val="es-ES"/>
        </w:rPr>
        <w:t xml:space="preserve">smos internacionales e internos, denominada “doctrina de </w:t>
      </w:r>
      <w:r w:rsidR="00E97B16">
        <w:rPr>
          <w:rFonts w:ascii="Cambria" w:hAnsi="Cambria"/>
          <w:sz w:val="20"/>
          <w:szCs w:val="20"/>
          <w:lang w:val="es-ES"/>
        </w:rPr>
        <w:lastRenderedPageBreak/>
        <w:t>seguridad nacional”.</w:t>
      </w:r>
      <w:r w:rsidR="009D6394">
        <w:rPr>
          <w:rFonts w:ascii="Cambria" w:hAnsi="Cambria"/>
          <w:sz w:val="20"/>
          <w:szCs w:val="20"/>
          <w:lang w:val="es-ES"/>
        </w:rPr>
        <w:t xml:space="preserve"> Ello implicó la adopción de una práctica de graves violaciones de derechos humanos, incluyendo ejecuciones extrajudiciales, en contra de </w:t>
      </w:r>
      <w:r w:rsidR="001F3E40">
        <w:rPr>
          <w:rFonts w:ascii="Cambria" w:hAnsi="Cambria"/>
          <w:sz w:val="20"/>
          <w:szCs w:val="20"/>
          <w:lang w:val="es-ES"/>
        </w:rPr>
        <w:t>personas consideradas como miembros o simpatizantes de la guerrilla salvadoreña o de los sandinistas.</w:t>
      </w:r>
      <w:r w:rsidR="0019618E">
        <w:rPr>
          <w:rFonts w:ascii="Cambria" w:hAnsi="Cambria"/>
          <w:sz w:val="20"/>
          <w:szCs w:val="20"/>
          <w:lang w:val="es-ES"/>
        </w:rPr>
        <w:t xml:space="preserve"> La CIDH observa que la condición de líder sindical y dirigente político del Partido Comunista del señor Deras se circunscribe al tipo de perfil que era considerado como objetivo del entonces gobierno</w:t>
      </w:r>
      <w:r w:rsidR="007A2D81">
        <w:rPr>
          <w:rFonts w:ascii="Cambria" w:hAnsi="Cambria"/>
          <w:sz w:val="20"/>
          <w:szCs w:val="20"/>
          <w:lang w:val="es-ES"/>
        </w:rPr>
        <w:t xml:space="preserve"> conforme al contexto ampliamente establecido</w:t>
      </w:r>
      <w:r w:rsidR="0019618E">
        <w:rPr>
          <w:rFonts w:ascii="Cambria" w:hAnsi="Cambria"/>
          <w:sz w:val="20"/>
          <w:szCs w:val="20"/>
          <w:lang w:val="es-ES"/>
        </w:rPr>
        <w:t>. A ello se suma la información proporcionada por la parte peticionaria</w:t>
      </w:r>
      <w:r w:rsidR="00916070">
        <w:rPr>
          <w:rFonts w:ascii="Cambria" w:hAnsi="Cambria"/>
          <w:sz w:val="20"/>
          <w:szCs w:val="20"/>
          <w:lang w:val="es-ES"/>
        </w:rPr>
        <w:t xml:space="preserve"> </w:t>
      </w:r>
      <w:r w:rsidR="0019618E">
        <w:rPr>
          <w:rFonts w:ascii="Cambria" w:hAnsi="Cambria"/>
          <w:sz w:val="20"/>
          <w:szCs w:val="20"/>
          <w:lang w:val="es-ES"/>
        </w:rPr>
        <w:t xml:space="preserve"> respecto de los diversos allanamientos a su domicilio, intentos de detenciones y actos agresión que el señor Deras sufrió por parte de agentes militares durante años antes de su ejecución</w:t>
      </w:r>
      <w:r w:rsidR="00916070">
        <w:rPr>
          <w:rFonts w:ascii="Cambria" w:hAnsi="Cambria"/>
          <w:sz w:val="20"/>
          <w:szCs w:val="20"/>
          <w:lang w:val="es-ES"/>
        </w:rPr>
        <w:t>, debido precisamente a las labores sindicales y políticas que realiza</w:t>
      </w:r>
      <w:r w:rsidR="004D2E0D">
        <w:rPr>
          <w:rFonts w:ascii="Cambria" w:hAnsi="Cambria"/>
          <w:sz w:val="20"/>
          <w:szCs w:val="20"/>
          <w:lang w:val="es-ES"/>
        </w:rPr>
        <w:t>b</w:t>
      </w:r>
      <w:r w:rsidR="00916070">
        <w:rPr>
          <w:rFonts w:ascii="Cambria" w:hAnsi="Cambria"/>
          <w:sz w:val="20"/>
          <w:szCs w:val="20"/>
          <w:lang w:val="es-ES"/>
        </w:rPr>
        <w:t>a. Dicha información, que será analizada en la siguiente sección, no fue controvertida por el Estado.</w:t>
      </w:r>
      <w:r w:rsidR="00270C7F">
        <w:rPr>
          <w:rFonts w:ascii="Cambria" w:hAnsi="Cambria"/>
          <w:sz w:val="20"/>
          <w:szCs w:val="20"/>
          <w:lang w:val="es-ES"/>
        </w:rPr>
        <w:t xml:space="preserve"> </w:t>
      </w:r>
    </w:p>
    <w:p w14:paraId="516F0380" w14:textId="77777777" w:rsidR="00270C7F" w:rsidRDefault="00270C7F" w:rsidP="00270C7F">
      <w:pPr>
        <w:pStyle w:val="ListParagraph"/>
        <w:rPr>
          <w:rFonts w:ascii="Cambria" w:hAnsi="Cambria"/>
          <w:sz w:val="20"/>
          <w:szCs w:val="20"/>
          <w:lang w:val="es-ES"/>
        </w:rPr>
      </w:pPr>
    </w:p>
    <w:p w14:paraId="2AE61E71" w14:textId="77777777" w:rsidR="006C4DDE" w:rsidRPr="00270C7F" w:rsidRDefault="00270C7F" w:rsidP="00270C7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lang w:val="es-ES"/>
        </w:rPr>
      </w:pPr>
      <w:r>
        <w:rPr>
          <w:rFonts w:ascii="Cambria" w:hAnsi="Cambria"/>
          <w:sz w:val="20"/>
          <w:szCs w:val="20"/>
          <w:lang w:val="es-ES"/>
        </w:rPr>
        <w:t xml:space="preserve">De esta forma, la CIDH observa que el Estado intentó </w:t>
      </w:r>
      <w:r w:rsidR="000705E2">
        <w:rPr>
          <w:rFonts w:ascii="Cambria" w:hAnsi="Cambria"/>
          <w:sz w:val="20"/>
          <w:szCs w:val="20"/>
          <w:lang w:val="es-ES"/>
        </w:rPr>
        <w:t xml:space="preserve">anular por múltiples medios </w:t>
      </w:r>
      <w:r>
        <w:rPr>
          <w:rFonts w:ascii="Cambria" w:hAnsi="Cambria"/>
          <w:sz w:val="20"/>
          <w:szCs w:val="20"/>
          <w:lang w:val="es-ES"/>
        </w:rPr>
        <w:t>el ejercicio del derecho a la libertad de expresión y libertad de asociación del señor Deras, lo cual concluyó con su</w:t>
      </w:r>
      <w:r w:rsidR="000705E2">
        <w:rPr>
          <w:rFonts w:ascii="Cambria" w:hAnsi="Cambria"/>
          <w:sz w:val="20"/>
          <w:szCs w:val="20"/>
          <w:lang w:val="es-ES"/>
        </w:rPr>
        <w:t xml:space="preserve"> ejecución extrajudicial.</w:t>
      </w:r>
      <w:r>
        <w:rPr>
          <w:rFonts w:ascii="Cambria" w:hAnsi="Cambria"/>
          <w:sz w:val="20"/>
          <w:szCs w:val="20"/>
          <w:lang w:val="es-ES"/>
        </w:rPr>
        <w:t xml:space="preserve"> </w:t>
      </w:r>
      <w:r w:rsidR="00916070" w:rsidRPr="00270C7F">
        <w:rPr>
          <w:rFonts w:ascii="Cambria" w:hAnsi="Cambria"/>
          <w:sz w:val="20"/>
          <w:szCs w:val="20"/>
          <w:lang w:val="es-ES"/>
        </w:rPr>
        <w:t>Por lo expuesto, la Comisión considera que la ejecución extrajudicial del señor Deras</w:t>
      </w:r>
      <w:r w:rsidRPr="00270C7F">
        <w:rPr>
          <w:rFonts w:ascii="Cambria" w:hAnsi="Cambria"/>
          <w:sz w:val="20"/>
          <w:szCs w:val="20"/>
          <w:lang w:val="es-ES"/>
        </w:rPr>
        <w:t>, al haber sido cometida</w:t>
      </w:r>
      <w:r w:rsidR="007D7A4F">
        <w:rPr>
          <w:rFonts w:ascii="Cambria" w:hAnsi="Cambria"/>
          <w:sz w:val="20"/>
          <w:szCs w:val="20"/>
          <w:lang w:val="es-ES"/>
        </w:rPr>
        <w:t xml:space="preserve"> con un claro móvil de represalia por sus actividades como líder político y sindicalista, </w:t>
      </w:r>
      <w:r w:rsidRPr="00270C7F">
        <w:rPr>
          <w:rFonts w:ascii="Cambria" w:hAnsi="Cambria"/>
          <w:sz w:val="20"/>
          <w:szCs w:val="20"/>
          <w:lang w:val="es-ES"/>
        </w:rPr>
        <w:t>vulneró también sus derechos a la libertad de expresión y de asociación. En consecuencia la CIDH concluye que el Estado vulneró</w:t>
      </w:r>
      <w:r w:rsidR="009037C6">
        <w:rPr>
          <w:rFonts w:ascii="Cambria" w:hAnsi="Cambria"/>
          <w:sz w:val="20"/>
          <w:szCs w:val="20"/>
          <w:lang w:val="es-ES"/>
        </w:rPr>
        <w:t xml:space="preserve">, en su perjuicio, </w:t>
      </w:r>
      <w:r w:rsidRPr="00270C7F">
        <w:rPr>
          <w:rFonts w:ascii="Cambria" w:hAnsi="Cambria"/>
          <w:sz w:val="20"/>
          <w:szCs w:val="20"/>
          <w:lang w:val="es-ES"/>
        </w:rPr>
        <w:t xml:space="preserve">los derechos establecidos en los artículos 13.1 y 16.1 de la Convención Americana, en relación con el artículo 1.1 del mismo instrumento. </w:t>
      </w:r>
    </w:p>
    <w:p w14:paraId="592A9FD4" w14:textId="77777777" w:rsidR="005B420E" w:rsidRPr="00A21666" w:rsidRDefault="005B420E" w:rsidP="00FD7DDB">
      <w:pPr>
        <w:tabs>
          <w:tab w:val="left" w:pos="90"/>
        </w:tabs>
        <w:ind w:left="630"/>
        <w:jc w:val="both"/>
        <w:rPr>
          <w:rFonts w:ascii="Cambria" w:hAnsi="Cambria"/>
          <w:sz w:val="20"/>
          <w:szCs w:val="20"/>
          <w:lang w:val="es-ES"/>
        </w:rPr>
      </w:pPr>
    </w:p>
    <w:p w14:paraId="53426C7E" w14:textId="77777777" w:rsidR="005B420E" w:rsidRPr="00FC2904" w:rsidRDefault="00435A16" w:rsidP="00617E74">
      <w:pPr>
        <w:pStyle w:val="Heading2"/>
        <w:numPr>
          <w:ilvl w:val="0"/>
          <w:numId w:val="71"/>
        </w:numPr>
        <w:ind w:left="360"/>
        <w:jc w:val="both"/>
        <w:rPr>
          <w:b w:val="0"/>
          <w:lang w:val="es-ES"/>
        </w:rPr>
      </w:pPr>
      <w:bookmarkStart w:id="23" w:name="_Toc21442040"/>
      <w:r w:rsidRPr="00FC2904">
        <w:rPr>
          <w:lang w:val="es-ES"/>
        </w:rPr>
        <w:t>Derechos</w:t>
      </w:r>
      <w:r w:rsidR="00AF4741">
        <w:rPr>
          <w:lang w:val="es-ES"/>
        </w:rPr>
        <w:t xml:space="preserve"> </w:t>
      </w:r>
      <w:r w:rsidR="005B420E" w:rsidRPr="00FC2904">
        <w:rPr>
          <w:lang w:val="es-ES"/>
        </w:rPr>
        <w:t xml:space="preserve">a la integridad personal, libertad personal, </w:t>
      </w:r>
      <w:r w:rsidR="00193FEF">
        <w:rPr>
          <w:lang w:val="es-ES"/>
        </w:rPr>
        <w:t>vida privada</w:t>
      </w:r>
      <w:r w:rsidR="005B420E" w:rsidRPr="00FC2904">
        <w:rPr>
          <w:lang w:val="es-ES"/>
        </w:rPr>
        <w:t>, protección de la familia</w:t>
      </w:r>
      <w:r w:rsidR="00E97B16">
        <w:rPr>
          <w:lang w:val="es-ES"/>
        </w:rPr>
        <w:t xml:space="preserve"> y</w:t>
      </w:r>
      <w:r w:rsidR="005B420E" w:rsidRPr="00FC2904">
        <w:rPr>
          <w:lang w:val="es-ES"/>
        </w:rPr>
        <w:t xml:space="preserve"> derechos del niño</w:t>
      </w:r>
      <w:r w:rsidRPr="00FC2904">
        <w:rPr>
          <w:lang w:val="es-ES"/>
        </w:rPr>
        <w:t xml:space="preserve"> </w:t>
      </w:r>
      <w:r w:rsidR="005B420E" w:rsidRPr="00FC2904">
        <w:rPr>
          <w:lang w:val="es-ES"/>
        </w:rPr>
        <w:t>(artículos 5</w:t>
      </w:r>
      <w:r w:rsidRPr="00FC2904">
        <w:rPr>
          <w:lang w:val="es-ES"/>
        </w:rPr>
        <w:t>.1</w:t>
      </w:r>
      <w:r w:rsidR="005B420E" w:rsidRPr="00FC2904">
        <w:rPr>
          <w:lang w:val="es-ES"/>
        </w:rPr>
        <w:t>,</w:t>
      </w:r>
      <w:r w:rsidRPr="00FC2904">
        <w:rPr>
          <w:lang w:val="es-ES"/>
        </w:rPr>
        <w:t xml:space="preserve"> 5.2</w:t>
      </w:r>
      <w:r w:rsidR="00BF2B90" w:rsidRPr="00FC2904">
        <w:rPr>
          <w:rStyle w:val="FootnoteReference"/>
          <w:lang w:val="es-ES"/>
        </w:rPr>
        <w:footnoteReference w:id="56"/>
      </w:r>
      <w:r w:rsidR="005B420E" w:rsidRPr="00FC2904">
        <w:rPr>
          <w:lang w:val="es-ES"/>
        </w:rPr>
        <w:t xml:space="preserve"> 7</w:t>
      </w:r>
      <w:r w:rsidR="00C42E5C">
        <w:rPr>
          <w:lang w:val="es-ES"/>
        </w:rPr>
        <w:t>.1, 7.2, 7.3</w:t>
      </w:r>
      <w:r w:rsidR="00C42E5C">
        <w:rPr>
          <w:rStyle w:val="FootnoteReference"/>
          <w:lang w:val="es-ES"/>
        </w:rPr>
        <w:footnoteReference w:id="57"/>
      </w:r>
      <w:r w:rsidR="005B420E" w:rsidRPr="00FC2904">
        <w:rPr>
          <w:lang w:val="es-ES"/>
        </w:rPr>
        <w:t xml:space="preserve">, </w:t>
      </w:r>
      <w:r w:rsidRPr="00FC2904">
        <w:rPr>
          <w:lang w:val="es-ES"/>
        </w:rPr>
        <w:t>11.2</w:t>
      </w:r>
      <w:r w:rsidRPr="00FC2904">
        <w:rPr>
          <w:rStyle w:val="FootnoteReference"/>
          <w:lang w:val="es-ES"/>
        </w:rPr>
        <w:footnoteReference w:id="58"/>
      </w:r>
      <w:r w:rsidRPr="00FC2904">
        <w:rPr>
          <w:lang w:val="es-ES"/>
        </w:rPr>
        <w:t>,</w:t>
      </w:r>
      <w:r w:rsidR="00585572" w:rsidRPr="00FC2904">
        <w:rPr>
          <w:lang w:val="es-ES"/>
        </w:rPr>
        <w:t xml:space="preserve"> </w:t>
      </w:r>
      <w:r w:rsidR="005B420E" w:rsidRPr="00FC2904">
        <w:rPr>
          <w:lang w:val="es-ES"/>
        </w:rPr>
        <w:t>17</w:t>
      </w:r>
      <w:r w:rsidRPr="00FC2904">
        <w:rPr>
          <w:lang w:val="es-ES"/>
        </w:rPr>
        <w:t>.1</w:t>
      </w:r>
      <w:r w:rsidR="00BF2B90" w:rsidRPr="00FC2904">
        <w:rPr>
          <w:rStyle w:val="FootnoteReference"/>
          <w:lang w:val="es-ES"/>
        </w:rPr>
        <w:footnoteReference w:id="59"/>
      </w:r>
      <w:r w:rsidR="00270C7F">
        <w:rPr>
          <w:lang w:val="es-ES"/>
        </w:rPr>
        <w:t xml:space="preserve">, </w:t>
      </w:r>
      <w:r w:rsidRPr="00FC2904">
        <w:rPr>
          <w:lang w:val="es-ES"/>
        </w:rPr>
        <w:t>19</w:t>
      </w:r>
      <w:r w:rsidR="00E97B16">
        <w:rPr>
          <w:rStyle w:val="FootnoteReference"/>
          <w:lang w:val="es-ES"/>
        </w:rPr>
        <w:footnoteReference w:id="60"/>
      </w:r>
      <w:r w:rsidR="00270C7F">
        <w:rPr>
          <w:lang w:val="es-ES"/>
        </w:rPr>
        <w:t xml:space="preserve"> y 22.1</w:t>
      </w:r>
      <w:r w:rsidR="00270C7F">
        <w:rPr>
          <w:rStyle w:val="FootnoteReference"/>
          <w:lang w:val="es-ES"/>
        </w:rPr>
        <w:footnoteReference w:id="61"/>
      </w:r>
      <w:r w:rsidRPr="00FC2904">
        <w:rPr>
          <w:lang w:val="es-ES"/>
        </w:rPr>
        <w:t xml:space="preserve"> </w:t>
      </w:r>
      <w:r w:rsidR="00FC2904" w:rsidRPr="00FC2904">
        <w:rPr>
          <w:lang w:val="es-CL"/>
        </w:rPr>
        <w:t xml:space="preserve">de la Convención Americana, </w:t>
      </w:r>
      <w:r w:rsidR="005B420E" w:rsidRPr="00FC2904">
        <w:rPr>
          <w:lang w:val="es-ES"/>
        </w:rPr>
        <w:t xml:space="preserve">en relación con el artículo 1.1 </w:t>
      </w:r>
      <w:r w:rsidR="00FC2904" w:rsidRPr="00FC2904">
        <w:rPr>
          <w:lang w:val="es-ES"/>
        </w:rPr>
        <w:t>del mismo instrumento</w:t>
      </w:r>
      <w:r w:rsidR="005B420E" w:rsidRPr="00FC2904">
        <w:rPr>
          <w:lang w:val="es-ES"/>
        </w:rPr>
        <w:t>)</w:t>
      </w:r>
      <w:bookmarkEnd w:id="23"/>
      <w:r w:rsidR="005B420E" w:rsidRPr="00FC2904">
        <w:rPr>
          <w:lang w:val="es-ES"/>
        </w:rPr>
        <w:t xml:space="preserve"> </w:t>
      </w:r>
    </w:p>
    <w:p w14:paraId="36490DDE" w14:textId="77777777" w:rsidR="00BF2B90" w:rsidRDefault="00BF2B90" w:rsidP="00BF2B9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lang w:val="es-ES"/>
        </w:rPr>
      </w:pPr>
    </w:p>
    <w:p w14:paraId="2BA5CD4C" w14:textId="77777777" w:rsidR="00270C7F" w:rsidRDefault="00270C7F" w:rsidP="009F3FC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lang w:val="es-ES"/>
        </w:rPr>
      </w:pPr>
      <w:r>
        <w:rPr>
          <w:rFonts w:ascii="Cambria" w:hAnsi="Cambria"/>
          <w:sz w:val="20"/>
          <w:szCs w:val="20"/>
          <w:lang w:val="es-ES"/>
        </w:rPr>
        <w:t xml:space="preserve">La Comisión toma nota de los alegatos de la parte peticionaria sobre los allanamientos, actos de violencia, detenciones y allanamientos ilegales y arbitrarios, hostigamientos y amenazas en contra de Herminio Deras y su familia cometidos por agentes estatales </w:t>
      </w:r>
      <w:r w:rsidR="00B93179">
        <w:rPr>
          <w:rFonts w:ascii="Cambria" w:hAnsi="Cambria"/>
          <w:sz w:val="20"/>
          <w:szCs w:val="20"/>
          <w:lang w:val="es-ES"/>
        </w:rPr>
        <w:t xml:space="preserve">antes de su muerte, </w:t>
      </w:r>
      <w:r>
        <w:rPr>
          <w:rFonts w:ascii="Cambria" w:hAnsi="Cambria"/>
          <w:sz w:val="20"/>
          <w:szCs w:val="20"/>
          <w:lang w:val="es-ES"/>
        </w:rPr>
        <w:t xml:space="preserve">entre 1977 y 1982. La parte peticionaria informó que se identificaron a miembros del Tercer Batallón de Infantería y agentes de la </w:t>
      </w:r>
      <w:r w:rsidR="00CD6822">
        <w:rPr>
          <w:rFonts w:ascii="Cambria" w:hAnsi="Cambria"/>
          <w:sz w:val="20"/>
          <w:szCs w:val="20"/>
          <w:lang w:val="es-ES"/>
        </w:rPr>
        <w:t>DNI</w:t>
      </w:r>
      <w:r>
        <w:rPr>
          <w:rFonts w:ascii="Cambria" w:hAnsi="Cambria"/>
          <w:sz w:val="20"/>
          <w:szCs w:val="20"/>
          <w:lang w:val="es-ES"/>
        </w:rPr>
        <w:t xml:space="preserve"> como las personas que cometieron los hechos mencionados. Agregó que se presentaron las denuncias correspondientes por los hechos sucedidos y que no se realizó ninguna investigación. </w:t>
      </w:r>
      <w:r w:rsidR="009F3FC6" w:rsidRPr="009F3FC6">
        <w:rPr>
          <w:rFonts w:ascii="Cambria" w:hAnsi="Cambria"/>
          <w:sz w:val="20"/>
          <w:szCs w:val="20"/>
          <w:lang w:val="es-ES"/>
        </w:rPr>
        <w:t>Al res</w:t>
      </w:r>
      <w:r w:rsidRPr="009F3FC6">
        <w:rPr>
          <w:rFonts w:ascii="Cambria" w:hAnsi="Cambria"/>
          <w:sz w:val="20"/>
          <w:szCs w:val="20"/>
          <w:lang w:val="es-ES"/>
        </w:rPr>
        <w:t>pecto, la CIDH observa que no cuenta con documentación al respecto. Sin perjuicio de ello, el Estado no controvirtió la información alegada por la parte peticionaria</w:t>
      </w:r>
      <w:r w:rsidR="002D1B8D">
        <w:rPr>
          <w:rFonts w:ascii="Cambria" w:hAnsi="Cambria"/>
          <w:sz w:val="20"/>
          <w:szCs w:val="20"/>
          <w:lang w:val="es-ES"/>
        </w:rPr>
        <w:t xml:space="preserve"> ni aportó información sobre el inicio de investigaciones al respecto. </w:t>
      </w:r>
    </w:p>
    <w:p w14:paraId="12C1B9AC" w14:textId="77777777" w:rsidR="009F3FC6" w:rsidRDefault="009F3FC6" w:rsidP="009F3FC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lang w:val="es-ES"/>
        </w:rPr>
      </w:pPr>
    </w:p>
    <w:p w14:paraId="2CFCC5E4" w14:textId="77777777" w:rsidR="00CD6822" w:rsidRDefault="009F3FC6" w:rsidP="00CD682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lang w:val="es-ES"/>
        </w:rPr>
      </w:pPr>
      <w:r>
        <w:rPr>
          <w:rFonts w:ascii="Cambria" w:hAnsi="Cambria"/>
          <w:sz w:val="20"/>
          <w:szCs w:val="20"/>
          <w:lang w:val="es-ES"/>
        </w:rPr>
        <w:t>A</w:t>
      </w:r>
      <w:r w:rsidR="004B0900">
        <w:rPr>
          <w:rFonts w:ascii="Cambria" w:hAnsi="Cambria"/>
          <w:sz w:val="20"/>
          <w:szCs w:val="20"/>
          <w:lang w:val="es-ES"/>
        </w:rPr>
        <w:t xml:space="preserve">dicionalmente, la CIDH nota que, conforme a lo señalado por la parte peticionaria y la declaración de la hermana Irma Deras, en junio de 1984, luego de la muerte del señor Deras, agentes militares allanaron y detuvieron ilegal y arbitrariamente a varios de sus familiares. </w:t>
      </w:r>
      <w:r w:rsidR="00CD6822">
        <w:rPr>
          <w:rFonts w:ascii="Cambria" w:hAnsi="Cambria"/>
          <w:sz w:val="20"/>
          <w:szCs w:val="20"/>
          <w:lang w:val="es-ES"/>
        </w:rPr>
        <w:t xml:space="preserve">Se indicó que dichas personas estuvieron en celdas de la DNI donde fueron golpeados,  amenazados e interrogados sobre su presunta participación en la guerrilla. </w:t>
      </w:r>
      <w:r w:rsidR="00C61CAD">
        <w:rPr>
          <w:rFonts w:ascii="Cambria" w:hAnsi="Cambria"/>
          <w:sz w:val="20"/>
          <w:szCs w:val="20"/>
          <w:lang w:val="es-ES"/>
        </w:rPr>
        <w:t xml:space="preserve">Nuevamente, </w:t>
      </w:r>
      <w:r w:rsidR="00CD6822">
        <w:rPr>
          <w:rFonts w:ascii="Cambria" w:hAnsi="Cambria"/>
          <w:sz w:val="20"/>
          <w:szCs w:val="20"/>
          <w:lang w:val="es-ES"/>
        </w:rPr>
        <w:t xml:space="preserve">el </w:t>
      </w:r>
      <w:r w:rsidR="00CD6822" w:rsidRPr="009F3FC6">
        <w:rPr>
          <w:rFonts w:ascii="Cambria" w:hAnsi="Cambria"/>
          <w:sz w:val="20"/>
          <w:szCs w:val="20"/>
          <w:lang w:val="es-ES"/>
        </w:rPr>
        <w:t xml:space="preserve">Estado no controvirtió la información alegada por la parte peticionaria. </w:t>
      </w:r>
    </w:p>
    <w:p w14:paraId="78407D76" w14:textId="77777777" w:rsidR="00270C7F" w:rsidRDefault="00270C7F" w:rsidP="00270C7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lang w:val="es-ES"/>
        </w:rPr>
      </w:pPr>
      <w:r>
        <w:rPr>
          <w:rFonts w:ascii="Cambria" w:hAnsi="Cambria"/>
          <w:sz w:val="20"/>
          <w:szCs w:val="20"/>
          <w:lang w:val="es-ES"/>
        </w:rPr>
        <w:t>La Comisión considera que los alegatos presentados por la parte peticionaria y no controvertidos por el Estado, se circunscriben al contexto previamente señalad</w:t>
      </w:r>
      <w:r w:rsidR="00C00784">
        <w:rPr>
          <w:rFonts w:ascii="Cambria" w:hAnsi="Cambria"/>
          <w:sz w:val="20"/>
          <w:szCs w:val="20"/>
          <w:lang w:val="es-ES"/>
        </w:rPr>
        <w:t>o</w:t>
      </w:r>
      <w:r>
        <w:rPr>
          <w:rFonts w:ascii="Cambria" w:hAnsi="Cambria"/>
          <w:sz w:val="20"/>
          <w:szCs w:val="20"/>
          <w:lang w:val="es-ES"/>
        </w:rPr>
        <w:t xml:space="preserve"> de la doctrina de seguridad nacional. La CIDH advierte que</w:t>
      </w:r>
      <w:r w:rsidR="00A96F13">
        <w:rPr>
          <w:rFonts w:ascii="Cambria" w:hAnsi="Cambria"/>
          <w:sz w:val="20"/>
          <w:szCs w:val="20"/>
          <w:lang w:val="es-ES"/>
        </w:rPr>
        <w:t xml:space="preserve"> de la información aportada por la parte peticionaria</w:t>
      </w:r>
      <w:r w:rsidR="00026CD5">
        <w:rPr>
          <w:rFonts w:ascii="Cambria" w:hAnsi="Cambria"/>
          <w:sz w:val="20"/>
          <w:szCs w:val="20"/>
          <w:lang w:val="es-ES"/>
        </w:rPr>
        <w:t xml:space="preserve"> sobre el detalle de cada uno de estos hechos</w:t>
      </w:r>
      <w:r w:rsidR="00A96F13">
        <w:rPr>
          <w:rFonts w:ascii="Cambria" w:hAnsi="Cambria"/>
          <w:sz w:val="20"/>
          <w:szCs w:val="20"/>
          <w:lang w:val="es-ES"/>
        </w:rPr>
        <w:t xml:space="preserve">, es posible </w:t>
      </w:r>
      <w:r w:rsidR="00026CD5">
        <w:rPr>
          <w:rFonts w:ascii="Cambria" w:hAnsi="Cambria"/>
          <w:sz w:val="20"/>
          <w:szCs w:val="20"/>
          <w:lang w:val="es-ES"/>
        </w:rPr>
        <w:t xml:space="preserve">determinar que los mismos guardan relación de conexidad con la </w:t>
      </w:r>
      <w:r>
        <w:rPr>
          <w:rFonts w:ascii="Cambria" w:hAnsi="Cambria"/>
          <w:sz w:val="20"/>
          <w:szCs w:val="20"/>
          <w:lang w:val="es-ES"/>
        </w:rPr>
        <w:t xml:space="preserve">participación del señor </w:t>
      </w:r>
      <w:r>
        <w:rPr>
          <w:rFonts w:ascii="Cambria" w:hAnsi="Cambria"/>
          <w:sz w:val="20"/>
          <w:szCs w:val="20"/>
          <w:lang w:val="es-ES"/>
        </w:rPr>
        <w:lastRenderedPageBreak/>
        <w:t>Deras y de algunos de sus familiares en organizaciones sindicales</w:t>
      </w:r>
      <w:r w:rsidR="009105E0">
        <w:rPr>
          <w:rFonts w:ascii="Cambria" w:hAnsi="Cambria"/>
          <w:sz w:val="20"/>
          <w:szCs w:val="20"/>
          <w:lang w:val="es-ES"/>
        </w:rPr>
        <w:t xml:space="preserve"> y políticas</w:t>
      </w:r>
      <w:r>
        <w:rPr>
          <w:rFonts w:ascii="Cambria" w:hAnsi="Cambria"/>
          <w:sz w:val="20"/>
          <w:szCs w:val="20"/>
          <w:lang w:val="es-ES"/>
        </w:rPr>
        <w:t xml:space="preserve">, identificadas por el entonces gobierno como participantes o simpatizantes de la guerrilla salvadoreña. </w:t>
      </w:r>
    </w:p>
    <w:p w14:paraId="5D1A1C90" w14:textId="77777777" w:rsidR="009105E0" w:rsidRDefault="009105E0" w:rsidP="009105E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lang w:val="es-ES"/>
        </w:rPr>
      </w:pPr>
    </w:p>
    <w:p w14:paraId="4DC6B487" w14:textId="77777777" w:rsidR="009105E0" w:rsidRDefault="009105E0" w:rsidP="00270C7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lang w:val="es-ES"/>
        </w:rPr>
      </w:pPr>
      <w:r>
        <w:rPr>
          <w:rFonts w:ascii="Cambria" w:hAnsi="Cambria"/>
          <w:sz w:val="20"/>
          <w:szCs w:val="20"/>
          <w:lang w:val="es-ES"/>
        </w:rPr>
        <w:t>En vista de que los alegatos presentados por la parte peticionaria y no controvertid</w:t>
      </w:r>
      <w:r w:rsidR="00B510F4">
        <w:rPr>
          <w:rFonts w:ascii="Cambria" w:hAnsi="Cambria"/>
          <w:sz w:val="20"/>
          <w:szCs w:val="20"/>
          <w:lang w:val="es-ES"/>
        </w:rPr>
        <w:t>os</w:t>
      </w:r>
      <w:r>
        <w:rPr>
          <w:rFonts w:ascii="Cambria" w:hAnsi="Cambria"/>
          <w:sz w:val="20"/>
          <w:szCs w:val="20"/>
          <w:lang w:val="es-ES"/>
        </w:rPr>
        <w:t xml:space="preserve"> por el Estado implican diversas vulneraciones a derechos establecidos en la Convención Americana, la Comisión pasará a pronunciarse sobre cada uno de ellos.</w:t>
      </w:r>
    </w:p>
    <w:p w14:paraId="5B086E51" w14:textId="77777777" w:rsidR="00270C7F" w:rsidRDefault="00270C7F" w:rsidP="00BF2B9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lang w:val="es-ES"/>
        </w:rPr>
      </w:pPr>
    </w:p>
    <w:p w14:paraId="6D7CFA02" w14:textId="77777777" w:rsidR="00270C7F" w:rsidRPr="00CC44C8" w:rsidRDefault="00270C7F" w:rsidP="00270C7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lang w:val="es-ES"/>
        </w:rPr>
      </w:pPr>
      <w:r w:rsidRPr="00CC44C8">
        <w:rPr>
          <w:rFonts w:ascii="Cambria" w:hAnsi="Cambria"/>
          <w:sz w:val="20"/>
          <w:szCs w:val="20"/>
          <w:lang w:val="es-ES"/>
        </w:rPr>
        <w:t xml:space="preserve">En relación con el derecho a la integridad personal, </w:t>
      </w:r>
      <w:r w:rsidR="009105E0" w:rsidRPr="00CC44C8">
        <w:rPr>
          <w:rFonts w:ascii="Cambria" w:hAnsi="Cambria"/>
          <w:sz w:val="20"/>
          <w:szCs w:val="20"/>
          <w:lang w:val="es-ES"/>
        </w:rPr>
        <w:t>el</w:t>
      </w:r>
      <w:r w:rsidR="004D0725" w:rsidRPr="00CC44C8">
        <w:rPr>
          <w:rFonts w:ascii="Cambria" w:hAnsi="Cambria"/>
          <w:sz w:val="20"/>
          <w:szCs w:val="20"/>
          <w:lang w:val="es-ES"/>
        </w:rPr>
        <w:t xml:space="preserve"> artículo 5.1 de la Convención </w:t>
      </w:r>
      <w:r w:rsidR="009105E0" w:rsidRPr="00CC44C8">
        <w:rPr>
          <w:rFonts w:ascii="Cambria" w:hAnsi="Cambria"/>
          <w:sz w:val="20"/>
          <w:szCs w:val="20"/>
          <w:lang w:val="es-ES"/>
        </w:rPr>
        <w:t xml:space="preserve">Americana </w:t>
      </w:r>
      <w:r w:rsidR="004D0725" w:rsidRPr="00CC44C8">
        <w:rPr>
          <w:rFonts w:ascii="Cambria" w:hAnsi="Cambria"/>
          <w:sz w:val="20"/>
          <w:szCs w:val="20"/>
          <w:lang w:val="es-ES"/>
        </w:rPr>
        <w:t>c</w:t>
      </w:r>
      <w:r w:rsidR="009105E0" w:rsidRPr="00CC44C8">
        <w:rPr>
          <w:rFonts w:ascii="Cambria" w:hAnsi="Cambria"/>
          <w:sz w:val="20"/>
          <w:szCs w:val="20"/>
          <w:lang w:val="es-ES"/>
        </w:rPr>
        <w:t>onsagra en términos generales el derecho a la integridad personal, tanto física y psíquica como moral. Por su parte, el artículo 5.2 establece, de manera más específica, la prohibición absoluta de someter a alguien a torturas o a penas o tratos crueles, inhumanos o degradantes, así como el derecho de toda persona privada de libertad a ser tratada con el respeto debido a la dignidad inherente al ser humano. La Corte Interamericana ha entendido que cualquier violación del artículo 5.2 de la Convención Americana acarreará necesariamente la violación del artículo 5.1 de la misma</w:t>
      </w:r>
      <w:r w:rsidR="009105E0" w:rsidRPr="00CC44C8">
        <w:rPr>
          <w:rStyle w:val="FootnoteReference"/>
          <w:rFonts w:ascii="Cambria" w:hAnsi="Cambria"/>
          <w:sz w:val="20"/>
          <w:szCs w:val="20"/>
          <w:lang w:val="es-ES"/>
        </w:rPr>
        <w:footnoteReference w:id="62"/>
      </w:r>
      <w:r w:rsidR="009105E0" w:rsidRPr="00CC44C8">
        <w:rPr>
          <w:rFonts w:ascii="Cambria" w:hAnsi="Cambria"/>
          <w:sz w:val="20"/>
          <w:szCs w:val="20"/>
          <w:lang w:val="es-ES"/>
        </w:rPr>
        <w:t>.</w:t>
      </w:r>
    </w:p>
    <w:p w14:paraId="6E8FFDBC" w14:textId="77777777" w:rsidR="009105E0" w:rsidRPr="00CC44C8" w:rsidRDefault="009105E0" w:rsidP="009105E0">
      <w:pPr>
        <w:pStyle w:val="ListParagraph"/>
        <w:rPr>
          <w:rFonts w:ascii="Cambria" w:hAnsi="Cambria"/>
          <w:sz w:val="20"/>
          <w:szCs w:val="20"/>
          <w:lang w:val="es-ES"/>
        </w:rPr>
      </w:pPr>
    </w:p>
    <w:p w14:paraId="2505FB6D" w14:textId="77777777" w:rsidR="009105E0" w:rsidRPr="00CC44C8" w:rsidRDefault="004D0725" w:rsidP="00270C7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lang w:val="es-ES"/>
        </w:rPr>
      </w:pPr>
      <w:r w:rsidRPr="00CC44C8">
        <w:rPr>
          <w:rFonts w:ascii="Cambria" w:hAnsi="Cambria"/>
          <w:sz w:val="20"/>
          <w:szCs w:val="20"/>
          <w:lang w:val="es-ES"/>
        </w:rPr>
        <w:t>Asimismo, tanto la CIDH como la Corte han señalado</w:t>
      </w:r>
      <w:r w:rsidR="009105E0" w:rsidRPr="00CC44C8">
        <w:rPr>
          <w:rFonts w:ascii="Cambria" w:hAnsi="Cambria"/>
          <w:sz w:val="20"/>
          <w:szCs w:val="20"/>
          <w:lang w:val="es-ES"/>
        </w:rPr>
        <w:t xml:space="preserve"> que la tortura y las penas o tratos crueles, inhumanos o degradantes están absoluta y estrictamente prohibidos por el Derecho Internacional de los Derechos Humanos</w:t>
      </w:r>
      <w:r w:rsidRPr="00CC44C8">
        <w:rPr>
          <w:rStyle w:val="FootnoteReference"/>
          <w:rFonts w:ascii="Cambria" w:hAnsi="Cambria"/>
          <w:sz w:val="20"/>
          <w:szCs w:val="20"/>
          <w:lang w:val="es-ES"/>
        </w:rPr>
        <w:footnoteReference w:id="63"/>
      </w:r>
      <w:r w:rsidR="009105E0" w:rsidRPr="00CC44C8">
        <w:rPr>
          <w:rFonts w:ascii="Cambria" w:hAnsi="Cambria"/>
          <w:sz w:val="20"/>
          <w:szCs w:val="20"/>
          <w:lang w:val="es-ES"/>
        </w:rPr>
        <w:t>. Esta prohibi</w:t>
      </w:r>
      <w:r w:rsidRPr="00CC44C8">
        <w:rPr>
          <w:rFonts w:ascii="Cambria" w:hAnsi="Cambria"/>
          <w:sz w:val="20"/>
          <w:szCs w:val="20"/>
          <w:lang w:val="es-ES"/>
        </w:rPr>
        <w:t xml:space="preserve">ción es absoluta e inderogable </w:t>
      </w:r>
      <w:r w:rsidR="009105E0" w:rsidRPr="00CC44C8">
        <w:rPr>
          <w:rFonts w:ascii="Cambria" w:hAnsi="Cambria"/>
          <w:sz w:val="20"/>
          <w:szCs w:val="20"/>
          <w:lang w:val="es-ES"/>
        </w:rPr>
        <w:t>y pertenece hoy día al dominio</w:t>
      </w:r>
      <w:r w:rsidRPr="00CC44C8">
        <w:rPr>
          <w:rFonts w:ascii="Cambria" w:hAnsi="Cambria"/>
          <w:sz w:val="20"/>
          <w:szCs w:val="20"/>
          <w:lang w:val="es-ES"/>
        </w:rPr>
        <w:t xml:space="preserve"> del </w:t>
      </w:r>
      <w:r w:rsidRPr="00CC44C8">
        <w:rPr>
          <w:rFonts w:ascii="Cambria" w:hAnsi="Cambria"/>
          <w:i/>
          <w:sz w:val="20"/>
          <w:szCs w:val="20"/>
          <w:lang w:val="es-ES"/>
        </w:rPr>
        <w:t>jus cogens</w:t>
      </w:r>
      <w:r w:rsidRPr="00CC44C8">
        <w:rPr>
          <w:rFonts w:ascii="Cambria" w:hAnsi="Cambria"/>
          <w:sz w:val="20"/>
          <w:szCs w:val="20"/>
          <w:lang w:val="es-ES"/>
        </w:rPr>
        <w:t xml:space="preserve"> internacional</w:t>
      </w:r>
      <w:r w:rsidRPr="004D0725">
        <w:rPr>
          <w:rStyle w:val="FootnoteReference"/>
          <w:rFonts w:ascii="Cambria" w:hAnsi="Cambria"/>
          <w:sz w:val="20"/>
          <w:szCs w:val="20"/>
          <w:lang w:val="es-ES"/>
        </w:rPr>
        <w:footnoteReference w:id="64"/>
      </w:r>
      <w:r w:rsidR="009105E0" w:rsidRPr="00CC44C8">
        <w:rPr>
          <w:rFonts w:ascii="Cambria" w:hAnsi="Cambria"/>
          <w:sz w:val="20"/>
          <w:szCs w:val="20"/>
          <w:lang w:val="es-ES"/>
        </w:rPr>
        <w:t xml:space="preserve">. </w:t>
      </w:r>
    </w:p>
    <w:p w14:paraId="718B4E40" w14:textId="77777777" w:rsidR="000E0F31" w:rsidRDefault="000E0F31" w:rsidP="000E0F31">
      <w:pPr>
        <w:pStyle w:val="ListParagraph"/>
        <w:rPr>
          <w:rFonts w:ascii="Cambria" w:hAnsi="Cambria"/>
          <w:sz w:val="20"/>
          <w:szCs w:val="20"/>
          <w:lang w:val="es-ES"/>
        </w:rPr>
      </w:pPr>
    </w:p>
    <w:p w14:paraId="0845DC4C" w14:textId="77777777" w:rsidR="000E0F31" w:rsidRDefault="000E0F31" w:rsidP="00270C7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lang w:val="es-ES"/>
        </w:rPr>
      </w:pPr>
      <w:r>
        <w:rPr>
          <w:rFonts w:ascii="Cambria" w:hAnsi="Cambria"/>
          <w:sz w:val="20"/>
          <w:szCs w:val="20"/>
          <w:lang w:val="es-ES"/>
        </w:rPr>
        <w:t>La CIDH observa que en el presente caso la parte peticionaria alegó que i) la madre del señor Deras fue golpeada en su domicilio por parte de agentes militares; ii) el padre del señor Deras fue golpeado en su domicilio, amarrado y sacado de su residencia por parte de agentes militares; iii) la hermana del señor Deras, Irma Isabel, fue vendada, amarradas de manos a pies y amenazada en una celda de la DNI; iv) la esposa del señor Deras y su cuñada fueron vendadas y amenazadas en una celda de la DNI, y no se les dio comida ni bebida por días; v)</w:t>
      </w:r>
      <w:r w:rsidR="00813EB4">
        <w:rPr>
          <w:rFonts w:ascii="Cambria" w:hAnsi="Cambria"/>
          <w:sz w:val="20"/>
          <w:szCs w:val="20"/>
          <w:lang w:val="es-ES"/>
        </w:rPr>
        <w:t xml:space="preserve"> el hermano del señor Deras, Luis Rolando, fue amenazado y golpeado</w:t>
      </w:r>
      <w:r w:rsidR="00F60AE0">
        <w:rPr>
          <w:rFonts w:ascii="Cambria" w:hAnsi="Cambria"/>
          <w:sz w:val="20"/>
          <w:szCs w:val="20"/>
          <w:lang w:val="es-ES"/>
        </w:rPr>
        <w:t xml:space="preserve"> por miembros de la DNI; y vi) varios familiares del señor Deras fueron llevados a celdas de la DNI donde fueron golpeados y pateados por agentes militares.</w:t>
      </w:r>
    </w:p>
    <w:p w14:paraId="7B210A93" w14:textId="77777777" w:rsidR="000E0F31" w:rsidRDefault="000E0F31" w:rsidP="000E0F31">
      <w:pPr>
        <w:pStyle w:val="ListParagraph"/>
        <w:rPr>
          <w:rFonts w:ascii="Cambria" w:hAnsi="Cambria"/>
          <w:sz w:val="20"/>
          <w:szCs w:val="20"/>
          <w:lang w:val="es-ES"/>
        </w:rPr>
      </w:pPr>
    </w:p>
    <w:p w14:paraId="3D9FA7BB" w14:textId="77777777" w:rsidR="000E0F31" w:rsidRDefault="000E0F31" w:rsidP="005900F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lang w:val="es-ES"/>
        </w:rPr>
      </w:pPr>
      <w:r>
        <w:rPr>
          <w:rFonts w:ascii="Cambria" w:hAnsi="Cambria"/>
          <w:sz w:val="20"/>
          <w:szCs w:val="20"/>
          <w:lang w:val="es-ES"/>
        </w:rPr>
        <w:t xml:space="preserve">La Comisión </w:t>
      </w:r>
      <w:r w:rsidR="00F60AE0">
        <w:rPr>
          <w:rFonts w:ascii="Cambria" w:hAnsi="Cambria"/>
          <w:sz w:val="20"/>
          <w:szCs w:val="20"/>
          <w:lang w:val="es-ES"/>
        </w:rPr>
        <w:t>toma nota de</w:t>
      </w:r>
      <w:r>
        <w:rPr>
          <w:rFonts w:ascii="Cambria" w:hAnsi="Cambria"/>
          <w:sz w:val="20"/>
          <w:szCs w:val="20"/>
          <w:lang w:val="es-ES"/>
        </w:rPr>
        <w:t xml:space="preserve"> que estos hechos alegados</w:t>
      </w:r>
      <w:r w:rsidR="00F60AE0">
        <w:rPr>
          <w:rFonts w:ascii="Cambria" w:hAnsi="Cambria"/>
          <w:sz w:val="20"/>
          <w:szCs w:val="20"/>
          <w:lang w:val="es-ES"/>
        </w:rPr>
        <w:t xml:space="preserve">, </w:t>
      </w:r>
      <w:r>
        <w:rPr>
          <w:rFonts w:ascii="Cambria" w:hAnsi="Cambria"/>
          <w:sz w:val="20"/>
          <w:szCs w:val="20"/>
          <w:lang w:val="es-ES"/>
        </w:rPr>
        <w:t>cometidos por agentes militares</w:t>
      </w:r>
      <w:r w:rsidR="00F60AE0">
        <w:rPr>
          <w:rFonts w:ascii="Cambria" w:hAnsi="Cambria"/>
          <w:sz w:val="20"/>
          <w:szCs w:val="20"/>
          <w:lang w:val="es-ES"/>
        </w:rPr>
        <w:t>,</w:t>
      </w:r>
      <w:r>
        <w:rPr>
          <w:rFonts w:ascii="Cambria" w:hAnsi="Cambria"/>
          <w:sz w:val="20"/>
          <w:szCs w:val="20"/>
          <w:lang w:val="es-ES"/>
        </w:rPr>
        <w:t xml:space="preserve"> no </w:t>
      </w:r>
      <w:r w:rsidR="00F60AE0">
        <w:rPr>
          <w:rFonts w:ascii="Cambria" w:hAnsi="Cambria"/>
          <w:sz w:val="20"/>
          <w:szCs w:val="20"/>
          <w:lang w:val="es-ES"/>
        </w:rPr>
        <w:t xml:space="preserve">fueron controvertidos por el Estado. Asimismo, la CIDH observa que estos hechos se enmarcan en el contexto ya descrito de doctrina de seguridad nacional. </w:t>
      </w:r>
      <w:r w:rsidR="00A210F9">
        <w:rPr>
          <w:rFonts w:ascii="Cambria" w:hAnsi="Cambria"/>
          <w:sz w:val="20"/>
          <w:szCs w:val="20"/>
          <w:lang w:val="es-ES"/>
        </w:rPr>
        <w:t xml:space="preserve">Aunque la </w:t>
      </w:r>
      <w:r w:rsidR="00037E9F">
        <w:rPr>
          <w:rFonts w:ascii="Cambria" w:hAnsi="Cambria"/>
          <w:sz w:val="20"/>
          <w:szCs w:val="20"/>
          <w:lang w:val="es-ES"/>
        </w:rPr>
        <w:t>Comisión</w:t>
      </w:r>
      <w:r w:rsidR="00A210F9">
        <w:rPr>
          <w:rFonts w:ascii="Cambria" w:hAnsi="Cambria"/>
          <w:sz w:val="20"/>
          <w:szCs w:val="20"/>
          <w:lang w:val="es-ES"/>
        </w:rPr>
        <w:t xml:space="preserve"> no cuent</w:t>
      </w:r>
      <w:r w:rsidR="00037E9F">
        <w:rPr>
          <w:rFonts w:ascii="Cambria" w:hAnsi="Cambria"/>
          <w:sz w:val="20"/>
          <w:szCs w:val="20"/>
          <w:lang w:val="es-ES"/>
        </w:rPr>
        <w:t xml:space="preserve">a con elementos suficientes para pronunciarse sobre si en cada uno de los hechos descritos en los que tuvieron lugar afectaciones a la integridad personal, están presentes los elementos constitutivos de la tortura, se encuentra suficientemente acreditado que las personas mencionadas sufrieron al menos tratos crueles e inhumanos. </w:t>
      </w:r>
      <w:r w:rsidR="0055538A">
        <w:rPr>
          <w:rFonts w:ascii="Cambria" w:hAnsi="Cambria"/>
          <w:sz w:val="20"/>
          <w:szCs w:val="20"/>
          <w:lang w:val="es-ES"/>
        </w:rPr>
        <w:t xml:space="preserve">La Comisión reitera que estos hechos no fueron ni controvertidos ni investigados por el Estado. </w:t>
      </w:r>
      <w:r>
        <w:rPr>
          <w:rFonts w:ascii="Cambria" w:hAnsi="Cambria"/>
          <w:sz w:val="20"/>
          <w:szCs w:val="20"/>
          <w:lang w:val="es-ES"/>
        </w:rPr>
        <w:t xml:space="preserve">En consecuencia, la CIDH considera que el Estado es responsable por la violación del derecho establecido en los artículos 5.1 y 5.2 de la Convención Americana, en relación con el artículo 1.1 del mismo instrumento, en perjuicio de las personas identificadas </w:t>
      </w:r>
      <w:r w:rsidR="00F60AE0">
        <w:rPr>
          <w:rFonts w:ascii="Cambria" w:hAnsi="Cambria"/>
          <w:sz w:val="20"/>
          <w:szCs w:val="20"/>
          <w:lang w:val="es-ES"/>
        </w:rPr>
        <w:t xml:space="preserve">en el párrafo </w:t>
      </w:r>
      <w:r w:rsidR="008B742C">
        <w:rPr>
          <w:rFonts w:ascii="Cambria" w:hAnsi="Cambria"/>
          <w:sz w:val="20"/>
          <w:szCs w:val="20"/>
          <w:lang w:val="es-ES"/>
        </w:rPr>
        <w:t>6</w:t>
      </w:r>
      <w:r w:rsidR="00D05BEE">
        <w:rPr>
          <w:rFonts w:ascii="Cambria" w:hAnsi="Cambria"/>
          <w:sz w:val="20"/>
          <w:szCs w:val="20"/>
          <w:lang w:val="es-ES"/>
        </w:rPr>
        <w:t>2</w:t>
      </w:r>
      <w:r w:rsidR="008B742C">
        <w:rPr>
          <w:rFonts w:ascii="Cambria" w:hAnsi="Cambria"/>
          <w:sz w:val="20"/>
          <w:szCs w:val="20"/>
          <w:lang w:val="es-ES"/>
        </w:rPr>
        <w:t xml:space="preserve"> del presente informe</w:t>
      </w:r>
      <w:r w:rsidR="00F60AE0">
        <w:rPr>
          <w:rFonts w:ascii="Cambria" w:hAnsi="Cambria"/>
          <w:sz w:val="20"/>
          <w:szCs w:val="20"/>
          <w:lang w:val="es-ES"/>
        </w:rPr>
        <w:t>.</w:t>
      </w:r>
    </w:p>
    <w:p w14:paraId="30F2945D" w14:textId="77777777" w:rsidR="002D7285" w:rsidRPr="00CC44C8" w:rsidRDefault="002D7285" w:rsidP="00BF0FEA">
      <w:pPr>
        <w:pStyle w:val="ListParagraph"/>
        <w:ind w:left="0"/>
        <w:rPr>
          <w:rFonts w:ascii="Cambria" w:hAnsi="Cambria"/>
          <w:sz w:val="20"/>
          <w:szCs w:val="20"/>
          <w:lang w:val="es-ES"/>
        </w:rPr>
      </w:pPr>
    </w:p>
    <w:p w14:paraId="65328F0C" w14:textId="77777777" w:rsidR="00813EB4" w:rsidRPr="00CC44C8" w:rsidRDefault="00C8533B" w:rsidP="00270C7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lang w:val="es-ES"/>
        </w:rPr>
      </w:pPr>
      <w:r w:rsidRPr="00CC44C8">
        <w:rPr>
          <w:rFonts w:ascii="Cambria" w:hAnsi="Cambria"/>
          <w:sz w:val="20"/>
          <w:szCs w:val="20"/>
          <w:lang w:val="es-ES"/>
        </w:rPr>
        <w:t>En relación con el derecho</w:t>
      </w:r>
      <w:r w:rsidR="00740C4E" w:rsidRPr="00CC44C8">
        <w:rPr>
          <w:rFonts w:ascii="Cambria" w:hAnsi="Cambria"/>
          <w:sz w:val="20"/>
          <w:szCs w:val="20"/>
          <w:lang w:val="es-ES"/>
        </w:rPr>
        <w:t xml:space="preserve"> </w:t>
      </w:r>
      <w:r w:rsidRPr="00CC44C8">
        <w:rPr>
          <w:rFonts w:ascii="Cambria" w:hAnsi="Cambria"/>
          <w:sz w:val="20"/>
          <w:szCs w:val="20"/>
          <w:lang w:val="es-ES"/>
        </w:rPr>
        <w:t xml:space="preserve">establecido en el artículo 11.2 de la Convención Americana, la Corte ha sostenido que </w:t>
      </w:r>
      <w:r w:rsidR="00740C4E" w:rsidRPr="00CC44C8">
        <w:rPr>
          <w:rFonts w:ascii="Cambria" w:hAnsi="Cambria"/>
          <w:sz w:val="20"/>
          <w:szCs w:val="20"/>
          <w:lang w:val="es-ES"/>
        </w:rPr>
        <w:t>el ámbito de la privacidad se caracteriza por quedar exento e inmune a las invasiones o agresiones abusivas o arbitrarias por parte de terceros o de la autoridad pública</w:t>
      </w:r>
      <w:r w:rsidR="00740C4E" w:rsidRPr="00CC44C8">
        <w:rPr>
          <w:rStyle w:val="FootnoteReference"/>
          <w:rFonts w:ascii="Cambria" w:hAnsi="Cambria"/>
          <w:sz w:val="20"/>
          <w:szCs w:val="20"/>
          <w:lang w:val="es-ES"/>
        </w:rPr>
        <w:footnoteReference w:id="65"/>
      </w:r>
      <w:r w:rsidR="00740C4E" w:rsidRPr="00CC44C8">
        <w:rPr>
          <w:rFonts w:ascii="Cambria" w:hAnsi="Cambria"/>
          <w:sz w:val="20"/>
          <w:szCs w:val="20"/>
          <w:lang w:val="es-ES"/>
        </w:rPr>
        <w:t>. En este orden de ideas, el domicilio se convierte en un espacio en el cual se puede desarrollar libremente la vida privada</w:t>
      </w:r>
      <w:r w:rsidR="00740C4E" w:rsidRPr="00CC44C8">
        <w:rPr>
          <w:rStyle w:val="FootnoteReference"/>
          <w:rFonts w:ascii="Cambria" w:hAnsi="Cambria"/>
          <w:sz w:val="20"/>
          <w:szCs w:val="20"/>
          <w:lang w:val="es-ES"/>
        </w:rPr>
        <w:footnoteReference w:id="66"/>
      </w:r>
      <w:r w:rsidR="00740C4E" w:rsidRPr="00CC44C8">
        <w:rPr>
          <w:rFonts w:ascii="Cambria" w:hAnsi="Cambria"/>
          <w:sz w:val="20"/>
          <w:szCs w:val="20"/>
          <w:lang w:val="es-ES"/>
        </w:rPr>
        <w:t xml:space="preserve">. Es así como </w:t>
      </w:r>
      <w:r w:rsidR="00740C4E" w:rsidRPr="00CC44C8">
        <w:rPr>
          <w:rFonts w:ascii="Cambria" w:hAnsi="Cambria"/>
          <w:sz w:val="20"/>
          <w:szCs w:val="20"/>
          <w:lang w:val="es-ES"/>
        </w:rPr>
        <w:lastRenderedPageBreak/>
        <w:t>la Corte ha considerado que la intrusión ilegal de fuerzas armadas a una vivienda, constituye una injerencia abusiva y arbitraria en la vida privada y domicilio de las personas afectadas</w:t>
      </w:r>
      <w:r w:rsidR="00740C4E" w:rsidRPr="00CC44C8">
        <w:rPr>
          <w:rStyle w:val="FootnoteReference"/>
          <w:rFonts w:ascii="Cambria" w:hAnsi="Cambria"/>
          <w:sz w:val="20"/>
          <w:szCs w:val="20"/>
          <w:lang w:val="es-ES"/>
        </w:rPr>
        <w:footnoteReference w:id="67"/>
      </w:r>
      <w:r w:rsidR="00740C4E" w:rsidRPr="00CC44C8">
        <w:rPr>
          <w:rFonts w:ascii="Cambria" w:hAnsi="Cambria"/>
          <w:sz w:val="20"/>
          <w:szCs w:val="20"/>
          <w:lang w:val="es-ES"/>
        </w:rPr>
        <w:t>.</w:t>
      </w:r>
      <w:r w:rsidR="00270C7F" w:rsidRPr="00CC44C8">
        <w:rPr>
          <w:rFonts w:ascii="Cambria" w:hAnsi="Cambria"/>
          <w:sz w:val="20"/>
          <w:szCs w:val="20"/>
          <w:lang w:val="es-ES"/>
        </w:rPr>
        <w:t xml:space="preserve"> </w:t>
      </w:r>
    </w:p>
    <w:p w14:paraId="5FA6A257" w14:textId="77777777" w:rsidR="00813EB4" w:rsidRPr="00CC44C8" w:rsidRDefault="00813EB4" w:rsidP="00813EB4">
      <w:pPr>
        <w:pStyle w:val="ListParagraph"/>
        <w:rPr>
          <w:rFonts w:ascii="Cambria" w:hAnsi="Cambria"/>
          <w:sz w:val="20"/>
          <w:szCs w:val="20"/>
          <w:lang w:val="es-ES"/>
        </w:rPr>
      </w:pPr>
    </w:p>
    <w:p w14:paraId="16AEBB6D" w14:textId="77777777" w:rsidR="00270C7F" w:rsidRPr="00CC44C8" w:rsidRDefault="00270C7F" w:rsidP="00270C7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lang w:val="es-ES"/>
        </w:rPr>
      </w:pPr>
      <w:r w:rsidRPr="00CC44C8">
        <w:rPr>
          <w:rFonts w:ascii="Cambria" w:hAnsi="Cambria"/>
          <w:sz w:val="20"/>
          <w:szCs w:val="20"/>
          <w:lang w:val="es-ES"/>
        </w:rPr>
        <w:t xml:space="preserve">En el presente caso la </w:t>
      </w:r>
      <w:r w:rsidR="00813EB4" w:rsidRPr="00CC44C8">
        <w:rPr>
          <w:rFonts w:ascii="Cambria" w:hAnsi="Cambria"/>
          <w:sz w:val="20"/>
          <w:szCs w:val="20"/>
          <w:lang w:val="es-ES"/>
        </w:rPr>
        <w:t xml:space="preserve">parte peticionaria alegó que agentes militares allanaron sin ninguna orden judicial los domicilios de i) Herminio Deras; ii) los padres del señor Deras; y iii) dos domicilios de sus familiares en la ciudad de El Progreso. Dicha información no fue controvertida por el Estado. En consecuencia, la Comisión considera que el Estado vulneró el derecho establecido en el artículo 11.2 de la Convención Americana, en relación con el artículo 1.1 del mismo instrumento, en perjuicio </w:t>
      </w:r>
      <w:r w:rsidR="00813EB4">
        <w:rPr>
          <w:rFonts w:ascii="Cambria" w:hAnsi="Cambria"/>
          <w:sz w:val="20"/>
          <w:szCs w:val="20"/>
          <w:lang w:val="es-ES"/>
        </w:rPr>
        <w:t>de las personas identificadas en el párrafo anterior.</w:t>
      </w:r>
    </w:p>
    <w:p w14:paraId="4858F394" w14:textId="77777777" w:rsidR="00C8533B" w:rsidRDefault="00C8533B" w:rsidP="00BF2B9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lang w:val="es-ES"/>
        </w:rPr>
      </w:pPr>
    </w:p>
    <w:p w14:paraId="17854A56" w14:textId="77777777" w:rsidR="00BF0FEA" w:rsidRPr="002D7285" w:rsidRDefault="00BF0FEA" w:rsidP="00BF0F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es-ES"/>
        </w:rPr>
      </w:pPr>
      <w:r w:rsidRPr="00BF0FEA">
        <w:rPr>
          <w:rFonts w:ascii="Cambria" w:hAnsi="Cambria"/>
          <w:sz w:val="20"/>
          <w:szCs w:val="20"/>
          <w:lang w:val="es-ES"/>
        </w:rPr>
        <w:t>Respecto</w:t>
      </w:r>
      <w:r w:rsidRPr="002D7285">
        <w:rPr>
          <w:rFonts w:ascii="Cambria" w:hAnsi="Cambria"/>
          <w:sz w:val="20"/>
          <w:szCs w:val="20"/>
          <w:lang w:val="es-ES"/>
        </w:rPr>
        <w:t xml:space="preserve"> del derecho a la libertad personal, </w:t>
      </w:r>
      <w:r w:rsidRPr="002D7285">
        <w:rPr>
          <w:rFonts w:ascii="Cambria" w:hAnsi="Cambria"/>
          <w:sz w:val="20"/>
          <w:lang w:val="es-CO"/>
        </w:rPr>
        <w:t xml:space="preserve">la Comisión resalta que el artículo 7 de la Convención Americana consagra las garantías relativas a dicho derecho que los Estados deben respetar y </w:t>
      </w:r>
      <w:r w:rsidRPr="002D7285">
        <w:rPr>
          <w:rFonts w:ascii="Cambria" w:hAnsi="Cambria"/>
          <w:spacing w:val="-2"/>
          <w:sz w:val="20"/>
          <w:szCs w:val="20"/>
          <w:lang w:val="es-ES"/>
        </w:rPr>
        <w:t>garantizar</w:t>
      </w:r>
      <w:r w:rsidRPr="002D7285">
        <w:rPr>
          <w:rFonts w:ascii="Cambria" w:hAnsi="Cambria"/>
          <w:sz w:val="20"/>
          <w:lang w:val="es-CO"/>
        </w:rPr>
        <w:t xml:space="preserve">. </w:t>
      </w:r>
      <w:r>
        <w:rPr>
          <w:rFonts w:ascii="Cambria" w:hAnsi="Cambria"/>
          <w:spacing w:val="-2"/>
          <w:sz w:val="20"/>
          <w:szCs w:val="20"/>
          <w:lang w:val="es-ES"/>
        </w:rPr>
        <w:t>l</w:t>
      </w:r>
      <w:r w:rsidRPr="00243C2A">
        <w:rPr>
          <w:rFonts w:ascii="Cambria" w:hAnsi="Cambria"/>
          <w:spacing w:val="-2"/>
          <w:sz w:val="20"/>
          <w:szCs w:val="20"/>
          <w:lang w:val="es-ES"/>
        </w:rPr>
        <w:t>a Corte ha</w:t>
      </w:r>
      <w:r>
        <w:rPr>
          <w:rFonts w:ascii="Cambria" w:hAnsi="Cambria"/>
          <w:spacing w:val="-2"/>
          <w:sz w:val="20"/>
          <w:szCs w:val="20"/>
          <w:lang w:val="es-ES"/>
        </w:rPr>
        <w:t>n</w:t>
      </w:r>
      <w:r w:rsidRPr="00243C2A">
        <w:rPr>
          <w:rFonts w:ascii="Cambria" w:hAnsi="Cambria"/>
          <w:spacing w:val="-2"/>
          <w:sz w:val="20"/>
          <w:szCs w:val="20"/>
          <w:lang w:val="es-ES"/>
        </w:rPr>
        <w:t xml:space="preserve"> establecido que </w:t>
      </w:r>
      <w:bookmarkStart w:id="24" w:name="_Ref375137748"/>
      <w:r w:rsidRPr="00243C2A">
        <w:rPr>
          <w:rFonts w:ascii="Cambria" w:hAnsi="Cambria"/>
          <w:spacing w:val="-2"/>
          <w:sz w:val="20"/>
          <w:szCs w:val="20"/>
          <w:lang w:val="es-ES"/>
        </w:rPr>
        <w:t>el artículo 7 de la Convención Americana tiene dos tipos de regulaciones bien diferenciadas entre sí, una general y otra específica. La general se encuentra en el primer numeral: “[t]oda persona tiene el derecho a la libertad y a la seguridad personales”. Mientras que la específica está compuesta por una serie de garantías que protegen el derecho a no ser privado de la libertad ilegalmente (artículo 7.2) o arbitrariamente (artículo 7.3), a conocer las razones de la detención y los cargos formulados en contra del detenido (artículo 7.4), al control judicial de la privación de la libertad (artículo 7.5) y a impugnar la legalidad de la detención (artículo 7.6)</w:t>
      </w:r>
      <w:r w:rsidRPr="00243C2A">
        <w:rPr>
          <w:rFonts w:ascii="Cambria" w:hAnsi="Cambria"/>
          <w:spacing w:val="-2"/>
          <w:sz w:val="20"/>
          <w:szCs w:val="20"/>
          <w:vertAlign w:val="superscript"/>
        </w:rPr>
        <w:footnoteReference w:id="68"/>
      </w:r>
      <w:r w:rsidRPr="00243C2A">
        <w:rPr>
          <w:rFonts w:ascii="Cambria" w:hAnsi="Cambria"/>
          <w:spacing w:val="-2"/>
          <w:sz w:val="20"/>
          <w:szCs w:val="20"/>
          <w:lang w:val="es-ES"/>
        </w:rPr>
        <w:t>. Cualquier violación de los numerales 2 al 7 del artículo 7 de la Convención acarreará necesariamente la violación del artículo 7.1 de la misma</w:t>
      </w:r>
      <w:r w:rsidRPr="00243C2A">
        <w:rPr>
          <w:rFonts w:ascii="Cambria" w:hAnsi="Cambria"/>
          <w:spacing w:val="-2"/>
          <w:sz w:val="20"/>
          <w:szCs w:val="20"/>
          <w:vertAlign w:val="superscript"/>
        </w:rPr>
        <w:footnoteReference w:id="69"/>
      </w:r>
      <w:r w:rsidRPr="00243C2A">
        <w:rPr>
          <w:rFonts w:ascii="Cambria" w:hAnsi="Cambria"/>
          <w:spacing w:val="-2"/>
          <w:sz w:val="20"/>
          <w:szCs w:val="20"/>
          <w:lang w:val="es-ES"/>
        </w:rPr>
        <w:t>.</w:t>
      </w:r>
      <w:bookmarkEnd w:id="24"/>
    </w:p>
    <w:p w14:paraId="6F818959" w14:textId="77777777" w:rsidR="00BF0FEA" w:rsidRDefault="00BF0FEA" w:rsidP="00BF2B9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lang w:val="es-ES"/>
        </w:rPr>
      </w:pPr>
    </w:p>
    <w:p w14:paraId="577F1FCE" w14:textId="77777777" w:rsidR="00BF0FEA" w:rsidRPr="00BF0FEA" w:rsidRDefault="00BF0FEA" w:rsidP="00BF0F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lang w:val="es-ES"/>
        </w:rPr>
      </w:pPr>
      <w:r w:rsidRPr="00BF0FEA">
        <w:rPr>
          <w:rFonts w:ascii="Cambria" w:hAnsi="Cambria"/>
          <w:sz w:val="20"/>
          <w:szCs w:val="20"/>
          <w:lang w:val="es-ES"/>
        </w:rPr>
        <w:t xml:space="preserve">En el presente caso la parte peticionaria alegó que agentes militares detuvieron a i) Irma Isabel Deras luego de haber sido allanado su domicilio; ii) Otilia Flores y Elba Flores luego de haber sido allanado su domicilio; iii) Luis Rolando Deras; y iv) varios familiares del señor Deras en junio de 1984. </w:t>
      </w:r>
      <w:r w:rsidR="00D05BEE">
        <w:rPr>
          <w:rFonts w:ascii="Cambria" w:hAnsi="Cambria"/>
          <w:sz w:val="20"/>
          <w:szCs w:val="20"/>
          <w:lang w:val="es-ES"/>
        </w:rPr>
        <w:t xml:space="preserve">La CIDH reitera que </w:t>
      </w:r>
      <w:r w:rsidRPr="00BF0FEA">
        <w:rPr>
          <w:rFonts w:ascii="Cambria" w:hAnsi="Cambria"/>
          <w:sz w:val="20"/>
          <w:szCs w:val="20"/>
          <w:lang w:val="es-ES"/>
        </w:rPr>
        <w:t>el Estado no controvirtió dicha información.</w:t>
      </w:r>
    </w:p>
    <w:p w14:paraId="42F40112" w14:textId="77777777" w:rsidR="00BF0FEA" w:rsidRPr="00BF0FEA" w:rsidRDefault="00BF0FEA" w:rsidP="00BF0FEA">
      <w:pPr>
        <w:pStyle w:val="ListParagraph"/>
        <w:rPr>
          <w:rFonts w:ascii="Cambria" w:hAnsi="Cambria"/>
          <w:sz w:val="20"/>
          <w:szCs w:val="20"/>
          <w:lang w:val="es-ES"/>
        </w:rPr>
      </w:pPr>
    </w:p>
    <w:p w14:paraId="25D9E436" w14:textId="77777777" w:rsidR="00BF0FEA" w:rsidRDefault="00BF0FEA" w:rsidP="00BF0F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lang w:val="es-ES"/>
        </w:rPr>
      </w:pPr>
      <w:r w:rsidRPr="00BF0FEA">
        <w:rPr>
          <w:rFonts w:ascii="Cambria" w:hAnsi="Cambria"/>
          <w:sz w:val="20"/>
          <w:szCs w:val="20"/>
          <w:lang w:val="es-ES"/>
        </w:rPr>
        <w:t xml:space="preserve">La Comisión observa que el Estado no presentó información sobre la base legal en que se habrían dado las detenciones en perjuicio de las personas mencionadas en el párrafo anterior. La CIDH nota que conforme a la información presentada las detenciones se efectuaron sin una orden judicial y sin que </w:t>
      </w:r>
      <w:r w:rsidR="00404C19">
        <w:rPr>
          <w:rFonts w:ascii="Cambria" w:hAnsi="Cambria"/>
          <w:sz w:val="20"/>
          <w:szCs w:val="20"/>
          <w:lang w:val="es-ES"/>
        </w:rPr>
        <w:t xml:space="preserve">pueda afirmarse la existencia de una </w:t>
      </w:r>
      <w:r w:rsidRPr="00BF0FEA">
        <w:rPr>
          <w:rFonts w:ascii="Cambria" w:hAnsi="Cambria"/>
          <w:sz w:val="20"/>
          <w:szCs w:val="20"/>
          <w:lang w:val="es-ES"/>
        </w:rPr>
        <w:t>situación de flagrancia. Por el contrario, la Comisión toma nota de que éstas se realizaron luego de haberse efectuado un allanamiento</w:t>
      </w:r>
      <w:r>
        <w:rPr>
          <w:rFonts w:ascii="Cambria" w:hAnsi="Cambria"/>
          <w:sz w:val="20"/>
          <w:szCs w:val="20"/>
          <w:lang w:val="es-ES"/>
        </w:rPr>
        <w:t xml:space="preserve"> arbitrario en diversos domicilios de los familiares del señor Deras. En vista de ello, la CIDH considera que las detenciones se realizaron de forma ilegal y arbitraria. </w:t>
      </w:r>
    </w:p>
    <w:p w14:paraId="3314A8D6" w14:textId="77777777" w:rsidR="006815E2" w:rsidRDefault="006815E2" w:rsidP="00BF2B9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lang w:val="es-ES"/>
        </w:rPr>
      </w:pPr>
    </w:p>
    <w:p w14:paraId="3A9DDC94" w14:textId="77777777" w:rsidR="003D3886" w:rsidRPr="003D3886" w:rsidRDefault="00924369" w:rsidP="003D38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lang w:val="es-ES"/>
        </w:rPr>
      </w:pPr>
      <w:r>
        <w:rPr>
          <w:rFonts w:ascii="Cambria" w:hAnsi="Cambria"/>
          <w:sz w:val="20"/>
          <w:szCs w:val="20"/>
          <w:lang w:val="es-ES"/>
        </w:rPr>
        <w:t>Adicionalmente, l</w:t>
      </w:r>
      <w:r w:rsidRPr="00AF4741">
        <w:rPr>
          <w:rFonts w:ascii="Cambria" w:hAnsi="Cambria"/>
          <w:sz w:val="20"/>
          <w:szCs w:val="20"/>
          <w:lang w:val="es-ES"/>
        </w:rPr>
        <w:t xml:space="preserve">a </w:t>
      </w:r>
      <w:r w:rsidRPr="00AF4741">
        <w:rPr>
          <w:rFonts w:ascii="Cambria" w:hAnsi="Cambria" w:cs="Univers"/>
          <w:sz w:val="20"/>
          <w:szCs w:val="20"/>
          <w:lang w:val="es-ES"/>
        </w:rPr>
        <w:t>CIDH</w:t>
      </w:r>
      <w:r w:rsidRPr="00AF4741">
        <w:rPr>
          <w:rFonts w:ascii="Cambria" w:hAnsi="Cambria"/>
          <w:sz w:val="20"/>
          <w:szCs w:val="20"/>
          <w:lang w:val="es-ES"/>
        </w:rPr>
        <w:t xml:space="preserve"> cuenta con información que algunos de </w:t>
      </w:r>
      <w:r>
        <w:rPr>
          <w:rFonts w:ascii="Cambria" w:hAnsi="Cambria"/>
          <w:sz w:val="20"/>
          <w:szCs w:val="20"/>
          <w:lang w:val="es-ES"/>
        </w:rPr>
        <w:t xml:space="preserve">los </w:t>
      </w:r>
      <w:r w:rsidRPr="00AF4741">
        <w:rPr>
          <w:rFonts w:ascii="Cambria" w:hAnsi="Cambria"/>
          <w:sz w:val="20"/>
          <w:szCs w:val="20"/>
          <w:lang w:val="es-ES"/>
        </w:rPr>
        <w:t>familiares</w:t>
      </w:r>
      <w:r>
        <w:rPr>
          <w:rFonts w:ascii="Cambria" w:hAnsi="Cambria"/>
          <w:sz w:val="20"/>
          <w:szCs w:val="20"/>
          <w:lang w:val="es-ES"/>
        </w:rPr>
        <w:t xml:space="preserve"> del señor </w:t>
      </w:r>
      <w:r w:rsidRPr="00AF4741">
        <w:rPr>
          <w:rFonts w:ascii="Cambria" w:hAnsi="Cambria"/>
          <w:sz w:val="20"/>
          <w:szCs w:val="20"/>
          <w:lang w:val="es-ES"/>
        </w:rPr>
        <w:t>eran niños o niñas al momento de los hechos</w:t>
      </w:r>
      <w:r w:rsidR="003D3886">
        <w:rPr>
          <w:rFonts w:ascii="Cambria" w:hAnsi="Cambria"/>
          <w:sz w:val="20"/>
          <w:szCs w:val="20"/>
          <w:lang w:val="es-ES"/>
        </w:rPr>
        <w:t xml:space="preserve"> mencionados en esta sección</w:t>
      </w:r>
      <w:r w:rsidRPr="00562573">
        <w:rPr>
          <w:rStyle w:val="FootnoteReference"/>
          <w:rFonts w:ascii="Cambria" w:hAnsi="Cambria"/>
          <w:sz w:val="20"/>
          <w:szCs w:val="20"/>
        </w:rPr>
        <w:footnoteReference w:id="70"/>
      </w:r>
      <w:r w:rsidRPr="00AF4741">
        <w:rPr>
          <w:rFonts w:ascii="Cambria" w:hAnsi="Cambria"/>
          <w:sz w:val="20"/>
          <w:szCs w:val="20"/>
          <w:lang w:val="es-ES"/>
        </w:rPr>
        <w:t>. En ese sentido, la Comisión concluye que el Estado vulneró sus deberes de especial protección de los niños y niñas establecido en el artículo 19 de la Convención Americana, en relación con el art</w:t>
      </w:r>
      <w:r w:rsidR="003D3886">
        <w:rPr>
          <w:rFonts w:ascii="Cambria" w:hAnsi="Cambria"/>
          <w:sz w:val="20"/>
          <w:szCs w:val="20"/>
          <w:lang w:val="es-ES"/>
        </w:rPr>
        <w:t>ículo 1.1 del mismo instrumento</w:t>
      </w:r>
      <w:r w:rsidRPr="00AF4741">
        <w:rPr>
          <w:rFonts w:ascii="Cambria" w:hAnsi="Cambria"/>
          <w:sz w:val="20"/>
          <w:szCs w:val="20"/>
          <w:lang w:val="es-ES"/>
        </w:rPr>
        <w:t>.</w:t>
      </w:r>
    </w:p>
    <w:p w14:paraId="5523F481" w14:textId="77777777" w:rsidR="003D3886" w:rsidRPr="003D3886" w:rsidRDefault="003D3886" w:rsidP="003D388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lang w:val="es-ES"/>
        </w:rPr>
      </w:pPr>
    </w:p>
    <w:p w14:paraId="5F67D16D" w14:textId="77777777" w:rsidR="00270C7F" w:rsidRPr="00BF2B90" w:rsidRDefault="00813EB4" w:rsidP="00270C7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lang w:val="es-ES"/>
        </w:rPr>
      </w:pPr>
      <w:r>
        <w:rPr>
          <w:rFonts w:ascii="Cambria" w:hAnsi="Cambria"/>
          <w:sz w:val="20"/>
          <w:szCs w:val="20"/>
          <w:lang w:val="es-ES"/>
        </w:rPr>
        <w:t>Respecto del derecho establecido en el</w:t>
      </w:r>
      <w:r w:rsidR="00270C7F" w:rsidRPr="00BF2B90">
        <w:rPr>
          <w:rFonts w:ascii="Cambria" w:hAnsi="Cambria"/>
          <w:sz w:val="20"/>
          <w:szCs w:val="20"/>
          <w:lang w:val="es-ES"/>
        </w:rPr>
        <w:t xml:space="preserve"> artículo 22</w:t>
      </w:r>
      <w:r>
        <w:rPr>
          <w:rFonts w:ascii="Cambria" w:hAnsi="Cambria"/>
          <w:sz w:val="20"/>
          <w:szCs w:val="20"/>
          <w:lang w:val="es-ES"/>
        </w:rPr>
        <w:t>.1</w:t>
      </w:r>
      <w:r w:rsidR="00270C7F" w:rsidRPr="00BF2B90">
        <w:rPr>
          <w:rFonts w:ascii="Cambria" w:hAnsi="Cambria"/>
          <w:sz w:val="20"/>
          <w:szCs w:val="20"/>
          <w:lang w:val="es-ES"/>
        </w:rPr>
        <w:t xml:space="preserve"> de la Convención Americana</w:t>
      </w:r>
      <w:r>
        <w:rPr>
          <w:rFonts w:ascii="Cambria" w:hAnsi="Cambria"/>
          <w:sz w:val="20"/>
          <w:szCs w:val="20"/>
          <w:lang w:val="es-ES"/>
        </w:rPr>
        <w:t>, la Corte ha señalado que éste establece</w:t>
      </w:r>
      <w:r w:rsidR="00270C7F" w:rsidRPr="00BF2B90">
        <w:rPr>
          <w:rFonts w:ascii="Cambria" w:hAnsi="Cambria"/>
          <w:sz w:val="20"/>
          <w:szCs w:val="20"/>
          <w:lang w:val="es-ES"/>
        </w:rPr>
        <w:t xml:space="preserve"> la protección del dere</w:t>
      </w:r>
      <w:r>
        <w:rPr>
          <w:rFonts w:ascii="Cambria" w:hAnsi="Cambria"/>
          <w:sz w:val="20"/>
          <w:szCs w:val="20"/>
          <w:lang w:val="es-ES"/>
        </w:rPr>
        <w:t>cho de circulación y residencia. Ello en tanto</w:t>
      </w:r>
      <w:r w:rsidR="00270C7F" w:rsidRPr="00BF2B90">
        <w:rPr>
          <w:rFonts w:ascii="Cambria" w:hAnsi="Cambria"/>
          <w:sz w:val="20"/>
          <w:szCs w:val="20"/>
          <w:lang w:val="es-ES"/>
        </w:rPr>
        <w:t xml:space="preserve"> toda persona que se halle legalmente en territorio</w:t>
      </w:r>
      <w:r w:rsidR="00270C7F" w:rsidRPr="00BF2B90">
        <w:rPr>
          <w:rFonts w:ascii="Cambria" w:hAnsi="Cambria" w:cs="Univers"/>
          <w:sz w:val="20"/>
          <w:szCs w:val="20"/>
          <w:lang w:val="es-ES"/>
        </w:rPr>
        <w:t xml:space="preserve"> de un Estado, tiene el derecho a circular y a residir libremente dentro de él, y el derecho de ingresar, permanecer y salir del territorio del Estado sin interferencia ilegal</w:t>
      </w:r>
      <w:r w:rsidR="00270C7F" w:rsidRPr="00562573">
        <w:rPr>
          <w:rStyle w:val="FootnoteReference"/>
          <w:rFonts w:ascii="Cambria" w:hAnsi="Cambria" w:cs="Univers"/>
          <w:sz w:val="20"/>
          <w:szCs w:val="20"/>
        </w:rPr>
        <w:footnoteReference w:id="71"/>
      </w:r>
      <w:r w:rsidR="00270C7F" w:rsidRPr="00BF2B90">
        <w:rPr>
          <w:rFonts w:ascii="Cambria" w:hAnsi="Cambria" w:cs="Univers"/>
          <w:sz w:val="20"/>
          <w:szCs w:val="20"/>
          <w:lang w:val="es-ES"/>
        </w:rPr>
        <w:t xml:space="preserve">. Asimismo, la Corte ha establecido que este derecho puede resultar afectado cuando una persona es víctima de amenazas u hostigamientos y el Estado no provee las garantías necesarias para que pueda transitar y residir libremente </w:t>
      </w:r>
      <w:r w:rsidR="00270C7F" w:rsidRPr="00BF2B90">
        <w:rPr>
          <w:rFonts w:ascii="Cambria" w:hAnsi="Cambria" w:cs="Univers"/>
          <w:sz w:val="20"/>
          <w:szCs w:val="20"/>
          <w:lang w:val="es-ES"/>
        </w:rPr>
        <w:lastRenderedPageBreak/>
        <w:t>en el territorio de que se trate, incluso cuando las amenazas y hostigamientos provienen de actores no estatales</w:t>
      </w:r>
      <w:r w:rsidR="00270C7F" w:rsidRPr="00562573">
        <w:rPr>
          <w:rStyle w:val="FootnoteReference"/>
          <w:rFonts w:ascii="Cambria" w:hAnsi="Cambria"/>
          <w:sz w:val="20"/>
          <w:szCs w:val="20"/>
        </w:rPr>
        <w:footnoteReference w:id="72"/>
      </w:r>
      <w:r w:rsidR="00270C7F" w:rsidRPr="00BF2B90">
        <w:rPr>
          <w:rFonts w:ascii="Cambria" w:hAnsi="Cambria" w:cs="Univers"/>
          <w:sz w:val="20"/>
          <w:szCs w:val="20"/>
          <w:lang w:val="es-ES"/>
        </w:rPr>
        <w:t xml:space="preserve">. </w:t>
      </w:r>
    </w:p>
    <w:p w14:paraId="2CDA3743" w14:textId="77777777" w:rsidR="00270C7F" w:rsidRPr="00562573" w:rsidRDefault="00270C7F" w:rsidP="00270C7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14:paraId="4A86D80F" w14:textId="77777777" w:rsidR="00270C7F" w:rsidRPr="00270C7F" w:rsidRDefault="00270C7F" w:rsidP="00270C7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lang w:val="es-ES"/>
        </w:rPr>
      </w:pPr>
      <w:r w:rsidRPr="00270C7F">
        <w:rPr>
          <w:rFonts w:ascii="Cambria" w:hAnsi="Cambria" w:cs="Univers"/>
          <w:sz w:val="20"/>
          <w:szCs w:val="20"/>
          <w:lang w:val="es-ES"/>
        </w:rPr>
        <w:t>La Corte ha encontrado violado el artículo 22.1 de la Convención en perjuicio de varias personas quienes se vieron forzadas a salir al exilio, “sin poder o sin querer retornar a su hogar debido al temor bien fundado de persecución”</w:t>
      </w:r>
      <w:r w:rsidRPr="00270C7F">
        <w:rPr>
          <w:rStyle w:val="FootnoteReference"/>
          <w:rFonts w:ascii="Cambria" w:hAnsi="Cambria" w:cs="Univers"/>
          <w:sz w:val="20"/>
          <w:szCs w:val="20"/>
        </w:rPr>
        <w:footnoteReference w:id="73"/>
      </w:r>
      <w:r w:rsidRPr="00270C7F">
        <w:rPr>
          <w:rFonts w:ascii="Cambria" w:hAnsi="Cambria" w:cs="Univers"/>
          <w:sz w:val="20"/>
          <w:szCs w:val="20"/>
          <w:lang w:val="es-ES"/>
        </w:rPr>
        <w:t>. A ese respecto, la Corte ha hecho referencia al impacto social, familiar y económico que tuvo la salida al exilio para estas personas</w:t>
      </w:r>
      <w:r w:rsidRPr="00270C7F">
        <w:rPr>
          <w:rStyle w:val="FootnoteReference"/>
          <w:rFonts w:ascii="Cambria" w:hAnsi="Cambria" w:cs="Univers"/>
          <w:sz w:val="20"/>
          <w:szCs w:val="20"/>
        </w:rPr>
        <w:footnoteReference w:id="74"/>
      </w:r>
      <w:r w:rsidRPr="00270C7F">
        <w:rPr>
          <w:rFonts w:ascii="Cambria" w:hAnsi="Cambria" w:cs="Univers"/>
          <w:sz w:val="20"/>
          <w:szCs w:val="20"/>
          <w:lang w:val="es-ES"/>
        </w:rPr>
        <w:t xml:space="preserve">. </w:t>
      </w:r>
      <w:r w:rsidRPr="00270C7F">
        <w:rPr>
          <w:rFonts w:ascii="Cambria" w:hAnsi="Cambria"/>
          <w:sz w:val="20"/>
          <w:szCs w:val="20"/>
          <w:lang w:val="es-ES"/>
        </w:rPr>
        <w:t>Asimismo, la falta de una investigación efectiva de hechos violentos, así como la situación de impunidad, pueden menoscabar la confianza de las víctimas en el sistema de justicia y contribuir a condiciones de inseguridad. Por ello dicha situación de impunidad puede propiciar o perpetuar un exilio</w:t>
      </w:r>
      <w:r w:rsidRPr="00270C7F">
        <w:rPr>
          <w:rStyle w:val="FootnoteReference"/>
          <w:rFonts w:ascii="Cambria" w:hAnsi="Cambria"/>
          <w:sz w:val="20"/>
          <w:szCs w:val="20"/>
          <w:lang w:val="es-ES"/>
        </w:rPr>
        <w:footnoteReference w:id="75"/>
      </w:r>
      <w:r w:rsidRPr="00270C7F">
        <w:rPr>
          <w:rFonts w:ascii="Cambria" w:hAnsi="Cambria"/>
          <w:sz w:val="20"/>
          <w:szCs w:val="20"/>
          <w:lang w:val="es-ES"/>
        </w:rPr>
        <w:t>.</w:t>
      </w:r>
    </w:p>
    <w:p w14:paraId="321BA5AB" w14:textId="77777777" w:rsidR="00270C7F" w:rsidRDefault="00270C7F" w:rsidP="00270C7F">
      <w:pPr>
        <w:ind w:left="1260"/>
        <w:jc w:val="both"/>
        <w:rPr>
          <w:rFonts w:ascii="Cambria" w:hAnsi="Cambria"/>
          <w:sz w:val="20"/>
          <w:szCs w:val="20"/>
          <w:lang w:val="es-ES"/>
        </w:rPr>
      </w:pPr>
    </w:p>
    <w:p w14:paraId="69AF7260" w14:textId="77777777" w:rsidR="00270C7F" w:rsidRPr="00E97B16" w:rsidRDefault="00270C7F" w:rsidP="00270C7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lang w:val="es-ES"/>
        </w:rPr>
      </w:pPr>
      <w:r>
        <w:rPr>
          <w:rFonts w:ascii="Cambria" w:hAnsi="Cambria" w:cs="Univers"/>
          <w:sz w:val="20"/>
          <w:szCs w:val="20"/>
          <w:lang w:val="es-ES"/>
        </w:rPr>
        <w:t>En el presente caso, la Comisión observa que Héctor Deras, hermano de la víctima, salió del país debido a los hechos de violencia, amenazas y hostigamientos que la familia recibió y, en particular, por la presunta existencia de un plan de agentes militares para asesinarlo. Asimismo, la CIDH toma nota de que Alba Luz, hermana de la víctima, no pudo regresar a Honduras durante la época de los hechos debido a la misma situación.</w:t>
      </w:r>
    </w:p>
    <w:p w14:paraId="0AC3C43D" w14:textId="77777777" w:rsidR="00270C7F" w:rsidRDefault="00270C7F" w:rsidP="00270C7F">
      <w:pPr>
        <w:pStyle w:val="ListParagraph"/>
        <w:rPr>
          <w:rFonts w:ascii="Cambria" w:hAnsi="Cambria" w:cs="Univers"/>
          <w:sz w:val="20"/>
          <w:szCs w:val="20"/>
          <w:lang w:val="es-ES"/>
        </w:rPr>
      </w:pPr>
    </w:p>
    <w:p w14:paraId="134C1933" w14:textId="77777777" w:rsidR="00BF2B90" w:rsidRPr="00CC44C8" w:rsidRDefault="00270C7F" w:rsidP="00BF2B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lang w:val="es-ES"/>
        </w:rPr>
      </w:pPr>
      <w:r w:rsidRPr="00EB3C87">
        <w:rPr>
          <w:rFonts w:ascii="Cambria" w:hAnsi="Cambria" w:cs="Univers"/>
          <w:sz w:val="20"/>
          <w:szCs w:val="20"/>
          <w:lang w:val="es-ES"/>
        </w:rPr>
        <w:t>La Comisión considera que la falta de investigación</w:t>
      </w:r>
      <w:r>
        <w:rPr>
          <w:rFonts w:ascii="Cambria" w:hAnsi="Cambria" w:cs="Univers"/>
          <w:sz w:val="20"/>
          <w:szCs w:val="20"/>
          <w:lang w:val="es-ES"/>
        </w:rPr>
        <w:t xml:space="preserve"> sobre estos asuntos</w:t>
      </w:r>
      <w:r w:rsidRPr="00EB3C87">
        <w:rPr>
          <w:rFonts w:ascii="Cambria" w:hAnsi="Cambria" w:cs="Univers"/>
          <w:sz w:val="20"/>
          <w:szCs w:val="20"/>
          <w:lang w:val="es-ES"/>
        </w:rPr>
        <w:t>,</w:t>
      </w:r>
      <w:r>
        <w:rPr>
          <w:rFonts w:ascii="Cambria" w:hAnsi="Cambria" w:cs="Univers"/>
          <w:sz w:val="20"/>
          <w:szCs w:val="20"/>
          <w:lang w:val="es-ES"/>
        </w:rPr>
        <w:t xml:space="preserve"> tal como se explicará en la siguiente sección,</w:t>
      </w:r>
      <w:r w:rsidRPr="00EB3C87">
        <w:rPr>
          <w:rFonts w:ascii="Cambria" w:hAnsi="Cambria" w:cs="Univers"/>
          <w:sz w:val="20"/>
          <w:szCs w:val="20"/>
          <w:lang w:val="es-ES"/>
        </w:rPr>
        <w:t xml:space="preserve"> así como la ausencia de medidas efectivas de protección, tienen un</w:t>
      </w:r>
      <w:r w:rsidR="007962B2">
        <w:rPr>
          <w:rFonts w:ascii="Cambria" w:hAnsi="Cambria" w:cs="Univers"/>
          <w:sz w:val="20"/>
          <w:szCs w:val="20"/>
          <w:lang w:val="es-ES"/>
        </w:rPr>
        <w:t xml:space="preserve"> nexo </w:t>
      </w:r>
      <w:r w:rsidRPr="00EB3C87">
        <w:rPr>
          <w:rFonts w:ascii="Cambria" w:hAnsi="Cambria" w:cs="Univers"/>
          <w:sz w:val="20"/>
          <w:szCs w:val="20"/>
          <w:lang w:val="es-ES"/>
        </w:rPr>
        <w:t>de causalidad suficientemente sólida con la salida</w:t>
      </w:r>
      <w:r>
        <w:rPr>
          <w:rFonts w:ascii="Cambria" w:hAnsi="Cambria" w:cs="Univers"/>
          <w:sz w:val="20"/>
          <w:szCs w:val="20"/>
          <w:lang w:val="es-ES"/>
        </w:rPr>
        <w:t xml:space="preserve"> del país de Héctor Deras y con la imposibilidad de regresar de Alba Luz, </w:t>
      </w:r>
      <w:r w:rsidRPr="00EB3C87">
        <w:rPr>
          <w:rFonts w:ascii="Cambria" w:hAnsi="Cambria" w:cs="Univers"/>
          <w:sz w:val="20"/>
          <w:szCs w:val="20"/>
          <w:lang w:val="es-ES"/>
        </w:rPr>
        <w:t xml:space="preserve">para atribuir al Estado responsabilidad </w:t>
      </w:r>
      <w:r>
        <w:rPr>
          <w:rFonts w:ascii="Cambria" w:hAnsi="Cambria" w:cs="Univers"/>
          <w:sz w:val="20"/>
          <w:szCs w:val="20"/>
          <w:lang w:val="es-ES"/>
        </w:rPr>
        <w:t>internacional.</w:t>
      </w:r>
      <w:r>
        <w:rPr>
          <w:rFonts w:ascii="Cambria" w:hAnsi="Cambria"/>
          <w:sz w:val="20"/>
          <w:szCs w:val="20"/>
          <w:lang w:val="es-ES"/>
        </w:rPr>
        <w:t xml:space="preserve"> </w:t>
      </w:r>
      <w:r w:rsidRPr="00E97B16">
        <w:rPr>
          <w:rFonts w:ascii="Cambria" w:hAnsi="Cambria"/>
          <w:sz w:val="20"/>
          <w:szCs w:val="20"/>
          <w:lang w:val="es-ES"/>
        </w:rPr>
        <w:t xml:space="preserve">Por lo tanto, la CIDH concluye que el Estado es responsable por la </w:t>
      </w:r>
      <w:r w:rsidRPr="00CC44C8">
        <w:rPr>
          <w:rFonts w:ascii="Cambria" w:hAnsi="Cambria"/>
          <w:sz w:val="20"/>
          <w:szCs w:val="20"/>
          <w:lang w:val="es-ES"/>
        </w:rPr>
        <w:t>violación del derecho de circulación y de residencia, protegido en el artículo 22.1 de la Convención Americana, en relación con el artículo 1.1 de la misma, en perjuicio de Héctor  y Alba Luz Deras.</w:t>
      </w:r>
    </w:p>
    <w:p w14:paraId="696F867A" w14:textId="77777777" w:rsidR="002C6E40" w:rsidRPr="00CC44C8" w:rsidRDefault="002C6E40" w:rsidP="00222B16">
      <w:pPr>
        <w:pStyle w:val="ListParagraph"/>
        <w:ind w:left="0"/>
        <w:rPr>
          <w:rFonts w:ascii="Cambria" w:hAnsi="Cambria"/>
          <w:sz w:val="20"/>
          <w:szCs w:val="20"/>
          <w:lang w:val="es-ES"/>
        </w:rPr>
      </w:pPr>
    </w:p>
    <w:p w14:paraId="7686E510" w14:textId="77777777" w:rsidR="0059069B" w:rsidRPr="00CC44C8" w:rsidRDefault="00CD345C" w:rsidP="00CD345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lang w:val="es-ES_tradnl"/>
        </w:rPr>
      </w:pPr>
      <w:r w:rsidRPr="00CC44C8">
        <w:rPr>
          <w:rFonts w:ascii="Cambria" w:hAnsi="Cambria" w:cs="Univers"/>
          <w:sz w:val="20"/>
          <w:szCs w:val="20"/>
          <w:lang w:val="es-ES"/>
        </w:rPr>
        <w:t>Finalmente</w:t>
      </w:r>
      <w:r w:rsidRPr="00CC44C8">
        <w:rPr>
          <w:rFonts w:ascii="Cambria" w:hAnsi="Cambria"/>
          <w:sz w:val="20"/>
          <w:szCs w:val="20"/>
          <w:lang w:val="es-ES"/>
        </w:rPr>
        <w:t xml:space="preserve">, </w:t>
      </w:r>
      <w:r w:rsidR="0059069B" w:rsidRPr="00CC44C8">
        <w:rPr>
          <w:rFonts w:ascii="Cambria" w:hAnsi="Cambria"/>
          <w:sz w:val="20"/>
          <w:szCs w:val="20"/>
          <w:lang w:val="es-ES"/>
        </w:rPr>
        <w:t xml:space="preserve">en relación con la protección de </w:t>
      </w:r>
      <w:r w:rsidR="001E0188">
        <w:rPr>
          <w:rFonts w:ascii="Cambria" w:hAnsi="Cambria"/>
          <w:sz w:val="20"/>
          <w:szCs w:val="20"/>
          <w:lang w:val="es-ES"/>
        </w:rPr>
        <w:t xml:space="preserve">la </w:t>
      </w:r>
      <w:r w:rsidR="0059069B" w:rsidRPr="00CC44C8">
        <w:rPr>
          <w:rFonts w:ascii="Cambria" w:hAnsi="Cambria"/>
          <w:sz w:val="20"/>
          <w:szCs w:val="20"/>
          <w:lang w:val="es-ES"/>
        </w:rPr>
        <w:t>familia establecid</w:t>
      </w:r>
      <w:r w:rsidR="003E236D">
        <w:rPr>
          <w:rFonts w:ascii="Cambria" w:hAnsi="Cambria"/>
          <w:sz w:val="20"/>
          <w:szCs w:val="20"/>
          <w:lang w:val="es-ES"/>
        </w:rPr>
        <w:t>a</w:t>
      </w:r>
      <w:r w:rsidR="0059069B" w:rsidRPr="00CC44C8">
        <w:rPr>
          <w:rFonts w:ascii="Cambria" w:hAnsi="Cambria"/>
          <w:sz w:val="20"/>
          <w:szCs w:val="20"/>
          <w:lang w:val="es-ES"/>
        </w:rPr>
        <w:t xml:space="preserve"> en el artículo 17.1 de la Convención Americana, la Comisión considera que alegatos se refieren a supuestas afectaciones que, en lo sustancial, se examinan en distintas secciones del presente informe. En consecuencia, la CIDH no estima necesario hacer un pronunciamiento </w:t>
      </w:r>
      <w:r w:rsidR="00DA313C">
        <w:rPr>
          <w:rFonts w:ascii="Cambria" w:hAnsi="Cambria"/>
          <w:sz w:val="20"/>
          <w:szCs w:val="20"/>
          <w:lang w:val="es-ES"/>
        </w:rPr>
        <w:t xml:space="preserve">autónomo </w:t>
      </w:r>
      <w:r w:rsidR="0059069B" w:rsidRPr="00CC44C8">
        <w:rPr>
          <w:rFonts w:ascii="Cambria" w:hAnsi="Cambria"/>
          <w:sz w:val="20"/>
          <w:szCs w:val="20"/>
          <w:lang w:val="es-ES"/>
        </w:rPr>
        <w:t>al respecto.</w:t>
      </w:r>
    </w:p>
    <w:p w14:paraId="300E827C" w14:textId="77777777" w:rsidR="003D3886" w:rsidRPr="00A21666" w:rsidRDefault="003D3886" w:rsidP="00222B16">
      <w:pPr>
        <w:pStyle w:val="ListParagraph"/>
        <w:ind w:left="0"/>
        <w:rPr>
          <w:rFonts w:ascii="Cambria" w:hAnsi="Cambria"/>
          <w:sz w:val="20"/>
          <w:szCs w:val="20"/>
          <w:lang w:val="es-ES"/>
        </w:rPr>
      </w:pPr>
    </w:p>
    <w:p w14:paraId="37B0A9A3" w14:textId="77777777" w:rsidR="00A56846" w:rsidRPr="00A21666" w:rsidRDefault="00435A16" w:rsidP="00617E74">
      <w:pPr>
        <w:pStyle w:val="Heading2"/>
        <w:numPr>
          <w:ilvl w:val="0"/>
          <w:numId w:val="71"/>
        </w:numPr>
        <w:ind w:left="360"/>
        <w:jc w:val="both"/>
        <w:rPr>
          <w:b w:val="0"/>
          <w:lang w:val="es-ES"/>
        </w:rPr>
      </w:pPr>
      <w:bookmarkStart w:id="25" w:name="_Toc21442041"/>
      <w:r w:rsidRPr="00A21666">
        <w:rPr>
          <w:lang w:val="es-ES"/>
        </w:rPr>
        <w:t>Derecho</w:t>
      </w:r>
      <w:r w:rsidR="005D2518" w:rsidRPr="00A21666">
        <w:rPr>
          <w:lang w:val="es-ES"/>
        </w:rPr>
        <w:t xml:space="preserve"> a la</w:t>
      </w:r>
      <w:r w:rsidRPr="00A21666">
        <w:rPr>
          <w:lang w:val="es-ES"/>
        </w:rPr>
        <w:t>s garantías j</w:t>
      </w:r>
      <w:r w:rsidR="005D2518" w:rsidRPr="00A21666">
        <w:rPr>
          <w:lang w:val="es-ES"/>
        </w:rPr>
        <w:t>udiciales</w:t>
      </w:r>
      <w:r w:rsidRPr="00A21666">
        <w:rPr>
          <w:lang w:val="es-ES"/>
        </w:rPr>
        <w:t xml:space="preserve"> y</w:t>
      </w:r>
      <w:r w:rsidR="005D2518" w:rsidRPr="00A21666">
        <w:rPr>
          <w:lang w:val="es-ES"/>
        </w:rPr>
        <w:t xml:space="preserve"> </w:t>
      </w:r>
      <w:r w:rsidRPr="00A21666">
        <w:rPr>
          <w:lang w:val="es-ES"/>
        </w:rPr>
        <w:t>p</w:t>
      </w:r>
      <w:r w:rsidR="005D2518" w:rsidRPr="00A21666">
        <w:rPr>
          <w:lang w:val="es-ES"/>
        </w:rPr>
        <w:t xml:space="preserve">rotección </w:t>
      </w:r>
      <w:r w:rsidRPr="00A21666">
        <w:rPr>
          <w:lang w:val="es-ES"/>
        </w:rPr>
        <w:t>j</w:t>
      </w:r>
      <w:r w:rsidR="005D2518" w:rsidRPr="00A21666">
        <w:rPr>
          <w:lang w:val="es-ES"/>
        </w:rPr>
        <w:t>udicial</w:t>
      </w:r>
      <w:r w:rsidRPr="00A21666">
        <w:rPr>
          <w:lang w:val="es-ES"/>
        </w:rPr>
        <w:t xml:space="preserve"> </w:t>
      </w:r>
      <w:r w:rsidR="005D2518" w:rsidRPr="00A21666">
        <w:rPr>
          <w:lang w:val="es-ES"/>
        </w:rPr>
        <w:t>(artículos 8</w:t>
      </w:r>
      <w:r w:rsidRPr="00A21666">
        <w:rPr>
          <w:lang w:val="es-ES"/>
        </w:rPr>
        <w:t>.1</w:t>
      </w:r>
      <w:r w:rsidR="005D2518" w:rsidRPr="00A21666">
        <w:rPr>
          <w:lang w:val="es-ES"/>
        </w:rPr>
        <w:t xml:space="preserve"> y 25</w:t>
      </w:r>
      <w:r w:rsidRPr="00A21666">
        <w:rPr>
          <w:lang w:val="es-ES"/>
        </w:rPr>
        <w:t>.1</w:t>
      </w:r>
      <w:r w:rsidR="005D2518" w:rsidRPr="00A21666">
        <w:rPr>
          <w:lang w:val="es-CL"/>
        </w:rPr>
        <w:t xml:space="preserve"> </w:t>
      </w:r>
      <w:r w:rsidR="005D2518" w:rsidRPr="00A21666">
        <w:rPr>
          <w:lang w:val="es-ES"/>
        </w:rPr>
        <w:t>en relación con el artículo 1.1 de la Convención Americana)</w:t>
      </w:r>
      <w:bookmarkEnd w:id="25"/>
      <w:r w:rsidR="005D2518" w:rsidRPr="00A21666">
        <w:rPr>
          <w:lang w:val="es-ES"/>
        </w:rPr>
        <w:t xml:space="preserve"> </w:t>
      </w:r>
    </w:p>
    <w:p w14:paraId="0F689CD9" w14:textId="77777777" w:rsidR="00435A16" w:rsidRDefault="00435A16" w:rsidP="00435A16">
      <w:pPr>
        <w:ind w:left="630"/>
        <w:jc w:val="both"/>
        <w:rPr>
          <w:rFonts w:ascii="Cambria" w:hAnsi="Cambria"/>
          <w:sz w:val="20"/>
          <w:szCs w:val="20"/>
          <w:lang w:val="es-ES"/>
        </w:rPr>
      </w:pPr>
    </w:p>
    <w:p w14:paraId="3B55E103" w14:textId="77777777" w:rsidR="00654D1C" w:rsidRPr="00B97AE6" w:rsidRDefault="00654D1C" w:rsidP="00654D1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lang w:val="es-VE"/>
        </w:rPr>
      </w:pPr>
      <w:r w:rsidRPr="00B97AE6">
        <w:rPr>
          <w:rFonts w:ascii="Cambria" w:hAnsi="Cambria"/>
          <w:sz w:val="20"/>
          <w:szCs w:val="20"/>
          <w:lang w:val="es-ES"/>
        </w:rPr>
        <w:t>Tanto la CIDH como la Corte han establecido que en casos relacionados con muertes violentas</w:t>
      </w:r>
      <w:r w:rsidRPr="00B97AE6">
        <w:rPr>
          <w:rFonts w:ascii="Cambria" w:hAnsi="Cambria" w:cs="Verdana"/>
          <w:sz w:val="20"/>
          <w:szCs w:val="20"/>
          <w:lang w:val="es-ES"/>
        </w:rPr>
        <w:t xml:space="preserve">, </w:t>
      </w:r>
      <w:r w:rsidRPr="00B97AE6">
        <w:rPr>
          <w:rFonts w:ascii="Cambria" w:hAnsi="Cambria"/>
          <w:sz w:val="20"/>
          <w:szCs w:val="20"/>
          <w:lang w:val="es-VE"/>
        </w:rPr>
        <w:t>especialmente</w:t>
      </w:r>
      <w:r w:rsidRPr="00B97AE6">
        <w:rPr>
          <w:rFonts w:ascii="Cambria" w:hAnsi="Cambria" w:cs="Verdana"/>
          <w:sz w:val="20"/>
          <w:szCs w:val="20"/>
          <w:lang w:val="es-ES"/>
        </w:rPr>
        <w:t xml:space="preserve"> cuando puedan estar involucrados agentes estatales, la investigación debe ser realizada </w:t>
      </w:r>
      <w:r w:rsidRPr="00B97AE6">
        <w:rPr>
          <w:rFonts w:ascii="Cambria" w:hAnsi="Cambria"/>
          <w:sz w:val="20"/>
          <w:szCs w:val="20"/>
          <w:lang w:val="es-ES"/>
        </w:rPr>
        <w:t>a través de todos los medios legales disponibles para la determinación de la verdad y el enjuiciamiento y castigo de todos los responsables de los hechos</w:t>
      </w:r>
      <w:r w:rsidRPr="00B97AE6">
        <w:rPr>
          <w:rStyle w:val="FootnoteReference"/>
          <w:rFonts w:ascii="Cambria" w:hAnsi="Cambria" w:cs="Verdana"/>
          <w:sz w:val="20"/>
          <w:szCs w:val="20"/>
          <w:lang w:val="es-ES"/>
        </w:rPr>
        <w:footnoteReference w:id="76"/>
      </w:r>
      <w:r w:rsidRPr="00B97AE6">
        <w:rPr>
          <w:rFonts w:ascii="Cambria" w:hAnsi="Cambria"/>
          <w:sz w:val="20"/>
          <w:szCs w:val="20"/>
          <w:lang w:val="es-ES"/>
        </w:rPr>
        <w:t xml:space="preserve">. Asimismo, los Estados deben </w:t>
      </w:r>
      <w:r w:rsidRPr="00B97AE6">
        <w:rPr>
          <w:rFonts w:ascii="Cambria" w:hAnsi="Cambria"/>
          <w:sz w:val="20"/>
          <w:szCs w:val="20"/>
          <w:lang w:val="es-VE"/>
        </w:rPr>
        <w:t>debe proveer un recurso rápido y sencillo para lograr que los responsables de violaciones de derechos humanos sean juzgados y las víctimas obtengan reparación por el daño sufrido</w:t>
      </w:r>
      <w:r w:rsidRPr="00B97AE6">
        <w:rPr>
          <w:rStyle w:val="FootnoteReference"/>
          <w:rFonts w:ascii="Cambria" w:hAnsi="Cambria"/>
          <w:sz w:val="20"/>
          <w:szCs w:val="20"/>
          <w:lang w:val="es-VE"/>
        </w:rPr>
        <w:footnoteReference w:id="77"/>
      </w:r>
      <w:r w:rsidRPr="00B97AE6">
        <w:rPr>
          <w:rFonts w:ascii="Cambria" w:hAnsi="Cambria"/>
          <w:sz w:val="20"/>
          <w:szCs w:val="20"/>
          <w:lang w:val="es-VE"/>
        </w:rPr>
        <w:t>.</w:t>
      </w:r>
    </w:p>
    <w:p w14:paraId="68A6020F" w14:textId="77777777" w:rsidR="00654D1C" w:rsidRPr="00B97AE6" w:rsidRDefault="00654D1C" w:rsidP="00654D1C">
      <w:pPr>
        <w:jc w:val="both"/>
        <w:rPr>
          <w:rFonts w:ascii="Cambria" w:hAnsi="Cambria"/>
          <w:sz w:val="20"/>
          <w:szCs w:val="20"/>
          <w:lang w:val="es-VE"/>
        </w:rPr>
      </w:pPr>
    </w:p>
    <w:p w14:paraId="43A9EEB6" w14:textId="77777777" w:rsidR="00654D1C" w:rsidRPr="00B97AE6" w:rsidRDefault="00654D1C" w:rsidP="00654D1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lang w:val="es-VE"/>
        </w:rPr>
      </w:pPr>
      <w:r w:rsidRPr="00B97AE6">
        <w:rPr>
          <w:rFonts w:ascii="Cambria" w:hAnsi="Cambria"/>
          <w:sz w:val="20"/>
          <w:szCs w:val="20"/>
          <w:lang w:val="es-CL"/>
        </w:rPr>
        <w:t xml:space="preserve">Adicionalmente, en casos en los que la muerte pudo haber sido consecuencia del uso letal de la fuerza por parte de agentes estatales, el Tribunal Europeo ha señalado que debe realizarse el “más cuidadoso escrutinio” tomando en consideración no “sólo las acciones de los agentes del Estado quienes ejercieron la fuerza, sino todas las circunstancias respectivas incluyendo materias tales como la planificación y control de las acciones </w:t>
      </w:r>
      <w:r w:rsidRPr="00B97AE6">
        <w:rPr>
          <w:rFonts w:ascii="Cambria" w:hAnsi="Cambria"/>
          <w:sz w:val="20"/>
          <w:szCs w:val="20"/>
          <w:lang w:val="es-CL"/>
        </w:rPr>
        <w:lastRenderedPageBreak/>
        <w:t>bajo examen”</w:t>
      </w:r>
      <w:r w:rsidRPr="00B97AE6">
        <w:rPr>
          <w:rStyle w:val="FootnoteReference"/>
          <w:rFonts w:ascii="Cambria" w:hAnsi="Cambria"/>
          <w:sz w:val="20"/>
          <w:szCs w:val="20"/>
          <w:lang w:val="es-CL"/>
        </w:rPr>
        <w:footnoteReference w:id="78"/>
      </w:r>
      <w:r w:rsidRPr="00B97AE6">
        <w:rPr>
          <w:rFonts w:ascii="Cambria" w:hAnsi="Cambria"/>
          <w:sz w:val="20"/>
          <w:szCs w:val="20"/>
          <w:lang w:val="es-CL"/>
        </w:rPr>
        <w:t>. De esta forma, “cualquier deficiencia en la investigación que socave su capacidad para establecer la causa de la muerte o a la persona responsable arriesgará el cumplimiento de esta norma”</w:t>
      </w:r>
      <w:r w:rsidRPr="00B97AE6">
        <w:rPr>
          <w:rStyle w:val="FootnoteReference"/>
          <w:rFonts w:ascii="Cambria" w:hAnsi="Cambria"/>
          <w:sz w:val="20"/>
          <w:szCs w:val="20"/>
          <w:lang w:val="es-CL"/>
        </w:rPr>
        <w:footnoteReference w:id="79"/>
      </w:r>
      <w:r w:rsidRPr="00B97AE6">
        <w:rPr>
          <w:rFonts w:ascii="Cambria" w:hAnsi="Cambria"/>
          <w:sz w:val="20"/>
          <w:szCs w:val="20"/>
          <w:lang w:val="es-VE"/>
        </w:rPr>
        <w:t>.</w:t>
      </w:r>
    </w:p>
    <w:p w14:paraId="6937A038" w14:textId="77777777" w:rsidR="0056499E" w:rsidRPr="00A21666" w:rsidRDefault="0056499E" w:rsidP="00B97BC0">
      <w:pPr>
        <w:jc w:val="both"/>
        <w:rPr>
          <w:rFonts w:ascii="Cambria" w:hAnsi="Cambria"/>
          <w:sz w:val="20"/>
          <w:szCs w:val="20"/>
          <w:lang w:val="es-ES"/>
        </w:rPr>
      </w:pPr>
    </w:p>
    <w:p w14:paraId="160A77F6" w14:textId="77777777" w:rsidR="008E0351" w:rsidRDefault="00B97BC0" w:rsidP="002212A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lang w:val="es-ES"/>
        </w:rPr>
      </w:pPr>
      <w:r>
        <w:rPr>
          <w:rFonts w:ascii="Cambria" w:hAnsi="Cambria"/>
          <w:sz w:val="20"/>
          <w:szCs w:val="20"/>
          <w:lang w:val="es-CL"/>
        </w:rPr>
        <w:t>En el presente caso, la Comisión observa</w:t>
      </w:r>
      <w:r w:rsidR="002212A3">
        <w:rPr>
          <w:rFonts w:ascii="Cambria" w:hAnsi="Cambria"/>
          <w:sz w:val="20"/>
          <w:szCs w:val="20"/>
          <w:lang w:val="es-CL"/>
        </w:rPr>
        <w:t xml:space="preserve"> diversas omisiones e irregularidades en las diligencias que debían realizarse luego de la muerte del señor Deras. </w:t>
      </w:r>
      <w:r w:rsidR="002212A3">
        <w:rPr>
          <w:rFonts w:ascii="Cambria" w:hAnsi="Cambria"/>
          <w:sz w:val="20"/>
          <w:szCs w:val="20"/>
          <w:lang w:val="es-ES"/>
        </w:rPr>
        <w:t xml:space="preserve"> </w:t>
      </w:r>
      <w:r w:rsidR="00B30F05" w:rsidRPr="002212A3">
        <w:rPr>
          <w:rFonts w:ascii="Cambria" w:hAnsi="Cambria"/>
          <w:sz w:val="20"/>
          <w:szCs w:val="20"/>
          <w:lang w:val="es-ES"/>
        </w:rPr>
        <w:t xml:space="preserve">En primer lugar, la Comisión nota que </w:t>
      </w:r>
      <w:r w:rsidR="000E51BB" w:rsidRPr="002212A3">
        <w:rPr>
          <w:rFonts w:ascii="Cambria" w:hAnsi="Cambria"/>
          <w:sz w:val="20"/>
          <w:szCs w:val="20"/>
          <w:lang w:val="es-ES"/>
        </w:rPr>
        <w:t>miembros de la Fuerza Pública</w:t>
      </w:r>
      <w:r w:rsidR="00B30F05" w:rsidRPr="002212A3">
        <w:rPr>
          <w:rFonts w:ascii="Cambria" w:hAnsi="Cambria"/>
          <w:sz w:val="20"/>
          <w:szCs w:val="20"/>
          <w:lang w:val="es-ES"/>
        </w:rPr>
        <w:t xml:space="preserve"> </w:t>
      </w:r>
      <w:r w:rsidR="008E0351">
        <w:rPr>
          <w:rFonts w:ascii="Cambria" w:hAnsi="Cambria"/>
          <w:sz w:val="20"/>
          <w:szCs w:val="20"/>
          <w:lang w:val="es-ES"/>
        </w:rPr>
        <w:t xml:space="preserve">no preservaron la escena del crimen sino que se llevaron </w:t>
      </w:r>
      <w:r w:rsidR="002212A3">
        <w:rPr>
          <w:rFonts w:ascii="Cambria" w:hAnsi="Cambria"/>
          <w:sz w:val="20"/>
          <w:szCs w:val="20"/>
          <w:lang w:val="es-ES"/>
        </w:rPr>
        <w:t>los restos del señor Deras</w:t>
      </w:r>
      <w:r w:rsidR="008E0351">
        <w:rPr>
          <w:rFonts w:ascii="Cambria" w:hAnsi="Cambria"/>
          <w:sz w:val="20"/>
          <w:szCs w:val="20"/>
          <w:lang w:val="es-ES"/>
        </w:rPr>
        <w:t xml:space="preserve"> a la morgue</w:t>
      </w:r>
      <w:r w:rsidR="002212A3">
        <w:rPr>
          <w:rFonts w:ascii="Cambria" w:hAnsi="Cambria"/>
          <w:sz w:val="20"/>
          <w:szCs w:val="20"/>
          <w:lang w:val="es-ES"/>
        </w:rPr>
        <w:t xml:space="preserve">. En segundo lugar, </w:t>
      </w:r>
      <w:r w:rsidR="008E0351">
        <w:rPr>
          <w:rFonts w:ascii="Cambria" w:hAnsi="Cambria"/>
          <w:sz w:val="20"/>
          <w:szCs w:val="20"/>
          <w:lang w:val="es-ES"/>
        </w:rPr>
        <w:t xml:space="preserve">las autoridades públicas no realizaron la autopsia una vez que los restos del señor Deras fueron llevados a la morgue, a efectos de esclarecer las razones de su muerte. En tercer lugar, no se realizaron diligencias para determinar la cantidad de disparos recibidos, el tipo de balas utilizadas y el cotejo con las armas de los agentes militares involucrados. </w:t>
      </w:r>
    </w:p>
    <w:p w14:paraId="2AA8D642" w14:textId="77777777" w:rsidR="008E0351" w:rsidRDefault="008E0351" w:rsidP="008E0351">
      <w:pPr>
        <w:pStyle w:val="ListParagraph"/>
        <w:rPr>
          <w:rFonts w:ascii="Cambria" w:hAnsi="Cambria"/>
          <w:sz w:val="20"/>
          <w:szCs w:val="20"/>
          <w:lang w:val="es-ES"/>
        </w:rPr>
      </w:pPr>
    </w:p>
    <w:p w14:paraId="2A307D2A" w14:textId="77777777" w:rsidR="004B4858" w:rsidRPr="00B97AE6" w:rsidRDefault="008E0351" w:rsidP="004B485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lang w:val="es-VE"/>
        </w:rPr>
      </w:pPr>
      <w:r>
        <w:rPr>
          <w:rFonts w:ascii="Cambria" w:hAnsi="Cambria"/>
          <w:sz w:val="20"/>
          <w:szCs w:val="20"/>
          <w:lang w:val="es-ES"/>
        </w:rPr>
        <w:t>A ello se suma que</w:t>
      </w:r>
      <w:r w:rsidR="004B4858">
        <w:rPr>
          <w:rFonts w:ascii="Cambria" w:hAnsi="Cambria"/>
          <w:sz w:val="20"/>
          <w:szCs w:val="20"/>
          <w:lang w:val="es-ES"/>
        </w:rPr>
        <w:t xml:space="preserve"> luego de la denuncia presentada por </w:t>
      </w:r>
      <w:r w:rsidR="004B4858" w:rsidRPr="00A21666">
        <w:rPr>
          <w:rFonts w:ascii="Cambria" w:hAnsi="Cambria"/>
          <w:sz w:val="20"/>
          <w:szCs w:val="20"/>
          <w:lang w:val="es-ES"/>
        </w:rPr>
        <w:t>Otilia Flores</w:t>
      </w:r>
      <w:r w:rsidR="004B4858">
        <w:rPr>
          <w:rFonts w:ascii="Cambria" w:hAnsi="Cambria"/>
          <w:sz w:val="20"/>
          <w:szCs w:val="20"/>
          <w:lang w:val="es-ES"/>
        </w:rPr>
        <w:t xml:space="preserve"> inmediatamente después de la muerte del señor Deras, las autoridades judiciales no iniciaron una investigación para esclarecer lo sucedido ni identificar a las personas responsables. La Comisión observa que </w:t>
      </w:r>
      <w:r w:rsidR="00F34A05">
        <w:rPr>
          <w:rFonts w:ascii="Cambria" w:hAnsi="Cambria"/>
          <w:sz w:val="20"/>
          <w:szCs w:val="20"/>
          <w:lang w:val="es-ES"/>
        </w:rPr>
        <w:t>fue</w:t>
      </w:r>
      <w:r w:rsidR="004B4858">
        <w:rPr>
          <w:rFonts w:ascii="Cambria" w:hAnsi="Cambria"/>
          <w:sz w:val="20"/>
          <w:szCs w:val="20"/>
          <w:lang w:val="es-ES"/>
        </w:rPr>
        <w:t xml:space="preserve"> recién quince años después de lo sucedido, que el Ministerio Público presentó una denuncia, la cual culminó con una sentencia condenatoria en segunda instancia en contra de Marco Tulio Regalado por el delito de asesinato. La CIDH remarca que dicha sentencia no ha sido ejecutada a la fecha. </w:t>
      </w:r>
      <w:r w:rsidR="004B4858" w:rsidRPr="00B97AE6">
        <w:rPr>
          <w:rFonts w:ascii="Cambria" w:hAnsi="Cambria"/>
          <w:sz w:val="20"/>
          <w:szCs w:val="20"/>
          <w:lang w:val="es-VE"/>
        </w:rPr>
        <w:t>La CIDH observa que de la información disponible dicha persona se encuentra prófuga y el Estado no ha</w:t>
      </w:r>
      <w:r w:rsidR="00852592">
        <w:rPr>
          <w:rFonts w:ascii="Cambria" w:hAnsi="Cambria"/>
          <w:sz w:val="20"/>
          <w:szCs w:val="20"/>
          <w:lang w:val="es-VE"/>
        </w:rPr>
        <w:t xml:space="preserve"> aportado información que indique que ha realizado todos los esfuerzos a su alcance para </w:t>
      </w:r>
      <w:r w:rsidR="004B4858" w:rsidRPr="00B97AE6">
        <w:rPr>
          <w:rFonts w:ascii="Cambria" w:hAnsi="Cambria"/>
          <w:sz w:val="20"/>
          <w:szCs w:val="20"/>
          <w:lang w:val="es-VE"/>
        </w:rPr>
        <w:t>localizarl</w:t>
      </w:r>
      <w:r w:rsidR="001269E9">
        <w:rPr>
          <w:rFonts w:ascii="Cambria" w:hAnsi="Cambria"/>
          <w:sz w:val="20"/>
          <w:szCs w:val="20"/>
          <w:lang w:val="es-VE"/>
        </w:rPr>
        <w:t>a</w:t>
      </w:r>
      <w:r w:rsidR="004B4858" w:rsidRPr="00B97AE6">
        <w:rPr>
          <w:rFonts w:ascii="Cambria" w:hAnsi="Cambria"/>
          <w:sz w:val="20"/>
          <w:szCs w:val="20"/>
          <w:lang w:val="es-VE"/>
        </w:rPr>
        <w:t xml:space="preserve">. En el mismo sentido </w:t>
      </w:r>
      <w:r w:rsidR="00C80E2B">
        <w:rPr>
          <w:rFonts w:ascii="Cambria" w:hAnsi="Cambria"/>
          <w:sz w:val="20"/>
          <w:szCs w:val="20"/>
          <w:lang w:val="es-VE"/>
        </w:rPr>
        <w:t>el Estado informó que otros dos</w:t>
      </w:r>
      <w:r w:rsidR="004B4858" w:rsidRPr="00B97AE6">
        <w:rPr>
          <w:rFonts w:ascii="Cambria" w:hAnsi="Cambria"/>
          <w:sz w:val="20"/>
          <w:szCs w:val="20"/>
          <w:lang w:val="es-VE"/>
        </w:rPr>
        <w:t xml:space="preserve"> agente</w:t>
      </w:r>
      <w:r w:rsidR="00C80E2B">
        <w:rPr>
          <w:rFonts w:ascii="Cambria" w:hAnsi="Cambria"/>
          <w:sz w:val="20"/>
          <w:szCs w:val="20"/>
          <w:lang w:val="es-VE"/>
        </w:rPr>
        <w:t>s</w:t>
      </w:r>
      <w:r w:rsidR="004B4858" w:rsidRPr="00B97AE6">
        <w:rPr>
          <w:rFonts w:ascii="Cambria" w:hAnsi="Cambria"/>
          <w:sz w:val="20"/>
          <w:szCs w:val="20"/>
          <w:lang w:val="es-VE"/>
        </w:rPr>
        <w:t xml:space="preserve"> </w:t>
      </w:r>
      <w:r w:rsidR="00C80E2B">
        <w:rPr>
          <w:rFonts w:ascii="Cambria" w:hAnsi="Cambria"/>
          <w:sz w:val="20"/>
          <w:szCs w:val="20"/>
          <w:lang w:val="es-VE"/>
        </w:rPr>
        <w:t>públicos involucrados en los hechos</w:t>
      </w:r>
      <w:r w:rsidR="004B4858" w:rsidRPr="00B97AE6">
        <w:rPr>
          <w:rFonts w:ascii="Cambria" w:hAnsi="Cambria"/>
          <w:sz w:val="20"/>
          <w:szCs w:val="20"/>
          <w:lang w:val="es-VE"/>
        </w:rPr>
        <w:t xml:space="preserve"> se di</w:t>
      </w:r>
      <w:r w:rsidR="00C80E2B">
        <w:rPr>
          <w:rFonts w:ascii="Cambria" w:hAnsi="Cambria"/>
          <w:sz w:val="20"/>
          <w:szCs w:val="20"/>
          <w:lang w:val="es-VE"/>
        </w:rPr>
        <w:t>eron</w:t>
      </w:r>
      <w:r w:rsidR="004B4858" w:rsidRPr="00B97AE6">
        <w:rPr>
          <w:rFonts w:ascii="Cambria" w:hAnsi="Cambria"/>
          <w:sz w:val="20"/>
          <w:szCs w:val="20"/>
          <w:lang w:val="es-VE"/>
        </w:rPr>
        <w:t xml:space="preserve"> a la fuga y el proceso en su contra </w:t>
      </w:r>
      <w:r w:rsidR="00C80E2B">
        <w:rPr>
          <w:rFonts w:ascii="Cambria" w:hAnsi="Cambria"/>
          <w:sz w:val="20"/>
          <w:szCs w:val="20"/>
          <w:lang w:val="es-VE"/>
        </w:rPr>
        <w:t>está pendiente</w:t>
      </w:r>
      <w:r w:rsidR="004B4858" w:rsidRPr="00B97AE6">
        <w:rPr>
          <w:rFonts w:ascii="Cambria" w:hAnsi="Cambria"/>
          <w:sz w:val="20"/>
          <w:szCs w:val="20"/>
          <w:lang w:val="es-VE"/>
        </w:rPr>
        <w:t>. La Comisión observa que el Estado tampoco presentó información sobre las medidas adoptadas para localizarlo</w:t>
      </w:r>
      <w:r w:rsidR="00C80E2B">
        <w:rPr>
          <w:rFonts w:ascii="Cambria" w:hAnsi="Cambria"/>
          <w:sz w:val="20"/>
          <w:szCs w:val="20"/>
          <w:lang w:val="es-VE"/>
        </w:rPr>
        <w:t>s</w:t>
      </w:r>
      <w:r w:rsidR="004B4858" w:rsidRPr="00B97AE6">
        <w:rPr>
          <w:rFonts w:ascii="Cambria" w:hAnsi="Cambria"/>
          <w:sz w:val="20"/>
          <w:szCs w:val="20"/>
          <w:lang w:val="es-VE"/>
        </w:rPr>
        <w:t xml:space="preserve"> a fin de dar continuidad a este proceso y establecer todas las responsabilidades por la muerte de la víctima. </w:t>
      </w:r>
    </w:p>
    <w:p w14:paraId="213E9046" w14:textId="77777777" w:rsidR="004B4858" w:rsidRPr="00B97AE6" w:rsidRDefault="004B4858" w:rsidP="004B4858">
      <w:pPr>
        <w:pStyle w:val="ListParagraph"/>
        <w:rPr>
          <w:rFonts w:ascii="Cambria" w:hAnsi="Cambria"/>
          <w:sz w:val="20"/>
          <w:szCs w:val="20"/>
          <w:lang w:val="es-VE"/>
        </w:rPr>
      </w:pPr>
    </w:p>
    <w:p w14:paraId="78318300" w14:textId="77777777" w:rsidR="004B4858" w:rsidRPr="00B97AE6" w:rsidRDefault="00C80E2B" w:rsidP="00C80E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lang w:val="es-VE"/>
        </w:rPr>
      </w:pPr>
      <w:r>
        <w:rPr>
          <w:rFonts w:ascii="Cambria" w:hAnsi="Cambria"/>
          <w:sz w:val="20"/>
          <w:szCs w:val="20"/>
          <w:lang w:val="es-VE"/>
        </w:rPr>
        <w:t xml:space="preserve">Es por ello que </w:t>
      </w:r>
      <w:r w:rsidR="004B4858" w:rsidRPr="00B97AE6">
        <w:rPr>
          <w:rFonts w:ascii="Cambria" w:hAnsi="Cambria"/>
          <w:sz w:val="20"/>
          <w:szCs w:val="20"/>
          <w:lang w:val="es-VE"/>
        </w:rPr>
        <w:t xml:space="preserve">la CIDH nota que, conforme a la documentación presentada, </w:t>
      </w:r>
      <w:r>
        <w:rPr>
          <w:rFonts w:ascii="Cambria" w:hAnsi="Cambria"/>
          <w:sz w:val="20"/>
          <w:szCs w:val="20"/>
          <w:lang w:val="es-VE"/>
        </w:rPr>
        <w:t>las investigaciones</w:t>
      </w:r>
      <w:r w:rsidR="004B4858" w:rsidRPr="00B97AE6">
        <w:rPr>
          <w:rFonts w:ascii="Cambria" w:hAnsi="Cambria"/>
          <w:sz w:val="20"/>
          <w:szCs w:val="20"/>
          <w:lang w:val="es-VE"/>
        </w:rPr>
        <w:t xml:space="preserve"> continuaría</w:t>
      </w:r>
      <w:r>
        <w:rPr>
          <w:rFonts w:ascii="Cambria" w:hAnsi="Cambria"/>
          <w:sz w:val="20"/>
          <w:szCs w:val="20"/>
          <w:lang w:val="es-VE"/>
        </w:rPr>
        <w:t>n abiertas</w:t>
      </w:r>
      <w:r w:rsidR="004B4858" w:rsidRPr="00B97AE6">
        <w:rPr>
          <w:rFonts w:ascii="Cambria" w:hAnsi="Cambria"/>
          <w:sz w:val="20"/>
          <w:szCs w:val="20"/>
          <w:lang w:val="es-VE"/>
        </w:rPr>
        <w:t xml:space="preserve"> después de más de </w:t>
      </w:r>
      <w:r>
        <w:rPr>
          <w:rFonts w:ascii="Cambria" w:hAnsi="Cambria"/>
          <w:sz w:val="20"/>
          <w:szCs w:val="20"/>
          <w:lang w:val="es-VE"/>
        </w:rPr>
        <w:t>35</w:t>
      </w:r>
      <w:r w:rsidR="004B4858" w:rsidRPr="00B97AE6">
        <w:rPr>
          <w:rFonts w:ascii="Cambria" w:hAnsi="Cambria"/>
          <w:sz w:val="20"/>
          <w:szCs w:val="20"/>
          <w:lang w:val="es-VE"/>
        </w:rPr>
        <w:t xml:space="preserve"> años de ocurridos los hechos. De la escasa información disponible sobre este proceso y tomando en cuenta el tiempo transcurrido, la Comisión considera que el Estado no demostró haberlo llevado a cabo con la debida diligencia ni en un plazo razonable. Además, la Comisión destaca que la responsabilidad penal del agente </w:t>
      </w:r>
      <w:r>
        <w:rPr>
          <w:rFonts w:ascii="Cambria" w:hAnsi="Cambria"/>
          <w:sz w:val="20"/>
          <w:szCs w:val="20"/>
          <w:lang w:val="es-VE"/>
        </w:rPr>
        <w:t>Marco Tulio Regalado</w:t>
      </w:r>
      <w:r w:rsidR="004B4858" w:rsidRPr="00B97AE6">
        <w:rPr>
          <w:rFonts w:ascii="Cambria" w:hAnsi="Cambria"/>
          <w:sz w:val="20"/>
          <w:szCs w:val="20"/>
          <w:lang w:val="es-VE"/>
        </w:rPr>
        <w:t xml:space="preserve"> fue </w:t>
      </w:r>
      <w:r>
        <w:rPr>
          <w:rFonts w:ascii="Cambria" w:hAnsi="Cambria"/>
          <w:sz w:val="20"/>
          <w:szCs w:val="20"/>
          <w:lang w:val="es-VE"/>
        </w:rPr>
        <w:t>establecid</w:t>
      </w:r>
      <w:r w:rsidR="00C64842">
        <w:rPr>
          <w:rFonts w:ascii="Cambria" w:hAnsi="Cambria"/>
          <w:sz w:val="20"/>
          <w:szCs w:val="20"/>
          <w:lang w:val="es-VE"/>
        </w:rPr>
        <w:t>a</w:t>
      </w:r>
      <w:r>
        <w:rPr>
          <w:rFonts w:ascii="Cambria" w:hAnsi="Cambria"/>
          <w:sz w:val="20"/>
          <w:szCs w:val="20"/>
          <w:lang w:val="es-VE"/>
        </w:rPr>
        <w:t xml:space="preserve"> en el marco de un proceso penal con diversas omisiones e irregularidades</w:t>
      </w:r>
      <w:r w:rsidR="004B4858" w:rsidRPr="00B97AE6">
        <w:rPr>
          <w:rFonts w:ascii="Cambria" w:hAnsi="Cambria"/>
          <w:sz w:val="20"/>
          <w:szCs w:val="20"/>
          <w:lang w:val="es-VE"/>
        </w:rPr>
        <w:t>, sin que la familia de la víctima h</w:t>
      </w:r>
      <w:r w:rsidR="004E6554">
        <w:rPr>
          <w:rFonts w:ascii="Cambria" w:hAnsi="Cambria"/>
          <w:sz w:val="20"/>
          <w:szCs w:val="20"/>
          <w:lang w:val="es-VE"/>
        </w:rPr>
        <w:t>ubiera</w:t>
      </w:r>
      <w:r w:rsidR="004B4858" w:rsidRPr="00B97AE6">
        <w:rPr>
          <w:rFonts w:ascii="Cambria" w:hAnsi="Cambria"/>
          <w:sz w:val="20"/>
          <w:szCs w:val="20"/>
          <w:lang w:val="es-VE"/>
        </w:rPr>
        <w:t xml:space="preserve"> contado con un esclarecimiento</w:t>
      </w:r>
      <w:r w:rsidR="00E31C35">
        <w:rPr>
          <w:rFonts w:ascii="Cambria" w:hAnsi="Cambria"/>
          <w:sz w:val="20"/>
          <w:szCs w:val="20"/>
          <w:lang w:val="es-VE"/>
        </w:rPr>
        <w:t xml:space="preserve"> total</w:t>
      </w:r>
      <w:r w:rsidR="004B4858" w:rsidRPr="00B97AE6">
        <w:rPr>
          <w:rFonts w:ascii="Cambria" w:hAnsi="Cambria"/>
          <w:sz w:val="20"/>
          <w:szCs w:val="20"/>
          <w:lang w:val="es-VE"/>
        </w:rPr>
        <w:t xml:space="preserve"> de los hechos </w:t>
      </w:r>
      <w:r w:rsidR="0041549B">
        <w:rPr>
          <w:rFonts w:ascii="Cambria" w:hAnsi="Cambria"/>
          <w:sz w:val="20"/>
          <w:szCs w:val="20"/>
          <w:lang w:val="es-VE"/>
        </w:rPr>
        <w:t xml:space="preserve">ni la </w:t>
      </w:r>
      <w:r w:rsidR="004B4858" w:rsidRPr="00B97AE6">
        <w:rPr>
          <w:rFonts w:ascii="Cambria" w:hAnsi="Cambria"/>
          <w:sz w:val="20"/>
          <w:szCs w:val="20"/>
          <w:lang w:val="es-VE"/>
        </w:rPr>
        <w:t xml:space="preserve">determinación de todas las responsabilidades. </w:t>
      </w:r>
    </w:p>
    <w:p w14:paraId="1E7B9256" w14:textId="77777777" w:rsidR="004B4858" w:rsidRPr="00B97AE6" w:rsidRDefault="004B4858" w:rsidP="004B4858">
      <w:pPr>
        <w:pStyle w:val="ListParagraph"/>
        <w:rPr>
          <w:rFonts w:ascii="Cambria" w:hAnsi="Cambria"/>
          <w:sz w:val="20"/>
          <w:szCs w:val="20"/>
          <w:lang w:val="es-VE"/>
        </w:rPr>
      </w:pPr>
    </w:p>
    <w:p w14:paraId="05A9A01F" w14:textId="77777777" w:rsidR="004B4858" w:rsidRPr="00C80E2B" w:rsidRDefault="004B4858" w:rsidP="00C80E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lang w:val="es-VE"/>
        </w:rPr>
      </w:pPr>
      <w:r w:rsidRPr="00B97AE6">
        <w:rPr>
          <w:rFonts w:ascii="Cambria" w:hAnsi="Cambria"/>
          <w:sz w:val="20"/>
          <w:szCs w:val="20"/>
          <w:lang w:val="es-VE"/>
        </w:rPr>
        <w:t xml:space="preserve">Por lo expuesto, la Comisión considera que a la fecha se mantiene una situación de impunidad por los hechos del caso y que el Estado ha incumplido su deber de garantizar una adecuada investigación a efectos de identificar y en su caso, sancionar a todas las personas responsables de la muerte del señor </w:t>
      </w:r>
      <w:r w:rsidR="00C80E2B">
        <w:rPr>
          <w:rFonts w:ascii="Cambria" w:hAnsi="Cambria"/>
          <w:sz w:val="20"/>
          <w:szCs w:val="20"/>
          <w:lang w:val="es-VE"/>
        </w:rPr>
        <w:t>Deras</w:t>
      </w:r>
      <w:r w:rsidRPr="00B97AE6">
        <w:rPr>
          <w:rFonts w:ascii="Cambria" w:hAnsi="Cambria"/>
          <w:sz w:val="20"/>
          <w:szCs w:val="20"/>
          <w:lang w:val="es-VE"/>
        </w:rPr>
        <w:t xml:space="preserve">, así como para hacer cumplir la única condena impuesta por su ejecución extrajudicial. En consecuencia, la CIDH concluye que el Estado vulneró los </w:t>
      </w:r>
      <w:r w:rsidRPr="00B97AE6">
        <w:rPr>
          <w:rFonts w:ascii="Cambria" w:hAnsi="Cambria"/>
          <w:sz w:val="20"/>
          <w:szCs w:val="20"/>
          <w:lang w:val="es-CL"/>
        </w:rPr>
        <w:t xml:space="preserve">derechos a las garantías judiciales y protección judicial conforme a los artículos 8.1 y 25.1 de la Convención Americana, en relación con el artículo 1.1 del mismo instrumento, en perjuicio de los familiares del señor </w:t>
      </w:r>
      <w:r w:rsidR="00D74FE0">
        <w:rPr>
          <w:rFonts w:ascii="Cambria" w:hAnsi="Cambria"/>
          <w:sz w:val="20"/>
          <w:szCs w:val="20"/>
          <w:lang w:val="es-CL"/>
        </w:rPr>
        <w:t>Deras</w:t>
      </w:r>
      <w:r w:rsidRPr="00B97AE6">
        <w:rPr>
          <w:rFonts w:ascii="Cambria" w:hAnsi="Cambria"/>
          <w:sz w:val="20"/>
          <w:szCs w:val="20"/>
          <w:lang w:val="es-CL"/>
        </w:rPr>
        <w:t xml:space="preserve">. </w:t>
      </w:r>
    </w:p>
    <w:p w14:paraId="5770858D" w14:textId="77777777" w:rsidR="00C80E2B" w:rsidRDefault="00C80E2B" w:rsidP="00C80E2B">
      <w:pPr>
        <w:pStyle w:val="ListParagraph"/>
        <w:rPr>
          <w:rFonts w:ascii="Cambria" w:hAnsi="Cambria"/>
          <w:sz w:val="20"/>
          <w:szCs w:val="20"/>
          <w:lang w:val="es-VE"/>
        </w:rPr>
      </w:pPr>
    </w:p>
    <w:p w14:paraId="12C04638" w14:textId="77777777" w:rsidR="00C80E2B" w:rsidRPr="00467F89" w:rsidRDefault="00C80E2B" w:rsidP="00467F8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lang w:val="es-VE"/>
        </w:rPr>
      </w:pPr>
      <w:r>
        <w:rPr>
          <w:rFonts w:ascii="Cambria" w:hAnsi="Cambria"/>
          <w:sz w:val="20"/>
          <w:szCs w:val="20"/>
          <w:lang w:val="es-VE"/>
        </w:rPr>
        <w:t xml:space="preserve">La Comisión también resalta que el Estado no ha presentado información sobre el inicio de investigaciones a efectos de esclarecer las diversas </w:t>
      </w:r>
      <w:r w:rsidR="009F3FC6">
        <w:rPr>
          <w:rFonts w:ascii="Cambria" w:hAnsi="Cambria"/>
          <w:sz w:val="20"/>
          <w:szCs w:val="20"/>
          <w:lang w:val="es-VE"/>
        </w:rPr>
        <w:t>violaciones a la Convención Americana</w:t>
      </w:r>
      <w:r>
        <w:rPr>
          <w:rFonts w:ascii="Cambria" w:hAnsi="Cambria"/>
          <w:sz w:val="20"/>
          <w:szCs w:val="20"/>
          <w:lang w:val="es-VE"/>
        </w:rPr>
        <w:t xml:space="preserve"> ya identificadas en el presente </w:t>
      </w:r>
      <w:r w:rsidR="009F3FC6">
        <w:rPr>
          <w:rFonts w:ascii="Cambria" w:hAnsi="Cambria"/>
          <w:sz w:val="20"/>
          <w:szCs w:val="20"/>
          <w:lang w:val="es-VE"/>
        </w:rPr>
        <w:t>informe</w:t>
      </w:r>
      <w:r>
        <w:rPr>
          <w:rFonts w:ascii="Cambria" w:hAnsi="Cambria"/>
          <w:sz w:val="20"/>
          <w:szCs w:val="20"/>
          <w:lang w:val="es-VE"/>
        </w:rPr>
        <w:t xml:space="preserve"> en contra de los familiares del señor Deras. En consecuencia, la Comisión considera que el Estado </w:t>
      </w:r>
      <w:r w:rsidR="00467F89">
        <w:rPr>
          <w:rFonts w:ascii="Cambria" w:hAnsi="Cambria"/>
          <w:sz w:val="20"/>
          <w:szCs w:val="20"/>
          <w:lang w:val="es-VE"/>
        </w:rPr>
        <w:t>también incumplió su deber de garantizar una adecuada investigación a efectos de identificar y en su caso, sancionar a todas las personas responsables de los actos</w:t>
      </w:r>
      <w:r w:rsidR="009F5FE4">
        <w:rPr>
          <w:rFonts w:ascii="Cambria" w:hAnsi="Cambria"/>
          <w:sz w:val="20"/>
          <w:szCs w:val="20"/>
          <w:lang w:val="es-VE"/>
        </w:rPr>
        <w:t xml:space="preserve"> contra la integridad personal, </w:t>
      </w:r>
      <w:r w:rsidR="00467F89">
        <w:rPr>
          <w:rFonts w:ascii="Cambria" w:hAnsi="Cambria"/>
          <w:sz w:val="20"/>
          <w:szCs w:val="20"/>
          <w:lang w:val="es-VE"/>
        </w:rPr>
        <w:t xml:space="preserve">detenciones ilegales y arbitrarias, allanamientos, entre otros. Por ello la CIDH concluye que el Estado </w:t>
      </w:r>
      <w:r w:rsidR="00467F89" w:rsidRPr="00B97AE6">
        <w:rPr>
          <w:rFonts w:ascii="Cambria" w:hAnsi="Cambria"/>
          <w:sz w:val="20"/>
          <w:szCs w:val="20"/>
          <w:lang w:val="es-VE"/>
        </w:rPr>
        <w:t xml:space="preserve">vulneró los </w:t>
      </w:r>
      <w:r w:rsidR="00467F89" w:rsidRPr="00B97AE6">
        <w:rPr>
          <w:rFonts w:ascii="Cambria" w:hAnsi="Cambria"/>
          <w:sz w:val="20"/>
          <w:szCs w:val="20"/>
          <w:lang w:val="es-CL"/>
        </w:rPr>
        <w:t xml:space="preserve">derechos a las garantías judiciales y protección judicial conforme a los artículos 8.1 y 25.1 de la Convención Americana, en relación con el artículo 1.1 del mismo instrumento, en perjuicio de los familiares del señor </w:t>
      </w:r>
      <w:r w:rsidR="008E13F6">
        <w:rPr>
          <w:rFonts w:ascii="Cambria" w:hAnsi="Cambria"/>
          <w:sz w:val="20"/>
          <w:szCs w:val="20"/>
          <w:lang w:val="es-CL"/>
        </w:rPr>
        <w:t>Deras</w:t>
      </w:r>
      <w:r w:rsidR="00467F89" w:rsidRPr="00B97AE6">
        <w:rPr>
          <w:rFonts w:ascii="Cambria" w:hAnsi="Cambria"/>
          <w:sz w:val="20"/>
          <w:szCs w:val="20"/>
          <w:lang w:val="es-CL"/>
        </w:rPr>
        <w:t xml:space="preserve">. </w:t>
      </w:r>
    </w:p>
    <w:p w14:paraId="75529D92" w14:textId="77777777" w:rsidR="003D67C7" w:rsidRDefault="003D67C7" w:rsidP="00FD7DD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CL"/>
        </w:rPr>
      </w:pPr>
    </w:p>
    <w:p w14:paraId="7D73D1F6" w14:textId="77777777" w:rsidR="00617E74" w:rsidRDefault="00617E74" w:rsidP="00FD7DD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CL"/>
        </w:rPr>
      </w:pPr>
    </w:p>
    <w:p w14:paraId="5F4AC82C" w14:textId="77777777" w:rsidR="00617E74" w:rsidRDefault="00617E74" w:rsidP="00FD7DD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CL"/>
        </w:rPr>
      </w:pPr>
    </w:p>
    <w:p w14:paraId="52EE18EC" w14:textId="77777777" w:rsidR="00617E74" w:rsidRDefault="00617E74" w:rsidP="00FD7DD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CL"/>
        </w:rPr>
      </w:pPr>
    </w:p>
    <w:p w14:paraId="133F06E1" w14:textId="77777777" w:rsidR="003D3886" w:rsidRPr="00A21666" w:rsidRDefault="003D3886" w:rsidP="00617E74">
      <w:pPr>
        <w:pStyle w:val="Heading2"/>
        <w:numPr>
          <w:ilvl w:val="0"/>
          <w:numId w:val="71"/>
        </w:numPr>
        <w:ind w:left="360"/>
        <w:jc w:val="both"/>
        <w:rPr>
          <w:b w:val="0"/>
          <w:lang w:val="es-ES"/>
        </w:rPr>
      </w:pPr>
      <w:bookmarkStart w:id="26" w:name="_Toc21442042"/>
      <w:r w:rsidRPr="00A21666">
        <w:rPr>
          <w:lang w:val="es-ES"/>
        </w:rPr>
        <w:lastRenderedPageBreak/>
        <w:t xml:space="preserve">Derecho a </w:t>
      </w:r>
      <w:r>
        <w:rPr>
          <w:lang w:val="es-ES"/>
        </w:rPr>
        <w:t>la integridad personal</w:t>
      </w:r>
      <w:r w:rsidRPr="00A21666">
        <w:rPr>
          <w:lang w:val="es-ES"/>
        </w:rPr>
        <w:t xml:space="preserve"> </w:t>
      </w:r>
      <w:r>
        <w:rPr>
          <w:lang w:val="es-ES"/>
        </w:rPr>
        <w:t>(artículo</w:t>
      </w:r>
      <w:r w:rsidRPr="00A21666">
        <w:rPr>
          <w:lang w:val="es-ES"/>
        </w:rPr>
        <w:t xml:space="preserve"> </w:t>
      </w:r>
      <w:r>
        <w:rPr>
          <w:lang w:val="es-ES"/>
        </w:rPr>
        <w:t>5</w:t>
      </w:r>
      <w:r w:rsidRPr="00A21666">
        <w:rPr>
          <w:lang w:val="es-ES"/>
        </w:rPr>
        <w:t>.1</w:t>
      </w:r>
      <w:r w:rsidRPr="00A21666">
        <w:rPr>
          <w:lang w:val="es-CL"/>
        </w:rPr>
        <w:t xml:space="preserve"> </w:t>
      </w:r>
      <w:r w:rsidRPr="00A21666">
        <w:rPr>
          <w:lang w:val="es-ES"/>
        </w:rPr>
        <w:t>en relación con el artículo 1.1 de la Convención Americana)</w:t>
      </w:r>
      <w:bookmarkEnd w:id="26"/>
      <w:r w:rsidRPr="00A21666">
        <w:rPr>
          <w:lang w:val="es-ES"/>
        </w:rPr>
        <w:t xml:space="preserve"> </w:t>
      </w:r>
    </w:p>
    <w:p w14:paraId="73F7A3DA" w14:textId="77777777" w:rsidR="003D3886" w:rsidRDefault="003D3886" w:rsidP="00FD7DD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CL"/>
        </w:rPr>
      </w:pPr>
    </w:p>
    <w:p w14:paraId="7E55D249" w14:textId="77777777" w:rsidR="003D3886" w:rsidRPr="003D3886" w:rsidRDefault="003D3886" w:rsidP="003D38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lang w:val="es-ES"/>
        </w:rPr>
      </w:pPr>
      <w:r w:rsidRPr="003D3886">
        <w:rPr>
          <w:rFonts w:ascii="Cambria" w:hAnsi="Cambria"/>
          <w:sz w:val="20"/>
          <w:szCs w:val="20"/>
          <w:lang w:val="es-CL"/>
        </w:rPr>
        <w:t>Respecto de los familiares de víctimas de violaciones graves de derechos humanos, la Corte Interamericana ha afirmado, en diferentes oportunidades, que estos pueden ser, a su vez, víctimas</w:t>
      </w:r>
      <w:r w:rsidRPr="003D3886">
        <w:rPr>
          <w:rStyle w:val="FootnoteReference"/>
          <w:rFonts w:ascii="Cambria" w:hAnsi="Cambria"/>
          <w:sz w:val="20"/>
          <w:szCs w:val="20"/>
          <w:lang w:val="es-CL"/>
        </w:rPr>
        <w:footnoteReference w:id="80"/>
      </w:r>
      <w:r w:rsidRPr="003D3886">
        <w:rPr>
          <w:rFonts w:ascii="Cambria" w:hAnsi="Cambria"/>
          <w:sz w:val="20"/>
          <w:szCs w:val="20"/>
          <w:lang w:val="es-ES"/>
        </w:rPr>
        <w:t>. Asimismo, la Comisión ha determinado que “la sola perdida de un ser querido como consecuencia del uso arbitrario de la fuerza por parte de agentes de seguridad (…) seguido además de la falta de esclarecimiento e impunidad de los hechos permite inferir una afectación a la integridad psíquica y moral del núcleo familiar directo de las personas fallecidas”</w:t>
      </w:r>
      <w:r w:rsidRPr="003D3886">
        <w:rPr>
          <w:rStyle w:val="FootnoteReference"/>
          <w:rFonts w:ascii="Cambria" w:hAnsi="Cambria"/>
          <w:sz w:val="20"/>
          <w:szCs w:val="20"/>
          <w:lang w:val="es-ES"/>
        </w:rPr>
        <w:footnoteReference w:id="81"/>
      </w:r>
      <w:r w:rsidRPr="003D3886">
        <w:rPr>
          <w:rFonts w:ascii="Cambria" w:hAnsi="Cambria"/>
          <w:sz w:val="20"/>
          <w:szCs w:val="20"/>
          <w:lang w:val="es-ES"/>
        </w:rPr>
        <w:t>.</w:t>
      </w:r>
    </w:p>
    <w:p w14:paraId="3D713088" w14:textId="77777777" w:rsidR="003D3886" w:rsidRPr="003D3886" w:rsidRDefault="003D3886" w:rsidP="003D388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r w:rsidRPr="003D3886">
        <w:rPr>
          <w:rFonts w:ascii="Cambria" w:hAnsi="Cambria"/>
          <w:sz w:val="20"/>
          <w:szCs w:val="20"/>
          <w:lang w:val="es-ES"/>
        </w:rPr>
        <w:t xml:space="preserve"> </w:t>
      </w:r>
    </w:p>
    <w:p w14:paraId="3A5FAE8B" w14:textId="77777777" w:rsidR="003D3886" w:rsidRPr="003D3886" w:rsidRDefault="003D3886" w:rsidP="003D38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lang w:val="es-ES"/>
        </w:rPr>
      </w:pPr>
      <w:r w:rsidRPr="003D3886">
        <w:rPr>
          <w:rFonts w:ascii="Cambria" w:hAnsi="Cambria"/>
          <w:sz w:val="20"/>
          <w:szCs w:val="20"/>
          <w:lang w:val="es-CL"/>
        </w:rPr>
        <w:t>Sobre</w:t>
      </w:r>
      <w:r w:rsidRPr="003D3886">
        <w:rPr>
          <w:rFonts w:ascii="Cambria" w:hAnsi="Cambria"/>
          <w:sz w:val="20"/>
          <w:szCs w:val="20"/>
          <w:lang w:val="es-ES"/>
        </w:rPr>
        <w:t xml:space="preserve"> la situación de impunidad, la Corte ha indicado lo siguiente:</w:t>
      </w:r>
    </w:p>
    <w:p w14:paraId="03B7DBDF" w14:textId="77777777" w:rsidR="003D3886" w:rsidRPr="003D3886" w:rsidRDefault="003D3886" w:rsidP="003D3886">
      <w:pPr>
        <w:ind w:left="540"/>
        <w:jc w:val="both"/>
        <w:rPr>
          <w:rFonts w:ascii="Cambria" w:hAnsi="Cambria"/>
          <w:sz w:val="20"/>
          <w:szCs w:val="20"/>
          <w:lang w:val="es-ES"/>
        </w:rPr>
      </w:pPr>
    </w:p>
    <w:p w14:paraId="3F7AB787" w14:textId="77777777" w:rsidR="003D3886" w:rsidRPr="003D3886" w:rsidRDefault="003D3886" w:rsidP="003D3886">
      <w:pPr>
        <w:ind w:left="360" w:right="387"/>
        <w:jc w:val="both"/>
        <w:rPr>
          <w:rFonts w:ascii="Cambria" w:hAnsi="Cambria"/>
          <w:sz w:val="18"/>
          <w:szCs w:val="18"/>
          <w:lang w:val="es-CL"/>
        </w:rPr>
      </w:pPr>
      <w:r w:rsidRPr="003D3886">
        <w:rPr>
          <w:rFonts w:ascii="Cambria" w:hAnsi="Cambria"/>
          <w:sz w:val="18"/>
          <w:szCs w:val="18"/>
          <w:lang w:val="es-CL"/>
        </w:rPr>
        <w:t>[L]a ausencia de una investigación completa y efectiva sobre los hechos constituye una fuente de sufrimiento y angustia adicional para las víctimas y sus familiares, quienes tienen el derecho de conocer la verdad de lo ocurrido. Dicho derecho a la verdad exige la determinación procesal de la más completa verdad histórica posible, lo cual incluye la determinación judicial de los patrones de actuación conjunta y de todas las personas que de diversas formas participaron en dichas violaciones y sus correspondientes responsabilidades</w:t>
      </w:r>
      <w:r w:rsidRPr="003D3886">
        <w:rPr>
          <w:rStyle w:val="FootnoteReference"/>
          <w:rFonts w:ascii="Cambria" w:hAnsi="Cambria"/>
          <w:sz w:val="18"/>
          <w:szCs w:val="18"/>
          <w:lang w:val="es-CL"/>
        </w:rPr>
        <w:footnoteReference w:id="82"/>
      </w:r>
      <w:r w:rsidRPr="003D3886">
        <w:rPr>
          <w:rFonts w:ascii="Cambria" w:hAnsi="Cambria"/>
          <w:sz w:val="18"/>
          <w:szCs w:val="18"/>
          <w:lang w:val="es-CL"/>
        </w:rPr>
        <w:t>.</w:t>
      </w:r>
    </w:p>
    <w:p w14:paraId="61DF94C0" w14:textId="77777777" w:rsidR="003D3886" w:rsidRPr="003D3886" w:rsidRDefault="003D3886" w:rsidP="003D388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CL"/>
        </w:rPr>
      </w:pPr>
    </w:p>
    <w:p w14:paraId="595A7A5E" w14:textId="77777777" w:rsidR="003D3886" w:rsidRPr="003D3886" w:rsidRDefault="003D3886" w:rsidP="003D38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lang w:val="es-CL"/>
        </w:rPr>
      </w:pPr>
      <w:r w:rsidRPr="003D3886">
        <w:rPr>
          <w:rFonts w:ascii="Cambria" w:hAnsi="Cambria"/>
          <w:sz w:val="20"/>
          <w:szCs w:val="20"/>
          <w:lang w:val="es-ES"/>
        </w:rPr>
        <w:t xml:space="preserve">En el presente caso </w:t>
      </w:r>
      <w:r w:rsidRPr="003D3886">
        <w:rPr>
          <w:rFonts w:ascii="Cambria" w:hAnsi="Cambria"/>
          <w:sz w:val="20"/>
          <w:szCs w:val="20"/>
          <w:lang w:val="es-CL"/>
        </w:rPr>
        <w:t xml:space="preserve">la Comisión ya dio por establecido que </w:t>
      </w:r>
      <w:r w:rsidR="00873A5D">
        <w:rPr>
          <w:rFonts w:ascii="Cambria" w:hAnsi="Cambria"/>
          <w:sz w:val="20"/>
          <w:szCs w:val="20"/>
          <w:lang w:val="es-CL"/>
        </w:rPr>
        <w:t xml:space="preserve">Herminio Deras </w:t>
      </w:r>
      <w:r w:rsidRPr="003D3886">
        <w:rPr>
          <w:rFonts w:ascii="Cambria" w:hAnsi="Cambria"/>
          <w:sz w:val="20"/>
          <w:szCs w:val="20"/>
          <w:lang w:val="es-CL"/>
        </w:rPr>
        <w:t>perdi</w:t>
      </w:r>
      <w:r w:rsidR="004145B3">
        <w:rPr>
          <w:rFonts w:ascii="Cambria" w:hAnsi="Cambria"/>
          <w:sz w:val="20"/>
          <w:szCs w:val="20"/>
          <w:lang w:val="es-CL"/>
        </w:rPr>
        <w:t xml:space="preserve">ó </w:t>
      </w:r>
      <w:r w:rsidRPr="003D3886">
        <w:rPr>
          <w:rFonts w:ascii="Cambria" w:hAnsi="Cambria"/>
          <w:sz w:val="20"/>
          <w:szCs w:val="20"/>
          <w:lang w:val="es-CL"/>
        </w:rPr>
        <w:t xml:space="preserve">la vida como resultado de una ejecución extrajudicial cometida por agentes </w:t>
      </w:r>
      <w:r w:rsidR="00FC53F9">
        <w:rPr>
          <w:rFonts w:ascii="Cambria" w:hAnsi="Cambria"/>
          <w:sz w:val="20"/>
          <w:szCs w:val="20"/>
          <w:lang w:val="es-CL"/>
        </w:rPr>
        <w:t>militares</w:t>
      </w:r>
      <w:r w:rsidRPr="003D3886">
        <w:rPr>
          <w:rFonts w:ascii="Cambria" w:hAnsi="Cambria"/>
          <w:sz w:val="20"/>
          <w:szCs w:val="20"/>
          <w:lang w:val="es-CL"/>
        </w:rPr>
        <w:t xml:space="preserve">, lo cual constituye una grave violación de derechos humanos que necesariamente causó un sufrimiento en sus familiares. A ello se suma que en el presente caso existe una situación de impunidad en </w:t>
      </w:r>
      <w:r w:rsidR="00E60F14">
        <w:rPr>
          <w:rFonts w:ascii="Cambria" w:hAnsi="Cambria"/>
          <w:sz w:val="20"/>
          <w:szCs w:val="20"/>
          <w:lang w:val="es-CL"/>
        </w:rPr>
        <w:t xml:space="preserve">solo una </w:t>
      </w:r>
      <w:r w:rsidRPr="003D3886">
        <w:rPr>
          <w:rFonts w:ascii="Cambria" w:hAnsi="Cambria"/>
          <w:sz w:val="20"/>
          <w:szCs w:val="20"/>
          <w:lang w:val="es-CL"/>
        </w:rPr>
        <w:t>persona ha sido condenada por estos hechos</w:t>
      </w:r>
      <w:r w:rsidR="00E60F14">
        <w:rPr>
          <w:rFonts w:ascii="Cambria" w:hAnsi="Cambria"/>
          <w:sz w:val="20"/>
          <w:szCs w:val="20"/>
          <w:lang w:val="es-CL"/>
        </w:rPr>
        <w:t xml:space="preserve"> y la misma no se ha cumplido</w:t>
      </w:r>
      <w:r w:rsidRPr="003D3886">
        <w:rPr>
          <w:rFonts w:ascii="Cambria" w:hAnsi="Cambria"/>
          <w:sz w:val="20"/>
          <w:szCs w:val="20"/>
          <w:lang w:val="es-CL"/>
        </w:rPr>
        <w:t xml:space="preserve">. Adicionalmente, la Comisión toma nota de las alegadas amenazas que habrían recibido los familiares durante el proceso, las cuales tampoco fueron controvertidas por el Estado. </w:t>
      </w:r>
      <w:r>
        <w:rPr>
          <w:rFonts w:ascii="Cambria" w:hAnsi="Cambria"/>
          <w:sz w:val="20"/>
          <w:szCs w:val="20"/>
          <w:lang w:val="es-CL"/>
        </w:rPr>
        <w:t xml:space="preserve">En consecuencia, la CIDH concluye que el Estado vulneró el derecho a la integridad personal, establecido en el artículo 5.1 de la Convención Americana en relación con el artículo 1.1 del mismo instrumento, en perjuicio de los familiares de </w:t>
      </w:r>
      <w:r w:rsidR="00CD345C">
        <w:rPr>
          <w:rFonts w:ascii="Cambria" w:hAnsi="Cambria"/>
          <w:color w:val="000000"/>
          <w:sz w:val="20"/>
          <w:szCs w:val="20"/>
          <w:lang w:val="es-VE"/>
        </w:rPr>
        <w:t>Herm</w:t>
      </w:r>
      <w:r w:rsidR="008628D0">
        <w:rPr>
          <w:rFonts w:ascii="Cambria" w:hAnsi="Cambria"/>
          <w:color w:val="000000"/>
          <w:sz w:val="20"/>
          <w:szCs w:val="20"/>
          <w:lang w:val="es-VE"/>
        </w:rPr>
        <w:t>i</w:t>
      </w:r>
      <w:r w:rsidR="00CD345C">
        <w:rPr>
          <w:rFonts w:ascii="Cambria" w:hAnsi="Cambria"/>
          <w:color w:val="000000"/>
          <w:sz w:val="20"/>
          <w:szCs w:val="20"/>
          <w:lang w:val="es-VE"/>
        </w:rPr>
        <w:t>nio Deras García</w:t>
      </w:r>
      <w:r>
        <w:rPr>
          <w:rFonts w:ascii="Cambria" w:hAnsi="Cambria"/>
          <w:color w:val="000000"/>
          <w:sz w:val="20"/>
          <w:szCs w:val="20"/>
          <w:lang w:val="es-VE"/>
        </w:rPr>
        <w:t xml:space="preserve"> </w:t>
      </w:r>
      <w:r>
        <w:rPr>
          <w:rFonts w:ascii="Cambria" w:hAnsi="Cambria"/>
          <w:sz w:val="20"/>
          <w:szCs w:val="20"/>
          <w:lang w:val="es-CL"/>
        </w:rPr>
        <w:t>individualizados en el presente informe de fondo.</w:t>
      </w:r>
    </w:p>
    <w:p w14:paraId="7F154235" w14:textId="77777777" w:rsidR="003D3886" w:rsidRPr="00A21666" w:rsidRDefault="003D3886" w:rsidP="00FD7DD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CL"/>
        </w:rPr>
      </w:pPr>
    </w:p>
    <w:p w14:paraId="6D99F831" w14:textId="77777777" w:rsidR="00D12193" w:rsidRPr="00AE06B2" w:rsidRDefault="00D12193" w:rsidP="00654D1C">
      <w:pPr>
        <w:pStyle w:val="Heading1"/>
        <w:ind w:left="360" w:hanging="360"/>
      </w:pPr>
      <w:bookmarkStart w:id="27" w:name="_Toc15048003"/>
      <w:bookmarkStart w:id="28" w:name="_Toc21442043"/>
      <w:r w:rsidRPr="00AE06B2">
        <w:t>CONCLUSIONES Y RECOMENDACIONES</w:t>
      </w:r>
      <w:bookmarkEnd w:id="27"/>
      <w:bookmarkEnd w:id="28"/>
      <w:r w:rsidRPr="00AE06B2">
        <w:t xml:space="preserve"> </w:t>
      </w:r>
    </w:p>
    <w:p w14:paraId="46D36344" w14:textId="77777777" w:rsidR="00D12193" w:rsidRPr="00A21666" w:rsidRDefault="00D12193" w:rsidP="00FD7DDB">
      <w:pPr>
        <w:suppressAutoHyphens/>
        <w:rPr>
          <w:rFonts w:ascii="Cambria" w:hAnsi="Cambria"/>
          <w:b/>
          <w:sz w:val="20"/>
          <w:szCs w:val="20"/>
          <w:lang w:val="es-ES_tradnl"/>
        </w:rPr>
      </w:pPr>
    </w:p>
    <w:p w14:paraId="3693FE19" w14:textId="77777777" w:rsidR="00654D1C" w:rsidRPr="00417CF3" w:rsidRDefault="00654D1C" w:rsidP="00654D1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lang w:val="es-ES"/>
        </w:rPr>
      </w:pPr>
      <w:r w:rsidRPr="00417CF3">
        <w:rPr>
          <w:rFonts w:ascii="Cambria" w:hAnsi="Cambria"/>
          <w:color w:val="000000"/>
          <w:sz w:val="20"/>
          <w:szCs w:val="20"/>
          <w:lang w:val="es-VE"/>
        </w:rPr>
        <w:t xml:space="preserve">Con base en las determinaciones de hecho y de derecho, la Comisión Interamericana concluyó que el Estado es responsable por la violación de los derechos a la vida, integridad personal, libertad personal, garantías judiciales. honra y dignidad, libertad de pensamiento y expresión, libertad de asociación, derechos del niño, circulación y residencia, y protección judicial, establecidos en los artículos 4.1, 5.1, </w:t>
      </w:r>
      <w:r w:rsidR="00417CF3" w:rsidRPr="00417CF3">
        <w:rPr>
          <w:rFonts w:ascii="Cambria" w:hAnsi="Cambria"/>
          <w:color w:val="000000"/>
          <w:sz w:val="20"/>
          <w:szCs w:val="20"/>
          <w:lang w:val="es-VE"/>
        </w:rPr>
        <w:t xml:space="preserve">5.2, </w:t>
      </w:r>
      <w:r w:rsidRPr="00417CF3">
        <w:rPr>
          <w:rFonts w:ascii="Cambria" w:hAnsi="Cambria"/>
          <w:color w:val="000000"/>
          <w:sz w:val="20"/>
          <w:szCs w:val="20"/>
          <w:lang w:val="es-VE"/>
        </w:rPr>
        <w:t>7.1, 7.2, 7.3, 8.1</w:t>
      </w:r>
      <w:r w:rsidR="00417CF3" w:rsidRPr="00417CF3">
        <w:rPr>
          <w:rFonts w:ascii="Cambria" w:hAnsi="Cambria"/>
          <w:color w:val="000000"/>
          <w:sz w:val="20"/>
          <w:szCs w:val="20"/>
          <w:lang w:val="es-VE"/>
        </w:rPr>
        <w:t>, 11.</w:t>
      </w:r>
      <w:r w:rsidR="0059069B">
        <w:rPr>
          <w:rFonts w:ascii="Cambria" w:hAnsi="Cambria"/>
          <w:color w:val="000000"/>
          <w:sz w:val="20"/>
          <w:szCs w:val="20"/>
          <w:lang w:val="es-VE"/>
        </w:rPr>
        <w:t>2,</w:t>
      </w:r>
      <w:r w:rsidR="005C7F1B">
        <w:rPr>
          <w:rFonts w:ascii="Cambria" w:hAnsi="Cambria"/>
          <w:color w:val="000000"/>
          <w:sz w:val="20"/>
          <w:szCs w:val="20"/>
          <w:lang w:val="es-VE"/>
        </w:rPr>
        <w:t xml:space="preserve"> 13.1, 16.1,</w:t>
      </w:r>
      <w:r w:rsidR="0059069B">
        <w:rPr>
          <w:rFonts w:ascii="Cambria" w:hAnsi="Cambria"/>
          <w:color w:val="000000"/>
          <w:sz w:val="20"/>
          <w:szCs w:val="20"/>
          <w:lang w:val="es-VE"/>
        </w:rPr>
        <w:t xml:space="preserve"> </w:t>
      </w:r>
      <w:r w:rsidR="00417CF3" w:rsidRPr="00417CF3">
        <w:rPr>
          <w:rFonts w:ascii="Cambria" w:hAnsi="Cambria"/>
          <w:color w:val="000000"/>
          <w:sz w:val="20"/>
          <w:szCs w:val="20"/>
          <w:lang w:val="es-VE"/>
        </w:rPr>
        <w:t>19,</w:t>
      </w:r>
      <w:r w:rsidRPr="00417CF3">
        <w:rPr>
          <w:rFonts w:ascii="Cambria" w:hAnsi="Cambria"/>
          <w:color w:val="000000"/>
          <w:sz w:val="20"/>
          <w:szCs w:val="20"/>
          <w:lang w:val="es-VE"/>
        </w:rPr>
        <w:t xml:space="preserve"> </w:t>
      </w:r>
      <w:r w:rsidR="00EB3C87" w:rsidRPr="00417CF3">
        <w:rPr>
          <w:rFonts w:ascii="Cambria" w:hAnsi="Cambria"/>
          <w:color w:val="000000"/>
          <w:sz w:val="20"/>
          <w:szCs w:val="20"/>
          <w:lang w:val="es-VE"/>
        </w:rPr>
        <w:t xml:space="preserve">22.1 </w:t>
      </w:r>
      <w:r w:rsidRPr="00417CF3">
        <w:rPr>
          <w:rFonts w:ascii="Cambria" w:hAnsi="Cambria"/>
          <w:color w:val="000000"/>
          <w:sz w:val="20"/>
          <w:szCs w:val="20"/>
          <w:lang w:val="es-VE"/>
        </w:rPr>
        <w:t xml:space="preserve">y 25.1 de la Convención Americana sobre Derechos Humanos, en relación con </w:t>
      </w:r>
      <w:r w:rsidR="0085147A">
        <w:rPr>
          <w:rFonts w:ascii="Cambria" w:hAnsi="Cambria"/>
          <w:color w:val="000000"/>
          <w:sz w:val="20"/>
          <w:szCs w:val="20"/>
          <w:lang w:val="es-VE"/>
        </w:rPr>
        <w:t xml:space="preserve">el </w:t>
      </w:r>
      <w:r w:rsidRPr="00417CF3">
        <w:rPr>
          <w:rFonts w:ascii="Cambria" w:hAnsi="Cambria"/>
          <w:color w:val="000000"/>
          <w:sz w:val="20"/>
          <w:szCs w:val="20"/>
          <w:lang w:val="es-VE"/>
        </w:rPr>
        <w:t>artículo 1.1</w:t>
      </w:r>
      <w:r w:rsidR="00C42E5C">
        <w:rPr>
          <w:rFonts w:ascii="Cambria" w:hAnsi="Cambria"/>
          <w:color w:val="000000"/>
          <w:sz w:val="20"/>
          <w:szCs w:val="20"/>
          <w:lang w:val="es-VE"/>
        </w:rPr>
        <w:t xml:space="preserve"> </w:t>
      </w:r>
      <w:r w:rsidRPr="00417CF3">
        <w:rPr>
          <w:rFonts w:ascii="Cambria" w:hAnsi="Cambria"/>
          <w:color w:val="000000"/>
          <w:sz w:val="20"/>
          <w:szCs w:val="20"/>
          <w:lang w:val="es-VE"/>
        </w:rPr>
        <w:t>del mismo instrumento.</w:t>
      </w:r>
    </w:p>
    <w:p w14:paraId="6687C91D" w14:textId="77777777" w:rsidR="00006896" w:rsidRPr="00A21666" w:rsidRDefault="00006896" w:rsidP="00FD7DDB">
      <w:pPr>
        <w:suppressAutoHyphens/>
        <w:jc w:val="both"/>
        <w:rPr>
          <w:rFonts w:ascii="Cambria" w:hAnsi="Cambria"/>
          <w:sz w:val="20"/>
          <w:szCs w:val="20"/>
          <w:lang w:val="es-ES_tradnl"/>
        </w:rPr>
      </w:pPr>
    </w:p>
    <w:p w14:paraId="023B5B0B" w14:textId="77777777" w:rsidR="00617E74" w:rsidRDefault="00006896" w:rsidP="00AE06B2">
      <w:pPr>
        <w:jc w:val="center"/>
        <w:rPr>
          <w:rFonts w:ascii="Cambria" w:hAnsi="Cambria"/>
          <w:b/>
          <w:sz w:val="20"/>
          <w:szCs w:val="20"/>
          <w:lang w:val="es-ES_tradnl"/>
        </w:rPr>
      </w:pPr>
      <w:r w:rsidRPr="00A21666">
        <w:rPr>
          <w:rFonts w:ascii="Cambria" w:hAnsi="Cambria"/>
          <w:b/>
          <w:sz w:val="20"/>
          <w:szCs w:val="20"/>
          <w:lang w:val="es-ES_tradnl"/>
        </w:rPr>
        <w:t>LA COMISIÓN INTERAMERICANA DE DERECHOS HUMANOS,</w:t>
      </w:r>
      <w:r w:rsidR="004451B8">
        <w:rPr>
          <w:rFonts w:ascii="Cambria" w:hAnsi="Cambria"/>
          <w:b/>
          <w:sz w:val="20"/>
          <w:szCs w:val="20"/>
          <w:lang w:val="es-ES_tradnl"/>
        </w:rPr>
        <w:t xml:space="preserve"> </w:t>
      </w:r>
    </w:p>
    <w:p w14:paraId="3A2071FD" w14:textId="77777777" w:rsidR="00006896" w:rsidRPr="00A21666" w:rsidRDefault="00006896" w:rsidP="00AE06B2">
      <w:pPr>
        <w:jc w:val="center"/>
        <w:rPr>
          <w:rFonts w:ascii="Cambria" w:hAnsi="Cambria"/>
          <w:b/>
          <w:sz w:val="20"/>
          <w:szCs w:val="20"/>
          <w:lang w:val="es-ES_tradnl"/>
        </w:rPr>
      </w:pPr>
      <w:r w:rsidRPr="00A21666">
        <w:rPr>
          <w:rFonts w:ascii="Cambria" w:hAnsi="Cambria"/>
          <w:b/>
          <w:sz w:val="20"/>
          <w:szCs w:val="20"/>
          <w:lang w:val="es-ES_tradnl"/>
        </w:rPr>
        <w:t xml:space="preserve">RECOMIENDA AL ESTADO DE </w:t>
      </w:r>
      <w:r w:rsidR="00E66E05" w:rsidRPr="00A21666">
        <w:rPr>
          <w:rFonts w:ascii="Cambria" w:hAnsi="Cambria"/>
          <w:b/>
          <w:sz w:val="20"/>
          <w:szCs w:val="20"/>
          <w:lang w:val="es-ES_tradnl"/>
        </w:rPr>
        <w:t>HONDURAS</w:t>
      </w:r>
      <w:r w:rsidRPr="00A21666">
        <w:rPr>
          <w:rFonts w:ascii="Cambria" w:hAnsi="Cambria"/>
          <w:b/>
          <w:sz w:val="20"/>
          <w:szCs w:val="20"/>
          <w:lang w:val="es-ES_tradnl"/>
        </w:rPr>
        <w:t>,</w:t>
      </w:r>
    </w:p>
    <w:p w14:paraId="09C1CB36" w14:textId="77777777" w:rsidR="00006896" w:rsidRPr="00A21666" w:rsidRDefault="00006896" w:rsidP="00FD7DD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olor w:val="666666"/>
          <w:sz w:val="20"/>
          <w:szCs w:val="20"/>
          <w:bdr w:val="none" w:sz="0" w:space="0" w:color="auto"/>
          <w:lang w:val="es-US"/>
        </w:rPr>
      </w:pPr>
    </w:p>
    <w:p w14:paraId="6A9D87FE" w14:textId="77777777" w:rsidR="00654D1C" w:rsidRPr="00B97AE6" w:rsidRDefault="00654D1C" w:rsidP="004451B8">
      <w:pPr>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tabs>
          <w:tab w:val="clear" w:pos="1980"/>
          <w:tab w:val="num" w:pos="360"/>
        </w:tabs>
        <w:suppressAutoHyphens/>
        <w:ind w:left="360" w:right="387"/>
        <w:jc w:val="both"/>
        <w:rPr>
          <w:rFonts w:ascii="Cambria" w:hAnsi="Cambria" w:cs="BookAntiqua"/>
          <w:sz w:val="20"/>
          <w:szCs w:val="20"/>
          <w:lang w:val="es-ES_tradnl"/>
        </w:rPr>
      </w:pPr>
      <w:r w:rsidRPr="00B97AE6">
        <w:rPr>
          <w:rFonts w:ascii="Cambria" w:hAnsi="Cambria"/>
          <w:sz w:val="20"/>
          <w:szCs w:val="20"/>
          <w:lang w:val="es-ES_tradnl"/>
        </w:rPr>
        <w:t xml:space="preserve">Reparar integralmente las violaciones de derechos humanos declaradas en el presente informe, incluyendo una justa compensación por el daño material e inmaterial, así como medidas de satisfacción debidamente concertadas con los familiares. </w:t>
      </w:r>
    </w:p>
    <w:p w14:paraId="38771003" w14:textId="77777777" w:rsidR="00654D1C" w:rsidRPr="00B97AE6" w:rsidRDefault="00654D1C" w:rsidP="004451B8">
      <w:pPr>
        <w:tabs>
          <w:tab w:val="num" w:pos="0"/>
          <w:tab w:val="num" w:pos="360"/>
          <w:tab w:val="num" w:pos="1170"/>
        </w:tabs>
        <w:autoSpaceDE w:val="0"/>
        <w:autoSpaceDN w:val="0"/>
        <w:adjustRightInd w:val="0"/>
        <w:ind w:left="360" w:right="387" w:hanging="360"/>
        <w:jc w:val="both"/>
        <w:rPr>
          <w:rFonts w:ascii="Cambria" w:hAnsi="Cambria" w:cs="BookAntiqua"/>
          <w:sz w:val="20"/>
          <w:szCs w:val="20"/>
          <w:lang w:val="es-ES_tradnl"/>
        </w:rPr>
      </w:pPr>
    </w:p>
    <w:p w14:paraId="4AAE1CC7" w14:textId="77777777" w:rsidR="00654D1C" w:rsidRPr="00B97AE6" w:rsidRDefault="00654D1C" w:rsidP="004451B8">
      <w:pPr>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tabs>
          <w:tab w:val="clear" w:pos="1980"/>
          <w:tab w:val="num" w:pos="360"/>
        </w:tabs>
        <w:suppressAutoHyphens/>
        <w:ind w:left="360" w:right="387"/>
        <w:jc w:val="both"/>
        <w:rPr>
          <w:rFonts w:ascii="Cambria" w:hAnsi="Cambria"/>
          <w:sz w:val="20"/>
          <w:szCs w:val="20"/>
          <w:lang w:val="es-ES"/>
        </w:rPr>
      </w:pPr>
      <w:r w:rsidRPr="00B97AE6">
        <w:rPr>
          <w:rFonts w:ascii="Cambria" w:hAnsi="Cambria" w:cs="Arial"/>
          <w:sz w:val="20"/>
          <w:szCs w:val="20"/>
          <w:lang w:val="es-ES"/>
        </w:rPr>
        <w:t>Disponer</w:t>
      </w:r>
      <w:r w:rsidRPr="00B97AE6">
        <w:rPr>
          <w:rFonts w:ascii="Cambria" w:eastAsia="Batang" w:hAnsi="Cambria"/>
          <w:bCs/>
          <w:sz w:val="20"/>
          <w:szCs w:val="20"/>
          <w:bdr w:val="none" w:sz="0" w:space="0" w:color="auto"/>
          <w:lang w:val="es-AR"/>
        </w:rPr>
        <w:t xml:space="preserve"> las medidas de atención en salud física y mental necesarias para los familiares de </w:t>
      </w:r>
      <w:r>
        <w:rPr>
          <w:rFonts w:ascii="Cambria" w:eastAsia="Batang" w:hAnsi="Cambria"/>
          <w:bCs/>
          <w:sz w:val="20"/>
          <w:szCs w:val="20"/>
          <w:bdr w:val="none" w:sz="0" w:space="0" w:color="auto"/>
          <w:lang w:val="es-AR"/>
        </w:rPr>
        <w:t>Herminio Deras García</w:t>
      </w:r>
      <w:r w:rsidRPr="00B97AE6">
        <w:rPr>
          <w:rFonts w:ascii="Cambria" w:eastAsia="Batang" w:hAnsi="Cambria"/>
          <w:bCs/>
          <w:sz w:val="20"/>
          <w:szCs w:val="20"/>
          <w:bdr w:val="none" w:sz="0" w:space="0" w:color="auto"/>
          <w:lang w:val="es-AR"/>
        </w:rPr>
        <w:t xml:space="preserve">. Estas medidas deben implementarse en caso de ser voluntad de las víctimas y de manera concertada con ellas y sus representantes. </w:t>
      </w:r>
    </w:p>
    <w:p w14:paraId="1492E865" w14:textId="77777777" w:rsidR="00654D1C" w:rsidRPr="00B97AE6" w:rsidRDefault="00654D1C" w:rsidP="004451B8">
      <w:pPr>
        <w:tabs>
          <w:tab w:val="num" w:pos="0"/>
          <w:tab w:val="num" w:pos="360"/>
          <w:tab w:val="num" w:pos="1170"/>
        </w:tabs>
        <w:autoSpaceDE w:val="0"/>
        <w:autoSpaceDN w:val="0"/>
        <w:adjustRightInd w:val="0"/>
        <w:ind w:left="360" w:right="387" w:hanging="360"/>
        <w:jc w:val="both"/>
        <w:rPr>
          <w:rFonts w:ascii="Cambria" w:hAnsi="Cambria" w:cs="BookAntiqua"/>
          <w:sz w:val="20"/>
          <w:szCs w:val="20"/>
          <w:lang w:val="es-ES_tradnl"/>
        </w:rPr>
      </w:pPr>
    </w:p>
    <w:p w14:paraId="62EA25F5" w14:textId="77777777" w:rsidR="00654D1C" w:rsidRPr="00B97AE6" w:rsidRDefault="00654D1C" w:rsidP="004451B8">
      <w:pPr>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tabs>
          <w:tab w:val="clear" w:pos="1980"/>
          <w:tab w:val="num" w:pos="360"/>
        </w:tabs>
        <w:suppressAutoHyphens/>
        <w:ind w:left="360" w:right="387"/>
        <w:jc w:val="both"/>
        <w:rPr>
          <w:rFonts w:ascii="Cambria" w:hAnsi="Cambria"/>
          <w:sz w:val="20"/>
          <w:szCs w:val="20"/>
          <w:lang w:val="es-CO"/>
        </w:rPr>
      </w:pPr>
      <w:r w:rsidRPr="00B97AE6">
        <w:rPr>
          <w:rFonts w:ascii="Cambria" w:hAnsi="Cambria" w:cs="BookAntiqua"/>
          <w:sz w:val="20"/>
          <w:szCs w:val="20"/>
          <w:lang w:val="es-ES_tradnl"/>
        </w:rPr>
        <w:t>Realizar</w:t>
      </w:r>
      <w:r w:rsidRPr="00B97AE6">
        <w:rPr>
          <w:rFonts w:ascii="Cambria" w:hAnsi="Cambria"/>
          <w:sz w:val="20"/>
          <w:szCs w:val="20"/>
          <w:lang w:val="es-ES"/>
        </w:rPr>
        <w:t xml:space="preserve"> una investigación completa y efectiva de las violaciones de derechos humanos declaradas en el presente informe. Ello debe implicar i) </w:t>
      </w:r>
      <w:r w:rsidRPr="00B97AE6">
        <w:rPr>
          <w:rFonts w:ascii="Cambria" w:hAnsi="Cambria"/>
          <w:sz w:val="20"/>
          <w:szCs w:val="20"/>
          <w:lang w:val="es-CO"/>
        </w:rPr>
        <w:t xml:space="preserve">que se desplieguen todos los esfuerzos necesarios para </w:t>
      </w:r>
      <w:r w:rsidRPr="00B97AE6">
        <w:rPr>
          <w:rFonts w:ascii="Cambria" w:hAnsi="Cambria"/>
          <w:sz w:val="20"/>
          <w:szCs w:val="20"/>
          <w:lang w:val="es-CO"/>
        </w:rPr>
        <w:lastRenderedPageBreak/>
        <w:t xml:space="preserve">lograr la captura de </w:t>
      </w:r>
      <w:r>
        <w:rPr>
          <w:rFonts w:ascii="Cambria" w:hAnsi="Cambria"/>
          <w:sz w:val="20"/>
          <w:szCs w:val="20"/>
          <w:lang w:val="es-CO"/>
        </w:rPr>
        <w:t>Marco Tulio Regalado</w:t>
      </w:r>
      <w:r w:rsidRPr="00B97AE6">
        <w:rPr>
          <w:rFonts w:ascii="Cambria" w:hAnsi="Cambria"/>
          <w:sz w:val="20"/>
          <w:szCs w:val="20"/>
          <w:lang w:val="es-CO"/>
        </w:rPr>
        <w:t xml:space="preserve"> a fin de que cumpla la condena impuesta; y ii) que se investiguen todas las demás responsabilidades en la justicia penal ordinaria.</w:t>
      </w:r>
    </w:p>
    <w:p w14:paraId="4BBF1BD8" w14:textId="77777777" w:rsidR="0033028D" w:rsidRPr="00654D1C" w:rsidRDefault="0033028D" w:rsidP="00A668F1">
      <w:pPr>
        <w:pStyle w:val="MediumGrid1-Accent21"/>
        <w:rPr>
          <w:rFonts w:eastAsia="Times New Roman" w:cs="Tahoma"/>
          <w:sz w:val="20"/>
          <w:szCs w:val="20"/>
          <w:bdr w:val="none" w:sz="0" w:space="0" w:color="auto"/>
          <w:lang w:val="es-CO"/>
        </w:rPr>
      </w:pPr>
    </w:p>
    <w:p w14:paraId="7D9C0043" w14:textId="77777777" w:rsidR="00654D1C" w:rsidRDefault="00654D1C" w:rsidP="00A668F1">
      <w:pPr>
        <w:jc w:val="both"/>
        <w:rPr>
          <w:rFonts w:ascii="Cambria" w:hAnsi="Cambria"/>
          <w:b/>
          <w:sz w:val="20"/>
          <w:szCs w:val="20"/>
          <w:lang w:val="es-ES_tradnl"/>
        </w:rPr>
      </w:pPr>
    </w:p>
    <w:sectPr w:rsidR="00654D1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79C59" w14:textId="77777777" w:rsidR="00055831" w:rsidRDefault="00055831">
      <w:r>
        <w:separator/>
      </w:r>
    </w:p>
  </w:endnote>
  <w:endnote w:type="continuationSeparator" w:id="0">
    <w:p w14:paraId="1C7B0C08" w14:textId="77777777" w:rsidR="00055831" w:rsidRDefault="00055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Bold">
    <w:altName w:val="Verdana"/>
    <w:panose1 w:val="00000000000000000000"/>
    <w:charset w:val="4D"/>
    <w:family w:val="auto"/>
    <w:notTrueType/>
    <w:pitch w:val="default"/>
    <w:sig w:usb0="03000000"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Univers,Italic">
    <w:panose1 w:val="00000000000000000000"/>
    <w:charset w:val="00"/>
    <w:family w:val="auto"/>
    <w:notTrueType/>
    <w:pitch w:val="default"/>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C1832" w14:textId="77777777" w:rsidR="009D6394" w:rsidRPr="00934A2C" w:rsidRDefault="009D639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17E74">
      <w:rPr>
        <w:noProof/>
        <w:sz w:val="16"/>
        <w:szCs w:val="22"/>
      </w:rPr>
      <w:t>1</w:t>
    </w:r>
    <w:r w:rsidRPr="00934A2C">
      <w:rPr>
        <w:noProof/>
        <w:sz w:val="16"/>
        <w:szCs w:val="22"/>
      </w:rPr>
      <w:fldChar w:fldCharType="end"/>
    </w:r>
  </w:p>
  <w:p w14:paraId="0668EE11" w14:textId="77777777" w:rsidR="009D6394" w:rsidRDefault="009D6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FA964" w14:textId="77777777" w:rsidR="009D6394" w:rsidRPr="00934A2C" w:rsidRDefault="009D6394">
    <w:pPr>
      <w:pStyle w:val="Footer"/>
      <w:jc w:val="center"/>
      <w:rPr>
        <w:sz w:val="16"/>
        <w:szCs w:val="22"/>
      </w:rPr>
    </w:pPr>
  </w:p>
  <w:p w14:paraId="0AC2384F" w14:textId="77777777" w:rsidR="009D6394" w:rsidRDefault="009D6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7490E" w14:textId="77777777" w:rsidR="00055831" w:rsidRPr="00470D7E" w:rsidRDefault="00055831">
      <w:pPr>
        <w:rPr>
          <w:rFonts w:ascii="Cambria" w:hAnsi="Cambria"/>
          <w:sz w:val="16"/>
          <w:szCs w:val="16"/>
        </w:rPr>
      </w:pPr>
      <w:r w:rsidRPr="00470D7E">
        <w:rPr>
          <w:rFonts w:ascii="Cambria" w:hAnsi="Cambria"/>
          <w:sz w:val="16"/>
          <w:szCs w:val="16"/>
        </w:rPr>
        <w:separator/>
      </w:r>
    </w:p>
  </w:footnote>
  <w:footnote w:type="continuationSeparator" w:id="0">
    <w:p w14:paraId="06BF1245" w14:textId="77777777" w:rsidR="00055831" w:rsidRPr="00470D7E" w:rsidRDefault="00055831" w:rsidP="000F35ED">
      <w:pPr>
        <w:rPr>
          <w:rFonts w:ascii="Cambria" w:hAnsi="Cambria"/>
          <w:sz w:val="16"/>
          <w:szCs w:val="16"/>
        </w:rPr>
      </w:pPr>
      <w:r w:rsidRPr="00470D7E">
        <w:rPr>
          <w:rFonts w:ascii="Cambria" w:hAnsi="Cambria"/>
          <w:sz w:val="16"/>
          <w:szCs w:val="16"/>
        </w:rPr>
        <w:separator/>
      </w:r>
    </w:p>
    <w:p w14:paraId="6B2C8D46" w14:textId="77777777" w:rsidR="00055831" w:rsidRPr="00470D7E" w:rsidRDefault="00055831" w:rsidP="000F35ED">
      <w:pPr>
        <w:pStyle w:val="Footer"/>
        <w:rPr>
          <w:sz w:val="16"/>
          <w:szCs w:val="16"/>
        </w:rPr>
      </w:pPr>
      <w:r w:rsidRPr="00470D7E">
        <w:rPr>
          <w:sz w:val="16"/>
          <w:szCs w:val="16"/>
        </w:rPr>
        <w:t>[… continuación]</w:t>
      </w:r>
    </w:p>
  </w:footnote>
  <w:footnote w:type="continuationNotice" w:id="1">
    <w:p w14:paraId="293FE9E1" w14:textId="77777777" w:rsidR="00055831" w:rsidRPr="00470D7E" w:rsidRDefault="00055831" w:rsidP="000F35ED">
      <w:pPr>
        <w:jc w:val="right"/>
        <w:rPr>
          <w:rFonts w:ascii="Cambria" w:hAnsi="Cambria"/>
          <w:sz w:val="16"/>
          <w:szCs w:val="16"/>
          <w:lang w:val="es-ES"/>
        </w:rPr>
      </w:pPr>
      <w:r w:rsidRPr="00470D7E">
        <w:rPr>
          <w:rFonts w:ascii="Cambria" w:hAnsi="Cambria"/>
          <w:sz w:val="16"/>
          <w:szCs w:val="16"/>
          <w:lang w:val="es-ES"/>
        </w:rPr>
        <w:t>[continúa…]</w:t>
      </w:r>
    </w:p>
  </w:footnote>
  <w:footnote w:id="2">
    <w:p w14:paraId="4B16D68A" w14:textId="77777777" w:rsidR="009D6394" w:rsidRPr="00CC44C8" w:rsidRDefault="009D6394" w:rsidP="00CD345C">
      <w:pPr>
        <w:jc w:val="both"/>
        <w:rPr>
          <w:rFonts w:ascii="Cambria" w:eastAsia="Times New Roman" w:hAnsi="Cambria"/>
          <w:sz w:val="16"/>
          <w:szCs w:val="16"/>
          <w:bdr w:val="none" w:sz="0" w:space="0" w:color="auto"/>
          <w:lang w:val="es-CL"/>
        </w:rPr>
      </w:pPr>
      <w:r w:rsidRPr="00CC44C8">
        <w:rPr>
          <w:rStyle w:val="FootnoteReference"/>
          <w:rFonts w:ascii="Cambria" w:hAnsi="Cambria"/>
          <w:sz w:val="16"/>
          <w:szCs w:val="16"/>
        </w:rPr>
        <w:footnoteRef/>
      </w:r>
      <w:r w:rsidRPr="00CC44C8">
        <w:rPr>
          <w:rFonts w:ascii="Cambria" w:hAnsi="Cambria"/>
          <w:sz w:val="16"/>
          <w:szCs w:val="16"/>
          <w:lang w:val="es-US"/>
        </w:rPr>
        <w:t xml:space="preserve"> Con posterioridad el </w:t>
      </w:r>
      <w:r w:rsidRPr="00CC44C8">
        <w:rPr>
          <w:rFonts w:ascii="Cambria" w:eastAsia="Times New Roman" w:hAnsi="Cambria" w:cs="Arial"/>
          <w:bCs/>
          <w:sz w:val="16"/>
          <w:szCs w:val="16"/>
          <w:bdr w:val="none" w:sz="0" w:space="0" w:color="auto"/>
          <w:shd w:val="clear" w:color="auto" w:fill="FFFFFF"/>
          <w:lang w:val="es-CL"/>
        </w:rPr>
        <w:t>Comité de Familiares</w:t>
      </w:r>
      <w:r w:rsidRPr="00CC44C8">
        <w:rPr>
          <w:rFonts w:ascii="Cambria" w:eastAsia="Times New Roman" w:hAnsi="Cambria" w:cs="Arial"/>
          <w:sz w:val="16"/>
          <w:szCs w:val="16"/>
          <w:bdr w:val="none" w:sz="0" w:space="0" w:color="auto"/>
          <w:shd w:val="clear" w:color="auto" w:fill="FFFFFF"/>
          <w:lang w:val="es-CL"/>
        </w:rPr>
        <w:t> de </w:t>
      </w:r>
      <w:r w:rsidRPr="00CC44C8">
        <w:rPr>
          <w:rFonts w:ascii="Cambria" w:eastAsia="Times New Roman" w:hAnsi="Cambria" w:cs="Arial"/>
          <w:bCs/>
          <w:sz w:val="16"/>
          <w:szCs w:val="16"/>
          <w:bdr w:val="none" w:sz="0" w:space="0" w:color="auto"/>
          <w:shd w:val="clear" w:color="auto" w:fill="FFFFFF"/>
          <w:lang w:val="es-CL"/>
        </w:rPr>
        <w:t>Detenidos</w:t>
      </w:r>
      <w:r w:rsidRPr="00CC44C8">
        <w:rPr>
          <w:rFonts w:ascii="Cambria" w:eastAsia="Times New Roman" w:hAnsi="Cambria" w:cs="Arial"/>
          <w:sz w:val="16"/>
          <w:szCs w:val="16"/>
          <w:bdr w:val="none" w:sz="0" w:space="0" w:color="auto"/>
          <w:shd w:val="clear" w:color="auto" w:fill="FFFFFF"/>
          <w:lang w:val="es-CL"/>
        </w:rPr>
        <w:t>-</w:t>
      </w:r>
      <w:r w:rsidRPr="00CC44C8">
        <w:rPr>
          <w:rFonts w:ascii="Cambria" w:eastAsia="Times New Roman" w:hAnsi="Cambria" w:cs="Arial"/>
          <w:bCs/>
          <w:sz w:val="16"/>
          <w:szCs w:val="16"/>
          <w:bdr w:val="none" w:sz="0" w:space="0" w:color="auto"/>
          <w:shd w:val="clear" w:color="auto" w:fill="FFFFFF"/>
          <w:lang w:val="es-CL"/>
        </w:rPr>
        <w:t>Desaparecidos en Honduras</w:t>
      </w:r>
      <w:r w:rsidRPr="00CC44C8">
        <w:rPr>
          <w:rFonts w:ascii="Cambria" w:eastAsia="Times New Roman" w:hAnsi="Cambria" w:cs="Arial"/>
          <w:sz w:val="16"/>
          <w:szCs w:val="16"/>
          <w:bdr w:val="none" w:sz="0" w:space="0" w:color="auto"/>
          <w:shd w:val="clear" w:color="auto" w:fill="FFFFFF"/>
          <w:lang w:val="es-CL"/>
        </w:rPr>
        <w:t> (</w:t>
      </w:r>
      <w:r w:rsidRPr="00CC44C8">
        <w:rPr>
          <w:rFonts w:ascii="Cambria" w:eastAsia="Times New Roman" w:hAnsi="Cambria" w:cs="Arial"/>
          <w:bCs/>
          <w:sz w:val="16"/>
          <w:szCs w:val="16"/>
          <w:bdr w:val="none" w:sz="0" w:space="0" w:color="auto"/>
          <w:shd w:val="clear" w:color="auto" w:fill="FFFFFF"/>
          <w:lang w:val="es-CL"/>
        </w:rPr>
        <w:t>COFADEH</w:t>
      </w:r>
      <w:r w:rsidRPr="00CC44C8">
        <w:rPr>
          <w:rFonts w:ascii="Cambria" w:eastAsia="Times New Roman" w:hAnsi="Cambria" w:cs="Arial"/>
          <w:sz w:val="16"/>
          <w:szCs w:val="16"/>
          <w:bdr w:val="none" w:sz="0" w:space="0" w:color="auto"/>
          <w:shd w:val="clear" w:color="auto" w:fill="FFFFFF"/>
          <w:lang w:val="es-CL"/>
        </w:rPr>
        <w:t xml:space="preserve">) y Alba Luz Deras </w:t>
      </w:r>
      <w:r w:rsidRPr="00CC44C8">
        <w:rPr>
          <w:rFonts w:ascii="Cambria" w:hAnsi="Cambria"/>
          <w:sz w:val="16"/>
          <w:szCs w:val="16"/>
          <w:lang w:val="es-US"/>
        </w:rPr>
        <w:t>se incorporaron como parte peticionaria.</w:t>
      </w:r>
    </w:p>
  </w:footnote>
  <w:footnote w:id="3">
    <w:p w14:paraId="46315615" w14:textId="77777777" w:rsidR="009D6394" w:rsidRPr="00CC44C8" w:rsidRDefault="009D6394" w:rsidP="00CD345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16"/>
          <w:szCs w:val="16"/>
          <w:lang w:val="es-ES"/>
        </w:rPr>
      </w:pPr>
      <w:r w:rsidRPr="00CC44C8">
        <w:rPr>
          <w:rStyle w:val="FootnoteReference"/>
          <w:rFonts w:ascii="Cambria" w:hAnsi="Cambria"/>
          <w:sz w:val="16"/>
          <w:szCs w:val="16"/>
        </w:rPr>
        <w:footnoteRef/>
      </w:r>
      <w:r w:rsidRPr="008628D0">
        <w:rPr>
          <w:rFonts w:ascii="Cambria" w:hAnsi="Cambria"/>
          <w:sz w:val="16"/>
          <w:szCs w:val="16"/>
          <w:lang w:val="es-ES"/>
        </w:rPr>
        <w:t xml:space="preserve"> CIDH. </w:t>
      </w:r>
      <w:r w:rsidRPr="00CC44C8">
        <w:rPr>
          <w:rFonts w:ascii="Cambria" w:hAnsi="Cambria"/>
          <w:sz w:val="16"/>
          <w:szCs w:val="16"/>
          <w:lang w:val="es-ES"/>
        </w:rPr>
        <w:t>Informe No. 56/13. Petición 80-02. Admisibilidad. Herminio Deras García y otros. Honduras. 16 de julio de 2003.</w:t>
      </w:r>
      <w:r w:rsidRPr="00CC44C8">
        <w:rPr>
          <w:rFonts w:ascii="Cambria" w:hAnsi="Cambria"/>
          <w:sz w:val="16"/>
          <w:szCs w:val="16"/>
          <w:lang w:val="es-US"/>
        </w:rPr>
        <w:t xml:space="preserve"> La Comisión declaró admisible la petición en relación con los artículos </w:t>
      </w:r>
      <w:r w:rsidRPr="00CC44C8">
        <w:rPr>
          <w:rFonts w:ascii="Cambria" w:hAnsi="Cambria"/>
          <w:sz w:val="16"/>
          <w:szCs w:val="16"/>
          <w:lang w:val="es-ES"/>
        </w:rPr>
        <w:t>4, 5, 7, 8, 11, 13, 16,  17, 22, 19 y 25  de la Convención Americana, en conexión con el artículo 1.1 de dicho instrumento.</w:t>
      </w:r>
    </w:p>
  </w:footnote>
  <w:footnote w:id="4">
    <w:p w14:paraId="6DC03752" w14:textId="77777777" w:rsidR="009D6394" w:rsidRPr="00CC44C8" w:rsidRDefault="009D6394" w:rsidP="00CD345C">
      <w:pPr>
        <w:pStyle w:val="FootnoteText"/>
        <w:jc w:val="both"/>
        <w:rPr>
          <w:rFonts w:ascii="Cambria" w:hAnsi="Cambria"/>
          <w:sz w:val="16"/>
          <w:szCs w:val="16"/>
          <w:lang w:val="es-ES"/>
        </w:rPr>
      </w:pPr>
      <w:r w:rsidRPr="00CC44C8">
        <w:rPr>
          <w:rStyle w:val="FootnoteReference"/>
          <w:rFonts w:ascii="Cambria" w:hAnsi="Cambria"/>
          <w:sz w:val="16"/>
          <w:szCs w:val="16"/>
        </w:rPr>
        <w:footnoteRef/>
      </w:r>
      <w:r w:rsidRPr="00CC44C8">
        <w:rPr>
          <w:rFonts w:ascii="Cambria" w:hAnsi="Cambria"/>
          <w:sz w:val="16"/>
          <w:szCs w:val="16"/>
          <w:lang w:val="es-ES"/>
        </w:rPr>
        <w:t xml:space="preserve"> </w:t>
      </w:r>
      <w:r w:rsidRPr="00CC44C8">
        <w:rPr>
          <w:rFonts w:ascii="Cambria" w:hAnsi="Cambria"/>
          <w:sz w:val="16"/>
          <w:szCs w:val="16"/>
          <w:lang w:val="es-CL"/>
        </w:rPr>
        <w:t>CIDH. Informe No. 8/93. Caso 10.793. Fondo. Francisco Javier Bonilla. Honduras. 12 de marzo de 1993, párr. 17.</w:t>
      </w:r>
    </w:p>
  </w:footnote>
  <w:footnote w:id="5">
    <w:p w14:paraId="021740E0" w14:textId="77777777" w:rsidR="009D6394" w:rsidRPr="00CC44C8" w:rsidRDefault="009D6394" w:rsidP="00CD345C">
      <w:pPr>
        <w:pStyle w:val="FootnoteText"/>
        <w:jc w:val="both"/>
        <w:rPr>
          <w:rFonts w:ascii="Cambria" w:hAnsi="Cambria"/>
          <w:sz w:val="16"/>
          <w:szCs w:val="16"/>
          <w:lang w:val="es-ES"/>
        </w:rPr>
      </w:pPr>
      <w:r w:rsidRPr="00CC44C8">
        <w:rPr>
          <w:rStyle w:val="FootnoteReference"/>
          <w:rFonts w:ascii="Cambria" w:hAnsi="Cambria"/>
          <w:sz w:val="16"/>
          <w:szCs w:val="16"/>
        </w:rPr>
        <w:footnoteRef/>
      </w:r>
      <w:r w:rsidRPr="00A668F1">
        <w:rPr>
          <w:rFonts w:ascii="Cambria" w:hAnsi="Cambria"/>
          <w:sz w:val="16"/>
          <w:szCs w:val="16"/>
          <w:lang w:val="es-ES"/>
        </w:rPr>
        <w:t xml:space="preserve"> Corte IDH. </w:t>
      </w:r>
      <w:r w:rsidRPr="00A668F1">
        <w:rPr>
          <w:rFonts w:ascii="Cambria" w:hAnsi="Cambria"/>
          <w:i/>
          <w:sz w:val="16"/>
          <w:szCs w:val="16"/>
          <w:lang w:val="es-ES"/>
        </w:rPr>
        <w:t xml:space="preserve">Caso Juan Humberto Sánchez Vs. </w:t>
      </w:r>
      <w:r w:rsidRPr="00CC44C8">
        <w:rPr>
          <w:rFonts w:ascii="Cambria" w:hAnsi="Cambria"/>
          <w:i/>
          <w:sz w:val="16"/>
          <w:szCs w:val="16"/>
          <w:lang w:val="es-ES"/>
        </w:rPr>
        <w:t>Honduras</w:t>
      </w:r>
      <w:r w:rsidRPr="00CC44C8">
        <w:rPr>
          <w:rFonts w:ascii="Cambria" w:hAnsi="Cambria"/>
          <w:sz w:val="16"/>
          <w:szCs w:val="16"/>
          <w:lang w:val="es-ES"/>
        </w:rPr>
        <w:t xml:space="preserve">. Excepción Preliminar, Fondo, Reparaciones y Costas. Sentencia de 7 de junio de 2003. Serie C No. 99, párr. 70; </w:t>
      </w:r>
      <w:r w:rsidRPr="00CC44C8">
        <w:rPr>
          <w:rFonts w:ascii="Cambria" w:hAnsi="Cambria"/>
          <w:i/>
          <w:sz w:val="16"/>
          <w:szCs w:val="16"/>
          <w:lang w:val="es-ES"/>
        </w:rPr>
        <w:t>Caso Godínez Cruz</w:t>
      </w:r>
      <w:r w:rsidRPr="00CC44C8">
        <w:rPr>
          <w:rFonts w:ascii="Cambria" w:hAnsi="Cambria"/>
          <w:sz w:val="16"/>
          <w:szCs w:val="16"/>
          <w:lang w:val="es-ES"/>
        </w:rPr>
        <w:t xml:space="preserve">. Sentencia de 20 de enero de 1989. Serie C No. 5, párrs. 153.b, 165, 167 y 198; y </w:t>
      </w:r>
      <w:r w:rsidRPr="00CC44C8">
        <w:rPr>
          <w:rFonts w:ascii="Cambria" w:hAnsi="Cambria"/>
          <w:i/>
          <w:sz w:val="16"/>
          <w:szCs w:val="16"/>
          <w:lang w:val="es-ES"/>
        </w:rPr>
        <w:t>Caso Velásquez Rodríguez</w:t>
      </w:r>
      <w:r w:rsidRPr="00CC44C8">
        <w:rPr>
          <w:rFonts w:ascii="Cambria" w:hAnsi="Cambria"/>
          <w:sz w:val="16"/>
          <w:szCs w:val="16"/>
          <w:lang w:val="es-ES"/>
        </w:rPr>
        <w:t>. Sentencia de 29 de julio de 1988. Serie C No. 4, párrs. 147.b), 157 y 188.</w:t>
      </w:r>
    </w:p>
  </w:footnote>
  <w:footnote w:id="6">
    <w:p w14:paraId="51207D0F" w14:textId="77777777" w:rsidR="009D6394" w:rsidRPr="00CC44C8" w:rsidRDefault="009D6394" w:rsidP="00CD345C">
      <w:pPr>
        <w:pStyle w:val="FootnoteText"/>
        <w:jc w:val="both"/>
        <w:rPr>
          <w:rFonts w:ascii="Cambria" w:hAnsi="Cambria"/>
          <w:sz w:val="16"/>
          <w:szCs w:val="16"/>
          <w:lang w:val="es-CO"/>
        </w:rPr>
      </w:pPr>
      <w:r w:rsidRPr="00CC44C8">
        <w:rPr>
          <w:rStyle w:val="FootnoteReference"/>
          <w:rFonts w:ascii="Cambria" w:hAnsi="Cambria"/>
          <w:sz w:val="16"/>
          <w:szCs w:val="16"/>
        </w:rPr>
        <w:footnoteRef/>
      </w:r>
      <w:r w:rsidRPr="00CC44C8">
        <w:rPr>
          <w:rFonts w:ascii="Cambria" w:hAnsi="Cambria"/>
          <w:sz w:val="16"/>
          <w:szCs w:val="16"/>
          <w:lang w:val="es-ES"/>
        </w:rPr>
        <w:t xml:space="preserve"> </w:t>
      </w:r>
      <w:r w:rsidRPr="00CC44C8">
        <w:rPr>
          <w:rFonts w:ascii="Cambria" w:hAnsi="Cambria"/>
          <w:sz w:val="16"/>
          <w:szCs w:val="16"/>
          <w:lang w:val="es-CL"/>
        </w:rPr>
        <w:t>Comisión de la verdad y reconciliación, Informe: Para que los hechos no se repitan,</w:t>
      </w:r>
      <w:r w:rsidRPr="00CC44C8">
        <w:rPr>
          <w:rFonts w:ascii="Cambria" w:hAnsi="Cambria"/>
          <w:i/>
          <w:sz w:val="16"/>
          <w:szCs w:val="16"/>
          <w:lang w:val="es-CL"/>
        </w:rPr>
        <w:t xml:space="preserve"> </w:t>
      </w:r>
      <w:r w:rsidRPr="00CC44C8">
        <w:rPr>
          <w:rFonts w:ascii="Cambria" w:hAnsi="Cambria"/>
          <w:sz w:val="16"/>
          <w:szCs w:val="16"/>
          <w:lang w:val="es-CL"/>
        </w:rPr>
        <w:t>Honduras, 2011, págs. 56, 83.</w:t>
      </w:r>
    </w:p>
  </w:footnote>
  <w:footnote w:id="7">
    <w:p w14:paraId="666A7E51" w14:textId="77777777" w:rsidR="009D6394" w:rsidRPr="00CC44C8" w:rsidRDefault="009D6394" w:rsidP="00CD345C">
      <w:pPr>
        <w:pStyle w:val="FootnoteText"/>
        <w:jc w:val="both"/>
        <w:rPr>
          <w:rFonts w:ascii="Cambria" w:hAnsi="Cambria"/>
          <w:sz w:val="16"/>
          <w:szCs w:val="16"/>
          <w:lang w:val="es-CO"/>
        </w:rPr>
      </w:pPr>
      <w:r w:rsidRPr="00CC44C8">
        <w:rPr>
          <w:rStyle w:val="FootnoteReference"/>
          <w:rFonts w:ascii="Cambria" w:hAnsi="Cambria"/>
          <w:sz w:val="16"/>
          <w:szCs w:val="16"/>
        </w:rPr>
        <w:footnoteRef/>
      </w:r>
      <w:r w:rsidRPr="00CC44C8">
        <w:rPr>
          <w:rFonts w:ascii="Cambria" w:hAnsi="Cambria"/>
          <w:sz w:val="16"/>
          <w:szCs w:val="16"/>
          <w:lang w:val="es-CO"/>
        </w:rPr>
        <w:t xml:space="preserve"> </w:t>
      </w:r>
      <w:r w:rsidRPr="00CC44C8">
        <w:rPr>
          <w:rFonts w:ascii="Cambria" w:hAnsi="Cambria"/>
          <w:sz w:val="16"/>
          <w:szCs w:val="16"/>
          <w:lang w:val="es-CL"/>
        </w:rPr>
        <w:t>Comisionado Nacional de los Derechos Humanos, Los hechos hablan por sí mismo: Informe preliminar sobre los desaparecidos en Honduras 1980-1993</w:t>
      </w:r>
      <w:r w:rsidRPr="00CC44C8">
        <w:rPr>
          <w:rFonts w:ascii="Cambria" w:hAnsi="Cambria"/>
          <w:i/>
          <w:sz w:val="16"/>
          <w:szCs w:val="16"/>
          <w:lang w:val="es-CL"/>
        </w:rPr>
        <w:t xml:space="preserve">. </w:t>
      </w:r>
      <w:r w:rsidRPr="00CC44C8">
        <w:rPr>
          <w:rFonts w:ascii="Cambria" w:hAnsi="Cambria"/>
          <w:sz w:val="16"/>
          <w:szCs w:val="16"/>
          <w:lang w:val="es-CL"/>
        </w:rPr>
        <w:t>Tegucigalpa, 2002, pág. 392.</w:t>
      </w:r>
    </w:p>
  </w:footnote>
  <w:footnote w:id="8">
    <w:p w14:paraId="1E7CE06A" w14:textId="77777777" w:rsidR="009D6394" w:rsidRPr="00CC44C8" w:rsidRDefault="009D6394" w:rsidP="00CD345C">
      <w:pPr>
        <w:pStyle w:val="FootnoteText"/>
        <w:jc w:val="both"/>
        <w:rPr>
          <w:rFonts w:ascii="Cambria" w:hAnsi="Cambria"/>
          <w:sz w:val="16"/>
          <w:szCs w:val="16"/>
          <w:lang w:val="es-CL"/>
        </w:rPr>
      </w:pPr>
      <w:r w:rsidRPr="00CC44C8">
        <w:rPr>
          <w:rStyle w:val="FootnoteReference"/>
          <w:rFonts w:ascii="Cambria" w:hAnsi="Cambria"/>
          <w:sz w:val="16"/>
          <w:szCs w:val="16"/>
        </w:rPr>
        <w:footnoteRef/>
      </w:r>
      <w:r w:rsidRPr="00CC44C8">
        <w:rPr>
          <w:rFonts w:ascii="Cambria" w:hAnsi="Cambria"/>
          <w:sz w:val="16"/>
          <w:szCs w:val="16"/>
          <w:lang w:val="es-CL"/>
        </w:rPr>
        <w:t xml:space="preserve"> </w:t>
      </w:r>
      <w:r w:rsidRPr="00CC44C8">
        <w:rPr>
          <w:rFonts w:ascii="Cambria" w:hAnsi="Cambria"/>
          <w:color w:val="auto"/>
          <w:sz w:val="16"/>
          <w:szCs w:val="16"/>
          <w:lang w:val="es-CL"/>
        </w:rPr>
        <w:t xml:space="preserve">Anexo 1. Declaración de  Otilia Flórez Ortiz  del 12  de agosto de1998. </w:t>
      </w:r>
      <w:r w:rsidRPr="00CC44C8">
        <w:rPr>
          <w:rFonts w:ascii="Cambria" w:hAnsi="Cambria"/>
          <w:color w:val="auto"/>
          <w:sz w:val="16"/>
          <w:szCs w:val="16"/>
          <w:lang w:val="es-US"/>
        </w:rPr>
        <w:t xml:space="preserve">Anexo al expediente judicial 7159-02. </w:t>
      </w:r>
      <w:r w:rsidRPr="00CC44C8">
        <w:rPr>
          <w:rFonts w:ascii="Cambria" w:hAnsi="Cambria"/>
          <w:color w:val="auto"/>
          <w:sz w:val="16"/>
          <w:szCs w:val="16"/>
          <w:lang w:val="es-CL"/>
        </w:rPr>
        <w:t>Nota de Prensa “Acribillan a Herminio Deras”, periódico La Tribuna,  31 de enero de 1983. Anexo al expediente 7591-02.</w:t>
      </w:r>
    </w:p>
  </w:footnote>
  <w:footnote w:id="9">
    <w:p w14:paraId="37BA0711" w14:textId="77777777" w:rsidR="009D6394" w:rsidRPr="00CC44C8" w:rsidRDefault="009D6394" w:rsidP="00CD345C">
      <w:pPr>
        <w:pStyle w:val="FootnoteText"/>
        <w:jc w:val="both"/>
        <w:rPr>
          <w:rFonts w:ascii="Cambria" w:hAnsi="Cambria"/>
          <w:sz w:val="16"/>
          <w:szCs w:val="16"/>
          <w:lang w:val="es-ES_tradnl"/>
        </w:rPr>
      </w:pPr>
      <w:r w:rsidRPr="00CC44C8">
        <w:rPr>
          <w:rStyle w:val="FootnoteReference"/>
          <w:rFonts w:ascii="Cambria" w:hAnsi="Cambria"/>
          <w:sz w:val="16"/>
          <w:szCs w:val="16"/>
        </w:rPr>
        <w:footnoteRef/>
      </w:r>
      <w:r w:rsidRPr="00CC44C8">
        <w:rPr>
          <w:rFonts w:ascii="Cambria" w:hAnsi="Cambria"/>
          <w:sz w:val="16"/>
          <w:szCs w:val="16"/>
          <w:lang w:val="es-CL"/>
        </w:rPr>
        <w:t xml:space="preserve"> </w:t>
      </w:r>
      <w:r w:rsidRPr="00CC44C8">
        <w:rPr>
          <w:rFonts w:ascii="Cambria" w:hAnsi="Cambria"/>
          <w:sz w:val="16"/>
          <w:szCs w:val="16"/>
          <w:lang w:val="es-ES_tradnl"/>
        </w:rPr>
        <w:t>Comunicación de la parte peticionara de 2 de febrero de 2014.</w:t>
      </w:r>
    </w:p>
  </w:footnote>
  <w:footnote w:id="10">
    <w:p w14:paraId="76ADF8BB" w14:textId="77777777" w:rsidR="009D6394" w:rsidRPr="00CC44C8" w:rsidRDefault="009D6394" w:rsidP="00CD345C">
      <w:pPr>
        <w:pStyle w:val="FootnoteText"/>
        <w:jc w:val="both"/>
        <w:rPr>
          <w:rFonts w:ascii="Cambria" w:hAnsi="Cambria"/>
          <w:sz w:val="16"/>
          <w:szCs w:val="16"/>
          <w:lang w:val="es-CL"/>
        </w:rPr>
      </w:pPr>
      <w:r w:rsidRPr="00CC44C8">
        <w:rPr>
          <w:rStyle w:val="FootnoteReference"/>
          <w:rFonts w:ascii="Cambria" w:hAnsi="Cambria"/>
          <w:sz w:val="16"/>
          <w:szCs w:val="16"/>
        </w:rPr>
        <w:footnoteRef/>
      </w:r>
      <w:r w:rsidRPr="00CC44C8">
        <w:rPr>
          <w:rFonts w:ascii="Cambria" w:hAnsi="Cambria"/>
          <w:sz w:val="16"/>
          <w:szCs w:val="16"/>
          <w:lang w:val="es-CL"/>
        </w:rPr>
        <w:t xml:space="preserve"> </w:t>
      </w:r>
      <w:r w:rsidRPr="00CC44C8">
        <w:rPr>
          <w:rFonts w:ascii="Cambria" w:hAnsi="Cambria"/>
          <w:color w:val="auto"/>
          <w:sz w:val="16"/>
          <w:szCs w:val="16"/>
          <w:lang w:val="es-CL"/>
        </w:rPr>
        <w:t xml:space="preserve">Comunicaciones de la peticionara de 2 de agosto de 2010 y 2 de febrero de 2014. </w:t>
      </w:r>
      <w:r w:rsidRPr="00CC44C8">
        <w:rPr>
          <w:rFonts w:ascii="Cambria" w:hAnsi="Cambria"/>
          <w:sz w:val="16"/>
          <w:szCs w:val="16"/>
          <w:lang w:val="es-CL"/>
        </w:rPr>
        <w:t xml:space="preserve">Anexo 1. Declaración de  Otilia Flores Ortiz, 9 de agosto de1998. </w:t>
      </w:r>
      <w:r w:rsidRPr="00CC44C8">
        <w:rPr>
          <w:rFonts w:ascii="Cambria" w:hAnsi="Cambria"/>
          <w:color w:val="auto"/>
          <w:sz w:val="16"/>
          <w:szCs w:val="16"/>
          <w:lang w:val="es-CL"/>
        </w:rPr>
        <w:t xml:space="preserve">Declaración de  Elba Flores Ortiz, 6 de febrero de 2002. Declaración de Luis Ronaldo Deras García, 12  de agosto de 1998. Declaración de Isabel Deras García, 12  de agosto de 1998. </w:t>
      </w:r>
      <w:r w:rsidRPr="00CC44C8">
        <w:rPr>
          <w:rFonts w:ascii="Cambria" w:hAnsi="Cambria"/>
          <w:color w:val="auto"/>
          <w:sz w:val="16"/>
          <w:szCs w:val="16"/>
          <w:lang w:val="es-US"/>
        </w:rPr>
        <w:t xml:space="preserve">Anexo al expediente judicial 7159-02. </w:t>
      </w:r>
      <w:r w:rsidRPr="00CC44C8">
        <w:rPr>
          <w:rFonts w:ascii="Cambria" w:hAnsi="Cambria"/>
          <w:color w:val="auto"/>
          <w:sz w:val="16"/>
          <w:szCs w:val="16"/>
          <w:lang w:val="es-CL"/>
        </w:rPr>
        <w:t xml:space="preserve">Anexo 2. Notas de prensa sobre el ametrallamiento a la casa de la familia Deras. Anexo a la comunicación de la parte peticionara de 2 de agosto de 2010. Anexo 3. Denuncia presenta por  Otilia Flores Ortiz  el 4 de febrero de 1983. </w:t>
      </w:r>
      <w:r w:rsidRPr="00CC44C8">
        <w:rPr>
          <w:rFonts w:ascii="Cambria" w:hAnsi="Cambria"/>
          <w:color w:val="auto"/>
          <w:sz w:val="16"/>
          <w:szCs w:val="16"/>
          <w:lang w:val="es-US"/>
        </w:rPr>
        <w:t xml:space="preserve">Anexo al comunicado de la parte peticionaria del 02 de agosto del 2010. </w:t>
      </w:r>
    </w:p>
  </w:footnote>
  <w:footnote w:id="11">
    <w:p w14:paraId="0B2C0ACF" w14:textId="77777777" w:rsidR="009D6394" w:rsidRPr="00CC44C8" w:rsidRDefault="009D6394" w:rsidP="00CD345C">
      <w:pPr>
        <w:pStyle w:val="FootnoteText"/>
        <w:jc w:val="both"/>
        <w:rPr>
          <w:rFonts w:ascii="Cambria" w:hAnsi="Cambria"/>
          <w:sz w:val="16"/>
          <w:szCs w:val="16"/>
          <w:lang w:val="es-CL"/>
        </w:rPr>
      </w:pPr>
      <w:r w:rsidRPr="00CC44C8">
        <w:rPr>
          <w:rStyle w:val="FootnoteReference"/>
          <w:rFonts w:ascii="Cambria" w:hAnsi="Cambria"/>
          <w:sz w:val="16"/>
          <w:szCs w:val="16"/>
        </w:rPr>
        <w:footnoteRef/>
      </w:r>
      <w:r w:rsidRPr="00CC44C8">
        <w:rPr>
          <w:rFonts w:ascii="Cambria" w:hAnsi="Cambria"/>
          <w:sz w:val="16"/>
          <w:szCs w:val="16"/>
          <w:lang w:val="es-CL"/>
        </w:rPr>
        <w:t xml:space="preserve"> </w:t>
      </w:r>
      <w:r w:rsidRPr="00CC44C8">
        <w:rPr>
          <w:rFonts w:ascii="Cambria" w:hAnsi="Cambria"/>
          <w:color w:val="auto"/>
          <w:sz w:val="16"/>
          <w:szCs w:val="16"/>
          <w:lang w:val="es-CL"/>
        </w:rPr>
        <w:t xml:space="preserve">Anexo 1. Declaración de  Irma Isabel Deras García  del 12  de agosto de1998. </w:t>
      </w:r>
      <w:r w:rsidRPr="00CC44C8">
        <w:rPr>
          <w:rFonts w:ascii="Cambria" w:hAnsi="Cambria"/>
          <w:color w:val="auto"/>
          <w:sz w:val="16"/>
          <w:szCs w:val="16"/>
          <w:lang w:val="es-US"/>
        </w:rPr>
        <w:t xml:space="preserve">Anexo al expediente judicial 7159-02. </w:t>
      </w:r>
      <w:r w:rsidRPr="00CC44C8">
        <w:rPr>
          <w:rFonts w:ascii="Cambria" w:hAnsi="Cambria"/>
          <w:sz w:val="16"/>
          <w:szCs w:val="16"/>
          <w:lang w:val="es-ES_tradnl"/>
        </w:rPr>
        <w:t>Comunicación de la parte peticionara de 2 de febrero de 2014.</w:t>
      </w:r>
    </w:p>
  </w:footnote>
  <w:footnote w:id="12">
    <w:p w14:paraId="33A757D4" w14:textId="77777777" w:rsidR="009D6394" w:rsidRPr="00CC44C8" w:rsidRDefault="009D6394" w:rsidP="00CD345C">
      <w:pPr>
        <w:pStyle w:val="FootnoteText"/>
        <w:jc w:val="both"/>
        <w:rPr>
          <w:rFonts w:ascii="Cambria" w:hAnsi="Cambria"/>
          <w:sz w:val="16"/>
          <w:szCs w:val="16"/>
          <w:lang w:val="es-CL"/>
        </w:rPr>
      </w:pPr>
      <w:r w:rsidRPr="00CC44C8">
        <w:rPr>
          <w:rStyle w:val="FootnoteReference"/>
          <w:rFonts w:ascii="Cambria" w:hAnsi="Cambria"/>
          <w:sz w:val="16"/>
          <w:szCs w:val="16"/>
        </w:rPr>
        <w:footnoteRef/>
      </w:r>
      <w:r w:rsidRPr="00CC44C8">
        <w:rPr>
          <w:rFonts w:ascii="Cambria" w:hAnsi="Cambria"/>
          <w:sz w:val="16"/>
          <w:szCs w:val="16"/>
          <w:lang w:val="es-CL"/>
        </w:rPr>
        <w:t xml:space="preserve"> </w:t>
      </w:r>
      <w:r w:rsidRPr="00CC44C8">
        <w:rPr>
          <w:rFonts w:ascii="Cambria" w:hAnsi="Cambria"/>
          <w:color w:val="auto"/>
          <w:sz w:val="16"/>
          <w:szCs w:val="16"/>
          <w:lang w:val="es-CL"/>
        </w:rPr>
        <w:t>Anexo 1. Testimonio de Fausto Reyes Caballero, 28 de octubre de 1998. Anexo expediente judicial 7159-02.</w:t>
      </w:r>
    </w:p>
  </w:footnote>
  <w:footnote w:id="13">
    <w:p w14:paraId="35E1356F" w14:textId="77777777" w:rsidR="009D6394" w:rsidRPr="00CC44C8" w:rsidRDefault="009D6394" w:rsidP="00CD345C">
      <w:pPr>
        <w:pStyle w:val="FootnoteText"/>
        <w:jc w:val="both"/>
        <w:rPr>
          <w:rFonts w:ascii="Cambria" w:hAnsi="Cambria"/>
          <w:sz w:val="16"/>
          <w:szCs w:val="16"/>
          <w:lang w:val="es-CL"/>
        </w:rPr>
      </w:pPr>
      <w:r w:rsidRPr="00CC44C8">
        <w:rPr>
          <w:rStyle w:val="FootnoteReference"/>
          <w:rFonts w:ascii="Cambria" w:hAnsi="Cambria"/>
          <w:sz w:val="16"/>
          <w:szCs w:val="16"/>
        </w:rPr>
        <w:footnoteRef/>
      </w:r>
      <w:r w:rsidRPr="00CC44C8">
        <w:rPr>
          <w:rFonts w:ascii="Cambria" w:hAnsi="Cambria"/>
          <w:sz w:val="16"/>
          <w:szCs w:val="16"/>
          <w:lang w:val="es-CL"/>
        </w:rPr>
        <w:t xml:space="preserve"> </w:t>
      </w:r>
      <w:r w:rsidRPr="00CC44C8">
        <w:rPr>
          <w:rFonts w:ascii="Cambria" w:hAnsi="Cambria"/>
          <w:color w:val="auto"/>
          <w:sz w:val="16"/>
          <w:szCs w:val="16"/>
          <w:lang w:val="es-CL"/>
        </w:rPr>
        <w:t xml:space="preserve">Anexo 1. Declaración de  Irma Isabel Deras García, 12  de agosto de1998. </w:t>
      </w:r>
      <w:r w:rsidRPr="00CC44C8">
        <w:rPr>
          <w:rFonts w:ascii="Cambria" w:hAnsi="Cambria"/>
          <w:color w:val="auto"/>
          <w:sz w:val="16"/>
          <w:szCs w:val="16"/>
          <w:lang w:val="es-US"/>
        </w:rPr>
        <w:t>Anexo al expediente judicial 7159-02.</w:t>
      </w:r>
    </w:p>
  </w:footnote>
  <w:footnote w:id="14">
    <w:p w14:paraId="1BCBBFDD" w14:textId="77777777" w:rsidR="009D6394" w:rsidRPr="00CC44C8" w:rsidRDefault="009D6394" w:rsidP="00CD345C">
      <w:pPr>
        <w:pStyle w:val="FootnoteText"/>
        <w:jc w:val="both"/>
        <w:rPr>
          <w:rFonts w:ascii="Cambria" w:hAnsi="Cambria"/>
          <w:sz w:val="16"/>
          <w:szCs w:val="16"/>
          <w:lang w:val="es-ES_tradnl"/>
        </w:rPr>
      </w:pPr>
      <w:r w:rsidRPr="00CC44C8">
        <w:rPr>
          <w:rStyle w:val="FootnoteReference"/>
          <w:rFonts w:ascii="Cambria" w:hAnsi="Cambria"/>
          <w:sz w:val="16"/>
          <w:szCs w:val="16"/>
        </w:rPr>
        <w:footnoteRef/>
      </w:r>
      <w:r w:rsidRPr="00CC44C8">
        <w:rPr>
          <w:rFonts w:ascii="Cambria" w:hAnsi="Cambria"/>
          <w:sz w:val="16"/>
          <w:szCs w:val="16"/>
          <w:lang w:val="es-CL"/>
        </w:rPr>
        <w:t xml:space="preserve"> </w:t>
      </w:r>
      <w:r w:rsidRPr="00CC44C8">
        <w:rPr>
          <w:rFonts w:ascii="Cambria" w:hAnsi="Cambria"/>
          <w:color w:val="auto"/>
          <w:sz w:val="16"/>
          <w:szCs w:val="16"/>
          <w:lang w:val="es-CL"/>
        </w:rPr>
        <w:t>Anexo 1. Nota de Prensa “Acribillan a Herminio Deras”, periódico La Tribuna,  31 de enero de 1983. Anexo al expediente 7591-02.</w:t>
      </w:r>
    </w:p>
  </w:footnote>
  <w:footnote w:id="15">
    <w:p w14:paraId="728C4145" w14:textId="77777777" w:rsidR="009D6394" w:rsidRPr="00CC44C8" w:rsidRDefault="009D6394" w:rsidP="00CD345C">
      <w:pPr>
        <w:pStyle w:val="FootnoteText"/>
        <w:jc w:val="both"/>
        <w:rPr>
          <w:rFonts w:ascii="Cambria" w:hAnsi="Cambria"/>
          <w:sz w:val="16"/>
          <w:szCs w:val="16"/>
          <w:lang w:val="es-ES_tradnl"/>
        </w:rPr>
      </w:pPr>
      <w:r w:rsidRPr="00CC44C8">
        <w:rPr>
          <w:rStyle w:val="FootnoteReference"/>
          <w:rFonts w:ascii="Cambria" w:hAnsi="Cambria"/>
          <w:sz w:val="16"/>
          <w:szCs w:val="16"/>
        </w:rPr>
        <w:footnoteRef/>
      </w:r>
      <w:r w:rsidRPr="00CC44C8">
        <w:rPr>
          <w:rFonts w:ascii="Cambria" w:hAnsi="Cambria"/>
          <w:sz w:val="16"/>
          <w:szCs w:val="16"/>
          <w:lang w:val="es-CL"/>
        </w:rPr>
        <w:t xml:space="preserve"> </w:t>
      </w:r>
      <w:r w:rsidRPr="00CC44C8">
        <w:rPr>
          <w:rFonts w:ascii="Cambria" w:hAnsi="Cambria"/>
          <w:sz w:val="16"/>
          <w:szCs w:val="16"/>
          <w:lang w:val="es-ES_tradnl"/>
        </w:rPr>
        <w:t>Comunicación de la parte peticionara de 2 de febrero del 2014</w:t>
      </w:r>
    </w:p>
  </w:footnote>
  <w:footnote w:id="16">
    <w:p w14:paraId="09B0F8EB" w14:textId="77777777" w:rsidR="009D6394" w:rsidRPr="00CC44C8" w:rsidRDefault="009D6394" w:rsidP="00CD345C">
      <w:pPr>
        <w:pStyle w:val="FootnoteText"/>
        <w:jc w:val="both"/>
        <w:rPr>
          <w:rFonts w:ascii="Cambria" w:hAnsi="Cambria"/>
          <w:sz w:val="16"/>
          <w:szCs w:val="16"/>
          <w:lang w:val="es-CL"/>
        </w:rPr>
      </w:pPr>
      <w:r w:rsidRPr="00CC44C8">
        <w:rPr>
          <w:rStyle w:val="FootnoteReference"/>
          <w:rFonts w:ascii="Cambria" w:hAnsi="Cambria"/>
          <w:sz w:val="16"/>
          <w:szCs w:val="16"/>
        </w:rPr>
        <w:footnoteRef/>
      </w:r>
      <w:r w:rsidRPr="00CC44C8">
        <w:rPr>
          <w:rFonts w:ascii="Cambria" w:hAnsi="Cambria"/>
          <w:sz w:val="16"/>
          <w:szCs w:val="16"/>
          <w:lang w:val="es-CL"/>
        </w:rPr>
        <w:t xml:space="preserve"> </w:t>
      </w:r>
      <w:r w:rsidRPr="00CC44C8">
        <w:rPr>
          <w:rFonts w:ascii="Cambria" w:hAnsi="Cambria"/>
          <w:color w:val="auto"/>
          <w:sz w:val="16"/>
          <w:szCs w:val="16"/>
          <w:lang w:val="es-CL"/>
        </w:rPr>
        <w:t xml:space="preserve">Anexo 1. Declaración de  Otilia Flores Ortiz, 12  de agosto de1998. </w:t>
      </w:r>
      <w:r w:rsidRPr="00CC44C8">
        <w:rPr>
          <w:rFonts w:ascii="Cambria" w:hAnsi="Cambria"/>
          <w:color w:val="auto"/>
          <w:sz w:val="16"/>
          <w:szCs w:val="16"/>
          <w:lang w:val="es-US"/>
        </w:rPr>
        <w:t>Anexo al expediente judicial 7159-02.</w:t>
      </w:r>
    </w:p>
  </w:footnote>
  <w:footnote w:id="17">
    <w:p w14:paraId="654A04CB" w14:textId="77777777" w:rsidR="009D6394" w:rsidRPr="00CC44C8" w:rsidRDefault="009D6394" w:rsidP="00CD345C">
      <w:pPr>
        <w:pStyle w:val="FootnoteText"/>
        <w:jc w:val="both"/>
        <w:rPr>
          <w:rFonts w:ascii="Cambria" w:hAnsi="Cambria"/>
          <w:sz w:val="16"/>
          <w:szCs w:val="16"/>
          <w:lang w:val="es-CL"/>
        </w:rPr>
      </w:pPr>
      <w:r w:rsidRPr="00CC44C8">
        <w:rPr>
          <w:rStyle w:val="FootnoteReference"/>
          <w:rFonts w:ascii="Cambria" w:hAnsi="Cambria"/>
          <w:sz w:val="16"/>
          <w:szCs w:val="16"/>
        </w:rPr>
        <w:footnoteRef/>
      </w:r>
      <w:r w:rsidRPr="00CC44C8">
        <w:rPr>
          <w:rFonts w:ascii="Cambria" w:hAnsi="Cambria"/>
          <w:sz w:val="16"/>
          <w:szCs w:val="16"/>
          <w:lang w:val="es-CL"/>
        </w:rPr>
        <w:t xml:space="preserve"> </w:t>
      </w:r>
      <w:r w:rsidRPr="00CC44C8">
        <w:rPr>
          <w:rFonts w:ascii="Cambria" w:hAnsi="Cambria"/>
          <w:sz w:val="16"/>
          <w:szCs w:val="16"/>
          <w:lang w:val="es-ES_tradnl"/>
        </w:rPr>
        <w:t>Comunicación de la parte peticionara de 2 de febrero de 2014.</w:t>
      </w:r>
    </w:p>
  </w:footnote>
  <w:footnote w:id="18">
    <w:p w14:paraId="63A6CD24" w14:textId="77777777" w:rsidR="009D6394" w:rsidRPr="00CC44C8" w:rsidRDefault="009D6394" w:rsidP="00CD345C">
      <w:pPr>
        <w:pStyle w:val="FootnoteText"/>
        <w:jc w:val="both"/>
        <w:rPr>
          <w:rFonts w:ascii="Cambria" w:hAnsi="Cambria"/>
          <w:sz w:val="16"/>
          <w:szCs w:val="16"/>
          <w:lang w:val="es-CL"/>
        </w:rPr>
      </w:pPr>
      <w:r w:rsidRPr="00CC44C8">
        <w:rPr>
          <w:rStyle w:val="FootnoteReference"/>
          <w:rFonts w:ascii="Cambria" w:hAnsi="Cambria"/>
          <w:sz w:val="16"/>
          <w:szCs w:val="16"/>
        </w:rPr>
        <w:footnoteRef/>
      </w:r>
      <w:r w:rsidRPr="00CC44C8">
        <w:rPr>
          <w:rFonts w:ascii="Cambria" w:hAnsi="Cambria"/>
          <w:sz w:val="16"/>
          <w:szCs w:val="16"/>
          <w:lang w:val="es-CL"/>
        </w:rPr>
        <w:t xml:space="preserve"> </w:t>
      </w:r>
      <w:r w:rsidRPr="00CC44C8">
        <w:rPr>
          <w:rFonts w:ascii="Cambria" w:hAnsi="Cambria"/>
          <w:color w:val="auto"/>
          <w:sz w:val="16"/>
          <w:szCs w:val="16"/>
          <w:lang w:val="es-CL"/>
        </w:rPr>
        <w:t xml:space="preserve">Anexo 3. Denuncia presenta por  Otilia Flores Ortiz  el 4 de febrero de 1983. </w:t>
      </w:r>
      <w:r w:rsidRPr="00CC44C8">
        <w:rPr>
          <w:rFonts w:ascii="Cambria" w:hAnsi="Cambria"/>
          <w:color w:val="auto"/>
          <w:sz w:val="16"/>
          <w:szCs w:val="16"/>
          <w:lang w:val="es-US"/>
        </w:rPr>
        <w:t>Anexo al comunicado de la parte peticionaria del 02 de agosto del 2010.</w:t>
      </w:r>
    </w:p>
  </w:footnote>
  <w:footnote w:id="19">
    <w:p w14:paraId="1118BF6A" w14:textId="77777777" w:rsidR="009D6394" w:rsidRPr="00CC44C8" w:rsidRDefault="009D6394" w:rsidP="00CD345C">
      <w:pPr>
        <w:pStyle w:val="FootnoteText"/>
        <w:jc w:val="both"/>
        <w:rPr>
          <w:rFonts w:ascii="Cambria" w:hAnsi="Cambria"/>
          <w:sz w:val="16"/>
          <w:szCs w:val="16"/>
          <w:lang w:val="es-CL"/>
        </w:rPr>
      </w:pPr>
      <w:r w:rsidRPr="00CC44C8">
        <w:rPr>
          <w:rStyle w:val="FootnoteReference"/>
          <w:rFonts w:ascii="Cambria" w:hAnsi="Cambria"/>
          <w:sz w:val="16"/>
          <w:szCs w:val="16"/>
        </w:rPr>
        <w:footnoteRef/>
      </w:r>
      <w:r w:rsidRPr="00CC44C8">
        <w:rPr>
          <w:rFonts w:ascii="Cambria" w:hAnsi="Cambria"/>
          <w:sz w:val="16"/>
          <w:szCs w:val="16"/>
          <w:lang w:val="es-CL"/>
        </w:rPr>
        <w:t xml:space="preserve"> </w:t>
      </w:r>
      <w:r w:rsidRPr="00CC44C8">
        <w:rPr>
          <w:rFonts w:ascii="Cambria" w:hAnsi="Cambria"/>
          <w:color w:val="auto"/>
          <w:sz w:val="16"/>
          <w:szCs w:val="16"/>
          <w:lang w:val="es-CL"/>
        </w:rPr>
        <w:t>Anexo 1. Testimonio de Fausto Reyes Caballero del 28 de octubre de 1998. Anexo expediente judicial 7159-02.</w:t>
      </w:r>
    </w:p>
  </w:footnote>
  <w:footnote w:id="20">
    <w:p w14:paraId="7D73F71B" w14:textId="77777777" w:rsidR="009D6394" w:rsidRPr="00CC44C8" w:rsidRDefault="009D6394" w:rsidP="00CD345C">
      <w:pPr>
        <w:pStyle w:val="FootnoteText"/>
        <w:jc w:val="both"/>
        <w:rPr>
          <w:rFonts w:ascii="Cambria" w:hAnsi="Cambria"/>
          <w:sz w:val="16"/>
          <w:szCs w:val="16"/>
          <w:lang w:val="es-CL"/>
        </w:rPr>
      </w:pPr>
      <w:r w:rsidRPr="00CC44C8">
        <w:rPr>
          <w:rStyle w:val="FootnoteReference"/>
          <w:rFonts w:ascii="Cambria" w:hAnsi="Cambria"/>
          <w:sz w:val="16"/>
          <w:szCs w:val="16"/>
        </w:rPr>
        <w:footnoteRef/>
      </w:r>
      <w:r w:rsidRPr="00CC44C8">
        <w:rPr>
          <w:rFonts w:ascii="Cambria" w:hAnsi="Cambria"/>
          <w:sz w:val="16"/>
          <w:szCs w:val="16"/>
          <w:lang w:val="es-CL"/>
        </w:rPr>
        <w:t xml:space="preserve"> </w:t>
      </w:r>
      <w:r w:rsidRPr="00CC44C8">
        <w:rPr>
          <w:rFonts w:ascii="Cambria" w:hAnsi="Cambria"/>
          <w:sz w:val="16"/>
          <w:szCs w:val="16"/>
          <w:lang w:val="es-ES_tradnl"/>
        </w:rPr>
        <w:t>Comunicación de la parte peticionara de 2 de febrero de 2014</w:t>
      </w:r>
      <w:r w:rsidRPr="00CC44C8">
        <w:rPr>
          <w:rFonts w:ascii="Cambria" w:hAnsi="Cambria"/>
          <w:color w:val="auto"/>
          <w:sz w:val="16"/>
          <w:szCs w:val="16"/>
          <w:lang w:val="es-CL"/>
        </w:rPr>
        <w:t xml:space="preserve">. Anexo 1. Declaración de  Irma Isabel Deras García, 12  de agosto de 1998. </w:t>
      </w:r>
      <w:r w:rsidRPr="00CC44C8">
        <w:rPr>
          <w:rFonts w:ascii="Cambria" w:hAnsi="Cambria"/>
          <w:color w:val="auto"/>
          <w:sz w:val="16"/>
          <w:szCs w:val="16"/>
          <w:lang w:val="es-US"/>
        </w:rPr>
        <w:t>Anexo al expediente judicial 7159-02.</w:t>
      </w:r>
    </w:p>
  </w:footnote>
  <w:footnote w:id="21">
    <w:p w14:paraId="64DBD073" w14:textId="77777777" w:rsidR="009D6394" w:rsidRPr="00CC44C8" w:rsidRDefault="009D6394" w:rsidP="00CD345C">
      <w:pPr>
        <w:pStyle w:val="FootnoteText"/>
        <w:jc w:val="both"/>
        <w:rPr>
          <w:rFonts w:ascii="Cambria" w:hAnsi="Cambria"/>
          <w:sz w:val="16"/>
          <w:szCs w:val="16"/>
          <w:lang w:val="es-CL"/>
        </w:rPr>
      </w:pPr>
      <w:r w:rsidRPr="00CC44C8">
        <w:rPr>
          <w:rStyle w:val="FootnoteReference"/>
          <w:rFonts w:ascii="Cambria" w:hAnsi="Cambria"/>
          <w:sz w:val="16"/>
          <w:szCs w:val="16"/>
        </w:rPr>
        <w:footnoteRef/>
      </w:r>
      <w:r w:rsidRPr="00CC44C8">
        <w:rPr>
          <w:rFonts w:ascii="Cambria" w:hAnsi="Cambria"/>
          <w:sz w:val="16"/>
          <w:szCs w:val="16"/>
          <w:lang w:val="es-CL"/>
        </w:rPr>
        <w:t xml:space="preserve"> </w:t>
      </w:r>
      <w:r w:rsidRPr="00CC44C8">
        <w:rPr>
          <w:rFonts w:ascii="Cambria" w:hAnsi="Cambria"/>
          <w:sz w:val="16"/>
          <w:szCs w:val="16"/>
          <w:lang w:val="es-ES_tradnl"/>
        </w:rPr>
        <w:t>Comunicación de la parte peticionara de 2 de febrero de 2014.</w:t>
      </w:r>
    </w:p>
  </w:footnote>
  <w:footnote w:id="22">
    <w:p w14:paraId="5FD8BF8A" w14:textId="77777777" w:rsidR="009D6394" w:rsidRPr="00CC44C8" w:rsidRDefault="009D6394" w:rsidP="00CD345C">
      <w:pPr>
        <w:pStyle w:val="FootnoteText"/>
        <w:jc w:val="both"/>
        <w:rPr>
          <w:rFonts w:ascii="Cambria" w:hAnsi="Cambria"/>
          <w:sz w:val="16"/>
          <w:szCs w:val="16"/>
          <w:lang w:val="es-CL"/>
        </w:rPr>
      </w:pPr>
      <w:r w:rsidRPr="00CC44C8">
        <w:rPr>
          <w:rStyle w:val="FootnoteReference"/>
          <w:rFonts w:ascii="Cambria" w:hAnsi="Cambria"/>
          <w:sz w:val="16"/>
          <w:szCs w:val="16"/>
        </w:rPr>
        <w:footnoteRef/>
      </w:r>
      <w:r w:rsidRPr="00CC44C8">
        <w:rPr>
          <w:rFonts w:ascii="Cambria" w:hAnsi="Cambria"/>
          <w:sz w:val="16"/>
          <w:szCs w:val="16"/>
          <w:lang w:val="es-CL"/>
        </w:rPr>
        <w:t xml:space="preserve"> </w:t>
      </w:r>
      <w:r w:rsidRPr="00CC44C8">
        <w:rPr>
          <w:rFonts w:ascii="Cambria" w:hAnsi="Cambria"/>
          <w:color w:val="auto"/>
          <w:sz w:val="16"/>
          <w:szCs w:val="16"/>
          <w:lang w:val="es-CL"/>
        </w:rPr>
        <w:t xml:space="preserve">Anexo 1. Declaración de  Irma Isabel Deras García, 12  de agosto de1998. </w:t>
      </w:r>
      <w:r w:rsidRPr="00CC44C8">
        <w:rPr>
          <w:rFonts w:ascii="Cambria" w:hAnsi="Cambria"/>
          <w:color w:val="auto"/>
          <w:sz w:val="16"/>
          <w:szCs w:val="16"/>
          <w:lang w:val="es-US"/>
        </w:rPr>
        <w:t>Anexo al expediente judicial 7159-02.</w:t>
      </w:r>
    </w:p>
  </w:footnote>
  <w:footnote w:id="23">
    <w:p w14:paraId="19390354" w14:textId="77777777" w:rsidR="009D6394" w:rsidRPr="00CC44C8" w:rsidRDefault="009D6394" w:rsidP="00CD345C">
      <w:pPr>
        <w:pStyle w:val="FootnoteText"/>
        <w:jc w:val="both"/>
        <w:rPr>
          <w:rFonts w:ascii="Cambria" w:hAnsi="Cambria"/>
          <w:sz w:val="16"/>
          <w:szCs w:val="16"/>
          <w:lang w:val="es-CL"/>
        </w:rPr>
      </w:pPr>
      <w:r w:rsidRPr="00CC44C8">
        <w:rPr>
          <w:rStyle w:val="FootnoteReference"/>
          <w:rFonts w:ascii="Cambria" w:hAnsi="Cambria"/>
          <w:sz w:val="16"/>
          <w:szCs w:val="16"/>
        </w:rPr>
        <w:footnoteRef/>
      </w:r>
      <w:r w:rsidRPr="00CC44C8">
        <w:rPr>
          <w:rFonts w:ascii="Cambria" w:hAnsi="Cambria"/>
          <w:sz w:val="16"/>
          <w:szCs w:val="16"/>
          <w:lang w:val="es-CL"/>
        </w:rPr>
        <w:t xml:space="preserve"> </w:t>
      </w:r>
      <w:r w:rsidRPr="00CC44C8">
        <w:rPr>
          <w:rFonts w:ascii="Cambria" w:hAnsi="Cambria"/>
          <w:sz w:val="16"/>
          <w:szCs w:val="16"/>
          <w:lang w:val="es-ES_tradnl"/>
        </w:rPr>
        <w:t>Comunicación de la parte peticionara de 2 de febrero de 2014.</w:t>
      </w:r>
    </w:p>
  </w:footnote>
  <w:footnote w:id="24">
    <w:p w14:paraId="3B415A19" w14:textId="77777777" w:rsidR="009D6394" w:rsidRPr="00CC44C8" w:rsidRDefault="009D6394" w:rsidP="00CD345C">
      <w:pPr>
        <w:pStyle w:val="FootnoteText"/>
        <w:jc w:val="both"/>
        <w:rPr>
          <w:rFonts w:ascii="Cambria" w:hAnsi="Cambria"/>
          <w:sz w:val="16"/>
          <w:szCs w:val="16"/>
          <w:lang w:val="es-CL"/>
        </w:rPr>
      </w:pPr>
      <w:r w:rsidRPr="00CC44C8">
        <w:rPr>
          <w:rStyle w:val="FootnoteReference"/>
          <w:rFonts w:ascii="Cambria" w:hAnsi="Cambria"/>
          <w:sz w:val="16"/>
          <w:szCs w:val="16"/>
        </w:rPr>
        <w:footnoteRef/>
      </w:r>
      <w:r w:rsidRPr="00CC44C8">
        <w:rPr>
          <w:rFonts w:ascii="Cambria" w:hAnsi="Cambria"/>
          <w:sz w:val="16"/>
          <w:szCs w:val="16"/>
          <w:lang w:val="es-CL"/>
        </w:rPr>
        <w:t xml:space="preserve"> </w:t>
      </w:r>
      <w:r w:rsidRPr="00CC44C8">
        <w:rPr>
          <w:rFonts w:ascii="Cambria" w:hAnsi="Cambria"/>
          <w:color w:val="auto"/>
          <w:sz w:val="16"/>
          <w:szCs w:val="16"/>
          <w:lang w:val="es-CL"/>
        </w:rPr>
        <w:t xml:space="preserve">Anexo 1. Denuncia presentada por el Ministerio Público del 30 de julio de 1998. </w:t>
      </w:r>
      <w:r w:rsidRPr="00CC44C8">
        <w:rPr>
          <w:rFonts w:ascii="Cambria" w:hAnsi="Cambria"/>
          <w:color w:val="auto"/>
          <w:sz w:val="16"/>
          <w:szCs w:val="16"/>
          <w:lang w:val="es-US"/>
        </w:rPr>
        <w:t>Anexo al expediente judicial 7159-02.</w:t>
      </w:r>
    </w:p>
  </w:footnote>
  <w:footnote w:id="25">
    <w:p w14:paraId="552A4DD8" w14:textId="77777777" w:rsidR="009D6394" w:rsidRPr="00CC44C8" w:rsidRDefault="009D6394" w:rsidP="00CD345C">
      <w:pPr>
        <w:pStyle w:val="FootnoteText"/>
        <w:jc w:val="both"/>
        <w:rPr>
          <w:rFonts w:ascii="Cambria" w:hAnsi="Cambria"/>
          <w:sz w:val="16"/>
          <w:szCs w:val="16"/>
          <w:lang w:val="es-CL"/>
        </w:rPr>
      </w:pPr>
      <w:r w:rsidRPr="00CC44C8">
        <w:rPr>
          <w:rStyle w:val="FootnoteReference"/>
          <w:rFonts w:ascii="Cambria" w:hAnsi="Cambria"/>
          <w:sz w:val="16"/>
          <w:szCs w:val="16"/>
        </w:rPr>
        <w:footnoteRef/>
      </w:r>
      <w:r w:rsidRPr="00CC44C8">
        <w:rPr>
          <w:rFonts w:ascii="Cambria" w:hAnsi="Cambria"/>
          <w:sz w:val="16"/>
          <w:szCs w:val="16"/>
          <w:lang w:val="es-CL"/>
        </w:rPr>
        <w:t xml:space="preserve"> </w:t>
      </w:r>
      <w:r w:rsidRPr="00CC44C8">
        <w:rPr>
          <w:rFonts w:ascii="Cambria" w:hAnsi="Cambria"/>
          <w:color w:val="auto"/>
          <w:sz w:val="16"/>
          <w:szCs w:val="16"/>
          <w:lang w:val="es-CL"/>
        </w:rPr>
        <w:t xml:space="preserve">Anexo 1. Comunicación del Juzgado Tercer de lo Criminal del 30 de julio de 1998. </w:t>
      </w:r>
      <w:r w:rsidRPr="00CC44C8">
        <w:rPr>
          <w:rFonts w:ascii="Cambria" w:hAnsi="Cambria"/>
          <w:color w:val="auto"/>
          <w:sz w:val="16"/>
          <w:szCs w:val="16"/>
          <w:lang w:val="es-US"/>
        </w:rPr>
        <w:t>Anexo al expediente judicial 7159-02.</w:t>
      </w:r>
    </w:p>
  </w:footnote>
  <w:footnote w:id="26">
    <w:p w14:paraId="52F92C5D" w14:textId="77777777" w:rsidR="009D6394" w:rsidRPr="00CC44C8" w:rsidRDefault="009D6394" w:rsidP="00CD345C">
      <w:pPr>
        <w:pStyle w:val="FootnoteText"/>
        <w:jc w:val="both"/>
        <w:rPr>
          <w:rFonts w:ascii="Cambria" w:hAnsi="Cambria"/>
          <w:sz w:val="16"/>
          <w:szCs w:val="16"/>
          <w:lang w:val="es-CL"/>
        </w:rPr>
      </w:pPr>
      <w:r w:rsidRPr="00CC44C8">
        <w:rPr>
          <w:rStyle w:val="FootnoteReference"/>
          <w:rFonts w:ascii="Cambria" w:hAnsi="Cambria"/>
          <w:sz w:val="16"/>
          <w:szCs w:val="16"/>
        </w:rPr>
        <w:footnoteRef/>
      </w:r>
      <w:r w:rsidRPr="00CC44C8">
        <w:rPr>
          <w:rFonts w:ascii="Cambria" w:hAnsi="Cambria"/>
          <w:sz w:val="16"/>
          <w:szCs w:val="16"/>
          <w:lang w:val="es-CL"/>
        </w:rPr>
        <w:t xml:space="preserve"> </w:t>
      </w:r>
      <w:r w:rsidRPr="00CC44C8">
        <w:rPr>
          <w:rFonts w:ascii="Cambria" w:hAnsi="Cambria"/>
          <w:color w:val="auto"/>
          <w:sz w:val="16"/>
          <w:szCs w:val="16"/>
          <w:lang w:val="es-CL"/>
        </w:rPr>
        <w:t xml:space="preserve">Anexo 1. Declaración de Isabel Deras García, 12  de agosto de1998. </w:t>
      </w:r>
      <w:r w:rsidRPr="00CC44C8">
        <w:rPr>
          <w:rFonts w:ascii="Cambria" w:hAnsi="Cambria"/>
          <w:color w:val="auto"/>
          <w:sz w:val="16"/>
          <w:szCs w:val="16"/>
          <w:lang w:val="es-US"/>
        </w:rPr>
        <w:t>Anexo al expediente judicial 7159-02.</w:t>
      </w:r>
    </w:p>
  </w:footnote>
  <w:footnote w:id="27">
    <w:p w14:paraId="3C27BDE8" w14:textId="77777777" w:rsidR="009D6394" w:rsidRPr="00CC44C8" w:rsidRDefault="009D6394" w:rsidP="00CD345C">
      <w:pPr>
        <w:pStyle w:val="FootnoteText"/>
        <w:jc w:val="both"/>
        <w:rPr>
          <w:rFonts w:ascii="Cambria" w:hAnsi="Cambria"/>
          <w:sz w:val="16"/>
          <w:szCs w:val="16"/>
          <w:lang w:val="es-CL"/>
        </w:rPr>
      </w:pPr>
      <w:r w:rsidRPr="00CC44C8">
        <w:rPr>
          <w:rStyle w:val="FootnoteReference"/>
          <w:rFonts w:ascii="Cambria" w:hAnsi="Cambria"/>
          <w:sz w:val="16"/>
          <w:szCs w:val="16"/>
        </w:rPr>
        <w:footnoteRef/>
      </w:r>
      <w:r w:rsidRPr="00CC44C8">
        <w:rPr>
          <w:rFonts w:ascii="Cambria" w:hAnsi="Cambria"/>
          <w:sz w:val="16"/>
          <w:szCs w:val="16"/>
          <w:lang w:val="es-CL"/>
        </w:rPr>
        <w:t xml:space="preserve"> </w:t>
      </w:r>
      <w:r w:rsidRPr="00CC44C8">
        <w:rPr>
          <w:rFonts w:ascii="Cambria" w:hAnsi="Cambria"/>
          <w:color w:val="auto"/>
          <w:sz w:val="16"/>
          <w:szCs w:val="16"/>
          <w:lang w:val="es-CL"/>
        </w:rPr>
        <w:t xml:space="preserve">Anexo 1. Declaración de  Otilia Flores Ortiz, 12  de agosto de1998. </w:t>
      </w:r>
      <w:r w:rsidRPr="00CC44C8">
        <w:rPr>
          <w:rFonts w:ascii="Cambria" w:hAnsi="Cambria"/>
          <w:color w:val="auto"/>
          <w:sz w:val="16"/>
          <w:szCs w:val="16"/>
          <w:lang w:val="es-US"/>
        </w:rPr>
        <w:t>Anexo al expediente judicial 7159-02.</w:t>
      </w:r>
    </w:p>
  </w:footnote>
  <w:footnote w:id="28">
    <w:p w14:paraId="5BAD4A1E" w14:textId="77777777" w:rsidR="009D6394" w:rsidRPr="00CC44C8" w:rsidRDefault="009D6394" w:rsidP="00CD345C">
      <w:pPr>
        <w:pStyle w:val="FootnoteText"/>
        <w:jc w:val="both"/>
        <w:rPr>
          <w:rFonts w:ascii="Cambria" w:hAnsi="Cambria"/>
          <w:sz w:val="16"/>
          <w:szCs w:val="16"/>
          <w:lang w:val="es-CL"/>
        </w:rPr>
      </w:pPr>
      <w:r w:rsidRPr="00CC44C8">
        <w:rPr>
          <w:rStyle w:val="FootnoteReference"/>
          <w:rFonts w:ascii="Cambria" w:hAnsi="Cambria"/>
          <w:sz w:val="16"/>
          <w:szCs w:val="16"/>
        </w:rPr>
        <w:footnoteRef/>
      </w:r>
      <w:r w:rsidRPr="00CC44C8">
        <w:rPr>
          <w:rFonts w:ascii="Cambria" w:hAnsi="Cambria"/>
          <w:sz w:val="16"/>
          <w:szCs w:val="16"/>
          <w:lang w:val="es-CL"/>
        </w:rPr>
        <w:t xml:space="preserve"> </w:t>
      </w:r>
      <w:r w:rsidRPr="00CC44C8">
        <w:rPr>
          <w:rFonts w:ascii="Cambria" w:hAnsi="Cambria"/>
          <w:color w:val="auto"/>
          <w:sz w:val="16"/>
          <w:szCs w:val="16"/>
          <w:lang w:val="es-CL"/>
        </w:rPr>
        <w:t>Anexo 1. Orden de captura dictada por el Juzgado de Letras Tercero de lo Criminal del 19 de enero de 1999. Anexo al expediente judicial 7591-02.</w:t>
      </w:r>
    </w:p>
  </w:footnote>
  <w:footnote w:id="29">
    <w:p w14:paraId="22013CC3" w14:textId="77777777" w:rsidR="009D6394" w:rsidRPr="00CC44C8" w:rsidRDefault="009D6394" w:rsidP="00CD345C">
      <w:pPr>
        <w:pStyle w:val="FootnoteText"/>
        <w:jc w:val="both"/>
        <w:rPr>
          <w:rFonts w:ascii="Cambria" w:hAnsi="Cambria"/>
          <w:sz w:val="16"/>
          <w:szCs w:val="16"/>
          <w:lang w:val="es-CL"/>
        </w:rPr>
      </w:pPr>
      <w:r w:rsidRPr="00CC44C8">
        <w:rPr>
          <w:rStyle w:val="FootnoteReference"/>
          <w:rFonts w:ascii="Cambria" w:hAnsi="Cambria"/>
          <w:sz w:val="16"/>
          <w:szCs w:val="16"/>
        </w:rPr>
        <w:footnoteRef/>
      </w:r>
      <w:r w:rsidRPr="00CC44C8">
        <w:rPr>
          <w:rFonts w:ascii="Cambria" w:hAnsi="Cambria"/>
          <w:sz w:val="16"/>
          <w:szCs w:val="16"/>
          <w:lang w:val="es-CL"/>
        </w:rPr>
        <w:t xml:space="preserve"> </w:t>
      </w:r>
      <w:r w:rsidRPr="00CC44C8">
        <w:rPr>
          <w:rFonts w:ascii="Cambria" w:hAnsi="Cambria"/>
          <w:color w:val="auto"/>
          <w:sz w:val="16"/>
          <w:szCs w:val="16"/>
          <w:lang w:val="es-CL"/>
        </w:rPr>
        <w:t>Anexo 1. Solicitud de orden captura presentada por el Ministerio Público el 6 de enero de 1999.  Anexo al expediente judicial 7591-02.</w:t>
      </w:r>
    </w:p>
  </w:footnote>
  <w:footnote w:id="30">
    <w:p w14:paraId="2484D2D8" w14:textId="77777777" w:rsidR="009D6394" w:rsidRPr="00CC44C8" w:rsidRDefault="009D6394" w:rsidP="00CD345C">
      <w:pPr>
        <w:pStyle w:val="FootnoteText"/>
        <w:jc w:val="both"/>
        <w:rPr>
          <w:rFonts w:ascii="Cambria" w:hAnsi="Cambria"/>
          <w:sz w:val="16"/>
          <w:szCs w:val="16"/>
          <w:lang w:val="es-CL"/>
        </w:rPr>
      </w:pPr>
      <w:r w:rsidRPr="00CC44C8">
        <w:rPr>
          <w:rStyle w:val="FootnoteReference"/>
          <w:rFonts w:ascii="Cambria" w:hAnsi="Cambria"/>
          <w:sz w:val="16"/>
          <w:szCs w:val="16"/>
        </w:rPr>
        <w:footnoteRef/>
      </w:r>
      <w:r w:rsidRPr="00CC44C8">
        <w:rPr>
          <w:rFonts w:ascii="Cambria" w:hAnsi="Cambria"/>
          <w:sz w:val="16"/>
          <w:szCs w:val="16"/>
          <w:lang w:val="es-CL"/>
        </w:rPr>
        <w:t xml:space="preserve"> </w:t>
      </w:r>
      <w:r w:rsidRPr="00CC44C8">
        <w:rPr>
          <w:rFonts w:ascii="Cambria" w:hAnsi="Cambria"/>
          <w:color w:val="auto"/>
          <w:sz w:val="16"/>
          <w:szCs w:val="16"/>
          <w:lang w:val="es-CL"/>
        </w:rPr>
        <w:t>Anexo 6. Declaración de indagatoria del imputado, 5 de octubre de 1999. Anexo al expediente judicial 7591-02.</w:t>
      </w:r>
    </w:p>
  </w:footnote>
  <w:footnote w:id="31">
    <w:p w14:paraId="16995F52" w14:textId="77777777" w:rsidR="009D6394" w:rsidRPr="00CC44C8" w:rsidRDefault="009D6394" w:rsidP="00CD345C">
      <w:pPr>
        <w:pStyle w:val="FootnoteText"/>
        <w:jc w:val="both"/>
        <w:rPr>
          <w:rFonts w:ascii="Cambria" w:hAnsi="Cambria"/>
          <w:sz w:val="16"/>
          <w:szCs w:val="16"/>
          <w:lang w:val="es-CL"/>
        </w:rPr>
      </w:pPr>
      <w:r w:rsidRPr="00CC44C8">
        <w:rPr>
          <w:rStyle w:val="FootnoteReference"/>
          <w:rFonts w:ascii="Cambria" w:hAnsi="Cambria"/>
          <w:sz w:val="16"/>
          <w:szCs w:val="16"/>
        </w:rPr>
        <w:footnoteRef/>
      </w:r>
      <w:r w:rsidRPr="00CC44C8">
        <w:rPr>
          <w:rFonts w:ascii="Cambria" w:hAnsi="Cambria"/>
          <w:sz w:val="16"/>
          <w:szCs w:val="16"/>
          <w:lang w:val="es-CL"/>
        </w:rPr>
        <w:t xml:space="preserve"> </w:t>
      </w:r>
      <w:r w:rsidRPr="00CC44C8">
        <w:rPr>
          <w:rFonts w:ascii="Cambria" w:hAnsi="Cambria"/>
          <w:color w:val="auto"/>
          <w:sz w:val="16"/>
          <w:szCs w:val="16"/>
          <w:lang w:val="es-CL"/>
        </w:rPr>
        <w:t xml:space="preserve">Anexo 1 Comunicación del Juzgado Tercer de lo Criminal, 7 de octubre de 1998. </w:t>
      </w:r>
      <w:r w:rsidRPr="00CC44C8">
        <w:rPr>
          <w:rFonts w:ascii="Cambria" w:hAnsi="Cambria"/>
          <w:color w:val="auto"/>
          <w:sz w:val="16"/>
          <w:szCs w:val="16"/>
          <w:lang w:val="es-US"/>
        </w:rPr>
        <w:t>Anexo al expediente judicial 7159-02.</w:t>
      </w:r>
    </w:p>
  </w:footnote>
  <w:footnote w:id="32">
    <w:p w14:paraId="14EA7EC5" w14:textId="77777777" w:rsidR="009D6394" w:rsidRPr="00CC44C8" w:rsidRDefault="009D6394" w:rsidP="00CD345C">
      <w:pPr>
        <w:pStyle w:val="FootnoteText"/>
        <w:jc w:val="both"/>
        <w:rPr>
          <w:rFonts w:ascii="Cambria" w:hAnsi="Cambria"/>
          <w:sz w:val="16"/>
          <w:szCs w:val="16"/>
          <w:lang w:val="es-CL"/>
        </w:rPr>
      </w:pPr>
      <w:r w:rsidRPr="00CC44C8">
        <w:rPr>
          <w:rStyle w:val="FootnoteReference"/>
          <w:rFonts w:ascii="Cambria" w:hAnsi="Cambria"/>
          <w:sz w:val="16"/>
          <w:szCs w:val="16"/>
        </w:rPr>
        <w:footnoteRef/>
      </w:r>
      <w:r w:rsidRPr="00CC44C8">
        <w:rPr>
          <w:rFonts w:ascii="Cambria" w:hAnsi="Cambria"/>
          <w:sz w:val="16"/>
          <w:szCs w:val="16"/>
          <w:lang w:val="es-CL"/>
        </w:rPr>
        <w:t xml:space="preserve"> </w:t>
      </w:r>
      <w:r w:rsidRPr="00CC44C8">
        <w:rPr>
          <w:rFonts w:ascii="Cambria" w:hAnsi="Cambria"/>
          <w:color w:val="auto"/>
          <w:sz w:val="16"/>
          <w:szCs w:val="16"/>
          <w:lang w:val="es-CL"/>
        </w:rPr>
        <w:t xml:space="preserve">Anexo 1. Solicitud de audiencia de careo al Juzgado Tercero de lo Criminal del 7 de octubre de 1999. </w:t>
      </w:r>
      <w:r w:rsidRPr="00CC44C8">
        <w:rPr>
          <w:rFonts w:ascii="Cambria" w:hAnsi="Cambria"/>
          <w:color w:val="auto"/>
          <w:sz w:val="16"/>
          <w:szCs w:val="16"/>
          <w:lang w:val="es-US"/>
        </w:rPr>
        <w:t>Anexo al expediente judicial 7159-02.</w:t>
      </w:r>
    </w:p>
  </w:footnote>
  <w:footnote w:id="33">
    <w:p w14:paraId="030E04F7" w14:textId="77777777" w:rsidR="009D6394" w:rsidRPr="00CC44C8" w:rsidRDefault="009D6394" w:rsidP="00CD345C">
      <w:pPr>
        <w:pStyle w:val="FootnoteText"/>
        <w:jc w:val="both"/>
        <w:rPr>
          <w:rFonts w:ascii="Cambria" w:hAnsi="Cambria"/>
          <w:sz w:val="16"/>
          <w:szCs w:val="16"/>
          <w:lang w:val="es-CL"/>
        </w:rPr>
      </w:pPr>
      <w:r w:rsidRPr="00CC44C8">
        <w:rPr>
          <w:rStyle w:val="FootnoteReference"/>
          <w:rFonts w:ascii="Cambria" w:hAnsi="Cambria"/>
          <w:sz w:val="16"/>
          <w:szCs w:val="16"/>
        </w:rPr>
        <w:footnoteRef/>
      </w:r>
      <w:r w:rsidRPr="00CC44C8">
        <w:rPr>
          <w:rFonts w:ascii="Cambria" w:hAnsi="Cambria"/>
          <w:sz w:val="16"/>
          <w:szCs w:val="16"/>
          <w:lang w:val="es-CL"/>
        </w:rPr>
        <w:t xml:space="preserve"> </w:t>
      </w:r>
      <w:r w:rsidRPr="00CC44C8">
        <w:rPr>
          <w:rFonts w:ascii="Cambria" w:hAnsi="Cambria"/>
          <w:color w:val="auto"/>
          <w:sz w:val="16"/>
          <w:szCs w:val="16"/>
          <w:lang w:val="es-CL"/>
        </w:rPr>
        <w:t xml:space="preserve">Anexo 1. Acta de careo, 8 de octubre de 1999. </w:t>
      </w:r>
      <w:r w:rsidRPr="00CC44C8">
        <w:rPr>
          <w:rFonts w:ascii="Cambria" w:hAnsi="Cambria"/>
          <w:color w:val="auto"/>
          <w:sz w:val="16"/>
          <w:szCs w:val="16"/>
          <w:lang w:val="es-US"/>
        </w:rPr>
        <w:t>Anexo al expediente judicial 7159-02.</w:t>
      </w:r>
    </w:p>
  </w:footnote>
  <w:footnote w:id="34">
    <w:p w14:paraId="4BE13073" w14:textId="77777777" w:rsidR="009D6394" w:rsidRPr="00CC44C8" w:rsidRDefault="009D6394" w:rsidP="00CD345C">
      <w:pPr>
        <w:pStyle w:val="FootnoteText"/>
        <w:jc w:val="both"/>
        <w:rPr>
          <w:rFonts w:ascii="Cambria" w:hAnsi="Cambria"/>
          <w:sz w:val="16"/>
          <w:szCs w:val="16"/>
          <w:lang w:val="es-ES_tradnl"/>
        </w:rPr>
      </w:pPr>
      <w:r w:rsidRPr="00CC44C8">
        <w:rPr>
          <w:rStyle w:val="FootnoteReference"/>
          <w:rFonts w:ascii="Cambria" w:hAnsi="Cambria"/>
          <w:sz w:val="16"/>
          <w:szCs w:val="16"/>
        </w:rPr>
        <w:footnoteRef/>
      </w:r>
      <w:r w:rsidRPr="00CC44C8">
        <w:rPr>
          <w:rFonts w:ascii="Cambria" w:hAnsi="Cambria"/>
          <w:sz w:val="16"/>
          <w:szCs w:val="16"/>
          <w:lang w:val="es-CL"/>
        </w:rPr>
        <w:t xml:space="preserve"> </w:t>
      </w:r>
      <w:r w:rsidRPr="00CC44C8">
        <w:rPr>
          <w:rFonts w:ascii="Cambria" w:hAnsi="Cambria"/>
          <w:color w:val="auto"/>
          <w:sz w:val="16"/>
          <w:szCs w:val="16"/>
          <w:lang w:val="es-CL"/>
        </w:rPr>
        <w:t>Anexo 1. Auto de prisión dictado por el Juzgado de Letras Tercero de lo Criminal, 11 de octubre de 1999. Anexo al expediente judicial 7591-02.</w:t>
      </w:r>
    </w:p>
  </w:footnote>
  <w:footnote w:id="35">
    <w:p w14:paraId="190C98E1" w14:textId="77777777" w:rsidR="009D6394" w:rsidRPr="00CC44C8" w:rsidRDefault="009D6394" w:rsidP="00CD345C">
      <w:pPr>
        <w:pStyle w:val="FootnoteText"/>
        <w:jc w:val="both"/>
        <w:rPr>
          <w:rFonts w:ascii="Cambria" w:hAnsi="Cambria"/>
          <w:sz w:val="16"/>
          <w:szCs w:val="16"/>
          <w:lang w:val="es-CL"/>
        </w:rPr>
      </w:pPr>
      <w:r w:rsidRPr="00CC44C8">
        <w:rPr>
          <w:rStyle w:val="FootnoteReference"/>
          <w:rFonts w:ascii="Cambria" w:hAnsi="Cambria"/>
          <w:sz w:val="16"/>
          <w:szCs w:val="16"/>
        </w:rPr>
        <w:footnoteRef/>
      </w:r>
      <w:r w:rsidRPr="00CC44C8">
        <w:rPr>
          <w:rFonts w:ascii="Cambria" w:hAnsi="Cambria"/>
          <w:sz w:val="16"/>
          <w:szCs w:val="16"/>
          <w:lang w:val="es-CL"/>
        </w:rPr>
        <w:t xml:space="preserve"> </w:t>
      </w:r>
      <w:r w:rsidRPr="00CC44C8">
        <w:rPr>
          <w:rFonts w:ascii="Cambria" w:hAnsi="Cambria"/>
          <w:color w:val="auto"/>
          <w:sz w:val="16"/>
          <w:szCs w:val="16"/>
          <w:lang w:val="es-CL"/>
        </w:rPr>
        <w:t>Anexo 5. Fallo del Juzgado de Letras Penal Seccional Judicial de San Pedro de Sula, 17 de marzo de 2004. Anexo al expediente judicial 4366-02.</w:t>
      </w:r>
    </w:p>
  </w:footnote>
  <w:footnote w:id="36">
    <w:p w14:paraId="1351A5D7" w14:textId="77777777" w:rsidR="009D6394" w:rsidRPr="00CC44C8" w:rsidRDefault="009D6394" w:rsidP="00CD345C">
      <w:pPr>
        <w:pStyle w:val="FootnoteText"/>
        <w:jc w:val="both"/>
        <w:rPr>
          <w:rFonts w:ascii="Cambria" w:hAnsi="Cambria"/>
          <w:sz w:val="16"/>
          <w:szCs w:val="16"/>
          <w:lang w:val="es-CL"/>
        </w:rPr>
      </w:pPr>
      <w:r w:rsidRPr="00CC44C8">
        <w:rPr>
          <w:rStyle w:val="FootnoteReference"/>
          <w:rFonts w:ascii="Cambria" w:hAnsi="Cambria"/>
          <w:sz w:val="16"/>
          <w:szCs w:val="16"/>
        </w:rPr>
        <w:footnoteRef/>
      </w:r>
      <w:r w:rsidRPr="00CC44C8">
        <w:rPr>
          <w:rFonts w:ascii="Cambria" w:hAnsi="Cambria"/>
          <w:sz w:val="16"/>
          <w:szCs w:val="16"/>
          <w:lang w:val="es-CL"/>
        </w:rPr>
        <w:t xml:space="preserve"> </w:t>
      </w:r>
      <w:r w:rsidRPr="00CC44C8">
        <w:rPr>
          <w:rFonts w:ascii="Cambria" w:hAnsi="Cambria"/>
          <w:color w:val="auto"/>
          <w:sz w:val="16"/>
          <w:szCs w:val="16"/>
          <w:lang w:val="es-CL"/>
        </w:rPr>
        <w:t>Comunicación de la parte peticionara de 2 de febrero de 2014.</w:t>
      </w:r>
    </w:p>
  </w:footnote>
  <w:footnote w:id="37">
    <w:p w14:paraId="3E53E220" w14:textId="77777777" w:rsidR="009D6394" w:rsidRPr="00CC44C8" w:rsidRDefault="009D6394" w:rsidP="00CD345C">
      <w:pPr>
        <w:pStyle w:val="FootnoteText"/>
        <w:jc w:val="both"/>
        <w:rPr>
          <w:rFonts w:ascii="Cambria" w:hAnsi="Cambria"/>
          <w:sz w:val="16"/>
          <w:szCs w:val="16"/>
          <w:lang w:val="es-CL"/>
        </w:rPr>
      </w:pPr>
      <w:r w:rsidRPr="00CC44C8">
        <w:rPr>
          <w:rStyle w:val="FootnoteReference"/>
          <w:rFonts w:ascii="Cambria" w:hAnsi="Cambria"/>
          <w:sz w:val="16"/>
          <w:szCs w:val="16"/>
        </w:rPr>
        <w:footnoteRef/>
      </w:r>
      <w:r w:rsidRPr="00CC44C8">
        <w:rPr>
          <w:rFonts w:ascii="Cambria" w:hAnsi="Cambria"/>
          <w:sz w:val="16"/>
          <w:szCs w:val="16"/>
          <w:lang w:val="es-CL"/>
        </w:rPr>
        <w:t xml:space="preserve"> </w:t>
      </w:r>
      <w:r w:rsidRPr="00CC44C8">
        <w:rPr>
          <w:rFonts w:ascii="Cambria" w:hAnsi="Cambria"/>
          <w:color w:val="auto"/>
          <w:sz w:val="16"/>
          <w:szCs w:val="16"/>
          <w:lang w:val="es-CL"/>
        </w:rPr>
        <w:t>Anexo 5. Fallo del Juzgado de Letras Penal Seccional Judicial de San Pedro de Sula del 17 de marzo de 2004. Anexo al expediente judicial 4366-02.</w:t>
      </w:r>
    </w:p>
  </w:footnote>
  <w:footnote w:id="38">
    <w:p w14:paraId="3316C83B" w14:textId="77777777" w:rsidR="009D6394" w:rsidRPr="00CC44C8" w:rsidRDefault="009D6394" w:rsidP="00CD345C">
      <w:pPr>
        <w:pStyle w:val="FootnoteText"/>
        <w:jc w:val="both"/>
        <w:rPr>
          <w:rFonts w:ascii="Cambria" w:hAnsi="Cambria"/>
          <w:sz w:val="16"/>
          <w:szCs w:val="16"/>
          <w:lang w:val="es-CL"/>
        </w:rPr>
      </w:pPr>
      <w:r w:rsidRPr="00CC44C8">
        <w:rPr>
          <w:rStyle w:val="FootnoteReference"/>
          <w:rFonts w:ascii="Cambria" w:hAnsi="Cambria"/>
          <w:sz w:val="16"/>
          <w:szCs w:val="16"/>
        </w:rPr>
        <w:footnoteRef/>
      </w:r>
      <w:r w:rsidRPr="00CC44C8">
        <w:rPr>
          <w:rFonts w:ascii="Cambria" w:hAnsi="Cambria"/>
          <w:sz w:val="16"/>
          <w:szCs w:val="16"/>
          <w:lang w:val="es-CL"/>
        </w:rPr>
        <w:t xml:space="preserve"> </w:t>
      </w:r>
      <w:r w:rsidRPr="00CC44C8">
        <w:rPr>
          <w:rFonts w:ascii="Cambria" w:hAnsi="Cambria"/>
          <w:color w:val="auto"/>
          <w:sz w:val="16"/>
          <w:szCs w:val="16"/>
          <w:lang w:val="es-CL"/>
        </w:rPr>
        <w:t>Comunicación del Estado de 11 de abril de 2016.</w:t>
      </w:r>
    </w:p>
  </w:footnote>
  <w:footnote w:id="39">
    <w:p w14:paraId="0C0C5AC6" w14:textId="77777777" w:rsidR="009D6394" w:rsidRPr="00CC44C8" w:rsidRDefault="009D6394" w:rsidP="00CD345C">
      <w:pPr>
        <w:pStyle w:val="FootnoteText"/>
        <w:jc w:val="both"/>
        <w:rPr>
          <w:rFonts w:ascii="Cambria" w:hAnsi="Cambria"/>
          <w:sz w:val="16"/>
          <w:szCs w:val="16"/>
          <w:lang w:val="es-CL"/>
        </w:rPr>
      </w:pPr>
      <w:r w:rsidRPr="00CC44C8">
        <w:rPr>
          <w:rStyle w:val="FootnoteReference"/>
          <w:rFonts w:ascii="Cambria" w:hAnsi="Cambria"/>
          <w:sz w:val="16"/>
          <w:szCs w:val="16"/>
        </w:rPr>
        <w:footnoteRef/>
      </w:r>
      <w:r w:rsidRPr="00CC44C8">
        <w:rPr>
          <w:rFonts w:ascii="Cambria" w:hAnsi="Cambria"/>
          <w:sz w:val="16"/>
          <w:szCs w:val="16"/>
          <w:lang w:val="es-CL"/>
        </w:rPr>
        <w:t xml:space="preserve"> </w:t>
      </w:r>
      <w:r w:rsidRPr="00CC44C8">
        <w:rPr>
          <w:rFonts w:ascii="Cambria" w:hAnsi="Cambria"/>
          <w:color w:val="auto"/>
          <w:sz w:val="16"/>
          <w:szCs w:val="16"/>
          <w:lang w:val="es-CL"/>
        </w:rPr>
        <w:t>Anexo 1. Decisión Corte de Apelaciones Seccional San Pedro de Sula, 23 de mayo de 2005.  Anexo al expediente judicial 7591-02.</w:t>
      </w:r>
    </w:p>
  </w:footnote>
  <w:footnote w:id="40">
    <w:p w14:paraId="51032184" w14:textId="77777777" w:rsidR="009D6394" w:rsidRPr="00CC44C8" w:rsidRDefault="009D6394" w:rsidP="00CD345C">
      <w:pPr>
        <w:pStyle w:val="FootnoteText"/>
        <w:jc w:val="both"/>
        <w:rPr>
          <w:rFonts w:ascii="Cambria" w:hAnsi="Cambria"/>
          <w:sz w:val="16"/>
          <w:szCs w:val="16"/>
          <w:lang w:val="es-CL"/>
        </w:rPr>
      </w:pPr>
      <w:r w:rsidRPr="00CC44C8">
        <w:rPr>
          <w:rStyle w:val="FootnoteReference"/>
          <w:rFonts w:ascii="Cambria" w:hAnsi="Cambria"/>
          <w:sz w:val="16"/>
          <w:szCs w:val="16"/>
        </w:rPr>
        <w:footnoteRef/>
      </w:r>
      <w:r w:rsidRPr="00CC44C8">
        <w:rPr>
          <w:rFonts w:ascii="Cambria" w:hAnsi="Cambria"/>
          <w:sz w:val="16"/>
          <w:szCs w:val="16"/>
          <w:lang w:val="es-CL"/>
        </w:rPr>
        <w:t xml:space="preserve"> </w:t>
      </w:r>
      <w:r w:rsidRPr="00CC44C8">
        <w:rPr>
          <w:rFonts w:ascii="Cambria" w:hAnsi="Cambria"/>
          <w:color w:val="auto"/>
          <w:sz w:val="16"/>
          <w:szCs w:val="16"/>
          <w:lang w:val="es-CL"/>
        </w:rPr>
        <w:t xml:space="preserve">Anexo 4. Certificación del auto de la Corte Suprema de Justicia por parte de la Secretaria de la Corte de Apelaciones. Anexo al comunicado de la parte peticionaria del 02 de agosto de 2010. </w:t>
      </w:r>
    </w:p>
  </w:footnote>
  <w:footnote w:id="41">
    <w:p w14:paraId="002998A7" w14:textId="77777777" w:rsidR="009D6394" w:rsidRPr="00CC44C8" w:rsidRDefault="009D6394" w:rsidP="00CD345C">
      <w:pPr>
        <w:pStyle w:val="FootnoteText"/>
        <w:jc w:val="both"/>
        <w:rPr>
          <w:rFonts w:ascii="Cambria" w:hAnsi="Cambria"/>
          <w:sz w:val="16"/>
          <w:szCs w:val="16"/>
          <w:lang w:val="es-CL"/>
        </w:rPr>
      </w:pPr>
      <w:r w:rsidRPr="00CC44C8">
        <w:rPr>
          <w:rStyle w:val="FootnoteReference"/>
          <w:rFonts w:ascii="Cambria" w:hAnsi="Cambria"/>
          <w:sz w:val="16"/>
          <w:szCs w:val="16"/>
        </w:rPr>
        <w:footnoteRef/>
      </w:r>
      <w:r w:rsidRPr="00CC44C8">
        <w:rPr>
          <w:rFonts w:ascii="Cambria" w:hAnsi="Cambria"/>
          <w:sz w:val="16"/>
          <w:szCs w:val="16"/>
          <w:lang w:val="es-CL"/>
        </w:rPr>
        <w:t xml:space="preserve"> </w:t>
      </w:r>
      <w:r w:rsidRPr="00CC44C8">
        <w:rPr>
          <w:rFonts w:ascii="Cambria" w:hAnsi="Cambria"/>
          <w:color w:val="auto"/>
          <w:sz w:val="16"/>
          <w:szCs w:val="16"/>
          <w:lang w:val="es-CL"/>
        </w:rPr>
        <w:t>Anexo 1. Orden de captura dictada por el Juzgado de Ejecución Sección Judicial de San Pedro de Sula. Anexo al expediente judicial 7591-02.</w:t>
      </w:r>
    </w:p>
  </w:footnote>
  <w:footnote w:id="42">
    <w:p w14:paraId="56D1EE06" w14:textId="77777777" w:rsidR="009D6394" w:rsidRPr="00CC44C8" w:rsidRDefault="009D6394" w:rsidP="00CD345C">
      <w:pPr>
        <w:pStyle w:val="FootnoteText"/>
        <w:jc w:val="both"/>
        <w:rPr>
          <w:rFonts w:ascii="Cambria" w:hAnsi="Cambria"/>
          <w:sz w:val="16"/>
          <w:szCs w:val="16"/>
          <w:lang w:val="es-CL"/>
        </w:rPr>
      </w:pPr>
      <w:r w:rsidRPr="00CC44C8">
        <w:rPr>
          <w:rStyle w:val="FootnoteReference"/>
          <w:rFonts w:ascii="Cambria" w:hAnsi="Cambria"/>
          <w:sz w:val="16"/>
          <w:szCs w:val="16"/>
        </w:rPr>
        <w:footnoteRef/>
      </w:r>
      <w:r w:rsidRPr="00CC44C8">
        <w:rPr>
          <w:rFonts w:ascii="Cambria" w:hAnsi="Cambria"/>
          <w:sz w:val="16"/>
          <w:szCs w:val="16"/>
          <w:lang w:val="es-CL"/>
        </w:rPr>
        <w:t xml:space="preserve"> </w:t>
      </w:r>
      <w:r w:rsidRPr="00CC44C8">
        <w:rPr>
          <w:rFonts w:ascii="Cambria" w:hAnsi="Cambria"/>
          <w:color w:val="auto"/>
          <w:sz w:val="16"/>
          <w:szCs w:val="16"/>
          <w:lang w:val="es-CL"/>
        </w:rPr>
        <w:t>Comunicación del Estado de 11 de abril de 2016.</w:t>
      </w:r>
    </w:p>
  </w:footnote>
  <w:footnote w:id="43">
    <w:p w14:paraId="4EA52E3A" w14:textId="77777777" w:rsidR="009D6394" w:rsidRPr="00CC44C8" w:rsidRDefault="009D6394" w:rsidP="00CD345C">
      <w:pPr>
        <w:pStyle w:val="FootnoteText"/>
        <w:jc w:val="both"/>
        <w:rPr>
          <w:rFonts w:ascii="Cambria" w:hAnsi="Cambria"/>
          <w:sz w:val="16"/>
          <w:szCs w:val="16"/>
          <w:lang w:val="es-CL"/>
        </w:rPr>
      </w:pPr>
      <w:r w:rsidRPr="00CC44C8">
        <w:rPr>
          <w:rStyle w:val="FootnoteReference"/>
          <w:rFonts w:ascii="Cambria" w:hAnsi="Cambria"/>
          <w:sz w:val="16"/>
          <w:szCs w:val="16"/>
        </w:rPr>
        <w:footnoteRef/>
      </w:r>
      <w:r w:rsidRPr="00CC44C8">
        <w:rPr>
          <w:rFonts w:ascii="Cambria" w:hAnsi="Cambria"/>
          <w:sz w:val="16"/>
          <w:szCs w:val="16"/>
          <w:lang w:val="es-CL"/>
        </w:rPr>
        <w:t xml:space="preserve"> </w:t>
      </w:r>
      <w:r w:rsidRPr="00CC44C8">
        <w:rPr>
          <w:rFonts w:ascii="Cambria" w:hAnsi="Cambria"/>
          <w:color w:val="auto"/>
          <w:sz w:val="16"/>
          <w:szCs w:val="16"/>
          <w:lang w:val="es-CL"/>
        </w:rPr>
        <w:t>Anexo 1. Observaciones de fondo de la Parte peticionara del 2 de febrero de 2014, folio 36.</w:t>
      </w:r>
    </w:p>
  </w:footnote>
  <w:footnote w:id="44">
    <w:p w14:paraId="31EB4B53" w14:textId="77777777" w:rsidR="009D6394" w:rsidRPr="00CC44C8" w:rsidRDefault="009D6394" w:rsidP="00CD345C">
      <w:pPr>
        <w:pStyle w:val="FootnoteText"/>
        <w:jc w:val="both"/>
        <w:rPr>
          <w:rFonts w:ascii="Cambria" w:hAnsi="Cambria"/>
          <w:sz w:val="16"/>
          <w:szCs w:val="16"/>
          <w:lang w:val="es-CL"/>
        </w:rPr>
      </w:pPr>
      <w:r w:rsidRPr="00CC44C8">
        <w:rPr>
          <w:rStyle w:val="FootnoteReference"/>
          <w:rFonts w:ascii="Cambria" w:hAnsi="Cambria"/>
          <w:sz w:val="16"/>
          <w:szCs w:val="16"/>
        </w:rPr>
        <w:footnoteRef/>
      </w:r>
      <w:r w:rsidRPr="00CC44C8">
        <w:rPr>
          <w:rFonts w:ascii="Cambria" w:hAnsi="Cambria"/>
          <w:sz w:val="16"/>
          <w:szCs w:val="16"/>
          <w:lang w:val="es-CL"/>
        </w:rPr>
        <w:t xml:space="preserve"> </w:t>
      </w:r>
      <w:r w:rsidRPr="00CC44C8">
        <w:rPr>
          <w:rFonts w:ascii="Cambria" w:hAnsi="Cambria"/>
          <w:color w:val="auto"/>
          <w:sz w:val="16"/>
          <w:szCs w:val="16"/>
          <w:lang w:val="es-CL"/>
        </w:rPr>
        <w:t>Anexo 1. Observaciones de fondo de la Parte peticionara del 2 de febrero de 2014, folio 36.</w:t>
      </w:r>
    </w:p>
  </w:footnote>
  <w:footnote w:id="45">
    <w:p w14:paraId="2AB58A57" w14:textId="77777777" w:rsidR="009D6394" w:rsidRPr="00CC44C8" w:rsidRDefault="009D6394" w:rsidP="00CD345C">
      <w:pPr>
        <w:shd w:val="clear" w:color="auto" w:fill="FFFFFF"/>
        <w:tabs>
          <w:tab w:val="num" w:pos="720"/>
          <w:tab w:val="left" w:pos="1440"/>
          <w:tab w:val="num" w:pos="2040"/>
        </w:tabs>
        <w:jc w:val="both"/>
        <w:rPr>
          <w:rFonts w:ascii="Cambria" w:hAnsi="Cambria"/>
          <w:sz w:val="16"/>
          <w:szCs w:val="16"/>
          <w:lang w:val="es-ES"/>
        </w:rPr>
      </w:pPr>
      <w:r w:rsidRPr="00CC44C8">
        <w:rPr>
          <w:rStyle w:val="FootnoteReference"/>
          <w:rFonts w:ascii="Cambria" w:hAnsi="Cambria"/>
          <w:sz w:val="16"/>
          <w:szCs w:val="16"/>
        </w:rPr>
        <w:footnoteRef/>
      </w:r>
      <w:r w:rsidRPr="00CC44C8">
        <w:rPr>
          <w:rFonts w:ascii="Cambria" w:hAnsi="Cambria"/>
          <w:sz w:val="16"/>
          <w:szCs w:val="16"/>
          <w:lang w:val="es-VE"/>
        </w:rPr>
        <w:t xml:space="preserve"> Artículo 4.1. </w:t>
      </w:r>
      <w:r w:rsidRPr="00CC44C8">
        <w:rPr>
          <w:rFonts w:ascii="Cambria" w:hAnsi="Cambria" w:cs="Tahoma"/>
          <w:color w:val="000000"/>
          <w:sz w:val="16"/>
          <w:szCs w:val="16"/>
          <w:lang w:val="es-ES"/>
        </w:rPr>
        <w:t>Toda persona tiene derecho a que se respete su vida.  Este derecho estará protegido por la ley y, en general, a partir del momento de la concepción.  Nadie puede ser privado de la vida arbitrariamente.</w:t>
      </w:r>
    </w:p>
  </w:footnote>
  <w:footnote w:id="46">
    <w:p w14:paraId="1189079F" w14:textId="77777777" w:rsidR="009D6394" w:rsidRPr="00CC44C8" w:rsidRDefault="009D6394" w:rsidP="00CD345C">
      <w:pPr>
        <w:pStyle w:val="FootnoteText"/>
        <w:jc w:val="both"/>
        <w:rPr>
          <w:rFonts w:ascii="Cambria" w:hAnsi="Cambria"/>
          <w:sz w:val="16"/>
          <w:szCs w:val="16"/>
          <w:lang w:val="es-CL"/>
        </w:rPr>
      </w:pPr>
      <w:r w:rsidRPr="00CC44C8">
        <w:rPr>
          <w:rStyle w:val="FootnoteReference"/>
          <w:rFonts w:ascii="Cambria" w:hAnsi="Cambria"/>
          <w:sz w:val="16"/>
          <w:szCs w:val="16"/>
        </w:rPr>
        <w:footnoteRef/>
      </w:r>
      <w:r w:rsidRPr="00CC44C8">
        <w:rPr>
          <w:rFonts w:ascii="Cambria" w:hAnsi="Cambria"/>
          <w:sz w:val="16"/>
          <w:szCs w:val="16"/>
          <w:lang w:val="es-CL"/>
        </w:rPr>
        <w:t xml:space="preserve"> Artículo 13,1. 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w:t>
      </w:r>
    </w:p>
  </w:footnote>
  <w:footnote w:id="47">
    <w:p w14:paraId="50F61456" w14:textId="77777777" w:rsidR="009D6394" w:rsidRPr="00CC44C8" w:rsidRDefault="009D6394" w:rsidP="00CD345C">
      <w:pPr>
        <w:pStyle w:val="FootnoteText"/>
        <w:jc w:val="both"/>
        <w:rPr>
          <w:rFonts w:ascii="Cambria" w:hAnsi="Cambria"/>
          <w:sz w:val="16"/>
          <w:szCs w:val="16"/>
          <w:lang w:val="es-CL"/>
        </w:rPr>
      </w:pPr>
      <w:r w:rsidRPr="00CC44C8">
        <w:rPr>
          <w:rStyle w:val="FootnoteReference"/>
          <w:rFonts w:ascii="Cambria" w:hAnsi="Cambria"/>
          <w:sz w:val="16"/>
          <w:szCs w:val="16"/>
        </w:rPr>
        <w:footnoteRef/>
      </w:r>
      <w:r w:rsidRPr="00CC44C8">
        <w:rPr>
          <w:rFonts w:ascii="Cambria" w:hAnsi="Cambria"/>
          <w:sz w:val="16"/>
          <w:szCs w:val="16"/>
          <w:lang w:val="es-CL"/>
        </w:rPr>
        <w:t xml:space="preserve"> Artículo 16.1. Todas las personas tienen derecho a asociarse libremente con fines ideológicos, religiosos, políticos, económicos, laborales, sociales, culturales, deportivos o de cualquiera otra índole.</w:t>
      </w:r>
    </w:p>
  </w:footnote>
  <w:footnote w:id="48">
    <w:p w14:paraId="0B76FC37" w14:textId="77777777" w:rsidR="009D6394" w:rsidRPr="00CC44C8" w:rsidRDefault="009D6394" w:rsidP="00CD345C">
      <w:pPr>
        <w:pStyle w:val="FootnoteText"/>
        <w:jc w:val="both"/>
        <w:rPr>
          <w:rFonts w:ascii="Cambria" w:hAnsi="Cambria"/>
          <w:sz w:val="16"/>
          <w:szCs w:val="16"/>
          <w:lang w:val="es-ES"/>
        </w:rPr>
      </w:pPr>
      <w:r w:rsidRPr="00CC44C8">
        <w:rPr>
          <w:rStyle w:val="FootnoteReference"/>
          <w:rFonts w:ascii="Cambria" w:hAnsi="Cambria"/>
          <w:sz w:val="16"/>
          <w:szCs w:val="16"/>
        </w:rPr>
        <w:footnoteRef/>
      </w:r>
      <w:r w:rsidRPr="00CC44C8">
        <w:rPr>
          <w:rFonts w:ascii="Cambria" w:hAnsi="Cambria"/>
          <w:sz w:val="16"/>
          <w:szCs w:val="16"/>
          <w:lang w:val="es-ES"/>
        </w:rPr>
        <w:t xml:space="preserve"> CIDH. Informe No. 33/13. Caso 11.576. Admisibilidad y Fondo. José Luis García Ibarra y familia. Ecuador, 10 de julio de 2013, párr. 129. Corte IDH. </w:t>
      </w:r>
      <w:r w:rsidRPr="00CC44C8">
        <w:rPr>
          <w:rFonts w:ascii="Cambria" w:hAnsi="Cambria"/>
          <w:i/>
          <w:iCs/>
          <w:sz w:val="16"/>
          <w:szCs w:val="16"/>
          <w:lang w:val="es-ES"/>
        </w:rPr>
        <w:t>Caso de los “Niños de la Calle” (Villagrán Morales y otros) Vs. Guatemala.</w:t>
      </w:r>
      <w:r w:rsidRPr="00CC44C8">
        <w:rPr>
          <w:rFonts w:ascii="Cambria" w:hAnsi="Cambria"/>
          <w:sz w:val="16"/>
          <w:szCs w:val="16"/>
          <w:lang w:val="es-ES"/>
        </w:rPr>
        <w:t xml:space="preserve"> Fondo. Sentencia de 19 de noviembre de 1999. Serie C No. 63, párr. 144. </w:t>
      </w:r>
    </w:p>
  </w:footnote>
  <w:footnote w:id="49">
    <w:p w14:paraId="6EB67CB4" w14:textId="77777777" w:rsidR="009D6394" w:rsidRPr="00CC44C8" w:rsidRDefault="009D6394" w:rsidP="00CD345C">
      <w:pPr>
        <w:pStyle w:val="FootnoteText"/>
        <w:jc w:val="both"/>
        <w:rPr>
          <w:rFonts w:ascii="Cambria" w:hAnsi="Cambria"/>
          <w:sz w:val="16"/>
          <w:szCs w:val="16"/>
          <w:lang w:val="es-ES"/>
        </w:rPr>
      </w:pPr>
      <w:r w:rsidRPr="00CC44C8">
        <w:rPr>
          <w:rStyle w:val="FootnoteReference"/>
          <w:rFonts w:ascii="Cambria" w:hAnsi="Cambria"/>
          <w:sz w:val="16"/>
          <w:szCs w:val="16"/>
        </w:rPr>
        <w:footnoteRef/>
      </w:r>
      <w:r w:rsidRPr="00CC44C8">
        <w:rPr>
          <w:rFonts w:ascii="Cambria" w:hAnsi="Cambria"/>
          <w:sz w:val="16"/>
          <w:szCs w:val="16"/>
          <w:lang w:val="es-ES"/>
        </w:rPr>
        <w:t xml:space="preserve"> </w:t>
      </w:r>
      <w:r w:rsidRPr="00CC44C8">
        <w:rPr>
          <w:rFonts w:ascii="Cambria" w:hAnsi="Cambria"/>
          <w:sz w:val="16"/>
          <w:szCs w:val="16"/>
          <w:lang w:val="es-ES_tradnl"/>
        </w:rPr>
        <w:t xml:space="preserve">Corte IDH. </w:t>
      </w:r>
      <w:r w:rsidRPr="00CC44C8">
        <w:rPr>
          <w:rFonts w:ascii="Cambria" w:hAnsi="Cambria"/>
          <w:i/>
          <w:iCs/>
          <w:sz w:val="16"/>
          <w:szCs w:val="16"/>
          <w:lang w:val="es-ES"/>
        </w:rPr>
        <w:t>Caso</w:t>
      </w:r>
      <w:r w:rsidRPr="00CC44C8">
        <w:rPr>
          <w:rFonts w:ascii="Cambria" w:hAnsi="Cambria"/>
          <w:i/>
          <w:iCs/>
          <w:sz w:val="16"/>
          <w:szCs w:val="16"/>
          <w:lang w:val="es-ES_tradnl"/>
        </w:rPr>
        <w:t xml:space="preserve"> Zambrano Vélez y otros Vs. Ecuador.</w:t>
      </w:r>
      <w:r w:rsidRPr="00CC44C8">
        <w:rPr>
          <w:rFonts w:ascii="Cambria" w:hAnsi="Cambria"/>
          <w:bCs/>
          <w:sz w:val="16"/>
          <w:szCs w:val="16"/>
          <w:lang w:val="es-ES_tradnl"/>
        </w:rPr>
        <w:t xml:space="preserve"> </w:t>
      </w:r>
      <w:r w:rsidRPr="00CC44C8">
        <w:rPr>
          <w:rFonts w:ascii="Cambria" w:hAnsi="Cambria"/>
          <w:sz w:val="16"/>
          <w:szCs w:val="16"/>
          <w:lang w:val="es-ES_tradnl"/>
        </w:rPr>
        <w:t xml:space="preserve">Fondo, Reparaciones y Costas. Sentencia de 4 de julio de 2007. Serie C No. 166, párr. 80; </w:t>
      </w:r>
      <w:r w:rsidRPr="00CC44C8">
        <w:rPr>
          <w:rFonts w:ascii="Cambria" w:hAnsi="Cambria"/>
          <w:i/>
          <w:iCs/>
          <w:sz w:val="16"/>
          <w:szCs w:val="16"/>
          <w:lang w:val="es-ES_tradnl"/>
        </w:rPr>
        <w:t>Caso de los “Niños de la Calle” (Villagrán Morales y otros) Vs. Guatemala.</w:t>
      </w:r>
      <w:r w:rsidRPr="00CC44C8">
        <w:rPr>
          <w:rFonts w:ascii="Cambria" w:hAnsi="Cambria"/>
          <w:sz w:val="16"/>
          <w:szCs w:val="16"/>
          <w:lang w:val="es-ES_tradnl"/>
        </w:rPr>
        <w:t xml:space="preserve"> Sentencia de Fondo. Sentencia de 19 de noviembre de 1999. Serie C No. 63, párr. </w:t>
      </w:r>
      <w:r w:rsidRPr="00CC44C8">
        <w:rPr>
          <w:rFonts w:ascii="Cambria" w:hAnsi="Cambria"/>
          <w:sz w:val="16"/>
          <w:szCs w:val="16"/>
          <w:lang w:val="es-ES"/>
        </w:rPr>
        <w:t>144.</w:t>
      </w:r>
    </w:p>
  </w:footnote>
  <w:footnote w:id="50">
    <w:p w14:paraId="69DB0477" w14:textId="77777777" w:rsidR="009D6394" w:rsidRPr="00CC44C8" w:rsidRDefault="009D6394" w:rsidP="00CD345C">
      <w:pPr>
        <w:tabs>
          <w:tab w:val="left" w:pos="900"/>
          <w:tab w:val="left" w:pos="1080"/>
        </w:tabs>
        <w:jc w:val="both"/>
        <w:rPr>
          <w:rFonts w:ascii="Cambria" w:hAnsi="Cambria"/>
          <w:sz w:val="16"/>
          <w:szCs w:val="16"/>
          <w:lang w:val="es-ES_tradnl"/>
        </w:rPr>
      </w:pPr>
      <w:r w:rsidRPr="00CC44C8">
        <w:rPr>
          <w:rStyle w:val="FootnoteReference"/>
          <w:rFonts w:ascii="Cambria" w:hAnsi="Cambria"/>
          <w:sz w:val="16"/>
          <w:szCs w:val="16"/>
        </w:rPr>
        <w:footnoteRef/>
      </w:r>
      <w:r w:rsidRPr="00CC44C8">
        <w:rPr>
          <w:rFonts w:ascii="Cambria" w:hAnsi="Cambria"/>
          <w:sz w:val="16"/>
          <w:szCs w:val="16"/>
          <w:lang w:val="es-ES_tradnl"/>
        </w:rPr>
        <w:t xml:space="preserve"> Corte IDH. </w:t>
      </w:r>
      <w:r w:rsidRPr="00CC44C8">
        <w:rPr>
          <w:rFonts w:ascii="Cambria" w:hAnsi="Cambria"/>
          <w:i/>
          <w:sz w:val="16"/>
          <w:szCs w:val="16"/>
          <w:lang w:val="es-ES_tradnl"/>
        </w:rPr>
        <w:t>Caso Montero Aranguren y otros (Retén de Catia) Vs. Venezuela</w:t>
      </w:r>
      <w:r w:rsidRPr="00CC44C8">
        <w:rPr>
          <w:rFonts w:ascii="Cambria" w:hAnsi="Cambria"/>
          <w:sz w:val="16"/>
          <w:szCs w:val="16"/>
          <w:lang w:val="es-ES_tradnl"/>
        </w:rPr>
        <w:t>. Sentencia de 5 de julio de 2006. Serie C No. 150, párr. 66.</w:t>
      </w:r>
      <w:r w:rsidRPr="00CC44C8">
        <w:rPr>
          <w:rFonts w:ascii="Cambria" w:hAnsi="Cambria"/>
          <w:sz w:val="16"/>
          <w:szCs w:val="16"/>
          <w:lang w:val="es-ES"/>
        </w:rPr>
        <w:t xml:space="preserve"> </w:t>
      </w:r>
    </w:p>
  </w:footnote>
  <w:footnote w:id="51">
    <w:p w14:paraId="12474BD5" w14:textId="77777777" w:rsidR="009D6394" w:rsidRPr="00CC44C8" w:rsidRDefault="009D6394" w:rsidP="00CD345C">
      <w:pPr>
        <w:pStyle w:val="FootnoteText"/>
        <w:jc w:val="both"/>
        <w:rPr>
          <w:rFonts w:ascii="Cambria" w:hAnsi="Cambria"/>
          <w:sz w:val="16"/>
          <w:szCs w:val="16"/>
          <w:lang w:val="es-ES"/>
        </w:rPr>
      </w:pPr>
      <w:r w:rsidRPr="00CC44C8">
        <w:rPr>
          <w:rStyle w:val="FootnoteReference"/>
          <w:rFonts w:ascii="Cambria" w:hAnsi="Cambria"/>
          <w:sz w:val="16"/>
          <w:szCs w:val="16"/>
        </w:rPr>
        <w:footnoteRef/>
      </w:r>
      <w:r w:rsidRPr="00CC44C8">
        <w:rPr>
          <w:rFonts w:ascii="Cambria" w:hAnsi="Cambria"/>
          <w:sz w:val="16"/>
          <w:szCs w:val="16"/>
          <w:lang w:val="es-ES"/>
        </w:rPr>
        <w:t xml:space="preserve"> CIDH. Caso 12.442. Demanda ante la Corte Interamericana de Derechos Humanos, Gabriela Perozo y otros, Venezuela, 12 de abril de 2007, párr. 141.</w:t>
      </w:r>
    </w:p>
  </w:footnote>
  <w:footnote w:id="52">
    <w:p w14:paraId="5434F4DB" w14:textId="77777777" w:rsidR="009D6394" w:rsidRPr="00CC44C8" w:rsidRDefault="009D6394" w:rsidP="00CD345C">
      <w:pPr>
        <w:pStyle w:val="FootnoteText"/>
        <w:jc w:val="both"/>
        <w:rPr>
          <w:rFonts w:ascii="Cambria" w:hAnsi="Cambria"/>
          <w:sz w:val="16"/>
          <w:szCs w:val="16"/>
          <w:lang w:val="es-ES"/>
        </w:rPr>
      </w:pPr>
      <w:r w:rsidRPr="00CC44C8">
        <w:rPr>
          <w:rStyle w:val="FootnoteReference"/>
          <w:rFonts w:ascii="Cambria" w:hAnsi="Cambria"/>
          <w:sz w:val="16"/>
          <w:szCs w:val="16"/>
        </w:rPr>
        <w:footnoteRef/>
      </w:r>
      <w:r w:rsidRPr="00CC44C8">
        <w:rPr>
          <w:rFonts w:ascii="Cambria" w:hAnsi="Cambria"/>
          <w:sz w:val="16"/>
          <w:szCs w:val="16"/>
          <w:lang w:val="es-ES"/>
        </w:rPr>
        <w:t xml:space="preserve"> Corte IDH. </w:t>
      </w:r>
      <w:r w:rsidRPr="00CC44C8">
        <w:rPr>
          <w:rStyle w:val="Strong"/>
          <w:rFonts w:ascii="Cambria" w:hAnsi="Cambria"/>
          <w:b w:val="0"/>
          <w:i/>
          <w:sz w:val="16"/>
          <w:szCs w:val="16"/>
          <w:shd w:val="clear" w:color="auto" w:fill="FFFFFF"/>
          <w:lang w:val="es-ES"/>
        </w:rPr>
        <w:t>Caso Herrera Ulloa Vs. Costa Rica</w:t>
      </w:r>
      <w:r w:rsidRPr="00CC44C8">
        <w:rPr>
          <w:rStyle w:val="Strong"/>
          <w:rFonts w:ascii="Cambria" w:hAnsi="Cambria"/>
          <w:b w:val="0"/>
          <w:sz w:val="16"/>
          <w:szCs w:val="16"/>
          <w:shd w:val="clear" w:color="auto" w:fill="FFFFFF"/>
          <w:lang w:val="es-ES"/>
        </w:rPr>
        <w:t>. Excepciones Preliminares, Fondo, Reparaciones y Costas. Sentencia de 2 de julio de 2004. Serie C No. 107, párr. 108.</w:t>
      </w:r>
    </w:p>
  </w:footnote>
  <w:footnote w:id="53">
    <w:p w14:paraId="0EA26488" w14:textId="77777777" w:rsidR="009D6394" w:rsidRPr="00CC44C8" w:rsidRDefault="009D6394" w:rsidP="00CD345C">
      <w:pPr>
        <w:pStyle w:val="FootnoteText"/>
        <w:jc w:val="both"/>
        <w:rPr>
          <w:rFonts w:ascii="Cambria" w:hAnsi="Cambria"/>
          <w:sz w:val="16"/>
          <w:szCs w:val="16"/>
          <w:lang w:val="es-ES"/>
        </w:rPr>
      </w:pPr>
      <w:r w:rsidRPr="00CC44C8">
        <w:rPr>
          <w:rStyle w:val="FootnoteReference"/>
          <w:rFonts w:ascii="Cambria" w:hAnsi="Cambria"/>
          <w:sz w:val="16"/>
          <w:szCs w:val="16"/>
          <w:lang w:val="es-ES"/>
        </w:rPr>
        <w:footnoteRef/>
      </w:r>
      <w:r w:rsidRPr="008628D0">
        <w:rPr>
          <w:rFonts w:ascii="Cambria" w:hAnsi="Cambria"/>
          <w:sz w:val="16"/>
          <w:szCs w:val="16"/>
          <w:lang w:val="es-ES"/>
        </w:rPr>
        <w:t xml:space="preserve"> </w:t>
      </w:r>
      <w:r w:rsidRPr="008628D0">
        <w:rPr>
          <w:rFonts w:ascii="Cambria" w:hAnsi="Cambria" w:cs="Verdana-Bold"/>
          <w:bCs/>
          <w:sz w:val="16"/>
          <w:szCs w:val="16"/>
          <w:lang w:val="es-ES" w:bidi="en-US"/>
        </w:rPr>
        <w:t xml:space="preserve">Corte IDH. </w:t>
      </w:r>
      <w:r w:rsidRPr="008628D0">
        <w:rPr>
          <w:rFonts w:ascii="Cambria" w:hAnsi="Cambria" w:cs="Verdana-Bold"/>
          <w:bCs/>
          <w:i/>
          <w:sz w:val="16"/>
          <w:szCs w:val="16"/>
          <w:lang w:val="es-ES" w:bidi="en-US"/>
        </w:rPr>
        <w:t xml:space="preserve">Caso Huilca Tecse Vs. </w:t>
      </w:r>
      <w:r w:rsidRPr="00CC44C8">
        <w:rPr>
          <w:rFonts w:ascii="Cambria" w:hAnsi="Cambria" w:cs="Verdana-Bold"/>
          <w:bCs/>
          <w:i/>
          <w:sz w:val="16"/>
          <w:szCs w:val="16"/>
          <w:lang w:val="es-ES" w:bidi="en-US"/>
        </w:rPr>
        <w:t>Perú</w:t>
      </w:r>
      <w:r w:rsidRPr="00CC44C8">
        <w:rPr>
          <w:rFonts w:ascii="Cambria" w:hAnsi="Cambria" w:cs="Verdana-Bold"/>
          <w:bCs/>
          <w:sz w:val="16"/>
          <w:szCs w:val="16"/>
          <w:lang w:val="es-ES" w:bidi="en-US"/>
        </w:rPr>
        <w:t xml:space="preserve">. </w:t>
      </w:r>
      <w:r w:rsidRPr="00CC44C8">
        <w:rPr>
          <w:rFonts w:ascii="Cambria" w:hAnsi="Cambria" w:cs="Verdana"/>
          <w:sz w:val="16"/>
          <w:szCs w:val="16"/>
          <w:lang w:val="es-ES" w:bidi="en-US"/>
        </w:rPr>
        <w:t>Fondo, Reparaciones y Costas. Sentencia de 3 de marzo de 2005, Serie C No. 121</w:t>
      </w:r>
      <w:r w:rsidRPr="00CC44C8">
        <w:rPr>
          <w:rFonts w:ascii="Cambria" w:hAnsi="Cambria"/>
          <w:sz w:val="16"/>
          <w:szCs w:val="16"/>
          <w:lang w:val="es-ES"/>
        </w:rPr>
        <w:t>, párr. 69.</w:t>
      </w:r>
    </w:p>
  </w:footnote>
  <w:footnote w:id="54">
    <w:p w14:paraId="06F76943" w14:textId="77777777" w:rsidR="009D6394" w:rsidRPr="00CC44C8" w:rsidRDefault="009D6394" w:rsidP="00CD345C">
      <w:pPr>
        <w:pStyle w:val="FootnoteText"/>
        <w:jc w:val="both"/>
        <w:rPr>
          <w:rFonts w:ascii="Cambria" w:hAnsi="Cambria"/>
          <w:sz w:val="16"/>
          <w:szCs w:val="16"/>
          <w:lang w:val="es-ES"/>
        </w:rPr>
      </w:pPr>
      <w:r w:rsidRPr="00CC44C8">
        <w:rPr>
          <w:rStyle w:val="FootnoteReference"/>
          <w:rFonts w:ascii="Cambria" w:hAnsi="Cambria"/>
          <w:sz w:val="16"/>
          <w:szCs w:val="16"/>
          <w:lang w:val="es-ES"/>
        </w:rPr>
        <w:footnoteRef/>
      </w:r>
      <w:r w:rsidRPr="00CC44C8">
        <w:rPr>
          <w:rFonts w:ascii="Cambria" w:hAnsi="Cambria"/>
          <w:sz w:val="16"/>
          <w:szCs w:val="16"/>
          <w:lang w:val="es-ES"/>
        </w:rPr>
        <w:t xml:space="preserve"> </w:t>
      </w:r>
      <w:r w:rsidRPr="00CC44C8">
        <w:rPr>
          <w:rFonts w:ascii="Cambria" w:hAnsi="Cambria" w:cs="Verdana-Bold"/>
          <w:bCs/>
          <w:sz w:val="16"/>
          <w:szCs w:val="16"/>
          <w:lang w:val="es-ES" w:bidi="en-US"/>
        </w:rPr>
        <w:t xml:space="preserve">CIDH. </w:t>
      </w:r>
      <w:r w:rsidRPr="00CC44C8">
        <w:rPr>
          <w:rFonts w:ascii="Cambria" w:hAnsi="Cambria"/>
          <w:sz w:val="16"/>
          <w:szCs w:val="16"/>
          <w:lang w:val="es-ES"/>
        </w:rPr>
        <w:t xml:space="preserve">Informe No. 56/12. Caso 12.775. Fondo. Florentín Gudiel y otros. Guatemala. 21 de marzo de 2012, párr. </w:t>
      </w:r>
      <w:r w:rsidRPr="00CC44C8">
        <w:rPr>
          <w:rFonts w:ascii="Cambria" w:hAnsi="Cambria" w:cs="Verdana-Bold"/>
          <w:bCs/>
          <w:sz w:val="16"/>
          <w:szCs w:val="16"/>
          <w:lang w:val="es-ES" w:bidi="en-US"/>
        </w:rPr>
        <w:t>216.</w:t>
      </w:r>
    </w:p>
  </w:footnote>
  <w:footnote w:id="55">
    <w:p w14:paraId="5C8DD720" w14:textId="77777777" w:rsidR="009D6394" w:rsidRPr="00CC44C8" w:rsidRDefault="009D6394" w:rsidP="00CD345C">
      <w:pPr>
        <w:pStyle w:val="FootnoteText"/>
        <w:jc w:val="both"/>
        <w:rPr>
          <w:rFonts w:ascii="Cambria" w:hAnsi="Cambria"/>
          <w:sz w:val="16"/>
          <w:szCs w:val="16"/>
          <w:lang w:val="es-CL"/>
        </w:rPr>
      </w:pPr>
      <w:r w:rsidRPr="00CC44C8">
        <w:rPr>
          <w:rStyle w:val="FootnoteReference"/>
          <w:rFonts w:ascii="Cambria" w:hAnsi="Cambria"/>
          <w:sz w:val="16"/>
          <w:szCs w:val="16"/>
        </w:rPr>
        <w:footnoteRef/>
      </w:r>
      <w:r w:rsidRPr="00CC44C8">
        <w:rPr>
          <w:rFonts w:ascii="Cambria" w:hAnsi="Cambria"/>
          <w:sz w:val="16"/>
          <w:szCs w:val="16"/>
          <w:lang w:val="es-CL"/>
        </w:rPr>
        <w:t xml:space="preserve"> Corte IDH. </w:t>
      </w:r>
      <w:r w:rsidRPr="00CC44C8">
        <w:rPr>
          <w:rFonts w:ascii="Cambria" w:hAnsi="Cambria"/>
          <w:i/>
          <w:sz w:val="16"/>
          <w:szCs w:val="16"/>
          <w:lang w:val="es-CL"/>
        </w:rPr>
        <w:t>Caso Lagos del Campo Vs. Perú</w:t>
      </w:r>
      <w:r w:rsidRPr="00CC44C8">
        <w:rPr>
          <w:rFonts w:ascii="Cambria" w:hAnsi="Cambria"/>
          <w:sz w:val="16"/>
          <w:szCs w:val="16"/>
          <w:lang w:val="es-CL"/>
        </w:rPr>
        <w:t>. Fondo, Reparaciones y Costas. Sentencia de 31 de agosto de 2017. Serie C No. 340, párr. 96.</w:t>
      </w:r>
    </w:p>
  </w:footnote>
  <w:footnote w:id="56">
    <w:p w14:paraId="4882D1C6" w14:textId="77777777" w:rsidR="009D6394" w:rsidRPr="00FB37C1" w:rsidRDefault="009D6394" w:rsidP="00C42E5C">
      <w:pPr>
        <w:shd w:val="clear" w:color="auto" w:fill="FFFFFF"/>
        <w:tabs>
          <w:tab w:val="num" w:pos="720"/>
          <w:tab w:val="left" w:pos="1440"/>
          <w:tab w:val="num" w:pos="2040"/>
        </w:tabs>
        <w:jc w:val="both"/>
        <w:rPr>
          <w:rFonts w:ascii="Cambria" w:hAnsi="Cambria"/>
          <w:sz w:val="16"/>
          <w:szCs w:val="16"/>
          <w:lang w:val="es-VE"/>
        </w:rPr>
      </w:pPr>
      <w:r w:rsidRPr="00FB37C1">
        <w:rPr>
          <w:rStyle w:val="FootnoteReference"/>
          <w:rFonts w:ascii="Cambria" w:hAnsi="Cambria"/>
          <w:sz w:val="16"/>
          <w:szCs w:val="16"/>
        </w:rPr>
        <w:footnoteRef/>
      </w:r>
      <w:r w:rsidRPr="00FB37C1">
        <w:rPr>
          <w:rFonts w:ascii="Cambria" w:hAnsi="Cambria"/>
          <w:sz w:val="16"/>
          <w:szCs w:val="16"/>
          <w:lang w:val="es-VE"/>
        </w:rPr>
        <w:t xml:space="preserve"> Artículo 5.1. Toda persona tiene derecho a que se respete su integridad física, psíquica y moral. </w:t>
      </w:r>
    </w:p>
    <w:p w14:paraId="5DB66907" w14:textId="77777777" w:rsidR="009D6394" w:rsidRPr="00FB37C1" w:rsidRDefault="009D6394" w:rsidP="00C42E5C">
      <w:pPr>
        <w:shd w:val="clear" w:color="auto" w:fill="FFFFFF"/>
        <w:tabs>
          <w:tab w:val="num" w:pos="720"/>
          <w:tab w:val="left" w:pos="1440"/>
          <w:tab w:val="num" w:pos="2040"/>
        </w:tabs>
        <w:jc w:val="both"/>
        <w:rPr>
          <w:rFonts w:ascii="Cambria" w:hAnsi="Cambria"/>
          <w:color w:val="FF0000"/>
          <w:sz w:val="16"/>
          <w:szCs w:val="16"/>
          <w:lang w:val="es-VE"/>
        </w:rPr>
      </w:pPr>
      <w:r w:rsidRPr="00FB37C1">
        <w:rPr>
          <w:rFonts w:ascii="Cambria" w:hAnsi="Cambria"/>
          <w:sz w:val="16"/>
          <w:szCs w:val="16"/>
          <w:lang w:val="es-VE"/>
        </w:rPr>
        <w:t>Artículo 5.2 Nadie debe ser sometido a torturas ni a penas o tratos crueles, inhumanos o degradantes (…).</w:t>
      </w:r>
    </w:p>
  </w:footnote>
  <w:footnote w:id="57">
    <w:p w14:paraId="39E8120D" w14:textId="77777777" w:rsidR="00C42E5C" w:rsidRPr="00FB37C1" w:rsidRDefault="00C42E5C" w:rsidP="00C42E5C">
      <w:pPr>
        <w:pStyle w:val="FootnoteText"/>
        <w:jc w:val="both"/>
        <w:rPr>
          <w:rFonts w:ascii="Cambria" w:hAnsi="Cambria"/>
          <w:sz w:val="16"/>
          <w:szCs w:val="16"/>
          <w:lang w:val="es-ES"/>
        </w:rPr>
      </w:pPr>
      <w:r w:rsidRPr="00FB37C1">
        <w:rPr>
          <w:rStyle w:val="FootnoteReference"/>
          <w:rFonts w:ascii="Cambria" w:hAnsi="Cambria"/>
          <w:sz w:val="16"/>
          <w:szCs w:val="16"/>
        </w:rPr>
        <w:footnoteRef/>
      </w:r>
      <w:r w:rsidRPr="00FB37C1">
        <w:rPr>
          <w:rFonts w:ascii="Cambria" w:hAnsi="Cambria"/>
          <w:sz w:val="16"/>
          <w:szCs w:val="16"/>
          <w:lang w:val="es-ES"/>
        </w:rPr>
        <w:t xml:space="preserve"> Artículo 7.1. </w:t>
      </w:r>
      <w:r w:rsidRPr="00FB37C1">
        <w:rPr>
          <w:rFonts w:ascii="Cambria" w:hAnsi="Cambria" w:cs="Tahoma"/>
          <w:sz w:val="16"/>
          <w:szCs w:val="16"/>
          <w:lang w:val="es-ES"/>
        </w:rPr>
        <w:t>Toda persona tiene derecho a la libertad y a la seguridad personales.</w:t>
      </w:r>
    </w:p>
    <w:p w14:paraId="170954C4" w14:textId="77777777" w:rsidR="00C42E5C" w:rsidRPr="00FB37C1" w:rsidRDefault="00C42E5C" w:rsidP="00C42E5C">
      <w:pPr>
        <w:pStyle w:val="FootnoteText"/>
        <w:jc w:val="both"/>
        <w:rPr>
          <w:rFonts w:ascii="Cambria" w:hAnsi="Cambria"/>
          <w:sz w:val="16"/>
          <w:szCs w:val="16"/>
          <w:lang w:val="es-ES"/>
        </w:rPr>
      </w:pPr>
      <w:r w:rsidRPr="00FB37C1">
        <w:rPr>
          <w:rFonts w:ascii="Cambria" w:hAnsi="Cambria"/>
          <w:sz w:val="16"/>
          <w:szCs w:val="16"/>
          <w:lang w:val="es-ES"/>
        </w:rPr>
        <w:t xml:space="preserve">Artículo 7.2. </w:t>
      </w:r>
      <w:r w:rsidRPr="00FB37C1">
        <w:rPr>
          <w:rFonts w:ascii="Cambria" w:hAnsi="Cambria" w:cs="Tahoma"/>
          <w:sz w:val="16"/>
          <w:szCs w:val="16"/>
          <w:lang w:val="es-ES"/>
        </w:rPr>
        <w:t>Nadie puede ser privado de su libertad física, salvo por las causas y en las condiciones fijadas de antemano por las Constituciones Políticas de los Estados Partes o por las leyes dictadas conforme a ellas.</w:t>
      </w:r>
    </w:p>
    <w:p w14:paraId="5C05A716" w14:textId="77777777" w:rsidR="00C42E5C" w:rsidRPr="00FB37C1" w:rsidRDefault="00C42E5C" w:rsidP="00C42E5C">
      <w:pPr>
        <w:pStyle w:val="FootnoteText"/>
        <w:jc w:val="both"/>
        <w:rPr>
          <w:rFonts w:ascii="Cambria" w:hAnsi="Cambria"/>
          <w:sz w:val="16"/>
          <w:szCs w:val="16"/>
          <w:lang w:val="es-ES"/>
        </w:rPr>
      </w:pPr>
      <w:r w:rsidRPr="00FB37C1">
        <w:rPr>
          <w:rFonts w:ascii="Cambria" w:hAnsi="Cambria"/>
          <w:sz w:val="16"/>
          <w:szCs w:val="16"/>
          <w:lang w:val="es-ES"/>
        </w:rPr>
        <w:t xml:space="preserve">Artículo 7.3. </w:t>
      </w:r>
      <w:r w:rsidRPr="00FB37C1">
        <w:rPr>
          <w:rFonts w:ascii="Cambria" w:hAnsi="Cambria" w:cs="Tahoma"/>
          <w:sz w:val="16"/>
          <w:szCs w:val="16"/>
          <w:lang w:val="es-ES"/>
        </w:rPr>
        <w:t>Nadie puede ser sometido a detención o encarcelamiento arbitrarios.</w:t>
      </w:r>
    </w:p>
  </w:footnote>
  <w:footnote w:id="58">
    <w:p w14:paraId="5FE7E68F" w14:textId="77777777" w:rsidR="009D6394" w:rsidRPr="00FB37C1" w:rsidRDefault="009D6394" w:rsidP="00C42E5C">
      <w:pPr>
        <w:pStyle w:val="FootnoteText"/>
        <w:jc w:val="both"/>
        <w:rPr>
          <w:rFonts w:ascii="Cambria" w:hAnsi="Cambria"/>
          <w:sz w:val="16"/>
          <w:szCs w:val="16"/>
          <w:lang w:val="es-ES"/>
        </w:rPr>
      </w:pPr>
      <w:r w:rsidRPr="00FB37C1">
        <w:rPr>
          <w:rStyle w:val="FootnoteReference"/>
          <w:rFonts w:ascii="Cambria" w:hAnsi="Cambria"/>
          <w:sz w:val="16"/>
          <w:szCs w:val="16"/>
        </w:rPr>
        <w:footnoteRef/>
      </w:r>
      <w:r w:rsidRPr="00FB37C1">
        <w:rPr>
          <w:rFonts w:ascii="Cambria" w:hAnsi="Cambria"/>
          <w:sz w:val="16"/>
          <w:szCs w:val="16"/>
          <w:lang w:val="es-ES"/>
        </w:rPr>
        <w:t xml:space="preserve"> Artículo 11.1. </w:t>
      </w:r>
      <w:r w:rsidRPr="00FB37C1">
        <w:rPr>
          <w:rFonts w:ascii="Cambria" w:hAnsi="Cambria" w:cs="Tahoma"/>
          <w:sz w:val="16"/>
          <w:szCs w:val="16"/>
          <w:lang w:val="es-ES"/>
        </w:rPr>
        <w:t>Toda persona tiene derecho al respeto de su honra y al reconocimiento de su dignidad.</w:t>
      </w:r>
    </w:p>
    <w:p w14:paraId="5E84E78B" w14:textId="77777777" w:rsidR="009D6394" w:rsidRPr="00CC44C8" w:rsidRDefault="009D6394" w:rsidP="00C42E5C">
      <w:pPr>
        <w:pStyle w:val="FootnoteText"/>
        <w:jc w:val="both"/>
        <w:rPr>
          <w:rFonts w:ascii="Cambria" w:hAnsi="Cambria"/>
          <w:sz w:val="16"/>
          <w:szCs w:val="16"/>
          <w:lang w:val="es-ES"/>
        </w:rPr>
      </w:pPr>
      <w:r w:rsidRPr="00FB37C1">
        <w:rPr>
          <w:rFonts w:ascii="Cambria" w:hAnsi="Cambria"/>
          <w:sz w:val="16"/>
          <w:szCs w:val="16"/>
          <w:lang w:val="es-ES"/>
        </w:rPr>
        <w:t xml:space="preserve">Artículo 11.2. </w:t>
      </w:r>
      <w:r w:rsidRPr="00FB37C1">
        <w:rPr>
          <w:rFonts w:ascii="Cambria" w:hAnsi="Cambria" w:cs="Tahoma"/>
          <w:sz w:val="16"/>
          <w:szCs w:val="16"/>
          <w:lang w:val="es-ES"/>
        </w:rPr>
        <w:t>Nadie puede ser objeto</w:t>
      </w:r>
      <w:r w:rsidRPr="00CC44C8">
        <w:rPr>
          <w:rFonts w:ascii="Cambria" w:hAnsi="Cambria" w:cs="Tahoma"/>
          <w:sz w:val="16"/>
          <w:szCs w:val="16"/>
          <w:lang w:val="es-ES"/>
        </w:rPr>
        <w:t xml:space="preserve"> de injerencias arbitrarias o abusivas en su vida privada, en la de su familia, en su domicilio o en su correspondencia, ni de ataques ilegales a su honra o reputación.</w:t>
      </w:r>
    </w:p>
  </w:footnote>
  <w:footnote w:id="59">
    <w:p w14:paraId="2BB3B968" w14:textId="77777777" w:rsidR="009D6394" w:rsidRPr="00CC44C8" w:rsidRDefault="009D6394" w:rsidP="00CD345C">
      <w:pPr>
        <w:pStyle w:val="FootnoteText"/>
        <w:jc w:val="both"/>
        <w:rPr>
          <w:rFonts w:ascii="Cambria" w:hAnsi="Cambria"/>
          <w:sz w:val="16"/>
          <w:szCs w:val="16"/>
          <w:lang w:val="es-CL"/>
        </w:rPr>
      </w:pPr>
      <w:r w:rsidRPr="00CC44C8">
        <w:rPr>
          <w:rStyle w:val="FootnoteReference"/>
          <w:rFonts w:ascii="Cambria" w:hAnsi="Cambria"/>
          <w:sz w:val="16"/>
          <w:szCs w:val="16"/>
        </w:rPr>
        <w:footnoteRef/>
      </w:r>
      <w:r w:rsidRPr="00CC44C8">
        <w:rPr>
          <w:rFonts w:ascii="Cambria" w:hAnsi="Cambria"/>
          <w:sz w:val="16"/>
          <w:szCs w:val="16"/>
          <w:lang w:val="es-CL"/>
        </w:rPr>
        <w:t xml:space="preserve"> Artículo 17.1.  La familia es el elemento natural y fundamental de la sociedad y debe ser protegida por la sociedad y el Estado-</w:t>
      </w:r>
    </w:p>
  </w:footnote>
  <w:footnote w:id="60">
    <w:p w14:paraId="28DC9290" w14:textId="77777777" w:rsidR="009D6394" w:rsidRPr="00CC44C8" w:rsidRDefault="009D6394" w:rsidP="00CD345C">
      <w:pPr>
        <w:pStyle w:val="FootnoteText"/>
        <w:jc w:val="both"/>
        <w:rPr>
          <w:rFonts w:ascii="Cambria" w:hAnsi="Cambria"/>
          <w:sz w:val="16"/>
          <w:szCs w:val="16"/>
          <w:lang w:val="es-ES"/>
        </w:rPr>
      </w:pPr>
      <w:r w:rsidRPr="00CC44C8">
        <w:rPr>
          <w:rStyle w:val="FootnoteReference"/>
          <w:rFonts w:ascii="Cambria" w:hAnsi="Cambria"/>
          <w:sz w:val="16"/>
          <w:szCs w:val="16"/>
        </w:rPr>
        <w:footnoteRef/>
      </w:r>
      <w:r w:rsidRPr="00CC44C8">
        <w:rPr>
          <w:rFonts w:ascii="Cambria" w:hAnsi="Cambria"/>
          <w:sz w:val="16"/>
          <w:szCs w:val="16"/>
          <w:lang w:val="es-ES"/>
        </w:rPr>
        <w:t xml:space="preserve"> Artículo 19. </w:t>
      </w:r>
      <w:r w:rsidRPr="00CC44C8">
        <w:rPr>
          <w:rFonts w:ascii="Cambria" w:hAnsi="Cambria" w:cs="Tahoma"/>
          <w:sz w:val="16"/>
          <w:szCs w:val="16"/>
          <w:lang w:val="es-ES"/>
        </w:rPr>
        <w:t>Todo niño tiene derecho a las medidas de protección que su condición de menor requieren por parte de su familia, de la sociedad y del Estado.</w:t>
      </w:r>
    </w:p>
  </w:footnote>
  <w:footnote w:id="61">
    <w:p w14:paraId="30EF789A" w14:textId="77777777" w:rsidR="00270C7F" w:rsidRPr="00CC44C8" w:rsidRDefault="00270C7F" w:rsidP="00CD345C">
      <w:pPr>
        <w:pStyle w:val="FootnoteText"/>
        <w:jc w:val="both"/>
        <w:rPr>
          <w:rFonts w:ascii="Cambria" w:hAnsi="Cambria"/>
          <w:sz w:val="16"/>
          <w:szCs w:val="16"/>
          <w:lang w:val="es-ES"/>
        </w:rPr>
      </w:pPr>
      <w:r w:rsidRPr="00CC44C8">
        <w:rPr>
          <w:rStyle w:val="FootnoteReference"/>
          <w:rFonts w:ascii="Cambria" w:hAnsi="Cambria"/>
          <w:sz w:val="16"/>
          <w:szCs w:val="16"/>
        </w:rPr>
        <w:footnoteRef/>
      </w:r>
      <w:r w:rsidRPr="00CC44C8">
        <w:rPr>
          <w:rFonts w:ascii="Cambria" w:hAnsi="Cambria"/>
          <w:sz w:val="16"/>
          <w:szCs w:val="16"/>
          <w:lang w:val="es-ES"/>
        </w:rPr>
        <w:t xml:space="preserve"> Artículo 22.1. </w:t>
      </w:r>
      <w:r w:rsidRPr="00CC44C8">
        <w:rPr>
          <w:rFonts w:ascii="Cambria" w:hAnsi="Cambria" w:cs="Tahoma"/>
          <w:sz w:val="16"/>
          <w:szCs w:val="16"/>
          <w:lang w:val="es-ES"/>
        </w:rPr>
        <w:t>Toda persona que se halle legalmente en el territorio de un Estado tiene derecho a circular por el mismo y, a residir en él con sujeción a las disposiciones legales.</w:t>
      </w:r>
    </w:p>
  </w:footnote>
  <w:footnote w:id="62">
    <w:p w14:paraId="6DF28110" w14:textId="77777777" w:rsidR="009105E0" w:rsidRPr="00CC44C8" w:rsidRDefault="009105E0" w:rsidP="00CD345C">
      <w:pPr>
        <w:pStyle w:val="FootnoteText"/>
        <w:jc w:val="both"/>
        <w:rPr>
          <w:rFonts w:ascii="Cambria" w:hAnsi="Cambria"/>
          <w:sz w:val="16"/>
          <w:szCs w:val="16"/>
          <w:lang w:val="es-ES"/>
        </w:rPr>
      </w:pPr>
      <w:r w:rsidRPr="00CC44C8">
        <w:rPr>
          <w:rStyle w:val="FootnoteReference"/>
          <w:rFonts w:ascii="Cambria" w:hAnsi="Cambria"/>
          <w:sz w:val="16"/>
          <w:szCs w:val="16"/>
        </w:rPr>
        <w:footnoteRef/>
      </w:r>
      <w:r w:rsidRPr="00CC44C8">
        <w:rPr>
          <w:rFonts w:ascii="Cambria" w:hAnsi="Cambria"/>
          <w:sz w:val="16"/>
          <w:szCs w:val="16"/>
          <w:lang w:val="pt-BR"/>
        </w:rPr>
        <w:t xml:space="preserve"> Corte IDH. </w:t>
      </w:r>
      <w:r w:rsidRPr="00CC44C8">
        <w:rPr>
          <w:rFonts w:ascii="Cambria" w:hAnsi="Cambria"/>
          <w:i/>
          <w:sz w:val="16"/>
          <w:szCs w:val="16"/>
          <w:lang w:val="pt-BR"/>
        </w:rPr>
        <w:t xml:space="preserve">Caso Quispialaya Vilcapoma Vs. </w:t>
      </w:r>
      <w:r w:rsidRPr="00CC44C8">
        <w:rPr>
          <w:rFonts w:ascii="Cambria" w:hAnsi="Cambria"/>
          <w:i/>
          <w:sz w:val="16"/>
          <w:szCs w:val="16"/>
          <w:lang w:val="es-ES"/>
        </w:rPr>
        <w:t>Perú</w:t>
      </w:r>
      <w:r w:rsidRPr="00CC44C8">
        <w:rPr>
          <w:rFonts w:ascii="Cambria" w:hAnsi="Cambria"/>
          <w:sz w:val="16"/>
          <w:szCs w:val="16"/>
          <w:lang w:val="es-ES"/>
        </w:rPr>
        <w:t>. Excepciones Preliminares, Fondo, Reparaciones y Costas. Sentencia de 23 de noviembre de 2015. Serie C No. 308, párr. 125.</w:t>
      </w:r>
    </w:p>
  </w:footnote>
  <w:footnote w:id="63">
    <w:p w14:paraId="0B4E29D8" w14:textId="77777777" w:rsidR="004D0725" w:rsidRPr="00CC44C8" w:rsidRDefault="004D0725" w:rsidP="00CD345C">
      <w:pPr>
        <w:pStyle w:val="FootnoteText"/>
        <w:jc w:val="both"/>
        <w:rPr>
          <w:rFonts w:ascii="Cambria" w:hAnsi="Cambria"/>
          <w:sz w:val="16"/>
          <w:szCs w:val="16"/>
          <w:lang w:val="es-ES"/>
        </w:rPr>
      </w:pPr>
      <w:r w:rsidRPr="00CC44C8">
        <w:rPr>
          <w:rStyle w:val="FootnoteReference"/>
          <w:rFonts w:ascii="Cambria" w:hAnsi="Cambria"/>
          <w:sz w:val="16"/>
          <w:szCs w:val="16"/>
        </w:rPr>
        <w:footnoteRef/>
      </w:r>
      <w:r w:rsidRPr="00CC44C8">
        <w:rPr>
          <w:rFonts w:ascii="Cambria" w:hAnsi="Cambria"/>
          <w:sz w:val="16"/>
          <w:szCs w:val="16"/>
          <w:lang w:val="es-ES"/>
        </w:rPr>
        <w:t xml:space="preserve"> CIDH. Informe No. 33/16. Caso 12.797. Fondo. Linda Loaiza López Soto y familiares. Venezuela. 29 de julio de 2016, párr. 172. Asimismo, véase: </w:t>
      </w:r>
      <w:r w:rsidRPr="00CC44C8">
        <w:rPr>
          <w:rStyle w:val="Strong"/>
          <w:rFonts w:ascii="Cambria" w:hAnsi="Cambria"/>
          <w:b w:val="0"/>
          <w:sz w:val="16"/>
          <w:szCs w:val="16"/>
          <w:shd w:val="clear" w:color="auto" w:fill="FFFFFF"/>
          <w:lang w:val="es-ES"/>
        </w:rPr>
        <w:t xml:space="preserve">Corte IDH. </w:t>
      </w:r>
      <w:r w:rsidRPr="00CC44C8">
        <w:rPr>
          <w:rStyle w:val="Strong"/>
          <w:rFonts w:ascii="Cambria" w:hAnsi="Cambria"/>
          <w:b w:val="0"/>
          <w:i/>
          <w:sz w:val="16"/>
          <w:szCs w:val="16"/>
          <w:shd w:val="clear" w:color="auto" w:fill="FFFFFF"/>
          <w:lang w:val="es-ES"/>
        </w:rPr>
        <w:t>Caso Mujeres Víctimas de Tortura Sexual en Atenco Vs. México</w:t>
      </w:r>
      <w:r w:rsidRPr="00CC44C8">
        <w:rPr>
          <w:rStyle w:val="Strong"/>
          <w:rFonts w:ascii="Cambria" w:hAnsi="Cambria"/>
          <w:b w:val="0"/>
          <w:sz w:val="16"/>
          <w:szCs w:val="16"/>
          <w:shd w:val="clear" w:color="auto" w:fill="FFFFFF"/>
          <w:lang w:val="es-ES"/>
        </w:rPr>
        <w:t>. Excepción Preliminar, Fondo, Reparaciones y Costas. Sentencia de 28 de noviembre de 2018. Serie C No. 371, párr. 177.</w:t>
      </w:r>
    </w:p>
  </w:footnote>
  <w:footnote w:id="64">
    <w:p w14:paraId="50A7EDA7" w14:textId="77777777" w:rsidR="004D0725" w:rsidRPr="00CC44C8" w:rsidRDefault="004D0725" w:rsidP="00CD345C">
      <w:pPr>
        <w:pStyle w:val="FootnoteText"/>
        <w:jc w:val="both"/>
        <w:rPr>
          <w:rFonts w:ascii="Cambria" w:hAnsi="Cambria"/>
          <w:sz w:val="16"/>
          <w:szCs w:val="16"/>
          <w:lang w:val="es-ES"/>
        </w:rPr>
      </w:pPr>
      <w:r w:rsidRPr="00CC44C8">
        <w:rPr>
          <w:rStyle w:val="FootnoteReference"/>
          <w:rFonts w:ascii="Cambria" w:hAnsi="Cambria"/>
          <w:sz w:val="16"/>
          <w:szCs w:val="16"/>
        </w:rPr>
        <w:footnoteRef/>
      </w:r>
      <w:r w:rsidRPr="00CC44C8">
        <w:rPr>
          <w:rFonts w:ascii="Cambria" w:hAnsi="Cambria"/>
          <w:sz w:val="16"/>
          <w:szCs w:val="16"/>
          <w:lang w:val="es-ES"/>
        </w:rPr>
        <w:t xml:space="preserve"> Corte IDH. </w:t>
      </w:r>
      <w:r w:rsidRPr="00CC44C8">
        <w:rPr>
          <w:rFonts w:ascii="Cambria" w:hAnsi="Cambria"/>
          <w:i/>
          <w:sz w:val="16"/>
          <w:szCs w:val="16"/>
          <w:lang w:val="es-ES"/>
        </w:rPr>
        <w:t>Caso Herzog y otros Vs. Brasil</w:t>
      </w:r>
      <w:r w:rsidRPr="00CC44C8">
        <w:rPr>
          <w:rFonts w:ascii="Cambria" w:hAnsi="Cambria"/>
          <w:sz w:val="16"/>
          <w:szCs w:val="16"/>
          <w:lang w:val="es-ES"/>
        </w:rPr>
        <w:t xml:space="preserve">. Excepciones Preliminares, Fondo, Reparaciones y Costas. </w:t>
      </w:r>
      <w:r w:rsidRPr="008628D0">
        <w:rPr>
          <w:rFonts w:ascii="Cambria" w:hAnsi="Cambria"/>
          <w:sz w:val="16"/>
          <w:szCs w:val="16"/>
          <w:lang w:val="es-ES"/>
        </w:rPr>
        <w:t xml:space="preserve">Sentencia de 15 de </w:t>
      </w:r>
      <w:r w:rsidRPr="00CC44C8">
        <w:rPr>
          <w:rFonts w:ascii="Cambria" w:hAnsi="Cambria"/>
          <w:sz w:val="16"/>
          <w:szCs w:val="16"/>
          <w:lang w:val="es-ES"/>
        </w:rPr>
        <w:t>marzo de 2018. Serie C No. 353, párr. 220.</w:t>
      </w:r>
    </w:p>
  </w:footnote>
  <w:footnote w:id="65">
    <w:p w14:paraId="5555039F" w14:textId="77777777" w:rsidR="009D6394" w:rsidRPr="00CC44C8" w:rsidRDefault="009D6394" w:rsidP="00CD345C">
      <w:pPr>
        <w:pStyle w:val="FootnoteText"/>
        <w:jc w:val="both"/>
        <w:rPr>
          <w:rFonts w:ascii="Cambria" w:hAnsi="Cambria"/>
          <w:sz w:val="16"/>
          <w:szCs w:val="16"/>
          <w:lang w:val="es-ES"/>
        </w:rPr>
      </w:pPr>
      <w:r w:rsidRPr="00CC44C8">
        <w:rPr>
          <w:rStyle w:val="FootnoteReference"/>
          <w:rFonts w:ascii="Cambria" w:hAnsi="Cambria"/>
          <w:sz w:val="16"/>
          <w:szCs w:val="16"/>
        </w:rPr>
        <w:footnoteRef/>
      </w:r>
      <w:r w:rsidRPr="00CC44C8">
        <w:rPr>
          <w:rFonts w:ascii="Cambria" w:hAnsi="Cambria"/>
          <w:sz w:val="16"/>
          <w:szCs w:val="16"/>
          <w:lang w:val="es-ES"/>
        </w:rPr>
        <w:t xml:space="preserve"> </w:t>
      </w:r>
      <w:r w:rsidRPr="00CC44C8">
        <w:rPr>
          <w:rStyle w:val="Strong"/>
          <w:rFonts w:ascii="Cambria" w:hAnsi="Cambria"/>
          <w:b w:val="0"/>
          <w:sz w:val="16"/>
          <w:szCs w:val="16"/>
          <w:shd w:val="clear" w:color="auto" w:fill="FFFFFF"/>
          <w:lang w:val="es-ES"/>
        </w:rPr>
        <w:t xml:space="preserve">Corte IDH. </w:t>
      </w:r>
      <w:r w:rsidRPr="00CC44C8">
        <w:rPr>
          <w:rStyle w:val="Strong"/>
          <w:rFonts w:ascii="Cambria" w:hAnsi="Cambria"/>
          <w:b w:val="0"/>
          <w:i/>
          <w:sz w:val="16"/>
          <w:szCs w:val="16"/>
          <w:shd w:val="clear" w:color="auto" w:fill="FFFFFF"/>
          <w:lang w:val="es-ES"/>
        </w:rPr>
        <w:t>Caso Yarce y otras Vs. Colombia</w:t>
      </w:r>
      <w:r w:rsidRPr="00CC44C8">
        <w:rPr>
          <w:rStyle w:val="Strong"/>
          <w:rFonts w:ascii="Cambria" w:hAnsi="Cambria"/>
          <w:b w:val="0"/>
          <w:sz w:val="16"/>
          <w:szCs w:val="16"/>
          <w:shd w:val="clear" w:color="auto" w:fill="FFFFFF"/>
          <w:lang w:val="es-ES"/>
        </w:rPr>
        <w:t>. Excepción Preliminar, Fondo, Reparaciones y Costas. Sentencia de 22 de noviembre de 2016. Serie C No. 325, párr. 255.</w:t>
      </w:r>
    </w:p>
  </w:footnote>
  <w:footnote w:id="66">
    <w:p w14:paraId="3978D071" w14:textId="77777777" w:rsidR="009D6394" w:rsidRPr="00CC44C8" w:rsidRDefault="009D6394" w:rsidP="00CD345C">
      <w:pPr>
        <w:pStyle w:val="FootnoteText"/>
        <w:jc w:val="both"/>
        <w:rPr>
          <w:rFonts w:ascii="Cambria" w:hAnsi="Cambria"/>
          <w:sz w:val="16"/>
          <w:szCs w:val="16"/>
          <w:lang w:val="es-ES"/>
        </w:rPr>
      </w:pPr>
      <w:r w:rsidRPr="00CC44C8">
        <w:rPr>
          <w:rStyle w:val="FootnoteReference"/>
          <w:rFonts w:ascii="Cambria" w:hAnsi="Cambria"/>
          <w:sz w:val="16"/>
          <w:szCs w:val="16"/>
        </w:rPr>
        <w:footnoteRef/>
      </w:r>
      <w:r w:rsidRPr="00CC44C8">
        <w:rPr>
          <w:rFonts w:ascii="Cambria" w:hAnsi="Cambria"/>
          <w:sz w:val="16"/>
          <w:szCs w:val="16"/>
          <w:lang w:val="es-ES"/>
        </w:rPr>
        <w:t xml:space="preserve"> Corte IDH. </w:t>
      </w:r>
      <w:r w:rsidRPr="00CC44C8">
        <w:rPr>
          <w:rFonts w:ascii="Cambria" w:hAnsi="Cambria"/>
          <w:i/>
          <w:sz w:val="16"/>
          <w:szCs w:val="16"/>
          <w:lang w:val="es-ES"/>
        </w:rPr>
        <w:t>Caso Comunidad Campesina de Santa Bárbara Vs. Perú</w:t>
      </w:r>
      <w:r w:rsidRPr="00CC44C8">
        <w:rPr>
          <w:rFonts w:ascii="Cambria" w:hAnsi="Cambria"/>
          <w:sz w:val="16"/>
          <w:szCs w:val="16"/>
          <w:lang w:val="es-ES"/>
        </w:rPr>
        <w:t>. Excepciones Preliminares, Fondo, Reparaciones y Costas. Sentencia de 1 de septiembre de 2015. Serie C No. 299, párr. 200.</w:t>
      </w:r>
    </w:p>
  </w:footnote>
  <w:footnote w:id="67">
    <w:p w14:paraId="6AE1452E" w14:textId="77777777" w:rsidR="009D6394" w:rsidRPr="00CC44C8" w:rsidRDefault="009D6394" w:rsidP="00CD345C">
      <w:pPr>
        <w:pStyle w:val="FootnoteText"/>
        <w:jc w:val="both"/>
        <w:rPr>
          <w:rFonts w:ascii="Cambria" w:hAnsi="Cambria"/>
          <w:sz w:val="16"/>
          <w:szCs w:val="16"/>
          <w:lang w:val="es-ES"/>
        </w:rPr>
      </w:pPr>
      <w:r w:rsidRPr="00CC44C8">
        <w:rPr>
          <w:rStyle w:val="FootnoteReference"/>
          <w:rFonts w:ascii="Cambria" w:hAnsi="Cambria"/>
          <w:sz w:val="16"/>
          <w:szCs w:val="16"/>
        </w:rPr>
        <w:footnoteRef/>
      </w:r>
      <w:r w:rsidRPr="00CC44C8">
        <w:rPr>
          <w:rFonts w:ascii="Cambria" w:hAnsi="Cambria"/>
          <w:sz w:val="16"/>
          <w:szCs w:val="16"/>
          <w:lang w:val="es-ES"/>
        </w:rPr>
        <w:t xml:space="preserve"> Corte IDH. </w:t>
      </w:r>
      <w:r w:rsidRPr="00CC44C8">
        <w:rPr>
          <w:rFonts w:ascii="Cambria" w:hAnsi="Cambria"/>
          <w:i/>
          <w:sz w:val="16"/>
          <w:szCs w:val="16"/>
          <w:lang w:val="es-ES"/>
        </w:rPr>
        <w:t>Caso Vereda La Esperanza Vs. Colombia</w:t>
      </w:r>
      <w:r w:rsidRPr="00CC44C8">
        <w:rPr>
          <w:rFonts w:ascii="Cambria" w:hAnsi="Cambria"/>
          <w:sz w:val="16"/>
          <w:szCs w:val="16"/>
          <w:lang w:val="es-ES"/>
        </w:rPr>
        <w:t>. Excepciones Preliminares, Fondo, Reparaciones y Costas. Sentencia de 31 de agosto de 2017. Serie C No. 341, párr. 243.</w:t>
      </w:r>
    </w:p>
  </w:footnote>
  <w:footnote w:id="68">
    <w:p w14:paraId="5F27F683" w14:textId="77777777" w:rsidR="00BF0FEA" w:rsidRPr="00CC44C8" w:rsidRDefault="00BF0FEA" w:rsidP="00CD345C">
      <w:pPr>
        <w:pStyle w:val="FootnoteText"/>
        <w:jc w:val="both"/>
        <w:rPr>
          <w:rFonts w:ascii="Cambria" w:hAnsi="Cambria"/>
          <w:spacing w:val="-4"/>
          <w:sz w:val="16"/>
          <w:szCs w:val="16"/>
          <w:lang w:val="es-PR"/>
        </w:rPr>
      </w:pPr>
      <w:r w:rsidRPr="00CC44C8">
        <w:rPr>
          <w:rStyle w:val="FootnoteReference"/>
          <w:rFonts w:ascii="Cambria" w:hAnsi="Cambria"/>
          <w:spacing w:val="-4"/>
          <w:sz w:val="16"/>
          <w:szCs w:val="16"/>
        </w:rPr>
        <w:footnoteRef/>
      </w:r>
      <w:r w:rsidRPr="00CC44C8">
        <w:rPr>
          <w:rFonts w:ascii="Cambria" w:hAnsi="Cambria"/>
          <w:spacing w:val="-4"/>
          <w:sz w:val="16"/>
          <w:szCs w:val="16"/>
          <w:lang w:val="es-ES"/>
        </w:rPr>
        <w:t xml:space="preserve"> Corte IDH. </w:t>
      </w:r>
      <w:r w:rsidRPr="00CC44C8">
        <w:rPr>
          <w:rStyle w:val="Strong"/>
          <w:rFonts w:ascii="Cambria" w:hAnsi="Cambria" w:cs="Vrinda"/>
          <w:b w:val="0"/>
          <w:i/>
          <w:spacing w:val="-4"/>
          <w:sz w:val="16"/>
          <w:szCs w:val="16"/>
          <w:lang w:val="es-VE"/>
        </w:rPr>
        <w:t xml:space="preserve">Caso de Personas Dominicanas y Haitianas Expulsadas Vs. República Dominicana. </w:t>
      </w:r>
      <w:r w:rsidRPr="00CC44C8">
        <w:rPr>
          <w:rStyle w:val="Strong"/>
          <w:rFonts w:ascii="Cambria" w:hAnsi="Cambria" w:cs="Vrinda"/>
          <w:b w:val="0"/>
          <w:spacing w:val="-4"/>
          <w:sz w:val="16"/>
          <w:szCs w:val="16"/>
          <w:lang w:val="es-VE"/>
        </w:rPr>
        <w:t>Excepciones Preliminares, Fondo, Reparaciones y Costas.</w:t>
      </w:r>
      <w:r w:rsidRPr="00CC44C8">
        <w:rPr>
          <w:rStyle w:val="Strong"/>
          <w:rFonts w:ascii="Cambria" w:hAnsi="Cambria" w:cs="Vrinda"/>
          <w:b w:val="0"/>
          <w:i/>
          <w:spacing w:val="-4"/>
          <w:sz w:val="16"/>
          <w:szCs w:val="16"/>
          <w:lang w:val="es-VE"/>
        </w:rPr>
        <w:t xml:space="preserve"> </w:t>
      </w:r>
      <w:r w:rsidRPr="00CC44C8">
        <w:rPr>
          <w:rStyle w:val="Strong"/>
          <w:rFonts w:ascii="Cambria" w:hAnsi="Cambria" w:cs="Vrinda"/>
          <w:b w:val="0"/>
          <w:spacing w:val="-4"/>
          <w:sz w:val="16"/>
          <w:szCs w:val="16"/>
          <w:lang w:val="es-VE"/>
        </w:rPr>
        <w:t>Sentencia de 28 de agosto de 2014. Serie C No. 282</w:t>
      </w:r>
      <w:r w:rsidRPr="00CC44C8">
        <w:rPr>
          <w:rStyle w:val="Strong"/>
          <w:rFonts w:ascii="Cambria" w:hAnsi="Cambria" w:cs="Vrinda"/>
          <w:spacing w:val="-4"/>
          <w:sz w:val="16"/>
          <w:szCs w:val="16"/>
          <w:lang w:val="es-VE"/>
        </w:rPr>
        <w:t xml:space="preserve">, </w:t>
      </w:r>
      <w:r w:rsidRPr="00CC44C8">
        <w:rPr>
          <w:rFonts w:ascii="Cambria" w:hAnsi="Cambria"/>
          <w:spacing w:val="-4"/>
          <w:sz w:val="16"/>
          <w:szCs w:val="16"/>
          <w:lang w:val="es-GT"/>
        </w:rPr>
        <w:t>párr. 346.</w:t>
      </w:r>
    </w:p>
  </w:footnote>
  <w:footnote w:id="69">
    <w:p w14:paraId="1B28E2B9" w14:textId="77777777" w:rsidR="00BF0FEA" w:rsidRPr="00CC44C8" w:rsidRDefault="00BF0FEA" w:rsidP="00CD345C">
      <w:pPr>
        <w:pStyle w:val="FootnoteText"/>
        <w:jc w:val="both"/>
        <w:rPr>
          <w:rFonts w:ascii="Cambria" w:hAnsi="Cambria"/>
          <w:spacing w:val="-4"/>
          <w:sz w:val="16"/>
          <w:szCs w:val="16"/>
          <w:lang w:val="es-VE"/>
        </w:rPr>
      </w:pPr>
      <w:r w:rsidRPr="00CC44C8">
        <w:rPr>
          <w:rStyle w:val="FootnoteReference"/>
          <w:rFonts w:ascii="Cambria" w:hAnsi="Cambria"/>
          <w:spacing w:val="-4"/>
          <w:sz w:val="16"/>
          <w:szCs w:val="16"/>
        </w:rPr>
        <w:footnoteRef/>
      </w:r>
      <w:r w:rsidRPr="00CC44C8">
        <w:rPr>
          <w:rFonts w:ascii="Cambria" w:hAnsi="Cambria"/>
          <w:spacing w:val="-4"/>
          <w:sz w:val="16"/>
          <w:szCs w:val="16"/>
          <w:lang w:val="es-PR"/>
        </w:rPr>
        <w:t xml:space="preserve"> </w:t>
      </w:r>
      <w:r w:rsidRPr="00CC44C8">
        <w:rPr>
          <w:rFonts w:ascii="Cambria" w:hAnsi="Cambria"/>
          <w:spacing w:val="-4"/>
          <w:sz w:val="16"/>
          <w:szCs w:val="16"/>
          <w:lang w:val="es-GT"/>
        </w:rPr>
        <w:t xml:space="preserve">Corte IDH. </w:t>
      </w:r>
      <w:r w:rsidRPr="00CC44C8">
        <w:rPr>
          <w:rFonts w:ascii="Cambria" w:hAnsi="Cambria"/>
          <w:i/>
          <w:spacing w:val="-4"/>
          <w:sz w:val="16"/>
          <w:szCs w:val="16"/>
          <w:lang w:val="es-ES"/>
        </w:rPr>
        <w:t xml:space="preserve">Caso Chaparro Álvarez y Lapo Íñiguez Vs. Ecuador.  </w:t>
      </w:r>
      <w:r w:rsidRPr="00CC44C8">
        <w:rPr>
          <w:rFonts w:ascii="Cambria" w:hAnsi="Cambria"/>
          <w:spacing w:val="-4"/>
          <w:sz w:val="16"/>
          <w:szCs w:val="16"/>
          <w:lang w:val="es-ES"/>
        </w:rPr>
        <w:t>Excepciones Preliminares, Fondo, Reparaciones y Costas. Sentencia de 21 de noviembre de 2007. Serie C No. 170, párr. 54</w:t>
      </w:r>
      <w:r w:rsidRPr="00CC44C8">
        <w:rPr>
          <w:rFonts w:ascii="Cambria" w:hAnsi="Cambria"/>
          <w:spacing w:val="-4"/>
          <w:sz w:val="16"/>
          <w:szCs w:val="16"/>
          <w:lang w:val="es-GT"/>
        </w:rPr>
        <w:t>.</w:t>
      </w:r>
    </w:p>
  </w:footnote>
  <w:footnote w:id="70">
    <w:p w14:paraId="0A8E929A" w14:textId="77777777" w:rsidR="00924369" w:rsidRPr="00CC44C8" w:rsidRDefault="00924369" w:rsidP="00CD345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16"/>
          <w:szCs w:val="16"/>
          <w:lang w:val="es-ES"/>
        </w:rPr>
      </w:pPr>
      <w:r w:rsidRPr="00CC44C8">
        <w:rPr>
          <w:rStyle w:val="FootnoteReference"/>
          <w:rFonts w:ascii="Cambria" w:hAnsi="Cambria"/>
          <w:sz w:val="16"/>
          <w:szCs w:val="16"/>
        </w:rPr>
        <w:footnoteRef/>
      </w:r>
      <w:r w:rsidRPr="00CC44C8">
        <w:rPr>
          <w:rFonts w:ascii="Cambria" w:hAnsi="Cambria"/>
          <w:sz w:val="16"/>
          <w:szCs w:val="16"/>
          <w:lang w:val="es-ES"/>
        </w:rPr>
        <w:t xml:space="preserve"> Los niños Herminio Deras, José Herminio Deras y la</w:t>
      </w:r>
      <w:r w:rsidR="003D3886" w:rsidRPr="00CC44C8">
        <w:rPr>
          <w:rFonts w:ascii="Cambria" w:hAnsi="Cambria"/>
          <w:sz w:val="16"/>
          <w:szCs w:val="16"/>
          <w:lang w:val="es-ES"/>
        </w:rPr>
        <w:t>s</w:t>
      </w:r>
      <w:r w:rsidRPr="00CC44C8">
        <w:rPr>
          <w:rFonts w:ascii="Cambria" w:hAnsi="Cambria"/>
          <w:sz w:val="16"/>
          <w:szCs w:val="16"/>
          <w:lang w:val="es-ES"/>
        </w:rPr>
        <w:t xml:space="preserve"> niña</w:t>
      </w:r>
      <w:r w:rsidR="003D3886" w:rsidRPr="00CC44C8">
        <w:rPr>
          <w:rFonts w:ascii="Cambria" w:hAnsi="Cambria"/>
          <w:sz w:val="16"/>
          <w:szCs w:val="16"/>
          <w:lang w:val="es-ES"/>
        </w:rPr>
        <w:t>s</w:t>
      </w:r>
      <w:r w:rsidRPr="00CC44C8">
        <w:rPr>
          <w:rFonts w:ascii="Cambria" w:hAnsi="Cambria"/>
          <w:sz w:val="16"/>
          <w:szCs w:val="16"/>
          <w:lang w:val="es-ES"/>
        </w:rPr>
        <w:t xml:space="preserve"> Lorena Deras</w:t>
      </w:r>
      <w:r w:rsidR="003D3886" w:rsidRPr="00CC44C8">
        <w:rPr>
          <w:rFonts w:ascii="Cambria" w:hAnsi="Cambria"/>
          <w:sz w:val="16"/>
          <w:szCs w:val="16"/>
          <w:lang w:val="es-ES"/>
        </w:rPr>
        <w:t xml:space="preserve"> y Sandra Hernández</w:t>
      </w:r>
      <w:r w:rsidRPr="00CC44C8">
        <w:rPr>
          <w:rFonts w:ascii="Cambria" w:hAnsi="Cambria"/>
          <w:sz w:val="16"/>
          <w:szCs w:val="16"/>
          <w:lang w:val="es-ES"/>
        </w:rPr>
        <w:t>.</w:t>
      </w:r>
    </w:p>
  </w:footnote>
  <w:footnote w:id="71">
    <w:p w14:paraId="1A9AC4B0" w14:textId="77777777" w:rsidR="00270C7F" w:rsidRPr="00CC44C8" w:rsidRDefault="00270C7F" w:rsidP="00CD345C">
      <w:pPr>
        <w:autoSpaceDE w:val="0"/>
        <w:autoSpaceDN w:val="0"/>
        <w:adjustRightInd w:val="0"/>
        <w:jc w:val="both"/>
        <w:rPr>
          <w:rFonts w:ascii="Cambria" w:hAnsi="Cambria"/>
          <w:sz w:val="16"/>
          <w:szCs w:val="16"/>
          <w:lang w:val="es-ES"/>
        </w:rPr>
      </w:pPr>
      <w:r w:rsidRPr="00CC44C8">
        <w:rPr>
          <w:rStyle w:val="FootnoteReference"/>
          <w:rFonts w:ascii="Cambria" w:hAnsi="Cambria"/>
          <w:sz w:val="16"/>
          <w:szCs w:val="16"/>
          <w:lang w:val="es-ES"/>
        </w:rPr>
        <w:footnoteRef/>
      </w:r>
      <w:r w:rsidRPr="00CC44C8">
        <w:rPr>
          <w:rFonts w:ascii="Cambria" w:hAnsi="Cambria"/>
          <w:sz w:val="16"/>
          <w:szCs w:val="16"/>
          <w:lang w:val="es-ES"/>
        </w:rPr>
        <w:t xml:space="preserve"> Corte IDH. </w:t>
      </w:r>
      <w:r w:rsidRPr="00CC44C8">
        <w:rPr>
          <w:rFonts w:ascii="Cambria" w:hAnsi="Cambria" w:cs="Univers,Italic"/>
          <w:i/>
          <w:iCs/>
          <w:sz w:val="16"/>
          <w:szCs w:val="16"/>
          <w:lang w:val="es-ES"/>
        </w:rPr>
        <w:t>Caso Valle Jaramillo y otros Vs. Colombia</w:t>
      </w:r>
      <w:r w:rsidRPr="00CC44C8">
        <w:rPr>
          <w:rFonts w:ascii="Cambria" w:hAnsi="Cambria" w:cs="Univers,Italic"/>
          <w:iCs/>
          <w:sz w:val="16"/>
          <w:szCs w:val="16"/>
          <w:lang w:val="es-ES"/>
        </w:rPr>
        <w:t xml:space="preserve">. </w:t>
      </w:r>
      <w:r w:rsidRPr="00CC44C8">
        <w:rPr>
          <w:rFonts w:ascii="Cambria" w:hAnsi="Cambria"/>
          <w:sz w:val="16"/>
          <w:szCs w:val="16"/>
          <w:lang w:val="es-ES"/>
        </w:rPr>
        <w:t xml:space="preserve">Fondo, Reparaciones y Costas. Sentencia de 27 de noviembre de 2008. Serie C No. 192, párr. 138. </w:t>
      </w:r>
    </w:p>
  </w:footnote>
  <w:footnote w:id="72">
    <w:p w14:paraId="3E7843E4" w14:textId="77777777" w:rsidR="00270C7F" w:rsidRPr="00CC44C8" w:rsidRDefault="00270C7F" w:rsidP="00CD345C">
      <w:pPr>
        <w:pStyle w:val="FootnoteText"/>
        <w:jc w:val="both"/>
        <w:rPr>
          <w:rFonts w:ascii="Cambria" w:hAnsi="Cambria" w:cs="Arial"/>
          <w:sz w:val="16"/>
          <w:szCs w:val="16"/>
          <w:lang w:val="es-ES"/>
        </w:rPr>
      </w:pPr>
      <w:r w:rsidRPr="00CC44C8">
        <w:rPr>
          <w:rStyle w:val="FootnoteReference"/>
          <w:rFonts w:ascii="Cambria" w:hAnsi="Cambria" w:cs="Arial"/>
          <w:sz w:val="16"/>
          <w:szCs w:val="16"/>
          <w:lang w:val="es-ES"/>
        </w:rPr>
        <w:footnoteRef/>
      </w:r>
      <w:r w:rsidRPr="00CC44C8">
        <w:rPr>
          <w:rFonts w:ascii="Cambria" w:hAnsi="Cambria" w:cs="Arial"/>
          <w:sz w:val="16"/>
          <w:szCs w:val="16"/>
          <w:lang w:val="es-ES"/>
        </w:rPr>
        <w:t xml:space="preserve"> </w:t>
      </w:r>
      <w:r w:rsidRPr="00CC44C8">
        <w:rPr>
          <w:rStyle w:val="Strong"/>
          <w:rFonts w:ascii="Cambria" w:hAnsi="Cambria"/>
          <w:b w:val="0"/>
          <w:sz w:val="16"/>
          <w:szCs w:val="16"/>
          <w:shd w:val="clear" w:color="auto" w:fill="FFFFFF"/>
          <w:lang w:val="es-ES"/>
        </w:rPr>
        <w:t>Corte IDH</w:t>
      </w:r>
      <w:r w:rsidRPr="00CC44C8">
        <w:rPr>
          <w:rStyle w:val="Strong"/>
          <w:rFonts w:ascii="Cambria" w:hAnsi="Cambria"/>
          <w:b w:val="0"/>
          <w:i/>
          <w:sz w:val="16"/>
          <w:szCs w:val="16"/>
          <w:shd w:val="clear" w:color="auto" w:fill="FFFFFF"/>
          <w:lang w:val="es-ES"/>
        </w:rPr>
        <w:t>. Caso Vélez Restrepo y familiares Vs. Colombia</w:t>
      </w:r>
      <w:r w:rsidRPr="00CC44C8">
        <w:rPr>
          <w:rStyle w:val="Strong"/>
          <w:rFonts w:ascii="Cambria" w:hAnsi="Cambria"/>
          <w:b w:val="0"/>
          <w:sz w:val="16"/>
          <w:szCs w:val="16"/>
          <w:shd w:val="clear" w:color="auto" w:fill="FFFFFF"/>
          <w:lang w:val="es-ES"/>
        </w:rPr>
        <w:t>. Excepción Preliminar, Fondo, Reparaciones y Costas. Sentencia de 3 de septiembre de 2012. Serie C No. 248, párr. 220.</w:t>
      </w:r>
    </w:p>
  </w:footnote>
  <w:footnote w:id="73">
    <w:p w14:paraId="26D16543" w14:textId="77777777" w:rsidR="00270C7F" w:rsidRPr="00CC44C8" w:rsidRDefault="00270C7F" w:rsidP="00CD345C">
      <w:pPr>
        <w:autoSpaceDE w:val="0"/>
        <w:autoSpaceDN w:val="0"/>
        <w:adjustRightInd w:val="0"/>
        <w:jc w:val="both"/>
        <w:rPr>
          <w:rFonts w:ascii="Cambria" w:hAnsi="Cambria"/>
          <w:sz w:val="16"/>
          <w:szCs w:val="16"/>
          <w:lang w:val="es-ES"/>
        </w:rPr>
      </w:pPr>
      <w:r w:rsidRPr="00CC44C8">
        <w:rPr>
          <w:rStyle w:val="FootnoteReference"/>
          <w:rFonts w:ascii="Cambria" w:hAnsi="Cambria"/>
          <w:sz w:val="16"/>
          <w:szCs w:val="16"/>
          <w:lang w:val="es-ES"/>
        </w:rPr>
        <w:footnoteRef/>
      </w:r>
      <w:r w:rsidRPr="00CC44C8">
        <w:rPr>
          <w:rFonts w:ascii="Cambria" w:hAnsi="Cambria"/>
          <w:sz w:val="16"/>
          <w:szCs w:val="16"/>
          <w:lang w:val="es-ES"/>
        </w:rPr>
        <w:t xml:space="preserve"> Corte IDH. </w:t>
      </w:r>
      <w:r w:rsidRPr="00CC44C8">
        <w:rPr>
          <w:rFonts w:ascii="Cambria" w:hAnsi="Cambria" w:cs="Univers,Italic"/>
          <w:i/>
          <w:iCs/>
          <w:sz w:val="16"/>
          <w:szCs w:val="16"/>
          <w:lang w:val="es-ES"/>
        </w:rPr>
        <w:t>Caso Valle Jaramillo y otros Vs. Colombia</w:t>
      </w:r>
      <w:r w:rsidRPr="00CC44C8">
        <w:rPr>
          <w:rFonts w:ascii="Cambria" w:hAnsi="Cambria" w:cs="Univers,Italic"/>
          <w:iCs/>
          <w:sz w:val="16"/>
          <w:szCs w:val="16"/>
          <w:lang w:val="es-ES"/>
        </w:rPr>
        <w:t xml:space="preserve">. </w:t>
      </w:r>
      <w:r w:rsidRPr="00CC44C8">
        <w:rPr>
          <w:rFonts w:ascii="Cambria" w:hAnsi="Cambria"/>
          <w:sz w:val="16"/>
          <w:szCs w:val="16"/>
          <w:lang w:val="es-ES"/>
        </w:rPr>
        <w:t xml:space="preserve">Fondo, Reparaciones y Costas. Sentencia de 27 de noviembre de 2008. Serie C No. 192, párrs. 140, 141 y 144. </w:t>
      </w:r>
    </w:p>
  </w:footnote>
  <w:footnote w:id="74">
    <w:p w14:paraId="4A26703D" w14:textId="77777777" w:rsidR="00270C7F" w:rsidRPr="00CC44C8" w:rsidRDefault="00270C7F" w:rsidP="00CD345C">
      <w:pPr>
        <w:autoSpaceDE w:val="0"/>
        <w:autoSpaceDN w:val="0"/>
        <w:adjustRightInd w:val="0"/>
        <w:jc w:val="both"/>
        <w:rPr>
          <w:rFonts w:ascii="Cambria" w:hAnsi="Cambria"/>
          <w:sz w:val="16"/>
          <w:szCs w:val="16"/>
          <w:lang w:val="es-ES"/>
        </w:rPr>
      </w:pPr>
      <w:r w:rsidRPr="00CC44C8">
        <w:rPr>
          <w:rStyle w:val="FootnoteReference"/>
          <w:rFonts w:ascii="Cambria" w:hAnsi="Cambria"/>
          <w:sz w:val="16"/>
          <w:szCs w:val="16"/>
          <w:lang w:val="es-ES"/>
        </w:rPr>
        <w:footnoteRef/>
      </w:r>
      <w:r w:rsidRPr="00CC44C8">
        <w:rPr>
          <w:rFonts w:ascii="Cambria" w:hAnsi="Cambria"/>
          <w:sz w:val="16"/>
          <w:szCs w:val="16"/>
          <w:lang w:val="es-ES"/>
        </w:rPr>
        <w:t xml:space="preserve"> Corte IDH. </w:t>
      </w:r>
      <w:r w:rsidRPr="00CC44C8">
        <w:rPr>
          <w:rFonts w:ascii="Cambria" w:hAnsi="Cambria" w:cs="Univers,Italic"/>
          <w:iCs/>
          <w:sz w:val="16"/>
          <w:szCs w:val="16"/>
          <w:lang w:val="es-ES"/>
        </w:rPr>
        <w:t xml:space="preserve">Caso Valle Jaramillo y otros Vs. Colombia. </w:t>
      </w:r>
      <w:r w:rsidRPr="00CC44C8">
        <w:rPr>
          <w:rFonts w:ascii="Cambria" w:hAnsi="Cambria"/>
          <w:sz w:val="16"/>
          <w:szCs w:val="16"/>
          <w:lang w:val="es-ES"/>
        </w:rPr>
        <w:t>Fondo, Reparaciones y Costas. Sentencia de 27 de noviembre de 2008. Serie C No. 192, párr. 141.</w:t>
      </w:r>
    </w:p>
  </w:footnote>
  <w:footnote w:id="75">
    <w:p w14:paraId="3FACB724" w14:textId="77777777" w:rsidR="00270C7F" w:rsidRPr="00CC44C8" w:rsidRDefault="00270C7F" w:rsidP="00CD345C">
      <w:pPr>
        <w:pStyle w:val="FootnoteText"/>
        <w:jc w:val="both"/>
        <w:rPr>
          <w:rFonts w:ascii="Cambria" w:hAnsi="Cambria"/>
          <w:b/>
          <w:sz w:val="16"/>
          <w:szCs w:val="16"/>
          <w:lang w:val="es-ES"/>
        </w:rPr>
      </w:pPr>
      <w:r w:rsidRPr="00CC44C8">
        <w:rPr>
          <w:rStyle w:val="FootnoteReference"/>
          <w:rFonts w:ascii="Cambria" w:hAnsi="Cambria"/>
          <w:b/>
          <w:sz w:val="16"/>
          <w:szCs w:val="16"/>
        </w:rPr>
        <w:footnoteRef/>
      </w:r>
      <w:r w:rsidRPr="00CC44C8">
        <w:rPr>
          <w:rFonts w:ascii="Cambria" w:hAnsi="Cambria"/>
          <w:b/>
          <w:sz w:val="16"/>
          <w:szCs w:val="16"/>
          <w:lang w:val="es-ES"/>
        </w:rPr>
        <w:t xml:space="preserve"> </w:t>
      </w:r>
      <w:r w:rsidRPr="00CC44C8">
        <w:rPr>
          <w:rStyle w:val="Strong"/>
          <w:rFonts w:ascii="Cambria" w:hAnsi="Cambria"/>
          <w:b w:val="0"/>
          <w:sz w:val="16"/>
          <w:szCs w:val="16"/>
          <w:shd w:val="clear" w:color="auto" w:fill="FFFFFF"/>
          <w:lang w:val="es-ES"/>
        </w:rPr>
        <w:t xml:space="preserve">Corte IDH. </w:t>
      </w:r>
      <w:r w:rsidRPr="00CC44C8">
        <w:rPr>
          <w:rStyle w:val="Strong"/>
          <w:rFonts w:ascii="Cambria" w:hAnsi="Cambria"/>
          <w:b w:val="0"/>
          <w:i/>
          <w:sz w:val="16"/>
          <w:szCs w:val="16"/>
          <w:shd w:val="clear" w:color="auto" w:fill="FFFFFF"/>
          <w:lang w:val="es-ES"/>
        </w:rPr>
        <w:t>Caso V.R.P., V.P.C. y otros Vs. Nicaragua</w:t>
      </w:r>
      <w:r w:rsidRPr="00CC44C8">
        <w:rPr>
          <w:rStyle w:val="Strong"/>
          <w:rFonts w:ascii="Cambria" w:hAnsi="Cambria"/>
          <w:b w:val="0"/>
          <w:sz w:val="16"/>
          <w:szCs w:val="16"/>
          <w:shd w:val="clear" w:color="auto" w:fill="FFFFFF"/>
          <w:lang w:val="es-ES"/>
        </w:rPr>
        <w:t>. Excepciones Preliminares, Fondo, Reparaciones y Costas. Sentencia de 8 de marzo de 2018. Serie C No. 350, párr. 309.</w:t>
      </w:r>
    </w:p>
  </w:footnote>
  <w:footnote w:id="76">
    <w:p w14:paraId="5FFAB7E4" w14:textId="77777777" w:rsidR="009D6394" w:rsidRPr="00CC44C8" w:rsidRDefault="009D6394" w:rsidP="00CD345C">
      <w:pPr>
        <w:pStyle w:val="FootnoteText"/>
        <w:jc w:val="both"/>
        <w:rPr>
          <w:rFonts w:ascii="Cambria" w:hAnsi="Cambria"/>
          <w:sz w:val="16"/>
          <w:szCs w:val="16"/>
          <w:lang w:val="es-CO"/>
        </w:rPr>
      </w:pPr>
      <w:r w:rsidRPr="00CC44C8">
        <w:rPr>
          <w:rStyle w:val="FootnoteReference"/>
          <w:rFonts w:ascii="Cambria" w:hAnsi="Cambria"/>
          <w:sz w:val="16"/>
          <w:szCs w:val="16"/>
        </w:rPr>
        <w:footnoteRef/>
      </w:r>
      <w:r w:rsidRPr="00CC44C8">
        <w:rPr>
          <w:rStyle w:val="FootnoteReference"/>
          <w:rFonts w:ascii="Cambria" w:hAnsi="Cambria"/>
          <w:sz w:val="16"/>
          <w:szCs w:val="16"/>
          <w:lang w:val="es-US"/>
        </w:rPr>
        <w:t xml:space="preserve"> </w:t>
      </w:r>
      <w:r w:rsidRPr="00CC44C8">
        <w:rPr>
          <w:rFonts w:ascii="Cambria" w:hAnsi="Cambria"/>
          <w:sz w:val="16"/>
          <w:szCs w:val="16"/>
          <w:lang w:val="es-US"/>
        </w:rPr>
        <w:t xml:space="preserve">CIDH. Informe No. 41/15. Casos 12.335, 12. 336, 12. 757, 12.711. Fondo. Gustavo Giraldo Villamizar Durán y otros. Colombia. 28 de julio de 2015, párr. 195. Asimismo, véase: </w:t>
      </w:r>
      <w:r w:rsidRPr="00CC44C8">
        <w:rPr>
          <w:rFonts w:ascii="Cambria" w:hAnsi="Cambria"/>
          <w:sz w:val="16"/>
          <w:szCs w:val="16"/>
          <w:lang w:val="es-CO"/>
        </w:rPr>
        <w:t xml:space="preserve">Corte IDH. </w:t>
      </w:r>
      <w:r w:rsidRPr="00CC44C8">
        <w:rPr>
          <w:rFonts w:ascii="Cambria" w:hAnsi="Cambria"/>
          <w:i/>
          <w:sz w:val="16"/>
          <w:szCs w:val="16"/>
          <w:lang w:val="es-CO"/>
        </w:rPr>
        <w:t>Caso de la Masacre de Mapiripán Vs. Colombia</w:t>
      </w:r>
      <w:r w:rsidRPr="00CC44C8">
        <w:rPr>
          <w:rFonts w:ascii="Cambria" w:hAnsi="Cambria"/>
          <w:sz w:val="16"/>
          <w:szCs w:val="16"/>
          <w:lang w:val="es-CO"/>
        </w:rPr>
        <w:t xml:space="preserve">. Sentencia de 15 de septiembre de 2005. Serie C No. 122, párr. 219; y </w:t>
      </w:r>
      <w:r w:rsidRPr="00CC44C8">
        <w:rPr>
          <w:rFonts w:ascii="Cambria" w:hAnsi="Cambria"/>
          <w:i/>
          <w:sz w:val="16"/>
          <w:szCs w:val="16"/>
          <w:lang w:val="es-CO"/>
        </w:rPr>
        <w:t>Caso Mendoza y otros Vs. Argentina</w:t>
      </w:r>
      <w:r w:rsidRPr="00CC44C8">
        <w:rPr>
          <w:rFonts w:ascii="Cambria" w:hAnsi="Cambria"/>
          <w:sz w:val="16"/>
          <w:szCs w:val="16"/>
          <w:lang w:val="es-CO"/>
        </w:rPr>
        <w:t>. Excepciones Preliminares, Fondo y Reparaciones. Sentencia de 14 de mayo de 2013. Serie C No. 260, párr. 218.</w:t>
      </w:r>
    </w:p>
  </w:footnote>
  <w:footnote w:id="77">
    <w:p w14:paraId="306DA189" w14:textId="77777777" w:rsidR="009D6394" w:rsidRPr="008628D0" w:rsidRDefault="009D6394" w:rsidP="00CD345C">
      <w:pPr>
        <w:pStyle w:val="FootnoteText"/>
        <w:jc w:val="both"/>
        <w:rPr>
          <w:rFonts w:ascii="Cambria" w:hAnsi="Cambria"/>
          <w:sz w:val="16"/>
          <w:szCs w:val="16"/>
          <w:lang w:val="es-ES"/>
        </w:rPr>
      </w:pPr>
      <w:r w:rsidRPr="00CC44C8">
        <w:rPr>
          <w:rStyle w:val="FootnoteReference"/>
          <w:rFonts w:ascii="Cambria" w:hAnsi="Cambria"/>
          <w:sz w:val="16"/>
          <w:szCs w:val="16"/>
        </w:rPr>
        <w:footnoteRef/>
      </w:r>
      <w:r w:rsidRPr="00CC44C8">
        <w:rPr>
          <w:rFonts w:ascii="Cambria" w:hAnsi="Cambria"/>
          <w:sz w:val="16"/>
          <w:szCs w:val="16"/>
          <w:lang w:val="es-ES"/>
        </w:rPr>
        <w:t xml:space="preserve"> Corte IDH. </w:t>
      </w:r>
      <w:r w:rsidRPr="00CC44C8">
        <w:rPr>
          <w:rFonts w:ascii="Cambria" w:hAnsi="Cambria"/>
          <w:i/>
          <w:sz w:val="16"/>
          <w:szCs w:val="16"/>
          <w:lang w:val="es-ES"/>
        </w:rPr>
        <w:t xml:space="preserve">Caso Loayza Tamayo Vs. </w:t>
      </w:r>
      <w:r w:rsidRPr="00CC44C8">
        <w:rPr>
          <w:rFonts w:ascii="Cambria" w:hAnsi="Cambria"/>
          <w:i/>
          <w:sz w:val="16"/>
          <w:szCs w:val="16"/>
          <w:lang w:val="es-CL"/>
        </w:rPr>
        <w:t>Perú</w:t>
      </w:r>
      <w:r w:rsidRPr="00CC44C8">
        <w:rPr>
          <w:rFonts w:ascii="Cambria" w:hAnsi="Cambria"/>
          <w:sz w:val="16"/>
          <w:szCs w:val="16"/>
          <w:lang w:val="es-CL"/>
        </w:rPr>
        <w:t xml:space="preserve">. Reparaciones. </w:t>
      </w:r>
      <w:r w:rsidRPr="008628D0">
        <w:rPr>
          <w:rFonts w:ascii="Cambria" w:hAnsi="Cambria"/>
          <w:sz w:val="16"/>
          <w:szCs w:val="16"/>
          <w:lang w:val="es-ES"/>
        </w:rPr>
        <w:t>Sentencia de 27 de noviembre de 1998. Serie C No. 42, párr. 169.</w:t>
      </w:r>
    </w:p>
  </w:footnote>
  <w:footnote w:id="78">
    <w:p w14:paraId="78DADA56" w14:textId="77777777" w:rsidR="009D6394" w:rsidRPr="00A668F1" w:rsidRDefault="009D6394" w:rsidP="00CD345C">
      <w:pPr>
        <w:pStyle w:val="FootnoteText"/>
        <w:jc w:val="both"/>
        <w:rPr>
          <w:rFonts w:ascii="Cambria" w:hAnsi="Cambria"/>
          <w:sz w:val="16"/>
          <w:szCs w:val="16"/>
          <w:lang w:val="es-ES"/>
        </w:rPr>
      </w:pPr>
      <w:r w:rsidRPr="00CC44C8">
        <w:rPr>
          <w:rStyle w:val="FootnoteReference"/>
          <w:rFonts w:ascii="Cambria" w:hAnsi="Cambria"/>
          <w:sz w:val="16"/>
          <w:szCs w:val="16"/>
        </w:rPr>
        <w:footnoteRef/>
      </w:r>
      <w:r w:rsidRPr="008628D0">
        <w:rPr>
          <w:rFonts w:ascii="Cambria" w:hAnsi="Cambria"/>
          <w:sz w:val="16"/>
          <w:szCs w:val="16"/>
          <w:lang w:val="es-ES"/>
        </w:rPr>
        <w:t xml:space="preserve"> TEDH. </w:t>
      </w:r>
      <w:r w:rsidRPr="00CC44C8">
        <w:rPr>
          <w:rFonts w:ascii="Cambria" w:hAnsi="Cambria"/>
          <w:sz w:val="16"/>
          <w:szCs w:val="16"/>
          <w:lang w:val="es-ES"/>
        </w:rPr>
        <w:t xml:space="preserve">McCann y otros v. Reino Unido. Sentencia de 27 de septiembre de 1995, párr. </w:t>
      </w:r>
      <w:r w:rsidRPr="00A668F1">
        <w:rPr>
          <w:rFonts w:ascii="Cambria" w:hAnsi="Cambria"/>
          <w:sz w:val="16"/>
          <w:szCs w:val="16"/>
          <w:lang w:val="es-ES"/>
        </w:rPr>
        <w:t>36.</w:t>
      </w:r>
    </w:p>
  </w:footnote>
  <w:footnote w:id="79">
    <w:p w14:paraId="7EF6FFB6" w14:textId="77777777" w:rsidR="009D6394" w:rsidRPr="008628D0" w:rsidRDefault="009D6394" w:rsidP="00CD345C">
      <w:pPr>
        <w:pStyle w:val="FootnoteText"/>
        <w:jc w:val="both"/>
        <w:rPr>
          <w:rFonts w:ascii="Cambria" w:hAnsi="Cambria"/>
          <w:sz w:val="16"/>
          <w:szCs w:val="16"/>
          <w:lang w:val="es-ES"/>
        </w:rPr>
      </w:pPr>
      <w:r w:rsidRPr="00CC44C8">
        <w:rPr>
          <w:rStyle w:val="FootnoteReference"/>
          <w:rFonts w:ascii="Cambria" w:hAnsi="Cambria"/>
          <w:sz w:val="16"/>
          <w:szCs w:val="16"/>
        </w:rPr>
        <w:footnoteRef/>
      </w:r>
      <w:r w:rsidRPr="00256E7A">
        <w:rPr>
          <w:rFonts w:ascii="Cambria" w:hAnsi="Cambria"/>
          <w:sz w:val="16"/>
          <w:szCs w:val="16"/>
          <w:lang w:val="es-ES"/>
        </w:rPr>
        <w:t xml:space="preserve"> TEDH. </w:t>
      </w:r>
      <w:r w:rsidRPr="00CC44C8">
        <w:rPr>
          <w:rFonts w:ascii="Cambria" w:hAnsi="Cambria"/>
          <w:sz w:val="16"/>
          <w:szCs w:val="16"/>
          <w:lang w:val="es-ES"/>
        </w:rPr>
        <w:t xml:space="preserve">Milkhalkova y otros v. Ucrania. Sentencia de 13 de enero de 2011, párr. 42. </w:t>
      </w:r>
    </w:p>
  </w:footnote>
  <w:footnote w:id="80">
    <w:p w14:paraId="64BCEDAA" w14:textId="77777777" w:rsidR="003D3886" w:rsidRPr="00CC44C8" w:rsidRDefault="003D3886" w:rsidP="00CD345C">
      <w:pPr>
        <w:pStyle w:val="FootnoteText"/>
        <w:jc w:val="both"/>
        <w:rPr>
          <w:rFonts w:ascii="Cambria" w:hAnsi="Cambria"/>
          <w:sz w:val="16"/>
          <w:szCs w:val="16"/>
          <w:lang w:val="es-ES"/>
        </w:rPr>
      </w:pPr>
      <w:r w:rsidRPr="00CC44C8">
        <w:rPr>
          <w:rStyle w:val="FootnoteReference"/>
          <w:rFonts w:ascii="Cambria" w:hAnsi="Cambria"/>
          <w:sz w:val="16"/>
          <w:szCs w:val="16"/>
        </w:rPr>
        <w:footnoteRef/>
      </w:r>
      <w:r w:rsidRPr="00CC44C8">
        <w:rPr>
          <w:rFonts w:ascii="Cambria" w:hAnsi="Cambria"/>
          <w:sz w:val="16"/>
          <w:szCs w:val="16"/>
          <w:lang w:val="es-ES"/>
        </w:rPr>
        <w:t xml:space="preserve"> </w:t>
      </w:r>
      <w:r w:rsidRPr="00CC44C8">
        <w:rPr>
          <w:rStyle w:val="Strong"/>
          <w:rFonts w:ascii="Cambria" w:hAnsi="Cambria"/>
          <w:b w:val="0"/>
          <w:sz w:val="16"/>
          <w:szCs w:val="16"/>
          <w:shd w:val="clear" w:color="auto" w:fill="FFFFFF"/>
          <w:lang w:val="es-ES"/>
        </w:rPr>
        <w:t xml:space="preserve">Corte IDH. </w:t>
      </w:r>
      <w:r w:rsidRPr="00CC44C8">
        <w:rPr>
          <w:rStyle w:val="Strong"/>
          <w:rFonts w:ascii="Cambria" w:hAnsi="Cambria"/>
          <w:b w:val="0"/>
          <w:i/>
          <w:sz w:val="16"/>
          <w:szCs w:val="16"/>
          <w:shd w:val="clear" w:color="auto" w:fill="FFFFFF"/>
          <w:lang w:val="es-ES"/>
        </w:rPr>
        <w:t xml:space="preserve">Caso Furlan y Familiares Vs. Argentina. </w:t>
      </w:r>
      <w:r w:rsidRPr="00CC44C8">
        <w:rPr>
          <w:rStyle w:val="Strong"/>
          <w:rFonts w:ascii="Cambria" w:hAnsi="Cambria"/>
          <w:b w:val="0"/>
          <w:sz w:val="16"/>
          <w:szCs w:val="16"/>
          <w:shd w:val="clear" w:color="auto" w:fill="FFFFFF"/>
          <w:lang w:val="es-ES"/>
        </w:rPr>
        <w:t>Excepciones Preliminares, Fondo, Reparaciones y Costas. Sentencia de 31 de agosto de 2012. Serie C No. 246, párr. 249.</w:t>
      </w:r>
    </w:p>
  </w:footnote>
  <w:footnote w:id="81">
    <w:p w14:paraId="3EF67909" w14:textId="77777777" w:rsidR="003D3886" w:rsidRPr="00CC44C8" w:rsidRDefault="003D3886" w:rsidP="00CD345C">
      <w:pPr>
        <w:pStyle w:val="FootnoteText"/>
        <w:jc w:val="both"/>
        <w:rPr>
          <w:rFonts w:ascii="Cambria" w:hAnsi="Cambria"/>
          <w:sz w:val="16"/>
          <w:szCs w:val="16"/>
          <w:lang w:val="es-CL"/>
        </w:rPr>
      </w:pPr>
      <w:r w:rsidRPr="00CC44C8">
        <w:rPr>
          <w:rStyle w:val="FootnoteReference"/>
          <w:rFonts w:ascii="Cambria" w:hAnsi="Cambria"/>
          <w:sz w:val="16"/>
          <w:szCs w:val="16"/>
        </w:rPr>
        <w:footnoteRef/>
      </w:r>
      <w:r w:rsidRPr="00CC44C8">
        <w:rPr>
          <w:rFonts w:ascii="Cambria" w:hAnsi="Cambria"/>
          <w:sz w:val="16"/>
          <w:szCs w:val="16"/>
          <w:lang w:val="es-CL"/>
        </w:rPr>
        <w:t xml:space="preserve"> CIDH. Informe No. 11/10. Caso 12.488. Fondo. Miembros de la Familia Barrios. Venezuela. 26 de julio de 2010, párr. 227.</w:t>
      </w:r>
    </w:p>
  </w:footnote>
  <w:footnote w:id="82">
    <w:p w14:paraId="108E25CA" w14:textId="77777777" w:rsidR="003D3886" w:rsidRPr="00CC44C8" w:rsidRDefault="003D3886" w:rsidP="00CD345C">
      <w:pPr>
        <w:pStyle w:val="FootnoteText"/>
        <w:jc w:val="both"/>
        <w:rPr>
          <w:rFonts w:ascii="Cambria" w:hAnsi="Cambria"/>
          <w:sz w:val="16"/>
          <w:szCs w:val="16"/>
          <w:lang w:val="es-CL"/>
        </w:rPr>
      </w:pPr>
      <w:r w:rsidRPr="00CC44C8">
        <w:rPr>
          <w:rStyle w:val="FootnoteReference"/>
          <w:rFonts w:ascii="Cambria" w:hAnsi="Cambria"/>
          <w:sz w:val="16"/>
          <w:szCs w:val="16"/>
        </w:rPr>
        <w:footnoteRef/>
      </w:r>
      <w:r w:rsidRPr="00CC44C8">
        <w:rPr>
          <w:rFonts w:ascii="Cambria" w:hAnsi="Cambria"/>
          <w:sz w:val="16"/>
          <w:szCs w:val="16"/>
          <w:lang w:val="es-CL"/>
        </w:rPr>
        <w:t xml:space="preserve"> Corte IDH. </w:t>
      </w:r>
      <w:r w:rsidRPr="00CC44C8">
        <w:rPr>
          <w:rFonts w:ascii="Cambria" w:hAnsi="Cambria"/>
          <w:i/>
          <w:sz w:val="16"/>
          <w:szCs w:val="16"/>
          <w:lang w:val="es-CL"/>
        </w:rPr>
        <w:t>Caso Valle Jaramillo y otros Vs. Colombia</w:t>
      </w:r>
      <w:r w:rsidRPr="00CC44C8">
        <w:rPr>
          <w:rFonts w:ascii="Cambria" w:hAnsi="Cambria"/>
          <w:sz w:val="16"/>
          <w:szCs w:val="16"/>
          <w:lang w:val="es-CL"/>
        </w:rPr>
        <w:t xml:space="preserve">. Fondo, Reparaciones y Costas. </w:t>
      </w:r>
      <w:r w:rsidRPr="00CC44C8">
        <w:rPr>
          <w:rFonts w:ascii="Cambria" w:hAnsi="Cambria"/>
          <w:sz w:val="16"/>
          <w:szCs w:val="16"/>
          <w:lang w:val="es-ES"/>
        </w:rPr>
        <w:t>Sentencia de 27 de noviembre de 2008, párr. 102.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EB562" w14:textId="77777777" w:rsidR="009D6394" w:rsidRDefault="009D6394" w:rsidP="008C082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E5137C8" w14:textId="77777777" w:rsidR="009D6394" w:rsidRDefault="009D63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F6DE5" w14:textId="77777777" w:rsidR="009D6394" w:rsidRDefault="00441039" w:rsidP="00A50FCF">
    <w:pPr>
      <w:pStyle w:val="Header"/>
      <w:tabs>
        <w:tab w:val="clear" w:pos="4320"/>
        <w:tab w:val="clear" w:pos="8640"/>
      </w:tabs>
      <w:jc w:val="center"/>
      <w:rPr>
        <w:sz w:val="22"/>
        <w:szCs w:val="22"/>
      </w:rPr>
    </w:pPr>
    <w:r w:rsidRPr="00470D7E">
      <w:rPr>
        <w:noProof/>
        <w:sz w:val="22"/>
        <w:szCs w:val="22"/>
        <w:lang w:val="es-ES" w:eastAsia="es-ES"/>
      </w:rPr>
      <w:drawing>
        <wp:inline distT="0" distB="0" distL="0" distR="0" wp14:anchorId="4E7E9697" wp14:editId="6963FE3D">
          <wp:extent cx="1974215" cy="104140"/>
          <wp:effectExtent l="0" t="0" r="6985" b="0"/>
          <wp:docPr id="4" name="Picture 3" descr="Description: 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215" cy="104140"/>
                  </a:xfrm>
                  <a:prstGeom prst="rect">
                    <a:avLst/>
                  </a:prstGeom>
                  <a:noFill/>
                  <a:ln>
                    <a:noFill/>
                  </a:ln>
                </pic:spPr>
              </pic:pic>
            </a:graphicData>
          </a:graphic>
        </wp:inline>
      </w:drawing>
    </w:r>
  </w:p>
  <w:p w14:paraId="71D7D530" w14:textId="77777777" w:rsidR="009D6394" w:rsidRPr="00EC7D62" w:rsidRDefault="005D5215" w:rsidP="00A50FCF">
    <w:pPr>
      <w:pStyle w:val="Header"/>
      <w:tabs>
        <w:tab w:val="clear" w:pos="4320"/>
        <w:tab w:val="clear" w:pos="8640"/>
      </w:tabs>
      <w:jc w:val="center"/>
      <w:rPr>
        <w:sz w:val="22"/>
        <w:szCs w:val="22"/>
      </w:rPr>
    </w:pPr>
    <w:r>
      <w:rPr>
        <w:sz w:val="22"/>
        <w:szCs w:val="22"/>
      </w:rPr>
      <w:pict w14:anchorId="3C1D4CC4">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077034"/>
    <w:multiLevelType w:val="hybridMultilevel"/>
    <w:tmpl w:val="64F46286"/>
    <w:lvl w:ilvl="0" w:tplc="9E0CAF0C">
      <w:start w:val="1"/>
      <w:numFmt w:val="decimal"/>
      <w:lvlText w:val="%1."/>
      <w:lvlJc w:val="left"/>
      <w:pPr>
        <w:ind w:left="990" w:hanging="360"/>
      </w:pPr>
      <w:rPr>
        <w:rFonts w:ascii="Cambria" w:hAnsi="Cambri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F9F770A"/>
    <w:multiLevelType w:val="hybridMultilevel"/>
    <w:tmpl w:val="94A4D71C"/>
    <w:lvl w:ilvl="0" w:tplc="D25C92B0">
      <w:start w:val="1"/>
      <w:numFmt w:val="decimal"/>
      <w:lvlText w:val="%1."/>
      <w:lvlJc w:val="left"/>
      <w:pPr>
        <w:ind w:left="990" w:hanging="360"/>
      </w:pPr>
      <w:rPr>
        <w:rFonts w:ascii="Cambria" w:hAnsi="Cambria"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40127D8"/>
    <w:multiLevelType w:val="hybridMultilevel"/>
    <w:tmpl w:val="E346A79C"/>
    <w:lvl w:ilvl="0" w:tplc="B412BE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FC1905"/>
    <w:multiLevelType w:val="hybridMultilevel"/>
    <w:tmpl w:val="D70459E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9050020"/>
    <w:multiLevelType w:val="hybridMultilevel"/>
    <w:tmpl w:val="1B3290F6"/>
    <w:lvl w:ilvl="0" w:tplc="9E98C24A">
      <w:start w:val="1"/>
      <w:numFmt w:val="decimal"/>
      <w:lvlText w:val="%1."/>
      <w:lvlJc w:val="left"/>
      <w:pPr>
        <w:tabs>
          <w:tab w:val="num" w:pos="1429"/>
        </w:tabs>
        <w:ind w:firstLine="720"/>
      </w:pPr>
      <w:rPr>
        <w:rFonts w:ascii="Cambria" w:hAnsi="Cambria" w:cs="Times New Roman" w:hint="default"/>
        <w:b w:val="0"/>
        <w:i w:val="0"/>
        <w:sz w:val="20"/>
        <w:szCs w:val="20"/>
        <w:lang w:val="es-PE"/>
      </w:rPr>
    </w:lvl>
    <w:lvl w:ilvl="1" w:tplc="04090019">
      <w:start w:val="1"/>
      <w:numFmt w:val="lowerLetter"/>
      <w:lvlText w:val="%2."/>
      <w:lvlJc w:val="left"/>
      <w:pPr>
        <w:tabs>
          <w:tab w:val="num" w:pos="1440"/>
        </w:tabs>
        <w:ind w:left="1440" w:hanging="360"/>
      </w:pPr>
      <w:rPr>
        <w:rFonts w:cs="Times New Roman"/>
      </w:rPr>
    </w:lvl>
    <w:lvl w:ilvl="2" w:tplc="C66EDE0C">
      <w:start w:val="3"/>
      <w:numFmt w:val="upperRoman"/>
      <w:lvlText w:val="%3."/>
      <w:lvlJc w:val="left"/>
      <w:pPr>
        <w:tabs>
          <w:tab w:val="num" w:pos="2700"/>
        </w:tabs>
        <w:ind w:left="2700" w:hanging="720"/>
      </w:pPr>
      <w:rPr>
        <w:rFonts w:cs="Times New Roman" w:hint="default"/>
      </w:rPr>
    </w:lvl>
    <w:lvl w:ilvl="3" w:tplc="976A6A1E">
      <w:start w:val="1"/>
      <w:numFmt w:val="decimal"/>
      <w:lvlText w:val="%4."/>
      <w:lvlJc w:val="left"/>
      <w:pPr>
        <w:tabs>
          <w:tab w:val="num" w:pos="2880"/>
        </w:tabs>
        <w:ind w:left="2880" w:hanging="360"/>
      </w:pPr>
      <w:rPr>
        <w:rFonts w:ascii="Cambria" w:hAnsi="Cambria" w:hint="default"/>
        <w:b/>
        <w:i w:val="0"/>
        <w:sz w:val="20"/>
        <w:szCs w:val="2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2"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1FF248AA"/>
    <w:multiLevelType w:val="hybridMultilevel"/>
    <w:tmpl w:val="BF2223A2"/>
    <w:lvl w:ilvl="0" w:tplc="AD88B7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7E81B7F"/>
    <w:multiLevelType w:val="hybridMultilevel"/>
    <w:tmpl w:val="D388B9A4"/>
    <w:lvl w:ilvl="0" w:tplc="9E0CAF0C">
      <w:start w:val="1"/>
      <w:numFmt w:val="decimal"/>
      <w:lvlText w:val="%1."/>
      <w:lvlJc w:val="left"/>
      <w:pPr>
        <w:ind w:left="540" w:hanging="360"/>
      </w:pPr>
      <w:rPr>
        <w:rFonts w:ascii="Cambria" w:hAnsi="Cambria"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72A0BA1"/>
    <w:multiLevelType w:val="hybridMultilevel"/>
    <w:tmpl w:val="B9E03698"/>
    <w:lvl w:ilvl="0" w:tplc="BB6A8154">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795779"/>
    <w:multiLevelType w:val="singleLevel"/>
    <w:tmpl w:val="6DAE24D8"/>
    <w:lvl w:ilvl="0">
      <w:start w:val="3"/>
      <w:numFmt w:val="decimal"/>
      <w:lvlText w:val="%1."/>
      <w:lvlJc w:val="left"/>
      <w:pPr>
        <w:tabs>
          <w:tab w:val="num" w:pos="720"/>
        </w:tabs>
        <w:ind w:left="0" w:firstLine="720"/>
      </w:pPr>
      <w:rPr>
        <w:rFonts w:ascii="Cambria" w:hAnsi="Cambria" w:hint="default"/>
        <w:b w:val="0"/>
        <w:color w:val="auto"/>
        <w:sz w:val="20"/>
        <w:szCs w:val="20"/>
      </w:rPr>
    </w:lvl>
  </w:abstractNum>
  <w:abstractNum w:abstractNumId="32"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4"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5" w15:restartNumberingAfterBreak="0">
    <w:nsid w:val="3BBA7DE2"/>
    <w:multiLevelType w:val="hybridMultilevel"/>
    <w:tmpl w:val="650C0E9E"/>
    <w:lvl w:ilvl="0" w:tplc="02AE0C5E">
      <w:start w:val="1"/>
      <w:numFmt w:val="decimal"/>
      <w:lvlText w:val="%1."/>
      <w:lvlJc w:val="left"/>
      <w:pPr>
        <w:tabs>
          <w:tab w:val="num" w:pos="1980"/>
        </w:tabs>
        <w:ind w:left="1980" w:hanging="360"/>
      </w:pPr>
      <w:rPr>
        <w:rFonts w:ascii="Cambria" w:hAnsi="Cambria" w:hint="default"/>
        <w:b w:val="0"/>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3D983EE9"/>
    <w:multiLevelType w:val="hybridMultilevel"/>
    <w:tmpl w:val="F7CE1F14"/>
    <w:lvl w:ilvl="0" w:tplc="C32AB916">
      <w:start w:val="1"/>
      <w:numFmt w:val="decimal"/>
      <w:lvlText w:val="%1."/>
      <w:lvlJc w:val="left"/>
      <w:pPr>
        <w:tabs>
          <w:tab w:val="num" w:pos="142"/>
        </w:tabs>
        <w:ind w:left="-578" w:firstLine="720"/>
      </w:pPr>
      <w:rPr>
        <w:rFonts w:ascii="Cambria" w:hAnsi="Cambria" w:hint="default"/>
        <w:b w:val="0"/>
        <w:i w:val="0"/>
        <w:color w:val="auto"/>
        <w:sz w:val="20"/>
        <w:szCs w:val="20"/>
        <w:lang w:val="es-ES"/>
      </w:rPr>
    </w:lvl>
    <w:lvl w:ilvl="1" w:tplc="1B26FCC0">
      <w:start w:val="25"/>
      <w:numFmt w:val="decimal"/>
      <w:lvlText w:val="%2."/>
      <w:lvlJc w:val="left"/>
      <w:pPr>
        <w:tabs>
          <w:tab w:val="num" w:pos="2520"/>
        </w:tabs>
        <w:ind w:left="2520" w:hanging="1440"/>
      </w:pPr>
      <w:rPr>
        <w:rFonts w:hint="default"/>
      </w:rPr>
    </w:lvl>
    <w:lvl w:ilvl="2" w:tplc="C6CE5EFA">
      <w:start w:val="1"/>
      <w:numFmt w:val="lowerLetter"/>
      <w:lvlText w:val="%3)"/>
      <w:lvlJc w:val="left"/>
      <w:pPr>
        <w:tabs>
          <w:tab w:val="num" w:pos="108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0935D42"/>
    <w:multiLevelType w:val="hybridMultilevel"/>
    <w:tmpl w:val="6BC03FF4"/>
    <w:lvl w:ilvl="0" w:tplc="C5E45522">
      <w:numFmt w:val="bullet"/>
      <w:lvlText w:val="-"/>
      <w:lvlJc w:val="left"/>
      <w:pPr>
        <w:ind w:left="1068" w:hanging="360"/>
      </w:pPr>
      <w:rPr>
        <w:rFonts w:ascii="Cambria" w:eastAsia="Arial Unicode MS" w:hAnsi="Cambria"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5A681F10"/>
    <w:multiLevelType w:val="hybridMultilevel"/>
    <w:tmpl w:val="41F4A2C8"/>
    <w:lvl w:ilvl="0" w:tplc="529A4590">
      <w:start w:val="1"/>
      <w:numFmt w:val="decimal"/>
      <w:lvlText w:val="%1."/>
      <w:lvlJc w:val="left"/>
      <w:pPr>
        <w:ind w:left="1425" w:hanging="705"/>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5CBF528E"/>
    <w:multiLevelType w:val="hybridMultilevel"/>
    <w:tmpl w:val="898EB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D7D4B9D"/>
    <w:multiLevelType w:val="hybridMultilevel"/>
    <w:tmpl w:val="94A4D71C"/>
    <w:lvl w:ilvl="0" w:tplc="D25C92B0">
      <w:start w:val="1"/>
      <w:numFmt w:val="decimal"/>
      <w:lvlText w:val="%1."/>
      <w:lvlJc w:val="left"/>
      <w:pPr>
        <w:ind w:left="8730" w:hanging="360"/>
      </w:pPr>
      <w:rPr>
        <w:rFonts w:ascii="Cambria" w:hAnsi="Cambria"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01372E1"/>
    <w:multiLevelType w:val="hybridMultilevel"/>
    <w:tmpl w:val="7076CDA2"/>
    <w:lvl w:ilvl="0" w:tplc="EE4A52C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64EF635A"/>
    <w:multiLevelType w:val="hybridMultilevel"/>
    <w:tmpl w:val="3898805A"/>
    <w:lvl w:ilvl="0" w:tplc="8A08EA6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6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6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70" w15:restartNumberingAfterBreak="0">
    <w:nsid w:val="7FB3417A"/>
    <w:multiLevelType w:val="hybridMultilevel"/>
    <w:tmpl w:val="68840A0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6"/>
  </w:num>
  <w:num w:numId="3">
    <w:abstractNumId w:val="64"/>
  </w:num>
  <w:num w:numId="4">
    <w:abstractNumId w:val="26"/>
  </w:num>
  <w:num w:numId="5">
    <w:abstractNumId w:val="59"/>
  </w:num>
  <w:num w:numId="6">
    <w:abstractNumId w:val="33"/>
  </w:num>
  <w:num w:numId="7">
    <w:abstractNumId w:val="10"/>
  </w:num>
  <w:num w:numId="8">
    <w:abstractNumId w:val="22"/>
  </w:num>
  <w:num w:numId="9">
    <w:abstractNumId w:val="50"/>
  </w:num>
  <w:num w:numId="10">
    <w:abstractNumId w:val="0"/>
  </w:num>
  <w:num w:numId="11">
    <w:abstractNumId w:val="44"/>
  </w:num>
  <w:num w:numId="12">
    <w:abstractNumId w:val="45"/>
  </w:num>
  <w:num w:numId="13">
    <w:abstractNumId w:val="52"/>
  </w:num>
  <w:num w:numId="14">
    <w:abstractNumId w:val="1"/>
  </w:num>
  <w:num w:numId="15">
    <w:abstractNumId w:val="3"/>
  </w:num>
  <w:num w:numId="16">
    <w:abstractNumId w:val="11"/>
  </w:num>
  <w:num w:numId="17">
    <w:abstractNumId w:val="12"/>
  </w:num>
  <w:num w:numId="18">
    <w:abstractNumId w:val="13"/>
  </w:num>
  <w:num w:numId="19">
    <w:abstractNumId w:val="14"/>
  </w:num>
  <w:num w:numId="20">
    <w:abstractNumId w:val="15"/>
  </w:num>
  <w:num w:numId="21">
    <w:abstractNumId w:val="17"/>
  </w:num>
  <w:num w:numId="22">
    <w:abstractNumId w:val="18"/>
  </w:num>
  <w:num w:numId="23">
    <w:abstractNumId w:val="19"/>
  </w:num>
  <w:num w:numId="24">
    <w:abstractNumId w:val="20"/>
  </w:num>
  <w:num w:numId="25">
    <w:abstractNumId w:val="23"/>
  </w:num>
  <w:num w:numId="26">
    <w:abstractNumId w:val="24"/>
  </w:num>
  <w:num w:numId="27">
    <w:abstractNumId w:val="27"/>
  </w:num>
  <w:num w:numId="28">
    <w:abstractNumId w:val="28"/>
  </w:num>
  <w:num w:numId="29">
    <w:abstractNumId w:val="29"/>
  </w:num>
  <w:num w:numId="30">
    <w:abstractNumId w:val="32"/>
  </w:num>
  <w:num w:numId="31">
    <w:abstractNumId w:val="34"/>
  </w:num>
  <w:num w:numId="32">
    <w:abstractNumId w:val="37"/>
  </w:num>
  <w:num w:numId="33">
    <w:abstractNumId w:val="38"/>
  </w:num>
  <w:num w:numId="34">
    <w:abstractNumId w:val="39"/>
  </w:num>
  <w:num w:numId="35">
    <w:abstractNumId w:val="40"/>
  </w:num>
  <w:num w:numId="36">
    <w:abstractNumId w:val="41"/>
  </w:num>
  <w:num w:numId="37">
    <w:abstractNumId w:val="42"/>
  </w:num>
  <w:num w:numId="38">
    <w:abstractNumId w:val="43"/>
  </w:num>
  <w:num w:numId="39">
    <w:abstractNumId w:val="46"/>
  </w:num>
  <w:num w:numId="40">
    <w:abstractNumId w:val="47"/>
  </w:num>
  <w:num w:numId="41">
    <w:abstractNumId w:val="57"/>
  </w:num>
  <w:num w:numId="42">
    <w:abstractNumId w:val="60"/>
  </w:num>
  <w:num w:numId="43">
    <w:abstractNumId w:val="61"/>
  </w:num>
  <w:num w:numId="44">
    <w:abstractNumId w:val="62"/>
  </w:num>
  <w:num w:numId="45">
    <w:abstractNumId w:val="63"/>
  </w:num>
  <w:num w:numId="46">
    <w:abstractNumId w:val="65"/>
  </w:num>
  <w:num w:numId="47">
    <w:abstractNumId w:val="66"/>
  </w:num>
  <w:num w:numId="48">
    <w:abstractNumId w:val="67"/>
  </w:num>
  <w:num w:numId="49">
    <w:abstractNumId w:val="68"/>
  </w:num>
  <w:num w:numId="50">
    <w:abstractNumId w:val="69"/>
  </w:num>
  <w:num w:numId="51">
    <w:abstractNumId w:val="25"/>
  </w:num>
  <w:num w:numId="52">
    <w:abstractNumId w:val="48"/>
  </w:num>
  <w:num w:numId="53">
    <w:abstractNumId w:val="53"/>
  </w:num>
  <w:num w:numId="54">
    <w:abstractNumId w:val="30"/>
  </w:num>
  <w:num w:numId="55">
    <w:abstractNumId w:val="55"/>
  </w:num>
  <w:num w:numId="56">
    <w:abstractNumId w:val="7"/>
  </w:num>
  <w:num w:numId="57">
    <w:abstractNumId w:val="51"/>
  </w:num>
  <w:num w:numId="58">
    <w:abstractNumId w:val="16"/>
  </w:num>
  <w:num w:numId="59">
    <w:abstractNumId w:val="2"/>
  </w:num>
  <w:num w:numId="60">
    <w:abstractNumId w:val="54"/>
  </w:num>
  <w:num w:numId="61">
    <w:abstractNumId w:val="70"/>
  </w:num>
  <w:num w:numId="62">
    <w:abstractNumId w:val="8"/>
  </w:num>
  <w:num w:numId="63">
    <w:abstractNumId w:val="56"/>
  </w:num>
  <w:num w:numId="64">
    <w:abstractNumId w:val="31"/>
  </w:num>
  <w:num w:numId="65">
    <w:abstractNumId w:val="21"/>
  </w:num>
  <w:num w:numId="66">
    <w:abstractNumId w:val="9"/>
  </w:num>
  <w:num w:numId="67">
    <w:abstractNumId w:val="49"/>
  </w:num>
  <w:num w:numId="68">
    <w:abstractNumId w:val="5"/>
  </w:num>
  <w:num w:numId="69">
    <w:abstractNumId w:val="35"/>
  </w:num>
  <w:num w:numId="70">
    <w:abstractNumId w:val="36"/>
  </w:num>
  <w:num w:numId="71">
    <w:abstractNumId w:val="5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pt-BR" w:vendorID="64" w:dllVersion="6" w:nlCheck="1" w:checkStyle="0"/>
  <w:activeWritingStyle w:appName="MSWord" w:lang="es-CL" w:vendorID="64" w:dllVersion="6" w:nlCheck="1" w:checkStyle="1"/>
  <w:activeWritingStyle w:appName="MSWord" w:lang="es-ES_tradnl" w:vendorID="64" w:dllVersion="6" w:nlCheck="1" w:checkStyle="1"/>
  <w:activeWritingStyle w:appName="MSWord" w:lang="es-US" w:vendorID="64" w:dllVersion="6" w:nlCheck="1" w:checkStyle="1"/>
  <w:activeWritingStyle w:appName="MSWord" w:lang="es-ES" w:vendorID="64" w:dllVersion="6" w:nlCheck="1" w:checkStyle="1"/>
  <w:activeWritingStyle w:appName="MSWord" w:lang="en-US" w:vendorID="64" w:dllVersion="6" w:nlCheck="1" w:checkStyle="1"/>
  <w:activeWritingStyle w:appName="MSWord" w:lang="es-CO" w:vendorID="64" w:dllVersion="6" w:nlCheck="1" w:checkStyle="1"/>
  <w:activeWritingStyle w:appName="MSWord" w:lang="es-PE" w:vendorID="64" w:dllVersion="6" w:nlCheck="1" w:checkStyle="1"/>
  <w:activeWritingStyle w:appName="MSWord" w:lang="es-VE" w:vendorID="64" w:dllVersion="6" w:nlCheck="1" w:checkStyle="1"/>
  <w:activeWritingStyle w:appName="MSWord" w:lang="es-AR" w:vendorID="64" w:dllVersion="6" w:nlCheck="1" w:checkStyle="1"/>
  <w:activeWritingStyle w:appName="MSWord" w:lang="es-MX" w:vendorID="64" w:dllVersion="6" w:nlCheck="1" w:checkStyle="1"/>
  <w:activeWritingStyle w:appName="MSWord" w:lang="es-GT" w:vendorID="64" w:dllVersion="6" w:nlCheck="1" w:checkStyle="1"/>
  <w:defaultTabStop w:val="720"/>
  <w:hyphenationZone w:val="425"/>
  <w:characterSpacingControl w:val="doNotCompress"/>
  <w:hdrShapeDefaults>
    <o:shapedefaults v:ext="edit" spidmax="8194"/>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D5C"/>
    <w:rsid w:val="0000036F"/>
    <w:rsid w:val="00000CDA"/>
    <w:rsid w:val="00000DEE"/>
    <w:rsid w:val="00003368"/>
    <w:rsid w:val="00004245"/>
    <w:rsid w:val="00004766"/>
    <w:rsid w:val="00005382"/>
    <w:rsid w:val="000058BC"/>
    <w:rsid w:val="00005B72"/>
    <w:rsid w:val="00006896"/>
    <w:rsid w:val="00006E1F"/>
    <w:rsid w:val="000070D7"/>
    <w:rsid w:val="00010488"/>
    <w:rsid w:val="00014988"/>
    <w:rsid w:val="000158FD"/>
    <w:rsid w:val="00015A55"/>
    <w:rsid w:val="00016292"/>
    <w:rsid w:val="0001788C"/>
    <w:rsid w:val="0002113D"/>
    <w:rsid w:val="00021657"/>
    <w:rsid w:val="00022B63"/>
    <w:rsid w:val="00023675"/>
    <w:rsid w:val="00023745"/>
    <w:rsid w:val="00024C22"/>
    <w:rsid w:val="00025EDD"/>
    <w:rsid w:val="0002601F"/>
    <w:rsid w:val="00026CD5"/>
    <w:rsid w:val="00027051"/>
    <w:rsid w:val="00027939"/>
    <w:rsid w:val="00031E94"/>
    <w:rsid w:val="00033B6F"/>
    <w:rsid w:val="0003499E"/>
    <w:rsid w:val="00034AC4"/>
    <w:rsid w:val="00037E9F"/>
    <w:rsid w:val="00040810"/>
    <w:rsid w:val="00040C3A"/>
    <w:rsid w:val="00040EA6"/>
    <w:rsid w:val="000437DB"/>
    <w:rsid w:val="00044C38"/>
    <w:rsid w:val="000515D7"/>
    <w:rsid w:val="00051F01"/>
    <w:rsid w:val="00052A8F"/>
    <w:rsid w:val="00053288"/>
    <w:rsid w:val="000547CA"/>
    <w:rsid w:val="0005482A"/>
    <w:rsid w:val="00055831"/>
    <w:rsid w:val="00057A29"/>
    <w:rsid w:val="00060717"/>
    <w:rsid w:val="00060F1A"/>
    <w:rsid w:val="000623F1"/>
    <w:rsid w:val="00062813"/>
    <w:rsid w:val="00063AF9"/>
    <w:rsid w:val="00065916"/>
    <w:rsid w:val="00065D78"/>
    <w:rsid w:val="00065D8A"/>
    <w:rsid w:val="00066205"/>
    <w:rsid w:val="00066360"/>
    <w:rsid w:val="00067701"/>
    <w:rsid w:val="00067A5D"/>
    <w:rsid w:val="000705E2"/>
    <w:rsid w:val="000716C5"/>
    <w:rsid w:val="00075E23"/>
    <w:rsid w:val="000776AF"/>
    <w:rsid w:val="00082A7C"/>
    <w:rsid w:val="00083505"/>
    <w:rsid w:val="00085BC4"/>
    <w:rsid w:val="00087540"/>
    <w:rsid w:val="0008768F"/>
    <w:rsid w:val="000911EF"/>
    <w:rsid w:val="00091D5E"/>
    <w:rsid w:val="00092F23"/>
    <w:rsid w:val="0009344A"/>
    <w:rsid w:val="00095335"/>
    <w:rsid w:val="00097130"/>
    <w:rsid w:val="000A247C"/>
    <w:rsid w:val="000A339A"/>
    <w:rsid w:val="000A392E"/>
    <w:rsid w:val="000A4392"/>
    <w:rsid w:val="000A49DB"/>
    <w:rsid w:val="000A4F06"/>
    <w:rsid w:val="000A564C"/>
    <w:rsid w:val="000A575F"/>
    <w:rsid w:val="000A576A"/>
    <w:rsid w:val="000A61ED"/>
    <w:rsid w:val="000B11E0"/>
    <w:rsid w:val="000B18EE"/>
    <w:rsid w:val="000B2016"/>
    <w:rsid w:val="000B2333"/>
    <w:rsid w:val="000B31F8"/>
    <w:rsid w:val="000C0CA4"/>
    <w:rsid w:val="000C62EE"/>
    <w:rsid w:val="000D05F0"/>
    <w:rsid w:val="000D101D"/>
    <w:rsid w:val="000D10DB"/>
    <w:rsid w:val="000D172F"/>
    <w:rsid w:val="000D7620"/>
    <w:rsid w:val="000E0F31"/>
    <w:rsid w:val="000E51BB"/>
    <w:rsid w:val="000E5EB5"/>
    <w:rsid w:val="000F2008"/>
    <w:rsid w:val="000F301C"/>
    <w:rsid w:val="000F35ED"/>
    <w:rsid w:val="000F44FA"/>
    <w:rsid w:val="000F56CC"/>
    <w:rsid w:val="000F74C8"/>
    <w:rsid w:val="000F7A07"/>
    <w:rsid w:val="000F7ECD"/>
    <w:rsid w:val="000F7FC1"/>
    <w:rsid w:val="00102273"/>
    <w:rsid w:val="001031B3"/>
    <w:rsid w:val="001041ED"/>
    <w:rsid w:val="00104FDC"/>
    <w:rsid w:val="00105820"/>
    <w:rsid w:val="00107131"/>
    <w:rsid w:val="0010736F"/>
    <w:rsid w:val="00110B0F"/>
    <w:rsid w:val="00111F5E"/>
    <w:rsid w:val="00113F73"/>
    <w:rsid w:val="00114672"/>
    <w:rsid w:val="00114F3C"/>
    <w:rsid w:val="00115522"/>
    <w:rsid w:val="00115EB7"/>
    <w:rsid w:val="001217A7"/>
    <w:rsid w:val="00121CC2"/>
    <w:rsid w:val="00121EBE"/>
    <w:rsid w:val="001221BD"/>
    <w:rsid w:val="001238E3"/>
    <w:rsid w:val="00125C2E"/>
    <w:rsid w:val="001269E9"/>
    <w:rsid w:val="00130D5B"/>
    <w:rsid w:val="00131664"/>
    <w:rsid w:val="00131C0C"/>
    <w:rsid w:val="00133EE5"/>
    <w:rsid w:val="001368A1"/>
    <w:rsid w:val="00140D33"/>
    <w:rsid w:val="00141B45"/>
    <w:rsid w:val="00143381"/>
    <w:rsid w:val="00144BF3"/>
    <w:rsid w:val="00145AE9"/>
    <w:rsid w:val="00150497"/>
    <w:rsid w:val="001504AE"/>
    <w:rsid w:val="00151F84"/>
    <w:rsid w:val="001528DB"/>
    <w:rsid w:val="00153760"/>
    <w:rsid w:val="00153AC0"/>
    <w:rsid w:val="00156359"/>
    <w:rsid w:val="0016042B"/>
    <w:rsid w:val="001611B8"/>
    <w:rsid w:val="00163BEE"/>
    <w:rsid w:val="001659CD"/>
    <w:rsid w:val="00166189"/>
    <w:rsid w:val="00166CA2"/>
    <w:rsid w:val="00167129"/>
    <w:rsid w:val="00167A34"/>
    <w:rsid w:val="00167EAE"/>
    <w:rsid w:val="001702B1"/>
    <w:rsid w:val="00172D1C"/>
    <w:rsid w:val="00172F71"/>
    <w:rsid w:val="00173D1D"/>
    <w:rsid w:val="0018003B"/>
    <w:rsid w:val="001818CB"/>
    <w:rsid w:val="00181F34"/>
    <w:rsid w:val="00184126"/>
    <w:rsid w:val="00186A0A"/>
    <w:rsid w:val="001875F2"/>
    <w:rsid w:val="00193FEF"/>
    <w:rsid w:val="0019409C"/>
    <w:rsid w:val="00195046"/>
    <w:rsid w:val="00195EC9"/>
    <w:rsid w:val="0019618E"/>
    <w:rsid w:val="001A0370"/>
    <w:rsid w:val="001A41B3"/>
    <w:rsid w:val="001A5A62"/>
    <w:rsid w:val="001A61BC"/>
    <w:rsid w:val="001A67A3"/>
    <w:rsid w:val="001A7870"/>
    <w:rsid w:val="001A7E72"/>
    <w:rsid w:val="001B032F"/>
    <w:rsid w:val="001B06EB"/>
    <w:rsid w:val="001B0A0B"/>
    <w:rsid w:val="001B0A46"/>
    <w:rsid w:val="001B2BE2"/>
    <w:rsid w:val="001B3522"/>
    <w:rsid w:val="001B4942"/>
    <w:rsid w:val="001B539D"/>
    <w:rsid w:val="001B5E07"/>
    <w:rsid w:val="001B6053"/>
    <w:rsid w:val="001B66D8"/>
    <w:rsid w:val="001B678E"/>
    <w:rsid w:val="001B6B78"/>
    <w:rsid w:val="001C103F"/>
    <w:rsid w:val="001C1B41"/>
    <w:rsid w:val="001C2194"/>
    <w:rsid w:val="001C29CB"/>
    <w:rsid w:val="001C3C88"/>
    <w:rsid w:val="001C4FC6"/>
    <w:rsid w:val="001D18C7"/>
    <w:rsid w:val="001D65EF"/>
    <w:rsid w:val="001D7BCE"/>
    <w:rsid w:val="001E0188"/>
    <w:rsid w:val="001E15B6"/>
    <w:rsid w:val="001E172A"/>
    <w:rsid w:val="001E2932"/>
    <w:rsid w:val="001F08DB"/>
    <w:rsid w:val="001F1D36"/>
    <w:rsid w:val="001F3706"/>
    <w:rsid w:val="001F3E40"/>
    <w:rsid w:val="001F3FB8"/>
    <w:rsid w:val="001F440A"/>
    <w:rsid w:val="001F6E7A"/>
    <w:rsid w:val="001F70D3"/>
    <w:rsid w:val="00202338"/>
    <w:rsid w:val="00204B61"/>
    <w:rsid w:val="00204E7B"/>
    <w:rsid w:val="00212202"/>
    <w:rsid w:val="00216334"/>
    <w:rsid w:val="00216E72"/>
    <w:rsid w:val="00217201"/>
    <w:rsid w:val="002179E1"/>
    <w:rsid w:val="00220495"/>
    <w:rsid w:val="00220D5F"/>
    <w:rsid w:val="00220FDD"/>
    <w:rsid w:val="002212A3"/>
    <w:rsid w:val="00221DBC"/>
    <w:rsid w:val="0022273F"/>
    <w:rsid w:val="00222B16"/>
    <w:rsid w:val="0022450A"/>
    <w:rsid w:val="00224A3B"/>
    <w:rsid w:val="002250A3"/>
    <w:rsid w:val="00227A25"/>
    <w:rsid w:val="002306BD"/>
    <w:rsid w:val="00233CB3"/>
    <w:rsid w:val="00234061"/>
    <w:rsid w:val="00234085"/>
    <w:rsid w:val="00235217"/>
    <w:rsid w:val="002369FE"/>
    <w:rsid w:val="00242515"/>
    <w:rsid w:val="002434C3"/>
    <w:rsid w:val="0024487A"/>
    <w:rsid w:val="00244D54"/>
    <w:rsid w:val="00246D1F"/>
    <w:rsid w:val="00247403"/>
    <w:rsid w:val="00247542"/>
    <w:rsid w:val="00250D17"/>
    <w:rsid w:val="00251B12"/>
    <w:rsid w:val="0025241C"/>
    <w:rsid w:val="002541AC"/>
    <w:rsid w:val="00254DFB"/>
    <w:rsid w:val="00256E7A"/>
    <w:rsid w:val="00257236"/>
    <w:rsid w:val="00260FDC"/>
    <w:rsid w:val="002624F6"/>
    <w:rsid w:val="002642FB"/>
    <w:rsid w:val="00265BB6"/>
    <w:rsid w:val="00266B61"/>
    <w:rsid w:val="0026712A"/>
    <w:rsid w:val="002704DB"/>
    <w:rsid w:val="00270C7F"/>
    <w:rsid w:val="002714B3"/>
    <w:rsid w:val="00273D27"/>
    <w:rsid w:val="002748C8"/>
    <w:rsid w:val="00275A41"/>
    <w:rsid w:val="00275F55"/>
    <w:rsid w:val="002765B1"/>
    <w:rsid w:val="00276DF8"/>
    <w:rsid w:val="00277EF9"/>
    <w:rsid w:val="00281B6A"/>
    <w:rsid w:val="002827DD"/>
    <w:rsid w:val="002844B6"/>
    <w:rsid w:val="0028562B"/>
    <w:rsid w:val="00286308"/>
    <w:rsid w:val="00287424"/>
    <w:rsid w:val="0028798F"/>
    <w:rsid w:val="002932AB"/>
    <w:rsid w:val="00295BC0"/>
    <w:rsid w:val="00297879"/>
    <w:rsid w:val="002A0AAE"/>
    <w:rsid w:val="002A26FB"/>
    <w:rsid w:val="002A41ED"/>
    <w:rsid w:val="002A4706"/>
    <w:rsid w:val="002A5820"/>
    <w:rsid w:val="002A585D"/>
    <w:rsid w:val="002A6426"/>
    <w:rsid w:val="002B1161"/>
    <w:rsid w:val="002B23E9"/>
    <w:rsid w:val="002B28C7"/>
    <w:rsid w:val="002B6208"/>
    <w:rsid w:val="002B7E7C"/>
    <w:rsid w:val="002B7FC7"/>
    <w:rsid w:val="002C2C39"/>
    <w:rsid w:val="002C5894"/>
    <w:rsid w:val="002C6430"/>
    <w:rsid w:val="002C66FB"/>
    <w:rsid w:val="002C6E40"/>
    <w:rsid w:val="002D0A19"/>
    <w:rsid w:val="002D157E"/>
    <w:rsid w:val="002D1B8D"/>
    <w:rsid w:val="002D2B26"/>
    <w:rsid w:val="002D38EE"/>
    <w:rsid w:val="002D7285"/>
    <w:rsid w:val="002D7CE5"/>
    <w:rsid w:val="002D7EA2"/>
    <w:rsid w:val="002E0996"/>
    <w:rsid w:val="002E187C"/>
    <w:rsid w:val="002E1BBD"/>
    <w:rsid w:val="002E2EEA"/>
    <w:rsid w:val="002E4AEA"/>
    <w:rsid w:val="002E650F"/>
    <w:rsid w:val="002E6C7F"/>
    <w:rsid w:val="002E7825"/>
    <w:rsid w:val="002F0BA6"/>
    <w:rsid w:val="002F1B0E"/>
    <w:rsid w:val="002F1EAA"/>
    <w:rsid w:val="002F27AA"/>
    <w:rsid w:val="002F3821"/>
    <w:rsid w:val="002F47ED"/>
    <w:rsid w:val="00300CF8"/>
    <w:rsid w:val="00301559"/>
    <w:rsid w:val="00302579"/>
    <w:rsid w:val="00302733"/>
    <w:rsid w:val="00302FC1"/>
    <w:rsid w:val="003034EE"/>
    <w:rsid w:val="003035A4"/>
    <w:rsid w:val="00303D52"/>
    <w:rsid w:val="00304F24"/>
    <w:rsid w:val="00306948"/>
    <w:rsid w:val="00307ABC"/>
    <w:rsid w:val="00314078"/>
    <w:rsid w:val="00315038"/>
    <w:rsid w:val="0031535D"/>
    <w:rsid w:val="003156EE"/>
    <w:rsid w:val="00317944"/>
    <w:rsid w:val="00317BA7"/>
    <w:rsid w:val="00321FAC"/>
    <w:rsid w:val="0032528A"/>
    <w:rsid w:val="00325F91"/>
    <w:rsid w:val="00326C24"/>
    <w:rsid w:val="00327C41"/>
    <w:rsid w:val="0033028D"/>
    <w:rsid w:val="0033169F"/>
    <w:rsid w:val="00332428"/>
    <w:rsid w:val="00332D9A"/>
    <w:rsid w:val="00335A2E"/>
    <w:rsid w:val="0033636E"/>
    <w:rsid w:val="00337EB1"/>
    <w:rsid w:val="003428E8"/>
    <w:rsid w:val="00342E03"/>
    <w:rsid w:val="00346478"/>
    <w:rsid w:val="0034698A"/>
    <w:rsid w:val="00346C95"/>
    <w:rsid w:val="00351AC3"/>
    <w:rsid w:val="00355429"/>
    <w:rsid w:val="00356185"/>
    <w:rsid w:val="003570EC"/>
    <w:rsid w:val="003575F1"/>
    <w:rsid w:val="00360380"/>
    <w:rsid w:val="00361415"/>
    <w:rsid w:val="00361DA6"/>
    <w:rsid w:val="0036562A"/>
    <w:rsid w:val="00365872"/>
    <w:rsid w:val="00366568"/>
    <w:rsid w:val="00367033"/>
    <w:rsid w:val="0037104C"/>
    <w:rsid w:val="00371E23"/>
    <w:rsid w:val="00373E15"/>
    <w:rsid w:val="0037519E"/>
    <w:rsid w:val="00376779"/>
    <w:rsid w:val="0038098E"/>
    <w:rsid w:val="00381245"/>
    <w:rsid w:val="0038167B"/>
    <w:rsid w:val="00383350"/>
    <w:rsid w:val="0038527F"/>
    <w:rsid w:val="00385524"/>
    <w:rsid w:val="00386CF0"/>
    <w:rsid w:val="00387345"/>
    <w:rsid w:val="003879BF"/>
    <w:rsid w:val="00390667"/>
    <w:rsid w:val="0039399B"/>
    <w:rsid w:val="0039440B"/>
    <w:rsid w:val="003956CF"/>
    <w:rsid w:val="003A1F53"/>
    <w:rsid w:val="003A5099"/>
    <w:rsid w:val="003A651A"/>
    <w:rsid w:val="003A6C08"/>
    <w:rsid w:val="003B098E"/>
    <w:rsid w:val="003B11CF"/>
    <w:rsid w:val="003B184D"/>
    <w:rsid w:val="003B59C8"/>
    <w:rsid w:val="003C676B"/>
    <w:rsid w:val="003C678E"/>
    <w:rsid w:val="003D0E94"/>
    <w:rsid w:val="003D3886"/>
    <w:rsid w:val="003D3BC2"/>
    <w:rsid w:val="003D5729"/>
    <w:rsid w:val="003D58CC"/>
    <w:rsid w:val="003D67C7"/>
    <w:rsid w:val="003D7C03"/>
    <w:rsid w:val="003D7F13"/>
    <w:rsid w:val="003E04DB"/>
    <w:rsid w:val="003E0CA7"/>
    <w:rsid w:val="003E19B5"/>
    <w:rsid w:val="003E236D"/>
    <w:rsid w:val="003E2402"/>
    <w:rsid w:val="003E432F"/>
    <w:rsid w:val="003E5A0B"/>
    <w:rsid w:val="003E6A22"/>
    <w:rsid w:val="003E6CA1"/>
    <w:rsid w:val="003F0E91"/>
    <w:rsid w:val="003F3442"/>
    <w:rsid w:val="003F3788"/>
    <w:rsid w:val="003F3BFC"/>
    <w:rsid w:val="003F4F9F"/>
    <w:rsid w:val="003F52AC"/>
    <w:rsid w:val="003F5EC0"/>
    <w:rsid w:val="003F66F8"/>
    <w:rsid w:val="003F7AB8"/>
    <w:rsid w:val="00400AC8"/>
    <w:rsid w:val="00402095"/>
    <w:rsid w:val="0040464D"/>
    <w:rsid w:val="00404C19"/>
    <w:rsid w:val="00406C70"/>
    <w:rsid w:val="0041087F"/>
    <w:rsid w:val="00412768"/>
    <w:rsid w:val="004145B3"/>
    <w:rsid w:val="0041477A"/>
    <w:rsid w:val="0041549B"/>
    <w:rsid w:val="004165C2"/>
    <w:rsid w:val="00417CF3"/>
    <w:rsid w:val="004209E0"/>
    <w:rsid w:val="0042223B"/>
    <w:rsid w:val="00426114"/>
    <w:rsid w:val="0042692A"/>
    <w:rsid w:val="00427EB0"/>
    <w:rsid w:val="00434DA4"/>
    <w:rsid w:val="00435A16"/>
    <w:rsid w:val="00435C37"/>
    <w:rsid w:val="00435DA8"/>
    <w:rsid w:val="00436914"/>
    <w:rsid w:val="00437655"/>
    <w:rsid w:val="00441039"/>
    <w:rsid w:val="00441A7E"/>
    <w:rsid w:val="00441B75"/>
    <w:rsid w:val="00441ECB"/>
    <w:rsid w:val="00441F42"/>
    <w:rsid w:val="00442347"/>
    <w:rsid w:val="00443725"/>
    <w:rsid w:val="00444A41"/>
    <w:rsid w:val="004451B8"/>
    <w:rsid w:val="00445331"/>
    <w:rsid w:val="004455DD"/>
    <w:rsid w:val="00445F29"/>
    <w:rsid w:val="0045018B"/>
    <w:rsid w:val="00454721"/>
    <w:rsid w:val="00456F41"/>
    <w:rsid w:val="004648A6"/>
    <w:rsid w:val="00465401"/>
    <w:rsid w:val="00467B7E"/>
    <w:rsid w:val="00467F84"/>
    <w:rsid w:val="00467F89"/>
    <w:rsid w:val="00470D7E"/>
    <w:rsid w:val="00475448"/>
    <w:rsid w:val="00475F7C"/>
    <w:rsid w:val="00476BF6"/>
    <w:rsid w:val="00477592"/>
    <w:rsid w:val="004809E7"/>
    <w:rsid w:val="00482EC8"/>
    <w:rsid w:val="004831AE"/>
    <w:rsid w:val="0048418A"/>
    <w:rsid w:val="004844B4"/>
    <w:rsid w:val="00484AE0"/>
    <w:rsid w:val="00484C5D"/>
    <w:rsid w:val="00485BBC"/>
    <w:rsid w:val="00486F1C"/>
    <w:rsid w:val="004875A5"/>
    <w:rsid w:val="004911C4"/>
    <w:rsid w:val="00491B72"/>
    <w:rsid w:val="00491F69"/>
    <w:rsid w:val="0049419D"/>
    <w:rsid w:val="00494795"/>
    <w:rsid w:val="004957F8"/>
    <w:rsid w:val="004959A0"/>
    <w:rsid w:val="0049613C"/>
    <w:rsid w:val="00496986"/>
    <w:rsid w:val="00496C12"/>
    <w:rsid w:val="004A3A8E"/>
    <w:rsid w:val="004B0900"/>
    <w:rsid w:val="004B4858"/>
    <w:rsid w:val="004B6799"/>
    <w:rsid w:val="004B6D12"/>
    <w:rsid w:val="004C0E88"/>
    <w:rsid w:val="004C0FFB"/>
    <w:rsid w:val="004C20D2"/>
    <w:rsid w:val="004C2C37"/>
    <w:rsid w:val="004C2CC7"/>
    <w:rsid w:val="004C4B62"/>
    <w:rsid w:val="004C4CEA"/>
    <w:rsid w:val="004C54C9"/>
    <w:rsid w:val="004C6617"/>
    <w:rsid w:val="004C790D"/>
    <w:rsid w:val="004D0725"/>
    <w:rsid w:val="004D195F"/>
    <w:rsid w:val="004D2720"/>
    <w:rsid w:val="004D2E0D"/>
    <w:rsid w:val="004D35C3"/>
    <w:rsid w:val="004D50D5"/>
    <w:rsid w:val="004D5BAA"/>
    <w:rsid w:val="004D6025"/>
    <w:rsid w:val="004D6618"/>
    <w:rsid w:val="004E17A0"/>
    <w:rsid w:val="004E2649"/>
    <w:rsid w:val="004E37C3"/>
    <w:rsid w:val="004E3DCD"/>
    <w:rsid w:val="004E457C"/>
    <w:rsid w:val="004E4EA1"/>
    <w:rsid w:val="004E6554"/>
    <w:rsid w:val="004E6568"/>
    <w:rsid w:val="004F24B3"/>
    <w:rsid w:val="004F27CD"/>
    <w:rsid w:val="004F47A6"/>
    <w:rsid w:val="004F5102"/>
    <w:rsid w:val="004F627D"/>
    <w:rsid w:val="004F6B31"/>
    <w:rsid w:val="005008C4"/>
    <w:rsid w:val="00501399"/>
    <w:rsid w:val="00501846"/>
    <w:rsid w:val="00501A83"/>
    <w:rsid w:val="00501DFC"/>
    <w:rsid w:val="00504507"/>
    <w:rsid w:val="00505209"/>
    <w:rsid w:val="00505DE7"/>
    <w:rsid w:val="0050633D"/>
    <w:rsid w:val="005064B8"/>
    <w:rsid w:val="00506785"/>
    <w:rsid w:val="00506CD9"/>
    <w:rsid w:val="00507BC4"/>
    <w:rsid w:val="00510127"/>
    <w:rsid w:val="0051030B"/>
    <w:rsid w:val="005112E9"/>
    <w:rsid w:val="00512767"/>
    <w:rsid w:val="005128E4"/>
    <w:rsid w:val="00512DE5"/>
    <w:rsid w:val="005133DB"/>
    <w:rsid w:val="005137A2"/>
    <w:rsid w:val="005169CE"/>
    <w:rsid w:val="00517183"/>
    <w:rsid w:val="00520DC7"/>
    <w:rsid w:val="00520E69"/>
    <w:rsid w:val="005215B8"/>
    <w:rsid w:val="005231B8"/>
    <w:rsid w:val="0052431F"/>
    <w:rsid w:val="00524B25"/>
    <w:rsid w:val="00525560"/>
    <w:rsid w:val="00527259"/>
    <w:rsid w:val="00532F8B"/>
    <w:rsid w:val="005332DA"/>
    <w:rsid w:val="00534700"/>
    <w:rsid w:val="005354F3"/>
    <w:rsid w:val="00536923"/>
    <w:rsid w:val="00537F3F"/>
    <w:rsid w:val="00541302"/>
    <w:rsid w:val="005430CE"/>
    <w:rsid w:val="00544981"/>
    <w:rsid w:val="00544C49"/>
    <w:rsid w:val="0055088B"/>
    <w:rsid w:val="00550AC3"/>
    <w:rsid w:val="005516A1"/>
    <w:rsid w:val="005533BD"/>
    <w:rsid w:val="00553CD3"/>
    <w:rsid w:val="00553DFC"/>
    <w:rsid w:val="0055538A"/>
    <w:rsid w:val="005554BA"/>
    <w:rsid w:val="005554FE"/>
    <w:rsid w:val="00557AB3"/>
    <w:rsid w:val="0056022D"/>
    <w:rsid w:val="00561D35"/>
    <w:rsid w:val="00561E0B"/>
    <w:rsid w:val="00562C3D"/>
    <w:rsid w:val="00562EE2"/>
    <w:rsid w:val="00563319"/>
    <w:rsid w:val="0056499E"/>
    <w:rsid w:val="00565744"/>
    <w:rsid w:val="0056595B"/>
    <w:rsid w:val="00565FB5"/>
    <w:rsid w:val="0056603B"/>
    <w:rsid w:val="00572D21"/>
    <w:rsid w:val="0057402A"/>
    <w:rsid w:val="005743B3"/>
    <w:rsid w:val="00574914"/>
    <w:rsid w:val="00575921"/>
    <w:rsid w:val="005771D0"/>
    <w:rsid w:val="0058157C"/>
    <w:rsid w:val="005854B7"/>
    <w:rsid w:val="00585572"/>
    <w:rsid w:val="005859B3"/>
    <w:rsid w:val="00585C5C"/>
    <w:rsid w:val="00587112"/>
    <w:rsid w:val="005900F7"/>
    <w:rsid w:val="0059069B"/>
    <w:rsid w:val="0059191A"/>
    <w:rsid w:val="005920B8"/>
    <w:rsid w:val="005921FF"/>
    <w:rsid w:val="00593448"/>
    <w:rsid w:val="00593673"/>
    <w:rsid w:val="005937F1"/>
    <w:rsid w:val="00595C1D"/>
    <w:rsid w:val="00597D5F"/>
    <w:rsid w:val="005A14ED"/>
    <w:rsid w:val="005A2016"/>
    <w:rsid w:val="005A218A"/>
    <w:rsid w:val="005A44F9"/>
    <w:rsid w:val="005A6D0E"/>
    <w:rsid w:val="005A7710"/>
    <w:rsid w:val="005B30B3"/>
    <w:rsid w:val="005B34C0"/>
    <w:rsid w:val="005B420E"/>
    <w:rsid w:val="005B52B0"/>
    <w:rsid w:val="005B61AB"/>
    <w:rsid w:val="005B6806"/>
    <w:rsid w:val="005C265D"/>
    <w:rsid w:val="005C4225"/>
    <w:rsid w:val="005C4CA5"/>
    <w:rsid w:val="005C57EA"/>
    <w:rsid w:val="005C5B62"/>
    <w:rsid w:val="005C7F1B"/>
    <w:rsid w:val="005D0351"/>
    <w:rsid w:val="005D0981"/>
    <w:rsid w:val="005D0DB1"/>
    <w:rsid w:val="005D14EA"/>
    <w:rsid w:val="005D2518"/>
    <w:rsid w:val="005D25B1"/>
    <w:rsid w:val="005D5215"/>
    <w:rsid w:val="005D6742"/>
    <w:rsid w:val="005D735A"/>
    <w:rsid w:val="005E0F0C"/>
    <w:rsid w:val="005E13C5"/>
    <w:rsid w:val="005E14F2"/>
    <w:rsid w:val="005E322D"/>
    <w:rsid w:val="005E4029"/>
    <w:rsid w:val="005E49E3"/>
    <w:rsid w:val="005E532A"/>
    <w:rsid w:val="005E5FB8"/>
    <w:rsid w:val="005F0DAD"/>
    <w:rsid w:val="005F0F33"/>
    <w:rsid w:val="005F22AF"/>
    <w:rsid w:val="005F23D7"/>
    <w:rsid w:val="005F309E"/>
    <w:rsid w:val="005F64A0"/>
    <w:rsid w:val="005F6883"/>
    <w:rsid w:val="005F742C"/>
    <w:rsid w:val="00600227"/>
    <w:rsid w:val="00600DEB"/>
    <w:rsid w:val="0060162C"/>
    <w:rsid w:val="0060171B"/>
    <w:rsid w:val="00601B00"/>
    <w:rsid w:val="006030BF"/>
    <w:rsid w:val="00603F60"/>
    <w:rsid w:val="00606E0B"/>
    <w:rsid w:val="0060712B"/>
    <w:rsid w:val="00610697"/>
    <w:rsid w:val="006106C4"/>
    <w:rsid w:val="00610A27"/>
    <w:rsid w:val="006125C3"/>
    <w:rsid w:val="006136EE"/>
    <w:rsid w:val="006158A4"/>
    <w:rsid w:val="006172DE"/>
    <w:rsid w:val="00617E74"/>
    <w:rsid w:val="0062582B"/>
    <w:rsid w:val="0062639A"/>
    <w:rsid w:val="00626E4F"/>
    <w:rsid w:val="00627C9F"/>
    <w:rsid w:val="006311E9"/>
    <w:rsid w:val="00632354"/>
    <w:rsid w:val="0063641B"/>
    <w:rsid w:val="00636D4A"/>
    <w:rsid w:val="006406A7"/>
    <w:rsid w:val="0064154E"/>
    <w:rsid w:val="00641D88"/>
    <w:rsid w:val="00642810"/>
    <w:rsid w:val="00642E8B"/>
    <w:rsid w:val="0064412B"/>
    <w:rsid w:val="00645D73"/>
    <w:rsid w:val="006478E3"/>
    <w:rsid w:val="00650AF4"/>
    <w:rsid w:val="00650FFD"/>
    <w:rsid w:val="00652333"/>
    <w:rsid w:val="0065330A"/>
    <w:rsid w:val="0065341E"/>
    <w:rsid w:val="006534E5"/>
    <w:rsid w:val="006549F7"/>
    <w:rsid w:val="00654D1C"/>
    <w:rsid w:val="00656C7A"/>
    <w:rsid w:val="00657759"/>
    <w:rsid w:val="00660C84"/>
    <w:rsid w:val="00660DBE"/>
    <w:rsid w:val="00660FB5"/>
    <w:rsid w:val="0066200A"/>
    <w:rsid w:val="006630C4"/>
    <w:rsid w:val="006670EF"/>
    <w:rsid w:val="00667A1A"/>
    <w:rsid w:val="00667C8F"/>
    <w:rsid w:val="0067011E"/>
    <w:rsid w:val="0067107A"/>
    <w:rsid w:val="00677EE4"/>
    <w:rsid w:val="0068009E"/>
    <w:rsid w:val="006807B5"/>
    <w:rsid w:val="00681132"/>
    <w:rsid w:val="006815E2"/>
    <w:rsid w:val="006826A1"/>
    <w:rsid w:val="00686061"/>
    <w:rsid w:val="00686854"/>
    <w:rsid w:val="00686F0A"/>
    <w:rsid w:val="006904F3"/>
    <w:rsid w:val="0069059B"/>
    <w:rsid w:val="006908AA"/>
    <w:rsid w:val="00692219"/>
    <w:rsid w:val="00692884"/>
    <w:rsid w:val="00694B06"/>
    <w:rsid w:val="006A17D2"/>
    <w:rsid w:val="006A3038"/>
    <w:rsid w:val="006A304F"/>
    <w:rsid w:val="006A4619"/>
    <w:rsid w:val="006A4B39"/>
    <w:rsid w:val="006A73E6"/>
    <w:rsid w:val="006A7638"/>
    <w:rsid w:val="006B0E38"/>
    <w:rsid w:val="006B1904"/>
    <w:rsid w:val="006B2D5C"/>
    <w:rsid w:val="006B30E8"/>
    <w:rsid w:val="006B4D40"/>
    <w:rsid w:val="006B68CE"/>
    <w:rsid w:val="006B6CB6"/>
    <w:rsid w:val="006C1A20"/>
    <w:rsid w:val="006C3427"/>
    <w:rsid w:val="006C4DDE"/>
    <w:rsid w:val="006C4EB1"/>
    <w:rsid w:val="006C517C"/>
    <w:rsid w:val="006C547B"/>
    <w:rsid w:val="006C69D1"/>
    <w:rsid w:val="006D1333"/>
    <w:rsid w:val="006D236C"/>
    <w:rsid w:val="006E0166"/>
    <w:rsid w:val="006E165B"/>
    <w:rsid w:val="006E17EF"/>
    <w:rsid w:val="006E6C4A"/>
    <w:rsid w:val="006E7B34"/>
    <w:rsid w:val="006F351B"/>
    <w:rsid w:val="006F36AD"/>
    <w:rsid w:val="006F3A88"/>
    <w:rsid w:val="006F3D4E"/>
    <w:rsid w:val="006F6384"/>
    <w:rsid w:val="006F7F0B"/>
    <w:rsid w:val="0070063C"/>
    <w:rsid w:val="007029CE"/>
    <w:rsid w:val="00702E54"/>
    <w:rsid w:val="007046E2"/>
    <w:rsid w:val="0070598F"/>
    <w:rsid w:val="00705C64"/>
    <w:rsid w:val="0070665B"/>
    <w:rsid w:val="0070697F"/>
    <w:rsid w:val="00713F6D"/>
    <w:rsid w:val="00714865"/>
    <w:rsid w:val="00715510"/>
    <w:rsid w:val="00716E62"/>
    <w:rsid w:val="00717812"/>
    <w:rsid w:val="0072199C"/>
    <w:rsid w:val="00722C9F"/>
    <w:rsid w:val="00724CB6"/>
    <w:rsid w:val="007253B8"/>
    <w:rsid w:val="007266DC"/>
    <w:rsid w:val="00726B62"/>
    <w:rsid w:val="00732E14"/>
    <w:rsid w:val="007343F9"/>
    <w:rsid w:val="00734541"/>
    <w:rsid w:val="0073631B"/>
    <w:rsid w:val="0073741F"/>
    <w:rsid w:val="00740C4E"/>
    <w:rsid w:val="00742152"/>
    <w:rsid w:val="00742F0C"/>
    <w:rsid w:val="0074541D"/>
    <w:rsid w:val="00746D82"/>
    <w:rsid w:val="00751567"/>
    <w:rsid w:val="007556FF"/>
    <w:rsid w:val="00756274"/>
    <w:rsid w:val="007619C9"/>
    <w:rsid w:val="00762EF9"/>
    <w:rsid w:val="007631E0"/>
    <w:rsid w:val="007643BB"/>
    <w:rsid w:val="0076643F"/>
    <w:rsid w:val="007669DF"/>
    <w:rsid w:val="007675D5"/>
    <w:rsid w:val="007700BC"/>
    <w:rsid w:val="00770AC8"/>
    <w:rsid w:val="0077298D"/>
    <w:rsid w:val="00774F25"/>
    <w:rsid w:val="00775DDD"/>
    <w:rsid w:val="0077682D"/>
    <w:rsid w:val="00777A83"/>
    <w:rsid w:val="00777F63"/>
    <w:rsid w:val="007815D1"/>
    <w:rsid w:val="0078618A"/>
    <w:rsid w:val="00786701"/>
    <w:rsid w:val="00787A04"/>
    <w:rsid w:val="007923EA"/>
    <w:rsid w:val="007962B2"/>
    <w:rsid w:val="007A0E2A"/>
    <w:rsid w:val="007A1B1F"/>
    <w:rsid w:val="007A2D81"/>
    <w:rsid w:val="007A30E6"/>
    <w:rsid w:val="007A38F9"/>
    <w:rsid w:val="007A5817"/>
    <w:rsid w:val="007B4068"/>
    <w:rsid w:val="007B60E9"/>
    <w:rsid w:val="007B6157"/>
    <w:rsid w:val="007B6830"/>
    <w:rsid w:val="007B6CC3"/>
    <w:rsid w:val="007C1703"/>
    <w:rsid w:val="007C238E"/>
    <w:rsid w:val="007C248F"/>
    <w:rsid w:val="007C3334"/>
    <w:rsid w:val="007C3DF7"/>
    <w:rsid w:val="007C756A"/>
    <w:rsid w:val="007D1633"/>
    <w:rsid w:val="007D2B98"/>
    <w:rsid w:val="007D2F6F"/>
    <w:rsid w:val="007D3865"/>
    <w:rsid w:val="007D3A18"/>
    <w:rsid w:val="007D4E9C"/>
    <w:rsid w:val="007D7889"/>
    <w:rsid w:val="007D7A4F"/>
    <w:rsid w:val="007E0040"/>
    <w:rsid w:val="007E0629"/>
    <w:rsid w:val="007E0688"/>
    <w:rsid w:val="007E0A90"/>
    <w:rsid w:val="007E21BC"/>
    <w:rsid w:val="007E2270"/>
    <w:rsid w:val="007E273D"/>
    <w:rsid w:val="007E77E4"/>
    <w:rsid w:val="007F069B"/>
    <w:rsid w:val="007F2563"/>
    <w:rsid w:val="007F6ECC"/>
    <w:rsid w:val="007F7236"/>
    <w:rsid w:val="007F7D70"/>
    <w:rsid w:val="007F7E9A"/>
    <w:rsid w:val="008016AB"/>
    <w:rsid w:val="00803B8C"/>
    <w:rsid w:val="00803F1C"/>
    <w:rsid w:val="0080571D"/>
    <w:rsid w:val="0080600E"/>
    <w:rsid w:val="00810E11"/>
    <w:rsid w:val="00813EB4"/>
    <w:rsid w:val="00814DDA"/>
    <w:rsid w:val="00815021"/>
    <w:rsid w:val="00817612"/>
    <w:rsid w:val="00817FAC"/>
    <w:rsid w:val="0082137C"/>
    <w:rsid w:val="00821456"/>
    <w:rsid w:val="008217E6"/>
    <w:rsid w:val="00823288"/>
    <w:rsid w:val="00824922"/>
    <w:rsid w:val="0082592E"/>
    <w:rsid w:val="008266A7"/>
    <w:rsid w:val="0082694A"/>
    <w:rsid w:val="0082720A"/>
    <w:rsid w:val="00827E6E"/>
    <w:rsid w:val="008338A4"/>
    <w:rsid w:val="00835167"/>
    <w:rsid w:val="00837C45"/>
    <w:rsid w:val="00843105"/>
    <w:rsid w:val="00844730"/>
    <w:rsid w:val="008457C2"/>
    <w:rsid w:val="008460FE"/>
    <w:rsid w:val="00847BB9"/>
    <w:rsid w:val="0085005B"/>
    <w:rsid w:val="00850135"/>
    <w:rsid w:val="0085035A"/>
    <w:rsid w:val="0085119F"/>
    <w:rsid w:val="0085147A"/>
    <w:rsid w:val="00851592"/>
    <w:rsid w:val="00852592"/>
    <w:rsid w:val="00853D77"/>
    <w:rsid w:val="008550FF"/>
    <w:rsid w:val="00855EFB"/>
    <w:rsid w:val="008571BA"/>
    <w:rsid w:val="008573E7"/>
    <w:rsid w:val="00857A82"/>
    <w:rsid w:val="00860AE4"/>
    <w:rsid w:val="00861A8D"/>
    <w:rsid w:val="00861CD9"/>
    <w:rsid w:val="008620C6"/>
    <w:rsid w:val="008628D0"/>
    <w:rsid w:val="00863C4A"/>
    <w:rsid w:val="00865E96"/>
    <w:rsid w:val="00867430"/>
    <w:rsid w:val="00867EF8"/>
    <w:rsid w:val="00872249"/>
    <w:rsid w:val="008724E1"/>
    <w:rsid w:val="00873836"/>
    <w:rsid w:val="0087394F"/>
    <w:rsid w:val="00873A5D"/>
    <w:rsid w:val="00877B6B"/>
    <w:rsid w:val="00877B91"/>
    <w:rsid w:val="00880094"/>
    <w:rsid w:val="00880629"/>
    <w:rsid w:val="00881875"/>
    <w:rsid w:val="00881BF8"/>
    <w:rsid w:val="0088289F"/>
    <w:rsid w:val="008830CE"/>
    <w:rsid w:val="00885737"/>
    <w:rsid w:val="0088582D"/>
    <w:rsid w:val="008865E6"/>
    <w:rsid w:val="00886B83"/>
    <w:rsid w:val="00886BCE"/>
    <w:rsid w:val="0088725D"/>
    <w:rsid w:val="0088793A"/>
    <w:rsid w:val="00890650"/>
    <w:rsid w:val="008916EC"/>
    <w:rsid w:val="0089231F"/>
    <w:rsid w:val="00894162"/>
    <w:rsid w:val="00897E12"/>
    <w:rsid w:val="008A3074"/>
    <w:rsid w:val="008A3112"/>
    <w:rsid w:val="008A6094"/>
    <w:rsid w:val="008A7E0F"/>
    <w:rsid w:val="008B05A4"/>
    <w:rsid w:val="008B12F5"/>
    <w:rsid w:val="008B23B4"/>
    <w:rsid w:val="008B3E50"/>
    <w:rsid w:val="008B3FA0"/>
    <w:rsid w:val="008B54FA"/>
    <w:rsid w:val="008B5862"/>
    <w:rsid w:val="008B59BB"/>
    <w:rsid w:val="008B621F"/>
    <w:rsid w:val="008B742C"/>
    <w:rsid w:val="008B7EC1"/>
    <w:rsid w:val="008C082F"/>
    <w:rsid w:val="008C182F"/>
    <w:rsid w:val="008C3098"/>
    <w:rsid w:val="008C747C"/>
    <w:rsid w:val="008C768F"/>
    <w:rsid w:val="008D0964"/>
    <w:rsid w:val="008D1848"/>
    <w:rsid w:val="008D55D9"/>
    <w:rsid w:val="008D5626"/>
    <w:rsid w:val="008D768D"/>
    <w:rsid w:val="008E0351"/>
    <w:rsid w:val="008E13F6"/>
    <w:rsid w:val="008E2771"/>
    <w:rsid w:val="008E3759"/>
    <w:rsid w:val="008E3782"/>
    <w:rsid w:val="008E700B"/>
    <w:rsid w:val="008F149E"/>
    <w:rsid w:val="008F1912"/>
    <w:rsid w:val="008F1B28"/>
    <w:rsid w:val="008F604B"/>
    <w:rsid w:val="008F6F6B"/>
    <w:rsid w:val="00900D23"/>
    <w:rsid w:val="00900F3D"/>
    <w:rsid w:val="009014A4"/>
    <w:rsid w:val="0090270B"/>
    <w:rsid w:val="009037C6"/>
    <w:rsid w:val="009041DC"/>
    <w:rsid w:val="00905251"/>
    <w:rsid w:val="009052B9"/>
    <w:rsid w:val="00905CE4"/>
    <w:rsid w:val="00907326"/>
    <w:rsid w:val="00910449"/>
    <w:rsid w:val="009105E0"/>
    <w:rsid w:val="009106F9"/>
    <w:rsid w:val="00911A4B"/>
    <w:rsid w:val="00912A01"/>
    <w:rsid w:val="009136C9"/>
    <w:rsid w:val="0091394C"/>
    <w:rsid w:val="009155F0"/>
    <w:rsid w:val="00916070"/>
    <w:rsid w:val="00917B5A"/>
    <w:rsid w:val="00917BD3"/>
    <w:rsid w:val="0092018F"/>
    <w:rsid w:val="00920A58"/>
    <w:rsid w:val="00920A8C"/>
    <w:rsid w:val="0092111F"/>
    <w:rsid w:val="0092174C"/>
    <w:rsid w:val="0092337E"/>
    <w:rsid w:val="009235D7"/>
    <w:rsid w:val="00924369"/>
    <w:rsid w:val="0092491B"/>
    <w:rsid w:val="00927564"/>
    <w:rsid w:val="0092756E"/>
    <w:rsid w:val="00927F8C"/>
    <w:rsid w:val="009304A4"/>
    <w:rsid w:val="00930BF5"/>
    <w:rsid w:val="00933A5E"/>
    <w:rsid w:val="00933FD1"/>
    <w:rsid w:val="00934A2C"/>
    <w:rsid w:val="009468B2"/>
    <w:rsid w:val="009474ED"/>
    <w:rsid w:val="00951CBC"/>
    <w:rsid w:val="009561A4"/>
    <w:rsid w:val="00956B00"/>
    <w:rsid w:val="009609E8"/>
    <w:rsid w:val="00960B76"/>
    <w:rsid w:val="00962E40"/>
    <w:rsid w:val="009660F6"/>
    <w:rsid w:val="00966F68"/>
    <w:rsid w:val="0096703E"/>
    <w:rsid w:val="0096706E"/>
    <w:rsid w:val="00971C23"/>
    <w:rsid w:val="009738D3"/>
    <w:rsid w:val="009753F7"/>
    <w:rsid w:val="00975C4E"/>
    <w:rsid w:val="00977061"/>
    <w:rsid w:val="00981FBA"/>
    <w:rsid w:val="00983381"/>
    <w:rsid w:val="0098366C"/>
    <w:rsid w:val="00984B1B"/>
    <w:rsid w:val="00984D0C"/>
    <w:rsid w:val="00985724"/>
    <w:rsid w:val="00985F2A"/>
    <w:rsid w:val="009902F9"/>
    <w:rsid w:val="0099177A"/>
    <w:rsid w:val="00992C53"/>
    <w:rsid w:val="00992E21"/>
    <w:rsid w:val="00993500"/>
    <w:rsid w:val="00993CF1"/>
    <w:rsid w:val="009942E1"/>
    <w:rsid w:val="00994A5A"/>
    <w:rsid w:val="00997BC5"/>
    <w:rsid w:val="009A0BE3"/>
    <w:rsid w:val="009A3D17"/>
    <w:rsid w:val="009A411E"/>
    <w:rsid w:val="009A4F41"/>
    <w:rsid w:val="009A5885"/>
    <w:rsid w:val="009A5F7A"/>
    <w:rsid w:val="009A683A"/>
    <w:rsid w:val="009B0155"/>
    <w:rsid w:val="009B1D6D"/>
    <w:rsid w:val="009B1EB9"/>
    <w:rsid w:val="009B381B"/>
    <w:rsid w:val="009B65FD"/>
    <w:rsid w:val="009B7868"/>
    <w:rsid w:val="009B7D2C"/>
    <w:rsid w:val="009C4EAA"/>
    <w:rsid w:val="009C55E2"/>
    <w:rsid w:val="009C5718"/>
    <w:rsid w:val="009D0423"/>
    <w:rsid w:val="009D1753"/>
    <w:rsid w:val="009D46E7"/>
    <w:rsid w:val="009D6394"/>
    <w:rsid w:val="009D7611"/>
    <w:rsid w:val="009E0B61"/>
    <w:rsid w:val="009E0CDD"/>
    <w:rsid w:val="009E292D"/>
    <w:rsid w:val="009E2F8F"/>
    <w:rsid w:val="009E3D6F"/>
    <w:rsid w:val="009E53DE"/>
    <w:rsid w:val="009E6E6E"/>
    <w:rsid w:val="009F0DF6"/>
    <w:rsid w:val="009F14F3"/>
    <w:rsid w:val="009F3FC6"/>
    <w:rsid w:val="009F473F"/>
    <w:rsid w:val="009F597D"/>
    <w:rsid w:val="009F5FE4"/>
    <w:rsid w:val="009F6A59"/>
    <w:rsid w:val="009F7018"/>
    <w:rsid w:val="009F7272"/>
    <w:rsid w:val="00A01EBE"/>
    <w:rsid w:val="00A034B4"/>
    <w:rsid w:val="00A03885"/>
    <w:rsid w:val="00A0552C"/>
    <w:rsid w:val="00A05B95"/>
    <w:rsid w:val="00A0626C"/>
    <w:rsid w:val="00A0726C"/>
    <w:rsid w:val="00A13074"/>
    <w:rsid w:val="00A13322"/>
    <w:rsid w:val="00A14246"/>
    <w:rsid w:val="00A142CD"/>
    <w:rsid w:val="00A15652"/>
    <w:rsid w:val="00A173DF"/>
    <w:rsid w:val="00A2075B"/>
    <w:rsid w:val="00A20B75"/>
    <w:rsid w:val="00A210F9"/>
    <w:rsid w:val="00A211DD"/>
    <w:rsid w:val="00A21400"/>
    <w:rsid w:val="00A21666"/>
    <w:rsid w:val="00A21B72"/>
    <w:rsid w:val="00A23592"/>
    <w:rsid w:val="00A24BB9"/>
    <w:rsid w:val="00A2598E"/>
    <w:rsid w:val="00A25BEB"/>
    <w:rsid w:val="00A26534"/>
    <w:rsid w:val="00A328B3"/>
    <w:rsid w:val="00A33B1E"/>
    <w:rsid w:val="00A3644B"/>
    <w:rsid w:val="00A365E4"/>
    <w:rsid w:val="00A424BB"/>
    <w:rsid w:val="00A50DAD"/>
    <w:rsid w:val="00A50FCF"/>
    <w:rsid w:val="00A51085"/>
    <w:rsid w:val="00A516B0"/>
    <w:rsid w:val="00A51AF4"/>
    <w:rsid w:val="00A525F6"/>
    <w:rsid w:val="00A528D1"/>
    <w:rsid w:val="00A53823"/>
    <w:rsid w:val="00A54A0B"/>
    <w:rsid w:val="00A554A9"/>
    <w:rsid w:val="00A56846"/>
    <w:rsid w:val="00A610CD"/>
    <w:rsid w:val="00A6213D"/>
    <w:rsid w:val="00A65955"/>
    <w:rsid w:val="00A668F1"/>
    <w:rsid w:val="00A67FDA"/>
    <w:rsid w:val="00A7419B"/>
    <w:rsid w:val="00A75E63"/>
    <w:rsid w:val="00A75ED2"/>
    <w:rsid w:val="00A814FA"/>
    <w:rsid w:val="00A81BDE"/>
    <w:rsid w:val="00A82F61"/>
    <w:rsid w:val="00A838D5"/>
    <w:rsid w:val="00A84D69"/>
    <w:rsid w:val="00A85A3A"/>
    <w:rsid w:val="00A867F6"/>
    <w:rsid w:val="00A93A41"/>
    <w:rsid w:val="00A9458D"/>
    <w:rsid w:val="00A94F91"/>
    <w:rsid w:val="00A96F13"/>
    <w:rsid w:val="00AA0285"/>
    <w:rsid w:val="00AA09A2"/>
    <w:rsid w:val="00AA2524"/>
    <w:rsid w:val="00AA30CA"/>
    <w:rsid w:val="00AA326F"/>
    <w:rsid w:val="00AA4A54"/>
    <w:rsid w:val="00AA7996"/>
    <w:rsid w:val="00AB1979"/>
    <w:rsid w:val="00AB1B4D"/>
    <w:rsid w:val="00AB2DD2"/>
    <w:rsid w:val="00AC00E2"/>
    <w:rsid w:val="00AC0909"/>
    <w:rsid w:val="00AC0C90"/>
    <w:rsid w:val="00AC19CB"/>
    <w:rsid w:val="00AC1A44"/>
    <w:rsid w:val="00AC1C49"/>
    <w:rsid w:val="00AC1E9D"/>
    <w:rsid w:val="00AC27D2"/>
    <w:rsid w:val="00AC3F0D"/>
    <w:rsid w:val="00AC55D4"/>
    <w:rsid w:val="00AD2167"/>
    <w:rsid w:val="00AD46FC"/>
    <w:rsid w:val="00AD701C"/>
    <w:rsid w:val="00AE06B2"/>
    <w:rsid w:val="00AE1141"/>
    <w:rsid w:val="00AE16B2"/>
    <w:rsid w:val="00AE5488"/>
    <w:rsid w:val="00AE54EB"/>
    <w:rsid w:val="00AE6F91"/>
    <w:rsid w:val="00AF091B"/>
    <w:rsid w:val="00AF27D4"/>
    <w:rsid w:val="00AF4741"/>
    <w:rsid w:val="00AF5571"/>
    <w:rsid w:val="00AF5F94"/>
    <w:rsid w:val="00AF6EA3"/>
    <w:rsid w:val="00AF7988"/>
    <w:rsid w:val="00B0366F"/>
    <w:rsid w:val="00B070DF"/>
    <w:rsid w:val="00B07184"/>
    <w:rsid w:val="00B07341"/>
    <w:rsid w:val="00B0741C"/>
    <w:rsid w:val="00B104CE"/>
    <w:rsid w:val="00B1169C"/>
    <w:rsid w:val="00B11823"/>
    <w:rsid w:val="00B11A27"/>
    <w:rsid w:val="00B133E1"/>
    <w:rsid w:val="00B13CBE"/>
    <w:rsid w:val="00B20817"/>
    <w:rsid w:val="00B21C35"/>
    <w:rsid w:val="00B22E74"/>
    <w:rsid w:val="00B2350A"/>
    <w:rsid w:val="00B24871"/>
    <w:rsid w:val="00B2501A"/>
    <w:rsid w:val="00B25E36"/>
    <w:rsid w:val="00B26250"/>
    <w:rsid w:val="00B26D41"/>
    <w:rsid w:val="00B27703"/>
    <w:rsid w:val="00B27F6E"/>
    <w:rsid w:val="00B30539"/>
    <w:rsid w:val="00B30679"/>
    <w:rsid w:val="00B30F05"/>
    <w:rsid w:val="00B314DB"/>
    <w:rsid w:val="00B34CE7"/>
    <w:rsid w:val="00B35A48"/>
    <w:rsid w:val="00B361F2"/>
    <w:rsid w:val="00B3718B"/>
    <w:rsid w:val="00B37224"/>
    <w:rsid w:val="00B40210"/>
    <w:rsid w:val="00B403FC"/>
    <w:rsid w:val="00B405AB"/>
    <w:rsid w:val="00B425DC"/>
    <w:rsid w:val="00B448B6"/>
    <w:rsid w:val="00B45F47"/>
    <w:rsid w:val="00B4632A"/>
    <w:rsid w:val="00B47688"/>
    <w:rsid w:val="00B479FF"/>
    <w:rsid w:val="00B500BF"/>
    <w:rsid w:val="00B5049E"/>
    <w:rsid w:val="00B510F4"/>
    <w:rsid w:val="00B513B1"/>
    <w:rsid w:val="00B52794"/>
    <w:rsid w:val="00B530F1"/>
    <w:rsid w:val="00B54A0C"/>
    <w:rsid w:val="00B54F88"/>
    <w:rsid w:val="00B55C04"/>
    <w:rsid w:val="00B5682B"/>
    <w:rsid w:val="00B617A7"/>
    <w:rsid w:val="00B63262"/>
    <w:rsid w:val="00B632D6"/>
    <w:rsid w:val="00B6553D"/>
    <w:rsid w:val="00B67999"/>
    <w:rsid w:val="00B71462"/>
    <w:rsid w:val="00B71C0D"/>
    <w:rsid w:val="00B71CD8"/>
    <w:rsid w:val="00B734C1"/>
    <w:rsid w:val="00B736C6"/>
    <w:rsid w:val="00B75AE7"/>
    <w:rsid w:val="00B77D81"/>
    <w:rsid w:val="00B83702"/>
    <w:rsid w:val="00B83EC9"/>
    <w:rsid w:val="00B83F16"/>
    <w:rsid w:val="00B85FE7"/>
    <w:rsid w:val="00B86CF5"/>
    <w:rsid w:val="00B927A0"/>
    <w:rsid w:val="00B93179"/>
    <w:rsid w:val="00B95AE7"/>
    <w:rsid w:val="00B97BC0"/>
    <w:rsid w:val="00BA276C"/>
    <w:rsid w:val="00BA3170"/>
    <w:rsid w:val="00BA461E"/>
    <w:rsid w:val="00BA5117"/>
    <w:rsid w:val="00BA730E"/>
    <w:rsid w:val="00BA7608"/>
    <w:rsid w:val="00BB0163"/>
    <w:rsid w:val="00BB2648"/>
    <w:rsid w:val="00BB2655"/>
    <w:rsid w:val="00BB306F"/>
    <w:rsid w:val="00BB36FC"/>
    <w:rsid w:val="00BB7958"/>
    <w:rsid w:val="00BB7BA5"/>
    <w:rsid w:val="00BC040E"/>
    <w:rsid w:val="00BC04BC"/>
    <w:rsid w:val="00BC1180"/>
    <w:rsid w:val="00BC32B3"/>
    <w:rsid w:val="00BC3E74"/>
    <w:rsid w:val="00BC4387"/>
    <w:rsid w:val="00BD3C9B"/>
    <w:rsid w:val="00BD4B89"/>
    <w:rsid w:val="00BD6A39"/>
    <w:rsid w:val="00BD7F06"/>
    <w:rsid w:val="00BE4577"/>
    <w:rsid w:val="00BE688C"/>
    <w:rsid w:val="00BE7DBF"/>
    <w:rsid w:val="00BF02CB"/>
    <w:rsid w:val="00BF0FEA"/>
    <w:rsid w:val="00BF11D3"/>
    <w:rsid w:val="00BF1664"/>
    <w:rsid w:val="00BF2B90"/>
    <w:rsid w:val="00BF3171"/>
    <w:rsid w:val="00BF31A3"/>
    <w:rsid w:val="00BF3AEA"/>
    <w:rsid w:val="00BF3C75"/>
    <w:rsid w:val="00BF6B45"/>
    <w:rsid w:val="00BF6FD8"/>
    <w:rsid w:val="00BF70B5"/>
    <w:rsid w:val="00C000B3"/>
    <w:rsid w:val="00C00784"/>
    <w:rsid w:val="00C01F4C"/>
    <w:rsid w:val="00C02502"/>
    <w:rsid w:val="00C02EC6"/>
    <w:rsid w:val="00C03680"/>
    <w:rsid w:val="00C038A7"/>
    <w:rsid w:val="00C03E36"/>
    <w:rsid w:val="00C054DF"/>
    <w:rsid w:val="00C06CA6"/>
    <w:rsid w:val="00C07D71"/>
    <w:rsid w:val="00C12513"/>
    <w:rsid w:val="00C12DDB"/>
    <w:rsid w:val="00C152CA"/>
    <w:rsid w:val="00C15B04"/>
    <w:rsid w:val="00C20614"/>
    <w:rsid w:val="00C21762"/>
    <w:rsid w:val="00C21796"/>
    <w:rsid w:val="00C24543"/>
    <w:rsid w:val="00C249BA"/>
    <w:rsid w:val="00C256A2"/>
    <w:rsid w:val="00C319D5"/>
    <w:rsid w:val="00C31CA0"/>
    <w:rsid w:val="00C3478E"/>
    <w:rsid w:val="00C35DD5"/>
    <w:rsid w:val="00C36863"/>
    <w:rsid w:val="00C40008"/>
    <w:rsid w:val="00C40789"/>
    <w:rsid w:val="00C40D8A"/>
    <w:rsid w:val="00C4149D"/>
    <w:rsid w:val="00C41A9F"/>
    <w:rsid w:val="00C42E5C"/>
    <w:rsid w:val="00C433FD"/>
    <w:rsid w:val="00C43A50"/>
    <w:rsid w:val="00C46EE5"/>
    <w:rsid w:val="00C503C6"/>
    <w:rsid w:val="00C50B87"/>
    <w:rsid w:val="00C51515"/>
    <w:rsid w:val="00C53B44"/>
    <w:rsid w:val="00C55256"/>
    <w:rsid w:val="00C5660B"/>
    <w:rsid w:val="00C57149"/>
    <w:rsid w:val="00C60008"/>
    <w:rsid w:val="00C61CAD"/>
    <w:rsid w:val="00C62A75"/>
    <w:rsid w:val="00C64842"/>
    <w:rsid w:val="00C65FD0"/>
    <w:rsid w:val="00C662E6"/>
    <w:rsid w:val="00C66B72"/>
    <w:rsid w:val="00C75282"/>
    <w:rsid w:val="00C772FA"/>
    <w:rsid w:val="00C77979"/>
    <w:rsid w:val="00C80137"/>
    <w:rsid w:val="00C80E2B"/>
    <w:rsid w:val="00C810D8"/>
    <w:rsid w:val="00C82F47"/>
    <w:rsid w:val="00C8533B"/>
    <w:rsid w:val="00C86C1C"/>
    <w:rsid w:val="00C87EA7"/>
    <w:rsid w:val="00C93451"/>
    <w:rsid w:val="00C9567A"/>
    <w:rsid w:val="00C97129"/>
    <w:rsid w:val="00C97B71"/>
    <w:rsid w:val="00CA290E"/>
    <w:rsid w:val="00CA4194"/>
    <w:rsid w:val="00CA4364"/>
    <w:rsid w:val="00CA5B99"/>
    <w:rsid w:val="00CA7969"/>
    <w:rsid w:val="00CB212D"/>
    <w:rsid w:val="00CB2583"/>
    <w:rsid w:val="00CB2660"/>
    <w:rsid w:val="00CB44B9"/>
    <w:rsid w:val="00CB507B"/>
    <w:rsid w:val="00CB589F"/>
    <w:rsid w:val="00CB72E0"/>
    <w:rsid w:val="00CC14F7"/>
    <w:rsid w:val="00CC44C8"/>
    <w:rsid w:val="00CC5E90"/>
    <w:rsid w:val="00CC63CF"/>
    <w:rsid w:val="00CC6F54"/>
    <w:rsid w:val="00CD02E3"/>
    <w:rsid w:val="00CD046C"/>
    <w:rsid w:val="00CD1F94"/>
    <w:rsid w:val="00CD345C"/>
    <w:rsid w:val="00CD6822"/>
    <w:rsid w:val="00CD6B6D"/>
    <w:rsid w:val="00CD71AF"/>
    <w:rsid w:val="00CE076C"/>
    <w:rsid w:val="00CE0B4C"/>
    <w:rsid w:val="00CE1247"/>
    <w:rsid w:val="00CE3F44"/>
    <w:rsid w:val="00CE5199"/>
    <w:rsid w:val="00CE520E"/>
    <w:rsid w:val="00CE66D5"/>
    <w:rsid w:val="00CE6AFD"/>
    <w:rsid w:val="00CE72EA"/>
    <w:rsid w:val="00CE73CD"/>
    <w:rsid w:val="00CF26C8"/>
    <w:rsid w:val="00CF3639"/>
    <w:rsid w:val="00CF5196"/>
    <w:rsid w:val="00CF637A"/>
    <w:rsid w:val="00CF7055"/>
    <w:rsid w:val="00D0157C"/>
    <w:rsid w:val="00D037A3"/>
    <w:rsid w:val="00D03C4C"/>
    <w:rsid w:val="00D04046"/>
    <w:rsid w:val="00D04656"/>
    <w:rsid w:val="00D04DF3"/>
    <w:rsid w:val="00D059DE"/>
    <w:rsid w:val="00D05BEE"/>
    <w:rsid w:val="00D06BB8"/>
    <w:rsid w:val="00D06FB9"/>
    <w:rsid w:val="00D1200A"/>
    <w:rsid w:val="00D12193"/>
    <w:rsid w:val="00D12631"/>
    <w:rsid w:val="00D12D4E"/>
    <w:rsid w:val="00D13FCE"/>
    <w:rsid w:val="00D15FAF"/>
    <w:rsid w:val="00D218BF"/>
    <w:rsid w:val="00D226C0"/>
    <w:rsid w:val="00D22BEA"/>
    <w:rsid w:val="00D25371"/>
    <w:rsid w:val="00D25E74"/>
    <w:rsid w:val="00D2715E"/>
    <w:rsid w:val="00D306D1"/>
    <w:rsid w:val="00D34786"/>
    <w:rsid w:val="00D360AC"/>
    <w:rsid w:val="00D3777C"/>
    <w:rsid w:val="00D37BFC"/>
    <w:rsid w:val="00D411C4"/>
    <w:rsid w:val="00D43024"/>
    <w:rsid w:val="00D45EC8"/>
    <w:rsid w:val="00D47A8E"/>
    <w:rsid w:val="00D52D14"/>
    <w:rsid w:val="00D53346"/>
    <w:rsid w:val="00D5376D"/>
    <w:rsid w:val="00D54862"/>
    <w:rsid w:val="00D5621E"/>
    <w:rsid w:val="00D56DE7"/>
    <w:rsid w:val="00D6140B"/>
    <w:rsid w:val="00D61F79"/>
    <w:rsid w:val="00D66042"/>
    <w:rsid w:val="00D70789"/>
    <w:rsid w:val="00D712D3"/>
    <w:rsid w:val="00D71422"/>
    <w:rsid w:val="00D721D4"/>
    <w:rsid w:val="00D72DC6"/>
    <w:rsid w:val="00D74459"/>
    <w:rsid w:val="00D74515"/>
    <w:rsid w:val="00D745E6"/>
    <w:rsid w:val="00D74FE0"/>
    <w:rsid w:val="00D7558D"/>
    <w:rsid w:val="00D777F5"/>
    <w:rsid w:val="00D818C0"/>
    <w:rsid w:val="00D81D92"/>
    <w:rsid w:val="00D824E5"/>
    <w:rsid w:val="00D82DE0"/>
    <w:rsid w:val="00D82FF4"/>
    <w:rsid w:val="00D83BFA"/>
    <w:rsid w:val="00D83D73"/>
    <w:rsid w:val="00D84112"/>
    <w:rsid w:val="00D863B8"/>
    <w:rsid w:val="00D95A20"/>
    <w:rsid w:val="00D96E66"/>
    <w:rsid w:val="00D97E90"/>
    <w:rsid w:val="00DA20FC"/>
    <w:rsid w:val="00DA313C"/>
    <w:rsid w:val="00DA691C"/>
    <w:rsid w:val="00DA7B5F"/>
    <w:rsid w:val="00DB09C0"/>
    <w:rsid w:val="00DB2324"/>
    <w:rsid w:val="00DB2409"/>
    <w:rsid w:val="00DB4570"/>
    <w:rsid w:val="00DB477D"/>
    <w:rsid w:val="00DB477F"/>
    <w:rsid w:val="00DB4963"/>
    <w:rsid w:val="00DB626B"/>
    <w:rsid w:val="00DC01D9"/>
    <w:rsid w:val="00DC11E7"/>
    <w:rsid w:val="00DC55B9"/>
    <w:rsid w:val="00DC5A90"/>
    <w:rsid w:val="00DC660C"/>
    <w:rsid w:val="00DC6927"/>
    <w:rsid w:val="00DC7023"/>
    <w:rsid w:val="00DC769A"/>
    <w:rsid w:val="00DD2DEC"/>
    <w:rsid w:val="00DD2EB0"/>
    <w:rsid w:val="00DD33DF"/>
    <w:rsid w:val="00DD3CD3"/>
    <w:rsid w:val="00DD3D86"/>
    <w:rsid w:val="00DD7055"/>
    <w:rsid w:val="00DD770C"/>
    <w:rsid w:val="00DE0966"/>
    <w:rsid w:val="00DE1A5D"/>
    <w:rsid w:val="00DE22B9"/>
    <w:rsid w:val="00DE46D6"/>
    <w:rsid w:val="00DE4E51"/>
    <w:rsid w:val="00DE59CC"/>
    <w:rsid w:val="00DF049E"/>
    <w:rsid w:val="00DF1EC4"/>
    <w:rsid w:val="00DF20E5"/>
    <w:rsid w:val="00DF49F5"/>
    <w:rsid w:val="00DF4D1D"/>
    <w:rsid w:val="00DF64D2"/>
    <w:rsid w:val="00E00823"/>
    <w:rsid w:val="00E0170A"/>
    <w:rsid w:val="00E029C5"/>
    <w:rsid w:val="00E03255"/>
    <w:rsid w:val="00E0340B"/>
    <w:rsid w:val="00E03B9A"/>
    <w:rsid w:val="00E03C46"/>
    <w:rsid w:val="00E04A90"/>
    <w:rsid w:val="00E05E2D"/>
    <w:rsid w:val="00E079A7"/>
    <w:rsid w:val="00E10D6E"/>
    <w:rsid w:val="00E124FC"/>
    <w:rsid w:val="00E139C1"/>
    <w:rsid w:val="00E13AB0"/>
    <w:rsid w:val="00E157EC"/>
    <w:rsid w:val="00E15F69"/>
    <w:rsid w:val="00E17D00"/>
    <w:rsid w:val="00E2015A"/>
    <w:rsid w:val="00E216B6"/>
    <w:rsid w:val="00E219C7"/>
    <w:rsid w:val="00E219F8"/>
    <w:rsid w:val="00E2237F"/>
    <w:rsid w:val="00E22828"/>
    <w:rsid w:val="00E22C61"/>
    <w:rsid w:val="00E23436"/>
    <w:rsid w:val="00E255AF"/>
    <w:rsid w:val="00E262BC"/>
    <w:rsid w:val="00E31C35"/>
    <w:rsid w:val="00E321AA"/>
    <w:rsid w:val="00E34FC8"/>
    <w:rsid w:val="00E36700"/>
    <w:rsid w:val="00E37F31"/>
    <w:rsid w:val="00E4291E"/>
    <w:rsid w:val="00E43157"/>
    <w:rsid w:val="00E45D8E"/>
    <w:rsid w:val="00E461CE"/>
    <w:rsid w:val="00E46341"/>
    <w:rsid w:val="00E506C5"/>
    <w:rsid w:val="00E517DC"/>
    <w:rsid w:val="00E51A31"/>
    <w:rsid w:val="00E528A6"/>
    <w:rsid w:val="00E53104"/>
    <w:rsid w:val="00E55E46"/>
    <w:rsid w:val="00E56C3D"/>
    <w:rsid w:val="00E60F14"/>
    <w:rsid w:val="00E655D7"/>
    <w:rsid w:val="00E65AC3"/>
    <w:rsid w:val="00E66E05"/>
    <w:rsid w:val="00E6732E"/>
    <w:rsid w:val="00E70CBA"/>
    <w:rsid w:val="00E716E3"/>
    <w:rsid w:val="00E720CA"/>
    <w:rsid w:val="00E810C3"/>
    <w:rsid w:val="00E82B19"/>
    <w:rsid w:val="00E84181"/>
    <w:rsid w:val="00E84BB2"/>
    <w:rsid w:val="00E84DA9"/>
    <w:rsid w:val="00E84EB5"/>
    <w:rsid w:val="00E84F32"/>
    <w:rsid w:val="00E85662"/>
    <w:rsid w:val="00E8789F"/>
    <w:rsid w:val="00E90610"/>
    <w:rsid w:val="00E909AA"/>
    <w:rsid w:val="00E90ED3"/>
    <w:rsid w:val="00E93BD7"/>
    <w:rsid w:val="00E96282"/>
    <w:rsid w:val="00E96F1F"/>
    <w:rsid w:val="00E978C4"/>
    <w:rsid w:val="00E97B16"/>
    <w:rsid w:val="00E97B71"/>
    <w:rsid w:val="00EA1332"/>
    <w:rsid w:val="00EA1618"/>
    <w:rsid w:val="00EA3D34"/>
    <w:rsid w:val="00EA3F07"/>
    <w:rsid w:val="00EA7687"/>
    <w:rsid w:val="00EA77C0"/>
    <w:rsid w:val="00EB1740"/>
    <w:rsid w:val="00EB3C87"/>
    <w:rsid w:val="00EB454D"/>
    <w:rsid w:val="00EB4D54"/>
    <w:rsid w:val="00EB63FF"/>
    <w:rsid w:val="00EB78BC"/>
    <w:rsid w:val="00EB7E59"/>
    <w:rsid w:val="00EC02E4"/>
    <w:rsid w:val="00EC27D2"/>
    <w:rsid w:val="00EC41EF"/>
    <w:rsid w:val="00EC4FEC"/>
    <w:rsid w:val="00EC51FE"/>
    <w:rsid w:val="00ED53C6"/>
    <w:rsid w:val="00ED76BE"/>
    <w:rsid w:val="00EE15EE"/>
    <w:rsid w:val="00EE1AA1"/>
    <w:rsid w:val="00EE405C"/>
    <w:rsid w:val="00EE610A"/>
    <w:rsid w:val="00EE6B16"/>
    <w:rsid w:val="00EE7D35"/>
    <w:rsid w:val="00EE7F9F"/>
    <w:rsid w:val="00EF00B3"/>
    <w:rsid w:val="00EF11D1"/>
    <w:rsid w:val="00EF2976"/>
    <w:rsid w:val="00EF4CCA"/>
    <w:rsid w:val="00EF619B"/>
    <w:rsid w:val="00EF787F"/>
    <w:rsid w:val="00F00B55"/>
    <w:rsid w:val="00F0196D"/>
    <w:rsid w:val="00F02AD1"/>
    <w:rsid w:val="00F0360F"/>
    <w:rsid w:val="00F042EC"/>
    <w:rsid w:val="00F048ED"/>
    <w:rsid w:val="00F049F8"/>
    <w:rsid w:val="00F07246"/>
    <w:rsid w:val="00F10C5B"/>
    <w:rsid w:val="00F11CFC"/>
    <w:rsid w:val="00F1397B"/>
    <w:rsid w:val="00F13D6D"/>
    <w:rsid w:val="00F15B85"/>
    <w:rsid w:val="00F16E62"/>
    <w:rsid w:val="00F24091"/>
    <w:rsid w:val="00F24455"/>
    <w:rsid w:val="00F253CC"/>
    <w:rsid w:val="00F26BC8"/>
    <w:rsid w:val="00F26BE2"/>
    <w:rsid w:val="00F27F74"/>
    <w:rsid w:val="00F30861"/>
    <w:rsid w:val="00F31D7D"/>
    <w:rsid w:val="00F31F7A"/>
    <w:rsid w:val="00F34A05"/>
    <w:rsid w:val="00F37024"/>
    <w:rsid w:val="00F37106"/>
    <w:rsid w:val="00F37DE2"/>
    <w:rsid w:val="00F45D58"/>
    <w:rsid w:val="00F519CF"/>
    <w:rsid w:val="00F531D0"/>
    <w:rsid w:val="00F541C9"/>
    <w:rsid w:val="00F541D2"/>
    <w:rsid w:val="00F5625A"/>
    <w:rsid w:val="00F56BA5"/>
    <w:rsid w:val="00F5758A"/>
    <w:rsid w:val="00F57F51"/>
    <w:rsid w:val="00F60AE0"/>
    <w:rsid w:val="00F60E22"/>
    <w:rsid w:val="00F61F6E"/>
    <w:rsid w:val="00F63820"/>
    <w:rsid w:val="00F63E11"/>
    <w:rsid w:val="00F64289"/>
    <w:rsid w:val="00F651B6"/>
    <w:rsid w:val="00F653F6"/>
    <w:rsid w:val="00F661BC"/>
    <w:rsid w:val="00F66CDD"/>
    <w:rsid w:val="00F671FE"/>
    <w:rsid w:val="00F67C4D"/>
    <w:rsid w:val="00F67E84"/>
    <w:rsid w:val="00F73104"/>
    <w:rsid w:val="00F74025"/>
    <w:rsid w:val="00F7433B"/>
    <w:rsid w:val="00F805FB"/>
    <w:rsid w:val="00F80A78"/>
    <w:rsid w:val="00F81395"/>
    <w:rsid w:val="00F853FA"/>
    <w:rsid w:val="00F87F88"/>
    <w:rsid w:val="00F902EB"/>
    <w:rsid w:val="00F914D2"/>
    <w:rsid w:val="00F917D1"/>
    <w:rsid w:val="00F91FA0"/>
    <w:rsid w:val="00F93DFC"/>
    <w:rsid w:val="00F948FF"/>
    <w:rsid w:val="00F95BA2"/>
    <w:rsid w:val="00F9653B"/>
    <w:rsid w:val="00F968B0"/>
    <w:rsid w:val="00FA0881"/>
    <w:rsid w:val="00FA1725"/>
    <w:rsid w:val="00FA4D1B"/>
    <w:rsid w:val="00FA50A2"/>
    <w:rsid w:val="00FB0493"/>
    <w:rsid w:val="00FB37C1"/>
    <w:rsid w:val="00FB4C70"/>
    <w:rsid w:val="00FB5405"/>
    <w:rsid w:val="00FB62CF"/>
    <w:rsid w:val="00FB6610"/>
    <w:rsid w:val="00FB7345"/>
    <w:rsid w:val="00FB7835"/>
    <w:rsid w:val="00FB7F49"/>
    <w:rsid w:val="00FC025E"/>
    <w:rsid w:val="00FC0FAB"/>
    <w:rsid w:val="00FC2904"/>
    <w:rsid w:val="00FC53F9"/>
    <w:rsid w:val="00FC56C2"/>
    <w:rsid w:val="00FC5868"/>
    <w:rsid w:val="00FD00E1"/>
    <w:rsid w:val="00FD3C3B"/>
    <w:rsid w:val="00FD5A99"/>
    <w:rsid w:val="00FD7DDB"/>
    <w:rsid w:val="00FD7E0F"/>
    <w:rsid w:val="00FD7E64"/>
    <w:rsid w:val="00FE07DD"/>
    <w:rsid w:val="00FE1ADB"/>
    <w:rsid w:val="00FE435D"/>
    <w:rsid w:val="00FE44C7"/>
    <w:rsid w:val="00FE6B45"/>
    <w:rsid w:val="00FF39A5"/>
    <w:rsid w:val="00FF3D2A"/>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14:docId w14:val="6BC2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0" w:qFormat="1"/>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EC9"/>
    <w:pPr>
      <w:pBdr>
        <w:top w:val="nil"/>
        <w:left w:val="nil"/>
        <w:bottom w:val="nil"/>
        <w:right w:val="nil"/>
        <w:between w:val="nil"/>
        <w:bar w:val="nil"/>
      </w:pBdr>
    </w:pPr>
    <w:rPr>
      <w:sz w:val="24"/>
      <w:szCs w:val="24"/>
      <w:bdr w:val="nil"/>
    </w:rPr>
  </w:style>
  <w:style w:type="paragraph" w:styleId="Heading1">
    <w:name w:val="heading 1"/>
    <w:basedOn w:val="MediumGrid1-Accent21"/>
    <w:next w:val="Normal"/>
    <w:link w:val="Heading1Char"/>
    <w:uiPriority w:val="9"/>
    <w:qFormat/>
    <w:rsid w:val="00AE06B2"/>
    <w:pPr>
      <w:numPr>
        <w:numId w:val="54"/>
      </w:numPr>
      <w:suppressAutoHyphens/>
      <w:outlineLvl w:val="0"/>
    </w:pPr>
    <w:rPr>
      <w:b/>
      <w:sz w:val="20"/>
      <w:szCs w:val="20"/>
      <w:lang w:val="es-ES_tradnl"/>
    </w:rPr>
  </w:style>
  <w:style w:type="paragraph" w:styleId="Heading2">
    <w:name w:val="heading 2"/>
    <w:basedOn w:val="Heading1"/>
    <w:next w:val="Normal"/>
    <w:link w:val="Heading2Char"/>
    <w:qFormat/>
    <w:rsid w:val="00FD7DDB"/>
    <w:pPr>
      <w:numPr>
        <w:numId w:val="0"/>
      </w:numPr>
      <w:outlineLvl w:val="1"/>
    </w:p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link w:val="BodyTextIndentChar"/>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customStyle="1" w:styleId="MediumGrid1-Accent21">
    <w:name w:val="Medium Grid 1 - Accent 21"/>
    <w:aliases w:val="Párrafo de lista1,List Paragraph1,Colorful List - Accent 11,List Paragraph11,List Paragraph2"/>
    <w:link w:val="MediumGrid1-Accent2Char"/>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AE06B2"/>
    <w:rPr>
      <w:rFonts w:ascii="Cambria" w:eastAsia="Cambria" w:hAnsi="Cambria" w:cs="Cambria"/>
      <w:b/>
      <w:color w:val="000000"/>
      <w:u w:color="000000"/>
      <w:bdr w:val="nil"/>
      <w:lang w:val="es-ES_tradnl"/>
    </w:rPr>
  </w:style>
  <w:style w:type="table" w:styleId="MediumShading1-Accent2">
    <w:name w:val="Medium Shading 1 Accent 2"/>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617E74"/>
    <w:pPr>
      <w:tabs>
        <w:tab w:val="left" w:pos="720"/>
        <w:tab w:val="right" w:leader="dot" w:pos="9350"/>
      </w:tabs>
      <w:spacing w:after="100"/>
      <w:jc w:val="both"/>
    </w:pPr>
    <w:rPr>
      <w:rFonts w:ascii="Cambria" w:hAnsi="Cambria"/>
      <w:b/>
      <w:noProof/>
      <w:sz w:val="20"/>
      <w:szCs w:val="20"/>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link w:val="Heading2"/>
    <w:rsid w:val="00FD7DDB"/>
    <w:rPr>
      <w:rFonts w:ascii="Cambria" w:eastAsia="Cambria" w:hAnsi="Cambria" w:cs="Cambria"/>
      <w:b/>
      <w:color w:val="000000"/>
      <w:u w:color="000000"/>
      <w:bdr w:val="nil"/>
      <w:lang w:val="es-ES_tradnl"/>
    </w:rPr>
  </w:style>
  <w:style w:type="character" w:customStyle="1" w:styleId="Heading3Char">
    <w:name w:val="Heading 3 Char"/>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autoSpaceDE w:val="0"/>
      <w:autoSpaceDN w:val="0"/>
      <w:adjustRightInd w:val="0"/>
    </w:pPr>
    <w:rPr>
      <w:rFonts w:eastAsia="Times New Roman"/>
      <w:color w:val="000000"/>
      <w:sz w:val="24"/>
      <w:szCs w:val="24"/>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MediumGrid1-Accent2Char">
    <w:name w:val="Medium Grid 1 - Accent 2 Char"/>
    <w:aliases w:val="Párrafo de lista1 Char,List Paragraph1 Char,Colorful List - Accent 11 Char,List Paragraph11 Char,List Paragraph2 Char"/>
    <w:link w:val="MediumGrid1-Accent21"/>
    <w:locked/>
    <w:rsid w:val="002E4AEA"/>
    <w:rPr>
      <w:rFonts w:ascii="Cambria" w:eastAsia="Cambria" w:hAnsi="Cambria" w:cs="Cambria"/>
      <w:color w:val="000000"/>
      <w:sz w:val="24"/>
      <w:szCs w:val="24"/>
      <w:u w:color="000000"/>
      <w:lang w:val="en-US"/>
    </w:rPr>
  </w:style>
  <w:style w:type="character" w:styleId="Emphasis">
    <w:name w:val="Emphasis"/>
    <w:uiPriority w:val="20"/>
    <w:qFormat/>
    <w:rsid w:val="00244D54"/>
    <w:rPr>
      <w:i/>
      <w:iCs/>
    </w:rPr>
  </w:style>
  <w:style w:type="paragraph" w:styleId="ListParagraph">
    <w:name w:val="List Paragraph"/>
    <w:aliases w:val="Colorful List - Accent 12,Lista vistosa - Énfasis 11"/>
    <w:basedOn w:val="Normal"/>
    <w:qFormat/>
    <w:rsid w:val="002C6E40"/>
    <w:pPr>
      <w:ind w:left="708"/>
    </w:pPr>
  </w:style>
  <w:style w:type="character" w:styleId="Strong">
    <w:name w:val="Strong"/>
    <w:uiPriority w:val="22"/>
    <w:qFormat/>
    <w:rsid w:val="00985F2A"/>
    <w:rPr>
      <w:b/>
      <w:bCs/>
    </w:rPr>
  </w:style>
  <w:style w:type="paragraph" w:customStyle="1" w:styleId="1">
    <w:name w:val="1"/>
    <w:basedOn w:val="Normal"/>
    <w:rsid w:val="000A4F0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bdr w:val="none" w:sz="0" w:space="0" w:color="auto"/>
      <w:vertAlign w:val="superscript"/>
    </w:rPr>
  </w:style>
  <w:style w:type="character" w:customStyle="1" w:styleId="BodyTextIndentChar">
    <w:name w:val="Body Text Indent Char"/>
    <w:link w:val="BodyTextIndent"/>
    <w:rsid w:val="00BF2B90"/>
    <w:rPr>
      <w:rFonts w:eastAsia="Times New Roman"/>
      <w:color w:val="000000"/>
      <w:sz w:val="24"/>
      <w:szCs w:val="24"/>
      <w:u w:color="000000"/>
      <w:bdr w:val="nil"/>
      <w:lang w:val="es-ES_tradnl"/>
    </w:rPr>
  </w:style>
  <w:style w:type="character" w:customStyle="1" w:styleId="ColorfulList-Accent1Char">
    <w:name w:val="Colorful List - Accent 1 Char"/>
    <w:rsid w:val="00CD345C"/>
    <w:rPr>
      <w:rFonts w:ascii="Cambria" w:eastAsia="Cambria" w:hAnsi="Cambria" w:cs="Cambria"/>
      <w:color w:val="000000"/>
      <w:sz w:val="24"/>
      <w:szCs w:val="24"/>
      <w:u w:color="000000"/>
      <w:lang w:val="en-US"/>
    </w:rPr>
  </w:style>
  <w:style w:type="character" w:styleId="CommentReference">
    <w:name w:val="annotation reference"/>
    <w:uiPriority w:val="99"/>
    <w:semiHidden/>
    <w:unhideWhenUsed/>
    <w:rsid w:val="00A03885"/>
    <w:rPr>
      <w:sz w:val="16"/>
      <w:szCs w:val="16"/>
    </w:rPr>
  </w:style>
  <w:style w:type="paragraph" w:styleId="CommentText">
    <w:name w:val="annotation text"/>
    <w:basedOn w:val="Normal"/>
    <w:link w:val="CommentTextChar"/>
    <w:uiPriority w:val="99"/>
    <w:semiHidden/>
    <w:unhideWhenUsed/>
    <w:rsid w:val="00A03885"/>
    <w:rPr>
      <w:sz w:val="20"/>
      <w:szCs w:val="20"/>
    </w:rPr>
  </w:style>
  <w:style w:type="character" w:customStyle="1" w:styleId="CommentTextChar">
    <w:name w:val="Comment Text Char"/>
    <w:link w:val="CommentText"/>
    <w:uiPriority w:val="99"/>
    <w:semiHidden/>
    <w:rsid w:val="00A03885"/>
    <w:rPr>
      <w:bdr w:val="nil"/>
    </w:rPr>
  </w:style>
  <w:style w:type="paragraph" w:styleId="CommentSubject">
    <w:name w:val="annotation subject"/>
    <w:basedOn w:val="CommentText"/>
    <w:next w:val="CommentText"/>
    <w:link w:val="CommentSubjectChar"/>
    <w:uiPriority w:val="99"/>
    <w:semiHidden/>
    <w:unhideWhenUsed/>
    <w:rsid w:val="00A03885"/>
    <w:rPr>
      <w:b/>
      <w:bCs/>
    </w:rPr>
  </w:style>
  <w:style w:type="character" w:customStyle="1" w:styleId="CommentSubjectChar">
    <w:name w:val="Comment Subject Char"/>
    <w:link w:val="CommentSubject"/>
    <w:uiPriority w:val="99"/>
    <w:semiHidden/>
    <w:rsid w:val="00A03885"/>
    <w:rPr>
      <w:b/>
      <w:bCs/>
      <w:bdr w:val="nil"/>
    </w:rPr>
  </w:style>
  <w:style w:type="paragraph" w:styleId="TOCHeading">
    <w:name w:val="TOC Heading"/>
    <w:basedOn w:val="Heading1"/>
    <w:next w:val="Normal"/>
    <w:uiPriority w:val="39"/>
    <w:unhideWhenUsed/>
    <w:qFormat/>
    <w:rsid w:val="00F15B85"/>
    <w:pPr>
      <w:keepNext/>
      <w:keepLines/>
      <w:numPr>
        <w:numId w:val="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240" w:line="259" w:lineRule="auto"/>
      <w:outlineLvl w:val="9"/>
    </w:pPr>
    <w:rPr>
      <w:rFonts w:asciiTheme="majorHAnsi" w:eastAsiaTheme="majorEastAsia" w:hAnsiTheme="majorHAnsi" w:cstheme="majorBidi"/>
      <w:b w:val="0"/>
      <w:color w:val="2E74B5" w:themeColor="accent1" w:themeShade="BF"/>
      <w:sz w:val="32"/>
      <w:szCs w:val="32"/>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885073">
      <w:bodyDiv w:val="1"/>
      <w:marLeft w:val="0"/>
      <w:marRight w:val="0"/>
      <w:marTop w:val="0"/>
      <w:marBottom w:val="0"/>
      <w:divBdr>
        <w:top w:val="none" w:sz="0" w:space="0" w:color="auto"/>
        <w:left w:val="none" w:sz="0" w:space="0" w:color="auto"/>
        <w:bottom w:val="none" w:sz="0" w:space="0" w:color="auto"/>
        <w:right w:val="none" w:sz="0" w:space="0" w:color="auto"/>
      </w:divBdr>
      <w:divsChild>
        <w:div w:id="199904929">
          <w:marLeft w:val="0"/>
          <w:marRight w:val="0"/>
          <w:marTop w:val="0"/>
          <w:marBottom w:val="0"/>
          <w:divBdr>
            <w:top w:val="none" w:sz="0" w:space="0" w:color="auto"/>
            <w:left w:val="none" w:sz="0" w:space="0" w:color="auto"/>
            <w:bottom w:val="none" w:sz="0" w:space="0" w:color="auto"/>
            <w:right w:val="none" w:sz="0" w:space="0" w:color="auto"/>
          </w:divBdr>
        </w:div>
        <w:div w:id="225072055">
          <w:marLeft w:val="0"/>
          <w:marRight w:val="0"/>
          <w:marTop w:val="0"/>
          <w:marBottom w:val="0"/>
          <w:divBdr>
            <w:top w:val="none" w:sz="0" w:space="0" w:color="auto"/>
            <w:left w:val="none" w:sz="0" w:space="0" w:color="auto"/>
            <w:bottom w:val="none" w:sz="0" w:space="0" w:color="auto"/>
            <w:right w:val="none" w:sz="0" w:space="0" w:color="auto"/>
          </w:divBdr>
        </w:div>
        <w:div w:id="602684957">
          <w:marLeft w:val="0"/>
          <w:marRight w:val="0"/>
          <w:marTop w:val="0"/>
          <w:marBottom w:val="0"/>
          <w:divBdr>
            <w:top w:val="none" w:sz="0" w:space="0" w:color="auto"/>
            <w:left w:val="none" w:sz="0" w:space="0" w:color="auto"/>
            <w:bottom w:val="none" w:sz="0" w:space="0" w:color="auto"/>
            <w:right w:val="none" w:sz="0" w:space="0" w:color="auto"/>
          </w:divBdr>
        </w:div>
      </w:divsChild>
    </w:div>
    <w:div w:id="1161969233">
      <w:bodyDiv w:val="1"/>
      <w:marLeft w:val="0"/>
      <w:marRight w:val="0"/>
      <w:marTop w:val="0"/>
      <w:marBottom w:val="0"/>
      <w:divBdr>
        <w:top w:val="none" w:sz="0" w:space="0" w:color="auto"/>
        <w:left w:val="none" w:sz="0" w:space="0" w:color="auto"/>
        <w:bottom w:val="none" w:sz="0" w:space="0" w:color="auto"/>
        <w:right w:val="none" w:sz="0" w:space="0" w:color="auto"/>
      </w:divBdr>
    </w:div>
    <w:div w:id="151815160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10277-C172-489A-9DE7-6BB57D181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9056</Words>
  <Characters>51620</Characters>
  <Application>Microsoft Office Word</Application>
  <DocSecurity>0</DocSecurity>
  <Lines>430</Lines>
  <Paragraphs>121</Paragraphs>
  <ScaleCrop>false</ScaleCrop>
  <Company/>
  <LinksUpToDate>false</LinksUpToDate>
  <CharactersWithSpaces>60555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2020-11-03T16:17:00Z</dcterms:created>
  <dcterms:modified xsi:type="dcterms:W3CDTF">2020-11-03T16:17:00Z</dcterms:modified>
</cp:coreProperties>
</file>