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61857" w14:textId="77777777" w:rsidR="00040C3A" w:rsidRPr="006D531F" w:rsidRDefault="00D306D1" w:rsidP="000A6CEF">
      <w:pPr>
        <w:jc w:val="both"/>
        <w:rPr>
          <w:rFonts w:asciiTheme="majorHAnsi" w:hAnsiTheme="majorHAnsi" w:cs="Univers"/>
          <w:b/>
          <w:bCs/>
          <w:sz w:val="20"/>
          <w:szCs w:val="20"/>
          <w:lang w:val="es-ES_tradnl"/>
        </w:rPr>
      </w:pPr>
      <w:r w:rsidRPr="006D531F">
        <w:rPr>
          <w:rFonts w:asciiTheme="majorHAnsi" w:hAnsiTheme="majorHAnsi"/>
          <w:noProof/>
          <w:sz w:val="20"/>
          <w:szCs w:val="20"/>
        </w:rPr>
        <mc:AlternateContent>
          <mc:Choice Requires="wps">
            <w:drawing>
              <wp:anchor distT="0" distB="0" distL="114300" distR="114300" simplePos="0" relativeHeight="251648000" behindDoc="0" locked="0" layoutInCell="1" allowOverlap="1" wp14:anchorId="230628DC" wp14:editId="3E5A45D5">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9ADA3" id="Rectangle 1" o:spid="_x0000_s1026" style="position:absolute;margin-left:-32.75pt;margin-top:-34.6pt;width:121.5pt;height:71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6D531F">
        <w:rPr>
          <w:rFonts w:asciiTheme="majorHAnsi" w:hAnsiTheme="majorHAnsi"/>
          <w:noProof/>
          <w:sz w:val="20"/>
          <w:szCs w:val="20"/>
        </w:rPr>
        <mc:AlternateContent>
          <mc:Choice Requires="wps">
            <w:drawing>
              <wp:anchor distT="0" distB="0" distL="114300" distR="114300" simplePos="0" relativeHeight="251660288" behindDoc="0" locked="0" layoutInCell="1" allowOverlap="1" wp14:anchorId="2835C1EA" wp14:editId="315CF71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7767E1" w14:textId="77777777" w:rsidR="00B95258" w:rsidRDefault="00B95258" w:rsidP="00AE5488">
                            <w:r>
                              <w:rPr>
                                <w:noProof/>
                              </w:rPr>
                              <w:drawing>
                                <wp:inline distT="0" distB="0" distL="0" distR="0" wp14:anchorId="37A393BB" wp14:editId="1967419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5C1E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407767E1" w14:textId="77777777" w:rsidR="00B95258" w:rsidRDefault="00B95258" w:rsidP="00AE5488">
                      <w:r>
                        <w:rPr>
                          <w:noProof/>
                        </w:rPr>
                        <w:drawing>
                          <wp:inline distT="0" distB="0" distL="0" distR="0" wp14:anchorId="37A393BB" wp14:editId="1967419B">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5990B585" w14:textId="77777777" w:rsidR="00040C3A" w:rsidRPr="006D531F" w:rsidRDefault="00040C3A" w:rsidP="000A6CEF">
      <w:pPr>
        <w:suppressAutoHyphens/>
        <w:jc w:val="both"/>
        <w:rPr>
          <w:rFonts w:asciiTheme="majorHAnsi" w:hAnsiTheme="majorHAnsi"/>
          <w:sz w:val="20"/>
          <w:szCs w:val="20"/>
          <w:lang w:val="es-ES"/>
        </w:rPr>
      </w:pPr>
    </w:p>
    <w:p w14:paraId="1F908928" w14:textId="77777777" w:rsidR="00040C3A" w:rsidRPr="006D531F" w:rsidRDefault="00040C3A" w:rsidP="000A6CEF">
      <w:pPr>
        <w:suppressAutoHyphens/>
        <w:jc w:val="both"/>
        <w:rPr>
          <w:rFonts w:asciiTheme="majorHAnsi" w:hAnsiTheme="majorHAnsi"/>
          <w:sz w:val="20"/>
          <w:szCs w:val="20"/>
          <w:lang w:val="es-ES"/>
        </w:rPr>
      </w:pPr>
    </w:p>
    <w:p w14:paraId="06EA9535" w14:textId="77777777" w:rsidR="005128E4" w:rsidRPr="006D531F" w:rsidRDefault="005128E4" w:rsidP="000A6CEF">
      <w:pPr>
        <w:suppressAutoHyphens/>
        <w:jc w:val="both"/>
        <w:rPr>
          <w:rFonts w:asciiTheme="majorHAnsi" w:hAnsiTheme="majorHAnsi"/>
          <w:sz w:val="20"/>
          <w:szCs w:val="20"/>
          <w:lang w:val="es-ES_tradnl"/>
        </w:rPr>
      </w:pPr>
    </w:p>
    <w:p w14:paraId="706AC547" w14:textId="77777777" w:rsidR="005128E4" w:rsidRPr="006D531F" w:rsidRDefault="005128E4" w:rsidP="000A6CEF">
      <w:pPr>
        <w:suppressAutoHyphens/>
        <w:jc w:val="both"/>
        <w:rPr>
          <w:rFonts w:asciiTheme="majorHAnsi" w:hAnsiTheme="majorHAnsi"/>
          <w:sz w:val="20"/>
          <w:szCs w:val="20"/>
          <w:lang w:val="es-ES_tradnl"/>
        </w:rPr>
      </w:pPr>
    </w:p>
    <w:p w14:paraId="4B1F2962" w14:textId="77777777" w:rsidR="005128E4" w:rsidRPr="006D531F" w:rsidRDefault="005128E4" w:rsidP="000A6CEF">
      <w:pPr>
        <w:suppressAutoHyphens/>
        <w:jc w:val="both"/>
        <w:rPr>
          <w:rFonts w:asciiTheme="majorHAnsi" w:hAnsiTheme="majorHAnsi"/>
          <w:sz w:val="20"/>
          <w:szCs w:val="20"/>
          <w:lang w:val="es-ES_tradnl"/>
        </w:rPr>
      </w:pPr>
    </w:p>
    <w:p w14:paraId="0583605C" w14:textId="77777777" w:rsidR="00040C3A" w:rsidRPr="006D531F" w:rsidRDefault="00040C3A" w:rsidP="000A6CEF">
      <w:pPr>
        <w:suppressAutoHyphens/>
        <w:jc w:val="both"/>
        <w:rPr>
          <w:rFonts w:asciiTheme="majorHAnsi" w:hAnsiTheme="majorHAnsi"/>
          <w:sz w:val="20"/>
          <w:szCs w:val="20"/>
          <w:lang w:val="es-ES_tradnl"/>
        </w:rPr>
      </w:pPr>
    </w:p>
    <w:p w14:paraId="1C144F0A" w14:textId="77777777" w:rsidR="00040C3A" w:rsidRPr="006D531F" w:rsidRDefault="00040C3A" w:rsidP="000A6CEF">
      <w:pPr>
        <w:suppressAutoHyphens/>
        <w:jc w:val="both"/>
        <w:rPr>
          <w:rFonts w:asciiTheme="majorHAnsi" w:hAnsiTheme="majorHAnsi"/>
          <w:sz w:val="20"/>
          <w:szCs w:val="20"/>
          <w:lang w:val="es-ES_tradnl"/>
        </w:rPr>
      </w:pPr>
    </w:p>
    <w:p w14:paraId="5228ED27" w14:textId="77777777" w:rsidR="005B52B0" w:rsidRPr="006D531F" w:rsidRDefault="005B52B0" w:rsidP="000A6CEF">
      <w:pPr>
        <w:suppressAutoHyphens/>
        <w:jc w:val="both"/>
        <w:rPr>
          <w:rFonts w:asciiTheme="majorHAnsi" w:hAnsiTheme="majorHAnsi"/>
          <w:sz w:val="20"/>
          <w:szCs w:val="20"/>
          <w:lang w:val="es-ES_tradnl"/>
        </w:rPr>
      </w:pPr>
    </w:p>
    <w:p w14:paraId="071EC5B1" w14:textId="77777777" w:rsidR="005B52B0" w:rsidRPr="006D531F" w:rsidRDefault="005B52B0" w:rsidP="000A6CEF">
      <w:pPr>
        <w:suppressAutoHyphens/>
        <w:jc w:val="both"/>
        <w:rPr>
          <w:rFonts w:asciiTheme="majorHAnsi" w:hAnsiTheme="majorHAnsi"/>
          <w:sz w:val="20"/>
          <w:szCs w:val="20"/>
          <w:lang w:val="es-ES_tradnl"/>
        </w:rPr>
      </w:pPr>
    </w:p>
    <w:p w14:paraId="4292C695" w14:textId="77777777" w:rsidR="005B52B0" w:rsidRPr="006D531F" w:rsidRDefault="005B52B0" w:rsidP="000A6CEF">
      <w:pPr>
        <w:suppressAutoHyphens/>
        <w:jc w:val="both"/>
        <w:rPr>
          <w:rFonts w:asciiTheme="majorHAnsi" w:hAnsiTheme="majorHAnsi"/>
          <w:sz w:val="20"/>
          <w:szCs w:val="20"/>
          <w:lang w:val="es-ES_tradnl"/>
        </w:rPr>
      </w:pPr>
    </w:p>
    <w:p w14:paraId="13D90D36" w14:textId="77777777" w:rsidR="00040C3A" w:rsidRPr="006D531F" w:rsidRDefault="00040C3A" w:rsidP="000A6CEF">
      <w:pPr>
        <w:suppressAutoHyphens/>
        <w:jc w:val="both"/>
        <w:rPr>
          <w:rFonts w:asciiTheme="majorHAnsi" w:hAnsiTheme="majorHAnsi"/>
          <w:sz w:val="20"/>
          <w:szCs w:val="20"/>
          <w:lang w:val="es-ES_tradnl"/>
        </w:rPr>
      </w:pPr>
    </w:p>
    <w:p w14:paraId="08DC843F" w14:textId="77777777" w:rsidR="00040C3A" w:rsidRPr="006D531F" w:rsidRDefault="00040C3A" w:rsidP="000A6CEF">
      <w:pPr>
        <w:suppressAutoHyphens/>
        <w:jc w:val="both"/>
        <w:rPr>
          <w:rFonts w:asciiTheme="majorHAnsi" w:hAnsiTheme="majorHAnsi"/>
          <w:sz w:val="20"/>
          <w:szCs w:val="20"/>
          <w:lang w:val="es-ES_tradnl"/>
        </w:rPr>
      </w:pPr>
    </w:p>
    <w:p w14:paraId="0ECA1E23" w14:textId="77777777" w:rsidR="00040C3A" w:rsidRPr="006D531F" w:rsidRDefault="004E2649" w:rsidP="000A6CEF">
      <w:pPr>
        <w:suppressAutoHyphens/>
        <w:jc w:val="both"/>
        <w:rPr>
          <w:rFonts w:asciiTheme="majorHAnsi" w:hAnsiTheme="majorHAnsi"/>
          <w:sz w:val="20"/>
          <w:szCs w:val="20"/>
          <w:lang w:val="es-ES_tradnl"/>
        </w:rPr>
      </w:pPr>
      <w:r w:rsidRPr="006D531F">
        <w:rPr>
          <w:rFonts w:asciiTheme="majorHAnsi" w:hAnsiTheme="majorHAnsi"/>
          <w:noProof/>
          <w:sz w:val="20"/>
          <w:szCs w:val="20"/>
        </w:rPr>
        <mc:AlternateContent>
          <mc:Choice Requires="wps">
            <w:drawing>
              <wp:anchor distT="0" distB="0" distL="114300" distR="114300" simplePos="0" relativeHeight="251657216" behindDoc="0" locked="0" layoutInCell="1" allowOverlap="1" wp14:anchorId="567EFE79" wp14:editId="60F543B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DD926" w14:textId="77777777" w:rsidR="00B95258" w:rsidRPr="004E2649" w:rsidRDefault="00B95258" w:rsidP="00C04952">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OEA/Ser.L/V/II.174</w:t>
                            </w:r>
                          </w:p>
                          <w:p w14:paraId="56F048AA" w14:textId="77777777" w:rsidR="00B95258" w:rsidRPr="004E2649" w:rsidRDefault="00B95258" w:rsidP="00C04952">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184</w:t>
                            </w:r>
                          </w:p>
                          <w:p w14:paraId="5B2094FF" w14:textId="77777777" w:rsidR="00B95258" w:rsidRPr="007C756A" w:rsidRDefault="00B95258" w:rsidP="00C04952">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9</w:t>
                            </w:r>
                            <w:r w:rsidRPr="007C756A">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noviembre</w:t>
                            </w:r>
                            <w:r w:rsidRPr="007C756A">
                              <w:rPr>
                                <w:rFonts w:asciiTheme="minorHAnsi" w:hAnsiTheme="minorHAnsi"/>
                                <w:color w:val="FFFFFF" w:themeColor="background1"/>
                                <w:sz w:val="22"/>
                                <w:lang w:val="es-US"/>
                              </w:rPr>
                              <w:t xml:space="preserve"> 20</w:t>
                            </w:r>
                            <w:r>
                              <w:rPr>
                                <w:rFonts w:asciiTheme="minorHAnsi" w:hAnsiTheme="minorHAnsi"/>
                                <w:color w:val="FFFFFF" w:themeColor="background1"/>
                                <w:sz w:val="22"/>
                                <w:lang w:val="es-US"/>
                              </w:rPr>
                              <w:t>19</w:t>
                            </w:r>
                          </w:p>
                          <w:p w14:paraId="0C00EDE1" w14:textId="77777777" w:rsidR="00B95258" w:rsidRPr="007C756A" w:rsidRDefault="00B95258" w:rsidP="00C04952">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p w14:paraId="1AB29227" w14:textId="77777777" w:rsidR="00B95258" w:rsidRPr="007C756A" w:rsidRDefault="00B95258" w:rsidP="007A5817">
                            <w:pPr>
                              <w:spacing w:line="276" w:lineRule="auto"/>
                              <w:jc w:val="right"/>
                              <w:rPr>
                                <w:rFonts w:asciiTheme="minorHAnsi" w:hAnsiTheme="minorHAnsi"/>
                                <w:color w:val="FFFFFF" w:themeColor="background1"/>
                                <w:sz w:val="22"/>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EFE79" id="Text Box 8" o:spid="_x0000_s1027"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MjfQ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" filled="f" stroked="f" strokeweight=".5pt">
                <v:textbox>
                  <w:txbxContent>
                    <w:p w14:paraId="012DD926" w14:textId="77777777" w:rsidR="00B95258" w:rsidRPr="004E2649" w:rsidRDefault="00B95258" w:rsidP="00C04952">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OEA/Ser.L/V/II.174</w:t>
                      </w:r>
                    </w:p>
                    <w:p w14:paraId="56F048AA" w14:textId="77777777" w:rsidR="00B95258" w:rsidRPr="004E2649" w:rsidRDefault="00B95258" w:rsidP="00C04952">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184</w:t>
                      </w:r>
                    </w:p>
                    <w:p w14:paraId="5B2094FF" w14:textId="77777777" w:rsidR="00B95258" w:rsidRPr="007C756A" w:rsidRDefault="00B95258" w:rsidP="00C04952">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9</w:t>
                      </w:r>
                      <w:r w:rsidRPr="007C756A">
                        <w:rPr>
                          <w:rFonts w:asciiTheme="minorHAnsi" w:hAnsiTheme="minorHAnsi"/>
                          <w:color w:val="FFFFFF" w:themeColor="background1"/>
                          <w:sz w:val="22"/>
                          <w:lang w:val="es-US"/>
                        </w:rPr>
                        <w:t xml:space="preserve"> </w:t>
                      </w:r>
                      <w:r>
                        <w:rPr>
                          <w:rFonts w:asciiTheme="minorHAnsi" w:hAnsiTheme="minorHAnsi"/>
                          <w:color w:val="FFFFFF" w:themeColor="background1"/>
                          <w:sz w:val="22"/>
                          <w:lang w:val="es-US"/>
                        </w:rPr>
                        <w:t>noviembre</w:t>
                      </w:r>
                      <w:r w:rsidRPr="007C756A">
                        <w:rPr>
                          <w:rFonts w:asciiTheme="minorHAnsi" w:hAnsiTheme="minorHAnsi"/>
                          <w:color w:val="FFFFFF" w:themeColor="background1"/>
                          <w:sz w:val="22"/>
                          <w:lang w:val="es-US"/>
                        </w:rPr>
                        <w:t xml:space="preserve"> 20</w:t>
                      </w:r>
                      <w:r>
                        <w:rPr>
                          <w:rFonts w:asciiTheme="minorHAnsi" w:hAnsiTheme="minorHAnsi"/>
                          <w:color w:val="FFFFFF" w:themeColor="background1"/>
                          <w:sz w:val="22"/>
                          <w:lang w:val="es-US"/>
                        </w:rPr>
                        <w:t>19</w:t>
                      </w:r>
                    </w:p>
                    <w:p w14:paraId="0C00EDE1" w14:textId="77777777" w:rsidR="00B95258" w:rsidRPr="007C756A" w:rsidRDefault="00B95258" w:rsidP="00C04952">
                      <w:pPr>
                        <w:spacing w:line="276" w:lineRule="auto"/>
                        <w:jc w:val="right"/>
                        <w:rPr>
                          <w:rFonts w:asciiTheme="minorHAnsi" w:hAnsiTheme="minorHAnsi"/>
                          <w:color w:val="FFFFFF" w:themeColor="background1"/>
                          <w:sz w:val="22"/>
                          <w:lang w:val="es-US"/>
                        </w:rPr>
                      </w:pPr>
                      <w:r w:rsidRPr="007C756A">
                        <w:rPr>
                          <w:rFonts w:asciiTheme="minorHAnsi" w:hAnsiTheme="minorHAnsi"/>
                          <w:color w:val="FFFFFF" w:themeColor="background1"/>
                          <w:sz w:val="22"/>
                          <w:lang w:val="es-US"/>
                        </w:rPr>
                        <w:t>Original: español</w:t>
                      </w:r>
                    </w:p>
                    <w:p w14:paraId="1AB29227" w14:textId="77777777" w:rsidR="00B95258" w:rsidRPr="007C756A" w:rsidRDefault="00B95258" w:rsidP="007A5817">
                      <w:pPr>
                        <w:spacing w:line="276" w:lineRule="auto"/>
                        <w:jc w:val="right"/>
                        <w:rPr>
                          <w:rFonts w:asciiTheme="minorHAnsi" w:hAnsiTheme="minorHAnsi"/>
                          <w:color w:val="FFFFFF" w:themeColor="background1"/>
                          <w:sz w:val="22"/>
                          <w:lang w:val="es-US"/>
                        </w:rPr>
                      </w:pPr>
                    </w:p>
                  </w:txbxContent>
                </v:textbox>
              </v:shape>
            </w:pict>
          </mc:Fallback>
        </mc:AlternateContent>
      </w:r>
    </w:p>
    <w:p w14:paraId="7AF2CF7F" w14:textId="77777777" w:rsidR="00040C3A" w:rsidRPr="006D531F" w:rsidRDefault="002F54A2" w:rsidP="000A6CEF">
      <w:pPr>
        <w:suppressAutoHyphens/>
        <w:jc w:val="both"/>
        <w:rPr>
          <w:rFonts w:asciiTheme="majorHAnsi" w:hAnsiTheme="majorHAnsi"/>
          <w:sz w:val="20"/>
          <w:szCs w:val="20"/>
          <w:lang w:val="es-ES_tradnl"/>
        </w:rPr>
      </w:pPr>
      <w:r w:rsidRPr="006D531F">
        <w:rPr>
          <w:rFonts w:asciiTheme="majorHAnsi" w:hAnsiTheme="majorHAnsi"/>
          <w:noProof/>
          <w:sz w:val="20"/>
          <w:szCs w:val="20"/>
        </w:rPr>
        <mc:AlternateContent>
          <mc:Choice Requires="wps">
            <w:drawing>
              <wp:anchor distT="0" distB="0" distL="114300" distR="114300" simplePos="0" relativeHeight="251651072" behindDoc="0" locked="0" layoutInCell="1" allowOverlap="1" wp14:anchorId="3C34BD6B" wp14:editId="4E539334">
                <wp:simplePos x="0" y="0"/>
                <wp:positionH relativeFrom="margin">
                  <wp:align>right</wp:align>
                </wp:positionH>
                <wp:positionV relativeFrom="paragraph">
                  <wp:posOffset>29845</wp:posOffset>
                </wp:positionV>
                <wp:extent cx="4629150" cy="20574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629150" cy="2057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CCE6B8" w14:textId="77777777" w:rsidR="00B95258" w:rsidRPr="004236ED" w:rsidRDefault="00B95258" w:rsidP="00AE6226">
                            <w:pPr>
                              <w:spacing w:line="276" w:lineRule="auto"/>
                              <w:rPr>
                                <w:rFonts w:asciiTheme="majorHAnsi" w:hAnsiTheme="majorHAnsi" w:cs="Arial"/>
                                <w:b/>
                                <w:bCs/>
                                <w:color w:val="0D0D0D" w:themeColor="text1" w:themeTint="F2"/>
                                <w:sz w:val="36"/>
                                <w:szCs w:val="22"/>
                                <w:lang w:val="es-MX"/>
                              </w:rPr>
                            </w:pPr>
                            <w:r w:rsidRPr="004236ED">
                              <w:rPr>
                                <w:rFonts w:asciiTheme="majorHAnsi" w:hAnsiTheme="majorHAnsi" w:cs="Arial"/>
                                <w:b/>
                                <w:bCs/>
                                <w:color w:val="0D0D0D" w:themeColor="text1" w:themeTint="F2"/>
                                <w:sz w:val="36"/>
                                <w:szCs w:val="22"/>
                                <w:lang w:val="es-MX"/>
                              </w:rPr>
                              <w:t xml:space="preserve">INFORME </w:t>
                            </w:r>
                            <w:r>
                              <w:rPr>
                                <w:rFonts w:asciiTheme="majorHAnsi" w:hAnsiTheme="majorHAnsi" w:cs="Arial"/>
                                <w:b/>
                                <w:bCs/>
                                <w:color w:val="0D0D0D" w:themeColor="text1" w:themeTint="F2"/>
                                <w:sz w:val="36"/>
                                <w:szCs w:val="22"/>
                                <w:lang w:val="es-MX"/>
                              </w:rPr>
                              <w:t>No. 164</w:t>
                            </w:r>
                            <w:r w:rsidRPr="004236ED">
                              <w:rPr>
                                <w:rFonts w:asciiTheme="majorHAnsi" w:hAnsiTheme="majorHAnsi" w:cs="Arial"/>
                                <w:b/>
                                <w:bCs/>
                                <w:color w:val="0D0D0D" w:themeColor="text1" w:themeTint="F2"/>
                                <w:sz w:val="36"/>
                                <w:szCs w:val="22"/>
                                <w:lang w:val="es-MX"/>
                              </w:rPr>
                              <w:t>/</w:t>
                            </w:r>
                            <w:r>
                              <w:rPr>
                                <w:rFonts w:asciiTheme="majorHAnsi" w:hAnsiTheme="majorHAnsi" w:cs="Arial"/>
                                <w:b/>
                                <w:bCs/>
                                <w:color w:val="0D0D0D" w:themeColor="text1" w:themeTint="F2"/>
                                <w:sz w:val="36"/>
                                <w:szCs w:val="22"/>
                                <w:lang w:val="es-MX"/>
                              </w:rPr>
                              <w:t>19</w:t>
                            </w:r>
                          </w:p>
                          <w:p w14:paraId="45BC0E64" w14:textId="77777777" w:rsidR="00B95258" w:rsidRPr="004236ED" w:rsidRDefault="00B95258" w:rsidP="00AE6226">
                            <w:pPr>
                              <w:spacing w:line="276" w:lineRule="auto"/>
                              <w:rPr>
                                <w:rFonts w:asciiTheme="majorHAnsi" w:hAnsiTheme="majorHAnsi" w:cs="Arial"/>
                                <w:b/>
                                <w:color w:val="0D0D0D" w:themeColor="text1" w:themeTint="F2"/>
                                <w:sz w:val="36"/>
                                <w:szCs w:val="22"/>
                                <w:lang w:val="es-MX"/>
                              </w:rPr>
                            </w:pPr>
                            <w:r w:rsidRPr="004236ED">
                              <w:rPr>
                                <w:rFonts w:asciiTheme="majorHAnsi" w:hAnsiTheme="majorHAnsi" w:cs="Arial"/>
                                <w:b/>
                                <w:color w:val="0D0D0D" w:themeColor="text1" w:themeTint="F2"/>
                                <w:sz w:val="36"/>
                                <w:szCs w:val="22"/>
                                <w:lang w:val="es-MX"/>
                              </w:rPr>
                              <w:t>CASO 13.608</w:t>
                            </w:r>
                          </w:p>
                          <w:p w14:paraId="5A80DB62" w14:textId="77777777" w:rsidR="00B95258" w:rsidRPr="0010736F" w:rsidRDefault="00B95258" w:rsidP="00AE622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14:paraId="1C6D1C44" w14:textId="77777777" w:rsidR="00B95258" w:rsidRPr="0010736F" w:rsidRDefault="00B95258" w:rsidP="00AE6226">
                            <w:pPr>
                              <w:spacing w:line="276" w:lineRule="auto"/>
                              <w:rPr>
                                <w:rFonts w:asciiTheme="majorHAnsi" w:hAnsiTheme="majorHAnsi" w:cs="Arial"/>
                                <w:color w:val="0D0D0D" w:themeColor="text1" w:themeTint="F2"/>
                                <w:szCs w:val="22"/>
                                <w:lang w:val="es-ES_tradnl"/>
                              </w:rPr>
                            </w:pPr>
                            <w:bookmarkStart w:id="0" w:name="_ftnref1"/>
                          </w:p>
                          <w:p w14:paraId="20E21221" w14:textId="77777777" w:rsidR="00B95258" w:rsidRPr="0010736F" w:rsidRDefault="00B95258" w:rsidP="00AE6226">
                            <w:pPr>
                              <w:spacing w:line="276" w:lineRule="auto"/>
                              <w:rPr>
                                <w:rFonts w:asciiTheme="majorHAnsi" w:hAnsiTheme="majorHAnsi" w:cs="Arial"/>
                                <w:color w:val="0D0D0D" w:themeColor="text1" w:themeTint="F2"/>
                                <w:szCs w:val="22"/>
                                <w:lang w:val="es-ES_tradnl"/>
                              </w:rPr>
                            </w:pPr>
                            <w:r w:rsidRPr="004236ED">
                              <w:rPr>
                                <w:rFonts w:asciiTheme="majorHAnsi" w:hAnsiTheme="majorHAnsi" w:cs="Arial"/>
                                <w:color w:val="0D0D0D" w:themeColor="text1" w:themeTint="F2"/>
                                <w:szCs w:val="22"/>
                                <w:lang w:val="es-ES_tradnl"/>
                              </w:rPr>
                              <w:t>PUEBLOS INDÍGENAS MAYA KAQCHIKEL DE SUMPANGO Y</w:t>
                            </w:r>
                            <w:r>
                              <w:rPr>
                                <w:rFonts w:asciiTheme="majorHAnsi" w:hAnsiTheme="majorHAnsi" w:cs="Arial"/>
                                <w:color w:val="0D0D0D" w:themeColor="text1" w:themeTint="F2"/>
                                <w:szCs w:val="22"/>
                                <w:lang w:val="es-ES_tradnl"/>
                              </w:rPr>
                              <w:t xml:space="preserve"> </w:t>
                            </w:r>
                            <w:r w:rsidRPr="004236ED">
                              <w:rPr>
                                <w:rFonts w:asciiTheme="majorHAnsi" w:hAnsiTheme="majorHAnsi" w:cs="Arial"/>
                                <w:color w:val="0D0D0D" w:themeColor="text1" w:themeTint="F2"/>
                                <w:szCs w:val="22"/>
                                <w:lang w:val="es-ES_tradnl"/>
                              </w:rPr>
                              <w:t>OTROS</w:t>
                            </w:r>
                          </w:p>
                          <w:bookmarkEnd w:id="0"/>
                          <w:p w14:paraId="1BDE4306" w14:textId="77777777" w:rsidR="00B95258" w:rsidRPr="0010736F" w:rsidRDefault="00B95258" w:rsidP="00AE6226">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p w14:paraId="38BDF826" w14:textId="77777777" w:rsidR="00B95258" w:rsidRPr="00AE5488" w:rsidRDefault="00B95258"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4BD6B" id="Text Box 5" o:spid="_x0000_s1028" type="#_x0000_t202" style="position:absolute;left:0;text-align:left;margin-left:313.3pt;margin-top:2.35pt;width:364.5pt;height:162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" filled="f" stroked="f" strokeweight=".5pt">
                <v:textbox>
                  <w:txbxContent>
                    <w:p w14:paraId="6ECCE6B8" w14:textId="77777777" w:rsidR="00B95258" w:rsidRPr="004236ED" w:rsidRDefault="00B95258" w:rsidP="00AE6226">
                      <w:pPr>
                        <w:spacing w:line="276" w:lineRule="auto"/>
                        <w:rPr>
                          <w:rFonts w:asciiTheme="majorHAnsi" w:hAnsiTheme="majorHAnsi" w:cs="Arial"/>
                          <w:b/>
                          <w:bCs/>
                          <w:color w:val="0D0D0D" w:themeColor="text1" w:themeTint="F2"/>
                          <w:sz w:val="36"/>
                          <w:szCs w:val="22"/>
                          <w:lang w:val="es-MX"/>
                        </w:rPr>
                      </w:pPr>
                      <w:r w:rsidRPr="004236ED">
                        <w:rPr>
                          <w:rFonts w:asciiTheme="majorHAnsi" w:hAnsiTheme="majorHAnsi" w:cs="Arial"/>
                          <w:b/>
                          <w:bCs/>
                          <w:color w:val="0D0D0D" w:themeColor="text1" w:themeTint="F2"/>
                          <w:sz w:val="36"/>
                          <w:szCs w:val="22"/>
                          <w:lang w:val="es-MX"/>
                        </w:rPr>
                        <w:t xml:space="preserve">INFORME </w:t>
                      </w:r>
                      <w:r>
                        <w:rPr>
                          <w:rFonts w:asciiTheme="majorHAnsi" w:hAnsiTheme="majorHAnsi" w:cs="Arial"/>
                          <w:b/>
                          <w:bCs/>
                          <w:color w:val="0D0D0D" w:themeColor="text1" w:themeTint="F2"/>
                          <w:sz w:val="36"/>
                          <w:szCs w:val="22"/>
                          <w:lang w:val="es-MX"/>
                        </w:rPr>
                        <w:t>No. 164</w:t>
                      </w:r>
                      <w:r w:rsidRPr="004236ED">
                        <w:rPr>
                          <w:rFonts w:asciiTheme="majorHAnsi" w:hAnsiTheme="majorHAnsi" w:cs="Arial"/>
                          <w:b/>
                          <w:bCs/>
                          <w:color w:val="0D0D0D" w:themeColor="text1" w:themeTint="F2"/>
                          <w:sz w:val="36"/>
                          <w:szCs w:val="22"/>
                          <w:lang w:val="es-MX"/>
                        </w:rPr>
                        <w:t>/</w:t>
                      </w:r>
                      <w:r>
                        <w:rPr>
                          <w:rFonts w:asciiTheme="majorHAnsi" w:hAnsiTheme="majorHAnsi" w:cs="Arial"/>
                          <w:b/>
                          <w:bCs/>
                          <w:color w:val="0D0D0D" w:themeColor="text1" w:themeTint="F2"/>
                          <w:sz w:val="36"/>
                          <w:szCs w:val="22"/>
                          <w:lang w:val="es-MX"/>
                        </w:rPr>
                        <w:t>19</w:t>
                      </w:r>
                    </w:p>
                    <w:p w14:paraId="45BC0E64" w14:textId="77777777" w:rsidR="00B95258" w:rsidRPr="004236ED" w:rsidRDefault="00B95258" w:rsidP="00AE6226">
                      <w:pPr>
                        <w:spacing w:line="276" w:lineRule="auto"/>
                        <w:rPr>
                          <w:rFonts w:asciiTheme="majorHAnsi" w:hAnsiTheme="majorHAnsi" w:cs="Arial"/>
                          <w:b/>
                          <w:color w:val="0D0D0D" w:themeColor="text1" w:themeTint="F2"/>
                          <w:sz w:val="36"/>
                          <w:szCs w:val="22"/>
                          <w:lang w:val="es-MX"/>
                        </w:rPr>
                      </w:pPr>
                      <w:r w:rsidRPr="004236ED">
                        <w:rPr>
                          <w:rFonts w:asciiTheme="majorHAnsi" w:hAnsiTheme="majorHAnsi" w:cs="Arial"/>
                          <w:b/>
                          <w:color w:val="0D0D0D" w:themeColor="text1" w:themeTint="F2"/>
                          <w:sz w:val="36"/>
                          <w:szCs w:val="22"/>
                          <w:lang w:val="es-MX"/>
                        </w:rPr>
                        <w:t>CASO 13.608</w:t>
                      </w:r>
                    </w:p>
                    <w:p w14:paraId="5A80DB62" w14:textId="77777777" w:rsidR="00B95258" w:rsidRPr="0010736F" w:rsidRDefault="00B95258" w:rsidP="00AE6226">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INFORME DE FONDO</w:t>
                      </w:r>
                      <w:r w:rsidRPr="0010736F">
                        <w:rPr>
                          <w:rFonts w:asciiTheme="majorHAnsi" w:hAnsiTheme="majorHAnsi" w:cs="Arial"/>
                          <w:color w:val="0D0D0D" w:themeColor="text1" w:themeTint="F2"/>
                          <w:szCs w:val="22"/>
                          <w:lang w:val="es-ES_tradnl"/>
                        </w:rPr>
                        <w:t xml:space="preserve"> </w:t>
                      </w:r>
                    </w:p>
                    <w:p w14:paraId="1C6D1C44" w14:textId="77777777" w:rsidR="00B95258" w:rsidRPr="0010736F" w:rsidRDefault="00B95258" w:rsidP="00AE6226">
                      <w:pPr>
                        <w:spacing w:line="276" w:lineRule="auto"/>
                        <w:rPr>
                          <w:rFonts w:asciiTheme="majorHAnsi" w:hAnsiTheme="majorHAnsi" w:cs="Arial"/>
                          <w:color w:val="0D0D0D" w:themeColor="text1" w:themeTint="F2"/>
                          <w:szCs w:val="22"/>
                          <w:lang w:val="es-ES_tradnl"/>
                        </w:rPr>
                      </w:pPr>
                      <w:bookmarkStart w:id="1" w:name="_ftnref1"/>
                    </w:p>
                    <w:p w14:paraId="20E21221" w14:textId="77777777" w:rsidR="00B95258" w:rsidRPr="0010736F" w:rsidRDefault="00B95258" w:rsidP="00AE6226">
                      <w:pPr>
                        <w:spacing w:line="276" w:lineRule="auto"/>
                        <w:rPr>
                          <w:rFonts w:asciiTheme="majorHAnsi" w:hAnsiTheme="majorHAnsi" w:cs="Arial"/>
                          <w:color w:val="0D0D0D" w:themeColor="text1" w:themeTint="F2"/>
                          <w:szCs w:val="22"/>
                          <w:lang w:val="es-ES_tradnl"/>
                        </w:rPr>
                      </w:pPr>
                      <w:r w:rsidRPr="004236ED">
                        <w:rPr>
                          <w:rFonts w:asciiTheme="majorHAnsi" w:hAnsiTheme="majorHAnsi" w:cs="Arial"/>
                          <w:color w:val="0D0D0D" w:themeColor="text1" w:themeTint="F2"/>
                          <w:szCs w:val="22"/>
                          <w:lang w:val="es-ES_tradnl"/>
                        </w:rPr>
                        <w:t>PUEBLOS INDÍGENAS MAYA KAQCHIKEL DE SUMPANGO Y</w:t>
                      </w:r>
                      <w:r>
                        <w:rPr>
                          <w:rFonts w:asciiTheme="majorHAnsi" w:hAnsiTheme="majorHAnsi" w:cs="Arial"/>
                          <w:color w:val="0D0D0D" w:themeColor="text1" w:themeTint="F2"/>
                          <w:szCs w:val="22"/>
                          <w:lang w:val="es-ES_tradnl"/>
                        </w:rPr>
                        <w:t xml:space="preserve"> </w:t>
                      </w:r>
                      <w:r w:rsidRPr="004236ED">
                        <w:rPr>
                          <w:rFonts w:asciiTheme="majorHAnsi" w:hAnsiTheme="majorHAnsi" w:cs="Arial"/>
                          <w:color w:val="0D0D0D" w:themeColor="text1" w:themeTint="F2"/>
                          <w:szCs w:val="22"/>
                          <w:lang w:val="es-ES_tradnl"/>
                        </w:rPr>
                        <w:t>OTROS</w:t>
                      </w:r>
                    </w:p>
                    <w:bookmarkEnd w:id="1"/>
                    <w:p w14:paraId="1BDE4306" w14:textId="77777777" w:rsidR="00B95258" w:rsidRPr="0010736F" w:rsidRDefault="00B95258" w:rsidP="00AE6226">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GUATEMALA</w:t>
                      </w:r>
                    </w:p>
                    <w:p w14:paraId="38BDF826" w14:textId="77777777" w:rsidR="00B95258" w:rsidRPr="00AE5488" w:rsidRDefault="00B95258" w:rsidP="007A5817">
                      <w:pPr>
                        <w:rPr>
                          <w:color w:val="0D0D0D" w:themeColor="text1" w:themeTint="F2"/>
                          <w:lang w:val="es-ES_tradnl"/>
                        </w:rPr>
                      </w:pPr>
                    </w:p>
                  </w:txbxContent>
                </v:textbox>
                <w10:wrap anchorx="margin"/>
              </v:shape>
            </w:pict>
          </mc:Fallback>
        </mc:AlternateContent>
      </w:r>
    </w:p>
    <w:p w14:paraId="500F3079" w14:textId="77777777" w:rsidR="00040C3A" w:rsidRPr="006D531F" w:rsidRDefault="00040C3A" w:rsidP="000A6CEF">
      <w:pPr>
        <w:suppressAutoHyphens/>
        <w:jc w:val="both"/>
        <w:rPr>
          <w:rFonts w:asciiTheme="majorHAnsi" w:hAnsiTheme="majorHAnsi"/>
          <w:sz w:val="20"/>
          <w:szCs w:val="20"/>
          <w:lang w:val="es-ES_tradnl"/>
        </w:rPr>
      </w:pPr>
    </w:p>
    <w:p w14:paraId="71C37D2D" w14:textId="77777777" w:rsidR="00040C3A" w:rsidRPr="006D531F" w:rsidRDefault="00040C3A" w:rsidP="000A6CEF">
      <w:pPr>
        <w:suppressAutoHyphens/>
        <w:jc w:val="both"/>
        <w:rPr>
          <w:rFonts w:asciiTheme="majorHAnsi" w:hAnsiTheme="majorHAnsi" w:cs="Arial"/>
          <w:sz w:val="20"/>
          <w:szCs w:val="20"/>
          <w:lang w:val="es-ES_tradnl"/>
        </w:rPr>
      </w:pPr>
    </w:p>
    <w:p w14:paraId="73A624C6" w14:textId="77777777" w:rsidR="00040C3A" w:rsidRPr="006D531F" w:rsidRDefault="00040C3A" w:rsidP="000A6CEF">
      <w:pPr>
        <w:suppressAutoHyphens/>
        <w:jc w:val="both"/>
        <w:rPr>
          <w:rFonts w:asciiTheme="majorHAnsi" w:hAnsiTheme="majorHAnsi"/>
          <w:sz w:val="20"/>
          <w:szCs w:val="20"/>
          <w:lang w:val="es-ES_tradnl"/>
        </w:rPr>
      </w:pPr>
    </w:p>
    <w:p w14:paraId="47DDC2D4" w14:textId="77777777" w:rsidR="00040C3A" w:rsidRPr="006D531F" w:rsidRDefault="00040C3A" w:rsidP="000A6CEF">
      <w:pPr>
        <w:suppressAutoHyphens/>
        <w:jc w:val="both"/>
        <w:rPr>
          <w:rFonts w:asciiTheme="majorHAnsi" w:hAnsiTheme="majorHAnsi"/>
          <w:sz w:val="20"/>
          <w:szCs w:val="20"/>
          <w:lang w:val="es-ES_tradnl"/>
        </w:rPr>
      </w:pPr>
    </w:p>
    <w:p w14:paraId="21882572" w14:textId="77777777" w:rsidR="00040C3A" w:rsidRPr="006D531F" w:rsidRDefault="00040C3A" w:rsidP="000A6CEF">
      <w:pPr>
        <w:suppressAutoHyphens/>
        <w:jc w:val="both"/>
        <w:rPr>
          <w:rFonts w:asciiTheme="majorHAnsi" w:hAnsiTheme="majorHAnsi"/>
          <w:sz w:val="20"/>
          <w:szCs w:val="20"/>
          <w:lang w:val="es-ES_tradnl"/>
        </w:rPr>
      </w:pPr>
    </w:p>
    <w:p w14:paraId="7F114580" w14:textId="77777777" w:rsidR="00040C3A" w:rsidRPr="006D531F" w:rsidRDefault="00040C3A" w:rsidP="000A6CEF">
      <w:pPr>
        <w:suppressAutoHyphens/>
        <w:jc w:val="both"/>
        <w:rPr>
          <w:rFonts w:asciiTheme="majorHAnsi" w:hAnsiTheme="majorHAnsi"/>
          <w:sz w:val="20"/>
          <w:szCs w:val="20"/>
          <w:lang w:val="es-ES_tradnl"/>
        </w:rPr>
      </w:pPr>
    </w:p>
    <w:p w14:paraId="54A43D74" w14:textId="77777777" w:rsidR="005128E4" w:rsidRPr="006D531F" w:rsidRDefault="005128E4" w:rsidP="000A6CEF">
      <w:pPr>
        <w:suppressAutoHyphens/>
        <w:jc w:val="both"/>
        <w:rPr>
          <w:rFonts w:asciiTheme="majorHAnsi" w:hAnsiTheme="majorHAnsi"/>
          <w:sz w:val="20"/>
          <w:szCs w:val="20"/>
          <w:lang w:val="es-ES_tradnl"/>
        </w:rPr>
      </w:pPr>
    </w:p>
    <w:p w14:paraId="3BD67205" w14:textId="77777777" w:rsidR="00040C3A" w:rsidRPr="006D531F" w:rsidRDefault="00040C3A" w:rsidP="000A6CEF">
      <w:pPr>
        <w:suppressAutoHyphens/>
        <w:jc w:val="both"/>
        <w:rPr>
          <w:rFonts w:asciiTheme="majorHAnsi" w:hAnsiTheme="majorHAnsi"/>
          <w:sz w:val="20"/>
          <w:szCs w:val="20"/>
          <w:lang w:val="es-ES_tradnl"/>
        </w:rPr>
      </w:pPr>
    </w:p>
    <w:p w14:paraId="2CE0EC5B" w14:textId="77777777" w:rsidR="005128E4" w:rsidRPr="006D531F" w:rsidRDefault="005128E4" w:rsidP="000A6CEF">
      <w:pPr>
        <w:suppressAutoHyphens/>
        <w:jc w:val="both"/>
        <w:rPr>
          <w:rFonts w:asciiTheme="majorHAnsi" w:hAnsiTheme="majorHAnsi"/>
          <w:sz w:val="20"/>
          <w:szCs w:val="20"/>
          <w:lang w:val="es-ES_tradnl"/>
        </w:rPr>
      </w:pPr>
    </w:p>
    <w:p w14:paraId="4BD81DEC" w14:textId="77777777" w:rsidR="005128E4" w:rsidRPr="006D531F" w:rsidRDefault="005128E4" w:rsidP="000A6CEF">
      <w:pPr>
        <w:suppressAutoHyphens/>
        <w:jc w:val="both"/>
        <w:rPr>
          <w:rFonts w:asciiTheme="majorHAnsi" w:hAnsiTheme="majorHAnsi"/>
          <w:sz w:val="20"/>
          <w:szCs w:val="20"/>
          <w:lang w:val="es-ES_tradnl"/>
        </w:rPr>
      </w:pPr>
    </w:p>
    <w:p w14:paraId="3D00CFC9" w14:textId="77777777" w:rsidR="005128E4" w:rsidRPr="006D531F" w:rsidRDefault="005128E4" w:rsidP="000A6CEF">
      <w:pPr>
        <w:suppressAutoHyphens/>
        <w:jc w:val="both"/>
        <w:rPr>
          <w:rFonts w:asciiTheme="majorHAnsi" w:hAnsiTheme="majorHAnsi"/>
          <w:sz w:val="20"/>
          <w:szCs w:val="20"/>
          <w:lang w:val="es-ES_tradnl"/>
        </w:rPr>
      </w:pPr>
    </w:p>
    <w:p w14:paraId="63301ED2" w14:textId="77777777" w:rsidR="00040C3A" w:rsidRPr="006D531F" w:rsidRDefault="00040C3A" w:rsidP="000A6CEF">
      <w:pPr>
        <w:suppressAutoHyphens/>
        <w:jc w:val="both"/>
        <w:rPr>
          <w:rFonts w:asciiTheme="majorHAnsi" w:hAnsiTheme="majorHAnsi"/>
          <w:sz w:val="20"/>
          <w:szCs w:val="20"/>
          <w:lang w:val="es-ES_tradnl"/>
        </w:rPr>
      </w:pPr>
    </w:p>
    <w:p w14:paraId="481B3F19" w14:textId="77777777" w:rsidR="00040C3A" w:rsidRPr="006D531F" w:rsidRDefault="00040C3A" w:rsidP="000A6CEF">
      <w:pPr>
        <w:suppressAutoHyphens/>
        <w:jc w:val="both"/>
        <w:rPr>
          <w:rFonts w:asciiTheme="majorHAnsi" w:hAnsiTheme="majorHAnsi"/>
          <w:sz w:val="20"/>
          <w:szCs w:val="20"/>
          <w:lang w:val="es-ES_tradnl"/>
        </w:rPr>
      </w:pPr>
    </w:p>
    <w:p w14:paraId="58506FA2" w14:textId="77777777" w:rsidR="00A50FCF" w:rsidRPr="006D531F" w:rsidRDefault="00A50FCF" w:rsidP="000A6CEF">
      <w:pPr>
        <w:suppressAutoHyphens/>
        <w:jc w:val="both"/>
        <w:rPr>
          <w:rFonts w:asciiTheme="majorHAnsi" w:hAnsiTheme="majorHAnsi"/>
          <w:sz w:val="20"/>
          <w:szCs w:val="20"/>
          <w:lang w:val="es-ES_tradnl"/>
        </w:rPr>
      </w:pPr>
    </w:p>
    <w:p w14:paraId="20D7739E" w14:textId="77777777" w:rsidR="00A50FCF" w:rsidRPr="006D531F" w:rsidRDefault="00A50FCF" w:rsidP="000A6CEF">
      <w:pPr>
        <w:suppressAutoHyphens/>
        <w:jc w:val="both"/>
        <w:rPr>
          <w:rFonts w:asciiTheme="majorHAnsi" w:hAnsiTheme="majorHAnsi"/>
          <w:sz w:val="20"/>
          <w:szCs w:val="20"/>
          <w:lang w:val="es-ES_tradnl"/>
        </w:rPr>
      </w:pPr>
    </w:p>
    <w:p w14:paraId="047B3F1B" w14:textId="77777777" w:rsidR="00A50FCF" w:rsidRPr="006D531F" w:rsidRDefault="00A50FCF" w:rsidP="000A6CEF">
      <w:pPr>
        <w:suppressAutoHyphens/>
        <w:jc w:val="both"/>
        <w:rPr>
          <w:rFonts w:asciiTheme="majorHAnsi" w:hAnsiTheme="majorHAnsi"/>
          <w:sz w:val="20"/>
          <w:szCs w:val="20"/>
          <w:lang w:val="es-ES_tradnl"/>
        </w:rPr>
      </w:pPr>
    </w:p>
    <w:p w14:paraId="0730A5F6" w14:textId="77777777" w:rsidR="00A50FCF" w:rsidRPr="006D531F" w:rsidRDefault="00A50FCF" w:rsidP="000A6CEF">
      <w:pPr>
        <w:suppressAutoHyphens/>
        <w:jc w:val="both"/>
        <w:rPr>
          <w:rFonts w:asciiTheme="majorHAnsi" w:hAnsiTheme="majorHAnsi"/>
          <w:sz w:val="20"/>
          <w:szCs w:val="20"/>
          <w:lang w:val="es-ES_tradnl"/>
        </w:rPr>
      </w:pPr>
    </w:p>
    <w:p w14:paraId="705B75DA" w14:textId="77777777" w:rsidR="00A50FCF" w:rsidRPr="006D531F" w:rsidRDefault="00A50FCF" w:rsidP="000A6CEF">
      <w:pPr>
        <w:suppressAutoHyphens/>
        <w:jc w:val="both"/>
        <w:rPr>
          <w:rFonts w:asciiTheme="majorHAnsi" w:hAnsiTheme="majorHAnsi"/>
          <w:sz w:val="20"/>
          <w:szCs w:val="20"/>
          <w:lang w:val="es-ES_tradnl"/>
        </w:rPr>
      </w:pPr>
    </w:p>
    <w:p w14:paraId="7FC521D4" w14:textId="77777777" w:rsidR="00A50FCF" w:rsidRPr="006D531F" w:rsidRDefault="00A50FCF" w:rsidP="000A6CEF">
      <w:pPr>
        <w:suppressAutoHyphens/>
        <w:jc w:val="both"/>
        <w:rPr>
          <w:rFonts w:asciiTheme="majorHAnsi" w:hAnsiTheme="majorHAnsi"/>
          <w:sz w:val="20"/>
          <w:szCs w:val="20"/>
          <w:lang w:val="es-ES_tradnl"/>
        </w:rPr>
      </w:pPr>
    </w:p>
    <w:p w14:paraId="48AFC91C" w14:textId="77777777" w:rsidR="00A50FCF" w:rsidRPr="006D531F" w:rsidRDefault="00A50FCF" w:rsidP="000A6CEF">
      <w:pPr>
        <w:suppressAutoHyphens/>
        <w:jc w:val="both"/>
        <w:rPr>
          <w:rFonts w:asciiTheme="majorHAnsi" w:hAnsiTheme="majorHAnsi"/>
          <w:sz w:val="20"/>
          <w:szCs w:val="20"/>
          <w:lang w:val="es-ES_tradnl"/>
        </w:rPr>
      </w:pPr>
    </w:p>
    <w:p w14:paraId="1AC32432" w14:textId="77777777" w:rsidR="00A50FCF" w:rsidRPr="006D531F" w:rsidRDefault="00A50FCF" w:rsidP="000A6CEF">
      <w:pPr>
        <w:suppressAutoHyphens/>
        <w:jc w:val="both"/>
        <w:rPr>
          <w:rFonts w:asciiTheme="majorHAnsi" w:hAnsiTheme="majorHAnsi"/>
          <w:sz w:val="20"/>
          <w:szCs w:val="20"/>
          <w:lang w:val="es-ES_tradnl"/>
        </w:rPr>
      </w:pPr>
    </w:p>
    <w:p w14:paraId="4B5050A7" w14:textId="77777777" w:rsidR="00A50FCF" w:rsidRPr="006D531F" w:rsidRDefault="00A50FCF" w:rsidP="000A6CEF">
      <w:pPr>
        <w:suppressAutoHyphens/>
        <w:jc w:val="both"/>
        <w:rPr>
          <w:rFonts w:asciiTheme="majorHAnsi" w:hAnsiTheme="majorHAnsi"/>
          <w:sz w:val="20"/>
          <w:szCs w:val="20"/>
          <w:lang w:val="es-ES_tradnl"/>
        </w:rPr>
      </w:pPr>
    </w:p>
    <w:p w14:paraId="6333033D" w14:textId="77777777" w:rsidR="00A50FCF" w:rsidRPr="006D531F" w:rsidRDefault="00A50FCF" w:rsidP="000A6CEF">
      <w:pPr>
        <w:suppressAutoHyphens/>
        <w:jc w:val="both"/>
        <w:rPr>
          <w:rFonts w:asciiTheme="majorHAnsi" w:hAnsiTheme="majorHAnsi"/>
          <w:sz w:val="20"/>
          <w:szCs w:val="20"/>
          <w:lang w:val="es-ES_tradnl"/>
        </w:rPr>
      </w:pPr>
    </w:p>
    <w:p w14:paraId="37101C91" w14:textId="77777777" w:rsidR="00A50FCF" w:rsidRPr="006D531F" w:rsidRDefault="00A50FCF" w:rsidP="000A6CEF">
      <w:pPr>
        <w:suppressAutoHyphens/>
        <w:jc w:val="both"/>
        <w:rPr>
          <w:rFonts w:asciiTheme="majorHAnsi" w:hAnsiTheme="majorHAnsi"/>
          <w:sz w:val="20"/>
          <w:szCs w:val="20"/>
          <w:lang w:val="es-ES_tradnl"/>
        </w:rPr>
      </w:pPr>
    </w:p>
    <w:p w14:paraId="0024C59D" w14:textId="77777777" w:rsidR="00A50FCF" w:rsidRPr="006D531F" w:rsidRDefault="00A50FCF" w:rsidP="000A6CEF">
      <w:pPr>
        <w:suppressAutoHyphens/>
        <w:jc w:val="both"/>
        <w:rPr>
          <w:rFonts w:asciiTheme="majorHAnsi" w:hAnsiTheme="majorHAnsi"/>
          <w:sz w:val="20"/>
          <w:szCs w:val="20"/>
          <w:lang w:val="es-ES_tradnl"/>
        </w:rPr>
      </w:pPr>
    </w:p>
    <w:p w14:paraId="1DBDD0D5" w14:textId="77777777" w:rsidR="00A50FCF" w:rsidRPr="006D531F" w:rsidRDefault="00A50FCF" w:rsidP="000A6CEF">
      <w:pPr>
        <w:suppressAutoHyphens/>
        <w:jc w:val="both"/>
        <w:rPr>
          <w:rFonts w:asciiTheme="majorHAnsi" w:hAnsiTheme="majorHAnsi"/>
          <w:sz w:val="20"/>
          <w:szCs w:val="20"/>
          <w:lang w:val="es-ES_tradnl"/>
        </w:rPr>
      </w:pPr>
    </w:p>
    <w:p w14:paraId="16014915" w14:textId="77777777" w:rsidR="00A50FCF" w:rsidRPr="006D531F" w:rsidRDefault="00A50FCF" w:rsidP="000A6CEF">
      <w:pPr>
        <w:suppressAutoHyphens/>
        <w:jc w:val="both"/>
        <w:rPr>
          <w:rFonts w:asciiTheme="majorHAnsi" w:hAnsiTheme="majorHAnsi"/>
          <w:sz w:val="20"/>
          <w:szCs w:val="20"/>
          <w:lang w:val="es-ES_tradnl"/>
        </w:rPr>
      </w:pPr>
    </w:p>
    <w:p w14:paraId="4A5D7A5A" w14:textId="77777777" w:rsidR="00A50FCF" w:rsidRPr="006D531F" w:rsidRDefault="0090270B" w:rsidP="000A6CEF">
      <w:pPr>
        <w:suppressAutoHyphens/>
        <w:jc w:val="both"/>
        <w:rPr>
          <w:rFonts w:asciiTheme="majorHAnsi" w:hAnsiTheme="majorHAnsi"/>
          <w:sz w:val="20"/>
          <w:szCs w:val="20"/>
          <w:lang w:val="es-ES_tradnl"/>
        </w:rPr>
      </w:pPr>
      <w:r w:rsidRPr="006D531F">
        <w:rPr>
          <w:rFonts w:asciiTheme="majorHAnsi" w:hAnsiTheme="majorHAnsi"/>
          <w:noProof/>
          <w:sz w:val="20"/>
          <w:szCs w:val="20"/>
        </w:rPr>
        <mc:AlternateContent>
          <mc:Choice Requires="wps">
            <w:drawing>
              <wp:anchor distT="0" distB="0" distL="114300" distR="114300" simplePos="0" relativeHeight="251654144" behindDoc="0" locked="0" layoutInCell="1" allowOverlap="1" wp14:anchorId="774309DA" wp14:editId="61DDF9D6">
                <wp:simplePos x="0" y="0"/>
                <wp:positionH relativeFrom="column">
                  <wp:posOffset>1339850</wp:posOffset>
                </wp:positionH>
                <wp:positionV relativeFrom="paragraph">
                  <wp:posOffset>20320</wp:posOffset>
                </wp:positionV>
                <wp:extent cx="4933950" cy="56515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4933950" cy="565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7BE5DA" w14:textId="77777777" w:rsidR="00B95258" w:rsidRPr="00890650" w:rsidRDefault="00B95258" w:rsidP="00681248">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 por la Comisión en su S</w:t>
                            </w:r>
                            <w:r w:rsidRPr="00890650">
                              <w:rPr>
                                <w:rFonts w:asciiTheme="majorHAnsi" w:hAnsiTheme="majorHAnsi"/>
                                <w:color w:val="0D0D0D" w:themeColor="text1" w:themeTint="F2"/>
                                <w:sz w:val="18"/>
                                <w:szCs w:val="20"/>
                                <w:lang w:val="es-ES"/>
                              </w:rPr>
                              <w:t>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2160</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elebrada el 9 de noviembre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9</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174 Período</w:t>
                            </w:r>
                            <w:r w:rsidRPr="00890650">
                              <w:rPr>
                                <w:rFonts w:asciiTheme="majorHAnsi" w:hAnsiTheme="majorHAnsi" w:cs="Univers"/>
                                <w:color w:val="0D0D0D" w:themeColor="text1" w:themeTint="F2"/>
                                <w:sz w:val="18"/>
                                <w:szCs w:val="20"/>
                                <w:lang w:val="es-ES_tradnl"/>
                              </w:rPr>
                              <w:t xml:space="preserve"> de </w:t>
                            </w:r>
                            <w:r>
                              <w:rPr>
                                <w:rFonts w:asciiTheme="majorHAnsi" w:hAnsiTheme="majorHAnsi" w:cs="Univers"/>
                                <w:color w:val="0D0D0D" w:themeColor="text1" w:themeTint="F2"/>
                                <w:sz w:val="18"/>
                                <w:szCs w:val="20"/>
                                <w:lang w:val="es-ES_tradnl"/>
                              </w:rPr>
                              <w:t>S</w:t>
                            </w:r>
                            <w:r w:rsidRPr="00890650">
                              <w:rPr>
                                <w:rFonts w:asciiTheme="majorHAnsi" w:hAnsiTheme="majorHAnsi" w:cs="Univers"/>
                                <w:color w:val="0D0D0D" w:themeColor="text1" w:themeTint="F2"/>
                                <w:sz w:val="18"/>
                                <w:szCs w:val="20"/>
                                <w:lang w:val="es-ES_tradnl"/>
                              </w:rPr>
                              <w:t>esiones</w:t>
                            </w:r>
                            <w:r>
                              <w:rPr>
                                <w:rFonts w:asciiTheme="majorHAnsi" w:hAnsiTheme="majorHAnsi" w:cs="Univers"/>
                                <w:color w:val="0D0D0D" w:themeColor="text1" w:themeTint="F2"/>
                                <w:sz w:val="18"/>
                                <w:szCs w:val="20"/>
                                <w:lang w:val="es-ES_tradnl"/>
                              </w:rPr>
                              <w:t>.</w:t>
                            </w:r>
                          </w:p>
                          <w:p w14:paraId="5A2D833B" w14:textId="77777777" w:rsidR="00B95258" w:rsidRPr="00681248" w:rsidRDefault="00B95258" w:rsidP="00DD3D86">
                            <w:pPr>
                              <w:tabs>
                                <w:tab w:val="center" w:pos="5400"/>
                              </w:tabs>
                              <w:suppressAutoHyphens/>
                              <w:spacing w:before="60"/>
                              <w:rPr>
                                <w:rFonts w:asciiTheme="majorHAnsi" w:hAnsiTheme="majorHAnsi"/>
                                <w:color w:val="0D0D0D" w:themeColor="text1" w:themeTint="F2"/>
                                <w:sz w:val="18"/>
                                <w:szCs w:val="22"/>
                                <w:lang w:val="es-ES_tradnl"/>
                              </w:rPr>
                            </w:pPr>
                          </w:p>
                          <w:p w14:paraId="1F1060A0" w14:textId="77777777" w:rsidR="00B95258" w:rsidRPr="007A5817" w:rsidRDefault="00B95258" w:rsidP="00247403">
                            <w:pPr>
                              <w:tabs>
                                <w:tab w:val="center" w:pos="5400"/>
                              </w:tabs>
                              <w:suppressAutoHyphens/>
                              <w:spacing w:before="60"/>
                              <w:rPr>
                                <w:rFonts w:asciiTheme="minorHAnsi" w:hAnsiTheme="minorHAnsi" w:cs="Univers"/>
                                <w:color w:val="0D0D0D" w:themeColor="text1" w:themeTint="F2"/>
                                <w:sz w:val="20"/>
                                <w:szCs w:val="20"/>
                                <w:lang w:val="es-ES"/>
                              </w:rPr>
                            </w:pPr>
                          </w:p>
                          <w:p w14:paraId="5257AD12" w14:textId="77777777" w:rsidR="00B95258" w:rsidRPr="00167A34" w:rsidRDefault="00B95258"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309DA" id="Text Box 7" o:spid="_x0000_s1029" type="#_x0000_t202" style="position:absolute;left:0;text-align:left;margin-left:105.5pt;margin-top:1.6pt;width:388.5pt;height:4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" filled="f" stroked="f" strokeweight=".5pt">
                <v:textbox>
                  <w:txbxContent>
                    <w:p w14:paraId="067BE5DA" w14:textId="77777777" w:rsidR="00B95258" w:rsidRPr="00890650" w:rsidRDefault="00B95258" w:rsidP="00681248">
                      <w:pPr>
                        <w:tabs>
                          <w:tab w:val="center" w:pos="5400"/>
                        </w:tabs>
                        <w:suppressAutoHyphens/>
                        <w:spacing w:before="60"/>
                        <w:rPr>
                          <w:rFonts w:asciiTheme="majorHAnsi" w:hAnsiTheme="majorHAnsi" w:cs="Univers"/>
                          <w:color w:val="0D0D0D" w:themeColor="text1" w:themeTint="F2"/>
                          <w:sz w:val="18"/>
                          <w:szCs w:val="20"/>
                          <w:lang w:val="es-ES_tradnl"/>
                        </w:rPr>
                      </w:pPr>
                      <w:r>
                        <w:rPr>
                          <w:rFonts w:asciiTheme="majorHAnsi" w:hAnsiTheme="majorHAnsi"/>
                          <w:color w:val="0D0D0D" w:themeColor="text1" w:themeTint="F2"/>
                          <w:sz w:val="18"/>
                          <w:szCs w:val="20"/>
                          <w:lang w:val="es-ES"/>
                        </w:rPr>
                        <w:t>Aprobado por la Comisión en su S</w:t>
                      </w:r>
                      <w:r w:rsidRPr="00890650">
                        <w:rPr>
                          <w:rFonts w:asciiTheme="majorHAnsi" w:hAnsiTheme="majorHAnsi"/>
                          <w:color w:val="0D0D0D" w:themeColor="text1" w:themeTint="F2"/>
                          <w:sz w:val="18"/>
                          <w:szCs w:val="20"/>
                          <w:lang w:val="es-ES"/>
                        </w:rPr>
                        <w:t>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Pr>
                          <w:rFonts w:asciiTheme="majorHAnsi" w:hAnsiTheme="majorHAnsi"/>
                          <w:color w:val="0D0D0D" w:themeColor="text1" w:themeTint="F2"/>
                          <w:sz w:val="18"/>
                          <w:szCs w:val="20"/>
                          <w:lang w:val="es-ES"/>
                        </w:rPr>
                        <w:t>2160</w:t>
                      </w:r>
                      <w:r w:rsidRPr="00890650">
                        <w:rPr>
                          <w:rFonts w:asciiTheme="majorHAnsi" w:hAnsiTheme="majorHAnsi"/>
                          <w:color w:val="0D0D0D" w:themeColor="text1" w:themeTint="F2"/>
                          <w:sz w:val="18"/>
                          <w:szCs w:val="20"/>
                          <w:lang w:val="es-ES"/>
                        </w:rPr>
                        <w:t xml:space="preserve"> c</w:t>
                      </w:r>
                      <w:r>
                        <w:rPr>
                          <w:rFonts w:asciiTheme="majorHAnsi" w:hAnsiTheme="majorHAnsi"/>
                          <w:color w:val="0D0D0D" w:themeColor="text1" w:themeTint="F2"/>
                          <w:sz w:val="18"/>
                          <w:szCs w:val="20"/>
                          <w:lang w:val="es-ES"/>
                        </w:rPr>
                        <w:t>elebrada el 9 de noviembre</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9</w:t>
                      </w:r>
                      <w:r w:rsidRPr="00890650">
                        <w:rPr>
                          <w:rFonts w:asciiTheme="majorHAnsi" w:hAnsiTheme="majorHAnsi"/>
                          <w:color w:val="0D0D0D" w:themeColor="text1" w:themeTint="F2"/>
                          <w:sz w:val="18"/>
                          <w:szCs w:val="20"/>
                          <w:lang w:val="es-ES"/>
                        </w:rPr>
                        <w:br/>
                      </w:r>
                      <w:r>
                        <w:rPr>
                          <w:rFonts w:asciiTheme="majorHAnsi" w:hAnsiTheme="majorHAnsi" w:cs="Univers"/>
                          <w:color w:val="0D0D0D" w:themeColor="text1" w:themeTint="F2"/>
                          <w:sz w:val="18"/>
                          <w:szCs w:val="20"/>
                          <w:lang w:val="es-ES_tradnl"/>
                        </w:rPr>
                        <w:t>174 Período</w:t>
                      </w:r>
                      <w:r w:rsidRPr="00890650">
                        <w:rPr>
                          <w:rFonts w:asciiTheme="majorHAnsi" w:hAnsiTheme="majorHAnsi" w:cs="Univers"/>
                          <w:color w:val="0D0D0D" w:themeColor="text1" w:themeTint="F2"/>
                          <w:sz w:val="18"/>
                          <w:szCs w:val="20"/>
                          <w:lang w:val="es-ES_tradnl"/>
                        </w:rPr>
                        <w:t xml:space="preserve"> de </w:t>
                      </w:r>
                      <w:r>
                        <w:rPr>
                          <w:rFonts w:asciiTheme="majorHAnsi" w:hAnsiTheme="majorHAnsi" w:cs="Univers"/>
                          <w:color w:val="0D0D0D" w:themeColor="text1" w:themeTint="F2"/>
                          <w:sz w:val="18"/>
                          <w:szCs w:val="20"/>
                          <w:lang w:val="es-ES_tradnl"/>
                        </w:rPr>
                        <w:t>S</w:t>
                      </w:r>
                      <w:r w:rsidRPr="00890650">
                        <w:rPr>
                          <w:rFonts w:asciiTheme="majorHAnsi" w:hAnsiTheme="majorHAnsi" w:cs="Univers"/>
                          <w:color w:val="0D0D0D" w:themeColor="text1" w:themeTint="F2"/>
                          <w:sz w:val="18"/>
                          <w:szCs w:val="20"/>
                          <w:lang w:val="es-ES_tradnl"/>
                        </w:rPr>
                        <w:t>esiones</w:t>
                      </w:r>
                      <w:r>
                        <w:rPr>
                          <w:rFonts w:asciiTheme="majorHAnsi" w:hAnsiTheme="majorHAnsi" w:cs="Univers"/>
                          <w:color w:val="0D0D0D" w:themeColor="text1" w:themeTint="F2"/>
                          <w:sz w:val="18"/>
                          <w:szCs w:val="20"/>
                          <w:lang w:val="es-ES_tradnl"/>
                        </w:rPr>
                        <w:t>.</w:t>
                      </w:r>
                    </w:p>
                    <w:p w14:paraId="5A2D833B" w14:textId="77777777" w:rsidR="00B95258" w:rsidRPr="00681248" w:rsidRDefault="00B95258" w:rsidP="00DD3D86">
                      <w:pPr>
                        <w:tabs>
                          <w:tab w:val="center" w:pos="5400"/>
                        </w:tabs>
                        <w:suppressAutoHyphens/>
                        <w:spacing w:before="60"/>
                        <w:rPr>
                          <w:rFonts w:asciiTheme="majorHAnsi" w:hAnsiTheme="majorHAnsi"/>
                          <w:color w:val="0D0D0D" w:themeColor="text1" w:themeTint="F2"/>
                          <w:sz w:val="18"/>
                          <w:szCs w:val="22"/>
                          <w:lang w:val="es-ES_tradnl"/>
                        </w:rPr>
                      </w:pPr>
                    </w:p>
                    <w:p w14:paraId="1F1060A0" w14:textId="77777777" w:rsidR="00B95258" w:rsidRPr="007A5817" w:rsidRDefault="00B95258" w:rsidP="00247403">
                      <w:pPr>
                        <w:tabs>
                          <w:tab w:val="center" w:pos="5400"/>
                        </w:tabs>
                        <w:suppressAutoHyphens/>
                        <w:spacing w:before="60"/>
                        <w:rPr>
                          <w:rFonts w:asciiTheme="minorHAnsi" w:hAnsiTheme="minorHAnsi" w:cs="Univers"/>
                          <w:color w:val="0D0D0D" w:themeColor="text1" w:themeTint="F2"/>
                          <w:sz w:val="20"/>
                          <w:szCs w:val="20"/>
                          <w:lang w:val="es-ES"/>
                        </w:rPr>
                      </w:pPr>
                    </w:p>
                    <w:p w14:paraId="5257AD12" w14:textId="77777777" w:rsidR="00B95258" w:rsidRPr="00167A34" w:rsidRDefault="00B95258"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F2BB2B9" w14:textId="77777777" w:rsidR="00A50FCF" w:rsidRPr="006D531F" w:rsidRDefault="00A50FCF" w:rsidP="000A6CEF">
      <w:pPr>
        <w:suppressAutoHyphens/>
        <w:jc w:val="both"/>
        <w:rPr>
          <w:rFonts w:asciiTheme="majorHAnsi" w:hAnsiTheme="majorHAnsi"/>
          <w:sz w:val="20"/>
          <w:szCs w:val="20"/>
          <w:lang w:val="es-ES_tradnl"/>
        </w:rPr>
      </w:pPr>
    </w:p>
    <w:p w14:paraId="4A744FDA" w14:textId="77777777" w:rsidR="00A50FCF" w:rsidRPr="006D531F" w:rsidRDefault="00A50FCF" w:rsidP="000A6CEF">
      <w:pPr>
        <w:suppressAutoHyphens/>
        <w:jc w:val="both"/>
        <w:rPr>
          <w:rFonts w:asciiTheme="majorHAnsi" w:hAnsiTheme="majorHAnsi"/>
          <w:sz w:val="20"/>
          <w:szCs w:val="20"/>
          <w:lang w:val="es-ES_tradnl"/>
        </w:rPr>
      </w:pPr>
    </w:p>
    <w:p w14:paraId="6B2846B8" w14:textId="77777777" w:rsidR="00A50FCF" w:rsidRPr="006D531F" w:rsidRDefault="00A65860" w:rsidP="000A6CEF">
      <w:pPr>
        <w:suppressAutoHyphens/>
        <w:jc w:val="both"/>
        <w:rPr>
          <w:rFonts w:asciiTheme="majorHAnsi" w:hAnsiTheme="majorHAnsi"/>
          <w:sz w:val="20"/>
          <w:szCs w:val="20"/>
          <w:lang w:val="es-ES_tradnl"/>
        </w:rPr>
      </w:pPr>
      <w:r w:rsidRPr="006D531F">
        <w:rPr>
          <w:rFonts w:asciiTheme="majorHAnsi" w:hAnsiTheme="majorHAnsi"/>
          <w:noProof/>
          <w:sz w:val="20"/>
          <w:szCs w:val="20"/>
        </w:rPr>
        <mc:AlternateContent>
          <mc:Choice Requires="wps">
            <w:drawing>
              <wp:anchor distT="0" distB="0" distL="114300" distR="114300" simplePos="0" relativeHeight="251663360" behindDoc="0" locked="0" layoutInCell="1" allowOverlap="1" wp14:anchorId="1BC67A82" wp14:editId="2856990E">
                <wp:simplePos x="0" y="0"/>
                <wp:positionH relativeFrom="column">
                  <wp:posOffset>1333500</wp:posOffset>
                </wp:positionH>
                <wp:positionV relativeFrom="paragraph">
                  <wp:posOffset>139065</wp:posOffset>
                </wp:positionV>
                <wp:extent cx="4943475" cy="8223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822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8926DE" w14:textId="77777777" w:rsidR="00B95258" w:rsidRPr="004236ED" w:rsidRDefault="00B95258" w:rsidP="009A47F5">
                            <w:pPr>
                              <w:spacing w:line="276" w:lineRule="auto"/>
                              <w:rPr>
                                <w:rFonts w:asciiTheme="majorHAnsi" w:hAnsiTheme="majorHAnsi"/>
                                <w:color w:val="595959" w:themeColor="text1" w:themeTint="A6"/>
                                <w:sz w:val="18"/>
                                <w:szCs w:val="18"/>
                                <w:lang w:val="es-ES_tradnl"/>
                              </w:rPr>
                            </w:pPr>
                            <w:r w:rsidRPr="0022273F">
                              <w:rPr>
                                <w:rFonts w:asciiTheme="majorHAnsi" w:hAnsiTheme="majorHAnsi"/>
                                <w:b/>
                                <w:color w:val="595959" w:themeColor="text1" w:themeTint="A6"/>
                                <w:sz w:val="18"/>
                                <w:szCs w:val="18"/>
                                <w:lang w:val="pt-BR"/>
                              </w:rPr>
                              <w:t>Citar como:</w:t>
                            </w:r>
                            <w:r w:rsidRPr="0022273F">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pt-BR"/>
                              </w:rPr>
                              <w:t>164</w:t>
                            </w:r>
                            <w:r w:rsidRPr="0022273F">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19</w:t>
                            </w:r>
                            <w:r w:rsidRPr="0022273F">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 xml:space="preserve">Caso 13.608. Fondo. </w:t>
                            </w:r>
                            <w:r w:rsidRPr="004236ED">
                              <w:rPr>
                                <w:rFonts w:asciiTheme="majorHAnsi" w:hAnsiTheme="majorHAnsi"/>
                                <w:color w:val="595959" w:themeColor="text1" w:themeTint="A6"/>
                                <w:sz w:val="18"/>
                                <w:szCs w:val="18"/>
                                <w:lang w:val="es-ES_tradnl"/>
                              </w:rPr>
                              <w:t>P</w:t>
                            </w:r>
                            <w:r>
                              <w:rPr>
                                <w:rFonts w:asciiTheme="majorHAnsi" w:hAnsiTheme="majorHAnsi"/>
                                <w:color w:val="595959" w:themeColor="text1" w:themeTint="A6"/>
                                <w:sz w:val="18"/>
                                <w:szCs w:val="18"/>
                                <w:lang w:val="es-ES_tradnl"/>
                              </w:rPr>
                              <w:t>ueblos i</w:t>
                            </w:r>
                            <w:r w:rsidRPr="004236ED">
                              <w:rPr>
                                <w:rFonts w:asciiTheme="majorHAnsi" w:hAnsiTheme="majorHAnsi"/>
                                <w:color w:val="595959" w:themeColor="text1" w:themeTint="A6"/>
                                <w:sz w:val="18"/>
                                <w:szCs w:val="18"/>
                                <w:lang w:val="es-ES_tradnl"/>
                              </w:rPr>
                              <w:t>ndígenas</w:t>
                            </w:r>
                            <w:r>
                              <w:rPr>
                                <w:rFonts w:asciiTheme="majorHAnsi" w:hAnsiTheme="majorHAnsi"/>
                                <w:color w:val="595959" w:themeColor="text1" w:themeTint="A6"/>
                                <w:sz w:val="18"/>
                                <w:szCs w:val="18"/>
                                <w:lang w:val="es-ES_tradnl"/>
                              </w:rPr>
                              <w:t xml:space="preserve"> Maya Kaqchikel de Sumpango y o</w:t>
                            </w:r>
                            <w:r w:rsidRPr="004236ED">
                              <w:rPr>
                                <w:rFonts w:asciiTheme="majorHAnsi" w:hAnsiTheme="majorHAnsi"/>
                                <w:color w:val="595959" w:themeColor="text1" w:themeTint="A6"/>
                                <w:sz w:val="18"/>
                                <w:szCs w:val="18"/>
                                <w:lang w:val="es-ES_tradnl"/>
                              </w:rPr>
                              <w:t>tros</w:t>
                            </w:r>
                            <w:r>
                              <w:rPr>
                                <w:rFonts w:asciiTheme="majorHAnsi" w:hAnsiTheme="majorHAnsi"/>
                                <w:color w:val="595959" w:themeColor="text1" w:themeTint="A6"/>
                                <w:sz w:val="18"/>
                                <w:szCs w:val="18"/>
                                <w:lang w:val="es-ES_tradnl"/>
                              </w:rPr>
                              <w:t>. Guatemala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US"/>
                              </w:rPr>
                              <w:t>9 de noviembre de 2019.</w:t>
                            </w:r>
                          </w:p>
                          <w:p w14:paraId="2FA4E4C5" w14:textId="77777777" w:rsidR="00B95258" w:rsidRPr="007C756A" w:rsidRDefault="00B95258" w:rsidP="00113F73">
                            <w:pPr>
                              <w:spacing w:line="276" w:lineRule="auto"/>
                              <w:rPr>
                                <w:rFonts w:asciiTheme="majorHAnsi" w:hAnsiTheme="majorHAnsi"/>
                                <w:color w:val="595959" w:themeColor="text1" w:themeTint="A6"/>
                                <w:sz w:val="18"/>
                                <w:szCs w:val="18"/>
                                <w:lang w:val="es-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67A82" id="Text Box 10" o:spid="_x0000_s1030" type="#_x0000_t202" style="position:absolute;left:0;text-align:left;margin-left:105pt;margin-top:10.95pt;width:389.25pt;height:6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" filled="f" stroked="f" strokeweight=".5pt">
                <v:textbox>
                  <w:txbxContent>
                    <w:p w14:paraId="338926DE" w14:textId="77777777" w:rsidR="00B95258" w:rsidRPr="004236ED" w:rsidRDefault="00B95258" w:rsidP="009A47F5">
                      <w:pPr>
                        <w:spacing w:line="276" w:lineRule="auto"/>
                        <w:rPr>
                          <w:rFonts w:asciiTheme="majorHAnsi" w:hAnsiTheme="majorHAnsi"/>
                          <w:color w:val="595959" w:themeColor="text1" w:themeTint="A6"/>
                          <w:sz w:val="18"/>
                          <w:szCs w:val="18"/>
                          <w:lang w:val="es-ES_tradnl"/>
                        </w:rPr>
                      </w:pPr>
                      <w:r w:rsidRPr="0022273F">
                        <w:rPr>
                          <w:rFonts w:asciiTheme="majorHAnsi" w:hAnsiTheme="majorHAnsi"/>
                          <w:b/>
                          <w:color w:val="595959" w:themeColor="text1" w:themeTint="A6"/>
                          <w:sz w:val="18"/>
                          <w:szCs w:val="18"/>
                          <w:lang w:val="pt-BR"/>
                        </w:rPr>
                        <w:t>Citar como:</w:t>
                      </w:r>
                      <w:r w:rsidRPr="0022273F">
                        <w:rPr>
                          <w:rFonts w:asciiTheme="majorHAnsi" w:hAnsiTheme="majorHAnsi"/>
                          <w:color w:val="595959" w:themeColor="text1" w:themeTint="A6"/>
                          <w:sz w:val="18"/>
                          <w:szCs w:val="18"/>
                          <w:lang w:val="pt-BR"/>
                        </w:rPr>
                        <w:t xml:space="preserve"> CIDH. Informe No. </w:t>
                      </w:r>
                      <w:r>
                        <w:rPr>
                          <w:rFonts w:asciiTheme="majorHAnsi" w:hAnsiTheme="majorHAnsi"/>
                          <w:color w:val="595959" w:themeColor="text1" w:themeTint="A6"/>
                          <w:sz w:val="18"/>
                          <w:szCs w:val="18"/>
                          <w:lang w:val="pt-BR"/>
                        </w:rPr>
                        <w:t>164</w:t>
                      </w:r>
                      <w:r w:rsidRPr="0022273F">
                        <w:rPr>
                          <w:rFonts w:asciiTheme="majorHAnsi" w:hAnsiTheme="majorHAnsi"/>
                          <w:color w:val="595959" w:themeColor="text1" w:themeTint="A6"/>
                          <w:sz w:val="18"/>
                          <w:szCs w:val="18"/>
                          <w:lang w:val="pt-BR"/>
                        </w:rPr>
                        <w:t>/</w:t>
                      </w:r>
                      <w:r>
                        <w:rPr>
                          <w:rFonts w:asciiTheme="majorHAnsi" w:hAnsiTheme="majorHAnsi"/>
                          <w:color w:val="595959" w:themeColor="text1" w:themeTint="A6"/>
                          <w:sz w:val="18"/>
                          <w:szCs w:val="18"/>
                          <w:lang w:val="pt-BR"/>
                        </w:rPr>
                        <w:t>19</w:t>
                      </w:r>
                      <w:r w:rsidRPr="0022273F">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 xml:space="preserve">Caso 13.608. Fondo. </w:t>
                      </w:r>
                      <w:r w:rsidRPr="004236ED">
                        <w:rPr>
                          <w:rFonts w:asciiTheme="majorHAnsi" w:hAnsiTheme="majorHAnsi"/>
                          <w:color w:val="595959" w:themeColor="text1" w:themeTint="A6"/>
                          <w:sz w:val="18"/>
                          <w:szCs w:val="18"/>
                          <w:lang w:val="es-ES_tradnl"/>
                        </w:rPr>
                        <w:t>P</w:t>
                      </w:r>
                      <w:r>
                        <w:rPr>
                          <w:rFonts w:asciiTheme="majorHAnsi" w:hAnsiTheme="majorHAnsi"/>
                          <w:color w:val="595959" w:themeColor="text1" w:themeTint="A6"/>
                          <w:sz w:val="18"/>
                          <w:szCs w:val="18"/>
                          <w:lang w:val="es-ES_tradnl"/>
                        </w:rPr>
                        <w:t>ueblos i</w:t>
                      </w:r>
                      <w:r w:rsidRPr="004236ED">
                        <w:rPr>
                          <w:rFonts w:asciiTheme="majorHAnsi" w:hAnsiTheme="majorHAnsi"/>
                          <w:color w:val="595959" w:themeColor="text1" w:themeTint="A6"/>
                          <w:sz w:val="18"/>
                          <w:szCs w:val="18"/>
                          <w:lang w:val="es-ES_tradnl"/>
                        </w:rPr>
                        <w:t>ndígenas</w:t>
                      </w:r>
                      <w:r>
                        <w:rPr>
                          <w:rFonts w:asciiTheme="majorHAnsi" w:hAnsiTheme="majorHAnsi"/>
                          <w:color w:val="595959" w:themeColor="text1" w:themeTint="A6"/>
                          <w:sz w:val="18"/>
                          <w:szCs w:val="18"/>
                          <w:lang w:val="es-ES_tradnl"/>
                        </w:rPr>
                        <w:t xml:space="preserve"> Maya Kaqchikel de Sumpango y o</w:t>
                      </w:r>
                      <w:r w:rsidRPr="004236ED">
                        <w:rPr>
                          <w:rFonts w:asciiTheme="majorHAnsi" w:hAnsiTheme="majorHAnsi"/>
                          <w:color w:val="595959" w:themeColor="text1" w:themeTint="A6"/>
                          <w:sz w:val="18"/>
                          <w:szCs w:val="18"/>
                          <w:lang w:val="es-ES_tradnl"/>
                        </w:rPr>
                        <w:t>tros</w:t>
                      </w:r>
                      <w:r>
                        <w:rPr>
                          <w:rFonts w:asciiTheme="majorHAnsi" w:hAnsiTheme="majorHAnsi"/>
                          <w:color w:val="595959" w:themeColor="text1" w:themeTint="A6"/>
                          <w:sz w:val="18"/>
                          <w:szCs w:val="18"/>
                          <w:lang w:val="es-ES_tradnl"/>
                        </w:rPr>
                        <w:t>. Guatemala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US"/>
                        </w:rPr>
                        <w:t>9 de noviembre de 2019.</w:t>
                      </w:r>
                    </w:p>
                    <w:p w14:paraId="2FA4E4C5" w14:textId="77777777" w:rsidR="00B95258" w:rsidRPr="007C756A" w:rsidRDefault="00B95258" w:rsidP="00113F73">
                      <w:pPr>
                        <w:spacing w:line="276" w:lineRule="auto"/>
                        <w:rPr>
                          <w:rFonts w:asciiTheme="majorHAnsi" w:hAnsiTheme="majorHAnsi"/>
                          <w:color w:val="595959" w:themeColor="text1" w:themeTint="A6"/>
                          <w:sz w:val="18"/>
                          <w:szCs w:val="18"/>
                          <w:lang w:val="es-US"/>
                        </w:rPr>
                      </w:pPr>
                    </w:p>
                  </w:txbxContent>
                </v:textbox>
              </v:shape>
            </w:pict>
          </mc:Fallback>
        </mc:AlternateContent>
      </w:r>
    </w:p>
    <w:p w14:paraId="032DE999" w14:textId="77777777" w:rsidR="00A50FCF" w:rsidRPr="006D531F" w:rsidRDefault="00A50FCF" w:rsidP="000A6CEF">
      <w:pPr>
        <w:suppressAutoHyphens/>
        <w:jc w:val="both"/>
        <w:rPr>
          <w:rFonts w:asciiTheme="majorHAnsi" w:hAnsiTheme="majorHAnsi"/>
          <w:sz w:val="20"/>
          <w:szCs w:val="20"/>
          <w:lang w:val="es-ES_tradnl"/>
        </w:rPr>
      </w:pPr>
    </w:p>
    <w:p w14:paraId="136743AA" w14:textId="77777777" w:rsidR="00A50FCF" w:rsidRPr="006D531F" w:rsidRDefault="00A50FCF" w:rsidP="000A6CEF">
      <w:pPr>
        <w:suppressAutoHyphens/>
        <w:jc w:val="both"/>
        <w:rPr>
          <w:rFonts w:asciiTheme="majorHAnsi" w:hAnsiTheme="majorHAnsi"/>
          <w:sz w:val="20"/>
          <w:szCs w:val="20"/>
          <w:lang w:val="es-ES_tradnl"/>
        </w:rPr>
      </w:pPr>
    </w:p>
    <w:p w14:paraId="7B9B8342" w14:textId="77777777" w:rsidR="0070697F" w:rsidRPr="006D531F" w:rsidRDefault="00D306D1" w:rsidP="000A6CEF">
      <w:pPr>
        <w:suppressAutoHyphens/>
        <w:jc w:val="both"/>
        <w:rPr>
          <w:rFonts w:asciiTheme="majorHAnsi" w:hAnsiTheme="majorHAnsi"/>
          <w:b/>
          <w:sz w:val="20"/>
          <w:szCs w:val="20"/>
          <w:lang w:val="es-ES_tradnl"/>
        </w:rPr>
        <w:sectPr w:rsidR="0070697F" w:rsidRPr="006D531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6D531F">
        <w:rPr>
          <w:rFonts w:asciiTheme="majorHAnsi" w:hAnsiTheme="majorHAnsi"/>
          <w:noProof/>
          <w:sz w:val="20"/>
          <w:szCs w:val="20"/>
        </w:rPr>
        <mc:AlternateContent>
          <mc:Choice Requires="wps">
            <w:drawing>
              <wp:anchor distT="0" distB="0" distL="114300" distR="114300" simplePos="0" relativeHeight="251666432" behindDoc="0" locked="0" layoutInCell="1" allowOverlap="1" wp14:anchorId="1D3A8109" wp14:editId="6874ECAA">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D8E949" w14:textId="77777777" w:rsidR="00B95258" w:rsidRPr="00D72DC6" w:rsidRDefault="00B9525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94C9487" wp14:editId="79EAC1E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A8109" id="Text Box 9" o:spid="_x0000_s1031" type="#_x0000_t202" style="position:absolute;left:0;text-align:left;margin-left:104.7pt;margin-top:50.3pt;width:322.55pt;height:4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4D8E949" w14:textId="77777777" w:rsidR="00B95258" w:rsidRPr="00D72DC6" w:rsidRDefault="00B95258"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94C9487" wp14:editId="79EAC1E0">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D531F">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68A83103" wp14:editId="176D389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904BE" w14:textId="77777777" w:rsidR="00B95258" w:rsidRPr="004B7EB6" w:rsidRDefault="00B9525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83103" id="Text Box 4" o:spid="_x0000_s1032" type="#_x0000_t202" style="position:absolute;left:0;text-align:left;margin-left:-21.45pt;margin-top:72.05pt;width:93pt;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3C8904BE" w14:textId="77777777" w:rsidR="00B95258" w:rsidRPr="004B7EB6" w:rsidRDefault="00B9525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8077C28" w14:textId="77777777" w:rsidR="00245249" w:rsidRPr="006D531F" w:rsidRDefault="00245249" w:rsidP="00F855E6">
      <w:pPr>
        <w:suppressAutoHyphens/>
        <w:jc w:val="center"/>
        <w:rPr>
          <w:rFonts w:asciiTheme="majorHAnsi" w:hAnsiTheme="majorHAnsi"/>
          <w:sz w:val="20"/>
          <w:szCs w:val="20"/>
          <w:lang w:val="es-ES_tradnl"/>
        </w:rPr>
      </w:pPr>
    </w:p>
    <w:p w14:paraId="7232C3B3" w14:textId="77777777" w:rsidR="00245249" w:rsidRPr="006D531F" w:rsidRDefault="00245249" w:rsidP="00E24CC4">
      <w:pPr>
        <w:tabs>
          <w:tab w:val="center" w:pos="5400"/>
        </w:tabs>
        <w:suppressAutoHyphens/>
        <w:jc w:val="center"/>
        <w:rPr>
          <w:rFonts w:asciiTheme="majorHAnsi" w:hAnsiTheme="majorHAnsi"/>
          <w:b/>
          <w:sz w:val="20"/>
          <w:szCs w:val="20"/>
          <w:lang w:val="es-MX"/>
        </w:rPr>
      </w:pPr>
      <w:r w:rsidRPr="006D531F">
        <w:rPr>
          <w:rFonts w:asciiTheme="majorHAnsi" w:hAnsiTheme="majorHAnsi"/>
          <w:b/>
          <w:sz w:val="20"/>
          <w:szCs w:val="20"/>
          <w:lang w:val="es-MX"/>
        </w:rPr>
        <w:t xml:space="preserve">INFORME No. </w:t>
      </w:r>
      <w:r w:rsidR="00EE5A21">
        <w:rPr>
          <w:rFonts w:asciiTheme="majorHAnsi" w:hAnsiTheme="majorHAnsi"/>
          <w:b/>
          <w:sz w:val="20"/>
          <w:szCs w:val="20"/>
          <w:lang w:val="es-MX"/>
        </w:rPr>
        <w:t>164</w:t>
      </w:r>
      <w:r w:rsidRPr="006D531F">
        <w:rPr>
          <w:rFonts w:asciiTheme="majorHAnsi" w:hAnsiTheme="majorHAnsi"/>
          <w:b/>
          <w:sz w:val="20"/>
          <w:szCs w:val="20"/>
          <w:lang w:val="es-MX"/>
        </w:rPr>
        <w:t>/</w:t>
      </w:r>
      <w:r w:rsidR="00AE7DD5">
        <w:rPr>
          <w:rFonts w:asciiTheme="majorHAnsi" w:hAnsiTheme="majorHAnsi"/>
          <w:b/>
          <w:sz w:val="20"/>
          <w:szCs w:val="20"/>
          <w:lang w:val="es-MX"/>
        </w:rPr>
        <w:t>19</w:t>
      </w:r>
    </w:p>
    <w:p w14:paraId="208A9A92" w14:textId="77777777" w:rsidR="00245249" w:rsidRPr="006D531F" w:rsidRDefault="00245249" w:rsidP="00E24CC4">
      <w:pPr>
        <w:tabs>
          <w:tab w:val="center" w:pos="5400"/>
        </w:tabs>
        <w:suppressAutoHyphens/>
        <w:jc w:val="center"/>
        <w:rPr>
          <w:rFonts w:asciiTheme="majorHAnsi" w:hAnsiTheme="majorHAnsi"/>
          <w:b/>
          <w:sz w:val="20"/>
          <w:szCs w:val="20"/>
          <w:lang w:val="es-MX"/>
        </w:rPr>
      </w:pPr>
      <w:r w:rsidRPr="006D531F">
        <w:rPr>
          <w:rFonts w:asciiTheme="majorHAnsi" w:hAnsiTheme="majorHAnsi"/>
          <w:b/>
          <w:sz w:val="20"/>
          <w:szCs w:val="20"/>
          <w:lang w:val="es-MX"/>
        </w:rPr>
        <w:t>CASO 13.608</w:t>
      </w:r>
    </w:p>
    <w:p w14:paraId="0058A64A" w14:textId="77777777" w:rsidR="00245249" w:rsidRPr="006D531F" w:rsidRDefault="00245249" w:rsidP="00E24CC4">
      <w:pPr>
        <w:tabs>
          <w:tab w:val="center" w:pos="5400"/>
        </w:tabs>
        <w:suppressAutoHyphens/>
        <w:jc w:val="center"/>
        <w:rPr>
          <w:rFonts w:asciiTheme="majorHAnsi" w:hAnsiTheme="majorHAnsi"/>
          <w:sz w:val="20"/>
          <w:szCs w:val="20"/>
          <w:lang w:val="es-ES_tradnl"/>
        </w:rPr>
      </w:pPr>
      <w:r w:rsidRPr="006D531F">
        <w:rPr>
          <w:rFonts w:asciiTheme="majorHAnsi" w:hAnsiTheme="majorHAnsi"/>
          <w:sz w:val="20"/>
          <w:szCs w:val="20"/>
          <w:lang w:val="es-ES_tradnl"/>
        </w:rPr>
        <w:t>FONDO</w:t>
      </w:r>
    </w:p>
    <w:p w14:paraId="63F010CA" w14:textId="77777777" w:rsidR="00245249" w:rsidRPr="006D531F" w:rsidRDefault="00245249" w:rsidP="00E24CC4">
      <w:pPr>
        <w:tabs>
          <w:tab w:val="center" w:pos="5400"/>
        </w:tabs>
        <w:suppressAutoHyphens/>
        <w:jc w:val="center"/>
        <w:rPr>
          <w:rFonts w:asciiTheme="majorHAnsi" w:hAnsiTheme="majorHAnsi"/>
          <w:sz w:val="20"/>
          <w:szCs w:val="20"/>
          <w:lang w:val="es-ES_tradnl"/>
        </w:rPr>
      </w:pPr>
      <w:r w:rsidRPr="006D531F">
        <w:rPr>
          <w:rFonts w:asciiTheme="majorHAnsi" w:hAnsiTheme="majorHAnsi"/>
          <w:sz w:val="20"/>
          <w:szCs w:val="20"/>
          <w:lang w:val="es-ES_tradnl"/>
        </w:rPr>
        <w:t>PUEBLOS INDÍGENAS MAYA KAQCHIKEL DE SUMPANGO Y OTROS</w:t>
      </w:r>
    </w:p>
    <w:p w14:paraId="0BC10029" w14:textId="77777777" w:rsidR="00245249" w:rsidRPr="006D531F" w:rsidRDefault="00245249" w:rsidP="00E24CC4">
      <w:pPr>
        <w:tabs>
          <w:tab w:val="center" w:pos="5400"/>
        </w:tabs>
        <w:suppressAutoHyphens/>
        <w:jc w:val="center"/>
        <w:rPr>
          <w:rFonts w:asciiTheme="majorHAnsi" w:hAnsiTheme="majorHAnsi"/>
          <w:sz w:val="20"/>
          <w:szCs w:val="20"/>
          <w:lang w:val="es-ES_tradnl"/>
        </w:rPr>
      </w:pPr>
      <w:r w:rsidRPr="006D531F">
        <w:rPr>
          <w:rFonts w:asciiTheme="majorHAnsi" w:hAnsiTheme="majorHAnsi"/>
          <w:sz w:val="20"/>
          <w:szCs w:val="20"/>
          <w:lang w:val="es-ES_tradnl"/>
        </w:rPr>
        <w:t>GUATEMALA</w:t>
      </w:r>
    </w:p>
    <w:p w14:paraId="062FE08B" w14:textId="77777777" w:rsidR="00245249" w:rsidRPr="006D531F" w:rsidRDefault="00EE5A21" w:rsidP="00E24CC4">
      <w:pPr>
        <w:tabs>
          <w:tab w:val="center" w:pos="5400"/>
        </w:tabs>
        <w:suppressAutoHyphens/>
        <w:jc w:val="center"/>
        <w:rPr>
          <w:rFonts w:asciiTheme="majorHAnsi" w:hAnsiTheme="majorHAnsi"/>
          <w:sz w:val="20"/>
          <w:szCs w:val="20"/>
          <w:lang w:val="es-ES_tradnl"/>
        </w:rPr>
      </w:pPr>
      <w:r>
        <w:rPr>
          <w:rFonts w:asciiTheme="majorHAnsi" w:hAnsiTheme="majorHAnsi"/>
          <w:sz w:val="20"/>
          <w:szCs w:val="20"/>
          <w:lang w:val="es-ES_tradnl"/>
        </w:rPr>
        <w:t>9</w:t>
      </w:r>
      <w:r w:rsidR="00EA7D07" w:rsidRPr="006D531F">
        <w:rPr>
          <w:rFonts w:asciiTheme="majorHAnsi" w:hAnsiTheme="majorHAnsi"/>
          <w:sz w:val="20"/>
          <w:szCs w:val="20"/>
          <w:lang w:val="es-ES_tradnl"/>
        </w:rPr>
        <w:t xml:space="preserve"> de </w:t>
      </w:r>
      <w:r w:rsidR="00E24CC4" w:rsidRPr="006D531F">
        <w:rPr>
          <w:rFonts w:asciiTheme="majorHAnsi" w:hAnsiTheme="majorHAnsi"/>
          <w:sz w:val="20"/>
          <w:szCs w:val="20"/>
          <w:lang w:val="es-ES_tradnl"/>
        </w:rPr>
        <w:t>noviembre de 2019</w:t>
      </w:r>
    </w:p>
    <w:p w14:paraId="75C5D816" w14:textId="77777777" w:rsidR="00245249" w:rsidRPr="006D531F" w:rsidRDefault="00245249" w:rsidP="00245249">
      <w:pPr>
        <w:tabs>
          <w:tab w:val="center" w:pos="5400"/>
        </w:tabs>
        <w:suppressAutoHyphens/>
        <w:spacing w:line="276" w:lineRule="auto"/>
        <w:jc w:val="center"/>
        <w:rPr>
          <w:rFonts w:asciiTheme="majorHAnsi" w:hAnsiTheme="majorHAnsi"/>
          <w:sz w:val="20"/>
          <w:szCs w:val="20"/>
          <w:lang w:val="es-ES_tradnl"/>
        </w:rPr>
      </w:pPr>
    </w:p>
    <w:p w14:paraId="41FFA88C" w14:textId="77777777" w:rsidR="00245249" w:rsidRPr="006D531F" w:rsidRDefault="00245249" w:rsidP="00245249">
      <w:pPr>
        <w:tabs>
          <w:tab w:val="center" w:pos="5400"/>
        </w:tabs>
        <w:suppressAutoHyphens/>
        <w:spacing w:line="276" w:lineRule="auto"/>
        <w:jc w:val="center"/>
        <w:rPr>
          <w:rFonts w:asciiTheme="majorHAnsi" w:hAnsiTheme="majorHAnsi"/>
          <w:b/>
          <w:sz w:val="20"/>
          <w:szCs w:val="20"/>
          <w:lang w:val="es-ES_tradnl"/>
        </w:rPr>
      </w:pPr>
      <w:r w:rsidRPr="006D531F">
        <w:rPr>
          <w:rFonts w:asciiTheme="majorHAnsi" w:hAnsiTheme="majorHAnsi"/>
          <w:b/>
          <w:sz w:val="20"/>
          <w:szCs w:val="20"/>
          <w:lang w:val="es-ES_tradnl"/>
        </w:rPr>
        <w:t>ÍNDICE</w:t>
      </w:r>
    </w:p>
    <w:sdt>
      <w:sdtPr>
        <w:rPr>
          <w:rFonts w:ascii="Cambria" w:eastAsia="Arial Unicode MS" w:hAnsi="Cambria" w:cs="Times New Roman"/>
          <w:color w:val="auto"/>
          <w:sz w:val="20"/>
          <w:szCs w:val="20"/>
          <w:bdr w:val="nil"/>
        </w:rPr>
        <w:id w:val="1984730576"/>
        <w:docPartObj>
          <w:docPartGallery w:val="Table of Contents"/>
          <w:docPartUnique/>
        </w:docPartObj>
      </w:sdtPr>
      <w:sdtEndPr>
        <w:rPr>
          <w:rFonts w:ascii="Times New Roman" w:hAnsi="Times New Roman"/>
          <w:b/>
          <w:bCs/>
          <w:noProof/>
        </w:rPr>
      </w:sdtEndPr>
      <w:sdtContent>
        <w:p w14:paraId="07F1D3B6" w14:textId="77777777" w:rsidR="00715D5E" w:rsidRPr="00431065" w:rsidRDefault="00715D5E">
          <w:pPr>
            <w:pStyle w:val="TOCHeading"/>
            <w:rPr>
              <w:rFonts w:ascii="Cambria" w:hAnsi="Cambria"/>
              <w:b/>
              <w:color w:val="auto"/>
              <w:sz w:val="20"/>
              <w:szCs w:val="20"/>
            </w:rPr>
          </w:pPr>
        </w:p>
        <w:p w14:paraId="6353A037" w14:textId="4232E86B" w:rsidR="00632495" w:rsidRPr="00EA33F1" w:rsidRDefault="00715D5E">
          <w:pPr>
            <w:pStyle w:val="TOC1"/>
            <w:tabs>
              <w:tab w:val="left" w:pos="1440"/>
              <w:tab w:val="right" w:leader="dot" w:pos="9350"/>
            </w:tabs>
            <w:rPr>
              <w:rFonts w:ascii="Cambria" w:eastAsiaTheme="minorEastAsia" w:hAnsi="Cambria" w:cstheme="minorBidi"/>
              <w:noProof/>
              <w:sz w:val="20"/>
              <w:szCs w:val="20"/>
              <w:bdr w:val="none" w:sz="0" w:space="0" w:color="auto"/>
            </w:rPr>
          </w:pPr>
          <w:r w:rsidRPr="00431065">
            <w:rPr>
              <w:rFonts w:ascii="Cambria" w:hAnsi="Cambria"/>
              <w:sz w:val="20"/>
              <w:szCs w:val="20"/>
            </w:rPr>
            <w:fldChar w:fldCharType="begin"/>
          </w:r>
          <w:r w:rsidRPr="00431065">
            <w:rPr>
              <w:rFonts w:ascii="Cambria" w:hAnsi="Cambria"/>
              <w:sz w:val="20"/>
              <w:szCs w:val="20"/>
            </w:rPr>
            <w:instrText xml:space="preserve"> TOC \o "1-3" \h \z \u </w:instrText>
          </w:r>
          <w:r w:rsidRPr="00431065">
            <w:rPr>
              <w:rFonts w:ascii="Cambria" w:hAnsi="Cambria"/>
              <w:sz w:val="20"/>
              <w:szCs w:val="20"/>
            </w:rPr>
            <w:fldChar w:fldCharType="separate"/>
          </w:r>
          <w:hyperlink w:anchor="_Toc28418769" w:history="1">
            <w:r w:rsidR="00632495" w:rsidRPr="00EA33F1">
              <w:rPr>
                <w:rStyle w:val="Hyperlink"/>
                <w:rFonts w:ascii="Cambria" w:hAnsi="Cambria"/>
                <w:noProof/>
                <w:sz w:val="20"/>
                <w:szCs w:val="20"/>
              </w:rPr>
              <w:t>I.</w:t>
            </w:r>
            <w:r w:rsidR="00632495" w:rsidRPr="00EA33F1">
              <w:rPr>
                <w:rFonts w:ascii="Cambria" w:eastAsiaTheme="minorEastAsia" w:hAnsi="Cambria" w:cstheme="minorBidi"/>
                <w:noProof/>
                <w:sz w:val="20"/>
                <w:szCs w:val="20"/>
                <w:bdr w:val="none" w:sz="0" w:space="0" w:color="auto"/>
              </w:rPr>
              <w:tab/>
            </w:r>
            <w:r w:rsidR="00632495" w:rsidRPr="00EA33F1">
              <w:rPr>
                <w:rStyle w:val="Hyperlink"/>
                <w:rFonts w:ascii="Cambria" w:hAnsi="Cambria"/>
                <w:noProof/>
                <w:sz w:val="20"/>
                <w:szCs w:val="20"/>
              </w:rPr>
              <w:t>INTRODUCCIÓN</w:t>
            </w:r>
            <w:r w:rsidR="00632495" w:rsidRPr="00EA33F1">
              <w:rPr>
                <w:rFonts w:ascii="Cambria" w:hAnsi="Cambria"/>
                <w:noProof/>
                <w:webHidden/>
                <w:sz w:val="20"/>
                <w:szCs w:val="20"/>
              </w:rPr>
              <w:tab/>
            </w:r>
            <w:r w:rsidR="00632495" w:rsidRPr="00EA33F1">
              <w:rPr>
                <w:rFonts w:ascii="Cambria" w:hAnsi="Cambria"/>
                <w:noProof/>
                <w:webHidden/>
                <w:sz w:val="20"/>
                <w:szCs w:val="20"/>
              </w:rPr>
              <w:fldChar w:fldCharType="begin"/>
            </w:r>
            <w:r w:rsidR="00632495" w:rsidRPr="00EA33F1">
              <w:rPr>
                <w:rFonts w:ascii="Cambria" w:hAnsi="Cambria"/>
                <w:noProof/>
                <w:webHidden/>
                <w:sz w:val="20"/>
                <w:szCs w:val="20"/>
              </w:rPr>
              <w:instrText xml:space="preserve"> PAGEREF _Toc28418769 \h </w:instrText>
            </w:r>
            <w:r w:rsidR="00632495" w:rsidRPr="00EA33F1">
              <w:rPr>
                <w:rFonts w:ascii="Cambria" w:hAnsi="Cambria"/>
                <w:noProof/>
                <w:webHidden/>
                <w:sz w:val="20"/>
                <w:szCs w:val="20"/>
              </w:rPr>
            </w:r>
            <w:r w:rsidR="00632495" w:rsidRPr="00EA33F1">
              <w:rPr>
                <w:rFonts w:ascii="Cambria" w:hAnsi="Cambria"/>
                <w:noProof/>
                <w:webHidden/>
                <w:sz w:val="20"/>
                <w:szCs w:val="20"/>
              </w:rPr>
              <w:fldChar w:fldCharType="separate"/>
            </w:r>
            <w:r w:rsidR="004A3F76">
              <w:rPr>
                <w:rFonts w:ascii="Cambria" w:hAnsi="Cambria"/>
                <w:noProof/>
                <w:webHidden/>
                <w:sz w:val="20"/>
                <w:szCs w:val="20"/>
              </w:rPr>
              <w:t>2</w:t>
            </w:r>
            <w:r w:rsidR="00632495" w:rsidRPr="00EA33F1">
              <w:rPr>
                <w:rFonts w:ascii="Cambria" w:hAnsi="Cambria"/>
                <w:noProof/>
                <w:webHidden/>
                <w:sz w:val="20"/>
                <w:szCs w:val="20"/>
              </w:rPr>
              <w:fldChar w:fldCharType="end"/>
            </w:r>
          </w:hyperlink>
        </w:p>
        <w:p w14:paraId="1A36598A" w14:textId="2D22CA42" w:rsidR="00632495" w:rsidRPr="00EA33F1" w:rsidRDefault="004A3F76">
          <w:pPr>
            <w:pStyle w:val="TOC1"/>
            <w:tabs>
              <w:tab w:val="left" w:pos="1440"/>
              <w:tab w:val="right" w:leader="dot" w:pos="9350"/>
            </w:tabs>
            <w:rPr>
              <w:rFonts w:ascii="Cambria" w:eastAsiaTheme="minorEastAsia" w:hAnsi="Cambria" w:cstheme="minorBidi"/>
              <w:noProof/>
              <w:sz w:val="20"/>
              <w:szCs w:val="20"/>
              <w:bdr w:val="none" w:sz="0" w:space="0" w:color="auto"/>
            </w:rPr>
          </w:pPr>
          <w:hyperlink w:anchor="_Toc28418770" w:history="1">
            <w:r w:rsidR="00632495" w:rsidRPr="00EA33F1">
              <w:rPr>
                <w:rStyle w:val="Hyperlink"/>
                <w:rFonts w:ascii="Cambria" w:hAnsi="Cambria"/>
                <w:noProof/>
                <w:sz w:val="20"/>
                <w:szCs w:val="20"/>
              </w:rPr>
              <w:t>II.</w:t>
            </w:r>
            <w:r w:rsidR="00632495" w:rsidRPr="00EA33F1">
              <w:rPr>
                <w:rFonts w:ascii="Cambria" w:eastAsiaTheme="minorEastAsia" w:hAnsi="Cambria" w:cstheme="minorBidi"/>
                <w:noProof/>
                <w:sz w:val="20"/>
                <w:szCs w:val="20"/>
                <w:bdr w:val="none" w:sz="0" w:space="0" w:color="auto"/>
              </w:rPr>
              <w:tab/>
            </w:r>
            <w:r w:rsidR="00632495" w:rsidRPr="00EA33F1">
              <w:rPr>
                <w:rStyle w:val="Hyperlink"/>
                <w:rFonts w:ascii="Cambria" w:hAnsi="Cambria"/>
                <w:noProof/>
                <w:sz w:val="20"/>
                <w:szCs w:val="20"/>
              </w:rPr>
              <w:t>ALEGATOS DE LAS PARTES</w:t>
            </w:r>
            <w:r w:rsidR="00632495" w:rsidRPr="00EA33F1">
              <w:rPr>
                <w:rFonts w:ascii="Cambria" w:hAnsi="Cambria"/>
                <w:noProof/>
                <w:webHidden/>
                <w:sz w:val="20"/>
                <w:szCs w:val="20"/>
              </w:rPr>
              <w:tab/>
            </w:r>
            <w:r w:rsidR="00632495" w:rsidRPr="00EA33F1">
              <w:rPr>
                <w:rFonts w:ascii="Cambria" w:hAnsi="Cambria"/>
                <w:noProof/>
                <w:webHidden/>
                <w:sz w:val="20"/>
                <w:szCs w:val="20"/>
              </w:rPr>
              <w:fldChar w:fldCharType="begin"/>
            </w:r>
            <w:r w:rsidR="00632495" w:rsidRPr="00EA33F1">
              <w:rPr>
                <w:rFonts w:ascii="Cambria" w:hAnsi="Cambria"/>
                <w:noProof/>
                <w:webHidden/>
                <w:sz w:val="20"/>
                <w:szCs w:val="20"/>
              </w:rPr>
              <w:instrText xml:space="preserve"> PAGEREF _Toc28418770 \h </w:instrText>
            </w:r>
            <w:r w:rsidR="00632495" w:rsidRPr="00EA33F1">
              <w:rPr>
                <w:rFonts w:ascii="Cambria" w:hAnsi="Cambria"/>
                <w:noProof/>
                <w:webHidden/>
                <w:sz w:val="20"/>
                <w:szCs w:val="20"/>
              </w:rPr>
            </w:r>
            <w:r w:rsidR="00632495" w:rsidRPr="00EA33F1">
              <w:rPr>
                <w:rFonts w:ascii="Cambria" w:hAnsi="Cambria"/>
                <w:noProof/>
                <w:webHidden/>
                <w:sz w:val="20"/>
                <w:szCs w:val="20"/>
              </w:rPr>
              <w:fldChar w:fldCharType="separate"/>
            </w:r>
            <w:r>
              <w:rPr>
                <w:rFonts w:ascii="Cambria" w:hAnsi="Cambria"/>
                <w:noProof/>
                <w:webHidden/>
                <w:sz w:val="20"/>
                <w:szCs w:val="20"/>
              </w:rPr>
              <w:t>2</w:t>
            </w:r>
            <w:r w:rsidR="00632495" w:rsidRPr="00EA33F1">
              <w:rPr>
                <w:rFonts w:ascii="Cambria" w:hAnsi="Cambria"/>
                <w:noProof/>
                <w:webHidden/>
                <w:sz w:val="20"/>
                <w:szCs w:val="20"/>
              </w:rPr>
              <w:fldChar w:fldCharType="end"/>
            </w:r>
          </w:hyperlink>
        </w:p>
        <w:p w14:paraId="3215CAC4" w14:textId="277C6BC6" w:rsidR="00632495" w:rsidRPr="00EA33F1" w:rsidRDefault="004A3F76">
          <w:pPr>
            <w:pStyle w:val="TOC2"/>
            <w:rPr>
              <w:rFonts w:ascii="Cambria" w:eastAsiaTheme="minorEastAsia" w:hAnsi="Cambria" w:cstheme="minorBidi"/>
              <w:noProof/>
              <w:sz w:val="20"/>
              <w:szCs w:val="20"/>
              <w:bdr w:val="none" w:sz="0" w:space="0" w:color="auto"/>
            </w:rPr>
          </w:pPr>
          <w:hyperlink w:anchor="_Toc28418771" w:history="1">
            <w:r w:rsidR="00632495" w:rsidRPr="00EA33F1">
              <w:rPr>
                <w:rStyle w:val="Hyperlink"/>
                <w:rFonts w:ascii="Cambria" w:hAnsi="Cambria"/>
                <w:noProof/>
                <w:sz w:val="20"/>
                <w:szCs w:val="20"/>
              </w:rPr>
              <w:t>A.</w:t>
            </w:r>
            <w:r w:rsidR="00632495" w:rsidRPr="00EA33F1">
              <w:rPr>
                <w:rFonts w:ascii="Cambria" w:eastAsiaTheme="minorEastAsia" w:hAnsi="Cambria" w:cstheme="minorBidi"/>
                <w:noProof/>
                <w:sz w:val="20"/>
                <w:szCs w:val="20"/>
                <w:bdr w:val="none" w:sz="0" w:space="0" w:color="auto"/>
              </w:rPr>
              <w:tab/>
            </w:r>
            <w:r w:rsidR="00632495" w:rsidRPr="00EA33F1">
              <w:rPr>
                <w:rStyle w:val="Hyperlink"/>
                <w:rFonts w:ascii="Cambria" w:hAnsi="Cambria"/>
                <w:noProof/>
                <w:sz w:val="20"/>
                <w:szCs w:val="20"/>
              </w:rPr>
              <w:t>Parte peticionaria</w:t>
            </w:r>
            <w:r w:rsidR="00632495" w:rsidRPr="00EA33F1">
              <w:rPr>
                <w:rFonts w:ascii="Cambria" w:hAnsi="Cambria"/>
                <w:noProof/>
                <w:webHidden/>
                <w:sz w:val="20"/>
                <w:szCs w:val="20"/>
              </w:rPr>
              <w:tab/>
            </w:r>
            <w:r w:rsidR="00632495" w:rsidRPr="00EA33F1">
              <w:rPr>
                <w:rFonts w:ascii="Cambria" w:hAnsi="Cambria"/>
                <w:noProof/>
                <w:webHidden/>
                <w:sz w:val="20"/>
                <w:szCs w:val="20"/>
              </w:rPr>
              <w:fldChar w:fldCharType="begin"/>
            </w:r>
            <w:r w:rsidR="00632495" w:rsidRPr="00EA33F1">
              <w:rPr>
                <w:rFonts w:ascii="Cambria" w:hAnsi="Cambria"/>
                <w:noProof/>
                <w:webHidden/>
                <w:sz w:val="20"/>
                <w:szCs w:val="20"/>
              </w:rPr>
              <w:instrText xml:space="preserve"> PAGEREF _Toc28418771 \h </w:instrText>
            </w:r>
            <w:r w:rsidR="00632495" w:rsidRPr="00EA33F1">
              <w:rPr>
                <w:rFonts w:ascii="Cambria" w:hAnsi="Cambria"/>
                <w:noProof/>
                <w:webHidden/>
                <w:sz w:val="20"/>
                <w:szCs w:val="20"/>
              </w:rPr>
            </w:r>
            <w:r w:rsidR="00632495" w:rsidRPr="00EA33F1">
              <w:rPr>
                <w:rFonts w:ascii="Cambria" w:hAnsi="Cambria"/>
                <w:noProof/>
                <w:webHidden/>
                <w:sz w:val="20"/>
                <w:szCs w:val="20"/>
              </w:rPr>
              <w:fldChar w:fldCharType="separate"/>
            </w:r>
            <w:r>
              <w:rPr>
                <w:rFonts w:ascii="Cambria" w:hAnsi="Cambria"/>
                <w:noProof/>
                <w:webHidden/>
                <w:sz w:val="20"/>
                <w:szCs w:val="20"/>
              </w:rPr>
              <w:t>2</w:t>
            </w:r>
            <w:r w:rsidR="00632495" w:rsidRPr="00EA33F1">
              <w:rPr>
                <w:rFonts w:ascii="Cambria" w:hAnsi="Cambria"/>
                <w:noProof/>
                <w:webHidden/>
                <w:sz w:val="20"/>
                <w:szCs w:val="20"/>
              </w:rPr>
              <w:fldChar w:fldCharType="end"/>
            </w:r>
          </w:hyperlink>
        </w:p>
        <w:p w14:paraId="09108D8F" w14:textId="75ED9A92" w:rsidR="00632495" w:rsidRPr="00EA33F1" w:rsidRDefault="004A3F76">
          <w:pPr>
            <w:pStyle w:val="TOC2"/>
            <w:rPr>
              <w:rFonts w:ascii="Cambria" w:eastAsiaTheme="minorEastAsia" w:hAnsi="Cambria" w:cstheme="minorBidi"/>
              <w:noProof/>
              <w:sz w:val="20"/>
              <w:szCs w:val="20"/>
              <w:bdr w:val="none" w:sz="0" w:space="0" w:color="auto"/>
            </w:rPr>
          </w:pPr>
          <w:hyperlink w:anchor="_Toc28418772" w:history="1">
            <w:r w:rsidR="00632495" w:rsidRPr="00EA33F1">
              <w:rPr>
                <w:rStyle w:val="Hyperlink"/>
                <w:rFonts w:ascii="Cambria" w:hAnsi="Cambria"/>
                <w:noProof/>
                <w:sz w:val="20"/>
                <w:szCs w:val="20"/>
              </w:rPr>
              <w:t>B.</w:t>
            </w:r>
            <w:r w:rsidR="00632495" w:rsidRPr="00EA33F1">
              <w:rPr>
                <w:rFonts w:ascii="Cambria" w:eastAsiaTheme="minorEastAsia" w:hAnsi="Cambria" w:cstheme="minorBidi"/>
                <w:noProof/>
                <w:sz w:val="20"/>
                <w:szCs w:val="20"/>
                <w:bdr w:val="none" w:sz="0" w:space="0" w:color="auto"/>
              </w:rPr>
              <w:tab/>
            </w:r>
            <w:r w:rsidR="00632495" w:rsidRPr="00EA33F1">
              <w:rPr>
                <w:rStyle w:val="Hyperlink"/>
                <w:rFonts w:ascii="Cambria" w:hAnsi="Cambria"/>
                <w:noProof/>
                <w:sz w:val="20"/>
                <w:szCs w:val="20"/>
              </w:rPr>
              <w:t>Estado</w:t>
            </w:r>
            <w:r w:rsidR="00632495" w:rsidRPr="00EA33F1">
              <w:rPr>
                <w:rFonts w:ascii="Cambria" w:hAnsi="Cambria"/>
                <w:noProof/>
                <w:webHidden/>
                <w:sz w:val="20"/>
                <w:szCs w:val="20"/>
              </w:rPr>
              <w:tab/>
            </w:r>
            <w:r w:rsidR="00632495" w:rsidRPr="00EA33F1">
              <w:rPr>
                <w:rFonts w:ascii="Cambria" w:hAnsi="Cambria"/>
                <w:noProof/>
                <w:webHidden/>
                <w:sz w:val="20"/>
                <w:szCs w:val="20"/>
              </w:rPr>
              <w:fldChar w:fldCharType="begin"/>
            </w:r>
            <w:r w:rsidR="00632495" w:rsidRPr="00EA33F1">
              <w:rPr>
                <w:rFonts w:ascii="Cambria" w:hAnsi="Cambria"/>
                <w:noProof/>
                <w:webHidden/>
                <w:sz w:val="20"/>
                <w:szCs w:val="20"/>
              </w:rPr>
              <w:instrText xml:space="preserve"> PAGEREF _Toc28418772 \h </w:instrText>
            </w:r>
            <w:r w:rsidR="00632495" w:rsidRPr="00EA33F1">
              <w:rPr>
                <w:rFonts w:ascii="Cambria" w:hAnsi="Cambria"/>
                <w:noProof/>
                <w:webHidden/>
                <w:sz w:val="20"/>
                <w:szCs w:val="20"/>
              </w:rPr>
            </w:r>
            <w:r w:rsidR="00632495" w:rsidRPr="00EA33F1">
              <w:rPr>
                <w:rFonts w:ascii="Cambria" w:hAnsi="Cambria"/>
                <w:noProof/>
                <w:webHidden/>
                <w:sz w:val="20"/>
                <w:szCs w:val="20"/>
              </w:rPr>
              <w:fldChar w:fldCharType="separate"/>
            </w:r>
            <w:r>
              <w:rPr>
                <w:rFonts w:ascii="Cambria" w:hAnsi="Cambria"/>
                <w:noProof/>
                <w:webHidden/>
                <w:sz w:val="20"/>
                <w:szCs w:val="20"/>
              </w:rPr>
              <w:t>4</w:t>
            </w:r>
            <w:r w:rsidR="00632495" w:rsidRPr="00EA33F1">
              <w:rPr>
                <w:rFonts w:ascii="Cambria" w:hAnsi="Cambria"/>
                <w:noProof/>
                <w:webHidden/>
                <w:sz w:val="20"/>
                <w:szCs w:val="20"/>
              </w:rPr>
              <w:fldChar w:fldCharType="end"/>
            </w:r>
          </w:hyperlink>
        </w:p>
        <w:p w14:paraId="5B135DF2" w14:textId="08687150" w:rsidR="00632495" w:rsidRPr="00EA33F1" w:rsidRDefault="004A3F76">
          <w:pPr>
            <w:pStyle w:val="TOC1"/>
            <w:tabs>
              <w:tab w:val="left" w:pos="1440"/>
              <w:tab w:val="right" w:leader="dot" w:pos="9350"/>
            </w:tabs>
            <w:rPr>
              <w:rFonts w:ascii="Cambria" w:eastAsiaTheme="minorEastAsia" w:hAnsi="Cambria" w:cstheme="minorBidi"/>
              <w:noProof/>
              <w:sz w:val="20"/>
              <w:szCs w:val="20"/>
              <w:bdr w:val="none" w:sz="0" w:space="0" w:color="auto"/>
            </w:rPr>
          </w:pPr>
          <w:hyperlink w:anchor="_Toc28418773" w:history="1">
            <w:r w:rsidR="00632495" w:rsidRPr="00EA33F1">
              <w:rPr>
                <w:rStyle w:val="Hyperlink"/>
                <w:rFonts w:ascii="Cambria" w:hAnsi="Cambria"/>
                <w:noProof/>
                <w:sz w:val="20"/>
                <w:szCs w:val="20"/>
              </w:rPr>
              <w:t>III.</w:t>
            </w:r>
            <w:r w:rsidR="00632495" w:rsidRPr="00EA33F1">
              <w:rPr>
                <w:rFonts w:ascii="Cambria" w:eastAsiaTheme="minorEastAsia" w:hAnsi="Cambria" w:cstheme="minorBidi"/>
                <w:noProof/>
                <w:sz w:val="20"/>
                <w:szCs w:val="20"/>
                <w:bdr w:val="none" w:sz="0" w:space="0" w:color="auto"/>
              </w:rPr>
              <w:tab/>
            </w:r>
            <w:r w:rsidR="00632495" w:rsidRPr="00EA33F1">
              <w:rPr>
                <w:rStyle w:val="Hyperlink"/>
                <w:rFonts w:ascii="Cambria" w:hAnsi="Cambria"/>
                <w:noProof/>
                <w:sz w:val="20"/>
                <w:szCs w:val="20"/>
              </w:rPr>
              <w:t>DETERMINACIONES DE HECHO</w:t>
            </w:r>
            <w:r w:rsidR="00632495" w:rsidRPr="00EA33F1">
              <w:rPr>
                <w:rFonts w:ascii="Cambria" w:hAnsi="Cambria"/>
                <w:noProof/>
                <w:webHidden/>
                <w:sz w:val="20"/>
                <w:szCs w:val="20"/>
              </w:rPr>
              <w:tab/>
            </w:r>
            <w:r w:rsidR="00632495" w:rsidRPr="00EA33F1">
              <w:rPr>
                <w:rFonts w:ascii="Cambria" w:hAnsi="Cambria"/>
                <w:noProof/>
                <w:webHidden/>
                <w:sz w:val="20"/>
                <w:szCs w:val="20"/>
              </w:rPr>
              <w:fldChar w:fldCharType="begin"/>
            </w:r>
            <w:r w:rsidR="00632495" w:rsidRPr="00EA33F1">
              <w:rPr>
                <w:rFonts w:ascii="Cambria" w:hAnsi="Cambria"/>
                <w:noProof/>
                <w:webHidden/>
                <w:sz w:val="20"/>
                <w:szCs w:val="20"/>
              </w:rPr>
              <w:instrText xml:space="preserve"> PAGEREF _Toc28418773 \h </w:instrText>
            </w:r>
            <w:r w:rsidR="00632495" w:rsidRPr="00EA33F1">
              <w:rPr>
                <w:rFonts w:ascii="Cambria" w:hAnsi="Cambria"/>
                <w:noProof/>
                <w:webHidden/>
                <w:sz w:val="20"/>
                <w:szCs w:val="20"/>
              </w:rPr>
            </w:r>
            <w:r w:rsidR="00632495" w:rsidRPr="00EA33F1">
              <w:rPr>
                <w:rFonts w:ascii="Cambria" w:hAnsi="Cambria"/>
                <w:noProof/>
                <w:webHidden/>
                <w:sz w:val="20"/>
                <w:szCs w:val="20"/>
              </w:rPr>
              <w:fldChar w:fldCharType="separate"/>
            </w:r>
            <w:r>
              <w:rPr>
                <w:rFonts w:ascii="Cambria" w:hAnsi="Cambria"/>
                <w:noProof/>
                <w:webHidden/>
                <w:sz w:val="20"/>
                <w:szCs w:val="20"/>
              </w:rPr>
              <w:t>4</w:t>
            </w:r>
            <w:r w:rsidR="00632495" w:rsidRPr="00EA33F1">
              <w:rPr>
                <w:rFonts w:ascii="Cambria" w:hAnsi="Cambria"/>
                <w:noProof/>
                <w:webHidden/>
                <w:sz w:val="20"/>
                <w:szCs w:val="20"/>
              </w:rPr>
              <w:fldChar w:fldCharType="end"/>
            </w:r>
          </w:hyperlink>
        </w:p>
        <w:p w14:paraId="1107F332" w14:textId="2405AD85" w:rsidR="00632495" w:rsidRPr="00EA33F1" w:rsidRDefault="004A3F76">
          <w:pPr>
            <w:pStyle w:val="TOC2"/>
            <w:rPr>
              <w:rFonts w:ascii="Cambria" w:eastAsiaTheme="minorEastAsia" w:hAnsi="Cambria" w:cstheme="minorBidi"/>
              <w:noProof/>
              <w:sz w:val="20"/>
              <w:szCs w:val="20"/>
              <w:bdr w:val="none" w:sz="0" w:space="0" w:color="auto"/>
            </w:rPr>
          </w:pPr>
          <w:hyperlink w:anchor="_Toc28418774" w:history="1">
            <w:r w:rsidR="00632495" w:rsidRPr="00EA33F1">
              <w:rPr>
                <w:rStyle w:val="Hyperlink"/>
                <w:rFonts w:ascii="Cambria" w:hAnsi="Cambria"/>
                <w:noProof/>
                <w:sz w:val="20"/>
                <w:szCs w:val="20"/>
              </w:rPr>
              <w:t>A.</w:t>
            </w:r>
            <w:r w:rsidR="00632495" w:rsidRPr="00EA33F1">
              <w:rPr>
                <w:rFonts w:ascii="Cambria" w:eastAsiaTheme="minorEastAsia" w:hAnsi="Cambria" w:cstheme="minorBidi"/>
                <w:noProof/>
                <w:sz w:val="20"/>
                <w:szCs w:val="20"/>
                <w:bdr w:val="none" w:sz="0" w:space="0" w:color="auto"/>
              </w:rPr>
              <w:tab/>
            </w:r>
            <w:r w:rsidR="00632495" w:rsidRPr="00EA33F1">
              <w:rPr>
                <w:rStyle w:val="Hyperlink"/>
                <w:rFonts w:ascii="Cambria" w:hAnsi="Cambria"/>
                <w:noProof/>
                <w:sz w:val="20"/>
                <w:szCs w:val="20"/>
              </w:rPr>
              <w:t>Situación estructural de discriminación de pueblos indígenas y radios comunitarias en Guatemala</w:t>
            </w:r>
            <w:r w:rsidR="00632495" w:rsidRPr="00EA33F1">
              <w:rPr>
                <w:rFonts w:ascii="Cambria" w:hAnsi="Cambria"/>
                <w:noProof/>
                <w:webHidden/>
                <w:sz w:val="20"/>
                <w:szCs w:val="20"/>
              </w:rPr>
              <w:tab/>
            </w:r>
            <w:r w:rsidR="00632495" w:rsidRPr="00EA33F1">
              <w:rPr>
                <w:rFonts w:ascii="Cambria" w:hAnsi="Cambria"/>
                <w:noProof/>
                <w:webHidden/>
                <w:sz w:val="20"/>
                <w:szCs w:val="20"/>
              </w:rPr>
              <w:fldChar w:fldCharType="begin"/>
            </w:r>
            <w:r w:rsidR="00632495" w:rsidRPr="00EA33F1">
              <w:rPr>
                <w:rFonts w:ascii="Cambria" w:hAnsi="Cambria"/>
                <w:noProof/>
                <w:webHidden/>
                <w:sz w:val="20"/>
                <w:szCs w:val="20"/>
              </w:rPr>
              <w:instrText xml:space="preserve"> PAGEREF _Toc28418774 \h </w:instrText>
            </w:r>
            <w:r w:rsidR="00632495" w:rsidRPr="00EA33F1">
              <w:rPr>
                <w:rFonts w:ascii="Cambria" w:hAnsi="Cambria"/>
                <w:noProof/>
                <w:webHidden/>
                <w:sz w:val="20"/>
                <w:szCs w:val="20"/>
              </w:rPr>
            </w:r>
            <w:r w:rsidR="00632495" w:rsidRPr="00EA33F1">
              <w:rPr>
                <w:rFonts w:ascii="Cambria" w:hAnsi="Cambria"/>
                <w:noProof/>
                <w:webHidden/>
                <w:sz w:val="20"/>
                <w:szCs w:val="20"/>
              </w:rPr>
              <w:fldChar w:fldCharType="separate"/>
            </w:r>
            <w:r>
              <w:rPr>
                <w:rFonts w:ascii="Cambria" w:hAnsi="Cambria"/>
                <w:noProof/>
                <w:webHidden/>
                <w:sz w:val="20"/>
                <w:szCs w:val="20"/>
              </w:rPr>
              <w:t>4</w:t>
            </w:r>
            <w:r w:rsidR="00632495" w:rsidRPr="00EA33F1">
              <w:rPr>
                <w:rFonts w:ascii="Cambria" w:hAnsi="Cambria"/>
                <w:noProof/>
                <w:webHidden/>
                <w:sz w:val="20"/>
                <w:szCs w:val="20"/>
              </w:rPr>
              <w:fldChar w:fldCharType="end"/>
            </w:r>
          </w:hyperlink>
        </w:p>
        <w:p w14:paraId="79097650" w14:textId="5BF3DA14" w:rsidR="00632495" w:rsidRPr="00EA33F1" w:rsidRDefault="004A3F76">
          <w:pPr>
            <w:pStyle w:val="TOC2"/>
            <w:rPr>
              <w:rFonts w:ascii="Cambria" w:eastAsiaTheme="minorEastAsia" w:hAnsi="Cambria" w:cstheme="minorBidi"/>
              <w:noProof/>
              <w:sz w:val="20"/>
              <w:szCs w:val="20"/>
              <w:bdr w:val="none" w:sz="0" w:space="0" w:color="auto"/>
            </w:rPr>
          </w:pPr>
          <w:hyperlink w:anchor="_Toc28418775" w:history="1">
            <w:r w:rsidR="00632495" w:rsidRPr="00EA33F1">
              <w:rPr>
                <w:rStyle w:val="Hyperlink"/>
                <w:rFonts w:ascii="Cambria" w:hAnsi="Cambria"/>
                <w:noProof/>
                <w:sz w:val="20"/>
                <w:szCs w:val="20"/>
              </w:rPr>
              <w:t>B.</w:t>
            </w:r>
            <w:r w:rsidR="00632495" w:rsidRPr="00EA33F1">
              <w:rPr>
                <w:rFonts w:ascii="Cambria" w:eastAsiaTheme="minorEastAsia" w:hAnsi="Cambria" w:cstheme="minorBidi"/>
                <w:noProof/>
                <w:sz w:val="20"/>
                <w:szCs w:val="20"/>
                <w:bdr w:val="none" w:sz="0" w:space="0" w:color="auto"/>
              </w:rPr>
              <w:tab/>
            </w:r>
            <w:r w:rsidR="00632495" w:rsidRPr="00EA33F1">
              <w:rPr>
                <w:rStyle w:val="Hyperlink"/>
                <w:rFonts w:ascii="Cambria" w:hAnsi="Cambria"/>
                <w:noProof/>
                <w:sz w:val="20"/>
                <w:szCs w:val="20"/>
              </w:rPr>
              <w:t>Marco normativo relevante</w:t>
            </w:r>
            <w:r w:rsidR="00632495" w:rsidRPr="00EA33F1">
              <w:rPr>
                <w:rFonts w:ascii="Cambria" w:hAnsi="Cambria"/>
                <w:noProof/>
                <w:webHidden/>
                <w:sz w:val="20"/>
                <w:szCs w:val="20"/>
              </w:rPr>
              <w:tab/>
            </w:r>
            <w:r w:rsidR="00632495" w:rsidRPr="00EA33F1">
              <w:rPr>
                <w:rFonts w:ascii="Cambria" w:hAnsi="Cambria"/>
                <w:noProof/>
                <w:webHidden/>
                <w:sz w:val="20"/>
                <w:szCs w:val="20"/>
              </w:rPr>
              <w:fldChar w:fldCharType="begin"/>
            </w:r>
            <w:r w:rsidR="00632495" w:rsidRPr="00EA33F1">
              <w:rPr>
                <w:rFonts w:ascii="Cambria" w:hAnsi="Cambria"/>
                <w:noProof/>
                <w:webHidden/>
                <w:sz w:val="20"/>
                <w:szCs w:val="20"/>
              </w:rPr>
              <w:instrText xml:space="preserve"> PAGEREF _Toc28418775 \h </w:instrText>
            </w:r>
            <w:r w:rsidR="00632495" w:rsidRPr="00EA33F1">
              <w:rPr>
                <w:rFonts w:ascii="Cambria" w:hAnsi="Cambria"/>
                <w:noProof/>
                <w:webHidden/>
                <w:sz w:val="20"/>
                <w:szCs w:val="20"/>
              </w:rPr>
            </w:r>
            <w:r w:rsidR="00632495" w:rsidRPr="00EA33F1">
              <w:rPr>
                <w:rFonts w:ascii="Cambria" w:hAnsi="Cambria"/>
                <w:noProof/>
                <w:webHidden/>
                <w:sz w:val="20"/>
                <w:szCs w:val="20"/>
              </w:rPr>
              <w:fldChar w:fldCharType="separate"/>
            </w:r>
            <w:r>
              <w:rPr>
                <w:rFonts w:ascii="Cambria" w:hAnsi="Cambria"/>
                <w:noProof/>
                <w:webHidden/>
                <w:sz w:val="20"/>
                <w:szCs w:val="20"/>
              </w:rPr>
              <w:t>6</w:t>
            </w:r>
            <w:r w:rsidR="00632495" w:rsidRPr="00EA33F1">
              <w:rPr>
                <w:rFonts w:ascii="Cambria" w:hAnsi="Cambria"/>
                <w:noProof/>
                <w:webHidden/>
                <w:sz w:val="20"/>
                <w:szCs w:val="20"/>
              </w:rPr>
              <w:fldChar w:fldCharType="end"/>
            </w:r>
          </w:hyperlink>
        </w:p>
        <w:p w14:paraId="7B0CE141" w14:textId="2BF4EB06" w:rsidR="00632495" w:rsidRPr="00EA33F1" w:rsidRDefault="004A3F76">
          <w:pPr>
            <w:pStyle w:val="TOC2"/>
            <w:rPr>
              <w:rFonts w:ascii="Cambria" w:eastAsiaTheme="minorEastAsia" w:hAnsi="Cambria" w:cstheme="minorBidi"/>
              <w:noProof/>
              <w:sz w:val="20"/>
              <w:szCs w:val="20"/>
              <w:bdr w:val="none" w:sz="0" w:space="0" w:color="auto"/>
            </w:rPr>
          </w:pPr>
          <w:hyperlink w:anchor="_Toc28418776" w:history="1">
            <w:r w:rsidR="00632495" w:rsidRPr="00EA33F1">
              <w:rPr>
                <w:rStyle w:val="Hyperlink"/>
                <w:rFonts w:ascii="Cambria" w:hAnsi="Cambria"/>
                <w:noProof/>
                <w:sz w:val="20"/>
                <w:szCs w:val="20"/>
              </w:rPr>
              <w:t>C.</w:t>
            </w:r>
            <w:r w:rsidR="00632495" w:rsidRPr="00EA33F1">
              <w:rPr>
                <w:rFonts w:ascii="Cambria" w:eastAsiaTheme="minorEastAsia" w:hAnsi="Cambria" w:cstheme="minorBidi"/>
                <w:noProof/>
                <w:sz w:val="20"/>
                <w:szCs w:val="20"/>
                <w:bdr w:val="none" w:sz="0" w:space="0" w:color="auto"/>
              </w:rPr>
              <w:tab/>
            </w:r>
            <w:r w:rsidR="00632495" w:rsidRPr="00EA33F1">
              <w:rPr>
                <w:rStyle w:val="Hyperlink"/>
                <w:rFonts w:ascii="Cambria" w:hAnsi="Cambria"/>
                <w:noProof/>
                <w:sz w:val="20"/>
                <w:szCs w:val="20"/>
              </w:rPr>
              <w:t>Sobre los allanamientos a la Radio Ixchel y Radio Uqul Tinamit, “La Voz del Pueblo”</w:t>
            </w:r>
            <w:r w:rsidR="00632495" w:rsidRPr="00EA33F1">
              <w:rPr>
                <w:rFonts w:ascii="Cambria" w:hAnsi="Cambria"/>
                <w:noProof/>
                <w:webHidden/>
                <w:sz w:val="20"/>
                <w:szCs w:val="20"/>
              </w:rPr>
              <w:tab/>
            </w:r>
            <w:r w:rsidR="00632495" w:rsidRPr="00EA33F1">
              <w:rPr>
                <w:rFonts w:ascii="Cambria" w:hAnsi="Cambria"/>
                <w:noProof/>
                <w:webHidden/>
                <w:sz w:val="20"/>
                <w:szCs w:val="20"/>
              </w:rPr>
              <w:fldChar w:fldCharType="begin"/>
            </w:r>
            <w:r w:rsidR="00632495" w:rsidRPr="00EA33F1">
              <w:rPr>
                <w:rFonts w:ascii="Cambria" w:hAnsi="Cambria"/>
                <w:noProof/>
                <w:webHidden/>
                <w:sz w:val="20"/>
                <w:szCs w:val="20"/>
              </w:rPr>
              <w:instrText xml:space="preserve"> PAGEREF _Toc28418776 \h </w:instrText>
            </w:r>
            <w:r w:rsidR="00632495" w:rsidRPr="00EA33F1">
              <w:rPr>
                <w:rFonts w:ascii="Cambria" w:hAnsi="Cambria"/>
                <w:noProof/>
                <w:webHidden/>
                <w:sz w:val="20"/>
                <w:szCs w:val="20"/>
              </w:rPr>
            </w:r>
            <w:r w:rsidR="00632495" w:rsidRPr="00EA33F1">
              <w:rPr>
                <w:rFonts w:ascii="Cambria" w:hAnsi="Cambria"/>
                <w:noProof/>
                <w:webHidden/>
                <w:sz w:val="20"/>
                <w:szCs w:val="20"/>
              </w:rPr>
              <w:fldChar w:fldCharType="separate"/>
            </w:r>
            <w:r>
              <w:rPr>
                <w:rFonts w:ascii="Cambria" w:hAnsi="Cambria"/>
                <w:noProof/>
                <w:webHidden/>
                <w:sz w:val="20"/>
                <w:szCs w:val="20"/>
              </w:rPr>
              <w:t>7</w:t>
            </w:r>
            <w:r w:rsidR="00632495" w:rsidRPr="00EA33F1">
              <w:rPr>
                <w:rFonts w:ascii="Cambria" w:hAnsi="Cambria"/>
                <w:noProof/>
                <w:webHidden/>
                <w:sz w:val="20"/>
                <w:szCs w:val="20"/>
              </w:rPr>
              <w:fldChar w:fldCharType="end"/>
            </w:r>
          </w:hyperlink>
        </w:p>
        <w:p w14:paraId="382A871B" w14:textId="2063D681" w:rsidR="00632495" w:rsidRPr="00EA33F1" w:rsidRDefault="004A3F76">
          <w:pPr>
            <w:pStyle w:val="TOC2"/>
            <w:rPr>
              <w:rFonts w:ascii="Cambria" w:eastAsiaTheme="minorEastAsia" w:hAnsi="Cambria" w:cstheme="minorBidi"/>
              <w:noProof/>
              <w:sz w:val="20"/>
              <w:szCs w:val="20"/>
              <w:bdr w:val="none" w:sz="0" w:space="0" w:color="auto"/>
            </w:rPr>
          </w:pPr>
          <w:hyperlink w:anchor="_Toc28418777" w:history="1">
            <w:r w:rsidR="00632495" w:rsidRPr="00EA33F1">
              <w:rPr>
                <w:rStyle w:val="Hyperlink"/>
                <w:rFonts w:ascii="Cambria" w:hAnsi="Cambria"/>
                <w:noProof/>
                <w:sz w:val="20"/>
                <w:szCs w:val="20"/>
              </w:rPr>
              <w:t>D.</w:t>
            </w:r>
            <w:r w:rsidR="00632495" w:rsidRPr="00EA33F1">
              <w:rPr>
                <w:rFonts w:ascii="Cambria" w:eastAsiaTheme="minorEastAsia" w:hAnsi="Cambria" w:cstheme="minorBidi"/>
                <w:noProof/>
                <w:sz w:val="20"/>
                <w:szCs w:val="20"/>
                <w:bdr w:val="none" w:sz="0" w:space="0" w:color="auto"/>
              </w:rPr>
              <w:tab/>
            </w:r>
            <w:r w:rsidR="00632495" w:rsidRPr="00EA33F1">
              <w:rPr>
                <w:rStyle w:val="Hyperlink"/>
                <w:rFonts w:ascii="Cambria" w:hAnsi="Cambria"/>
                <w:noProof/>
                <w:sz w:val="20"/>
                <w:szCs w:val="20"/>
              </w:rPr>
              <w:t>Sobre las iniciativas de reforma del marco jurídico interno sobre radiodifusión comunitaria</w:t>
            </w:r>
            <w:r w:rsidR="00632495" w:rsidRPr="00EA33F1">
              <w:rPr>
                <w:rFonts w:ascii="Cambria" w:hAnsi="Cambria"/>
                <w:noProof/>
                <w:webHidden/>
                <w:sz w:val="20"/>
                <w:szCs w:val="20"/>
              </w:rPr>
              <w:tab/>
            </w:r>
            <w:r w:rsidR="00632495" w:rsidRPr="00EA33F1">
              <w:rPr>
                <w:rFonts w:ascii="Cambria" w:hAnsi="Cambria"/>
                <w:noProof/>
                <w:webHidden/>
                <w:sz w:val="20"/>
                <w:szCs w:val="20"/>
              </w:rPr>
              <w:fldChar w:fldCharType="begin"/>
            </w:r>
            <w:r w:rsidR="00632495" w:rsidRPr="00EA33F1">
              <w:rPr>
                <w:rFonts w:ascii="Cambria" w:hAnsi="Cambria"/>
                <w:noProof/>
                <w:webHidden/>
                <w:sz w:val="20"/>
                <w:szCs w:val="20"/>
              </w:rPr>
              <w:instrText xml:space="preserve"> PAGEREF _Toc28418777 \h </w:instrText>
            </w:r>
            <w:r w:rsidR="00632495" w:rsidRPr="00EA33F1">
              <w:rPr>
                <w:rFonts w:ascii="Cambria" w:hAnsi="Cambria"/>
                <w:noProof/>
                <w:webHidden/>
                <w:sz w:val="20"/>
                <w:szCs w:val="20"/>
              </w:rPr>
            </w:r>
            <w:r w:rsidR="00632495" w:rsidRPr="00EA33F1">
              <w:rPr>
                <w:rFonts w:ascii="Cambria" w:hAnsi="Cambria"/>
                <w:noProof/>
                <w:webHidden/>
                <w:sz w:val="20"/>
                <w:szCs w:val="20"/>
              </w:rPr>
              <w:fldChar w:fldCharType="separate"/>
            </w:r>
            <w:r>
              <w:rPr>
                <w:rFonts w:ascii="Cambria" w:hAnsi="Cambria"/>
                <w:noProof/>
                <w:webHidden/>
                <w:sz w:val="20"/>
                <w:szCs w:val="20"/>
              </w:rPr>
              <w:t>8</w:t>
            </w:r>
            <w:r w:rsidR="00632495" w:rsidRPr="00EA33F1">
              <w:rPr>
                <w:rFonts w:ascii="Cambria" w:hAnsi="Cambria"/>
                <w:noProof/>
                <w:webHidden/>
                <w:sz w:val="20"/>
                <w:szCs w:val="20"/>
              </w:rPr>
              <w:fldChar w:fldCharType="end"/>
            </w:r>
          </w:hyperlink>
        </w:p>
        <w:p w14:paraId="528DE076" w14:textId="05B2393F" w:rsidR="00632495" w:rsidRPr="00EA33F1" w:rsidRDefault="004A3F76">
          <w:pPr>
            <w:pStyle w:val="TOC2"/>
            <w:rPr>
              <w:rFonts w:ascii="Cambria" w:eastAsiaTheme="minorEastAsia" w:hAnsi="Cambria" w:cstheme="minorBidi"/>
              <w:noProof/>
              <w:sz w:val="20"/>
              <w:szCs w:val="20"/>
              <w:bdr w:val="none" w:sz="0" w:space="0" w:color="auto"/>
            </w:rPr>
          </w:pPr>
          <w:hyperlink w:anchor="_Toc28418778" w:history="1">
            <w:r w:rsidR="00632495" w:rsidRPr="00EA33F1">
              <w:rPr>
                <w:rStyle w:val="Hyperlink"/>
                <w:rFonts w:ascii="Cambria" w:hAnsi="Cambria"/>
                <w:noProof/>
                <w:sz w:val="20"/>
                <w:szCs w:val="20"/>
              </w:rPr>
              <w:t>E.</w:t>
            </w:r>
            <w:r w:rsidR="00632495" w:rsidRPr="00EA33F1">
              <w:rPr>
                <w:rFonts w:ascii="Cambria" w:eastAsiaTheme="minorEastAsia" w:hAnsi="Cambria" w:cstheme="minorBidi"/>
                <w:noProof/>
                <w:sz w:val="20"/>
                <w:szCs w:val="20"/>
                <w:bdr w:val="none" w:sz="0" w:space="0" w:color="auto"/>
              </w:rPr>
              <w:tab/>
            </w:r>
            <w:r w:rsidR="00632495" w:rsidRPr="00EA33F1">
              <w:rPr>
                <w:rStyle w:val="Hyperlink"/>
                <w:rFonts w:ascii="Cambria" w:hAnsi="Cambria"/>
                <w:noProof/>
                <w:sz w:val="20"/>
                <w:szCs w:val="20"/>
              </w:rPr>
              <w:t>Sobre la Acción de Inconstitucionalidad contra la Ley General de Telecomunicaciones</w:t>
            </w:r>
            <w:r w:rsidR="00632495" w:rsidRPr="00EA33F1">
              <w:rPr>
                <w:rFonts w:ascii="Cambria" w:hAnsi="Cambria"/>
                <w:noProof/>
                <w:webHidden/>
                <w:sz w:val="20"/>
                <w:szCs w:val="20"/>
              </w:rPr>
              <w:tab/>
            </w:r>
            <w:r w:rsidR="00632495" w:rsidRPr="00EA33F1">
              <w:rPr>
                <w:rFonts w:ascii="Cambria" w:hAnsi="Cambria"/>
                <w:noProof/>
                <w:webHidden/>
                <w:sz w:val="20"/>
                <w:szCs w:val="20"/>
              </w:rPr>
              <w:fldChar w:fldCharType="begin"/>
            </w:r>
            <w:r w:rsidR="00632495" w:rsidRPr="00EA33F1">
              <w:rPr>
                <w:rFonts w:ascii="Cambria" w:hAnsi="Cambria"/>
                <w:noProof/>
                <w:webHidden/>
                <w:sz w:val="20"/>
                <w:szCs w:val="20"/>
              </w:rPr>
              <w:instrText xml:space="preserve"> PAGEREF _Toc28418778 \h </w:instrText>
            </w:r>
            <w:r w:rsidR="00632495" w:rsidRPr="00EA33F1">
              <w:rPr>
                <w:rFonts w:ascii="Cambria" w:hAnsi="Cambria"/>
                <w:noProof/>
                <w:webHidden/>
                <w:sz w:val="20"/>
                <w:szCs w:val="20"/>
              </w:rPr>
            </w:r>
            <w:r w:rsidR="00632495" w:rsidRPr="00EA33F1">
              <w:rPr>
                <w:rFonts w:ascii="Cambria" w:hAnsi="Cambria"/>
                <w:noProof/>
                <w:webHidden/>
                <w:sz w:val="20"/>
                <w:szCs w:val="20"/>
              </w:rPr>
              <w:fldChar w:fldCharType="separate"/>
            </w:r>
            <w:r>
              <w:rPr>
                <w:rFonts w:ascii="Cambria" w:hAnsi="Cambria"/>
                <w:noProof/>
                <w:webHidden/>
                <w:sz w:val="20"/>
                <w:szCs w:val="20"/>
              </w:rPr>
              <w:t>9</w:t>
            </w:r>
            <w:r w:rsidR="00632495" w:rsidRPr="00EA33F1">
              <w:rPr>
                <w:rFonts w:ascii="Cambria" w:hAnsi="Cambria"/>
                <w:noProof/>
                <w:webHidden/>
                <w:sz w:val="20"/>
                <w:szCs w:val="20"/>
              </w:rPr>
              <w:fldChar w:fldCharType="end"/>
            </w:r>
          </w:hyperlink>
        </w:p>
        <w:p w14:paraId="27E8FDEA" w14:textId="4D98EC71" w:rsidR="00632495" w:rsidRPr="00EA33F1" w:rsidRDefault="004A3F76">
          <w:pPr>
            <w:pStyle w:val="TOC1"/>
            <w:tabs>
              <w:tab w:val="left" w:pos="1440"/>
              <w:tab w:val="right" w:leader="dot" w:pos="9350"/>
            </w:tabs>
            <w:rPr>
              <w:rFonts w:ascii="Cambria" w:eastAsiaTheme="minorEastAsia" w:hAnsi="Cambria" w:cstheme="minorBidi"/>
              <w:noProof/>
              <w:sz w:val="20"/>
              <w:szCs w:val="20"/>
              <w:bdr w:val="none" w:sz="0" w:space="0" w:color="auto"/>
            </w:rPr>
          </w:pPr>
          <w:hyperlink w:anchor="_Toc28418779" w:history="1">
            <w:r w:rsidR="00632495" w:rsidRPr="00EA33F1">
              <w:rPr>
                <w:rStyle w:val="Hyperlink"/>
                <w:rFonts w:ascii="Cambria" w:hAnsi="Cambria"/>
                <w:noProof/>
                <w:sz w:val="20"/>
                <w:szCs w:val="20"/>
              </w:rPr>
              <w:t>IV.</w:t>
            </w:r>
            <w:r w:rsidR="00632495" w:rsidRPr="00EA33F1">
              <w:rPr>
                <w:rFonts w:ascii="Cambria" w:eastAsiaTheme="minorEastAsia" w:hAnsi="Cambria" w:cstheme="minorBidi"/>
                <w:noProof/>
                <w:sz w:val="20"/>
                <w:szCs w:val="20"/>
                <w:bdr w:val="none" w:sz="0" w:space="0" w:color="auto"/>
              </w:rPr>
              <w:tab/>
            </w:r>
            <w:r w:rsidR="00632495" w:rsidRPr="00EA33F1">
              <w:rPr>
                <w:rStyle w:val="Hyperlink"/>
                <w:rFonts w:ascii="Cambria" w:hAnsi="Cambria"/>
                <w:noProof/>
                <w:sz w:val="20"/>
                <w:szCs w:val="20"/>
              </w:rPr>
              <w:t>ANÁLISIS DE DERECHO</w:t>
            </w:r>
            <w:r w:rsidR="00632495" w:rsidRPr="00EA33F1">
              <w:rPr>
                <w:rFonts w:ascii="Cambria" w:hAnsi="Cambria"/>
                <w:noProof/>
                <w:webHidden/>
                <w:sz w:val="20"/>
                <w:szCs w:val="20"/>
              </w:rPr>
              <w:tab/>
            </w:r>
            <w:r w:rsidR="00632495" w:rsidRPr="00EA33F1">
              <w:rPr>
                <w:rFonts w:ascii="Cambria" w:hAnsi="Cambria"/>
                <w:noProof/>
                <w:webHidden/>
                <w:sz w:val="20"/>
                <w:szCs w:val="20"/>
              </w:rPr>
              <w:fldChar w:fldCharType="begin"/>
            </w:r>
            <w:r w:rsidR="00632495" w:rsidRPr="00EA33F1">
              <w:rPr>
                <w:rFonts w:ascii="Cambria" w:hAnsi="Cambria"/>
                <w:noProof/>
                <w:webHidden/>
                <w:sz w:val="20"/>
                <w:szCs w:val="20"/>
              </w:rPr>
              <w:instrText xml:space="preserve"> PAGEREF _Toc28418779 \h </w:instrText>
            </w:r>
            <w:r w:rsidR="00632495" w:rsidRPr="00EA33F1">
              <w:rPr>
                <w:rFonts w:ascii="Cambria" w:hAnsi="Cambria"/>
                <w:noProof/>
                <w:webHidden/>
                <w:sz w:val="20"/>
                <w:szCs w:val="20"/>
              </w:rPr>
            </w:r>
            <w:r w:rsidR="00632495" w:rsidRPr="00EA33F1">
              <w:rPr>
                <w:rFonts w:ascii="Cambria" w:hAnsi="Cambria"/>
                <w:noProof/>
                <w:webHidden/>
                <w:sz w:val="20"/>
                <w:szCs w:val="20"/>
              </w:rPr>
              <w:fldChar w:fldCharType="separate"/>
            </w:r>
            <w:r>
              <w:rPr>
                <w:rFonts w:ascii="Cambria" w:hAnsi="Cambria"/>
                <w:noProof/>
                <w:webHidden/>
                <w:sz w:val="20"/>
                <w:szCs w:val="20"/>
              </w:rPr>
              <w:t>10</w:t>
            </w:r>
            <w:r w:rsidR="00632495" w:rsidRPr="00EA33F1">
              <w:rPr>
                <w:rFonts w:ascii="Cambria" w:hAnsi="Cambria"/>
                <w:noProof/>
                <w:webHidden/>
                <w:sz w:val="20"/>
                <w:szCs w:val="20"/>
              </w:rPr>
              <w:fldChar w:fldCharType="end"/>
            </w:r>
          </w:hyperlink>
        </w:p>
        <w:p w14:paraId="3061B4D4" w14:textId="496DDFF2" w:rsidR="00632495" w:rsidRPr="00EA33F1" w:rsidRDefault="004A3F76">
          <w:pPr>
            <w:pStyle w:val="TOC2"/>
            <w:rPr>
              <w:rFonts w:ascii="Cambria" w:eastAsiaTheme="minorEastAsia" w:hAnsi="Cambria" w:cstheme="minorBidi"/>
              <w:noProof/>
              <w:sz w:val="20"/>
              <w:szCs w:val="20"/>
              <w:bdr w:val="none" w:sz="0" w:space="0" w:color="auto"/>
            </w:rPr>
          </w:pPr>
          <w:hyperlink w:anchor="_Toc28418780" w:history="1">
            <w:r w:rsidR="00632495" w:rsidRPr="00EA33F1">
              <w:rPr>
                <w:rStyle w:val="Hyperlink"/>
                <w:rFonts w:ascii="Cambria" w:hAnsi="Cambria"/>
                <w:noProof/>
                <w:sz w:val="20"/>
                <w:szCs w:val="20"/>
              </w:rPr>
              <w:t>A.</w:t>
            </w:r>
            <w:r w:rsidR="00632495" w:rsidRPr="00EA33F1">
              <w:rPr>
                <w:rFonts w:ascii="Cambria" w:eastAsiaTheme="minorEastAsia" w:hAnsi="Cambria" w:cstheme="minorBidi"/>
                <w:noProof/>
                <w:sz w:val="20"/>
                <w:szCs w:val="20"/>
                <w:bdr w:val="none" w:sz="0" w:space="0" w:color="auto"/>
              </w:rPr>
              <w:tab/>
            </w:r>
            <w:r w:rsidR="00632495" w:rsidRPr="00EA33F1">
              <w:rPr>
                <w:rStyle w:val="Hyperlink"/>
                <w:rFonts w:ascii="Cambria" w:hAnsi="Cambria"/>
                <w:noProof/>
                <w:sz w:val="20"/>
                <w:szCs w:val="20"/>
              </w:rPr>
              <w:t>Derecho a la libertad de pensamiento y expresión (artículo 13), derecho a la igualdad ante la ley (artículo 24) y derechos culturales (artículo 26) en relación con los artículos 1.1 y 2 de la Convención Americana</w:t>
            </w:r>
            <w:r w:rsidR="00632495" w:rsidRPr="00EA33F1">
              <w:rPr>
                <w:rFonts w:ascii="Cambria" w:hAnsi="Cambria"/>
                <w:noProof/>
                <w:webHidden/>
                <w:sz w:val="20"/>
                <w:szCs w:val="20"/>
              </w:rPr>
              <w:tab/>
            </w:r>
            <w:r w:rsidR="00632495" w:rsidRPr="00EA33F1">
              <w:rPr>
                <w:rFonts w:ascii="Cambria" w:hAnsi="Cambria"/>
                <w:noProof/>
                <w:webHidden/>
                <w:sz w:val="20"/>
                <w:szCs w:val="20"/>
              </w:rPr>
              <w:fldChar w:fldCharType="begin"/>
            </w:r>
            <w:r w:rsidR="00632495" w:rsidRPr="00EA33F1">
              <w:rPr>
                <w:rFonts w:ascii="Cambria" w:hAnsi="Cambria"/>
                <w:noProof/>
                <w:webHidden/>
                <w:sz w:val="20"/>
                <w:szCs w:val="20"/>
              </w:rPr>
              <w:instrText xml:space="preserve"> PAGEREF _Toc28418780 \h </w:instrText>
            </w:r>
            <w:r w:rsidR="00632495" w:rsidRPr="00EA33F1">
              <w:rPr>
                <w:rFonts w:ascii="Cambria" w:hAnsi="Cambria"/>
                <w:noProof/>
                <w:webHidden/>
                <w:sz w:val="20"/>
                <w:szCs w:val="20"/>
              </w:rPr>
            </w:r>
            <w:r w:rsidR="00632495" w:rsidRPr="00EA33F1">
              <w:rPr>
                <w:rFonts w:ascii="Cambria" w:hAnsi="Cambria"/>
                <w:noProof/>
                <w:webHidden/>
                <w:sz w:val="20"/>
                <w:szCs w:val="20"/>
              </w:rPr>
              <w:fldChar w:fldCharType="separate"/>
            </w:r>
            <w:r>
              <w:rPr>
                <w:rFonts w:ascii="Cambria" w:hAnsi="Cambria"/>
                <w:noProof/>
                <w:webHidden/>
                <w:sz w:val="20"/>
                <w:szCs w:val="20"/>
              </w:rPr>
              <w:t>10</w:t>
            </w:r>
            <w:r w:rsidR="00632495" w:rsidRPr="00EA33F1">
              <w:rPr>
                <w:rFonts w:ascii="Cambria" w:hAnsi="Cambria"/>
                <w:noProof/>
                <w:webHidden/>
                <w:sz w:val="20"/>
                <w:szCs w:val="20"/>
              </w:rPr>
              <w:fldChar w:fldCharType="end"/>
            </w:r>
          </w:hyperlink>
        </w:p>
        <w:p w14:paraId="2F62F30C" w14:textId="6D9ACDBF" w:rsidR="00632495" w:rsidRPr="00EA33F1" w:rsidRDefault="004A3F76">
          <w:pPr>
            <w:pStyle w:val="TOC3"/>
            <w:tabs>
              <w:tab w:val="left" w:pos="2160"/>
            </w:tabs>
            <w:rPr>
              <w:rFonts w:ascii="Cambria" w:eastAsiaTheme="minorEastAsia" w:hAnsi="Cambria" w:cstheme="minorBidi"/>
              <w:noProof/>
              <w:sz w:val="20"/>
              <w:szCs w:val="20"/>
              <w:bdr w:val="none" w:sz="0" w:space="0" w:color="auto"/>
            </w:rPr>
          </w:pPr>
          <w:hyperlink w:anchor="_Toc28418781" w:history="1">
            <w:r w:rsidR="00632495" w:rsidRPr="00EA33F1">
              <w:rPr>
                <w:rStyle w:val="Hyperlink"/>
                <w:rFonts w:ascii="Cambria" w:hAnsi="Cambria"/>
                <w:noProof/>
                <w:sz w:val="20"/>
                <w:szCs w:val="20"/>
                <w:lang w:eastAsia="es-ES"/>
              </w:rPr>
              <w:t>1.</w:t>
            </w:r>
            <w:r w:rsidR="00632495" w:rsidRPr="00EA33F1">
              <w:rPr>
                <w:rFonts w:ascii="Cambria" w:eastAsiaTheme="minorEastAsia" w:hAnsi="Cambria" w:cstheme="minorBidi"/>
                <w:noProof/>
                <w:sz w:val="20"/>
                <w:szCs w:val="20"/>
                <w:bdr w:val="none" w:sz="0" w:space="0" w:color="auto"/>
              </w:rPr>
              <w:tab/>
            </w:r>
            <w:r w:rsidR="00632495" w:rsidRPr="00EA33F1">
              <w:rPr>
                <w:rStyle w:val="Hyperlink"/>
                <w:rFonts w:ascii="Cambria" w:eastAsia="Batang" w:hAnsi="Cambria"/>
                <w:noProof/>
                <w:sz w:val="20"/>
                <w:szCs w:val="20"/>
              </w:rPr>
              <w:t xml:space="preserve">Consideraciones generales sobre </w:t>
            </w:r>
            <w:r w:rsidR="00632495" w:rsidRPr="00EA33F1">
              <w:rPr>
                <w:rStyle w:val="Hyperlink"/>
                <w:rFonts w:ascii="Cambria" w:hAnsi="Cambria"/>
                <w:noProof/>
                <w:sz w:val="20"/>
                <w:szCs w:val="20"/>
                <w:lang w:eastAsia="es-ES"/>
              </w:rPr>
              <w:t>la libertad de pensamiento y expresión, pluralismo y diversidad en los medios de comunicación</w:t>
            </w:r>
            <w:r w:rsidR="00632495" w:rsidRPr="00EA33F1">
              <w:rPr>
                <w:rFonts w:ascii="Cambria" w:hAnsi="Cambria"/>
                <w:noProof/>
                <w:webHidden/>
                <w:sz w:val="20"/>
                <w:szCs w:val="20"/>
              </w:rPr>
              <w:tab/>
            </w:r>
            <w:r w:rsidR="00632495" w:rsidRPr="00EA33F1">
              <w:rPr>
                <w:rFonts w:ascii="Cambria" w:hAnsi="Cambria"/>
                <w:noProof/>
                <w:webHidden/>
                <w:sz w:val="20"/>
                <w:szCs w:val="20"/>
              </w:rPr>
              <w:fldChar w:fldCharType="begin"/>
            </w:r>
            <w:r w:rsidR="00632495" w:rsidRPr="00EA33F1">
              <w:rPr>
                <w:rFonts w:ascii="Cambria" w:hAnsi="Cambria"/>
                <w:noProof/>
                <w:webHidden/>
                <w:sz w:val="20"/>
                <w:szCs w:val="20"/>
              </w:rPr>
              <w:instrText xml:space="preserve"> PAGEREF _Toc28418781 \h </w:instrText>
            </w:r>
            <w:r w:rsidR="00632495" w:rsidRPr="00EA33F1">
              <w:rPr>
                <w:rFonts w:ascii="Cambria" w:hAnsi="Cambria"/>
                <w:noProof/>
                <w:webHidden/>
                <w:sz w:val="20"/>
                <w:szCs w:val="20"/>
              </w:rPr>
            </w:r>
            <w:r w:rsidR="00632495" w:rsidRPr="00EA33F1">
              <w:rPr>
                <w:rFonts w:ascii="Cambria" w:hAnsi="Cambria"/>
                <w:noProof/>
                <w:webHidden/>
                <w:sz w:val="20"/>
                <w:szCs w:val="20"/>
              </w:rPr>
              <w:fldChar w:fldCharType="separate"/>
            </w:r>
            <w:r>
              <w:rPr>
                <w:rFonts w:ascii="Cambria" w:hAnsi="Cambria"/>
                <w:noProof/>
                <w:webHidden/>
                <w:sz w:val="20"/>
                <w:szCs w:val="20"/>
              </w:rPr>
              <w:t>11</w:t>
            </w:r>
            <w:r w:rsidR="00632495" w:rsidRPr="00EA33F1">
              <w:rPr>
                <w:rFonts w:ascii="Cambria" w:hAnsi="Cambria"/>
                <w:noProof/>
                <w:webHidden/>
                <w:sz w:val="20"/>
                <w:szCs w:val="20"/>
              </w:rPr>
              <w:fldChar w:fldCharType="end"/>
            </w:r>
          </w:hyperlink>
        </w:p>
        <w:p w14:paraId="0212D886" w14:textId="6FD78096" w:rsidR="00632495" w:rsidRPr="00EA33F1" w:rsidRDefault="004A3F76">
          <w:pPr>
            <w:pStyle w:val="TOC3"/>
            <w:tabs>
              <w:tab w:val="left" w:pos="2160"/>
            </w:tabs>
            <w:rPr>
              <w:rFonts w:ascii="Cambria" w:eastAsiaTheme="minorEastAsia" w:hAnsi="Cambria" w:cstheme="minorBidi"/>
              <w:noProof/>
              <w:sz w:val="20"/>
              <w:szCs w:val="20"/>
              <w:bdr w:val="none" w:sz="0" w:space="0" w:color="auto"/>
            </w:rPr>
          </w:pPr>
          <w:hyperlink w:anchor="_Toc28418782" w:history="1">
            <w:r w:rsidR="00632495" w:rsidRPr="00EA33F1">
              <w:rPr>
                <w:rStyle w:val="Hyperlink"/>
                <w:rFonts w:ascii="Cambria" w:hAnsi="Cambria"/>
                <w:noProof/>
                <w:sz w:val="20"/>
                <w:szCs w:val="20"/>
              </w:rPr>
              <w:t>2.</w:t>
            </w:r>
            <w:r w:rsidR="00632495" w:rsidRPr="00EA33F1">
              <w:rPr>
                <w:rFonts w:ascii="Cambria" w:eastAsiaTheme="minorEastAsia" w:hAnsi="Cambria" w:cstheme="minorBidi"/>
                <w:noProof/>
                <w:sz w:val="20"/>
                <w:szCs w:val="20"/>
                <w:bdr w:val="none" w:sz="0" w:space="0" w:color="auto"/>
              </w:rPr>
              <w:tab/>
            </w:r>
            <w:r w:rsidR="00632495" w:rsidRPr="00EA33F1">
              <w:rPr>
                <w:rStyle w:val="Hyperlink"/>
                <w:rFonts w:ascii="Cambria" w:hAnsi="Cambria"/>
                <w:noProof/>
                <w:sz w:val="20"/>
                <w:szCs w:val="20"/>
              </w:rPr>
              <w:t>Estándares internacionales respecto a la regulación en materia de radiodifusión</w:t>
            </w:r>
            <w:r w:rsidR="00632495" w:rsidRPr="00EA33F1">
              <w:rPr>
                <w:rFonts w:ascii="Cambria" w:hAnsi="Cambria"/>
                <w:noProof/>
                <w:webHidden/>
                <w:sz w:val="20"/>
                <w:szCs w:val="20"/>
              </w:rPr>
              <w:tab/>
            </w:r>
            <w:r w:rsidR="00632495" w:rsidRPr="00EA33F1">
              <w:rPr>
                <w:rFonts w:ascii="Cambria" w:hAnsi="Cambria"/>
                <w:noProof/>
                <w:webHidden/>
                <w:sz w:val="20"/>
                <w:szCs w:val="20"/>
              </w:rPr>
              <w:fldChar w:fldCharType="begin"/>
            </w:r>
            <w:r w:rsidR="00632495" w:rsidRPr="00EA33F1">
              <w:rPr>
                <w:rFonts w:ascii="Cambria" w:hAnsi="Cambria"/>
                <w:noProof/>
                <w:webHidden/>
                <w:sz w:val="20"/>
                <w:szCs w:val="20"/>
              </w:rPr>
              <w:instrText xml:space="preserve"> PAGEREF _Toc28418782 \h </w:instrText>
            </w:r>
            <w:r w:rsidR="00632495" w:rsidRPr="00EA33F1">
              <w:rPr>
                <w:rFonts w:ascii="Cambria" w:hAnsi="Cambria"/>
                <w:noProof/>
                <w:webHidden/>
                <w:sz w:val="20"/>
                <w:szCs w:val="20"/>
              </w:rPr>
            </w:r>
            <w:r w:rsidR="00632495" w:rsidRPr="00EA33F1">
              <w:rPr>
                <w:rFonts w:ascii="Cambria" w:hAnsi="Cambria"/>
                <w:noProof/>
                <w:webHidden/>
                <w:sz w:val="20"/>
                <w:szCs w:val="20"/>
              </w:rPr>
              <w:fldChar w:fldCharType="separate"/>
            </w:r>
            <w:r>
              <w:rPr>
                <w:rFonts w:ascii="Cambria" w:hAnsi="Cambria"/>
                <w:noProof/>
                <w:webHidden/>
                <w:sz w:val="20"/>
                <w:szCs w:val="20"/>
              </w:rPr>
              <w:t>13</w:t>
            </w:r>
            <w:r w:rsidR="00632495" w:rsidRPr="00EA33F1">
              <w:rPr>
                <w:rFonts w:ascii="Cambria" w:hAnsi="Cambria"/>
                <w:noProof/>
                <w:webHidden/>
                <w:sz w:val="20"/>
                <w:szCs w:val="20"/>
              </w:rPr>
              <w:fldChar w:fldCharType="end"/>
            </w:r>
          </w:hyperlink>
        </w:p>
        <w:p w14:paraId="280932E5" w14:textId="2195D5F9" w:rsidR="00632495" w:rsidRPr="00EA33F1" w:rsidRDefault="004A3F76">
          <w:pPr>
            <w:pStyle w:val="TOC3"/>
            <w:tabs>
              <w:tab w:val="left" w:pos="2160"/>
            </w:tabs>
            <w:rPr>
              <w:rFonts w:ascii="Cambria" w:eastAsiaTheme="minorEastAsia" w:hAnsi="Cambria" w:cstheme="minorBidi"/>
              <w:noProof/>
              <w:sz w:val="20"/>
              <w:szCs w:val="20"/>
              <w:bdr w:val="none" w:sz="0" w:space="0" w:color="auto"/>
            </w:rPr>
          </w:pPr>
          <w:hyperlink w:anchor="_Toc28418783" w:history="1">
            <w:r w:rsidR="00632495" w:rsidRPr="00EA33F1">
              <w:rPr>
                <w:rStyle w:val="Hyperlink"/>
                <w:rFonts w:ascii="Cambria" w:hAnsi="Cambria"/>
                <w:noProof/>
                <w:sz w:val="20"/>
                <w:szCs w:val="20"/>
              </w:rPr>
              <w:t>3.</w:t>
            </w:r>
            <w:r w:rsidR="00632495" w:rsidRPr="00EA33F1">
              <w:rPr>
                <w:rFonts w:ascii="Cambria" w:eastAsiaTheme="minorEastAsia" w:hAnsi="Cambria" w:cstheme="minorBidi"/>
                <w:noProof/>
                <w:sz w:val="20"/>
                <w:szCs w:val="20"/>
                <w:bdr w:val="none" w:sz="0" w:space="0" w:color="auto"/>
              </w:rPr>
              <w:tab/>
            </w:r>
            <w:r w:rsidR="00632495" w:rsidRPr="00EA33F1">
              <w:rPr>
                <w:rStyle w:val="Hyperlink"/>
                <w:rFonts w:ascii="Cambria" w:hAnsi="Cambria"/>
                <w:noProof/>
                <w:sz w:val="20"/>
                <w:szCs w:val="20"/>
              </w:rPr>
              <w:t>Libertad de expresión, medios comunitarios de radiodifusión y el derecho a la igualdad y no discriminación</w:t>
            </w:r>
            <w:r w:rsidR="00632495" w:rsidRPr="00EA33F1">
              <w:rPr>
                <w:rFonts w:ascii="Cambria" w:hAnsi="Cambria"/>
                <w:noProof/>
                <w:webHidden/>
                <w:sz w:val="20"/>
                <w:szCs w:val="20"/>
              </w:rPr>
              <w:tab/>
            </w:r>
            <w:r w:rsidR="00632495" w:rsidRPr="00EA33F1">
              <w:rPr>
                <w:rFonts w:ascii="Cambria" w:hAnsi="Cambria"/>
                <w:noProof/>
                <w:webHidden/>
                <w:sz w:val="20"/>
                <w:szCs w:val="20"/>
              </w:rPr>
              <w:fldChar w:fldCharType="begin"/>
            </w:r>
            <w:r w:rsidR="00632495" w:rsidRPr="00EA33F1">
              <w:rPr>
                <w:rFonts w:ascii="Cambria" w:hAnsi="Cambria"/>
                <w:noProof/>
                <w:webHidden/>
                <w:sz w:val="20"/>
                <w:szCs w:val="20"/>
              </w:rPr>
              <w:instrText xml:space="preserve"> PAGEREF _Toc28418783 \h </w:instrText>
            </w:r>
            <w:r w:rsidR="00632495" w:rsidRPr="00EA33F1">
              <w:rPr>
                <w:rFonts w:ascii="Cambria" w:hAnsi="Cambria"/>
                <w:noProof/>
                <w:webHidden/>
                <w:sz w:val="20"/>
                <w:szCs w:val="20"/>
              </w:rPr>
            </w:r>
            <w:r w:rsidR="00632495" w:rsidRPr="00EA33F1">
              <w:rPr>
                <w:rFonts w:ascii="Cambria" w:hAnsi="Cambria"/>
                <w:noProof/>
                <w:webHidden/>
                <w:sz w:val="20"/>
                <w:szCs w:val="20"/>
              </w:rPr>
              <w:fldChar w:fldCharType="separate"/>
            </w:r>
            <w:r>
              <w:rPr>
                <w:rFonts w:ascii="Cambria" w:hAnsi="Cambria"/>
                <w:noProof/>
                <w:webHidden/>
                <w:sz w:val="20"/>
                <w:szCs w:val="20"/>
              </w:rPr>
              <w:t>14</w:t>
            </w:r>
            <w:r w:rsidR="00632495" w:rsidRPr="00EA33F1">
              <w:rPr>
                <w:rFonts w:ascii="Cambria" w:hAnsi="Cambria"/>
                <w:noProof/>
                <w:webHidden/>
                <w:sz w:val="20"/>
                <w:szCs w:val="20"/>
              </w:rPr>
              <w:fldChar w:fldCharType="end"/>
            </w:r>
          </w:hyperlink>
        </w:p>
        <w:p w14:paraId="03F2471A" w14:textId="52200612" w:rsidR="00632495" w:rsidRPr="00EA33F1" w:rsidRDefault="004A3F76">
          <w:pPr>
            <w:pStyle w:val="TOC3"/>
            <w:tabs>
              <w:tab w:val="left" w:pos="2160"/>
            </w:tabs>
            <w:rPr>
              <w:rFonts w:ascii="Cambria" w:eastAsiaTheme="minorEastAsia" w:hAnsi="Cambria" w:cstheme="minorBidi"/>
              <w:noProof/>
              <w:sz w:val="20"/>
              <w:szCs w:val="20"/>
              <w:bdr w:val="none" w:sz="0" w:space="0" w:color="auto"/>
            </w:rPr>
          </w:pPr>
          <w:hyperlink w:anchor="_Toc28418784" w:history="1">
            <w:r w:rsidR="00632495" w:rsidRPr="00EA33F1">
              <w:rPr>
                <w:rStyle w:val="Hyperlink"/>
                <w:rFonts w:ascii="Cambria" w:hAnsi="Cambria"/>
                <w:noProof/>
                <w:sz w:val="20"/>
                <w:szCs w:val="20"/>
              </w:rPr>
              <w:t>4.</w:t>
            </w:r>
            <w:r w:rsidR="00632495" w:rsidRPr="00EA33F1">
              <w:rPr>
                <w:rFonts w:ascii="Cambria" w:eastAsiaTheme="minorEastAsia" w:hAnsi="Cambria" w:cstheme="minorBidi"/>
                <w:noProof/>
                <w:sz w:val="20"/>
                <w:szCs w:val="20"/>
                <w:bdr w:val="none" w:sz="0" w:space="0" w:color="auto"/>
              </w:rPr>
              <w:tab/>
            </w:r>
            <w:r w:rsidR="00632495" w:rsidRPr="00EA33F1">
              <w:rPr>
                <w:rStyle w:val="Hyperlink"/>
                <w:rFonts w:ascii="Cambria" w:hAnsi="Cambria"/>
                <w:noProof/>
                <w:sz w:val="20"/>
                <w:szCs w:val="20"/>
              </w:rPr>
              <w:t>Derechos culturales de los pueblos indígenas y radios comunitarias</w:t>
            </w:r>
            <w:r w:rsidR="00632495" w:rsidRPr="00EA33F1">
              <w:rPr>
                <w:rFonts w:ascii="Cambria" w:hAnsi="Cambria"/>
                <w:noProof/>
                <w:webHidden/>
                <w:sz w:val="20"/>
                <w:szCs w:val="20"/>
              </w:rPr>
              <w:tab/>
            </w:r>
            <w:r w:rsidR="00632495" w:rsidRPr="00EA33F1">
              <w:rPr>
                <w:rFonts w:ascii="Cambria" w:hAnsi="Cambria"/>
                <w:noProof/>
                <w:webHidden/>
                <w:sz w:val="20"/>
                <w:szCs w:val="20"/>
              </w:rPr>
              <w:fldChar w:fldCharType="begin"/>
            </w:r>
            <w:r w:rsidR="00632495" w:rsidRPr="00EA33F1">
              <w:rPr>
                <w:rFonts w:ascii="Cambria" w:hAnsi="Cambria"/>
                <w:noProof/>
                <w:webHidden/>
                <w:sz w:val="20"/>
                <w:szCs w:val="20"/>
              </w:rPr>
              <w:instrText xml:space="preserve"> PAGEREF _Toc28418784 \h </w:instrText>
            </w:r>
            <w:r w:rsidR="00632495" w:rsidRPr="00EA33F1">
              <w:rPr>
                <w:rFonts w:ascii="Cambria" w:hAnsi="Cambria"/>
                <w:noProof/>
                <w:webHidden/>
                <w:sz w:val="20"/>
                <w:szCs w:val="20"/>
              </w:rPr>
            </w:r>
            <w:r w:rsidR="00632495" w:rsidRPr="00EA33F1">
              <w:rPr>
                <w:rFonts w:ascii="Cambria" w:hAnsi="Cambria"/>
                <w:noProof/>
                <w:webHidden/>
                <w:sz w:val="20"/>
                <w:szCs w:val="20"/>
              </w:rPr>
              <w:fldChar w:fldCharType="separate"/>
            </w:r>
            <w:r>
              <w:rPr>
                <w:rFonts w:ascii="Cambria" w:hAnsi="Cambria"/>
                <w:noProof/>
                <w:webHidden/>
                <w:sz w:val="20"/>
                <w:szCs w:val="20"/>
              </w:rPr>
              <w:t>22</w:t>
            </w:r>
            <w:r w:rsidR="00632495" w:rsidRPr="00EA33F1">
              <w:rPr>
                <w:rFonts w:ascii="Cambria" w:hAnsi="Cambria"/>
                <w:noProof/>
                <w:webHidden/>
                <w:sz w:val="20"/>
                <w:szCs w:val="20"/>
              </w:rPr>
              <w:fldChar w:fldCharType="end"/>
            </w:r>
          </w:hyperlink>
        </w:p>
        <w:p w14:paraId="009E54A4" w14:textId="5A18B605" w:rsidR="00632495" w:rsidRPr="00EA33F1" w:rsidRDefault="004A3F76">
          <w:pPr>
            <w:pStyle w:val="TOC3"/>
            <w:tabs>
              <w:tab w:val="left" w:pos="2160"/>
            </w:tabs>
            <w:rPr>
              <w:rFonts w:ascii="Cambria" w:eastAsiaTheme="minorEastAsia" w:hAnsi="Cambria" w:cstheme="minorBidi"/>
              <w:noProof/>
              <w:sz w:val="20"/>
              <w:szCs w:val="20"/>
              <w:bdr w:val="none" w:sz="0" w:space="0" w:color="auto"/>
            </w:rPr>
          </w:pPr>
          <w:hyperlink w:anchor="_Toc28418785" w:history="1">
            <w:r w:rsidR="00632495" w:rsidRPr="00EA33F1">
              <w:rPr>
                <w:rStyle w:val="Hyperlink"/>
                <w:rFonts w:ascii="Cambria" w:hAnsi="Cambria"/>
                <w:noProof/>
                <w:sz w:val="20"/>
                <w:szCs w:val="20"/>
              </w:rPr>
              <w:t>5.</w:t>
            </w:r>
            <w:r w:rsidR="00632495" w:rsidRPr="00EA33F1">
              <w:rPr>
                <w:rFonts w:ascii="Cambria" w:eastAsiaTheme="minorEastAsia" w:hAnsi="Cambria" w:cstheme="minorBidi"/>
                <w:noProof/>
                <w:sz w:val="20"/>
                <w:szCs w:val="20"/>
                <w:bdr w:val="none" w:sz="0" w:space="0" w:color="auto"/>
              </w:rPr>
              <w:tab/>
            </w:r>
            <w:r w:rsidR="00632495" w:rsidRPr="00EA33F1">
              <w:rPr>
                <w:rStyle w:val="Hyperlink"/>
                <w:rFonts w:ascii="Cambria" w:hAnsi="Cambria"/>
                <w:noProof/>
                <w:sz w:val="20"/>
                <w:szCs w:val="20"/>
              </w:rPr>
              <w:t>Análisis del caso</w:t>
            </w:r>
            <w:r w:rsidR="00632495" w:rsidRPr="00EA33F1">
              <w:rPr>
                <w:rFonts w:ascii="Cambria" w:hAnsi="Cambria"/>
                <w:noProof/>
                <w:webHidden/>
                <w:sz w:val="20"/>
                <w:szCs w:val="20"/>
              </w:rPr>
              <w:tab/>
            </w:r>
            <w:r w:rsidR="00632495" w:rsidRPr="00EA33F1">
              <w:rPr>
                <w:rFonts w:ascii="Cambria" w:hAnsi="Cambria"/>
                <w:noProof/>
                <w:webHidden/>
                <w:sz w:val="20"/>
                <w:szCs w:val="20"/>
              </w:rPr>
              <w:fldChar w:fldCharType="begin"/>
            </w:r>
            <w:r w:rsidR="00632495" w:rsidRPr="00EA33F1">
              <w:rPr>
                <w:rFonts w:ascii="Cambria" w:hAnsi="Cambria"/>
                <w:noProof/>
                <w:webHidden/>
                <w:sz w:val="20"/>
                <w:szCs w:val="20"/>
              </w:rPr>
              <w:instrText xml:space="preserve"> PAGEREF _Toc28418785 \h </w:instrText>
            </w:r>
            <w:r w:rsidR="00632495" w:rsidRPr="00EA33F1">
              <w:rPr>
                <w:rFonts w:ascii="Cambria" w:hAnsi="Cambria"/>
                <w:noProof/>
                <w:webHidden/>
                <w:sz w:val="20"/>
                <w:szCs w:val="20"/>
              </w:rPr>
            </w:r>
            <w:r w:rsidR="00632495" w:rsidRPr="00EA33F1">
              <w:rPr>
                <w:rFonts w:ascii="Cambria" w:hAnsi="Cambria"/>
                <w:noProof/>
                <w:webHidden/>
                <w:sz w:val="20"/>
                <w:szCs w:val="20"/>
              </w:rPr>
              <w:fldChar w:fldCharType="separate"/>
            </w:r>
            <w:r>
              <w:rPr>
                <w:rFonts w:ascii="Cambria" w:hAnsi="Cambria"/>
                <w:noProof/>
                <w:webHidden/>
                <w:sz w:val="20"/>
                <w:szCs w:val="20"/>
              </w:rPr>
              <w:t>24</w:t>
            </w:r>
            <w:r w:rsidR="00632495" w:rsidRPr="00EA33F1">
              <w:rPr>
                <w:rFonts w:ascii="Cambria" w:hAnsi="Cambria"/>
                <w:noProof/>
                <w:webHidden/>
                <w:sz w:val="20"/>
                <w:szCs w:val="20"/>
              </w:rPr>
              <w:fldChar w:fldCharType="end"/>
            </w:r>
          </w:hyperlink>
        </w:p>
        <w:p w14:paraId="5521C0CA" w14:textId="396C1B63" w:rsidR="00632495" w:rsidRPr="00EA33F1" w:rsidRDefault="004A3F76">
          <w:pPr>
            <w:pStyle w:val="TOC1"/>
            <w:tabs>
              <w:tab w:val="left" w:pos="1440"/>
              <w:tab w:val="right" w:leader="dot" w:pos="9350"/>
            </w:tabs>
            <w:rPr>
              <w:rFonts w:ascii="Cambria" w:eastAsiaTheme="minorEastAsia" w:hAnsi="Cambria" w:cstheme="minorBidi"/>
              <w:noProof/>
              <w:sz w:val="20"/>
              <w:szCs w:val="20"/>
              <w:bdr w:val="none" w:sz="0" w:space="0" w:color="auto"/>
            </w:rPr>
          </w:pPr>
          <w:hyperlink w:anchor="_Toc28418786" w:history="1">
            <w:r w:rsidR="00632495" w:rsidRPr="00EA33F1">
              <w:rPr>
                <w:rStyle w:val="Hyperlink"/>
                <w:rFonts w:ascii="Cambria" w:hAnsi="Cambria"/>
                <w:noProof/>
                <w:sz w:val="20"/>
                <w:szCs w:val="20"/>
                <w:lang w:val="es-CO"/>
              </w:rPr>
              <w:t>V.</w:t>
            </w:r>
            <w:r w:rsidR="00632495" w:rsidRPr="00EA33F1">
              <w:rPr>
                <w:rFonts w:ascii="Cambria" w:eastAsiaTheme="minorEastAsia" w:hAnsi="Cambria" w:cstheme="minorBidi"/>
                <w:noProof/>
                <w:sz w:val="20"/>
                <w:szCs w:val="20"/>
                <w:bdr w:val="none" w:sz="0" w:space="0" w:color="auto"/>
              </w:rPr>
              <w:tab/>
            </w:r>
            <w:r w:rsidR="00632495" w:rsidRPr="00EA33F1">
              <w:rPr>
                <w:rStyle w:val="Hyperlink"/>
                <w:rFonts w:ascii="Cambria" w:hAnsi="Cambria"/>
                <w:noProof/>
                <w:sz w:val="20"/>
                <w:szCs w:val="20"/>
                <w:lang w:val="es-CO"/>
              </w:rPr>
              <w:t>CONCLUSIONES</w:t>
            </w:r>
            <w:r w:rsidR="00632495" w:rsidRPr="00EA33F1">
              <w:rPr>
                <w:rFonts w:ascii="Cambria" w:hAnsi="Cambria"/>
                <w:noProof/>
                <w:webHidden/>
                <w:sz w:val="20"/>
                <w:szCs w:val="20"/>
              </w:rPr>
              <w:tab/>
            </w:r>
            <w:r w:rsidR="00632495" w:rsidRPr="00EA33F1">
              <w:rPr>
                <w:rFonts w:ascii="Cambria" w:hAnsi="Cambria"/>
                <w:noProof/>
                <w:webHidden/>
                <w:sz w:val="20"/>
                <w:szCs w:val="20"/>
              </w:rPr>
              <w:fldChar w:fldCharType="begin"/>
            </w:r>
            <w:r w:rsidR="00632495" w:rsidRPr="00EA33F1">
              <w:rPr>
                <w:rFonts w:ascii="Cambria" w:hAnsi="Cambria"/>
                <w:noProof/>
                <w:webHidden/>
                <w:sz w:val="20"/>
                <w:szCs w:val="20"/>
              </w:rPr>
              <w:instrText xml:space="preserve"> PAGEREF _Toc28418786 \h </w:instrText>
            </w:r>
            <w:r w:rsidR="00632495" w:rsidRPr="00EA33F1">
              <w:rPr>
                <w:rFonts w:ascii="Cambria" w:hAnsi="Cambria"/>
                <w:noProof/>
                <w:webHidden/>
                <w:sz w:val="20"/>
                <w:szCs w:val="20"/>
              </w:rPr>
            </w:r>
            <w:r w:rsidR="00632495" w:rsidRPr="00EA33F1">
              <w:rPr>
                <w:rFonts w:ascii="Cambria" w:hAnsi="Cambria"/>
                <w:noProof/>
                <w:webHidden/>
                <w:sz w:val="20"/>
                <w:szCs w:val="20"/>
              </w:rPr>
              <w:fldChar w:fldCharType="separate"/>
            </w:r>
            <w:r>
              <w:rPr>
                <w:rFonts w:ascii="Cambria" w:hAnsi="Cambria"/>
                <w:noProof/>
                <w:webHidden/>
                <w:sz w:val="20"/>
                <w:szCs w:val="20"/>
              </w:rPr>
              <w:t>29</w:t>
            </w:r>
            <w:r w:rsidR="00632495" w:rsidRPr="00EA33F1">
              <w:rPr>
                <w:rFonts w:ascii="Cambria" w:hAnsi="Cambria"/>
                <w:noProof/>
                <w:webHidden/>
                <w:sz w:val="20"/>
                <w:szCs w:val="20"/>
              </w:rPr>
              <w:fldChar w:fldCharType="end"/>
            </w:r>
          </w:hyperlink>
        </w:p>
        <w:p w14:paraId="0AEDDB7B" w14:textId="177B0AB6" w:rsidR="00632495" w:rsidRDefault="004A3F76">
          <w:pPr>
            <w:pStyle w:val="TOC1"/>
            <w:tabs>
              <w:tab w:val="left" w:pos="1440"/>
              <w:tab w:val="right" w:leader="dot" w:pos="9350"/>
            </w:tabs>
            <w:rPr>
              <w:rFonts w:eastAsiaTheme="minorEastAsia" w:cstheme="minorBidi"/>
              <w:noProof/>
              <w:szCs w:val="22"/>
              <w:bdr w:val="none" w:sz="0" w:space="0" w:color="auto"/>
            </w:rPr>
          </w:pPr>
          <w:hyperlink w:anchor="_Toc28418787" w:history="1">
            <w:r w:rsidR="00632495" w:rsidRPr="00EA33F1">
              <w:rPr>
                <w:rStyle w:val="Hyperlink"/>
                <w:rFonts w:ascii="Cambria" w:hAnsi="Cambria"/>
                <w:noProof/>
                <w:sz w:val="20"/>
                <w:szCs w:val="20"/>
                <w:lang w:val="es-CO"/>
              </w:rPr>
              <w:t>VI.</w:t>
            </w:r>
            <w:r w:rsidR="00632495" w:rsidRPr="00EA33F1">
              <w:rPr>
                <w:rFonts w:ascii="Cambria" w:eastAsiaTheme="minorEastAsia" w:hAnsi="Cambria" w:cstheme="minorBidi"/>
                <w:noProof/>
                <w:sz w:val="20"/>
                <w:szCs w:val="20"/>
                <w:bdr w:val="none" w:sz="0" w:space="0" w:color="auto"/>
              </w:rPr>
              <w:tab/>
            </w:r>
            <w:r w:rsidR="00632495" w:rsidRPr="00EA33F1">
              <w:rPr>
                <w:rStyle w:val="Hyperlink"/>
                <w:rFonts w:ascii="Cambria" w:hAnsi="Cambria"/>
                <w:noProof/>
                <w:sz w:val="20"/>
                <w:szCs w:val="20"/>
                <w:lang w:val="es-CO"/>
              </w:rPr>
              <w:t>RECOMENDACIONES</w:t>
            </w:r>
            <w:r w:rsidR="00632495" w:rsidRPr="00EA33F1">
              <w:rPr>
                <w:rFonts w:ascii="Cambria" w:hAnsi="Cambria"/>
                <w:noProof/>
                <w:webHidden/>
                <w:sz w:val="20"/>
                <w:szCs w:val="20"/>
              </w:rPr>
              <w:tab/>
            </w:r>
            <w:r w:rsidR="00632495" w:rsidRPr="00EA33F1">
              <w:rPr>
                <w:rFonts w:ascii="Cambria" w:hAnsi="Cambria"/>
                <w:noProof/>
                <w:webHidden/>
                <w:sz w:val="20"/>
                <w:szCs w:val="20"/>
              </w:rPr>
              <w:fldChar w:fldCharType="begin"/>
            </w:r>
            <w:r w:rsidR="00632495" w:rsidRPr="00EA33F1">
              <w:rPr>
                <w:rFonts w:ascii="Cambria" w:hAnsi="Cambria"/>
                <w:noProof/>
                <w:webHidden/>
                <w:sz w:val="20"/>
                <w:szCs w:val="20"/>
              </w:rPr>
              <w:instrText xml:space="preserve"> PAGEREF _Toc28418787 \h </w:instrText>
            </w:r>
            <w:r w:rsidR="00632495" w:rsidRPr="00EA33F1">
              <w:rPr>
                <w:rFonts w:ascii="Cambria" w:hAnsi="Cambria"/>
                <w:noProof/>
                <w:webHidden/>
                <w:sz w:val="20"/>
                <w:szCs w:val="20"/>
              </w:rPr>
            </w:r>
            <w:r w:rsidR="00632495" w:rsidRPr="00EA33F1">
              <w:rPr>
                <w:rFonts w:ascii="Cambria" w:hAnsi="Cambria"/>
                <w:noProof/>
                <w:webHidden/>
                <w:sz w:val="20"/>
                <w:szCs w:val="20"/>
              </w:rPr>
              <w:fldChar w:fldCharType="separate"/>
            </w:r>
            <w:r>
              <w:rPr>
                <w:rFonts w:ascii="Cambria" w:hAnsi="Cambria"/>
                <w:noProof/>
                <w:webHidden/>
                <w:sz w:val="20"/>
                <w:szCs w:val="20"/>
              </w:rPr>
              <w:t>29</w:t>
            </w:r>
            <w:r w:rsidR="00632495" w:rsidRPr="00EA33F1">
              <w:rPr>
                <w:rFonts w:ascii="Cambria" w:hAnsi="Cambria"/>
                <w:noProof/>
                <w:webHidden/>
                <w:sz w:val="20"/>
                <w:szCs w:val="20"/>
              </w:rPr>
              <w:fldChar w:fldCharType="end"/>
            </w:r>
          </w:hyperlink>
        </w:p>
        <w:p w14:paraId="6209B14F" w14:textId="77777777" w:rsidR="00A12A9C" w:rsidRPr="006D531F" w:rsidRDefault="00715D5E" w:rsidP="00715D5E">
          <w:pPr>
            <w:rPr>
              <w:rFonts w:asciiTheme="majorHAnsi" w:hAnsiTheme="majorHAnsi"/>
              <w:sz w:val="20"/>
              <w:szCs w:val="20"/>
            </w:rPr>
          </w:pPr>
          <w:r w:rsidRPr="00431065">
            <w:rPr>
              <w:rFonts w:ascii="Cambria" w:hAnsi="Cambria"/>
              <w:b/>
              <w:bCs/>
              <w:noProof/>
              <w:sz w:val="20"/>
              <w:szCs w:val="20"/>
            </w:rPr>
            <w:fldChar w:fldCharType="end"/>
          </w:r>
        </w:p>
      </w:sdtContent>
    </w:sdt>
    <w:p w14:paraId="28E4034F" w14:textId="77777777" w:rsidR="00A12A9C" w:rsidRPr="006D531F" w:rsidRDefault="00A12A9C" w:rsidP="00F855E6">
      <w:pPr>
        <w:suppressAutoHyphens/>
        <w:jc w:val="center"/>
        <w:rPr>
          <w:rFonts w:asciiTheme="majorHAnsi" w:hAnsiTheme="majorHAnsi"/>
          <w:sz w:val="20"/>
          <w:szCs w:val="20"/>
          <w:lang w:val="es-ES_tradnl"/>
        </w:rPr>
      </w:pPr>
    </w:p>
    <w:p w14:paraId="4E5FBED9" w14:textId="77777777" w:rsidR="00A12A9C" w:rsidRPr="006D531F" w:rsidRDefault="00A12A9C" w:rsidP="00F855E6">
      <w:pPr>
        <w:suppressAutoHyphens/>
        <w:jc w:val="center"/>
        <w:rPr>
          <w:rFonts w:asciiTheme="majorHAnsi" w:hAnsiTheme="majorHAnsi"/>
          <w:sz w:val="20"/>
          <w:szCs w:val="20"/>
          <w:lang w:val="es-ES_tradnl"/>
        </w:rPr>
      </w:pPr>
    </w:p>
    <w:p w14:paraId="4A2959CE" w14:textId="77777777" w:rsidR="00A12A9C" w:rsidRPr="006D531F" w:rsidRDefault="00A12A9C" w:rsidP="00F855E6">
      <w:pPr>
        <w:suppressAutoHyphens/>
        <w:jc w:val="center"/>
        <w:rPr>
          <w:rFonts w:asciiTheme="majorHAnsi" w:hAnsiTheme="majorHAnsi"/>
          <w:sz w:val="20"/>
          <w:szCs w:val="20"/>
          <w:lang w:val="es-ES_tradnl"/>
        </w:rPr>
      </w:pPr>
    </w:p>
    <w:p w14:paraId="2F671EE9" w14:textId="77777777" w:rsidR="00A12A9C" w:rsidRPr="006D531F" w:rsidRDefault="00A12A9C" w:rsidP="00F855E6">
      <w:pPr>
        <w:suppressAutoHyphens/>
        <w:jc w:val="center"/>
        <w:rPr>
          <w:rFonts w:asciiTheme="majorHAnsi" w:hAnsiTheme="majorHAnsi"/>
          <w:sz w:val="20"/>
          <w:szCs w:val="20"/>
          <w:lang w:val="es-ES_tradnl"/>
        </w:rPr>
      </w:pPr>
    </w:p>
    <w:p w14:paraId="221999C7" w14:textId="77777777" w:rsidR="00A12A9C" w:rsidRPr="006D531F" w:rsidRDefault="00A12A9C" w:rsidP="00F855E6">
      <w:pPr>
        <w:suppressAutoHyphens/>
        <w:jc w:val="center"/>
        <w:rPr>
          <w:rFonts w:asciiTheme="majorHAnsi" w:hAnsiTheme="majorHAnsi"/>
          <w:sz w:val="20"/>
          <w:szCs w:val="20"/>
          <w:lang w:val="es-ES_tradnl"/>
        </w:rPr>
      </w:pPr>
    </w:p>
    <w:p w14:paraId="4B2D258F" w14:textId="77777777" w:rsidR="00A12A9C" w:rsidRDefault="00A12A9C" w:rsidP="00F855E6">
      <w:pPr>
        <w:suppressAutoHyphens/>
        <w:jc w:val="center"/>
        <w:rPr>
          <w:rFonts w:asciiTheme="majorHAnsi" w:hAnsiTheme="majorHAnsi"/>
          <w:sz w:val="20"/>
          <w:szCs w:val="20"/>
          <w:lang w:val="es-ES_tradnl"/>
        </w:rPr>
      </w:pPr>
    </w:p>
    <w:p w14:paraId="1E06B69E" w14:textId="77777777" w:rsidR="004D36E0" w:rsidRDefault="004D36E0" w:rsidP="00F855E6">
      <w:pPr>
        <w:suppressAutoHyphens/>
        <w:jc w:val="center"/>
        <w:rPr>
          <w:rFonts w:asciiTheme="majorHAnsi" w:hAnsiTheme="majorHAnsi"/>
          <w:sz w:val="20"/>
          <w:szCs w:val="20"/>
          <w:lang w:val="es-ES_tradnl"/>
        </w:rPr>
      </w:pPr>
    </w:p>
    <w:p w14:paraId="029892CF" w14:textId="77777777" w:rsidR="004D36E0" w:rsidRPr="006D531F" w:rsidRDefault="004D36E0" w:rsidP="00F855E6">
      <w:pPr>
        <w:suppressAutoHyphens/>
        <w:jc w:val="center"/>
        <w:rPr>
          <w:rFonts w:asciiTheme="majorHAnsi" w:hAnsiTheme="majorHAnsi"/>
          <w:sz w:val="20"/>
          <w:szCs w:val="20"/>
          <w:lang w:val="es-ES_tradnl"/>
        </w:rPr>
      </w:pPr>
    </w:p>
    <w:p w14:paraId="3244C6A6" w14:textId="77777777" w:rsidR="00A12A9C" w:rsidRPr="006D531F" w:rsidRDefault="00A12A9C" w:rsidP="00F855E6">
      <w:pPr>
        <w:suppressAutoHyphens/>
        <w:jc w:val="center"/>
        <w:rPr>
          <w:rFonts w:asciiTheme="majorHAnsi" w:hAnsiTheme="majorHAnsi"/>
          <w:sz w:val="20"/>
          <w:szCs w:val="20"/>
          <w:lang w:val="es-ES_tradnl"/>
        </w:rPr>
      </w:pPr>
    </w:p>
    <w:p w14:paraId="138591AC" w14:textId="77777777" w:rsidR="00A12A9C" w:rsidRPr="006D531F" w:rsidRDefault="00A12A9C" w:rsidP="00F855E6">
      <w:pPr>
        <w:suppressAutoHyphens/>
        <w:jc w:val="center"/>
        <w:rPr>
          <w:rFonts w:asciiTheme="majorHAnsi" w:hAnsiTheme="majorHAnsi"/>
          <w:sz w:val="20"/>
          <w:szCs w:val="20"/>
          <w:lang w:val="es-ES_tradnl"/>
        </w:rPr>
      </w:pPr>
    </w:p>
    <w:p w14:paraId="063222EB" w14:textId="77777777" w:rsidR="00A12A9C" w:rsidRPr="006D531F" w:rsidRDefault="00A12A9C" w:rsidP="00A12A9C">
      <w:pPr>
        <w:tabs>
          <w:tab w:val="center" w:pos="5400"/>
        </w:tabs>
        <w:suppressAutoHyphens/>
        <w:jc w:val="center"/>
        <w:rPr>
          <w:rFonts w:asciiTheme="majorHAnsi" w:hAnsiTheme="majorHAnsi"/>
          <w:b/>
          <w:sz w:val="20"/>
          <w:szCs w:val="20"/>
          <w:lang w:val="es-MX"/>
        </w:rPr>
      </w:pPr>
      <w:r w:rsidRPr="006D531F">
        <w:rPr>
          <w:rFonts w:asciiTheme="majorHAnsi" w:hAnsiTheme="majorHAnsi"/>
          <w:b/>
          <w:sz w:val="20"/>
          <w:szCs w:val="20"/>
          <w:lang w:val="es-MX"/>
        </w:rPr>
        <w:lastRenderedPageBreak/>
        <w:t xml:space="preserve">INFORME No. </w:t>
      </w:r>
      <w:r w:rsidR="00EE5A21">
        <w:rPr>
          <w:rFonts w:asciiTheme="majorHAnsi" w:hAnsiTheme="majorHAnsi"/>
          <w:b/>
          <w:sz w:val="20"/>
          <w:szCs w:val="20"/>
          <w:lang w:val="es-MX"/>
        </w:rPr>
        <w:t>164</w:t>
      </w:r>
      <w:r w:rsidRPr="006D531F">
        <w:rPr>
          <w:rFonts w:asciiTheme="majorHAnsi" w:hAnsiTheme="majorHAnsi"/>
          <w:b/>
          <w:sz w:val="20"/>
          <w:szCs w:val="20"/>
          <w:lang w:val="es-MX"/>
        </w:rPr>
        <w:t>/</w:t>
      </w:r>
      <w:r w:rsidR="00AE7DD5">
        <w:rPr>
          <w:rFonts w:asciiTheme="majorHAnsi" w:hAnsiTheme="majorHAnsi"/>
          <w:b/>
          <w:sz w:val="20"/>
          <w:szCs w:val="20"/>
          <w:lang w:val="es-MX"/>
        </w:rPr>
        <w:t>19</w:t>
      </w:r>
    </w:p>
    <w:p w14:paraId="4C724406" w14:textId="77777777" w:rsidR="00A12A9C" w:rsidRPr="006D531F" w:rsidRDefault="00A12A9C" w:rsidP="00A12A9C">
      <w:pPr>
        <w:tabs>
          <w:tab w:val="center" w:pos="5400"/>
        </w:tabs>
        <w:suppressAutoHyphens/>
        <w:jc w:val="center"/>
        <w:rPr>
          <w:rFonts w:asciiTheme="majorHAnsi" w:hAnsiTheme="majorHAnsi"/>
          <w:b/>
          <w:sz w:val="20"/>
          <w:szCs w:val="20"/>
          <w:lang w:val="es-MX"/>
        </w:rPr>
      </w:pPr>
      <w:r w:rsidRPr="006D531F">
        <w:rPr>
          <w:rFonts w:asciiTheme="majorHAnsi" w:hAnsiTheme="majorHAnsi"/>
          <w:b/>
          <w:sz w:val="20"/>
          <w:szCs w:val="20"/>
          <w:lang w:val="es-MX"/>
        </w:rPr>
        <w:t>CASO 13.608</w:t>
      </w:r>
    </w:p>
    <w:p w14:paraId="56A86BED" w14:textId="77777777" w:rsidR="00A12A9C" w:rsidRPr="006D531F" w:rsidRDefault="00A12A9C" w:rsidP="00A12A9C">
      <w:pPr>
        <w:tabs>
          <w:tab w:val="center" w:pos="5400"/>
        </w:tabs>
        <w:suppressAutoHyphens/>
        <w:jc w:val="center"/>
        <w:rPr>
          <w:rFonts w:asciiTheme="majorHAnsi" w:hAnsiTheme="majorHAnsi"/>
          <w:sz w:val="20"/>
          <w:szCs w:val="20"/>
          <w:lang w:val="es-ES_tradnl"/>
        </w:rPr>
      </w:pPr>
      <w:r w:rsidRPr="006D531F">
        <w:rPr>
          <w:rFonts w:asciiTheme="majorHAnsi" w:hAnsiTheme="majorHAnsi"/>
          <w:sz w:val="20"/>
          <w:szCs w:val="20"/>
          <w:lang w:val="es-ES_tradnl"/>
        </w:rPr>
        <w:t>FONDO</w:t>
      </w:r>
    </w:p>
    <w:p w14:paraId="16414375" w14:textId="77777777" w:rsidR="00A12A9C" w:rsidRPr="006D531F" w:rsidRDefault="00A12A9C" w:rsidP="00A12A9C">
      <w:pPr>
        <w:tabs>
          <w:tab w:val="center" w:pos="5400"/>
        </w:tabs>
        <w:suppressAutoHyphens/>
        <w:jc w:val="center"/>
        <w:rPr>
          <w:rFonts w:asciiTheme="majorHAnsi" w:hAnsiTheme="majorHAnsi"/>
          <w:sz w:val="20"/>
          <w:szCs w:val="20"/>
          <w:lang w:val="es-ES_tradnl"/>
        </w:rPr>
      </w:pPr>
      <w:r w:rsidRPr="006D531F">
        <w:rPr>
          <w:rFonts w:asciiTheme="majorHAnsi" w:hAnsiTheme="majorHAnsi"/>
          <w:sz w:val="20"/>
          <w:szCs w:val="20"/>
          <w:lang w:val="es-ES_tradnl"/>
        </w:rPr>
        <w:t>PUEBLOS INDÍGENAS MAYA KAQCHIKEL DE SUMPANGO Y OTROS</w:t>
      </w:r>
    </w:p>
    <w:p w14:paraId="60C5A99B" w14:textId="77777777" w:rsidR="00A12A9C" w:rsidRPr="006D531F" w:rsidRDefault="00A12A9C" w:rsidP="00A12A9C">
      <w:pPr>
        <w:tabs>
          <w:tab w:val="center" w:pos="5400"/>
        </w:tabs>
        <w:suppressAutoHyphens/>
        <w:jc w:val="center"/>
        <w:rPr>
          <w:rFonts w:asciiTheme="majorHAnsi" w:hAnsiTheme="majorHAnsi"/>
          <w:sz w:val="20"/>
          <w:szCs w:val="20"/>
          <w:lang w:val="es-ES_tradnl"/>
        </w:rPr>
      </w:pPr>
      <w:r w:rsidRPr="006D531F">
        <w:rPr>
          <w:rFonts w:asciiTheme="majorHAnsi" w:hAnsiTheme="majorHAnsi"/>
          <w:sz w:val="20"/>
          <w:szCs w:val="20"/>
          <w:lang w:val="es-ES_tradnl"/>
        </w:rPr>
        <w:t>GUATEMALA</w:t>
      </w:r>
    </w:p>
    <w:p w14:paraId="1A0891CD" w14:textId="77777777" w:rsidR="00A12A9C" w:rsidRPr="006D531F" w:rsidRDefault="00EE5A21" w:rsidP="00AC5AB3">
      <w:pPr>
        <w:tabs>
          <w:tab w:val="center" w:pos="5400"/>
        </w:tabs>
        <w:suppressAutoHyphens/>
        <w:jc w:val="center"/>
        <w:rPr>
          <w:rFonts w:asciiTheme="majorHAnsi" w:hAnsiTheme="majorHAnsi"/>
          <w:sz w:val="20"/>
          <w:szCs w:val="20"/>
          <w:lang w:val="es-ES_tradnl"/>
        </w:rPr>
      </w:pPr>
      <w:r>
        <w:rPr>
          <w:rFonts w:asciiTheme="majorHAnsi" w:hAnsiTheme="majorHAnsi"/>
          <w:sz w:val="20"/>
          <w:szCs w:val="20"/>
          <w:lang w:val="es-ES_tradnl"/>
        </w:rPr>
        <w:t>9</w:t>
      </w:r>
      <w:r w:rsidR="00AC5AB3">
        <w:rPr>
          <w:rFonts w:asciiTheme="majorHAnsi" w:hAnsiTheme="majorHAnsi"/>
          <w:sz w:val="20"/>
          <w:szCs w:val="20"/>
          <w:lang w:val="es-ES_tradnl"/>
        </w:rPr>
        <w:t xml:space="preserve"> </w:t>
      </w:r>
      <w:r w:rsidR="00A12A9C" w:rsidRPr="006D531F">
        <w:rPr>
          <w:rFonts w:asciiTheme="majorHAnsi" w:hAnsiTheme="majorHAnsi"/>
          <w:sz w:val="20"/>
          <w:szCs w:val="20"/>
          <w:lang w:val="es-ES_tradnl"/>
        </w:rPr>
        <w:t>de noviembre de 2019</w:t>
      </w:r>
    </w:p>
    <w:p w14:paraId="55CE2DED" w14:textId="77777777" w:rsidR="005937F1" w:rsidRPr="006D531F" w:rsidRDefault="005937F1" w:rsidP="00A12A9C">
      <w:pPr>
        <w:suppressAutoHyphens/>
        <w:jc w:val="both"/>
        <w:rPr>
          <w:rFonts w:asciiTheme="majorHAnsi" w:hAnsiTheme="majorHAnsi"/>
          <w:b/>
          <w:sz w:val="20"/>
          <w:szCs w:val="20"/>
          <w:lang w:val="es-ES_tradnl"/>
        </w:rPr>
      </w:pPr>
    </w:p>
    <w:p w14:paraId="61C4CFBC" w14:textId="77777777" w:rsidR="00D12193" w:rsidRPr="006D531F" w:rsidRDefault="00A03A30" w:rsidP="000A6CEF">
      <w:pPr>
        <w:pStyle w:val="Heading1"/>
        <w:ind w:left="0" w:firstLine="0"/>
        <w:jc w:val="both"/>
        <w:rPr>
          <w:color w:val="auto"/>
        </w:rPr>
      </w:pPr>
      <w:bookmarkStart w:id="2" w:name="_Toc6937369"/>
      <w:bookmarkStart w:id="3" w:name="_Toc11073097"/>
      <w:bookmarkStart w:id="4" w:name="_Toc28418769"/>
      <w:r w:rsidRPr="006D531F">
        <w:rPr>
          <w:color w:val="auto"/>
        </w:rPr>
        <w:t>INTRODUCCIÓN</w:t>
      </w:r>
      <w:bookmarkEnd w:id="2"/>
      <w:bookmarkEnd w:id="3"/>
      <w:bookmarkEnd w:id="4"/>
    </w:p>
    <w:p w14:paraId="56625C0D" w14:textId="77777777" w:rsidR="005C4CA5" w:rsidRPr="006D531F" w:rsidRDefault="005C4CA5" w:rsidP="000A6CEF">
      <w:pPr>
        <w:pStyle w:val="Heading1"/>
        <w:numPr>
          <w:ilvl w:val="0"/>
          <w:numId w:val="0"/>
        </w:numPr>
        <w:jc w:val="both"/>
        <w:rPr>
          <w:color w:val="auto"/>
        </w:rPr>
      </w:pPr>
    </w:p>
    <w:p w14:paraId="16724920" w14:textId="77777777" w:rsidR="007F3C0C" w:rsidRPr="006D531F" w:rsidRDefault="007F3C0C" w:rsidP="007F3C0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r w:rsidRPr="006D531F">
        <w:rPr>
          <w:rFonts w:asciiTheme="majorHAnsi" w:hAnsiTheme="majorHAnsi"/>
          <w:sz w:val="20"/>
          <w:szCs w:val="20"/>
          <w:lang w:val="es-VE"/>
        </w:rPr>
        <w:t>El 28 de septiembre de 2012 la Comisión Interamericana de Derechos Humanos (en adelante “la Comisión Interamericana”, “la Comisión” o “la CIDH”) recibió una petición presentada por la Asociación Sobrevivencia Cultural, Asociación Mujb’a</w:t>
      </w:r>
      <w:r w:rsidR="00811C42">
        <w:rPr>
          <w:rFonts w:asciiTheme="majorHAnsi" w:hAnsiTheme="majorHAnsi"/>
          <w:sz w:val="20"/>
          <w:szCs w:val="20"/>
          <w:lang w:val="es-VE"/>
        </w:rPr>
        <w:t>b</w:t>
      </w:r>
      <w:r w:rsidRPr="006D531F">
        <w:rPr>
          <w:rFonts w:asciiTheme="majorHAnsi" w:hAnsiTheme="majorHAnsi"/>
          <w:sz w:val="20"/>
          <w:szCs w:val="20"/>
          <w:lang w:val="es-VE"/>
        </w:rPr>
        <w:t xml:space="preserve">’l Yol Encuentro de Expresiones y Cultural Survival, Inc. (en adelante “la parte peticionaria” o “los peticionarios”) en la cual se alega la responsabilidad internacional de la República de  Guatemala (en adelante “el Estado de Guatemala”, “el Estado” o “Guatemala”) en perjuicio de los pueblos </w:t>
      </w:r>
      <w:r w:rsidRPr="006D531F">
        <w:rPr>
          <w:rFonts w:asciiTheme="majorHAnsi" w:hAnsiTheme="majorHAnsi"/>
          <w:sz w:val="20"/>
          <w:szCs w:val="20"/>
          <w:lang w:val="es-MX"/>
        </w:rPr>
        <w:t>indígenas Maya Kaqchikel de Sumpango, en Sacatepéquez; Achí de San Miguel Chicaj, en Baja Verapaz; Maya Mam de Cajolá, en Quetzaltenango; y Maya de Todos Santos de Cuchumatán, en Huehuetenango,</w:t>
      </w:r>
      <w:r w:rsidRPr="006D531F">
        <w:rPr>
          <w:rFonts w:asciiTheme="majorHAnsi" w:hAnsiTheme="majorHAnsi"/>
          <w:sz w:val="20"/>
          <w:szCs w:val="20"/>
          <w:lang w:val="es-VE"/>
        </w:rPr>
        <w:t xml:space="preserve"> por la alegada </w:t>
      </w:r>
      <w:r w:rsidRPr="006D531F">
        <w:rPr>
          <w:rFonts w:asciiTheme="majorHAnsi" w:hAnsiTheme="majorHAnsi"/>
          <w:sz w:val="20"/>
          <w:szCs w:val="20"/>
          <w:lang w:val="es-MX"/>
        </w:rPr>
        <w:t>violación de los derechos a la libertad de expresión, igualdad ante la ley e identidad cultural.</w:t>
      </w:r>
      <w:r w:rsidRPr="006D531F">
        <w:rPr>
          <w:rFonts w:asciiTheme="majorHAnsi" w:hAnsiTheme="majorHAnsi"/>
          <w:sz w:val="20"/>
          <w:szCs w:val="20"/>
          <w:lang w:val="es-VE"/>
        </w:rPr>
        <w:t xml:space="preserve"> </w:t>
      </w:r>
    </w:p>
    <w:p w14:paraId="396C0167" w14:textId="77777777" w:rsidR="007F3C0C" w:rsidRPr="006D531F" w:rsidRDefault="007F3C0C" w:rsidP="007F3C0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VE"/>
        </w:rPr>
      </w:pPr>
    </w:p>
    <w:p w14:paraId="7F7EAFC5" w14:textId="77777777" w:rsidR="007F3C0C" w:rsidRPr="006D531F" w:rsidRDefault="007F3C0C" w:rsidP="007F3C0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r w:rsidRPr="006D531F">
        <w:rPr>
          <w:rFonts w:asciiTheme="majorHAnsi" w:hAnsiTheme="majorHAnsi"/>
          <w:sz w:val="20"/>
          <w:szCs w:val="20"/>
          <w:lang w:val="es-VE"/>
        </w:rPr>
        <w:t>L</w:t>
      </w:r>
      <w:r w:rsidRPr="006D531F">
        <w:rPr>
          <w:rFonts w:asciiTheme="majorHAnsi" w:hAnsiTheme="majorHAnsi"/>
          <w:sz w:val="20"/>
          <w:szCs w:val="20"/>
          <w:lang w:val="es-ES_tradnl"/>
        </w:rPr>
        <w:t>a Comisión aprobó el informe de admisibilidad No. 51/18 el 5 de mayo de 2018</w:t>
      </w:r>
      <w:r w:rsidRPr="006D531F">
        <w:rPr>
          <w:rStyle w:val="FootnoteReference"/>
          <w:rFonts w:asciiTheme="majorHAnsi" w:hAnsiTheme="majorHAnsi"/>
          <w:sz w:val="20"/>
          <w:szCs w:val="20"/>
          <w:lang w:val="es-ES_tradnl"/>
        </w:rPr>
        <w:footnoteReference w:id="2"/>
      </w:r>
      <w:r w:rsidRPr="006D531F">
        <w:rPr>
          <w:rFonts w:asciiTheme="majorHAnsi" w:hAnsiTheme="majorHAnsi"/>
          <w:sz w:val="20"/>
          <w:szCs w:val="20"/>
          <w:lang w:val="es-ES_tradnl"/>
        </w:rPr>
        <w:t>. El 2</w:t>
      </w:r>
      <w:r w:rsidR="00811C42">
        <w:rPr>
          <w:rFonts w:asciiTheme="majorHAnsi" w:hAnsiTheme="majorHAnsi"/>
          <w:sz w:val="20"/>
          <w:szCs w:val="20"/>
          <w:lang w:val="es-ES_tradnl"/>
        </w:rPr>
        <w:t>1</w:t>
      </w:r>
      <w:r w:rsidRPr="006D531F">
        <w:rPr>
          <w:rFonts w:asciiTheme="majorHAnsi" w:hAnsiTheme="majorHAnsi"/>
          <w:sz w:val="20"/>
          <w:szCs w:val="20"/>
          <w:lang w:val="es-ES_tradnl"/>
        </w:rPr>
        <w:t xml:space="preserve"> de junio de 2018 la Comisión notificó dicho informe a las partes y se puso a su disposición a fin de llegar a una solución amistosa. Las partes contaron con los plazos reglamentarios para presentar sus observaciones adicionales sobre el fondo. Toda la información recibida fue debidamente trasladada entre las partes. </w:t>
      </w:r>
    </w:p>
    <w:p w14:paraId="3A2A133A" w14:textId="77777777" w:rsidR="009014A4" w:rsidRPr="006D531F" w:rsidRDefault="009014A4" w:rsidP="007F3C0C">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VE"/>
        </w:rPr>
      </w:pPr>
    </w:p>
    <w:p w14:paraId="7B3058E1" w14:textId="77777777" w:rsidR="00D12193" w:rsidRPr="006D531F" w:rsidRDefault="00D12193" w:rsidP="000A6CEF">
      <w:pPr>
        <w:pStyle w:val="Heading1"/>
        <w:ind w:left="0" w:firstLine="0"/>
        <w:jc w:val="both"/>
        <w:rPr>
          <w:color w:val="auto"/>
        </w:rPr>
      </w:pPr>
      <w:bookmarkStart w:id="5" w:name="_Toc6937370"/>
      <w:bookmarkStart w:id="6" w:name="_Toc11073098"/>
      <w:bookmarkStart w:id="7" w:name="_Toc28418770"/>
      <w:r w:rsidRPr="006D531F">
        <w:rPr>
          <w:color w:val="auto"/>
        </w:rPr>
        <w:t>ALEGATOS DE LAS PARTES</w:t>
      </w:r>
      <w:bookmarkEnd w:id="5"/>
      <w:bookmarkEnd w:id="6"/>
      <w:bookmarkEnd w:id="7"/>
    </w:p>
    <w:p w14:paraId="08CEB484" w14:textId="77777777" w:rsidR="00BB4FE6" w:rsidRPr="006D531F" w:rsidRDefault="00BB4FE6" w:rsidP="000A6CEF">
      <w:pPr>
        <w:jc w:val="both"/>
        <w:rPr>
          <w:rFonts w:asciiTheme="majorHAnsi" w:hAnsiTheme="majorHAnsi"/>
          <w:sz w:val="20"/>
          <w:szCs w:val="20"/>
          <w:lang w:val="es-ES_tradnl" w:eastAsia="es-ES"/>
        </w:rPr>
      </w:pPr>
    </w:p>
    <w:p w14:paraId="7CEFDA55" w14:textId="77777777" w:rsidR="00E2742C" w:rsidRPr="006D531F" w:rsidRDefault="00E2742C" w:rsidP="000E521A">
      <w:pPr>
        <w:pStyle w:val="Heading2"/>
        <w:rPr>
          <w:rFonts w:asciiTheme="majorHAnsi" w:hAnsiTheme="majorHAnsi"/>
        </w:rPr>
      </w:pPr>
      <w:bookmarkStart w:id="8" w:name="_Toc6937371"/>
      <w:bookmarkStart w:id="9" w:name="_Toc11073099"/>
      <w:bookmarkStart w:id="10" w:name="_Toc28418771"/>
      <w:r w:rsidRPr="006D531F">
        <w:rPr>
          <w:rFonts w:asciiTheme="majorHAnsi" w:hAnsiTheme="majorHAnsi"/>
        </w:rPr>
        <w:t>Parte peticionaria</w:t>
      </w:r>
      <w:bookmarkEnd w:id="8"/>
      <w:bookmarkEnd w:id="9"/>
      <w:bookmarkEnd w:id="10"/>
      <w:r w:rsidRPr="006D531F">
        <w:rPr>
          <w:rFonts w:asciiTheme="majorHAnsi" w:hAnsiTheme="majorHAnsi"/>
        </w:rPr>
        <w:t xml:space="preserve"> </w:t>
      </w:r>
    </w:p>
    <w:p w14:paraId="1897D96E" w14:textId="77777777" w:rsidR="00BB4FE6" w:rsidRPr="006D531F" w:rsidRDefault="00BB4FE6" w:rsidP="000A6CEF">
      <w:pPr>
        <w:jc w:val="both"/>
        <w:rPr>
          <w:rFonts w:asciiTheme="majorHAnsi" w:hAnsiTheme="majorHAnsi"/>
          <w:sz w:val="20"/>
          <w:szCs w:val="20"/>
        </w:rPr>
      </w:pPr>
    </w:p>
    <w:p w14:paraId="147D0FD4" w14:textId="77777777" w:rsidR="00C97742" w:rsidRPr="006D531F" w:rsidRDefault="00C97742" w:rsidP="00D04F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
        </w:rPr>
      </w:pPr>
      <w:r w:rsidRPr="006D531F">
        <w:rPr>
          <w:rFonts w:asciiTheme="majorHAnsi" w:hAnsiTheme="majorHAnsi"/>
          <w:sz w:val="20"/>
          <w:szCs w:val="20"/>
          <w:lang w:val="es-MX"/>
        </w:rPr>
        <w:t>La parte peticionaria explica que en Guatemala los</w:t>
      </w:r>
      <w:r w:rsidR="00811C42">
        <w:rPr>
          <w:rFonts w:asciiTheme="majorHAnsi" w:hAnsiTheme="majorHAnsi"/>
          <w:sz w:val="20"/>
          <w:szCs w:val="20"/>
          <w:lang w:val="es-MX"/>
        </w:rPr>
        <w:t xml:space="preserve"> cuatro</w:t>
      </w:r>
      <w:r w:rsidRPr="006D531F">
        <w:rPr>
          <w:rFonts w:asciiTheme="majorHAnsi" w:hAnsiTheme="majorHAnsi"/>
          <w:sz w:val="20"/>
          <w:szCs w:val="20"/>
          <w:lang w:val="es-MX"/>
        </w:rPr>
        <w:t xml:space="preserve"> pueblos indígenas</w:t>
      </w:r>
      <w:r w:rsidR="00D63ADD">
        <w:rPr>
          <w:rFonts w:asciiTheme="majorHAnsi" w:hAnsiTheme="majorHAnsi"/>
          <w:sz w:val="20"/>
          <w:szCs w:val="20"/>
          <w:lang w:val="es-MX"/>
        </w:rPr>
        <w:t xml:space="preserve"> a los que se refiere el </w:t>
      </w:r>
      <w:r w:rsidRPr="006D531F">
        <w:rPr>
          <w:rFonts w:asciiTheme="majorHAnsi" w:hAnsiTheme="majorHAnsi"/>
          <w:sz w:val="20"/>
          <w:szCs w:val="20"/>
          <w:lang w:val="es-MX"/>
        </w:rPr>
        <w:t>presente caso</w:t>
      </w:r>
      <w:r w:rsidR="00720B23">
        <w:rPr>
          <w:rFonts w:asciiTheme="majorHAnsi" w:hAnsiTheme="majorHAnsi"/>
          <w:sz w:val="20"/>
          <w:szCs w:val="20"/>
          <w:lang w:val="es-MX"/>
        </w:rPr>
        <w:t>,</w:t>
      </w:r>
      <w:r w:rsidRPr="006D531F">
        <w:rPr>
          <w:rFonts w:asciiTheme="majorHAnsi" w:hAnsiTheme="majorHAnsi"/>
          <w:sz w:val="20"/>
          <w:szCs w:val="20"/>
          <w:lang w:val="es-VE"/>
        </w:rPr>
        <w:t xml:space="preserve"> </w:t>
      </w:r>
      <w:r w:rsidRPr="006D531F">
        <w:rPr>
          <w:rFonts w:asciiTheme="majorHAnsi" w:hAnsiTheme="majorHAnsi"/>
          <w:sz w:val="20"/>
          <w:szCs w:val="20"/>
          <w:lang w:val="es-MX"/>
        </w:rPr>
        <w:t xml:space="preserve">se han organizado para </w:t>
      </w:r>
      <w:r w:rsidR="00720B23">
        <w:rPr>
          <w:rFonts w:asciiTheme="majorHAnsi" w:hAnsiTheme="majorHAnsi"/>
          <w:sz w:val="20"/>
          <w:szCs w:val="20"/>
          <w:lang w:val="es-MX"/>
        </w:rPr>
        <w:t>fundar</w:t>
      </w:r>
      <w:r w:rsidRPr="006D531F">
        <w:rPr>
          <w:rFonts w:asciiTheme="majorHAnsi" w:hAnsiTheme="majorHAnsi"/>
          <w:sz w:val="20"/>
          <w:szCs w:val="20"/>
          <w:lang w:val="es-MX"/>
        </w:rPr>
        <w:t xml:space="preserve"> radios comunitarias con el objeto de difundir información relevante para sus </w:t>
      </w:r>
      <w:r w:rsidR="00720B23">
        <w:rPr>
          <w:rFonts w:asciiTheme="majorHAnsi" w:hAnsiTheme="majorHAnsi"/>
          <w:sz w:val="20"/>
          <w:szCs w:val="20"/>
          <w:lang w:val="es-MX"/>
        </w:rPr>
        <w:t>comunidades</w:t>
      </w:r>
      <w:r w:rsidRPr="006D531F">
        <w:rPr>
          <w:rFonts w:asciiTheme="majorHAnsi" w:hAnsiTheme="majorHAnsi"/>
          <w:sz w:val="20"/>
          <w:szCs w:val="20"/>
          <w:lang w:val="es-MX"/>
        </w:rPr>
        <w:t>, proteger su cultura y promover el uso de sus lenguas, dando origen a las radios comunitarias Radio Ixchel, operada por el pueblo Maya Kaqchikel; la emisora Uqul Tinamil “La Voz del Pueblo”, operada por el pueblo Maya Achí; la radio comunitaria X Musical operada por el pueblo Maya Mam de Cajolá</w:t>
      </w:r>
      <w:r w:rsidR="00D63ADD">
        <w:rPr>
          <w:rFonts w:asciiTheme="majorHAnsi" w:hAnsiTheme="majorHAnsi"/>
          <w:sz w:val="20"/>
          <w:szCs w:val="20"/>
          <w:lang w:val="es-MX"/>
        </w:rPr>
        <w:t>,</w:t>
      </w:r>
      <w:r w:rsidRPr="006D531F">
        <w:rPr>
          <w:rFonts w:asciiTheme="majorHAnsi" w:hAnsiTheme="majorHAnsi"/>
          <w:sz w:val="20"/>
          <w:szCs w:val="20"/>
          <w:lang w:val="es-MX"/>
        </w:rPr>
        <w:t xml:space="preserve"> y la radio Qman Txum, operada por el pueblo Maya de Todos Santos. </w:t>
      </w:r>
    </w:p>
    <w:p w14:paraId="1CD4FAB4" w14:textId="77777777" w:rsidR="00C97742" w:rsidRPr="006D531F" w:rsidRDefault="00C97742" w:rsidP="00C9774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lang w:val="es-MX"/>
        </w:rPr>
      </w:pPr>
    </w:p>
    <w:p w14:paraId="31A29831" w14:textId="77777777" w:rsidR="00C97742" w:rsidRPr="006D531F" w:rsidRDefault="00C97742" w:rsidP="00D04F4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MX"/>
        </w:rPr>
      </w:pPr>
      <w:r w:rsidRPr="006D531F">
        <w:rPr>
          <w:rFonts w:asciiTheme="majorHAnsi" w:hAnsiTheme="majorHAnsi"/>
          <w:sz w:val="20"/>
          <w:szCs w:val="20"/>
          <w:lang w:val="es-MX"/>
        </w:rPr>
        <w:t>La parte peticionaria señala que los pueblos indígenas citados no han tenido acceso a las licencias de radiodifusión para operar sus emisoras debido a los obstáculos que impone la normativa interna guatemalteca. Alega que el Estado viola los derechos de</w:t>
      </w:r>
      <w:r w:rsidR="00720B23">
        <w:rPr>
          <w:rFonts w:asciiTheme="majorHAnsi" w:hAnsiTheme="majorHAnsi"/>
          <w:sz w:val="20"/>
          <w:szCs w:val="20"/>
          <w:lang w:val="es-MX"/>
        </w:rPr>
        <w:t xml:space="preserve"> estos pueblos </w:t>
      </w:r>
      <w:r w:rsidRPr="006D531F">
        <w:rPr>
          <w:rFonts w:asciiTheme="majorHAnsi" w:hAnsiTheme="majorHAnsi"/>
          <w:sz w:val="20"/>
          <w:szCs w:val="20"/>
          <w:lang w:val="es-MX"/>
        </w:rPr>
        <w:t xml:space="preserve">a la libertad de expresión, igualdad ante la ley e identidad cultural debido a la falta de reconocimiento legal de las radios comunitarias y </w:t>
      </w:r>
      <w:r w:rsidR="001B1F51">
        <w:rPr>
          <w:rFonts w:asciiTheme="majorHAnsi" w:hAnsiTheme="majorHAnsi"/>
          <w:sz w:val="20"/>
          <w:szCs w:val="20"/>
          <w:lang w:val="es-MX"/>
        </w:rPr>
        <w:t xml:space="preserve">a </w:t>
      </w:r>
      <w:r w:rsidRPr="006D531F">
        <w:rPr>
          <w:rFonts w:asciiTheme="majorHAnsi" w:hAnsiTheme="majorHAnsi"/>
          <w:sz w:val="20"/>
          <w:szCs w:val="20"/>
          <w:lang w:val="es-MX"/>
        </w:rPr>
        <w:t xml:space="preserve">la persistencia de condiciones legales discriminatorias que impiden el acceso al espectro radioeléctrico y </w:t>
      </w:r>
      <w:r w:rsidRPr="006D531F">
        <w:rPr>
          <w:rFonts w:asciiTheme="majorHAnsi" w:hAnsiTheme="majorHAnsi"/>
          <w:bCs/>
          <w:sz w:val="20"/>
          <w:szCs w:val="20"/>
          <w:lang w:val="es-MX"/>
        </w:rPr>
        <w:t>criminalizan</w:t>
      </w:r>
      <w:r w:rsidRPr="006D531F">
        <w:rPr>
          <w:rFonts w:asciiTheme="majorHAnsi" w:hAnsiTheme="majorHAnsi"/>
          <w:sz w:val="20"/>
          <w:szCs w:val="20"/>
          <w:lang w:val="es-MX"/>
        </w:rPr>
        <w:t xml:space="preserve"> el desarrollo de sus propios medios de comunicación. </w:t>
      </w:r>
    </w:p>
    <w:p w14:paraId="45B5709C" w14:textId="77777777" w:rsidR="003C6B1A" w:rsidRPr="006D531F" w:rsidRDefault="003C6B1A" w:rsidP="003C6B1A">
      <w:pPr>
        <w:pStyle w:val="ListParagraph"/>
        <w:rPr>
          <w:rFonts w:asciiTheme="majorHAnsi" w:hAnsiTheme="majorHAnsi"/>
          <w:color w:val="auto"/>
          <w:sz w:val="20"/>
          <w:szCs w:val="20"/>
          <w:lang w:val="es-MX"/>
        </w:rPr>
      </w:pPr>
    </w:p>
    <w:p w14:paraId="5CADDE39" w14:textId="77777777" w:rsidR="00C97742" w:rsidRPr="00AC395F" w:rsidRDefault="00D63ADD" w:rsidP="003C6B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MX"/>
        </w:rPr>
      </w:pPr>
      <w:r w:rsidRPr="006D531F">
        <w:rPr>
          <w:rFonts w:asciiTheme="majorHAnsi" w:hAnsiTheme="majorHAnsi"/>
          <w:sz w:val="20"/>
          <w:szCs w:val="20"/>
          <w:lang w:val="es-MX"/>
        </w:rPr>
        <w:t xml:space="preserve">La parte peticionaria </w:t>
      </w:r>
      <w:r w:rsidR="00C97742" w:rsidRPr="006D531F">
        <w:rPr>
          <w:rFonts w:asciiTheme="majorHAnsi" w:hAnsiTheme="majorHAnsi"/>
          <w:sz w:val="20"/>
          <w:szCs w:val="20"/>
          <w:lang w:val="es-MX"/>
        </w:rPr>
        <w:t xml:space="preserve">señala que las emisoras que sirven a estos pueblos son </w:t>
      </w:r>
      <w:r>
        <w:rPr>
          <w:rFonts w:asciiTheme="majorHAnsi" w:hAnsiTheme="majorHAnsi"/>
          <w:sz w:val="20"/>
          <w:szCs w:val="20"/>
          <w:lang w:val="es-MX"/>
        </w:rPr>
        <w:t>allanadas</w:t>
      </w:r>
      <w:r w:rsidR="00C97742" w:rsidRPr="006D531F">
        <w:rPr>
          <w:rFonts w:asciiTheme="majorHAnsi" w:hAnsiTheme="majorHAnsi"/>
          <w:sz w:val="20"/>
          <w:szCs w:val="20"/>
          <w:lang w:val="es-MX"/>
        </w:rPr>
        <w:t xml:space="preserve"> por autoridades estatales que detienen a sus empleados y voluntarios, decomisan equipos de transmisión radial e interrumpen sus transmisiones. En particular, </w:t>
      </w:r>
      <w:r w:rsidR="00E61F59">
        <w:rPr>
          <w:rFonts w:asciiTheme="majorHAnsi" w:hAnsiTheme="majorHAnsi"/>
          <w:sz w:val="20"/>
          <w:szCs w:val="20"/>
          <w:lang w:val="es-MX"/>
        </w:rPr>
        <w:t>denuncian</w:t>
      </w:r>
      <w:r w:rsidR="00C97742" w:rsidRPr="006D531F">
        <w:rPr>
          <w:rFonts w:asciiTheme="majorHAnsi" w:hAnsiTheme="majorHAnsi"/>
          <w:sz w:val="20"/>
          <w:szCs w:val="20"/>
          <w:lang w:val="es-MX"/>
        </w:rPr>
        <w:t xml:space="preserve"> el allanamiento a </w:t>
      </w:r>
      <w:r w:rsidR="00C97742" w:rsidRPr="006D531F">
        <w:rPr>
          <w:rFonts w:asciiTheme="majorHAnsi" w:hAnsiTheme="majorHAnsi"/>
          <w:sz w:val="20"/>
          <w:szCs w:val="20"/>
          <w:lang w:val="es-VE"/>
        </w:rPr>
        <w:t>Radio Ixchel el 7 de julio de2006</w:t>
      </w:r>
      <w:r w:rsidR="00C97742" w:rsidRPr="006D531F">
        <w:rPr>
          <w:rFonts w:asciiTheme="majorHAnsi" w:hAnsiTheme="majorHAnsi"/>
          <w:sz w:val="20"/>
          <w:szCs w:val="20"/>
          <w:lang w:val="es-ES_tradnl"/>
        </w:rPr>
        <w:t xml:space="preserve">, por la Fiscalía de delitos contra sindicalistas y periodistas del Ministerio Público, </w:t>
      </w:r>
      <w:r>
        <w:rPr>
          <w:rFonts w:asciiTheme="majorHAnsi" w:hAnsiTheme="majorHAnsi"/>
          <w:sz w:val="20"/>
          <w:szCs w:val="20"/>
          <w:lang w:val="es-ES_tradnl"/>
        </w:rPr>
        <w:t>durante el cual su</w:t>
      </w:r>
      <w:r w:rsidR="00C97742" w:rsidRPr="006D531F">
        <w:rPr>
          <w:rFonts w:asciiTheme="majorHAnsi" w:hAnsiTheme="majorHAnsi"/>
          <w:sz w:val="20"/>
          <w:szCs w:val="20"/>
          <w:lang w:val="es-ES_tradnl"/>
        </w:rPr>
        <w:t xml:space="preserve"> coordinador voluntario fue arrestado por la presunta comisión del delito de “</w:t>
      </w:r>
      <w:r>
        <w:rPr>
          <w:rFonts w:asciiTheme="majorHAnsi" w:hAnsiTheme="majorHAnsi"/>
          <w:sz w:val="20"/>
          <w:szCs w:val="20"/>
          <w:lang w:val="es-ES_tradnl"/>
        </w:rPr>
        <w:t>h</w:t>
      </w:r>
      <w:r w:rsidR="00C97742" w:rsidRPr="006D531F">
        <w:rPr>
          <w:rFonts w:asciiTheme="majorHAnsi" w:hAnsiTheme="majorHAnsi"/>
          <w:sz w:val="20"/>
          <w:szCs w:val="20"/>
          <w:lang w:val="es-ES_tradnl"/>
        </w:rPr>
        <w:t>urto de frecuencias”</w:t>
      </w:r>
      <w:r>
        <w:rPr>
          <w:rFonts w:asciiTheme="majorHAnsi" w:hAnsiTheme="majorHAnsi"/>
          <w:sz w:val="20"/>
          <w:szCs w:val="20"/>
          <w:lang w:val="es-ES_tradnl"/>
        </w:rPr>
        <w:t>.</w:t>
      </w:r>
      <w:r w:rsidR="004C4BD9">
        <w:rPr>
          <w:rFonts w:asciiTheme="majorHAnsi" w:hAnsiTheme="majorHAnsi"/>
          <w:sz w:val="20"/>
          <w:szCs w:val="20"/>
          <w:lang w:val="es-ES_tradnl"/>
        </w:rPr>
        <w:t xml:space="preserve"> </w:t>
      </w:r>
      <w:r>
        <w:rPr>
          <w:rFonts w:asciiTheme="majorHAnsi" w:hAnsiTheme="majorHAnsi"/>
          <w:sz w:val="20"/>
          <w:szCs w:val="20"/>
          <w:lang w:val="es-ES_tradnl"/>
        </w:rPr>
        <w:t>Asimismo, denuncian</w:t>
      </w:r>
      <w:r w:rsidR="00C97742" w:rsidRPr="006D531F">
        <w:rPr>
          <w:rFonts w:asciiTheme="majorHAnsi" w:hAnsiTheme="majorHAnsi"/>
          <w:sz w:val="20"/>
          <w:szCs w:val="20"/>
          <w:lang w:val="es-ES_tradnl"/>
        </w:rPr>
        <w:t xml:space="preserve"> el </w:t>
      </w:r>
      <w:r>
        <w:rPr>
          <w:rFonts w:asciiTheme="majorHAnsi" w:hAnsiTheme="majorHAnsi"/>
          <w:sz w:val="20"/>
          <w:szCs w:val="20"/>
          <w:lang w:val="es-ES_tradnl"/>
        </w:rPr>
        <w:t xml:space="preserve">allanamiento </w:t>
      </w:r>
      <w:r w:rsidR="00C97742" w:rsidRPr="006D531F">
        <w:rPr>
          <w:rFonts w:asciiTheme="majorHAnsi" w:hAnsiTheme="majorHAnsi"/>
          <w:sz w:val="20"/>
          <w:szCs w:val="20"/>
          <w:lang w:val="es-ES_tradnl"/>
        </w:rPr>
        <w:t xml:space="preserve">ocurrido el 8 de mayo de 2012 a la Radio “La Voz del Pueblo” </w:t>
      </w:r>
      <w:r>
        <w:rPr>
          <w:rFonts w:asciiTheme="majorHAnsi" w:hAnsiTheme="majorHAnsi"/>
          <w:sz w:val="20"/>
          <w:szCs w:val="20"/>
          <w:lang w:val="es-ES_tradnl"/>
        </w:rPr>
        <w:t>por el</w:t>
      </w:r>
      <w:r w:rsidR="00C97742" w:rsidRPr="006D531F">
        <w:rPr>
          <w:rFonts w:asciiTheme="majorHAnsi" w:hAnsiTheme="majorHAnsi"/>
          <w:sz w:val="20"/>
          <w:szCs w:val="20"/>
          <w:lang w:val="es-ES_tradnl"/>
        </w:rPr>
        <w:t xml:space="preserve"> que </w:t>
      </w:r>
      <w:r>
        <w:rPr>
          <w:rFonts w:asciiTheme="majorHAnsi" w:hAnsiTheme="majorHAnsi"/>
          <w:sz w:val="20"/>
          <w:szCs w:val="20"/>
          <w:lang w:val="es-ES_tradnl"/>
        </w:rPr>
        <w:t xml:space="preserve">también </w:t>
      </w:r>
      <w:r w:rsidR="00C97742" w:rsidRPr="006D531F">
        <w:rPr>
          <w:rFonts w:asciiTheme="majorHAnsi" w:hAnsiTheme="majorHAnsi"/>
          <w:sz w:val="20"/>
          <w:szCs w:val="20"/>
          <w:lang w:val="es-ES_tradnl"/>
        </w:rPr>
        <w:t>resultó arrestado uno de sus voluntarios.</w:t>
      </w:r>
    </w:p>
    <w:p w14:paraId="15330A79" w14:textId="77777777" w:rsidR="00AC395F" w:rsidRDefault="00AC395F" w:rsidP="00AC395F">
      <w:pPr>
        <w:pStyle w:val="ListParagraph"/>
        <w:rPr>
          <w:rFonts w:asciiTheme="majorHAnsi" w:hAnsiTheme="majorHAnsi"/>
          <w:sz w:val="20"/>
          <w:szCs w:val="20"/>
          <w:lang w:val="es-MX"/>
        </w:rPr>
      </w:pPr>
    </w:p>
    <w:p w14:paraId="62258EA9" w14:textId="77777777" w:rsidR="00AC395F" w:rsidRPr="006D531F" w:rsidRDefault="00AC395F" w:rsidP="00AC39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MX"/>
        </w:rPr>
      </w:pPr>
    </w:p>
    <w:p w14:paraId="55DEC6E7" w14:textId="77777777" w:rsidR="003C6B1A" w:rsidRPr="006D531F" w:rsidRDefault="003C6B1A" w:rsidP="003C6B1A">
      <w:pPr>
        <w:pStyle w:val="ListParagraph"/>
        <w:rPr>
          <w:rFonts w:asciiTheme="majorHAnsi" w:hAnsiTheme="majorHAnsi"/>
          <w:color w:val="auto"/>
          <w:sz w:val="20"/>
          <w:szCs w:val="20"/>
          <w:lang w:val="es-MX"/>
        </w:rPr>
      </w:pPr>
    </w:p>
    <w:p w14:paraId="5E818021" w14:textId="77777777" w:rsidR="00C97742" w:rsidRPr="00431065" w:rsidRDefault="00C97742" w:rsidP="003C6B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MX"/>
        </w:rPr>
      </w:pPr>
      <w:r w:rsidRPr="006D531F">
        <w:rPr>
          <w:rFonts w:asciiTheme="majorHAnsi" w:hAnsiTheme="majorHAnsi"/>
          <w:sz w:val="20"/>
          <w:szCs w:val="20"/>
          <w:lang w:val="es-MX"/>
        </w:rPr>
        <w:t>Los peticionarios advierten que l</w:t>
      </w:r>
      <w:r w:rsidRPr="006D531F">
        <w:rPr>
          <w:rFonts w:asciiTheme="majorHAnsi" w:hAnsiTheme="majorHAnsi"/>
          <w:sz w:val="20"/>
          <w:szCs w:val="20"/>
          <w:lang w:val="es-VE"/>
        </w:rPr>
        <w:t xml:space="preserve">a </w:t>
      </w:r>
      <w:r w:rsidRPr="006D531F">
        <w:rPr>
          <w:rFonts w:asciiTheme="majorHAnsi" w:hAnsiTheme="majorHAnsi"/>
          <w:sz w:val="20"/>
          <w:szCs w:val="20"/>
          <w:lang w:val="es-MX"/>
        </w:rPr>
        <w:t>Ley General de Telecomunicaciones</w:t>
      </w:r>
      <w:r w:rsidR="00491BE4">
        <w:rPr>
          <w:rFonts w:asciiTheme="majorHAnsi" w:hAnsiTheme="majorHAnsi"/>
          <w:sz w:val="20"/>
          <w:szCs w:val="20"/>
          <w:lang w:val="es-MX"/>
        </w:rPr>
        <w:t xml:space="preserve"> </w:t>
      </w:r>
      <w:r w:rsidR="00744621">
        <w:rPr>
          <w:rFonts w:asciiTheme="majorHAnsi" w:hAnsiTheme="majorHAnsi"/>
          <w:sz w:val="20"/>
          <w:szCs w:val="20"/>
          <w:lang w:val="es-MX"/>
        </w:rPr>
        <w:t xml:space="preserve">de Guatemala </w:t>
      </w:r>
      <w:r w:rsidR="00491BE4" w:rsidRPr="006D531F">
        <w:rPr>
          <w:rFonts w:asciiTheme="majorHAnsi" w:hAnsiTheme="majorHAnsi"/>
          <w:sz w:val="20"/>
          <w:szCs w:val="20"/>
          <w:lang w:val="es-ES_tradnl"/>
        </w:rPr>
        <w:t>(</w:t>
      </w:r>
      <w:r w:rsidR="00491BE4">
        <w:rPr>
          <w:rFonts w:asciiTheme="majorHAnsi" w:hAnsiTheme="majorHAnsi"/>
          <w:sz w:val="20"/>
          <w:szCs w:val="20"/>
          <w:lang w:val="es-ES_tradnl"/>
        </w:rPr>
        <w:t>en adelante “</w:t>
      </w:r>
      <w:r w:rsidR="00491BE4" w:rsidRPr="006D531F">
        <w:rPr>
          <w:rFonts w:asciiTheme="majorHAnsi" w:hAnsiTheme="majorHAnsi"/>
          <w:sz w:val="20"/>
          <w:szCs w:val="20"/>
          <w:lang w:val="es-ES_tradnl"/>
        </w:rPr>
        <w:t>Ley Genera</w:t>
      </w:r>
      <w:r w:rsidR="00491BE4">
        <w:rPr>
          <w:rFonts w:asciiTheme="majorHAnsi" w:hAnsiTheme="majorHAnsi"/>
          <w:sz w:val="20"/>
          <w:szCs w:val="20"/>
          <w:lang w:val="es-ES_tradnl"/>
        </w:rPr>
        <w:t>l de Telecomunicaciones” o “</w:t>
      </w:r>
      <w:r w:rsidR="00491BE4" w:rsidRPr="006D531F">
        <w:rPr>
          <w:rFonts w:asciiTheme="majorHAnsi" w:hAnsiTheme="majorHAnsi"/>
          <w:sz w:val="20"/>
          <w:szCs w:val="20"/>
          <w:lang w:val="es-ES_tradnl"/>
        </w:rPr>
        <w:t>LGT</w:t>
      </w:r>
      <w:r w:rsidR="00491BE4">
        <w:rPr>
          <w:rFonts w:asciiTheme="majorHAnsi" w:hAnsiTheme="majorHAnsi"/>
          <w:sz w:val="20"/>
          <w:szCs w:val="20"/>
          <w:lang w:val="es-ES_tradnl"/>
        </w:rPr>
        <w:t>”</w:t>
      </w:r>
      <w:r w:rsidR="00491BE4" w:rsidRPr="006D531F">
        <w:rPr>
          <w:rFonts w:asciiTheme="majorHAnsi" w:hAnsiTheme="majorHAnsi"/>
          <w:sz w:val="20"/>
          <w:szCs w:val="20"/>
          <w:lang w:val="es-ES_tradnl"/>
        </w:rPr>
        <w:t>)</w:t>
      </w:r>
      <w:r w:rsidR="00164C88">
        <w:rPr>
          <w:rFonts w:asciiTheme="majorHAnsi" w:hAnsiTheme="majorHAnsi"/>
          <w:sz w:val="20"/>
          <w:szCs w:val="20"/>
          <w:lang w:val="es-MX"/>
        </w:rPr>
        <w:t xml:space="preserve"> establece</w:t>
      </w:r>
      <w:r w:rsidRPr="006D531F">
        <w:rPr>
          <w:rFonts w:asciiTheme="majorHAnsi" w:hAnsiTheme="majorHAnsi"/>
          <w:sz w:val="20"/>
          <w:szCs w:val="20"/>
          <w:lang w:val="es-MX"/>
        </w:rPr>
        <w:t xml:space="preserve"> en su </w:t>
      </w:r>
      <w:r w:rsidR="00F84A95">
        <w:rPr>
          <w:rFonts w:asciiTheme="majorHAnsi" w:hAnsiTheme="majorHAnsi"/>
          <w:sz w:val="20"/>
          <w:szCs w:val="20"/>
          <w:lang w:val="es-MX"/>
        </w:rPr>
        <w:t>a</w:t>
      </w:r>
      <w:r w:rsidRPr="006D531F">
        <w:rPr>
          <w:rFonts w:asciiTheme="majorHAnsi" w:hAnsiTheme="majorHAnsi"/>
          <w:sz w:val="20"/>
          <w:szCs w:val="20"/>
          <w:lang w:val="es-MX"/>
        </w:rPr>
        <w:t xml:space="preserve">rtículo </w:t>
      </w:r>
      <w:r w:rsidRPr="006D531F">
        <w:rPr>
          <w:rFonts w:asciiTheme="majorHAnsi" w:hAnsiTheme="majorHAnsi"/>
          <w:sz w:val="20"/>
          <w:szCs w:val="20"/>
          <w:lang w:val="es-VE"/>
        </w:rPr>
        <w:t>62 que las frecuencias de radio se otorgan a través de un proceso de subasta pública</w:t>
      </w:r>
      <w:r w:rsidR="00164C88">
        <w:rPr>
          <w:rFonts w:asciiTheme="majorHAnsi" w:hAnsiTheme="majorHAnsi"/>
          <w:sz w:val="20"/>
          <w:szCs w:val="20"/>
          <w:lang w:val="es-VE"/>
        </w:rPr>
        <w:t>,</w:t>
      </w:r>
      <w:r w:rsidRPr="006D531F">
        <w:rPr>
          <w:rFonts w:asciiTheme="majorHAnsi" w:hAnsiTheme="majorHAnsi"/>
          <w:sz w:val="20"/>
          <w:szCs w:val="20"/>
          <w:lang w:val="es-VE"/>
        </w:rPr>
        <w:t xml:space="preserve"> determinado por la Superin</w:t>
      </w:r>
      <w:r w:rsidR="00164C88">
        <w:rPr>
          <w:rFonts w:asciiTheme="majorHAnsi" w:hAnsiTheme="majorHAnsi"/>
          <w:sz w:val="20"/>
          <w:szCs w:val="20"/>
          <w:lang w:val="es-VE"/>
        </w:rPr>
        <w:t>tendencia de Telecomunicaciones.</w:t>
      </w:r>
      <w:r w:rsidRPr="006D531F">
        <w:rPr>
          <w:rFonts w:asciiTheme="majorHAnsi" w:hAnsiTheme="majorHAnsi"/>
          <w:sz w:val="20"/>
          <w:szCs w:val="20"/>
          <w:lang w:val="es-VE"/>
        </w:rPr>
        <w:t xml:space="preserve"> </w:t>
      </w:r>
      <w:r w:rsidR="00164C88">
        <w:rPr>
          <w:rFonts w:asciiTheme="majorHAnsi" w:hAnsiTheme="majorHAnsi"/>
          <w:sz w:val="20"/>
          <w:szCs w:val="20"/>
          <w:lang w:val="es-VE"/>
        </w:rPr>
        <w:t>Bajo esta disposición, el ente regulador</w:t>
      </w:r>
      <w:r w:rsidR="00F84A95">
        <w:rPr>
          <w:rFonts w:asciiTheme="majorHAnsi" w:hAnsiTheme="majorHAnsi"/>
          <w:sz w:val="20"/>
          <w:szCs w:val="20"/>
          <w:lang w:val="es-VE"/>
        </w:rPr>
        <w:t>,</w:t>
      </w:r>
      <w:r w:rsidR="00164C88">
        <w:rPr>
          <w:rFonts w:asciiTheme="majorHAnsi" w:hAnsiTheme="majorHAnsi"/>
          <w:sz w:val="20"/>
          <w:szCs w:val="20"/>
          <w:lang w:val="es-VE"/>
        </w:rPr>
        <w:t xml:space="preserve"> bajo un</w:t>
      </w:r>
      <w:r w:rsidRPr="006D531F">
        <w:rPr>
          <w:rFonts w:asciiTheme="majorHAnsi" w:hAnsiTheme="majorHAnsi"/>
          <w:sz w:val="20"/>
          <w:szCs w:val="20"/>
          <w:lang w:val="es-VE"/>
        </w:rPr>
        <w:t xml:space="preserve"> cr</w:t>
      </w:r>
      <w:r w:rsidR="00164C88">
        <w:rPr>
          <w:rFonts w:asciiTheme="majorHAnsi" w:hAnsiTheme="majorHAnsi"/>
          <w:sz w:val="20"/>
          <w:szCs w:val="20"/>
          <w:lang w:val="es-VE"/>
        </w:rPr>
        <w:t>iterio exclusivamente económico</w:t>
      </w:r>
      <w:r w:rsidR="00F84A95">
        <w:rPr>
          <w:rFonts w:asciiTheme="majorHAnsi" w:hAnsiTheme="majorHAnsi"/>
          <w:sz w:val="20"/>
          <w:szCs w:val="20"/>
          <w:lang w:val="es-VE"/>
        </w:rPr>
        <w:t>,</w:t>
      </w:r>
      <w:r w:rsidRPr="006D531F">
        <w:rPr>
          <w:rFonts w:asciiTheme="majorHAnsi" w:hAnsiTheme="majorHAnsi"/>
          <w:sz w:val="20"/>
          <w:szCs w:val="20"/>
          <w:lang w:val="es-VE"/>
        </w:rPr>
        <w:t xml:space="preserve"> concede al mejor postor las licencias de uso de bandas de frecuencia. A juicio de los peticionarios, este mecanismo </w:t>
      </w:r>
      <w:r w:rsidRPr="006D531F">
        <w:rPr>
          <w:rFonts w:asciiTheme="majorHAnsi" w:hAnsiTheme="majorHAnsi"/>
          <w:sz w:val="20"/>
          <w:szCs w:val="20"/>
          <w:lang w:val="es-MX"/>
        </w:rPr>
        <w:t xml:space="preserve">no contempla oportunidades equitativas para los medios de comunicación comunitarios, ni atiende a las necesidades especiales de los pueblos indígenas guatemaltecos </w:t>
      </w:r>
      <w:r w:rsidR="00F84A95">
        <w:rPr>
          <w:rFonts w:asciiTheme="majorHAnsi" w:hAnsiTheme="majorHAnsi"/>
          <w:sz w:val="20"/>
          <w:szCs w:val="20"/>
          <w:lang w:val="es-MX"/>
        </w:rPr>
        <w:t>conforme a la</w:t>
      </w:r>
      <w:r w:rsidRPr="006D531F">
        <w:rPr>
          <w:rFonts w:asciiTheme="majorHAnsi" w:hAnsiTheme="majorHAnsi"/>
          <w:sz w:val="20"/>
          <w:szCs w:val="20"/>
          <w:lang w:val="es-MX"/>
        </w:rPr>
        <w:t xml:space="preserve"> condición económica en la que viven</w:t>
      </w:r>
      <w:r w:rsidR="00F84A95">
        <w:rPr>
          <w:rFonts w:asciiTheme="majorHAnsi" w:hAnsiTheme="majorHAnsi"/>
          <w:sz w:val="20"/>
          <w:szCs w:val="20"/>
          <w:lang w:val="es-MX"/>
        </w:rPr>
        <w:t xml:space="preserve">. Tampoco toma en cuenta </w:t>
      </w:r>
      <w:r w:rsidRPr="006D531F">
        <w:rPr>
          <w:rFonts w:asciiTheme="majorHAnsi" w:hAnsiTheme="majorHAnsi"/>
          <w:sz w:val="20"/>
          <w:szCs w:val="20"/>
          <w:lang w:val="es-MX"/>
        </w:rPr>
        <w:t>el hecho de</w:t>
      </w:r>
      <w:r w:rsidRPr="006D531F">
        <w:rPr>
          <w:rFonts w:asciiTheme="majorHAnsi" w:hAnsiTheme="majorHAnsi"/>
          <w:sz w:val="20"/>
          <w:szCs w:val="20"/>
          <w:lang w:val="es-ES_tradnl"/>
        </w:rPr>
        <w:t xml:space="preserve"> que las radios comunitarias son creadas para servir a una comunidad específica y no con ánim</w:t>
      </w:r>
      <w:r w:rsidR="00A2481B">
        <w:rPr>
          <w:rFonts w:asciiTheme="majorHAnsi" w:hAnsiTheme="majorHAnsi"/>
          <w:sz w:val="20"/>
          <w:szCs w:val="20"/>
          <w:lang w:val="es-ES_tradnl"/>
        </w:rPr>
        <w:t>o</w:t>
      </w:r>
      <w:r w:rsidRPr="006D531F">
        <w:rPr>
          <w:rFonts w:asciiTheme="majorHAnsi" w:hAnsiTheme="majorHAnsi"/>
          <w:sz w:val="20"/>
          <w:szCs w:val="20"/>
          <w:lang w:val="es-ES_tradnl"/>
        </w:rPr>
        <w:t xml:space="preserve"> lucrativo,</w:t>
      </w:r>
      <w:r w:rsidR="00A2481B">
        <w:rPr>
          <w:rFonts w:asciiTheme="majorHAnsi" w:hAnsiTheme="majorHAnsi"/>
          <w:sz w:val="20"/>
          <w:szCs w:val="20"/>
          <w:lang w:val="es-ES_tradnl"/>
        </w:rPr>
        <w:t xml:space="preserve"> por lo que </w:t>
      </w:r>
      <w:r w:rsidRPr="006D531F">
        <w:rPr>
          <w:rFonts w:asciiTheme="majorHAnsi" w:hAnsiTheme="majorHAnsi"/>
          <w:sz w:val="20"/>
          <w:szCs w:val="20"/>
          <w:lang w:val="es-ES_tradnl"/>
        </w:rPr>
        <w:t xml:space="preserve">no pueden competir en un proceso donde la oferta más alta </w:t>
      </w:r>
      <w:r w:rsidR="00164C88">
        <w:rPr>
          <w:rFonts w:asciiTheme="majorHAnsi" w:hAnsiTheme="majorHAnsi"/>
          <w:sz w:val="20"/>
          <w:szCs w:val="20"/>
          <w:lang w:val="es-ES_tradnl"/>
        </w:rPr>
        <w:t>determina el acceso al espectro radioeléctrico</w:t>
      </w:r>
      <w:r w:rsidRPr="006D531F">
        <w:rPr>
          <w:rFonts w:asciiTheme="majorHAnsi" w:hAnsiTheme="majorHAnsi"/>
          <w:sz w:val="20"/>
          <w:szCs w:val="20"/>
          <w:lang w:val="es-VE"/>
        </w:rPr>
        <w:t xml:space="preserve">. </w:t>
      </w:r>
    </w:p>
    <w:p w14:paraId="291D67A1" w14:textId="77777777" w:rsidR="00A2481B" w:rsidRPr="006D531F" w:rsidRDefault="00A2481B" w:rsidP="004310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MX"/>
        </w:rPr>
      </w:pPr>
    </w:p>
    <w:p w14:paraId="681D45B5" w14:textId="77777777" w:rsidR="001B1F51" w:rsidRDefault="001B1F51" w:rsidP="001B1F5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MX"/>
        </w:rPr>
      </w:pPr>
      <w:r w:rsidRPr="006D531F">
        <w:rPr>
          <w:rFonts w:asciiTheme="majorHAnsi" w:hAnsiTheme="majorHAnsi"/>
          <w:sz w:val="20"/>
          <w:szCs w:val="20"/>
          <w:lang w:val="es-VE"/>
        </w:rPr>
        <w:t xml:space="preserve">La parte peticionaria alude que el </w:t>
      </w:r>
      <w:r>
        <w:rPr>
          <w:rFonts w:asciiTheme="majorHAnsi" w:hAnsiTheme="majorHAnsi"/>
          <w:sz w:val="20"/>
          <w:szCs w:val="20"/>
          <w:lang w:val="es-VE"/>
        </w:rPr>
        <w:t>a</w:t>
      </w:r>
      <w:r w:rsidRPr="006D531F">
        <w:rPr>
          <w:rFonts w:asciiTheme="majorHAnsi" w:hAnsiTheme="majorHAnsi"/>
          <w:sz w:val="20"/>
          <w:szCs w:val="20"/>
          <w:lang w:val="es-VE"/>
        </w:rPr>
        <w:t xml:space="preserve">rtículo 64 de la LGT contiene provisiones sólo respecto de las emisoras comerciales y gubernamentales, omitiendo </w:t>
      </w:r>
      <w:r>
        <w:rPr>
          <w:rFonts w:asciiTheme="majorHAnsi" w:hAnsiTheme="majorHAnsi"/>
          <w:sz w:val="20"/>
          <w:szCs w:val="20"/>
          <w:lang w:val="es-VE"/>
        </w:rPr>
        <w:t xml:space="preserve">el </w:t>
      </w:r>
      <w:r w:rsidRPr="006D531F">
        <w:rPr>
          <w:rFonts w:asciiTheme="majorHAnsi" w:hAnsiTheme="majorHAnsi"/>
          <w:sz w:val="20"/>
          <w:szCs w:val="20"/>
          <w:lang w:val="es-VE"/>
        </w:rPr>
        <w:t>reconocimiento</w:t>
      </w:r>
      <w:r w:rsidRPr="006D531F">
        <w:rPr>
          <w:rFonts w:asciiTheme="majorHAnsi" w:hAnsiTheme="majorHAnsi"/>
          <w:b/>
          <w:sz w:val="20"/>
          <w:szCs w:val="20"/>
          <w:lang w:val="es-VE"/>
        </w:rPr>
        <w:t xml:space="preserve"> </w:t>
      </w:r>
      <w:r w:rsidRPr="006D531F">
        <w:rPr>
          <w:rFonts w:asciiTheme="majorHAnsi" w:hAnsiTheme="majorHAnsi"/>
          <w:sz w:val="20"/>
          <w:szCs w:val="20"/>
          <w:lang w:val="es-VE"/>
        </w:rPr>
        <w:t xml:space="preserve">a </w:t>
      </w:r>
      <w:r w:rsidRPr="006D531F">
        <w:rPr>
          <w:rFonts w:asciiTheme="majorHAnsi" w:hAnsiTheme="majorHAnsi"/>
          <w:sz w:val="20"/>
          <w:szCs w:val="20"/>
          <w:lang w:val="es-MX"/>
        </w:rPr>
        <w:t>medios de radiodifus</w:t>
      </w:r>
      <w:r>
        <w:rPr>
          <w:rFonts w:asciiTheme="majorHAnsi" w:hAnsiTheme="majorHAnsi"/>
          <w:sz w:val="20"/>
          <w:szCs w:val="20"/>
          <w:lang w:val="es-MX"/>
        </w:rPr>
        <w:t xml:space="preserve">ión comunitaria, </w:t>
      </w:r>
      <w:r w:rsidRPr="006D531F">
        <w:rPr>
          <w:rFonts w:asciiTheme="majorHAnsi" w:hAnsiTheme="majorHAnsi"/>
          <w:sz w:val="20"/>
          <w:szCs w:val="20"/>
          <w:lang w:val="es-MX"/>
        </w:rPr>
        <w:t>sin ánimo de lucro</w:t>
      </w:r>
      <w:r w:rsidRPr="006D531F">
        <w:rPr>
          <w:rFonts w:asciiTheme="majorHAnsi" w:hAnsiTheme="majorHAnsi"/>
          <w:sz w:val="20"/>
          <w:szCs w:val="20"/>
          <w:lang w:val="es-VE"/>
        </w:rPr>
        <w:t xml:space="preserve">. </w:t>
      </w:r>
      <w:r w:rsidRPr="006D531F">
        <w:rPr>
          <w:rFonts w:asciiTheme="majorHAnsi" w:hAnsiTheme="majorHAnsi"/>
          <w:sz w:val="20"/>
          <w:szCs w:val="20"/>
          <w:lang w:val="es-MX"/>
        </w:rPr>
        <w:t>Al respecto, l</w:t>
      </w:r>
      <w:r w:rsidRPr="006D531F">
        <w:rPr>
          <w:rFonts w:asciiTheme="majorHAnsi" w:hAnsiTheme="majorHAnsi"/>
          <w:sz w:val="20"/>
          <w:szCs w:val="20"/>
          <w:lang w:val="es-VE"/>
        </w:rPr>
        <w:t xml:space="preserve">os peticionarios manifiestan que </w:t>
      </w:r>
      <w:r w:rsidRPr="006D531F">
        <w:rPr>
          <w:rFonts w:asciiTheme="majorHAnsi" w:hAnsiTheme="majorHAnsi"/>
          <w:sz w:val="20"/>
          <w:szCs w:val="20"/>
          <w:lang w:val="es-MX"/>
        </w:rPr>
        <w:t>desde que se firmó el Acuerdo sobre Identidad y Derechos de los Pueblos Indígenas (“AIDPI”), a través del cual Guatemala se compromete a otorgar</w:t>
      </w:r>
      <w:r>
        <w:rPr>
          <w:rFonts w:asciiTheme="majorHAnsi" w:hAnsiTheme="majorHAnsi"/>
          <w:sz w:val="20"/>
          <w:szCs w:val="20"/>
          <w:lang w:val="es-MX"/>
        </w:rPr>
        <w:t xml:space="preserve"> a estos pueblos </w:t>
      </w:r>
      <w:r w:rsidRPr="006D531F">
        <w:rPr>
          <w:rFonts w:asciiTheme="majorHAnsi" w:hAnsiTheme="majorHAnsi"/>
          <w:sz w:val="20"/>
          <w:szCs w:val="20"/>
          <w:lang w:val="es-MX"/>
        </w:rPr>
        <w:t xml:space="preserve">acceso a la radio como medio de expresión, se han llevado a cabo varios intentos de enmendar la ley actual de Guatemala para dar reconocimiento a las radios comunitarias, sin embargo, ninguna de estas propuestas ha sido </w:t>
      </w:r>
      <w:r>
        <w:rPr>
          <w:rFonts w:asciiTheme="majorHAnsi" w:hAnsiTheme="majorHAnsi"/>
          <w:sz w:val="20"/>
          <w:szCs w:val="20"/>
          <w:lang w:val="es-MX"/>
        </w:rPr>
        <w:t>aprobada por el Congreso</w:t>
      </w:r>
      <w:r w:rsidRPr="006D531F">
        <w:rPr>
          <w:rFonts w:asciiTheme="majorHAnsi" w:hAnsiTheme="majorHAnsi"/>
          <w:sz w:val="20"/>
          <w:szCs w:val="20"/>
          <w:lang w:val="es-MX"/>
        </w:rPr>
        <w:t>.</w:t>
      </w:r>
    </w:p>
    <w:p w14:paraId="46080FC3" w14:textId="77777777" w:rsidR="001B1F51" w:rsidRPr="006D531F" w:rsidRDefault="001B1F51" w:rsidP="004310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MX"/>
        </w:rPr>
      </w:pPr>
    </w:p>
    <w:p w14:paraId="3E5191F8" w14:textId="77777777" w:rsidR="00B66B13" w:rsidRPr="00431065" w:rsidRDefault="00A2481B" w:rsidP="00A248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MX"/>
        </w:rPr>
      </w:pPr>
      <w:r>
        <w:rPr>
          <w:rFonts w:asciiTheme="majorHAnsi" w:hAnsiTheme="majorHAnsi"/>
          <w:sz w:val="20"/>
          <w:szCs w:val="20"/>
          <w:lang w:val="es-VE"/>
        </w:rPr>
        <w:t>Adicionalmente, indican que e</w:t>
      </w:r>
      <w:r w:rsidRPr="006D531F">
        <w:rPr>
          <w:rFonts w:asciiTheme="majorHAnsi" w:hAnsiTheme="majorHAnsi"/>
          <w:sz w:val="20"/>
          <w:szCs w:val="20"/>
          <w:lang w:val="es-VE"/>
        </w:rPr>
        <w:t>l 5 de diciembre de 2012 el presidente de Guatemala firmó el Decreto 34-2012, mediante el cual se permitiría a los titulares de usufructo extender hasta por 20 años adicionales sus derechos otorgados bajo la Ley General de Telecomunicaciones. De acuerdo con la parte peticionaria</w:t>
      </w:r>
      <w:r w:rsidR="001B1F51">
        <w:rPr>
          <w:rFonts w:asciiTheme="majorHAnsi" w:hAnsiTheme="majorHAnsi"/>
          <w:sz w:val="20"/>
          <w:szCs w:val="20"/>
          <w:lang w:val="es-VE"/>
        </w:rPr>
        <w:t>,</w:t>
      </w:r>
      <w:r w:rsidRPr="006D531F">
        <w:rPr>
          <w:rFonts w:asciiTheme="majorHAnsi" w:hAnsiTheme="majorHAnsi"/>
          <w:sz w:val="20"/>
          <w:szCs w:val="20"/>
          <w:lang w:val="es-VE"/>
        </w:rPr>
        <w:t xml:space="preserve"> este decreto obstaculiza aún más el acceso a las frecuencias radioeléctricas en igualdad de condiciones, especialmente para los pueblos indígenas ya</w:t>
      </w:r>
      <w:r>
        <w:rPr>
          <w:rFonts w:asciiTheme="majorHAnsi" w:hAnsiTheme="majorHAnsi"/>
          <w:sz w:val="20"/>
          <w:szCs w:val="20"/>
          <w:lang w:val="es-VE"/>
        </w:rPr>
        <w:t xml:space="preserve"> que congeló</w:t>
      </w:r>
      <w:r w:rsidRPr="006D531F">
        <w:rPr>
          <w:rFonts w:asciiTheme="majorHAnsi" w:hAnsiTheme="majorHAnsi"/>
          <w:sz w:val="20"/>
          <w:szCs w:val="20"/>
          <w:lang w:val="es-VE"/>
        </w:rPr>
        <w:t xml:space="preserve"> por un periodo de tiempo de 20 años la distribución del espectro</w:t>
      </w:r>
      <w:r>
        <w:rPr>
          <w:rFonts w:asciiTheme="majorHAnsi" w:hAnsiTheme="majorHAnsi"/>
          <w:sz w:val="20"/>
          <w:szCs w:val="20"/>
          <w:lang w:val="es-VE"/>
        </w:rPr>
        <w:t xml:space="preserve"> radioeléctrico</w:t>
      </w:r>
      <w:r w:rsidRPr="006D531F">
        <w:rPr>
          <w:rFonts w:asciiTheme="majorHAnsi" w:hAnsiTheme="majorHAnsi"/>
          <w:sz w:val="20"/>
          <w:szCs w:val="20"/>
          <w:lang w:val="es-VE"/>
        </w:rPr>
        <w:t>.</w:t>
      </w:r>
      <w:r w:rsidR="00B66B13">
        <w:rPr>
          <w:rFonts w:asciiTheme="majorHAnsi" w:hAnsiTheme="majorHAnsi"/>
          <w:sz w:val="20"/>
          <w:szCs w:val="20"/>
          <w:lang w:val="es-VE"/>
        </w:rPr>
        <w:t xml:space="preserve"> </w:t>
      </w:r>
    </w:p>
    <w:p w14:paraId="5A59A0AC" w14:textId="77777777" w:rsidR="00B66B13" w:rsidRDefault="00B66B13" w:rsidP="00431065">
      <w:pPr>
        <w:pStyle w:val="ListParagraph"/>
        <w:rPr>
          <w:rFonts w:asciiTheme="majorHAnsi" w:hAnsiTheme="majorHAnsi"/>
          <w:sz w:val="20"/>
          <w:szCs w:val="20"/>
          <w:lang w:val="es-VE"/>
        </w:rPr>
      </w:pPr>
    </w:p>
    <w:p w14:paraId="3B75CE8F" w14:textId="77777777" w:rsidR="00A2481B" w:rsidRPr="00431065" w:rsidRDefault="00B66B13" w:rsidP="00A248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MX"/>
        </w:rPr>
      </w:pPr>
      <w:r>
        <w:rPr>
          <w:rFonts w:asciiTheme="majorHAnsi" w:hAnsiTheme="majorHAnsi"/>
          <w:sz w:val="20"/>
          <w:szCs w:val="20"/>
          <w:lang w:val="es-VE"/>
        </w:rPr>
        <w:t>Asimismo, l</w:t>
      </w:r>
      <w:r w:rsidRPr="006D531F">
        <w:rPr>
          <w:rFonts w:asciiTheme="majorHAnsi" w:hAnsiTheme="majorHAnsi"/>
          <w:sz w:val="20"/>
          <w:szCs w:val="20"/>
          <w:lang w:val="es-VE"/>
        </w:rPr>
        <w:t xml:space="preserve">a parte peticionaria señala que, </w:t>
      </w:r>
      <w:r>
        <w:rPr>
          <w:rFonts w:asciiTheme="majorHAnsi" w:hAnsiTheme="majorHAnsi"/>
          <w:sz w:val="20"/>
          <w:szCs w:val="20"/>
          <w:lang w:val="es-VE"/>
        </w:rPr>
        <w:t>se presentaron diversas</w:t>
      </w:r>
      <w:r w:rsidRPr="006D531F">
        <w:rPr>
          <w:rFonts w:asciiTheme="majorHAnsi" w:hAnsiTheme="majorHAnsi"/>
          <w:sz w:val="20"/>
          <w:szCs w:val="20"/>
          <w:lang w:val="es-VE"/>
        </w:rPr>
        <w:t xml:space="preserve"> iniciativas</w:t>
      </w:r>
      <w:r>
        <w:rPr>
          <w:rFonts w:asciiTheme="majorHAnsi" w:hAnsiTheme="majorHAnsi"/>
          <w:sz w:val="20"/>
          <w:szCs w:val="20"/>
          <w:lang w:val="es-VE"/>
        </w:rPr>
        <w:t xml:space="preserve"> legislativas para lograr la modificación de la LGT sin resultado alguno. Además, </w:t>
      </w:r>
      <w:r w:rsidRPr="006D531F">
        <w:rPr>
          <w:rFonts w:asciiTheme="majorHAnsi" w:hAnsiTheme="majorHAnsi"/>
          <w:sz w:val="20"/>
          <w:szCs w:val="20"/>
          <w:lang w:val="es-VE"/>
        </w:rPr>
        <w:t xml:space="preserve">la </w:t>
      </w:r>
      <w:r w:rsidRPr="006D531F">
        <w:rPr>
          <w:rFonts w:asciiTheme="majorHAnsi" w:hAnsiTheme="majorHAnsi"/>
          <w:sz w:val="20"/>
          <w:szCs w:val="20"/>
          <w:lang w:val="es-MX"/>
        </w:rPr>
        <w:t>Asociación Sobrevivencia Cultural</w:t>
      </w:r>
      <w:r w:rsidRPr="006D531F">
        <w:rPr>
          <w:rFonts w:asciiTheme="majorHAnsi" w:hAnsiTheme="majorHAnsi"/>
          <w:sz w:val="20"/>
          <w:szCs w:val="20"/>
          <w:lang w:val="es-VE"/>
        </w:rPr>
        <w:t xml:space="preserve"> presentó una acción de inconstitucionalidad </w:t>
      </w:r>
      <w:r>
        <w:rPr>
          <w:rFonts w:asciiTheme="majorHAnsi" w:hAnsiTheme="majorHAnsi"/>
          <w:sz w:val="20"/>
          <w:szCs w:val="20"/>
          <w:lang w:val="es-VE"/>
        </w:rPr>
        <w:t>respecto de</w:t>
      </w:r>
      <w:r w:rsidRPr="006D531F">
        <w:rPr>
          <w:rFonts w:asciiTheme="majorHAnsi" w:hAnsiTheme="majorHAnsi"/>
          <w:sz w:val="20"/>
          <w:szCs w:val="20"/>
          <w:lang w:val="es-VE"/>
        </w:rPr>
        <w:t xml:space="preserve"> los</w:t>
      </w:r>
      <w:r w:rsidRPr="006D531F">
        <w:rPr>
          <w:rFonts w:asciiTheme="majorHAnsi" w:hAnsiTheme="majorHAnsi"/>
          <w:sz w:val="20"/>
          <w:szCs w:val="20"/>
          <w:lang w:val="es-MX"/>
        </w:rPr>
        <w:t xml:space="preserve"> artículos 1, 2, 61 y 62 de la LGT</w:t>
      </w:r>
      <w:r w:rsidRPr="006D531F">
        <w:rPr>
          <w:rFonts w:asciiTheme="majorHAnsi" w:hAnsiTheme="majorHAnsi"/>
          <w:sz w:val="20"/>
          <w:szCs w:val="20"/>
          <w:lang w:val="es-VE"/>
        </w:rPr>
        <w:t xml:space="preserve"> en 2011, que </w:t>
      </w:r>
      <w:r w:rsidRPr="006D531F">
        <w:rPr>
          <w:rFonts w:asciiTheme="majorHAnsi" w:hAnsiTheme="majorHAnsi"/>
          <w:sz w:val="20"/>
          <w:szCs w:val="20"/>
          <w:lang w:val="es-MX"/>
        </w:rPr>
        <w:t xml:space="preserve">fue considerada sin lugar </w:t>
      </w:r>
      <w:r w:rsidRPr="006D531F">
        <w:rPr>
          <w:rFonts w:asciiTheme="majorHAnsi" w:hAnsiTheme="majorHAnsi"/>
          <w:sz w:val="20"/>
          <w:szCs w:val="20"/>
          <w:lang w:val="es-VE"/>
        </w:rPr>
        <w:t>por la Corte de Constitucionalidad</w:t>
      </w:r>
      <w:r w:rsidRPr="006D531F">
        <w:rPr>
          <w:rFonts w:asciiTheme="majorHAnsi" w:hAnsiTheme="majorHAnsi"/>
          <w:sz w:val="20"/>
          <w:szCs w:val="20"/>
          <w:lang w:val="es-MX"/>
        </w:rPr>
        <w:t>.</w:t>
      </w:r>
    </w:p>
    <w:p w14:paraId="31822941" w14:textId="77777777" w:rsidR="00A2481B" w:rsidRPr="006D531F" w:rsidRDefault="00A2481B" w:rsidP="004310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MX"/>
        </w:rPr>
      </w:pPr>
    </w:p>
    <w:p w14:paraId="69756C44" w14:textId="77777777" w:rsidR="00523C93" w:rsidRPr="00523C93" w:rsidRDefault="00B66B13" w:rsidP="00523C9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MX"/>
        </w:rPr>
      </w:pPr>
      <w:r w:rsidRPr="00523C93">
        <w:rPr>
          <w:rFonts w:asciiTheme="majorHAnsi" w:hAnsiTheme="majorHAnsi"/>
          <w:sz w:val="20"/>
          <w:szCs w:val="20"/>
          <w:lang w:val="es-MX"/>
        </w:rPr>
        <w:t xml:space="preserve">La parte peticionaria alega que </w:t>
      </w:r>
      <w:r w:rsidRPr="00523C93">
        <w:rPr>
          <w:rFonts w:asciiTheme="majorHAnsi" w:hAnsiTheme="majorHAnsi"/>
          <w:sz w:val="20"/>
          <w:szCs w:val="20"/>
          <w:lang w:val="es-VE"/>
        </w:rPr>
        <w:t xml:space="preserve">las condiciones legales que obstaculizan </w:t>
      </w:r>
      <w:r w:rsidR="0020229C" w:rsidRPr="008F168C">
        <w:rPr>
          <w:rFonts w:asciiTheme="majorHAnsi" w:hAnsiTheme="majorHAnsi"/>
          <w:sz w:val="20"/>
          <w:szCs w:val="20"/>
          <w:lang w:val="es-VE"/>
        </w:rPr>
        <w:t xml:space="preserve">el acceso al espectro </w:t>
      </w:r>
      <w:r w:rsidR="0020229C" w:rsidRPr="00B779BF">
        <w:rPr>
          <w:rFonts w:asciiTheme="majorHAnsi" w:hAnsiTheme="majorHAnsi"/>
          <w:sz w:val="20"/>
          <w:szCs w:val="20"/>
          <w:lang w:val="es-VE"/>
        </w:rPr>
        <w:t>radioeléctrico</w:t>
      </w:r>
      <w:r w:rsidR="0020229C" w:rsidRPr="00D5570E">
        <w:rPr>
          <w:rFonts w:asciiTheme="majorHAnsi" w:hAnsiTheme="majorHAnsi"/>
          <w:sz w:val="20"/>
          <w:szCs w:val="20"/>
          <w:lang w:val="es-MX"/>
        </w:rPr>
        <w:t xml:space="preserve"> </w:t>
      </w:r>
      <w:r w:rsidRPr="00D5570E">
        <w:rPr>
          <w:rFonts w:asciiTheme="majorHAnsi" w:hAnsiTheme="majorHAnsi"/>
          <w:sz w:val="20"/>
          <w:szCs w:val="20"/>
          <w:lang w:val="es-VE"/>
        </w:rPr>
        <w:t xml:space="preserve">a los pueblos indígenas </w:t>
      </w:r>
      <w:r w:rsidRPr="00491BE4">
        <w:rPr>
          <w:rFonts w:asciiTheme="majorHAnsi" w:hAnsiTheme="majorHAnsi"/>
          <w:sz w:val="20"/>
          <w:szCs w:val="20"/>
          <w:lang w:val="es-MX"/>
        </w:rPr>
        <w:t xml:space="preserve">representan la violación por parte del Estado a su derecho a la libertad de pensamiento y expresión contemplado en el artículo 13 de la Convención. </w:t>
      </w:r>
      <w:r w:rsidR="00BC4BBA" w:rsidRPr="00491BE4">
        <w:rPr>
          <w:rFonts w:asciiTheme="majorHAnsi" w:hAnsiTheme="majorHAnsi"/>
          <w:sz w:val="20"/>
          <w:szCs w:val="20"/>
          <w:lang w:val="es-MX"/>
        </w:rPr>
        <w:t>Lo anterior, c</w:t>
      </w:r>
      <w:r w:rsidRPr="00491BE4">
        <w:rPr>
          <w:rFonts w:asciiTheme="majorHAnsi" w:hAnsiTheme="majorHAnsi"/>
          <w:sz w:val="20"/>
          <w:szCs w:val="20"/>
          <w:lang w:val="es-MX"/>
        </w:rPr>
        <w:t xml:space="preserve">onsiderando los </w:t>
      </w:r>
      <w:r w:rsidR="00BC4BBA" w:rsidRPr="00BB2C8E">
        <w:rPr>
          <w:rFonts w:asciiTheme="majorHAnsi" w:hAnsiTheme="majorHAnsi"/>
          <w:sz w:val="20"/>
          <w:szCs w:val="20"/>
          <w:lang w:val="es-MX"/>
        </w:rPr>
        <w:t>escasos</w:t>
      </w:r>
      <w:r w:rsidRPr="00BB2C8E">
        <w:rPr>
          <w:rFonts w:asciiTheme="majorHAnsi" w:hAnsiTheme="majorHAnsi"/>
          <w:sz w:val="20"/>
          <w:szCs w:val="20"/>
          <w:lang w:val="es-MX"/>
        </w:rPr>
        <w:t xml:space="preserve"> ingresos </w:t>
      </w:r>
      <w:r w:rsidR="00BC4BBA" w:rsidRPr="00BB2C8E">
        <w:rPr>
          <w:rFonts w:asciiTheme="majorHAnsi" w:hAnsiTheme="majorHAnsi"/>
          <w:sz w:val="20"/>
          <w:szCs w:val="20"/>
          <w:lang w:val="es-MX"/>
        </w:rPr>
        <w:t>e</w:t>
      </w:r>
      <w:r w:rsidR="00BC4BBA" w:rsidRPr="00D752FB">
        <w:rPr>
          <w:rFonts w:asciiTheme="majorHAnsi" w:hAnsiTheme="majorHAnsi"/>
          <w:sz w:val="20"/>
          <w:szCs w:val="20"/>
          <w:lang w:val="es-MX"/>
        </w:rPr>
        <w:t xml:space="preserve">conómicos </w:t>
      </w:r>
      <w:r w:rsidRPr="00D752FB">
        <w:rPr>
          <w:rFonts w:asciiTheme="majorHAnsi" w:hAnsiTheme="majorHAnsi"/>
          <w:sz w:val="20"/>
          <w:szCs w:val="20"/>
          <w:lang w:val="es-MX"/>
        </w:rPr>
        <w:t>de los pueblos indígenas y el limitado acceso que tienen a otros medios y tecnologías,</w:t>
      </w:r>
      <w:r w:rsidR="00A412F1" w:rsidRPr="00D752FB">
        <w:rPr>
          <w:rFonts w:asciiTheme="majorHAnsi" w:hAnsiTheme="majorHAnsi"/>
          <w:sz w:val="20"/>
          <w:szCs w:val="20"/>
          <w:lang w:val="es-MX"/>
        </w:rPr>
        <w:t xml:space="preserve"> por lo que</w:t>
      </w:r>
      <w:r w:rsidRPr="00E62F42">
        <w:rPr>
          <w:rFonts w:asciiTheme="majorHAnsi" w:hAnsiTheme="majorHAnsi"/>
          <w:sz w:val="20"/>
          <w:szCs w:val="20"/>
          <w:lang w:val="es-MX"/>
        </w:rPr>
        <w:t xml:space="preserve"> la</w:t>
      </w:r>
      <w:r w:rsidR="00A412F1" w:rsidRPr="00E62F42">
        <w:rPr>
          <w:rFonts w:asciiTheme="majorHAnsi" w:hAnsiTheme="majorHAnsi"/>
          <w:sz w:val="20"/>
          <w:szCs w:val="20"/>
          <w:lang w:val="es-MX"/>
        </w:rPr>
        <w:t>s</w:t>
      </w:r>
      <w:r w:rsidRPr="00E62F42">
        <w:rPr>
          <w:rFonts w:asciiTheme="majorHAnsi" w:hAnsiTheme="majorHAnsi"/>
          <w:sz w:val="20"/>
          <w:szCs w:val="20"/>
          <w:lang w:val="es-MX"/>
        </w:rPr>
        <w:t xml:space="preserve"> radio</w:t>
      </w:r>
      <w:r w:rsidR="00A412F1" w:rsidRPr="000679F2">
        <w:rPr>
          <w:rFonts w:asciiTheme="majorHAnsi" w:hAnsiTheme="majorHAnsi"/>
          <w:sz w:val="20"/>
          <w:szCs w:val="20"/>
          <w:lang w:val="es-MX"/>
        </w:rPr>
        <w:t>s</w:t>
      </w:r>
      <w:r w:rsidRPr="000679F2">
        <w:rPr>
          <w:rFonts w:asciiTheme="majorHAnsi" w:hAnsiTheme="majorHAnsi"/>
          <w:sz w:val="20"/>
          <w:szCs w:val="20"/>
          <w:lang w:val="es-MX"/>
        </w:rPr>
        <w:t xml:space="preserve"> sirve</w:t>
      </w:r>
      <w:r w:rsidR="00A412F1" w:rsidRPr="000679F2">
        <w:rPr>
          <w:rFonts w:asciiTheme="majorHAnsi" w:hAnsiTheme="majorHAnsi"/>
          <w:sz w:val="20"/>
          <w:szCs w:val="20"/>
          <w:lang w:val="es-MX"/>
        </w:rPr>
        <w:t>n</w:t>
      </w:r>
      <w:r w:rsidRPr="000679F2">
        <w:rPr>
          <w:rFonts w:asciiTheme="majorHAnsi" w:hAnsiTheme="majorHAnsi"/>
          <w:sz w:val="20"/>
          <w:szCs w:val="20"/>
          <w:lang w:val="es-MX"/>
        </w:rPr>
        <w:t xml:space="preserve"> como el instrumento más efectivo para el pleno goce de est</w:t>
      </w:r>
      <w:r w:rsidR="00D245CE" w:rsidRPr="000460CA">
        <w:rPr>
          <w:rFonts w:asciiTheme="majorHAnsi" w:hAnsiTheme="majorHAnsi"/>
          <w:sz w:val="20"/>
          <w:szCs w:val="20"/>
          <w:lang w:val="es-MX"/>
        </w:rPr>
        <w:t>e</w:t>
      </w:r>
      <w:r w:rsidRPr="000317D8">
        <w:rPr>
          <w:rFonts w:asciiTheme="majorHAnsi" w:hAnsiTheme="majorHAnsi"/>
          <w:sz w:val="20"/>
          <w:szCs w:val="20"/>
          <w:lang w:val="es-MX"/>
        </w:rPr>
        <w:t xml:space="preserve"> derecho</w:t>
      </w:r>
      <w:r w:rsidR="00147B9B" w:rsidRPr="0001257B">
        <w:rPr>
          <w:rFonts w:asciiTheme="majorHAnsi" w:hAnsiTheme="majorHAnsi"/>
          <w:sz w:val="20"/>
          <w:szCs w:val="20"/>
          <w:lang w:val="es-MX"/>
        </w:rPr>
        <w:t>, el fomento</w:t>
      </w:r>
      <w:r w:rsidRPr="00832542">
        <w:rPr>
          <w:rFonts w:asciiTheme="majorHAnsi" w:hAnsiTheme="majorHAnsi"/>
          <w:sz w:val="20"/>
          <w:szCs w:val="20"/>
          <w:lang w:val="es-MX"/>
        </w:rPr>
        <w:t xml:space="preserve"> </w:t>
      </w:r>
      <w:r w:rsidR="00147B9B" w:rsidRPr="00D31F4F">
        <w:rPr>
          <w:rFonts w:asciiTheme="majorHAnsi" w:hAnsiTheme="majorHAnsi"/>
          <w:sz w:val="20"/>
          <w:szCs w:val="20"/>
          <w:lang w:val="es-MX"/>
        </w:rPr>
        <w:t xml:space="preserve">de </w:t>
      </w:r>
      <w:r w:rsidRPr="00D31F4F">
        <w:rPr>
          <w:rFonts w:asciiTheme="majorHAnsi" w:hAnsiTheme="majorHAnsi"/>
          <w:sz w:val="20"/>
          <w:szCs w:val="20"/>
          <w:lang w:val="es-MX"/>
        </w:rPr>
        <w:t>su cultura e historia y representa</w:t>
      </w:r>
      <w:r w:rsidR="00360C48" w:rsidRPr="00D31F4F">
        <w:rPr>
          <w:rFonts w:asciiTheme="majorHAnsi" w:hAnsiTheme="majorHAnsi"/>
          <w:sz w:val="20"/>
          <w:szCs w:val="20"/>
          <w:lang w:val="es-MX"/>
        </w:rPr>
        <w:t>n</w:t>
      </w:r>
      <w:r w:rsidRPr="00D31F4F">
        <w:rPr>
          <w:rFonts w:asciiTheme="majorHAnsi" w:hAnsiTheme="majorHAnsi"/>
          <w:sz w:val="20"/>
          <w:szCs w:val="20"/>
          <w:lang w:val="es-MX"/>
        </w:rPr>
        <w:t xml:space="preserve"> para muchos miembros</w:t>
      </w:r>
      <w:r w:rsidR="00360C48" w:rsidRPr="00D31F4F">
        <w:rPr>
          <w:rFonts w:asciiTheme="majorHAnsi" w:hAnsiTheme="majorHAnsi"/>
          <w:sz w:val="20"/>
          <w:szCs w:val="20"/>
          <w:lang w:val="es-MX"/>
        </w:rPr>
        <w:t>,</w:t>
      </w:r>
      <w:r w:rsidRPr="00D31F4F">
        <w:rPr>
          <w:rFonts w:asciiTheme="majorHAnsi" w:hAnsiTheme="majorHAnsi"/>
          <w:sz w:val="20"/>
          <w:szCs w:val="20"/>
          <w:lang w:val="es-MX"/>
        </w:rPr>
        <w:t xml:space="preserve"> el único medio para mantenerse informados y participar en los debates públicos de la sociedad guatemalteca.</w:t>
      </w:r>
      <w:r w:rsidR="00BC4BBA" w:rsidRPr="00D31F4F">
        <w:rPr>
          <w:rFonts w:asciiTheme="majorHAnsi" w:hAnsiTheme="majorHAnsi"/>
          <w:sz w:val="20"/>
          <w:szCs w:val="20"/>
          <w:lang w:val="es-MX"/>
        </w:rPr>
        <w:t xml:space="preserve"> Asimismo, </w:t>
      </w:r>
      <w:r w:rsidRPr="00D31F4F">
        <w:rPr>
          <w:rFonts w:asciiTheme="majorHAnsi" w:hAnsiTheme="majorHAnsi"/>
          <w:sz w:val="20"/>
          <w:szCs w:val="20"/>
          <w:lang w:val="es-MX"/>
        </w:rPr>
        <w:t xml:space="preserve">los peticionarios alegan que </w:t>
      </w:r>
      <w:r w:rsidRPr="00D31F4F">
        <w:rPr>
          <w:rFonts w:asciiTheme="majorHAnsi" w:hAnsiTheme="majorHAnsi"/>
          <w:sz w:val="20"/>
          <w:szCs w:val="20"/>
          <w:lang w:val="es-VE"/>
        </w:rPr>
        <w:t xml:space="preserve">la decisión del Estado de Guatemala de adoptar una ley que indirectamente sólo crea espacio para las radios comerciales con ánimo de lucro, así como la criminalización </w:t>
      </w:r>
      <w:r w:rsidRPr="00D31F4F">
        <w:rPr>
          <w:rFonts w:asciiTheme="majorHAnsi" w:hAnsiTheme="majorHAnsi"/>
          <w:sz w:val="20"/>
          <w:szCs w:val="20"/>
          <w:lang w:val="es-MX"/>
        </w:rPr>
        <w:t>de actividades relacionadas con operación</w:t>
      </w:r>
      <w:r w:rsidRPr="00D31F4F">
        <w:rPr>
          <w:rFonts w:asciiTheme="majorHAnsi" w:hAnsiTheme="majorHAnsi"/>
          <w:sz w:val="20"/>
          <w:szCs w:val="20"/>
          <w:lang w:val="es-VE"/>
        </w:rPr>
        <w:t xml:space="preserve"> de radios comunitarias, traducida en la persecución penal al personal de estas emisoras bajo la figura de “hurto”, </w:t>
      </w:r>
      <w:r w:rsidR="004C4E09" w:rsidRPr="00D31F4F">
        <w:rPr>
          <w:rFonts w:asciiTheme="majorHAnsi" w:hAnsiTheme="majorHAnsi"/>
          <w:sz w:val="20"/>
          <w:szCs w:val="20"/>
          <w:lang w:val="es-VE"/>
        </w:rPr>
        <w:t xml:space="preserve">los allanamientos </w:t>
      </w:r>
      <w:r w:rsidRPr="00D31F4F">
        <w:rPr>
          <w:rFonts w:asciiTheme="majorHAnsi" w:hAnsiTheme="majorHAnsi"/>
          <w:sz w:val="20"/>
          <w:szCs w:val="20"/>
          <w:lang w:val="es-VE"/>
        </w:rPr>
        <w:t>a sus instalaciones,</w:t>
      </w:r>
      <w:r w:rsidR="002041F7" w:rsidRPr="00D31F4F">
        <w:rPr>
          <w:rFonts w:asciiTheme="majorHAnsi" w:hAnsiTheme="majorHAnsi"/>
          <w:sz w:val="20"/>
          <w:szCs w:val="20"/>
          <w:lang w:val="es-VE"/>
        </w:rPr>
        <w:t xml:space="preserve"> la</w:t>
      </w:r>
      <w:r w:rsidRPr="00D31F4F">
        <w:rPr>
          <w:rFonts w:asciiTheme="majorHAnsi" w:hAnsiTheme="majorHAnsi"/>
          <w:sz w:val="20"/>
          <w:szCs w:val="20"/>
          <w:lang w:val="es-VE"/>
        </w:rPr>
        <w:t xml:space="preserve"> confiscación de</w:t>
      </w:r>
      <w:r w:rsidR="002B7D6D" w:rsidRPr="00D31F4F">
        <w:rPr>
          <w:rFonts w:asciiTheme="majorHAnsi" w:hAnsiTheme="majorHAnsi"/>
          <w:sz w:val="20"/>
          <w:szCs w:val="20"/>
          <w:lang w:val="es-VE"/>
        </w:rPr>
        <w:t xml:space="preserve"> sus</w:t>
      </w:r>
      <w:r w:rsidRPr="00D31F4F">
        <w:rPr>
          <w:rFonts w:asciiTheme="majorHAnsi" w:hAnsiTheme="majorHAnsi"/>
          <w:sz w:val="20"/>
          <w:szCs w:val="20"/>
          <w:lang w:val="es-VE"/>
        </w:rPr>
        <w:t xml:space="preserve"> instrumentos de trabajo y la interrupción total o parcial de sus transmisiones, </w:t>
      </w:r>
      <w:r w:rsidR="002B7D6D" w:rsidRPr="00D31F4F">
        <w:rPr>
          <w:rFonts w:asciiTheme="majorHAnsi" w:hAnsiTheme="majorHAnsi"/>
          <w:sz w:val="20"/>
          <w:szCs w:val="20"/>
          <w:lang w:val="es-VE"/>
        </w:rPr>
        <w:t>tambi</w:t>
      </w:r>
      <w:r w:rsidR="00594C1E" w:rsidRPr="00D31F4F">
        <w:rPr>
          <w:rFonts w:asciiTheme="majorHAnsi" w:hAnsiTheme="majorHAnsi"/>
          <w:sz w:val="20"/>
          <w:szCs w:val="20"/>
          <w:lang w:val="es-VE"/>
        </w:rPr>
        <w:t>é</w:t>
      </w:r>
      <w:r w:rsidR="002B7D6D" w:rsidRPr="00D31F4F">
        <w:rPr>
          <w:rFonts w:asciiTheme="majorHAnsi" w:hAnsiTheme="majorHAnsi"/>
          <w:sz w:val="20"/>
          <w:szCs w:val="20"/>
          <w:lang w:val="es-VE"/>
        </w:rPr>
        <w:t>n violan e</w:t>
      </w:r>
      <w:r w:rsidR="00594C1E" w:rsidRPr="00D31F4F">
        <w:rPr>
          <w:rFonts w:asciiTheme="majorHAnsi" w:hAnsiTheme="majorHAnsi"/>
          <w:sz w:val="20"/>
          <w:szCs w:val="20"/>
          <w:lang w:val="es-VE"/>
        </w:rPr>
        <w:t xml:space="preserve">l derecho a la libertad de expresión de los cuatro pueblos. </w:t>
      </w:r>
      <w:r w:rsidR="002B7D6D" w:rsidRPr="00D31F4F">
        <w:rPr>
          <w:rFonts w:asciiTheme="majorHAnsi" w:hAnsiTheme="majorHAnsi"/>
          <w:sz w:val="20"/>
          <w:szCs w:val="20"/>
          <w:lang w:val="es-VE"/>
        </w:rPr>
        <w:t xml:space="preserve"> </w:t>
      </w:r>
    </w:p>
    <w:p w14:paraId="58C75BBF" w14:textId="77777777" w:rsidR="00B66B13" w:rsidRPr="006D531F" w:rsidRDefault="00B66B13" w:rsidP="0043106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MX"/>
        </w:rPr>
      </w:pPr>
    </w:p>
    <w:p w14:paraId="73178F91" w14:textId="77777777" w:rsidR="003C6B1A" w:rsidRDefault="00A2481B" w:rsidP="0043106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MX"/>
        </w:rPr>
      </w:pPr>
      <w:r w:rsidRPr="006D531F">
        <w:rPr>
          <w:rFonts w:asciiTheme="majorHAnsi" w:hAnsiTheme="majorHAnsi"/>
          <w:sz w:val="20"/>
          <w:szCs w:val="20"/>
          <w:lang w:val="es-MX"/>
        </w:rPr>
        <w:t xml:space="preserve">Los peticionarios explican que el derecho a la no discriminación previsto en el artículo 24 de la Convención </w:t>
      </w:r>
      <w:r>
        <w:rPr>
          <w:rFonts w:asciiTheme="majorHAnsi" w:hAnsiTheme="majorHAnsi"/>
          <w:sz w:val="20"/>
          <w:szCs w:val="20"/>
          <w:lang w:val="es-MX"/>
        </w:rPr>
        <w:t xml:space="preserve">Americana </w:t>
      </w:r>
      <w:r w:rsidRPr="006D531F">
        <w:rPr>
          <w:rFonts w:asciiTheme="majorHAnsi" w:hAnsiTheme="majorHAnsi"/>
          <w:sz w:val="20"/>
          <w:szCs w:val="20"/>
          <w:lang w:val="es-MX"/>
        </w:rPr>
        <w:t xml:space="preserve">es incumplido por el Estado </w:t>
      </w:r>
      <w:r w:rsidR="001B1F51">
        <w:rPr>
          <w:rFonts w:asciiTheme="majorHAnsi" w:hAnsiTheme="majorHAnsi"/>
          <w:sz w:val="20"/>
          <w:szCs w:val="20"/>
          <w:lang w:val="es-MX"/>
        </w:rPr>
        <w:t>debido al</w:t>
      </w:r>
      <w:r w:rsidRPr="006D531F">
        <w:rPr>
          <w:rFonts w:asciiTheme="majorHAnsi" w:hAnsiTheme="majorHAnsi"/>
          <w:sz w:val="20"/>
          <w:szCs w:val="20"/>
          <w:lang w:val="es-MX"/>
        </w:rPr>
        <w:t xml:space="preserve"> tratamiento diferenciado que los pueblos indígenas reciben bajo el marco legal vigente para la regulación de frecuencias radiales, </w:t>
      </w:r>
      <w:r>
        <w:rPr>
          <w:rFonts w:asciiTheme="majorHAnsi" w:hAnsiTheme="majorHAnsi"/>
          <w:sz w:val="20"/>
          <w:szCs w:val="20"/>
          <w:lang w:val="es-MX"/>
        </w:rPr>
        <w:t xml:space="preserve">que se basa exclusivamente en un </w:t>
      </w:r>
      <w:r w:rsidRPr="006D531F">
        <w:rPr>
          <w:rFonts w:asciiTheme="majorHAnsi" w:hAnsiTheme="majorHAnsi"/>
          <w:sz w:val="20"/>
          <w:szCs w:val="20"/>
          <w:lang w:val="es-MX"/>
        </w:rPr>
        <w:t xml:space="preserve">criterio económico </w:t>
      </w:r>
      <w:r>
        <w:rPr>
          <w:rFonts w:asciiTheme="majorHAnsi" w:hAnsiTheme="majorHAnsi"/>
          <w:sz w:val="20"/>
          <w:szCs w:val="20"/>
          <w:lang w:val="es-MX"/>
        </w:rPr>
        <w:t>para la concesión de licencias. En este sentido, destacan</w:t>
      </w:r>
      <w:r w:rsidRPr="006D531F">
        <w:rPr>
          <w:rFonts w:asciiTheme="majorHAnsi" w:hAnsiTheme="majorHAnsi"/>
          <w:sz w:val="20"/>
          <w:szCs w:val="20"/>
          <w:lang w:val="es-MX"/>
        </w:rPr>
        <w:t xml:space="preserve"> que aunque la LGT permite que cualquier persona que esté interesad</w:t>
      </w:r>
      <w:r>
        <w:rPr>
          <w:rFonts w:asciiTheme="majorHAnsi" w:hAnsiTheme="majorHAnsi"/>
          <w:sz w:val="20"/>
          <w:szCs w:val="20"/>
          <w:lang w:val="es-MX"/>
        </w:rPr>
        <w:t>a</w:t>
      </w:r>
      <w:r w:rsidRPr="006D531F">
        <w:rPr>
          <w:rFonts w:asciiTheme="majorHAnsi" w:hAnsiTheme="majorHAnsi"/>
          <w:sz w:val="20"/>
          <w:szCs w:val="20"/>
          <w:lang w:val="es-MX"/>
        </w:rPr>
        <w:t xml:space="preserve"> en obtener una frecuencia de radio participe en una subasta pública, este mecanismo se basa únicamente en la capacidad de ofrecer el mayor precio por una frecuencia de radio, de modo que las emisoras comerciales son prácticamente el único tipo de radio en posibilidad de participar exitosamente en el proceso y obtener licencias, excluyendo a los pueblos indígenas que buscan operar radios comunitarias sin fines de lucro</w:t>
      </w:r>
      <w:r>
        <w:rPr>
          <w:rFonts w:asciiTheme="majorHAnsi" w:hAnsiTheme="majorHAnsi"/>
          <w:sz w:val="20"/>
          <w:szCs w:val="20"/>
          <w:lang w:val="es-MX"/>
        </w:rPr>
        <w:t>.</w:t>
      </w:r>
    </w:p>
    <w:p w14:paraId="69EB9E11" w14:textId="77777777" w:rsidR="00AC395F" w:rsidRPr="00431065" w:rsidRDefault="00AC395F" w:rsidP="00AC395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MX"/>
        </w:rPr>
      </w:pPr>
    </w:p>
    <w:p w14:paraId="0F1BDDB4" w14:textId="77777777" w:rsidR="003C6B1A" w:rsidRPr="006D531F" w:rsidRDefault="003C6B1A" w:rsidP="003C6B1A">
      <w:pPr>
        <w:pStyle w:val="ListParagraph"/>
        <w:rPr>
          <w:rFonts w:asciiTheme="majorHAnsi" w:hAnsiTheme="majorHAnsi"/>
          <w:color w:val="auto"/>
          <w:sz w:val="20"/>
          <w:szCs w:val="20"/>
          <w:lang w:val="es-MX"/>
        </w:rPr>
      </w:pPr>
    </w:p>
    <w:p w14:paraId="3B14E89B" w14:textId="77777777" w:rsidR="004B2337" w:rsidRPr="00B779BF" w:rsidRDefault="008F168C" w:rsidP="00B779B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MX"/>
        </w:rPr>
      </w:pPr>
      <w:r>
        <w:rPr>
          <w:rFonts w:asciiTheme="majorHAnsi" w:hAnsiTheme="majorHAnsi"/>
          <w:sz w:val="20"/>
          <w:szCs w:val="20"/>
          <w:lang w:val="es-VE"/>
        </w:rPr>
        <w:t xml:space="preserve">Finalmente, </w:t>
      </w:r>
      <w:r>
        <w:rPr>
          <w:rFonts w:asciiTheme="majorHAnsi" w:hAnsiTheme="majorHAnsi"/>
          <w:sz w:val="20"/>
          <w:szCs w:val="20"/>
          <w:lang w:val="es-MX"/>
        </w:rPr>
        <w:t>l</w:t>
      </w:r>
      <w:r w:rsidR="00C97742" w:rsidRPr="006D531F">
        <w:rPr>
          <w:rFonts w:asciiTheme="majorHAnsi" w:hAnsiTheme="majorHAnsi"/>
          <w:sz w:val="20"/>
          <w:szCs w:val="20"/>
          <w:lang w:val="es-MX"/>
        </w:rPr>
        <w:t xml:space="preserve">os peticionarios señalan que las barreras estructurales que el Estado de Guatemala </w:t>
      </w:r>
      <w:r w:rsidR="00157533">
        <w:rPr>
          <w:rFonts w:asciiTheme="majorHAnsi" w:hAnsiTheme="majorHAnsi"/>
          <w:sz w:val="20"/>
          <w:szCs w:val="20"/>
          <w:lang w:val="es-MX"/>
        </w:rPr>
        <w:t>mantiene</w:t>
      </w:r>
      <w:r w:rsidR="00157533" w:rsidRPr="006D531F">
        <w:rPr>
          <w:rFonts w:asciiTheme="majorHAnsi" w:hAnsiTheme="majorHAnsi"/>
          <w:sz w:val="20"/>
          <w:szCs w:val="20"/>
          <w:lang w:val="es-MX"/>
        </w:rPr>
        <w:t xml:space="preserve"> </w:t>
      </w:r>
      <w:r w:rsidR="00C97742" w:rsidRPr="006D531F">
        <w:rPr>
          <w:rFonts w:asciiTheme="majorHAnsi" w:hAnsiTheme="majorHAnsi"/>
          <w:sz w:val="20"/>
          <w:szCs w:val="20"/>
          <w:lang w:val="es-MX"/>
        </w:rPr>
        <w:t xml:space="preserve">hasta el momento, como marcos legales insuficientes o inexistentes para acceder a frecuencias de radio, </w:t>
      </w:r>
      <w:r w:rsidR="00C97742" w:rsidRPr="00D5570E">
        <w:rPr>
          <w:rFonts w:asciiTheme="majorHAnsi" w:hAnsiTheme="majorHAnsi"/>
          <w:sz w:val="20"/>
          <w:szCs w:val="20"/>
          <w:lang w:val="es-MX"/>
        </w:rPr>
        <w:t>representan un obstáculo al ejercicio de su derecho a los beneficios de la cultura</w:t>
      </w:r>
      <w:r w:rsidR="00182847">
        <w:rPr>
          <w:rFonts w:asciiTheme="majorHAnsi" w:hAnsiTheme="majorHAnsi"/>
          <w:sz w:val="20"/>
          <w:szCs w:val="20"/>
          <w:lang w:val="es-MX"/>
        </w:rPr>
        <w:t xml:space="preserve">. Alegan que </w:t>
      </w:r>
      <w:r w:rsidR="00C97742" w:rsidRPr="000C2A82">
        <w:rPr>
          <w:rFonts w:asciiTheme="majorHAnsi" w:hAnsiTheme="majorHAnsi"/>
          <w:sz w:val="20"/>
          <w:szCs w:val="20"/>
          <w:lang w:val="es-MX"/>
        </w:rPr>
        <w:t xml:space="preserve">los pueblos indígenas tienen derecho a </w:t>
      </w:r>
      <w:r w:rsidR="000C2A82">
        <w:rPr>
          <w:rFonts w:asciiTheme="majorHAnsi" w:hAnsiTheme="majorHAnsi"/>
          <w:sz w:val="20"/>
          <w:szCs w:val="20"/>
          <w:lang w:val="es-MX"/>
        </w:rPr>
        <w:t>acceder</w:t>
      </w:r>
      <w:r w:rsidR="00C97742" w:rsidRPr="000C2A82">
        <w:rPr>
          <w:rFonts w:asciiTheme="majorHAnsi" w:hAnsiTheme="majorHAnsi"/>
          <w:sz w:val="20"/>
          <w:szCs w:val="20"/>
          <w:lang w:val="es-MX"/>
        </w:rPr>
        <w:t xml:space="preserve"> a frecuencias de radio, no sólo como medio para promover la</w:t>
      </w:r>
      <w:r w:rsidR="00C97742" w:rsidRPr="006D531F">
        <w:rPr>
          <w:rFonts w:asciiTheme="majorHAnsi" w:hAnsiTheme="majorHAnsi"/>
          <w:sz w:val="20"/>
          <w:szCs w:val="20"/>
          <w:lang w:val="es-MX"/>
        </w:rPr>
        <w:t xml:space="preserve"> expresión de su idioma, cultura, opiniones, ideas y pensamientos, sino también para buscar, recibir y difundir información e ideas, de modo que los pueblos indígenas en Guatemala </w:t>
      </w:r>
      <w:r w:rsidR="00B15A35">
        <w:rPr>
          <w:rFonts w:asciiTheme="majorHAnsi" w:hAnsiTheme="majorHAnsi"/>
          <w:sz w:val="20"/>
          <w:szCs w:val="20"/>
          <w:lang w:val="es-MX"/>
        </w:rPr>
        <w:t>puedan</w:t>
      </w:r>
      <w:r w:rsidR="00C97742" w:rsidRPr="006D531F">
        <w:rPr>
          <w:rFonts w:asciiTheme="majorHAnsi" w:hAnsiTheme="majorHAnsi"/>
          <w:sz w:val="20"/>
          <w:szCs w:val="20"/>
          <w:lang w:val="es-MX"/>
        </w:rPr>
        <w:t xml:space="preserve"> </w:t>
      </w:r>
      <w:r w:rsidR="00B15A35" w:rsidRPr="006D531F">
        <w:rPr>
          <w:rFonts w:asciiTheme="majorHAnsi" w:hAnsiTheme="majorHAnsi"/>
          <w:sz w:val="20"/>
          <w:szCs w:val="20"/>
          <w:lang w:val="es-MX"/>
        </w:rPr>
        <w:t>mantener o preservar su cultura</w:t>
      </w:r>
      <w:r w:rsidR="004E214F">
        <w:rPr>
          <w:rFonts w:asciiTheme="majorHAnsi" w:hAnsiTheme="majorHAnsi"/>
          <w:sz w:val="20"/>
          <w:szCs w:val="20"/>
          <w:lang w:val="es-MX"/>
        </w:rPr>
        <w:t>, idiomas y prácticas de</w:t>
      </w:r>
      <w:r w:rsidR="00B15A35" w:rsidRPr="006D531F">
        <w:rPr>
          <w:rFonts w:asciiTheme="majorHAnsi" w:hAnsiTheme="majorHAnsi"/>
          <w:sz w:val="20"/>
          <w:szCs w:val="20"/>
          <w:lang w:val="es-MX"/>
        </w:rPr>
        <w:t xml:space="preserve"> </w:t>
      </w:r>
      <w:r w:rsidR="00C97742" w:rsidRPr="006D531F">
        <w:rPr>
          <w:rFonts w:asciiTheme="majorHAnsi" w:hAnsiTheme="majorHAnsi"/>
          <w:sz w:val="20"/>
          <w:szCs w:val="20"/>
          <w:lang w:val="es-MX"/>
        </w:rPr>
        <w:t>manera efectiva</w:t>
      </w:r>
      <w:r w:rsidR="004E214F">
        <w:rPr>
          <w:rFonts w:asciiTheme="majorHAnsi" w:hAnsiTheme="majorHAnsi"/>
          <w:sz w:val="20"/>
          <w:szCs w:val="20"/>
          <w:lang w:val="es-MX"/>
        </w:rPr>
        <w:t>.</w:t>
      </w:r>
      <w:r w:rsidR="00C97742" w:rsidRPr="006D531F">
        <w:rPr>
          <w:rFonts w:asciiTheme="majorHAnsi" w:hAnsiTheme="majorHAnsi"/>
          <w:sz w:val="20"/>
          <w:szCs w:val="20"/>
          <w:lang w:val="es-MX"/>
        </w:rPr>
        <w:t xml:space="preserve"> </w:t>
      </w:r>
    </w:p>
    <w:p w14:paraId="2C2C4E36" w14:textId="77777777" w:rsidR="00BB4FE6" w:rsidRPr="006D531F" w:rsidRDefault="00BB4FE6" w:rsidP="000A6C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14:paraId="3AC14788" w14:textId="77777777" w:rsidR="00D12193" w:rsidRPr="006D531F" w:rsidRDefault="0022273F" w:rsidP="000E521A">
      <w:pPr>
        <w:pStyle w:val="Heading2"/>
        <w:rPr>
          <w:rFonts w:asciiTheme="majorHAnsi" w:hAnsiTheme="majorHAnsi"/>
        </w:rPr>
      </w:pPr>
      <w:bookmarkStart w:id="11" w:name="_Toc6937372"/>
      <w:bookmarkStart w:id="12" w:name="_Toc11073100"/>
      <w:bookmarkStart w:id="13" w:name="_Toc28418772"/>
      <w:r w:rsidRPr="006D531F">
        <w:rPr>
          <w:rFonts w:asciiTheme="majorHAnsi" w:hAnsiTheme="majorHAnsi"/>
        </w:rPr>
        <w:t>Estado</w:t>
      </w:r>
      <w:bookmarkEnd w:id="11"/>
      <w:bookmarkEnd w:id="12"/>
      <w:bookmarkEnd w:id="13"/>
      <w:r w:rsidR="00CC63CF" w:rsidRPr="006D531F">
        <w:rPr>
          <w:rFonts w:asciiTheme="majorHAnsi" w:hAnsiTheme="majorHAnsi"/>
        </w:rPr>
        <w:t xml:space="preserve"> </w:t>
      </w:r>
    </w:p>
    <w:p w14:paraId="23E2050C" w14:textId="77777777" w:rsidR="007C756A" w:rsidRPr="006D531F" w:rsidRDefault="007C756A" w:rsidP="000A6CEF">
      <w:pPr>
        <w:suppressAutoHyphens/>
        <w:jc w:val="both"/>
        <w:rPr>
          <w:rFonts w:asciiTheme="majorHAnsi" w:hAnsiTheme="majorHAnsi"/>
          <w:sz w:val="20"/>
          <w:szCs w:val="20"/>
          <w:lang w:val="es-ES_tradnl"/>
        </w:rPr>
      </w:pPr>
    </w:p>
    <w:p w14:paraId="30E872A1" w14:textId="77777777" w:rsidR="00C64D00" w:rsidRPr="006D531F" w:rsidRDefault="00C64D00" w:rsidP="00C64D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r w:rsidRPr="006D531F">
        <w:rPr>
          <w:rFonts w:asciiTheme="majorHAnsi" w:hAnsiTheme="majorHAnsi"/>
          <w:sz w:val="20"/>
          <w:szCs w:val="20"/>
          <w:lang w:val="es-VE"/>
        </w:rPr>
        <w:t xml:space="preserve">El Estado de Guatemala </w:t>
      </w:r>
      <w:r w:rsidR="00CA3D22">
        <w:rPr>
          <w:rFonts w:asciiTheme="majorHAnsi" w:hAnsiTheme="majorHAnsi"/>
          <w:sz w:val="20"/>
          <w:szCs w:val="20"/>
          <w:lang w:val="es-VE"/>
        </w:rPr>
        <w:t>considera que no es responsable por</w:t>
      </w:r>
      <w:r w:rsidR="00892177">
        <w:rPr>
          <w:rFonts w:asciiTheme="majorHAnsi" w:hAnsiTheme="majorHAnsi"/>
          <w:sz w:val="20"/>
          <w:szCs w:val="20"/>
          <w:lang w:val="es-VE"/>
        </w:rPr>
        <w:t xml:space="preserve"> </w:t>
      </w:r>
      <w:r w:rsidR="00105AF4">
        <w:rPr>
          <w:rFonts w:asciiTheme="majorHAnsi" w:hAnsiTheme="majorHAnsi"/>
          <w:sz w:val="20"/>
          <w:szCs w:val="20"/>
          <w:lang w:val="es-VE"/>
        </w:rPr>
        <w:t>la violación de los artículos 1.1, 2, 13, 24 y 26 de la Convención Americana</w:t>
      </w:r>
      <w:r w:rsidR="00E60CE1">
        <w:rPr>
          <w:rFonts w:asciiTheme="majorHAnsi" w:hAnsiTheme="majorHAnsi"/>
          <w:sz w:val="20"/>
          <w:szCs w:val="20"/>
          <w:lang w:val="es-VE"/>
        </w:rPr>
        <w:t xml:space="preserve"> ni del artículo XIII de la Declaración Americana.</w:t>
      </w:r>
      <w:r w:rsidR="00CA3D22">
        <w:rPr>
          <w:rFonts w:asciiTheme="majorHAnsi" w:hAnsiTheme="majorHAnsi"/>
          <w:sz w:val="20"/>
          <w:szCs w:val="20"/>
          <w:lang w:val="es-VE"/>
        </w:rPr>
        <w:t xml:space="preserve"> </w:t>
      </w:r>
      <w:r w:rsidR="00E60CE1">
        <w:rPr>
          <w:rFonts w:asciiTheme="majorHAnsi" w:hAnsiTheme="majorHAnsi"/>
          <w:sz w:val="20"/>
          <w:szCs w:val="20"/>
          <w:lang w:val="es-VE"/>
        </w:rPr>
        <w:t>A</w:t>
      </w:r>
      <w:r w:rsidRPr="006D531F">
        <w:rPr>
          <w:rFonts w:asciiTheme="majorHAnsi" w:hAnsiTheme="majorHAnsi"/>
          <w:sz w:val="20"/>
          <w:szCs w:val="20"/>
          <w:lang w:val="es-VE"/>
        </w:rPr>
        <w:t>rgumenta que</w:t>
      </w:r>
      <w:r w:rsidR="004025A4">
        <w:rPr>
          <w:rFonts w:asciiTheme="majorHAnsi" w:hAnsiTheme="majorHAnsi"/>
          <w:sz w:val="20"/>
          <w:szCs w:val="20"/>
          <w:lang w:val="es-VE"/>
        </w:rPr>
        <w:t xml:space="preserve"> las frecuencias radioeléctricas </w:t>
      </w:r>
      <w:r w:rsidR="00201341">
        <w:rPr>
          <w:rFonts w:asciiTheme="majorHAnsi" w:hAnsiTheme="majorHAnsi"/>
          <w:sz w:val="20"/>
          <w:szCs w:val="20"/>
          <w:lang w:val="es-VE"/>
        </w:rPr>
        <w:t xml:space="preserve">son recursos naturales limitados que deben </w:t>
      </w:r>
      <w:r w:rsidR="00B22D00">
        <w:rPr>
          <w:rFonts w:asciiTheme="majorHAnsi" w:hAnsiTheme="majorHAnsi"/>
          <w:sz w:val="20"/>
          <w:szCs w:val="20"/>
          <w:lang w:val="es-VE"/>
        </w:rPr>
        <w:t>utilizarse</w:t>
      </w:r>
      <w:r w:rsidR="00201341">
        <w:rPr>
          <w:rFonts w:asciiTheme="majorHAnsi" w:hAnsiTheme="majorHAnsi"/>
          <w:sz w:val="20"/>
          <w:szCs w:val="20"/>
          <w:lang w:val="es-VE"/>
        </w:rPr>
        <w:t xml:space="preserve"> de forma racional</w:t>
      </w:r>
      <w:r w:rsidRPr="006D531F">
        <w:rPr>
          <w:rFonts w:asciiTheme="majorHAnsi" w:hAnsiTheme="majorHAnsi"/>
          <w:sz w:val="20"/>
          <w:szCs w:val="20"/>
          <w:lang w:val="es-VE"/>
        </w:rPr>
        <w:t xml:space="preserve"> </w:t>
      </w:r>
      <w:r w:rsidR="00644B96">
        <w:rPr>
          <w:rFonts w:asciiTheme="majorHAnsi" w:hAnsiTheme="majorHAnsi"/>
          <w:sz w:val="20"/>
          <w:szCs w:val="20"/>
          <w:lang w:val="es-VE"/>
        </w:rPr>
        <w:t xml:space="preserve">y que son propiedad del Estado. </w:t>
      </w:r>
      <w:r w:rsidR="00DA0776">
        <w:rPr>
          <w:rFonts w:asciiTheme="majorHAnsi" w:hAnsiTheme="majorHAnsi"/>
          <w:sz w:val="20"/>
          <w:szCs w:val="20"/>
          <w:lang w:val="es-VE"/>
        </w:rPr>
        <w:t>Asimismo, destaca que</w:t>
      </w:r>
      <w:r w:rsidR="00A104D0">
        <w:rPr>
          <w:rFonts w:asciiTheme="majorHAnsi" w:hAnsiTheme="majorHAnsi"/>
          <w:sz w:val="20"/>
          <w:szCs w:val="20"/>
          <w:lang w:val="es-VE"/>
        </w:rPr>
        <w:t>,</w:t>
      </w:r>
      <w:r w:rsidR="008A72C3">
        <w:rPr>
          <w:rFonts w:asciiTheme="majorHAnsi" w:hAnsiTheme="majorHAnsi"/>
          <w:sz w:val="20"/>
          <w:szCs w:val="20"/>
          <w:lang w:val="es-VE"/>
        </w:rPr>
        <w:t xml:space="preserve"> con el fin </w:t>
      </w:r>
      <w:r w:rsidR="00A12E83">
        <w:rPr>
          <w:rFonts w:asciiTheme="majorHAnsi" w:hAnsiTheme="majorHAnsi"/>
          <w:sz w:val="20"/>
          <w:szCs w:val="20"/>
          <w:lang w:val="es-VE"/>
        </w:rPr>
        <w:t>de mejorar el empleo racional de toda clase de telecomunicaciones</w:t>
      </w:r>
      <w:r w:rsidR="00D572F7">
        <w:rPr>
          <w:rFonts w:asciiTheme="majorHAnsi" w:hAnsiTheme="majorHAnsi"/>
          <w:sz w:val="20"/>
          <w:szCs w:val="20"/>
          <w:lang w:val="es-VE"/>
        </w:rPr>
        <w:t>,</w:t>
      </w:r>
      <w:r w:rsidR="00DA0776">
        <w:rPr>
          <w:rFonts w:asciiTheme="majorHAnsi" w:hAnsiTheme="majorHAnsi"/>
          <w:sz w:val="20"/>
          <w:szCs w:val="20"/>
          <w:lang w:val="es-VE"/>
        </w:rPr>
        <w:t xml:space="preserve"> </w:t>
      </w:r>
      <w:r w:rsidRPr="006D531F">
        <w:rPr>
          <w:rFonts w:asciiTheme="majorHAnsi" w:hAnsiTheme="majorHAnsi"/>
          <w:sz w:val="20"/>
          <w:szCs w:val="20"/>
          <w:lang w:val="es-VE"/>
        </w:rPr>
        <w:t xml:space="preserve">los </w:t>
      </w:r>
      <w:r w:rsidR="007E0917">
        <w:rPr>
          <w:rFonts w:asciiTheme="majorHAnsi" w:hAnsiTheme="majorHAnsi"/>
          <w:sz w:val="20"/>
          <w:szCs w:val="20"/>
          <w:lang w:val="es-VE"/>
        </w:rPr>
        <w:t>a</w:t>
      </w:r>
      <w:r w:rsidRPr="006D531F">
        <w:rPr>
          <w:rFonts w:asciiTheme="majorHAnsi" w:hAnsiTheme="majorHAnsi"/>
          <w:sz w:val="20"/>
          <w:szCs w:val="20"/>
          <w:lang w:val="es-VE"/>
        </w:rPr>
        <w:t>rtículos 44 y 45 del Convenio de la Unión Internacional de Telecomunicaciones (UIT) de</w:t>
      </w:r>
      <w:r w:rsidR="00F41F7B">
        <w:rPr>
          <w:rFonts w:asciiTheme="majorHAnsi" w:hAnsiTheme="majorHAnsi"/>
          <w:sz w:val="20"/>
          <w:szCs w:val="20"/>
          <w:lang w:val="es-VE"/>
        </w:rPr>
        <w:t xml:space="preserve">l </w:t>
      </w:r>
      <w:r w:rsidRPr="006D531F">
        <w:rPr>
          <w:rFonts w:asciiTheme="majorHAnsi" w:hAnsiTheme="majorHAnsi"/>
          <w:sz w:val="20"/>
          <w:szCs w:val="20"/>
          <w:lang w:val="es-VE"/>
        </w:rPr>
        <w:t xml:space="preserve">cual es parte, contemplan que los Estados deben adoptar las medidas necesarias para impedir el funcionamiento de instalaciones y aparatos eléctricos de cualquier clase que pudieran perturbar los legalmente autorizados. </w:t>
      </w:r>
      <w:r w:rsidR="007C54CF">
        <w:rPr>
          <w:rFonts w:asciiTheme="majorHAnsi" w:hAnsiTheme="majorHAnsi"/>
          <w:sz w:val="20"/>
          <w:szCs w:val="20"/>
          <w:lang w:val="es-VE"/>
        </w:rPr>
        <w:t>Señala que por esta r</w:t>
      </w:r>
      <w:r w:rsidRPr="006D531F">
        <w:rPr>
          <w:rFonts w:asciiTheme="majorHAnsi" w:hAnsiTheme="majorHAnsi"/>
          <w:sz w:val="20"/>
          <w:szCs w:val="20"/>
          <w:lang w:val="es-VE"/>
        </w:rPr>
        <w:t>azón ha conservado su legislación interna a favor del principio de</w:t>
      </w:r>
      <w:r w:rsidR="00D44B9D">
        <w:rPr>
          <w:rFonts w:asciiTheme="majorHAnsi" w:hAnsiTheme="majorHAnsi"/>
          <w:sz w:val="20"/>
          <w:szCs w:val="20"/>
          <w:lang w:val="es-VE"/>
        </w:rPr>
        <w:t>l</w:t>
      </w:r>
      <w:r w:rsidRPr="006D531F">
        <w:rPr>
          <w:rFonts w:asciiTheme="majorHAnsi" w:hAnsiTheme="majorHAnsi"/>
          <w:sz w:val="20"/>
          <w:szCs w:val="20"/>
          <w:lang w:val="es-VE"/>
        </w:rPr>
        <w:t xml:space="preserve"> empleo racional de los recursos de telecomunicaciones, que incluye las frecuencias radioeléctricas. </w:t>
      </w:r>
    </w:p>
    <w:p w14:paraId="60825916" w14:textId="77777777" w:rsidR="00C64D00" w:rsidRPr="006D531F" w:rsidRDefault="00C64D00" w:rsidP="00C64D0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VE"/>
        </w:rPr>
      </w:pPr>
    </w:p>
    <w:p w14:paraId="03A08F97" w14:textId="77777777" w:rsidR="00C64D00" w:rsidRPr="006D531F" w:rsidRDefault="00C64D00" w:rsidP="00C64D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r w:rsidRPr="006D531F">
        <w:rPr>
          <w:rFonts w:asciiTheme="majorHAnsi" w:hAnsiTheme="majorHAnsi"/>
          <w:sz w:val="20"/>
          <w:szCs w:val="20"/>
          <w:lang w:val="es-VE"/>
        </w:rPr>
        <w:t>Guatemala señala que</w:t>
      </w:r>
      <w:r w:rsidR="00093A4C">
        <w:rPr>
          <w:rFonts w:asciiTheme="majorHAnsi" w:hAnsiTheme="majorHAnsi"/>
          <w:sz w:val="20"/>
          <w:szCs w:val="20"/>
          <w:lang w:val="es-VE"/>
        </w:rPr>
        <w:t xml:space="preserve"> a través de</w:t>
      </w:r>
      <w:r w:rsidRPr="006D531F">
        <w:rPr>
          <w:rFonts w:asciiTheme="majorHAnsi" w:hAnsiTheme="majorHAnsi"/>
          <w:sz w:val="20"/>
          <w:szCs w:val="20"/>
          <w:lang w:val="es-VE"/>
        </w:rPr>
        <w:t xml:space="preserve"> la legislación vigente</w:t>
      </w:r>
      <w:r w:rsidR="004E25E5">
        <w:rPr>
          <w:rFonts w:asciiTheme="majorHAnsi" w:hAnsiTheme="majorHAnsi"/>
          <w:sz w:val="20"/>
          <w:szCs w:val="20"/>
          <w:lang w:val="es-VE"/>
        </w:rPr>
        <w:t xml:space="preserve">, </w:t>
      </w:r>
      <w:r w:rsidR="00FD6E6B">
        <w:rPr>
          <w:rFonts w:asciiTheme="majorHAnsi" w:hAnsiTheme="majorHAnsi"/>
          <w:sz w:val="20"/>
          <w:szCs w:val="20"/>
          <w:lang w:val="es-VE"/>
        </w:rPr>
        <w:t>la</w:t>
      </w:r>
      <w:r w:rsidRPr="006D531F">
        <w:rPr>
          <w:rFonts w:asciiTheme="majorHAnsi" w:hAnsiTheme="majorHAnsi"/>
          <w:sz w:val="20"/>
          <w:szCs w:val="20"/>
          <w:lang w:val="es-VE"/>
        </w:rPr>
        <w:t xml:space="preserve"> </w:t>
      </w:r>
      <w:r w:rsidR="00FD6E6B" w:rsidRPr="006D531F">
        <w:rPr>
          <w:rFonts w:asciiTheme="majorHAnsi" w:hAnsiTheme="majorHAnsi"/>
          <w:sz w:val="20"/>
          <w:szCs w:val="20"/>
          <w:lang w:val="es-VE"/>
        </w:rPr>
        <w:t>Superintendencia de Telecomunicaciones y la Dirección General de Radiodifusión y Televisión Nacional</w:t>
      </w:r>
      <w:r w:rsidR="00D81173">
        <w:rPr>
          <w:rFonts w:asciiTheme="majorHAnsi" w:hAnsiTheme="majorHAnsi"/>
          <w:sz w:val="20"/>
          <w:szCs w:val="20"/>
          <w:lang w:val="es-VE"/>
        </w:rPr>
        <w:t xml:space="preserve"> permite </w:t>
      </w:r>
      <w:r w:rsidR="00450354">
        <w:rPr>
          <w:rFonts w:asciiTheme="majorHAnsi" w:hAnsiTheme="majorHAnsi"/>
          <w:sz w:val="20"/>
          <w:szCs w:val="20"/>
          <w:lang w:val="es-VE"/>
        </w:rPr>
        <w:t xml:space="preserve">a cualquier persona acceder </w:t>
      </w:r>
      <w:r w:rsidR="000A3336">
        <w:rPr>
          <w:rFonts w:asciiTheme="majorHAnsi" w:hAnsiTheme="majorHAnsi"/>
          <w:sz w:val="20"/>
          <w:szCs w:val="20"/>
          <w:lang w:val="es-VE"/>
        </w:rPr>
        <w:t>legalmente a la explotaci</w:t>
      </w:r>
      <w:r w:rsidR="0094347B">
        <w:rPr>
          <w:rFonts w:asciiTheme="majorHAnsi" w:hAnsiTheme="majorHAnsi"/>
          <w:sz w:val="20"/>
          <w:szCs w:val="20"/>
          <w:lang w:val="es-VE"/>
        </w:rPr>
        <w:t>ón d</w:t>
      </w:r>
      <w:r w:rsidRPr="006D531F">
        <w:rPr>
          <w:rFonts w:asciiTheme="majorHAnsi" w:hAnsiTheme="majorHAnsi"/>
          <w:sz w:val="20"/>
          <w:szCs w:val="20"/>
          <w:lang w:val="es-VE"/>
        </w:rPr>
        <w:t>el espectro radioeléctrico</w:t>
      </w:r>
      <w:r w:rsidR="00791019">
        <w:rPr>
          <w:rFonts w:asciiTheme="majorHAnsi" w:hAnsiTheme="majorHAnsi"/>
          <w:sz w:val="20"/>
          <w:szCs w:val="20"/>
          <w:lang w:val="es-VE"/>
        </w:rPr>
        <w:t xml:space="preserve">, de conformidad </w:t>
      </w:r>
      <w:r w:rsidR="00AE6D57">
        <w:rPr>
          <w:rFonts w:asciiTheme="majorHAnsi" w:hAnsiTheme="majorHAnsi"/>
          <w:sz w:val="20"/>
          <w:szCs w:val="20"/>
          <w:lang w:val="es-VE"/>
        </w:rPr>
        <w:t xml:space="preserve">con el proceso correspondiente para su </w:t>
      </w:r>
      <w:r w:rsidRPr="006D531F">
        <w:rPr>
          <w:rFonts w:asciiTheme="majorHAnsi" w:hAnsiTheme="majorHAnsi"/>
          <w:sz w:val="20"/>
          <w:szCs w:val="20"/>
          <w:lang w:val="es-VE"/>
        </w:rPr>
        <w:t>aprobación y distribución con</w:t>
      </w:r>
      <w:r w:rsidR="00AE6D57">
        <w:rPr>
          <w:rFonts w:asciiTheme="majorHAnsi" w:hAnsiTheme="majorHAnsi"/>
          <w:sz w:val="20"/>
          <w:szCs w:val="20"/>
          <w:lang w:val="es-VE"/>
        </w:rPr>
        <w:t>f</w:t>
      </w:r>
      <w:r w:rsidRPr="006D531F">
        <w:rPr>
          <w:rFonts w:asciiTheme="majorHAnsi" w:hAnsiTheme="majorHAnsi"/>
          <w:sz w:val="20"/>
          <w:szCs w:val="20"/>
          <w:lang w:val="es-VE"/>
        </w:rPr>
        <w:t>o</w:t>
      </w:r>
      <w:r w:rsidR="00AE6D57">
        <w:rPr>
          <w:rFonts w:asciiTheme="majorHAnsi" w:hAnsiTheme="majorHAnsi"/>
          <w:sz w:val="20"/>
          <w:szCs w:val="20"/>
          <w:lang w:val="es-VE"/>
        </w:rPr>
        <w:t>rme</w:t>
      </w:r>
      <w:r w:rsidRPr="006D531F">
        <w:rPr>
          <w:rFonts w:asciiTheme="majorHAnsi" w:hAnsiTheme="majorHAnsi"/>
          <w:sz w:val="20"/>
          <w:szCs w:val="20"/>
          <w:lang w:val="es-VE"/>
        </w:rPr>
        <w:t xml:space="preserve"> </w:t>
      </w:r>
      <w:r w:rsidR="00AE6D57">
        <w:rPr>
          <w:rFonts w:asciiTheme="majorHAnsi" w:hAnsiTheme="majorHAnsi"/>
          <w:sz w:val="20"/>
          <w:szCs w:val="20"/>
          <w:lang w:val="es-VE"/>
        </w:rPr>
        <w:t xml:space="preserve">a </w:t>
      </w:r>
      <w:r w:rsidRPr="006D531F">
        <w:rPr>
          <w:rFonts w:asciiTheme="majorHAnsi" w:hAnsiTheme="majorHAnsi"/>
          <w:sz w:val="20"/>
          <w:szCs w:val="20"/>
          <w:lang w:val="es-VE"/>
        </w:rPr>
        <w:t>l</w:t>
      </w:r>
      <w:r w:rsidR="00AE6D57">
        <w:rPr>
          <w:rFonts w:asciiTheme="majorHAnsi" w:hAnsiTheme="majorHAnsi"/>
          <w:sz w:val="20"/>
          <w:szCs w:val="20"/>
          <w:lang w:val="es-VE"/>
        </w:rPr>
        <w:t>o establecido en la</w:t>
      </w:r>
      <w:r w:rsidRPr="006D531F">
        <w:rPr>
          <w:rFonts w:asciiTheme="majorHAnsi" w:hAnsiTheme="majorHAnsi"/>
          <w:sz w:val="20"/>
          <w:szCs w:val="20"/>
          <w:lang w:val="es-VE"/>
        </w:rPr>
        <w:t xml:space="preserve"> LGT</w:t>
      </w:r>
      <w:r w:rsidR="00186CB7">
        <w:rPr>
          <w:rFonts w:asciiTheme="majorHAnsi" w:hAnsiTheme="majorHAnsi"/>
          <w:sz w:val="20"/>
          <w:szCs w:val="20"/>
          <w:lang w:val="es-VE"/>
        </w:rPr>
        <w:t>. El Estado considera que dicha regulación</w:t>
      </w:r>
      <w:r w:rsidR="006D4820">
        <w:rPr>
          <w:rFonts w:asciiTheme="majorHAnsi" w:hAnsiTheme="majorHAnsi"/>
          <w:sz w:val="20"/>
          <w:szCs w:val="20"/>
          <w:lang w:val="es-VE"/>
        </w:rPr>
        <w:t xml:space="preserve"> otorga la oportunidad a cualquier persona de acceder al espectro, por lo que no</w:t>
      </w:r>
      <w:r w:rsidRPr="006D531F">
        <w:rPr>
          <w:rFonts w:asciiTheme="majorHAnsi" w:hAnsiTheme="majorHAnsi"/>
          <w:sz w:val="20"/>
          <w:szCs w:val="20"/>
          <w:lang w:val="es-VE"/>
        </w:rPr>
        <w:t xml:space="preserve"> puede interpretarse como discrimina</w:t>
      </w:r>
      <w:r w:rsidR="00D44F73">
        <w:rPr>
          <w:rFonts w:asciiTheme="majorHAnsi" w:hAnsiTheme="majorHAnsi"/>
          <w:sz w:val="20"/>
          <w:szCs w:val="20"/>
          <w:lang w:val="es-VE"/>
        </w:rPr>
        <w:t>toria</w:t>
      </w:r>
      <w:r w:rsidRPr="006D531F">
        <w:rPr>
          <w:rFonts w:asciiTheme="majorHAnsi" w:hAnsiTheme="majorHAnsi"/>
          <w:sz w:val="20"/>
          <w:szCs w:val="20"/>
          <w:lang w:val="es-VE"/>
        </w:rPr>
        <w:t xml:space="preserve"> en contra de los pueblos indígenas.</w:t>
      </w:r>
    </w:p>
    <w:p w14:paraId="41B14B3A" w14:textId="77777777" w:rsidR="00C64D00" w:rsidRPr="006D531F" w:rsidRDefault="00C64D00" w:rsidP="00C64D00">
      <w:pPr>
        <w:pStyle w:val="ListParagraph"/>
        <w:rPr>
          <w:rFonts w:asciiTheme="majorHAnsi" w:hAnsiTheme="majorHAnsi"/>
          <w:color w:val="auto"/>
          <w:sz w:val="20"/>
          <w:szCs w:val="20"/>
          <w:lang w:val="es-VE"/>
        </w:rPr>
      </w:pPr>
    </w:p>
    <w:p w14:paraId="499FD2D3" w14:textId="77777777" w:rsidR="00C64D00" w:rsidRPr="006D531F" w:rsidRDefault="00955FF8" w:rsidP="00C64D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r>
        <w:rPr>
          <w:rFonts w:asciiTheme="majorHAnsi" w:hAnsiTheme="majorHAnsi"/>
          <w:sz w:val="20"/>
          <w:szCs w:val="20"/>
          <w:lang w:val="es-VE"/>
        </w:rPr>
        <w:t>R</w:t>
      </w:r>
      <w:r w:rsidR="00C64D00" w:rsidRPr="006D531F">
        <w:rPr>
          <w:rFonts w:asciiTheme="majorHAnsi" w:hAnsiTheme="majorHAnsi"/>
          <w:sz w:val="20"/>
          <w:szCs w:val="20"/>
          <w:lang w:val="es-VE"/>
        </w:rPr>
        <w:t xml:space="preserve">especto a las actuaciones de la Fiscalía de delitos cometidos por el uso ilegal de frecuencias radioeléctricas, </w:t>
      </w:r>
      <w:r>
        <w:rPr>
          <w:rFonts w:asciiTheme="majorHAnsi" w:hAnsiTheme="majorHAnsi"/>
          <w:sz w:val="20"/>
          <w:szCs w:val="20"/>
          <w:lang w:val="es-VE"/>
        </w:rPr>
        <w:t xml:space="preserve">el Estado señala </w:t>
      </w:r>
      <w:r w:rsidR="00C64D00" w:rsidRPr="006D531F">
        <w:rPr>
          <w:rFonts w:asciiTheme="majorHAnsi" w:hAnsiTheme="majorHAnsi"/>
          <w:sz w:val="20"/>
          <w:szCs w:val="20"/>
          <w:lang w:val="es-VE"/>
        </w:rPr>
        <w:t xml:space="preserve">que para julio de 2017 tenía en sus registros oficiales 165 diligencias de allanamiento, inspección, registro y secuestro de evidencia en bienes inmuebles y 65 sentencias por delito de hurto que establecen la utilización y/o explotación ilegal de frecuencias radioeléctricas derivadas de las actividades de investigación. Al respecto, sostiene que todas sus actuaciones han sido producto del ejercicio legítimo de su potestad de investigación y sanción, de modo que el Ministerio Público, la Policía Nacional Civil y los entes juzgadores, han realizado sus funciones en apego al principio de objetividad y ejercitan la acción y persecución penal únicamente de personas que no han sido autorizadas legalmente para explotar un bien del Estado, según lo estipula la literal h) de artículo 121 de la Constitución Política de la República de Guatemala. </w:t>
      </w:r>
    </w:p>
    <w:p w14:paraId="1367D1EE" w14:textId="77777777" w:rsidR="00C64D00" w:rsidRPr="006D531F" w:rsidRDefault="00C64D00" w:rsidP="00C64D00">
      <w:pPr>
        <w:pStyle w:val="ListParagraph"/>
        <w:rPr>
          <w:rFonts w:asciiTheme="majorHAnsi" w:hAnsiTheme="majorHAnsi"/>
          <w:color w:val="auto"/>
          <w:sz w:val="20"/>
          <w:szCs w:val="20"/>
          <w:lang w:val="es-VE"/>
        </w:rPr>
      </w:pPr>
    </w:p>
    <w:p w14:paraId="10ED52CF" w14:textId="77777777" w:rsidR="00C64D00" w:rsidRPr="006D531F" w:rsidRDefault="00955FF8" w:rsidP="00C64D0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r>
        <w:rPr>
          <w:rFonts w:asciiTheme="majorHAnsi" w:hAnsiTheme="majorHAnsi"/>
          <w:sz w:val="20"/>
          <w:szCs w:val="20"/>
          <w:lang w:val="es-VE"/>
        </w:rPr>
        <w:t xml:space="preserve">El Estado argumenta que </w:t>
      </w:r>
      <w:r w:rsidR="00C64D00" w:rsidRPr="006D531F">
        <w:rPr>
          <w:rFonts w:asciiTheme="majorHAnsi" w:hAnsiTheme="majorHAnsi"/>
          <w:sz w:val="20"/>
          <w:szCs w:val="20"/>
          <w:lang w:val="es-VE"/>
        </w:rPr>
        <w:t xml:space="preserve">las autoridades no efectúan distinción bajo el criterio de grupo o sector social al </w:t>
      </w:r>
      <w:r w:rsidR="005A5B05">
        <w:rPr>
          <w:rFonts w:asciiTheme="majorHAnsi" w:hAnsiTheme="majorHAnsi"/>
          <w:sz w:val="20"/>
          <w:szCs w:val="20"/>
          <w:lang w:val="es-VE"/>
        </w:rPr>
        <w:t xml:space="preserve">que </w:t>
      </w:r>
      <w:r w:rsidR="00C64D00" w:rsidRPr="006D531F">
        <w:rPr>
          <w:rFonts w:asciiTheme="majorHAnsi" w:hAnsiTheme="majorHAnsi"/>
          <w:sz w:val="20"/>
          <w:szCs w:val="20"/>
          <w:lang w:val="es-VE"/>
        </w:rPr>
        <w:t xml:space="preserve">pertenecen las personas objeto de las persecuciones, ni tampoco </w:t>
      </w:r>
      <w:r w:rsidR="008C509A">
        <w:rPr>
          <w:rFonts w:asciiTheme="majorHAnsi" w:hAnsiTheme="majorHAnsi"/>
          <w:sz w:val="20"/>
          <w:szCs w:val="20"/>
          <w:lang w:val="es-VE"/>
        </w:rPr>
        <w:t xml:space="preserve">bajo </w:t>
      </w:r>
      <w:r w:rsidR="00C64D00" w:rsidRPr="006D531F">
        <w:rPr>
          <w:rFonts w:asciiTheme="majorHAnsi" w:hAnsiTheme="majorHAnsi"/>
          <w:sz w:val="20"/>
          <w:szCs w:val="20"/>
          <w:lang w:val="es-VE"/>
        </w:rPr>
        <w:t xml:space="preserve">el contenido de los programas difundidos, pues </w:t>
      </w:r>
      <w:r w:rsidR="002E5606" w:rsidRPr="006D531F">
        <w:rPr>
          <w:rFonts w:asciiTheme="majorHAnsi" w:hAnsiTheme="majorHAnsi"/>
          <w:sz w:val="20"/>
          <w:szCs w:val="20"/>
          <w:lang w:val="es-VE"/>
        </w:rPr>
        <w:t xml:space="preserve">se evalúa </w:t>
      </w:r>
      <w:r w:rsidR="00C64D00" w:rsidRPr="006D531F">
        <w:rPr>
          <w:rFonts w:asciiTheme="majorHAnsi" w:hAnsiTheme="majorHAnsi"/>
          <w:sz w:val="20"/>
          <w:szCs w:val="20"/>
          <w:lang w:val="es-VE"/>
        </w:rPr>
        <w:t>exclusivamente la explotación legal o ilegal de un bien propiedad de la Nación</w:t>
      </w:r>
      <w:r w:rsidR="00A97C49">
        <w:rPr>
          <w:rFonts w:asciiTheme="majorHAnsi" w:hAnsiTheme="majorHAnsi"/>
          <w:sz w:val="20"/>
          <w:szCs w:val="20"/>
          <w:lang w:val="es-VE"/>
        </w:rPr>
        <w:t xml:space="preserve">. Por ello, </w:t>
      </w:r>
      <w:r w:rsidR="00A97C49" w:rsidRPr="006D531F">
        <w:rPr>
          <w:rFonts w:asciiTheme="majorHAnsi" w:hAnsiTheme="majorHAnsi"/>
          <w:sz w:val="20"/>
          <w:szCs w:val="20"/>
          <w:lang w:val="es-VE"/>
        </w:rPr>
        <w:t>cualquiera de sus diligencias se lleva a cabo</w:t>
      </w:r>
      <w:r w:rsidR="00C64D00" w:rsidRPr="006D531F">
        <w:rPr>
          <w:rFonts w:asciiTheme="majorHAnsi" w:hAnsiTheme="majorHAnsi"/>
          <w:sz w:val="20"/>
          <w:szCs w:val="20"/>
          <w:lang w:val="es-VE"/>
        </w:rPr>
        <w:t xml:space="preserve"> bajo reglas específicas, con autorización de juez competente y con el debido registro en acta ministerial de actuaciones.</w:t>
      </w:r>
    </w:p>
    <w:p w14:paraId="7B8E7D47" w14:textId="77777777" w:rsidR="00C64D00" w:rsidRPr="006D531F" w:rsidRDefault="00C64D00" w:rsidP="00C64D00">
      <w:pPr>
        <w:pStyle w:val="ListParagraph"/>
        <w:rPr>
          <w:rFonts w:asciiTheme="majorHAnsi" w:hAnsiTheme="majorHAnsi"/>
          <w:color w:val="auto"/>
          <w:sz w:val="20"/>
          <w:szCs w:val="20"/>
          <w:lang w:val="es-VE"/>
        </w:rPr>
      </w:pPr>
    </w:p>
    <w:p w14:paraId="246901D5" w14:textId="77777777" w:rsidR="00212DF3" w:rsidRPr="00631266" w:rsidRDefault="00C64D00" w:rsidP="0063126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r w:rsidRPr="006D531F">
        <w:rPr>
          <w:rFonts w:asciiTheme="majorHAnsi" w:hAnsiTheme="majorHAnsi"/>
          <w:sz w:val="20"/>
          <w:szCs w:val="20"/>
          <w:lang w:val="es-AR"/>
        </w:rPr>
        <w:t xml:space="preserve">Sobre las iniciativas de </w:t>
      </w:r>
      <w:r w:rsidR="00046CED">
        <w:rPr>
          <w:rFonts w:asciiTheme="majorHAnsi" w:hAnsiTheme="majorHAnsi"/>
          <w:sz w:val="20"/>
          <w:szCs w:val="20"/>
          <w:lang w:val="es-AR"/>
        </w:rPr>
        <w:t>l</w:t>
      </w:r>
      <w:r w:rsidRPr="006D531F">
        <w:rPr>
          <w:rFonts w:asciiTheme="majorHAnsi" w:hAnsiTheme="majorHAnsi"/>
          <w:sz w:val="20"/>
          <w:szCs w:val="20"/>
          <w:lang w:val="es-AR"/>
        </w:rPr>
        <w:t>ey presentadas ante el Congreso de Guatemala</w:t>
      </w:r>
      <w:r w:rsidR="00CC64E3">
        <w:rPr>
          <w:rFonts w:asciiTheme="majorHAnsi" w:hAnsiTheme="majorHAnsi"/>
          <w:sz w:val="20"/>
          <w:szCs w:val="20"/>
          <w:lang w:val="es-AR"/>
        </w:rPr>
        <w:t xml:space="preserve"> para modificar la LGT,</w:t>
      </w:r>
      <w:r w:rsidRPr="006D531F">
        <w:rPr>
          <w:rFonts w:asciiTheme="majorHAnsi" w:hAnsiTheme="majorHAnsi"/>
          <w:sz w:val="20"/>
          <w:szCs w:val="20"/>
          <w:lang w:val="es-AR"/>
        </w:rPr>
        <w:t xml:space="preserve"> </w:t>
      </w:r>
      <w:r w:rsidRPr="006D531F">
        <w:rPr>
          <w:rFonts w:asciiTheme="majorHAnsi" w:hAnsiTheme="majorHAnsi"/>
          <w:sz w:val="20"/>
          <w:szCs w:val="20"/>
          <w:lang w:val="es-VE"/>
        </w:rPr>
        <w:t xml:space="preserve">el Estado señala que la </w:t>
      </w:r>
      <w:r w:rsidR="00A2754C">
        <w:rPr>
          <w:rFonts w:asciiTheme="majorHAnsi" w:hAnsiTheme="majorHAnsi"/>
          <w:sz w:val="20"/>
          <w:szCs w:val="20"/>
          <w:lang w:val="es-VE"/>
        </w:rPr>
        <w:t xml:space="preserve">signada </w:t>
      </w:r>
      <w:r w:rsidR="00A2754C">
        <w:rPr>
          <w:rFonts w:asciiTheme="majorHAnsi" w:hAnsiTheme="majorHAnsi"/>
          <w:sz w:val="20"/>
          <w:szCs w:val="20"/>
          <w:lang w:val="es-AR"/>
        </w:rPr>
        <w:t>con el</w:t>
      </w:r>
      <w:r w:rsidRPr="006D531F">
        <w:rPr>
          <w:rFonts w:asciiTheme="majorHAnsi" w:hAnsiTheme="majorHAnsi"/>
          <w:sz w:val="20"/>
          <w:szCs w:val="20"/>
          <w:lang w:val="es-AR"/>
        </w:rPr>
        <w:t xml:space="preserve"> </w:t>
      </w:r>
      <w:r w:rsidR="008732A9">
        <w:rPr>
          <w:rFonts w:asciiTheme="majorHAnsi" w:hAnsiTheme="majorHAnsi"/>
          <w:sz w:val="20"/>
          <w:szCs w:val="20"/>
          <w:lang w:val="es-AR"/>
        </w:rPr>
        <w:t>n</w:t>
      </w:r>
      <w:r w:rsidRPr="006D531F">
        <w:rPr>
          <w:rFonts w:asciiTheme="majorHAnsi" w:hAnsiTheme="majorHAnsi"/>
          <w:sz w:val="20"/>
          <w:szCs w:val="20"/>
          <w:lang w:val="es-AR"/>
        </w:rPr>
        <w:t xml:space="preserve">úmero de registro 2661 </w:t>
      </w:r>
      <w:r w:rsidRPr="006D531F">
        <w:rPr>
          <w:rFonts w:asciiTheme="majorHAnsi" w:hAnsiTheme="majorHAnsi"/>
          <w:sz w:val="20"/>
          <w:szCs w:val="20"/>
          <w:lang w:val="es-VE"/>
        </w:rPr>
        <w:t xml:space="preserve">se encuentra pendiente de </w:t>
      </w:r>
      <w:r w:rsidR="008732A9">
        <w:rPr>
          <w:rFonts w:asciiTheme="majorHAnsi" w:hAnsiTheme="majorHAnsi"/>
          <w:sz w:val="20"/>
          <w:szCs w:val="20"/>
          <w:lang w:val="es-VE"/>
        </w:rPr>
        <w:t>d</w:t>
      </w:r>
      <w:r w:rsidRPr="006D531F">
        <w:rPr>
          <w:rFonts w:asciiTheme="majorHAnsi" w:hAnsiTheme="majorHAnsi"/>
          <w:sz w:val="20"/>
          <w:szCs w:val="20"/>
          <w:lang w:val="es-VE"/>
        </w:rPr>
        <w:t>ictamen por parte de la Comisión de Comunicación, Transporte, Obras Públicas y Vivienda</w:t>
      </w:r>
      <w:r w:rsidR="008732A9">
        <w:rPr>
          <w:rFonts w:asciiTheme="majorHAnsi" w:hAnsiTheme="majorHAnsi"/>
          <w:sz w:val="20"/>
          <w:szCs w:val="20"/>
          <w:lang w:val="es-VE"/>
        </w:rPr>
        <w:t>.</w:t>
      </w:r>
    </w:p>
    <w:p w14:paraId="6B7817BA" w14:textId="77777777" w:rsidR="00BB4FE6" w:rsidRPr="006D531F" w:rsidRDefault="00BB4FE6" w:rsidP="000A6CEF">
      <w:pPr>
        <w:pStyle w:val="ListParagraph"/>
        <w:ind w:left="0"/>
        <w:jc w:val="both"/>
        <w:rPr>
          <w:rFonts w:asciiTheme="majorHAnsi" w:hAnsiTheme="majorHAnsi"/>
          <w:color w:val="auto"/>
          <w:sz w:val="20"/>
          <w:szCs w:val="20"/>
          <w:lang w:val="es-VE"/>
        </w:rPr>
      </w:pPr>
    </w:p>
    <w:p w14:paraId="7933221E" w14:textId="77777777" w:rsidR="00D12193" w:rsidRPr="006D531F" w:rsidRDefault="00D12193" w:rsidP="000A6CEF">
      <w:pPr>
        <w:pStyle w:val="Heading1"/>
        <w:ind w:left="0" w:firstLine="0"/>
        <w:jc w:val="both"/>
        <w:rPr>
          <w:color w:val="auto"/>
        </w:rPr>
      </w:pPr>
      <w:bookmarkStart w:id="14" w:name="_Toc6937373"/>
      <w:bookmarkStart w:id="15" w:name="_Toc11073101"/>
      <w:bookmarkStart w:id="16" w:name="_Toc28418773"/>
      <w:r w:rsidRPr="006D531F">
        <w:rPr>
          <w:color w:val="auto"/>
        </w:rPr>
        <w:t>DETERMINACIONES DE HECHO</w:t>
      </w:r>
      <w:bookmarkEnd w:id="14"/>
      <w:bookmarkEnd w:id="15"/>
      <w:bookmarkEnd w:id="16"/>
      <w:r w:rsidR="008A078F" w:rsidRPr="006D531F">
        <w:rPr>
          <w:color w:val="auto"/>
        </w:rPr>
        <w:t xml:space="preserve"> </w:t>
      </w:r>
    </w:p>
    <w:p w14:paraId="39B0DA4D" w14:textId="77777777" w:rsidR="00BB4FE6" w:rsidRPr="006D531F" w:rsidRDefault="00BB4FE6" w:rsidP="000E521A">
      <w:pPr>
        <w:pStyle w:val="Heading2"/>
        <w:numPr>
          <w:ilvl w:val="0"/>
          <w:numId w:val="0"/>
        </w:numPr>
        <w:rPr>
          <w:rFonts w:asciiTheme="majorHAnsi" w:hAnsiTheme="majorHAnsi"/>
          <w:lang w:eastAsia="es-ES"/>
        </w:rPr>
      </w:pPr>
    </w:p>
    <w:p w14:paraId="50B38A1F" w14:textId="77777777" w:rsidR="00F30ACC" w:rsidRPr="006D531F" w:rsidRDefault="00F30ACC" w:rsidP="0022121A">
      <w:pPr>
        <w:pStyle w:val="Heading2"/>
        <w:numPr>
          <w:ilvl w:val="0"/>
          <w:numId w:val="64"/>
        </w:numPr>
        <w:ind w:left="720" w:hanging="720"/>
        <w:rPr>
          <w:rFonts w:asciiTheme="majorHAnsi" w:hAnsiTheme="majorHAnsi"/>
        </w:rPr>
      </w:pPr>
      <w:bookmarkStart w:id="17" w:name="_Toc28418774"/>
      <w:r w:rsidRPr="006D531F">
        <w:rPr>
          <w:rFonts w:asciiTheme="majorHAnsi" w:hAnsiTheme="majorHAnsi"/>
        </w:rPr>
        <w:t>Situación estructural de discriminación de pueblos indígenas y radios comunitarias en Guatemala</w:t>
      </w:r>
      <w:bookmarkEnd w:id="17"/>
    </w:p>
    <w:p w14:paraId="12C6B26A" w14:textId="77777777" w:rsidR="004E0BA6" w:rsidRPr="006D531F" w:rsidRDefault="004E0BA6" w:rsidP="000A6CEF">
      <w:pPr>
        <w:jc w:val="both"/>
        <w:rPr>
          <w:rFonts w:asciiTheme="majorHAnsi" w:hAnsiTheme="majorHAnsi"/>
          <w:sz w:val="20"/>
          <w:szCs w:val="20"/>
          <w:lang w:val="es-PE"/>
        </w:rPr>
      </w:pPr>
    </w:p>
    <w:p w14:paraId="6BB7363E" w14:textId="77777777" w:rsidR="00AB0772" w:rsidRPr="00AB0772" w:rsidRDefault="00F30ACC" w:rsidP="000C5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PE"/>
        </w:rPr>
      </w:pPr>
      <w:r w:rsidRPr="006D531F">
        <w:rPr>
          <w:rFonts w:asciiTheme="majorHAnsi" w:hAnsiTheme="majorHAnsi"/>
          <w:sz w:val="20"/>
          <w:szCs w:val="20"/>
          <w:lang w:val="es-MX"/>
        </w:rPr>
        <w:t xml:space="preserve">Guatemala es un país de alta diversidad étnica y cultural, en cuyo territorio conviven el pueblo Maya, el pueblo Xinka y el pueblo Garífuna. Según el censo poblacional del 2002, la población que se auto identifica </w:t>
      </w:r>
    </w:p>
    <w:p w14:paraId="6EA8C907" w14:textId="77777777" w:rsidR="00F30ACC" w:rsidRPr="006D531F" w:rsidRDefault="00F30ACC" w:rsidP="00AB077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PE"/>
        </w:rPr>
      </w:pPr>
      <w:r w:rsidRPr="006D531F">
        <w:rPr>
          <w:rFonts w:asciiTheme="majorHAnsi" w:hAnsiTheme="majorHAnsi"/>
          <w:sz w:val="20"/>
          <w:szCs w:val="20"/>
          <w:lang w:val="es-MX"/>
        </w:rPr>
        <w:lastRenderedPageBreak/>
        <w:t>como indígena es el 41%</w:t>
      </w:r>
      <w:r w:rsidRPr="006D531F">
        <w:rPr>
          <w:rStyle w:val="FootnoteReference"/>
          <w:rFonts w:asciiTheme="majorHAnsi" w:hAnsiTheme="majorHAnsi"/>
          <w:sz w:val="20"/>
          <w:szCs w:val="20"/>
          <w:lang w:val="es-MX"/>
        </w:rPr>
        <w:footnoteReference w:id="3"/>
      </w:r>
      <w:r w:rsidRPr="006D531F">
        <w:rPr>
          <w:rFonts w:asciiTheme="majorHAnsi" w:hAnsiTheme="majorHAnsi"/>
          <w:sz w:val="20"/>
          <w:szCs w:val="20"/>
          <w:lang w:val="es-MX"/>
        </w:rPr>
        <w:t>, lo que resulta relevante ya que</w:t>
      </w:r>
      <w:r w:rsidR="00F60C22">
        <w:rPr>
          <w:rFonts w:asciiTheme="majorHAnsi" w:hAnsiTheme="majorHAnsi"/>
          <w:sz w:val="20"/>
          <w:szCs w:val="20"/>
          <w:lang w:val="es-MX"/>
        </w:rPr>
        <w:t>,</w:t>
      </w:r>
      <w:r w:rsidRPr="006D531F">
        <w:rPr>
          <w:rFonts w:asciiTheme="majorHAnsi" w:hAnsiTheme="majorHAnsi"/>
          <w:sz w:val="20"/>
          <w:szCs w:val="20"/>
          <w:lang w:val="es-MX"/>
        </w:rPr>
        <w:t xml:space="preserve"> históricamente, en Guatemala ser indígena ha significado cargas valorativas negativas que los han situado en una relación jerárquica de extrema desigualdad</w:t>
      </w:r>
      <w:r w:rsidRPr="006D531F">
        <w:rPr>
          <w:rStyle w:val="FootnoteReference"/>
          <w:rFonts w:asciiTheme="majorHAnsi" w:hAnsiTheme="majorHAnsi"/>
          <w:sz w:val="20"/>
          <w:szCs w:val="20"/>
          <w:lang w:val="es-MX"/>
        </w:rPr>
        <w:footnoteReference w:id="4"/>
      </w:r>
      <w:r w:rsidRPr="006D531F">
        <w:rPr>
          <w:rFonts w:asciiTheme="majorHAnsi" w:hAnsiTheme="majorHAnsi"/>
          <w:sz w:val="20"/>
          <w:szCs w:val="20"/>
          <w:lang w:val="es-MX"/>
        </w:rPr>
        <w:t>.</w:t>
      </w:r>
    </w:p>
    <w:p w14:paraId="5C350FF2" w14:textId="77777777" w:rsidR="000C5117" w:rsidRPr="006D531F" w:rsidRDefault="000C5117" w:rsidP="000C511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PE"/>
        </w:rPr>
      </w:pPr>
    </w:p>
    <w:p w14:paraId="7AB1A13C" w14:textId="77777777" w:rsidR="00F30ACC" w:rsidRPr="006D531F" w:rsidRDefault="00F30ACC" w:rsidP="000C5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PE"/>
        </w:rPr>
      </w:pPr>
      <w:r w:rsidRPr="006D531F">
        <w:rPr>
          <w:rFonts w:asciiTheme="majorHAnsi" w:hAnsiTheme="majorHAnsi"/>
          <w:sz w:val="20"/>
          <w:szCs w:val="20"/>
          <w:lang w:val="es-MX"/>
        </w:rPr>
        <w:t>Si bien la discriminación étnica, y la desigualdad económica y social son conceptos distintos, tales categorías se entrecruzan generando una profundización en la situación de discriminación de los pueblos indígenas en Guatemala. La discriminación es uno de los factores que incrementa la desigualdad social y ahonda las condiciones de pobreza. Más allá del reconocimiento constitucional del principio de igualdad y de avances en algunos aspectos, en Guatemala subsiste una exclusión de hecho de los pueblos indígenas en el acceso y goce efectivo e igualitario en los ámbitos económico y social</w:t>
      </w:r>
      <w:r w:rsidRPr="006D531F">
        <w:rPr>
          <w:rStyle w:val="FootnoteReference"/>
          <w:rFonts w:asciiTheme="majorHAnsi" w:hAnsiTheme="majorHAnsi"/>
          <w:sz w:val="20"/>
          <w:szCs w:val="20"/>
          <w:lang w:val="es-MX"/>
        </w:rPr>
        <w:footnoteReference w:id="5"/>
      </w:r>
      <w:r w:rsidRPr="006D531F">
        <w:rPr>
          <w:rFonts w:asciiTheme="majorHAnsi" w:hAnsiTheme="majorHAnsi"/>
          <w:sz w:val="20"/>
          <w:szCs w:val="20"/>
          <w:lang w:val="es-MX"/>
        </w:rPr>
        <w:t xml:space="preserve">. </w:t>
      </w:r>
      <w:r w:rsidR="007F506D">
        <w:rPr>
          <w:rFonts w:asciiTheme="majorHAnsi" w:hAnsiTheme="majorHAnsi"/>
          <w:sz w:val="20"/>
          <w:szCs w:val="20"/>
          <w:lang w:val="es-MX"/>
        </w:rPr>
        <w:t xml:space="preserve">Asimismo, </w:t>
      </w:r>
      <w:r w:rsidR="00AF51C5">
        <w:rPr>
          <w:rFonts w:asciiTheme="majorHAnsi" w:hAnsiTheme="majorHAnsi"/>
          <w:sz w:val="20"/>
          <w:szCs w:val="20"/>
          <w:lang w:val="es-MX"/>
        </w:rPr>
        <w:t xml:space="preserve">los pueblos indígenas </w:t>
      </w:r>
      <w:r w:rsidR="00CD0B23">
        <w:rPr>
          <w:rFonts w:asciiTheme="majorHAnsi" w:hAnsiTheme="majorHAnsi"/>
          <w:sz w:val="20"/>
          <w:szCs w:val="20"/>
          <w:lang w:val="es-MX"/>
        </w:rPr>
        <w:t xml:space="preserve">viven </w:t>
      </w:r>
      <w:r w:rsidR="00E03B39">
        <w:rPr>
          <w:rFonts w:asciiTheme="majorHAnsi" w:hAnsiTheme="majorHAnsi"/>
          <w:sz w:val="20"/>
          <w:szCs w:val="20"/>
          <w:lang w:val="es-MX"/>
        </w:rPr>
        <w:t>una situación de violencia</w:t>
      </w:r>
      <w:r w:rsidR="00FF5655">
        <w:rPr>
          <w:rFonts w:asciiTheme="majorHAnsi" w:hAnsiTheme="majorHAnsi"/>
          <w:sz w:val="20"/>
          <w:szCs w:val="20"/>
          <w:lang w:val="es-MX"/>
        </w:rPr>
        <w:t xml:space="preserve">, la cual </w:t>
      </w:r>
      <w:r w:rsidRPr="006D531F">
        <w:rPr>
          <w:rFonts w:asciiTheme="majorHAnsi" w:hAnsiTheme="majorHAnsi"/>
          <w:sz w:val="20"/>
          <w:szCs w:val="20"/>
          <w:lang w:val="es-MX"/>
        </w:rPr>
        <w:t>está estrechamente relacionada con la situación de discriminación y exclusión que viven, y puede observarse en esferas como la participación en la toma de decisiones y en las instituciones del Estado, representación en los medios de comunicación y debate público, entre otras</w:t>
      </w:r>
      <w:r w:rsidRPr="006D531F">
        <w:rPr>
          <w:rStyle w:val="FootnoteReference"/>
          <w:rFonts w:asciiTheme="majorHAnsi" w:hAnsiTheme="majorHAnsi"/>
          <w:sz w:val="20"/>
          <w:szCs w:val="20"/>
          <w:lang w:val="es-MX"/>
        </w:rPr>
        <w:footnoteReference w:id="6"/>
      </w:r>
      <w:r w:rsidRPr="006D531F">
        <w:rPr>
          <w:rFonts w:asciiTheme="majorHAnsi" w:hAnsiTheme="majorHAnsi"/>
          <w:sz w:val="20"/>
          <w:szCs w:val="20"/>
          <w:lang w:val="es-MX"/>
        </w:rPr>
        <w:t>.</w:t>
      </w:r>
    </w:p>
    <w:p w14:paraId="0B837156" w14:textId="77777777" w:rsidR="000C5117" w:rsidRPr="006D531F" w:rsidRDefault="000C5117" w:rsidP="000C5117">
      <w:pPr>
        <w:pStyle w:val="ListParagraph"/>
        <w:rPr>
          <w:rFonts w:asciiTheme="majorHAnsi" w:hAnsiTheme="majorHAnsi"/>
          <w:color w:val="auto"/>
          <w:sz w:val="20"/>
          <w:szCs w:val="20"/>
          <w:lang w:val="es-PE"/>
        </w:rPr>
      </w:pPr>
    </w:p>
    <w:p w14:paraId="4C9FB181" w14:textId="77777777" w:rsidR="00F30ACC" w:rsidRPr="006D531F" w:rsidRDefault="00F30ACC" w:rsidP="000C51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PE"/>
        </w:rPr>
      </w:pPr>
      <w:r w:rsidRPr="006D531F">
        <w:rPr>
          <w:rFonts w:asciiTheme="majorHAnsi" w:hAnsiTheme="majorHAnsi"/>
          <w:sz w:val="20"/>
          <w:szCs w:val="20"/>
          <w:lang w:val="es-MX"/>
        </w:rPr>
        <w:t xml:space="preserve">En los últimos años los pueblos indígenas </w:t>
      </w:r>
      <w:r w:rsidR="00485BC7" w:rsidRPr="006D531F">
        <w:rPr>
          <w:rFonts w:asciiTheme="majorHAnsi" w:hAnsiTheme="majorHAnsi"/>
          <w:sz w:val="20"/>
          <w:szCs w:val="20"/>
          <w:lang w:val="es-MX"/>
        </w:rPr>
        <w:t xml:space="preserve">han </w:t>
      </w:r>
      <w:r w:rsidRPr="006D531F">
        <w:rPr>
          <w:rFonts w:asciiTheme="majorHAnsi" w:hAnsiTheme="majorHAnsi"/>
          <w:sz w:val="20"/>
          <w:szCs w:val="20"/>
          <w:lang w:val="es-MX"/>
        </w:rPr>
        <w:t>enfrenta</w:t>
      </w:r>
      <w:r w:rsidR="00485BC7" w:rsidRPr="006D531F">
        <w:rPr>
          <w:rFonts w:asciiTheme="majorHAnsi" w:hAnsiTheme="majorHAnsi"/>
          <w:sz w:val="20"/>
          <w:szCs w:val="20"/>
          <w:lang w:val="es-MX"/>
        </w:rPr>
        <w:t>do</w:t>
      </w:r>
      <w:r w:rsidRPr="006D531F">
        <w:rPr>
          <w:rFonts w:asciiTheme="majorHAnsi" w:hAnsiTheme="majorHAnsi"/>
          <w:sz w:val="20"/>
          <w:szCs w:val="20"/>
          <w:lang w:val="es-MX"/>
        </w:rPr>
        <w:t xml:space="preserve"> altos índices de exclusión social en Guatemala, la cual se manifiesta de diversas formas, tales como falta de acceso a la justicia, barreras lingüísticas, geográficas y culturales para lograr dicho acceso. A manera de ejemplo, la tasa de pobreza extrema es tres veces mayor entre la población indígena </w:t>
      </w:r>
      <w:r w:rsidR="00357F39">
        <w:rPr>
          <w:rFonts w:asciiTheme="majorHAnsi" w:hAnsiTheme="majorHAnsi"/>
          <w:sz w:val="20"/>
          <w:szCs w:val="20"/>
          <w:lang w:val="es-MX"/>
        </w:rPr>
        <w:t xml:space="preserve">con respecto a </w:t>
      </w:r>
      <w:r w:rsidRPr="006D531F">
        <w:rPr>
          <w:rFonts w:asciiTheme="majorHAnsi" w:hAnsiTheme="majorHAnsi"/>
          <w:sz w:val="20"/>
          <w:szCs w:val="20"/>
          <w:lang w:val="es-MX"/>
        </w:rPr>
        <w:t>la no indígena</w:t>
      </w:r>
      <w:r w:rsidRPr="006D531F">
        <w:rPr>
          <w:rStyle w:val="FootnoteReference"/>
          <w:rFonts w:asciiTheme="majorHAnsi" w:hAnsiTheme="majorHAnsi"/>
          <w:sz w:val="20"/>
          <w:szCs w:val="20"/>
          <w:lang w:val="es-MX"/>
        </w:rPr>
        <w:footnoteReference w:id="7"/>
      </w:r>
      <w:r w:rsidRPr="006D531F">
        <w:rPr>
          <w:rFonts w:asciiTheme="majorHAnsi" w:hAnsiTheme="majorHAnsi"/>
          <w:sz w:val="20"/>
          <w:szCs w:val="20"/>
          <w:lang w:val="es-MX"/>
        </w:rPr>
        <w:t>. Pese a las medidas adoptadas para lograr la aplicación de los Acuerdos de Paz en Guatemala, persisten problemas de implementación relativos a los derechos de los pueblos indígenas cuyo incumplimiento, repercute en muchas áreas, incluida la participación política y el desarrollo integral</w:t>
      </w:r>
      <w:r w:rsidRPr="006D531F">
        <w:rPr>
          <w:rStyle w:val="FootnoteReference"/>
          <w:rFonts w:asciiTheme="majorHAnsi" w:hAnsiTheme="majorHAnsi"/>
          <w:sz w:val="20"/>
          <w:szCs w:val="20"/>
          <w:lang w:val="es-MX"/>
        </w:rPr>
        <w:footnoteReference w:id="8"/>
      </w:r>
      <w:r w:rsidRPr="006D531F">
        <w:rPr>
          <w:rFonts w:asciiTheme="majorHAnsi" w:hAnsiTheme="majorHAnsi"/>
          <w:sz w:val="20"/>
          <w:szCs w:val="20"/>
          <w:lang w:val="es-MX"/>
        </w:rPr>
        <w:t>.</w:t>
      </w:r>
    </w:p>
    <w:p w14:paraId="256983B9" w14:textId="77777777" w:rsidR="000C5117" w:rsidRPr="006D531F" w:rsidRDefault="000C5117" w:rsidP="000C5117">
      <w:pPr>
        <w:pStyle w:val="ListParagraph"/>
        <w:rPr>
          <w:rFonts w:asciiTheme="majorHAnsi" w:hAnsiTheme="majorHAnsi"/>
          <w:color w:val="auto"/>
          <w:sz w:val="20"/>
          <w:szCs w:val="20"/>
          <w:lang w:val="es-PE"/>
        </w:rPr>
      </w:pPr>
    </w:p>
    <w:p w14:paraId="5BEF0C39" w14:textId="77777777" w:rsidR="00C211FC" w:rsidRPr="00C211FC" w:rsidRDefault="00F60C22" w:rsidP="00CC41E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PE"/>
        </w:rPr>
      </w:pPr>
      <w:r>
        <w:rPr>
          <w:rFonts w:asciiTheme="majorHAnsi" w:hAnsiTheme="majorHAnsi"/>
          <w:sz w:val="20"/>
          <w:szCs w:val="20"/>
          <w:lang w:val="es-MX"/>
        </w:rPr>
        <w:t>A su vez, e</w:t>
      </w:r>
      <w:r w:rsidR="00F30ACC" w:rsidRPr="006D531F">
        <w:rPr>
          <w:rFonts w:asciiTheme="majorHAnsi" w:hAnsiTheme="majorHAnsi"/>
          <w:sz w:val="20"/>
          <w:szCs w:val="20"/>
          <w:lang w:val="es-MX"/>
        </w:rPr>
        <w:t>n Guatemala persisten problemas estructurales</w:t>
      </w:r>
      <w:r>
        <w:rPr>
          <w:rFonts w:asciiTheme="majorHAnsi" w:hAnsiTheme="majorHAnsi"/>
          <w:sz w:val="20"/>
          <w:szCs w:val="20"/>
          <w:lang w:val="es-MX"/>
        </w:rPr>
        <w:t xml:space="preserve"> en el sistema de medios de comunicación</w:t>
      </w:r>
      <w:r w:rsidR="00F30ACC" w:rsidRPr="006D531F">
        <w:rPr>
          <w:rFonts w:asciiTheme="majorHAnsi" w:hAnsiTheme="majorHAnsi"/>
          <w:sz w:val="20"/>
          <w:szCs w:val="20"/>
          <w:lang w:val="es-MX"/>
        </w:rPr>
        <w:t xml:space="preserve"> que impiden a los ciudadanos recibir información de una diversidad de fuentes,</w:t>
      </w:r>
      <w:r>
        <w:rPr>
          <w:rFonts w:asciiTheme="majorHAnsi" w:hAnsiTheme="majorHAnsi"/>
          <w:sz w:val="20"/>
          <w:szCs w:val="20"/>
          <w:lang w:val="es-MX"/>
        </w:rPr>
        <w:t xml:space="preserve"> lo que agrava la situación de exclusión de los pueblos indígenas en lo relativo al goce de los derechos derivados de la libertad de expresión.</w:t>
      </w:r>
      <w:r w:rsidR="00F30ACC" w:rsidRPr="006D531F">
        <w:rPr>
          <w:rFonts w:asciiTheme="majorHAnsi" w:hAnsiTheme="majorHAnsi"/>
          <w:sz w:val="20"/>
          <w:szCs w:val="20"/>
          <w:lang w:val="es-MX"/>
        </w:rPr>
        <w:t xml:space="preserve"> </w:t>
      </w:r>
      <w:r>
        <w:rPr>
          <w:rFonts w:asciiTheme="majorHAnsi" w:hAnsiTheme="majorHAnsi"/>
          <w:sz w:val="20"/>
          <w:szCs w:val="20"/>
          <w:lang w:val="es-MX"/>
        </w:rPr>
        <w:t>En efecto,</w:t>
      </w:r>
      <w:r w:rsidR="00F30ACC" w:rsidRPr="006D531F">
        <w:rPr>
          <w:rFonts w:asciiTheme="majorHAnsi" w:hAnsiTheme="majorHAnsi"/>
          <w:sz w:val="20"/>
          <w:szCs w:val="20"/>
          <w:lang w:val="es-MX"/>
        </w:rPr>
        <w:t xml:space="preserve"> los altos niveles de concentración en la propiedad y control de la radio y televisión </w:t>
      </w:r>
      <w:r>
        <w:rPr>
          <w:rFonts w:asciiTheme="majorHAnsi" w:hAnsiTheme="majorHAnsi"/>
          <w:sz w:val="20"/>
          <w:szCs w:val="20"/>
          <w:lang w:val="es-MX"/>
        </w:rPr>
        <w:t>--</w:t>
      </w:r>
      <w:r w:rsidR="00F30ACC" w:rsidRPr="006D531F">
        <w:rPr>
          <w:rFonts w:asciiTheme="majorHAnsi" w:hAnsiTheme="majorHAnsi"/>
          <w:sz w:val="20"/>
          <w:szCs w:val="20"/>
          <w:lang w:val="es-MX"/>
        </w:rPr>
        <w:t>abierta y por abonados</w:t>
      </w:r>
      <w:r>
        <w:rPr>
          <w:rFonts w:asciiTheme="majorHAnsi" w:hAnsiTheme="majorHAnsi"/>
          <w:sz w:val="20"/>
          <w:szCs w:val="20"/>
          <w:lang w:val="es-MX"/>
        </w:rPr>
        <w:t>-- en un grupo reducido de empresas de comunicación</w:t>
      </w:r>
      <w:r w:rsidR="00F30ACC" w:rsidRPr="006D531F">
        <w:rPr>
          <w:rFonts w:asciiTheme="majorHAnsi" w:hAnsiTheme="majorHAnsi"/>
          <w:sz w:val="20"/>
          <w:szCs w:val="20"/>
          <w:lang w:val="es-MX"/>
        </w:rPr>
        <w:t xml:space="preserve">, </w:t>
      </w:r>
      <w:r>
        <w:rPr>
          <w:rFonts w:asciiTheme="majorHAnsi" w:hAnsiTheme="majorHAnsi"/>
          <w:sz w:val="20"/>
          <w:szCs w:val="20"/>
          <w:lang w:val="es-MX"/>
        </w:rPr>
        <w:t>es un elemento que se suma a los</w:t>
      </w:r>
      <w:r w:rsidR="00F30ACC" w:rsidRPr="006D531F">
        <w:rPr>
          <w:rFonts w:asciiTheme="majorHAnsi" w:hAnsiTheme="majorHAnsi"/>
          <w:sz w:val="20"/>
          <w:szCs w:val="20"/>
          <w:lang w:val="es-MX"/>
        </w:rPr>
        <w:t xml:space="preserve"> serios obstáculos para el acceso de los medios comunitarios de los pueblos indígenas al espectro radioeléctrico y a recursos públicos para lograr su sustentabilidad</w:t>
      </w:r>
      <w:r w:rsidR="00F30ACC" w:rsidRPr="006D531F">
        <w:rPr>
          <w:rStyle w:val="FootnoteReference"/>
          <w:rFonts w:asciiTheme="majorHAnsi" w:hAnsiTheme="majorHAnsi"/>
          <w:sz w:val="20"/>
          <w:szCs w:val="20"/>
          <w:lang w:val="es-MX"/>
        </w:rPr>
        <w:footnoteReference w:id="9"/>
      </w:r>
      <w:r w:rsidR="00F30ACC" w:rsidRPr="006D531F">
        <w:rPr>
          <w:rFonts w:asciiTheme="majorHAnsi" w:hAnsiTheme="majorHAnsi"/>
          <w:sz w:val="20"/>
          <w:szCs w:val="20"/>
          <w:lang w:val="es-MX"/>
        </w:rPr>
        <w:t>.</w:t>
      </w:r>
      <w:r w:rsidR="00E93BE9" w:rsidRPr="006D531F">
        <w:rPr>
          <w:rFonts w:asciiTheme="majorHAnsi" w:hAnsiTheme="majorHAnsi"/>
          <w:sz w:val="20"/>
          <w:szCs w:val="20"/>
          <w:lang w:val="es-MX"/>
        </w:rPr>
        <w:t xml:space="preserve"> </w:t>
      </w:r>
    </w:p>
    <w:p w14:paraId="7CB4D380" w14:textId="77777777" w:rsidR="00C211FC" w:rsidRPr="00C211FC" w:rsidRDefault="00C211FC" w:rsidP="00C211F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PE"/>
        </w:rPr>
      </w:pPr>
    </w:p>
    <w:p w14:paraId="4022CBD0" w14:textId="77777777" w:rsidR="00E7132F" w:rsidRPr="006D531F" w:rsidRDefault="00C211FC" w:rsidP="00CC41E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PE"/>
        </w:rPr>
      </w:pPr>
      <w:r>
        <w:rPr>
          <w:rFonts w:asciiTheme="majorHAnsi" w:hAnsiTheme="majorHAnsi"/>
          <w:sz w:val="20"/>
          <w:szCs w:val="20"/>
          <w:lang w:val="es-MX"/>
        </w:rPr>
        <w:t>En ese sentido, l</w:t>
      </w:r>
      <w:r w:rsidR="00F60C22">
        <w:rPr>
          <w:rFonts w:asciiTheme="majorHAnsi" w:hAnsiTheme="majorHAnsi"/>
          <w:sz w:val="20"/>
          <w:szCs w:val="20"/>
          <w:lang w:val="es-MX"/>
        </w:rPr>
        <w:t>a</w:t>
      </w:r>
      <w:r w:rsidR="00E7132F" w:rsidRPr="006D531F">
        <w:rPr>
          <w:rFonts w:asciiTheme="majorHAnsi" w:hAnsiTheme="majorHAnsi"/>
          <w:sz w:val="20"/>
          <w:szCs w:val="20"/>
          <w:lang w:val="es-PE"/>
        </w:rPr>
        <w:t xml:space="preserve"> CIDH</w:t>
      </w:r>
      <w:r w:rsidR="00F60C22">
        <w:rPr>
          <w:rFonts w:asciiTheme="majorHAnsi" w:hAnsiTheme="majorHAnsi"/>
          <w:sz w:val="20"/>
          <w:szCs w:val="20"/>
          <w:lang w:val="es-PE"/>
        </w:rPr>
        <w:t xml:space="preserve"> y su Relatoría Especial para la Libertad de Expresión han constatado en diversos informes</w:t>
      </w:r>
      <w:r w:rsidR="00E7132F" w:rsidRPr="006D531F">
        <w:rPr>
          <w:rFonts w:asciiTheme="majorHAnsi" w:hAnsiTheme="majorHAnsi"/>
          <w:sz w:val="20"/>
          <w:szCs w:val="20"/>
          <w:lang w:val="es-PE"/>
        </w:rPr>
        <w:t xml:space="preserve"> que </w:t>
      </w:r>
      <w:r>
        <w:rPr>
          <w:rFonts w:asciiTheme="majorHAnsi" w:hAnsiTheme="majorHAnsi"/>
          <w:sz w:val="20"/>
          <w:szCs w:val="20"/>
          <w:lang w:val="es-PE"/>
        </w:rPr>
        <w:t>Guatemala</w:t>
      </w:r>
      <w:r w:rsidR="00E7132F" w:rsidRPr="006D531F">
        <w:rPr>
          <w:rFonts w:asciiTheme="majorHAnsi" w:hAnsiTheme="majorHAnsi"/>
          <w:sz w:val="20"/>
          <w:szCs w:val="20"/>
          <w:lang w:val="es-PE"/>
        </w:rPr>
        <w:t xml:space="preserve"> no registra avances en relación con los excesivos niveles de concentración en la propiedad y control de medios audiovisuales</w:t>
      </w:r>
      <w:r w:rsidR="000C0BE6" w:rsidRPr="006D531F">
        <w:rPr>
          <w:rFonts w:asciiTheme="majorHAnsi" w:hAnsiTheme="majorHAnsi"/>
          <w:sz w:val="20"/>
          <w:szCs w:val="20"/>
          <w:lang w:val="es-PE"/>
        </w:rPr>
        <w:t>, ya que</w:t>
      </w:r>
      <w:r w:rsidR="00D233C9" w:rsidRPr="006D531F">
        <w:rPr>
          <w:rFonts w:asciiTheme="majorHAnsi" w:hAnsiTheme="majorHAnsi"/>
          <w:sz w:val="20"/>
          <w:szCs w:val="20"/>
          <w:lang w:val="es-PE"/>
        </w:rPr>
        <w:t xml:space="preserve"> la</w:t>
      </w:r>
      <w:r w:rsidR="008C62A0" w:rsidRPr="006D531F">
        <w:rPr>
          <w:rFonts w:asciiTheme="majorHAnsi" w:hAnsiTheme="majorHAnsi"/>
          <w:sz w:val="20"/>
          <w:szCs w:val="20"/>
          <w:lang w:val="es-PE"/>
        </w:rPr>
        <w:t xml:space="preserve"> titularidad de varias frecuencias de radio </w:t>
      </w:r>
      <w:r w:rsidR="00F60C22">
        <w:rPr>
          <w:rFonts w:asciiTheme="majorHAnsi" w:hAnsiTheme="majorHAnsi"/>
          <w:sz w:val="20"/>
          <w:szCs w:val="20"/>
          <w:lang w:val="es-PE"/>
        </w:rPr>
        <w:t>y el usufructo</w:t>
      </w:r>
      <w:r w:rsidR="00B93FCA" w:rsidRPr="006D531F">
        <w:rPr>
          <w:rFonts w:asciiTheme="majorHAnsi" w:hAnsiTheme="majorHAnsi"/>
          <w:sz w:val="20"/>
          <w:szCs w:val="20"/>
          <w:lang w:val="es-PE"/>
        </w:rPr>
        <w:t xml:space="preserve"> de los cuatro </w:t>
      </w:r>
      <w:r>
        <w:rPr>
          <w:rFonts w:asciiTheme="majorHAnsi" w:hAnsiTheme="majorHAnsi"/>
          <w:sz w:val="20"/>
          <w:szCs w:val="20"/>
          <w:lang w:val="es-PE"/>
        </w:rPr>
        <w:t xml:space="preserve">principales </w:t>
      </w:r>
      <w:r w:rsidR="00B93FCA" w:rsidRPr="006D531F">
        <w:rPr>
          <w:rFonts w:asciiTheme="majorHAnsi" w:hAnsiTheme="majorHAnsi"/>
          <w:sz w:val="20"/>
          <w:szCs w:val="20"/>
          <w:lang w:val="es-PE"/>
        </w:rPr>
        <w:t xml:space="preserve">canales privados de VHF que emiten en </w:t>
      </w:r>
      <w:r>
        <w:rPr>
          <w:rFonts w:asciiTheme="majorHAnsi" w:hAnsiTheme="majorHAnsi"/>
          <w:sz w:val="20"/>
          <w:szCs w:val="20"/>
          <w:lang w:val="es-PE"/>
        </w:rPr>
        <w:t>el país, recaen solo sobre una</w:t>
      </w:r>
      <w:r w:rsidR="00B93FCA" w:rsidRPr="006D531F">
        <w:rPr>
          <w:rFonts w:asciiTheme="majorHAnsi" w:hAnsiTheme="majorHAnsi"/>
          <w:sz w:val="20"/>
          <w:szCs w:val="20"/>
          <w:lang w:val="es-PE"/>
        </w:rPr>
        <w:t xml:space="preserve"> persona</w:t>
      </w:r>
      <w:r>
        <w:rPr>
          <w:rFonts w:asciiTheme="majorHAnsi" w:hAnsiTheme="majorHAnsi"/>
          <w:sz w:val="20"/>
          <w:szCs w:val="20"/>
          <w:lang w:val="es-PE"/>
        </w:rPr>
        <w:t xml:space="preserve"> que controla un grupo comunicacional de alcance nacional y regional</w:t>
      </w:r>
      <w:r w:rsidR="00660CF0" w:rsidRPr="006D531F">
        <w:rPr>
          <w:rStyle w:val="FootnoteReference"/>
          <w:rFonts w:asciiTheme="majorHAnsi" w:hAnsiTheme="majorHAnsi"/>
          <w:sz w:val="20"/>
          <w:szCs w:val="20"/>
          <w:lang w:val="es-PE"/>
        </w:rPr>
        <w:footnoteReference w:id="10"/>
      </w:r>
      <w:r w:rsidR="00E7132F" w:rsidRPr="006D531F">
        <w:rPr>
          <w:rFonts w:asciiTheme="majorHAnsi" w:hAnsiTheme="majorHAnsi"/>
          <w:sz w:val="20"/>
          <w:szCs w:val="20"/>
          <w:lang w:val="es-PE"/>
        </w:rPr>
        <w:t xml:space="preserve">. </w:t>
      </w:r>
    </w:p>
    <w:p w14:paraId="11F1BD36" w14:textId="77777777" w:rsidR="00E7132F" w:rsidRPr="006D531F" w:rsidRDefault="00E7132F" w:rsidP="000C5117">
      <w:pPr>
        <w:pStyle w:val="ListParagraph"/>
        <w:rPr>
          <w:rFonts w:asciiTheme="majorHAnsi" w:hAnsiTheme="majorHAnsi"/>
          <w:color w:val="auto"/>
          <w:sz w:val="20"/>
          <w:szCs w:val="20"/>
          <w:lang w:val="es-PE"/>
        </w:rPr>
      </w:pPr>
    </w:p>
    <w:p w14:paraId="01F48182" w14:textId="77777777" w:rsidR="00C83B0B" w:rsidRPr="006D531F" w:rsidRDefault="00B70121" w:rsidP="000D03E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PE"/>
        </w:rPr>
      </w:pPr>
      <w:r w:rsidRPr="006D531F">
        <w:rPr>
          <w:rFonts w:asciiTheme="majorHAnsi" w:hAnsiTheme="majorHAnsi"/>
          <w:sz w:val="20"/>
          <w:szCs w:val="20"/>
          <w:lang w:val="es-VE"/>
        </w:rPr>
        <w:t>Debido al</w:t>
      </w:r>
      <w:r w:rsidR="00F30ACC" w:rsidRPr="006D531F">
        <w:rPr>
          <w:rFonts w:asciiTheme="majorHAnsi" w:hAnsiTheme="majorHAnsi"/>
          <w:sz w:val="20"/>
          <w:szCs w:val="20"/>
          <w:lang w:val="es-VE"/>
        </w:rPr>
        <w:t xml:space="preserve"> </w:t>
      </w:r>
      <w:r w:rsidR="00F30ACC" w:rsidRPr="006D531F">
        <w:rPr>
          <w:rFonts w:asciiTheme="majorHAnsi" w:hAnsiTheme="majorHAnsi"/>
          <w:sz w:val="20"/>
          <w:szCs w:val="20"/>
          <w:lang w:val="es-MX"/>
        </w:rPr>
        <w:t>Acuerdo sobre Identidad y Derechos de los Pueblos Indígenas (AIDPI) firmado en 1995, a través del cual Guatemala se comprometió a otorgar a los pueblos indígenas acceso a la radio como medio de expresión</w:t>
      </w:r>
      <w:r w:rsidR="00691A69" w:rsidRPr="006D531F">
        <w:rPr>
          <w:rStyle w:val="FootnoteReference"/>
          <w:rFonts w:asciiTheme="majorHAnsi" w:hAnsiTheme="majorHAnsi"/>
          <w:sz w:val="20"/>
          <w:szCs w:val="20"/>
          <w:lang w:val="es-MX"/>
        </w:rPr>
        <w:footnoteReference w:id="11"/>
      </w:r>
      <w:r w:rsidR="00F30ACC" w:rsidRPr="006D531F">
        <w:rPr>
          <w:rFonts w:asciiTheme="majorHAnsi" w:hAnsiTheme="majorHAnsi"/>
          <w:sz w:val="20"/>
          <w:szCs w:val="20"/>
          <w:lang w:val="es-MX"/>
        </w:rPr>
        <w:t xml:space="preserve">, </w:t>
      </w:r>
      <w:r w:rsidR="008B69CD" w:rsidRPr="006D531F">
        <w:rPr>
          <w:rFonts w:asciiTheme="majorHAnsi" w:hAnsiTheme="majorHAnsi"/>
          <w:sz w:val="20"/>
          <w:szCs w:val="20"/>
          <w:lang w:val="es-MX"/>
        </w:rPr>
        <w:t xml:space="preserve">los peticionarios y otros actores sociales sumados a la causa </w:t>
      </w:r>
      <w:r w:rsidR="00F30ACC" w:rsidRPr="006D531F">
        <w:rPr>
          <w:rFonts w:asciiTheme="majorHAnsi" w:hAnsiTheme="majorHAnsi"/>
          <w:sz w:val="20"/>
          <w:szCs w:val="20"/>
          <w:lang w:val="es-MX"/>
        </w:rPr>
        <w:t>presenta</w:t>
      </w:r>
      <w:r w:rsidR="00D372E3">
        <w:rPr>
          <w:rFonts w:asciiTheme="majorHAnsi" w:hAnsiTheme="majorHAnsi"/>
          <w:sz w:val="20"/>
          <w:szCs w:val="20"/>
          <w:lang w:val="es-MX"/>
        </w:rPr>
        <w:t>ron</w:t>
      </w:r>
      <w:r w:rsidR="00677413" w:rsidRPr="006D531F">
        <w:rPr>
          <w:rFonts w:asciiTheme="majorHAnsi" w:hAnsiTheme="majorHAnsi"/>
          <w:sz w:val="20"/>
          <w:szCs w:val="20"/>
          <w:lang w:val="es-MX"/>
        </w:rPr>
        <w:t xml:space="preserve"> una serie de proyectos </w:t>
      </w:r>
      <w:r w:rsidR="00DE6416" w:rsidRPr="006D531F">
        <w:rPr>
          <w:rFonts w:asciiTheme="majorHAnsi" w:hAnsiTheme="majorHAnsi"/>
          <w:sz w:val="20"/>
          <w:szCs w:val="20"/>
          <w:lang w:val="es-MX"/>
        </w:rPr>
        <w:lastRenderedPageBreak/>
        <w:t>para modificar</w:t>
      </w:r>
      <w:r w:rsidR="00F30ACC" w:rsidRPr="006D531F">
        <w:rPr>
          <w:rFonts w:asciiTheme="majorHAnsi" w:hAnsiTheme="majorHAnsi"/>
          <w:sz w:val="20"/>
          <w:szCs w:val="20"/>
          <w:lang w:val="es-MX"/>
        </w:rPr>
        <w:t xml:space="preserve"> </w:t>
      </w:r>
      <w:r w:rsidR="00DE6416" w:rsidRPr="006D531F">
        <w:rPr>
          <w:rFonts w:asciiTheme="majorHAnsi" w:hAnsiTheme="majorHAnsi"/>
          <w:sz w:val="20"/>
          <w:szCs w:val="20"/>
          <w:lang w:val="es-MX"/>
        </w:rPr>
        <w:t xml:space="preserve">la </w:t>
      </w:r>
      <w:r w:rsidR="004671FB" w:rsidRPr="006D531F">
        <w:rPr>
          <w:rFonts w:asciiTheme="majorHAnsi" w:hAnsiTheme="majorHAnsi"/>
          <w:sz w:val="20"/>
          <w:szCs w:val="20"/>
          <w:lang w:val="es-VE"/>
        </w:rPr>
        <w:t>Ley General de Telecomunicaciones</w:t>
      </w:r>
      <w:r w:rsidR="00DE6416" w:rsidRPr="006D531F">
        <w:rPr>
          <w:rFonts w:asciiTheme="majorHAnsi" w:hAnsiTheme="majorHAnsi"/>
          <w:sz w:val="20"/>
          <w:szCs w:val="20"/>
          <w:lang w:val="es-VE"/>
        </w:rPr>
        <w:t>, sin</w:t>
      </w:r>
      <w:r w:rsidR="00B95223" w:rsidRPr="006D531F">
        <w:rPr>
          <w:rFonts w:asciiTheme="majorHAnsi" w:hAnsiTheme="majorHAnsi"/>
          <w:sz w:val="20"/>
          <w:szCs w:val="20"/>
          <w:lang w:val="es-VE"/>
        </w:rPr>
        <w:t xml:space="preserve"> </w:t>
      </w:r>
      <w:r w:rsidR="00DE6416" w:rsidRPr="006D531F">
        <w:rPr>
          <w:rFonts w:asciiTheme="majorHAnsi" w:hAnsiTheme="majorHAnsi"/>
          <w:sz w:val="20"/>
          <w:szCs w:val="20"/>
          <w:lang w:val="es-VE"/>
        </w:rPr>
        <w:t>ning</w:t>
      </w:r>
      <w:r w:rsidR="00210FFD" w:rsidRPr="006D531F">
        <w:rPr>
          <w:rFonts w:asciiTheme="majorHAnsi" w:hAnsiTheme="majorHAnsi"/>
          <w:sz w:val="20"/>
          <w:szCs w:val="20"/>
          <w:lang w:val="es-VE"/>
        </w:rPr>
        <w:t>ún</w:t>
      </w:r>
      <w:r w:rsidR="00DE6416" w:rsidRPr="006D531F">
        <w:rPr>
          <w:rFonts w:asciiTheme="majorHAnsi" w:hAnsiTheme="majorHAnsi"/>
          <w:sz w:val="20"/>
          <w:szCs w:val="20"/>
          <w:lang w:val="es-VE"/>
        </w:rPr>
        <w:t xml:space="preserve"> éxito.</w:t>
      </w:r>
      <w:r w:rsidR="007E4B42" w:rsidRPr="006D531F">
        <w:rPr>
          <w:rFonts w:asciiTheme="majorHAnsi" w:hAnsiTheme="majorHAnsi"/>
          <w:sz w:val="20"/>
          <w:szCs w:val="20"/>
          <w:lang w:val="es-VE"/>
        </w:rPr>
        <w:t xml:space="preserve"> </w:t>
      </w:r>
      <w:r w:rsidR="003C5716" w:rsidRPr="006D531F">
        <w:rPr>
          <w:rFonts w:asciiTheme="majorHAnsi" w:hAnsiTheme="majorHAnsi"/>
          <w:sz w:val="20"/>
          <w:szCs w:val="20"/>
          <w:lang w:val="es-MX"/>
        </w:rPr>
        <w:t xml:space="preserve">En efecto, la </w:t>
      </w:r>
      <w:r w:rsidR="003C5716" w:rsidRPr="006D531F">
        <w:rPr>
          <w:rFonts w:asciiTheme="majorHAnsi" w:hAnsiTheme="majorHAnsi"/>
          <w:sz w:val="20"/>
          <w:szCs w:val="20"/>
          <w:lang w:val="es-VE"/>
        </w:rPr>
        <w:t>Ley General de Telecomunicaciones</w:t>
      </w:r>
      <w:r w:rsidR="003C5716" w:rsidRPr="006D531F">
        <w:rPr>
          <w:rStyle w:val="FootnoteReference"/>
          <w:rFonts w:asciiTheme="majorHAnsi" w:hAnsiTheme="majorHAnsi"/>
          <w:sz w:val="20"/>
          <w:szCs w:val="20"/>
          <w:lang w:val="es-VE"/>
        </w:rPr>
        <w:footnoteReference w:id="12"/>
      </w:r>
      <w:r w:rsidR="003C5716" w:rsidRPr="006D531F">
        <w:rPr>
          <w:rFonts w:asciiTheme="majorHAnsi" w:hAnsiTheme="majorHAnsi"/>
          <w:sz w:val="20"/>
          <w:szCs w:val="20"/>
          <w:lang w:val="es-VE"/>
        </w:rPr>
        <w:t xml:space="preserve"> (</w:t>
      </w:r>
      <w:r w:rsidR="003C5716" w:rsidRPr="006D531F">
        <w:rPr>
          <w:rFonts w:asciiTheme="majorHAnsi" w:hAnsiTheme="majorHAnsi"/>
          <w:sz w:val="20"/>
          <w:szCs w:val="20"/>
          <w:lang w:val="es-MX"/>
        </w:rPr>
        <w:t xml:space="preserve">Decreto No.94-96) </w:t>
      </w:r>
      <w:r w:rsidR="00F30ACC" w:rsidRPr="006D531F">
        <w:rPr>
          <w:rFonts w:asciiTheme="majorHAnsi" w:hAnsiTheme="majorHAnsi"/>
          <w:sz w:val="20"/>
          <w:szCs w:val="20"/>
          <w:lang w:val="es-VE"/>
        </w:rPr>
        <w:t>no reconoce al sector de la radiodifusión comunitaria en su catálogo de bandas de frecuencia reservadas</w:t>
      </w:r>
      <w:r w:rsidR="00BE0550" w:rsidRPr="006D531F">
        <w:rPr>
          <w:rFonts w:asciiTheme="majorHAnsi" w:hAnsiTheme="majorHAnsi"/>
          <w:sz w:val="20"/>
          <w:szCs w:val="20"/>
          <w:lang w:val="es-VE"/>
        </w:rPr>
        <w:t>. La CIDH en sus diferentes informes de país sobre Guatemala</w:t>
      </w:r>
      <w:r w:rsidR="00EF40B5" w:rsidRPr="006D531F">
        <w:rPr>
          <w:rFonts w:asciiTheme="majorHAnsi" w:hAnsiTheme="majorHAnsi"/>
          <w:sz w:val="20"/>
          <w:szCs w:val="20"/>
          <w:lang w:val="es-VE"/>
        </w:rPr>
        <w:t xml:space="preserve"> ha re</w:t>
      </w:r>
      <w:r w:rsidR="00DA6310" w:rsidRPr="006D531F">
        <w:rPr>
          <w:rFonts w:asciiTheme="majorHAnsi" w:hAnsiTheme="majorHAnsi"/>
          <w:sz w:val="20"/>
          <w:szCs w:val="20"/>
          <w:lang w:val="es-VE"/>
        </w:rPr>
        <w:t xml:space="preserve">iterado la falta de avances </w:t>
      </w:r>
      <w:r w:rsidR="00A22557">
        <w:rPr>
          <w:rFonts w:asciiTheme="majorHAnsi" w:hAnsiTheme="majorHAnsi"/>
          <w:sz w:val="20"/>
          <w:szCs w:val="20"/>
          <w:lang w:val="es-VE"/>
        </w:rPr>
        <w:t xml:space="preserve">respecto de </w:t>
      </w:r>
      <w:r w:rsidR="007F4350">
        <w:rPr>
          <w:rFonts w:asciiTheme="majorHAnsi" w:hAnsiTheme="majorHAnsi"/>
          <w:sz w:val="20"/>
          <w:szCs w:val="20"/>
          <w:lang w:val="es-VE"/>
        </w:rPr>
        <w:t xml:space="preserve">la </w:t>
      </w:r>
      <w:r w:rsidR="000D03E3" w:rsidRPr="006D531F">
        <w:rPr>
          <w:rFonts w:asciiTheme="majorHAnsi" w:hAnsiTheme="majorHAnsi"/>
          <w:sz w:val="20"/>
          <w:szCs w:val="20"/>
          <w:lang w:val="es-VE"/>
        </w:rPr>
        <w:t>obligación</w:t>
      </w:r>
      <w:r w:rsidR="005F3FD8">
        <w:rPr>
          <w:rFonts w:asciiTheme="majorHAnsi" w:hAnsiTheme="majorHAnsi"/>
          <w:sz w:val="20"/>
          <w:szCs w:val="20"/>
          <w:lang w:val="es-VE"/>
        </w:rPr>
        <w:t>,</w:t>
      </w:r>
      <w:r w:rsidR="000D03E3" w:rsidRPr="006D531F">
        <w:rPr>
          <w:rFonts w:asciiTheme="majorHAnsi" w:hAnsiTheme="majorHAnsi"/>
          <w:sz w:val="20"/>
          <w:szCs w:val="20"/>
          <w:lang w:val="es-VE"/>
        </w:rPr>
        <w:t xml:space="preserve"> asumida </w:t>
      </w:r>
      <w:r w:rsidR="007F4350" w:rsidRPr="006D531F">
        <w:rPr>
          <w:rFonts w:asciiTheme="majorHAnsi" w:hAnsiTheme="majorHAnsi"/>
          <w:sz w:val="20"/>
          <w:szCs w:val="20"/>
          <w:lang w:val="es-PE"/>
        </w:rPr>
        <w:t xml:space="preserve">por el Estado </w:t>
      </w:r>
      <w:r w:rsidR="00C83B0B" w:rsidRPr="006D531F">
        <w:rPr>
          <w:rFonts w:asciiTheme="majorHAnsi" w:hAnsiTheme="majorHAnsi"/>
          <w:sz w:val="20"/>
          <w:szCs w:val="20"/>
          <w:lang w:val="es-PE"/>
        </w:rPr>
        <w:t>en múltiples oportunidades</w:t>
      </w:r>
      <w:r w:rsidR="005F3FD8">
        <w:rPr>
          <w:rFonts w:asciiTheme="majorHAnsi" w:hAnsiTheme="majorHAnsi"/>
          <w:sz w:val="20"/>
          <w:szCs w:val="20"/>
          <w:lang w:val="es-PE"/>
        </w:rPr>
        <w:t xml:space="preserve">, </w:t>
      </w:r>
      <w:r w:rsidR="0018072D">
        <w:rPr>
          <w:rFonts w:asciiTheme="majorHAnsi" w:hAnsiTheme="majorHAnsi"/>
          <w:sz w:val="20"/>
          <w:szCs w:val="20"/>
          <w:lang w:val="es-PE"/>
        </w:rPr>
        <w:t xml:space="preserve">de </w:t>
      </w:r>
      <w:r w:rsidR="00C83B0B" w:rsidRPr="006D531F">
        <w:rPr>
          <w:rFonts w:asciiTheme="majorHAnsi" w:hAnsiTheme="majorHAnsi"/>
          <w:sz w:val="20"/>
          <w:szCs w:val="20"/>
          <w:lang w:val="es-PE"/>
        </w:rPr>
        <w:t xml:space="preserve">reconocer legalmente al sector de la radiodifusión comunitaria e implementar la asignación efectiva de autorizaciones para utilizar frecuencias por parte de este sector. Asimismo, </w:t>
      </w:r>
      <w:r w:rsidR="00721F99">
        <w:rPr>
          <w:rFonts w:asciiTheme="majorHAnsi" w:hAnsiTheme="majorHAnsi"/>
          <w:sz w:val="20"/>
          <w:szCs w:val="20"/>
          <w:lang w:val="es-PE"/>
        </w:rPr>
        <w:t>la CIDH ha constatado</w:t>
      </w:r>
      <w:r w:rsidR="00C83B0B" w:rsidRPr="006D531F">
        <w:rPr>
          <w:rFonts w:asciiTheme="majorHAnsi" w:hAnsiTheme="majorHAnsi"/>
          <w:sz w:val="20"/>
          <w:szCs w:val="20"/>
          <w:lang w:val="es-PE"/>
        </w:rPr>
        <w:t xml:space="preserve"> que</w:t>
      </w:r>
      <w:r w:rsidR="00C211FC">
        <w:rPr>
          <w:rFonts w:asciiTheme="majorHAnsi" w:hAnsiTheme="majorHAnsi"/>
          <w:sz w:val="20"/>
          <w:szCs w:val="20"/>
          <w:lang w:val="es-PE"/>
        </w:rPr>
        <w:t>,</w:t>
      </w:r>
      <w:r w:rsidR="00C83B0B" w:rsidRPr="006D531F">
        <w:rPr>
          <w:rFonts w:asciiTheme="majorHAnsi" w:hAnsiTheme="majorHAnsi"/>
          <w:sz w:val="20"/>
          <w:szCs w:val="20"/>
          <w:lang w:val="es-PE"/>
        </w:rPr>
        <w:t xml:space="preserve"> mientras no exist</w:t>
      </w:r>
      <w:r w:rsidR="004B7789">
        <w:rPr>
          <w:rFonts w:asciiTheme="majorHAnsi" w:hAnsiTheme="majorHAnsi"/>
          <w:sz w:val="20"/>
          <w:szCs w:val="20"/>
          <w:lang w:val="es-PE"/>
        </w:rPr>
        <w:t>a</w:t>
      </w:r>
      <w:r w:rsidR="00C83B0B" w:rsidRPr="006D531F">
        <w:rPr>
          <w:rFonts w:asciiTheme="majorHAnsi" w:hAnsiTheme="majorHAnsi"/>
          <w:sz w:val="20"/>
          <w:szCs w:val="20"/>
          <w:lang w:val="es-PE"/>
        </w:rPr>
        <w:t xml:space="preserve"> en el país un marco normativo de políticas para hacer efectiva la incorporación de los pueblos indígenas a la radiodifusión, la persecución de las denominadas radios “ilegales”</w:t>
      </w:r>
      <w:r w:rsidR="007D1553">
        <w:rPr>
          <w:rFonts w:asciiTheme="majorHAnsi" w:hAnsiTheme="majorHAnsi"/>
          <w:sz w:val="20"/>
          <w:szCs w:val="20"/>
          <w:lang w:val="es-PE"/>
        </w:rPr>
        <w:t xml:space="preserve"> continuará</w:t>
      </w:r>
      <w:r w:rsidR="00C83B0B" w:rsidRPr="006D531F">
        <w:rPr>
          <w:rFonts w:asciiTheme="majorHAnsi" w:hAnsiTheme="majorHAnsi"/>
          <w:sz w:val="20"/>
          <w:szCs w:val="20"/>
          <w:lang w:val="es-PE"/>
        </w:rPr>
        <w:t xml:space="preserve">, </w:t>
      </w:r>
      <w:r w:rsidR="00CE2C4E">
        <w:rPr>
          <w:rFonts w:asciiTheme="majorHAnsi" w:hAnsiTheme="majorHAnsi"/>
          <w:sz w:val="20"/>
          <w:szCs w:val="20"/>
          <w:lang w:val="es-PE"/>
        </w:rPr>
        <w:t xml:space="preserve">a pesar de </w:t>
      </w:r>
      <w:r w:rsidR="00D64422">
        <w:rPr>
          <w:rFonts w:asciiTheme="majorHAnsi" w:hAnsiTheme="majorHAnsi"/>
          <w:sz w:val="20"/>
          <w:szCs w:val="20"/>
          <w:lang w:val="es-PE"/>
        </w:rPr>
        <w:t xml:space="preserve">se </w:t>
      </w:r>
      <w:r w:rsidR="00C83B0B" w:rsidRPr="006D531F">
        <w:rPr>
          <w:rFonts w:asciiTheme="majorHAnsi" w:hAnsiTheme="majorHAnsi"/>
          <w:sz w:val="20"/>
          <w:szCs w:val="20"/>
          <w:lang w:val="es-PE"/>
        </w:rPr>
        <w:t>trat</w:t>
      </w:r>
      <w:r w:rsidR="00D64422">
        <w:rPr>
          <w:rFonts w:asciiTheme="majorHAnsi" w:hAnsiTheme="majorHAnsi"/>
          <w:sz w:val="20"/>
          <w:szCs w:val="20"/>
          <w:lang w:val="es-PE"/>
        </w:rPr>
        <w:t>e</w:t>
      </w:r>
      <w:r w:rsidR="00C83B0B" w:rsidRPr="006D531F">
        <w:rPr>
          <w:rFonts w:asciiTheme="majorHAnsi" w:hAnsiTheme="majorHAnsi"/>
          <w:sz w:val="20"/>
          <w:szCs w:val="20"/>
          <w:lang w:val="es-PE"/>
        </w:rPr>
        <w:t xml:space="preserve"> de emisoras que prestan un servicio a las comunidades. Aunque en algunos casos la persecución se habría dirigido a radios comerciales no autorizadas, en otros también incluyó a emisoras de comunidades indígenas que mantienen al aire pequeñas radios, pese a los obstáculos para acceder a frecuencias</w:t>
      </w:r>
      <w:r w:rsidR="009A6985" w:rsidRPr="006D531F">
        <w:rPr>
          <w:rStyle w:val="FootnoteReference"/>
          <w:rFonts w:asciiTheme="majorHAnsi" w:hAnsiTheme="majorHAnsi"/>
          <w:sz w:val="20"/>
          <w:szCs w:val="20"/>
          <w:lang w:val="es-PE"/>
        </w:rPr>
        <w:footnoteReference w:id="13"/>
      </w:r>
      <w:r w:rsidR="00C83B0B" w:rsidRPr="006D531F">
        <w:rPr>
          <w:rFonts w:asciiTheme="majorHAnsi" w:hAnsiTheme="majorHAnsi"/>
          <w:sz w:val="20"/>
          <w:szCs w:val="20"/>
          <w:lang w:val="es-PE"/>
        </w:rPr>
        <w:t>.</w:t>
      </w:r>
    </w:p>
    <w:p w14:paraId="1C19173E" w14:textId="77777777" w:rsidR="000C5117" w:rsidRPr="006D531F" w:rsidRDefault="000C5117" w:rsidP="000C5117">
      <w:pPr>
        <w:pStyle w:val="ListParagraph"/>
        <w:rPr>
          <w:rFonts w:asciiTheme="majorHAnsi" w:hAnsiTheme="majorHAnsi"/>
          <w:color w:val="auto"/>
          <w:sz w:val="20"/>
          <w:szCs w:val="20"/>
          <w:lang w:val="es-PE"/>
        </w:rPr>
      </w:pPr>
    </w:p>
    <w:p w14:paraId="099D7627" w14:textId="77777777" w:rsidR="008B40CC" w:rsidRPr="00431065" w:rsidRDefault="000C5117" w:rsidP="0025005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PE"/>
        </w:rPr>
      </w:pPr>
      <w:r w:rsidRPr="006D531F">
        <w:rPr>
          <w:rFonts w:asciiTheme="majorHAnsi" w:hAnsiTheme="majorHAnsi"/>
          <w:sz w:val="20"/>
          <w:szCs w:val="20"/>
          <w:lang w:val="es-ES_tradnl"/>
        </w:rPr>
        <w:t>En relación con</w:t>
      </w:r>
      <w:r w:rsidR="00F30ACC" w:rsidRPr="006D531F">
        <w:rPr>
          <w:rFonts w:asciiTheme="majorHAnsi" w:hAnsiTheme="majorHAnsi"/>
          <w:sz w:val="20"/>
          <w:szCs w:val="20"/>
          <w:lang w:val="es-ES_tradnl"/>
        </w:rPr>
        <w:t xml:space="preserve"> esta situación, numerosas radios comunitarias se han organizado durante las últimas décadas para brindar sus servicios a la población indígena guatemalteca, promoviendo valores para la convivencia social, la preservación del idioma y la cultura, el fortalecimiento a la participación e</w:t>
      </w:r>
      <w:r w:rsidR="00034DA1">
        <w:rPr>
          <w:rFonts w:asciiTheme="majorHAnsi" w:hAnsiTheme="majorHAnsi"/>
          <w:sz w:val="20"/>
          <w:szCs w:val="20"/>
          <w:lang w:val="es-ES_tradnl"/>
        </w:rPr>
        <w:t>n</w:t>
      </w:r>
      <w:r w:rsidR="00F30ACC" w:rsidRPr="006D531F">
        <w:rPr>
          <w:rFonts w:asciiTheme="majorHAnsi" w:hAnsiTheme="majorHAnsi"/>
          <w:sz w:val="20"/>
          <w:szCs w:val="20"/>
          <w:lang w:val="es-ES_tradnl"/>
        </w:rPr>
        <w:t xml:space="preserve"> la vida democrática y el combate a la discriminación, así como </w:t>
      </w:r>
      <w:r w:rsidR="0068024F">
        <w:rPr>
          <w:rFonts w:asciiTheme="majorHAnsi" w:hAnsiTheme="majorHAnsi"/>
          <w:sz w:val="20"/>
          <w:szCs w:val="20"/>
          <w:lang w:val="es-ES_tradnl"/>
        </w:rPr>
        <w:t xml:space="preserve">promoviendo </w:t>
      </w:r>
      <w:r w:rsidR="00F30ACC" w:rsidRPr="006D531F">
        <w:rPr>
          <w:rFonts w:asciiTheme="majorHAnsi" w:hAnsiTheme="majorHAnsi"/>
          <w:sz w:val="20"/>
          <w:szCs w:val="20"/>
          <w:lang w:val="es-ES_tradnl"/>
        </w:rPr>
        <w:t xml:space="preserve">el fomento </w:t>
      </w:r>
      <w:r w:rsidR="00DA15C6">
        <w:rPr>
          <w:rFonts w:asciiTheme="majorHAnsi" w:hAnsiTheme="majorHAnsi"/>
          <w:sz w:val="20"/>
          <w:szCs w:val="20"/>
          <w:lang w:val="es-ES_tradnl"/>
        </w:rPr>
        <w:t>de</w:t>
      </w:r>
      <w:r w:rsidR="00F30ACC" w:rsidRPr="006D531F">
        <w:rPr>
          <w:rFonts w:asciiTheme="majorHAnsi" w:hAnsiTheme="majorHAnsi"/>
          <w:sz w:val="20"/>
          <w:szCs w:val="20"/>
          <w:lang w:val="es-ES_tradnl"/>
        </w:rPr>
        <w:t xml:space="preserve">l ejercicio de la libertad de expresión y el derecho a la información. </w:t>
      </w:r>
      <w:r w:rsidR="00F30ACC" w:rsidRPr="006D531F">
        <w:rPr>
          <w:rFonts w:asciiTheme="majorHAnsi" w:hAnsiTheme="majorHAnsi"/>
          <w:sz w:val="20"/>
          <w:szCs w:val="20"/>
          <w:lang w:val="es-MX"/>
        </w:rPr>
        <w:t>Por lo general, las radios comunitarias</w:t>
      </w:r>
      <w:r w:rsidR="008B40CC">
        <w:rPr>
          <w:rFonts w:asciiTheme="majorHAnsi" w:hAnsiTheme="majorHAnsi"/>
          <w:sz w:val="20"/>
          <w:szCs w:val="20"/>
          <w:lang w:val="es-MX"/>
        </w:rPr>
        <w:t xml:space="preserve"> indígenas se ven forzadas a actuar sin autorizaci</w:t>
      </w:r>
      <w:r w:rsidR="002F153B">
        <w:rPr>
          <w:rFonts w:asciiTheme="majorHAnsi" w:hAnsiTheme="majorHAnsi"/>
          <w:vanish/>
          <w:sz w:val="20"/>
          <w:szCs w:val="20"/>
          <w:lang w:val="es-ES_tradnl"/>
        </w:rPr>
        <w:t xml:space="preserve"> fueo que﷽lacidades,tos estatales mencionados up supra??libertad de expresi</w:t>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2F153B">
        <w:rPr>
          <w:rFonts w:asciiTheme="majorHAnsi" w:hAnsiTheme="majorHAnsi"/>
          <w:vanish/>
          <w:sz w:val="20"/>
          <w:szCs w:val="20"/>
          <w:lang w:val="es-ES_tradnl"/>
        </w:rPr>
        <w:pgNum/>
      </w:r>
      <w:r w:rsidR="008B40CC">
        <w:rPr>
          <w:rFonts w:asciiTheme="majorHAnsi" w:hAnsiTheme="majorHAnsi"/>
          <w:sz w:val="20"/>
          <w:szCs w:val="20"/>
          <w:lang w:val="es-MX"/>
        </w:rPr>
        <w:t>ón o licencia --por l</w:t>
      </w:r>
      <w:r w:rsidR="00CD4AF4">
        <w:rPr>
          <w:rFonts w:asciiTheme="majorHAnsi" w:hAnsiTheme="majorHAnsi"/>
          <w:sz w:val="20"/>
          <w:szCs w:val="20"/>
          <w:lang w:val="es-MX"/>
        </w:rPr>
        <w:t>o</w:t>
      </w:r>
      <w:r w:rsidR="008B40CC">
        <w:rPr>
          <w:rFonts w:asciiTheme="majorHAnsi" w:hAnsiTheme="majorHAnsi"/>
          <w:sz w:val="20"/>
          <w:szCs w:val="20"/>
          <w:lang w:val="es-MX"/>
        </w:rPr>
        <w:t xml:space="preserve">s impedimentos estatales mencionados </w:t>
      </w:r>
      <w:r w:rsidR="008B40CC" w:rsidRPr="00431065">
        <w:rPr>
          <w:rFonts w:asciiTheme="majorHAnsi" w:hAnsiTheme="majorHAnsi"/>
          <w:i/>
          <w:iCs/>
          <w:sz w:val="20"/>
          <w:szCs w:val="20"/>
          <w:lang w:val="es-MX"/>
        </w:rPr>
        <w:t>u</w:t>
      </w:r>
      <w:r w:rsidR="00CD4AF4" w:rsidRPr="00431065">
        <w:rPr>
          <w:rFonts w:asciiTheme="majorHAnsi" w:hAnsiTheme="majorHAnsi"/>
          <w:i/>
          <w:iCs/>
          <w:sz w:val="20"/>
          <w:szCs w:val="20"/>
          <w:lang w:val="es-MX"/>
        </w:rPr>
        <w:t>t</w:t>
      </w:r>
      <w:r w:rsidR="008B40CC" w:rsidRPr="00431065">
        <w:rPr>
          <w:rFonts w:asciiTheme="majorHAnsi" w:hAnsiTheme="majorHAnsi"/>
          <w:i/>
          <w:iCs/>
          <w:sz w:val="20"/>
          <w:szCs w:val="20"/>
          <w:lang w:val="es-MX"/>
        </w:rPr>
        <w:t xml:space="preserve"> supra</w:t>
      </w:r>
      <w:r w:rsidR="008B40CC">
        <w:rPr>
          <w:rFonts w:asciiTheme="majorHAnsi" w:hAnsiTheme="majorHAnsi"/>
          <w:sz w:val="20"/>
          <w:szCs w:val="20"/>
          <w:lang w:val="es-MX"/>
        </w:rPr>
        <w:t>--</w:t>
      </w:r>
      <w:r w:rsidR="008B40CC">
        <w:rPr>
          <w:rFonts w:asciiTheme="majorHAnsi" w:hAnsiTheme="majorHAnsi"/>
          <w:sz w:val="20"/>
          <w:szCs w:val="20"/>
          <w:lang w:val="es-PE"/>
        </w:rPr>
        <w:t>,</w:t>
      </w:r>
      <w:r w:rsidR="00F30ACC" w:rsidRPr="008B40CC">
        <w:rPr>
          <w:rFonts w:asciiTheme="majorHAnsi" w:hAnsiTheme="majorHAnsi"/>
          <w:sz w:val="20"/>
          <w:szCs w:val="20"/>
          <w:lang w:val="es-MX"/>
        </w:rPr>
        <w:t xml:space="preserve"> </w:t>
      </w:r>
      <w:r w:rsidR="007018E4">
        <w:rPr>
          <w:rFonts w:asciiTheme="majorHAnsi" w:hAnsiTheme="majorHAnsi"/>
          <w:sz w:val="20"/>
          <w:szCs w:val="20"/>
          <w:lang w:val="es-MX"/>
        </w:rPr>
        <w:t xml:space="preserve">y </w:t>
      </w:r>
      <w:r w:rsidR="00F30ACC" w:rsidRPr="008B40CC">
        <w:rPr>
          <w:rFonts w:asciiTheme="majorHAnsi" w:hAnsiTheme="majorHAnsi"/>
          <w:sz w:val="20"/>
          <w:szCs w:val="20"/>
          <w:lang w:val="es-MX"/>
        </w:rPr>
        <w:t>son sostenidas operativa y financieramente por los mismos miembros de los pueblos a los que sirven</w:t>
      </w:r>
      <w:r w:rsidR="008628C4">
        <w:rPr>
          <w:rFonts w:asciiTheme="majorHAnsi" w:hAnsiTheme="majorHAnsi"/>
          <w:sz w:val="20"/>
          <w:szCs w:val="20"/>
          <w:lang w:val="es-MX"/>
        </w:rPr>
        <w:t>,</w:t>
      </w:r>
      <w:r w:rsidR="00F30ACC" w:rsidRPr="008B40CC">
        <w:rPr>
          <w:rFonts w:asciiTheme="majorHAnsi" w:hAnsiTheme="majorHAnsi"/>
          <w:sz w:val="20"/>
          <w:szCs w:val="20"/>
          <w:lang w:val="es-MX"/>
        </w:rPr>
        <w:t xml:space="preserve"> quienes, </w:t>
      </w:r>
      <w:r w:rsidR="001F507E">
        <w:rPr>
          <w:rFonts w:asciiTheme="majorHAnsi" w:hAnsiTheme="majorHAnsi"/>
          <w:sz w:val="20"/>
          <w:szCs w:val="20"/>
          <w:lang w:val="es-MX"/>
        </w:rPr>
        <w:t xml:space="preserve">aportan </w:t>
      </w:r>
      <w:r w:rsidR="00F3030A" w:rsidRPr="008B40CC">
        <w:rPr>
          <w:rFonts w:asciiTheme="majorHAnsi" w:hAnsiTheme="majorHAnsi"/>
          <w:sz w:val="20"/>
          <w:szCs w:val="20"/>
          <w:lang w:val="es-MX"/>
        </w:rPr>
        <w:t xml:space="preserve">a los costos de ejecución </w:t>
      </w:r>
      <w:r w:rsidR="00F30ACC" w:rsidRPr="008B40CC">
        <w:rPr>
          <w:rFonts w:asciiTheme="majorHAnsi" w:hAnsiTheme="majorHAnsi"/>
          <w:sz w:val="20"/>
          <w:szCs w:val="20"/>
          <w:lang w:val="es-MX"/>
        </w:rPr>
        <w:t xml:space="preserve">a través de contribuciones y </w:t>
      </w:r>
      <w:r w:rsidR="00DA2CD0" w:rsidRPr="008B40CC">
        <w:rPr>
          <w:rFonts w:asciiTheme="majorHAnsi" w:hAnsiTheme="majorHAnsi"/>
          <w:sz w:val="20"/>
          <w:szCs w:val="20"/>
          <w:lang w:val="es-MX"/>
        </w:rPr>
        <w:t>trabajo voluntario</w:t>
      </w:r>
      <w:r w:rsidR="00F30ACC" w:rsidRPr="006D531F">
        <w:rPr>
          <w:rStyle w:val="FootnoteReference"/>
          <w:rFonts w:asciiTheme="majorHAnsi" w:hAnsiTheme="majorHAnsi"/>
          <w:sz w:val="20"/>
          <w:szCs w:val="20"/>
          <w:lang w:val="es-MX"/>
        </w:rPr>
        <w:footnoteReference w:id="14"/>
      </w:r>
      <w:r w:rsidR="00F30ACC" w:rsidRPr="008B40CC">
        <w:rPr>
          <w:rFonts w:asciiTheme="majorHAnsi" w:hAnsiTheme="majorHAnsi"/>
          <w:sz w:val="20"/>
          <w:szCs w:val="20"/>
          <w:lang w:val="es-MX"/>
        </w:rPr>
        <w:t>.</w:t>
      </w:r>
      <w:r w:rsidR="00F30ACC" w:rsidRPr="008B40CC">
        <w:rPr>
          <w:rFonts w:asciiTheme="majorHAnsi" w:hAnsiTheme="majorHAnsi"/>
          <w:sz w:val="20"/>
          <w:szCs w:val="20"/>
          <w:lang w:val="es-VE"/>
        </w:rPr>
        <w:t xml:space="preserve"> </w:t>
      </w:r>
      <w:r w:rsidR="00F30ACC" w:rsidRPr="008B40CC">
        <w:rPr>
          <w:rFonts w:asciiTheme="majorHAnsi" w:hAnsiTheme="majorHAnsi"/>
          <w:sz w:val="20"/>
          <w:szCs w:val="20"/>
          <w:lang w:val="es-MX"/>
        </w:rPr>
        <w:t xml:space="preserve">Ejemplo de ello son </w:t>
      </w:r>
      <w:r w:rsidR="008B40CC">
        <w:rPr>
          <w:rFonts w:asciiTheme="majorHAnsi" w:hAnsiTheme="majorHAnsi"/>
          <w:sz w:val="20"/>
          <w:szCs w:val="20"/>
          <w:lang w:val="es-MX"/>
        </w:rPr>
        <w:t>las emisoras d</w:t>
      </w:r>
      <w:r w:rsidR="00F30ACC" w:rsidRPr="008B40CC">
        <w:rPr>
          <w:rFonts w:asciiTheme="majorHAnsi" w:hAnsiTheme="majorHAnsi"/>
          <w:sz w:val="20"/>
          <w:szCs w:val="20"/>
          <w:lang w:val="es-MX"/>
        </w:rPr>
        <w:t xml:space="preserve">el pueblo Kaqchikel Maya de Sumpango, en Sacatepéquez, donde opera la radio comunitaria Radio Ixchel; el pueblo Maya Achí de San Miguel Chicaj, en Baja Verapaz, que </w:t>
      </w:r>
      <w:r w:rsidR="008B40CC">
        <w:rPr>
          <w:rFonts w:asciiTheme="majorHAnsi" w:hAnsiTheme="majorHAnsi"/>
          <w:sz w:val="20"/>
          <w:szCs w:val="20"/>
          <w:lang w:val="es-MX"/>
        </w:rPr>
        <w:t>cuenta con</w:t>
      </w:r>
      <w:r w:rsidR="00F30ACC" w:rsidRPr="008B40CC">
        <w:rPr>
          <w:rFonts w:asciiTheme="majorHAnsi" w:hAnsiTheme="majorHAnsi"/>
          <w:sz w:val="20"/>
          <w:szCs w:val="20"/>
          <w:lang w:val="es-MX"/>
        </w:rPr>
        <w:t xml:space="preserve"> la emisora comunitaria Uqul Tinamil “La Voz del Pueblo”; el pueblo Maya Mam de Cajolá, en Quetzaltenango, que opera la radio comunitaria X Musical, y el pueblo Maya de Todos Santos de Cuchumatán, en Huehutenango, encargado de la radio Qman Txum</w:t>
      </w:r>
      <w:r w:rsidR="00F30ACC" w:rsidRPr="006D531F">
        <w:rPr>
          <w:rStyle w:val="FootnoteReference"/>
          <w:rFonts w:asciiTheme="majorHAnsi" w:hAnsiTheme="majorHAnsi"/>
          <w:sz w:val="20"/>
          <w:szCs w:val="20"/>
          <w:lang w:val="es-MX"/>
        </w:rPr>
        <w:footnoteReference w:id="15"/>
      </w:r>
      <w:r w:rsidR="00F30ACC" w:rsidRPr="008B40CC">
        <w:rPr>
          <w:rFonts w:asciiTheme="majorHAnsi" w:hAnsiTheme="majorHAnsi"/>
          <w:sz w:val="20"/>
          <w:szCs w:val="20"/>
          <w:lang w:val="es-MX"/>
        </w:rPr>
        <w:t>.</w:t>
      </w:r>
    </w:p>
    <w:p w14:paraId="78CA6B5D" w14:textId="77777777" w:rsidR="000F3781" w:rsidRPr="00431065" w:rsidRDefault="000F3781" w:rsidP="00431065">
      <w:pPr>
        <w:jc w:val="both"/>
        <w:rPr>
          <w:rFonts w:asciiTheme="majorHAnsi" w:hAnsiTheme="majorHAnsi"/>
          <w:sz w:val="20"/>
          <w:szCs w:val="20"/>
          <w:lang w:val="es-PE"/>
        </w:rPr>
      </w:pPr>
    </w:p>
    <w:p w14:paraId="0885CDA4" w14:textId="77777777" w:rsidR="000F3781" w:rsidRPr="006D531F" w:rsidRDefault="000F3781" w:rsidP="00431065">
      <w:pPr>
        <w:pStyle w:val="Heading2"/>
        <w:ind w:left="0" w:firstLine="0"/>
        <w:rPr>
          <w:rFonts w:asciiTheme="majorHAnsi" w:hAnsiTheme="majorHAnsi"/>
        </w:rPr>
      </w:pPr>
      <w:bookmarkStart w:id="18" w:name="_Toc28418775"/>
      <w:r w:rsidRPr="006D531F">
        <w:rPr>
          <w:rFonts w:asciiTheme="majorHAnsi" w:hAnsiTheme="majorHAnsi"/>
        </w:rPr>
        <w:t>Marco normativo relevante</w:t>
      </w:r>
      <w:bookmarkEnd w:id="18"/>
    </w:p>
    <w:p w14:paraId="102ED3FD" w14:textId="77777777" w:rsidR="000F3781" w:rsidRPr="006D531F" w:rsidRDefault="000F3781" w:rsidP="00250058">
      <w:pPr>
        <w:pStyle w:val="Heading2"/>
        <w:numPr>
          <w:ilvl w:val="0"/>
          <w:numId w:val="0"/>
        </w:numPr>
        <w:rPr>
          <w:rFonts w:asciiTheme="majorHAnsi" w:hAnsiTheme="majorHAnsi"/>
        </w:rPr>
      </w:pPr>
    </w:p>
    <w:p w14:paraId="6F87485B" w14:textId="77777777" w:rsidR="000F3781" w:rsidRPr="006D531F" w:rsidRDefault="000F3781" w:rsidP="0025005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PE"/>
        </w:rPr>
      </w:pPr>
      <w:r w:rsidRPr="006D531F">
        <w:rPr>
          <w:rFonts w:asciiTheme="majorHAnsi" w:hAnsiTheme="majorHAnsi"/>
          <w:sz w:val="20"/>
          <w:szCs w:val="20"/>
          <w:lang w:val="es-MX"/>
        </w:rPr>
        <w:t>La</w:t>
      </w:r>
      <w:r w:rsidRPr="006D531F">
        <w:rPr>
          <w:rFonts w:asciiTheme="majorHAnsi" w:hAnsiTheme="majorHAnsi"/>
          <w:sz w:val="20"/>
          <w:szCs w:val="20"/>
          <w:lang w:val="es-ES_tradnl"/>
        </w:rPr>
        <w:t xml:space="preserve"> Ley General de Telecomunicaciones de Guatemala, Decreto No. 94-96, establece </w:t>
      </w:r>
      <w:r w:rsidR="00943571">
        <w:rPr>
          <w:rFonts w:asciiTheme="majorHAnsi" w:hAnsiTheme="majorHAnsi"/>
          <w:sz w:val="20"/>
          <w:szCs w:val="20"/>
          <w:lang w:val="es-ES_tradnl"/>
        </w:rPr>
        <w:t>“un</w:t>
      </w:r>
      <w:r w:rsidRPr="006D531F">
        <w:rPr>
          <w:rFonts w:asciiTheme="majorHAnsi" w:hAnsiTheme="majorHAnsi"/>
          <w:sz w:val="20"/>
          <w:szCs w:val="20"/>
          <w:lang w:val="es-ES_tradnl"/>
        </w:rPr>
        <w:t xml:space="preserve"> marco </w:t>
      </w:r>
      <w:r w:rsidR="00943571">
        <w:rPr>
          <w:rFonts w:asciiTheme="majorHAnsi" w:hAnsiTheme="majorHAnsi"/>
          <w:sz w:val="20"/>
          <w:szCs w:val="20"/>
          <w:lang w:val="es-ES_tradnl"/>
        </w:rPr>
        <w:t xml:space="preserve">legal </w:t>
      </w:r>
      <w:r w:rsidR="009762AD">
        <w:rPr>
          <w:rFonts w:asciiTheme="majorHAnsi" w:hAnsiTheme="majorHAnsi"/>
          <w:sz w:val="20"/>
          <w:szCs w:val="20"/>
          <w:lang w:val="es-ES_tradnl"/>
        </w:rPr>
        <w:t xml:space="preserve">para desarrollar actividades </w:t>
      </w:r>
      <w:r w:rsidRPr="006D531F">
        <w:rPr>
          <w:rFonts w:asciiTheme="majorHAnsi" w:hAnsiTheme="majorHAnsi"/>
          <w:sz w:val="20"/>
          <w:szCs w:val="20"/>
          <w:lang w:val="es-ES_tradnl"/>
        </w:rPr>
        <w:t>de telecomunicaciones y norma</w:t>
      </w:r>
      <w:r w:rsidR="00C25E5B">
        <w:rPr>
          <w:rFonts w:asciiTheme="majorHAnsi" w:hAnsiTheme="majorHAnsi"/>
          <w:sz w:val="20"/>
          <w:szCs w:val="20"/>
          <w:lang w:val="es-ES_tradnl"/>
        </w:rPr>
        <w:t>r</w:t>
      </w:r>
      <w:r w:rsidRPr="006D531F">
        <w:rPr>
          <w:rFonts w:asciiTheme="majorHAnsi" w:hAnsiTheme="majorHAnsi"/>
          <w:sz w:val="20"/>
          <w:szCs w:val="20"/>
          <w:lang w:val="es-ES_tradnl"/>
        </w:rPr>
        <w:t xml:space="preserve"> </w:t>
      </w:r>
      <w:r w:rsidR="00C25E5B">
        <w:rPr>
          <w:rFonts w:asciiTheme="majorHAnsi" w:hAnsiTheme="majorHAnsi"/>
          <w:sz w:val="20"/>
          <w:szCs w:val="20"/>
          <w:lang w:val="es-ES_tradnl"/>
        </w:rPr>
        <w:t>el</w:t>
      </w:r>
      <w:r w:rsidRPr="006D531F">
        <w:rPr>
          <w:rFonts w:asciiTheme="majorHAnsi" w:hAnsiTheme="majorHAnsi"/>
          <w:sz w:val="20"/>
          <w:szCs w:val="20"/>
          <w:lang w:val="es-ES_tradnl"/>
        </w:rPr>
        <w:t xml:space="preserve"> aprovechamiento y </w:t>
      </w:r>
      <w:r w:rsidR="00B820AC">
        <w:rPr>
          <w:rFonts w:asciiTheme="majorHAnsi" w:hAnsiTheme="majorHAnsi"/>
          <w:sz w:val="20"/>
          <w:szCs w:val="20"/>
          <w:lang w:val="es-ES_tradnl"/>
        </w:rPr>
        <w:t xml:space="preserve">la </w:t>
      </w:r>
      <w:r w:rsidRPr="006D531F">
        <w:rPr>
          <w:rFonts w:asciiTheme="majorHAnsi" w:hAnsiTheme="majorHAnsi"/>
          <w:sz w:val="20"/>
          <w:szCs w:val="20"/>
          <w:lang w:val="es-ES_tradnl"/>
        </w:rPr>
        <w:t>explotación del espectro radioeléctrico</w:t>
      </w:r>
      <w:r w:rsidR="00B820AC">
        <w:rPr>
          <w:rFonts w:asciiTheme="majorHAnsi" w:hAnsiTheme="majorHAnsi"/>
          <w:sz w:val="20"/>
          <w:szCs w:val="20"/>
          <w:lang w:val="es-ES_tradnl"/>
        </w:rPr>
        <w:t xml:space="preserve">, con la finalidad de apoyar </w:t>
      </w:r>
      <w:r w:rsidR="00BB52E7">
        <w:rPr>
          <w:rFonts w:asciiTheme="majorHAnsi" w:hAnsiTheme="majorHAnsi"/>
          <w:sz w:val="20"/>
          <w:szCs w:val="20"/>
          <w:lang w:val="es-ES_tradnl"/>
        </w:rPr>
        <w:t>y promover</w:t>
      </w:r>
      <w:r w:rsidR="00445DEB">
        <w:rPr>
          <w:rFonts w:asciiTheme="majorHAnsi" w:hAnsiTheme="majorHAnsi"/>
          <w:sz w:val="20"/>
          <w:szCs w:val="20"/>
          <w:lang w:val="es-ES_tradnl"/>
        </w:rPr>
        <w:t xml:space="preserve"> el desarrollo eficiente de las telecomunicaciones, estimular las inversiones en el sector</w:t>
      </w:r>
      <w:r w:rsidR="000A6CCE">
        <w:rPr>
          <w:rFonts w:asciiTheme="majorHAnsi" w:hAnsiTheme="majorHAnsi"/>
          <w:sz w:val="20"/>
          <w:szCs w:val="20"/>
          <w:lang w:val="es-ES_tradnl"/>
        </w:rPr>
        <w:t>, fomentar la competencia entre los diferentes prestadores de servicios de telecomunicaciones</w:t>
      </w:r>
      <w:r w:rsidR="00552955">
        <w:rPr>
          <w:rFonts w:asciiTheme="majorHAnsi" w:hAnsiTheme="majorHAnsi"/>
          <w:sz w:val="20"/>
          <w:szCs w:val="20"/>
          <w:lang w:val="es-ES_tradnl"/>
        </w:rPr>
        <w:t>, proteger los derechos de los usuarios y de las empresas proveedoras de servicios</w:t>
      </w:r>
      <w:r w:rsidR="00AA253C">
        <w:rPr>
          <w:rFonts w:asciiTheme="majorHAnsi" w:hAnsiTheme="majorHAnsi"/>
          <w:sz w:val="20"/>
          <w:szCs w:val="20"/>
          <w:lang w:val="es-ES_tradnl"/>
        </w:rPr>
        <w:t xml:space="preserve"> de telecomunicacione</w:t>
      </w:r>
      <w:r w:rsidR="00D65CBF">
        <w:rPr>
          <w:rFonts w:asciiTheme="majorHAnsi" w:hAnsiTheme="majorHAnsi"/>
          <w:sz w:val="20"/>
          <w:szCs w:val="20"/>
          <w:lang w:val="es-ES_tradnl"/>
        </w:rPr>
        <w:t>s, y apoyar el uso racional y eficiente del espectro radioeléctrico</w:t>
      </w:r>
      <w:r w:rsidR="007E0F32">
        <w:rPr>
          <w:rFonts w:asciiTheme="majorHAnsi" w:hAnsiTheme="majorHAnsi"/>
          <w:sz w:val="20"/>
          <w:szCs w:val="20"/>
          <w:lang w:val="es-ES_tradnl"/>
        </w:rPr>
        <w:t>”</w:t>
      </w:r>
      <w:r w:rsidR="0018684D" w:rsidRPr="0018684D">
        <w:rPr>
          <w:rStyle w:val="FootnoteReference"/>
          <w:rFonts w:asciiTheme="majorHAnsi" w:hAnsiTheme="majorHAnsi"/>
          <w:sz w:val="20"/>
          <w:szCs w:val="20"/>
          <w:lang w:val="es-ES_tradnl"/>
        </w:rPr>
        <w:t xml:space="preserve"> </w:t>
      </w:r>
      <w:r w:rsidR="0018684D" w:rsidRPr="006D531F">
        <w:rPr>
          <w:rStyle w:val="FootnoteReference"/>
          <w:rFonts w:asciiTheme="majorHAnsi" w:hAnsiTheme="majorHAnsi"/>
          <w:sz w:val="20"/>
          <w:szCs w:val="20"/>
          <w:lang w:val="es-ES_tradnl"/>
        </w:rPr>
        <w:footnoteReference w:id="16"/>
      </w:r>
      <w:r w:rsidR="00C8083E">
        <w:rPr>
          <w:rFonts w:asciiTheme="majorHAnsi" w:hAnsiTheme="majorHAnsi"/>
          <w:sz w:val="20"/>
          <w:szCs w:val="20"/>
          <w:lang w:val="es-ES_tradnl"/>
        </w:rPr>
        <w:t>.</w:t>
      </w:r>
      <w:r w:rsidR="00425007">
        <w:rPr>
          <w:rFonts w:asciiTheme="majorHAnsi" w:hAnsiTheme="majorHAnsi"/>
          <w:sz w:val="20"/>
          <w:szCs w:val="20"/>
          <w:lang w:val="es-ES_tradnl"/>
        </w:rPr>
        <w:t xml:space="preserve"> Asimismo, regula el procedimiento para adj</w:t>
      </w:r>
      <w:r w:rsidR="00197E6F">
        <w:rPr>
          <w:rFonts w:asciiTheme="majorHAnsi" w:hAnsiTheme="majorHAnsi"/>
          <w:sz w:val="20"/>
          <w:szCs w:val="20"/>
          <w:lang w:val="es-ES_tradnl"/>
        </w:rPr>
        <w:t xml:space="preserve">udicación </w:t>
      </w:r>
      <w:r w:rsidRPr="006D531F">
        <w:rPr>
          <w:rFonts w:asciiTheme="majorHAnsi" w:hAnsiTheme="majorHAnsi"/>
          <w:sz w:val="20"/>
          <w:szCs w:val="20"/>
          <w:lang w:val="es-ES_tradnl"/>
        </w:rPr>
        <w:t>de frecuencias de radio en Guatemala. Dicha norma no contiene un apartado específico relativo a radios comunitarias</w:t>
      </w:r>
      <w:r w:rsidRPr="006D531F">
        <w:rPr>
          <w:rStyle w:val="FootnoteReference"/>
          <w:rFonts w:asciiTheme="majorHAnsi" w:hAnsiTheme="majorHAnsi"/>
          <w:sz w:val="20"/>
          <w:szCs w:val="20"/>
          <w:lang w:val="es-ES_tradnl"/>
        </w:rPr>
        <w:footnoteReference w:id="17"/>
      </w:r>
      <w:r w:rsidRPr="006D531F">
        <w:rPr>
          <w:rFonts w:asciiTheme="majorHAnsi" w:hAnsiTheme="majorHAnsi"/>
          <w:sz w:val="20"/>
          <w:szCs w:val="20"/>
          <w:lang w:val="es-ES_tradnl"/>
        </w:rPr>
        <w:t xml:space="preserve">. Guatemala tampoco cuenta con una norma especial que regule la materia. </w:t>
      </w:r>
    </w:p>
    <w:p w14:paraId="33EFB4C9" w14:textId="77777777" w:rsidR="000F3781" w:rsidRPr="006D531F" w:rsidRDefault="000F3781" w:rsidP="002500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PE"/>
        </w:rPr>
      </w:pPr>
    </w:p>
    <w:p w14:paraId="0DF741E3" w14:textId="77777777" w:rsidR="000F3781" w:rsidRPr="006D531F" w:rsidRDefault="000F3781" w:rsidP="0025005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PE"/>
        </w:rPr>
      </w:pPr>
      <w:r w:rsidRPr="006D531F">
        <w:rPr>
          <w:rFonts w:asciiTheme="majorHAnsi" w:hAnsiTheme="majorHAnsi"/>
          <w:sz w:val="20"/>
          <w:szCs w:val="20"/>
          <w:lang w:val="es-ES_tradnl"/>
        </w:rPr>
        <w:t xml:space="preserve">El </w:t>
      </w:r>
      <w:r>
        <w:rPr>
          <w:rFonts w:asciiTheme="majorHAnsi" w:hAnsiTheme="majorHAnsi"/>
          <w:sz w:val="20"/>
          <w:szCs w:val="20"/>
          <w:lang w:val="es-ES_tradnl"/>
        </w:rPr>
        <w:t>a</w:t>
      </w:r>
      <w:r w:rsidRPr="006D531F">
        <w:rPr>
          <w:rFonts w:asciiTheme="majorHAnsi" w:hAnsiTheme="majorHAnsi"/>
          <w:sz w:val="20"/>
          <w:szCs w:val="20"/>
          <w:lang w:val="es-ES_tradnl"/>
        </w:rPr>
        <w:t xml:space="preserve">rtículo 61 de la LGT establece el procedimiento respecto al concurso público para la adjudicación de frecuencias. Dicho artículo establece que </w:t>
      </w:r>
      <w:r w:rsidRPr="00D03252">
        <w:rPr>
          <w:rFonts w:asciiTheme="majorHAnsi" w:hAnsiTheme="majorHAnsi"/>
          <w:sz w:val="20"/>
          <w:szCs w:val="20"/>
          <w:lang w:val="es-ES_tradnl"/>
        </w:rPr>
        <w:t>“</w:t>
      </w:r>
      <w:r w:rsidRPr="00431065">
        <w:rPr>
          <w:rFonts w:asciiTheme="majorHAnsi" w:hAnsiTheme="majorHAnsi"/>
          <w:sz w:val="20"/>
          <w:szCs w:val="20"/>
          <w:lang w:val="es-ES_tradnl"/>
        </w:rPr>
        <w:t>para la adjudicación de títulos de usufructo de frecuencias, cualquier persona interesada, individual o jurídica, nacional o extranjera, o cualquier entidad estatal, presentará ante la Superintendencia una solicitud detallando en ella las bandas de frecuencias y las características indicadas en la literal a) del artículo 57</w:t>
      </w:r>
      <w:r w:rsidRPr="00D03252">
        <w:rPr>
          <w:rFonts w:asciiTheme="majorHAnsi" w:hAnsiTheme="majorHAnsi"/>
          <w:sz w:val="20"/>
          <w:szCs w:val="20"/>
          <w:lang w:val="es-ES_tradnl"/>
        </w:rPr>
        <w:t>”</w:t>
      </w:r>
      <w:r w:rsidR="0015161F">
        <w:rPr>
          <w:rFonts w:asciiTheme="majorHAnsi" w:hAnsiTheme="majorHAnsi"/>
          <w:sz w:val="20"/>
          <w:szCs w:val="20"/>
          <w:lang w:val="es-ES_tradnl"/>
        </w:rPr>
        <w:t>.</w:t>
      </w:r>
      <w:r w:rsidRPr="006D531F">
        <w:rPr>
          <w:rFonts w:asciiTheme="majorHAnsi" w:hAnsiTheme="majorHAnsi"/>
          <w:sz w:val="20"/>
          <w:szCs w:val="20"/>
          <w:lang w:val="es-ES_tradnl"/>
        </w:rPr>
        <w:t xml:space="preserve"> La misma enumeración contiene el proceso a seguir en </w:t>
      </w:r>
      <w:r w:rsidRPr="006D531F">
        <w:rPr>
          <w:rFonts w:asciiTheme="majorHAnsi" w:hAnsiTheme="majorHAnsi"/>
          <w:sz w:val="20"/>
          <w:szCs w:val="20"/>
          <w:lang w:val="es-ES_tradnl"/>
        </w:rPr>
        <w:lastRenderedPageBreak/>
        <w:t xml:space="preserve">caso de inconformidad </w:t>
      </w:r>
      <w:r w:rsidR="002232B6">
        <w:rPr>
          <w:rFonts w:asciiTheme="majorHAnsi" w:hAnsiTheme="majorHAnsi"/>
          <w:sz w:val="20"/>
          <w:szCs w:val="20"/>
          <w:lang w:val="es-ES_tradnl"/>
        </w:rPr>
        <w:t>con e</w:t>
      </w:r>
      <w:r w:rsidRPr="006D531F">
        <w:rPr>
          <w:rFonts w:asciiTheme="majorHAnsi" w:hAnsiTheme="majorHAnsi"/>
          <w:sz w:val="20"/>
          <w:szCs w:val="20"/>
          <w:lang w:val="es-ES_tradnl"/>
        </w:rPr>
        <w:t>l otorgamiento</w:t>
      </w:r>
      <w:r w:rsidR="002232B6" w:rsidRPr="002232B6">
        <w:rPr>
          <w:rFonts w:asciiTheme="majorHAnsi" w:hAnsiTheme="majorHAnsi"/>
          <w:sz w:val="20"/>
          <w:szCs w:val="20"/>
          <w:lang w:val="es-ES_tradnl"/>
        </w:rPr>
        <w:t xml:space="preserve"> </w:t>
      </w:r>
      <w:r w:rsidR="002232B6" w:rsidRPr="006D531F">
        <w:rPr>
          <w:rFonts w:asciiTheme="majorHAnsi" w:hAnsiTheme="majorHAnsi"/>
          <w:sz w:val="20"/>
          <w:szCs w:val="20"/>
          <w:lang w:val="es-ES_tradnl"/>
        </w:rPr>
        <w:t>del título de usufructo</w:t>
      </w:r>
      <w:r w:rsidRPr="006D531F">
        <w:rPr>
          <w:rFonts w:asciiTheme="majorHAnsi" w:hAnsiTheme="majorHAnsi"/>
          <w:sz w:val="20"/>
          <w:szCs w:val="20"/>
          <w:lang w:val="es-ES_tradnl"/>
        </w:rPr>
        <w:t xml:space="preserve">, mencionando que podrán oponerse </w:t>
      </w:r>
      <w:r w:rsidRPr="006845ED">
        <w:rPr>
          <w:rFonts w:asciiTheme="majorHAnsi" w:hAnsiTheme="majorHAnsi"/>
          <w:sz w:val="20"/>
          <w:szCs w:val="20"/>
          <w:lang w:val="es-ES_tradnl"/>
        </w:rPr>
        <w:t>“</w:t>
      </w:r>
      <w:r w:rsidRPr="00431065">
        <w:rPr>
          <w:rFonts w:asciiTheme="majorHAnsi" w:hAnsiTheme="majorHAnsi"/>
          <w:sz w:val="20"/>
          <w:szCs w:val="20"/>
          <w:lang w:val="es-ES_tradnl"/>
        </w:rPr>
        <w:t>aquellas personas individuales o jurídicas que tengas un interés fundado y legítimo, y que puedan resultar perjudicadas si el otorgamiento se realiza</w:t>
      </w:r>
      <w:r w:rsidRPr="006845ED">
        <w:rPr>
          <w:rFonts w:asciiTheme="majorHAnsi" w:hAnsiTheme="majorHAnsi"/>
          <w:sz w:val="20"/>
          <w:szCs w:val="20"/>
          <w:lang w:val="es-ES_tradnl"/>
        </w:rPr>
        <w:t>”</w:t>
      </w:r>
      <w:r w:rsidRPr="006D531F">
        <w:rPr>
          <w:rStyle w:val="FootnoteReference"/>
          <w:rFonts w:asciiTheme="majorHAnsi" w:hAnsiTheme="majorHAnsi"/>
          <w:sz w:val="20"/>
          <w:szCs w:val="20"/>
          <w:lang w:val="es-ES_tradnl"/>
        </w:rPr>
        <w:footnoteReference w:id="18"/>
      </w:r>
      <w:r w:rsidRPr="006D531F">
        <w:rPr>
          <w:rFonts w:asciiTheme="majorHAnsi" w:hAnsiTheme="majorHAnsi"/>
          <w:sz w:val="20"/>
          <w:szCs w:val="20"/>
          <w:lang w:val="es-ES_tradnl"/>
        </w:rPr>
        <w:t>.</w:t>
      </w:r>
    </w:p>
    <w:p w14:paraId="61A76426" w14:textId="77777777" w:rsidR="000F3781" w:rsidRPr="006D531F" w:rsidRDefault="000F3781" w:rsidP="002500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PE"/>
        </w:rPr>
      </w:pPr>
    </w:p>
    <w:p w14:paraId="6DB9F8F8" w14:textId="77777777" w:rsidR="000F3781" w:rsidRPr="006D531F" w:rsidRDefault="000F3781" w:rsidP="0025005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PE"/>
        </w:rPr>
      </w:pPr>
      <w:r w:rsidRPr="006D531F">
        <w:rPr>
          <w:rFonts w:asciiTheme="majorHAnsi" w:hAnsiTheme="majorHAnsi"/>
          <w:sz w:val="20"/>
          <w:szCs w:val="20"/>
          <w:lang w:val="es-ES_tradnl"/>
        </w:rPr>
        <w:t xml:space="preserve">El </w:t>
      </w:r>
      <w:r>
        <w:rPr>
          <w:rFonts w:asciiTheme="majorHAnsi" w:hAnsiTheme="majorHAnsi"/>
          <w:sz w:val="20"/>
          <w:szCs w:val="20"/>
          <w:lang w:val="es-ES_tradnl"/>
        </w:rPr>
        <w:t>a</w:t>
      </w:r>
      <w:r w:rsidRPr="006D531F">
        <w:rPr>
          <w:rFonts w:asciiTheme="majorHAnsi" w:hAnsiTheme="majorHAnsi"/>
          <w:sz w:val="20"/>
          <w:szCs w:val="20"/>
          <w:lang w:val="es-ES_tradnl"/>
        </w:rPr>
        <w:t xml:space="preserve">rtículo 62 de la LGT se refiere al proceso de subasta pública para el otorgamiento de título de usufructo sobre las bandas de frecuencia, e indica que: </w:t>
      </w:r>
      <w:r w:rsidRPr="006845ED">
        <w:rPr>
          <w:rFonts w:asciiTheme="majorHAnsi" w:hAnsiTheme="majorHAnsi"/>
          <w:sz w:val="20"/>
          <w:szCs w:val="20"/>
          <w:lang w:val="es-ES_tradnl"/>
        </w:rPr>
        <w:t>“</w:t>
      </w:r>
      <w:r w:rsidRPr="00431065">
        <w:rPr>
          <w:rFonts w:asciiTheme="majorHAnsi" w:hAnsiTheme="majorHAnsi"/>
          <w:sz w:val="20"/>
          <w:szCs w:val="20"/>
          <w:lang w:val="es-ES_tradnl"/>
        </w:rPr>
        <w:t>la banda de frecuencia se adjudicará a la persona que ofrezca el mayor precio</w:t>
      </w:r>
      <w:r w:rsidRPr="006845ED">
        <w:rPr>
          <w:rFonts w:asciiTheme="majorHAnsi" w:hAnsiTheme="majorHAnsi"/>
          <w:sz w:val="20"/>
          <w:szCs w:val="20"/>
          <w:lang w:val="es-ES_tradnl"/>
        </w:rPr>
        <w:t>”; además de establecer que: “</w:t>
      </w:r>
      <w:r w:rsidRPr="00431065">
        <w:rPr>
          <w:rFonts w:asciiTheme="majorHAnsi" w:hAnsiTheme="majorHAnsi"/>
          <w:sz w:val="20"/>
          <w:szCs w:val="20"/>
          <w:lang w:val="es-ES_tradnl"/>
        </w:rPr>
        <w:t>contra la adjudicación no habrá recurso administrativo ni judicial alguno, más que aquellos que se fundamenten en el hecho de que la frecuencia subastada no fue adjudicada al mejor postor</w:t>
      </w:r>
      <w:r w:rsidRPr="006845ED">
        <w:rPr>
          <w:rFonts w:asciiTheme="majorHAnsi" w:hAnsiTheme="majorHAnsi"/>
          <w:sz w:val="20"/>
          <w:szCs w:val="20"/>
          <w:lang w:val="es-ES_tradnl"/>
        </w:rPr>
        <w:t>”</w:t>
      </w:r>
      <w:r w:rsidRPr="006D531F">
        <w:rPr>
          <w:rStyle w:val="FootnoteReference"/>
          <w:rFonts w:asciiTheme="majorHAnsi" w:hAnsiTheme="majorHAnsi"/>
          <w:sz w:val="20"/>
          <w:szCs w:val="20"/>
          <w:lang w:val="es-ES_tradnl"/>
        </w:rPr>
        <w:footnoteReference w:id="19"/>
      </w:r>
      <w:r w:rsidRPr="006D531F">
        <w:rPr>
          <w:rFonts w:asciiTheme="majorHAnsi" w:hAnsiTheme="majorHAnsi"/>
          <w:sz w:val="20"/>
          <w:szCs w:val="20"/>
          <w:lang w:val="es-ES_tradnl"/>
        </w:rPr>
        <w:t>.</w:t>
      </w:r>
    </w:p>
    <w:p w14:paraId="129122E7" w14:textId="77777777" w:rsidR="000F3781" w:rsidRPr="006D531F" w:rsidRDefault="000F3781" w:rsidP="00431065">
      <w:pPr>
        <w:pStyle w:val="ListParagraph"/>
        <w:ind w:left="0"/>
        <w:jc w:val="both"/>
        <w:rPr>
          <w:rFonts w:asciiTheme="majorHAnsi" w:hAnsiTheme="majorHAnsi"/>
          <w:color w:val="auto"/>
          <w:sz w:val="20"/>
          <w:szCs w:val="20"/>
          <w:lang w:val="es-PE"/>
        </w:rPr>
      </w:pPr>
    </w:p>
    <w:p w14:paraId="64F4C578" w14:textId="77777777" w:rsidR="000F3781" w:rsidRPr="000F3781" w:rsidRDefault="000F3781" w:rsidP="0025005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PE"/>
        </w:rPr>
      </w:pPr>
      <w:r w:rsidRPr="006D531F">
        <w:rPr>
          <w:rFonts w:asciiTheme="majorHAnsi" w:hAnsiTheme="majorHAnsi"/>
          <w:sz w:val="20"/>
          <w:szCs w:val="20"/>
          <w:lang w:val="es-ES_tradnl"/>
        </w:rPr>
        <w:t xml:space="preserve">El delito de hurto, utilizado para perseguir penalmente a personas que utilicen el espectro sin la licencia correspondiente, se encuentra contemplado en el </w:t>
      </w:r>
      <w:r>
        <w:rPr>
          <w:rFonts w:asciiTheme="majorHAnsi" w:hAnsiTheme="majorHAnsi"/>
          <w:sz w:val="20"/>
          <w:szCs w:val="20"/>
          <w:lang w:val="es-ES_tradnl"/>
        </w:rPr>
        <w:t>a</w:t>
      </w:r>
      <w:r w:rsidRPr="006D531F">
        <w:rPr>
          <w:rFonts w:asciiTheme="majorHAnsi" w:hAnsiTheme="majorHAnsi"/>
          <w:sz w:val="20"/>
          <w:szCs w:val="20"/>
          <w:lang w:val="es-ES_tradnl"/>
        </w:rPr>
        <w:t xml:space="preserve">rtículo 246 del Código Penal de Guatemala, el que establece que </w:t>
      </w:r>
      <w:r w:rsidRPr="00E04B32">
        <w:rPr>
          <w:rFonts w:asciiTheme="majorHAnsi" w:hAnsiTheme="majorHAnsi"/>
          <w:sz w:val="20"/>
          <w:szCs w:val="20"/>
          <w:lang w:val="es-ES_tradnl"/>
        </w:rPr>
        <w:t>“</w:t>
      </w:r>
      <w:r w:rsidRPr="00431065">
        <w:rPr>
          <w:rFonts w:asciiTheme="majorHAnsi" w:hAnsiTheme="majorHAnsi"/>
          <w:sz w:val="20"/>
          <w:szCs w:val="20"/>
          <w:lang w:val="es-ES_tradnl"/>
        </w:rPr>
        <w:t>quien tomare, sin la debida autorización cosa, mueble, total o parcialmente ajena, será sancionado con prisión de 1 a 6 años</w:t>
      </w:r>
      <w:r w:rsidRPr="00E04B32">
        <w:rPr>
          <w:rFonts w:asciiTheme="majorHAnsi" w:hAnsiTheme="majorHAnsi"/>
          <w:sz w:val="20"/>
          <w:szCs w:val="20"/>
          <w:lang w:val="es-ES_tradnl"/>
        </w:rPr>
        <w:t>”</w:t>
      </w:r>
      <w:r w:rsidRPr="006D531F">
        <w:rPr>
          <w:rStyle w:val="FootnoteReference"/>
          <w:rFonts w:asciiTheme="majorHAnsi" w:hAnsiTheme="majorHAnsi"/>
          <w:sz w:val="20"/>
          <w:szCs w:val="20"/>
          <w:lang w:val="es-ES_tradnl"/>
        </w:rPr>
        <w:footnoteReference w:id="20"/>
      </w:r>
      <w:r w:rsidRPr="006D531F">
        <w:rPr>
          <w:rFonts w:asciiTheme="majorHAnsi" w:hAnsiTheme="majorHAnsi"/>
          <w:sz w:val="20"/>
          <w:szCs w:val="20"/>
          <w:lang w:val="es-ES_tradnl"/>
        </w:rPr>
        <w:t>.</w:t>
      </w:r>
    </w:p>
    <w:p w14:paraId="1D48665C" w14:textId="77777777" w:rsidR="00800EB8" w:rsidRPr="00800EB8" w:rsidRDefault="00800EB8" w:rsidP="0025005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PE"/>
        </w:rPr>
      </w:pPr>
    </w:p>
    <w:p w14:paraId="7D8BA21F" w14:textId="77777777" w:rsidR="00800EB8" w:rsidRPr="006D531F" w:rsidRDefault="00800EB8" w:rsidP="00431065">
      <w:pPr>
        <w:pStyle w:val="Heading2"/>
        <w:ind w:left="0" w:firstLine="0"/>
        <w:rPr>
          <w:rFonts w:asciiTheme="majorHAnsi" w:hAnsiTheme="majorHAnsi"/>
        </w:rPr>
      </w:pPr>
      <w:bookmarkStart w:id="19" w:name="_Toc28418776"/>
      <w:r w:rsidRPr="006D531F">
        <w:rPr>
          <w:rFonts w:asciiTheme="majorHAnsi" w:hAnsiTheme="majorHAnsi"/>
        </w:rPr>
        <w:t>Sobre los allanamientos a la Radio Ixchel y Radio Uqul Tinamit, “La Voz del Pueblo”</w:t>
      </w:r>
      <w:bookmarkEnd w:id="19"/>
      <w:r w:rsidRPr="006D531F">
        <w:rPr>
          <w:rFonts w:asciiTheme="majorHAnsi" w:hAnsiTheme="majorHAnsi"/>
        </w:rPr>
        <w:t xml:space="preserve"> </w:t>
      </w:r>
    </w:p>
    <w:p w14:paraId="70D78322" w14:textId="77777777" w:rsidR="00800EB8" w:rsidRPr="006D531F" w:rsidRDefault="00800EB8" w:rsidP="00250058">
      <w:pPr>
        <w:jc w:val="both"/>
        <w:rPr>
          <w:rFonts w:asciiTheme="majorHAnsi" w:hAnsiTheme="majorHAnsi"/>
          <w:sz w:val="20"/>
          <w:szCs w:val="20"/>
          <w:lang w:val="es-MX"/>
        </w:rPr>
      </w:pPr>
    </w:p>
    <w:p w14:paraId="16CEA391" w14:textId="77777777" w:rsidR="00726DFE" w:rsidRPr="00022EEA" w:rsidRDefault="00726DFE" w:rsidP="0025005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PE"/>
        </w:rPr>
      </w:pPr>
      <w:r>
        <w:rPr>
          <w:rFonts w:asciiTheme="majorHAnsi" w:hAnsiTheme="majorHAnsi"/>
          <w:sz w:val="20"/>
          <w:szCs w:val="20"/>
          <w:lang w:val="es-ES_tradnl"/>
        </w:rPr>
        <w:t>Los mencionados obstáculos normativos</w:t>
      </w:r>
      <w:r w:rsidRPr="006D531F">
        <w:rPr>
          <w:rFonts w:asciiTheme="majorHAnsi" w:hAnsiTheme="majorHAnsi"/>
          <w:sz w:val="20"/>
          <w:szCs w:val="20"/>
          <w:lang w:val="es-ES_tradnl"/>
        </w:rPr>
        <w:t xml:space="preserve"> ha</w:t>
      </w:r>
      <w:r>
        <w:rPr>
          <w:rFonts w:asciiTheme="majorHAnsi" w:hAnsiTheme="majorHAnsi"/>
          <w:sz w:val="20"/>
          <w:szCs w:val="20"/>
          <w:lang w:val="es-ES_tradnl"/>
        </w:rPr>
        <w:t>n</w:t>
      </w:r>
      <w:r w:rsidRPr="006D531F">
        <w:rPr>
          <w:rFonts w:asciiTheme="majorHAnsi" w:hAnsiTheme="majorHAnsi"/>
          <w:sz w:val="20"/>
          <w:szCs w:val="20"/>
          <w:lang w:val="es-ES_tradnl"/>
        </w:rPr>
        <w:t xml:space="preserve"> sido acompañado</w:t>
      </w:r>
      <w:r>
        <w:rPr>
          <w:rFonts w:asciiTheme="majorHAnsi" w:hAnsiTheme="majorHAnsi"/>
          <w:sz w:val="20"/>
          <w:szCs w:val="20"/>
          <w:lang w:val="es-ES_tradnl"/>
        </w:rPr>
        <w:t>s</w:t>
      </w:r>
      <w:r w:rsidRPr="006D531F">
        <w:rPr>
          <w:rFonts w:asciiTheme="majorHAnsi" w:hAnsiTheme="majorHAnsi"/>
          <w:sz w:val="20"/>
          <w:szCs w:val="20"/>
          <w:lang w:val="es-ES_tradnl"/>
        </w:rPr>
        <w:t xml:space="preserve"> de una serie de allanamientos a las instalaciones de radios comunitarias. Según información proporcionada por los peticionarios, de 2008 al 2015 se </w:t>
      </w:r>
      <w:r w:rsidR="007555BA">
        <w:rPr>
          <w:rFonts w:asciiTheme="majorHAnsi" w:hAnsiTheme="majorHAnsi"/>
          <w:sz w:val="20"/>
          <w:szCs w:val="20"/>
          <w:lang w:val="es-ES_tradnl"/>
        </w:rPr>
        <w:t>registraron</w:t>
      </w:r>
      <w:r w:rsidRPr="006D531F">
        <w:rPr>
          <w:rFonts w:asciiTheme="majorHAnsi" w:hAnsiTheme="majorHAnsi"/>
          <w:sz w:val="20"/>
          <w:szCs w:val="20"/>
          <w:lang w:val="es-ES_tradnl"/>
        </w:rPr>
        <w:t xml:space="preserve"> al menos 13 allanamientos </w:t>
      </w:r>
      <w:r w:rsidR="00EC3783">
        <w:rPr>
          <w:rFonts w:asciiTheme="majorHAnsi" w:hAnsiTheme="majorHAnsi"/>
          <w:sz w:val="20"/>
          <w:szCs w:val="20"/>
          <w:lang w:val="es-ES_tradnl"/>
        </w:rPr>
        <w:t>en perjuicio de 12</w:t>
      </w:r>
      <w:r w:rsidRPr="006D531F">
        <w:rPr>
          <w:rFonts w:asciiTheme="majorHAnsi" w:hAnsiTheme="majorHAnsi"/>
          <w:sz w:val="20"/>
          <w:szCs w:val="20"/>
          <w:lang w:val="es-ES_tradnl"/>
        </w:rPr>
        <w:t xml:space="preserve"> radios comunitarias</w:t>
      </w:r>
      <w:r w:rsidR="00713F27">
        <w:rPr>
          <w:rFonts w:asciiTheme="majorHAnsi" w:hAnsiTheme="majorHAnsi"/>
          <w:sz w:val="20"/>
          <w:szCs w:val="20"/>
          <w:lang w:val="es-ES_tradnl"/>
        </w:rPr>
        <w:t xml:space="preserve">, </w:t>
      </w:r>
      <w:r>
        <w:rPr>
          <w:rFonts w:asciiTheme="majorHAnsi" w:hAnsiTheme="majorHAnsi"/>
          <w:sz w:val="20"/>
          <w:szCs w:val="20"/>
          <w:lang w:val="es-ES_tradnl"/>
        </w:rPr>
        <w:t>con</w:t>
      </w:r>
      <w:r w:rsidRPr="006D531F">
        <w:rPr>
          <w:rFonts w:asciiTheme="majorHAnsi" w:hAnsiTheme="majorHAnsi"/>
          <w:sz w:val="20"/>
          <w:szCs w:val="20"/>
          <w:lang w:val="es-ES_tradnl"/>
        </w:rPr>
        <w:t xml:space="preserve"> resultados </w:t>
      </w:r>
      <w:r>
        <w:rPr>
          <w:rFonts w:asciiTheme="majorHAnsi" w:hAnsiTheme="majorHAnsi"/>
          <w:sz w:val="20"/>
          <w:szCs w:val="20"/>
          <w:lang w:val="es-ES_tradnl"/>
        </w:rPr>
        <w:t xml:space="preserve">que </w:t>
      </w:r>
      <w:r w:rsidRPr="006D531F">
        <w:rPr>
          <w:rFonts w:asciiTheme="majorHAnsi" w:hAnsiTheme="majorHAnsi"/>
          <w:sz w:val="20"/>
          <w:szCs w:val="20"/>
          <w:lang w:val="es-ES_tradnl"/>
        </w:rPr>
        <w:t>van desde el corte de la energía eléctrica, incautación de equipos hasta el arresto de empleados y voluntarios a causa de la interposición de acciones penales en su contra, a través de</w:t>
      </w:r>
      <w:r>
        <w:rPr>
          <w:rFonts w:asciiTheme="majorHAnsi" w:hAnsiTheme="majorHAnsi"/>
          <w:sz w:val="20"/>
          <w:szCs w:val="20"/>
          <w:lang w:val="es-ES_tradnl"/>
        </w:rPr>
        <w:t xml:space="preserve"> la </w:t>
      </w:r>
      <w:r w:rsidR="00155929">
        <w:rPr>
          <w:rFonts w:asciiTheme="majorHAnsi" w:hAnsiTheme="majorHAnsi"/>
          <w:sz w:val="20"/>
          <w:szCs w:val="20"/>
          <w:lang w:val="es-ES_tradnl"/>
        </w:rPr>
        <w:t xml:space="preserve">utilización </w:t>
      </w:r>
      <w:r>
        <w:rPr>
          <w:rFonts w:asciiTheme="majorHAnsi" w:hAnsiTheme="majorHAnsi"/>
          <w:sz w:val="20"/>
          <w:szCs w:val="20"/>
          <w:lang w:val="es-ES_tradnl"/>
        </w:rPr>
        <w:t>de</w:t>
      </w:r>
      <w:r w:rsidRPr="006D531F">
        <w:rPr>
          <w:rFonts w:asciiTheme="majorHAnsi" w:hAnsiTheme="majorHAnsi"/>
          <w:sz w:val="20"/>
          <w:szCs w:val="20"/>
          <w:lang w:val="es-ES_tradnl"/>
        </w:rPr>
        <w:t xml:space="preserve"> figuras penales como el “hurto de líquidos” y “uso ilegal de la frecuenci</w:t>
      </w:r>
      <w:r>
        <w:rPr>
          <w:rFonts w:asciiTheme="majorHAnsi" w:hAnsiTheme="majorHAnsi"/>
          <w:sz w:val="20"/>
          <w:szCs w:val="20"/>
          <w:lang w:val="es-ES_tradnl"/>
        </w:rPr>
        <w:t>a”</w:t>
      </w:r>
      <w:r w:rsidRPr="006D531F">
        <w:rPr>
          <w:rStyle w:val="FootnoteReference"/>
          <w:rFonts w:asciiTheme="majorHAnsi" w:hAnsiTheme="majorHAnsi"/>
          <w:sz w:val="20"/>
          <w:szCs w:val="20"/>
          <w:lang w:val="es-ES_tradnl"/>
        </w:rPr>
        <w:footnoteReference w:id="21"/>
      </w:r>
      <w:r w:rsidRPr="006D531F">
        <w:rPr>
          <w:rFonts w:asciiTheme="majorHAnsi" w:hAnsiTheme="majorHAnsi"/>
          <w:sz w:val="20"/>
          <w:szCs w:val="20"/>
          <w:lang w:val="es-ES_tradnl"/>
        </w:rPr>
        <w:t>. Esta información además fue corroborada por el Estado, quien en sus escritos ante la CIDH</w:t>
      </w:r>
      <w:r>
        <w:rPr>
          <w:rFonts w:asciiTheme="majorHAnsi" w:hAnsiTheme="majorHAnsi"/>
          <w:sz w:val="20"/>
          <w:szCs w:val="20"/>
          <w:lang w:val="es-ES_tradnl"/>
        </w:rPr>
        <w:t xml:space="preserve"> inform</w:t>
      </w:r>
      <w:r w:rsidR="002D2DA9">
        <w:rPr>
          <w:rFonts w:asciiTheme="majorHAnsi" w:hAnsiTheme="majorHAnsi"/>
          <w:sz w:val="20"/>
          <w:szCs w:val="20"/>
          <w:lang w:val="es-ES_tradnl"/>
        </w:rPr>
        <w:t>ó</w:t>
      </w:r>
      <w:r w:rsidRPr="006D531F">
        <w:rPr>
          <w:rFonts w:asciiTheme="majorHAnsi" w:hAnsiTheme="majorHAnsi"/>
          <w:sz w:val="20"/>
          <w:szCs w:val="20"/>
          <w:lang w:val="es-ES_tradnl"/>
        </w:rPr>
        <w:t xml:space="preserve"> sobre la realización de una serie de allanamientos, decomisos, arrestos e incluso condenas penales por el uso del espectro radioeléctrico sin la existencia de una licencia. Asimismo, esta información ha sido corroborada por la CIDH a través de sus informes de país sobre Guatemala</w:t>
      </w:r>
      <w:r w:rsidRPr="006D531F">
        <w:rPr>
          <w:rStyle w:val="FootnoteReference"/>
          <w:rFonts w:asciiTheme="majorHAnsi" w:hAnsiTheme="majorHAnsi"/>
          <w:sz w:val="20"/>
          <w:szCs w:val="20"/>
          <w:lang w:val="es-ES_tradnl"/>
        </w:rPr>
        <w:footnoteReference w:id="22"/>
      </w:r>
      <w:r w:rsidRPr="006D531F">
        <w:rPr>
          <w:rFonts w:asciiTheme="majorHAnsi" w:hAnsiTheme="majorHAnsi"/>
          <w:sz w:val="20"/>
          <w:szCs w:val="20"/>
          <w:lang w:val="es-ES_tradnl"/>
        </w:rPr>
        <w:t>.</w:t>
      </w:r>
    </w:p>
    <w:p w14:paraId="1065C107" w14:textId="77777777" w:rsidR="00022EEA" w:rsidRPr="00726DFE" w:rsidRDefault="00022EEA" w:rsidP="00022EE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PE"/>
        </w:rPr>
      </w:pPr>
    </w:p>
    <w:p w14:paraId="2AAAEABB" w14:textId="77777777" w:rsidR="00800EB8" w:rsidRPr="00CF1C2D" w:rsidRDefault="00800EB8" w:rsidP="00800E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_tradnl"/>
        </w:rPr>
      </w:pPr>
      <w:r w:rsidRPr="000D11B6">
        <w:rPr>
          <w:rFonts w:asciiTheme="majorHAnsi" w:hAnsiTheme="majorHAnsi"/>
          <w:sz w:val="20"/>
          <w:szCs w:val="20"/>
          <w:lang w:val="es-ES_tradnl"/>
        </w:rPr>
        <w:t>E</w:t>
      </w:r>
      <w:r w:rsidR="00630598" w:rsidRPr="000D11B6">
        <w:rPr>
          <w:rFonts w:asciiTheme="majorHAnsi" w:hAnsiTheme="majorHAnsi"/>
          <w:sz w:val="20"/>
          <w:szCs w:val="20"/>
          <w:lang w:val="es-ES_tradnl"/>
        </w:rPr>
        <w:t>n este contexto represivo, e</w:t>
      </w:r>
      <w:r w:rsidRPr="000D11B6">
        <w:rPr>
          <w:rFonts w:asciiTheme="majorHAnsi" w:hAnsiTheme="majorHAnsi"/>
          <w:sz w:val="20"/>
          <w:szCs w:val="20"/>
          <w:lang w:val="es-ES_tradnl"/>
        </w:rPr>
        <w:t>l 7 de julio de 2006 Radio Ixchel fue allanada por la Fiscalía de delitos contra sindicalistas y periodistas del Ministerio Público</w:t>
      </w:r>
      <w:r w:rsidR="00CB07D6" w:rsidRPr="000D11B6">
        <w:rPr>
          <w:rFonts w:asciiTheme="majorHAnsi" w:hAnsiTheme="majorHAnsi"/>
          <w:sz w:val="20"/>
          <w:szCs w:val="20"/>
          <w:lang w:val="es-ES_tradnl"/>
        </w:rPr>
        <w:t xml:space="preserve">. </w:t>
      </w:r>
      <w:r w:rsidR="00A53EA9" w:rsidRPr="000D11B6">
        <w:rPr>
          <w:rFonts w:asciiTheme="majorHAnsi" w:hAnsiTheme="majorHAnsi"/>
          <w:sz w:val="20"/>
          <w:szCs w:val="20"/>
          <w:lang w:val="es-ES_tradnl"/>
        </w:rPr>
        <w:t>D</w:t>
      </w:r>
      <w:r w:rsidR="00CB07D6" w:rsidRPr="000D11B6">
        <w:rPr>
          <w:rFonts w:asciiTheme="majorHAnsi" w:hAnsiTheme="majorHAnsi"/>
          <w:sz w:val="20"/>
          <w:szCs w:val="20"/>
          <w:lang w:val="es-ES_tradnl"/>
        </w:rPr>
        <w:t>urante la diligencia de inspección, allanamiento y registro se</w:t>
      </w:r>
      <w:r w:rsidRPr="000D11B6">
        <w:rPr>
          <w:rFonts w:asciiTheme="majorHAnsi" w:hAnsiTheme="majorHAnsi"/>
          <w:sz w:val="20"/>
          <w:szCs w:val="20"/>
          <w:lang w:val="es-ES_tradnl"/>
        </w:rPr>
        <w:t xml:space="preserve"> confiscaron los equipos de transmisión de la emisora</w:t>
      </w:r>
      <w:r w:rsidR="00CB07D6" w:rsidRPr="000D11B6">
        <w:rPr>
          <w:rFonts w:asciiTheme="majorHAnsi" w:hAnsiTheme="majorHAnsi"/>
          <w:sz w:val="20"/>
          <w:szCs w:val="20"/>
          <w:lang w:val="es-ES_tradnl"/>
        </w:rPr>
        <w:t>, luego de lo cual l</w:t>
      </w:r>
      <w:r w:rsidR="00787E40">
        <w:rPr>
          <w:rFonts w:asciiTheme="majorHAnsi" w:hAnsiTheme="majorHAnsi"/>
          <w:sz w:val="20"/>
          <w:szCs w:val="20"/>
          <w:lang w:val="es-ES_tradnl"/>
        </w:rPr>
        <w:t>os miembros</w:t>
      </w:r>
      <w:r w:rsidR="00CB07D6" w:rsidRPr="000D11B6">
        <w:rPr>
          <w:rFonts w:asciiTheme="majorHAnsi" w:hAnsiTheme="majorHAnsi"/>
          <w:sz w:val="20"/>
          <w:szCs w:val="20"/>
          <w:lang w:val="es-ES_tradnl"/>
        </w:rPr>
        <w:t xml:space="preserve"> del pueblo</w:t>
      </w:r>
      <w:r w:rsidR="00FE5B79" w:rsidRPr="000D11B6">
        <w:rPr>
          <w:rFonts w:asciiTheme="majorHAnsi" w:hAnsiTheme="majorHAnsi"/>
          <w:sz w:val="20"/>
          <w:szCs w:val="20"/>
          <w:lang w:val="es-ES_tradnl"/>
        </w:rPr>
        <w:t xml:space="preserve"> recolect</w:t>
      </w:r>
      <w:r w:rsidR="001B190D">
        <w:rPr>
          <w:rFonts w:asciiTheme="majorHAnsi" w:hAnsiTheme="majorHAnsi"/>
          <w:sz w:val="20"/>
          <w:szCs w:val="20"/>
          <w:lang w:val="es-ES_tradnl"/>
        </w:rPr>
        <w:t>aron</w:t>
      </w:r>
      <w:r w:rsidR="00CB07D6" w:rsidRPr="000D11B6">
        <w:rPr>
          <w:rFonts w:asciiTheme="majorHAnsi" w:hAnsiTheme="majorHAnsi"/>
          <w:sz w:val="20"/>
          <w:szCs w:val="20"/>
          <w:lang w:val="es-ES_tradnl"/>
        </w:rPr>
        <w:t xml:space="preserve"> fondos para la compra de equipo nuevo para llevar a</w:t>
      </w:r>
      <w:r w:rsidR="009B7BE3" w:rsidRPr="000D11B6">
        <w:rPr>
          <w:rFonts w:asciiTheme="majorHAnsi" w:hAnsiTheme="majorHAnsi"/>
          <w:sz w:val="20"/>
          <w:szCs w:val="20"/>
          <w:lang w:val="es-ES_tradnl"/>
        </w:rPr>
        <w:t xml:space="preserve"> la emisora al aire nuevamente. Si bien la</w:t>
      </w:r>
      <w:r w:rsidR="00FE5B79" w:rsidRPr="000D11B6">
        <w:rPr>
          <w:rFonts w:asciiTheme="majorHAnsi" w:hAnsiTheme="majorHAnsi"/>
          <w:sz w:val="20"/>
          <w:szCs w:val="20"/>
          <w:lang w:val="es-ES_tradnl"/>
        </w:rPr>
        <w:t xml:space="preserve"> orden judicial de 6 de julio de 2006, que ordenó el allanamiento</w:t>
      </w:r>
      <w:r w:rsidR="001B190D">
        <w:rPr>
          <w:rFonts w:asciiTheme="majorHAnsi" w:hAnsiTheme="majorHAnsi"/>
          <w:sz w:val="20"/>
          <w:szCs w:val="20"/>
          <w:lang w:val="es-ES_tradnl"/>
        </w:rPr>
        <w:t>,</w:t>
      </w:r>
      <w:r w:rsidR="00FE5B79" w:rsidRPr="000D11B6">
        <w:rPr>
          <w:rFonts w:asciiTheme="majorHAnsi" w:hAnsiTheme="majorHAnsi"/>
          <w:sz w:val="20"/>
          <w:szCs w:val="20"/>
          <w:lang w:val="es-ES_tradnl"/>
        </w:rPr>
        <w:t xml:space="preserve"> decidió no autorizar la incautación de bienes, </w:t>
      </w:r>
      <w:r w:rsidR="00FE5B79" w:rsidRPr="000D11B6">
        <w:rPr>
          <w:rFonts w:asciiTheme="majorHAnsi" w:hAnsiTheme="majorHAnsi"/>
          <w:sz w:val="20"/>
          <w:szCs w:val="20"/>
          <w:lang w:val="es-ES_tradnl"/>
        </w:rPr>
        <w:lastRenderedPageBreak/>
        <w:t xml:space="preserve">los peticionarios informaron que </w:t>
      </w:r>
      <w:r w:rsidR="009B7BE3" w:rsidRPr="000D11B6">
        <w:rPr>
          <w:rFonts w:asciiTheme="majorHAnsi" w:hAnsiTheme="majorHAnsi"/>
          <w:sz w:val="20"/>
          <w:szCs w:val="20"/>
          <w:lang w:val="es-ES_tradnl"/>
        </w:rPr>
        <w:t>este sucedi</w:t>
      </w:r>
      <w:r w:rsidR="00FE5B79" w:rsidRPr="000D11B6">
        <w:rPr>
          <w:rFonts w:asciiTheme="majorHAnsi" w:hAnsiTheme="majorHAnsi"/>
          <w:sz w:val="20"/>
          <w:szCs w:val="20"/>
          <w:lang w:val="es-ES_tradnl"/>
        </w:rPr>
        <w:t>ó</w:t>
      </w:r>
      <w:r w:rsidR="00A53EA9" w:rsidRPr="000D11B6">
        <w:rPr>
          <w:rStyle w:val="FootnoteReference"/>
          <w:rFonts w:asciiTheme="majorHAnsi" w:hAnsiTheme="majorHAnsi"/>
          <w:sz w:val="20"/>
          <w:szCs w:val="20"/>
          <w:lang w:val="es-ES_tradnl"/>
        </w:rPr>
        <w:footnoteReference w:id="23"/>
      </w:r>
      <w:r w:rsidR="00A53EA9" w:rsidRPr="000D11B6">
        <w:rPr>
          <w:rFonts w:asciiTheme="majorHAnsi" w:hAnsiTheme="majorHAnsi"/>
          <w:sz w:val="20"/>
          <w:szCs w:val="20"/>
          <w:lang w:val="es-ES_tradnl"/>
        </w:rPr>
        <w:t>.</w:t>
      </w:r>
      <w:r w:rsidR="00FE5B79" w:rsidRPr="000D11B6">
        <w:rPr>
          <w:rFonts w:asciiTheme="majorHAnsi" w:hAnsiTheme="majorHAnsi"/>
          <w:sz w:val="20"/>
          <w:szCs w:val="20"/>
          <w:lang w:val="es-ES_tradnl"/>
        </w:rPr>
        <w:t xml:space="preserve"> El Estado no </w:t>
      </w:r>
      <w:r w:rsidR="008121E3" w:rsidRPr="000D11B6">
        <w:rPr>
          <w:rFonts w:asciiTheme="majorHAnsi" w:hAnsiTheme="majorHAnsi"/>
          <w:sz w:val="20"/>
          <w:szCs w:val="20"/>
          <w:lang w:val="es-ES_tradnl"/>
        </w:rPr>
        <w:t>controvirtió la ocurrencia de estos hechos.</w:t>
      </w:r>
      <w:r w:rsidRPr="000D11B6">
        <w:rPr>
          <w:rFonts w:asciiTheme="majorHAnsi" w:hAnsiTheme="majorHAnsi"/>
          <w:sz w:val="20"/>
          <w:szCs w:val="20"/>
          <w:lang w:val="es-ES_tradnl"/>
        </w:rPr>
        <w:t xml:space="preserve"> El 20 de agosto de 2007 An</w:t>
      </w:r>
      <w:r w:rsidR="00145826">
        <w:rPr>
          <w:rFonts w:asciiTheme="majorHAnsi" w:hAnsiTheme="majorHAnsi"/>
          <w:sz w:val="20"/>
          <w:szCs w:val="20"/>
          <w:lang w:val="es-ES_tradnl"/>
        </w:rPr>
        <w:t>s</w:t>
      </w:r>
      <w:r w:rsidRPr="000D11B6">
        <w:rPr>
          <w:rFonts w:asciiTheme="majorHAnsi" w:hAnsiTheme="majorHAnsi"/>
          <w:sz w:val="20"/>
          <w:szCs w:val="20"/>
          <w:lang w:val="es-ES_tradnl"/>
        </w:rPr>
        <w:t>elmo Xunic</w:t>
      </w:r>
      <w:r w:rsidR="00476E6B">
        <w:rPr>
          <w:rFonts w:asciiTheme="majorHAnsi" w:hAnsiTheme="majorHAnsi"/>
          <w:sz w:val="20"/>
          <w:szCs w:val="20"/>
          <w:lang w:val="es-ES_tradnl"/>
        </w:rPr>
        <w:t xml:space="preserve"> Cabrera</w:t>
      </w:r>
      <w:r w:rsidRPr="000D11B6">
        <w:rPr>
          <w:rFonts w:asciiTheme="majorHAnsi" w:hAnsiTheme="majorHAnsi"/>
          <w:sz w:val="20"/>
          <w:szCs w:val="20"/>
          <w:lang w:val="es-ES_tradnl"/>
        </w:rPr>
        <w:t xml:space="preserve">, coordinador voluntario de la emisora, compareció para rendir declaración ante el Juzgado de </w:t>
      </w:r>
      <w:r w:rsidR="00D816AA">
        <w:rPr>
          <w:rFonts w:asciiTheme="majorHAnsi" w:hAnsiTheme="majorHAnsi"/>
          <w:sz w:val="20"/>
          <w:szCs w:val="20"/>
          <w:lang w:val="es-ES_tradnl"/>
        </w:rPr>
        <w:t>p</w:t>
      </w:r>
      <w:r w:rsidRPr="000D11B6">
        <w:rPr>
          <w:rFonts w:asciiTheme="majorHAnsi" w:hAnsiTheme="majorHAnsi"/>
          <w:sz w:val="20"/>
          <w:szCs w:val="20"/>
          <w:lang w:val="es-ES_tradnl"/>
        </w:rPr>
        <w:t xml:space="preserve">rimera </w:t>
      </w:r>
      <w:r w:rsidR="00D816AA">
        <w:rPr>
          <w:rFonts w:asciiTheme="majorHAnsi" w:hAnsiTheme="majorHAnsi"/>
          <w:sz w:val="20"/>
          <w:szCs w:val="20"/>
          <w:lang w:val="es-ES_tradnl"/>
        </w:rPr>
        <w:t>i</w:t>
      </w:r>
      <w:r w:rsidRPr="000D11B6">
        <w:rPr>
          <w:rFonts w:asciiTheme="majorHAnsi" w:hAnsiTheme="majorHAnsi"/>
          <w:sz w:val="20"/>
          <w:szCs w:val="20"/>
          <w:lang w:val="es-ES_tradnl"/>
        </w:rPr>
        <w:t xml:space="preserve">nstancia </w:t>
      </w:r>
      <w:r w:rsidR="00D816AA">
        <w:rPr>
          <w:rFonts w:asciiTheme="majorHAnsi" w:hAnsiTheme="majorHAnsi"/>
          <w:sz w:val="20"/>
          <w:szCs w:val="20"/>
          <w:lang w:val="es-ES_tradnl"/>
        </w:rPr>
        <w:t>p</w:t>
      </w:r>
      <w:r w:rsidRPr="000D11B6">
        <w:rPr>
          <w:rFonts w:asciiTheme="majorHAnsi" w:hAnsiTheme="majorHAnsi"/>
          <w:sz w:val="20"/>
          <w:szCs w:val="20"/>
          <w:lang w:val="es-ES_tradnl"/>
        </w:rPr>
        <w:t xml:space="preserve">enal, </w:t>
      </w:r>
      <w:r w:rsidR="00D816AA">
        <w:rPr>
          <w:rFonts w:asciiTheme="majorHAnsi" w:hAnsiTheme="majorHAnsi"/>
          <w:sz w:val="20"/>
          <w:szCs w:val="20"/>
          <w:lang w:val="es-ES_tradnl"/>
        </w:rPr>
        <w:t>n</w:t>
      </w:r>
      <w:r w:rsidRPr="000D11B6">
        <w:rPr>
          <w:rFonts w:asciiTheme="majorHAnsi" w:hAnsiTheme="majorHAnsi"/>
          <w:sz w:val="20"/>
          <w:szCs w:val="20"/>
          <w:lang w:val="es-ES_tradnl"/>
        </w:rPr>
        <w:t xml:space="preserve">arcoactividad y </w:t>
      </w:r>
      <w:r w:rsidR="00D816AA">
        <w:rPr>
          <w:rFonts w:asciiTheme="majorHAnsi" w:hAnsiTheme="majorHAnsi"/>
          <w:sz w:val="20"/>
          <w:szCs w:val="20"/>
          <w:lang w:val="es-ES_tradnl"/>
        </w:rPr>
        <w:t>d</w:t>
      </w:r>
      <w:r w:rsidRPr="000D11B6">
        <w:rPr>
          <w:rFonts w:asciiTheme="majorHAnsi" w:hAnsiTheme="majorHAnsi"/>
          <w:sz w:val="20"/>
          <w:szCs w:val="20"/>
          <w:lang w:val="es-ES_tradnl"/>
        </w:rPr>
        <w:t>elitos contra el ambiente del departamento de Sacatepéquez, por el proceso iniciado en su contra dada la presunta comisión del delito de hurto como</w:t>
      </w:r>
      <w:r w:rsidRPr="00CF1C2D">
        <w:rPr>
          <w:rFonts w:asciiTheme="majorHAnsi" w:hAnsiTheme="majorHAnsi"/>
          <w:sz w:val="20"/>
          <w:szCs w:val="20"/>
          <w:lang w:val="es-ES_tradnl"/>
        </w:rPr>
        <w:t xml:space="preserve"> consecuencia de operar una radio comunitaria sin licencia. El juez determinó que el caso era falto de mérito por no existir elementos racionales para ligarlos al proceso</w:t>
      </w:r>
      <w:r w:rsidRPr="006D531F">
        <w:rPr>
          <w:rStyle w:val="FootnoteReference"/>
          <w:rFonts w:asciiTheme="majorHAnsi" w:hAnsiTheme="majorHAnsi"/>
          <w:sz w:val="20"/>
          <w:szCs w:val="20"/>
          <w:lang w:val="es-ES_tradnl"/>
        </w:rPr>
        <w:footnoteReference w:id="24"/>
      </w:r>
      <w:r w:rsidRPr="00CF1C2D">
        <w:rPr>
          <w:rFonts w:asciiTheme="majorHAnsi" w:hAnsiTheme="majorHAnsi"/>
          <w:sz w:val="20"/>
          <w:szCs w:val="20"/>
          <w:lang w:val="es-ES_tradnl"/>
        </w:rPr>
        <w:t>.</w:t>
      </w:r>
    </w:p>
    <w:p w14:paraId="79FBE2D2" w14:textId="77777777" w:rsidR="00800EB8" w:rsidRPr="006D531F" w:rsidRDefault="00800EB8" w:rsidP="00800EB8">
      <w:pPr>
        <w:pStyle w:val="ListParagraph"/>
        <w:rPr>
          <w:rFonts w:asciiTheme="majorHAnsi" w:hAnsiTheme="majorHAnsi"/>
          <w:color w:val="auto"/>
          <w:sz w:val="20"/>
          <w:szCs w:val="20"/>
          <w:lang w:val="es-ES_tradnl"/>
        </w:rPr>
      </w:pPr>
    </w:p>
    <w:p w14:paraId="4F3978CA" w14:textId="77777777" w:rsidR="00800EB8" w:rsidRPr="006D531F" w:rsidRDefault="00800EB8" w:rsidP="00800EB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_tradnl"/>
        </w:rPr>
      </w:pPr>
      <w:r w:rsidRPr="006D531F">
        <w:rPr>
          <w:rFonts w:asciiTheme="majorHAnsi" w:hAnsiTheme="majorHAnsi"/>
          <w:sz w:val="20"/>
          <w:szCs w:val="20"/>
          <w:lang w:val="es-ES_tradnl"/>
        </w:rPr>
        <w:t xml:space="preserve">Según indican los peticionarios, el 8 de mayo de 2012, </w:t>
      </w:r>
      <w:r>
        <w:rPr>
          <w:rFonts w:asciiTheme="majorHAnsi" w:hAnsiTheme="majorHAnsi"/>
          <w:sz w:val="20"/>
          <w:szCs w:val="20"/>
          <w:lang w:val="es-ES_tradnl"/>
        </w:rPr>
        <w:t>se realizó un allanamiento</w:t>
      </w:r>
      <w:r w:rsidRPr="006D531F">
        <w:rPr>
          <w:rFonts w:asciiTheme="majorHAnsi" w:hAnsiTheme="majorHAnsi"/>
          <w:sz w:val="20"/>
          <w:szCs w:val="20"/>
          <w:lang w:val="es-ES_tradnl"/>
        </w:rPr>
        <w:t xml:space="preserve"> por elementos de la Policía Nacional y el Ministerio Público a la emisora comunitaria Achi-Maya, Uqul Tinamit </w:t>
      </w:r>
      <w:r w:rsidR="009259EE">
        <w:rPr>
          <w:rFonts w:asciiTheme="majorHAnsi" w:hAnsiTheme="majorHAnsi"/>
          <w:sz w:val="20"/>
          <w:szCs w:val="20"/>
          <w:lang w:val="es-ES_tradnl"/>
        </w:rPr>
        <w:t>“</w:t>
      </w:r>
      <w:r w:rsidRPr="006D531F">
        <w:rPr>
          <w:rFonts w:asciiTheme="majorHAnsi" w:hAnsiTheme="majorHAnsi"/>
          <w:sz w:val="20"/>
          <w:szCs w:val="20"/>
          <w:lang w:val="es-ES_tradnl"/>
        </w:rPr>
        <w:t>La Voz del Pueblo</w:t>
      </w:r>
      <w:r w:rsidR="009259EE">
        <w:rPr>
          <w:rFonts w:asciiTheme="majorHAnsi" w:hAnsiTheme="majorHAnsi"/>
          <w:sz w:val="20"/>
          <w:szCs w:val="20"/>
          <w:lang w:val="es-ES_tradnl"/>
        </w:rPr>
        <w:t>”</w:t>
      </w:r>
      <w:r w:rsidRPr="006D531F">
        <w:rPr>
          <w:rFonts w:asciiTheme="majorHAnsi" w:hAnsiTheme="majorHAnsi"/>
          <w:sz w:val="20"/>
          <w:szCs w:val="20"/>
          <w:lang w:val="es-ES_tradnl"/>
        </w:rPr>
        <w:t>, en San Miguel Chicaj, Baja Verapaz,</w:t>
      </w:r>
      <w:r>
        <w:rPr>
          <w:rFonts w:asciiTheme="majorHAnsi" w:hAnsiTheme="majorHAnsi"/>
          <w:sz w:val="20"/>
          <w:szCs w:val="20"/>
          <w:lang w:val="es-ES_tradnl"/>
        </w:rPr>
        <w:t xml:space="preserve"> que resultó en la confiscación</w:t>
      </w:r>
      <w:r w:rsidRPr="006D531F">
        <w:rPr>
          <w:rFonts w:asciiTheme="majorHAnsi" w:hAnsiTheme="majorHAnsi"/>
          <w:sz w:val="20"/>
          <w:szCs w:val="20"/>
          <w:lang w:val="es-ES_tradnl"/>
        </w:rPr>
        <w:t xml:space="preserve"> </w:t>
      </w:r>
      <w:r>
        <w:rPr>
          <w:rFonts w:asciiTheme="majorHAnsi" w:hAnsiTheme="majorHAnsi"/>
          <w:sz w:val="20"/>
          <w:szCs w:val="20"/>
          <w:lang w:val="es-ES_tradnl"/>
        </w:rPr>
        <w:t>d</w:t>
      </w:r>
      <w:r w:rsidRPr="006D531F">
        <w:rPr>
          <w:rFonts w:asciiTheme="majorHAnsi" w:hAnsiTheme="majorHAnsi"/>
          <w:sz w:val="20"/>
          <w:szCs w:val="20"/>
          <w:lang w:val="es-ES_tradnl"/>
        </w:rPr>
        <w:t xml:space="preserve">el transmisor, el computador y el editor de </w:t>
      </w:r>
      <w:r>
        <w:rPr>
          <w:rFonts w:asciiTheme="majorHAnsi" w:hAnsiTheme="majorHAnsi"/>
          <w:sz w:val="20"/>
          <w:szCs w:val="20"/>
          <w:lang w:val="es-ES_tradnl"/>
        </w:rPr>
        <w:t>sonido</w:t>
      </w:r>
      <w:r w:rsidRPr="006D531F">
        <w:rPr>
          <w:rFonts w:asciiTheme="majorHAnsi" w:hAnsiTheme="majorHAnsi"/>
          <w:sz w:val="20"/>
          <w:szCs w:val="20"/>
          <w:lang w:val="es-ES_tradnl"/>
        </w:rPr>
        <w:t>. Durante la diligencia uno de los trabajadores voluntarios de Uqul Tinamit, el señor Espinoza Ixtapa, fue arrestado</w:t>
      </w:r>
      <w:r w:rsidRPr="006D531F">
        <w:rPr>
          <w:rStyle w:val="FootnoteReference"/>
          <w:rFonts w:asciiTheme="majorHAnsi" w:hAnsiTheme="majorHAnsi"/>
          <w:sz w:val="20"/>
          <w:szCs w:val="20"/>
          <w:lang w:val="es-ES_tradnl"/>
        </w:rPr>
        <w:footnoteReference w:id="25"/>
      </w:r>
      <w:r w:rsidRPr="006D531F">
        <w:rPr>
          <w:rFonts w:asciiTheme="majorHAnsi" w:hAnsiTheme="majorHAnsi"/>
          <w:sz w:val="20"/>
          <w:szCs w:val="20"/>
          <w:lang w:val="es-ES_tradnl"/>
        </w:rPr>
        <w:t>.</w:t>
      </w:r>
      <w:r>
        <w:rPr>
          <w:rFonts w:asciiTheme="majorHAnsi" w:hAnsiTheme="majorHAnsi"/>
          <w:sz w:val="20"/>
          <w:szCs w:val="20"/>
          <w:lang w:val="es-ES_tradnl"/>
        </w:rPr>
        <w:t xml:space="preserve"> Asimismo, esta sucesión de hechos y acciones no fue controvertida por el Estado.</w:t>
      </w:r>
    </w:p>
    <w:p w14:paraId="6ADBC9CD" w14:textId="77777777" w:rsidR="00800EB8" w:rsidRPr="006D531F" w:rsidRDefault="00800EB8" w:rsidP="00800EB8">
      <w:pPr>
        <w:pStyle w:val="ListParagraph"/>
        <w:rPr>
          <w:rFonts w:asciiTheme="majorHAnsi" w:hAnsiTheme="majorHAnsi"/>
          <w:color w:val="auto"/>
          <w:sz w:val="20"/>
          <w:szCs w:val="20"/>
          <w:lang w:val="es-ES_tradnl"/>
        </w:rPr>
      </w:pPr>
    </w:p>
    <w:p w14:paraId="0CD9B74F" w14:textId="77777777" w:rsidR="00800EB8" w:rsidRPr="000D11B6" w:rsidRDefault="00800EB8" w:rsidP="000D11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_tradnl"/>
        </w:rPr>
      </w:pPr>
      <w:r w:rsidRPr="006D531F">
        <w:rPr>
          <w:rFonts w:asciiTheme="majorHAnsi" w:hAnsiTheme="majorHAnsi"/>
          <w:sz w:val="20"/>
          <w:szCs w:val="20"/>
          <w:lang w:val="es-MX"/>
        </w:rPr>
        <w:t xml:space="preserve">Según la información proporcionada por la parte peticionaria, la emisora comunitaria Uqul Tinamil “La Voz del Pueblo” </w:t>
      </w:r>
      <w:r w:rsidRPr="006D531F">
        <w:rPr>
          <w:rFonts w:asciiTheme="majorHAnsi" w:hAnsiTheme="majorHAnsi"/>
          <w:sz w:val="20"/>
          <w:szCs w:val="20"/>
          <w:lang w:val="es-ES_tradnl"/>
        </w:rPr>
        <w:t>fue allanada por segunda vez por elementos de la Policía Nacional Civil</w:t>
      </w:r>
      <w:r w:rsidR="00A75344">
        <w:rPr>
          <w:rFonts w:asciiTheme="majorHAnsi" w:hAnsiTheme="majorHAnsi"/>
          <w:sz w:val="20"/>
          <w:szCs w:val="20"/>
          <w:lang w:val="es-ES_tradnl"/>
        </w:rPr>
        <w:t xml:space="preserve"> </w:t>
      </w:r>
      <w:r w:rsidRPr="006D531F">
        <w:rPr>
          <w:rFonts w:asciiTheme="majorHAnsi" w:hAnsiTheme="majorHAnsi"/>
          <w:sz w:val="20"/>
          <w:szCs w:val="20"/>
          <w:lang w:val="es-ES_tradnl"/>
        </w:rPr>
        <w:t>el 20 de abril de 2016</w:t>
      </w:r>
      <w:r w:rsidR="004A501D">
        <w:rPr>
          <w:rFonts w:asciiTheme="majorHAnsi" w:hAnsiTheme="majorHAnsi"/>
          <w:sz w:val="20"/>
          <w:szCs w:val="20"/>
          <w:lang w:val="es-ES_tradnl"/>
        </w:rPr>
        <w:t>, diligen</w:t>
      </w:r>
      <w:r w:rsidR="00A12ABE">
        <w:rPr>
          <w:rFonts w:asciiTheme="majorHAnsi" w:hAnsiTheme="majorHAnsi"/>
          <w:sz w:val="20"/>
          <w:szCs w:val="20"/>
          <w:lang w:val="es-ES_tradnl"/>
        </w:rPr>
        <w:t>cia durante la cual se</w:t>
      </w:r>
      <w:r w:rsidRPr="006D531F">
        <w:rPr>
          <w:rFonts w:asciiTheme="majorHAnsi" w:hAnsiTheme="majorHAnsi"/>
          <w:sz w:val="20"/>
          <w:szCs w:val="20"/>
          <w:lang w:val="es-ES_tradnl"/>
        </w:rPr>
        <w:t xml:space="preserve"> </w:t>
      </w:r>
      <w:r w:rsidR="00A12ABE">
        <w:rPr>
          <w:rFonts w:asciiTheme="majorHAnsi" w:hAnsiTheme="majorHAnsi"/>
          <w:sz w:val="20"/>
          <w:szCs w:val="20"/>
          <w:lang w:val="es-ES_tradnl"/>
        </w:rPr>
        <w:t>confiscaron</w:t>
      </w:r>
      <w:r w:rsidRPr="006D531F">
        <w:rPr>
          <w:rFonts w:asciiTheme="majorHAnsi" w:hAnsiTheme="majorHAnsi"/>
          <w:sz w:val="20"/>
          <w:szCs w:val="20"/>
          <w:lang w:val="es-ES_tradnl"/>
        </w:rPr>
        <w:t xml:space="preserve"> equipos de trabajo, entre ellos un transmisor, una consola, un computador y micrófonos</w:t>
      </w:r>
      <w:r w:rsidRPr="006D531F">
        <w:rPr>
          <w:rStyle w:val="FootnoteReference"/>
          <w:rFonts w:asciiTheme="majorHAnsi" w:hAnsiTheme="majorHAnsi"/>
          <w:sz w:val="20"/>
          <w:szCs w:val="20"/>
          <w:lang w:val="es-ES_tradnl"/>
        </w:rPr>
        <w:footnoteReference w:id="26"/>
      </w:r>
      <w:r w:rsidRPr="006D531F">
        <w:rPr>
          <w:rFonts w:asciiTheme="majorHAnsi" w:hAnsiTheme="majorHAnsi"/>
          <w:sz w:val="20"/>
          <w:szCs w:val="20"/>
          <w:lang w:val="es-ES_tradnl"/>
        </w:rPr>
        <w:t xml:space="preserve">. Según </w:t>
      </w:r>
      <w:r>
        <w:rPr>
          <w:rFonts w:asciiTheme="majorHAnsi" w:hAnsiTheme="majorHAnsi"/>
          <w:sz w:val="20"/>
          <w:szCs w:val="20"/>
          <w:lang w:val="es-ES_tradnl"/>
        </w:rPr>
        <w:t>la</w:t>
      </w:r>
      <w:r w:rsidRPr="006D531F">
        <w:rPr>
          <w:rFonts w:asciiTheme="majorHAnsi" w:hAnsiTheme="majorHAnsi"/>
          <w:sz w:val="20"/>
          <w:szCs w:val="20"/>
          <w:lang w:val="es-ES_tradnl"/>
        </w:rPr>
        <w:t xml:space="preserve"> información</w:t>
      </w:r>
      <w:r w:rsidR="0061631D">
        <w:rPr>
          <w:rFonts w:asciiTheme="majorHAnsi" w:hAnsiTheme="majorHAnsi"/>
          <w:sz w:val="20"/>
          <w:szCs w:val="20"/>
          <w:lang w:val="es-ES_tradnl"/>
        </w:rPr>
        <w:t xml:space="preserve"> proporcionada</w:t>
      </w:r>
      <w:r w:rsidRPr="006D531F">
        <w:rPr>
          <w:rFonts w:asciiTheme="majorHAnsi" w:hAnsiTheme="majorHAnsi"/>
          <w:sz w:val="20"/>
          <w:szCs w:val="20"/>
          <w:lang w:val="es-ES_tradnl"/>
        </w:rPr>
        <w:t xml:space="preserve">, esta radio no transmite en la actualidad. Sobre esto, el Estado de Guatemala </w:t>
      </w:r>
      <w:r>
        <w:rPr>
          <w:rFonts w:asciiTheme="majorHAnsi" w:hAnsiTheme="majorHAnsi"/>
          <w:sz w:val="20"/>
          <w:szCs w:val="20"/>
          <w:lang w:val="es-ES_tradnl"/>
        </w:rPr>
        <w:t>tampoco</w:t>
      </w:r>
      <w:r w:rsidRPr="006D531F">
        <w:rPr>
          <w:rFonts w:asciiTheme="majorHAnsi" w:hAnsiTheme="majorHAnsi"/>
          <w:sz w:val="20"/>
          <w:szCs w:val="20"/>
          <w:lang w:val="es-ES_tradnl"/>
        </w:rPr>
        <w:t xml:space="preserve"> aportó documentación en contrario.</w:t>
      </w:r>
    </w:p>
    <w:p w14:paraId="175A12AA" w14:textId="77777777" w:rsidR="005E31C3" w:rsidRPr="006D531F" w:rsidRDefault="005E31C3" w:rsidP="000E521A">
      <w:pPr>
        <w:pStyle w:val="Heading2"/>
        <w:numPr>
          <w:ilvl w:val="0"/>
          <w:numId w:val="0"/>
        </w:numPr>
        <w:rPr>
          <w:rFonts w:asciiTheme="majorHAnsi" w:hAnsiTheme="majorHAnsi"/>
        </w:rPr>
      </w:pPr>
      <w:bookmarkStart w:id="20" w:name="_Toc6937379"/>
    </w:p>
    <w:p w14:paraId="758AC9BD" w14:textId="77777777" w:rsidR="006D610A" w:rsidRPr="006D531F" w:rsidRDefault="00925B6E" w:rsidP="000E521A">
      <w:pPr>
        <w:pStyle w:val="Heading2"/>
        <w:rPr>
          <w:rFonts w:asciiTheme="majorHAnsi" w:hAnsiTheme="majorHAnsi"/>
        </w:rPr>
      </w:pPr>
      <w:bookmarkStart w:id="21" w:name="_Toc28418777"/>
      <w:r>
        <w:rPr>
          <w:rFonts w:asciiTheme="majorHAnsi" w:hAnsiTheme="majorHAnsi"/>
        </w:rPr>
        <w:t xml:space="preserve">Sobre </w:t>
      </w:r>
      <w:r w:rsidR="002247BC">
        <w:rPr>
          <w:rFonts w:asciiTheme="majorHAnsi" w:hAnsiTheme="majorHAnsi"/>
        </w:rPr>
        <w:t xml:space="preserve">las iniciativas </w:t>
      </w:r>
      <w:r w:rsidR="00164270" w:rsidRPr="006D531F">
        <w:rPr>
          <w:rFonts w:asciiTheme="majorHAnsi" w:hAnsiTheme="majorHAnsi"/>
        </w:rPr>
        <w:t>de reforma</w:t>
      </w:r>
      <w:r>
        <w:rPr>
          <w:rFonts w:asciiTheme="majorHAnsi" w:hAnsiTheme="majorHAnsi"/>
        </w:rPr>
        <w:t xml:space="preserve"> del marco jurídico interno </w:t>
      </w:r>
      <w:r w:rsidR="00D27C10">
        <w:rPr>
          <w:rFonts w:asciiTheme="majorHAnsi" w:hAnsiTheme="majorHAnsi"/>
        </w:rPr>
        <w:t xml:space="preserve">sobre </w:t>
      </w:r>
      <w:r w:rsidR="006D610A" w:rsidRPr="006D531F">
        <w:rPr>
          <w:rFonts w:asciiTheme="majorHAnsi" w:hAnsiTheme="majorHAnsi"/>
        </w:rPr>
        <w:t>radiodifusión comunitaria</w:t>
      </w:r>
      <w:bookmarkEnd w:id="21"/>
    </w:p>
    <w:p w14:paraId="686A4A86" w14:textId="77777777" w:rsidR="006D610A" w:rsidRPr="006D531F" w:rsidRDefault="006D610A" w:rsidP="006D610A">
      <w:pPr>
        <w:pStyle w:val="ListParagraph"/>
        <w:rPr>
          <w:rFonts w:asciiTheme="majorHAnsi" w:hAnsiTheme="majorHAnsi"/>
          <w:color w:val="auto"/>
          <w:sz w:val="20"/>
          <w:szCs w:val="20"/>
          <w:lang w:val="es-VE"/>
        </w:rPr>
      </w:pPr>
    </w:p>
    <w:p w14:paraId="50B9E20D" w14:textId="77777777" w:rsidR="006D610A" w:rsidRPr="006D531F" w:rsidRDefault="006D610A" w:rsidP="005E31C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r w:rsidRPr="006D531F">
        <w:rPr>
          <w:rFonts w:asciiTheme="majorHAnsi" w:hAnsiTheme="majorHAnsi"/>
          <w:sz w:val="20"/>
          <w:szCs w:val="20"/>
          <w:lang w:val="es-VE"/>
        </w:rPr>
        <w:t xml:space="preserve">Distintas iniciativas de reforma fueron presentadas para modificar la Ley General de Telecomunicaciones en </w:t>
      </w:r>
      <w:r w:rsidRPr="006D531F">
        <w:rPr>
          <w:rFonts w:asciiTheme="majorHAnsi" w:hAnsiTheme="majorHAnsi"/>
          <w:sz w:val="20"/>
          <w:szCs w:val="20"/>
          <w:lang w:val="es-MX"/>
        </w:rPr>
        <w:t>relación</w:t>
      </w:r>
      <w:r w:rsidR="00947E8D">
        <w:rPr>
          <w:rFonts w:asciiTheme="majorHAnsi" w:hAnsiTheme="majorHAnsi"/>
          <w:sz w:val="20"/>
          <w:szCs w:val="20"/>
          <w:lang w:val="es-VE"/>
        </w:rPr>
        <w:t xml:space="preserve"> con las radios comunitarias. El </w:t>
      </w:r>
      <w:r w:rsidR="00606B24">
        <w:rPr>
          <w:rFonts w:asciiTheme="majorHAnsi" w:hAnsiTheme="majorHAnsi"/>
          <w:sz w:val="20"/>
          <w:szCs w:val="20"/>
          <w:lang w:val="es-ES_tradnl"/>
        </w:rPr>
        <w:t>a</w:t>
      </w:r>
      <w:r w:rsidRPr="006D531F">
        <w:rPr>
          <w:rFonts w:asciiTheme="majorHAnsi" w:hAnsiTheme="majorHAnsi"/>
          <w:sz w:val="20"/>
          <w:szCs w:val="20"/>
          <w:lang w:val="es-ES_tradnl"/>
        </w:rPr>
        <w:t xml:space="preserve">nteproyecto de Ley de radiodifusión comunitaria </w:t>
      </w:r>
      <w:r w:rsidR="009F2A56">
        <w:rPr>
          <w:rFonts w:asciiTheme="majorHAnsi" w:hAnsiTheme="majorHAnsi"/>
          <w:sz w:val="20"/>
          <w:szCs w:val="20"/>
          <w:lang w:val="es-ES_tradnl"/>
        </w:rPr>
        <w:t xml:space="preserve">No. 2621 </w:t>
      </w:r>
      <w:r w:rsidR="008420CB">
        <w:rPr>
          <w:rFonts w:asciiTheme="majorHAnsi" w:hAnsiTheme="majorHAnsi"/>
          <w:sz w:val="20"/>
          <w:szCs w:val="20"/>
          <w:lang w:val="es-ES_tradnl"/>
        </w:rPr>
        <w:t>de 2012n</w:t>
      </w:r>
      <w:r w:rsidR="00B96E14">
        <w:rPr>
          <w:rFonts w:asciiTheme="majorHAnsi" w:hAnsiTheme="majorHAnsi"/>
          <w:sz w:val="20"/>
          <w:szCs w:val="20"/>
          <w:lang w:val="es-ES_tradnl"/>
        </w:rPr>
        <w:t xml:space="preserve">proponía un marco normativo </w:t>
      </w:r>
      <w:r w:rsidR="004517DD">
        <w:rPr>
          <w:rFonts w:asciiTheme="majorHAnsi" w:hAnsiTheme="majorHAnsi"/>
          <w:sz w:val="20"/>
          <w:szCs w:val="20"/>
          <w:lang w:val="es-ES_tradnl"/>
        </w:rPr>
        <w:t xml:space="preserve">con el fin de </w:t>
      </w:r>
      <w:r w:rsidRPr="006D531F">
        <w:rPr>
          <w:rFonts w:asciiTheme="majorHAnsi" w:hAnsiTheme="majorHAnsi"/>
          <w:sz w:val="20"/>
          <w:szCs w:val="20"/>
          <w:lang w:val="es-ES_tradnl"/>
        </w:rPr>
        <w:t>reconocer</w:t>
      </w:r>
      <w:r w:rsidR="008947E9">
        <w:rPr>
          <w:rFonts w:asciiTheme="majorHAnsi" w:hAnsiTheme="majorHAnsi"/>
          <w:sz w:val="20"/>
          <w:szCs w:val="20"/>
          <w:lang w:val="es-ES_tradnl"/>
        </w:rPr>
        <w:t xml:space="preserve"> a</w:t>
      </w:r>
      <w:r w:rsidRPr="006D531F">
        <w:rPr>
          <w:rFonts w:asciiTheme="majorHAnsi" w:hAnsiTheme="majorHAnsi"/>
          <w:sz w:val="20"/>
          <w:szCs w:val="20"/>
          <w:lang w:val="es-ES_tradnl"/>
        </w:rPr>
        <w:t xml:space="preserve"> las radios comunitarias y garantizar </w:t>
      </w:r>
      <w:r w:rsidR="001C2719">
        <w:rPr>
          <w:rFonts w:asciiTheme="majorHAnsi" w:hAnsiTheme="majorHAnsi"/>
          <w:sz w:val="20"/>
          <w:szCs w:val="20"/>
          <w:lang w:val="es-ES_tradnl"/>
        </w:rPr>
        <w:t xml:space="preserve">a los pueblos indígenas </w:t>
      </w:r>
      <w:r w:rsidRPr="006D531F">
        <w:rPr>
          <w:rFonts w:asciiTheme="majorHAnsi" w:hAnsiTheme="majorHAnsi"/>
          <w:sz w:val="20"/>
          <w:szCs w:val="20"/>
          <w:lang w:val="es-ES_tradnl"/>
        </w:rPr>
        <w:t>el ejercicio en condiciones de igualdad de la libre emisión del pensamiento</w:t>
      </w:r>
      <w:r w:rsidR="005367EE">
        <w:rPr>
          <w:rFonts w:asciiTheme="majorHAnsi" w:hAnsiTheme="majorHAnsi"/>
          <w:sz w:val="20"/>
          <w:szCs w:val="20"/>
          <w:lang w:val="es-ES_tradnl"/>
        </w:rPr>
        <w:t xml:space="preserve"> </w:t>
      </w:r>
      <w:r w:rsidRPr="006D531F">
        <w:rPr>
          <w:rFonts w:asciiTheme="majorHAnsi" w:hAnsiTheme="majorHAnsi"/>
          <w:sz w:val="20"/>
          <w:szCs w:val="20"/>
          <w:lang w:val="es-ES_tradnl"/>
        </w:rPr>
        <w:t>mediante la utilización de frecuencias radioeléctricas para la radiodifusió</w:t>
      </w:r>
      <w:r w:rsidR="00880711">
        <w:rPr>
          <w:rFonts w:asciiTheme="majorHAnsi" w:hAnsiTheme="majorHAnsi"/>
          <w:sz w:val="20"/>
          <w:szCs w:val="20"/>
          <w:lang w:val="es-ES_tradnl"/>
        </w:rPr>
        <w:t>n</w:t>
      </w:r>
      <w:r w:rsidRPr="006D531F">
        <w:rPr>
          <w:rStyle w:val="FootnoteReference"/>
          <w:rFonts w:asciiTheme="majorHAnsi" w:hAnsiTheme="majorHAnsi"/>
          <w:sz w:val="20"/>
          <w:szCs w:val="20"/>
          <w:lang w:val="es-ES_tradnl"/>
        </w:rPr>
        <w:footnoteReference w:id="27"/>
      </w:r>
      <w:r w:rsidR="00880711">
        <w:rPr>
          <w:rFonts w:asciiTheme="majorHAnsi" w:hAnsiTheme="majorHAnsi"/>
          <w:sz w:val="20"/>
          <w:szCs w:val="20"/>
          <w:lang w:val="es-ES_tradnl"/>
        </w:rPr>
        <w:t>.</w:t>
      </w:r>
      <w:r w:rsidRPr="006D531F">
        <w:rPr>
          <w:rFonts w:asciiTheme="majorHAnsi" w:hAnsiTheme="majorHAnsi"/>
          <w:sz w:val="20"/>
          <w:szCs w:val="20"/>
          <w:lang w:val="es-VE"/>
        </w:rPr>
        <w:t>Según información proporcionada por los peticionarios</w:t>
      </w:r>
      <w:r w:rsidR="001F5C67">
        <w:rPr>
          <w:rFonts w:asciiTheme="majorHAnsi" w:hAnsiTheme="majorHAnsi"/>
          <w:sz w:val="20"/>
          <w:szCs w:val="20"/>
          <w:lang w:val="es-VE"/>
        </w:rPr>
        <w:t>,</w:t>
      </w:r>
      <w:r w:rsidRPr="006D531F">
        <w:rPr>
          <w:rFonts w:asciiTheme="majorHAnsi" w:hAnsiTheme="majorHAnsi"/>
          <w:sz w:val="20"/>
          <w:szCs w:val="20"/>
          <w:lang w:val="es-VE"/>
        </w:rPr>
        <w:t xml:space="preserve"> esta </w:t>
      </w:r>
      <w:r w:rsidRPr="006D531F">
        <w:rPr>
          <w:rFonts w:asciiTheme="majorHAnsi" w:hAnsiTheme="majorHAnsi"/>
          <w:sz w:val="20"/>
          <w:szCs w:val="20"/>
          <w:lang w:val="es-ES_tradnl"/>
        </w:rPr>
        <w:t>iniciativa no ha salido de la etapa de revisión del Comité</w:t>
      </w:r>
      <w:r w:rsidRPr="006D531F">
        <w:rPr>
          <w:rStyle w:val="FootnoteReference"/>
          <w:rFonts w:asciiTheme="majorHAnsi" w:hAnsiTheme="majorHAnsi"/>
          <w:sz w:val="20"/>
          <w:szCs w:val="20"/>
          <w:lang w:val="es-ES_tradnl"/>
        </w:rPr>
        <w:footnoteReference w:id="28"/>
      </w:r>
      <w:r w:rsidRPr="006D531F">
        <w:rPr>
          <w:rFonts w:asciiTheme="majorHAnsi" w:hAnsiTheme="majorHAnsi"/>
          <w:sz w:val="20"/>
          <w:szCs w:val="20"/>
          <w:lang w:val="es-ES_tradnl"/>
        </w:rPr>
        <w:t>.</w:t>
      </w:r>
      <w:r w:rsidRPr="006D531F">
        <w:rPr>
          <w:rFonts w:asciiTheme="majorHAnsi" w:hAnsiTheme="majorHAnsi"/>
          <w:sz w:val="20"/>
          <w:szCs w:val="20"/>
          <w:lang w:val="es-VE"/>
        </w:rPr>
        <w:t xml:space="preserve"> </w:t>
      </w:r>
      <w:r w:rsidR="00947E8D">
        <w:rPr>
          <w:rFonts w:asciiTheme="majorHAnsi" w:hAnsiTheme="majorHAnsi"/>
          <w:sz w:val="20"/>
          <w:szCs w:val="20"/>
          <w:lang w:val="es-VE"/>
        </w:rPr>
        <w:t>El</w:t>
      </w:r>
      <w:r w:rsidRPr="006D531F">
        <w:rPr>
          <w:rFonts w:asciiTheme="majorHAnsi" w:hAnsiTheme="majorHAnsi"/>
          <w:sz w:val="20"/>
          <w:szCs w:val="20"/>
          <w:lang w:val="es-ES_tradnl"/>
        </w:rPr>
        <w:t xml:space="preserve"> Estado señala que la Iniciativa 2621 se encuentra pendiente de </w:t>
      </w:r>
      <w:r w:rsidR="00D3027A">
        <w:rPr>
          <w:rFonts w:asciiTheme="majorHAnsi" w:hAnsiTheme="majorHAnsi"/>
          <w:sz w:val="20"/>
          <w:szCs w:val="20"/>
          <w:lang w:val="es-ES_tradnl"/>
        </w:rPr>
        <w:t>d</w:t>
      </w:r>
      <w:r w:rsidRPr="006D531F">
        <w:rPr>
          <w:rFonts w:asciiTheme="majorHAnsi" w:hAnsiTheme="majorHAnsi"/>
          <w:sz w:val="20"/>
          <w:szCs w:val="20"/>
          <w:lang w:val="es-ES_tradnl"/>
        </w:rPr>
        <w:t>ictamen por parte de la comisión de Comunicación, Transporte, Obras públicas</w:t>
      </w:r>
      <w:r w:rsidRPr="006D531F">
        <w:rPr>
          <w:rStyle w:val="FootnoteReference"/>
          <w:rFonts w:asciiTheme="majorHAnsi" w:hAnsiTheme="majorHAnsi"/>
          <w:sz w:val="20"/>
          <w:szCs w:val="20"/>
          <w:lang w:val="es-ES_tradnl"/>
        </w:rPr>
        <w:footnoteReference w:id="29"/>
      </w:r>
      <w:r w:rsidRPr="006D531F">
        <w:rPr>
          <w:rFonts w:asciiTheme="majorHAnsi" w:hAnsiTheme="majorHAnsi"/>
          <w:sz w:val="20"/>
          <w:szCs w:val="20"/>
          <w:lang w:val="es-ES_tradnl"/>
        </w:rPr>
        <w:t>.</w:t>
      </w:r>
    </w:p>
    <w:p w14:paraId="0621F1BB" w14:textId="77777777" w:rsidR="005E31C3" w:rsidRPr="006D531F" w:rsidRDefault="005E31C3" w:rsidP="005E31C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VE"/>
        </w:rPr>
      </w:pPr>
    </w:p>
    <w:p w14:paraId="5F4340B7" w14:textId="77777777" w:rsidR="006D610A" w:rsidRPr="006D531F" w:rsidRDefault="006D610A" w:rsidP="005E31C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r w:rsidRPr="006D531F">
        <w:rPr>
          <w:rFonts w:asciiTheme="majorHAnsi" w:hAnsiTheme="majorHAnsi"/>
          <w:sz w:val="20"/>
          <w:szCs w:val="20"/>
          <w:lang w:val="es-ES_tradnl"/>
        </w:rPr>
        <w:t xml:space="preserve">Una segunda y tercera iniciativa de reforma fueron presentadas en </w:t>
      </w:r>
      <w:r w:rsidR="002D566F">
        <w:rPr>
          <w:rFonts w:asciiTheme="majorHAnsi" w:hAnsiTheme="majorHAnsi"/>
          <w:sz w:val="20"/>
          <w:szCs w:val="20"/>
          <w:lang w:val="es-ES_tradnl"/>
        </w:rPr>
        <w:t xml:space="preserve">el </w:t>
      </w:r>
      <w:r w:rsidRPr="006D531F">
        <w:rPr>
          <w:rFonts w:asciiTheme="majorHAnsi" w:hAnsiTheme="majorHAnsi"/>
          <w:sz w:val="20"/>
          <w:szCs w:val="20"/>
          <w:lang w:val="es-ES_tradnl"/>
        </w:rPr>
        <w:t>2004</w:t>
      </w:r>
      <w:r w:rsidR="002D566F">
        <w:rPr>
          <w:rFonts w:asciiTheme="majorHAnsi" w:hAnsiTheme="majorHAnsi"/>
          <w:sz w:val="20"/>
          <w:szCs w:val="20"/>
          <w:lang w:val="es-ES_tradnl"/>
        </w:rPr>
        <w:t xml:space="preserve"> y 2005, respectivamente</w:t>
      </w:r>
      <w:r w:rsidRPr="006D531F">
        <w:rPr>
          <w:rFonts w:asciiTheme="majorHAnsi" w:hAnsiTheme="majorHAnsi"/>
          <w:sz w:val="20"/>
          <w:szCs w:val="20"/>
          <w:lang w:val="es-ES_tradnl"/>
        </w:rPr>
        <w:t xml:space="preserve">. Por un lado, la </w:t>
      </w:r>
      <w:r w:rsidR="00D67F67">
        <w:rPr>
          <w:rFonts w:asciiTheme="majorHAnsi" w:hAnsiTheme="majorHAnsi"/>
          <w:sz w:val="20"/>
          <w:szCs w:val="20"/>
          <w:lang w:val="es-ES_tradnl"/>
        </w:rPr>
        <w:t>I</w:t>
      </w:r>
      <w:r w:rsidRPr="006D531F">
        <w:rPr>
          <w:rFonts w:asciiTheme="majorHAnsi" w:hAnsiTheme="majorHAnsi"/>
          <w:sz w:val="20"/>
          <w:szCs w:val="20"/>
          <w:lang w:val="es-ES_tradnl"/>
        </w:rPr>
        <w:t xml:space="preserve">niciativa </w:t>
      </w:r>
      <w:r w:rsidR="00D67F67">
        <w:rPr>
          <w:rFonts w:asciiTheme="majorHAnsi" w:hAnsiTheme="majorHAnsi"/>
          <w:sz w:val="20"/>
          <w:szCs w:val="20"/>
          <w:lang w:val="es-ES_tradnl"/>
        </w:rPr>
        <w:t xml:space="preserve">No. </w:t>
      </w:r>
      <w:r w:rsidRPr="006D531F">
        <w:rPr>
          <w:rFonts w:asciiTheme="majorHAnsi" w:hAnsiTheme="majorHAnsi"/>
          <w:sz w:val="20"/>
          <w:szCs w:val="20"/>
          <w:lang w:val="es-ES_tradnl"/>
        </w:rPr>
        <w:t xml:space="preserve">3142 fue presentada por un grupo de </w:t>
      </w:r>
      <w:r w:rsidR="00D67F67">
        <w:rPr>
          <w:rFonts w:asciiTheme="majorHAnsi" w:hAnsiTheme="majorHAnsi"/>
          <w:sz w:val="20"/>
          <w:szCs w:val="20"/>
          <w:lang w:val="es-ES_tradnl"/>
        </w:rPr>
        <w:t>d</w:t>
      </w:r>
      <w:r w:rsidRPr="006D531F">
        <w:rPr>
          <w:rFonts w:asciiTheme="majorHAnsi" w:hAnsiTheme="majorHAnsi"/>
          <w:sz w:val="20"/>
          <w:szCs w:val="20"/>
          <w:lang w:val="es-ES_tradnl"/>
        </w:rPr>
        <w:t>iputados que solicitaron la aprobación de las reformas a la LGT para incorporar dentro del marco legal del país a las radios comunitarias facilitándoles determinadas frecuencias</w:t>
      </w:r>
      <w:r w:rsidRPr="006D531F">
        <w:rPr>
          <w:rStyle w:val="FootnoteReference"/>
          <w:rFonts w:asciiTheme="majorHAnsi" w:hAnsiTheme="majorHAnsi"/>
          <w:sz w:val="20"/>
          <w:szCs w:val="20"/>
          <w:lang w:val="es-ES_tradnl"/>
        </w:rPr>
        <w:footnoteReference w:id="30"/>
      </w:r>
      <w:r w:rsidRPr="006D531F">
        <w:rPr>
          <w:rFonts w:asciiTheme="majorHAnsi" w:hAnsiTheme="majorHAnsi"/>
          <w:sz w:val="20"/>
          <w:szCs w:val="20"/>
          <w:lang w:val="es-ES_tradnl"/>
        </w:rPr>
        <w:t xml:space="preserve">. Por otro lado, la Iniciativa </w:t>
      </w:r>
      <w:r w:rsidR="00D67F67">
        <w:rPr>
          <w:rFonts w:asciiTheme="majorHAnsi" w:hAnsiTheme="majorHAnsi"/>
          <w:sz w:val="20"/>
          <w:szCs w:val="20"/>
          <w:lang w:val="es-ES_tradnl"/>
        </w:rPr>
        <w:t xml:space="preserve">No. </w:t>
      </w:r>
      <w:r w:rsidRPr="006D531F">
        <w:rPr>
          <w:rFonts w:asciiTheme="majorHAnsi" w:hAnsiTheme="majorHAnsi"/>
          <w:sz w:val="20"/>
          <w:szCs w:val="20"/>
          <w:lang w:val="es-ES_tradnl"/>
        </w:rPr>
        <w:t xml:space="preserve">3151 buscó adicionar un inciso al </w:t>
      </w:r>
      <w:r w:rsidR="00926DB7">
        <w:rPr>
          <w:rFonts w:asciiTheme="majorHAnsi" w:hAnsiTheme="majorHAnsi"/>
          <w:sz w:val="20"/>
          <w:szCs w:val="20"/>
          <w:lang w:val="es-ES_tradnl"/>
        </w:rPr>
        <w:t>a</w:t>
      </w:r>
      <w:r w:rsidRPr="006D531F">
        <w:rPr>
          <w:rFonts w:asciiTheme="majorHAnsi" w:hAnsiTheme="majorHAnsi"/>
          <w:sz w:val="20"/>
          <w:szCs w:val="20"/>
          <w:lang w:val="es-ES_tradnl"/>
        </w:rPr>
        <w:t xml:space="preserve">rtículo 51 de la LGT a través del cual el Estado reconocería la existencia de emisoras comunitarias, permitiéndoles continuar con el servicio prestado, normalizando su labor mediante </w:t>
      </w:r>
      <w:r w:rsidR="00926DB7">
        <w:rPr>
          <w:rFonts w:asciiTheme="majorHAnsi" w:hAnsiTheme="majorHAnsi"/>
          <w:sz w:val="20"/>
          <w:szCs w:val="20"/>
          <w:lang w:val="es-ES_tradnl"/>
        </w:rPr>
        <w:t xml:space="preserve">la </w:t>
      </w:r>
      <w:r w:rsidRPr="006D531F">
        <w:rPr>
          <w:rFonts w:asciiTheme="majorHAnsi" w:hAnsiTheme="majorHAnsi"/>
          <w:sz w:val="20"/>
          <w:szCs w:val="20"/>
          <w:lang w:val="es-ES_tradnl"/>
        </w:rPr>
        <w:t>concesión de usufructo debidamente otorgado por la Superintendencia de Telecomunicaciones</w:t>
      </w:r>
      <w:r w:rsidRPr="006D531F">
        <w:rPr>
          <w:rStyle w:val="FootnoteReference"/>
          <w:rFonts w:asciiTheme="majorHAnsi" w:hAnsiTheme="majorHAnsi"/>
          <w:sz w:val="20"/>
          <w:szCs w:val="20"/>
          <w:lang w:val="es-ES_tradnl"/>
        </w:rPr>
        <w:footnoteReference w:id="31"/>
      </w:r>
      <w:r w:rsidR="00926DB7">
        <w:rPr>
          <w:rFonts w:asciiTheme="majorHAnsi" w:hAnsiTheme="majorHAnsi"/>
          <w:sz w:val="20"/>
          <w:szCs w:val="20"/>
          <w:lang w:val="es-ES_tradnl"/>
        </w:rPr>
        <w:t>.</w:t>
      </w:r>
      <w:r w:rsidRPr="006D531F">
        <w:rPr>
          <w:rFonts w:asciiTheme="majorHAnsi" w:hAnsiTheme="majorHAnsi"/>
          <w:sz w:val="20"/>
          <w:szCs w:val="20"/>
          <w:lang w:val="es-ES_tradnl"/>
        </w:rPr>
        <w:t xml:space="preserve"> De acuerdo </w:t>
      </w:r>
      <w:r w:rsidR="00A839C6" w:rsidRPr="006D531F">
        <w:rPr>
          <w:rFonts w:asciiTheme="majorHAnsi" w:hAnsiTheme="majorHAnsi"/>
          <w:sz w:val="20"/>
          <w:szCs w:val="20"/>
          <w:lang w:val="es-ES_tradnl"/>
        </w:rPr>
        <w:t>con</w:t>
      </w:r>
      <w:r w:rsidRPr="006D531F">
        <w:rPr>
          <w:rFonts w:asciiTheme="majorHAnsi" w:hAnsiTheme="majorHAnsi"/>
          <w:sz w:val="20"/>
          <w:szCs w:val="20"/>
          <w:lang w:val="es-ES_tradnl"/>
        </w:rPr>
        <w:t xml:space="preserve"> la información proporcionada por los peticionarios ninguna de las dos iniciativas ha sido aprobada. El Estado no ha controvertido esta información. </w:t>
      </w:r>
    </w:p>
    <w:p w14:paraId="321685A5" w14:textId="77777777" w:rsidR="00061858" w:rsidRPr="006D531F" w:rsidRDefault="00061858" w:rsidP="00061858">
      <w:pPr>
        <w:pStyle w:val="ListParagraph"/>
        <w:rPr>
          <w:rFonts w:asciiTheme="majorHAnsi" w:hAnsiTheme="majorHAnsi"/>
          <w:color w:val="auto"/>
          <w:sz w:val="20"/>
          <w:szCs w:val="20"/>
          <w:lang w:val="es-VE"/>
        </w:rPr>
      </w:pPr>
    </w:p>
    <w:p w14:paraId="2511EAA0" w14:textId="77777777" w:rsidR="006D610A" w:rsidRPr="006D531F" w:rsidRDefault="006D610A" w:rsidP="0006185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r w:rsidRPr="006D531F">
        <w:rPr>
          <w:rFonts w:asciiTheme="majorHAnsi" w:hAnsiTheme="majorHAnsi"/>
          <w:sz w:val="20"/>
          <w:szCs w:val="20"/>
          <w:lang w:val="es-ES_tradnl"/>
        </w:rPr>
        <w:t xml:space="preserve">La Iniciativa </w:t>
      </w:r>
      <w:r w:rsidR="009D5B90">
        <w:rPr>
          <w:rFonts w:asciiTheme="majorHAnsi" w:hAnsiTheme="majorHAnsi"/>
          <w:sz w:val="20"/>
          <w:szCs w:val="20"/>
          <w:lang w:val="es-ES_tradnl"/>
        </w:rPr>
        <w:t xml:space="preserve">No. </w:t>
      </w:r>
      <w:r w:rsidRPr="006D531F">
        <w:rPr>
          <w:rFonts w:asciiTheme="majorHAnsi" w:hAnsiTheme="majorHAnsi"/>
          <w:sz w:val="20"/>
          <w:szCs w:val="20"/>
          <w:lang w:val="es-ES_tradnl"/>
        </w:rPr>
        <w:t xml:space="preserve">4087 fue presentada al Congreso de Guatemala </w:t>
      </w:r>
      <w:r w:rsidR="009D5B90">
        <w:rPr>
          <w:rFonts w:asciiTheme="majorHAnsi" w:hAnsiTheme="majorHAnsi"/>
          <w:sz w:val="20"/>
          <w:szCs w:val="20"/>
          <w:lang w:val="es-ES_tradnl"/>
        </w:rPr>
        <w:t xml:space="preserve">en el </w:t>
      </w:r>
      <w:r w:rsidRPr="006D531F">
        <w:rPr>
          <w:rFonts w:asciiTheme="majorHAnsi" w:hAnsiTheme="majorHAnsi"/>
          <w:sz w:val="20"/>
          <w:szCs w:val="20"/>
          <w:lang w:val="es-ES_tradnl"/>
        </w:rPr>
        <w:t xml:space="preserve">2009 con el objetivo de aprobar la “Ley de medios de comunicación comunitaria”. Dicho proyecto de </w:t>
      </w:r>
      <w:r w:rsidR="00715E61">
        <w:rPr>
          <w:rFonts w:asciiTheme="majorHAnsi" w:hAnsiTheme="majorHAnsi"/>
          <w:sz w:val="20"/>
          <w:szCs w:val="20"/>
          <w:lang w:val="es-ES_tradnl"/>
        </w:rPr>
        <w:t>l</w:t>
      </w:r>
      <w:r w:rsidRPr="006D531F">
        <w:rPr>
          <w:rFonts w:asciiTheme="majorHAnsi" w:hAnsiTheme="majorHAnsi"/>
          <w:sz w:val="20"/>
          <w:szCs w:val="20"/>
          <w:lang w:val="es-ES_tradnl"/>
        </w:rPr>
        <w:t xml:space="preserve">ey </w:t>
      </w:r>
      <w:r w:rsidRPr="006D531F">
        <w:rPr>
          <w:rFonts w:asciiTheme="majorHAnsi" w:hAnsiTheme="majorHAnsi"/>
          <w:sz w:val="20"/>
          <w:szCs w:val="20"/>
          <w:lang w:val="es-MX"/>
        </w:rPr>
        <w:t xml:space="preserve">definía a la radio comunitaria y </w:t>
      </w:r>
      <w:r w:rsidRPr="006D531F">
        <w:rPr>
          <w:rFonts w:asciiTheme="majorHAnsi" w:hAnsiTheme="majorHAnsi"/>
          <w:sz w:val="20"/>
          <w:szCs w:val="20"/>
          <w:lang w:val="es-MX"/>
        </w:rPr>
        <w:lastRenderedPageBreak/>
        <w:t>establecía un procedimiento especial de concesión de licencia, con criterios y requisitos especiales y garantizaba la reserva del espectro radioeléctrico para ser usado por las radios comunitarias</w:t>
      </w:r>
      <w:r w:rsidRPr="006D531F">
        <w:rPr>
          <w:rStyle w:val="FootnoteReference"/>
          <w:rFonts w:asciiTheme="majorHAnsi" w:hAnsiTheme="majorHAnsi"/>
          <w:sz w:val="20"/>
          <w:szCs w:val="20"/>
          <w:lang w:val="es-ES_tradnl"/>
        </w:rPr>
        <w:footnoteReference w:id="32"/>
      </w:r>
      <w:r w:rsidRPr="006D531F">
        <w:rPr>
          <w:rFonts w:asciiTheme="majorHAnsi" w:hAnsiTheme="majorHAnsi"/>
          <w:sz w:val="20"/>
          <w:szCs w:val="20"/>
          <w:lang w:val="es-ES_tradnl"/>
        </w:rPr>
        <w:t>.</w:t>
      </w:r>
      <w:r w:rsidRPr="006D531F">
        <w:rPr>
          <w:rFonts w:asciiTheme="majorHAnsi" w:hAnsiTheme="majorHAnsi"/>
          <w:sz w:val="20"/>
          <w:szCs w:val="20"/>
          <w:lang w:val="es-MX"/>
        </w:rPr>
        <w:t xml:space="preserve"> De acuerdo </w:t>
      </w:r>
      <w:r w:rsidR="00061858" w:rsidRPr="006D531F">
        <w:rPr>
          <w:rFonts w:asciiTheme="majorHAnsi" w:hAnsiTheme="majorHAnsi"/>
          <w:sz w:val="20"/>
          <w:szCs w:val="20"/>
          <w:lang w:val="es-MX"/>
        </w:rPr>
        <w:t>con</w:t>
      </w:r>
      <w:r w:rsidRPr="006D531F">
        <w:rPr>
          <w:rFonts w:asciiTheme="majorHAnsi" w:hAnsiTheme="majorHAnsi"/>
          <w:sz w:val="20"/>
          <w:szCs w:val="20"/>
          <w:lang w:val="es-MX"/>
        </w:rPr>
        <w:t xml:space="preserve"> la información proporcionada por los peticionarios, la iniciativa de ley </w:t>
      </w:r>
      <w:r w:rsidR="00947E8D">
        <w:rPr>
          <w:rFonts w:asciiTheme="majorHAnsi" w:hAnsiTheme="majorHAnsi"/>
          <w:sz w:val="20"/>
          <w:szCs w:val="20"/>
          <w:lang w:val="es-MX"/>
        </w:rPr>
        <w:t>no llegó a ser</w:t>
      </w:r>
      <w:r w:rsidRPr="006D531F">
        <w:rPr>
          <w:rFonts w:asciiTheme="majorHAnsi" w:hAnsiTheme="majorHAnsi"/>
          <w:sz w:val="20"/>
          <w:szCs w:val="20"/>
          <w:lang w:val="es-MX"/>
        </w:rPr>
        <w:t xml:space="preserve"> debidamente discutida y puesta a voto</w:t>
      </w:r>
      <w:r w:rsidRPr="006D531F">
        <w:rPr>
          <w:rStyle w:val="FootnoteReference"/>
          <w:rFonts w:asciiTheme="majorHAnsi" w:hAnsiTheme="majorHAnsi"/>
          <w:sz w:val="20"/>
          <w:szCs w:val="20"/>
          <w:lang w:val="es-MX"/>
        </w:rPr>
        <w:footnoteReference w:id="33"/>
      </w:r>
      <w:r w:rsidRPr="006D531F">
        <w:rPr>
          <w:rFonts w:asciiTheme="majorHAnsi" w:hAnsiTheme="majorHAnsi"/>
          <w:sz w:val="20"/>
          <w:szCs w:val="20"/>
          <w:lang w:val="es-MX"/>
        </w:rPr>
        <w:t>.  Por su parte, el Estado no aportó documentación en contrario.</w:t>
      </w:r>
    </w:p>
    <w:p w14:paraId="3B62D43E" w14:textId="77777777" w:rsidR="00061858" w:rsidRPr="006D531F" w:rsidRDefault="00061858" w:rsidP="00061858">
      <w:pPr>
        <w:pStyle w:val="ListParagraph"/>
        <w:rPr>
          <w:rFonts w:asciiTheme="majorHAnsi" w:hAnsiTheme="majorHAnsi"/>
          <w:color w:val="auto"/>
          <w:sz w:val="20"/>
          <w:szCs w:val="20"/>
          <w:lang w:val="es-VE"/>
        </w:rPr>
      </w:pPr>
    </w:p>
    <w:p w14:paraId="59751960" w14:textId="77777777" w:rsidR="00073BB6" w:rsidRPr="006D531F" w:rsidRDefault="006D610A" w:rsidP="008A1CD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r w:rsidRPr="006D531F">
        <w:rPr>
          <w:rFonts w:asciiTheme="majorHAnsi" w:hAnsiTheme="majorHAnsi"/>
          <w:sz w:val="20"/>
          <w:szCs w:val="20"/>
          <w:lang w:val="es-MX"/>
        </w:rPr>
        <w:t xml:space="preserve">En </w:t>
      </w:r>
      <w:r w:rsidR="005D5EEC">
        <w:rPr>
          <w:rFonts w:asciiTheme="majorHAnsi" w:hAnsiTheme="majorHAnsi"/>
          <w:sz w:val="20"/>
          <w:szCs w:val="20"/>
          <w:lang w:val="es-MX"/>
        </w:rPr>
        <w:t xml:space="preserve">el </w:t>
      </w:r>
      <w:r w:rsidRPr="006D531F">
        <w:rPr>
          <w:rFonts w:asciiTheme="majorHAnsi" w:hAnsiTheme="majorHAnsi"/>
          <w:sz w:val="20"/>
          <w:szCs w:val="20"/>
          <w:lang w:val="es-MX"/>
        </w:rPr>
        <w:t>2012 la Comisión de Legislación y Puntos Constitucionales del Congreso emitió dictamen favorable respecto de la Iniciativa 4479</w:t>
      </w:r>
      <w:r w:rsidRPr="006D531F">
        <w:rPr>
          <w:rStyle w:val="FootnoteReference"/>
          <w:rFonts w:asciiTheme="majorHAnsi" w:hAnsiTheme="majorHAnsi"/>
          <w:sz w:val="20"/>
          <w:szCs w:val="20"/>
          <w:lang w:val="es-MX"/>
        </w:rPr>
        <w:footnoteReference w:id="34"/>
      </w:r>
      <w:r w:rsidRPr="006D531F">
        <w:rPr>
          <w:rFonts w:asciiTheme="majorHAnsi" w:hAnsiTheme="majorHAnsi"/>
          <w:sz w:val="20"/>
          <w:szCs w:val="20"/>
          <w:lang w:val="es-MX"/>
        </w:rPr>
        <w:t xml:space="preserve">, que disponía aprobar reformas al Código Penal de Guatemala, en específico el </w:t>
      </w:r>
      <w:r w:rsidR="00A62F5D">
        <w:rPr>
          <w:rFonts w:asciiTheme="majorHAnsi" w:hAnsiTheme="majorHAnsi"/>
          <w:sz w:val="20"/>
          <w:szCs w:val="20"/>
          <w:lang w:val="es-MX"/>
        </w:rPr>
        <w:t>a</w:t>
      </w:r>
      <w:r w:rsidRPr="006D531F">
        <w:rPr>
          <w:rFonts w:asciiTheme="majorHAnsi" w:hAnsiTheme="majorHAnsi"/>
          <w:sz w:val="20"/>
          <w:szCs w:val="20"/>
          <w:lang w:val="es-MX"/>
        </w:rPr>
        <w:t>rtículo 219, para sancionar a las personas individuales o jurídicas que utilicen el espectro radioeléctrico o hagan transmisiones de ondas sonoras, audiovisuales o cualquier otro tipo de comunicación sin la autorización estatal correspondiente</w:t>
      </w:r>
      <w:r w:rsidRPr="006D531F">
        <w:rPr>
          <w:rStyle w:val="FootnoteReference"/>
          <w:rFonts w:asciiTheme="majorHAnsi" w:hAnsiTheme="majorHAnsi"/>
          <w:sz w:val="20"/>
          <w:szCs w:val="20"/>
          <w:lang w:val="es-MX"/>
        </w:rPr>
        <w:footnoteReference w:id="35"/>
      </w:r>
      <w:r w:rsidRPr="006D531F">
        <w:rPr>
          <w:rFonts w:asciiTheme="majorHAnsi" w:hAnsiTheme="majorHAnsi"/>
          <w:sz w:val="20"/>
          <w:szCs w:val="20"/>
          <w:lang w:val="es-MX"/>
        </w:rPr>
        <w:t>.</w:t>
      </w:r>
    </w:p>
    <w:p w14:paraId="7C5B6352" w14:textId="77777777" w:rsidR="00735CBC" w:rsidRPr="006D531F" w:rsidRDefault="00735CBC" w:rsidP="00735CBC">
      <w:pPr>
        <w:pStyle w:val="ListParagraph"/>
        <w:rPr>
          <w:rFonts w:asciiTheme="majorHAnsi" w:hAnsiTheme="majorHAnsi"/>
          <w:color w:val="auto"/>
          <w:sz w:val="20"/>
          <w:szCs w:val="20"/>
          <w:lang w:val="es-VE"/>
        </w:rPr>
      </w:pPr>
    </w:p>
    <w:p w14:paraId="58FE2CC2" w14:textId="77777777" w:rsidR="00735CBC" w:rsidRPr="006D531F" w:rsidRDefault="00735CBC" w:rsidP="000E521A">
      <w:pPr>
        <w:pStyle w:val="Heading2"/>
        <w:rPr>
          <w:rFonts w:asciiTheme="majorHAnsi" w:hAnsiTheme="majorHAnsi"/>
        </w:rPr>
      </w:pPr>
      <w:bookmarkStart w:id="22" w:name="_Toc28418778"/>
      <w:r w:rsidRPr="006D531F">
        <w:rPr>
          <w:rFonts w:asciiTheme="majorHAnsi" w:hAnsiTheme="majorHAnsi"/>
        </w:rPr>
        <w:t>Sobre la Acción de Inconstitucionalidad</w:t>
      </w:r>
      <w:r w:rsidR="00371DE2" w:rsidRPr="006D531F">
        <w:rPr>
          <w:rFonts w:asciiTheme="majorHAnsi" w:hAnsiTheme="majorHAnsi"/>
        </w:rPr>
        <w:t xml:space="preserve"> contra la Ley General de</w:t>
      </w:r>
      <w:r w:rsidR="004F400D" w:rsidRPr="006D531F">
        <w:rPr>
          <w:rFonts w:asciiTheme="majorHAnsi" w:hAnsiTheme="majorHAnsi"/>
        </w:rPr>
        <w:t xml:space="preserve"> </w:t>
      </w:r>
      <w:r w:rsidR="00371DE2" w:rsidRPr="006D531F">
        <w:rPr>
          <w:rFonts w:asciiTheme="majorHAnsi" w:hAnsiTheme="majorHAnsi"/>
        </w:rPr>
        <w:t>Telecomunicaciones</w:t>
      </w:r>
      <w:bookmarkEnd w:id="22"/>
    </w:p>
    <w:p w14:paraId="2A0804F1" w14:textId="77777777" w:rsidR="00735CBC" w:rsidRPr="006D531F" w:rsidRDefault="00735CBC" w:rsidP="007C330C">
      <w:pPr>
        <w:pStyle w:val="ListParagraph"/>
        <w:jc w:val="both"/>
        <w:rPr>
          <w:rFonts w:asciiTheme="majorHAnsi" w:hAnsiTheme="majorHAnsi"/>
          <w:color w:val="auto"/>
          <w:sz w:val="20"/>
          <w:szCs w:val="20"/>
          <w:lang w:val="es-ES_tradnl"/>
        </w:rPr>
      </w:pPr>
    </w:p>
    <w:p w14:paraId="10B24BB3" w14:textId="77777777" w:rsidR="00735CBC" w:rsidRPr="006D531F" w:rsidRDefault="00735CBC" w:rsidP="00AA55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r w:rsidRPr="006D531F">
        <w:rPr>
          <w:rFonts w:asciiTheme="majorHAnsi" w:hAnsiTheme="majorHAnsi"/>
          <w:sz w:val="20"/>
          <w:szCs w:val="20"/>
          <w:lang w:val="es-MX"/>
        </w:rPr>
        <w:t>El</w:t>
      </w:r>
      <w:r w:rsidRPr="006D531F">
        <w:rPr>
          <w:rFonts w:asciiTheme="majorHAnsi" w:hAnsiTheme="majorHAnsi"/>
          <w:sz w:val="20"/>
          <w:szCs w:val="20"/>
          <w:lang w:val="es-ES_tradnl"/>
        </w:rPr>
        <w:t xml:space="preserve"> 17 de noviembre de 2011 la Asociación de Sobrevivencia Cultural, peticionaria </w:t>
      </w:r>
      <w:r w:rsidR="0075277D" w:rsidRPr="006D531F">
        <w:rPr>
          <w:rFonts w:asciiTheme="majorHAnsi" w:hAnsiTheme="majorHAnsi"/>
          <w:sz w:val="20"/>
          <w:szCs w:val="20"/>
          <w:lang w:val="es-ES_tradnl"/>
        </w:rPr>
        <w:t>del</w:t>
      </w:r>
      <w:r w:rsidRPr="006D531F">
        <w:rPr>
          <w:rFonts w:asciiTheme="majorHAnsi" w:hAnsiTheme="majorHAnsi"/>
          <w:sz w:val="20"/>
          <w:szCs w:val="20"/>
          <w:lang w:val="es-ES_tradnl"/>
        </w:rPr>
        <w:t xml:space="preserve"> caso, promovió una acción de inconstitucionalidad ante la Corte de Constitucionalidad de la República de Guatemala,</w:t>
      </w:r>
      <w:r w:rsidR="00A84887" w:rsidRPr="006D531F">
        <w:rPr>
          <w:rFonts w:asciiTheme="majorHAnsi" w:hAnsiTheme="majorHAnsi"/>
          <w:sz w:val="20"/>
          <w:szCs w:val="20"/>
          <w:lang w:val="es-ES_tradnl"/>
        </w:rPr>
        <w:t xml:space="preserve"> a través de </w:t>
      </w:r>
      <w:r w:rsidR="009B0008" w:rsidRPr="006D531F">
        <w:rPr>
          <w:rFonts w:asciiTheme="majorHAnsi" w:hAnsiTheme="majorHAnsi"/>
          <w:sz w:val="20"/>
          <w:szCs w:val="20"/>
          <w:lang w:val="es-ES_tradnl"/>
        </w:rPr>
        <w:t>su representante An</w:t>
      </w:r>
      <w:r w:rsidR="00CE31F7" w:rsidRPr="006D531F">
        <w:rPr>
          <w:rFonts w:asciiTheme="majorHAnsi" w:hAnsiTheme="majorHAnsi"/>
          <w:sz w:val="20"/>
          <w:szCs w:val="20"/>
          <w:lang w:val="es-ES_tradnl"/>
        </w:rPr>
        <w:t xml:space="preserve">celmo Xunic Cabrera, quien también </w:t>
      </w:r>
      <w:r w:rsidR="006330E3">
        <w:rPr>
          <w:rFonts w:asciiTheme="majorHAnsi" w:hAnsiTheme="majorHAnsi"/>
          <w:sz w:val="20"/>
          <w:szCs w:val="20"/>
          <w:lang w:val="es-ES_tradnl"/>
        </w:rPr>
        <w:t>se desempeña</w:t>
      </w:r>
      <w:r w:rsidR="002E1DFF">
        <w:rPr>
          <w:rFonts w:asciiTheme="majorHAnsi" w:hAnsiTheme="majorHAnsi"/>
          <w:sz w:val="20"/>
          <w:szCs w:val="20"/>
          <w:lang w:val="es-ES_tradnl"/>
        </w:rPr>
        <w:t>ba como</w:t>
      </w:r>
      <w:r w:rsidR="00CE31F7" w:rsidRPr="006D531F">
        <w:rPr>
          <w:rFonts w:asciiTheme="majorHAnsi" w:hAnsiTheme="majorHAnsi"/>
          <w:sz w:val="20"/>
          <w:szCs w:val="20"/>
          <w:lang w:val="es-ES_tradnl"/>
        </w:rPr>
        <w:t xml:space="preserve"> coordinador voluntario de una de las radios del presente caso. </w:t>
      </w:r>
      <w:r w:rsidR="0075277D" w:rsidRPr="006D531F">
        <w:rPr>
          <w:rFonts w:asciiTheme="majorHAnsi" w:hAnsiTheme="majorHAnsi"/>
          <w:sz w:val="20"/>
          <w:szCs w:val="20"/>
          <w:lang w:val="es-ES_tradnl"/>
        </w:rPr>
        <w:t>La acción fue presentada con motivo de la alegada</w:t>
      </w:r>
      <w:r w:rsidR="00CE31F7" w:rsidRPr="006D531F">
        <w:rPr>
          <w:rFonts w:asciiTheme="majorHAnsi" w:hAnsiTheme="majorHAnsi"/>
          <w:sz w:val="20"/>
          <w:szCs w:val="20"/>
          <w:lang w:val="es-ES_tradnl"/>
        </w:rPr>
        <w:t xml:space="preserve"> </w:t>
      </w:r>
      <w:r w:rsidRPr="006D531F">
        <w:rPr>
          <w:rFonts w:asciiTheme="majorHAnsi" w:hAnsiTheme="majorHAnsi"/>
          <w:sz w:val="20"/>
          <w:szCs w:val="20"/>
          <w:lang w:val="es-ES_tradnl"/>
        </w:rPr>
        <w:t xml:space="preserve">inconstitucionalidad de los </w:t>
      </w:r>
      <w:r w:rsidR="0022516C">
        <w:rPr>
          <w:rFonts w:asciiTheme="majorHAnsi" w:hAnsiTheme="majorHAnsi"/>
          <w:sz w:val="20"/>
          <w:szCs w:val="20"/>
          <w:lang w:val="es-ES_tradnl"/>
        </w:rPr>
        <w:t>a</w:t>
      </w:r>
      <w:r w:rsidRPr="006D531F">
        <w:rPr>
          <w:rFonts w:asciiTheme="majorHAnsi" w:hAnsiTheme="majorHAnsi"/>
          <w:sz w:val="20"/>
          <w:szCs w:val="20"/>
          <w:lang w:val="es-ES_tradnl"/>
        </w:rPr>
        <w:t>rtículos 1, 2, 61 y 62 de la Ley General de Telecomunicaciones</w:t>
      </w:r>
      <w:r w:rsidR="0075277D" w:rsidRPr="006D531F">
        <w:rPr>
          <w:rFonts w:asciiTheme="majorHAnsi" w:hAnsiTheme="majorHAnsi"/>
          <w:sz w:val="20"/>
          <w:szCs w:val="20"/>
          <w:lang w:val="es-ES_tradnl"/>
        </w:rPr>
        <w:t xml:space="preserve"> en perjuicio de los pueblos indígenas en Guatemala, dentro de los que se encuentran los pueblos</w:t>
      </w:r>
      <w:r w:rsidR="006330E3">
        <w:rPr>
          <w:rFonts w:asciiTheme="majorHAnsi" w:hAnsiTheme="majorHAnsi"/>
          <w:sz w:val="20"/>
          <w:szCs w:val="20"/>
          <w:lang w:val="es-ES_tradnl"/>
        </w:rPr>
        <w:t xml:space="preserve"> y sus respectivas radios que forman parte</w:t>
      </w:r>
      <w:r w:rsidR="0075277D" w:rsidRPr="006D531F">
        <w:rPr>
          <w:rFonts w:asciiTheme="majorHAnsi" w:hAnsiTheme="majorHAnsi"/>
          <w:sz w:val="20"/>
          <w:szCs w:val="20"/>
          <w:lang w:val="es-ES_tradnl"/>
        </w:rPr>
        <w:t xml:space="preserve"> del caso</w:t>
      </w:r>
      <w:r w:rsidR="000E404C">
        <w:rPr>
          <w:rFonts w:asciiTheme="majorHAnsi" w:hAnsiTheme="majorHAnsi"/>
          <w:sz w:val="20"/>
          <w:szCs w:val="20"/>
          <w:lang w:val="es-ES_tradnl"/>
        </w:rPr>
        <w:t xml:space="preserve"> que nos ocupa</w:t>
      </w:r>
      <w:r w:rsidR="0075277D" w:rsidRPr="006D531F">
        <w:rPr>
          <w:rFonts w:asciiTheme="majorHAnsi" w:hAnsiTheme="majorHAnsi"/>
          <w:sz w:val="20"/>
          <w:szCs w:val="20"/>
          <w:lang w:val="es-ES_tradnl"/>
        </w:rPr>
        <w:t xml:space="preserve">. </w:t>
      </w:r>
      <w:r w:rsidRPr="006D531F">
        <w:rPr>
          <w:rFonts w:asciiTheme="majorHAnsi" w:hAnsiTheme="majorHAnsi"/>
          <w:sz w:val="20"/>
          <w:szCs w:val="20"/>
          <w:lang w:val="es-ES_tradnl"/>
        </w:rPr>
        <w:t xml:space="preserve">La Asociación de Sobrevivencia Cultural argumentó que esta </w:t>
      </w:r>
      <w:r w:rsidR="0022516C">
        <w:rPr>
          <w:rFonts w:asciiTheme="majorHAnsi" w:hAnsiTheme="majorHAnsi"/>
          <w:sz w:val="20"/>
          <w:szCs w:val="20"/>
          <w:lang w:val="es-ES_tradnl"/>
        </w:rPr>
        <w:t>l</w:t>
      </w:r>
      <w:r w:rsidRPr="006D531F">
        <w:rPr>
          <w:rFonts w:asciiTheme="majorHAnsi" w:hAnsiTheme="majorHAnsi"/>
          <w:sz w:val="20"/>
          <w:szCs w:val="20"/>
          <w:lang w:val="es-ES_tradnl"/>
        </w:rPr>
        <w:t xml:space="preserve">ey excluía la posibilidad de otorgar efectiva participación </w:t>
      </w:r>
      <w:r w:rsidR="00BE686F">
        <w:rPr>
          <w:rFonts w:asciiTheme="majorHAnsi" w:hAnsiTheme="majorHAnsi"/>
          <w:sz w:val="20"/>
          <w:szCs w:val="20"/>
          <w:lang w:val="es-ES_tradnl"/>
        </w:rPr>
        <w:t xml:space="preserve">y </w:t>
      </w:r>
      <w:r w:rsidR="00B558DA">
        <w:rPr>
          <w:rFonts w:asciiTheme="majorHAnsi" w:hAnsiTheme="majorHAnsi"/>
          <w:sz w:val="20"/>
          <w:szCs w:val="20"/>
          <w:lang w:val="es-ES_tradnl"/>
        </w:rPr>
        <w:t xml:space="preserve">en sus propias lenguas </w:t>
      </w:r>
      <w:r w:rsidRPr="006D531F">
        <w:rPr>
          <w:rFonts w:asciiTheme="majorHAnsi" w:hAnsiTheme="majorHAnsi"/>
          <w:sz w:val="20"/>
          <w:szCs w:val="20"/>
          <w:lang w:val="es-ES_tradnl"/>
        </w:rPr>
        <w:t>a lo</w:t>
      </w:r>
      <w:r w:rsidR="0075277D" w:rsidRPr="006D531F">
        <w:rPr>
          <w:rFonts w:asciiTheme="majorHAnsi" w:hAnsiTheme="majorHAnsi"/>
          <w:sz w:val="20"/>
          <w:szCs w:val="20"/>
          <w:lang w:val="es-ES_tradnl"/>
        </w:rPr>
        <w:t>s pueblos indígenas</w:t>
      </w:r>
      <w:r w:rsidR="002A6D2F">
        <w:rPr>
          <w:rFonts w:asciiTheme="majorHAnsi" w:hAnsiTheme="majorHAnsi"/>
          <w:sz w:val="20"/>
          <w:szCs w:val="20"/>
          <w:lang w:val="es-ES_tradnl"/>
        </w:rPr>
        <w:t>, ya que</w:t>
      </w:r>
      <w:r w:rsidR="001D2D16">
        <w:rPr>
          <w:rFonts w:asciiTheme="majorHAnsi" w:hAnsiTheme="majorHAnsi"/>
          <w:sz w:val="20"/>
          <w:szCs w:val="20"/>
          <w:lang w:val="es-ES_tradnl"/>
        </w:rPr>
        <w:t xml:space="preserve"> </w:t>
      </w:r>
      <w:r w:rsidR="002A6D2F">
        <w:rPr>
          <w:rFonts w:asciiTheme="majorHAnsi" w:hAnsiTheme="majorHAnsi"/>
          <w:sz w:val="20"/>
          <w:szCs w:val="20"/>
          <w:lang w:val="es-ES_tradnl"/>
        </w:rPr>
        <w:t>no les permitía</w:t>
      </w:r>
      <w:r w:rsidR="00142C01">
        <w:rPr>
          <w:rFonts w:asciiTheme="majorHAnsi" w:hAnsiTheme="majorHAnsi"/>
          <w:sz w:val="20"/>
          <w:szCs w:val="20"/>
          <w:lang w:val="es-ES_tradnl"/>
        </w:rPr>
        <w:t xml:space="preserve">, en la realidad, acceder </w:t>
      </w:r>
      <w:r w:rsidR="002010E2" w:rsidRPr="006D531F">
        <w:rPr>
          <w:rFonts w:asciiTheme="majorHAnsi" w:hAnsiTheme="majorHAnsi"/>
          <w:sz w:val="20"/>
          <w:szCs w:val="20"/>
          <w:lang w:val="es-ES_tradnl"/>
        </w:rPr>
        <w:t>al espectro radioeléctrico</w:t>
      </w:r>
      <w:r w:rsidR="00D82A09">
        <w:rPr>
          <w:rFonts w:asciiTheme="majorHAnsi" w:hAnsiTheme="majorHAnsi"/>
          <w:sz w:val="20"/>
          <w:szCs w:val="20"/>
          <w:lang w:val="es-ES_tradnl"/>
        </w:rPr>
        <w:t xml:space="preserve"> </w:t>
      </w:r>
      <w:r w:rsidRPr="006D531F">
        <w:rPr>
          <w:rFonts w:asciiTheme="majorHAnsi" w:hAnsiTheme="majorHAnsi"/>
          <w:sz w:val="20"/>
          <w:szCs w:val="20"/>
          <w:lang w:val="es-ES_tradnl"/>
        </w:rPr>
        <w:t xml:space="preserve">en </w:t>
      </w:r>
      <w:r w:rsidR="00D82A09">
        <w:rPr>
          <w:rFonts w:asciiTheme="majorHAnsi" w:hAnsiTheme="majorHAnsi"/>
          <w:sz w:val="20"/>
          <w:szCs w:val="20"/>
          <w:lang w:val="es-ES_tradnl"/>
        </w:rPr>
        <w:t xml:space="preserve">los </w:t>
      </w:r>
      <w:r w:rsidRPr="006D531F">
        <w:rPr>
          <w:rFonts w:asciiTheme="majorHAnsi" w:hAnsiTheme="majorHAnsi"/>
          <w:sz w:val="20"/>
          <w:szCs w:val="20"/>
          <w:lang w:val="es-ES_tradnl"/>
        </w:rPr>
        <w:t>territorios que habita</w:t>
      </w:r>
      <w:r w:rsidR="00FC0A02">
        <w:rPr>
          <w:rFonts w:asciiTheme="majorHAnsi" w:hAnsiTheme="majorHAnsi"/>
          <w:sz w:val="20"/>
          <w:szCs w:val="20"/>
          <w:lang w:val="es-ES_tradnl"/>
        </w:rPr>
        <w:t xml:space="preserve">ban. Lo anterior, </w:t>
      </w:r>
      <w:r w:rsidR="00750307">
        <w:rPr>
          <w:rFonts w:asciiTheme="majorHAnsi" w:hAnsiTheme="majorHAnsi"/>
          <w:sz w:val="20"/>
          <w:szCs w:val="20"/>
          <w:lang w:val="es-ES_tradnl"/>
        </w:rPr>
        <w:t xml:space="preserve">debido a que no contemplaba </w:t>
      </w:r>
      <w:r w:rsidR="00651D35">
        <w:rPr>
          <w:rFonts w:asciiTheme="majorHAnsi" w:hAnsiTheme="majorHAnsi"/>
          <w:sz w:val="20"/>
          <w:szCs w:val="20"/>
          <w:lang w:val="es-ES_tradnl"/>
        </w:rPr>
        <w:t>el</w:t>
      </w:r>
      <w:r w:rsidRPr="006D531F">
        <w:rPr>
          <w:rFonts w:asciiTheme="majorHAnsi" w:hAnsiTheme="majorHAnsi"/>
          <w:sz w:val="20"/>
          <w:szCs w:val="20"/>
          <w:lang w:val="es-ES_tradnl"/>
        </w:rPr>
        <w:t xml:space="preserve"> </w:t>
      </w:r>
      <w:r w:rsidR="00651D35">
        <w:rPr>
          <w:rFonts w:asciiTheme="majorHAnsi" w:hAnsiTheme="majorHAnsi"/>
          <w:sz w:val="20"/>
          <w:szCs w:val="20"/>
          <w:lang w:val="es-ES_tradnl"/>
        </w:rPr>
        <w:t>estado</w:t>
      </w:r>
      <w:r w:rsidR="00651D35" w:rsidRPr="006D531F">
        <w:rPr>
          <w:rFonts w:asciiTheme="majorHAnsi" w:hAnsiTheme="majorHAnsi"/>
          <w:sz w:val="20"/>
          <w:szCs w:val="20"/>
          <w:lang w:val="es-ES_tradnl"/>
        </w:rPr>
        <w:t xml:space="preserve"> </w:t>
      </w:r>
      <w:r w:rsidRPr="006D531F">
        <w:rPr>
          <w:rFonts w:asciiTheme="majorHAnsi" w:hAnsiTheme="majorHAnsi"/>
          <w:sz w:val="20"/>
          <w:szCs w:val="20"/>
          <w:lang w:val="es-ES_tradnl"/>
        </w:rPr>
        <w:t>económico de pobreza</w:t>
      </w:r>
      <w:r w:rsidR="00651D35">
        <w:rPr>
          <w:rFonts w:asciiTheme="majorHAnsi" w:hAnsiTheme="majorHAnsi"/>
          <w:sz w:val="20"/>
          <w:szCs w:val="20"/>
          <w:lang w:val="es-ES_tradnl"/>
        </w:rPr>
        <w:t xml:space="preserve"> en la que </w:t>
      </w:r>
      <w:r w:rsidR="001D1FCC">
        <w:rPr>
          <w:rFonts w:asciiTheme="majorHAnsi" w:hAnsiTheme="majorHAnsi"/>
          <w:sz w:val="20"/>
          <w:szCs w:val="20"/>
          <w:lang w:val="es-ES_tradnl"/>
        </w:rPr>
        <w:t xml:space="preserve">los pueblos </w:t>
      </w:r>
      <w:r w:rsidR="00651D35">
        <w:rPr>
          <w:rFonts w:asciiTheme="majorHAnsi" w:hAnsiTheme="majorHAnsi"/>
          <w:sz w:val="20"/>
          <w:szCs w:val="20"/>
          <w:lang w:val="es-ES_tradnl"/>
        </w:rPr>
        <w:t>se encontraban</w:t>
      </w:r>
      <w:r w:rsidRPr="006D531F">
        <w:rPr>
          <w:rFonts w:asciiTheme="majorHAnsi" w:hAnsiTheme="majorHAnsi"/>
          <w:sz w:val="20"/>
          <w:szCs w:val="20"/>
          <w:lang w:val="es-ES_tradnl"/>
        </w:rPr>
        <w:t>, situación que</w:t>
      </w:r>
      <w:r w:rsidR="00C25667">
        <w:rPr>
          <w:rFonts w:asciiTheme="majorHAnsi" w:hAnsiTheme="majorHAnsi"/>
          <w:sz w:val="20"/>
          <w:szCs w:val="20"/>
          <w:lang w:val="es-ES_tradnl"/>
        </w:rPr>
        <w:t xml:space="preserve">, a su vez, </w:t>
      </w:r>
      <w:r w:rsidRPr="006D531F">
        <w:rPr>
          <w:rFonts w:asciiTheme="majorHAnsi" w:hAnsiTheme="majorHAnsi"/>
          <w:sz w:val="20"/>
          <w:szCs w:val="20"/>
          <w:lang w:val="es-ES_tradnl"/>
        </w:rPr>
        <w:t>limitaba el desarrollo de su cultura, al no poder difundirla por medios radiales</w:t>
      </w:r>
      <w:r w:rsidRPr="006D531F">
        <w:rPr>
          <w:rStyle w:val="FootnoteReference"/>
          <w:rFonts w:asciiTheme="majorHAnsi" w:hAnsiTheme="majorHAnsi"/>
          <w:sz w:val="20"/>
          <w:szCs w:val="20"/>
          <w:lang w:val="es-ES_tradnl"/>
        </w:rPr>
        <w:footnoteReference w:id="36"/>
      </w:r>
      <w:r w:rsidRPr="006D531F">
        <w:rPr>
          <w:rFonts w:asciiTheme="majorHAnsi" w:hAnsiTheme="majorHAnsi"/>
          <w:sz w:val="20"/>
          <w:szCs w:val="20"/>
          <w:lang w:val="es-ES_tradnl"/>
        </w:rPr>
        <w:t>.</w:t>
      </w:r>
    </w:p>
    <w:p w14:paraId="230EC3B5" w14:textId="77777777" w:rsidR="00AA555B" w:rsidRPr="006D531F" w:rsidRDefault="00AA555B" w:rsidP="00AA555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VE"/>
        </w:rPr>
      </w:pPr>
    </w:p>
    <w:p w14:paraId="0876BAA5" w14:textId="77777777" w:rsidR="00735CBC" w:rsidRPr="006D531F" w:rsidRDefault="00735CBC" w:rsidP="00AA55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r w:rsidRPr="006D531F">
        <w:rPr>
          <w:rFonts w:asciiTheme="majorHAnsi" w:hAnsiTheme="majorHAnsi"/>
          <w:sz w:val="20"/>
          <w:szCs w:val="20"/>
          <w:lang w:val="es-ES_tradnl"/>
        </w:rPr>
        <w:t>En particular, la acci</w:t>
      </w:r>
      <w:r w:rsidR="002C364B">
        <w:rPr>
          <w:rFonts w:asciiTheme="majorHAnsi" w:hAnsiTheme="majorHAnsi"/>
          <w:sz w:val="20"/>
          <w:szCs w:val="20"/>
          <w:lang w:val="es-ES_tradnl"/>
        </w:rPr>
        <w:t>ón</w:t>
      </w:r>
      <w:r w:rsidRPr="006D531F">
        <w:rPr>
          <w:rFonts w:asciiTheme="majorHAnsi" w:hAnsiTheme="majorHAnsi"/>
          <w:sz w:val="20"/>
          <w:szCs w:val="20"/>
          <w:lang w:val="es-ES_tradnl"/>
        </w:rPr>
        <w:t xml:space="preserve"> </w:t>
      </w:r>
      <w:r w:rsidR="002C364B">
        <w:rPr>
          <w:rFonts w:asciiTheme="majorHAnsi" w:hAnsiTheme="majorHAnsi"/>
          <w:sz w:val="20"/>
          <w:szCs w:val="20"/>
          <w:lang w:val="es-ES_tradnl"/>
        </w:rPr>
        <w:t xml:space="preserve">de inconstitucionalidad </w:t>
      </w:r>
      <w:r w:rsidRPr="006D531F">
        <w:rPr>
          <w:rFonts w:asciiTheme="majorHAnsi" w:hAnsiTheme="majorHAnsi"/>
          <w:sz w:val="20"/>
          <w:szCs w:val="20"/>
          <w:lang w:val="es-ES_tradnl"/>
        </w:rPr>
        <w:t xml:space="preserve">señaló que los artículos 1 y 2 de la LGT no contemplaban el derecho de los pueblos indígenas a acceder al espectro radioeléctrico para la difusión de su cultura y espiritualidad, pues de su redacción solamente </w:t>
      </w:r>
      <w:r w:rsidR="0080566C">
        <w:rPr>
          <w:rFonts w:asciiTheme="majorHAnsi" w:hAnsiTheme="majorHAnsi"/>
          <w:sz w:val="20"/>
          <w:szCs w:val="20"/>
          <w:lang w:val="es-ES_tradnl"/>
        </w:rPr>
        <w:t xml:space="preserve">se </w:t>
      </w:r>
      <w:r w:rsidR="00095CAA">
        <w:rPr>
          <w:rFonts w:asciiTheme="majorHAnsi" w:hAnsiTheme="majorHAnsi"/>
          <w:sz w:val="20"/>
          <w:szCs w:val="20"/>
          <w:lang w:val="es-ES_tradnl"/>
        </w:rPr>
        <w:t>protegía</w:t>
      </w:r>
      <w:r w:rsidRPr="006D531F">
        <w:rPr>
          <w:rFonts w:asciiTheme="majorHAnsi" w:hAnsiTheme="majorHAnsi"/>
          <w:sz w:val="20"/>
          <w:szCs w:val="20"/>
          <w:lang w:val="es-ES_tradnl"/>
        </w:rPr>
        <w:t xml:space="preserve"> el desarrollo e inversión, mediante competencia, obviando el desarrollo de la cultura de</w:t>
      </w:r>
      <w:r w:rsidR="00490D7C">
        <w:rPr>
          <w:rFonts w:asciiTheme="majorHAnsi" w:hAnsiTheme="majorHAnsi"/>
          <w:sz w:val="20"/>
          <w:szCs w:val="20"/>
          <w:lang w:val="es-ES_tradnl"/>
        </w:rPr>
        <w:t xml:space="preserve"> </w:t>
      </w:r>
      <w:r w:rsidRPr="006D531F">
        <w:rPr>
          <w:rFonts w:asciiTheme="majorHAnsi" w:hAnsiTheme="majorHAnsi"/>
          <w:sz w:val="20"/>
          <w:szCs w:val="20"/>
          <w:lang w:val="es-ES_tradnl"/>
        </w:rPr>
        <w:t>l</w:t>
      </w:r>
      <w:r w:rsidR="00490D7C">
        <w:rPr>
          <w:rFonts w:asciiTheme="majorHAnsi" w:hAnsiTheme="majorHAnsi"/>
          <w:sz w:val="20"/>
          <w:szCs w:val="20"/>
          <w:lang w:val="es-ES_tradnl"/>
        </w:rPr>
        <w:t>os</w:t>
      </w:r>
      <w:r w:rsidRPr="006D531F">
        <w:rPr>
          <w:rFonts w:asciiTheme="majorHAnsi" w:hAnsiTheme="majorHAnsi"/>
          <w:sz w:val="20"/>
          <w:szCs w:val="20"/>
          <w:lang w:val="es-ES_tradnl"/>
        </w:rPr>
        <w:t xml:space="preserve"> pueblo</w:t>
      </w:r>
      <w:r w:rsidR="00490D7C">
        <w:rPr>
          <w:rFonts w:asciiTheme="majorHAnsi" w:hAnsiTheme="majorHAnsi"/>
          <w:sz w:val="20"/>
          <w:szCs w:val="20"/>
          <w:lang w:val="es-ES_tradnl"/>
        </w:rPr>
        <w:t>s</w:t>
      </w:r>
      <w:r w:rsidRPr="006D531F">
        <w:rPr>
          <w:rFonts w:asciiTheme="majorHAnsi" w:hAnsiTheme="majorHAnsi"/>
          <w:sz w:val="20"/>
          <w:szCs w:val="20"/>
          <w:lang w:val="es-ES_tradnl"/>
        </w:rPr>
        <w:t xml:space="preserve"> indígena</w:t>
      </w:r>
      <w:r w:rsidR="00490D7C">
        <w:rPr>
          <w:rFonts w:asciiTheme="majorHAnsi" w:hAnsiTheme="majorHAnsi"/>
          <w:sz w:val="20"/>
          <w:szCs w:val="20"/>
          <w:lang w:val="es-ES_tradnl"/>
        </w:rPr>
        <w:t>s</w:t>
      </w:r>
      <w:r w:rsidRPr="006D531F">
        <w:rPr>
          <w:rFonts w:asciiTheme="majorHAnsi" w:hAnsiTheme="majorHAnsi"/>
          <w:sz w:val="20"/>
          <w:szCs w:val="20"/>
          <w:lang w:val="es-ES_tradnl"/>
        </w:rPr>
        <w:t xml:space="preserve">, que </w:t>
      </w:r>
      <w:r w:rsidR="001449B1">
        <w:rPr>
          <w:rFonts w:asciiTheme="majorHAnsi" w:hAnsiTheme="majorHAnsi"/>
          <w:sz w:val="20"/>
          <w:szCs w:val="20"/>
          <w:lang w:val="es-ES_tradnl"/>
        </w:rPr>
        <w:t xml:space="preserve">constituyen un porcentaje importante </w:t>
      </w:r>
      <w:r w:rsidRPr="006D531F">
        <w:rPr>
          <w:rFonts w:asciiTheme="majorHAnsi" w:hAnsiTheme="majorHAnsi"/>
          <w:sz w:val="20"/>
          <w:szCs w:val="20"/>
          <w:lang w:val="es-ES_tradnl"/>
        </w:rPr>
        <w:t>de la población guatemalteca</w:t>
      </w:r>
      <w:r w:rsidRPr="006D531F">
        <w:rPr>
          <w:rStyle w:val="FootnoteReference"/>
          <w:rFonts w:asciiTheme="majorHAnsi" w:hAnsiTheme="majorHAnsi"/>
          <w:sz w:val="20"/>
          <w:szCs w:val="20"/>
          <w:lang w:val="es-ES_tradnl"/>
        </w:rPr>
        <w:footnoteReference w:id="37"/>
      </w:r>
      <w:r w:rsidRPr="006D531F">
        <w:rPr>
          <w:rFonts w:asciiTheme="majorHAnsi" w:hAnsiTheme="majorHAnsi"/>
          <w:sz w:val="20"/>
          <w:szCs w:val="20"/>
          <w:lang w:val="es-ES_tradnl"/>
        </w:rPr>
        <w:t>.</w:t>
      </w:r>
    </w:p>
    <w:p w14:paraId="4DE2EEC8" w14:textId="77777777" w:rsidR="00AA555B" w:rsidRPr="006D531F" w:rsidRDefault="00AA555B" w:rsidP="00AA555B">
      <w:pPr>
        <w:pStyle w:val="ListParagraph"/>
        <w:rPr>
          <w:rFonts w:asciiTheme="majorHAnsi" w:hAnsiTheme="majorHAnsi"/>
          <w:color w:val="auto"/>
          <w:sz w:val="20"/>
          <w:szCs w:val="20"/>
          <w:lang w:val="es-VE"/>
        </w:rPr>
      </w:pPr>
    </w:p>
    <w:p w14:paraId="15EF5A42" w14:textId="77777777" w:rsidR="00735CBC" w:rsidRPr="006D531F" w:rsidRDefault="00735CBC" w:rsidP="00AA55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r w:rsidRPr="006D531F">
        <w:rPr>
          <w:rFonts w:asciiTheme="majorHAnsi" w:hAnsiTheme="majorHAnsi"/>
          <w:sz w:val="20"/>
          <w:szCs w:val="20"/>
          <w:lang w:val="es-ES_tradnl"/>
        </w:rPr>
        <w:t>La a</w:t>
      </w:r>
      <w:r w:rsidR="002C364B">
        <w:rPr>
          <w:rFonts w:asciiTheme="majorHAnsi" w:hAnsiTheme="majorHAnsi"/>
          <w:sz w:val="20"/>
          <w:szCs w:val="20"/>
          <w:lang w:val="es-ES_tradnl"/>
        </w:rPr>
        <w:t xml:space="preserve">cción de inconstitucionalidad </w:t>
      </w:r>
      <w:r w:rsidRPr="006D531F">
        <w:rPr>
          <w:rFonts w:asciiTheme="majorHAnsi" w:hAnsiTheme="majorHAnsi"/>
          <w:sz w:val="20"/>
          <w:szCs w:val="20"/>
          <w:lang w:val="es-ES_tradnl"/>
        </w:rPr>
        <w:t>argumentó que los artículos 61 y 62 de la LGT constituían una manifestación de la acción discriminatoria del Estado hacia los pueblos indígenas</w:t>
      </w:r>
      <w:r w:rsidR="009D144E">
        <w:rPr>
          <w:rFonts w:asciiTheme="majorHAnsi" w:hAnsiTheme="majorHAnsi"/>
          <w:sz w:val="20"/>
          <w:szCs w:val="20"/>
          <w:lang w:val="es-ES_tradnl"/>
        </w:rPr>
        <w:t>, y eran contrarios al a</w:t>
      </w:r>
      <w:r w:rsidR="009D144E" w:rsidRPr="006D531F">
        <w:rPr>
          <w:rFonts w:asciiTheme="majorHAnsi" w:hAnsiTheme="majorHAnsi"/>
          <w:sz w:val="20"/>
          <w:szCs w:val="20"/>
          <w:lang w:val="es-ES_tradnl"/>
        </w:rPr>
        <w:t>rtículo 4 de la Constitución Política de Guatemala</w:t>
      </w:r>
      <w:r w:rsidR="002C364B">
        <w:rPr>
          <w:rFonts w:asciiTheme="majorHAnsi" w:hAnsiTheme="majorHAnsi"/>
          <w:sz w:val="20"/>
          <w:szCs w:val="20"/>
          <w:lang w:val="es-ES_tradnl"/>
        </w:rPr>
        <w:t>. Ello, debido a</w:t>
      </w:r>
      <w:r w:rsidRPr="006D531F">
        <w:rPr>
          <w:rFonts w:asciiTheme="majorHAnsi" w:hAnsiTheme="majorHAnsi"/>
          <w:sz w:val="20"/>
          <w:szCs w:val="20"/>
          <w:lang w:val="es-ES_tradnl"/>
        </w:rPr>
        <w:t xml:space="preserve"> que </w:t>
      </w:r>
      <w:r w:rsidR="00A5727B">
        <w:rPr>
          <w:rFonts w:asciiTheme="majorHAnsi" w:hAnsiTheme="majorHAnsi"/>
          <w:sz w:val="20"/>
          <w:szCs w:val="20"/>
          <w:lang w:val="es-ES_tradnl"/>
        </w:rPr>
        <w:t>la</w:t>
      </w:r>
      <w:r w:rsidRPr="006D531F">
        <w:rPr>
          <w:rFonts w:asciiTheme="majorHAnsi" w:hAnsiTheme="majorHAnsi"/>
          <w:sz w:val="20"/>
          <w:szCs w:val="20"/>
          <w:lang w:val="es-ES_tradnl"/>
        </w:rPr>
        <w:t xml:space="preserve"> subasta </w:t>
      </w:r>
      <w:r w:rsidR="00A5727B">
        <w:rPr>
          <w:rFonts w:asciiTheme="majorHAnsi" w:hAnsiTheme="majorHAnsi"/>
          <w:sz w:val="20"/>
          <w:szCs w:val="20"/>
          <w:lang w:val="es-ES_tradnl"/>
        </w:rPr>
        <w:t>económica constitu</w:t>
      </w:r>
      <w:r w:rsidR="006420B0">
        <w:rPr>
          <w:rFonts w:asciiTheme="majorHAnsi" w:hAnsiTheme="majorHAnsi"/>
          <w:sz w:val="20"/>
          <w:szCs w:val="20"/>
          <w:lang w:val="es-ES_tradnl"/>
        </w:rPr>
        <w:t>ía</w:t>
      </w:r>
      <w:r w:rsidRPr="006D531F">
        <w:rPr>
          <w:rFonts w:asciiTheme="majorHAnsi" w:hAnsiTheme="majorHAnsi"/>
          <w:sz w:val="20"/>
          <w:szCs w:val="20"/>
          <w:lang w:val="es-ES_tradnl"/>
        </w:rPr>
        <w:t xml:space="preserve"> la única vía de obtención de frecuencias</w:t>
      </w:r>
      <w:r w:rsidR="00A5727B">
        <w:rPr>
          <w:rFonts w:asciiTheme="majorHAnsi" w:hAnsiTheme="majorHAnsi"/>
          <w:sz w:val="20"/>
          <w:szCs w:val="20"/>
          <w:lang w:val="es-ES_tradnl"/>
        </w:rPr>
        <w:t xml:space="preserve">, </w:t>
      </w:r>
      <w:r w:rsidR="004D5B9B">
        <w:rPr>
          <w:rFonts w:asciiTheme="majorHAnsi" w:hAnsiTheme="majorHAnsi"/>
          <w:sz w:val="20"/>
          <w:szCs w:val="20"/>
          <w:lang w:val="es-ES_tradnl"/>
        </w:rPr>
        <w:t>las cuales eran ot</w:t>
      </w:r>
      <w:r w:rsidR="007352E4">
        <w:rPr>
          <w:rFonts w:asciiTheme="majorHAnsi" w:hAnsiTheme="majorHAnsi"/>
          <w:sz w:val="20"/>
          <w:szCs w:val="20"/>
          <w:lang w:val="es-ES_tradnl"/>
        </w:rPr>
        <w:t>or</w:t>
      </w:r>
      <w:r w:rsidR="004D5B9B">
        <w:rPr>
          <w:rFonts w:asciiTheme="majorHAnsi" w:hAnsiTheme="majorHAnsi"/>
          <w:sz w:val="20"/>
          <w:szCs w:val="20"/>
          <w:lang w:val="es-ES_tradnl"/>
        </w:rPr>
        <w:t>gadas</w:t>
      </w:r>
      <w:r w:rsidR="007352E4">
        <w:rPr>
          <w:rFonts w:asciiTheme="majorHAnsi" w:hAnsiTheme="majorHAnsi"/>
          <w:sz w:val="20"/>
          <w:szCs w:val="20"/>
          <w:lang w:val="es-ES_tradnl"/>
        </w:rPr>
        <w:t xml:space="preserve"> </w:t>
      </w:r>
      <w:r w:rsidR="00D61818">
        <w:rPr>
          <w:rFonts w:asciiTheme="majorHAnsi" w:hAnsiTheme="majorHAnsi"/>
          <w:sz w:val="20"/>
          <w:szCs w:val="20"/>
          <w:lang w:val="es-ES_tradnl"/>
        </w:rPr>
        <w:t xml:space="preserve">con base en la </w:t>
      </w:r>
      <w:r w:rsidRPr="006D531F">
        <w:rPr>
          <w:rFonts w:asciiTheme="majorHAnsi" w:hAnsiTheme="majorHAnsi"/>
          <w:sz w:val="20"/>
          <w:szCs w:val="20"/>
          <w:lang w:val="es-ES_tradnl"/>
        </w:rPr>
        <w:t xml:space="preserve">mejor y más alta oferta económica, </w:t>
      </w:r>
      <w:r w:rsidR="00C06AD7">
        <w:rPr>
          <w:rFonts w:asciiTheme="majorHAnsi" w:hAnsiTheme="majorHAnsi"/>
          <w:sz w:val="20"/>
          <w:szCs w:val="20"/>
          <w:lang w:val="es-ES_tradnl"/>
        </w:rPr>
        <w:t xml:space="preserve">sin </w:t>
      </w:r>
      <w:r w:rsidRPr="006D531F">
        <w:rPr>
          <w:rFonts w:asciiTheme="majorHAnsi" w:hAnsiTheme="majorHAnsi"/>
          <w:sz w:val="20"/>
          <w:szCs w:val="20"/>
          <w:lang w:val="es-ES_tradnl"/>
        </w:rPr>
        <w:t>toma</w:t>
      </w:r>
      <w:r w:rsidR="00C06AD7">
        <w:rPr>
          <w:rFonts w:asciiTheme="majorHAnsi" w:hAnsiTheme="majorHAnsi"/>
          <w:sz w:val="20"/>
          <w:szCs w:val="20"/>
          <w:lang w:val="es-ES_tradnl"/>
        </w:rPr>
        <w:t>r</w:t>
      </w:r>
      <w:r w:rsidRPr="006D531F">
        <w:rPr>
          <w:rFonts w:asciiTheme="majorHAnsi" w:hAnsiTheme="majorHAnsi"/>
          <w:sz w:val="20"/>
          <w:szCs w:val="20"/>
          <w:lang w:val="es-ES_tradnl"/>
        </w:rPr>
        <w:t xml:space="preserve"> en cuenta la situación histórica y la condición económica de la mayoría de los pueblos indígenas de Guatemala</w:t>
      </w:r>
      <w:r w:rsidRPr="006D531F">
        <w:rPr>
          <w:rStyle w:val="FootnoteReference"/>
          <w:rFonts w:asciiTheme="majorHAnsi" w:hAnsiTheme="majorHAnsi"/>
          <w:sz w:val="20"/>
          <w:szCs w:val="20"/>
          <w:lang w:val="es-ES_tradnl"/>
        </w:rPr>
        <w:footnoteReference w:id="38"/>
      </w:r>
      <w:r w:rsidRPr="006D531F">
        <w:rPr>
          <w:rFonts w:asciiTheme="majorHAnsi" w:hAnsiTheme="majorHAnsi"/>
          <w:sz w:val="20"/>
          <w:szCs w:val="20"/>
          <w:lang w:val="es-ES_tradnl"/>
        </w:rPr>
        <w:t>.</w:t>
      </w:r>
    </w:p>
    <w:p w14:paraId="1A664329" w14:textId="77777777" w:rsidR="00AA555B" w:rsidRPr="006D531F" w:rsidRDefault="00AA555B" w:rsidP="00AA555B">
      <w:pPr>
        <w:pStyle w:val="ListParagraph"/>
        <w:rPr>
          <w:rFonts w:asciiTheme="majorHAnsi" w:hAnsiTheme="majorHAnsi"/>
          <w:color w:val="auto"/>
          <w:sz w:val="20"/>
          <w:szCs w:val="20"/>
          <w:lang w:val="es-VE"/>
        </w:rPr>
      </w:pPr>
    </w:p>
    <w:p w14:paraId="602B43AD" w14:textId="77777777" w:rsidR="00735CBC" w:rsidRPr="006D531F" w:rsidRDefault="00735CBC" w:rsidP="00AA555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r w:rsidRPr="006D531F">
        <w:rPr>
          <w:rFonts w:asciiTheme="majorHAnsi" w:hAnsiTheme="majorHAnsi"/>
          <w:sz w:val="20"/>
          <w:szCs w:val="20"/>
          <w:lang w:val="es-ES_tradnl"/>
        </w:rPr>
        <w:t>La accionante argumentó que los compromisos derivados de los Acuerdos de Paz en beneficio de los pueblos indígenas pretenden favorecer el acceso a los medios de comunicación por parte de las instituciones mayas y los miembros de los pueblos indígenas de Guatemala. Entre estos compromisos, la accionante señala el de promover ante el Congreso las reformas necesarias en la Ley actual de radiocomunicaciones con el objetivo de facilitar frecuencias para proyectos indígenas y asegurar la observancia del principio de no discriminación en el uso de los medios de comunicación</w:t>
      </w:r>
      <w:r w:rsidRPr="006D531F">
        <w:rPr>
          <w:rStyle w:val="FootnoteReference"/>
          <w:rFonts w:asciiTheme="majorHAnsi" w:hAnsiTheme="majorHAnsi"/>
          <w:sz w:val="20"/>
          <w:szCs w:val="20"/>
          <w:lang w:val="es-ES_tradnl"/>
        </w:rPr>
        <w:footnoteReference w:id="39"/>
      </w:r>
      <w:r w:rsidRPr="006D531F">
        <w:rPr>
          <w:rFonts w:asciiTheme="majorHAnsi" w:hAnsiTheme="majorHAnsi"/>
          <w:sz w:val="20"/>
          <w:szCs w:val="20"/>
          <w:lang w:val="es-ES_tradnl"/>
        </w:rPr>
        <w:t>.</w:t>
      </w:r>
    </w:p>
    <w:p w14:paraId="76D01E22" w14:textId="77777777" w:rsidR="00AA555B" w:rsidRPr="006D531F" w:rsidRDefault="00AA555B" w:rsidP="00AA555B">
      <w:pPr>
        <w:pStyle w:val="ListParagraph"/>
        <w:rPr>
          <w:rFonts w:asciiTheme="majorHAnsi" w:hAnsiTheme="majorHAnsi"/>
          <w:color w:val="auto"/>
          <w:sz w:val="20"/>
          <w:szCs w:val="20"/>
          <w:lang w:val="es-VE"/>
        </w:rPr>
      </w:pPr>
    </w:p>
    <w:p w14:paraId="2920F9D6" w14:textId="77777777" w:rsidR="00735CBC" w:rsidRPr="006D531F" w:rsidRDefault="00735CBC" w:rsidP="00A4493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r w:rsidRPr="006D531F">
        <w:rPr>
          <w:rFonts w:asciiTheme="majorHAnsi" w:hAnsiTheme="majorHAnsi"/>
          <w:sz w:val="20"/>
          <w:szCs w:val="20"/>
          <w:lang w:val="es-MX"/>
        </w:rPr>
        <w:lastRenderedPageBreak/>
        <w:t xml:space="preserve">El 14 de marzo de 2012 la Corte de Constitucionalidad emitió un fallo en el que se sostuvo que los artículos 1, 2, 61 y 62 de la LGT no eran inconstitucionales. La Corte de Constitucionalidad consideró que dichos artículos </w:t>
      </w:r>
      <w:r w:rsidR="00325D96">
        <w:rPr>
          <w:rFonts w:asciiTheme="majorHAnsi" w:hAnsiTheme="majorHAnsi"/>
          <w:sz w:val="20"/>
          <w:szCs w:val="20"/>
          <w:lang w:val="es-MX"/>
        </w:rPr>
        <w:t>regulaban</w:t>
      </w:r>
      <w:r w:rsidRPr="006D531F">
        <w:rPr>
          <w:rFonts w:asciiTheme="majorHAnsi" w:hAnsiTheme="majorHAnsi"/>
          <w:sz w:val="20"/>
          <w:szCs w:val="20"/>
          <w:lang w:val="es-MX"/>
        </w:rPr>
        <w:t xml:space="preserve"> específicamente </w:t>
      </w:r>
      <w:r w:rsidR="00971BF0">
        <w:rPr>
          <w:rFonts w:asciiTheme="majorHAnsi" w:hAnsiTheme="majorHAnsi"/>
          <w:sz w:val="20"/>
          <w:szCs w:val="20"/>
          <w:lang w:val="es-MX"/>
        </w:rPr>
        <w:t>e</w:t>
      </w:r>
      <w:r w:rsidRPr="006D531F">
        <w:rPr>
          <w:rFonts w:asciiTheme="majorHAnsi" w:hAnsiTheme="majorHAnsi"/>
          <w:sz w:val="20"/>
          <w:szCs w:val="20"/>
          <w:lang w:val="es-MX"/>
        </w:rPr>
        <w:t xml:space="preserve">l procedimiento general </w:t>
      </w:r>
      <w:r w:rsidR="00AA49C3">
        <w:rPr>
          <w:rFonts w:asciiTheme="majorHAnsi" w:hAnsiTheme="majorHAnsi"/>
          <w:sz w:val="20"/>
          <w:szCs w:val="20"/>
          <w:lang w:val="es-MX"/>
        </w:rPr>
        <w:t>d</w:t>
      </w:r>
      <w:r w:rsidRPr="006D531F">
        <w:rPr>
          <w:rFonts w:asciiTheme="majorHAnsi" w:hAnsiTheme="majorHAnsi"/>
          <w:sz w:val="20"/>
          <w:szCs w:val="20"/>
          <w:lang w:val="es-MX"/>
        </w:rPr>
        <w:t>el concurso y la subasta pública</w:t>
      </w:r>
      <w:r w:rsidR="00FD3DDA">
        <w:rPr>
          <w:rFonts w:asciiTheme="majorHAnsi" w:hAnsiTheme="majorHAnsi"/>
          <w:sz w:val="20"/>
          <w:szCs w:val="20"/>
          <w:lang w:val="es-MX"/>
        </w:rPr>
        <w:t xml:space="preserve"> para acceder </w:t>
      </w:r>
      <w:r w:rsidR="009D3D23">
        <w:rPr>
          <w:rFonts w:asciiTheme="majorHAnsi" w:hAnsiTheme="majorHAnsi"/>
          <w:sz w:val="20"/>
          <w:szCs w:val="20"/>
          <w:lang w:val="es-MX"/>
        </w:rPr>
        <w:t>a una licencia</w:t>
      </w:r>
      <w:r w:rsidR="004E2083">
        <w:rPr>
          <w:rFonts w:asciiTheme="majorHAnsi" w:hAnsiTheme="majorHAnsi"/>
          <w:sz w:val="20"/>
          <w:szCs w:val="20"/>
          <w:lang w:val="es-MX"/>
        </w:rPr>
        <w:t xml:space="preserve"> de frecuencia radial</w:t>
      </w:r>
      <w:r w:rsidR="00963AC4">
        <w:rPr>
          <w:rFonts w:asciiTheme="majorHAnsi" w:hAnsiTheme="majorHAnsi"/>
          <w:sz w:val="20"/>
          <w:szCs w:val="20"/>
          <w:lang w:val="es-MX"/>
        </w:rPr>
        <w:t xml:space="preserve">. Dicha </w:t>
      </w:r>
      <w:r w:rsidR="00B05032">
        <w:rPr>
          <w:rFonts w:asciiTheme="majorHAnsi" w:hAnsiTheme="majorHAnsi"/>
          <w:sz w:val="20"/>
          <w:szCs w:val="20"/>
          <w:lang w:val="es-MX"/>
        </w:rPr>
        <w:t>decisión</w:t>
      </w:r>
      <w:r w:rsidR="00963AC4">
        <w:rPr>
          <w:rFonts w:asciiTheme="majorHAnsi" w:hAnsiTheme="majorHAnsi"/>
          <w:sz w:val="20"/>
          <w:szCs w:val="20"/>
          <w:lang w:val="es-PE"/>
        </w:rPr>
        <w:t xml:space="preserve"> </w:t>
      </w:r>
      <w:r w:rsidR="005E75BA">
        <w:rPr>
          <w:rFonts w:asciiTheme="majorHAnsi" w:hAnsiTheme="majorHAnsi"/>
          <w:sz w:val="20"/>
          <w:szCs w:val="20"/>
          <w:lang w:val="es-PE"/>
        </w:rPr>
        <w:t>consideró que el articulado citado</w:t>
      </w:r>
      <w:r w:rsidRPr="006D531F">
        <w:rPr>
          <w:rFonts w:asciiTheme="majorHAnsi" w:hAnsiTheme="majorHAnsi"/>
          <w:sz w:val="20"/>
          <w:szCs w:val="20"/>
          <w:lang w:val="es-MX"/>
        </w:rPr>
        <w:t xml:space="preserve"> no establecía ninguna distinción, exclusión, limitación o preferencia fundada en raza, color, sexo, idioma, religión, posición u origen que obstruya, restringa o impida el acceso de “cualquier persona interesada” a la participación en el procedimiento para la adjudicación de </w:t>
      </w:r>
      <w:r w:rsidR="00262A47">
        <w:rPr>
          <w:rFonts w:asciiTheme="majorHAnsi" w:hAnsiTheme="majorHAnsi"/>
          <w:sz w:val="20"/>
          <w:szCs w:val="20"/>
          <w:lang w:val="es-MX"/>
        </w:rPr>
        <w:t xml:space="preserve">un </w:t>
      </w:r>
      <w:r w:rsidRPr="006D531F">
        <w:rPr>
          <w:rFonts w:asciiTheme="majorHAnsi" w:hAnsiTheme="majorHAnsi"/>
          <w:sz w:val="20"/>
          <w:szCs w:val="20"/>
          <w:lang w:val="es-MX"/>
        </w:rPr>
        <w:t>título de usufructo de frecuencias del espectro radioeléctrico. La Corte concluyó que dichas normas tampoco vulneraban el reconocimiento, respeto y promoción de las formas de vida, costumbres, tradiciones, idiomas y formas de organización social de los grupos étnicos de Guatemala. Sin perjuicio de lo anterior, exhortó al Congreso para que emitiera la normativa correspondiente que regulara el acceso de los pueblos indígenas para la obtención y explotación de bandas de frecuencias del espectro radioeléctrico</w:t>
      </w:r>
      <w:r w:rsidRPr="006D531F">
        <w:rPr>
          <w:rStyle w:val="FootnoteReference"/>
          <w:rFonts w:asciiTheme="majorHAnsi" w:hAnsiTheme="majorHAnsi"/>
          <w:sz w:val="20"/>
          <w:szCs w:val="20"/>
          <w:lang w:val="es-MX"/>
        </w:rPr>
        <w:footnoteReference w:id="40"/>
      </w:r>
      <w:r w:rsidRPr="006D531F">
        <w:rPr>
          <w:rFonts w:asciiTheme="majorHAnsi" w:hAnsiTheme="majorHAnsi"/>
          <w:sz w:val="20"/>
          <w:szCs w:val="20"/>
          <w:lang w:val="es-MX"/>
        </w:rPr>
        <w:t>.</w:t>
      </w:r>
    </w:p>
    <w:p w14:paraId="711D4767" w14:textId="77777777" w:rsidR="006D610A" w:rsidRPr="006D531F" w:rsidRDefault="006D610A" w:rsidP="008A1C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Cambria" w:hAnsiTheme="majorHAnsi" w:cs="Cambria"/>
          <w:b/>
          <w:sz w:val="20"/>
          <w:szCs w:val="20"/>
          <w:u w:color="000000"/>
          <w:lang w:val="es-ES_tradnl" w:eastAsia="es-ES"/>
        </w:rPr>
      </w:pPr>
    </w:p>
    <w:p w14:paraId="0B493142" w14:textId="77777777" w:rsidR="00720EC1" w:rsidRPr="006D531F" w:rsidRDefault="00D12193" w:rsidP="000A6CEF">
      <w:pPr>
        <w:pStyle w:val="Heading1"/>
        <w:suppressAutoHyphens w:val="0"/>
        <w:ind w:left="0" w:firstLine="0"/>
        <w:jc w:val="both"/>
        <w:rPr>
          <w:color w:val="auto"/>
        </w:rPr>
      </w:pPr>
      <w:bookmarkStart w:id="23" w:name="_Toc11073107"/>
      <w:bookmarkStart w:id="24" w:name="_Toc28418779"/>
      <w:r w:rsidRPr="006D531F">
        <w:rPr>
          <w:color w:val="auto"/>
        </w:rPr>
        <w:t>ANÁLISIS DE DERECHO</w:t>
      </w:r>
      <w:bookmarkEnd w:id="20"/>
      <w:bookmarkEnd w:id="23"/>
      <w:bookmarkEnd w:id="24"/>
    </w:p>
    <w:p w14:paraId="11F367C1" w14:textId="77777777" w:rsidR="00946C41" w:rsidRPr="006D531F" w:rsidRDefault="00946C41" w:rsidP="000A6CEF">
      <w:pPr>
        <w:jc w:val="both"/>
        <w:rPr>
          <w:rFonts w:asciiTheme="majorHAnsi" w:hAnsiTheme="majorHAnsi"/>
          <w:sz w:val="20"/>
          <w:szCs w:val="20"/>
          <w:lang w:val="es-ES_tradnl" w:eastAsia="es-ES"/>
        </w:rPr>
      </w:pPr>
    </w:p>
    <w:p w14:paraId="41E0021F" w14:textId="77777777" w:rsidR="00EE042B" w:rsidRPr="00D43DBF" w:rsidRDefault="002768FE" w:rsidP="00EE042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Cambria"/>
          <w:sz w:val="20"/>
          <w:szCs w:val="20"/>
          <w:lang w:val="es-US"/>
        </w:rPr>
      </w:pPr>
      <w:r>
        <w:rPr>
          <w:rFonts w:asciiTheme="majorHAnsi" w:hAnsiTheme="majorHAnsi"/>
          <w:sz w:val="20"/>
          <w:szCs w:val="20"/>
          <w:lang w:val="es-MX"/>
        </w:rPr>
        <w:t>T</w:t>
      </w:r>
      <w:r w:rsidR="00C90A6E" w:rsidRPr="00D526F1">
        <w:rPr>
          <w:rFonts w:asciiTheme="majorHAnsi" w:hAnsiTheme="majorHAnsi"/>
          <w:sz w:val="20"/>
          <w:szCs w:val="20"/>
          <w:lang w:val="es-MX"/>
        </w:rPr>
        <w:t>omando</w:t>
      </w:r>
      <w:r w:rsidR="00C90A6E" w:rsidRPr="00D526F1">
        <w:rPr>
          <w:rFonts w:asciiTheme="majorHAnsi" w:hAnsiTheme="majorHAnsi"/>
          <w:bCs/>
          <w:sz w:val="20"/>
          <w:szCs w:val="20"/>
          <w:lang w:val="es-CO"/>
        </w:rPr>
        <w:t xml:space="preserve"> en cuenta los alegatos de las partes así como los hechos </w:t>
      </w:r>
      <w:r w:rsidR="00CC271C" w:rsidRPr="00D526F1">
        <w:rPr>
          <w:rFonts w:asciiTheme="majorHAnsi" w:hAnsiTheme="majorHAnsi"/>
          <w:bCs/>
          <w:sz w:val="20"/>
          <w:szCs w:val="20"/>
          <w:lang w:val="es-CO"/>
        </w:rPr>
        <w:t>del presente caso</w:t>
      </w:r>
      <w:r w:rsidR="00C90A6E" w:rsidRPr="00D526F1">
        <w:rPr>
          <w:rFonts w:asciiTheme="majorHAnsi" w:hAnsiTheme="majorHAnsi"/>
          <w:bCs/>
          <w:sz w:val="20"/>
          <w:szCs w:val="20"/>
          <w:lang w:val="es-CO"/>
        </w:rPr>
        <w:t xml:space="preserve">, la Comisión efectuará </w:t>
      </w:r>
      <w:r w:rsidR="00C90A6E" w:rsidRPr="00D526F1">
        <w:rPr>
          <w:rFonts w:asciiTheme="majorHAnsi" w:hAnsiTheme="majorHAnsi"/>
          <w:sz w:val="20"/>
          <w:szCs w:val="20"/>
          <w:lang w:val="es-CO"/>
        </w:rPr>
        <w:t>su</w:t>
      </w:r>
      <w:r w:rsidR="00C90A6E" w:rsidRPr="00D526F1">
        <w:rPr>
          <w:rFonts w:asciiTheme="majorHAnsi" w:hAnsiTheme="majorHAnsi"/>
          <w:bCs/>
          <w:sz w:val="20"/>
          <w:szCs w:val="20"/>
          <w:lang w:val="es-CO"/>
        </w:rPr>
        <w:t xml:space="preserve"> análisis de derecho en el siguiente orden: i) </w:t>
      </w:r>
      <w:r w:rsidR="006144D1" w:rsidRPr="00D526F1">
        <w:rPr>
          <w:rFonts w:asciiTheme="majorHAnsi" w:hAnsiTheme="majorHAnsi"/>
          <w:bCs/>
          <w:sz w:val="20"/>
          <w:szCs w:val="20"/>
          <w:lang w:val="es-CO"/>
        </w:rPr>
        <w:t>c</w:t>
      </w:r>
      <w:r w:rsidR="00C90A6E" w:rsidRPr="00D526F1">
        <w:rPr>
          <w:rFonts w:asciiTheme="majorHAnsi" w:hAnsiTheme="majorHAnsi"/>
          <w:bCs/>
          <w:sz w:val="20"/>
          <w:szCs w:val="20"/>
          <w:lang w:val="es-CO"/>
        </w:rPr>
        <w:t xml:space="preserve">onsideraciones </w:t>
      </w:r>
      <w:r w:rsidR="008D28A3" w:rsidRPr="00D526F1">
        <w:rPr>
          <w:rFonts w:asciiTheme="majorHAnsi" w:hAnsiTheme="majorHAnsi"/>
          <w:bCs/>
          <w:sz w:val="20"/>
          <w:szCs w:val="20"/>
          <w:lang w:val="es-CO"/>
        </w:rPr>
        <w:t>generales</w:t>
      </w:r>
      <w:r w:rsidR="00C90A6E" w:rsidRPr="00D526F1">
        <w:rPr>
          <w:rFonts w:asciiTheme="majorHAnsi" w:hAnsiTheme="majorHAnsi"/>
          <w:bCs/>
          <w:sz w:val="20"/>
          <w:szCs w:val="20"/>
          <w:lang w:val="es-CO"/>
        </w:rPr>
        <w:t xml:space="preserve"> sobre</w:t>
      </w:r>
      <w:r w:rsidR="008D28A3" w:rsidRPr="00D526F1">
        <w:rPr>
          <w:rFonts w:asciiTheme="majorHAnsi" w:hAnsiTheme="majorHAnsi"/>
          <w:bCs/>
          <w:sz w:val="20"/>
          <w:szCs w:val="20"/>
          <w:lang w:val="es-CO"/>
        </w:rPr>
        <w:t xml:space="preserve"> la libertad de </w:t>
      </w:r>
      <w:r w:rsidR="0039164D" w:rsidRPr="00D526F1">
        <w:rPr>
          <w:rFonts w:asciiTheme="majorHAnsi" w:hAnsiTheme="majorHAnsi"/>
          <w:bCs/>
          <w:sz w:val="20"/>
          <w:szCs w:val="20"/>
          <w:lang w:val="es-CO"/>
        </w:rPr>
        <w:t xml:space="preserve">pensamiento y </w:t>
      </w:r>
      <w:r w:rsidR="008D28A3" w:rsidRPr="00D526F1">
        <w:rPr>
          <w:rFonts w:asciiTheme="majorHAnsi" w:hAnsiTheme="majorHAnsi"/>
          <w:bCs/>
          <w:sz w:val="20"/>
          <w:szCs w:val="20"/>
          <w:lang w:val="es-CO"/>
        </w:rPr>
        <w:t>expresión</w:t>
      </w:r>
      <w:r w:rsidR="0039164D" w:rsidRPr="00D526F1">
        <w:rPr>
          <w:rFonts w:asciiTheme="majorHAnsi" w:hAnsiTheme="majorHAnsi"/>
          <w:bCs/>
          <w:sz w:val="20"/>
          <w:szCs w:val="20"/>
          <w:lang w:val="es-CO"/>
        </w:rPr>
        <w:t>, pluralismo y diversidad en los medios de comunicación</w:t>
      </w:r>
      <w:r w:rsidR="00C90A6E" w:rsidRPr="00D526F1">
        <w:rPr>
          <w:rFonts w:asciiTheme="majorHAnsi" w:hAnsiTheme="majorHAnsi"/>
          <w:bCs/>
          <w:sz w:val="20"/>
          <w:szCs w:val="20"/>
          <w:lang w:val="es-ES_tradnl"/>
        </w:rPr>
        <w:t xml:space="preserve">; </w:t>
      </w:r>
      <w:r w:rsidR="00C90A6E" w:rsidRPr="00D526F1">
        <w:rPr>
          <w:rFonts w:asciiTheme="majorHAnsi" w:hAnsiTheme="majorHAnsi"/>
          <w:sz w:val="20"/>
          <w:szCs w:val="20"/>
          <w:lang w:val="es-ES_tradnl"/>
        </w:rPr>
        <w:t>ii)</w:t>
      </w:r>
      <w:r w:rsidR="007F1917" w:rsidRPr="00D526F1">
        <w:rPr>
          <w:rFonts w:asciiTheme="majorHAnsi" w:hAnsiTheme="majorHAnsi"/>
          <w:sz w:val="20"/>
          <w:szCs w:val="20"/>
          <w:lang w:val="es-ES_tradnl"/>
        </w:rPr>
        <w:t xml:space="preserve"> </w:t>
      </w:r>
      <w:r w:rsidR="000209FA" w:rsidRPr="00D526F1">
        <w:rPr>
          <w:rFonts w:asciiTheme="majorHAnsi" w:hAnsiTheme="majorHAnsi"/>
          <w:sz w:val="20"/>
          <w:szCs w:val="20"/>
          <w:lang w:val="es-ES_tradnl"/>
        </w:rPr>
        <w:t>e</w:t>
      </w:r>
      <w:r w:rsidR="000209FA" w:rsidRPr="00D526F1">
        <w:rPr>
          <w:rFonts w:asciiTheme="majorHAnsi" w:hAnsiTheme="majorHAnsi"/>
          <w:sz w:val="20"/>
          <w:szCs w:val="20"/>
          <w:lang w:val="es-PE"/>
        </w:rPr>
        <w:t>stándares internacionales respecto a la regulación en materia de radiodifusión</w:t>
      </w:r>
      <w:r w:rsidR="00C90A6E" w:rsidRPr="00D526F1">
        <w:rPr>
          <w:rFonts w:asciiTheme="majorHAnsi" w:hAnsiTheme="majorHAnsi"/>
          <w:sz w:val="20"/>
          <w:szCs w:val="20"/>
          <w:lang w:val="es-ES_tradnl"/>
        </w:rPr>
        <w:t>; iii)</w:t>
      </w:r>
      <w:r w:rsidR="00953FBD" w:rsidRPr="00D526F1">
        <w:rPr>
          <w:rFonts w:asciiTheme="majorHAnsi" w:hAnsiTheme="majorHAnsi"/>
          <w:sz w:val="20"/>
          <w:szCs w:val="20"/>
          <w:lang w:val="es-ES_tradnl"/>
        </w:rPr>
        <w:t xml:space="preserve"> l</w:t>
      </w:r>
      <w:r w:rsidR="00953FBD" w:rsidRPr="00D526F1">
        <w:rPr>
          <w:rFonts w:asciiTheme="majorHAnsi" w:hAnsiTheme="majorHAnsi"/>
          <w:sz w:val="20"/>
          <w:szCs w:val="20"/>
          <w:lang w:val="es-PE"/>
        </w:rPr>
        <w:t>ibertad de expresión, medios comunitarios de radiodifusión y el derecho a la igualdad y no discriminación</w:t>
      </w:r>
      <w:r w:rsidR="00953FBD" w:rsidRPr="00D526F1">
        <w:rPr>
          <w:rFonts w:asciiTheme="majorHAnsi" w:hAnsiTheme="majorHAnsi" w:cs="Cambria"/>
          <w:sz w:val="20"/>
          <w:szCs w:val="20"/>
          <w:lang w:val="es-US"/>
        </w:rPr>
        <w:t xml:space="preserve">; </w:t>
      </w:r>
      <w:r w:rsidR="00671F3C" w:rsidRPr="00D526F1">
        <w:rPr>
          <w:rFonts w:asciiTheme="majorHAnsi" w:hAnsiTheme="majorHAnsi"/>
          <w:sz w:val="20"/>
          <w:szCs w:val="20"/>
          <w:lang w:val="es-PE"/>
        </w:rPr>
        <w:t>iv) derecho</w:t>
      </w:r>
      <w:r w:rsidR="005C5F0F">
        <w:rPr>
          <w:rFonts w:asciiTheme="majorHAnsi" w:hAnsiTheme="majorHAnsi"/>
          <w:sz w:val="20"/>
          <w:szCs w:val="20"/>
          <w:lang w:val="es-PE"/>
        </w:rPr>
        <w:t xml:space="preserve">s </w:t>
      </w:r>
      <w:r w:rsidR="00B25A95">
        <w:rPr>
          <w:rFonts w:asciiTheme="majorHAnsi" w:hAnsiTheme="majorHAnsi"/>
          <w:sz w:val="20"/>
          <w:szCs w:val="20"/>
          <w:lang w:val="es-PE"/>
        </w:rPr>
        <w:t>culturales de los pueblos indígenas y radios comunitarias</w:t>
      </w:r>
      <w:r w:rsidR="00953FBD" w:rsidRPr="00D526F1">
        <w:rPr>
          <w:rFonts w:asciiTheme="majorHAnsi" w:hAnsiTheme="majorHAnsi"/>
          <w:sz w:val="20"/>
          <w:szCs w:val="20"/>
          <w:lang w:val="es-PE"/>
        </w:rPr>
        <w:t>, y v</w:t>
      </w:r>
      <w:r w:rsidR="00EE042B" w:rsidRPr="00D526F1">
        <w:rPr>
          <w:rFonts w:asciiTheme="majorHAnsi" w:hAnsiTheme="majorHAnsi"/>
          <w:sz w:val="20"/>
          <w:szCs w:val="20"/>
          <w:lang w:val="es-PE"/>
        </w:rPr>
        <w:t xml:space="preserve">) </w:t>
      </w:r>
      <w:r w:rsidR="00666904" w:rsidRPr="00D526F1">
        <w:rPr>
          <w:rFonts w:asciiTheme="majorHAnsi" w:hAnsiTheme="majorHAnsi"/>
          <w:sz w:val="20"/>
          <w:szCs w:val="20"/>
          <w:lang w:val="es-ES_tradnl"/>
        </w:rPr>
        <w:t>análisis del caso</w:t>
      </w:r>
      <w:r w:rsidR="00EE042B" w:rsidRPr="00D526F1">
        <w:rPr>
          <w:rFonts w:asciiTheme="majorHAnsi" w:hAnsiTheme="majorHAnsi"/>
          <w:sz w:val="20"/>
          <w:szCs w:val="20"/>
          <w:lang w:val="es-ES_tradnl"/>
        </w:rPr>
        <w:t xml:space="preserve"> concreto.</w:t>
      </w:r>
    </w:p>
    <w:p w14:paraId="49BE4324" w14:textId="77777777" w:rsidR="00D43DBF" w:rsidRPr="0018279D" w:rsidRDefault="00D43DBF" w:rsidP="00D43DB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Cambria"/>
          <w:sz w:val="20"/>
          <w:szCs w:val="20"/>
          <w:lang w:val="es-US"/>
        </w:rPr>
      </w:pPr>
    </w:p>
    <w:p w14:paraId="23229ACA" w14:textId="77777777" w:rsidR="00634744" w:rsidRDefault="00634744" w:rsidP="0022121A">
      <w:pPr>
        <w:pStyle w:val="Heading2"/>
        <w:numPr>
          <w:ilvl w:val="0"/>
          <w:numId w:val="65"/>
        </w:numPr>
        <w:ind w:left="720" w:hanging="720"/>
        <w:rPr>
          <w:rFonts w:asciiTheme="majorHAnsi" w:hAnsiTheme="majorHAnsi"/>
        </w:rPr>
      </w:pPr>
      <w:bookmarkStart w:id="25" w:name="_Toc6937380"/>
      <w:bookmarkStart w:id="26" w:name="_Toc11073108"/>
      <w:bookmarkStart w:id="27" w:name="_Toc28418780"/>
      <w:r w:rsidRPr="006D531F">
        <w:rPr>
          <w:rFonts w:asciiTheme="majorHAnsi" w:hAnsiTheme="majorHAnsi"/>
        </w:rPr>
        <w:t xml:space="preserve">Derecho a la libertad de </w:t>
      </w:r>
      <w:r w:rsidR="00215B7E" w:rsidRPr="006D531F">
        <w:rPr>
          <w:rFonts w:asciiTheme="majorHAnsi" w:hAnsiTheme="majorHAnsi"/>
        </w:rPr>
        <w:t xml:space="preserve">pensamiento y </w:t>
      </w:r>
      <w:r w:rsidRPr="006D531F">
        <w:rPr>
          <w:rFonts w:asciiTheme="majorHAnsi" w:hAnsiTheme="majorHAnsi"/>
        </w:rPr>
        <w:t>expresión (artículo 13)</w:t>
      </w:r>
      <w:r w:rsidR="00777AED" w:rsidRPr="006D531F">
        <w:rPr>
          <w:rStyle w:val="FootnoteReference"/>
          <w:rFonts w:asciiTheme="majorHAnsi" w:hAnsiTheme="majorHAnsi"/>
        </w:rPr>
        <w:footnoteReference w:id="41"/>
      </w:r>
      <w:r w:rsidR="00392C9A" w:rsidRPr="006D531F">
        <w:rPr>
          <w:rFonts w:asciiTheme="majorHAnsi" w:hAnsiTheme="majorHAnsi"/>
        </w:rPr>
        <w:t xml:space="preserve">, derecho a la igualdad ante la ley </w:t>
      </w:r>
      <w:r w:rsidR="00B51EF8" w:rsidRPr="006D531F">
        <w:rPr>
          <w:rFonts w:asciiTheme="majorHAnsi" w:hAnsiTheme="majorHAnsi"/>
        </w:rPr>
        <w:t>(artículo 24)</w:t>
      </w:r>
      <w:r w:rsidR="00777AED" w:rsidRPr="006D531F">
        <w:rPr>
          <w:rStyle w:val="FootnoteReference"/>
          <w:rFonts w:asciiTheme="majorHAnsi" w:hAnsiTheme="majorHAnsi"/>
        </w:rPr>
        <w:footnoteReference w:id="42"/>
      </w:r>
      <w:r w:rsidR="00B51EF8" w:rsidRPr="006D531F">
        <w:rPr>
          <w:rFonts w:asciiTheme="majorHAnsi" w:hAnsiTheme="majorHAnsi"/>
        </w:rPr>
        <w:t xml:space="preserve"> </w:t>
      </w:r>
      <w:r w:rsidR="00392C9A" w:rsidRPr="006D531F">
        <w:rPr>
          <w:rFonts w:asciiTheme="majorHAnsi" w:hAnsiTheme="majorHAnsi"/>
        </w:rPr>
        <w:t xml:space="preserve">y </w:t>
      </w:r>
      <w:r w:rsidR="00656106" w:rsidRPr="006D531F">
        <w:rPr>
          <w:rFonts w:asciiTheme="majorHAnsi" w:hAnsiTheme="majorHAnsi"/>
        </w:rPr>
        <w:t>derechos culturales</w:t>
      </w:r>
      <w:r w:rsidR="00B51EF8" w:rsidRPr="006D531F">
        <w:rPr>
          <w:rFonts w:asciiTheme="majorHAnsi" w:hAnsiTheme="majorHAnsi"/>
        </w:rPr>
        <w:t xml:space="preserve"> (artículo 26)</w:t>
      </w:r>
      <w:r w:rsidR="00777AED" w:rsidRPr="006D531F">
        <w:rPr>
          <w:rStyle w:val="FootnoteReference"/>
          <w:rFonts w:asciiTheme="majorHAnsi" w:hAnsiTheme="majorHAnsi"/>
        </w:rPr>
        <w:footnoteReference w:id="43"/>
      </w:r>
      <w:r w:rsidRPr="006D531F">
        <w:rPr>
          <w:rFonts w:asciiTheme="majorHAnsi" w:hAnsiTheme="majorHAnsi"/>
        </w:rPr>
        <w:t xml:space="preserve"> en relación con los artículos 1.1</w:t>
      </w:r>
      <w:r w:rsidR="00777AED" w:rsidRPr="006D531F">
        <w:rPr>
          <w:rStyle w:val="FootnoteReference"/>
          <w:rFonts w:asciiTheme="majorHAnsi" w:hAnsiTheme="majorHAnsi"/>
        </w:rPr>
        <w:footnoteReference w:id="44"/>
      </w:r>
      <w:r w:rsidRPr="006D531F">
        <w:rPr>
          <w:rFonts w:asciiTheme="majorHAnsi" w:hAnsiTheme="majorHAnsi"/>
        </w:rPr>
        <w:t xml:space="preserve"> y 2</w:t>
      </w:r>
      <w:r w:rsidR="00777AED" w:rsidRPr="006D531F">
        <w:rPr>
          <w:rStyle w:val="FootnoteReference"/>
          <w:rFonts w:asciiTheme="majorHAnsi" w:hAnsiTheme="majorHAnsi"/>
        </w:rPr>
        <w:footnoteReference w:id="45"/>
      </w:r>
      <w:r w:rsidRPr="006D531F">
        <w:rPr>
          <w:rFonts w:asciiTheme="majorHAnsi" w:hAnsiTheme="majorHAnsi"/>
        </w:rPr>
        <w:t xml:space="preserve"> de la Convención Americana</w:t>
      </w:r>
      <w:bookmarkEnd w:id="25"/>
      <w:bookmarkEnd w:id="26"/>
      <w:bookmarkEnd w:id="27"/>
    </w:p>
    <w:p w14:paraId="019901A4" w14:textId="77777777" w:rsidR="00A8230F" w:rsidRPr="00A8230F" w:rsidRDefault="00A8230F" w:rsidP="00A8230F">
      <w:pPr>
        <w:rPr>
          <w:lang w:val="es-ES_tradnl"/>
        </w:rPr>
      </w:pPr>
    </w:p>
    <w:p w14:paraId="65E0A447" w14:textId="77777777" w:rsidR="003669A2" w:rsidRDefault="00A8230F" w:rsidP="00A8230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lang w:val="es-ES_tradnl"/>
        </w:rPr>
      </w:pPr>
      <w:r>
        <w:rPr>
          <w:rFonts w:asciiTheme="majorHAnsi" w:hAnsiTheme="majorHAnsi"/>
          <w:sz w:val="20"/>
          <w:szCs w:val="20"/>
          <w:lang w:val="es-MX"/>
        </w:rPr>
        <w:t>L</w:t>
      </w:r>
      <w:r w:rsidRPr="00D526F1">
        <w:rPr>
          <w:rFonts w:asciiTheme="majorHAnsi" w:hAnsiTheme="majorHAnsi"/>
          <w:sz w:val="20"/>
          <w:szCs w:val="20"/>
          <w:lang w:val="es-MX"/>
        </w:rPr>
        <w:t xml:space="preserve">a CIDH entiende que </w:t>
      </w:r>
      <w:r>
        <w:rPr>
          <w:rFonts w:asciiTheme="majorHAnsi" w:hAnsiTheme="majorHAnsi"/>
          <w:sz w:val="20"/>
          <w:szCs w:val="20"/>
          <w:lang w:val="es-MX"/>
        </w:rPr>
        <w:t>el presente caso</w:t>
      </w:r>
      <w:r w:rsidRPr="00D526F1">
        <w:rPr>
          <w:rFonts w:asciiTheme="majorHAnsi" w:hAnsiTheme="majorHAnsi"/>
          <w:sz w:val="20"/>
          <w:szCs w:val="20"/>
          <w:lang w:val="es-MX"/>
        </w:rPr>
        <w:t xml:space="preserve"> se refiere a cuatro comunidades indígenas, las cuales reclaman el ejercicio colectivo de su</w:t>
      </w:r>
      <w:r>
        <w:rPr>
          <w:rFonts w:asciiTheme="majorHAnsi" w:hAnsiTheme="majorHAnsi"/>
          <w:sz w:val="20"/>
          <w:szCs w:val="20"/>
          <w:lang w:val="es-MX"/>
        </w:rPr>
        <w:t>s</w:t>
      </w:r>
      <w:r w:rsidRPr="00D526F1">
        <w:rPr>
          <w:rFonts w:asciiTheme="majorHAnsi" w:hAnsiTheme="majorHAnsi"/>
          <w:sz w:val="20"/>
          <w:szCs w:val="20"/>
          <w:lang w:val="es-MX"/>
        </w:rPr>
        <w:t xml:space="preserve"> derecho</w:t>
      </w:r>
      <w:r>
        <w:rPr>
          <w:rFonts w:asciiTheme="majorHAnsi" w:hAnsiTheme="majorHAnsi"/>
          <w:sz w:val="20"/>
          <w:szCs w:val="20"/>
          <w:lang w:val="es-MX"/>
        </w:rPr>
        <w:t>s</w:t>
      </w:r>
      <w:r w:rsidRPr="00D526F1">
        <w:rPr>
          <w:rFonts w:asciiTheme="majorHAnsi" w:hAnsiTheme="majorHAnsi"/>
          <w:sz w:val="20"/>
          <w:szCs w:val="20"/>
          <w:lang w:val="es-MX"/>
        </w:rPr>
        <w:t xml:space="preserve"> a la libertad de expresión</w:t>
      </w:r>
      <w:r>
        <w:rPr>
          <w:rFonts w:asciiTheme="majorHAnsi" w:hAnsiTheme="majorHAnsi"/>
          <w:sz w:val="20"/>
          <w:szCs w:val="20"/>
          <w:lang w:val="es-MX"/>
        </w:rPr>
        <w:t xml:space="preserve">, a la igualdad ante la ley </w:t>
      </w:r>
      <w:r w:rsidRPr="00D526F1">
        <w:rPr>
          <w:rFonts w:asciiTheme="majorHAnsi" w:hAnsiTheme="majorHAnsi"/>
          <w:sz w:val="20"/>
          <w:szCs w:val="20"/>
          <w:lang w:val="es-MX"/>
        </w:rPr>
        <w:t xml:space="preserve">y sus derechos culturales. Sobre el particular, la Corte Interamericana estableció que “la normativa internacional relativa a pueblos y comunidades indígenas o tribales reconoce derechos a los pueblos como sujetos colectivos del Derecho Internacional y no únicamente a sus miembros. Puesto que los pueblos y comunidades indígenas o </w:t>
      </w:r>
      <w:r w:rsidRPr="00D526F1">
        <w:rPr>
          <w:rFonts w:asciiTheme="majorHAnsi" w:hAnsiTheme="majorHAnsi"/>
          <w:sz w:val="20"/>
          <w:szCs w:val="20"/>
          <w:lang w:val="es-MX"/>
        </w:rPr>
        <w:lastRenderedPageBreak/>
        <w:t>tribales, cohesionados por sus particulares formas de vida e identidad, ejercen algunos derechos reconocidos por la Convención desde una dimensión colectiva”</w:t>
      </w:r>
      <w:r>
        <w:rPr>
          <w:rStyle w:val="FootnoteReference"/>
          <w:rFonts w:asciiTheme="majorHAnsi" w:hAnsiTheme="majorHAnsi"/>
          <w:sz w:val="20"/>
          <w:szCs w:val="20"/>
          <w:lang w:val="es-MX"/>
        </w:rPr>
        <w:footnoteReference w:id="46"/>
      </w:r>
      <w:r>
        <w:rPr>
          <w:rFonts w:asciiTheme="majorHAnsi" w:hAnsiTheme="majorHAnsi"/>
          <w:sz w:val="20"/>
          <w:szCs w:val="20"/>
          <w:lang w:val="es-MX"/>
        </w:rPr>
        <w:t>.</w:t>
      </w:r>
    </w:p>
    <w:p w14:paraId="760B1E5E" w14:textId="77777777" w:rsidR="0021300C" w:rsidRPr="006D531F" w:rsidRDefault="0021300C" w:rsidP="000A6CEF">
      <w:pPr>
        <w:jc w:val="both"/>
        <w:rPr>
          <w:rFonts w:asciiTheme="majorHAnsi" w:hAnsiTheme="majorHAnsi"/>
          <w:sz w:val="20"/>
          <w:szCs w:val="20"/>
          <w:lang w:val="es-ES_tradnl" w:eastAsia="es-ES"/>
        </w:rPr>
      </w:pPr>
    </w:p>
    <w:p w14:paraId="2398FB01" w14:textId="77777777" w:rsidR="00662C9B" w:rsidRPr="006D531F" w:rsidRDefault="00662C9B" w:rsidP="0022121A">
      <w:pPr>
        <w:pStyle w:val="Heading3"/>
        <w:keepNext w:val="0"/>
        <w:numPr>
          <w:ilvl w:val="0"/>
          <w:numId w:val="58"/>
        </w:numPr>
        <w:spacing w:before="0" w:after="0"/>
        <w:ind w:left="0" w:firstLine="0"/>
        <w:rPr>
          <w:lang w:eastAsia="es-ES"/>
        </w:rPr>
      </w:pPr>
      <w:bookmarkStart w:id="28" w:name="_Toc6937381"/>
      <w:bookmarkStart w:id="29" w:name="_Toc11073109"/>
      <w:bookmarkStart w:id="30" w:name="_Toc28418781"/>
      <w:r w:rsidRPr="006D531F">
        <w:rPr>
          <w:rFonts w:eastAsia="Batang"/>
        </w:rPr>
        <w:t>Consideraciones generales sobre</w:t>
      </w:r>
      <w:r w:rsidR="00B544A7" w:rsidRPr="006D531F">
        <w:rPr>
          <w:rFonts w:eastAsia="Batang"/>
        </w:rPr>
        <w:t xml:space="preserve"> </w:t>
      </w:r>
      <w:r w:rsidR="00B544A7" w:rsidRPr="006D531F">
        <w:rPr>
          <w:lang w:eastAsia="es-ES"/>
        </w:rPr>
        <w:t xml:space="preserve">la libertad de </w:t>
      </w:r>
      <w:r w:rsidR="00DA39F4" w:rsidRPr="006D531F">
        <w:rPr>
          <w:lang w:eastAsia="es-ES"/>
        </w:rPr>
        <w:t xml:space="preserve">pensamiento y </w:t>
      </w:r>
      <w:r w:rsidR="00B544A7" w:rsidRPr="006D531F">
        <w:rPr>
          <w:lang w:eastAsia="es-ES"/>
        </w:rPr>
        <w:t>expresión</w:t>
      </w:r>
      <w:bookmarkEnd w:id="28"/>
      <w:bookmarkEnd w:id="29"/>
      <w:r w:rsidR="009061AB" w:rsidRPr="006D531F">
        <w:rPr>
          <w:lang w:eastAsia="es-ES"/>
        </w:rPr>
        <w:t>, pluralismo y diversidad en los medios de comunicación</w:t>
      </w:r>
      <w:bookmarkEnd w:id="30"/>
    </w:p>
    <w:p w14:paraId="3EE21CC5" w14:textId="77777777" w:rsidR="0021300C" w:rsidRPr="006D531F" w:rsidRDefault="0021300C" w:rsidP="000A6CEF">
      <w:pPr>
        <w:jc w:val="both"/>
        <w:rPr>
          <w:rFonts w:asciiTheme="majorHAnsi" w:hAnsiTheme="majorHAnsi"/>
          <w:sz w:val="20"/>
          <w:szCs w:val="20"/>
          <w:lang w:val="es-ES_tradnl" w:eastAsia="es-ES"/>
        </w:rPr>
      </w:pPr>
    </w:p>
    <w:p w14:paraId="03768F61" w14:textId="77777777" w:rsidR="00BD2C03" w:rsidRPr="006D531F" w:rsidRDefault="00E52673" w:rsidP="00FA58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pacing w:val="-2"/>
          <w:sz w:val="20"/>
          <w:szCs w:val="20"/>
          <w:lang w:val="es-ES_tradnl"/>
        </w:rPr>
      </w:pPr>
      <w:r w:rsidRPr="006D531F">
        <w:rPr>
          <w:rFonts w:asciiTheme="majorHAnsi" w:hAnsiTheme="majorHAnsi"/>
          <w:sz w:val="20"/>
          <w:szCs w:val="20"/>
          <w:lang w:val="es-CO"/>
        </w:rPr>
        <w:t xml:space="preserve">La </w:t>
      </w:r>
      <w:r w:rsidRPr="006D531F">
        <w:rPr>
          <w:rFonts w:asciiTheme="majorHAnsi" w:hAnsiTheme="majorHAnsi"/>
          <w:sz w:val="20"/>
          <w:szCs w:val="20"/>
          <w:lang w:val="es-VE"/>
        </w:rPr>
        <w:t>CIDH</w:t>
      </w:r>
      <w:r w:rsidR="00794407" w:rsidRPr="006D531F">
        <w:rPr>
          <w:rFonts w:asciiTheme="majorHAnsi" w:hAnsiTheme="majorHAnsi"/>
          <w:sz w:val="20"/>
          <w:szCs w:val="20"/>
          <w:lang w:val="es-CO"/>
        </w:rPr>
        <w:t xml:space="preserve"> y </w:t>
      </w:r>
      <w:r w:rsidRPr="006D531F">
        <w:rPr>
          <w:rFonts w:asciiTheme="majorHAnsi" w:hAnsiTheme="majorHAnsi"/>
          <w:sz w:val="20"/>
          <w:szCs w:val="20"/>
          <w:lang w:val="es-CO"/>
        </w:rPr>
        <w:t>la Corte IDH ha</w:t>
      </w:r>
      <w:r w:rsidR="00794407" w:rsidRPr="006D531F">
        <w:rPr>
          <w:rFonts w:asciiTheme="majorHAnsi" w:hAnsiTheme="majorHAnsi"/>
          <w:sz w:val="20"/>
          <w:szCs w:val="20"/>
          <w:lang w:val="es-CO"/>
        </w:rPr>
        <w:t>n</w:t>
      </w:r>
      <w:r w:rsidRPr="006D531F">
        <w:rPr>
          <w:rFonts w:asciiTheme="majorHAnsi" w:hAnsiTheme="majorHAnsi"/>
          <w:sz w:val="20"/>
          <w:szCs w:val="20"/>
          <w:lang w:val="es-CO"/>
        </w:rPr>
        <w:t xml:space="preserve"> resaltado la importancia del derecho a la libertad de pensamiento y expresión conforme a la protección que otorga el artículo 13 de la Convención Americana. Este </w:t>
      </w:r>
      <w:r w:rsidR="00DC0444">
        <w:rPr>
          <w:rFonts w:asciiTheme="majorHAnsi" w:hAnsiTheme="majorHAnsi"/>
          <w:sz w:val="20"/>
          <w:szCs w:val="20"/>
          <w:lang w:val="es-CO"/>
        </w:rPr>
        <w:t xml:space="preserve">artículo </w:t>
      </w:r>
      <w:r w:rsidR="00A555DC" w:rsidRPr="006D531F">
        <w:rPr>
          <w:rFonts w:asciiTheme="majorHAnsi" w:hAnsiTheme="majorHAnsi"/>
          <w:spacing w:val="-2"/>
          <w:sz w:val="20"/>
          <w:szCs w:val="20"/>
          <w:lang w:val="es-ES_tradnl"/>
        </w:rPr>
        <w:t xml:space="preserve">protege el derecho de </w:t>
      </w:r>
      <w:r w:rsidR="00A555DC" w:rsidRPr="006D531F">
        <w:rPr>
          <w:rFonts w:asciiTheme="majorHAnsi" w:hAnsiTheme="majorHAnsi"/>
          <w:sz w:val="20"/>
          <w:szCs w:val="20"/>
          <w:lang w:val="es-MX"/>
        </w:rPr>
        <w:t>buscar</w:t>
      </w:r>
      <w:r w:rsidR="00A555DC" w:rsidRPr="006D531F">
        <w:rPr>
          <w:rFonts w:asciiTheme="majorHAnsi" w:hAnsiTheme="majorHAnsi"/>
          <w:spacing w:val="-2"/>
          <w:sz w:val="20"/>
          <w:szCs w:val="20"/>
          <w:lang w:val="es-ES_tradnl"/>
        </w:rPr>
        <w:t>, recibir y difundir ideas e informaciones de toda índole, así como también el de recibir y conocer las informaciones e ideas difundidas por los demás</w:t>
      </w:r>
      <w:r w:rsidRPr="006D531F">
        <w:rPr>
          <w:rStyle w:val="FootnoteReference"/>
          <w:rFonts w:asciiTheme="majorHAnsi" w:hAnsiTheme="majorHAnsi"/>
          <w:sz w:val="20"/>
          <w:szCs w:val="20"/>
          <w:lang w:val="es-CO"/>
        </w:rPr>
        <w:footnoteReference w:id="47"/>
      </w:r>
      <w:r w:rsidRPr="006D531F">
        <w:rPr>
          <w:rFonts w:asciiTheme="majorHAnsi" w:hAnsiTheme="majorHAnsi"/>
          <w:sz w:val="20"/>
          <w:szCs w:val="20"/>
          <w:lang w:val="es-CO"/>
        </w:rPr>
        <w:t xml:space="preserve">. </w:t>
      </w:r>
      <w:r w:rsidR="00BD2C03" w:rsidRPr="006D531F">
        <w:rPr>
          <w:rFonts w:asciiTheme="majorHAnsi" w:hAnsiTheme="majorHAnsi"/>
          <w:sz w:val="20"/>
          <w:szCs w:val="20"/>
          <w:lang w:val="es-HN"/>
        </w:rPr>
        <w:t xml:space="preserve">Este derecho reviste una crucial importancia para el desarrollo personal de cada individuo, para el ejercicio de su autonomía y de otros derechos fundamentales, </w:t>
      </w:r>
      <w:r w:rsidR="00DC4327">
        <w:rPr>
          <w:rFonts w:asciiTheme="majorHAnsi" w:hAnsiTheme="majorHAnsi"/>
          <w:sz w:val="20"/>
          <w:szCs w:val="20"/>
          <w:lang w:val="es-HN"/>
        </w:rPr>
        <w:t>así como</w:t>
      </w:r>
      <w:r w:rsidR="00BD2C03" w:rsidRPr="006D531F">
        <w:rPr>
          <w:rFonts w:asciiTheme="majorHAnsi" w:hAnsiTheme="majorHAnsi"/>
          <w:sz w:val="20"/>
          <w:szCs w:val="20"/>
          <w:lang w:val="es-HN"/>
        </w:rPr>
        <w:t xml:space="preserve"> para la consolidación de una sociedad democrática</w:t>
      </w:r>
      <w:r w:rsidR="00BD2C03" w:rsidRPr="006D531F">
        <w:rPr>
          <w:rStyle w:val="FootnoteReference"/>
          <w:rFonts w:asciiTheme="majorHAnsi" w:hAnsiTheme="majorHAnsi"/>
          <w:sz w:val="20"/>
          <w:szCs w:val="20"/>
          <w:lang w:val="es-HN"/>
        </w:rPr>
        <w:footnoteReference w:id="48"/>
      </w:r>
      <w:r w:rsidR="00BD2C03" w:rsidRPr="006D531F">
        <w:rPr>
          <w:rFonts w:asciiTheme="majorHAnsi" w:hAnsiTheme="majorHAnsi"/>
          <w:sz w:val="20"/>
          <w:szCs w:val="20"/>
          <w:lang w:val="es-HN"/>
        </w:rPr>
        <w:t>.</w:t>
      </w:r>
    </w:p>
    <w:p w14:paraId="76673F99" w14:textId="77777777" w:rsidR="00FA5861" w:rsidRPr="006D531F" w:rsidRDefault="00FA5861" w:rsidP="00FA58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pacing w:val="-2"/>
          <w:sz w:val="20"/>
          <w:szCs w:val="20"/>
          <w:lang w:val="es-ES_tradnl"/>
        </w:rPr>
      </w:pPr>
    </w:p>
    <w:p w14:paraId="71FFB5BC" w14:textId="77777777" w:rsidR="0021300C" w:rsidRPr="006D531F" w:rsidRDefault="00A555DC" w:rsidP="00FA58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pacing w:val="-2"/>
          <w:sz w:val="20"/>
          <w:szCs w:val="20"/>
          <w:lang w:val="es-ES_tradnl"/>
        </w:rPr>
      </w:pPr>
      <w:r w:rsidRPr="006D531F">
        <w:rPr>
          <w:rFonts w:asciiTheme="majorHAnsi" w:hAnsiTheme="majorHAnsi"/>
          <w:spacing w:val="-2"/>
          <w:sz w:val="20"/>
          <w:szCs w:val="20"/>
          <w:lang w:val="es-ES_tradnl"/>
        </w:rPr>
        <w:t>La jurisprudencia de</w:t>
      </w:r>
      <w:r w:rsidR="0090255D" w:rsidRPr="006D531F">
        <w:rPr>
          <w:rFonts w:asciiTheme="majorHAnsi" w:hAnsiTheme="majorHAnsi"/>
          <w:spacing w:val="-2"/>
          <w:sz w:val="20"/>
          <w:szCs w:val="20"/>
          <w:lang w:val="es-ES_tradnl"/>
        </w:rPr>
        <w:t xml:space="preserve">l sistema interamericano </w:t>
      </w:r>
      <w:r w:rsidRPr="006D531F">
        <w:rPr>
          <w:rFonts w:asciiTheme="majorHAnsi" w:hAnsiTheme="majorHAnsi"/>
          <w:spacing w:val="-2"/>
          <w:sz w:val="20"/>
          <w:szCs w:val="20"/>
          <w:lang w:val="es-ES_tradnl"/>
        </w:rPr>
        <w:t>ha señalado que la libertad de expresión tiene una dimensión individual y una dimensión social</w:t>
      </w:r>
      <w:r w:rsidRPr="006D531F">
        <w:rPr>
          <w:rFonts w:asciiTheme="majorHAnsi" w:hAnsiTheme="majorHAnsi"/>
          <w:sz w:val="20"/>
          <w:szCs w:val="20"/>
          <w:vertAlign w:val="superscript"/>
          <w:lang w:val="es-ES_tradnl"/>
        </w:rPr>
        <w:footnoteReference w:id="49"/>
      </w:r>
      <w:r w:rsidRPr="006D531F">
        <w:rPr>
          <w:rFonts w:asciiTheme="majorHAnsi" w:hAnsiTheme="majorHAnsi"/>
          <w:spacing w:val="-2"/>
          <w:sz w:val="20"/>
          <w:szCs w:val="20"/>
          <w:lang w:val="es-ES_tradnl"/>
        </w:rPr>
        <w:t>, las cuales poseen igual importancia y deben ser garantizadas plenamente en forma simultánea para dar efectividad total a dicho derecho en los términos previstos por el artículo 13 de la Convención</w:t>
      </w:r>
      <w:r w:rsidRPr="006D531F">
        <w:rPr>
          <w:rFonts w:asciiTheme="majorHAnsi" w:hAnsiTheme="majorHAnsi"/>
          <w:sz w:val="20"/>
          <w:szCs w:val="20"/>
          <w:vertAlign w:val="superscript"/>
          <w:lang w:val="es-ES_tradnl"/>
        </w:rPr>
        <w:footnoteReference w:id="50"/>
      </w:r>
      <w:r w:rsidRPr="006D531F">
        <w:rPr>
          <w:rFonts w:asciiTheme="majorHAnsi" w:hAnsiTheme="majorHAnsi"/>
          <w:spacing w:val="-2"/>
          <w:sz w:val="20"/>
          <w:szCs w:val="20"/>
          <w:lang w:val="es-ES_tradnl"/>
        </w:rPr>
        <w:t xml:space="preserve">. </w:t>
      </w:r>
      <w:r w:rsidR="007B2E63" w:rsidRPr="006D531F">
        <w:rPr>
          <w:rFonts w:asciiTheme="majorHAnsi" w:hAnsiTheme="majorHAnsi"/>
          <w:sz w:val="20"/>
          <w:szCs w:val="20"/>
          <w:lang w:val="es-CO"/>
        </w:rPr>
        <w:t>La primera consiste en el derecho que tiene cada persona a expresar los propios pensamientos, ideas e informaciones, lo cual no se agota con el reconocimiento teórico del derecho a hablar o escribir, sino que también comprende, de manera conjunta, el derecho a utilizar cualquier medio apropiado para difundir el pensamiento y que el mismo alcance al mayor número de destinatarios</w:t>
      </w:r>
      <w:r w:rsidR="007B2E63" w:rsidRPr="006D531F">
        <w:rPr>
          <w:rStyle w:val="FootnoteReference"/>
          <w:rFonts w:asciiTheme="majorHAnsi" w:hAnsiTheme="majorHAnsi"/>
          <w:sz w:val="20"/>
          <w:szCs w:val="20"/>
          <w:lang w:val="es-CO"/>
        </w:rPr>
        <w:footnoteReference w:id="51"/>
      </w:r>
      <w:r w:rsidR="007B2E63" w:rsidRPr="006D531F">
        <w:rPr>
          <w:rFonts w:asciiTheme="majorHAnsi" w:hAnsiTheme="majorHAnsi"/>
          <w:sz w:val="20"/>
          <w:szCs w:val="20"/>
          <w:lang w:val="es-CO"/>
        </w:rPr>
        <w:t>. La segunda consiste en el derecho que posee la sociedad a procurar y recibir cualquier información, lo cual incluye conocer los pensamientos, ideas e informaciones ajenos y estar informada</w:t>
      </w:r>
      <w:r w:rsidR="007B2E63" w:rsidRPr="006D531F">
        <w:rPr>
          <w:rStyle w:val="FootnoteReference"/>
          <w:rFonts w:asciiTheme="majorHAnsi" w:hAnsiTheme="majorHAnsi"/>
          <w:sz w:val="20"/>
          <w:szCs w:val="20"/>
          <w:lang w:val="es-CO"/>
        </w:rPr>
        <w:footnoteReference w:id="52"/>
      </w:r>
      <w:r w:rsidR="007B2E63" w:rsidRPr="006D531F">
        <w:rPr>
          <w:rFonts w:asciiTheme="majorHAnsi" w:hAnsiTheme="majorHAnsi"/>
          <w:sz w:val="20"/>
          <w:szCs w:val="20"/>
          <w:lang w:val="es-CO"/>
        </w:rPr>
        <w:t>. En este sentido, la Corte ha establecido que la libertad comprende el derecho de cada persona a tratar de comunicar a otros sus puntos de vista, pero implica también el derecho de todos a conocer opiniones, relatos y noticias de toda índole, libremente</w:t>
      </w:r>
      <w:r w:rsidR="007B2E63" w:rsidRPr="006D531F">
        <w:rPr>
          <w:rStyle w:val="FootnoteReference"/>
          <w:rFonts w:asciiTheme="majorHAnsi" w:hAnsiTheme="majorHAnsi"/>
          <w:sz w:val="20"/>
          <w:szCs w:val="20"/>
          <w:lang w:val="es-CO"/>
        </w:rPr>
        <w:footnoteReference w:id="53"/>
      </w:r>
      <w:r w:rsidR="007B2E63" w:rsidRPr="006D531F">
        <w:rPr>
          <w:rFonts w:asciiTheme="majorHAnsi" w:hAnsiTheme="majorHAnsi"/>
          <w:sz w:val="20"/>
          <w:szCs w:val="20"/>
          <w:lang w:val="es-CO"/>
        </w:rPr>
        <w:t>.</w:t>
      </w:r>
      <w:r w:rsidR="00FF33F2" w:rsidRPr="006D531F">
        <w:rPr>
          <w:rFonts w:asciiTheme="majorHAnsi" w:hAnsiTheme="majorHAnsi"/>
          <w:spacing w:val="-2"/>
          <w:sz w:val="20"/>
          <w:szCs w:val="20"/>
          <w:lang w:val="es-CO"/>
        </w:rPr>
        <w:t xml:space="preserve"> </w:t>
      </w:r>
      <w:r w:rsidRPr="006D531F">
        <w:rPr>
          <w:rFonts w:asciiTheme="majorHAnsi" w:hAnsiTheme="majorHAnsi"/>
          <w:spacing w:val="-2"/>
          <w:sz w:val="20"/>
          <w:szCs w:val="20"/>
          <w:lang w:val="es-PE"/>
        </w:rPr>
        <w:t>Para el ciudadano común tiene tanta importancia el conocimiento de la opinión ajena o de la información de que disponen otros como el derecho a difundir la propia</w:t>
      </w:r>
      <w:r w:rsidRPr="006D531F">
        <w:rPr>
          <w:rStyle w:val="FootnoteReference"/>
          <w:rFonts w:asciiTheme="majorHAnsi" w:hAnsiTheme="majorHAnsi"/>
          <w:spacing w:val="-2"/>
          <w:sz w:val="20"/>
          <w:szCs w:val="20"/>
        </w:rPr>
        <w:footnoteReference w:id="54"/>
      </w:r>
      <w:r w:rsidRPr="006D531F">
        <w:rPr>
          <w:rFonts w:asciiTheme="majorHAnsi" w:hAnsiTheme="majorHAnsi"/>
          <w:spacing w:val="-2"/>
          <w:sz w:val="20"/>
          <w:szCs w:val="20"/>
          <w:lang w:val="es-PE"/>
        </w:rPr>
        <w:t xml:space="preserve">. </w:t>
      </w:r>
    </w:p>
    <w:p w14:paraId="79EBCF86" w14:textId="77777777" w:rsidR="00FA5861" w:rsidRPr="006D531F" w:rsidRDefault="00FA5861" w:rsidP="00FA586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pacing w:val="-2"/>
          <w:sz w:val="20"/>
          <w:szCs w:val="20"/>
          <w:lang w:val="es-ES_tradnl"/>
        </w:rPr>
      </w:pPr>
    </w:p>
    <w:p w14:paraId="66854CFA" w14:textId="77777777" w:rsidR="00BA243C" w:rsidRPr="006D531F" w:rsidRDefault="00D91C1F" w:rsidP="00FA586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pacing w:val="-2"/>
          <w:sz w:val="20"/>
          <w:szCs w:val="20"/>
          <w:lang w:val="es-ES_tradnl"/>
        </w:rPr>
      </w:pPr>
      <w:r w:rsidRPr="006D531F">
        <w:rPr>
          <w:rFonts w:asciiTheme="majorHAnsi" w:hAnsiTheme="majorHAnsi"/>
          <w:sz w:val="20"/>
          <w:szCs w:val="20"/>
          <w:lang w:val="es-PE"/>
        </w:rPr>
        <w:t>El art</w:t>
      </w:r>
      <w:r w:rsidR="00D37DD9" w:rsidRPr="006D531F">
        <w:rPr>
          <w:rFonts w:asciiTheme="majorHAnsi" w:hAnsiTheme="majorHAnsi"/>
          <w:sz w:val="20"/>
          <w:szCs w:val="20"/>
          <w:lang w:val="es-PE"/>
        </w:rPr>
        <w:t>íc</w:t>
      </w:r>
      <w:r w:rsidRPr="006D531F">
        <w:rPr>
          <w:rFonts w:asciiTheme="majorHAnsi" w:hAnsiTheme="majorHAnsi"/>
          <w:sz w:val="20"/>
          <w:szCs w:val="20"/>
          <w:lang w:val="es-PE"/>
        </w:rPr>
        <w:t xml:space="preserve">ulo 13 de la Convención Americana consagra el derecho a la libertad de expresión e indica que puede ejercerse </w:t>
      </w:r>
      <w:r w:rsidRPr="006D531F">
        <w:rPr>
          <w:rFonts w:asciiTheme="majorHAnsi" w:hAnsiTheme="majorHAnsi"/>
          <w:i/>
          <w:sz w:val="20"/>
          <w:szCs w:val="20"/>
          <w:lang w:val="es-PE"/>
        </w:rPr>
        <w:t>por cualquier medio</w:t>
      </w:r>
      <w:r w:rsidR="00216794" w:rsidRPr="006D531F">
        <w:rPr>
          <w:rFonts w:asciiTheme="majorHAnsi" w:hAnsiTheme="majorHAnsi"/>
          <w:sz w:val="20"/>
          <w:szCs w:val="20"/>
          <w:lang w:val="es-PE"/>
        </w:rPr>
        <w:t>.</w:t>
      </w:r>
      <w:r w:rsidR="000B7EA5" w:rsidRPr="006D531F">
        <w:rPr>
          <w:rFonts w:asciiTheme="majorHAnsi" w:hAnsiTheme="majorHAnsi"/>
          <w:sz w:val="20"/>
          <w:szCs w:val="20"/>
          <w:lang w:val="es-PE"/>
        </w:rPr>
        <w:t xml:space="preserve"> </w:t>
      </w:r>
      <w:r w:rsidR="00DB441D" w:rsidRPr="006D531F">
        <w:rPr>
          <w:rFonts w:asciiTheme="majorHAnsi" w:hAnsiTheme="majorHAnsi"/>
          <w:sz w:val="20"/>
          <w:szCs w:val="20"/>
          <w:lang w:val="es-PE"/>
        </w:rPr>
        <w:t xml:space="preserve">Asimismo, los principios 1 y 6 de la </w:t>
      </w:r>
      <w:r w:rsidR="00F712ED" w:rsidRPr="006D531F">
        <w:rPr>
          <w:rFonts w:asciiTheme="majorHAnsi" w:hAnsiTheme="majorHAnsi"/>
          <w:sz w:val="20"/>
          <w:szCs w:val="20"/>
          <w:lang w:val="es-VE"/>
        </w:rPr>
        <w:t>Declaración de Principios sobre Libertad de Expresión de la CIDH</w:t>
      </w:r>
      <w:r w:rsidR="00DB441D" w:rsidRPr="006D531F">
        <w:rPr>
          <w:rFonts w:asciiTheme="majorHAnsi" w:hAnsiTheme="majorHAnsi"/>
          <w:sz w:val="20"/>
          <w:szCs w:val="20"/>
          <w:lang w:val="es-PE"/>
        </w:rPr>
        <w:t xml:space="preserve"> reconocen que toda persona tiene el derecho a contar con igualdad de oportunidades para recibir, buscar e impartir información por cualquier medio</w:t>
      </w:r>
      <w:r w:rsidR="00DB441D" w:rsidRPr="006D531F">
        <w:rPr>
          <w:rFonts w:asciiTheme="majorHAnsi" w:hAnsiTheme="majorHAnsi"/>
          <w:i/>
          <w:sz w:val="20"/>
          <w:szCs w:val="20"/>
          <w:lang w:val="es-PE"/>
        </w:rPr>
        <w:t xml:space="preserve"> </w:t>
      </w:r>
      <w:r w:rsidR="00DB441D" w:rsidRPr="006D531F">
        <w:rPr>
          <w:rFonts w:asciiTheme="majorHAnsi" w:hAnsiTheme="majorHAnsi"/>
          <w:sz w:val="20"/>
          <w:szCs w:val="20"/>
          <w:lang w:val="es-PE"/>
        </w:rPr>
        <w:t xml:space="preserve">de comunicación sin discriminación. </w:t>
      </w:r>
      <w:r w:rsidR="00BA7D92" w:rsidRPr="006D531F">
        <w:rPr>
          <w:rFonts w:asciiTheme="majorHAnsi" w:hAnsiTheme="majorHAnsi"/>
          <w:sz w:val="20"/>
          <w:szCs w:val="20"/>
          <w:lang w:val="es-PE"/>
        </w:rPr>
        <w:t>Por otro lado, y</w:t>
      </w:r>
      <w:r w:rsidR="00241872" w:rsidRPr="006D531F">
        <w:rPr>
          <w:rFonts w:asciiTheme="majorHAnsi" w:hAnsiTheme="majorHAnsi"/>
          <w:sz w:val="20"/>
          <w:szCs w:val="20"/>
          <w:lang w:val="es-PE"/>
        </w:rPr>
        <w:t xml:space="preserve">a desde la Opinión Consultiva </w:t>
      </w:r>
      <w:r w:rsidR="00A27EF1" w:rsidRPr="006D531F">
        <w:rPr>
          <w:rFonts w:asciiTheme="majorHAnsi" w:hAnsiTheme="majorHAnsi"/>
          <w:sz w:val="20"/>
          <w:szCs w:val="20"/>
          <w:lang w:val="es-PE"/>
        </w:rPr>
        <w:t>OC-5</w:t>
      </w:r>
      <w:r w:rsidR="00B47D8A" w:rsidRPr="006D531F">
        <w:rPr>
          <w:rFonts w:asciiTheme="majorHAnsi" w:hAnsiTheme="majorHAnsi"/>
          <w:sz w:val="20"/>
          <w:szCs w:val="20"/>
          <w:lang w:val="es-PE"/>
        </w:rPr>
        <w:t>/85</w:t>
      </w:r>
      <w:r w:rsidR="00123EFE" w:rsidRPr="006D531F">
        <w:rPr>
          <w:rFonts w:asciiTheme="majorHAnsi" w:hAnsiTheme="majorHAnsi"/>
          <w:sz w:val="20"/>
          <w:szCs w:val="20"/>
          <w:lang w:val="es-PE"/>
        </w:rPr>
        <w:t>,</w:t>
      </w:r>
      <w:r w:rsidR="00B47D8A" w:rsidRPr="006D531F">
        <w:rPr>
          <w:rFonts w:asciiTheme="majorHAnsi" w:hAnsiTheme="majorHAnsi"/>
          <w:sz w:val="20"/>
          <w:szCs w:val="20"/>
          <w:lang w:val="es-PE"/>
        </w:rPr>
        <w:t xml:space="preserve"> la Corte Interamericana </w:t>
      </w:r>
      <w:r w:rsidR="00123EFE" w:rsidRPr="006D531F">
        <w:rPr>
          <w:rFonts w:asciiTheme="majorHAnsi" w:hAnsiTheme="majorHAnsi"/>
          <w:sz w:val="20"/>
          <w:szCs w:val="20"/>
          <w:lang w:val="es-PE"/>
        </w:rPr>
        <w:t xml:space="preserve">estableció </w:t>
      </w:r>
      <w:r w:rsidR="00B47D8A" w:rsidRPr="006D531F">
        <w:rPr>
          <w:rFonts w:asciiTheme="majorHAnsi" w:hAnsiTheme="majorHAnsi"/>
          <w:sz w:val="20"/>
          <w:szCs w:val="20"/>
          <w:lang w:val="es-PE"/>
        </w:rPr>
        <w:t xml:space="preserve">que, “la libertad de expresión no se agota en el reconocimiento teórico del derecho a hablar o escribir, sino que </w:t>
      </w:r>
      <w:r w:rsidR="00333BCD" w:rsidRPr="006D531F">
        <w:rPr>
          <w:rFonts w:asciiTheme="majorHAnsi" w:hAnsiTheme="majorHAnsi"/>
          <w:sz w:val="20"/>
          <w:szCs w:val="20"/>
          <w:lang w:val="es-PE"/>
        </w:rPr>
        <w:t>comprende,</w:t>
      </w:r>
      <w:r w:rsidR="008C5839" w:rsidRPr="006D531F">
        <w:rPr>
          <w:rFonts w:asciiTheme="majorHAnsi" w:hAnsiTheme="majorHAnsi"/>
          <w:sz w:val="20"/>
          <w:szCs w:val="20"/>
          <w:lang w:val="es-PE"/>
        </w:rPr>
        <w:t xml:space="preserve"> </w:t>
      </w:r>
      <w:r w:rsidR="00B47D8A" w:rsidRPr="006D531F">
        <w:rPr>
          <w:rFonts w:asciiTheme="majorHAnsi" w:hAnsiTheme="majorHAnsi"/>
          <w:sz w:val="20"/>
          <w:szCs w:val="20"/>
          <w:lang w:val="es-PE"/>
        </w:rPr>
        <w:t xml:space="preserve">además, inseparablemente, </w:t>
      </w:r>
      <w:r w:rsidR="00B47D8A" w:rsidRPr="005C6A99">
        <w:rPr>
          <w:rFonts w:asciiTheme="majorHAnsi" w:hAnsiTheme="majorHAnsi"/>
          <w:i/>
          <w:sz w:val="20"/>
          <w:szCs w:val="20"/>
          <w:lang w:val="es-PE"/>
        </w:rPr>
        <w:t>el derecho a fundar o utilizar</w:t>
      </w:r>
      <w:r w:rsidR="00B47D8A" w:rsidRPr="006D531F">
        <w:rPr>
          <w:rFonts w:asciiTheme="majorHAnsi" w:hAnsiTheme="majorHAnsi"/>
          <w:sz w:val="20"/>
          <w:szCs w:val="20"/>
          <w:lang w:val="es-PE"/>
        </w:rPr>
        <w:t xml:space="preserve"> </w:t>
      </w:r>
      <w:r w:rsidR="00B47D8A" w:rsidRPr="006D531F">
        <w:rPr>
          <w:rFonts w:asciiTheme="majorHAnsi" w:hAnsiTheme="majorHAnsi"/>
          <w:i/>
          <w:sz w:val="20"/>
          <w:szCs w:val="20"/>
          <w:lang w:val="es-PE"/>
        </w:rPr>
        <w:t>cualquier medio apropiado</w:t>
      </w:r>
      <w:r w:rsidR="00B47D8A" w:rsidRPr="006D531F">
        <w:rPr>
          <w:rFonts w:asciiTheme="majorHAnsi" w:hAnsiTheme="majorHAnsi"/>
          <w:sz w:val="20"/>
          <w:szCs w:val="20"/>
          <w:lang w:val="es-PE"/>
        </w:rPr>
        <w:t xml:space="preserve"> para difundir </w:t>
      </w:r>
      <w:r w:rsidR="00B47D8A" w:rsidRPr="006D531F">
        <w:rPr>
          <w:rFonts w:asciiTheme="majorHAnsi" w:hAnsiTheme="majorHAnsi"/>
          <w:sz w:val="20"/>
          <w:szCs w:val="20"/>
          <w:lang w:val="es-PE"/>
        </w:rPr>
        <w:lastRenderedPageBreak/>
        <w:t>el pensamiento y hacerlo llegar al mayor número de destinatarios”</w:t>
      </w:r>
      <w:r w:rsidR="00B47D8A" w:rsidRPr="006D531F">
        <w:rPr>
          <w:rFonts w:asciiTheme="majorHAnsi" w:hAnsiTheme="majorHAnsi"/>
          <w:sz w:val="20"/>
          <w:szCs w:val="20"/>
          <w:vertAlign w:val="superscript"/>
        </w:rPr>
        <w:footnoteReference w:id="55"/>
      </w:r>
      <w:r w:rsidR="007824D3" w:rsidRPr="006D531F">
        <w:rPr>
          <w:rFonts w:asciiTheme="majorHAnsi" w:hAnsiTheme="majorHAnsi"/>
          <w:sz w:val="20"/>
          <w:szCs w:val="20"/>
          <w:lang w:val="es-PE"/>
        </w:rPr>
        <w:t>.</w:t>
      </w:r>
      <w:r w:rsidR="003556EB" w:rsidRPr="006D531F">
        <w:rPr>
          <w:rFonts w:asciiTheme="majorHAnsi" w:hAnsiTheme="majorHAnsi"/>
          <w:sz w:val="20"/>
          <w:szCs w:val="20"/>
          <w:lang w:val="es-PE"/>
        </w:rPr>
        <w:t xml:space="preserve"> En ese sentido, </w:t>
      </w:r>
      <w:r w:rsidR="003556EB" w:rsidRPr="006D531F">
        <w:rPr>
          <w:rFonts w:asciiTheme="majorHAnsi" w:hAnsiTheme="majorHAnsi"/>
          <w:sz w:val="20"/>
          <w:szCs w:val="20"/>
          <w:lang w:val="es-ES"/>
        </w:rPr>
        <w:t>los medios de comunicación pueden ser “</w:t>
      </w:r>
      <w:r w:rsidR="003556EB" w:rsidRPr="006D531F">
        <w:rPr>
          <w:rFonts w:asciiTheme="majorHAnsi" w:hAnsiTheme="majorHAnsi"/>
          <w:sz w:val="20"/>
          <w:szCs w:val="20"/>
          <w:lang w:val="es-ES_tradnl"/>
        </w:rPr>
        <w:t>verdaderos instrumentos de la libertad de expresión”</w:t>
      </w:r>
      <w:r w:rsidR="003556EB" w:rsidRPr="006D531F">
        <w:rPr>
          <w:rStyle w:val="FootnoteReference"/>
          <w:rFonts w:asciiTheme="majorHAnsi" w:hAnsiTheme="majorHAnsi"/>
          <w:sz w:val="20"/>
          <w:szCs w:val="20"/>
          <w:lang w:val="es-ES_tradnl"/>
        </w:rPr>
        <w:footnoteReference w:id="56"/>
      </w:r>
      <w:r w:rsidR="003556EB" w:rsidRPr="006D531F">
        <w:rPr>
          <w:rFonts w:asciiTheme="majorHAnsi" w:hAnsiTheme="majorHAnsi"/>
          <w:sz w:val="20"/>
          <w:szCs w:val="20"/>
          <w:lang w:val="es-ES_tradnl"/>
        </w:rPr>
        <w:t>.</w:t>
      </w:r>
      <w:r w:rsidR="003556EB" w:rsidRPr="006D531F">
        <w:rPr>
          <w:rFonts w:asciiTheme="majorHAnsi" w:hAnsiTheme="majorHAnsi"/>
          <w:sz w:val="20"/>
          <w:szCs w:val="20"/>
          <w:lang w:val="es-AR"/>
        </w:rPr>
        <w:t xml:space="preserve"> </w:t>
      </w:r>
      <w:r w:rsidR="007824D3" w:rsidRPr="006D531F">
        <w:rPr>
          <w:rFonts w:asciiTheme="majorHAnsi" w:hAnsiTheme="majorHAnsi"/>
          <w:sz w:val="20"/>
          <w:szCs w:val="20"/>
          <w:lang w:val="es-PE"/>
        </w:rPr>
        <w:t xml:space="preserve"> </w:t>
      </w:r>
    </w:p>
    <w:p w14:paraId="22E6F20E" w14:textId="77777777" w:rsidR="00784E9C" w:rsidRPr="006D531F" w:rsidRDefault="00784E9C" w:rsidP="00D91C1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highlight w:val="yellow"/>
          <w:lang w:val="es-PE"/>
        </w:rPr>
      </w:pPr>
    </w:p>
    <w:p w14:paraId="10E0D7C2" w14:textId="77777777" w:rsidR="002C2C96" w:rsidRPr="006D531F" w:rsidRDefault="00BA243C" w:rsidP="00A203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PE"/>
        </w:rPr>
      </w:pPr>
      <w:r w:rsidRPr="006D531F">
        <w:rPr>
          <w:rFonts w:asciiTheme="majorHAnsi" w:hAnsiTheme="majorHAnsi"/>
          <w:sz w:val="20"/>
          <w:szCs w:val="20"/>
          <w:lang w:val="es-AR"/>
        </w:rPr>
        <w:t xml:space="preserve">En criterio </w:t>
      </w:r>
      <w:r w:rsidRPr="006D531F">
        <w:rPr>
          <w:rFonts w:asciiTheme="majorHAnsi" w:hAnsiTheme="majorHAnsi"/>
          <w:sz w:val="20"/>
          <w:szCs w:val="20"/>
          <w:lang w:val="es-ES_tradnl"/>
        </w:rPr>
        <w:t>de la Comisión</w:t>
      </w:r>
      <w:r w:rsidR="002C2C96" w:rsidRPr="006D531F">
        <w:rPr>
          <w:rFonts w:asciiTheme="majorHAnsi" w:hAnsiTheme="majorHAnsi"/>
          <w:sz w:val="20"/>
          <w:szCs w:val="20"/>
          <w:lang w:val="es-PE"/>
        </w:rPr>
        <w:t>, los medios de comunicación</w:t>
      </w:r>
      <w:r w:rsidR="000C1E89" w:rsidRPr="006D531F">
        <w:rPr>
          <w:rFonts w:asciiTheme="majorHAnsi" w:hAnsiTheme="majorHAnsi"/>
          <w:sz w:val="20"/>
          <w:szCs w:val="20"/>
          <w:lang w:val="es-PE"/>
        </w:rPr>
        <w:t xml:space="preserve"> </w:t>
      </w:r>
      <w:r w:rsidR="002C2C96" w:rsidRPr="006D531F">
        <w:rPr>
          <w:rFonts w:asciiTheme="majorHAnsi" w:hAnsiTheme="majorHAnsi"/>
          <w:sz w:val="20"/>
          <w:szCs w:val="20"/>
          <w:lang w:val="es-PE"/>
        </w:rPr>
        <w:t>desempeñan una función esencial para garantizar la libertad de expresión de las personas, en tanto sirven para difundir los propios pensamientos e informaciones y, al mismo tiempo, permiten acceder a las ideas, informaciones, opiniones y manifestaciones culturales de otras personas.</w:t>
      </w:r>
      <w:r w:rsidR="007D030F" w:rsidRPr="006D531F">
        <w:rPr>
          <w:rFonts w:asciiTheme="majorHAnsi" w:hAnsiTheme="majorHAnsi"/>
          <w:sz w:val="20"/>
          <w:szCs w:val="20"/>
          <w:lang w:val="es-PE"/>
        </w:rPr>
        <w:t xml:space="preserve"> Asimismo, </w:t>
      </w:r>
      <w:r w:rsidR="00AE6384" w:rsidRPr="006D531F">
        <w:rPr>
          <w:rFonts w:asciiTheme="majorHAnsi" w:hAnsiTheme="majorHAnsi"/>
          <w:sz w:val="20"/>
          <w:szCs w:val="20"/>
          <w:lang w:val="es-PE"/>
        </w:rPr>
        <w:t xml:space="preserve">constituyen </w:t>
      </w:r>
      <w:r w:rsidR="002C2C96" w:rsidRPr="006D531F">
        <w:rPr>
          <w:rFonts w:asciiTheme="majorHAnsi" w:hAnsiTheme="majorHAnsi"/>
          <w:sz w:val="20"/>
          <w:szCs w:val="20"/>
          <w:lang w:val="es-PE"/>
        </w:rPr>
        <w:t>una garantía fundamental para que pueda realizarse adecuadamente el proceso de deliberación colectiva sobre los asuntos públicos.</w:t>
      </w:r>
      <w:r w:rsidR="007D0731" w:rsidRPr="006D531F">
        <w:rPr>
          <w:rFonts w:asciiTheme="majorHAnsi" w:hAnsiTheme="majorHAnsi"/>
          <w:sz w:val="20"/>
          <w:szCs w:val="20"/>
          <w:lang w:val="es-PE"/>
        </w:rPr>
        <w:t xml:space="preserve"> </w:t>
      </w:r>
      <w:r w:rsidR="00E94053">
        <w:rPr>
          <w:rFonts w:asciiTheme="majorHAnsi" w:hAnsiTheme="majorHAnsi"/>
          <w:sz w:val="20"/>
          <w:szCs w:val="20"/>
          <w:lang w:val="es-PE"/>
        </w:rPr>
        <w:t>E</w:t>
      </w:r>
      <w:r w:rsidR="002C2C96" w:rsidRPr="006D531F">
        <w:rPr>
          <w:rFonts w:asciiTheme="majorHAnsi" w:hAnsiTheme="majorHAnsi"/>
          <w:sz w:val="20"/>
          <w:szCs w:val="20"/>
          <w:lang w:val="es-PE"/>
        </w:rPr>
        <w:t xml:space="preserve">l ejercicio del derecho a la libertad de expresión a través de </w:t>
      </w:r>
      <w:r w:rsidR="00385D7D" w:rsidRPr="006D531F">
        <w:rPr>
          <w:rFonts w:asciiTheme="majorHAnsi" w:hAnsiTheme="majorHAnsi"/>
          <w:sz w:val="20"/>
          <w:szCs w:val="20"/>
          <w:lang w:val="es-PE"/>
        </w:rPr>
        <w:t>medios de comunicación masiva</w:t>
      </w:r>
      <w:r w:rsidR="002C2C96" w:rsidRPr="006D531F">
        <w:rPr>
          <w:rFonts w:asciiTheme="majorHAnsi" w:hAnsiTheme="majorHAnsi"/>
          <w:sz w:val="20"/>
          <w:szCs w:val="20"/>
          <w:lang w:val="es-PE"/>
        </w:rPr>
        <w:t xml:space="preserve"> no sólo es garantía del proceso democrático</w:t>
      </w:r>
      <w:r w:rsidR="00E94053">
        <w:rPr>
          <w:rFonts w:asciiTheme="majorHAnsi" w:hAnsiTheme="majorHAnsi"/>
          <w:sz w:val="20"/>
          <w:szCs w:val="20"/>
          <w:lang w:val="es-PE"/>
        </w:rPr>
        <w:t>, sino que</w:t>
      </w:r>
      <w:r w:rsidR="002C2C96" w:rsidRPr="006D531F">
        <w:rPr>
          <w:rFonts w:asciiTheme="majorHAnsi" w:hAnsiTheme="majorHAnsi"/>
          <w:sz w:val="20"/>
          <w:szCs w:val="20"/>
          <w:lang w:val="es-PE"/>
        </w:rPr>
        <w:t xml:space="preserve"> </w:t>
      </w:r>
      <w:r w:rsidR="00E94053">
        <w:rPr>
          <w:rFonts w:asciiTheme="majorHAnsi" w:hAnsiTheme="majorHAnsi"/>
          <w:sz w:val="20"/>
          <w:szCs w:val="20"/>
          <w:lang w:val="es-PE"/>
        </w:rPr>
        <w:t>t</w:t>
      </w:r>
      <w:r w:rsidR="002C2C96" w:rsidRPr="006D531F">
        <w:rPr>
          <w:rFonts w:asciiTheme="majorHAnsi" w:hAnsiTheme="majorHAnsi"/>
          <w:sz w:val="20"/>
          <w:szCs w:val="20"/>
          <w:lang w:val="es-PE"/>
        </w:rPr>
        <w:t>ambién es condición de posibilidad para el ejercicio de la autonomía individual en otros ámbitos de la vida de cada persona</w:t>
      </w:r>
      <w:r w:rsidR="000137A5" w:rsidRPr="006D531F">
        <w:rPr>
          <w:rFonts w:asciiTheme="majorHAnsi" w:hAnsiTheme="majorHAnsi"/>
          <w:sz w:val="20"/>
          <w:szCs w:val="20"/>
          <w:lang w:val="es-PE"/>
        </w:rPr>
        <w:t>, así como</w:t>
      </w:r>
      <w:r w:rsidR="00494B0E">
        <w:rPr>
          <w:rFonts w:asciiTheme="majorHAnsi" w:hAnsiTheme="majorHAnsi"/>
          <w:sz w:val="20"/>
          <w:szCs w:val="20"/>
          <w:lang w:val="es-PE"/>
        </w:rPr>
        <w:t xml:space="preserve"> para el ejercicio de</w:t>
      </w:r>
      <w:r w:rsidR="000137A5" w:rsidRPr="006D531F">
        <w:rPr>
          <w:rFonts w:asciiTheme="majorHAnsi" w:hAnsiTheme="majorHAnsi"/>
          <w:sz w:val="20"/>
          <w:szCs w:val="20"/>
          <w:lang w:val="es-PE"/>
        </w:rPr>
        <w:t xml:space="preserve"> la autonomía colectiva</w:t>
      </w:r>
      <w:r w:rsidR="006F4646" w:rsidRPr="006D531F">
        <w:rPr>
          <w:rFonts w:asciiTheme="majorHAnsi" w:hAnsiTheme="majorHAnsi"/>
          <w:sz w:val="20"/>
          <w:szCs w:val="20"/>
          <w:lang w:val="es-PE"/>
        </w:rPr>
        <w:t xml:space="preserve"> de los pueblos indígenas</w:t>
      </w:r>
      <w:r w:rsidR="00893D13">
        <w:rPr>
          <w:rFonts w:asciiTheme="majorHAnsi" w:hAnsiTheme="majorHAnsi"/>
          <w:sz w:val="20"/>
          <w:szCs w:val="20"/>
          <w:lang w:val="es-PE"/>
        </w:rPr>
        <w:t>. Lo anterior,</w:t>
      </w:r>
      <w:r w:rsidR="00107239" w:rsidRPr="006D531F">
        <w:rPr>
          <w:rFonts w:asciiTheme="majorHAnsi" w:hAnsiTheme="majorHAnsi"/>
          <w:sz w:val="20"/>
          <w:szCs w:val="20"/>
          <w:lang w:val="es-PE"/>
        </w:rPr>
        <w:t xml:space="preserve"> ya que </w:t>
      </w:r>
      <w:r w:rsidR="002C2C96" w:rsidRPr="006D531F">
        <w:rPr>
          <w:rFonts w:asciiTheme="majorHAnsi" w:hAnsiTheme="majorHAnsi"/>
          <w:sz w:val="20"/>
          <w:szCs w:val="20"/>
          <w:lang w:val="es-PE"/>
        </w:rPr>
        <w:t>permite que las personas puedan expresar y conocer distintas visiones del mundo (propuestas estéticas, morales, culturales, entre otras) y puedan formarse un criterio autónomo para escoger su propio plan de vida</w:t>
      </w:r>
      <w:r w:rsidR="00A9053C" w:rsidRPr="006D531F">
        <w:rPr>
          <w:rStyle w:val="FootnoteReference"/>
          <w:rFonts w:asciiTheme="majorHAnsi" w:hAnsiTheme="majorHAnsi"/>
          <w:sz w:val="20"/>
          <w:szCs w:val="20"/>
          <w:lang w:val="es-PE"/>
        </w:rPr>
        <w:footnoteReference w:id="57"/>
      </w:r>
      <w:r w:rsidR="002C2C96" w:rsidRPr="006D531F">
        <w:rPr>
          <w:rFonts w:asciiTheme="majorHAnsi" w:hAnsiTheme="majorHAnsi"/>
          <w:sz w:val="20"/>
          <w:szCs w:val="20"/>
          <w:lang w:val="es-PE"/>
        </w:rPr>
        <w:t>.</w:t>
      </w:r>
    </w:p>
    <w:p w14:paraId="1CC1EAB2" w14:textId="77777777" w:rsidR="002C2C96" w:rsidRPr="006D531F" w:rsidRDefault="002C2C96" w:rsidP="0012790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pacing w:val="-2"/>
          <w:sz w:val="20"/>
          <w:szCs w:val="20"/>
          <w:lang w:val="es-ES_tradnl"/>
        </w:rPr>
      </w:pPr>
    </w:p>
    <w:p w14:paraId="56557180" w14:textId="77777777" w:rsidR="00695E1E" w:rsidRPr="006D531F" w:rsidRDefault="000C3D16" w:rsidP="00A203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pacing w:val="-2"/>
          <w:sz w:val="20"/>
          <w:szCs w:val="20"/>
          <w:lang w:val="es-ES_tradnl"/>
        </w:rPr>
      </w:pPr>
      <w:r w:rsidRPr="006D531F">
        <w:rPr>
          <w:rFonts w:asciiTheme="majorHAnsi" w:hAnsiTheme="majorHAnsi"/>
          <w:sz w:val="20"/>
          <w:szCs w:val="20"/>
          <w:lang w:val="es-CO"/>
        </w:rPr>
        <w:t>De igual manera, l</w:t>
      </w:r>
      <w:r w:rsidR="00127900" w:rsidRPr="006D531F">
        <w:rPr>
          <w:rFonts w:asciiTheme="majorHAnsi" w:hAnsiTheme="majorHAnsi"/>
          <w:sz w:val="20"/>
          <w:szCs w:val="20"/>
          <w:lang w:val="es-CO"/>
        </w:rPr>
        <w:t xml:space="preserve">a Comisión enfatiza que una de las finalidades del artículo 13 de la Convención es el </w:t>
      </w:r>
      <w:r w:rsidR="00127900" w:rsidRPr="006D531F">
        <w:rPr>
          <w:rFonts w:asciiTheme="majorHAnsi" w:hAnsiTheme="majorHAnsi"/>
          <w:sz w:val="20"/>
          <w:szCs w:val="20"/>
          <w:lang w:val="es-PE"/>
        </w:rPr>
        <w:t>fortalecimiento</w:t>
      </w:r>
      <w:r w:rsidR="00127900" w:rsidRPr="006D531F">
        <w:rPr>
          <w:rFonts w:asciiTheme="majorHAnsi" w:hAnsiTheme="majorHAnsi"/>
          <w:sz w:val="20"/>
          <w:szCs w:val="20"/>
          <w:lang w:val="es-CO"/>
        </w:rPr>
        <w:t xml:space="preserve"> de sistemas democráticos, pluralistas y deliberativos, mediante la protección y promoción de la libre circulación de informaciones, ideas y expresiones de toda índole</w:t>
      </w:r>
      <w:r w:rsidR="00127900" w:rsidRPr="006D531F">
        <w:rPr>
          <w:rStyle w:val="FootnoteReference"/>
          <w:rFonts w:asciiTheme="majorHAnsi" w:hAnsiTheme="majorHAnsi"/>
          <w:sz w:val="20"/>
          <w:szCs w:val="20"/>
          <w:lang w:val="es-CO"/>
        </w:rPr>
        <w:footnoteReference w:id="58"/>
      </w:r>
      <w:r w:rsidR="00127900" w:rsidRPr="006D531F">
        <w:rPr>
          <w:rFonts w:asciiTheme="majorHAnsi" w:hAnsiTheme="majorHAnsi"/>
          <w:sz w:val="20"/>
          <w:szCs w:val="20"/>
          <w:lang w:val="es-CO"/>
        </w:rPr>
        <w:t>. Cabe resaltar que el artículo 4 de la Carta Democrática Interamericana caracteriza la libertad de expresión y de prensa como “componentes fundamentales del ejercicio de la democracia”</w:t>
      </w:r>
      <w:r w:rsidR="00127900" w:rsidRPr="006D531F">
        <w:rPr>
          <w:rStyle w:val="FootnoteReference"/>
          <w:rFonts w:asciiTheme="majorHAnsi" w:hAnsiTheme="majorHAnsi"/>
          <w:sz w:val="20"/>
          <w:szCs w:val="20"/>
          <w:lang w:val="es-CO"/>
        </w:rPr>
        <w:footnoteReference w:id="59"/>
      </w:r>
      <w:r w:rsidR="00127900" w:rsidRPr="006D531F">
        <w:rPr>
          <w:rFonts w:asciiTheme="majorHAnsi" w:hAnsiTheme="majorHAnsi"/>
          <w:sz w:val="20"/>
          <w:szCs w:val="20"/>
          <w:lang w:val="es-CO"/>
        </w:rPr>
        <w:t xml:space="preserve">. </w:t>
      </w:r>
    </w:p>
    <w:p w14:paraId="26F0163D" w14:textId="77777777" w:rsidR="00695E1E" w:rsidRPr="006D531F" w:rsidRDefault="00695E1E" w:rsidP="00695E1E">
      <w:pPr>
        <w:pStyle w:val="ListParagraph"/>
        <w:rPr>
          <w:rFonts w:asciiTheme="majorHAnsi" w:hAnsiTheme="majorHAnsi"/>
          <w:color w:val="auto"/>
          <w:sz w:val="20"/>
          <w:szCs w:val="20"/>
          <w:lang w:val="es-CO"/>
        </w:rPr>
      </w:pPr>
    </w:p>
    <w:p w14:paraId="6391FAB9" w14:textId="77777777" w:rsidR="00165285" w:rsidRPr="006D531F" w:rsidRDefault="00CE0E1B" w:rsidP="00A203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pacing w:val="-2"/>
          <w:sz w:val="20"/>
          <w:szCs w:val="20"/>
          <w:lang w:val="es-ES_tradnl"/>
        </w:rPr>
      </w:pPr>
      <w:r w:rsidRPr="006D531F">
        <w:rPr>
          <w:rFonts w:asciiTheme="majorHAnsi" w:hAnsiTheme="majorHAnsi"/>
          <w:sz w:val="20"/>
          <w:szCs w:val="20"/>
          <w:lang w:val="es-CO"/>
        </w:rPr>
        <w:t xml:space="preserve">Tanto al CIDH como la Corte </w:t>
      </w:r>
      <w:r w:rsidR="00814780" w:rsidRPr="006D531F">
        <w:rPr>
          <w:rFonts w:asciiTheme="majorHAnsi" w:hAnsiTheme="majorHAnsi"/>
          <w:sz w:val="20"/>
          <w:szCs w:val="20"/>
          <w:lang w:val="es-CO"/>
        </w:rPr>
        <w:t xml:space="preserve">han establecido </w:t>
      </w:r>
      <w:r w:rsidR="00EE5ECE" w:rsidRPr="006D531F">
        <w:rPr>
          <w:rFonts w:asciiTheme="majorHAnsi" w:hAnsiTheme="majorHAnsi"/>
          <w:sz w:val="20"/>
          <w:szCs w:val="20"/>
          <w:lang w:val="es-CO"/>
        </w:rPr>
        <w:t xml:space="preserve">la importancia </w:t>
      </w:r>
      <w:r w:rsidR="00F37493" w:rsidRPr="006D531F">
        <w:rPr>
          <w:rFonts w:asciiTheme="majorHAnsi" w:hAnsiTheme="majorHAnsi"/>
          <w:sz w:val="20"/>
          <w:szCs w:val="20"/>
          <w:lang w:val="es-CO"/>
        </w:rPr>
        <w:t xml:space="preserve">de que el Estado garantice </w:t>
      </w:r>
      <w:r w:rsidR="00E6101C" w:rsidRPr="006D531F">
        <w:rPr>
          <w:rFonts w:asciiTheme="majorHAnsi" w:hAnsiTheme="majorHAnsi"/>
          <w:sz w:val="20"/>
          <w:szCs w:val="20"/>
          <w:lang w:val="es-CO"/>
        </w:rPr>
        <w:t>la promoción del pluralismo y la diversidad</w:t>
      </w:r>
      <w:r w:rsidR="00990770" w:rsidRPr="006D531F">
        <w:rPr>
          <w:rFonts w:asciiTheme="majorHAnsi" w:hAnsiTheme="majorHAnsi"/>
          <w:sz w:val="20"/>
          <w:szCs w:val="20"/>
          <w:lang w:val="es-CO"/>
        </w:rPr>
        <w:t>.</w:t>
      </w:r>
      <w:r w:rsidR="00695E1E" w:rsidRPr="006D531F">
        <w:rPr>
          <w:rFonts w:asciiTheme="majorHAnsi" w:hAnsiTheme="majorHAnsi"/>
          <w:spacing w:val="-2"/>
          <w:sz w:val="20"/>
          <w:szCs w:val="20"/>
          <w:lang w:val="es-ES_tradnl"/>
        </w:rPr>
        <w:t xml:space="preserve"> </w:t>
      </w:r>
      <w:r w:rsidR="00165285" w:rsidRPr="006D531F">
        <w:rPr>
          <w:rFonts w:asciiTheme="majorHAnsi" w:hAnsiTheme="majorHAnsi" w:cs="Arial"/>
          <w:sz w:val="20"/>
          <w:szCs w:val="20"/>
          <w:lang w:val="es-PE"/>
        </w:rPr>
        <w:t>La relevancia del pluralismo ha sido, a su vez, destacada por la Asamblea General de la OEA en diversas resoluciones, en las cuales ha reafirmado que “</w:t>
      </w:r>
      <w:r w:rsidR="00165285" w:rsidRPr="006D531F">
        <w:rPr>
          <w:rFonts w:asciiTheme="majorHAnsi" w:hAnsiTheme="majorHAnsi"/>
          <w:sz w:val="20"/>
          <w:szCs w:val="20"/>
          <w:lang w:val="es-PE"/>
        </w:rPr>
        <w:t>los medios de comunicación libres e independientes son fundamentales para la democracia, para la promoción del pluralismo, la tolerancia y la libertad de pensamiento y expresión, y para la facilitación de un diálogo y un debate libre y abierto entre todos los sectores de la sociedad, sin discriminación de ningún tipo”</w:t>
      </w:r>
      <w:r w:rsidR="00165285" w:rsidRPr="006D531F">
        <w:rPr>
          <w:rStyle w:val="FootnoteReference"/>
          <w:rFonts w:asciiTheme="majorHAnsi" w:hAnsiTheme="majorHAnsi"/>
          <w:sz w:val="20"/>
          <w:szCs w:val="20"/>
        </w:rPr>
        <w:footnoteReference w:id="60"/>
      </w:r>
      <w:r w:rsidR="00165285" w:rsidRPr="006D531F">
        <w:rPr>
          <w:rFonts w:asciiTheme="majorHAnsi" w:hAnsiTheme="majorHAnsi"/>
          <w:sz w:val="20"/>
          <w:szCs w:val="20"/>
          <w:lang w:val="es-PE"/>
        </w:rPr>
        <w:t>.</w:t>
      </w:r>
    </w:p>
    <w:p w14:paraId="724C7FDE" w14:textId="77777777" w:rsidR="00914470" w:rsidRPr="006D531F" w:rsidRDefault="00914470" w:rsidP="00E8273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pacing w:val="-2"/>
          <w:sz w:val="20"/>
          <w:szCs w:val="20"/>
          <w:lang w:val="es-ES_tradnl"/>
        </w:rPr>
      </w:pPr>
    </w:p>
    <w:p w14:paraId="7BD260BB" w14:textId="77777777" w:rsidR="00DA3352" w:rsidRPr="006D531F" w:rsidRDefault="00983B3F" w:rsidP="00A203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pacing w:val="-2"/>
          <w:sz w:val="20"/>
          <w:szCs w:val="20"/>
          <w:lang w:val="es-ES_tradnl"/>
        </w:rPr>
      </w:pPr>
      <w:r w:rsidRPr="006D531F">
        <w:rPr>
          <w:rFonts w:asciiTheme="majorHAnsi" w:hAnsiTheme="majorHAnsi"/>
          <w:sz w:val="20"/>
          <w:szCs w:val="20"/>
          <w:lang w:val="es-CO"/>
        </w:rPr>
        <w:t xml:space="preserve">El </w:t>
      </w:r>
      <w:r w:rsidR="007F47D4" w:rsidRPr="006D531F">
        <w:rPr>
          <w:rFonts w:asciiTheme="majorHAnsi" w:hAnsiTheme="majorHAnsi"/>
          <w:sz w:val="20"/>
          <w:szCs w:val="20"/>
          <w:lang w:val="es-CO"/>
        </w:rPr>
        <w:t xml:space="preserve">pluralismo y la diversidad en los medios </w:t>
      </w:r>
      <w:r w:rsidRPr="006D531F">
        <w:rPr>
          <w:rFonts w:asciiTheme="majorHAnsi" w:hAnsiTheme="majorHAnsi"/>
          <w:sz w:val="20"/>
          <w:szCs w:val="20"/>
          <w:lang w:val="es-CO"/>
        </w:rPr>
        <w:t>que debe ser garant</w:t>
      </w:r>
      <w:r w:rsidR="009D0C7F" w:rsidRPr="006D531F">
        <w:rPr>
          <w:rFonts w:asciiTheme="majorHAnsi" w:hAnsiTheme="majorHAnsi"/>
          <w:sz w:val="20"/>
          <w:szCs w:val="20"/>
          <w:lang w:val="es-CO"/>
        </w:rPr>
        <w:t>izado por el Estado</w:t>
      </w:r>
      <w:r w:rsidR="00FF6B38">
        <w:rPr>
          <w:rFonts w:asciiTheme="majorHAnsi" w:hAnsiTheme="majorHAnsi"/>
          <w:sz w:val="20"/>
          <w:szCs w:val="20"/>
          <w:lang w:val="es-CO"/>
        </w:rPr>
        <w:t xml:space="preserve"> e</w:t>
      </w:r>
      <w:r w:rsidR="009D0C7F" w:rsidRPr="006D531F">
        <w:rPr>
          <w:rFonts w:asciiTheme="majorHAnsi" w:hAnsiTheme="majorHAnsi"/>
          <w:sz w:val="20"/>
          <w:szCs w:val="20"/>
          <w:lang w:val="es-CO"/>
        </w:rPr>
        <w:t xml:space="preserve"> </w:t>
      </w:r>
      <w:r w:rsidR="00D735D8" w:rsidRPr="006D531F">
        <w:rPr>
          <w:rFonts w:asciiTheme="majorHAnsi" w:hAnsiTheme="majorHAnsi"/>
          <w:sz w:val="20"/>
          <w:szCs w:val="20"/>
          <w:lang w:val="es-CO"/>
        </w:rPr>
        <w:t>implica la existencia de una diversidad de</w:t>
      </w:r>
      <w:r w:rsidR="00A71AD9" w:rsidRPr="006D531F">
        <w:rPr>
          <w:rFonts w:asciiTheme="majorHAnsi" w:hAnsiTheme="majorHAnsi"/>
          <w:sz w:val="20"/>
          <w:szCs w:val="20"/>
          <w:lang w:val="es-CO"/>
        </w:rPr>
        <w:t xml:space="preserve"> tipos de</w:t>
      </w:r>
      <w:r w:rsidR="009304FE" w:rsidRPr="006D531F">
        <w:rPr>
          <w:rFonts w:asciiTheme="majorHAnsi" w:hAnsiTheme="majorHAnsi"/>
          <w:sz w:val="20"/>
          <w:szCs w:val="20"/>
          <w:lang w:val="es-CO"/>
        </w:rPr>
        <w:t xml:space="preserve"> medios de comunicación, </w:t>
      </w:r>
      <w:r w:rsidR="00FB1850" w:rsidRPr="006D531F">
        <w:rPr>
          <w:rFonts w:asciiTheme="majorHAnsi" w:hAnsiTheme="majorHAnsi"/>
          <w:sz w:val="20"/>
          <w:szCs w:val="20"/>
          <w:lang w:val="es-CO"/>
        </w:rPr>
        <w:t xml:space="preserve">que </w:t>
      </w:r>
      <w:r w:rsidR="00FB1850" w:rsidRPr="006D531F">
        <w:rPr>
          <w:rFonts w:asciiTheme="majorHAnsi" w:hAnsiTheme="majorHAnsi" w:cs="Arial"/>
          <w:sz w:val="20"/>
          <w:szCs w:val="20"/>
          <w:shd w:val="clear" w:color="auto" w:fill="FFFFFF"/>
          <w:lang w:val="es-PE"/>
        </w:rPr>
        <w:t>satisfa</w:t>
      </w:r>
      <w:r w:rsidR="00D8780F" w:rsidRPr="006D531F">
        <w:rPr>
          <w:rFonts w:asciiTheme="majorHAnsi" w:hAnsiTheme="majorHAnsi" w:cs="Arial"/>
          <w:sz w:val="20"/>
          <w:szCs w:val="20"/>
          <w:shd w:val="clear" w:color="auto" w:fill="FFFFFF"/>
          <w:lang w:val="es-PE"/>
        </w:rPr>
        <w:t>gan</w:t>
      </w:r>
      <w:r w:rsidR="00FB1850" w:rsidRPr="006D531F">
        <w:rPr>
          <w:rFonts w:asciiTheme="majorHAnsi" w:hAnsiTheme="majorHAnsi" w:cs="Arial"/>
          <w:sz w:val="20"/>
          <w:szCs w:val="20"/>
          <w:shd w:val="clear" w:color="auto" w:fill="FFFFFF"/>
          <w:lang w:val="es-PE"/>
        </w:rPr>
        <w:t xml:space="preserve"> las necesidades de información e intereses de todos los sectores de la sociedad</w:t>
      </w:r>
      <w:r w:rsidR="00D8632E" w:rsidRPr="006D531F">
        <w:rPr>
          <w:rFonts w:asciiTheme="majorHAnsi" w:hAnsiTheme="majorHAnsi" w:cs="Arial"/>
          <w:sz w:val="20"/>
          <w:szCs w:val="20"/>
          <w:shd w:val="clear" w:color="auto" w:fill="FFFFFF"/>
          <w:lang w:val="es-PE"/>
        </w:rPr>
        <w:t xml:space="preserve">, </w:t>
      </w:r>
      <w:r w:rsidR="005D72B9" w:rsidRPr="006D531F">
        <w:rPr>
          <w:rFonts w:asciiTheme="majorHAnsi" w:hAnsiTheme="majorHAnsi" w:cs="Arial"/>
          <w:sz w:val="20"/>
          <w:szCs w:val="20"/>
          <w:shd w:val="clear" w:color="auto" w:fill="FFFFFF"/>
          <w:lang w:val="es-PE"/>
        </w:rPr>
        <w:t xml:space="preserve">así como </w:t>
      </w:r>
      <w:r w:rsidR="00D8632E" w:rsidRPr="006D531F">
        <w:rPr>
          <w:rFonts w:asciiTheme="majorHAnsi" w:hAnsiTheme="majorHAnsi" w:cs="Arial"/>
          <w:sz w:val="20"/>
          <w:szCs w:val="20"/>
          <w:shd w:val="clear" w:color="auto" w:fill="FFFFFF"/>
          <w:lang w:val="es-PE"/>
        </w:rPr>
        <w:t>una diversidad de</w:t>
      </w:r>
      <w:r w:rsidR="00D735D8" w:rsidRPr="006D531F">
        <w:rPr>
          <w:rFonts w:asciiTheme="majorHAnsi" w:hAnsiTheme="majorHAnsi"/>
          <w:sz w:val="20"/>
          <w:szCs w:val="20"/>
          <w:lang w:val="es-CO"/>
        </w:rPr>
        <w:t xml:space="preserve"> fuentes </w:t>
      </w:r>
      <w:r w:rsidR="00D8632E" w:rsidRPr="006D531F">
        <w:rPr>
          <w:rFonts w:asciiTheme="majorHAnsi" w:hAnsiTheme="majorHAnsi"/>
          <w:sz w:val="20"/>
          <w:szCs w:val="20"/>
          <w:lang w:val="es-CO"/>
        </w:rPr>
        <w:t xml:space="preserve">y de contenido. </w:t>
      </w:r>
      <w:r w:rsidR="00EE29BA" w:rsidRPr="006D531F">
        <w:rPr>
          <w:rFonts w:asciiTheme="majorHAnsi" w:hAnsiTheme="majorHAnsi"/>
          <w:spacing w:val="-2"/>
          <w:sz w:val="20"/>
          <w:szCs w:val="20"/>
          <w:lang w:val="es-CO"/>
        </w:rPr>
        <w:t>L</w:t>
      </w:r>
      <w:r w:rsidR="00EE29BA" w:rsidRPr="006D531F">
        <w:rPr>
          <w:rFonts w:asciiTheme="majorHAnsi" w:hAnsiTheme="majorHAnsi"/>
          <w:sz w:val="20"/>
          <w:szCs w:val="20"/>
          <w:lang w:val="es-UY"/>
        </w:rPr>
        <w:t>a Declaración Conjunta de Relatores sobr</w:t>
      </w:r>
      <w:r w:rsidR="00A730F4">
        <w:rPr>
          <w:rFonts w:asciiTheme="majorHAnsi" w:hAnsiTheme="majorHAnsi"/>
          <w:sz w:val="20"/>
          <w:szCs w:val="20"/>
          <w:lang w:val="es-UY"/>
        </w:rPr>
        <w:t>e libertad de expresión de 2007</w:t>
      </w:r>
      <w:r w:rsidR="00EE29BA" w:rsidRPr="006D531F">
        <w:rPr>
          <w:rFonts w:asciiTheme="majorHAnsi" w:hAnsiTheme="majorHAnsi"/>
          <w:sz w:val="20"/>
          <w:szCs w:val="20"/>
          <w:lang w:val="es-UY"/>
        </w:rPr>
        <w:t xml:space="preserve"> reconoc</w:t>
      </w:r>
      <w:r w:rsidR="00914999" w:rsidRPr="006D531F">
        <w:rPr>
          <w:rFonts w:asciiTheme="majorHAnsi" w:hAnsiTheme="majorHAnsi"/>
          <w:sz w:val="20"/>
          <w:szCs w:val="20"/>
          <w:lang w:val="es-UY"/>
        </w:rPr>
        <w:t>ió</w:t>
      </w:r>
      <w:r w:rsidR="00EE29BA" w:rsidRPr="006D531F">
        <w:rPr>
          <w:rFonts w:asciiTheme="majorHAnsi" w:hAnsiTheme="majorHAnsi"/>
          <w:sz w:val="20"/>
          <w:szCs w:val="20"/>
          <w:lang w:val="es-UY"/>
        </w:rPr>
        <w:t xml:space="preserve"> que los diferentes tipos de medios de comunicación (comerciales, públicos y comunitarios), así como los que tienen diferente alcance (local, </w:t>
      </w:r>
      <w:r w:rsidR="00EE29BA" w:rsidRPr="006D531F">
        <w:rPr>
          <w:rFonts w:asciiTheme="majorHAnsi" w:hAnsiTheme="majorHAnsi"/>
          <w:sz w:val="20"/>
          <w:szCs w:val="20"/>
          <w:lang w:val="es-PE"/>
        </w:rPr>
        <w:t>nacional</w:t>
      </w:r>
      <w:r w:rsidR="00EE29BA" w:rsidRPr="006D531F">
        <w:rPr>
          <w:rFonts w:asciiTheme="majorHAnsi" w:hAnsiTheme="majorHAnsi"/>
          <w:sz w:val="20"/>
          <w:szCs w:val="20"/>
          <w:lang w:val="es-UY"/>
        </w:rPr>
        <w:t>, regional o internacional) contribuyen a la diversidad en la libertad de expresión</w:t>
      </w:r>
      <w:r w:rsidR="00BE1559" w:rsidRPr="006D531F">
        <w:rPr>
          <w:rStyle w:val="FootnoteReference"/>
          <w:rFonts w:asciiTheme="majorHAnsi" w:hAnsiTheme="majorHAnsi"/>
          <w:sz w:val="20"/>
          <w:szCs w:val="20"/>
          <w:lang w:val="es-UY"/>
        </w:rPr>
        <w:footnoteReference w:id="61"/>
      </w:r>
      <w:r w:rsidR="00EE29BA" w:rsidRPr="006D531F">
        <w:rPr>
          <w:rFonts w:asciiTheme="majorHAnsi" w:hAnsiTheme="majorHAnsi"/>
          <w:iCs/>
          <w:noProof/>
          <w:sz w:val="20"/>
          <w:szCs w:val="20"/>
          <w:lang w:val="es-ES_tradnl"/>
        </w:rPr>
        <w:t>.</w:t>
      </w:r>
      <w:r w:rsidR="00396D1C" w:rsidRPr="006D531F">
        <w:rPr>
          <w:rFonts w:asciiTheme="majorHAnsi" w:hAnsiTheme="majorHAnsi"/>
          <w:iCs/>
          <w:noProof/>
          <w:sz w:val="20"/>
          <w:szCs w:val="20"/>
          <w:lang w:val="es-ES_tradnl"/>
        </w:rPr>
        <w:t xml:space="preserve"> </w:t>
      </w:r>
    </w:p>
    <w:p w14:paraId="50D5D427" w14:textId="77777777" w:rsidR="00DA3352" w:rsidRPr="006D531F" w:rsidRDefault="00DA3352" w:rsidP="00DA3352">
      <w:pPr>
        <w:pStyle w:val="ListParagraph"/>
        <w:rPr>
          <w:rFonts w:asciiTheme="majorHAnsi" w:hAnsiTheme="majorHAnsi"/>
          <w:iCs/>
          <w:noProof/>
          <w:color w:val="auto"/>
          <w:sz w:val="20"/>
          <w:szCs w:val="20"/>
          <w:lang w:val="es-ES_tradnl"/>
        </w:rPr>
      </w:pPr>
    </w:p>
    <w:p w14:paraId="3638BD80" w14:textId="77777777" w:rsidR="004B571A" w:rsidRPr="006D531F" w:rsidRDefault="00646719" w:rsidP="00A203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pacing w:val="-2"/>
          <w:sz w:val="20"/>
          <w:szCs w:val="20"/>
          <w:lang w:val="es-ES_tradnl"/>
        </w:rPr>
      </w:pPr>
      <w:r w:rsidRPr="006D531F">
        <w:rPr>
          <w:rFonts w:asciiTheme="majorHAnsi" w:hAnsiTheme="majorHAnsi"/>
          <w:iCs/>
          <w:noProof/>
          <w:sz w:val="20"/>
          <w:szCs w:val="20"/>
          <w:lang w:val="es-ES_tradnl"/>
        </w:rPr>
        <w:lastRenderedPageBreak/>
        <w:t>Por su parte</w:t>
      </w:r>
      <w:r w:rsidR="00A56305" w:rsidRPr="006D531F">
        <w:rPr>
          <w:rFonts w:asciiTheme="majorHAnsi" w:hAnsiTheme="majorHAnsi"/>
          <w:iCs/>
          <w:noProof/>
          <w:sz w:val="20"/>
          <w:szCs w:val="20"/>
          <w:lang w:val="es-ES_tradnl"/>
        </w:rPr>
        <w:t>, tanto</w:t>
      </w:r>
      <w:r w:rsidR="00D92F45" w:rsidRPr="006D531F">
        <w:rPr>
          <w:rFonts w:asciiTheme="majorHAnsi" w:hAnsiTheme="majorHAnsi"/>
          <w:iCs/>
          <w:noProof/>
          <w:sz w:val="20"/>
          <w:szCs w:val="20"/>
          <w:lang w:val="es-ES_tradnl"/>
        </w:rPr>
        <w:t xml:space="preserve"> </w:t>
      </w:r>
      <w:r w:rsidRPr="006D531F">
        <w:rPr>
          <w:rFonts w:asciiTheme="majorHAnsi" w:hAnsiTheme="majorHAnsi"/>
          <w:iCs/>
          <w:noProof/>
          <w:sz w:val="20"/>
          <w:szCs w:val="20"/>
          <w:lang w:val="es-ES_tradnl"/>
        </w:rPr>
        <w:t>la</w:t>
      </w:r>
      <w:r w:rsidR="00D92F45" w:rsidRPr="006D531F">
        <w:rPr>
          <w:rFonts w:asciiTheme="majorHAnsi" w:hAnsiTheme="majorHAnsi"/>
          <w:iCs/>
          <w:noProof/>
          <w:sz w:val="20"/>
          <w:szCs w:val="20"/>
          <w:lang w:val="es-ES_tradnl"/>
        </w:rPr>
        <w:t xml:space="preserve"> CIDH como la</w:t>
      </w:r>
      <w:r w:rsidRPr="006D531F">
        <w:rPr>
          <w:rFonts w:asciiTheme="majorHAnsi" w:hAnsiTheme="majorHAnsi"/>
          <w:iCs/>
          <w:noProof/>
          <w:sz w:val="20"/>
          <w:szCs w:val="20"/>
          <w:lang w:val="es-ES_tradnl"/>
        </w:rPr>
        <w:t xml:space="preserve"> Corte Interamericana </w:t>
      </w:r>
      <w:r w:rsidR="00513417" w:rsidRPr="006D531F">
        <w:rPr>
          <w:rFonts w:asciiTheme="majorHAnsi" w:hAnsiTheme="majorHAnsi"/>
          <w:iCs/>
          <w:noProof/>
          <w:sz w:val="20"/>
          <w:szCs w:val="20"/>
          <w:lang w:val="es-ES_tradnl"/>
        </w:rPr>
        <w:t xml:space="preserve">han considerado </w:t>
      </w:r>
      <w:r w:rsidR="0058524F" w:rsidRPr="006D531F">
        <w:rPr>
          <w:rFonts w:asciiTheme="majorHAnsi" w:hAnsiTheme="majorHAnsi"/>
          <w:iCs/>
          <w:noProof/>
          <w:sz w:val="20"/>
          <w:szCs w:val="20"/>
          <w:lang w:val="es-ES_tradnl"/>
        </w:rPr>
        <w:t xml:space="preserve">que los </w:t>
      </w:r>
      <w:r w:rsidR="0058524F" w:rsidRPr="006D531F">
        <w:rPr>
          <w:rFonts w:asciiTheme="majorHAnsi" w:hAnsiTheme="majorHAnsi"/>
          <w:spacing w:val="-2"/>
          <w:sz w:val="20"/>
          <w:szCs w:val="20"/>
          <w:lang w:val="es-ES_tradnl"/>
        </w:rPr>
        <w:t>m</w:t>
      </w:r>
      <w:r w:rsidR="004B571A" w:rsidRPr="006D531F">
        <w:rPr>
          <w:rFonts w:asciiTheme="majorHAnsi" w:hAnsiTheme="majorHAnsi"/>
          <w:sz w:val="20"/>
          <w:szCs w:val="20"/>
          <w:lang w:val="es-UY"/>
        </w:rPr>
        <w:t xml:space="preserve">onopolios u oligopolios en los medios de comunicación atentan contra la libertad de expresión consagrada en el artículo 13 de la Convención Americana, por cuanto impiden la diversidad y pluralidad de voces </w:t>
      </w:r>
      <w:r w:rsidR="00FC739C" w:rsidRPr="006D531F">
        <w:rPr>
          <w:rFonts w:asciiTheme="majorHAnsi" w:hAnsiTheme="majorHAnsi"/>
          <w:sz w:val="20"/>
          <w:szCs w:val="20"/>
          <w:lang w:val="es-UY"/>
        </w:rPr>
        <w:t xml:space="preserve">y contenidos </w:t>
      </w:r>
      <w:r w:rsidR="004B571A" w:rsidRPr="006D531F">
        <w:rPr>
          <w:rFonts w:asciiTheme="majorHAnsi" w:hAnsiTheme="majorHAnsi"/>
          <w:sz w:val="20"/>
          <w:szCs w:val="20"/>
          <w:lang w:val="es-UY"/>
        </w:rPr>
        <w:t>necesari</w:t>
      </w:r>
      <w:r w:rsidR="00FC739C" w:rsidRPr="006D531F">
        <w:rPr>
          <w:rFonts w:asciiTheme="majorHAnsi" w:hAnsiTheme="majorHAnsi"/>
          <w:sz w:val="20"/>
          <w:szCs w:val="20"/>
          <w:lang w:val="es-UY"/>
        </w:rPr>
        <w:t>o</w:t>
      </w:r>
      <w:r w:rsidR="004B571A" w:rsidRPr="006D531F">
        <w:rPr>
          <w:rFonts w:asciiTheme="majorHAnsi" w:hAnsiTheme="majorHAnsi"/>
          <w:sz w:val="20"/>
          <w:szCs w:val="20"/>
          <w:lang w:val="es-UY"/>
        </w:rPr>
        <w:t>s en una sociedad democrática</w:t>
      </w:r>
      <w:r w:rsidR="004B571A" w:rsidRPr="006D531F">
        <w:rPr>
          <w:rStyle w:val="FootnoteReference"/>
          <w:rFonts w:asciiTheme="majorHAnsi" w:hAnsiTheme="majorHAnsi"/>
          <w:sz w:val="20"/>
          <w:szCs w:val="20"/>
          <w:lang w:val="es-UY"/>
        </w:rPr>
        <w:footnoteReference w:id="62"/>
      </w:r>
      <w:r w:rsidR="004B571A" w:rsidRPr="006D531F">
        <w:rPr>
          <w:rFonts w:asciiTheme="majorHAnsi" w:hAnsiTheme="majorHAnsi"/>
          <w:sz w:val="20"/>
          <w:szCs w:val="20"/>
          <w:lang w:val="es-UY"/>
        </w:rPr>
        <w:t xml:space="preserve">. </w:t>
      </w:r>
      <w:r w:rsidR="00575F9F" w:rsidRPr="006D531F">
        <w:rPr>
          <w:rFonts w:asciiTheme="majorHAnsi" w:hAnsiTheme="majorHAnsi"/>
          <w:sz w:val="20"/>
          <w:szCs w:val="20"/>
          <w:lang w:val="es-UY"/>
        </w:rPr>
        <w:t>L</w:t>
      </w:r>
      <w:r w:rsidR="004B571A" w:rsidRPr="006D531F">
        <w:rPr>
          <w:rFonts w:asciiTheme="majorHAnsi" w:hAnsiTheme="majorHAnsi"/>
          <w:sz w:val="20"/>
          <w:szCs w:val="20"/>
          <w:lang w:val="es-CO"/>
        </w:rPr>
        <w:t>a Corte señaló que se encuentra prohibida la existencia de todo monopolio en la propiedad o la administración de los medios de comunicación, cualquiera sea la forma que pretenda adoptar</w:t>
      </w:r>
      <w:r w:rsidR="004B571A" w:rsidRPr="006D531F">
        <w:rPr>
          <w:rStyle w:val="FootnoteReference"/>
          <w:rFonts w:asciiTheme="majorHAnsi" w:hAnsiTheme="majorHAnsi"/>
          <w:sz w:val="20"/>
          <w:szCs w:val="20"/>
          <w:lang w:val="es-CO"/>
        </w:rPr>
        <w:footnoteReference w:id="63"/>
      </w:r>
      <w:r w:rsidR="004B571A" w:rsidRPr="006D531F">
        <w:rPr>
          <w:rFonts w:asciiTheme="majorHAnsi" w:hAnsiTheme="majorHAnsi"/>
          <w:sz w:val="20"/>
          <w:szCs w:val="20"/>
          <w:lang w:val="es-CO"/>
        </w:rPr>
        <w:t>. También reconoció que los Estados deben intervenir activamente para evitar la concentración de propiedad en el sector de los medios de comunicación</w:t>
      </w:r>
      <w:r w:rsidR="00457092" w:rsidRPr="006D531F">
        <w:rPr>
          <w:rFonts w:asciiTheme="majorHAnsi" w:hAnsiTheme="majorHAnsi"/>
          <w:sz w:val="20"/>
          <w:szCs w:val="20"/>
          <w:lang w:val="es-CO"/>
        </w:rPr>
        <w:t xml:space="preserve"> a través de leyes antimonopólicas, por ejemplo</w:t>
      </w:r>
      <w:r w:rsidR="004B571A" w:rsidRPr="006D531F">
        <w:rPr>
          <w:rStyle w:val="FootnoteReference"/>
          <w:rFonts w:asciiTheme="majorHAnsi" w:hAnsiTheme="majorHAnsi"/>
          <w:sz w:val="20"/>
          <w:szCs w:val="20"/>
          <w:lang w:val="es-CO"/>
        </w:rPr>
        <w:footnoteReference w:id="64"/>
      </w:r>
      <w:r w:rsidR="004B571A" w:rsidRPr="006D531F">
        <w:rPr>
          <w:rFonts w:asciiTheme="majorHAnsi" w:hAnsiTheme="majorHAnsi"/>
          <w:sz w:val="20"/>
          <w:szCs w:val="20"/>
          <w:lang w:val="es-CO"/>
        </w:rPr>
        <w:t>.</w:t>
      </w:r>
    </w:p>
    <w:p w14:paraId="39CAAF77" w14:textId="77777777" w:rsidR="00384679" w:rsidRPr="006D531F" w:rsidRDefault="00384679" w:rsidP="00384679">
      <w:pPr>
        <w:pStyle w:val="ListParagraph"/>
        <w:rPr>
          <w:rFonts w:asciiTheme="majorHAnsi" w:hAnsiTheme="majorHAnsi"/>
          <w:color w:val="auto"/>
          <w:spacing w:val="-2"/>
          <w:sz w:val="20"/>
          <w:szCs w:val="20"/>
          <w:lang w:val="es-ES_tradnl"/>
        </w:rPr>
      </w:pPr>
    </w:p>
    <w:p w14:paraId="2FBA4B83" w14:textId="77777777" w:rsidR="00343DA7" w:rsidRPr="00345AA1" w:rsidRDefault="006467BB" w:rsidP="00A2039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pacing w:val="-2"/>
          <w:sz w:val="20"/>
          <w:szCs w:val="20"/>
          <w:lang w:val="es-ES_tradnl"/>
        </w:rPr>
      </w:pPr>
      <w:r w:rsidRPr="006D531F">
        <w:rPr>
          <w:rFonts w:asciiTheme="majorHAnsi" w:hAnsiTheme="majorHAnsi" w:cs="Arial"/>
          <w:sz w:val="20"/>
          <w:szCs w:val="20"/>
          <w:lang w:val="es-PE"/>
        </w:rPr>
        <w:t xml:space="preserve">En concordancia con todo lo anterior, </w:t>
      </w:r>
      <w:r w:rsidR="00A34D0A" w:rsidRPr="006D531F">
        <w:rPr>
          <w:rFonts w:asciiTheme="majorHAnsi" w:hAnsiTheme="majorHAnsi" w:cs="Arial"/>
          <w:sz w:val="20"/>
          <w:szCs w:val="20"/>
          <w:lang w:val="es-PE"/>
        </w:rPr>
        <w:t>según lo ha establecido la Corte</w:t>
      </w:r>
      <w:r w:rsidR="00A730F4">
        <w:rPr>
          <w:rFonts w:asciiTheme="majorHAnsi" w:hAnsiTheme="majorHAnsi" w:cs="Arial"/>
          <w:sz w:val="20"/>
          <w:szCs w:val="20"/>
          <w:lang w:val="es-PE"/>
        </w:rPr>
        <w:t>,</w:t>
      </w:r>
      <w:r w:rsidR="00A34D0A" w:rsidRPr="006D531F">
        <w:rPr>
          <w:rFonts w:asciiTheme="majorHAnsi" w:hAnsiTheme="majorHAnsi" w:cs="Arial"/>
          <w:sz w:val="20"/>
          <w:szCs w:val="20"/>
          <w:lang w:val="es-PE"/>
        </w:rPr>
        <w:t xml:space="preserve"> “</w:t>
      </w:r>
      <w:r w:rsidRPr="006D531F">
        <w:rPr>
          <w:rFonts w:asciiTheme="majorHAnsi" w:hAnsiTheme="majorHAnsi"/>
          <w:sz w:val="20"/>
          <w:szCs w:val="20"/>
          <w:lang w:val="es-PE"/>
        </w:rPr>
        <w:t>los Estados están internacionalmente obligados a adoptar las medidas que fueren necesarias “para hacer efectivos” los derechos y principios establecidos en la Convención, como se estipula en el artículo 2 de dicho instrumento interamericano, para lo cual deberán establecer leyes y políticas públicas que garanticen el pluralismo de medios o informativo en las distintas aéreas comunicacionales, tales como, por ejemplo,</w:t>
      </w:r>
      <w:r w:rsidRPr="006D531F">
        <w:rPr>
          <w:rFonts w:asciiTheme="majorHAnsi" w:hAnsiTheme="majorHAnsi"/>
          <w:b/>
          <w:sz w:val="20"/>
          <w:szCs w:val="20"/>
          <w:lang w:val="es-PE"/>
        </w:rPr>
        <w:t xml:space="preserve"> </w:t>
      </w:r>
      <w:r w:rsidRPr="006D531F">
        <w:rPr>
          <w:rFonts w:asciiTheme="majorHAnsi" w:hAnsiTheme="majorHAnsi"/>
          <w:sz w:val="20"/>
          <w:szCs w:val="20"/>
          <w:lang w:val="es-PE"/>
        </w:rPr>
        <w:t>la prensa, radio, y televisión</w:t>
      </w:r>
      <w:r w:rsidR="00965821" w:rsidRPr="006D531F">
        <w:rPr>
          <w:rFonts w:asciiTheme="majorHAnsi" w:hAnsiTheme="majorHAnsi"/>
          <w:sz w:val="20"/>
          <w:szCs w:val="20"/>
          <w:lang w:val="es-PE"/>
        </w:rPr>
        <w:t>”</w:t>
      </w:r>
      <w:r w:rsidRPr="006D531F">
        <w:rPr>
          <w:rStyle w:val="FootnoteReference"/>
          <w:rFonts w:asciiTheme="majorHAnsi" w:hAnsiTheme="majorHAnsi"/>
          <w:sz w:val="20"/>
          <w:szCs w:val="20"/>
        </w:rPr>
        <w:footnoteReference w:id="65"/>
      </w:r>
      <w:r w:rsidRPr="006D531F">
        <w:rPr>
          <w:rFonts w:asciiTheme="majorHAnsi" w:hAnsiTheme="majorHAnsi"/>
          <w:sz w:val="20"/>
          <w:szCs w:val="20"/>
          <w:lang w:val="es-PE"/>
        </w:rPr>
        <w:t xml:space="preserve">. </w:t>
      </w:r>
    </w:p>
    <w:p w14:paraId="18EFADEB" w14:textId="77777777" w:rsidR="00345AA1" w:rsidRPr="006D531F" w:rsidRDefault="00345AA1" w:rsidP="00345A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pacing w:val="-2"/>
          <w:sz w:val="20"/>
          <w:szCs w:val="20"/>
          <w:lang w:val="es-ES_tradnl"/>
        </w:rPr>
      </w:pPr>
    </w:p>
    <w:p w14:paraId="3DEFD53B" w14:textId="77777777" w:rsidR="007B1DE7" w:rsidRPr="006D531F" w:rsidRDefault="006D652A" w:rsidP="00060462">
      <w:pPr>
        <w:pStyle w:val="Heading3"/>
        <w:keepNext w:val="0"/>
        <w:spacing w:before="0" w:after="0"/>
        <w:ind w:left="0" w:firstLine="0"/>
      </w:pPr>
      <w:bookmarkStart w:id="31" w:name="_Toc28418782"/>
      <w:bookmarkStart w:id="32" w:name="_Toc6937382"/>
      <w:bookmarkStart w:id="33" w:name="_Toc11073110"/>
      <w:r w:rsidRPr="006D531F">
        <w:t xml:space="preserve">Estándares internacionales </w:t>
      </w:r>
      <w:r w:rsidR="00566C8D" w:rsidRPr="006D531F">
        <w:t xml:space="preserve">respecto a la </w:t>
      </w:r>
      <w:r w:rsidR="005728E4" w:rsidRPr="006D531F">
        <w:t xml:space="preserve">regulación </w:t>
      </w:r>
      <w:r w:rsidRPr="006D531F">
        <w:t>en materia de</w:t>
      </w:r>
      <w:r w:rsidR="005728E4" w:rsidRPr="006D531F">
        <w:t xml:space="preserve"> radiodifusión</w:t>
      </w:r>
      <w:bookmarkEnd w:id="31"/>
      <w:r w:rsidR="005728E4" w:rsidRPr="006D531F">
        <w:t xml:space="preserve"> </w:t>
      </w:r>
      <w:bookmarkEnd w:id="32"/>
      <w:bookmarkEnd w:id="33"/>
    </w:p>
    <w:p w14:paraId="34D40F80" w14:textId="77777777" w:rsidR="00D656B4" w:rsidRPr="006D531F" w:rsidRDefault="00D656B4" w:rsidP="00D656B4">
      <w:pPr>
        <w:rPr>
          <w:rFonts w:asciiTheme="majorHAnsi" w:hAnsiTheme="majorHAnsi"/>
          <w:sz w:val="20"/>
          <w:szCs w:val="20"/>
          <w:lang w:val="es-ES_tradnl"/>
        </w:rPr>
      </w:pPr>
    </w:p>
    <w:p w14:paraId="46637DE3" w14:textId="77777777" w:rsidR="007B1DE7" w:rsidRPr="006D531F" w:rsidRDefault="007B1DE7" w:rsidP="00B871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6D531F">
        <w:rPr>
          <w:rFonts w:asciiTheme="majorHAnsi" w:hAnsiTheme="majorHAnsi"/>
          <w:sz w:val="20"/>
          <w:szCs w:val="20"/>
          <w:lang w:val="es-PE"/>
        </w:rPr>
        <w:t>La CIDH ha reconocido la potestad que tienen los Estados para regular la actividad de radiodifusión. Esta facultad abarca no sólo la posibilidad de definir la forma en que se realizan las concesiones, renovaciones o revocaciones de las licencias</w:t>
      </w:r>
      <w:r w:rsidRPr="006D531F">
        <w:rPr>
          <w:rStyle w:val="FootnoteReference"/>
          <w:rFonts w:asciiTheme="majorHAnsi" w:hAnsiTheme="majorHAnsi"/>
          <w:sz w:val="20"/>
          <w:szCs w:val="20"/>
        </w:rPr>
        <w:footnoteReference w:id="66"/>
      </w:r>
      <w:r w:rsidRPr="006D531F">
        <w:rPr>
          <w:rFonts w:asciiTheme="majorHAnsi" w:hAnsiTheme="majorHAnsi"/>
          <w:sz w:val="20"/>
          <w:szCs w:val="20"/>
          <w:lang w:val="es-PE"/>
        </w:rPr>
        <w:t xml:space="preserve">. La regulación sobre radiodifusión suele abarcar aspectos </w:t>
      </w:r>
      <w:r w:rsidR="00CC3594" w:rsidRPr="006D531F">
        <w:rPr>
          <w:rFonts w:asciiTheme="majorHAnsi" w:hAnsiTheme="majorHAnsi"/>
          <w:sz w:val="20"/>
          <w:szCs w:val="20"/>
          <w:lang w:val="es-PE"/>
        </w:rPr>
        <w:t>que</w:t>
      </w:r>
      <w:r w:rsidRPr="006D531F">
        <w:rPr>
          <w:rFonts w:asciiTheme="majorHAnsi" w:hAnsiTheme="majorHAnsi"/>
          <w:sz w:val="20"/>
          <w:szCs w:val="20"/>
          <w:lang w:val="es-PE"/>
        </w:rPr>
        <w:t xml:space="preserve"> pueden significar restricciones al derecho a la libertad de expresión, </w:t>
      </w:r>
      <w:r w:rsidR="00CA0C4E" w:rsidRPr="006D531F">
        <w:rPr>
          <w:rFonts w:asciiTheme="majorHAnsi" w:hAnsiTheme="majorHAnsi"/>
          <w:sz w:val="20"/>
          <w:szCs w:val="20"/>
          <w:lang w:val="es-PE"/>
        </w:rPr>
        <w:t xml:space="preserve">por lo que </w:t>
      </w:r>
      <w:r w:rsidRPr="006D531F">
        <w:rPr>
          <w:rFonts w:asciiTheme="majorHAnsi" w:hAnsiTheme="majorHAnsi"/>
          <w:sz w:val="20"/>
          <w:szCs w:val="20"/>
          <w:lang w:val="es-PE"/>
        </w:rPr>
        <w:t>debería cumplir con una serie de condiciones para ser legítima: estar prevista en una ley clara y precisa; tener como finalidad la libertad e independencia de los medios, así</w:t>
      </w:r>
      <w:r w:rsidR="002B6D6A" w:rsidRPr="006D531F">
        <w:rPr>
          <w:rFonts w:asciiTheme="majorHAnsi" w:hAnsiTheme="majorHAnsi"/>
          <w:sz w:val="20"/>
          <w:szCs w:val="20"/>
          <w:lang w:val="es-PE"/>
        </w:rPr>
        <w:t xml:space="preserve"> como la equidad y la igualdad de condiciones en el ejercicio del derecho a la libertad de expresión (que incluye una pluralidad de voces, diversidad de</w:t>
      </w:r>
      <w:r w:rsidR="007D298B">
        <w:rPr>
          <w:rFonts w:asciiTheme="majorHAnsi" w:hAnsiTheme="majorHAnsi"/>
          <w:sz w:val="20"/>
          <w:szCs w:val="20"/>
          <w:lang w:val="es-PE"/>
        </w:rPr>
        <w:t xml:space="preserve"> las voces y no discriminación)</w:t>
      </w:r>
      <w:r w:rsidRPr="006D531F">
        <w:rPr>
          <w:rFonts w:asciiTheme="majorHAnsi" w:hAnsiTheme="majorHAnsi"/>
          <w:sz w:val="20"/>
          <w:szCs w:val="20"/>
          <w:lang w:val="es-PE"/>
        </w:rPr>
        <w:t>; y establecer sólo aquellas limitaciones posteriores a la libertad de expresión que sean necesarias, idóneas y proporciona</w:t>
      </w:r>
      <w:r w:rsidR="00E6445B">
        <w:rPr>
          <w:rFonts w:asciiTheme="majorHAnsi" w:hAnsiTheme="majorHAnsi"/>
          <w:sz w:val="20"/>
          <w:szCs w:val="20"/>
          <w:lang w:val="es-PE"/>
        </w:rPr>
        <w:t>les</w:t>
      </w:r>
      <w:r w:rsidRPr="006D531F">
        <w:rPr>
          <w:rFonts w:asciiTheme="majorHAnsi" w:hAnsiTheme="majorHAnsi"/>
          <w:sz w:val="20"/>
          <w:szCs w:val="20"/>
          <w:lang w:val="es-PE"/>
        </w:rPr>
        <w:t xml:space="preserve"> al fin legítimo que persigan</w:t>
      </w:r>
      <w:r w:rsidRPr="006D531F">
        <w:rPr>
          <w:rStyle w:val="FootnoteReference"/>
          <w:rFonts w:asciiTheme="majorHAnsi" w:hAnsiTheme="majorHAnsi"/>
          <w:sz w:val="20"/>
          <w:szCs w:val="20"/>
        </w:rPr>
        <w:footnoteReference w:id="67"/>
      </w:r>
      <w:r w:rsidRPr="006D531F">
        <w:rPr>
          <w:rFonts w:asciiTheme="majorHAnsi" w:hAnsiTheme="majorHAnsi"/>
          <w:sz w:val="20"/>
          <w:szCs w:val="20"/>
          <w:lang w:val="es-PE"/>
        </w:rPr>
        <w:t xml:space="preserve">. </w:t>
      </w:r>
    </w:p>
    <w:p w14:paraId="71E145E1" w14:textId="77777777" w:rsidR="007B1DE7" w:rsidRPr="006D531F" w:rsidRDefault="007B1DE7" w:rsidP="00507AA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6A42AF76" w14:textId="77777777" w:rsidR="005D69F2" w:rsidRPr="006D531F" w:rsidRDefault="005D69F2" w:rsidP="000B38D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
        </w:rPr>
      </w:pPr>
      <w:r w:rsidRPr="006D531F">
        <w:rPr>
          <w:rFonts w:asciiTheme="majorHAnsi" w:hAnsiTheme="majorHAnsi"/>
          <w:sz w:val="20"/>
          <w:szCs w:val="20"/>
          <w:lang w:val="es-ES"/>
        </w:rPr>
        <w:t xml:space="preserve">La asignación de licencias de radio o televisión es una decisión que tiene un impacto definitivo sobre el derecho a la libertad de expresión en su doble dimensión: el derecho de todos a expresarse libremente, y el derecho a recibir ideas y opiniones diversas. De esta decisión dependerá tanto el acceso a los medios de comunicación de quienes solicitan acceso a las frecuencias, como el derecho de toda la sociedad a recibir información plural en los términos del artículo 13 de la Convención Americana. En efecto, al asignar las frecuencias, el Estado decide cuál es la voz que el público podrá escuchar durante los años venideros. En </w:t>
      </w:r>
      <w:r w:rsidRPr="006D531F">
        <w:rPr>
          <w:rFonts w:asciiTheme="majorHAnsi" w:hAnsiTheme="majorHAnsi"/>
          <w:sz w:val="20"/>
          <w:szCs w:val="20"/>
          <w:lang w:val="es-ES"/>
        </w:rPr>
        <w:lastRenderedPageBreak/>
        <w:t xml:space="preserve">consecuencia, en este proceso se definen, entre otras cosas, las condiciones sobre las cuales se adelantará la deliberación democrática requerida para el ejercicio informado de los derechos políticos, así como las fuentes </w:t>
      </w:r>
      <w:r w:rsidRPr="006D531F">
        <w:rPr>
          <w:rFonts w:asciiTheme="majorHAnsi" w:hAnsiTheme="majorHAnsi"/>
          <w:sz w:val="20"/>
          <w:szCs w:val="20"/>
          <w:lang w:val="es-PE"/>
        </w:rPr>
        <w:t>de</w:t>
      </w:r>
      <w:r w:rsidRPr="006D531F">
        <w:rPr>
          <w:rFonts w:asciiTheme="majorHAnsi" w:hAnsiTheme="majorHAnsi"/>
          <w:sz w:val="20"/>
          <w:szCs w:val="20"/>
          <w:lang w:val="es-ES"/>
        </w:rPr>
        <w:t xml:space="preserve"> información que le permitirán a cada persona adoptar decisiones informadas sobre sus preferencias personales y formar su propio plan de vida</w:t>
      </w:r>
      <w:r w:rsidR="00612B04" w:rsidRPr="006D531F">
        <w:rPr>
          <w:rStyle w:val="FootnoteReference"/>
          <w:rFonts w:asciiTheme="majorHAnsi" w:hAnsiTheme="majorHAnsi"/>
          <w:sz w:val="20"/>
          <w:szCs w:val="20"/>
          <w:lang w:val="es-ES"/>
        </w:rPr>
        <w:footnoteReference w:id="68"/>
      </w:r>
      <w:r w:rsidRPr="006D531F">
        <w:rPr>
          <w:rFonts w:asciiTheme="majorHAnsi" w:hAnsiTheme="majorHAnsi"/>
          <w:sz w:val="20"/>
          <w:szCs w:val="20"/>
          <w:lang w:val="es-ES"/>
        </w:rPr>
        <w:t>.</w:t>
      </w:r>
      <w:r w:rsidR="001C002E" w:rsidRPr="006D531F">
        <w:rPr>
          <w:rFonts w:asciiTheme="majorHAnsi" w:hAnsiTheme="majorHAnsi"/>
          <w:sz w:val="20"/>
          <w:szCs w:val="20"/>
          <w:lang w:val="es-ES"/>
        </w:rPr>
        <w:t xml:space="preserve"> </w:t>
      </w:r>
      <w:r w:rsidR="000C6B4C" w:rsidRPr="006D531F">
        <w:rPr>
          <w:rFonts w:asciiTheme="majorHAnsi" w:hAnsiTheme="majorHAnsi"/>
          <w:sz w:val="20"/>
          <w:szCs w:val="20"/>
          <w:lang w:val="es-ES"/>
        </w:rPr>
        <w:t xml:space="preserve">En este sentido, </w:t>
      </w:r>
      <w:r w:rsidR="001C002E" w:rsidRPr="006D531F">
        <w:rPr>
          <w:rFonts w:asciiTheme="majorHAnsi" w:hAnsiTheme="majorHAnsi"/>
          <w:sz w:val="20"/>
          <w:szCs w:val="20"/>
          <w:lang w:val="es-PE"/>
        </w:rPr>
        <w:t>la Corte Interamericana ha sido enfática al señalar que la libertad y la diversidad deben ser principios rectores de la regulación de la radiodifusión</w:t>
      </w:r>
      <w:r w:rsidR="001C002E" w:rsidRPr="006D531F">
        <w:rPr>
          <w:rStyle w:val="FootnoteReference"/>
          <w:rFonts w:asciiTheme="majorHAnsi" w:hAnsiTheme="majorHAnsi"/>
          <w:sz w:val="20"/>
          <w:szCs w:val="20"/>
        </w:rPr>
        <w:footnoteReference w:id="69"/>
      </w:r>
      <w:r w:rsidR="000C6B4C" w:rsidRPr="006D531F">
        <w:rPr>
          <w:rFonts w:asciiTheme="majorHAnsi" w:hAnsiTheme="majorHAnsi"/>
          <w:sz w:val="20"/>
          <w:szCs w:val="20"/>
          <w:lang w:val="es-PE"/>
        </w:rPr>
        <w:t>.</w:t>
      </w:r>
    </w:p>
    <w:p w14:paraId="1B524345" w14:textId="77777777" w:rsidR="005D69F2" w:rsidRPr="006D531F" w:rsidRDefault="005D69F2" w:rsidP="0007021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3DEB7C24" w14:textId="77777777" w:rsidR="005D69F2" w:rsidRPr="006D531F" w:rsidRDefault="005D69F2" w:rsidP="000604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
        </w:rPr>
      </w:pPr>
      <w:r w:rsidRPr="006D531F">
        <w:rPr>
          <w:rFonts w:asciiTheme="majorHAnsi" w:hAnsiTheme="majorHAnsi"/>
          <w:sz w:val="20"/>
          <w:szCs w:val="20"/>
          <w:lang w:val="es-ES"/>
        </w:rPr>
        <w:t xml:space="preserve">Los bienes en juego demuestran la enorme importancia que reviste el proceso de asignación de licencias. </w:t>
      </w:r>
      <w:r w:rsidRPr="006D531F">
        <w:rPr>
          <w:rFonts w:asciiTheme="majorHAnsi" w:hAnsiTheme="majorHAnsi"/>
          <w:sz w:val="20"/>
          <w:szCs w:val="20"/>
          <w:lang w:val="es-PE"/>
        </w:rPr>
        <w:t>Cabe</w:t>
      </w:r>
      <w:r w:rsidRPr="006D531F">
        <w:rPr>
          <w:rFonts w:asciiTheme="majorHAnsi" w:hAnsiTheme="majorHAnsi"/>
          <w:sz w:val="20"/>
          <w:szCs w:val="20"/>
          <w:lang w:val="es-ES"/>
        </w:rPr>
        <w:t xml:space="preserve"> recordar que tanto la Convención en su artículo 13.3</w:t>
      </w:r>
      <w:r w:rsidR="00EB6B2E">
        <w:rPr>
          <w:rFonts w:asciiTheme="majorHAnsi" w:hAnsiTheme="majorHAnsi"/>
          <w:sz w:val="20"/>
          <w:szCs w:val="20"/>
          <w:lang w:val="es-ES"/>
        </w:rPr>
        <w:t>,</w:t>
      </w:r>
      <w:r w:rsidRPr="006D531F">
        <w:rPr>
          <w:rFonts w:asciiTheme="majorHAnsi" w:hAnsiTheme="majorHAnsi"/>
          <w:sz w:val="20"/>
          <w:szCs w:val="20"/>
          <w:lang w:val="es-ES"/>
        </w:rPr>
        <w:t xml:space="preserve"> como</w:t>
      </w:r>
      <w:r w:rsidR="001667A3">
        <w:rPr>
          <w:rFonts w:asciiTheme="majorHAnsi" w:hAnsiTheme="majorHAnsi"/>
          <w:sz w:val="20"/>
          <w:szCs w:val="20"/>
          <w:lang w:val="es-ES"/>
        </w:rPr>
        <w:t xml:space="preserve"> el</w:t>
      </w:r>
      <w:r w:rsidRPr="006D531F">
        <w:rPr>
          <w:rFonts w:asciiTheme="majorHAnsi" w:hAnsiTheme="majorHAnsi"/>
          <w:sz w:val="20"/>
          <w:szCs w:val="20"/>
          <w:lang w:val="es-ES"/>
        </w:rPr>
        <w:t xml:space="preserve"> </w:t>
      </w:r>
      <w:r w:rsidR="001667A3">
        <w:rPr>
          <w:rFonts w:asciiTheme="majorHAnsi" w:hAnsiTheme="majorHAnsi"/>
          <w:sz w:val="20"/>
          <w:szCs w:val="20"/>
          <w:lang w:val="es-ES"/>
        </w:rPr>
        <w:t>p</w:t>
      </w:r>
      <w:r w:rsidR="001667A3" w:rsidRPr="006D531F">
        <w:rPr>
          <w:rFonts w:asciiTheme="majorHAnsi" w:hAnsiTheme="majorHAnsi"/>
          <w:sz w:val="20"/>
          <w:szCs w:val="20"/>
          <w:lang w:val="es-ES"/>
        </w:rPr>
        <w:t>rincipio 13</w:t>
      </w:r>
      <w:r w:rsidR="001667A3">
        <w:rPr>
          <w:rFonts w:asciiTheme="majorHAnsi" w:hAnsiTheme="majorHAnsi"/>
          <w:sz w:val="20"/>
          <w:szCs w:val="20"/>
          <w:lang w:val="es-ES"/>
        </w:rPr>
        <w:t xml:space="preserve"> de l</w:t>
      </w:r>
      <w:r w:rsidRPr="006D531F">
        <w:rPr>
          <w:rFonts w:asciiTheme="majorHAnsi" w:hAnsiTheme="majorHAnsi"/>
          <w:sz w:val="20"/>
          <w:szCs w:val="20"/>
          <w:lang w:val="es-ES"/>
        </w:rPr>
        <w:t>a Declaración de Principios sobre Libertad de Expresión de la CIDH</w:t>
      </w:r>
      <w:r w:rsidR="000A7893" w:rsidRPr="006D531F">
        <w:rPr>
          <w:rStyle w:val="FootnoteReference"/>
          <w:rFonts w:asciiTheme="majorHAnsi" w:hAnsiTheme="majorHAnsi"/>
          <w:sz w:val="20"/>
          <w:szCs w:val="20"/>
          <w:lang w:val="es-ES"/>
        </w:rPr>
        <w:footnoteReference w:id="70"/>
      </w:r>
      <w:r w:rsidRPr="006D531F">
        <w:rPr>
          <w:rFonts w:asciiTheme="majorHAnsi" w:hAnsiTheme="majorHAnsi"/>
          <w:sz w:val="20"/>
          <w:szCs w:val="20"/>
          <w:lang w:val="es-ES"/>
        </w:rPr>
        <w:t xml:space="preserve"> hacen referencia explícita a la necesidad de evitar que este proceso se convierta en un mecanismo de restricción indirecta sobre la libertad de expresión. </w:t>
      </w:r>
    </w:p>
    <w:p w14:paraId="0E065543" w14:textId="77777777" w:rsidR="009E5839" w:rsidRPr="006D531F" w:rsidRDefault="009E5839" w:rsidP="009E5839">
      <w:pPr>
        <w:pStyle w:val="ListParagraph"/>
        <w:rPr>
          <w:rFonts w:asciiTheme="majorHAnsi" w:hAnsiTheme="majorHAnsi"/>
          <w:color w:val="auto"/>
          <w:sz w:val="20"/>
          <w:szCs w:val="20"/>
          <w:lang w:val="es-ES"/>
        </w:rPr>
      </w:pPr>
    </w:p>
    <w:p w14:paraId="24019933" w14:textId="77777777" w:rsidR="009E5839" w:rsidRPr="006D531F" w:rsidRDefault="005D69F2" w:rsidP="0006046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
        </w:rPr>
      </w:pPr>
      <w:r w:rsidRPr="006D531F">
        <w:rPr>
          <w:rFonts w:asciiTheme="majorHAnsi" w:hAnsiTheme="majorHAnsi"/>
          <w:sz w:val="20"/>
          <w:szCs w:val="20"/>
          <w:lang w:val="es-ES"/>
        </w:rPr>
        <w:t>Por esta razón,</w:t>
      </w:r>
      <w:r w:rsidR="0041782C" w:rsidRPr="006D531F">
        <w:rPr>
          <w:rFonts w:asciiTheme="majorHAnsi" w:hAnsiTheme="majorHAnsi"/>
          <w:sz w:val="20"/>
          <w:szCs w:val="20"/>
          <w:lang w:val="es-ES"/>
        </w:rPr>
        <w:t xml:space="preserve"> los criterios </w:t>
      </w:r>
      <w:r w:rsidR="005A74C9" w:rsidRPr="006D531F">
        <w:rPr>
          <w:rFonts w:asciiTheme="majorHAnsi" w:hAnsiTheme="majorHAnsi"/>
          <w:sz w:val="20"/>
          <w:szCs w:val="20"/>
          <w:lang w:val="es-ES"/>
        </w:rPr>
        <w:t xml:space="preserve">y requisitos </w:t>
      </w:r>
      <w:r w:rsidR="00E36E42" w:rsidRPr="006D531F">
        <w:rPr>
          <w:rFonts w:asciiTheme="majorHAnsi" w:hAnsiTheme="majorHAnsi"/>
          <w:sz w:val="20"/>
          <w:szCs w:val="20"/>
          <w:lang w:val="es-ES"/>
        </w:rPr>
        <w:t>para la asignación de licencia,</w:t>
      </w:r>
      <w:r w:rsidRPr="006D531F">
        <w:rPr>
          <w:rFonts w:asciiTheme="majorHAnsi" w:hAnsiTheme="majorHAnsi"/>
          <w:sz w:val="20"/>
          <w:szCs w:val="20"/>
          <w:lang w:val="es-ES"/>
        </w:rPr>
        <w:t xml:space="preserve"> el proceso de asignación y renovación de concesiones debe encontrarse estrictamente regulado por la ley, caracterizarse por su transparencia y estar guiado por criterios objetivos, claros, imparciales, públicos y compatibles con una sociedad democrática</w:t>
      </w:r>
      <w:r w:rsidR="00A82266" w:rsidRPr="006D531F">
        <w:rPr>
          <w:rFonts w:asciiTheme="majorHAnsi" w:hAnsiTheme="majorHAnsi"/>
          <w:sz w:val="20"/>
          <w:szCs w:val="20"/>
          <w:lang w:val="es-ES"/>
        </w:rPr>
        <w:t xml:space="preserve">. </w:t>
      </w:r>
      <w:r w:rsidRPr="006D531F">
        <w:rPr>
          <w:rFonts w:asciiTheme="majorHAnsi" w:hAnsiTheme="majorHAnsi"/>
          <w:sz w:val="20"/>
          <w:szCs w:val="20"/>
          <w:lang w:val="es-ES"/>
        </w:rPr>
        <w:t>En este mismo sentido, el procedimiento de adjudicación de una licencia debe estar rodeado de suficientes garantías contra la arbitrariedad, incluyendo la obligación de motivar la decisión que conceda o niega la solicitud, y el adecuado control judicial de dicha decisión</w:t>
      </w:r>
      <w:r w:rsidR="009E5839" w:rsidRPr="006D531F">
        <w:rPr>
          <w:rFonts w:asciiTheme="majorHAnsi" w:hAnsiTheme="majorHAnsi"/>
          <w:sz w:val="20"/>
          <w:szCs w:val="20"/>
          <w:lang w:val="es-ES"/>
        </w:rPr>
        <w:t>.</w:t>
      </w:r>
      <w:r w:rsidR="003F1245" w:rsidRPr="006D531F">
        <w:rPr>
          <w:rFonts w:asciiTheme="majorHAnsi" w:hAnsiTheme="majorHAnsi"/>
          <w:sz w:val="20"/>
          <w:szCs w:val="20"/>
          <w:lang w:val="es-ES"/>
        </w:rPr>
        <w:t xml:space="preserve"> </w:t>
      </w:r>
    </w:p>
    <w:p w14:paraId="6C5EF34B" w14:textId="77777777" w:rsidR="00A22584" w:rsidRPr="006D531F" w:rsidRDefault="00A22584" w:rsidP="00EE549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14:paraId="11A8862D" w14:textId="77777777" w:rsidR="005219F6" w:rsidRPr="006D531F" w:rsidRDefault="004A7BE2" w:rsidP="00444C6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
        </w:rPr>
      </w:pPr>
      <w:r w:rsidRPr="006D531F">
        <w:rPr>
          <w:rFonts w:asciiTheme="majorHAnsi" w:hAnsiTheme="majorHAnsi"/>
          <w:sz w:val="20"/>
          <w:szCs w:val="20"/>
          <w:lang w:val="es-ES"/>
        </w:rPr>
        <w:t>Asimismo, l</w:t>
      </w:r>
      <w:r w:rsidRPr="006D531F">
        <w:rPr>
          <w:rFonts w:asciiTheme="majorHAnsi" w:hAnsiTheme="majorHAnsi"/>
          <w:sz w:val="20"/>
          <w:szCs w:val="20"/>
          <w:lang w:val="es-PE"/>
        </w:rPr>
        <w:t>a asignación de licencias de radio y televisión debe estar orientada por criterios democráticos que garanticen condiciones de igualdad de oportunidades para todas las personas y sectores interesados</w:t>
      </w:r>
      <w:r w:rsidRPr="006D531F">
        <w:rPr>
          <w:rStyle w:val="FootnoteReference"/>
          <w:rFonts w:asciiTheme="majorHAnsi" w:hAnsiTheme="majorHAnsi"/>
          <w:sz w:val="20"/>
          <w:szCs w:val="20"/>
          <w:lang w:val="es-PE"/>
        </w:rPr>
        <w:footnoteReference w:id="71"/>
      </w:r>
      <w:r w:rsidRPr="006D531F">
        <w:rPr>
          <w:rFonts w:asciiTheme="majorHAnsi" w:hAnsiTheme="majorHAnsi"/>
          <w:sz w:val="20"/>
          <w:szCs w:val="20"/>
          <w:lang w:val="es-PE"/>
        </w:rPr>
        <w:t xml:space="preserve">, ya que deben tener como una de sus metas, fomentar la pluralidad y diversidad de voces. </w:t>
      </w:r>
      <w:r w:rsidR="00910158" w:rsidRPr="006D531F">
        <w:rPr>
          <w:rFonts w:asciiTheme="majorHAnsi" w:hAnsiTheme="majorHAnsi"/>
          <w:sz w:val="20"/>
          <w:szCs w:val="20"/>
          <w:lang w:val="es-UY"/>
        </w:rPr>
        <w:t xml:space="preserve">Es preciso señalar que </w:t>
      </w:r>
      <w:r w:rsidR="00910158" w:rsidRPr="006D531F">
        <w:rPr>
          <w:rFonts w:asciiTheme="majorHAnsi" w:hAnsiTheme="majorHAnsi"/>
          <w:sz w:val="20"/>
          <w:szCs w:val="20"/>
          <w:lang w:val="es-PE"/>
        </w:rPr>
        <w:t>los diferentes tipos de medios de comunicación (públicos independientes del Poder Ejecutivo, privados con fines de lucro, y comunitarios o privados sin fines de lucro) deben ser reconocidos y deben poder tener acceso, en condiciones de equidad, a todas las plataformas de transmisión disponibles, incluyendo el nuevo dividendo digital</w:t>
      </w:r>
      <w:r w:rsidR="00910158" w:rsidRPr="006D531F">
        <w:rPr>
          <w:rStyle w:val="FootnoteReference"/>
          <w:rFonts w:asciiTheme="majorHAnsi" w:hAnsiTheme="majorHAnsi"/>
          <w:sz w:val="20"/>
          <w:szCs w:val="20"/>
        </w:rPr>
        <w:footnoteReference w:id="72"/>
      </w:r>
      <w:r w:rsidR="00910158" w:rsidRPr="006D531F">
        <w:rPr>
          <w:rFonts w:asciiTheme="majorHAnsi" w:hAnsiTheme="majorHAnsi"/>
          <w:sz w:val="20"/>
          <w:szCs w:val="20"/>
          <w:lang w:val="es-PE"/>
        </w:rPr>
        <w:t>.</w:t>
      </w:r>
      <w:r w:rsidR="00910158" w:rsidRPr="006D531F">
        <w:rPr>
          <w:rFonts w:asciiTheme="majorHAnsi" w:hAnsiTheme="majorHAnsi"/>
          <w:sz w:val="20"/>
          <w:szCs w:val="20"/>
          <w:lang w:val="es-ES"/>
        </w:rPr>
        <w:t xml:space="preserve"> </w:t>
      </w:r>
      <w:r w:rsidR="005219F6" w:rsidRPr="006D531F">
        <w:rPr>
          <w:rFonts w:asciiTheme="majorHAnsi" w:hAnsiTheme="majorHAnsi"/>
          <w:sz w:val="20"/>
          <w:szCs w:val="20"/>
          <w:lang w:val="es-UY"/>
        </w:rPr>
        <w:t>Para promover la igualdad de oportunidades en el acceso a los medios de comunicación deben preverse medidas positivas para que los tres sectores de la radiodifusión</w:t>
      </w:r>
      <w:r w:rsidR="002F0CE4" w:rsidRPr="006D531F">
        <w:rPr>
          <w:rFonts w:asciiTheme="majorHAnsi" w:hAnsiTheme="majorHAnsi"/>
          <w:sz w:val="20"/>
          <w:szCs w:val="20"/>
          <w:lang w:val="es-UY"/>
        </w:rPr>
        <w:t xml:space="preserve"> </w:t>
      </w:r>
      <w:r w:rsidR="005219F6" w:rsidRPr="006D531F">
        <w:rPr>
          <w:rFonts w:asciiTheme="majorHAnsi" w:hAnsiTheme="majorHAnsi"/>
          <w:sz w:val="20"/>
          <w:szCs w:val="20"/>
          <w:lang w:val="es-UY"/>
        </w:rPr>
        <w:t>puedan acceder a las licencias en condiciones equitativas; deben contemplarse criterios democráticos y procedimientos transparentes para la asignación de las licencias; y deben establecerse condiciones de uso de las licencias razonables y no discriminatorias.</w:t>
      </w:r>
      <w:r w:rsidR="008A1306" w:rsidRPr="006D531F">
        <w:rPr>
          <w:rFonts w:asciiTheme="majorHAnsi" w:hAnsiTheme="majorHAnsi"/>
          <w:sz w:val="20"/>
          <w:szCs w:val="20"/>
          <w:lang w:val="es-UY"/>
        </w:rPr>
        <w:t xml:space="preserve"> </w:t>
      </w:r>
    </w:p>
    <w:p w14:paraId="09301EA1" w14:textId="77777777" w:rsidR="0088295E" w:rsidRPr="006D531F" w:rsidRDefault="00997B99" w:rsidP="0088295E">
      <w:pPr>
        <w:pStyle w:val="Heading3"/>
        <w:ind w:left="0"/>
      </w:pPr>
      <w:bookmarkStart w:id="34" w:name="_Toc28418783"/>
      <w:r w:rsidRPr="006D531F">
        <w:t xml:space="preserve">Libertad de expresión, </w:t>
      </w:r>
      <w:r w:rsidR="00986F24" w:rsidRPr="006D531F">
        <w:t>medios comunitarios de radiodifusión</w:t>
      </w:r>
      <w:r w:rsidR="004B4EB7" w:rsidRPr="006D531F">
        <w:t xml:space="preserve"> y el derecho a la igualdad </w:t>
      </w:r>
      <w:r w:rsidR="006B593A" w:rsidRPr="006D531F">
        <w:t>y no discriminación</w:t>
      </w:r>
      <w:bookmarkEnd w:id="34"/>
    </w:p>
    <w:p w14:paraId="1613B565" w14:textId="77777777" w:rsidR="00986F24" w:rsidRPr="006D531F" w:rsidRDefault="00986F24" w:rsidP="00986F24">
      <w:pPr>
        <w:ind w:right="406"/>
        <w:jc w:val="both"/>
        <w:rPr>
          <w:rFonts w:asciiTheme="majorHAnsi" w:hAnsiTheme="majorHAnsi"/>
          <w:sz w:val="20"/>
          <w:szCs w:val="20"/>
          <w:lang w:val="es-ES_tradnl"/>
        </w:rPr>
      </w:pPr>
    </w:p>
    <w:p w14:paraId="0D22B24B" w14:textId="77777777" w:rsidR="006014CD" w:rsidRPr="006D531F" w:rsidRDefault="008D7F4A" w:rsidP="00670C6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_tradnl"/>
        </w:rPr>
      </w:pPr>
      <w:r w:rsidRPr="006D531F">
        <w:rPr>
          <w:rFonts w:asciiTheme="majorHAnsi" w:hAnsiTheme="majorHAnsi"/>
          <w:sz w:val="20"/>
          <w:szCs w:val="20"/>
          <w:lang w:val="es-PE"/>
        </w:rPr>
        <w:t>L</w:t>
      </w:r>
      <w:r w:rsidR="009173C2" w:rsidRPr="006D531F">
        <w:rPr>
          <w:rFonts w:asciiTheme="majorHAnsi" w:hAnsiTheme="majorHAnsi"/>
          <w:sz w:val="20"/>
          <w:szCs w:val="20"/>
          <w:lang w:val="es-PE"/>
        </w:rPr>
        <w:t xml:space="preserve">as radios comunitarias </w:t>
      </w:r>
      <w:r w:rsidR="00937F5A" w:rsidRPr="006D531F">
        <w:rPr>
          <w:rFonts w:asciiTheme="majorHAnsi" w:hAnsiTheme="majorHAnsi"/>
          <w:sz w:val="20"/>
          <w:szCs w:val="20"/>
          <w:lang w:val="es-PE"/>
        </w:rPr>
        <w:t xml:space="preserve">son medios de comunicación </w:t>
      </w:r>
      <w:r w:rsidR="00644DA6" w:rsidRPr="006D531F">
        <w:rPr>
          <w:rFonts w:asciiTheme="majorHAnsi" w:hAnsiTheme="majorHAnsi"/>
          <w:sz w:val="20"/>
          <w:szCs w:val="20"/>
          <w:lang w:val="es-PE"/>
        </w:rPr>
        <w:t xml:space="preserve">fundamentales </w:t>
      </w:r>
      <w:r w:rsidR="00961F59" w:rsidRPr="006D531F">
        <w:rPr>
          <w:rFonts w:asciiTheme="majorHAnsi" w:hAnsiTheme="majorHAnsi"/>
          <w:sz w:val="20"/>
          <w:szCs w:val="20"/>
          <w:lang w:val="es-PE"/>
        </w:rPr>
        <w:t>para garantizar a</w:t>
      </w:r>
      <w:r w:rsidR="001877F8" w:rsidRPr="006D531F">
        <w:rPr>
          <w:rFonts w:asciiTheme="majorHAnsi" w:hAnsiTheme="majorHAnsi"/>
          <w:sz w:val="20"/>
          <w:szCs w:val="20"/>
          <w:lang w:val="es-PE"/>
        </w:rPr>
        <w:t xml:space="preserve"> </w:t>
      </w:r>
      <w:r w:rsidR="006479AD" w:rsidRPr="006D531F">
        <w:rPr>
          <w:rFonts w:asciiTheme="majorHAnsi" w:hAnsiTheme="majorHAnsi"/>
          <w:sz w:val="20"/>
          <w:szCs w:val="20"/>
          <w:lang w:val="es-PE"/>
        </w:rPr>
        <w:t xml:space="preserve">los pueblos indígenas </w:t>
      </w:r>
      <w:r w:rsidR="00B03EDC" w:rsidRPr="006D531F">
        <w:rPr>
          <w:rFonts w:asciiTheme="majorHAnsi" w:hAnsiTheme="majorHAnsi"/>
          <w:sz w:val="20"/>
          <w:szCs w:val="20"/>
          <w:lang w:val="es-PE"/>
        </w:rPr>
        <w:t xml:space="preserve">el efectivo </w:t>
      </w:r>
      <w:r w:rsidR="001521FC" w:rsidRPr="006D531F">
        <w:rPr>
          <w:rFonts w:asciiTheme="majorHAnsi" w:hAnsiTheme="majorHAnsi"/>
          <w:sz w:val="20"/>
          <w:szCs w:val="20"/>
          <w:lang w:val="es-PE"/>
        </w:rPr>
        <w:t>ejerc</w:t>
      </w:r>
      <w:r w:rsidR="00B03EDC" w:rsidRPr="006D531F">
        <w:rPr>
          <w:rFonts w:asciiTheme="majorHAnsi" w:hAnsiTheme="majorHAnsi"/>
          <w:sz w:val="20"/>
          <w:szCs w:val="20"/>
          <w:lang w:val="es-PE"/>
        </w:rPr>
        <w:t xml:space="preserve">icio de </w:t>
      </w:r>
      <w:r w:rsidR="001521FC" w:rsidRPr="006D531F">
        <w:rPr>
          <w:rFonts w:asciiTheme="majorHAnsi" w:hAnsiTheme="majorHAnsi"/>
          <w:sz w:val="20"/>
          <w:szCs w:val="20"/>
          <w:lang w:val="es-PE"/>
        </w:rPr>
        <w:t>su derecho a la libertad de expresión y acceso a la información</w:t>
      </w:r>
      <w:r w:rsidR="0011220A" w:rsidRPr="006D531F">
        <w:rPr>
          <w:rFonts w:asciiTheme="majorHAnsi" w:hAnsiTheme="majorHAnsi"/>
          <w:sz w:val="20"/>
          <w:szCs w:val="20"/>
          <w:lang w:val="es-PE"/>
        </w:rPr>
        <w:t xml:space="preserve">. </w:t>
      </w:r>
      <w:r w:rsidR="008C7395" w:rsidRPr="006D531F">
        <w:rPr>
          <w:rFonts w:asciiTheme="majorHAnsi" w:hAnsiTheme="majorHAnsi"/>
          <w:sz w:val="20"/>
          <w:szCs w:val="20"/>
          <w:lang w:val="es-PE"/>
        </w:rPr>
        <w:t xml:space="preserve">Estos medios constituyen, </w:t>
      </w:r>
      <w:r w:rsidR="001521FC" w:rsidRPr="006D531F">
        <w:rPr>
          <w:rFonts w:asciiTheme="majorHAnsi" w:hAnsiTheme="majorHAnsi"/>
          <w:sz w:val="20"/>
          <w:szCs w:val="20"/>
          <w:lang w:val="es-PE"/>
        </w:rPr>
        <w:t xml:space="preserve">en muchas ocasiones, los únicos mecanismos </w:t>
      </w:r>
      <w:r w:rsidR="00B079EF" w:rsidRPr="006D531F">
        <w:rPr>
          <w:rFonts w:asciiTheme="majorHAnsi" w:hAnsiTheme="majorHAnsi"/>
          <w:sz w:val="20"/>
          <w:szCs w:val="20"/>
          <w:lang w:val="es-PE"/>
        </w:rPr>
        <w:t xml:space="preserve">existentes </w:t>
      </w:r>
      <w:r w:rsidR="00FA713C" w:rsidRPr="006D531F">
        <w:rPr>
          <w:rFonts w:asciiTheme="majorHAnsi" w:hAnsiTheme="majorHAnsi"/>
          <w:sz w:val="20"/>
          <w:szCs w:val="20"/>
          <w:lang w:val="es-PE"/>
        </w:rPr>
        <w:t>de</w:t>
      </w:r>
      <w:r w:rsidR="00B079EF" w:rsidRPr="006D531F">
        <w:rPr>
          <w:rFonts w:asciiTheme="majorHAnsi" w:hAnsiTheme="majorHAnsi"/>
          <w:sz w:val="20"/>
          <w:szCs w:val="20"/>
          <w:lang w:val="es-PE"/>
        </w:rPr>
        <w:t xml:space="preserve"> las comunidades para ejercer </w:t>
      </w:r>
      <w:r w:rsidR="00032571" w:rsidRPr="006D531F">
        <w:rPr>
          <w:rFonts w:asciiTheme="majorHAnsi" w:hAnsiTheme="majorHAnsi"/>
          <w:sz w:val="20"/>
          <w:szCs w:val="20"/>
          <w:lang w:val="es-PE"/>
        </w:rPr>
        <w:t xml:space="preserve">los </w:t>
      </w:r>
      <w:r w:rsidR="00B079EF" w:rsidRPr="006D531F">
        <w:rPr>
          <w:rFonts w:asciiTheme="majorHAnsi" w:hAnsiTheme="majorHAnsi"/>
          <w:sz w:val="20"/>
          <w:szCs w:val="20"/>
          <w:lang w:val="es-PE"/>
        </w:rPr>
        <w:t>derechos</w:t>
      </w:r>
      <w:r w:rsidR="00902232" w:rsidRPr="006D531F">
        <w:rPr>
          <w:rFonts w:asciiTheme="majorHAnsi" w:hAnsiTheme="majorHAnsi"/>
          <w:sz w:val="20"/>
          <w:szCs w:val="20"/>
          <w:lang w:val="es-PE"/>
        </w:rPr>
        <w:t xml:space="preserve"> citados</w:t>
      </w:r>
      <w:r w:rsidR="00B079EF" w:rsidRPr="006D531F">
        <w:rPr>
          <w:rFonts w:asciiTheme="majorHAnsi" w:hAnsiTheme="majorHAnsi"/>
          <w:sz w:val="20"/>
          <w:szCs w:val="20"/>
          <w:lang w:val="es-PE"/>
        </w:rPr>
        <w:t>.</w:t>
      </w:r>
      <w:r w:rsidR="007C039D" w:rsidRPr="006D531F">
        <w:rPr>
          <w:rFonts w:asciiTheme="majorHAnsi" w:hAnsiTheme="majorHAnsi"/>
          <w:sz w:val="20"/>
          <w:szCs w:val="20"/>
          <w:lang w:val="es-ES_tradnl"/>
        </w:rPr>
        <w:t xml:space="preserve"> </w:t>
      </w:r>
      <w:r w:rsidR="00FF1A34" w:rsidRPr="006D531F">
        <w:rPr>
          <w:rFonts w:asciiTheme="majorHAnsi" w:hAnsiTheme="majorHAnsi"/>
          <w:sz w:val="20"/>
          <w:szCs w:val="20"/>
          <w:lang w:val="es-PE"/>
        </w:rPr>
        <w:t xml:space="preserve">En tal sentido, conviene recordar que tanto la Declaración </w:t>
      </w:r>
      <w:r w:rsidR="0008651C" w:rsidRPr="006D531F">
        <w:rPr>
          <w:rFonts w:asciiTheme="majorHAnsi" w:hAnsiTheme="majorHAnsi"/>
          <w:sz w:val="20"/>
          <w:szCs w:val="20"/>
          <w:lang w:val="es-PE"/>
        </w:rPr>
        <w:t>de las Naciones Unidas</w:t>
      </w:r>
      <w:r w:rsidR="00FF1A34" w:rsidRPr="006D531F">
        <w:rPr>
          <w:rFonts w:asciiTheme="majorHAnsi" w:hAnsiTheme="majorHAnsi"/>
          <w:sz w:val="20"/>
          <w:szCs w:val="20"/>
          <w:lang w:val="es-PE"/>
        </w:rPr>
        <w:t xml:space="preserve"> sobre los Derechos de los Pueblos Indígenas, en su artículo 16</w:t>
      </w:r>
      <w:r w:rsidR="00FF1A34" w:rsidRPr="006D531F">
        <w:rPr>
          <w:rStyle w:val="FootnoteReference"/>
          <w:rFonts w:asciiTheme="majorHAnsi" w:hAnsiTheme="majorHAnsi"/>
          <w:sz w:val="20"/>
          <w:szCs w:val="20"/>
        </w:rPr>
        <w:footnoteReference w:id="73"/>
      </w:r>
      <w:r w:rsidR="00FF1A34" w:rsidRPr="006D531F">
        <w:rPr>
          <w:rFonts w:asciiTheme="majorHAnsi" w:hAnsiTheme="majorHAnsi"/>
          <w:sz w:val="20"/>
          <w:szCs w:val="20"/>
          <w:lang w:val="es-PE"/>
        </w:rPr>
        <w:t xml:space="preserve">, como </w:t>
      </w:r>
      <w:r w:rsidR="003C5E5D" w:rsidRPr="006D531F">
        <w:rPr>
          <w:rFonts w:asciiTheme="majorHAnsi" w:hAnsiTheme="majorHAnsi"/>
          <w:sz w:val="20"/>
          <w:szCs w:val="20"/>
          <w:lang w:val="es-PE"/>
        </w:rPr>
        <w:t xml:space="preserve">la </w:t>
      </w:r>
      <w:r w:rsidR="00FF1A34" w:rsidRPr="006D531F">
        <w:rPr>
          <w:rFonts w:asciiTheme="majorHAnsi" w:hAnsiTheme="majorHAnsi"/>
          <w:sz w:val="20"/>
          <w:szCs w:val="20"/>
          <w:lang w:val="es-PE"/>
        </w:rPr>
        <w:t xml:space="preserve">Declaración Americana sobre los Derechos de </w:t>
      </w:r>
      <w:r w:rsidR="00FF1A34" w:rsidRPr="006D531F">
        <w:rPr>
          <w:rFonts w:asciiTheme="majorHAnsi" w:hAnsiTheme="majorHAnsi"/>
          <w:sz w:val="20"/>
          <w:szCs w:val="20"/>
          <w:lang w:val="es-PE"/>
        </w:rPr>
        <w:lastRenderedPageBreak/>
        <w:t>los Pueblos Indígenas</w:t>
      </w:r>
      <w:r w:rsidR="003C5E5D" w:rsidRPr="006D531F">
        <w:rPr>
          <w:rFonts w:asciiTheme="majorHAnsi" w:hAnsiTheme="majorHAnsi"/>
          <w:sz w:val="20"/>
          <w:szCs w:val="20"/>
          <w:lang w:val="es-PE"/>
        </w:rPr>
        <w:t xml:space="preserve"> en su artículo</w:t>
      </w:r>
      <w:r w:rsidR="00910536" w:rsidRPr="006D531F">
        <w:rPr>
          <w:rFonts w:asciiTheme="majorHAnsi" w:hAnsiTheme="majorHAnsi"/>
          <w:sz w:val="20"/>
          <w:szCs w:val="20"/>
          <w:lang w:val="es-PE"/>
        </w:rPr>
        <w:t xml:space="preserve"> XI</w:t>
      </w:r>
      <w:r w:rsidR="00331873" w:rsidRPr="006D531F">
        <w:rPr>
          <w:rFonts w:asciiTheme="majorHAnsi" w:hAnsiTheme="majorHAnsi"/>
          <w:sz w:val="20"/>
          <w:szCs w:val="20"/>
          <w:lang w:val="es-PE"/>
        </w:rPr>
        <w:t>V</w:t>
      </w:r>
      <w:r w:rsidR="00FF1A34" w:rsidRPr="006D531F">
        <w:rPr>
          <w:rStyle w:val="FootnoteReference"/>
          <w:rFonts w:asciiTheme="majorHAnsi" w:hAnsiTheme="majorHAnsi"/>
          <w:sz w:val="20"/>
          <w:szCs w:val="20"/>
        </w:rPr>
        <w:footnoteReference w:id="74"/>
      </w:r>
      <w:r w:rsidR="00FF1A34" w:rsidRPr="006D531F">
        <w:rPr>
          <w:rFonts w:asciiTheme="majorHAnsi" w:hAnsiTheme="majorHAnsi"/>
          <w:sz w:val="20"/>
          <w:szCs w:val="20"/>
          <w:lang w:val="es-PE"/>
        </w:rPr>
        <w:t>, reconocen el derecho de los pueblos indígenas a establecer sus propios medios de comunicación en sus propios idiomas.</w:t>
      </w:r>
    </w:p>
    <w:p w14:paraId="071EAF7B" w14:textId="77777777" w:rsidR="008258CF" w:rsidRPr="006D531F" w:rsidRDefault="008258CF" w:rsidP="00D233A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14:paraId="3F3EB90E" w14:textId="77777777" w:rsidR="00043B1A" w:rsidRPr="006D531F" w:rsidRDefault="00043B1A" w:rsidP="00043B1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_tradnl"/>
        </w:rPr>
      </w:pPr>
      <w:r w:rsidRPr="006D531F">
        <w:rPr>
          <w:rFonts w:asciiTheme="majorHAnsi" w:hAnsiTheme="majorHAnsi"/>
          <w:sz w:val="20"/>
          <w:szCs w:val="20"/>
          <w:lang w:val="es-CO"/>
        </w:rPr>
        <w:t>En varias oportunidades, la CIDH ha reconocido que los medios de comunicación comunitarios cumplen en nuestra región una función fundamental para el ejercicio de distintos sectores de la sociedad a la libertad de expresión y al acceso a la información</w:t>
      </w:r>
      <w:r w:rsidRPr="006D531F">
        <w:rPr>
          <w:rStyle w:val="FootnoteReference"/>
          <w:rFonts w:asciiTheme="majorHAnsi" w:hAnsiTheme="majorHAnsi"/>
          <w:sz w:val="20"/>
          <w:szCs w:val="20"/>
          <w:lang w:val="es-CO"/>
        </w:rPr>
        <w:footnoteReference w:id="75"/>
      </w:r>
      <w:r w:rsidR="008C52D9" w:rsidRPr="006D531F">
        <w:rPr>
          <w:rFonts w:asciiTheme="majorHAnsi" w:hAnsiTheme="majorHAnsi"/>
          <w:sz w:val="20"/>
          <w:szCs w:val="20"/>
          <w:lang w:val="es-CO"/>
        </w:rPr>
        <w:t xml:space="preserve">, ya que </w:t>
      </w:r>
      <w:r w:rsidR="008C52D9" w:rsidRPr="006D531F">
        <w:rPr>
          <w:rFonts w:asciiTheme="majorHAnsi" w:hAnsiTheme="majorHAnsi" w:cs="Arial"/>
          <w:sz w:val="20"/>
          <w:szCs w:val="20"/>
          <w:lang w:val="es-AR"/>
        </w:rPr>
        <w:t>ocupan los espacios que dejan los medios de comunicación masiva y canalizan la expresión donde grupos minoritarios suelen tener mayores oportunidades de acceso.</w:t>
      </w:r>
      <w:r w:rsidR="00D2005E" w:rsidRPr="006D531F">
        <w:rPr>
          <w:rFonts w:asciiTheme="majorHAnsi" w:hAnsiTheme="majorHAnsi" w:cs="Arial"/>
          <w:sz w:val="20"/>
          <w:szCs w:val="20"/>
          <w:lang w:val="es-AR"/>
        </w:rPr>
        <w:t xml:space="preserve"> </w:t>
      </w:r>
      <w:r w:rsidR="00E67C7A" w:rsidRPr="006D531F">
        <w:rPr>
          <w:rFonts w:asciiTheme="majorHAnsi" w:hAnsiTheme="majorHAnsi"/>
          <w:sz w:val="20"/>
          <w:szCs w:val="20"/>
          <w:lang w:val="es-CR"/>
        </w:rPr>
        <w:t xml:space="preserve">La apertura de los medios de difusión </w:t>
      </w:r>
      <w:r w:rsidR="008E2730" w:rsidRPr="006D531F">
        <w:rPr>
          <w:rFonts w:asciiTheme="majorHAnsi" w:hAnsiTheme="majorHAnsi"/>
          <w:sz w:val="20"/>
          <w:szCs w:val="20"/>
          <w:lang w:val="es-CR"/>
        </w:rPr>
        <w:t xml:space="preserve">como las radios comunitarias, </w:t>
      </w:r>
      <w:r w:rsidR="00CE0C76" w:rsidRPr="006D531F">
        <w:rPr>
          <w:rFonts w:asciiTheme="majorHAnsi" w:hAnsiTheme="majorHAnsi"/>
          <w:sz w:val="20"/>
          <w:szCs w:val="20"/>
          <w:lang w:val="es-CR"/>
        </w:rPr>
        <w:t>n</w:t>
      </w:r>
      <w:r w:rsidR="00E67C7A" w:rsidRPr="006D531F">
        <w:rPr>
          <w:rFonts w:asciiTheme="majorHAnsi" w:hAnsiTheme="majorHAnsi"/>
          <w:sz w:val="20"/>
          <w:szCs w:val="20"/>
          <w:lang w:val="es-CR"/>
        </w:rPr>
        <w:t xml:space="preserve">o solo </w:t>
      </w:r>
      <w:r w:rsidR="006C6279" w:rsidRPr="006D531F">
        <w:rPr>
          <w:rFonts w:asciiTheme="majorHAnsi" w:hAnsiTheme="majorHAnsi"/>
          <w:sz w:val="20"/>
          <w:szCs w:val="20"/>
          <w:lang w:val="es-CR"/>
        </w:rPr>
        <w:t xml:space="preserve">permite al pueblo </w:t>
      </w:r>
      <w:r w:rsidR="008F47B6" w:rsidRPr="006D531F">
        <w:rPr>
          <w:rFonts w:asciiTheme="majorHAnsi" w:hAnsiTheme="majorHAnsi"/>
          <w:sz w:val="20"/>
          <w:szCs w:val="20"/>
          <w:lang w:val="es-CR"/>
        </w:rPr>
        <w:t xml:space="preserve">conocer de temas de interés público, </w:t>
      </w:r>
      <w:r w:rsidR="006734F2" w:rsidRPr="006D531F">
        <w:rPr>
          <w:rFonts w:asciiTheme="majorHAnsi" w:hAnsiTheme="majorHAnsi"/>
          <w:sz w:val="20"/>
          <w:szCs w:val="20"/>
          <w:lang w:val="es-CR"/>
        </w:rPr>
        <w:t xml:space="preserve">sino debatir y criticar </w:t>
      </w:r>
      <w:r w:rsidR="00B47CA3" w:rsidRPr="006D531F">
        <w:rPr>
          <w:rFonts w:asciiTheme="majorHAnsi" w:hAnsiTheme="majorHAnsi"/>
          <w:sz w:val="20"/>
          <w:szCs w:val="20"/>
          <w:lang w:val="es-CR"/>
        </w:rPr>
        <w:t xml:space="preserve">políticas </w:t>
      </w:r>
      <w:r w:rsidR="006026D9" w:rsidRPr="006D531F">
        <w:rPr>
          <w:rFonts w:asciiTheme="majorHAnsi" w:hAnsiTheme="majorHAnsi"/>
          <w:sz w:val="20"/>
          <w:szCs w:val="20"/>
          <w:lang w:val="es-CR"/>
        </w:rPr>
        <w:t xml:space="preserve">e instituciones </w:t>
      </w:r>
      <w:r w:rsidR="00F339CB" w:rsidRPr="006D531F">
        <w:rPr>
          <w:rFonts w:asciiTheme="majorHAnsi" w:hAnsiTheme="majorHAnsi"/>
          <w:sz w:val="20"/>
          <w:szCs w:val="20"/>
          <w:lang w:val="es-CR"/>
        </w:rPr>
        <w:t>con el fin de proteger sus derechos humanos</w:t>
      </w:r>
      <w:r w:rsidR="00AC3D6D" w:rsidRPr="006D531F">
        <w:rPr>
          <w:rFonts w:asciiTheme="majorHAnsi" w:hAnsiTheme="majorHAnsi"/>
          <w:sz w:val="20"/>
          <w:szCs w:val="20"/>
          <w:lang w:val="es-CR"/>
        </w:rPr>
        <w:t xml:space="preserve">. </w:t>
      </w:r>
      <w:r w:rsidR="005265E2" w:rsidRPr="006D531F">
        <w:rPr>
          <w:rFonts w:asciiTheme="majorHAnsi" w:hAnsiTheme="majorHAnsi"/>
          <w:sz w:val="20"/>
          <w:szCs w:val="20"/>
          <w:lang w:val="es-CR"/>
        </w:rPr>
        <w:t xml:space="preserve"> </w:t>
      </w:r>
      <w:r w:rsidR="00AC3D6D" w:rsidRPr="006D531F">
        <w:rPr>
          <w:rFonts w:asciiTheme="majorHAnsi" w:hAnsiTheme="majorHAnsi"/>
          <w:sz w:val="20"/>
          <w:szCs w:val="20"/>
          <w:lang w:val="es-CR"/>
        </w:rPr>
        <w:t>S</w:t>
      </w:r>
      <w:r w:rsidR="005265E2" w:rsidRPr="006D531F">
        <w:rPr>
          <w:rFonts w:asciiTheme="majorHAnsi" w:hAnsiTheme="majorHAnsi"/>
          <w:sz w:val="20"/>
          <w:szCs w:val="20"/>
          <w:lang w:val="es-CR"/>
        </w:rPr>
        <w:t xml:space="preserve">obre </w:t>
      </w:r>
      <w:r w:rsidR="00196D9B" w:rsidRPr="006D531F">
        <w:rPr>
          <w:rFonts w:asciiTheme="majorHAnsi" w:hAnsiTheme="majorHAnsi"/>
          <w:sz w:val="20"/>
          <w:szCs w:val="20"/>
          <w:lang w:val="es-CR"/>
        </w:rPr>
        <w:t>todo,</w:t>
      </w:r>
      <w:r w:rsidR="00AC3D6D" w:rsidRPr="006D531F">
        <w:rPr>
          <w:rFonts w:asciiTheme="majorHAnsi" w:hAnsiTheme="majorHAnsi"/>
          <w:sz w:val="20"/>
          <w:szCs w:val="20"/>
          <w:lang w:val="es-CR"/>
        </w:rPr>
        <w:t xml:space="preserve"> les permite</w:t>
      </w:r>
      <w:r w:rsidR="00F74C44" w:rsidRPr="006D531F">
        <w:rPr>
          <w:rFonts w:asciiTheme="majorHAnsi" w:hAnsiTheme="majorHAnsi"/>
          <w:sz w:val="20"/>
          <w:szCs w:val="20"/>
          <w:lang w:val="es-CR"/>
        </w:rPr>
        <w:t xml:space="preserve"> </w:t>
      </w:r>
      <w:r w:rsidR="00A634C4" w:rsidRPr="006D531F">
        <w:rPr>
          <w:rFonts w:asciiTheme="majorHAnsi" w:hAnsiTheme="majorHAnsi"/>
          <w:sz w:val="20"/>
          <w:szCs w:val="20"/>
          <w:lang w:val="es-CR"/>
        </w:rPr>
        <w:t xml:space="preserve">contar con la información necesaria para poder </w:t>
      </w:r>
      <w:r w:rsidR="00F46429" w:rsidRPr="006D531F">
        <w:rPr>
          <w:rFonts w:asciiTheme="majorHAnsi" w:hAnsiTheme="majorHAnsi"/>
          <w:sz w:val="20"/>
          <w:szCs w:val="20"/>
          <w:lang w:val="es-CR"/>
        </w:rPr>
        <w:t xml:space="preserve">lograr </w:t>
      </w:r>
      <w:r w:rsidR="00E67C7A" w:rsidRPr="006D531F">
        <w:rPr>
          <w:rFonts w:asciiTheme="majorHAnsi" w:hAnsiTheme="majorHAnsi"/>
          <w:sz w:val="20"/>
          <w:szCs w:val="20"/>
          <w:lang w:val="es-CR"/>
        </w:rPr>
        <w:t xml:space="preserve">que se adopten medidas tendientes a mejorar </w:t>
      </w:r>
      <w:r w:rsidR="00A92166" w:rsidRPr="006D531F">
        <w:rPr>
          <w:rFonts w:asciiTheme="majorHAnsi" w:hAnsiTheme="majorHAnsi"/>
          <w:sz w:val="20"/>
          <w:szCs w:val="20"/>
          <w:lang w:val="es-CR"/>
        </w:rPr>
        <w:t>su</w:t>
      </w:r>
      <w:r w:rsidR="00E67C7A" w:rsidRPr="006D531F">
        <w:rPr>
          <w:rFonts w:asciiTheme="majorHAnsi" w:hAnsiTheme="majorHAnsi"/>
          <w:sz w:val="20"/>
          <w:szCs w:val="20"/>
          <w:lang w:val="es-CR"/>
        </w:rPr>
        <w:t xml:space="preserve"> calidad de vid</w:t>
      </w:r>
      <w:r w:rsidR="009E231F" w:rsidRPr="006D531F">
        <w:rPr>
          <w:rFonts w:asciiTheme="majorHAnsi" w:hAnsiTheme="majorHAnsi"/>
          <w:sz w:val="20"/>
          <w:szCs w:val="20"/>
          <w:lang w:val="es-CR"/>
        </w:rPr>
        <w:t>a, que</w:t>
      </w:r>
      <w:r w:rsidR="0078528A" w:rsidRPr="006D531F">
        <w:rPr>
          <w:rFonts w:asciiTheme="majorHAnsi" w:hAnsiTheme="majorHAnsi"/>
          <w:sz w:val="20"/>
          <w:szCs w:val="20"/>
          <w:lang w:val="es-CR"/>
        </w:rPr>
        <w:t xml:space="preserve"> </w:t>
      </w:r>
      <w:r w:rsidR="0078528A" w:rsidRPr="006D531F">
        <w:rPr>
          <w:rFonts w:asciiTheme="majorHAnsi" w:hAnsiTheme="majorHAnsi"/>
          <w:sz w:val="20"/>
          <w:szCs w:val="20"/>
          <w:lang w:val="es-ES_tradnl"/>
        </w:rPr>
        <w:t>les aseguren condiciones básicas de dignidad, seguridad, subsistencia y desarrollo</w:t>
      </w:r>
      <w:r w:rsidR="00523EEB" w:rsidRPr="006D531F">
        <w:rPr>
          <w:rStyle w:val="FootnoteReference"/>
          <w:rFonts w:asciiTheme="majorHAnsi" w:hAnsiTheme="majorHAnsi"/>
          <w:sz w:val="20"/>
          <w:szCs w:val="20"/>
          <w:lang w:val="es-CR"/>
        </w:rPr>
        <w:footnoteReference w:id="76"/>
      </w:r>
      <w:r w:rsidR="0038173F" w:rsidRPr="006D531F">
        <w:rPr>
          <w:rFonts w:asciiTheme="majorHAnsi" w:hAnsiTheme="majorHAnsi"/>
          <w:sz w:val="20"/>
          <w:szCs w:val="20"/>
          <w:lang w:val="es-CR"/>
        </w:rPr>
        <w:t xml:space="preserve">, </w:t>
      </w:r>
      <w:r w:rsidR="00B71A7E" w:rsidRPr="006D531F">
        <w:rPr>
          <w:rFonts w:asciiTheme="majorHAnsi" w:hAnsiTheme="majorHAnsi"/>
          <w:sz w:val="20"/>
          <w:szCs w:val="20"/>
          <w:lang w:val="es-CR"/>
        </w:rPr>
        <w:t>debido a que</w:t>
      </w:r>
      <w:r w:rsidR="00F148BC" w:rsidRPr="006D531F">
        <w:rPr>
          <w:rFonts w:asciiTheme="majorHAnsi" w:hAnsiTheme="majorHAnsi"/>
          <w:sz w:val="20"/>
          <w:szCs w:val="20"/>
          <w:lang w:val="es-CR"/>
        </w:rPr>
        <w:t xml:space="preserve">, </w:t>
      </w:r>
      <w:r w:rsidR="0038173F" w:rsidRPr="006D531F">
        <w:rPr>
          <w:rFonts w:asciiTheme="majorHAnsi" w:hAnsiTheme="majorHAnsi"/>
          <w:sz w:val="20"/>
          <w:szCs w:val="20"/>
          <w:lang w:val="es-CR"/>
        </w:rPr>
        <w:t xml:space="preserve">como ya se estableció, </w:t>
      </w:r>
      <w:r w:rsidR="00635846" w:rsidRPr="006D531F">
        <w:rPr>
          <w:rFonts w:asciiTheme="majorHAnsi" w:hAnsiTheme="majorHAnsi"/>
          <w:sz w:val="20"/>
          <w:szCs w:val="20"/>
          <w:lang w:val="es-CR"/>
        </w:rPr>
        <w:t xml:space="preserve">el sector indígena es </w:t>
      </w:r>
      <w:r w:rsidR="0038173F" w:rsidRPr="006D531F">
        <w:rPr>
          <w:rFonts w:asciiTheme="majorHAnsi" w:hAnsiTheme="majorHAnsi"/>
          <w:sz w:val="20"/>
          <w:szCs w:val="20"/>
          <w:lang w:val="es-CR"/>
        </w:rPr>
        <w:t xml:space="preserve">considerado como uno </w:t>
      </w:r>
      <w:r w:rsidR="00E67C7A" w:rsidRPr="006D531F">
        <w:rPr>
          <w:rFonts w:asciiTheme="majorHAnsi" w:hAnsiTheme="majorHAnsi"/>
          <w:sz w:val="20"/>
          <w:szCs w:val="20"/>
          <w:lang w:val="es-CR"/>
        </w:rPr>
        <w:t>los sectores más vulnerables de la población</w:t>
      </w:r>
      <w:r w:rsidR="0038173F" w:rsidRPr="006D531F">
        <w:rPr>
          <w:rFonts w:asciiTheme="majorHAnsi" w:hAnsiTheme="majorHAnsi"/>
          <w:sz w:val="20"/>
          <w:szCs w:val="20"/>
          <w:lang w:val="es-CR"/>
        </w:rPr>
        <w:t xml:space="preserve"> guatemalteca.</w:t>
      </w:r>
    </w:p>
    <w:p w14:paraId="644E30D7" w14:textId="77777777" w:rsidR="00612BE6" w:rsidRPr="006D531F" w:rsidRDefault="00612BE6" w:rsidP="00612BE6">
      <w:pPr>
        <w:pStyle w:val="ListParagraph"/>
        <w:rPr>
          <w:rFonts w:asciiTheme="majorHAnsi" w:hAnsiTheme="majorHAnsi"/>
          <w:color w:val="auto"/>
          <w:sz w:val="20"/>
          <w:szCs w:val="20"/>
          <w:lang w:val="es-ES_tradnl"/>
        </w:rPr>
      </w:pPr>
    </w:p>
    <w:p w14:paraId="26B49162" w14:textId="77777777" w:rsidR="009660BB" w:rsidRPr="006D531F" w:rsidRDefault="002E66AC" w:rsidP="00612BE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_tradnl"/>
        </w:rPr>
      </w:pPr>
      <w:r w:rsidRPr="006D531F">
        <w:rPr>
          <w:rFonts w:asciiTheme="majorHAnsi" w:hAnsiTheme="majorHAnsi"/>
          <w:sz w:val="20"/>
          <w:szCs w:val="20"/>
          <w:lang w:val="es-CO"/>
        </w:rPr>
        <w:t>De</w:t>
      </w:r>
      <w:r w:rsidRPr="006D531F">
        <w:rPr>
          <w:rFonts w:asciiTheme="majorHAnsi" w:hAnsiTheme="majorHAnsi"/>
          <w:sz w:val="20"/>
          <w:szCs w:val="20"/>
          <w:lang w:val="es-ES_tradnl"/>
        </w:rPr>
        <w:t xml:space="preserve"> manera particular, </w:t>
      </w:r>
      <w:r w:rsidR="009660BB" w:rsidRPr="006D531F">
        <w:rPr>
          <w:rFonts w:asciiTheme="majorHAnsi" w:hAnsiTheme="majorHAnsi"/>
          <w:sz w:val="20"/>
          <w:szCs w:val="20"/>
          <w:lang w:val="es-CO"/>
        </w:rPr>
        <w:t>se ha reconocido que los medios de comunicación comunitarios desempeñan una función esencial no sólo en el proceso de inclusión social, sino como mecanismos para fomentar la cultura e historia, y para el desarrollo y educación de las distintas comunidades</w:t>
      </w:r>
      <w:r w:rsidR="009660BB" w:rsidRPr="006D531F">
        <w:rPr>
          <w:rStyle w:val="FootnoteReference"/>
          <w:rFonts w:asciiTheme="majorHAnsi" w:hAnsiTheme="majorHAnsi"/>
          <w:sz w:val="20"/>
          <w:szCs w:val="20"/>
          <w:lang w:val="es-CO"/>
        </w:rPr>
        <w:footnoteReference w:id="77"/>
      </w:r>
      <w:r w:rsidR="00F94107" w:rsidRPr="006D531F">
        <w:rPr>
          <w:rFonts w:asciiTheme="majorHAnsi" w:hAnsiTheme="majorHAnsi"/>
          <w:sz w:val="20"/>
          <w:szCs w:val="20"/>
          <w:lang w:val="es-CO"/>
        </w:rPr>
        <w:t xml:space="preserve">, así como para </w:t>
      </w:r>
      <w:r w:rsidR="009B6A2A" w:rsidRPr="006D531F">
        <w:rPr>
          <w:rFonts w:asciiTheme="majorHAnsi" w:hAnsiTheme="majorHAnsi" w:cs="Arial"/>
          <w:sz w:val="20"/>
          <w:szCs w:val="20"/>
          <w:lang w:val="es-PE"/>
        </w:rPr>
        <w:t xml:space="preserve">preservar sus </w:t>
      </w:r>
      <w:r w:rsidR="009B6A2A" w:rsidRPr="006D531F">
        <w:rPr>
          <w:rFonts w:asciiTheme="majorHAnsi" w:hAnsiTheme="majorHAnsi" w:cs="Arial"/>
          <w:sz w:val="20"/>
          <w:szCs w:val="20"/>
          <w:lang w:val="es-AR"/>
        </w:rPr>
        <w:t xml:space="preserve">hábitos, </w:t>
      </w:r>
      <w:r w:rsidR="006C20C0" w:rsidRPr="006D531F">
        <w:rPr>
          <w:rFonts w:asciiTheme="majorHAnsi" w:hAnsiTheme="majorHAnsi" w:cs="Arial"/>
          <w:sz w:val="20"/>
          <w:szCs w:val="20"/>
          <w:lang w:val="es-AR"/>
        </w:rPr>
        <w:t xml:space="preserve">su lengua, </w:t>
      </w:r>
      <w:r w:rsidR="009B6A2A" w:rsidRPr="006D531F">
        <w:rPr>
          <w:rFonts w:asciiTheme="majorHAnsi" w:hAnsiTheme="majorHAnsi" w:cs="Arial"/>
          <w:sz w:val="20"/>
          <w:szCs w:val="20"/>
          <w:lang w:val="es-AR"/>
        </w:rPr>
        <w:t>costumbres y valores, los cuales hacer parte de su identidad cultural como pueblos indígenas</w:t>
      </w:r>
      <w:r w:rsidR="00C1747A" w:rsidRPr="006D531F">
        <w:rPr>
          <w:rFonts w:asciiTheme="majorHAnsi" w:hAnsiTheme="majorHAnsi" w:cs="Arial"/>
          <w:sz w:val="20"/>
          <w:szCs w:val="20"/>
          <w:lang w:val="es-AR"/>
        </w:rPr>
        <w:t>.</w:t>
      </w:r>
      <w:r w:rsidR="009B6A2A" w:rsidRPr="006D531F">
        <w:rPr>
          <w:rFonts w:asciiTheme="majorHAnsi" w:hAnsiTheme="majorHAnsi" w:cs="Arial"/>
          <w:sz w:val="20"/>
          <w:szCs w:val="20"/>
          <w:lang w:val="es-AR"/>
        </w:rPr>
        <w:t xml:space="preserve"> Esta constatación encuentra resonancia en la forma como las comunidades locales se expresan y buscan información.</w:t>
      </w:r>
    </w:p>
    <w:p w14:paraId="783A17F1" w14:textId="77777777" w:rsidR="00196D9B" w:rsidRPr="006D531F" w:rsidRDefault="00196D9B" w:rsidP="00196D9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AR"/>
        </w:rPr>
      </w:pPr>
    </w:p>
    <w:p w14:paraId="67B5735B" w14:textId="77777777" w:rsidR="00E80137" w:rsidRPr="006D531F" w:rsidRDefault="00E056FC" w:rsidP="009A174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_tradnl"/>
        </w:rPr>
      </w:pPr>
      <w:r w:rsidRPr="006D531F">
        <w:rPr>
          <w:rFonts w:asciiTheme="majorHAnsi" w:hAnsiTheme="majorHAnsi"/>
          <w:sz w:val="20"/>
          <w:szCs w:val="20"/>
          <w:lang w:val="es-CR"/>
        </w:rPr>
        <w:t xml:space="preserve">Sin embargo, la utilización de los medios tradicionales de comunicación masiva no siempre se presenta como </w:t>
      </w:r>
      <w:r w:rsidR="00246A5F" w:rsidRPr="006D531F">
        <w:rPr>
          <w:rFonts w:asciiTheme="majorHAnsi" w:hAnsiTheme="majorHAnsi"/>
          <w:sz w:val="20"/>
          <w:szCs w:val="20"/>
          <w:lang w:val="es-CR"/>
        </w:rPr>
        <w:t xml:space="preserve">un </w:t>
      </w:r>
      <w:r w:rsidRPr="006D531F">
        <w:rPr>
          <w:rFonts w:asciiTheme="majorHAnsi" w:hAnsiTheme="majorHAnsi"/>
          <w:sz w:val="20"/>
          <w:szCs w:val="20"/>
          <w:lang w:val="es-CR"/>
        </w:rPr>
        <w:t>medio accesible para l</w:t>
      </w:r>
      <w:r w:rsidR="00246A5F" w:rsidRPr="006D531F">
        <w:rPr>
          <w:rFonts w:asciiTheme="majorHAnsi" w:hAnsiTheme="majorHAnsi"/>
          <w:sz w:val="20"/>
          <w:szCs w:val="20"/>
          <w:lang w:val="es-CR"/>
        </w:rPr>
        <w:t>os pueblos indígenas.</w:t>
      </w:r>
      <w:r w:rsidRPr="006D531F">
        <w:rPr>
          <w:rFonts w:asciiTheme="majorHAnsi" w:hAnsiTheme="majorHAnsi"/>
          <w:sz w:val="20"/>
          <w:szCs w:val="20"/>
          <w:lang w:val="es-CR"/>
        </w:rPr>
        <w:t xml:space="preserve"> </w:t>
      </w:r>
      <w:r w:rsidR="005E26AD" w:rsidRPr="006D531F">
        <w:rPr>
          <w:rFonts w:asciiTheme="majorHAnsi" w:hAnsiTheme="majorHAnsi"/>
          <w:sz w:val="20"/>
          <w:szCs w:val="20"/>
          <w:lang w:val="es-CR"/>
        </w:rPr>
        <w:t xml:space="preserve">La CIDH ha destacado que </w:t>
      </w:r>
      <w:r w:rsidR="009401AD" w:rsidRPr="006D531F">
        <w:rPr>
          <w:rFonts w:asciiTheme="majorHAnsi" w:hAnsiTheme="majorHAnsi"/>
          <w:sz w:val="20"/>
          <w:szCs w:val="20"/>
          <w:lang w:val="es-CR"/>
        </w:rPr>
        <w:t>“l</w:t>
      </w:r>
      <w:r w:rsidR="00E80137" w:rsidRPr="006D531F">
        <w:rPr>
          <w:rFonts w:asciiTheme="majorHAnsi" w:hAnsiTheme="majorHAnsi"/>
          <w:sz w:val="20"/>
          <w:szCs w:val="20"/>
          <w:lang w:val="es-ES"/>
        </w:rPr>
        <w:t>as personas que integran los grupos sociales tradicionalmente marginados, discriminados o que se encuentran en estado de indefensión, son sistemáticamente excluidas, por diversas razones, del debate público. Estos grupos no tienen canales institucionales o privados para ejercer en serio y de manera vigorosa y permanente su derecho a expresar públicamente sus ideas y opiniones o para informarse sobre los asuntos que los afectan. Este proceso de exclusión ha privado también a las sociedades de conocer los intereses, las necesidades y propuestas de quienes no han tenido la oportunidad de acceder, en igualdad de condiciones, al debate democrático. El efecto de este fenómeno de exclusión es similar al efecto que produce la censura: el silencio</w:t>
      </w:r>
      <w:r w:rsidR="009401AD" w:rsidRPr="006D531F">
        <w:rPr>
          <w:rFonts w:asciiTheme="majorHAnsi" w:hAnsiTheme="majorHAnsi"/>
          <w:sz w:val="20"/>
          <w:szCs w:val="20"/>
          <w:lang w:val="es-ES"/>
        </w:rPr>
        <w:t>”</w:t>
      </w:r>
      <w:r w:rsidR="00E80137" w:rsidRPr="006D531F">
        <w:rPr>
          <w:rStyle w:val="FootnoteReference"/>
          <w:rFonts w:asciiTheme="majorHAnsi" w:eastAsia="Trebuchet MS" w:hAnsiTheme="majorHAnsi"/>
          <w:sz w:val="20"/>
          <w:szCs w:val="20"/>
          <w:lang w:val="es-ES"/>
        </w:rPr>
        <w:footnoteReference w:id="78"/>
      </w:r>
      <w:r w:rsidR="00E80137" w:rsidRPr="006D531F">
        <w:rPr>
          <w:rFonts w:asciiTheme="majorHAnsi" w:hAnsiTheme="majorHAnsi"/>
          <w:sz w:val="20"/>
          <w:szCs w:val="20"/>
          <w:lang w:val="es-ES"/>
        </w:rPr>
        <w:t>.</w:t>
      </w:r>
    </w:p>
    <w:p w14:paraId="37175F2C" w14:textId="77777777" w:rsidR="002D1E2F" w:rsidRPr="006D531F" w:rsidRDefault="002D1E2F" w:rsidP="002D1E2F">
      <w:pPr>
        <w:pStyle w:val="ListParagraph"/>
        <w:rPr>
          <w:rFonts w:asciiTheme="majorHAnsi" w:hAnsiTheme="majorHAnsi"/>
          <w:color w:val="auto"/>
          <w:sz w:val="20"/>
          <w:szCs w:val="20"/>
          <w:lang w:val="es-ES_tradnl"/>
        </w:rPr>
      </w:pPr>
    </w:p>
    <w:p w14:paraId="16AAF128" w14:textId="77777777" w:rsidR="002D1E2F" w:rsidRPr="006D531F" w:rsidRDefault="002D1E2F" w:rsidP="00EB41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_tradnl"/>
        </w:rPr>
      </w:pPr>
      <w:r w:rsidRPr="006D531F">
        <w:rPr>
          <w:rFonts w:asciiTheme="majorHAnsi" w:hAnsiTheme="majorHAnsi"/>
          <w:sz w:val="20"/>
          <w:szCs w:val="20"/>
          <w:lang w:val="es-ES_tradnl"/>
        </w:rPr>
        <w:t xml:space="preserve">En este sentido, el derecho a la libertad de expresión exige que los Estados no sólo se abstengan de realizar acciones que </w:t>
      </w:r>
      <w:r w:rsidRPr="006D531F">
        <w:rPr>
          <w:rFonts w:asciiTheme="majorHAnsi" w:hAnsiTheme="majorHAnsi"/>
          <w:sz w:val="20"/>
          <w:szCs w:val="20"/>
          <w:lang w:val="es-ES"/>
        </w:rPr>
        <w:t>impiden</w:t>
      </w:r>
      <w:r w:rsidRPr="006D531F">
        <w:rPr>
          <w:rFonts w:asciiTheme="majorHAnsi" w:hAnsiTheme="majorHAnsi"/>
          <w:sz w:val="20"/>
          <w:szCs w:val="20"/>
          <w:lang w:val="es-ES_tradnl"/>
        </w:rPr>
        <w:t xml:space="preserve"> el ejercicio del derecho, sino además que adopten medidas para garantizar su </w:t>
      </w:r>
      <w:r w:rsidRPr="006D531F">
        <w:rPr>
          <w:rFonts w:asciiTheme="majorHAnsi" w:hAnsiTheme="majorHAnsi"/>
          <w:sz w:val="20"/>
          <w:szCs w:val="20"/>
          <w:lang w:val="es-ES_tradnl"/>
        </w:rPr>
        <w:lastRenderedPageBreak/>
        <w:t>ejercicio en condiciones de igualdad y no discriminación</w:t>
      </w:r>
      <w:r w:rsidRPr="006D531F">
        <w:rPr>
          <w:rStyle w:val="FootnoteReference"/>
          <w:rFonts w:asciiTheme="majorHAnsi" w:hAnsiTheme="majorHAnsi"/>
          <w:sz w:val="20"/>
          <w:szCs w:val="20"/>
          <w:lang w:val="es-CO"/>
        </w:rPr>
        <w:footnoteReference w:id="79"/>
      </w:r>
      <w:r w:rsidRPr="006D531F">
        <w:rPr>
          <w:rFonts w:asciiTheme="majorHAnsi" w:hAnsiTheme="majorHAnsi"/>
          <w:sz w:val="20"/>
          <w:szCs w:val="20"/>
          <w:lang w:val="es-CO"/>
        </w:rPr>
        <w:t xml:space="preserve">. Así, por ejemplo, se deben remover los obstáculos que impiden que ciertos sectores sociales puedan acceder a los medios de comunicación; y, al mismo tiempo, promover activamente, la inserción de grupos desfavorecidos o actualmente marginados en los medios de </w:t>
      </w:r>
      <w:r w:rsidRPr="006D531F">
        <w:rPr>
          <w:rFonts w:asciiTheme="majorHAnsi" w:hAnsiTheme="majorHAnsi"/>
          <w:sz w:val="20"/>
          <w:szCs w:val="20"/>
          <w:lang w:val="es-ES"/>
        </w:rPr>
        <w:t>comunicación</w:t>
      </w:r>
      <w:r w:rsidRPr="006D531F">
        <w:rPr>
          <w:rFonts w:asciiTheme="majorHAnsi" w:hAnsiTheme="majorHAnsi"/>
          <w:sz w:val="20"/>
          <w:szCs w:val="20"/>
          <w:lang w:val="es-CO"/>
        </w:rPr>
        <w:t>.</w:t>
      </w:r>
      <w:r w:rsidR="00A404F4" w:rsidRPr="006D531F">
        <w:rPr>
          <w:rFonts w:asciiTheme="majorHAnsi" w:hAnsiTheme="majorHAnsi"/>
          <w:sz w:val="20"/>
          <w:szCs w:val="20"/>
          <w:lang w:val="es-CO"/>
        </w:rPr>
        <w:t xml:space="preserve"> </w:t>
      </w:r>
      <w:r w:rsidR="00733A32" w:rsidRPr="006D531F">
        <w:rPr>
          <w:rFonts w:asciiTheme="majorHAnsi" w:hAnsiTheme="majorHAnsi"/>
          <w:sz w:val="20"/>
          <w:szCs w:val="20"/>
          <w:lang w:val="es-CO"/>
        </w:rPr>
        <w:t xml:space="preserve">En este sentido, </w:t>
      </w:r>
      <w:r w:rsidRPr="006D531F">
        <w:rPr>
          <w:rFonts w:asciiTheme="majorHAnsi" w:hAnsiTheme="majorHAnsi"/>
          <w:sz w:val="20"/>
          <w:szCs w:val="20"/>
          <w:lang w:val="es-CO"/>
        </w:rPr>
        <w:t>resulta necesario que los Estados reconozcan</w:t>
      </w:r>
      <w:r w:rsidR="009F40BB" w:rsidRPr="006D531F">
        <w:rPr>
          <w:rFonts w:asciiTheme="majorHAnsi" w:hAnsiTheme="majorHAnsi"/>
          <w:sz w:val="20"/>
          <w:szCs w:val="20"/>
          <w:lang w:val="es-CO"/>
        </w:rPr>
        <w:t xml:space="preserve"> </w:t>
      </w:r>
      <w:r w:rsidRPr="006D531F">
        <w:rPr>
          <w:rFonts w:asciiTheme="majorHAnsi" w:hAnsiTheme="majorHAnsi"/>
          <w:sz w:val="20"/>
          <w:szCs w:val="20"/>
          <w:lang w:val="es-CO"/>
        </w:rPr>
        <w:t>legalmente</w:t>
      </w:r>
      <w:r w:rsidR="009F40BB" w:rsidRPr="006D531F">
        <w:rPr>
          <w:rFonts w:asciiTheme="majorHAnsi" w:hAnsiTheme="majorHAnsi"/>
          <w:sz w:val="20"/>
          <w:szCs w:val="20"/>
          <w:lang w:val="es-CO"/>
        </w:rPr>
        <w:t xml:space="preserve"> a las radios comunitarias</w:t>
      </w:r>
      <w:r w:rsidRPr="006D531F">
        <w:rPr>
          <w:rFonts w:asciiTheme="majorHAnsi" w:hAnsiTheme="majorHAnsi"/>
          <w:sz w:val="20"/>
          <w:szCs w:val="20"/>
          <w:lang w:val="es-CO"/>
        </w:rPr>
        <w:t xml:space="preserve"> y que se contemplen reservas de espectro para este tipo de medios, así como condiciones equitativas de acceso a las licencias que diferencien las realidades distintas de los medios privados no comerciales</w:t>
      </w:r>
      <w:r w:rsidRPr="006D531F">
        <w:rPr>
          <w:rStyle w:val="FootnoteReference"/>
          <w:rFonts w:asciiTheme="majorHAnsi" w:hAnsiTheme="majorHAnsi"/>
          <w:sz w:val="20"/>
          <w:szCs w:val="20"/>
          <w:lang w:val="es-CO"/>
        </w:rPr>
        <w:footnoteReference w:id="80"/>
      </w:r>
      <w:r w:rsidR="00330BBB" w:rsidRPr="006D531F">
        <w:rPr>
          <w:rFonts w:asciiTheme="majorHAnsi" w:hAnsiTheme="majorHAnsi"/>
          <w:sz w:val="20"/>
          <w:szCs w:val="20"/>
          <w:lang w:val="es-CO"/>
        </w:rPr>
        <w:t>, como será expuesto a continuación.</w:t>
      </w:r>
    </w:p>
    <w:p w14:paraId="36F23AA9" w14:textId="77777777" w:rsidR="00F90B41" w:rsidRPr="006D531F" w:rsidRDefault="00F90B41" w:rsidP="00986F24">
      <w:pPr>
        <w:ind w:right="406"/>
        <w:jc w:val="both"/>
        <w:rPr>
          <w:rFonts w:asciiTheme="majorHAnsi" w:hAnsiTheme="majorHAnsi"/>
          <w:sz w:val="20"/>
          <w:szCs w:val="20"/>
          <w:lang w:val="es-PE"/>
        </w:rPr>
      </w:pPr>
    </w:p>
    <w:p w14:paraId="05C148E7" w14:textId="77777777" w:rsidR="00986F24" w:rsidRPr="00D81AED" w:rsidRDefault="00EF4509" w:rsidP="00D81AED">
      <w:pPr>
        <w:pStyle w:val="Heading4"/>
      </w:pPr>
      <w:r w:rsidRPr="00D81AED">
        <w:t>3.1 Derecho a la igualdad y adopción de medidas afirmativas</w:t>
      </w:r>
      <w:r w:rsidR="002227D0" w:rsidRPr="00D81AED">
        <w:t xml:space="preserve"> o de di</w:t>
      </w:r>
      <w:r w:rsidR="00221C8E" w:rsidRPr="00D81AED">
        <w:t xml:space="preserve">ferenciación </w:t>
      </w:r>
      <w:r w:rsidR="002227D0" w:rsidRPr="00D81AED">
        <w:t>positiva</w:t>
      </w:r>
      <w:r w:rsidRPr="00D81AED">
        <w:t xml:space="preserve"> </w:t>
      </w:r>
      <w:r w:rsidR="00BD2E15" w:rsidRPr="00D81AED">
        <w:t>para radios comunitarias</w:t>
      </w:r>
    </w:p>
    <w:p w14:paraId="631681C9" w14:textId="77777777" w:rsidR="00560A31" w:rsidRPr="006D531F" w:rsidRDefault="00560A31" w:rsidP="00D81AED">
      <w:pPr>
        <w:ind w:right="406"/>
        <w:jc w:val="both"/>
        <w:rPr>
          <w:rFonts w:asciiTheme="majorHAnsi" w:hAnsiTheme="majorHAnsi"/>
          <w:sz w:val="20"/>
          <w:szCs w:val="20"/>
          <w:lang w:val="es-CO"/>
        </w:rPr>
      </w:pPr>
    </w:p>
    <w:p w14:paraId="717DDAE0" w14:textId="77777777" w:rsidR="002227D0" w:rsidRPr="006D531F" w:rsidRDefault="002227D0" w:rsidP="00EB41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
        </w:rPr>
      </w:pPr>
      <w:r w:rsidRPr="006D531F">
        <w:rPr>
          <w:rFonts w:asciiTheme="majorHAnsi" w:hAnsiTheme="majorHAnsi"/>
          <w:sz w:val="20"/>
          <w:szCs w:val="20"/>
          <w:lang w:val="es-ES"/>
        </w:rPr>
        <w:t>La Comisión recuerda que el artículo 24</w:t>
      </w:r>
      <w:r w:rsidR="00E46984">
        <w:rPr>
          <w:rFonts w:asciiTheme="majorHAnsi" w:hAnsiTheme="majorHAnsi"/>
          <w:sz w:val="20"/>
          <w:szCs w:val="20"/>
          <w:lang w:val="es-ES"/>
        </w:rPr>
        <w:t xml:space="preserve"> de la Convención Americana</w:t>
      </w:r>
      <w:r w:rsidRPr="006D531F">
        <w:rPr>
          <w:rFonts w:asciiTheme="majorHAnsi" w:hAnsiTheme="majorHAnsi"/>
          <w:sz w:val="20"/>
          <w:szCs w:val="20"/>
          <w:lang w:val="es-ES"/>
        </w:rPr>
        <w:t xml:space="preserve"> establece que todas las personas “tienen derecho, sin discriminación, a igual protección de la ley”, mientras que el artículo 1.1 garantiza el goce de los derechos garantizados en la Convención “sin discriminación alguna”. </w:t>
      </w:r>
      <w:r w:rsidR="007B52EA" w:rsidRPr="006D531F">
        <w:rPr>
          <w:rFonts w:asciiTheme="majorHAnsi" w:eastAsia="Times New Roman" w:hAnsiTheme="majorHAnsi"/>
          <w:sz w:val="20"/>
          <w:szCs w:val="20"/>
          <w:bdr w:val="none" w:sz="0" w:space="0" w:color="auto"/>
          <w:lang w:val="es-ES"/>
        </w:rPr>
        <w:t>De estas disposiciones se desprenden una serie de obligaciones e</w:t>
      </w:r>
      <w:r w:rsidR="00192908" w:rsidRPr="006D531F">
        <w:rPr>
          <w:rFonts w:asciiTheme="majorHAnsi" w:eastAsia="Times New Roman" w:hAnsiTheme="majorHAnsi"/>
          <w:sz w:val="20"/>
          <w:szCs w:val="20"/>
          <w:bdr w:val="none" w:sz="0" w:space="0" w:color="auto"/>
          <w:lang w:val="es-ES"/>
        </w:rPr>
        <w:t>statales de la mayor relevancia en cuanto a la regulación la actividad de radiodifusión.</w:t>
      </w:r>
    </w:p>
    <w:p w14:paraId="0442C1EF" w14:textId="77777777" w:rsidR="00EB4195" w:rsidRPr="006D531F" w:rsidRDefault="00EB4195" w:rsidP="00325323">
      <w:pPr>
        <w:pStyle w:val="Estilo1"/>
        <w:tabs>
          <w:tab w:val="clear" w:pos="6042"/>
        </w:tabs>
        <w:spacing w:after="0"/>
        <w:ind w:right="29"/>
        <w:rPr>
          <w:rFonts w:asciiTheme="majorHAnsi" w:hAnsiTheme="majorHAnsi"/>
          <w:lang w:val="es-PE"/>
        </w:rPr>
      </w:pPr>
    </w:p>
    <w:p w14:paraId="1016995C" w14:textId="77777777" w:rsidR="00325323" w:rsidRPr="006D531F" w:rsidRDefault="00EB4195" w:rsidP="00EB419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R"/>
        </w:rPr>
      </w:pPr>
      <w:r w:rsidRPr="006D531F">
        <w:rPr>
          <w:rFonts w:asciiTheme="majorHAnsi" w:hAnsiTheme="majorHAnsi"/>
          <w:sz w:val="20"/>
          <w:szCs w:val="20"/>
          <w:lang w:val="es-PE"/>
        </w:rPr>
        <w:t>La Comisión destaca que l</w:t>
      </w:r>
      <w:r w:rsidR="00325323" w:rsidRPr="006D531F">
        <w:rPr>
          <w:rFonts w:asciiTheme="majorHAnsi" w:hAnsiTheme="majorHAnsi"/>
          <w:sz w:val="20"/>
          <w:szCs w:val="20"/>
          <w:lang w:val="es-ES_tradnl"/>
        </w:rPr>
        <w:t xml:space="preserve">a Corte Interamericana ha establecido </w:t>
      </w:r>
      <w:r w:rsidR="00325323" w:rsidRPr="006D531F">
        <w:rPr>
          <w:rFonts w:asciiTheme="majorHAnsi" w:hAnsiTheme="majorHAnsi"/>
          <w:sz w:val="20"/>
          <w:szCs w:val="20"/>
          <w:lang w:val="es-CR"/>
        </w:rPr>
        <w:t>“que el derecho internacional de los derechos humanos no sólo prohíbe políticas y prácticas deliberadamente discriminatorias, sino también aquellas cuyo impacto sea discriminatorio contra ciertas categorías de personas, aun cuando no se pueda probar la intención discriminator</w:t>
      </w:r>
      <w:r w:rsidR="000C7DD9">
        <w:rPr>
          <w:rFonts w:asciiTheme="majorHAnsi" w:hAnsiTheme="majorHAnsi"/>
          <w:sz w:val="20"/>
          <w:szCs w:val="20"/>
          <w:lang w:val="es-CR"/>
        </w:rPr>
        <w:t>ia”</w:t>
      </w:r>
      <w:r w:rsidR="00325323" w:rsidRPr="006D531F">
        <w:rPr>
          <w:rFonts w:asciiTheme="majorHAnsi" w:hAnsiTheme="majorHAnsi"/>
          <w:sz w:val="20"/>
          <w:szCs w:val="20"/>
          <w:vertAlign w:val="superscript"/>
          <w:lang w:val="es-CR"/>
        </w:rPr>
        <w:footnoteReference w:id="81"/>
      </w:r>
      <w:r w:rsidR="00325323" w:rsidRPr="006D531F">
        <w:rPr>
          <w:rFonts w:asciiTheme="majorHAnsi" w:hAnsiTheme="majorHAnsi"/>
          <w:sz w:val="20"/>
          <w:szCs w:val="20"/>
          <w:lang w:val="es-CR"/>
        </w:rPr>
        <w:t xml:space="preserve">. </w:t>
      </w:r>
      <w:r w:rsidRPr="006D531F">
        <w:rPr>
          <w:rFonts w:asciiTheme="majorHAnsi" w:hAnsiTheme="majorHAnsi"/>
          <w:sz w:val="20"/>
          <w:szCs w:val="20"/>
          <w:lang w:val="es-CR"/>
        </w:rPr>
        <w:t>“</w:t>
      </w:r>
      <w:r w:rsidR="00325323" w:rsidRPr="006D531F">
        <w:rPr>
          <w:rFonts w:asciiTheme="majorHAnsi" w:hAnsiTheme="majorHAnsi"/>
          <w:sz w:val="20"/>
          <w:szCs w:val="20"/>
          <w:lang w:val="es-CR"/>
        </w:rPr>
        <w:t>En este sentido, una violación del derecho a la igualdad y no discriminación se produce también ante situaciones y casos de discriminación indirecta reflejada en el impacto desproporcionado de normas, acciones, políticas o en otras medidas que, aun cuando sean o parezcan ser neutrales en su formulación, o tengan un alcance general y no diferenciado, produzcan efectos negativos para ciertos grupos vulnerables</w:t>
      </w:r>
      <w:r w:rsidRPr="006D531F">
        <w:rPr>
          <w:rFonts w:asciiTheme="majorHAnsi" w:hAnsiTheme="majorHAnsi"/>
          <w:sz w:val="20"/>
          <w:szCs w:val="20"/>
          <w:lang w:val="es-CR"/>
        </w:rPr>
        <w:t>”</w:t>
      </w:r>
      <w:r w:rsidR="00325323" w:rsidRPr="006D531F">
        <w:rPr>
          <w:rFonts w:asciiTheme="majorHAnsi" w:hAnsiTheme="majorHAnsi"/>
          <w:sz w:val="20"/>
          <w:szCs w:val="20"/>
          <w:vertAlign w:val="superscript"/>
          <w:lang w:val="es-CR"/>
        </w:rPr>
        <w:footnoteReference w:id="82"/>
      </w:r>
      <w:r w:rsidR="00325323" w:rsidRPr="006D531F">
        <w:rPr>
          <w:rFonts w:asciiTheme="majorHAnsi" w:hAnsiTheme="majorHAnsi"/>
          <w:sz w:val="20"/>
          <w:szCs w:val="20"/>
          <w:lang w:val="es-CR"/>
        </w:rPr>
        <w:t xml:space="preserve">. </w:t>
      </w:r>
    </w:p>
    <w:p w14:paraId="4E06265A" w14:textId="77777777" w:rsidR="00325323" w:rsidRPr="006D531F" w:rsidRDefault="00325323" w:rsidP="00325323">
      <w:pPr>
        <w:pStyle w:val="Estilo1"/>
        <w:tabs>
          <w:tab w:val="clear" w:pos="6042"/>
        </w:tabs>
        <w:spacing w:after="0"/>
        <w:ind w:right="29"/>
        <w:rPr>
          <w:rFonts w:asciiTheme="majorHAnsi" w:hAnsiTheme="majorHAnsi"/>
          <w:lang w:val="es-CR"/>
        </w:rPr>
      </w:pPr>
    </w:p>
    <w:p w14:paraId="5CFA32EB" w14:textId="77777777" w:rsidR="00BB4E0F" w:rsidRPr="006D531F" w:rsidRDefault="00442221" w:rsidP="00BB4E0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R"/>
        </w:rPr>
      </w:pPr>
      <w:r w:rsidRPr="006D531F">
        <w:rPr>
          <w:rFonts w:asciiTheme="majorHAnsi" w:hAnsiTheme="majorHAnsi"/>
          <w:sz w:val="20"/>
          <w:szCs w:val="20"/>
          <w:lang w:val="es-CR"/>
        </w:rPr>
        <w:t xml:space="preserve">De igual manera, la </w:t>
      </w:r>
      <w:r w:rsidR="00BB4E0F" w:rsidRPr="006D531F">
        <w:rPr>
          <w:rFonts w:asciiTheme="majorHAnsi" w:hAnsiTheme="majorHAnsi"/>
          <w:sz w:val="20"/>
          <w:szCs w:val="20"/>
          <w:lang w:val="es-PE"/>
        </w:rPr>
        <w:t xml:space="preserve">jurisprudencia interamericana </w:t>
      </w:r>
      <w:r w:rsidRPr="006D531F">
        <w:rPr>
          <w:rFonts w:asciiTheme="majorHAnsi" w:hAnsiTheme="majorHAnsi"/>
          <w:sz w:val="20"/>
          <w:szCs w:val="20"/>
          <w:lang w:val="es-CR"/>
        </w:rPr>
        <w:t xml:space="preserve">ha establecido que </w:t>
      </w:r>
      <w:r w:rsidR="00BB4E0F" w:rsidRPr="006D531F">
        <w:rPr>
          <w:rFonts w:asciiTheme="majorHAnsi" w:hAnsiTheme="majorHAnsi"/>
          <w:sz w:val="20"/>
          <w:szCs w:val="20"/>
          <w:lang w:val="es-PE"/>
        </w:rPr>
        <w:t>los Estados no sólo deben abstenerse de “</w:t>
      </w:r>
      <w:r w:rsidR="00BB4E0F" w:rsidRPr="006D531F">
        <w:rPr>
          <w:rFonts w:asciiTheme="majorHAnsi" w:hAnsiTheme="majorHAnsi"/>
          <w:sz w:val="20"/>
          <w:szCs w:val="20"/>
          <w:lang w:val="es-CO"/>
        </w:rPr>
        <w:t xml:space="preserve">realizar acciones o favorecer prácticas que de cualquier manera se encuentren dirigidas, directa o indirectamente, a crear situaciones que, </w:t>
      </w:r>
      <w:r w:rsidR="00BB4E0F" w:rsidRPr="006D531F">
        <w:rPr>
          <w:rFonts w:asciiTheme="majorHAnsi" w:hAnsiTheme="majorHAnsi"/>
          <w:i/>
          <w:iCs/>
          <w:sz w:val="20"/>
          <w:szCs w:val="20"/>
          <w:lang w:val="es-CO"/>
        </w:rPr>
        <w:t xml:space="preserve">de iure </w:t>
      </w:r>
      <w:r w:rsidR="00BB4E0F" w:rsidRPr="006D531F">
        <w:rPr>
          <w:rFonts w:asciiTheme="majorHAnsi" w:hAnsiTheme="majorHAnsi"/>
          <w:sz w:val="20"/>
          <w:szCs w:val="20"/>
          <w:lang w:val="es-CO"/>
        </w:rPr>
        <w:t xml:space="preserve">o </w:t>
      </w:r>
      <w:r w:rsidR="00BB4E0F" w:rsidRPr="006D531F">
        <w:rPr>
          <w:rFonts w:asciiTheme="majorHAnsi" w:hAnsiTheme="majorHAnsi"/>
          <w:i/>
          <w:iCs/>
          <w:sz w:val="20"/>
          <w:szCs w:val="20"/>
          <w:lang w:val="es-CO"/>
        </w:rPr>
        <w:t xml:space="preserve">de facto, </w:t>
      </w:r>
      <w:r w:rsidR="00BB4E0F" w:rsidRPr="006D531F">
        <w:rPr>
          <w:rFonts w:asciiTheme="majorHAnsi" w:hAnsiTheme="majorHAnsi"/>
          <w:sz w:val="20"/>
          <w:szCs w:val="20"/>
          <w:lang w:val="es-CO"/>
        </w:rPr>
        <w:t>discriminen o excluyan arbitrariamente a ciertos grupos o personas en [su] goce o ejercicio“, sino que, los Estados están obligados a “adoptar medidas positivas (legislativas, administrativas o de cualquier otra naturaleza) para revertir o cambiar situaciones discriminatorias existentes que comprometan el goce y ejercicio efectivo del derecho a la libertad de expresión de ciertos grupos, en condiciones de igualdad y no discriminación”</w:t>
      </w:r>
      <w:r w:rsidR="00BB4E0F" w:rsidRPr="006D531F">
        <w:rPr>
          <w:rStyle w:val="FootnoteReference"/>
          <w:rFonts w:asciiTheme="majorHAnsi" w:hAnsiTheme="majorHAnsi"/>
          <w:sz w:val="20"/>
          <w:szCs w:val="20"/>
          <w:lang w:val="es-CO"/>
        </w:rPr>
        <w:footnoteReference w:id="83"/>
      </w:r>
      <w:r w:rsidR="00BB4E0F" w:rsidRPr="006D531F">
        <w:rPr>
          <w:rFonts w:asciiTheme="majorHAnsi" w:hAnsiTheme="majorHAnsi"/>
          <w:sz w:val="20"/>
          <w:szCs w:val="20"/>
          <w:lang w:val="es-CO"/>
        </w:rPr>
        <w:t>.</w:t>
      </w:r>
    </w:p>
    <w:p w14:paraId="0580549D" w14:textId="77777777" w:rsidR="001E736F" w:rsidRPr="006D531F" w:rsidRDefault="001E736F" w:rsidP="001E736F">
      <w:pPr>
        <w:pStyle w:val="ListParagraph"/>
        <w:rPr>
          <w:rFonts w:asciiTheme="majorHAnsi" w:hAnsiTheme="majorHAnsi"/>
          <w:color w:val="auto"/>
          <w:sz w:val="20"/>
          <w:szCs w:val="20"/>
          <w:lang w:val="es-CR"/>
        </w:rPr>
      </w:pPr>
    </w:p>
    <w:p w14:paraId="273ACC73" w14:textId="77777777" w:rsidR="001E736F" w:rsidRPr="006D531F" w:rsidRDefault="001E736F" w:rsidP="00BB4E0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R"/>
        </w:rPr>
      </w:pPr>
      <w:r w:rsidRPr="006D531F">
        <w:rPr>
          <w:rFonts w:asciiTheme="majorHAnsi" w:hAnsiTheme="majorHAnsi"/>
          <w:sz w:val="20"/>
          <w:szCs w:val="20"/>
          <w:lang w:val="es-PE"/>
        </w:rPr>
        <w:t>En lo que respecta a</w:t>
      </w:r>
      <w:r w:rsidR="00042264">
        <w:rPr>
          <w:rFonts w:asciiTheme="majorHAnsi" w:hAnsiTheme="majorHAnsi"/>
          <w:sz w:val="20"/>
          <w:szCs w:val="20"/>
          <w:lang w:val="es-PE"/>
        </w:rPr>
        <w:t xml:space="preserve"> los</w:t>
      </w:r>
      <w:r w:rsidRPr="006D531F">
        <w:rPr>
          <w:rFonts w:asciiTheme="majorHAnsi" w:hAnsiTheme="majorHAnsi"/>
          <w:sz w:val="20"/>
          <w:szCs w:val="20"/>
          <w:lang w:val="es-PE"/>
        </w:rPr>
        <w:t xml:space="preserve"> pueblos indígenas, la Corte en su jurisprudencia ha establecido específicamente que “es indispensable que los Estados otorguen una protección efectiva que tome en cuenta </w:t>
      </w:r>
      <w:r w:rsidRPr="006D531F">
        <w:rPr>
          <w:rFonts w:asciiTheme="majorHAnsi" w:hAnsiTheme="majorHAnsi"/>
          <w:sz w:val="20"/>
          <w:szCs w:val="20"/>
          <w:lang w:val="es-PE"/>
        </w:rPr>
        <w:lastRenderedPageBreak/>
        <w:t>sus particularidades propias, sus características económicas y sociales, así como su situación de especial vulnerabilidad, su derecho consuetudinario, valores, usos y costumbres”</w:t>
      </w:r>
      <w:r w:rsidRPr="006D531F">
        <w:rPr>
          <w:rStyle w:val="FootnoteReference"/>
          <w:rFonts w:asciiTheme="majorHAnsi" w:hAnsiTheme="majorHAnsi"/>
          <w:sz w:val="20"/>
          <w:szCs w:val="20"/>
          <w:lang w:val="es-PE"/>
        </w:rPr>
        <w:footnoteReference w:id="84"/>
      </w:r>
      <w:r w:rsidRPr="006D531F">
        <w:rPr>
          <w:rFonts w:asciiTheme="majorHAnsi" w:hAnsiTheme="majorHAnsi"/>
          <w:sz w:val="20"/>
          <w:szCs w:val="20"/>
          <w:lang w:val="es-PE"/>
        </w:rPr>
        <w:t>.</w:t>
      </w:r>
    </w:p>
    <w:p w14:paraId="15C22136" w14:textId="77777777" w:rsidR="00DE1AA3" w:rsidRPr="006D531F" w:rsidRDefault="00DE1AA3" w:rsidP="00DE1AA3">
      <w:pPr>
        <w:pStyle w:val="ListParagraph"/>
        <w:rPr>
          <w:rFonts w:asciiTheme="majorHAnsi" w:hAnsiTheme="majorHAnsi"/>
          <w:color w:val="auto"/>
          <w:sz w:val="20"/>
          <w:szCs w:val="20"/>
          <w:lang w:val="es-CR"/>
        </w:rPr>
      </w:pPr>
    </w:p>
    <w:p w14:paraId="5380C864" w14:textId="77777777" w:rsidR="00E07975" w:rsidRPr="006D531F" w:rsidRDefault="00BB4E0F" w:rsidP="00DE1AA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R"/>
        </w:rPr>
      </w:pPr>
      <w:r w:rsidRPr="006D531F">
        <w:rPr>
          <w:rFonts w:asciiTheme="majorHAnsi" w:hAnsiTheme="majorHAnsi"/>
          <w:sz w:val="20"/>
          <w:szCs w:val="20"/>
          <w:lang w:val="es-CR"/>
        </w:rPr>
        <w:t xml:space="preserve">En este sentido, </w:t>
      </w:r>
      <w:r w:rsidRPr="006D531F">
        <w:rPr>
          <w:rFonts w:asciiTheme="majorHAnsi" w:hAnsiTheme="majorHAnsi"/>
          <w:sz w:val="20"/>
          <w:szCs w:val="20"/>
          <w:lang w:val="es-CO"/>
        </w:rPr>
        <w:t>la potestad de los Estados de regular la actividad de radiodifusión se explica, entre otras, en esta “obligación de garantizar, proteger y promover el derecho a la libertad de expresión en condiciones de igualdad y sin discriminación, así como en el derecho de la sociedad a conocer todo tipo de informaciones e ideas</w:t>
      </w:r>
      <w:r w:rsidRPr="006D531F">
        <w:rPr>
          <w:rStyle w:val="FootnoteReference"/>
          <w:rFonts w:asciiTheme="majorHAnsi" w:hAnsiTheme="majorHAnsi"/>
          <w:sz w:val="20"/>
          <w:szCs w:val="20"/>
        </w:rPr>
        <w:footnoteReference w:id="85"/>
      </w:r>
      <w:r w:rsidR="00751BA7" w:rsidRPr="006D531F">
        <w:rPr>
          <w:rFonts w:asciiTheme="majorHAnsi" w:hAnsiTheme="majorHAnsi"/>
          <w:sz w:val="20"/>
          <w:szCs w:val="20"/>
          <w:lang w:val="es-PE"/>
        </w:rPr>
        <w:t xml:space="preserve">. </w:t>
      </w:r>
      <w:r w:rsidR="00DE1AA3" w:rsidRPr="006D531F">
        <w:rPr>
          <w:rFonts w:asciiTheme="majorHAnsi" w:hAnsiTheme="majorHAnsi"/>
          <w:sz w:val="20"/>
          <w:szCs w:val="20"/>
          <w:lang w:val="es-PE"/>
        </w:rPr>
        <w:t xml:space="preserve">Como se mencionó anteriormente, si bien la regulación sobre radiodifusión puede implicar el establecimiento de límites a la libertad de expresión, esta deberá estar enfocada a promover una mayor igualdad en el ejercicio de la libertad de expresión, </w:t>
      </w:r>
      <w:r w:rsidR="00751BA7" w:rsidRPr="006D531F">
        <w:rPr>
          <w:rFonts w:asciiTheme="majorHAnsi" w:hAnsiTheme="majorHAnsi"/>
          <w:sz w:val="20"/>
          <w:szCs w:val="20"/>
          <w:lang w:val="es-PE"/>
        </w:rPr>
        <w:t xml:space="preserve">lo que </w:t>
      </w:r>
      <w:r w:rsidR="00DE1AA3" w:rsidRPr="006D531F">
        <w:rPr>
          <w:rFonts w:asciiTheme="majorHAnsi" w:hAnsiTheme="majorHAnsi"/>
          <w:sz w:val="20"/>
          <w:szCs w:val="20"/>
          <w:lang w:val="es-PE"/>
        </w:rPr>
        <w:t>requiere tres componentes: pluralidad de voces (medidas antimonopólicas), diversidad de las voces (medidas de inclusión social)</w:t>
      </w:r>
      <w:r w:rsidR="00DE1AA3" w:rsidRPr="006D531F">
        <w:rPr>
          <w:rStyle w:val="FootnoteReference"/>
          <w:rFonts w:asciiTheme="majorHAnsi" w:hAnsiTheme="majorHAnsi"/>
          <w:sz w:val="20"/>
          <w:szCs w:val="20"/>
        </w:rPr>
        <w:footnoteReference w:id="86"/>
      </w:r>
      <w:r w:rsidR="00DE1AA3" w:rsidRPr="006D531F">
        <w:rPr>
          <w:rFonts w:asciiTheme="majorHAnsi" w:hAnsiTheme="majorHAnsi"/>
          <w:sz w:val="20"/>
          <w:szCs w:val="20"/>
          <w:lang w:val="es-PE"/>
        </w:rPr>
        <w:t xml:space="preserve"> y no discriminación (acceso en condiciones de igualdad a los procesos de asignación de frecuencias).</w:t>
      </w:r>
      <w:r w:rsidR="00751BA7" w:rsidRPr="006D531F">
        <w:rPr>
          <w:rFonts w:asciiTheme="majorHAnsi" w:hAnsiTheme="majorHAnsi"/>
          <w:sz w:val="20"/>
          <w:szCs w:val="20"/>
          <w:lang w:val="es-PE"/>
        </w:rPr>
        <w:t xml:space="preserve"> </w:t>
      </w:r>
    </w:p>
    <w:p w14:paraId="0E9491E0" w14:textId="77777777" w:rsidR="00E07975" w:rsidRPr="006D531F" w:rsidRDefault="00E07975" w:rsidP="00E0797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R"/>
        </w:rPr>
      </w:pPr>
    </w:p>
    <w:p w14:paraId="74AD0747" w14:textId="77777777" w:rsidR="00E07975" w:rsidRPr="006D531F" w:rsidRDefault="00E07975" w:rsidP="00E0797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R"/>
        </w:rPr>
      </w:pPr>
      <w:r w:rsidRPr="006D531F">
        <w:rPr>
          <w:rFonts w:asciiTheme="majorHAnsi" w:hAnsiTheme="majorHAnsi"/>
          <w:sz w:val="20"/>
          <w:szCs w:val="20"/>
          <w:lang w:val="es-PE"/>
        </w:rPr>
        <w:t xml:space="preserve">Asimismo, como lo dijera la Corte en la OC-5/85 </w:t>
      </w:r>
      <w:r w:rsidRPr="006D531F">
        <w:rPr>
          <w:rFonts w:asciiTheme="majorHAnsi" w:hAnsiTheme="majorHAnsi"/>
          <w:sz w:val="20"/>
          <w:szCs w:val="20"/>
          <w:lang w:val="es-CR"/>
        </w:rPr>
        <w:t>“</w:t>
      </w:r>
      <w:r w:rsidRPr="006D531F">
        <w:rPr>
          <w:rFonts w:asciiTheme="majorHAnsi" w:hAnsiTheme="majorHAnsi"/>
          <w:sz w:val="20"/>
          <w:szCs w:val="20"/>
          <w:lang w:val="es-PE"/>
        </w:rPr>
        <w:t xml:space="preserve">si en principio la libertad de expresión requiere que los medios de comunicación social estén virtualmente abiertos a todos sin discriminación, o, más exactamente, que no haya individuos o grupos que, </w:t>
      </w:r>
      <w:r w:rsidRPr="006D531F">
        <w:rPr>
          <w:rFonts w:asciiTheme="majorHAnsi" w:hAnsiTheme="majorHAnsi"/>
          <w:i/>
          <w:sz w:val="20"/>
          <w:szCs w:val="20"/>
          <w:lang w:val="es-PE"/>
        </w:rPr>
        <w:t>a priori</w:t>
      </w:r>
      <w:r w:rsidRPr="006D531F">
        <w:rPr>
          <w:rFonts w:asciiTheme="majorHAnsi" w:hAnsiTheme="majorHAnsi"/>
          <w:sz w:val="20"/>
          <w:szCs w:val="20"/>
          <w:lang w:val="es-PE"/>
        </w:rPr>
        <w:t>, estén excluidos del acceso a tales medios, exige igualmente ciertas condiciones respecto de éstos, de manera que, en la práctica, sean verdaderos instrumentos de esa libertad y no vehículos para restringirla”.</w:t>
      </w:r>
    </w:p>
    <w:p w14:paraId="2CFD24E2" w14:textId="77777777" w:rsidR="00E07975" w:rsidRPr="006D531F" w:rsidRDefault="00E07975" w:rsidP="00E07975">
      <w:pPr>
        <w:pStyle w:val="ListParagraph"/>
        <w:rPr>
          <w:rFonts w:asciiTheme="majorHAnsi" w:hAnsiTheme="majorHAnsi"/>
          <w:color w:val="auto"/>
          <w:sz w:val="20"/>
          <w:szCs w:val="20"/>
          <w:lang w:val="es-PE"/>
        </w:rPr>
      </w:pPr>
    </w:p>
    <w:p w14:paraId="067CAFC5" w14:textId="77777777" w:rsidR="00E62E13" w:rsidRPr="006D531F" w:rsidRDefault="00E07975" w:rsidP="00E62E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R"/>
        </w:rPr>
      </w:pPr>
      <w:r w:rsidRPr="006D531F">
        <w:rPr>
          <w:rFonts w:asciiTheme="majorHAnsi" w:hAnsiTheme="majorHAnsi"/>
          <w:sz w:val="20"/>
          <w:szCs w:val="20"/>
          <w:lang w:val="es-PE"/>
        </w:rPr>
        <w:t>La Comisión ya se ha referido de manera general a la prohibición de monopolios y a la adopción de medidas antimonopólicas para lograr pluralismo y diversidad, sin embargo para lograr la igualdad no basta con ello, sino que también deben adoptarse medidas de inclusión social y de condiciones de igualdad. S</w:t>
      </w:r>
      <w:r w:rsidR="00751BA7" w:rsidRPr="006D531F">
        <w:rPr>
          <w:rFonts w:asciiTheme="majorHAnsi" w:hAnsiTheme="majorHAnsi"/>
          <w:sz w:val="20"/>
          <w:szCs w:val="20"/>
          <w:lang w:val="es-PE"/>
        </w:rPr>
        <w:t xml:space="preserve">obre este último punto, </w:t>
      </w:r>
      <w:r w:rsidR="00751BA7" w:rsidRPr="006D531F">
        <w:rPr>
          <w:rFonts w:asciiTheme="majorHAnsi" w:hAnsiTheme="majorHAnsi"/>
          <w:sz w:val="20"/>
          <w:szCs w:val="20"/>
          <w:lang w:val="es-UY"/>
        </w:rPr>
        <w:t>el principio 13 de la Declaración de Principios ha destacado que, “[l]as asignaciones</w:t>
      </w:r>
      <w:r w:rsidR="00751BA7" w:rsidRPr="006D531F">
        <w:rPr>
          <w:rFonts w:asciiTheme="majorHAnsi" w:hAnsiTheme="majorHAnsi"/>
          <w:b/>
          <w:sz w:val="20"/>
          <w:szCs w:val="20"/>
          <w:lang w:val="es-UY"/>
        </w:rPr>
        <w:t xml:space="preserve"> </w:t>
      </w:r>
      <w:r w:rsidR="00751BA7" w:rsidRPr="006D531F">
        <w:rPr>
          <w:rFonts w:asciiTheme="majorHAnsi" w:hAnsiTheme="majorHAnsi"/>
          <w:sz w:val="20"/>
          <w:szCs w:val="20"/>
          <w:lang w:val="es-UY"/>
        </w:rPr>
        <w:t xml:space="preserve">de radio y televisión deben considerar criterios democráticos que garanticen una igualdad de oportunidades para todos los individuos en el acceso a los </w:t>
      </w:r>
      <w:r w:rsidR="00300074" w:rsidRPr="006D531F">
        <w:rPr>
          <w:rFonts w:asciiTheme="majorHAnsi" w:hAnsiTheme="majorHAnsi"/>
          <w:sz w:val="20"/>
          <w:szCs w:val="20"/>
          <w:lang w:val="es-UY"/>
        </w:rPr>
        <w:t>mismos</w:t>
      </w:r>
      <w:r w:rsidR="00920FBC">
        <w:rPr>
          <w:rFonts w:asciiTheme="majorHAnsi" w:hAnsiTheme="majorHAnsi"/>
          <w:sz w:val="20"/>
          <w:szCs w:val="20"/>
          <w:lang w:val="es-UY"/>
        </w:rPr>
        <w:t>”.</w:t>
      </w:r>
    </w:p>
    <w:p w14:paraId="786FDED9" w14:textId="77777777" w:rsidR="00E62E13" w:rsidRPr="006D531F" w:rsidRDefault="00E62E13" w:rsidP="00E62E13">
      <w:pPr>
        <w:pStyle w:val="ListParagraph"/>
        <w:rPr>
          <w:rFonts w:asciiTheme="majorHAnsi" w:hAnsiTheme="majorHAnsi"/>
          <w:color w:val="auto"/>
          <w:sz w:val="20"/>
          <w:szCs w:val="20"/>
          <w:lang w:val="es-PE"/>
        </w:rPr>
      </w:pPr>
    </w:p>
    <w:p w14:paraId="76C51334" w14:textId="77777777" w:rsidR="0032298A" w:rsidRPr="006D531F" w:rsidRDefault="00E07975" w:rsidP="00E62E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R"/>
        </w:rPr>
      </w:pPr>
      <w:r w:rsidRPr="006D531F">
        <w:rPr>
          <w:rFonts w:asciiTheme="majorHAnsi" w:hAnsiTheme="majorHAnsi"/>
          <w:sz w:val="20"/>
          <w:szCs w:val="20"/>
          <w:lang w:val="es-PE"/>
        </w:rPr>
        <w:t>En este sentido, la regulación sobre radiodifusión debería formar parte de una política activa de inclusión social</w:t>
      </w:r>
      <w:r w:rsidR="00A01033" w:rsidRPr="006D531F">
        <w:rPr>
          <w:rFonts w:asciiTheme="majorHAnsi" w:hAnsiTheme="majorHAnsi"/>
          <w:sz w:val="20"/>
          <w:szCs w:val="20"/>
          <w:lang w:val="es-PE"/>
        </w:rPr>
        <w:t xml:space="preserve"> y de una política antidiscriminatoria</w:t>
      </w:r>
      <w:r w:rsidRPr="006D531F">
        <w:rPr>
          <w:rFonts w:asciiTheme="majorHAnsi" w:hAnsiTheme="majorHAnsi"/>
          <w:sz w:val="20"/>
          <w:szCs w:val="20"/>
          <w:lang w:val="es-PE"/>
        </w:rPr>
        <w:t xml:space="preserve"> que tienda a la reducción de las desigualdades existentes en la población respecto del acce</w:t>
      </w:r>
      <w:r w:rsidR="00E62E13" w:rsidRPr="006D531F">
        <w:rPr>
          <w:rFonts w:asciiTheme="majorHAnsi" w:hAnsiTheme="majorHAnsi"/>
          <w:sz w:val="20"/>
          <w:szCs w:val="20"/>
          <w:lang w:val="es-PE"/>
        </w:rPr>
        <w:t>so a los medios de comunicación, de forma particular con respecto a los pueblos indígenas.</w:t>
      </w:r>
      <w:r w:rsidRPr="006D531F">
        <w:rPr>
          <w:rFonts w:asciiTheme="majorHAnsi" w:hAnsiTheme="majorHAnsi"/>
          <w:sz w:val="20"/>
          <w:szCs w:val="20"/>
          <w:lang w:val="es-PE"/>
        </w:rPr>
        <w:t xml:space="preserve"> Esto exige que los Estados, al momento de regular la actividad de radiodifusión, tengan especialmente en consideración a grupos con dificultades p</w:t>
      </w:r>
      <w:r w:rsidR="00A01033" w:rsidRPr="006D531F">
        <w:rPr>
          <w:rFonts w:asciiTheme="majorHAnsi" w:hAnsiTheme="majorHAnsi"/>
          <w:sz w:val="20"/>
          <w:szCs w:val="20"/>
          <w:lang w:val="es-PE"/>
        </w:rPr>
        <w:t>ara hacer efectivo dicho acceso, por factores de desventaja económica o geográfica, por ejemplo.</w:t>
      </w:r>
      <w:r w:rsidRPr="006D531F">
        <w:rPr>
          <w:rFonts w:asciiTheme="majorHAnsi" w:hAnsiTheme="majorHAnsi"/>
          <w:sz w:val="20"/>
          <w:szCs w:val="20"/>
          <w:lang w:val="es-PE"/>
        </w:rPr>
        <w:t xml:space="preserve"> En tal sentido, la regulación debería tener como finalidad contribuir a que todos los sectores</w:t>
      </w:r>
      <w:r w:rsidRPr="006D531F">
        <w:rPr>
          <w:rFonts w:asciiTheme="majorHAnsi" w:hAnsiTheme="majorHAnsi"/>
          <w:sz w:val="20"/>
          <w:szCs w:val="20"/>
          <w:lang w:val="es-MX"/>
        </w:rPr>
        <w:t xml:space="preserve"> puedan competir en igualdad de condiciones, garantizando para ello reglas especiales que permitan el acceso de grupos tradicionalmente marginados del proceso comunicativo. </w:t>
      </w:r>
    </w:p>
    <w:p w14:paraId="017EB325" w14:textId="77777777" w:rsidR="0032298A" w:rsidRPr="006D531F" w:rsidRDefault="0032298A" w:rsidP="0032298A">
      <w:pPr>
        <w:pStyle w:val="ListParagraph"/>
        <w:rPr>
          <w:rFonts w:asciiTheme="majorHAnsi" w:hAnsiTheme="majorHAnsi"/>
          <w:color w:val="auto"/>
          <w:sz w:val="20"/>
          <w:szCs w:val="20"/>
          <w:lang w:val="es-MX"/>
        </w:rPr>
      </w:pPr>
    </w:p>
    <w:p w14:paraId="74AB52A7" w14:textId="77777777" w:rsidR="00E07975" w:rsidRPr="006D531F" w:rsidRDefault="000D643A" w:rsidP="00E62E1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R"/>
        </w:rPr>
      </w:pPr>
      <w:r w:rsidRPr="006D531F">
        <w:rPr>
          <w:rFonts w:asciiTheme="majorHAnsi" w:hAnsiTheme="majorHAnsi"/>
          <w:sz w:val="20"/>
          <w:szCs w:val="20"/>
          <w:lang w:val="es-MX"/>
        </w:rPr>
        <w:t xml:space="preserve">La política antidiscriminatoria debe tomar en cuenta las responsabilidades internacionales del Estado, que como ya fue mencionado, no solo implican la obligación de abstenerse de adoptar o favorecer prácticas discriminatorias que profundicen la marginación de los pueblos indígenas, sino sobre todo, la de adoptar </w:t>
      </w:r>
      <w:r w:rsidR="00A52EF7" w:rsidRPr="006D531F">
        <w:rPr>
          <w:rFonts w:asciiTheme="majorHAnsi" w:hAnsiTheme="majorHAnsi"/>
          <w:sz w:val="20"/>
          <w:szCs w:val="20"/>
          <w:lang w:val="es-MX"/>
        </w:rPr>
        <w:t xml:space="preserve">acciones afirmativas de inclusión y medidas positivas </w:t>
      </w:r>
      <w:r w:rsidRPr="006D531F">
        <w:rPr>
          <w:rFonts w:asciiTheme="majorHAnsi" w:hAnsiTheme="majorHAnsi"/>
          <w:sz w:val="20"/>
          <w:szCs w:val="20"/>
          <w:lang w:val="es-MX"/>
        </w:rPr>
        <w:t>para revertir o cambiar situaciones discriminatorias</w:t>
      </w:r>
      <w:r w:rsidR="00A52EF7" w:rsidRPr="006D531F">
        <w:rPr>
          <w:rFonts w:asciiTheme="majorHAnsi" w:hAnsiTheme="majorHAnsi"/>
          <w:sz w:val="20"/>
          <w:szCs w:val="20"/>
          <w:lang w:val="es-MX"/>
        </w:rPr>
        <w:t xml:space="preserve"> </w:t>
      </w:r>
      <w:r w:rsidR="00A52EF7" w:rsidRPr="006D531F">
        <w:rPr>
          <w:rFonts w:asciiTheme="majorHAnsi" w:hAnsiTheme="majorHAnsi"/>
          <w:sz w:val="20"/>
          <w:szCs w:val="20"/>
          <w:lang w:val="es-CO"/>
        </w:rPr>
        <w:t>existentes que comprometan el goce y ejercicio efectivo del derecho a la libertad de expresión</w:t>
      </w:r>
      <w:r w:rsidR="00A52EF7" w:rsidRPr="006D531F">
        <w:rPr>
          <w:rFonts w:asciiTheme="majorHAnsi" w:hAnsiTheme="majorHAnsi"/>
          <w:sz w:val="20"/>
          <w:szCs w:val="20"/>
          <w:lang w:val="es-MX"/>
        </w:rPr>
        <w:t>. Ello, podría incluir la revisión de</w:t>
      </w:r>
      <w:r w:rsidRPr="006D531F">
        <w:rPr>
          <w:rFonts w:asciiTheme="majorHAnsi" w:hAnsiTheme="majorHAnsi"/>
          <w:sz w:val="20"/>
          <w:szCs w:val="20"/>
          <w:lang w:val="es-MX"/>
        </w:rPr>
        <w:t xml:space="preserve"> normas o </w:t>
      </w:r>
      <w:r w:rsidR="0032298A" w:rsidRPr="006D531F">
        <w:rPr>
          <w:rFonts w:asciiTheme="majorHAnsi" w:hAnsiTheme="majorHAnsi"/>
          <w:sz w:val="20"/>
          <w:szCs w:val="20"/>
          <w:lang w:val="es-MX"/>
        </w:rPr>
        <w:t>prácticas</w:t>
      </w:r>
      <w:r w:rsidRPr="006D531F">
        <w:rPr>
          <w:rFonts w:asciiTheme="majorHAnsi" w:hAnsiTheme="majorHAnsi"/>
          <w:sz w:val="20"/>
          <w:szCs w:val="20"/>
          <w:lang w:val="es-MX"/>
        </w:rPr>
        <w:t xml:space="preserve"> que son neutrales en apariencia, pero que tienen un impacto discriminatorio sobre dichos pueblos o sobre cualquier grupo en situación de exclusión.</w:t>
      </w:r>
    </w:p>
    <w:p w14:paraId="6B8EC40E" w14:textId="77777777" w:rsidR="002035AC" w:rsidRPr="006D531F" w:rsidRDefault="002035AC" w:rsidP="002035AC">
      <w:pPr>
        <w:pStyle w:val="ListParagraph"/>
        <w:rPr>
          <w:rFonts w:asciiTheme="majorHAnsi" w:hAnsiTheme="majorHAnsi"/>
          <w:color w:val="auto"/>
          <w:sz w:val="20"/>
          <w:szCs w:val="20"/>
          <w:lang w:val="es-CR"/>
        </w:rPr>
      </w:pPr>
    </w:p>
    <w:p w14:paraId="5F044E56" w14:textId="77777777" w:rsidR="00E07975" w:rsidRPr="006D531F" w:rsidRDefault="002035AC" w:rsidP="00841FC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R"/>
        </w:rPr>
      </w:pPr>
      <w:r w:rsidRPr="006D531F">
        <w:rPr>
          <w:rFonts w:asciiTheme="majorHAnsi" w:hAnsiTheme="majorHAnsi"/>
          <w:sz w:val="20"/>
          <w:szCs w:val="20"/>
          <w:lang w:val="es-CO"/>
        </w:rPr>
        <w:t>Distintos aspectos de la regulación sobre radiodifusión están vinculados a esta finalidad. Así, por ejemplo, el reconocimiento legal expreso de radios comunitarias, les otorga mayor seguridad jur</w:t>
      </w:r>
      <w:r w:rsidR="00D7421A" w:rsidRPr="006D531F">
        <w:rPr>
          <w:rFonts w:asciiTheme="majorHAnsi" w:hAnsiTheme="majorHAnsi"/>
          <w:sz w:val="20"/>
          <w:szCs w:val="20"/>
          <w:lang w:val="es-CO"/>
        </w:rPr>
        <w:t xml:space="preserve">ídica; </w:t>
      </w:r>
      <w:r w:rsidRPr="006D531F">
        <w:rPr>
          <w:rFonts w:asciiTheme="majorHAnsi" w:hAnsiTheme="majorHAnsi"/>
          <w:sz w:val="20"/>
          <w:szCs w:val="20"/>
          <w:lang w:val="es-CO"/>
        </w:rPr>
        <w:t xml:space="preserve">las previsiones sobre reservas del espectro para ciertos </w:t>
      </w:r>
      <w:r w:rsidR="00D7421A" w:rsidRPr="006D531F">
        <w:rPr>
          <w:rFonts w:asciiTheme="majorHAnsi" w:hAnsiTheme="majorHAnsi"/>
          <w:sz w:val="20"/>
          <w:szCs w:val="20"/>
          <w:lang w:val="es-CO"/>
        </w:rPr>
        <w:t xml:space="preserve">sectores generalmente excluidos; las formas de financiamiento y de exenciones tributarias; </w:t>
      </w:r>
      <w:r w:rsidRPr="006D531F">
        <w:rPr>
          <w:rFonts w:asciiTheme="majorHAnsi" w:hAnsiTheme="majorHAnsi"/>
          <w:sz w:val="20"/>
          <w:szCs w:val="20"/>
          <w:lang w:val="es-CO"/>
        </w:rPr>
        <w:t xml:space="preserve">y el establecimiento de procedimientos especiales </w:t>
      </w:r>
      <w:r w:rsidR="00D7421A" w:rsidRPr="006D531F">
        <w:rPr>
          <w:rFonts w:asciiTheme="majorHAnsi" w:hAnsiTheme="majorHAnsi"/>
          <w:sz w:val="20"/>
          <w:szCs w:val="20"/>
          <w:lang w:val="es-CO"/>
        </w:rPr>
        <w:t xml:space="preserve">bajo condiciones </w:t>
      </w:r>
      <w:r w:rsidR="00D7421A" w:rsidRPr="006D531F">
        <w:rPr>
          <w:rFonts w:asciiTheme="majorHAnsi" w:hAnsiTheme="majorHAnsi"/>
          <w:sz w:val="20"/>
          <w:szCs w:val="20"/>
          <w:lang w:val="es-CO"/>
        </w:rPr>
        <w:lastRenderedPageBreak/>
        <w:t xml:space="preserve">y requisitos </w:t>
      </w:r>
      <w:r w:rsidRPr="006D531F">
        <w:rPr>
          <w:rFonts w:asciiTheme="majorHAnsi" w:hAnsiTheme="majorHAnsi"/>
          <w:sz w:val="20"/>
          <w:szCs w:val="20"/>
          <w:lang w:val="es-CO"/>
        </w:rPr>
        <w:t xml:space="preserve">que efectivamente </w:t>
      </w:r>
      <w:r w:rsidR="00D7421A" w:rsidRPr="006D531F">
        <w:rPr>
          <w:rFonts w:asciiTheme="majorHAnsi" w:hAnsiTheme="majorHAnsi"/>
          <w:sz w:val="20"/>
          <w:szCs w:val="20"/>
          <w:lang w:val="es-CO"/>
        </w:rPr>
        <w:t>les permitan</w:t>
      </w:r>
      <w:r w:rsidRPr="006D531F">
        <w:rPr>
          <w:rFonts w:asciiTheme="majorHAnsi" w:hAnsiTheme="majorHAnsi"/>
          <w:sz w:val="20"/>
          <w:szCs w:val="20"/>
          <w:lang w:val="es-CO"/>
        </w:rPr>
        <w:t xml:space="preserve"> acceder a las licencias, </w:t>
      </w:r>
      <w:r w:rsidR="00D7421A" w:rsidRPr="006D531F">
        <w:rPr>
          <w:rFonts w:asciiTheme="majorHAnsi" w:hAnsiTheme="majorHAnsi"/>
          <w:sz w:val="20"/>
          <w:szCs w:val="20"/>
          <w:lang w:val="es-CO"/>
        </w:rPr>
        <w:t xml:space="preserve">entre otras medidas, </w:t>
      </w:r>
      <w:r w:rsidRPr="006D531F">
        <w:rPr>
          <w:rFonts w:asciiTheme="majorHAnsi" w:hAnsiTheme="majorHAnsi"/>
          <w:sz w:val="20"/>
          <w:szCs w:val="20"/>
          <w:lang w:val="es-CO"/>
        </w:rPr>
        <w:t>apuntan a generar oportunidades equitativas para una igualdad real en el ejercicio del derecho a la libertad de expresión.</w:t>
      </w:r>
      <w:r w:rsidR="00D7421A" w:rsidRPr="006D531F">
        <w:rPr>
          <w:rFonts w:asciiTheme="majorHAnsi" w:hAnsiTheme="majorHAnsi"/>
          <w:sz w:val="20"/>
          <w:szCs w:val="20"/>
          <w:lang w:val="es-CO"/>
        </w:rPr>
        <w:t xml:space="preserve"> </w:t>
      </w:r>
    </w:p>
    <w:p w14:paraId="433E1FD2" w14:textId="77777777" w:rsidR="00986F24" w:rsidRPr="006D531F" w:rsidRDefault="00986F24" w:rsidP="00746405">
      <w:pPr>
        <w:tabs>
          <w:tab w:val="left" w:pos="1558"/>
        </w:tabs>
        <w:ind w:right="406"/>
        <w:jc w:val="both"/>
        <w:rPr>
          <w:rFonts w:asciiTheme="majorHAnsi" w:hAnsiTheme="majorHAnsi"/>
          <w:sz w:val="20"/>
          <w:szCs w:val="20"/>
          <w:lang w:val="es-ES_tradnl"/>
        </w:rPr>
      </w:pPr>
    </w:p>
    <w:p w14:paraId="41578851" w14:textId="77777777" w:rsidR="00986F24" w:rsidRPr="000250D4" w:rsidRDefault="00986F24" w:rsidP="000250D4">
      <w:pPr>
        <w:pStyle w:val="Heading5"/>
        <w:rPr>
          <w:b/>
          <w:bCs/>
        </w:rPr>
      </w:pPr>
      <w:bookmarkStart w:id="35" w:name="_Toc266701121"/>
      <w:r w:rsidRPr="000250D4">
        <w:rPr>
          <w:b/>
          <w:bCs/>
        </w:rPr>
        <w:t>Reconocimiento legal</w:t>
      </w:r>
      <w:bookmarkEnd w:id="35"/>
    </w:p>
    <w:p w14:paraId="56155AC6" w14:textId="77777777" w:rsidR="00986F24" w:rsidRPr="006D531F" w:rsidRDefault="00986F24" w:rsidP="00986F24">
      <w:pPr>
        <w:ind w:right="406"/>
        <w:jc w:val="both"/>
        <w:rPr>
          <w:rFonts w:asciiTheme="majorHAnsi" w:hAnsiTheme="majorHAnsi"/>
          <w:sz w:val="20"/>
          <w:szCs w:val="20"/>
          <w:lang w:val="es-ES_tradnl"/>
        </w:rPr>
      </w:pPr>
    </w:p>
    <w:p w14:paraId="0C48457C" w14:textId="77777777" w:rsidR="00BF16F0" w:rsidRPr="006D531F" w:rsidRDefault="00841FC4" w:rsidP="00BF16F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_tradnl"/>
        </w:rPr>
      </w:pPr>
      <w:r w:rsidRPr="006D531F">
        <w:rPr>
          <w:rFonts w:asciiTheme="majorHAnsi" w:hAnsiTheme="majorHAnsi"/>
          <w:sz w:val="20"/>
          <w:szCs w:val="20"/>
          <w:lang w:val="es-ES_tradnl"/>
        </w:rPr>
        <w:t>L</w:t>
      </w:r>
      <w:r w:rsidR="003B56BC" w:rsidRPr="006D531F">
        <w:rPr>
          <w:rFonts w:asciiTheme="majorHAnsi" w:hAnsiTheme="majorHAnsi"/>
          <w:sz w:val="20"/>
          <w:szCs w:val="20"/>
          <w:lang w:val="es-ES_tradnl"/>
        </w:rPr>
        <w:t>a “Declaración Conjunta sobre diversidad en la radiodifusión” (2007) de los relatores para la libertad de expresión de la ONU, la OSCE,</w:t>
      </w:r>
      <w:r w:rsidR="007A2DE4" w:rsidRPr="006D531F">
        <w:rPr>
          <w:rFonts w:asciiTheme="majorHAnsi" w:hAnsiTheme="majorHAnsi"/>
          <w:sz w:val="20"/>
          <w:szCs w:val="20"/>
          <w:lang w:val="es-ES_tradnl"/>
        </w:rPr>
        <w:t xml:space="preserve"> la OEA y la Comisión Africana destacó </w:t>
      </w:r>
      <w:r w:rsidR="007A2DE4" w:rsidRPr="006D531F">
        <w:rPr>
          <w:rFonts w:asciiTheme="majorHAnsi" w:hAnsiTheme="majorHAnsi"/>
          <w:sz w:val="20"/>
          <w:szCs w:val="20"/>
          <w:lang w:val="es-MX"/>
        </w:rPr>
        <w:t>que, “[l]</w:t>
      </w:r>
      <w:r w:rsidR="007A2DE4" w:rsidRPr="006D531F">
        <w:rPr>
          <w:rFonts w:asciiTheme="majorHAnsi" w:hAnsiTheme="majorHAnsi"/>
          <w:sz w:val="20"/>
          <w:szCs w:val="20"/>
          <w:lang w:val="es-ES_tradnl"/>
        </w:rPr>
        <w:t>a radiodifusión comunitaria debe estar expresamente reconocida en la ley como una forma diferenciada de medios de comunicación</w:t>
      </w:r>
      <w:r w:rsidR="007A2DE4" w:rsidRPr="006D531F">
        <w:rPr>
          <w:rFonts w:asciiTheme="majorHAnsi" w:hAnsiTheme="majorHAnsi"/>
          <w:sz w:val="20"/>
          <w:szCs w:val="20"/>
          <w:lang w:val="es-PE"/>
        </w:rPr>
        <w:t>”</w:t>
      </w:r>
      <w:r w:rsidR="007A2DE4" w:rsidRPr="006D531F">
        <w:rPr>
          <w:rStyle w:val="FootnoteReference"/>
          <w:rFonts w:asciiTheme="majorHAnsi" w:hAnsiTheme="majorHAnsi"/>
          <w:sz w:val="20"/>
          <w:szCs w:val="20"/>
        </w:rPr>
        <w:footnoteReference w:id="87"/>
      </w:r>
      <w:r w:rsidR="007A2DE4" w:rsidRPr="006D531F">
        <w:rPr>
          <w:rFonts w:asciiTheme="majorHAnsi" w:hAnsiTheme="majorHAnsi"/>
          <w:sz w:val="20"/>
          <w:szCs w:val="20"/>
          <w:lang w:val="es-PE"/>
        </w:rPr>
        <w:t>.</w:t>
      </w:r>
      <w:r w:rsidR="007A2DE4" w:rsidRPr="006D531F">
        <w:rPr>
          <w:rFonts w:asciiTheme="majorHAnsi" w:hAnsiTheme="majorHAnsi"/>
          <w:sz w:val="20"/>
          <w:szCs w:val="20"/>
          <w:lang w:val="es-ES_tradnl"/>
        </w:rPr>
        <w:t xml:space="preserve"> </w:t>
      </w:r>
      <w:r w:rsidR="00BF16F0" w:rsidRPr="006D531F">
        <w:rPr>
          <w:rFonts w:asciiTheme="majorHAnsi" w:hAnsiTheme="majorHAnsi"/>
          <w:sz w:val="20"/>
          <w:szCs w:val="20"/>
          <w:lang w:val="es-ES_tradnl"/>
        </w:rPr>
        <w:t xml:space="preserve">El reconocimiento legal de las radios comunitarias, en especial el de los pueblos indígenas, necesita además acompañarse con procedimientos, condiciones, requisitos y cualquier otra medida que sea necesaria para lograr </w:t>
      </w:r>
      <w:r w:rsidR="00042264">
        <w:rPr>
          <w:rFonts w:asciiTheme="majorHAnsi" w:hAnsiTheme="majorHAnsi"/>
          <w:sz w:val="20"/>
          <w:szCs w:val="20"/>
          <w:lang w:val="es-ES_tradnl"/>
        </w:rPr>
        <w:t>e</w:t>
      </w:r>
      <w:r w:rsidR="00BF16F0" w:rsidRPr="006D531F">
        <w:rPr>
          <w:rFonts w:asciiTheme="majorHAnsi" w:hAnsiTheme="majorHAnsi"/>
          <w:sz w:val="20"/>
          <w:szCs w:val="20"/>
          <w:lang w:val="es-ES_tradnl"/>
        </w:rPr>
        <w:t>l efectivo ejercicio de la libertad de expresión de los pueblos.  Ello, les otorgaría seguridad jurídica al otorgarles un estatuto legal propio, con reglas claras, procedimientos y funciones establecidas, lo cual garantizaría su independencia y serviría para evitar conductas indebidas</w:t>
      </w:r>
      <w:r w:rsidR="00BF16F0" w:rsidRPr="006D531F">
        <w:rPr>
          <w:rStyle w:val="FootnoteReference"/>
          <w:rFonts w:asciiTheme="majorHAnsi" w:hAnsiTheme="majorHAnsi"/>
          <w:sz w:val="20"/>
          <w:szCs w:val="20"/>
          <w:lang w:val="es-ES_tradnl"/>
        </w:rPr>
        <w:footnoteReference w:id="88"/>
      </w:r>
      <w:r w:rsidR="00BF16F0" w:rsidRPr="006D531F">
        <w:rPr>
          <w:rFonts w:asciiTheme="majorHAnsi" w:hAnsiTheme="majorHAnsi"/>
          <w:sz w:val="20"/>
          <w:szCs w:val="20"/>
          <w:lang w:val="es-ES_tradnl"/>
        </w:rPr>
        <w:t>.</w:t>
      </w:r>
    </w:p>
    <w:p w14:paraId="4B9E5A92" w14:textId="77777777" w:rsidR="00BF16F0" w:rsidRPr="006D531F" w:rsidRDefault="00BF16F0" w:rsidP="00BF16F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14:paraId="1505798B" w14:textId="77777777" w:rsidR="00EF42C2" w:rsidRPr="006D531F" w:rsidRDefault="007A2DE4" w:rsidP="007A2DE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_tradnl"/>
        </w:rPr>
      </w:pPr>
      <w:r w:rsidRPr="006D531F">
        <w:rPr>
          <w:rFonts w:asciiTheme="majorHAnsi" w:hAnsiTheme="majorHAnsi"/>
          <w:sz w:val="20"/>
          <w:szCs w:val="20"/>
          <w:lang w:val="es-ES_tradnl"/>
        </w:rPr>
        <w:t xml:space="preserve">Asimismo, la CIDH ha considerado </w:t>
      </w:r>
      <w:r w:rsidR="003B56BC" w:rsidRPr="006D531F">
        <w:rPr>
          <w:rFonts w:asciiTheme="majorHAnsi" w:hAnsiTheme="majorHAnsi"/>
          <w:sz w:val="20"/>
          <w:szCs w:val="20"/>
          <w:lang w:val="es-ES_tradnl"/>
        </w:rPr>
        <w:t>que, “[e]n la misma línea, es necesaria una legislación que defina apropiadamente el concepto de radio comunitaria y que incluya su finalidad social, su carácter de entidades sin fines de lucro y su independencia operativa y financiera”</w:t>
      </w:r>
      <w:r w:rsidR="003B56BC" w:rsidRPr="006D531F">
        <w:rPr>
          <w:rFonts w:asciiTheme="majorHAnsi" w:hAnsiTheme="majorHAnsi"/>
          <w:sz w:val="20"/>
          <w:szCs w:val="20"/>
          <w:vertAlign w:val="superscript"/>
          <w:lang w:val="es-ES_tradnl"/>
        </w:rPr>
        <w:footnoteReference w:id="89"/>
      </w:r>
      <w:r w:rsidR="003B56BC" w:rsidRPr="006D531F">
        <w:rPr>
          <w:rFonts w:asciiTheme="majorHAnsi" w:hAnsiTheme="majorHAnsi"/>
          <w:sz w:val="20"/>
          <w:szCs w:val="20"/>
          <w:lang w:val="es-ES_tradnl"/>
        </w:rPr>
        <w:t>.</w:t>
      </w:r>
      <w:r w:rsidR="00BF16F0" w:rsidRPr="006D531F">
        <w:rPr>
          <w:rFonts w:asciiTheme="majorHAnsi" w:hAnsiTheme="majorHAnsi"/>
          <w:sz w:val="20"/>
          <w:szCs w:val="20"/>
          <w:lang w:val="es-ES_tradnl"/>
        </w:rPr>
        <w:t xml:space="preserve"> La Comisión </w:t>
      </w:r>
      <w:r w:rsidR="00F11D52" w:rsidRPr="006D531F">
        <w:rPr>
          <w:rFonts w:asciiTheme="majorHAnsi" w:hAnsiTheme="majorHAnsi"/>
          <w:sz w:val="20"/>
          <w:szCs w:val="20"/>
          <w:lang w:val="es-ES_tradnl"/>
        </w:rPr>
        <w:t>considera que no existe un criterio único para definir una radio comunitaria, pero destaca que sus características difieren de medios comerciales, públicos e incluso de otros medi</w:t>
      </w:r>
      <w:r w:rsidR="009225A6" w:rsidRPr="006D531F">
        <w:rPr>
          <w:rFonts w:asciiTheme="majorHAnsi" w:hAnsiTheme="majorHAnsi"/>
          <w:sz w:val="20"/>
          <w:szCs w:val="20"/>
          <w:lang w:val="es-ES_tradnl"/>
        </w:rPr>
        <w:t xml:space="preserve">os privados sin fines de lucro. </w:t>
      </w:r>
      <w:r w:rsidR="00BF2F39" w:rsidRPr="006D531F">
        <w:rPr>
          <w:rFonts w:asciiTheme="majorHAnsi" w:hAnsiTheme="majorHAnsi"/>
          <w:sz w:val="20"/>
          <w:szCs w:val="20"/>
          <w:lang w:val="es-ES_tradnl"/>
        </w:rPr>
        <w:t xml:space="preserve">Algunos de sus rasgos principales </w:t>
      </w:r>
      <w:r w:rsidR="008B33D9">
        <w:rPr>
          <w:rFonts w:asciiTheme="majorHAnsi" w:hAnsiTheme="majorHAnsi"/>
          <w:sz w:val="20"/>
          <w:szCs w:val="20"/>
          <w:lang w:val="es-ES_tradnl"/>
        </w:rPr>
        <w:t>tiene</w:t>
      </w:r>
      <w:r w:rsidR="00EE5E37">
        <w:rPr>
          <w:rFonts w:asciiTheme="majorHAnsi" w:hAnsiTheme="majorHAnsi"/>
          <w:sz w:val="20"/>
          <w:szCs w:val="20"/>
          <w:lang w:val="es-ES_tradnl"/>
        </w:rPr>
        <w:t>n</w:t>
      </w:r>
      <w:r w:rsidR="008B33D9">
        <w:rPr>
          <w:rFonts w:asciiTheme="majorHAnsi" w:hAnsiTheme="majorHAnsi"/>
          <w:sz w:val="20"/>
          <w:szCs w:val="20"/>
          <w:lang w:val="es-ES_tradnl"/>
        </w:rPr>
        <w:t xml:space="preserve"> que ver con la</w:t>
      </w:r>
      <w:r w:rsidR="00BF2F39" w:rsidRPr="006D531F">
        <w:rPr>
          <w:rFonts w:asciiTheme="majorHAnsi" w:hAnsiTheme="majorHAnsi"/>
          <w:sz w:val="20"/>
          <w:szCs w:val="20"/>
          <w:lang w:val="es-ES_tradnl"/>
        </w:rPr>
        <w:t xml:space="preserve"> propiedad colectiva privada</w:t>
      </w:r>
      <w:r w:rsidR="008B33D9">
        <w:rPr>
          <w:rFonts w:asciiTheme="majorHAnsi" w:hAnsiTheme="majorHAnsi"/>
          <w:sz w:val="20"/>
          <w:szCs w:val="20"/>
          <w:lang w:val="es-ES_tradnl"/>
        </w:rPr>
        <w:t xml:space="preserve"> y</w:t>
      </w:r>
      <w:r w:rsidR="00BF2F39" w:rsidRPr="006D531F">
        <w:rPr>
          <w:rFonts w:asciiTheme="majorHAnsi" w:hAnsiTheme="majorHAnsi"/>
          <w:sz w:val="20"/>
          <w:szCs w:val="20"/>
          <w:lang w:val="es-ES_tradnl"/>
        </w:rPr>
        <w:t xml:space="preserve"> que son gestionadas por organizaciones sociales de diverso tipo (</w:t>
      </w:r>
      <w:r w:rsidR="00BF2F39" w:rsidRPr="006D531F">
        <w:rPr>
          <w:rFonts w:asciiTheme="majorHAnsi" w:hAnsiTheme="majorHAnsi" w:cs="Arial"/>
          <w:sz w:val="20"/>
          <w:szCs w:val="20"/>
          <w:lang w:val="es-PE"/>
        </w:rPr>
        <w:t>federaciones, asociaciones, juntas directivas comunales o regionales o cooperativas). Asimismo, no tienen fines de lucro, sino que actúan con una finalidad social</w:t>
      </w:r>
      <w:r w:rsidR="00EF42C2" w:rsidRPr="006D531F">
        <w:rPr>
          <w:rFonts w:asciiTheme="majorHAnsi" w:hAnsiTheme="majorHAnsi" w:cs="Arial"/>
          <w:sz w:val="20"/>
          <w:szCs w:val="20"/>
          <w:lang w:val="es-PE"/>
        </w:rPr>
        <w:t xml:space="preserve"> que aporta</w:t>
      </w:r>
      <w:r w:rsidR="008B33D9">
        <w:rPr>
          <w:rFonts w:asciiTheme="majorHAnsi" w:hAnsiTheme="majorHAnsi" w:cs="Arial"/>
          <w:sz w:val="20"/>
          <w:szCs w:val="20"/>
          <w:lang w:val="es-PE"/>
        </w:rPr>
        <w:t xml:space="preserve"> en el marco de un proyecto d</w:t>
      </w:r>
      <w:r w:rsidR="00534A7E">
        <w:rPr>
          <w:rFonts w:asciiTheme="majorHAnsi" w:hAnsiTheme="majorHAnsi" w:cs="Arial"/>
          <w:sz w:val="20"/>
          <w:szCs w:val="20"/>
          <w:lang w:val="es-PE"/>
        </w:rPr>
        <w:t>i</w:t>
      </w:r>
      <w:r w:rsidR="008B33D9">
        <w:rPr>
          <w:rFonts w:asciiTheme="majorHAnsi" w:hAnsiTheme="majorHAnsi" w:cs="Arial"/>
          <w:sz w:val="20"/>
          <w:szCs w:val="20"/>
          <w:lang w:val="es-PE"/>
        </w:rPr>
        <w:t>rigido</w:t>
      </w:r>
      <w:r w:rsidR="00EF42C2" w:rsidRPr="006D531F">
        <w:rPr>
          <w:rFonts w:asciiTheme="majorHAnsi" w:hAnsiTheme="majorHAnsi" w:cs="Arial"/>
          <w:sz w:val="20"/>
          <w:szCs w:val="20"/>
          <w:lang w:val="es-PE"/>
        </w:rPr>
        <w:t xml:space="preserve"> a su comunidad, la cual frecuentemente se encuentra en situación de pobreza.</w:t>
      </w:r>
      <w:r w:rsidR="00BF2F39" w:rsidRPr="006D531F">
        <w:rPr>
          <w:rFonts w:asciiTheme="majorHAnsi" w:hAnsiTheme="majorHAnsi" w:cs="Arial"/>
          <w:sz w:val="20"/>
          <w:szCs w:val="20"/>
          <w:lang w:val="es-PE"/>
        </w:rPr>
        <w:t xml:space="preserve"> </w:t>
      </w:r>
      <w:r w:rsidR="00BF2F39" w:rsidRPr="006D531F">
        <w:rPr>
          <w:rFonts w:asciiTheme="majorHAnsi" w:hAnsiTheme="majorHAnsi"/>
          <w:sz w:val="20"/>
          <w:szCs w:val="20"/>
          <w:lang w:val="es-PE"/>
        </w:rPr>
        <w:t>Su característica fundamental es la participación de la comunidad tanto en la propiedad del medio como en la programación, administra</w:t>
      </w:r>
      <w:r w:rsidR="00EF42C2" w:rsidRPr="006D531F">
        <w:rPr>
          <w:rFonts w:asciiTheme="majorHAnsi" w:hAnsiTheme="majorHAnsi"/>
          <w:sz w:val="20"/>
          <w:szCs w:val="20"/>
          <w:lang w:val="es-PE"/>
        </w:rPr>
        <w:t xml:space="preserve">ción, operación, financiamiento </w:t>
      </w:r>
      <w:r w:rsidR="00BF2F39" w:rsidRPr="006D531F">
        <w:rPr>
          <w:rFonts w:asciiTheme="majorHAnsi" w:hAnsiTheme="majorHAnsi"/>
          <w:sz w:val="20"/>
          <w:szCs w:val="20"/>
          <w:lang w:val="es-PE"/>
        </w:rPr>
        <w:t xml:space="preserve">y evaluación. </w:t>
      </w:r>
      <w:r w:rsidR="009275FE" w:rsidRPr="006D531F">
        <w:rPr>
          <w:rFonts w:asciiTheme="majorHAnsi" w:hAnsiTheme="majorHAnsi"/>
          <w:sz w:val="20"/>
          <w:szCs w:val="20"/>
          <w:lang w:val="es-PE"/>
        </w:rPr>
        <w:t xml:space="preserve">Lo anterior no debe ser interpretado en el sentido de entender a las radios comunitarias como medios de comunicación de cobertura restringida o local, </w:t>
      </w:r>
      <w:r w:rsidR="008B33D9">
        <w:rPr>
          <w:rFonts w:asciiTheme="majorHAnsi" w:hAnsiTheme="majorHAnsi"/>
          <w:sz w:val="20"/>
          <w:szCs w:val="20"/>
          <w:lang w:val="es-PE"/>
        </w:rPr>
        <w:t>ya</w:t>
      </w:r>
      <w:r w:rsidR="009275FE" w:rsidRPr="006D531F">
        <w:rPr>
          <w:rFonts w:asciiTheme="majorHAnsi" w:hAnsiTheme="majorHAnsi"/>
          <w:sz w:val="20"/>
          <w:szCs w:val="20"/>
          <w:lang w:val="es-PE"/>
        </w:rPr>
        <w:t xml:space="preserve"> que muchas de ellas podrían tener presencia nacional</w:t>
      </w:r>
      <w:r w:rsidR="008B33D9">
        <w:rPr>
          <w:rFonts w:asciiTheme="majorHAnsi" w:hAnsiTheme="majorHAnsi"/>
          <w:sz w:val="20"/>
          <w:szCs w:val="20"/>
          <w:lang w:val="es-PE"/>
        </w:rPr>
        <w:t xml:space="preserve"> debido a que la comunidad podría definirse por su rama sindical o los derechos fundamentales que defiende y promueve la asociación</w:t>
      </w:r>
      <w:r w:rsidR="009275FE" w:rsidRPr="006D531F">
        <w:rPr>
          <w:rFonts w:asciiTheme="majorHAnsi" w:hAnsiTheme="majorHAnsi"/>
          <w:sz w:val="20"/>
          <w:szCs w:val="20"/>
          <w:lang w:val="es-PE"/>
        </w:rPr>
        <w:t>.</w:t>
      </w:r>
    </w:p>
    <w:p w14:paraId="0E148F8F" w14:textId="77777777" w:rsidR="00F11D52" w:rsidRPr="006D531F" w:rsidRDefault="00F11D52" w:rsidP="00F11D52">
      <w:pPr>
        <w:pStyle w:val="ListParagraph"/>
        <w:rPr>
          <w:rFonts w:asciiTheme="majorHAnsi" w:hAnsiTheme="majorHAnsi"/>
          <w:color w:val="auto"/>
          <w:sz w:val="20"/>
          <w:szCs w:val="20"/>
          <w:lang w:val="es-ES_tradnl"/>
        </w:rPr>
      </w:pPr>
    </w:p>
    <w:p w14:paraId="45D40E0E" w14:textId="77777777" w:rsidR="009225A6" w:rsidRPr="006D531F" w:rsidRDefault="009225A6" w:rsidP="00841FC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cs="Arial"/>
          <w:sz w:val="20"/>
          <w:szCs w:val="20"/>
          <w:lang w:val="es-AR"/>
        </w:rPr>
      </w:pPr>
      <w:r w:rsidRPr="006D531F">
        <w:rPr>
          <w:rFonts w:asciiTheme="majorHAnsi" w:hAnsiTheme="majorHAnsi"/>
          <w:sz w:val="20"/>
          <w:szCs w:val="20"/>
          <w:lang w:val="es-ES_tradnl"/>
        </w:rPr>
        <w:t>La Comisión estima que</w:t>
      </w:r>
      <w:r w:rsidR="003B56BC" w:rsidRPr="006D531F">
        <w:rPr>
          <w:rFonts w:asciiTheme="majorHAnsi" w:hAnsiTheme="majorHAnsi"/>
          <w:sz w:val="20"/>
          <w:szCs w:val="20"/>
          <w:lang w:val="es-ES_tradnl"/>
        </w:rPr>
        <w:t xml:space="preserve"> la normativa sobre radiodifusión comunitaria debe reconocer las características especiales de estos medios y contener, como mínimo, los siguientes elementos: (a) la existencia de procedimientos sencillos para la obtención de licencias; (b) la no exigencia de requisitos tecnológicos severos que les impida, en la práctica, siquiera que puedan plantear al Estado </w:t>
      </w:r>
      <w:r w:rsidRPr="006D531F">
        <w:rPr>
          <w:rFonts w:asciiTheme="majorHAnsi" w:hAnsiTheme="majorHAnsi"/>
          <w:sz w:val="20"/>
          <w:szCs w:val="20"/>
          <w:lang w:val="es-ES_tradnl"/>
        </w:rPr>
        <w:t xml:space="preserve">una solicitud de espacio; y (c) </w:t>
      </w:r>
      <w:r w:rsidRPr="006D531F">
        <w:rPr>
          <w:rFonts w:asciiTheme="majorHAnsi" w:hAnsiTheme="majorHAnsi"/>
          <w:sz w:val="20"/>
          <w:szCs w:val="20"/>
          <w:lang w:val="es-CO"/>
        </w:rPr>
        <w:t>la posibilidad de que utilicen distintas fuentes de financiación, como la publicidad</w:t>
      </w:r>
      <w:r w:rsidRPr="006D531F">
        <w:rPr>
          <w:rFonts w:asciiTheme="majorHAnsi" w:hAnsiTheme="majorHAnsi"/>
          <w:sz w:val="20"/>
          <w:szCs w:val="20"/>
          <w:lang w:val="es-ES_tradnl"/>
        </w:rPr>
        <w:t xml:space="preserve">. </w:t>
      </w:r>
      <w:r w:rsidRPr="006D531F">
        <w:rPr>
          <w:rFonts w:asciiTheme="majorHAnsi" w:hAnsiTheme="majorHAnsi"/>
          <w:sz w:val="20"/>
          <w:szCs w:val="20"/>
          <w:lang w:val="es-CO"/>
        </w:rPr>
        <w:t>En todo caso, la legislación debería incluir suficientes garantías para que por vía de la financiación oficial no se conviertan en medios dependientes del Estado.</w:t>
      </w:r>
      <w:r w:rsidR="007A36AB" w:rsidRPr="006D531F">
        <w:rPr>
          <w:rFonts w:asciiTheme="majorHAnsi" w:hAnsiTheme="majorHAnsi"/>
          <w:sz w:val="20"/>
          <w:szCs w:val="20"/>
          <w:lang w:val="es-CO"/>
        </w:rPr>
        <w:t xml:space="preserve"> </w:t>
      </w:r>
    </w:p>
    <w:p w14:paraId="732C1642" w14:textId="77777777" w:rsidR="007A36AB" w:rsidRPr="006D531F" w:rsidRDefault="007A36AB" w:rsidP="007A36A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PE"/>
        </w:rPr>
      </w:pPr>
    </w:p>
    <w:p w14:paraId="7D5EE6BF" w14:textId="77777777" w:rsidR="00986F24" w:rsidRPr="000250D4" w:rsidRDefault="00423C8E" w:rsidP="000250D4">
      <w:pPr>
        <w:pStyle w:val="Heading5"/>
        <w:rPr>
          <w:b/>
          <w:bCs/>
        </w:rPr>
      </w:pPr>
      <w:bookmarkStart w:id="36" w:name="_Toc266701122"/>
      <w:r w:rsidRPr="000250D4">
        <w:rPr>
          <w:b/>
          <w:bCs/>
        </w:rPr>
        <w:t xml:space="preserve">Reservas de espectro, procedimientos sencillos, </w:t>
      </w:r>
      <w:r w:rsidR="00986F24" w:rsidRPr="000250D4">
        <w:rPr>
          <w:b/>
          <w:bCs/>
        </w:rPr>
        <w:t>y condiciones equitativas de acceso y de uso de las licencias</w:t>
      </w:r>
      <w:bookmarkEnd w:id="36"/>
    </w:p>
    <w:p w14:paraId="3CC7287F" w14:textId="77777777" w:rsidR="00986F24" w:rsidRPr="006D531F" w:rsidRDefault="00986F24" w:rsidP="00986F24">
      <w:pPr>
        <w:ind w:right="406"/>
        <w:jc w:val="both"/>
        <w:rPr>
          <w:rFonts w:asciiTheme="majorHAnsi" w:hAnsiTheme="majorHAnsi"/>
          <w:sz w:val="20"/>
          <w:szCs w:val="20"/>
          <w:lang w:val="es-ES_tradnl"/>
        </w:rPr>
      </w:pPr>
    </w:p>
    <w:p w14:paraId="3F695466" w14:textId="77777777" w:rsidR="00986F24" w:rsidRPr="006D531F" w:rsidRDefault="006A5FB4" w:rsidP="006D65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_tradnl"/>
        </w:rPr>
      </w:pPr>
      <w:r w:rsidRPr="006D531F">
        <w:rPr>
          <w:rFonts w:asciiTheme="majorHAnsi" w:hAnsiTheme="majorHAnsi"/>
          <w:sz w:val="20"/>
          <w:szCs w:val="20"/>
          <w:lang w:val="es-ES_tradnl"/>
        </w:rPr>
        <w:t xml:space="preserve">La Comisión estima que el solo reconocimiento legal no es suficiente para garantizar </w:t>
      </w:r>
      <w:r w:rsidR="00AE452E" w:rsidRPr="006D531F">
        <w:rPr>
          <w:rFonts w:asciiTheme="majorHAnsi" w:hAnsiTheme="majorHAnsi"/>
          <w:sz w:val="20"/>
          <w:szCs w:val="20"/>
          <w:lang w:val="es-ES_tradnl"/>
        </w:rPr>
        <w:t xml:space="preserve">la libertad de expresión, si existen </w:t>
      </w:r>
      <w:r w:rsidR="00AE452E" w:rsidRPr="006D531F">
        <w:rPr>
          <w:rFonts w:asciiTheme="majorHAnsi" w:hAnsiTheme="majorHAnsi"/>
          <w:sz w:val="20"/>
          <w:szCs w:val="20"/>
          <w:lang w:val="es-PE"/>
        </w:rPr>
        <w:t xml:space="preserve">normas que establecen condiciones arbitrarias o discriminatorias en el uso de la licencia. En este sentido, </w:t>
      </w:r>
      <w:r w:rsidR="00AE452E" w:rsidRPr="006D531F">
        <w:rPr>
          <w:rFonts w:asciiTheme="majorHAnsi" w:hAnsiTheme="majorHAnsi"/>
          <w:sz w:val="20"/>
          <w:szCs w:val="20"/>
          <w:lang w:val="es-ES_tradnl"/>
        </w:rPr>
        <w:t>d</w:t>
      </w:r>
      <w:r w:rsidR="00986F24" w:rsidRPr="006D531F">
        <w:rPr>
          <w:rFonts w:asciiTheme="majorHAnsi" w:hAnsiTheme="majorHAnsi"/>
          <w:sz w:val="20"/>
          <w:szCs w:val="20"/>
          <w:lang w:val="es-ES_tradnl"/>
        </w:rPr>
        <w:t xml:space="preserve">ada la situación de exclusión existente, los </w:t>
      </w:r>
      <w:r w:rsidR="00986F24" w:rsidRPr="006D531F">
        <w:rPr>
          <w:rFonts w:asciiTheme="majorHAnsi" w:hAnsiTheme="majorHAnsi"/>
          <w:sz w:val="20"/>
          <w:szCs w:val="20"/>
          <w:lang w:val="es-CO"/>
        </w:rPr>
        <w:t xml:space="preserve">Estados deben adoptar medidas positivas para </w:t>
      </w:r>
      <w:r w:rsidR="00986F24" w:rsidRPr="006D531F">
        <w:rPr>
          <w:rFonts w:asciiTheme="majorHAnsi" w:hAnsiTheme="majorHAnsi"/>
          <w:sz w:val="20"/>
          <w:szCs w:val="20"/>
          <w:lang w:val="es-ES_tradnl"/>
        </w:rPr>
        <w:t>incluir</w:t>
      </w:r>
      <w:r w:rsidR="00986F24" w:rsidRPr="006D531F">
        <w:rPr>
          <w:rFonts w:asciiTheme="majorHAnsi" w:hAnsiTheme="majorHAnsi"/>
          <w:sz w:val="20"/>
          <w:szCs w:val="20"/>
          <w:lang w:val="es-CO"/>
        </w:rPr>
        <w:t xml:space="preserve"> a los sectores sin fines comerciales en los medios de comunicación</w:t>
      </w:r>
      <w:r w:rsidR="00986F24" w:rsidRPr="006D531F">
        <w:rPr>
          <w:rStyle w:val="FootnoteReference"/>
          <w:rFonts w:asciiTheme="majorHAnsi" w:hAnsiTheme="majorHAnsi"/>
          <w:sz w:val="20"/>
          <w:szCs w:val="20"/>
          <w:lang w:val="es-CO"/>
        </w:rPr>
        <w:footnoteReference w:id="90"/>
      </w:r>
      <w:r w:rsidR="00986F24" w:rsidRPr="006D531F">
        <w:rPr>
          <w:rFonts w:asciiTheme="majorHAnsi" w:hAnsiTheme="majorHAnsi"/>
          <w:sz w:val="20"/>
          <w:szCs w:val="20"/>
          <w:lang w:val="es-CO"/>
        </w:rPr>
        <w:t xml:space="preserve">. Entre estas medidas aparece la de asegurar frecuencias del espectro de radiodifusión para los distintos tipos de medios, y disponer específicamente que ciertas frecuencias sean reservadas para el uso de los medios comunitarios, en especial cuando éstos no estén representados equitativamente en el espectro. </w:t>
      </w:r>
      <w:r w:rsidR="00986F24" w:rsidRPr="006D531F">
        <w:rPr>
          <w:rFonts w:asciiTheme="majorHAnsi" w:hAnsiTheme="majorHAnsi"/>
          <w:sz w:val="20"/>
          <w:szCs w:val="20"/>
          <w:lang w:val="es-ES_tradnl"/>
        </w:rPr>
        <w:t xml:space="preserve">Al respecto, la </w:t>
      </w:r>
      <w:r w:rsidR="006D652A" w:rsidRPr="006D531F">
        <w:rPr>
          <w:rFonts w:asciiTheme="majorHAnsi" w:hAnsiTheme="majorHAnsi"/>
          <w:sz w:val="20"/>
          <w:szCs w:val="20"/>
          <w:lang w:val="es-ES_tradnl"/>
        </w:rPr>
        <w:t>Comisión considera</w:t>
      </w:r>
      <w:r w:rsidR="00986F24" w:rsidRPr="006D531F">
        <w:rPr>
          <w:rFonts w:asciiTheme="majorHAnsi" w:hAnsiTheme="majorHAnsi"/>
          <w:sz w:val="20"/>
          <w:szCs w:val="20"/>
          <w:lang w:val="es-ES_tradnl"/>
        </w:rPr>
        <w:t xml:space="preserve"> que la regulación sobre radiodifusión </w:t>
      </w:r>
      <w:r w:rsidR="006D652A" w:rsidRPr="006D531F">
        <w:rPr>
          <w:rFonts w:asciiTheme="majorHAnsi" w:hAnsiTheme="majorHAnsi"/>
          <w:sz w:val="20"/>
          <w:szCs w:val="20"/>
          <w:lang w:val="es-ES_tradnl"/>
        </w:rPr>
        <w:t>debe</w:t>
      </w:r>
      <w:r w:rsidR="00986F24" w:rsidRPr="006D531F">
        <w:rPr>
          <w:rFonts w:asciiTheme="majorHAnsi" w:hAnsiTheme="majorHAnsi"/>
          <w:sz w:val="20"/>
          <w:szCs w:val="20"/>
          <w:lang w:val="es-ES_tradnl"/>
        </w:rPr>
        <w:t xml:space="preserve"> de destinar parte del espectro a medios de comunicación comunitarios</w:t>
      </w:r>
      <w:r w:rsidR="00986F24" w:rsidRPr="006D531F">
        <w:rPr>
          <w:rStyle w:val="FootnoteReference"/>
          <w:rFonts w:asciiTheme="majorHAnsi" w:hAnsiTheme="majorHAnsi"/>
          <w:sz w:val="20"/>
          <w:szCs w:val="20"/>
        </w:rPr>
        <w:footnoteReference w:id="91"/>
      </w:r>
      <w:r w:rsidR="00986F24" w:rsidRPr="006D531F">
        <w:rPr>
          <w:rFonts w:asciiTheme="majorHAnsi" w:hAnsiTheme="majorHAnsi"/>
          <w:sz w:val="20"/>
          <w:szCs w:val="20"/>
          <w:lang w:val="es-ES_tradnl"/>
        </w:rPr>
        <w:t>.</w:t>
      </w:r>
    </w:p>
    <w:p w14:paraId="46D792BD" w14:textId="77777777" w:rsidR="00D50388" w:rsidRPr="006D531F" w:rsidRDefault="00D50388" w:rsidP="00D50388">
      <w:pPr>
        <w:pStyle w:val="ListParagraph"/>
        <w:rPr>
          <w:rFonts w:asciiTheme="majorHAnsi" w:hAnsiTheme="majorHAnsi" w:cs="Arial"/>
          <w:color w:val="auto"/>
          <w:sz w:val="20"/>
          <w:szCs w:val="20"/>
          <w:lang w:val="es-AR"/>
        </w:rPr>
      </w:pPr>
    </w:p>
    <w:p w14:paraId="572533A7" w14:textId="77777777" w:rsidR="00986F24" w:rsidRPr="006D531F" w:rsidRDefault="00986F24" w:rsidP="006D65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_tradnl"/>
        </w:rPr>
      </w:pPr>
      <w:r w:rsidRPr="006D531F">
        <w:rPr>
          <w:rFonts w:asciiTheme="majorHAnsi" w:hAnsiTheme="majorHAnsi"/>
          <w:sz w:val="20"/>
          <w:szCs w:val="20"/>
          <w:lang w:val="es-CO"/>
        </w:rPr>
        <w:t xml:space="preserve">Otra de las medidas que debe promover el Estado para generar oportunidades equitativas para una </w:t>
      </w:r>
      <w:r w:rsidRPr="006D531F">
        <w:rPr>
          <w:rFonts w:asciiTheme="majorHAnsi" w:hAnsiTheme="majorHAnsi"/>
          <w:sz w:val="20"/>
          <w:szCs w:val="20"/>
          <w:lang w:val="es-ES_tradnl"/>
        </w:rPr>
        <w:t>igualdad</w:t>
      </w:r>
      <w:r w:rsidRPr="006D531F">
        <w:rPr>
          <w:rFonts w:asciiTheme="majorHAnsi" w:hAnsiTheme="majorHAnsi"/>
          <w:sz w:val="20"/>
          <w:szCs w:val="20"/>
          <w:lang w:val="es-CO"/>
        </w:rPr>
        <w:t xml:space="preserve"> real en el ejercicio del derecho a la libertad de expresión</w:t>
      </w:r>
      <w:r w:rsidR="002C495C">
        <w:rPr>
          <w:rFonts w:asciiTheme="majorHAnsi" w:hAnsiTheme="majorHAnsi"/>
          <w:sz w:val="20"/>
          <w:szCs w:val="20"/>
          <w:lang w:val="es-CO"/>
        </w:rPr>
        <w:t>,</w:t>
      </w:r>
      <w:r w:rsidRPr="006D531F">
        <w:rPr>
          <w:rFonts w:asciiTheme="majorHAnsi" w:hAnsiTheme="majorHAnsi"/>
          <w:sz w:val="20"/>
          <w:szCs w:val="20"/>
          <w:lang w:val="es-CO"/>
        </w:rPr>
        <w:t xml:space="preserve"> consagrado en el artículo 13 de la Convención Americana, es establecer procedimientos especiales para que los sectores sin fines comerciales</w:t>
      </w:r>
      <w:r w:rsidR="00423C8E" w:rsidRPr="006D531F">
        <w:rPr>
          <w:rFonts w:asciiTheme="majorHAnsi" w:hAnsiTheme="majorHAnsi"/>
          <w:sz w:val="20"/>
          <w:szCs w:val="20"/>
          <w:lang w:val="es-CO"/>
        </w:rPr>
        <w:t>, especialmente los pueblos indígenas,</w:t>
      </w:r>
      <w:r w:rsidRPr="006D531F">
        <w:rPr>
          <w:rFonts w:asciiTheme="majorHAnsi" w:hAnsiTheme="majorHAnsi"/>
          <w:sz w:val="20"/>
          <w:szCs w:val="20"/>
          <w:lang w:val="es-CO"/>
        </w:rPr>
        <w:t xml:space="preserve"> puedan acceder a las licencias</w:t>
      </w:r>
      <w:r w:rsidR="00B52CB4" w:rsidRPr="006D531F">
        <w:rPr>
          <w:rStyle w:val="FootnoteReference"/>
          <w:rFonts w:asciiTheme="majorHAnsi" w:hAnsiTheme="majorHAnsi"/>
          <w:sz w:val="20"/>
          <w:szCs w:val="20"/>
          <w:lang w:val="es-CO"/>
        </w:rPr>
        <w:footnoteReference w:id="92"/>
      </w:r>
      <w:r w:rsidRPr="006D531F">
        <w:rPr>
          <w:rFonts w:asciiTheme="majorHAnsi" w:hAnsiTheme="majorHAnsi"/>
          <w:sz w:val="20"/>
          <w:szCs w:val="20"/>
          <w:lang w:val="es-CO"/>
        </w:rPr>
        <w:t>. En tal sentido, deberían contemplarse procedimientos que no exijan requisitos tecnológicos</w:t>
      </w:r>
      <w:r w:rsidR="00423C8E" w:rsidRPr="006D531F">
        <w:rPr>
          <w:rFonts w:asciiTheme="majorHAnsi" w:hAnsiTheme="majorHAnsi"/>
          <w:sz w:val="20"/>
          <w:szCs w:val="20"/>
          <w:lang w:val="es-CO"/>
        </w:rPr>
        <w:t xml:space="preserve"> o administrativos</w:t>
      </w:r>
      <w:r w:rsidRPr="006D531F">
        <w:rPr>
          <w:rFonts w:asciiTheme="majorHAnsi" w:hAnsiTheme="majorHAnsi"/>
          <w:sz w:val="20"/>
          <w:szCs w:val="20"/>
          <w:lang w:val="es-CO"/>
        </w:rPr>
        <w:t xml:space="preserve"> severos que, en la práctica, impacten discriminatoriamente en estos sectores impidiéndoles siquiera formalizar una solicitud de licencia. Por el contrario, los requisitos para acceder a las licencias deberían contemplar las necesidades específicas de los radiodifusores comunitarios.</w:t>
      </w:r>
      <w:r w:rsidR="00423C8E" w:rsidRPr="006D531F">
        <w:rPr>
          <w:rFonts w:asciiTheme="majorHAnsi" w:hAnsiTheme="majorHAnsi"/>
          <w:sz w:val="20"/>
          <w:szCs w:val="20"/>
          <w:lang w:val="es-CO"/>
        </w:rPr>
        <w:t xml:space="preserve"> </w:t>
      </w:r>
      <w:r w:rsidR="00423C8E" w:rsidRPr="006D531F">
        <w:rPr>
          <w:rFonts w:asciiTheme="majorHAnsi" w:hAnsiTheme="majorHAnsi"/>
          <w:sz w:val="20"/>
          <w:szCs w:val="20"/>
          <w:lang w:val="es-PE"/>
        </w:rPr>
        <w:t>Asimismo, l</w:t>
      </w:r>
      <w:r w:rsidR="00423C8E" w:rsidRPr="006D531F">
        <w:rPr>
          <w:rFonts w:asciiTheme="majorHAnsi" w:hAnsiTheme="majorHAnsi"/>
          <w:sz w:val="20"/>
          <w:szCs w:val="20"/>
          <w:lang w:val="es-ES_tradnl"/>
        </w:rPr>
        <w:t>a distancia geográfica tampoco debería operar como una barrera para el acceso a las licencias, por ejemplo</w:t>
      </w:r>
      <w:r w:rsidR="00802737">
        <w:rPr>
          <w:rFonts w:asciiTheme="majorHAnsi" w:hAnsiTheme="majorHAnsi"/>
          <w:sz w:val="20"/>
          <w:szCs w:val="20"/>
          <w:lang w:val="es-ES_tradnl"/>
        </w:rPr>
        <w:t>,</w:t>
      </w:r>
      <w:r w:rsidR="00423C8E" w:rsidRPr="006D531F">
        <w:rPr>
          <w:rFonts w:asciiTheme="majorHAnsi" w:hAnsiTheme="majorHAnsi"/>
          <w:sz w:val="20"/>
          <w:szCs w:val="20"/>
          <w:lang w:val="es-ES_tradnl"/>
        </w:rPr>
        <w:t xml:space="preserve"> exigiendo a los medios de comunicación rurales trasladarse a la capital del país para formalizar una solicitud, ni debería limitarse </w:t>
      </w:r>
      <w:r w:rsidR="00E30C15" w:rsidRPr="006D531F">
        <w:rPr>
          <w:rFonts w:asciiTheme="majorHAnsi" w:hAnsiTheme="majorHAnsi"/>
          <w:sz w:val="20"/>
          <w:szCs w:val="20"/>
          <w:lang w:val="es-ES_tradnl"/>
        </w:rPr>
        <w:t>de forma previa y arbitraria el alcance de la cobertura del medio comunitario.</w:t>
      </w:r>
    </w:p>
    <w:p w14:paraId="493B6316" w14:textId="77777777" w:rsidR="00986F24" w:rsidRPr="006D531F" w:rsidRDefault="00986F24" w:rsidP="00E30C15">
      <w:pPr>
        <w:ind w:right="406"/>
        <w:jc w:val="both"/>
        <w:rPr>
          <w:rFonts w:asciiTheme="majorHAnsi" w:hAnsiTheme="majorHAnsi"/>
          <w:sz w:val="20"/>
          <w:szCs w:val="20"/>
          <w:lang w:val="es-CO"/>
        </w:rPr>
      </w:pPr>
    </w:p>
    <w:p w14:paraId="06551F88" w14:textId="77777777" w:rsidR="00E30C15" w:rsidRPr="006D531F" w:rsidRDefault="00E30C15" w:rsidP="00E30C1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R"/>
        </w:rPr>
      </w:pPr>
      <w:r w:rsidRPr="006D531F">
        <w:rPr>
          <w:rFonts w:asciiTheme="majorHAnsi" w:hAnsiTheme="majorHAnsi"/>
          <w:sz w:val="20"/>
          <w:szCs w:val="20"/>
          <w:lang w:val="es-ES_tradnl"/>
        </w:rPr>
        <w:t xml:space="preserve">Asimismo, </w:t>
      </w:r>
      <w:r w:rsidR="00986F24" w:rsidRPr="006D531F">
        <w:rPr>
          <w:rFonts w:asciiTheme="majorHAnsi" w:hAnsiTheme="majorHAnsi"/>
          <w:sz w:val="20"/>
          <w:szCs w:val="20"/>
          <w:lang w:val="es-PE"/>
        </w:rPr>
        <w:t>la entrega o renovación de licencias de radiodifusión debe estar sujeta a un procedimiento claro, justo y objetivo que tome en consideración la importancia de los medios de comunicación para que todos los sectores de la sociedad participen informadamente en el proceso democrático</w:t>
      </w:r>
      <w:r w:rsidR="00CC1FBD" w:rsidRPr="006D531F">
        <w:rPr>
          <w:rFonts w:asciiTheme="majorHAnsi" w:hAnsiTheme="majorHAnsi"/>
          <w:sz w:val="20"/>
          <w:szCs w:val="20"/>
          <w:lang w:val="es-PE"/>
        </w:rPr>
        <w:t xml:space="preserve"> y con criterios de </w:t>
      </w:r>
      <w:r w:rsidR="002724C8" w:rsidRPr="006D531F">
        <w:rPr>
          <w:rFonts w:asciiTheme="majorHAnsi" w:hAnsiTheme="majorHAnsi"/>
          <w:sz w:val="20"/>
          <w:szCs w:val="20"/>
          <w:lang w:val="es-PE"/>
        </w:rPr>
        <w:t>selecci</w:t>
      </w:r>
      <w:r w:rsidR="00601D57" w:rsidRPr="006D531F">
        <w:rPr>
          <w:rFonts w:asciiTheme="majorHAnsi" w:hAnsiTheme="majorHAnsi"/>
          <w:sz w:val="20"/>
          <w:szCs w:val="20"/>
          <w:lang w:val="es-PE"/>
        </w:rPr>
        <w:t>ó</w:t>
      </w:r>
      <w:r w:rsidR="002724C8" w:rsidRPr="006D531F">
        <w:rPr>
          <w:rFonts w:asciiTheme="majorHAnsi" w:hAnsiTheme="majorHAnsi"/>
          <w:sz w:val="20"/>
          <w:szCs w:val="20"/>
          <w:lang w:val="es-PE"/>
        </w:rPr>
        <w:t>n específicos</w:t>
      </w:r>
      <w:r w:rsidR="00E55C31" w:rsidRPr="006D531F">
        <w:rPr>
          <w:rFonts w:asciiTheme="majorHAnsi" w:hAnsiTheme="majorHAnsi"/>
          <w:sz w:val="20"/>
          <w:szCs w:val="20"/>
          <w:lang w:val="es-PE"/>
        </w:rPr>
        <w:t xml:space="preserve"> de adjudicación</w:t>
      </w:r>
      <w:r w:rsidR="00E55C31" w:rsidRPr="006D531F">
        <w:rPr>
          <w:rStyle w:val="FootnoteReference"/>
          <w:rFonts w:asciiTheme="majorHAnsi" w:hAnsiTheme="majorHAnsi"/>
          <w:sz w:val="20"/>
          <w:szCs w:val="20"/>
          <w:lang w:val="es-PE"/>
        </w:rPr>
        <w:footnoteReference w:id="93"/>
      </w:r>
      <w:r w:rsidR="00E55C31" w:rsidRPr="006D531F">
        <w:rPr>
          <w:rFonts w:asciiTheme="majorHAnsi" w:hAnsiTheme="majorHAnsi"/>
          <w:sz w:val="20"/>
          <w:szCs w:val="20"/>
          <w:lang w:val="es-PE"/>
        </w:rPr>
        <w:t>.</w:t>
      </w:r>
      <w:r w:rsidR="002724C8" w:rsidRPr="006D531F">
        <w:rPr>
          <w:rFonts w:asciiTheme="majorHAnsi" w:hAnsiTheme="majorHAnsi"/>
          <w:sz w:val="20"/>
          <w:szCs w:val="20"/>
          <w:lang w:val="es-PE"/>
        </w:rPr>
        <w:t xml:space="preserve"> </w:t>
      </w:r>
      <w:r w:rsidR="00986F24" w:rsidRPr="006D531F">
        <w:rPr>
          <w:rFonts w:asciiTheme="majorHAnsi" w:hAnsiTheme="majorHAnsi"/>
          <w:sz w:val="20"/>
          <w:szCs w:val="20"/>
          <w:lang w:val="es-PE"/>
        </w:rPr>
        <w:t>Por lo tanto, las subastas que contemplen criterios únicamente económicos o que otorguen concesiones sin una oportunidad equitativa para todos los sectores</w:t>
      </w:r>
      <w:r w:rsidRPr="006D531F">
        <w:rPr>
          <w:rFonts w:asciiTheme="majorHAnsi" w:hAnsiTheme="majorHAnsi"/>
          <w:sz w:val="20"/>
          <w:szCs w:val="20"/>
          <w:lang w:val="es-PE"/>
        </w:rPr>
        <w:t>, en especial los pueblos indígenas quienes no cuentan con recursos económicos suficientes</w:t>
      </w:r>
      <w:r w:rsidR="00E55C31" w:rsidRPr="006D531F">
        <w:rPr>
          <w:rFonts w:asciiTheme="majorHAnsi" w:hAnsiTheme="majorHAnsi"/>
          <w:sz w:val="20"/>
          <w:szCs w:val="20"/>
          <w:lang w:val="es-PE"/>
        </w:rPr>
        <w:t xml:space="preserve"> </w:t>
      </w:r>
      <w:r w:rsidR="00986F24" w:rsidRPr="006D531F">
        <w:rPr>
          <w:rFonts w:asciiTheme="majorHAnsi" w:hAnsiTheme="majorHAnsi"/>
          <w:sz w:val="20"/>
          <w:szCs w:val="20"/>
          <w:lang w:val="es-PE"/>
        </w:rPr>
        <w:t>son incompatibles con la democracia y con el derecho a la libertad de expresión e información garantizados en la Convención Americana […] y e</w:t>
      </w:r>
      <w:r w:rsidRPr="006D531F">
        <w:rPr>
          <w:rFonts w:asciiTheme="majorHAnsi" w:hAnsiTheme="majorHAnsi"/>
          <w:sz w:val="20"/>
          <w:szCs w:val="20"/>
          <w:lang w:val="es-PE"/>
        </w:rPr>
        <w:t>n la Declaración de Principios”</w:t>
      </w:r>
      <w:r w:rsidR="00986F24" w:rsidRPr="006D531F">
        <w:rPr>
          <w:rStyle w:val="FootnoteReference"/>
          <w:rFonts w:asciiTheme="majorHAnsi" w:hAnsiTheme="majorHAnsi"/>
          <w:sz w:val="20"/>
          <w:szCs w:val="20"/>
          <w:lang w:val="es-CO"/>
        </w:rPr>
        <w:footnoteReference w:id="94"/>
      </w:r>
      <w:r w:rsidR="00986F24" w:rsidRPr="006D531F">
        <w:rPr>
          <w:rFonts w:asciiTheme="majorHAnsi" w:hAnsiTheme="majorHAnsi"/>
          <w:sz w:val="20"/>
          <w:szCs w:val="20"/>
          <w:lang w:val="es-PE"/>
        </w:rPr>
        <w:t xml:space="preserve">. </w:t>
      </w:r>
    </w:p>
    <w:p w14:paraId="0AA76466" w14:textId="77777777" w:rsidR="00C34EF9" w:rsidRPr="006D531F" w:rsidRDefault="00C34EF9" w:rsidP="00C34EF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R"/>
        </w:rPr>
      </w:pPr>
    </w:p>
    <w:p w14:paraId="52C3552D" w14:textId="77777777" w:rsidR="00986F24" w:rsidRPr="006D531F" w:rsidRDefault="005C0EFB" w:rsidP="001E26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_tradnl"/>
        </w:rPr>
      </w:pPr>
      <w:r w:rsidRPr="006D531F">
        <w:rPr>
          <w:rFonts w:asciiTheme="majorHAnsi" w:hAnsiTheme="majorHAnsi"/>
          <w:sz w:val="20"/>
          <w:szCs w:val="20"/>
          <w:lang w:val="es-CR"/>
        </w:rPr>
        <w:t xml:space="preserve">Asimismo, los Estados deben garantizar que la asignación de publicidad oficial no sea discriminatoria, como por ejemplo a través de medidas </w:t>
      </w:r>
      <w:r w:rsidR="003469AF" w:rsidRPr="006D531F">
        <w:rPr>
          <w:rFonts w:asciiTheme="majorHAnsi" w:hAnsiTheme="majorHAnsi"/>
          <w:sz w:val="20"/>
          <w:szCs w:val="20"/>
          <w:lang w:val="es-CR"/>
        </w:rPr>
        <w:t xml:space="preserve">arbitrarias </w:t>
      </w:r>
      <w:r w:rsidRPr="006D531F">
        <w:rPr>
          <w:rFonts w:asciiTheme="majorHAnsi" w:hAnsiTheme="majorHAnsi"/>
          <w:sz w:val="20"/>
          <w:szCs w:val="20"/>
          <w:lang w:val="es-CR"/>
        </w:rPr>
        <w:t>que obstaculicen</w:t>
      </w:r>
      <w:r w:rsidR="003469AF" w:rsidRPr="006D531F">
        <w:rPr>
          <w:rFonts w:asciiTheme="majorHAnsi" w:hAnsiTheme="majorHAnsi"/>
          <w:sz w:val="20"/>
          <w:szCs w:val="20"/>
          <w:lang w:val="es-CR"/>
        </w:rPr>
        <w:t xml:space="preserve"> la contratación con el Estado.</w:t>
      </w:r>
      <w:r w:rsidR="00127F4F" w:rsidRPr="006D531F">
        <w:rPr>
          <w:rFonts w:asciiTheme="majorHAnsi" w:hAnsiTheme="majorHAnsi"/>
          <w:sz w:val="20"/>
          <w:szCs w:val="20"/>
          <w:lang w:val="es-CR"/>
        </w:rPr>
        <w:t xml:space="preserve"> L</w:t>
      </w:r>
      <w:r w:rsidR="003469AF" w:rsidRPr="006D531F">
        <w:rPr>
          <w:rFonts w:asciiTheme="majorHAnsi" w:hAnsiTheme="majorHAnsi"/>
          <w:sz w:val="20"/>
          <w:szCs w:val="20"/>
          <w:lang w:val="es-CR"/>
        </w:rPr>
        <w:t xml:space="preserve">a Comisión considera que los Estados </w:t>
      </w:r>
      <w:r w:rsidR="008A51EA">
        <w:rPr>
          <w:rFonts w:asciiTheme="majorHAnsi" w:hAnsiTheme="majorHAnsi"/>
          <w:sz w:val="20"/>
          <w:szCs w:val="20"/>
          <w:lang w:val="es-CR"/>
        </w:rPr>
        <w:t>podrían</w:t>
      </w:r>
      <w:r w:rsidR="003469AF" w:rsidRPr="006D531F">
        <w:rPr>
          <w:rFonts w:asciiTheme="majorHAnsi" w:hAnsiTheme="majorHAnsi"/>
          <w:sz w:val="20"/>
          <w:szCs w:val="20"/>
          <w:lang w:val="es-CR"/>
        </w:rPr>
        <w:t xml:space="preserve"> adoptar</w:t>
      </w:r>
      <w:r w:rsidR="00127F4F" w:rsidRPr="006D531F">
        <w:rPr>
          <w:rFonts w:asciiTheme="majorHAnsi" w:hAnsiTheme="majorHAnsi"/>
          <w:sz w:val="20"/>
          <w:szCs w:val="20"/>
          <w:lang w:val="es-CR"/>
        </w:rPr>
        <w:t xml:space="preserve"> medidas afirmativas como la asignación de un porcentaje</w:t>
      </w:r>
      <w:r w:rsidR="008A51EA">
        <w:rPr>
          <w:rFonts w:asciiTheme="majorHAnsi" w:hAnsiTheme="majorHAnsi"/>
          <w:sz w:val="20"/>
          <w:szCs w:val="20"/>
          <w:lang w:val="es-CR"/>
        </w:rPr>
        <w:t xml:space="preserve"> mínimo</w:t>
      </w:r>
      <w:r w:rsidR="00127F4F" w:rsidRPr="006D531F">
        <w:rPr>
          <w:rFonts w:asciiTheme="majorHAnsi" w:hAnsiTheme="majorHAnsi"/>
          <w:sz w:val="20"/>
          <w:szCs w:val="20"/>
          <w:lang w:val="es-CR"/>
        </w:rPr>
        <w:t xml:space="preserve"> de la publicidad oficial para radios comunitarias de pueblos indígenas, adoptar forma</w:t>
      </w:r>
      <w:r w:rsidR="007275E4" w:rsidRPr="006D531F">
        <w:rPr>
          <w:rFonts w:asciiTheme="majorHAnsi" w:hAnsiTheme="majorHAnsi"/>
          <w:sz w:val="20"/>
          <w:szCs w:val="20"/>
          <w:lang w:val="es-CR"/>
        </w:rPr>
        <w:t>s</w:t>
      </w:r>
      <w:r w:rsidR="00127F4F" w:rsidRPr="006D531F">
        <w:rPr>
          <w:rFonts w:asciiTheme="majorHAnsi" w:hAnsiTheme="majorHAnsi"/>
          <w:sz w:val="20"/>
          <w:szCs w:val="20"/>
          <w:lang w:val="es-CR"/>
        </w:rPr>
        <w:t xml:space="preserve"> de financiamiento como política</w:t>
      </w:r>
      <w:r w:rsidR="007275E4" w:rsidRPr="006D531F">
        <w:rPr>
          <w:rFonts w:asciiTheme="majorHAnsi" w:hAnsiTheme="majorHAnsi"/>
          <w:sz w:val="20"/>
          <w:szCs w:val="20"/>
          <w:lang w:val="es-CR"/>
        </w:rPr>
        <w:t xml:space="preserve">s </w:t>
      </w:r>
      <w:r w:rsidR="00127F4F" w:rsidRPr="006D531F">
        <w:rPr>
          <w:rFonts w:asciiTheme="majorHAnsi" w:hAnsiTheme="majorHAnsi"/>
          <w:sz w:val="20"/>
          <w:szCs w:val="20"/>
          <w:lang w:val="es-CR"/>
        </w:rPr>
        <w:t xml:space="preserve">de fomento de dichas radios y exenciones o tasas especiales para tasas y gravámenes por la licencia o el uso del espectro, por ejemplo. </w:t>
      </w:r>
      <w:r w:rsidR="003469AF" w:rsidRPr="006D531F">
        <w:rPr>
          <w:rFonts w:asciiTheme="majorHAnsi" w:hAnsiTheme="majorHAnsi"/>
          <w:sz w:val="20"/>
          <w:szCs w:val="20"/>
          <w:lang w:val="es-CR"/>
        </w:rPr>
        <w:t xml:space="preserve"> </w:t>
      </w:r>
      <w:r w:rsidRPr="006D531F">
        <w:rPr>
          <w:rFonts w:asciiTheme="majorHAnsi" w:hAnsiTheme="majorHAnsi"/>
          <w:sz w:val="20"/>
          <w:szCs w:val="20"/>
          <w:lang w:val="es-CR"/>
        </w:rPr>
        <w:t xml:space="preserve"> </w:t>
      </w:r>
    </w:p>
    <w:p w14:paraId="2AA77B10" w14:textId="77777777" w:rsidR="00127F4F" w:rsidRPr="006D531F" w:rsidRDefault="00127F4F" w:rsidP="00127F4F">
      <w:pPr>
        <w:pStyle w:val="ListParagraph"/>
        <w:rPr>
          <w:rFonts w:asciiTheme="majorHAnsi" w:hAnsiTheme="majorHAnsi"/>
          <w:color w:val="auto"/>
          <w:sz w:val="20"/>
          <w:szCs w:val="20"/>
          <w:lang w:val="es-ES_tradnl"/>
        </w:rPr>
      </w:pPr>
    </w:p>
    <w:p w14:paraId="7628D4E0" w14:textId="77777777" w:rsidR="00127F4F" w:rsidRPr="006D531F" w:rsidRDefault="00A30F79" w:rsidP="001E267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_tradnl"/>
        </w:rPr>
      </w:pPr>
      <w:r w:rsidRPr="006D531F">
        <w:rPr>
          <w:rFonts w:asciiTheme="majorHAnsi" w:hAnsiTheme="majorHAnsi"/>
          <w:sz w:val="20"/>
          <w:szCs w:val="20"/>
          <w:lang w:val="es-PE"/>
        </w:rPr>
        <w:t>Por otro lado, los Estados deben tomar en consideración los datos que diferencian a los miembros de pueblos indígenas de la población en general, y que conforman la identidad cultural de aquéllos</w:t>
      </w:r>
      <w:r w:rsidRPr="006D531F">
        <w:rPr>
          <w:rStyle w:val="FootnoteReference"/>
          <w:rFonts w:asciiTheme="majorHAnsi" w:hAnsiTheme="majorHAnsi"/>
          <w:sz w:val="20"/>
          <w:szCs w:val="20"/>
        </w:rPr>
        <w:footnoteReference w:id="95"/>
      </w:r>
      <w:r w:rsidRPr="006D531F">
        <w:rPr>
          <w:rFonts w:asciiTheme="majorHAnsi" w:hAnsiTheme="majorHAnsi"/>
          <w:sz w:val="20"/>
          <w:szCs w:val="20"/>
          <w:lang w:val="es-PE"/>
        </w:rPr>
        <w:t xml:space="preserve">. </w:t>
      </w:r>
      <w:r w:rsidRPr="006D531F">
        <w:rPr>
          <w:rFonts w:asciiTheme="majorHAnsi" w:hAnsiTheme="majorHAnsi"/>
          <w:sz w:val="20"/>
          <w:szCs w:val="20"/>
          <w:lang w:val="es-ES_tradnl"/>
        </w:rPr>
        <w:t>En este sentido,</w:t>
      </w:r>
      <w:r w:rsidR="005560CB" w:rsidRPr="006D531F">
        <w:rPr>
          <w:rFonts w:asciiTheme="majorHAnsi" w:hAnsiTheme="majorHAnsi"/>
          <w:sz w:val="20"/>
          <w:szCs w:val="20"/>
          <w:lang w:val="es-ES_tradnl"/>
        </w:rPr>
        <w:t xml:space="preserve"> debe garantizar que las radios comunitarias de pueblos indígenas pueda</w:t>
      </w:r>
      <w:r w:rsidRPr="006D531F">
        <w:rPr>
          <w:rFonts w:asciiTheme="majorHAnsi" w:hAnsiTheme="majorHAnsi"/>
          <w:sz w:val="20"/>
          <w:szCs w:val="20"/>
          <w:lang w:val="es-ES_tradnl"/>
        </w:rPr>
        <w:t>n utilizar sus propias lenguas, al ser</w:t>
      </w:r>
      <w:r w:rsidRPr="006D531F">
        <w:rPr>
          <w:rFonts w:asciiTheme="majorHAnsi" w:hAnsiTheme="majorHAnsi"/>
          <w:sz w:val="20"/>
          <w:szCs w:val="20"/>
          <w:lang w:val="es-PE"/>
        </w:rPr>
        <w:t xml:space="preserve"> uno de los más importantes elementos de identidad de un pueblo, precisamente porque garantiza la expresión, difusión y transmisión de su cultura</w:t>
      </w:r>
      <w:r w:rsidR="005560CB" w:rsidRPr="006D531F">
        <w:rPr>
          <w:rStyle w:val="FootnoteReference"/>
          <w:rFonts w:asciiTheme="majorHAnsi" w:hAnsiTheme="majorHAnsi"/>
          <w:sz w:val="20"/>
          <w:szCs w:val="20"/>
          <w:lang w:val="es-ES_tradnl"/>
        </w:rPr>
        <w:footnoteReference w:id="96"/>
      </w:r>
      <w:r w:rsidR="005560CB" w:rsidRPr="006D531F">
        <w:rPr>
          <w:rFonts w:asciiTheme="majorHAnsi" w:hAnsiTheme="majorHAnsi"/>
          <w:sz w:val="20"/>
          <w:szCs w:val="20"/>
          <w:lang w:val="es-ES_tradnl"/>
        </w:rPr>
        <w:t xml:space="preserve">. </w:t>
      </w:r>
    </w:p>
    <w:p w14:paraId="177B7AD5" w14:textId="77777777" w:rsidR="00127F4F" w:rsidRPr="006D531F" w:rsidRDefault="00127F4F" w:rsidP="00127F4F">
      <w:pPr>
        <w:pBdr>
          <w:top w:val="none" w:sz="0" w:space="0" w:color="auto"/>
          <w:left w:val="none" w:sz="0" w:space="0" w:color="auto"/>
          <w:bottom w:val="none" w:sz="0" w:space="0" w:color="auto"/>
          <w:right w:val="none" w:sz="0" w:space="0" w:color="auto"/>
          <w:between w:val="none" w:sz="0" w:space="0" w:color="auto"/>
          <w:bar w:val="none" w:sz="0" w:color="auto"/>
        </w:pBdr>
        <w:ind w:right="406"/>
        <w:jc w:val="both"/>
        <w:rPr>
          <w:rFonts w:asciiTheme="majorHAnsi" w:hAnsiTheme="majorHAnsi"/>
          <w:sz w:val="20"/>
          <w:szCs w:val="20"/>
          <w:lang w:val="es-ES_tradnl"/>
        </w:rPr>
      </w:pPr>
    </w:p>
    <w:p w14:paraId="7723EEC1" w14:textId="77777777" w:rsidR="00C13178" w:rsidRPr="006D531F" w:rsidRDefault="00C13178" w:rsidP="006D65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_tradnl"/>
        </w:rPr>
      </w:pPr>
      <w:r w:rsidRPr="006D531F">
        <w:rPr>
          <w:rFonts w:asciiTheme="majorHAnsi" w:hAnsiTheme="majorHAnsi"/>
          <w:sz w:val="20"/>
          <w:szCs w:val="20"/>
          <w:lang w:val="es-PE"/>
        </w:rPr>
        <w:t>En todo caso, es fundamental que los requisitos administrativos, económicos y técnicos que se exijan para el uso de licencias sean los estrictamente necesarios para garantizar su funcionamiento, que estén previstos en la regulación de modo claro y preciso, y que no puedan ser modificados de manera injustificada mientras dura la licencia.</w:t>
      </w:r>
    </w:p>
    <w:p w14:paraId="388B56DA" w14:textId="77777777" w:rsidR="00B52CB4" w:rsidRPr="006D531F" w:rsidRDefault="00B52CB4" w:rsidP="00B52CB4">
      <w:pPr>
        <w:pStyle w:val="ListParagraph"/>
        <w:rPr>
          <w:rFonts w:asciiTheme="majorHAnsi" w:hAnsiTheme="majorHAnsi"/>
          <w:color w:val="auto"/>
          <w:sz w:val="20"/>
          <w:szCs w:val="20"/>
          <w:lang w:val="es-ES_tradnl"/>
        </w:rPr>
      </w:pPr>
    </w:p>
    <w:p w14:paraId="548FC309" w14:textId="77777777" w:rsidR="00FE20DD" w:rsidRPr="00094710" w:rsidRDefault="0057529D" w:rsidP="00094710">
      <w:pPr>
        <w:pStyle w:val="Heading4"/>
        <w:numPr>
          <w:ilvl w:val="1"/>
          <w:numId w:val="71"/>
        </w:numPr>
      </w:pPr>
      <w:r w:rsidRPr="00094710">
        <w:lastRenderedPageBreak/>
        <w:t xml:space="preserve">Derecho comparado sobre </w:t>
      </w:r>
      <w:r w:rsidR="00ED25A9" w:rsidRPr="00094710">
        <w:t>r</w:t>
      </w:r>
      <w:r w:rsidR="0053186B" w:rsidRPr="00094710">
        <w:t xml:space="preserve">egulación de radios comunitarias </w:t>
      </w:r>
    </w:p>
    <w:p w14:paraId="2A3A01F1" w14:textId="77777777" w:rsidR="00E66281" w:rsidRPr="006D531F" w:rsidRDefault="00E66281" w:rsidP="000A6C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14:paraId="0E6953F2" w14:textId="77777777" w:rsidR="00997288" w:rsidRPr="006D531F" w:rsidRDefault="00997288" w:rsidP="00D449D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PE"/>
        </w:rPr>
      </w:pPr>
      <w:r w:rsidRPr="006D531F">
        <w:rPr>
          <w:rFonts w:asciiTheme="majorHAnsi" w:hAnsiTheme="majorHAnsi"/>
          <w:sz w:val="20"/>
          <w:szCs w:val="20"/>
          <w:lang w:val="es-PE"/>
        </w:rPr>
        <w:t>La Comisión nota que</w:t>
      </w:r>
      <w:r w:rsidR="00802737">
        <w:rPr>
          <w:rFonts w:asciiTheme="majorHAnsi" w:hAnsiTheme="majorHAnsi"/>
          <w:sz w:val="20"/>
          <w:szCs w:val="20"/>
          <w:lang w:val="es-PE"/>
        </w:rPr>
        <w:t>,</w:t>
      </w:r>
      <w:r w:rsidRPr="006D531F">
        <w:rPr>
          <w:rFonts w:asciiTheme="majorHAnsi" w:hAnsiTheme="majorHAnsi"/>
          <w:sz w:val="20"/>
          <w:szCs w:val="20"/>
          <w:lang w:val="es-PE"/>
        </w:rPr>
        <w:t xml:space="preserve"> </w:t>
      </w:r>
      <w:r w:rsidR="008A51EA">
        <w:rPr>
          <w:rFonts w:asciiTheme="majorHAnsi" w:hAnsiTheme="majorHAnsi"/>
          <w:sz w:val="20"/>
          <w:szCs w:val="20"/>
          <w:lang w:val="es-PE"/>
        </w:rPr>
        <w:t>en línea con los estándares interamericanos mencionados, existe una firme tendencia</w:t>
      </w:r>
      <w:r w:rsidRPr="006D531F">
        <w:rPr>
          <w:rFonts w:asciiTheme="majorHAnsi" w:hAnsiTheme="majorHAnsi"/>
          <w:sz w:val="20"/>
          <w:szCs w:val="20"/>
          <w:lang w:val="es-PE"/>
        </w:rPr>
        <w:t xml:space="preserve"> legislativa al reconocimiento legal de las radios comunitarias en la región, con distintos matices. Existen 13 países en la región latinoamericana que en la actualidad reconocen legalmente la existencia de medios comunitarios y regulan, en mayor o menor medida, su funcionamiento</w:t>
      </w:r>
      <w:r w:rsidRPr="006D531F">
        <w:rPr>
          <w:rStyle w:val="FootnoteReference"/>
          <w:rFonts w:asciiTheme="majorHAnsi" w:hAnsiTheme="majorHAnsi"/>
          <w:sz w:val="20"/>
          <w:szCs w:val="20"/>
        </w:rPr>
        <w:footnoteReference w:id="97"/>
      </w:r>
      <w:r w:rsidRPr="006D531F">
        <w:rPr>
          <w:rFonts w:asciiTheme="majorHAnsi" w:hAnsiTheme="majorHAnsi"/>
          <w:sz w:val="20"/>
          <w:szCs w:val="20"/>
          <w:lang w:val="es-PE"/>
        </w:rPr>
        <w:t>. Esta tendencia favorable al reconocimiento de radios comunitarias se ha manifestado de distintas maneras en la región. Argentina</w:t>
      </w:r>
      <w:r w:rsidRPr="006D531F">
        <w:rPr>
          <w:rStyle w:val="FootnoteReference"/>
          <w:rFonts w:asciiTheme="majorHAnsi" w:hAnsiTheme="majorHAnsi"/>
          <w:sz w:val="20"/>
          <w:szCs w:val="20"/>
        </w:rPr>
        <w:footnoteReference w:id="98"/>
      </w:r>
      <w:r w:rsidRPr="006D531F">
        <w:rPr>
          <w:rFonts w:asciiTheme="majorHAnsi" w:hAnsiTheme="majorHAnsi"/>
          <w:sz w:val="20"/>
          <w:szCs w:val="20"/>
          <w:lang w:val="es-PE"/>
        </w:rPr>
        <w:t>, Bolivia, Ecuador, El Salvador, Paraguay, Perú, Colombi</w:t>
      </w:r>
      <w:r w:rsidR="00B74346" w:rsidRPr="006D531F">
        <w:rPr>
          <w:rFonts w:asciiTheme="majorHAnsi" w:hAnsiTheme="majorHAnsi"/>
          <w:sz w:val="20"/>
          <w:szCs w:val="20"/>
          <w:lang w:val="es-PE"/>
        </w:rPr>
        <w:t>a</w:t>
      </w:r>
      <w:r w:rsidRPr="006D531F">
        <w:rPr>
          <w:rStyle w:val="FootnoteReference"/>
          <w:rFonts w:asciiTheme="majorHAnsi" w:hAnsiTheme="majorHAnsi"/>
          <w:sz w:val="20"/>
          <w:szCs w:val="20"/>
        </w:rPr>
        <w:footnoteReference w:id="99"/>
      </w:r>
      <w:r w:rsidRPr="006D531F">
        <w:rPr>
          <w:rFonts w:asciiTheme="majorHAnsi" w:hAnsiTheme="majorHAnsi"/>
          <w:sz w:val="20"/>
          <w:szCs w:val="20"/>
          <w:lang w:val="es-PE"/>
        </w:rPr>
        <w:t xml:space="preserve">, </w:t>
      </w:r>
      <w:r w:rsidR="008A51EA">
        <w:rPr>
          <w:rFonts w:asciiTheme="majorHAnsi" w:hAnsiTheme="majorHAnsi"/>
          <w:sz w:val="20"/>
          <w:szCs w:val="20"/>
          <w:lang w:val="es-PE"/>
        </w:rPr>
        <w:t>Uruguay</w:t>
      </w:r>
      <w:r w:rsidRPr="006D531F">
        <w:rPr>
          <w:rStyle w:val="FootnoteReference"/>
          <w:rFonts w:asciiTheme="majorHAnsi" w:hAnsiTheme="majorHAnsi"/>
          <w:sz w:val="20"/>
          <w:szCs w:val="20"/>
        </w:rPr>
        <w:footnoteReference w:id="100"/>
      </w:r>
      <w:r w:rsidRPr="006D531F">
        <w:rPr>
          <w:rFonts w:asciiTheme="majorHAnsi" w:hAnsiTheme="majorHAnsi"/>
          <w:sz w:val="20"/>
          <w:szCs w:val="20"/>
          <w:lang w:val="es-PE"/>
        </w:rPr>
        <w:t xml:space="preserve"> y Venezuela</w:t>
      </w:r>
      <w:r w:rsidRPr="006D531F">
        <w:rPr>
          <w:rStyle w:val="FootnoteReference"/>
          <w:rFonts w:asciiTheme="majorHAnsi" w:hAnsiTheme="majorHAnsi"/>
          <w:sz w:val="20"/>
          <w:szCs w:val="20"/>
        </w:rPr>
        <w:footnoteReference w:id="101"/>
      </w:r>
      <w:r w:rsidRPr="006D531F">
        <w:rPr>
          <w:rFonts w:asciiTheme="majorHAnsi" w:hAnsiTheme="majorHAnsi"/>
          <w:sz w:val="20"/>
          <w:szCs w:val="20"/>
          <w:lang w:val="es-PE"/>
        </w:rPr>
        <w:t xml:space="preserve"> hacen este reconocimiento dentro de la legislación sectorial que regula los servicios de comunicación audiovisuales o las telecomunicaciones, así como en reglamentos aprobados por órganos gubernamentales. En el caso de Honduras</w:t>
      </w:r>
      <w:r w:rsidRPr="006D531F">
        <w:rPr>
          <w:rStyle w:val="FootnoteReference"/>
          <w:rFonts w:asciiTheme="majorHAnsi" w:hAnsiTheme="majorHAnsi"/>
          <w:sz w:val="20"/>
          <w:szCs w:val="20"/>
        </w:rPr>
        <w:footnoteReference w:id="102"/>
      </w:r>
      <w:r w:rsidR="008A51EA">
        <w:rPr>
          <w:rFonts w:asciiTheme="majorHAnsi" w:hAnsiTheme="majorHAnsi"/>
          <w:sz w:val="20"/>
          <w:szCs w:val="20"/>
          <w:lang w:val="es-PE"/>
        </w:rPr>
        <w:t xml:space="preserve"> el reconocimiento se logró</w:t>
      </w:r>
      <w:r w:rsidRPr="006D531F">
        <w:rPr>
          <w:rFonts w:asciiTheme="majorHAnsi" w:hAnsiTheme="majorHAnsi"/>
          <w:sz w:val="20"/>
          <w:szCs w:val="20"/>
          <w:lang w:val="es-PE"/>
        </w:rPr>
        <w:t xml:space="preserve"> mediante resolución administrativa del órgano regulador en la materia, y países como Bolivia</w:t>
      </w:r>
      <w:r w:rsidRPr="006D531F">
        <w:rPr>
          <w:rStyle w:val="FootnoteReference"/>
          <w:rFonts w:asciiTheme="majorHAnsi" w:hAnsiTheme="majorHAnsi"/>
          <w:sz w:val="20"/>
          <w:szCs w:val="20"/>
        </w:rPr>
        <w:footnoteReference w:id="103"/>
      </w:r>
      <w:r w:rsidRPr="006D531F">
        <w:rPr>
          <w:rFonts w:asciiTheme="majorHAnsi" w:hAnsiTheme="majorHAnsi"/>
          <w:sz w:val="20"/>
          <w:szCs w:val="20"/>
          <w:lang w:val="es-PE"/>
        </w:rPr>
        <w:t>, Ecuador</w:t>
      </w:r>
      <w:r w:rsidRPr="006D531F">
        <w:rPr>
          <w:rStyle w:val="FootnoteReference"/>
          <w:rFonts w:asciiTheme="majorHAnsi" w:hAnsiTheme="majorHAnsi"/>
          <w:sz w:val="20"/>
          <w:szCs w:val="20"/>
        </w:rPr>
        <w:footnoteReference w:id="104"/>
      </w:r>
      <w:r w:rsidRPr="006D531F">
        <w:rPr>
          <w:rFonts w:asciiTheme="majorHAnsi" w:hAnsiTheme="majorHAnsi"/>
          <w:sz w:val="20"/>
          <w:szCs w:val="20"/>
          <w:lang w:val="es-PE"/>
        </w:rPr>
        <w:t xml:space="preserve"> y México</w:t>
      </w:r>
      <w:r w:rsidRPr="006D531F">
        <w:rPr>
          <w:rStyle w:val="FootnoteReference"/>
          <w:rFonts w:asciiTheme="majorHAnsi" w:hAnsiTheme="majorHAnsi"/>
          <w:sz w:val="20"/>
          <w:szCs w:val="20"/>
        </w:rPr>
        <w:footnoteReference w:id="105"/>
      </w:r>
      <w:r w:rsidRPr="006D531F">
        <w:rPr>
          <w:rFonts w:asciiTheme="majorHAnsi" w:hAnsiTheme="majorHAnsi"/>
          <w:sz w:val="20"/>
          <w:szCs w:val="20"/>
          <w:lang w:val="es-PE"/>
        </w:rPr>
        <w:t xml:space="preserve"> regulan lo relativo a las radios comunitarias</w:t>
      </w:r>
      <w:r w:rsidR="008A51EA">
        <w:rPr>
          <w:rFonts w:asciiTheme="majorHAnsi" w:hAnsiTheme="majorHAnsi"/>
          <w:sz w:val="20"/>
          <w:szCs w:val="20"/>
          <w:lang w:val="es-PE"/>
        </w:rPr>
        <w:t xml:space="preserve"> incluso</w:t>
      </w:r>
      <w:r w:rsidRPr="006D531F">
        <w:rPr>
          <w:rFonts w:asciiTheme="majorHAnsi" w:hAnsiTheme="majorHAnsi"/>
          <w:sz w:val="20"/>
          <w:szCs w:val="20"/>
          <w:lang w:val="es-PE"/>
        </w:rPr>
        <w:t xml:space="preserve"> en sus preceptos constitucionales. Asimismo, Brasil</w:t>
      </w:r>
      <w:r w:rsidRPr="006D531F">
        <w:rPr>
          <w:rStyle w:val="FootnoteReference"/>
          <w:rFonts w:asciiTheme="majorHAnsi" w:hAnsiTheme="majorHAnsi"/>
          <w:sz w:val="20"/>
          <w:szCs w:val="20"/>
        </w:rPr>
        <w:footnoteReference w:id="106"/>
      </w:r>
      <w:r w:rsidRPr="006D531F">
        <w:rPr>
          <w:rFonts w:asciiTheme="majorHAnsi" w:hAnsiTheme="majorHAnsi"/>
          <w:sz w:val="20"/>
          <w:szCs w:val="20"/>
          <w:lang w:val="es-PE"/>
        </w:rPr>
        <w:t>, Chile</w:t>
      </w:r>
      <w:r w:rsidRPr="006D531F">
        <w:rPr>
          <w:rStyle w:val="FootnoteReference"/>
          <w:rFonts w:asciiTheme="majorHAnsi" w:hAnsiTheme="majorHAnsi"/>
          <w:sz w:val="20"/>
          <w:szCs w:val="20"/>
        </w:rPr>
        <w:footnoteReference w:id="107"/>
      </w:r>
      <w:r w:rsidRPr="006D531F">
        <w:rPr>
          <w:rFonts w:asciiTheme="majorHAnsi" w:hAnsiTheme="majorHAnsi"/>
          <w:sz w:val="20"/>
          <w:szCs w:val="20"/>
          <w:lang w:val="es-PE"/>
        </w:rPr>
        <w:t xml:space="preserve"> y Uruguay</w:t>
      </w:r>
      <w:r w:rsidRPr="006D531F">
        <w:rPr>
          <w:rStyle w:val="FootnoteReference"/>
          <w:rFonts w:asciiTheme="majorHAnsi" w:hAnsiTheme="majorHAnsi"/>
          <w:sz w:val="20"/>
          <w:szCs w:val="20"/>
        </w:rPr>
        <w:footnoteReference w:id="108"/>
      </w:r>
      <w:r w:rsidRPr="006D531F">
        <w:rPr>
          <w:rFonts w:asciiTheme="majorHAnsi" w:hAnsiTheme="majorHAnsi"/>
          <w:sz w:val="20"/>
          <w:szCs w:val="20"/>
          <w:lang w:val="es-PE"/>
        </w:rPr>
        <w:t xml:space="preserve"> tienen una ley específica destinada a los medios comunitarios. Es destacable el esfuerzo de países como Uruguay</w:t>
      </w:r>
      <w:r w:rsidRPr="006D531F">
        <w:rPr>
          <w:rStyle w:val="FootnoteReference"/>
          <w:rFonts w:asciiTheme="majorHAnsi" w:hAnsiTheme="majorHAnsi"/>
          <w:sz w:val="20"/>
          <w:szCs w:val="20"/>
        </w:rPr>
        <w:footnoteReference w:id="109"/>
      </w:r>
      <w:r w:rsidRPr="006D531F">
        <w:rPr>
          <w:rFonts w:asciiTheme="majorHAnsi" w:hAnsiTheme="majorHAnsi"/>
          <w:sz w:val="20"/>
          <w:szCs w:val="20"/>
          <w:lang w:val="es-PE"/>
        </w:rPr>
        <w:t>, Argentina</w:t>
      </w:r>
      <w:r w:rsidRPr="006D531F">
        <w:rPr>
          <w:rStyle w:val="FootnoteReference"/>
          <w:rFonts w:asciiTheme="majorHAnsi" w:hAnsiTheme="majorHAnsi"/>
          <w:sz w:val="20"/>
          <w:szCs w:val="20"/>
        </w:rPr>
        <w:footnoteReference w:id="110"/>
      </w:r>
      <w:r w:rsidRPr="006D531F">
        <w:rPr>
          <w:rFonts w:asciiTheme="majorHAnsi" w:hAnsiTheme="majorHAnsi"/>
          <w:sz w:val="20"/>
          <w:szCs w:val="20"/>
          <w:lang w:val="es-PE"/>
        </w:rPr>
        <w:t xml:space="preserve"> y Venezuela</w:t>
      </w:r>
      <w:r w:rsidRPr="006D531F">
        <w:rPr>
          <w:rStyle w:val="FootnoteReference"/>
          <w:rFonts w:asciiTheme="majorHAnsi" w:hAnsiTheme="majorHAnsi"/>
          <w:sz w:val="20"/>
          <w:szCs w:val="20"/>
        </w:rPr>
        <w:footnoteReference w:id="111"/>
      </w:r>
      <w:r w:rsidRPr="006D531F">
        <w:rPr>
          <w:rFonts w:asciiTheme="majorHAnsi" w:hAnsiTheme="majorHAnsi"/>
          <w:sz w:val="20"/>
          <w:szCs w:val="20"/>
          <w:lang w:val="es-PE"/>
        </w:rPr>
        <w:t xml:space="preserve"> </w:t>
      </w:r>
      <w:r w:rsidR="008A51EA">
        <w:rPr>
          <w:rFonts w:asciiTheme="majorHAnsi" w:hAnsiTheme="majorHAnsi"/>
          <w:sz w:val="20"/>
          <w:szCs w:val="20"/>
          <w:lang w:val="es-PE"/>
        </w:rPr>
        <w:t xml:space="preserve">que </w:t>
      </w:r>
      <w:r w:rsidRPr="006D531F">
        <w:rPr>
          <w:rFonts w:asciiTheme="majorHAnsi" w:hAnsiTheme="majorHAnsi"/>
          <w:sz w:val="20"/>
          <w:szCs w:val="20"/>
          <w:lang w:val="es-PE"/>
        </w:rPr>
        <w:t xml:space="preserve">introdujeron en su legislación provisiones para otorgar </w:t>
      </w:r>
      <w:r w:rsidR="008A51EA">
        <w:rPr>
          <w:rFonts w:asciiTheme="majorHAnsi" w:hAnsiTheme="majorHAnsi"/>
          <w:sz w:val="20"/>
          <w:szCs w:val="20"/>
          <w:lang w:val="es-PE"/>
        </w:rPr>
        <w:t>o regularizar concesiones para aquellas</w:t>
      </w:r>
      <w:r w:rsidRPr="006D531F">
        <w:rPr>
          <w:rFonts w:asciiTheme="majorHAnsi" w:hAnsiTheme="majorHAnsi"/>
          <w:sz w:val="20"/>
          <w:szCs w:val="20"/>
          <w:lang w:val="es-PE"/>
        </w:rPr>
        <w:t xml:space="preserve"> emisoras comunitarias que habían funcionado sin autorización en el periodo previo a la concepción de estas normas.</w:t>
      </w:r>
    </w:p>
    <w:p w14:paraId="79C612C6" w14:textId="77777777" w:rsidR="00997288" w:rsidRPr="006D531F" w:rsidRDefault="00997288" w:rsidP="00997288">
      <w:pPr>
        <w:contextualSpacing/>
        <w:jc w:val="both"/>
        <w:rPr>
          <w:rFonts w:asciiTheme="majorHAnsi" w:hAnsiTheme="majorHAnsi"/>
          <w:sz w:val="20"/>
          <w:szCs w:val="20"/>
          <w:lang w:val="es-PE"/>
        </w:rPr>
      </w:pPr>
    </w:p>
    <w:p w14:paraId="3ECB280C" w14:textId="77777777" w:rsidR="00997288" w:rsidRPr="006D531F" w:rsidRDefault="00997288" w:rsidP="0099728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PE"/>
        </w:rPr>
      </w:pPr>
      <w:r w:rsidRPr="006D531F">
        <w:rPr>
          <w:rFonts w:asciiTheme="majorHAnsi" w:hAnsiTheme="majorHAnsi"/>
          <w:sz w:val="20"/>
          <w:szCs w:val="20"/>
          <w:lang w:val="es-PE"/>
        </w:rPr>
        <w:lastRenderedPageBreak/>
        <w:t xml:space="preserve">Existen </w:t>
      </w:r>
      <w:r w:rsidR="00A273A0">
        <w:rPr>
          <w:rFonts w:asciiTheme="majorHAnsi" w:hAnsiTheme="majorHAnsi"/>
          <w:sz w:val="20"/>
          <w:szCs w:val="20"/>
          <w:lang w:val="es-PE"/>
        </w:rPr>
        <w:t>asimismo buenas prácticas</w:t>
      </w:r>
      <w:r w:rsidRPr="006D531F">
        <w:rPr>
          <w:rFonts w:asciiTheme="majorHAnsi" w:hAnsiTheme="majorHAnsi"/>
          <w:sz w:val="20"/>
          <w:szCs w:val="20"/>
          <w:lang w:val="es-PE"/>
        </w:rPr>
        <w:t xml:space="preserve"> en la región respecto a la adopción de medidas afirmativas para lograr que las comunidades o pueblos indígenas puedan acceder al especto radioeléctrico en condiciones de igualdad, en consonancia con los criterios establecidos en el apartado precedente. Uruguay ha establecido expresamente el derecho a la sustentabilidad económica de las radios comunitarias, el cual puede ser ejercido a través de distintas fuentes como donaciones, aportes solidarios, auspicios, patrocinios y publicidad comercial y oficial</w:t>
      </w:r>
      <w:r w:rsidRPr="006D531F">
        <w:rPr>
          <w:rStyle w:val="FootnoteReference"/>
          <w:rFonts w:asciiTheme="majorHAnsi" w:hAnsiTheme="majorHAnsi"/>
          <w:sz w:val="20"/>
          <w:szCs w:val="20"/>
        </w:rPr>
        <w:footnoteReference w:id="112"/>
      </w:r>
      <w:r w:rsidRPr="006D531F">
        <w:rPr>
          <w:rFonts w:asciiTheme="majorHAnsi" w:hAnsiTheme="majorHAnsi"/>
          <w:sz w:val="20"/>
          <w:szCs w:val="20"/>
          <w:lang w:val="es-PE"/>
        </w:rPr>
        <w:t>. En relación con la publicidad oficial, por ejemplo, México, ha determinado que al menos el 1% de la venta de publicidad de los entes públicos federales debe ser destinado a concesionarios de uso social</w:t>
      </w:r>
      <w:r w:rsidRPr="006D531F">
        <w:rPr>
          <w:rStyle w:val="FootnoteReference"/>
          <w:rFonts w:asciiTheme="majorHAnsi" w:hAnsiTheme="majorHAnsi"/>
          <w:sz w:val="20"/>
          <w:szCs w:val="20"/>
        </w:rPr>
        <w:footnoteReference w:id="113"/>
      </w:r>
      <w:r w:rsidRPr="006D531F">
        <w:rPr>
          <w:rFonts w:asciiTheme="majorHAnsi" w:hAnsiTheme="majorHAnsi"/>
          <w:sz w:val="20"/>
          <w:szCs w:val="20"/>
          <w:lang w:val="es-PE"/>
        </w:rPr>
        <w:t>. El Salvador</w:t>
      </w:r>
      <w:r w:rsidRPr="006D531F">
        <w:rPr>
          <w:rStyle w:val="FootnoteReference"/>
          <w:rFonts w:asciiTheme="majorHAnsi" w:hAnsiTheme="majorHAnsi"/>
          <w:sz w:val="20"/>
          <w:szCs w:val="20"/>
        </w:rPr>
        <w:footnoteReference w:id="114"/>
      </w:r>
      <w:r w:rsidRPr="006D531F">
        <w:rPr>
          <w:rFonts w:asciiTheme="majorHAnsi" w:hAnsiTheme="majorHAnsi"/>
          <w:sz w:val="20"/>
          <w:szCs w:val="20"/>
          <w:lang w:val="es-PE"/>
        </w:rPr>
        <w:t xml:space="preserve"> y Venezuela</w:t>
      </w:r>
      <w:r w:rsidRPr="006D531F">
        <w:rPr>
          <w:rStyle w:val="FootnoteReference"/>
          <w:rFonts w:asciiTheme="majorHAnsi" w:hAnsiTheme="majorHAnsi"/>
          <w:sz w:val="20"/>
          <w:szCs w:val="20"/>
        </w:rPr>
        <w:footnoteReference w:id="115"/>
      </w:r>
      <w:r w:rsidRPr="006D531F">
        <w:rPr>
          <w:rFonts w:asciiTheme="majorHAnsi" w:hAnsiTheme="majorHAnsi"/>
          <w:sz w:val="20"/>
          <w:szCs w:val="20"/>
          <w:lang w:val="es-PE"/>
        </w:rPr>
        <w:t xml:space="preserve"> han previsto en sus legislaciones exenciones o tasas especiales por la licencia de uso del espectro, en tanto Brasil ha optado por cobrar una cantidad simbólica por la utilización de este. </w:t>
      </w:r>
    </w:p>
    <w:p w14:paraId="12CC206A" w14:textId="77777777" w:rsidR="00997288" w:rsidRPr="006D531F" w:rsidRDefault="00997288" w:rsidP="00997288">
      <w:pPr>
        <w:contextualSpacing/>
        <w:jc w:val="both"/>
        <w:rPr>
          <w:rFonts w:asciiTheme="majorHAnsi" w:hAnsiTheme="majorHAnsi"/>
          <w:sz w:val="20"/>
          <w:szCs w:val="20"/>
          <w:lang w:val="es-PE"/>
        </w:rPr>
      </w:pPr>
    </w:p>
    <w:p w14:paraId="3C0443FF" w14:textId="77777777" w:rsidR="00997288" w:rsidRDefault="00997288" w:rsidP="0099728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PE"/>
        </w:rPr>
      </w:pPr>
      <w:r w:rsidRPr="006D531F">
        <w:rPr>
          <w:rFonts w:asciiTheme="majorHAnsi" w:hAnsiTheme="majorHAnsi"/>
          <w:sz w:val="20"/>
          <w:szCs w:val="20"/>
          <w:lang w:val="es-PE"/>
        </w:rPr>
        <w:t xml:space="preserve">Respecto al procedimiento para la adjudicación de concesiones, países como Argentina y Uruguay, tienen como regla general el concurso abierto y público, sobre la base de proyectos comunicacionales que los postulantes </w:t>
      </w:r>
      <w:r w:rsidR="00296412">
        <w:rPr>
          <w:rFonts w:asciiTheme="majorHAnsi" w:hAnsiTheme="majorHAnsi"/>
          <w:sz w:val="20"/>
          <w:szCs w:val="20"/>
          <w:lang w:val="es-PE"/>
        </w:rPr>
        <w:t>deben presentar</w:t>
      </w:r>
      <w:r w:rsidRPr="006D531F">
        <w:rPr>
          <w:rFonts w:asciiTheme="majorHAnsi" w:hAnsiTheme="majorHAnsi"/>
          <w:sz w:val="20"/>
          <w:szCs w:val="20"/>
          <w:lang w:val="es-PE"/>
        </w:rPr>
        <w:t>. Argentina, por ejemplo, considera en su legislación que, cuando se trata de emisoras de baja potencia, se debe prever un régimen especial de adjudicación directa similar al que se aplica a pueblos originarios y para la Iglesia Católica, que se realiza a demanda y con el otorgamiento de una concesión de manera directa, de acuerdo con la disponibilidad de espectro</w:t>
      </w:r>
      <w:r w:rsidRPr="006D531F">
        <w:rPr>
          <w:rStyle w:val="FootnoteReference"/>
          <w:rFonts w:asciiTheme="majorHAnsi" w:hAnsiTheme="majorHAnsi"/>
          <w:sz w:val="20"/>
          <w:szCs w:val="20"/>
        </w:rPr>
        <w:footnoteReference w:id="116"/>
      </w:r>
      <w:r w:rsidRPr="006D531F">
        <w:rPr>
          <w:rFonts w:asciiTheme="majorHAnsi" w:hAnsiTheme="majorHAnsi"/>
          <w:sz w:val="20"/>
          <w:szCs w:val="20"/>
          <w:lang w:val="es-PE"/>
        </w:rPr>
        <w:t>.</w:t>
      </w:r>
    </w:p>
    <w:p w14:paraId="0AB15E0A" w14:textId="77777777" w:rsidR="00296412" w:rsidRPr="006D531F" w:rsidRDefault="00296412" w:rsidP="00296412">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PE"/>
        </w:rPr>
      </w:pPr>
    </w:p>
    <w:p w14:paraId="51715549" w14:textId="77777777" w:rsidR="00997288" w:rsidRPr="006D531F" w:rsidRDefault="00997288" w:rsidP="0050377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PE"/>
        </w:rPr>
      </w:pPr>
      <w:r w:rsidRPr="006D531F">
        <w:rPr>
          <w:rFonts w:asciiTheme="majorHAnsi" w:hAnsiTheme="majorHAnsi"/>
          <w:sz w:val="20"/>
          <w:szCs w:val="20"/>
          <w:lang w:val="es-PE"/>
        </w:rPr>
        <w:t>Por su parte, varios países han establecido una reserva de frecuencias destinadas a medio comunitarios, aunque con diferente alcance. Chile</w:t>
      </w:r>
      <w:r w:rsidRPr="006D531F">
        <w:rPr>
          <w:rStyle w:val="FootnoteReference"/>
          <w:rFonts w:asciiTheme="majorHAnsi" w:hAnsiTheme="majorHAnsi"/>
          <w:sz w:val="20"/>
          <w:szCs w:val="20"/>
        </w:rPr>
        <w:footnoteReference w:id="117"/>
      </w:r>
      <w:r w:rsidRPr="006D531F">
        <w:rPr>
          <w:rFonts w:asciiTheme="majorHAnsi" w:hAnsiTheme="majorHAnsi"/>
          <w:sz w:val="20"/>
          <w:szCs w:val="20"/>
          <w:lang w:val="es-PE"/>
        </w:rPr>
        <w:t xml:space="preserve"> y México</w:t>
      </w:r>
      <w:r w:rsidRPr="006D531F">
        <w:rPr>
          <w:rStyle w:val="FootnoteReference"/>
          <w:rFonts w:asciiTheme="majorHAnsi" w:hAnsiTheme="majorHAnsi"/>
          <w:sz w:val="20"/>
          <w:szCs w:val="20"/>
        </w:rPr>
        <w:footnoteReference w:id="118"/>
      </w:r>
      <w:r w:rsidRPr="006D531F">
        <w:rPr>
          <w:rFonts w:asciiTheme="majorHAnsi" w:hAnsiTheme="majorHAnsi"/>
          <w:sz w:val="20"/>
          <w:szCs w:val="20"/>
          <w:lang w:val="es-PE"/>
        </w:rPr>
        <w:t xml:space="preserve"> han optado por incluir una reserva de carácter reducido en las bandas de radio operantes. Por su parte, Argentina</w:t>
      </w:r>
      <w:r w:rsidRPr="006D531F">
        <w:rPr>
          <w:rStyle w:val="FootnoteReference"/>
          <w:rFonts w:asciiTheme="majorHAnsi" w:hAnsiTheme="majorHAnsi"/>
          <w:sz w:val="20"/>
          <w:szCs w:val="20"/>
        </w:rPr>
        <w:footnoteReference w:id="119"/>
      </w:r>
      <w:r w:rsidRPr="006D531F">
        <w:rPr>
          <w:rFonts w:asciiTheme="majorHAnsi" w:hAnsiTheme="majorHAnsi"/>
          <w:sz w:val="20"/>
          <w:szCs w:val="20"/>
          <w:lang w:val="es-PE"/>
        </w:rPr>
        <w:t xml:space="preserve"> (33% para emisoras sin fines de lucro, entre las que se encuentran las radios comunitarias), Bolivia</w:t>
      </w:r>
      <w:r w:rsidRPr="006D531F">
        <w:rPr>
          <w:rStyle w:val="FootnoteReference"/>
          <w:rFonts w:asciiTheme="majorHAnsi" w:hAnsiTheme="majorHAnsi"/>
          <w:sz w:val="20"/>
          <w:szCs w:val="20"/>
        </w:rPr>
        <w:footnoteReference w:id="120"/>
      </w:r>
      <w:r w:rsidRPr="006D531F">
        <w:rPr>
          <w:rFonts w:asciiTheme="majorHAnsi" w:hAnsiTheme="majorHAnsi"/>
          <w:sz w:val="20"/>
          <w:szCs w:val="20"/>
          <w:lang w:val="es-PE"/>
        </w:rPr>
        <w:t xml:space="preserve"> (17% para pueblos indígenas</w:t>
      </w:r>
      <w:r w:rsidR="00902F14">
        <w:rPr>
          <w:rFonts w:asciiTheme="majorHAnsi" w:hAnsiTheme="majorHAnsi"/>
          <w:sz w:val="20"/>
          <w:szCs w:val="20"/>
          <w:lang w:val="es-PE"/>
        </w:rPr>
        <w:t xml:space="preserve"> y otro porcentaje similar para radios comunitarias</w:t>
      </w:r>
      <w:r w:rsidRPr="006D531F">
        <w:rPr>
          <w:rFonts w:asciiTheme="majorHAnsi" w:hAnsiTheme="majorHAnsi"/>
          <w:sz w:val="20"/>
          <w:szCs w:val="20"/>
          <w:lang w:val="es-PE"/>
        </w:rPr>
        <w:t>), Ecuador</w:t>
      </w:r>
      <w:r w:rsidRPr="006D531F">
        <w:rPr>
          <w:rStyle w:val="FootnoteReference"/>
          <w:rFonts w:asciiTheme="majorHAnsi" w:hAnsiTheme="majorHAnsi"/>
          <w:sz w:val="20"/>
          <w:szCs w:val="20"/>
        </w:rPr>
        <w:footnoteReference w:id="121"/>
      </w:r>
      <w:r w:rsidRPr="006D531F">
        <w:rPr>
          <w:rFonts w:asciiTheme="majorHAnsi" w:hAnsiTheme="majorHAnsi"/>
          <w:sz w:val="20"/>
          <w:szCs w:val="20"/>
          <w:lang w:val="es-PE"/>
        </w:rPr>
        <w:t xml:space="preserve"> (34%) y Uruguay</w:t>
      </w:r>
      <w:r w:rsidRPr="006D531F">
        <w:rPr>
          <w:rStyle w:val="FootnoteReference"/>
          <w:rFonts w:asciiTheme="majorHAnsi" w:hAnsiTheme="majorHAnsi"/>
          <w:sz w:val="20"/>
          <w:szCs w:val="20"/>
        </w:rPr>
        <w:footnoteReference w:id="122"/>
      </w:r>
      <w:r w:rsidRPr="006D531F">
        <w:rPr>
          <w:rFonts w:asciiTheme="majorHAnsi" w:hAnsiTheme="majorHAnsi"/>
          <w:sz w:val="20"/>
          <w:szCs w:val="20"/>
          <w:lang w:val="es-PE"/>
        </w:rPr>
        <w:t xml:space="preserve"> (un tercio del espectro por cada localidad) tienen una reserva más significativa que aplica a todas las plataformas de difusión. </w:t>
      </w:r>
    </w:p>
    <w:p w14:paraId="03E1BF71" w14:textId="77777777" w:rsidR="00C13178" w:rsidRPr="006D531F" w:rsidRDefault="00C13178" w:rsidP="000A6C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14:paraId="067A1770" w14:textId="77777777" w:rsidR="00C13178" w:rsidRPr="00094710" w:rsidRDefault="00C13178" w:rsidP="00094710">
      <w:pPr>
        <w:pStyle w:val="Heading4"/>
        <w:numPr>
          <w:ilvl w:val="1"/>
          <w:numId w:val="71"/>
        </w:numPr>
      </w:pPr>
      <w:r w:rsidRPr="00094710">
        <w:t>Criminali</w:t>
      </w:r>
      <w:r w:rsidR="00AB14A2" w:rsidRPr="00094710">
        <w:t>zación de radios comunitarias</w:t>
      </w:r>
    </w:p>
    <w:p w14:paraId="14E1DECF" w14:textId="77777777" w:rsidR="00C13178" w:rsidRPr="006D531F" w:rsidRDefault="00C13178" w:rsidP="000A6C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14:paraId="382D6ABD" w14:textId="77777777" w:rsidR="00691804" w:rsidRPr="00691804" w:rsidRDefault="00C13178" w:rsidP="00D714E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_tradnl"/>
        </w:rPr>
      </w:pPr>
      <w:r w:rsidRPr="006D531F">
        <w:rPr>
          <w:rFonts w:asciiTheme="majorHAnsi" w:hAnsiTheme="majorHAnsi"/>
          <w:sz w:val="20"/>
          <w:szCs w:val="20"/>
          <w:lang w:val="es-PE"/>
        </w:rPr>
        <w:t>Es jurisprudencia consolidada del sistema interamericano que las limitaciones a la libertad de expresión deben ser “necesarias en una sociedad democrática”</w:t>
      </w:r>
      <w:r w:rsidRPr="006D531F">
        <w:rPr>
          <w:rStyle w:val="FootnoteReference"/>
          <w:rFonts w:asciiTheme="majorHAnsi" w:hAnsiTheme="majorHAnsi"/>
          <w:sz w:val="20"/>
          <w:szCs w:val="20"/>
        </w:rPr>
        <w:footnoteReference w:id="123"/>
      </w:r>
      <w:r w:rsidRPr="006D531F">
        <w:rPr>
          <w:rFonts w:asciiTheme="majorHAnsi" w:hAnsiTheme="majorHAnsi"/>
          <w:sz w:val="20"/>
          <w:szCs w:val="20"/>
          <w:lang w:val="es-PE"/>
        </w:rPr>
        <w:t xml:space="preserve">, proporcionales e idóneas para el logro de los objetivos que persiguen. En la medida en que la regulación estatal sobre radiodifusión imponga limitaciones a la libertad de expresión, entonces ésta deberá respetar estos tres requisitos. </w:t>
      </w:r>
    </w:p>
    <w:p w14:paraId="4164AFB3" w14:textId="77777777" w:rsidR="00691804" w:rsidRPr="00691804" w:rsidRDefault="00691804" w:rsidP="0069180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14:paraId="4EB5341A" w14:textId="77777777" w:rsidR="00D61517" w:rsidRPr="00D61517" w:rsidRDefault="006D4A9A" w:rsidP="00D615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_tradnl"/>
        </w:rPr>
      </w:pPr>
      <w:r w:rsidRPr="006D531F">
        <w:rPr>
          <w:rFonts w:asciiTheme="majorHAnsi" w:hAnsiTheme="majorHAnsi"/>
          <w:sz w:val="20"/>
          <w:szCs w:val="20"/>
          <w:lang w:val="es-PE"/>
        </w:rPr>
        <w:t xml:space="preserve">En este sentido, </w:t>
      </w:r>
      <w:r w:rsidR="00995B40" w:rsidRPr="006D531F">
        <w:rPr>
          <w:rFonts w:asciiTheme="majorHAnsi" w:hAnsiTheme="majorHAnsi"/>
          <w:sz w:val="20"/>
          <w:szCs w:val="20"/>
          <w:lang w:val="es-PE"/>
        </w:rPr>
        <w:t xml:space="preserve">en diversas oportunidades la CIDH y la Corte Interamericana han advertido que resultan sumamente gravosas para la libertad de expresión las respuestas que establezcan sanciones penales. </w:t>
      </w:r>
      <w:r w:rsidR="00995B40" w:rsidRPr="006D531F">
        <w:rPr>
          <w:rFonts w:asciiTheme="majorHAnsi" w:hAnsiTheme="majorHAnsi"/>
          <w:sz w:val="20"/>
          <w:szCs w:val="20"/>
          <w:lang w:val="es-PE"/>
        </w:rPr>
        <w:lastRenderedPageBreak/>
        <w:t>En tanto existan medidas alternativas y menos restrictivas de la libertad de expresión que la previsión y tipificación penal de conductas que impliquen la violación de la regulación sobre radiodifusión, éstas no deberían dar lugar a respuestas de tipo penal</w:t>
      </w:r>
      <w:r w:rsidR="003A7457" w:rsidRPr="006D531F">
        <w:rPr>
          <w:rStyle w:val="FootnoteReference"/>
          <w:rFonts w:asciiTheme="majorHAnsi" w:hAnsiTheme="majorHAnsi"/>
          <w:sz w:val="20"/>
          <w:szCs w:val="20"/>
          <w:lang w:val="es-PE"/>
        </w:rPr>
        <w:footnoteReference w:id="124"/>
      </w:r>
      <w:r w:rsidR="00995B40" w:rsidRPr="006D531F">
        <w:rPr>
          <w:rFonts w:asciiTheme="majorHAnsi" w:hAnsiTheme="majorHAnsi"/>
          <w:sz w:val="20"/>
          <w:szCs w:val="20"/>
          <w:lang w:val="es-PE"/>
        </w:rPr>
        <w:t xml:space="preserve">. </w:t>
      </w:r>
    </w:p>
    <w:p w14:paraId="189CADA1" w14:textId="77777777" w:rsidR="00D61517" w:rsidRPr="00D61517" w:rsidRDefault="00D61517" w:rsidP="00D6151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_tradnl"/>
        </w:rPr>
      </w:pPr>
    </w:p>
    <w:p w14:paraId="4DBDA758" w14:textId="77777777" w:rsidR="00D61517" w:rsidRPr="00D61517" w:rsidRDefault="00D61517" w:rsidP="00D6151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ES_tradnl"/>
        </w:rPr>
      </w:pPr>
      <w:r>
        <w:rPr>
          <w:rFonts w:asciiTheme="majorHAnsi" w:eastAsia="Times New Roman" w:hAnsiTheme="majorHAnsi"/>
          <w:sz w:val="20"/>
          <w:szCs w:val="20"/>
          <w:bdr w:val="none" w:sz="0" w:space="0" w:color="auto"/>
          <w:lang w:val="es-US" w:eastAsia="es-ES"/>
        </w:rPr>
        <w:t>Respecto a casos como el presente, donde en función de la falta de reconocimiento las comunidades hacen uso del espectro sin licencia, la Relatoría Especial ha señalado que las</w:t>
      </w:r>
      <w:r w:rsidRPr="00D61517">
        <w:rPr>
          <w:rFonts w:asciiTheme="majorHAnsi" w:eastAsia="Times New Roman" w:hAnsiTheme="majorHAnsi"/>
          <w:sz w:val="20"/>
          <w:szCs w:val="20"/>
          <w:bdr w:val="none" w:sz="0" w:space="0" w:color="auto"/>
          <w:lang w:val="es-US" w:eastAsia="es-ES"/>
        </w:rPr>
        <w:t xml:space="preserve"> sanciones por el uso irregular de una licencia de radio o televisión pueden comprometer gravemente derechos fundamentales de las personas involucradas y generar un efecto inhibitorio o de silenciamiento del debate democrático. Al respecto, en tanto la libertad de expresión engloba dos aspectos—el derecho de expresar pensamientos e ideas y el derecho de recibirlas—, cuando este derecho es restringido a través de una interferencia arbitraria, afecta no sólo el derecho individual de expresar información e ideas, sino también el derecho de la comunidad en general de recibir todo tipo de información y opiniones</w:t>
      </w:r>
      <w:r w:rsidRPr="00D61517">
        <w:rPr>
          <w:rFonts w:asciiTheme="majorHAnsi" w:eastAsia="Times New Roman" w:hAnsiTheme="majorHAnsi"/>
          <w:sz w:val="20"/>
          <w:szCs w:val="20"/>
          <w:bdr w:val="none" w:sz="0" w:space="0" w:color="auto"/>
          <w:lang w:val="es-US"/>
        </w:rPr>
        <w:t>.</w:t>
      </w:r>
      <w:r w:rsidR="0048535B">
        <w:rPr>
          <w:rStyle w:val="FootnoteReference"/>
          <w:rFonts w:asciiTheme="majorHAnsi" w:eastAsia="Times New Roman" w:hAnsiTheme="majorHAnsi"/>
          <w:sz w:val="20"/>
          <w:szCs w:val="20"/>
          <w:bdr w:val="none" w:sz="0" w:space="0" w:color="auto"/>
          <w:lang w:val="es-US"/>
        </w:rPr>
        <w:footnoteReference w:id="125"/>
      </w:r>
    </w:p>
    <w:p w14:paraId="7FC9BB19" w14:textId="77777777" w:rsidR="005D69F2" w:rsidRPr="006D531F" w:rsidRDefault="005D69F2" w:rsidP="00D714E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791BB001" w14:textId="77777777" w:rsidR="00D714E0" w:rsidRPr="006D531F" w:rsidRDefault="001B69AA" w:rsidP="00D714E0">
      <w:pPr>
        <w:pStyle w:val="Heading3"/>
        <w:keepNext w:val="0"/>
        <w:spacing w:before="0" w:after="0"/>
        <w:ind w:left="0" w:firstLine="0"/>
      </w:pPr>
      <w:bookmarkStart w:id="37" w:name="_Toc28418784"/>
      <w:r w:rsidRPr="006D531F">
        <w:t>D</w:t>
      </w:r>
      <w:r w:rsidR="00333AFC" w:rsidRPr="006D531F">
        <w:t>e</w:t>
      </w:r>
      <w:r w:rsidR="008009FC" w:rsidRPr="006D531F">
        <w:t>re</w:t>
      </w:r>
      <w:r w:rsidR="00333AFC" w:rsidRPr="006D531F">
        <w:t xml:space="preserve">chos culturales </w:t>
      </w:r>
      <w:r w:rsidR="008009FC" w:rsidRPr="006D531F">
        <w:t>de los</w:t>
      </w:r>
      <w:r w:rsidR="00156BA1" w:rsidRPr="006D531F">
        <w:t xml:space="preserve"> pueblos indígenas</w:t>
      </w:r>
      <w:r w:rsidR="008009FC" w:rsidRPr="006D531F">
        <w:t xml:space="preserve"> </w:t>
      </w:r>
      <w:r w:rsidR="00064C8D" w:rsidRPr="006D531F">
        <w:t xml:space="preserve">y </w:t>
      </w:r>
      <w:r w:rsidR="00156BA1" w:rsidRPr="006D531F">
        <w:t>radios comuni</w:t>
      </w:r>
      <w:r w:rsidR="00CD5352" w:rsidRPr="006D531F">
        <w:t>tarias</w:t>
      </w:r>
      <w:bookmarkEnd w:id="37"/>
      <w:r w:rsidR="002D03CE" w:rsidRPr="006D531F">
        <w:t xml:space="preserve"> </w:t>
      </w:r>
    </w:p>
    <w:p w14:paraId="363C155E" w14:textId="77777777" w:rsidR="00D714E0" w:rsidRPr="006D531F" w:rsidRDefault="00D714E0" w:rsidP="00D714E0">
      <w:pPr>
        <w:rPr>
          <w:rFonts w:asciiTheme="majorHAnsi" w:hAnsiTheme="majorHAnsi"/>
          <w:sz w:val="20"/>
          <w:szCs w:val="20"/>
          <w:lang w:val="es-ES_tradnl"/>
        </w:rPr>
      </w:pPr>
    </w:p>
    <w:p w14:paraId="3A0C8C7E" w14:textId="77777777" w:rsidR="00085C2E" w:rsidRPr="006D531F" w:rsidRDefault="00085C2E" w:rsidP="00D714E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cs="Arial"/>
          <w:sz w:val="20"/>
          <w:szCs w:val="20"/>
          <w:bdr w:val="none" w:sz="0" w:space="0" w:color="auto"/>
          <w:lang w:val="es-ES"/>
        </w:rPr>
      </w:pPr>
      <w:r w:rsidRPr="006D531F">
        <w:rPr>
          <w:rFonts w:asciiTheme="majorHAnsi" w:hAnsiTheme="majorHAnsi"/>
          <w:sz w:val="20"/>
          <w:szCs w:val="20"/>
          <w:lang w:val="es-CO"/>
        </w:rPr>
        <w:t xml:space="preserve">El artículo 26 de la Convención Americana establece </w:t>
      </w:r>
      <w:r w:rsidR="00DD62D8" w:rsidRPr="006D531F">
        <w:rPr>
          <w:rFonts w:asciiTheme="majorHAnsi" w:hAnsiTheme="majorHAnsi"/>
          <w:sz w:val="20"/>
          <w:szCs w:val="20"/>
          <w:lang w:val="es-CO"/>
        </w:rPr>
        <w:t>la</w:t>
      </w:r>
      <w:r w:rsidRPr="006D531F">
        <w:rPr>
          <w:rFonts w:asciiTheme="majorHAnsi" w:hAnsiTheme="majorHAnsi"/>
          <w:sz w:val="20"/>
          <w:szCs w:val="20"/>
          <w:lang w:val="es-CO"/>
        </w:rPr>
        <w:t xml:space="preserve"> obligación de los Estados parte</w:t>
      </w:r>
      <w:r w:rsidR="00965281" w:rsidRPr="006D531F">
        <w:rPr>
          <w:rFonts w:asciiTheme="majorHAnsi" w:hAnsiTheme="majorHAnsi"/>
          <w:sz w:val="20"/>
          <w:szCs w:val="20"/>
          <w:lang w:val="es-CO"/>
        </w:rPr>
        <w:t xml:space="preserve"> </w:t>
      </w:r>
      <w:r w:rsidRPr="006D531F">
        <w:rPr>
          <w:rFonts w:asciiTheme="majorHAnsi" w:hAnsiTheme="majorHAnsi"/>
          <w:sz w:val="20"/>
          <w:szCs w:val="20"/>
          <w:lang w:val="es-CO"/>
        </w:rPr>
        <w:t xml:space="preserve">de procurar el desarrollo progresivo de los derechos que dicha norma contiene. Ambos órganos del sistema interamericano </w:t>
      </w:r>
      <w:r w:rsidRPr="006D531F">
        <w:rPr>
          <w:rFonts w:asciiTheme="majorHAnsi" w:hAnsiTheme="majorHAnsi" w:cs="Arial"/>
          <w:snapToGrid w:val="0"/>
          <w:sz w:val="20"/>
          <w:szCs w:val="20"/>
          <w:lang w:val="es-CO"/>
        </w:rPr>
        <w:t xml:space="preserve">han reafirmado su </w:t>
      </w:r>
      <w:r w:rsidRPr="006D531F">
        <w:rPr>
          <w:rFonts w:asciiTheme="majorHAnsi" w:hAnsiTheme="majorHAnsi"/>
          <w:sz w:val="20"/>
          <w:szCs w:val="20"/>
          <w:lang w:val="es-AR"/>
        </w:rPr>
        <w:t>competencia</w:t>
      </w:r>
      <w:r w:rsidRPr="006D531F">
        <w:rPr>
          <w:rFonts w:asciiTheme="majorHAnsi" w:hAnsiTheme="majorHAnsi" w:cs="Arial"/>
          <w:snapToGrid w:val="0"/>
          <w:sz w:val="20"/>
          <w:szCs w:val="20"/>
          <w:lang w:val="es-CO"/>
        </w:rPr>
        <w:t xml:space="preserve"> para pronunciarse sobre posibles violaciones del artículo 26 </w:t>
      </w:r>
      <w:r w:rsidRPr="006D531F">
        <w:rPr>
          <w:rFonts w:asciiTheme="majorHAnsi" w:eastAsia="Batang" w:hAnsiTheme="majorHAnsi"/>
          <w:sz w:val="20"/>
          <w:szCs w:val="20"/>
          <w:bdr w:val="none" w:sz="0" w:space="0" w:color="auto" w:frame="1"/>
          <w:lang w:val="es-UY"/>
        </w:rPr>
        <w:t>de</w:t>
      </w:r>
      <w:r w:rsidRPr="006D531F">
        <w:rPr>
          <w:rFonts w:asciiTheme="majorHAnsi" w:hAnsiTheme="majorHAnsi" w:cs="Arial"/>
          <w:snapToGrid w:val="0"/>
          <w:sz w:val="20"/>
          <w:szCs w:val="20"/>
          <w:lang w:val="es-CO"/>
        </w:rPr>
        <w:t xml:space="preserve"> la Convención Americana en el marco del sistema de peticiones y casos individuales</w:t>
      </w:r>
      <w:r w:rsidRPr="006D531F">
        <w:rPr>
          <w:rFonts w:asciiTheme="majorHAnsi" w:hAnsiTheme="majorHAnsi" w:cs="Arial"/>
          <w:i/>
          <w:snapToGrid w:val="0"/>
          <w:sz w:val="20"/>
          <w:szCs w:val="20"/>
          <w:lang w:val="es-CO"/>
        </w:rPr>
        <w:t xml:space="preserve">. </w:t>
      </w:r>
      <w:r w:rsidRPr="006D531F">
        <w:rPr>
          <w:rFonts w:asciiTheme="majorHAnsi" w:hAnsiTheme="majorHAnsi"/>
          <w:sz w:val="20"/>
          <w:szCs w:val="20"/>
          <w:bdr w:val="none" w:sz="0" w:space="0" w:color="auto" w:frame="1"/>
          <w:lang w:val="es-MX"/>
        </w:rPr>
        <w:t xml:space="preserve">En sus pronunciamientos sobre la materia, la Corte ha enfatizado la </w:t>
      </w:r>
      <w:r w:rsidRPr="006D531F">
        <w:rPr>
          <w:rFonts w:asciiTheme="majorHAnsi" w:hAnsiTheme="majorHAnsi" w:cs="Arial"/>
          <w:snapToGrid w:val="0"/>
          <w:sz w:val="20"/>
          <w:szCs w:val="20"/>
          <w:bdr w:val="none" w:sz="0" w:space="0" w:color="auto" w:frame="1"/>
          <w:lang w:val="es-CO"/>
        </w:rPr>
        <w:t>interdependencia e indivisibilidad de los derechos económicos, sociales y culturales respecto de los derechos civiles y políticos</w:t>
      </w:r>
      <w:r w:rsidRPr="006D531F">
        <w:rPr>
          <w:rStyle w:val="FootnoteReference"/>
          <w:rFonts w:asciiTheme="majorHAnsi" w:hAnsiTheme="majorHAnsi" w:cs="Arial"/>
          <w:snapToGrid w:val="0"/>
          <w:sz w:val="20"/>
          <w:szCs w:val="20"/>
          <w:bdr w:val="none" w:sz="0" w:space="0" w:color="auto" w:frame="1"/>
          <w:lang w:val="es-CO"/>
        </w:rPr>
        <w:footnoteReference w:id="126"/>
      </w:r>
      <w:r w:rsidRPr="006D531F">
        <w:rPr>
          <w:rFonts w:asciiTheme="majorHAnsi" w:hAnsiTheme="majorHAnsi" w:cs="Arial"/>
          <w:snapToGrid w:val="0"/>
          <w:sz w:val="20"/>
          <w:szCs w:val="20"/>
          <w:bdr w:val="none" w:sz="0" w:space="0" w:color="auto" w:frame="1"/>
          <w:lang w:val="es-CO"/>
        </w:rPr>
        <w:t>.</w:t>
      </w:r>
    </w:p>
    <w:p w14:paraId="0E769358" w14:textId="77777777" w:rsidR="00085C2E" w:rsidRPr="006D531F" w:rsidRDefault="00085C2E" w:rsidP="000A6CEF">
      <w:pPr>
        <w:tabs>
          <w:tab w:val="left" w:pos="450"/>
        </w:tabs>
        <w:jc w:val="both"/>
        <w:rPr>
          <w:rFonts w:asciiTheme="majorHAnsi" w:eastAsia="Batang" w:hAnsiTheme="majorHAnsi" w:cs="Arial"/>
          <w:sz w:val="20"/>
          <w:szCs w:val="20"/>
          <w:bdr w:val="none" w:sz="0" w:space="0" w:color="auto"/>
          <w:lang w:val="es-ES"/>
        </w:rPr>
      </w:pPr>
    </w:p>
    <w:p w14:paraId="75FF5B13" w14:textId="77777777" w:rsidR="00085C2E" w:rsidRPr="006D531F" w:rsidRDefault="00085C2E" w:rsidP="006D65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cs="Arial"/>
          <w:sz w:val="20"/>
          <w:szCs w:val="20"/>
          <w:bdr w:val="none" w:sz="0" w:space="0" w:color="auto"/>
          <w:lang w:val="es-ES"/>
        </w:rPr>
      </w:pPr>
      <w:r w:rsidRPr="006D531F">
        <w:rPr>
          <w:rFonts w:asciiTheme="majorHAnsi" w:hAnsiTheme="majorHAnsi"/>
          <w:sz w:val="20"/>
          <w:szCs w:val="20"/>
          <w:lang w:val="es-MX"/>
        </w:rPr>
        <w:t>La Comisión ya ha indicado que el análisis de un caso concreto a la luz del artículo 26 de la Convención Americana debe ser efectuado en dos niveles. En un primer momento, es necesario establecer si el derecho del que se trata el caso se deriva “de las normas económicas, sociales y sobre educación, ciencia y cultura, contenidas en la Carta de la Organización de Estados Americanos”, tal como remite el texto del artículo 26. Es decir, el artículo 26 de la CADH es el que atribuye a la Carta de la OEA como fuente directa de derechos, asignando carácter de derechos humanos a las disposiciones que sobre la materia pueden desprenderse de dicho tratado. Dado que el objeto de la Carta de la OEA no fue individualizar derechos sino constituir un organismo internacional, es necesario recurrir a textos auxiliares para</w:t>
      </w:r>
      <w:r w:rsidR="00E66D9A" w:rsidRPr="006D531F">
        <w:rPr>
          <w:rFonts w:asciiTheme="majorHAnsi" w:hAnsiTheme="majorHAnsi"/>
          <w:sz w:val="20"/>
          <w:szCs w:val="20"/>
          <w:lang w:val="es-MX"/>
        </w:rPr>
        <w:t xml:space="preserve"> dotar de contenido</w:t>
      </w:r>
      <w:r w:rsidRPr="006D531F">
        <w:rPr>
          <w:rFonts w:asciiTheme="majorHAnsi" w:hAnsiTheme="majorHAnsi"/>
          <w:sz w:val="20"/>
          <w:szCs w:val="20"/>
          <w:lang w:val="es-MX"/>
        </w:rPr>
        <w:t xml:space="preserve"> </w:t>
      </w:r>
      <w:r w:rsidR="00753C01" w:rsidRPr="006D531F">
        <w:rPr>
          <w:rFonts w:asciiTheme="majorHAnsi" w:hAnsiTheme="majorHAnsi"/>
          <w:sz w:val="20"/>
          <w:szCs w:val="20"/>
          <w:lang w:val="es-MX"/>
        </w:rPr>
        <w:t xml:space="preserve">a </w:t>
      </w:r>
      <w:r w:rsidRPr="006D531F">
        <w:rPr>
          <w:rFonts w:asciiTheme="majorHAnsi" w:hAnsiTheme="majorHAnsi"/>
          <w:sz w:val="20"/>
          <w:szCs w:val="20"/>
          <w:lang w:val="es-MX"/>
        </w:rPr>
        <w:t>los derechos</w:t>
      </w:r>
      <w:r w:rsidR="00AC2F0B" w:rsidRPr="006D531F">
        <w:rPr>
          <w:rFonts w:asciiTheme="majorHAnsi" w:hAnsiTheme="majorHAnsi"/>
          <w:sz w:val="20"/>
          <w:szCs w:val="20"/>
          <w:lang w:val="es-MX"/>
        </w:rPr>
        <w:t>,</w:t>
      </w:r>
      <w:r w:rsidRPr="006D531F">
        <w:rPr>
          <w:rFonts w:asciiTheme="majorHAnsi" w:hAnsiTheme="majorHAnsi"/>
          <w:sz w:val="20"/>
          <w:szCs w:val="20"/>
          <w:lang w:val="es-MX"/>
        </w:rPr>
        <w:t xml:space="preserve"> </w:t>
      </w:r>
      <w:r w:rsidR="00745C90" w:rsidRPr="006D531F">
        <w:rPr>
          <w:rFonts w:asciiTheme="majorHAnsi" w:hAnsiTheme="majorHAnsi"/>
          <w:sz w:val="20"/>
          <w:szCs w:val="20"/>
          <w:lang w:val="es-MX"/>
        </w:rPr>
        <w:t>una vez que</w:t>
      </w:r>
      <w:r w:rsidR="00AC2F0B" w:rsidRPr="006D531F">
        <w:rPr>
          <w:rFonts w:asciiTheme="majorHAnsi" w:hAnsiTheme="majorHAnsi"/>
          <w:sz w:val="20"/>
          <w:szCs w:val="20"/>
          <w:lang w:val="es-MX"/>
        </w:rPr>
        <w:t xml:space="preserve"> </w:t>
      </w:r>
      <w:r w:rsidR="002463BE" w:rsidRPr="006D531F">
        <w:rPr>
          <w:rFonts w:asciiTheme="majorHAnsi" w:hAnsiTheme="majorHAnsi"/>
          <w:sz w:val="20"/>
          <w:szCs w:val="20"/>
          <w:lang w:val="es-MX"/>
        </w:rPr>
        <w:t>hayan sido</w:t>
      </w:r>
      <w:r w:rsidR="00745C90" w:rsidRPr="006D531F">
        <w:rPr>
          <w:rFonts w:asciiTheme="majorHAnsi" w:hAnsiTheme="majorHAnsi"/>
          <w:sz w:val="20"/>
          <w:szCs w:val="20"/>
          <w:lang w:val="es-MX"/>
        </w:rPr>
        <w:t xml:space="preserve"> identifica</w:t>
      </w:r>
      <w:r w:rsidR="002463BE" w:rsidRPr="006D531F">
        <w:rPr>
          <w:rFonts w:asciiTheme="majorHAnsi" w:hAnsiTheme="majorHAnsi"/>
          <w:sz w:val="20"/>
          <w:szCs w:val="20"/>
          <w:lang w:val="es-MX"/>
        </w:rPr>
        <w:t>dos</w:t>
      </w:r>
      <w:r w:rsidR="00745C90" w:rsidRPr="006D531F">
        <w:rPr>
          <w:rFonts w:asciiTheme="majorHAnsi" w:hAnsiTheme="majorHAnsi"/>
          <w:sz w:val="20"/>
          <w:szCs w:val="20"/>
          <w:lang w:val="es-MX"/>
        </w:rPr>
        <w:t xml:space="preserve"> </w:t>
      </w:r>
      <w:r w:rsidR="00AC1913" w:rsidRPr="006D531F">
        <w:rPr>
          <w:rFonts w:asciiTheme="majorHAnsi" w:hAnsiTheme="majorHAnsi"/>
          <w:sz w:val="20"/>
          <w:szCs w:val="20"/>
          <w:lang w:val="es-MX"/>
        </w:rPr>
        <w:t xml:space="preserve">de </w:t>
      </w:r>
      <w:r w:rsidRPr="006D531F">
        <w:rPr>
          <w:rFonts w:asciiTheme="majorHAnsi" w:hAnsiTheme="majorHAnsi"/>
          <w:sz w:val="20"/>
          <w:szCs w:val="20"/>
          <w:lang w:val="es-MX"/>
        </w:rPr>
        <w:t>las disposiciones de dicho instrumento</w:t>
      </w:r>
      <w:r w:rsidR="000D5F92" w:rsidRPr="006D531F">
        <w:rPr>
          <w:rFonts w:asciiTheme="majorHAnsi" w:hAnsiTheme="majorHAnsi"/>
          <w:sz w:val="20"/>
          <w:szCs w:val="20"/>
          <w:lang w:val="es-MX"/>
        </w:rPr>
        <w:t xml:space="preserve">. Para ello, </w:t>
      </w:r>
      <w:r w:rsidR="00ED75B7" w:rsidRPr="006D531F">
        <w:rPr>
          <w:rFonts w:asciiTheme="majorHAnsi" w:hAnsiTheme="majorHAnsi"/>
          <w:sz w:val="20"/>
          <w:szCs w:val="20"/>
          <w:lang w:val="es-MX"/>
        </w:rPr>
        <w:t xml:space="preserve">se puedo acudir </w:t>
      </w:r>
      <w:r w:rsidRPr="006D531F">
        <w:rPr>
          <w:rFonts w:asciiTheme="majorHAnsi" w:hAnsiTheme="majorHAnsi"/>
          <w:sz w:val="20"/>
          <w:szCs w:val="20"/>
          <w:lang w:val="es-MX"/>
        </w:rPr>
        <w:t xml:space="preserve">fundamentalmente </w:t>
      </w:r>
      <w:r w:rsidR="00ED75B7" w:rsidRPr="006D531F">
        <w:rPr>
          <w:rFonts w:asciiTheme="majorHAnsi" w:hAnsiTheme="majorHAnsi"/>
          <w:sz w:val="20"/>
          <w:szCs w:val="20"/>
          <w:lang w:val="es-MX"/>
        </w:rPr>
        <w:t xml:space="preserve">a </w:t>
      </w:r>
      <w:r w:rsidRPr="006D531F">
        <w:rPr>
          <w:rFonts w:asciiTheme="majorHAnsi" w:hAnsiTheme="majorHAnsi"/>
          <w:sz w:val="20"/>
          <w:szCs w:val="20"/>
          <w:lang w:val="es-MX"/>
        </w:rPr>
        <w:t>la Declaración Americana y</w:t>
      </w:r>
      <w:r w:rsidR="00ED75B7" w:rsidRPr="006D531F">
        <w:rPr>
          <w:rFonts w:asciiTheme="majorHAnsi" w:hAnsiTheme="majorHAnsi"/>
          <w:sz w:val="20"/>
          <w:szCs w:val="20"/>
          <w:lang w:val="es-MX"/>
        </w:rPr>
        <w:t xml:space="preserve"> a</w:t>
      </w:r>
      <w:r w:rsidRPr="006D531F">
        <w:rPr>
          <w:rFonts w:asciiTheme="majorHAnsi" w:hAnsiTheme="majorHAnsi"/>
          <w:sz w:val="20"/>
          <w:szCs w:val="20"/>
          <w:lang w:val="es-MX"/>
        </w:rPr>
        <w:t xml:space="preserve"> otras normas relevantes del </w:t>
      </w:r>
      <w:r w:rsidRPr="006D531F">
        <w:rPr>
          <w:rFonts w:asciiTheme="majorHAnsi" w:hAnsiTheme="majorHAnsi"/>
          <w:i/>
          <w:sz w:val="20"/>
          <w:szCs w:val="20"/>
          <w:lang w:val="es-MX"/>
        </w:rPr>
        <w:t xml:space="preserve">corpus iuris </w:t>
      </w:r>
      <w:r w:rsidRPr="006D531F">
        <w:rPr>
          <w:rFonts w:asciiTheme="majorHAnsi" w:hAnsiTheme="majorHAnsi"/>
          <w:sz w:val="20"/>
          <w:szCs w:val="20"/>
          <w:lang w:val="es-MX"/>
        </w:rPr>
        <w:t>internacional</w:t>
      </w:r>
      <w:r w:rsidRPr="006D531F">
        <w:rPr>
          <w:rStyle w:val="FootnoteReference"/>
          <w:rFonts w:asciiTheme="majorHAnsi" w:hAnsiTheme="majorHAnsi"/>
          <w:sz w:val="20"/>
          <w:szCs w:val="20"/>
          <w:lang w:val="es-MX"/>
        </w:rPr>
        <w:footnoteReference w:id="127"/>
      </w:r>
      <w:r w:rsidRPr="006D531F">
        <w:rPr>
          <w:rFonts w:asciiTheme="majorHAnsi" w:hAnsiTheme="majorHAnsi"/>
          <w:sz w:val="20"/>
          <w:szCs w:val="20"/>
          <w:lang w:val="es-MX"/>
        </w:rPr>
        <w:t>.</w:t>
      </w:r>
    </w:p>
    <w:p w14:paraId="6055EC60" w14:textId="77777777" w:rsidR="00085C2E" w:rsidRPr="006D531F" w:rsidRDefault="00085C2E" w:rsidP="000A6CEF">
      <w:pPr>
        <w:pStyle w:val="ListParagraph"/>
        <w:jc w:val="both"/>
        <w:rPr>
          <w:rFonts w:asciiTheme="majorHAnsi" w:hAnsiTheme="majorHAnsi"/>
          <w:color w:val="auto"/>
          <w:sz w:val="20"/>
          <w:szCs w:val="20"/>
          <w:lang w:val="es-MX"/>
        </w:rPr>
      </w:pPr>
    </w:p>
    <w:p w14:paraId="5B59FE1C" w14:textId="77777777" w:rsidR="00085C2E" w:rsidRPr="006D531F" w:rsidRDefault="00085C2E" w:rsidP="006D65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cs="Arial"/>
          <w:sz w:val="20"/>
          <w:szCs w:val="20"/>
          <w:bdr w:val="none" w:sz="0" w:space="0" w:color="auto"/>
          <w:lang w:val="es-ES"/>
        </w:rPr>
      </w:pPr>
      <w:r w:rsidRPr="006D531F">
        <w:rPr>
          <w:rFonts w:asciiTheme="majorHAnsi" w:hAnsiTheme="majorHAnsi"/>
          <w:sz w:val="20"/>
          <w:szCs w:val="20"/>
          <w:lang w:val="es-MX"/>
        </w:rPr>
        <w:t xml:space="preserve">Una vez establecido ello, corresponde determinar si el Estado en cuestión incumplió la obligación de “lograr progresivamente” la </w:t>
      </w:r>
      <w:r w:rsidRPr="006D531F">
        <w:rPr>
          <w:rFonts w:asciiTheme="majorHAnsi" w:hAnsiTheme="majorHAnsi"/>
          <w:sz w:val="20"/>
          <w:szCs w:val="20"/>
          <w:lang w:val="es-AR"/>
        </w:rPr>
        <w:t>plena</w:t>
      </w:r>
      <w:r w:rsidRPr="006D531F">
        <w:rPr>
          <w:rFonts w:asciiTheme="majorHAnsi" w:hAnsiTheme="majorHAnsi"/>
          <w:sz w:val="20"/>
          <w:szCs w:val="20"/>
          <w:lang w:val="es-MX"/>
        </w:rPr>
        <w:t xml:space="preserve"> efectividad de tal derecho, o aquellas obligaciones generales de respetar y de garantizar el mismo. En este segundo nivel de análisis, es preciso tomar en consideración la naturaleza y </w:t>
      </w:r>
      <w:r w:rsidRPr="006D531F">
        <w:rPr>
          <w:rFonts w:asciiTheme="majorHAnsi" w:hAnsiTheme="majorHAnsi"/>
          <w:sz w:val="20"/>
          <w:szCs w:val="20"/>
          <w:lang w:val="es-PE"/>
        </w:rPr>
        <w:t>alcance</w:t>
      </w:r>
      <w:r w:rsidRPr="006D531F">
        <w:rPr>
          <w:rFonts w:asciiTheme="majorHAnsi" w:hAnsiTheme="majorHAnsi"/>
          <w:sz w:val="20"/>
          <w:szCs w:val="20"/>
          <w:lang w:val="es-MX"/>
        </w:rPr>
        <w:t xml:space="preserve"> de las obligaciones exigibles al Estado bajo los artículos 1.1, 2 y 26 de la Convención, así como los contenidos del derecho de que se trate</w:t>
      </w:r>
      <w:r w:rsidRPr="006D531F">
        <w:rPr>
          <w:rStyle w:val="FootnoteReference"/>
          <w:rFonts w:asciiTheme="majorHAnsi" w:hAnsiTheme="majorHAnsi"/>
          <w:sz w:val="20"/>
          <w:szCs w:val="20"/>
          <w:lang w:val="es-MX"/>
        </w:rPr>
        <w:footnoteReference w:id="128"/>
      </w:r>
      <w:r w:rsidRPr="006D531F">
        <w:rPr>
          <w:rFonts w:asciiTheme="majorHAnsi" w:hAnsiTheme="majorHAnsi"/>
          <w:sz w:val="20"/>
          <w:szCs w:val="20"/>
          <w:lang w:val="es-MX"/>
        </w:rPr>
        <w:t>.</w:t>
      </w:r>
    </w:p>
    <w:p w14:paraId="26764CD8" w14:textId="77777777" w:rsidR="00085C2E" w:rsidRPr="006D531F" w:rsidRDefault="00085C2E" w:rsidP="000A6CEF">
      <w:pPr>
        <w:pStyle w:val="ListParagraph"/>
        <w:jc w:val="both"/>
        <w:rPr>
          <w:rFonts w:asciiTheme="majorHAnsi" w:hAnsiTheme="majorHAnsi" w:cs="Arial"/>
          <w:snapToGrid w:val="0"/>
          <w:color w:val="auto"/>
          <w:sz w:val="20"/>
          <w:szCs w:val="20"/>
          <w:lang w:val="es-CO"/>
        </w:rPr>
      </w:pPr>
    </w:p>
    <w:p w14:paraId="236EB7B0" w14:textId="77777777" w:rsidR="00085C2E" w:rsidRPr="006D531F" w:rsidRDefault="00085C2E" w:rsidP="006D65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cs="Arial"/>
          <w:sz w:val="20"/>
          <w:szCs w:val="20"/>
          <w:bdr w:val="none" w:sz="0" w:space="0" w:color="auto"/>
          <w:lang w:val="es-ES"/>
        </w:rPr>
      </w:pPr>
      <w:r w:rsidRPr="006D531F">
        <w:rPr>
          <w:rFonts w:asciiTheme="majorHAnsi" w:hAnsiTheme="majorHAnsi" w:cs="Arial"/>
          <w:snapToGrid w:val="0"/>
          <w:sz w:val="20"/>
          <w:szCs w:val="20"/>
          <w:lang w:val="es-CO"/>
        </w:rPr>
        <w:t xml:space="preserve">La Comisión también ha indicado que el artículo 26 de la Convención Americana impone diversas obligaciones a los Estados que no se limitan a una prohibición de regresividad, el cual es un correlato de la obligación de progresividad, pero no puede entenderse como la única obligación justiciable en el sistema interamericano bajo esta norma. Así, la Comisión afirma que teniendo en cuenta el marco interpretativo del artículo 29 de la Convención Americana, el artículo 26 visto a la luz de los artículos 1.1 y 2 del mismo </w:t>
      </w:r>
      <w:r w:rsidRPr="006D531F">
        <w:rPr>
          <w:rFonts w:asciiTheme="majorHAnsi" w:hAnsiTheme="majorHAnsi" w:cs="Arial"/>
          <w:snapToGrid w:val="0"/>
          <w:sz w:val="20"/>
          <w:szCs w:val="20"/>
          <w:lang w:val="es-CO"/>
        </w:rPr>
        <w:lastRenderedPageBreak/>
        <w:t xml:space="preserve">instrumento, se desprenden, </w:t>
      </w:r>
      <w:r w:rsidRPr="006D531F">
        <w:rPr>
          <w:rFonts w:asciiTheme="majorHAnsi" w:hAnsiTheme="majorHAnsi"/>
          <w:sz w:val="20"/>
          <w:szCs w:val="20"/>
          <w:lang w:val="es-AR"/>
        </w:rPr>
        <w:t>al</w:t>
      </w:r>
      <w:r w:rsidRPr="006D531F">
        <w:rPr>
          <w:rFonts w:asciiTheme="majorHAnsi" w:hAnsiTheme="majorHAnsi" w:cs="Arial"/>
          <w:snapToGrid w:val="0"/>
          <w:sz w:val="20"/>
          <w:szCs w:val="20"/>
          <w:lang w:val="es-CO"/>
        </w:rPr>
        <w:t xml:space="preserve"> menos las siguientes obligaciones inmediatas y exigibles: i) obligaciones generales de respeto y garantía, ii) aplicación del principio de no discriminación a los derechos económicos, sociales y culturales, iii) obligaciones de dar pasos o adoptar medidas para </w:t>
      </w:r>
      <w:r w:rsidRPr="006D531F">
        <w:rPr>
          <w:rFonts w:asciiTheme="majorHAnsi" w:hAnsiTheme="majorHAnsi" w:cs="Helvetica"/>
          <w:sz w:val="20"/>
          <w:szCs w:val="20"/>
          <w:lang w:val="es-CO" w:bidi="en-US"/>
        </w:rPr>
        <w:t>lograr</w:t>
      </w:r>
      <w:r w:rsidRPr="006D531F">
        <w:rPr>
          <w:rFonts w:asciiTheme="majorHAnsi" w:hAnsiTheme="majorHAnsi" w:cs="Arial"/>
          <w:snapToGrid w:val="0"/>
          <w:sz w:val="20"/>
          <w:szCs w:val="20"/>
          <w:lang w:val="es-CO"/>
        </w:rPr>
        <w:t xml:space="preserve"> el goce de los derechos incorporados en dicho artículo y iv) ofrecer recursos idóneos y efectivos para su protección. Las metodologías o fuentes de análisis que resulten pertinentes para cada una de estas </w:t>
      </w:r>
      <w:r w:rsidR="00FF0280" w:rsidRPr="006D531F">
        <w:rPr>
          <w:rFonts w:asciiTheme="majorHAnsi" w:hAnsiTheme="majorHAnsi" w:cs="Arial"/>
          <w:snapToGrid w:val="0"/>
          <w:sz w:val="20"/>
          <w:szCs w:val="20"/>
          <w:lang w:val="es-CO"/>
        </w:rPr>
        <w:t>obligaciones</w:t>
      </w:r>
      <w:r w:rsidRPr="006D531F">
        <w:rPr>
          <w:rFonts w:asciiTheme="majorHAnsi" w:hAnsiTheme="majorHAnsi" w:cs="Arial"/>
          <w:snapToGrid w:val="0"/>
          <w:sz w:val="20"/>
          <w:szCs w:val="20"/>
          <w:lang w:val="es-CO"/>
        </w:rPr>
        <w:t xml:space="preserve"> deberán ser establecidas según las circunstancias propias de cada caso</w:t>
      </w:r>
      <w:r w:rsidRPr="006D531F">
        <w:rPr>
          <w:rStyle w:val="FootnoteReference"/>
          <w:rFonts w:asciiTheme="majorHAnsi" w:hAnsiTheme="majorHAnsi" w:cs="Arial"/>
          <w:snapToGrid w:val="0"/>
          <w:sz w:val="20"/>
          <w:szCs w:val="20"/>
          <w:lang w:val="es-CO"/>
        </w:rPr>
        <w:footnoteReference w:id="129"/>
      </w:r>
      <w:r w:rsidRPr="006D531F">
        <w:rPr>
          <w:rFonts w:asciiTheme="majorHAnsi" w:hAnsiTheme="majorHAnsi" w:cs="Arial"/>
          <w:snapToGrid w:val="0"/>
          <w:sz w:val="20"/>
          <w:szCs w:val="20"/>
          <w:lang w:val="es-CO"/>
        </w:rPr>
        <w:t>. Además, e</w:t>
      </w:r>
      <w:r w:rsidRPr="006D531F">
        <w:rPr>
          <w:rFonts w:asciiTheme="majorHAnsi" w:hAnsiTheme="majorHAnsi" w:cs="Arial"/>
          <w:sz w:val="20"/>
          <w:szCs w:val="20"/>
          <w:shd w:val="clear" w:color="auto" w:fill="FFFFFF"/>
          <w:lang w:val="es-PE"/>
        </w:rPr>
        <w:t xml:space="preserve">l Estado tiene obligaciones básicas que deben satisfacer niveles esenciales de tales derechos, las cuales no están sujetas al desarrollo </w:t>
      </w:r>
      <w:r w:rsidR="00FF0280" w:rsidRPr="006D531F">
        <w:rPr>
          <w:rFonts w:asciiTheme="majorHAnsi" w:hAnsiTheme="majorHAnsi"/>
          <w:sz w:val="20"/>
          <w:szCs w:val="20"/>
          <w:lang w:val="es-ES"/>
        </w:rPr>
        <w:t>progresivo,</w:t>
      </w:r>
      <w:r w:rsidRPr="006D531F">
        <w:rPr>
          <w:rFonts w:asciiTheme="majorHAnsi" w:hAnsiTheme="majorHAnsi" w:cs="Arial"/>
          <w:sz w:val="20"/>
          <w:szCs w:val="20"/>
          <w:shd w:val="clear" w:color="auto" w:fill="FFFFFF"/>
          <w:lang w:val="es-PE"/>
        </w:rPr>
        <w:t xml:space="preserve"> sino que son de carácter inmediato</w:t>
      </w:r>
      <w:r w:rsidRPr="006D531F">
        <w:rPr>
          <w:rStyle w:val="FootnoteReference"/>
          <w:rFonts w:asciiTheme="majorHAnsi" w:hAnsiTheme="majorHAnsi" w:cs="Arial"/>
          <w:snapToGrid w:val="0"/>
          <w:sz w:val="20"/>
          <w:szCs w:val="20"/>
          <w:lang w:val="es-CO"/>
        </w:rPr>
        <w:footnoteReference w:id="130"/>
      </w:r>
      <w:r w:rsidRPr="006D531F">
        <w:rPr>
          <w:rFonts w:asciiTheme="majorHAnsi" w:hAnsiTheme="majorHAnsi" w:cs="Arial"/>
          <w:sz w:val="20"/>
          <w:szCs w:val="20"/>
          <w:shd w:val="clear" w:color="auto" w:fill="FFFFFF"/>
          <w:lang w:val="es-PE"/>
        </w:rPr>
        <w:t>.</w:t>
      </w:r>
    </w:p>
    <w:p w14:paraId="69899DC5" w14:textId="77777777" w:rsidR="00085C2E" w:rsidRPr="006D531F" w:rsidRDefault="00085C2E" w:rsidP="000A6CEF">
      <w:pPr>
        <w:pStyle w:val="ListParagraph"/>
        <w:tabs>
          <w:tab w:val="left" w:pos="450"/>
        </w:tabs>
        <w:ind w:left="0"/>
        <w:jc w:val="both"/>
        <w:rPr>
          <w:rFonts w:asciiTheme="majorHAnsi" w:eastAsia="Batang" w:hAnsiTheme="majorHAnsi" w:cs="Arial"/>
          <w:color w:val="auto"/>
          <w:sz w:val="20"/>
          <w:szCs w:val="20"/>
          <w:bdr w:val="none" w:sz="0" w:space="0" w:color="auto"/>
          <w:lang w:val="es-ES"/>
        </w:rPr>
      </w:pPr>
    </w:p>
    <w:p w14:paraId="5F768FAB" w14:textId="77777777" w:rsidR="00F13738" w:rsidRDefault="00085C2E" w:rsidP="006D65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cs="Arial"/>
          <w:sz w:val="20"/>
          <w:szCs w:val="20"/>
          <w:bdr w:val="none" w:sz="0" w:space="0" w:color="auto"/>
          <w:lang w:val="es-ES"/>
        </w:rPr>
      </w:pPr>
      <w:r w:rsidRPr="006D531F">
        <w:rPr>
          <w:rFonts w:asciiTheme="majorHAnsi" w:hAnsiTheme="majorHAnsi"/>
          <w:sz w:val="20"/>
          <w:szCs w:val="20"/>
          <w:lang w:val="es-ES_tradnl"/>
        </w:rPr>
        <w:t>La</w:t>
      </w:r>
      <w:r w:rsidRPr="006D531F">
        <w:rPr>
          <w:rFonts w:asciiTheme="majorHAnsi" w:eastAsia="Batang" w:hAnsiTheme="majorHAnsi" w:cs="Arial"/>
          <w:sz w:val="20"/>
          <w:szCs w:val="20"/>
          <w:bdr w:val="none" w:sz="0" w:space="0" w:color="auto"/>
          <w:lang w:val="es-ES"/>
        </w:rPr>
        <w:t xml:space="preserve"> Comisión observa que la Carta de la OEA hace referencia a los derechos culturales. Así, la Carta establece que los Estados deben dar prioridad al estímulo de la cultura hacia el mejoramiento integral de la persona humana como fundamento de la justicia social y la democracia (artículo 47), seguidamente reconoce el compromiso individual y solidario para preservar el patrimonio cultural de los pueblos americanos (artículo 48); y también consagra el derecho de la participación de sectores excluidos y discriminados en la vida cultural del país (artículo 45.f). Para efectos de los pueblos indígenas en general, la CIDH entiende estas disposiciones como el derecho a practicar y, de ser el caso, difundir su propia cultura; y, como manifestación del deber de respeto que sus prácticas culturales y cosmovisión sean debidamente protegidas.  </w:t>
      </w:r>
    </w:p>
    <w:p w14:paraId="62726BAF" w14:textId="77777777" w:rsidR="00F13738" w:rsidRDefault="00F13738" w:rsidP="00F1373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Batang" w:hAnsiTheme="majorHAnsi" w:cs="Arial"/>
          <w:sz w:val="20"/>
          <w:szCs w:val="20"/>
          <w:bdr w:val="none" w:sz="0" w:space="0" w:color="auto"/>
          <w:lang w:val="es-ES"/>
        </w:rPr>
      </w:pPr>
    </w:p>
    <w:p w14:paraId="5A9A0D3C" w14:textId="77777777" w:rsidR="00085C2E" w:rsidRPr="006D531F" w:rsidRDefault="00085C2E" w:rsidP="006D652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cs="Arial"/>
          <w:sz w:val="20"/>
          <w:szCs w:val="20"/>
          <w:bdr w:val="none" w:sz="0" w:space="0" w:color="auto"/>
          <w:lang w:val="es-ES"/>
        </w:rPr>
      </w:pPr>
      <w:r w:rsidRPr="006D531F">
        <w:rPr>
          <w:rFonts w:asciiTheme="majorHAnsi" w:eastAsia="Batang" w:hAnsiTheme="majorHAnsi" w:cs="Arial"/>
          <w:sz w:val="20"/>
          <w:szCs w:val="20"/>
          <w:bdr w:val="none" w:sz="0" w:space="0" w:color="auto"/>
          <w:lang w:val="es-ES"/>
        </w:rPr>
        <w:t xml:space="preserve">Así, por ejemplo, el </w:t>
      </w:r>
      <w:r w:rsidR="00D8455E" w:rsidRPr="006D531F">
        <w:rPr>
          <w:rFonts w:asciiTheme="majorHAnsi" w:hAnsiTheme="majorHAnsi"/>
          <w:sz w:val="20"/>
          <w:szCs w:val="20"/>
          <w:lang w:val="es-PE"/>
        </w:rPr>
        <w:t xml:space="preserve">Comité de Derechos Económicos, Sociales y Culturales de </w:t>
      </w:r>
      <w:r w:rsidR="00E36580">
        <w:rPr>
          <w:rFonts w:asciiTheme="majorHAnsi" w:hAnsiTheme="majorHAnsi"/>
          <w:sz w:val="20"/>
          <w:szCs w:val="20"/>
          <w:lang w:val="es-PE"/>
        </w:rPr>
        <w:t xml:space="preserve">las </w:t>
      </w:r>
      <w:r w:rsidR="00D8455E">
        <w:rPr>
          <w:rFonts w:asciiTheme="majorHAnsi" w:hAnsiTheme="majorHAnsi"/>
          <w:sz w:val="20"/>
          <w:szCs w:val="20"/>
          <w:lang w:val="es-PE"/>
        </w:rPr>
        <w:t>Naciones Unidas</w:t>
      </w:r>
      <w:r w:rsidR="00D8455E" w:rsidRPr="006D531F">
        <w:rPr>
          <w:rFonts w:asciiTheme="majorHAnsi" w:hAnsiTheme="majorHAnsi"/>
          <w:sz w:val="20"/>
          <w:szCs w:val="20"/>
          <w:lang w:val="es-PE"/>
        </w:rPr>
        <w:t xml:space="preserve"> </w:t>
      </w:r>
      <w:r w:rsidRPr="006D531F">
        <w:rPr>
          <w:rFonts w:asciiTheme="majorHAnsi" w:eastAsia="Batang" w:hAnsiTheme="majorHAnsi" w:cs="Arial"/>
          <w:sz w:val="20"/>
          <w:szCs w:val="20"/>
          <w:bdr w:val="none" w:sz="0" w:space="0" w:color="auto"/>
          <w:lang w:val="es-ES"/>
        </w:rPr>
        <w:t>ha subrayado el deber de “respetar y proteger los valores culturales y los derechos de los pueblos indígenas asociados a sus tierras ancestrales y a su relación con la naturaleza, a fin de evitar la degradación de su peculiar estilo de vida, incluidos los medios de subsistencia, la pérdida de recursos naturales y, en última instancia, su identidad cultural”</w:t>
      </w:r>
      <w:r w:rsidRPr="006D531F">
        <w:rPr>
          <w:rFonts w:asciiTheme="majorHAnsi" w:eastAsia="Batang" w:hAnsiTheme="majorHAnsi" w:cs="Arial"/>
          <w:sz w:val="20"/>
          <w:szCs w:val="20"/>
          <w:bdr w:val="none" w:sz="0" w:space="0" w:color="auto"/>
          <w:vertAlign w:val="superscript"/>
          <w:lang w:val="es-ES"/>
        </w:rPr>
        <w:footnoteReference w:id="131"/>
      </w:r>
      <w:r w:rsidRPr="006D531F">
        <w:rPr>
          <w:rFonts w:asciiTheme="majorHAnsi" w:eastAsia="Batang" w:hAnsiTheme="majorHAnsi" w:cs="Arial"/>
          <w:sz w:val="20"/>
          <w:szCs w:val="20"/>
          <w:bdr w:val="none" w:sz="0" w:space="0" w:color="auto"/>
          <w:lang w:val="es-ES"/>
        </w:rPr>
        <w:t>, que pueden estar asociados, entre otras cosas, con los alimentos, la vivienda, el uso del agua, los mecanismos de salud y educación, e</w:t>
      </w:r>
      <w:r w:rsidR="00E36580">
        <w:rPr>
          <w:rFonts w:asciiTheme="majorHAnsi" w:eastAsia="Batang" w:hAnsiTheme="majorHAnsi" w:cs="Arial"/>
          <w:sz w:val="20"/>
          <w:szCs w:val="20"/>
          <w:bdr w:val="none" w:sz="0" w:space="0" w:color="auto"/>
          <w:lang w:val="es-ES"/>
        </w:rPr>
        <w:t>ntre otros</w:t>
      </w:r>
      <w:r w:rsidRPr="006D531F">
        <w:rPr>
          <w:rFonts w:asciiTheme="majorHAnsi" w:eastAsia="Batang" w:hAnsiTheme="majorHAnsi" w:cs="Arial"/>
          <w:sz w:val="20"/>
          <w:szCs w:val="20"/>
          <w:bdr w:val="none" w:sz="0" w:space="0" w:color="auto"/>
          <w:lang w:val="es-ES"/>
        </w:rPr>
        <w:t>. En particular</w:t>
      </w:r>
      <w:r w:rsidR="00E36580">
        <w:rPr>
          <w:rFonts w:asciiTheme="majorHAnsi" w:eastAsia="Batang" w:hAnsiTheme="majorHAnsi" w:cs="Arial"/>
          <w:sz w:val="20"/>
          <w:szCs w:val="20"/>
          <w:bdr w:val="none" w:sz="0" w:space="0" w:color="auto"/>
          <w:lang w:val="es-ES"/>
        </w:rPr>
        <w:t>,</w:t>
      </w:r>
      <w:r w:rsidRPr="006D531F">
        <w:rPr>
          <w:rFonts w:asciiTheme="majorHAnsi" w:eastAsia="Batang" w:hAnsiTheme="majorHAnsi" w:cs="Arial"/>
          <w:sz w:val="20"/>
          <w:szCs w:val="20"/>
          <w:bdr w:val="none" w:sz="0" w:space="0" w:color="auto"/>
          <w:lang w:val="es-ES"/>
        </w:rPr>
        <w:t xml:space="preserve"> ha destacado que las medidas adoptadas por el Estado para respetar y garantizar la participación en la vida cultural deben ser idóneos, es decir pertinentes a un contexto o modalidad cultural particular, de manera que se respete la cultura y los derechos culturales de las personas y comunidades</w:t>
      </w:r>
      <w:r w:rsidRPr="006D531F">
        <w:rPr>
          <w:rFonts w:asciiTheme="majorHAnsi" w:eastAsia="Batang" w:hAnsiTheme="majorHAnsi" w:cs="Arial"/>
          <w:sz w:val="20"/>
          <w:szCs w:val="20"/>
          <w:bdr w:val="none" w:sz="0" w:space="0" w:color="auto"/>
          <w:vertAlign w:val="superscript"/>
          <w:lang w:val="es-ES"/>
        </w:rPr>
        <w:footnoteReference w:id="132"/>
      </w:r>
      <w:r w:rsidRPr="006D531F">
        <w:rPr>
          <w:rFonts w:asciiTheme="majorHAnsi" w:eastAsia="Batang" w:hAnsiTheme="majorHAnsi" w:cs="Arial"/>
          <w:sz w:val="20"/>
          <w:szCs w:val="20"/>
          <w:bdr w:val="none" w:sz="0" w:space="0" w:color="auto"/>
          <w:lang w:val="es-ES"/>
        </w:rPr>
        <w:t xml:space="preserve">. </w:t>
      </w:r>
    </w:p>
    <w:p w14:paraId="62FAAFE1" w14:textId="77777777" w:rsidR="00085C2E" w:rsidRPr="006D531F" w:rsidRDefault="00085C2E" w:rsidP="000A6CEF">
      <w:pPr>
        <w:pStyle w:val="ListParagraph"/>
        <w:tabs>
          <w:tab w:val="left" w:pos="450"/>
        </w:tabs>
        <w:ind w:left="0"/>
        <w:jc w:val="both"/>
        <w:rPr>
          <w:rFonts w:asciiTheme="majorHAnsi" w:eastAsia="Batang" w:hAnsiTheme="majorHAnsi" w:cs="Arial"/>
          <w:color w:val="auto"/>
          <w:sz w:val="20"/>
          <w:szCs w:val="20"/>
          <w:bdr w:val="none" w:sz="0" w:space="0" w:color="auto"/>
          <w:lang w:val="es-ES"/>
        </w:rPr>
      </w:pPr>
    </w:p>
    <w:p w14:paraId="463A38F5" w14:textId="77777777" w:rsidR="00085C2E" w:rsidRPr="006D531F" w:rsidRDefault="00085C2E" w:rsidP="00014C8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cs="Arial"/>
          <w:sz w:val="20"/>
          <w:szCs w:val="20"/>
          <w:bdr w:val="none" w:sz="0" w:space="0" w:color="auto"/>
          <w:lang w:val="es-ES"/>
        </w:rPr>
      </w:pPr>
      <w:r w:rsidRPr="006D531F">
        <w:rPr>
          <w:rFonts w:asciiTheme="majorHAnsi" w:eastAsia="Batang" w:hAnsiTheme="majorHAnsi" w:cs="Arial"/>
          <w:sz w:val="20"/>
          <w:szCs w:val="20"/>
          <w:bdr w:val="none" w:sz="0" w:space="0" w:color="auto"/>
          <w:lang w:val="es-ES"/>
        </w:rPr>
        <w:t xml:space="preserve">De la misma forma, la CIDH toma en cuenta que dentro de las obligaciones inmediatas de los Estados sobre dicho derecho se encuentra la eliminación de obstáculos que impiden o limitan el acceso de la persona o comunidad a su propia cultura, la posibilidad de realizar sus prácticas culturales y llevar su forma de vida, incluyendo la prohibición de discriminación </w:t>
      </w:r>
      <w:r w:rsidRPr="006D531F">
        <w:rPr>
          <w:rFonts w:asciiTheme="majorHAnsi" w:hAnsiTheme="majorHAnsi"/>
          <w:sz w:val="20"/>
          <w:szCs w:val="20"/>
          <w:lang w:val="es-ES"/>
        </w:rPr>
        <w:t>basada en la identidad cultural, de exclusión o de asimilación forzada</w:t>
      </w:r>
      <w:r w:rsidRPr="006D531F">
        <w:rPr>
          <w:rFonts w:asciiTheme="majorHAnsi" w:hAnsiTheme="majorHAnsi"/>
          <w:sz w:val="20"/>
          <w:szCs w:val="20"/>
          <w:vertAlign w:val="superscript"/>
          <w:lang w:val="es-ES"/>
        </w:rPr>
        <w:footnoteReference w:id="133"/>
      </w:r>
      <w:r w:rsidRPr="006D531F">
        <w:rPr>
          <w:rFonts w:asciiTheme="majorHAnsi" w:hAnsiTheme="majorHAnsi"/>
          <w:sz w:val="20"/>
          <w:szCs w:val="20"/>
          <w:lang w:val="es-ES"/>
        </w:rPr>
        <w:t>.</w:t>
      </w:r>
      <w:r w:rsidRPr="006D531F">
        <w:rPr>
          <w:rFonts w:asciiTheme="majorHAnsi" w:eastAsia="Batang" w:hAnsiTheme="majorHAnsi" w:cs="Arial"/>
          <w:sz w:val="20"/>
          <w:szCs w:val="20"/>
          <w:bdr w:val="none" w:sz="0" w:space="0" w:color="auto"/>
          <w:lang w:val="es-ES"/>
        </w:rPr>
        <w:t xml:space="preserve"> En particular la Comisión resalta que “[l]a protección de la diversidad cultural es un imperativo ético inseparable del respeto de la dignidad humana. Entraña un compromiso con los derechos humanos y las libertades </w:t>
      </w:r>
      <w:r w:rsidRPr="006D531F">
        <w:rPr>
          <w:rFonts w:asciiTheme="majorHAnsi" w:hAnsiTheme="majorHAnsi"/>
          <w:sz w:val="20"/>
          <w:szCs w:val="20"/>
          <w:lang w:val="es-AR"/>
        </w:rPr>
        <w:t>fundamentales</w:t>
      </w:r>
      <w:r w:rsidRPr="006D531F">
        <w:rPr>
          <w:rFonts w:asciiTheme="majorHAnsi" w:eastAsia="Batang" w:hAnsiTheme="majorHAnsi" w:cs="Arial"/>
          <w:sz w:val="20"/>
          <w:szCs w:val="20"/>
          <w:bdr w:val="none" w:sz="0" w:space="0" w:color="auto"/>
          <w:lang w:val="es-ES"/>
        </w:rPr>
        <w:t xml:space="preserve"> y requiere la plena realización de los derechos culturales, incluido el de participar en la vida cultural”</w:t>
      </w:r>
      <w:r w:rsidRPr="006D531F">
        <w:rPr>
          <w:rFonts w:asciiTheme="majorHAnsi" w:eastAsia="Batang" w:hAnsiTheme="majorHAnsi" w:cs="Arial"/>
          <w:sz w:val="20"/>
          <w:szCs w:val="20"/>
          <w:bdr w:val="none" w:sz="0" w:space="0" w:color="auto"/>
          <w:vertAlign w:val="superscript"/>
          <w:lang w:val="es-ES"/>
        </w:rPr>
        <w:footnoteReference w:id="134"/>
      </w:r>
      <w:r w:rsidRPr="006D531F">
        <w:rPr>
          <w:rFonts w:asciiTheme="majorHAnsi" w:eastAsia="Batang" w:hAnsiTheme="majorHAnsi" w:cs="Arial"/>
          <w:sz w:val="20"/>
          <w:szCs w:val="20"/>
          <w:bdr w:val="none" w:sz="0" w:space="0" w:color="auto"/>
          <w:lang w:val="es-ES"/>
        </w:rPr>
        <w:t>, por lo que el Estado deberá reforzar sus acciones de protección al respecto en los contextos de los pueblos indígenas, a la luz de la delicada relación y amenazas que se pueden presentar entre su cultura y la sociedad mayoritaria.</w:t>
      </w:r>
    </w:p>
    <w:p w14:paraId="42A7F043" w14:textId="77777777" w:rsidR="00B50070" w:rsidRPr="006D531F" w:rsidRDefault="00B50070" w:rsidP="00B5007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Batang" w:hAnsiTheme="majorHAnsi" w:cs="Arial"/>
          <w:sz w:val="20"/>
          <w:szCs w:val="20"/>
          <w:bdr w:val="none" w:sz="0" w:space="0" w:color="auto"/>
          <w:lang w:val="es-ES"/>
        </w:rPr>
      </w:pPr>
    </w:p>
    <w:p w14:paraId="3FB90B56" w14:textId="77777777" w:rsidR="00DE165D" w:rsidRPr="006D531F" w:rsidRDefault="00085C2E" w:rsidP="000672D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cs="Arial"/>
          <w:sz w:val="20"/>
          <w:szCs w:val="20"/>
          <w:bdr w:val="none" w:sz="0" w:space="0" w:color="auto"/>
          <w:lang w:val="es-ES"/>
        </w:rPr>
      </w:pPr>
      <w:r w:rsidRPr="006D531F">
        <w:rPr>
          <w:rFonts w:asciiTheme="majorHAnsi" w:hAnsiTheme="majorHAnsi"/>
          <w:sz w:val="20"/>
          <w:szCs w:val="20"/>
          <w:lang w:val="es-PE"/>
        </w:rPr>
        <w:t xml:space="preserve">En ese marco, </w:t>
      </w:r>
      <w:r w:rsidR="009D0EAB" w:rsidRPr="006D531F">
        <w:rPr>
          <w:rFonts w:asciiTheme="majorHAnsi" w:hAnsiTheme="majorHAnsi"/>
          <w:sz w:val="20"/>
          <w:szCs w:val="20"/>
          <w:lang w:val="es-PE"/>
        </w:rPr>
        <w:t xml:space="preserve">la </w:t>
      </w:r>
      <w:r w:rsidR="009D0EAB" w:rsidRPr="000D11B6">
        <w:rPr>
          <w:rFonts w:asciiTheme="majorHAnsi" w:hAnsiTheme="majorHAnsi"/>
          <w:sz w:val="20"/>
          <w:szCs w:val="20"/>
          <w:lang w:val="es-PE"/>
        </w:rPr>
        <w:t>Comisión entiende que</w:t>
      </w:r>
      <w:r w:rsidR="00E564ED">
        <w:rPr>
          <w:rFonts w:asciiTheme="majorHAnsi" w:hAnsiTheme="majorHAnsi"/>
          <w:sz w:val="20"/>
          <w:szCs w:val="20"/>
          <w:lang w:val="es-PE"/>
        </w:rPr>
        <w:t xml:space="preserve"> el acceso y </w:t>
      </w:r>
      <w:r w:rsidR="00FF5CFE">
        <w:rPr>
          <w:rFonts w:asciiTheme="majorHAnsi" w:hAnsiTheme="majorHAnsi"/>
          <w:sz w:val="20"/>
          <w:szCs w:val="20"/>
          <w:lang w:val="es-PE"/>
        </w:rPr>
        <w:t xml:space="preserve">la </w:t>
      </w:r>
      <w:r w:rsidR="00E564ED">
        <w:rPr>
          <w:rFonts w:asciiTheme="majorHAnsi" w:hAnsiTheme="majorHAnsi"/>
          <w:sz w:val="20"/>
          <w:szCs w:val="20"/>
          <w:lang w:val="es-PE"/>
        </w:rPr>
        <w:t xml:space="preserve">participación en la vida cultural hace </w:t>
      </w:r>
      <w:r w:rsidR="00A04831" w:rsidRPr="000D11B6">
        <w:rPr>
          <w:rFonts w:asciiTheme="majorHAnsi" w:hAnsiTheme="majorHAnsi"/>
          <w:sz w:val="20"/>
          <w:szCs w:val="20"/>
          <w:lang w:val="es-PE"/>
        </w:rPr>
        <w:t>parte del contenido de los derechos cultura</w:t>
      </w:r>
      <w:r w:rsidR="00D263AD" w:rsidRPr="000D11B6">
        <w:rPr>
          <w:rFonts w:asciiTheme="majorHAnsi" w:hAnsiTheme="majorHAnsi"/>
          <w:sz w:val="20"/>
          <w:szCs w:val="20"/>
          <w:lang w:val="es-PE"/>
        </w:rPr>
        <w:t>les recono</w:t>
      </w:r>
      <w:r w:rsidR="009201A3" w:rsidRPr="000D11B6">
        <w:rPr>
          <w:rFonts w:asciiTheme="majorHAnsi" w:hAnsiTheme="majorHAnsi"/>
          <w:sz w:val="20"/>
          <w:szCs w:val="20"/>
          <w:lang w:val="es-PE"/>
        </w:rPr>
        <w:t>cidos en la Carta de la OEA</w:t>
      </w:r>
      <w:r w:rsidR="00161761">
        <w:rPr>
          <w:rFonts w:asciiTheme="majorHAnsi" w:hAnsiTheme="majorHAnsi"/>
          <w:sz w:val="20"/>
          <w:szCs w:val="20"/>
          <w:lang w:val="es-PE"/>
        </w:rPr>
        <w:t>.</w:t>
      </w:r>
      <w:r w:rsidR="005836A6" w:rsidRPr="000D11B6">
        <w:rPr>
          <w:rFonts w:asciiTheme="majorHAnsi" w:hAnsiTheme="majorHAnsi"/>
          <w:sz w:val="20"/>
          <w:szCs w:val="20"/>
          <w:lang w:val="es-PE"/>
        </w:rPr>
        <w:t xml:space="preserve"> </w:t>
      </w:r>
      <w:r w:rsidR="00161761">
        <w:rPr>
          <w:rFonts w:asciiTheme="majorHAnsi" w:hAnsiTheme="majorHAnsi"/>
          <w:sz w:val="20"/>
          <w:szCs w:val="20"/>
          <w:lang w:val="es-PE"/>
        </w:rPr>
        <w:t>E</w:t>
      </w:r>
      <w:r w:rsidR="009B17F0" w:rsidRPr="000D11B6">
        <w:rPr>
          <w:rFonts w:asciiTheme="majorHAnsi" w:hAnsiTheme="majorHAnsi"/>
          <w:sz w:val="20"/>
          <w:szCs w:val="20"/>
          <w:lang w:val="es-PE"/>
        </w:rPr>
        <w:t xml:space="preserve">l artículo XIII de </w:t>
      </w:r>
      <w:r w:rsidR="005836A6" w:rsidRPr="000D11B6">
        <w:rPr>
          <w:rFonts w:asciiTheme="majorHAnsi" w:hAnsiTheme="majorHAnsi"/>
          <w:sz w:val="20"/>
          <w:szCs w:val="20"/>
          <w:lang w:val="es-PE"/>
        </w:rPr>
        <w:t>la</w:t>
      </w:r>
      <w:r w:rsidR="005836A6" w:rsidRPr="006D531F">
        <w:rPr>
          <w:rFonts w:asciiTheme="majorHAnsi" w:hAnsiTheme="majorHAnsi"/>
          <w:sz w:val="20"/>
          <w:szCs w:val="20"/>
          <w:lang w:val="es-PE"/>
        </w:rPr>
        <w:t xml:space="preserve"> Declaración Americana </w:t>
      </w:r>
      <w:r w:rsidR="00D1607C">
        <w:rPr>
          <w:rFonts w:asciiTheme="majorHAnsi" w:hAnsiTheme="majorHAnsi"/>
          <w:sz w:val="20"/>
          <w:szCs w:val="20"/>
          <w:lang w:val="es-PE"/>
        </w:rPr>
        <w:t xml:space="preserve">reconoce que </w:t>
      </w:r>
      <w:r w:rsidR="005836A6" w:rsidRPr="006D531F">
        <w:rPr>
          <w:rFonts w:asciiTheme="majorHAnsi" w:hAnsiTheme="majorHAnsi"/>
          <w:sz w:val="20"/>
          <w:szCs w:val="20"/>
          <w:lang w:val="es-PE"/>
        </w:rPr>
        <w:t>“toda persona tiene el derecho a participar en la vida cultural de la comunidad</w:t>
      </w:r>
      <w:r w:rsidR="0051559B" w:rsidRPr="006D531F">
        <w:rPr>
          <w:rFonts w:asciiTheme="majorHAnsi" w:hAnsiTheme="majorHAnsi"/>
          <w:sz w:val="20"/>
          <w:szCs w:val="20"/>
          <w:lang w:val="es-PE"/>
        </w:rPr>
        <w:t xml:space="preserve"> […]”</w:t>
      </w:r>
      <w:r w:rsidR="007848A5" w:rsidRPr="006D531F">
        <w:rPr>
          <w:rFonts w:asciiTheme="majorHAnsi" w:hAnsiTheme="majorHAnsi"/>
          <w:sz w:val="20"/>
          <w:szCs w:val="20"/>
          <w:lang w:val="es-PE"/>
        </w:rPr>
        <w:t xml:space="preserve">. </w:t>
      </w:r>
      <w:r w:rsidR="00870396" w:rsidRPr="006D531F">
        <w:rPr>
          <w:rFonts w:asciiTheme="majorHAnsi" w:hAnsiTheme="majorHAnsi"/>
          <w:sz w:val="20"/>
          <w:szCs w:val="20"/>
          <w:lang w:val="es-PE"/>
        </w:rPr>
        <w:t>A su vez,</w:t>
      </w:r>
      <w:r w:rsidR="00F77F1E" w:rsidRPr="006D531F">
        <w:rPr>
          <w:rFonts w:asciiTheme="majorHAnsi" w:hAnsiTheme="majorHAnsi"/>
          <w:sz w:val="20"/>
          <w:szCs w:val="20"/>
          <w:lang w:val="es-PE"/>
        </w:rPr>
        <w:t xml:space="preserve"> la</w:t>
      </w:r>
      <w:r w:rsidR="00131705" w:rsidRPr="006D531F">
        <w:rPr>
          <w:rFonts w:asciiTheme="majorHAnsi" w:hAnsiTheme="majorHAnsi"/>
          <w:sz w:val="20"/>
          <w:szCs w:val="20"/>
          <w:lang w:val="es-PE"/>
        </w:rPr>
        <w:t xml:space="preserve"> Observación General No. 21 </w:t>
      </w:r>
      <w:r w:rsidR="00C33065" w:rsidRPr="006D531F">
        <w:rPr>
          <w:rFonts w:asciiTheme="majorHAnsi" w:hAnsiTheme="majorHAnsi"/>
          <w:sz w:val="20"/>
          <w:szCs w:val="20"/>
          <w:lang w:val="es-PE"/>
        </w:rPr>
        <w:t xml:space="preserve">sobre </w:t>
      </w:r>
      <w:r w:rsidR="000371D3" w:rsidRPr="006D531F">
        <w:rPr>
          <w:rFonts w:asciiTheme="majorHAnsi" w:hAnsiTheme="majorHAnsi"/>
          <w:sz w:val="20"/>
          <w:szCs w:val="20"/>
          <w:lang w:val="es-PE"/>
        </w:rPr>
        <w:t>“</w:t>
      </w:r>
      <w:r w:rsidR="00C33065" w:rsidRPr="006D531F">
        <w:rPr>
          <w:rFonts w:asciiTheme="majorHAnsi" w:hAnsiTheme="majorHAnsi"/>
          <w:sz w:val="20"/>
          <w:szCs w:val="20"/>
          <w:lang w:val="es-PE"/>
        </w:rPr>
        <w:t xml:space="preserve">el derecho </w:t>
      </w:r>
      <w:r w:rsidR="000371D3" w:rsidRPr="006D531F">
        <w:rPr>
          <w:rFonts w:asciiTheme="majorHAnsi" w:hAnsiTheme="majorHAnsi"/>
          <w:sz w:val="20"/>
          <w:szCs w:val="20"/>
          <w:lang w:val="es-PE"/>
        </w:rPr>
        <w:t>de toda persona a participar en la vida cultural”</w:t>
      </w:r>
      <w:r w:rsidR="00BB59D1" w:rsidRPr="006D531F">
        <w:rPr>
          <w:rFonts w:asciiTheme="majorHAnsi" w:hAnsiTheme="majorHAnsi"/>
          <w:sz w:val="20"/>
          <w:szCs w:val="20"/>
          <w:lang w:val="es-PE"/>
        </w:rPr>
        <w:t xml:space="preserve"> </w:t>
      </w:r>
      <w:r w:rsidR="00131705" w:rsidRPr="006D531F">
        <w:rPr>
          <w:rFonts w:asciiTheme="majorHAnsi" w:hAnsiTheme="majorHAnsi"/>
          <w:sz w:val="20"/>
          <w:szCs w:val="20"/>
          <w:lang w:val="es-PE"/>
        </w:rPr>
        <w:t>del Comi</w:t>
      </w:r>
      <w:r w:rsidR="004A64FE" w:rsidRPr="006D531F">
        <w:rPr>
          <w:rFonts w:asciiTheme="majorHAnsi" w:hAnsiTheme="majorHAnsi"/>
          <w:sz w:val="20"/>
          <w:szCs w:val="20"/>
          <w:lang w:val="es-PE"/>
        </w:rPr>
        <w:t xml:space="preserve">té de Derechos Económicos, Sociales y Culturales </w:t>
      </w:r>
      <w:r w:rsidR="00350E0D" w:rsidRPr="006D531F">
        <w:rPr>
          <w:rFonts w:asciiTheme="majorHAnsi" w:hAnsiTheme="majorHAnsi"/>
          <w:sz w:val="20"/>
          <w:szCs w:val="20"/>
          <w:lang w:val="es-PE"/>
        </w:rPr>
        <w:t xml:space="preserve">de </w:t>
      </w:r>
      <w:r w:rsidR="00E36580">
        <w:rPr>
          <w:rFonts w:asciiTheme="majorHAnsi" w:hAnsiTheme="majorHAnsi"/>
          <w:sz w:val="20"/>
          <w:szCs w:val="20"/>
          <w:lang w:val="es-PE"/>
        </w:rPr>
        <w:t xml:space="preserve">las </w:t>
      </w:r>
      <w:r w:rsidR="00D8455E">
        <w:rPr>
          <w:rFonts w:asciiTheme="majorHAnsi" w:hAnsiTheme="majorHAnsi"/>
          <w:sz w:val="20"/>
          <w:szCs w:val="20"/>
          <w:lang w:val="es-PE"/>
        </w:rPr>
        <w:t>Naciones Unidas</w:t>
      </w:r>
      <w:r w:rsidR="00350E0D" w:rsidRPr="006D531F">
        <w:rPr>
          <w:rFonts w:asciiTheme="majorHAnsi" w:hAnsiTheme="majorHAnsi"/>
          <w:sz w:val="20"/>
          <w:szCs w:val="20"/>
          <w:lang w:val="es-PE"/>
        </w:rPr>
        <w:t xml:space="preserve"> </w:t>
      </w:r>
      <w:r w:rsidR="002E2522" w:rsidRPr="006D531F">
        <w:rPr>
          <w:rFonts w:asciiTheme="majorHAnsi" w:hAnsiTheme="majorHAnsi"/>
          <w:sz w:val="20"/>
          <w:szCs w:val="20"/>
          <w:lang w:val="es-PE"/>
        </w:rPr>
        <w:t xml:space="preserve">ha establecido que </w:t>
      </w:r>
      <w:r w:rsidR="00C61386" w:rsidRPr="006D531F">
        <w:rPr>
          <w:rFonts w:asciiTheme="majorHAnsi" w:hAnsiTheme="majorHAnsi"/>
          <w:sz w:val="20"/>
          <w:szCs w:val="20"/>
          <w:lang w:val="es-PE"/>
        </w:rPr>
        <w:t xml:space="preserve">el “participar” </w:t>
      </w:r>
      <w:r w:rsidR="00C61386" w:rsidRPr="006D531F">
        <w:rPr>
          <w:rFonts w:asciiTheme="majorHAnsi" w:hAnsiTheme="majorHAnsi"/>
          <w:sz w:val="20"/>
          <w:szCs w:val="20"/>
          <w:lang w:val="es-PE"/>
        </w:rPr>
        <w:lastRenderedPageBreak/>
        <w:t xml:space="preserve">o “tomar parte” de la vida cultural </w:t>
      </w:r>
      <w:r w:rsidR="00245D72" w:rsidRPr="006D531F">
        <w:rPr>
          <w:rFonts w:asciiTheme="majorHAnsi" w:hAnsiTheme="majorHAnsi"/>
          <w:sz w:val="20"/>
          <w:szCs w:val="20"/>
          <w:lang w:val="es-PE"/>
        </w:rPr>
        <w:t xml:space="preserve">implica la </w:t>
      </w:r>
      <w:r w:rsidR="007848A5" w:rsidRPr="006D531F">
        <w:rPr>
          <w:rFonts w:asciiTheme="majorHAnsi" w:hAnsiTheme="majorHAnsi"/>
          <w:sz w:val="20"/>
          <w:szCs w:val="20"/>
          <w:lang w:val="es-PE"/>
        </w:rPr>
        <w:t>participación</w:t>
      </w:r>
      <w:r w:rsidR="00BC5623" w:rsidRPr="006D531F">
        <w:rPr>
          <w:rFonts w:asciiTheme="majorHAnsi" w:hAnsiTheme="majorHAnsi"/>
          <w:sz w:val="20"/>
          <w:szCs w:val="20"/>
          <w:lang w:val="es-PE"/>
        </w:rPr>
        <w:t>, el acceso y la contribución</w:t>
      </w:r>
      <w:r w:rsidR="007848A5" w:rsidRPr="006D531F">
        <w:rPr>
          <w:rFonts w:asciiTheme="majorHAnsi" w:hAnsiTheme="majorHAnsi"/>
          <w:sz w:val="20"/>
          <w:szCs w:val="20"/>
          <w:lang w:val="es-PE"/>
        </w:rPr>
        <w:t xml:space="preserve"> en la vida cultura</w:t>
      </w:r>
      <w:r w:rsidR="00302EB3" w:rsidRPr="006D531F">
        <w:rPr>
          <w:rFonts w:asciiTheme="majorHAnsi" w:hAnsiTheme="majorHAnsi"/>
          <w:sz w:val="20"/>
          <w:szCs w:val="20"/>
          <w:lang w:val="es-PE"/>
        </w:rPr>
        <w:t xml:space="preserve">l, ya sea </w:t>
      </w:r>
      <w:r w:rsidR="00EE574C" w:rsidRPr="006D531F">
        <w:rPr>
          <w:rFonts w:asciiTheme="majorHAnsi" w:hAnsiTheme="majorHAnsi"/>
          <w:sz w:val="20"/>
          <w:szCs w:val="20"/>
          <w:lang w:val="es-PE"/>
        </w:rPr>
        <w:t>de forma individual o como una comunidad, para el caso de los pueblos indígenas</w:t>
      </w:r>
      <w:r w:rsidR="0097097C" w:rsidRPr="006D531F">
        <w:rPr>
          <w:rStyle w:val="FootnoteReference"/>
          <w:rFonts w:asciiTheme="majorHAnsi" w:hAnsiTheme="majorHAnsi"/>
          <w:sz w:val="20"/>
          <w:szCs w:val="20"/>
          <w:lang w:val="es-PE"/>
        </w:rPr>
        <w:footnoteReference w:id="135"/>
      </w:r>
      <w:r w:rsidR="00EE574C" w:rsidRPr="006D531F">
        <w:rPr>
          <w:rFonts w:asciiTheme="majorHAnsi" w:hAnsiTheme="majorHAnsi"/>
          <w:sz w:val="20"/>
          <w:szCs w:val="20"/>
          <w:lang w:val="es-PE"/>
        </w:rPr>
        <w:t xml:space="preserve">. </w:t>
      </w:r>
      <w:r w:rsidR="007261A8" w:rsidRPr="006D531F">
        <w:rPr>
          <w:rFonts w:asciiTheme="majorHAnsi" w:hAnsiTheme="majorHAnsi"/>
          <w:sz w:val="20"/>
          <w:szCs w:val="20"/>
          <w:lang w:val="es-PE"/>
        </w:rPr>
        <w:t>La participación implica</w:t>
      </w:r>
      <w:r w:rsidR="00BD09E1" w:rsidRPr="006D531F">
        <w:rPr>
          <w:rFonts w:asciiTheme="majorHAnsi" w:hAnsiTheme="majorHAnsi"/>
          <w:sz w:val="20"/>
          <w:szCs w:val="20"/>
          <w:lang w:val="es-PE"/>
        </w:rPr>
        <w:t xml:space="preserve">, entre otras cosas, </w:t>
      </w:r>
      <w:r w:rsidR="00E5637E" w:rsidRPr="006D531F">
        <w:rPr>
          <w:rFonts w:asciiTheme="majorHAnsi" w:hAnsiTheme="majorHAnsi"/>
          <w:sz w:val="20"/>
          <w:szCs w:val="20"/>
          <w:lang w:val="es-PE"/>
        </w:rPr>
        <w:t>ejercer sus propias p</w:t>
      </w:r>
      <w:r w:rsidR="00BD0ACC" w:rsidRPr="006D531F">
        <w:rPr>
          <w:rFonts w:asciiTheme="majorHAnsi" w:hAnsiTheme="majorHAnsi"/>
          <w:sz w:val="20"/>
          <w:szCs w:val="20"/>
          <w:lang w:val="es-PE"/>
        </w:rPr>
        <w:t>rá</w:t>
      </w:r>
      <w:r w:rsidR="00E5637E" w:rsidRPr="006D531F">
        <w:rPr>
          <w:rFonts w:asciiTheme="majorHAnsi" w:hAnsiTheme="majorHAnsi"/>
          <w:sz w:val="20"/>
          <w:szCs w:val="20"/>
          <w:lang w:val="es-PE"/>
        </w:rPr>
        <w:t xml:space="preserve">cticas culturales </w:t>
      </w:r>
      <w:r w:rsidR="00187E3E" w:rsidRPr="006D531F">
        <w:rPr>
          <w:rFonts w:asciiTheme="majorHAnsi" w:hAnsiTheme="majorHAnsi"/>
          <w:sz w:val="20"/>
          <w:szCs w:val="20"/>
          <w:lang w:val="es-PE"/>
        </w:rPr>
        <w:t>y expresarse en la lengua de su elección</w:t>
      </w:r>
      <w:r w:rsidR="00810B71" w:rsidRPr="006D531F">
        <w:rPr>
          <w:rFonts w:asciiTheme="majorHAnsi" w:hAnsiTheme="majorHAnsi"/>
          <w:sz w:val="20"/>
          <w:szCs w:val="20"/>
          <w:lang w:val="es-PE"/>
        </w:rPr>
        <w:t xml:space="preserve">, así como </w:t>
      </w:r>
      <w:r w:rsidR="00BD0ACC" w:rsidRPr="006D531F">
        <w:rPr>
          <w:rFonts w:asciiTheme="majorHAnsi" w:hAnsiTheme="majorHAnsi"/>
          <w:sz w:val="20"/>
          <w:szCs w:val="20"/>
          <w:lang w:val="es-PE"/>
        </w:rPr>
        <w:t>el derecho a buscar, desarrollar y compartir con otros sus conocimientos y expresiones culturales</w:t>
      </w:r>
      <w:r w:rsidR="00DA1867" w:rsidRPr="006D531F">
        <w:rPr>
          <w:rFonts w:asciiTheme="majorHAnsi" w:hAnsiTheme="majorHAnsi"/>
          <w:sz w:val="20"/>
          <w:szCs w:val="20"/>
          <w:lang w:val="es-PE"/>
        </w:rPr>
        <w:t xml:space="preserve">. </w:t>
      </w:r>
      <w:r w:rsidR="001C4BE0" w:rsidRPr="006D531F">
        <w:rPr>
          <w:rFonts w:asciiTheme="majorHAnsi" w:hAnsiTheme="majorHAnsi"/>
          <w:sz w:val="20"/>
          <w:szCs w:val="20"/>
          <w:lang w:val="es-PE"/>
        </w:rPr>
        <w:t xml:space="preserve">El acceso </w:t>
      </w:r>
      <w:r w:rsidR="0058508E" w:rsidRPr="006D531F">
        <w:rPr>
          <w:rFonts w:asciiTheme="majorHAnsi" w:hAnsiTheme="majorHAnsi"/>
          <w:sz w:val="20"/>
          <w:szCs w:val="20"/>
          <w:lang w:val="es-PE"/>
        </w:rPr>
        <w:t xml:space="preserve">implica </w:t>
      </w:r>
      <w:r w:rsidR="002D29FF" w:rsidRPr="006D531F">
        <w:rPr>
          <w:rFonts w:asciiTheme="majorHAnsi" w:hAnsiTheme="majorHAnsi"/>
          <w:sz w:val="20"/>
          <w:szCs w:val="20"/>
          <w:lang w:val="es-PE"/>
        </w:rPr>
        <w:t>el conocer y comprender su propia cultura y la de otros, a través de la educación y la información</w:t>
      </w:r>
      <w:r w:rsidR="0059354D" w:rsidRPr="006D531F">
        <w:rPr>
          <w:rFonts w:asciiTheme="majorHAnsi" w:hAnsiTheme="majorHAnsi"/>
          <w:sz w:val="20"/>
          <w:szCs w:val="20"/>
          <w:lang w:val="es-PE"/>
        </w:rPr>
        <w:t xml:space="preserve">, así como el derecho </w:t>
      </w:r>
      <w:r w:rsidR="002D29FF" w:rsidRPr="006D531F">
        <w:rPr>
          <w:rFonts w:asciiTheme="majorHAnsi" w:hAnsiTheme="majorHAnsi"/>
          <w:sz w:val="20"/>
          <w:szCs w:val="20"/>
          <w:lang w:val="es-PE"/>
        </w:rPr>
        <w:t>a conocer formas de expresión y difusión por cualquier medio tecnológico de información y comunicación</w:t>
      </w:r>
      <w:r w:rsidR="00A92386" w:rsidRPr="006D531F">
        <w:rPr>
          <w:rFonts w:asciiTheme="majorHAnsi" w:hAnsiTheme="majorHAnsi"/>
          <w:sz w:val="20"/>
          <w:szCs w:val="20"/>
          <w:lang w:val="es-PE"/>
        </w:rPr>
        <w:t xml:space="preserve">. Asimismo, la contribución </w:t>
      </w:r>
      <w:r w:rsidR="004B11B6" w:rsidRPr="006D531F">
        <w:rPr>
          <w:rFonts w:asciiTheme="majorHAnsi" w:hAnsiTheme="majorHAnsi"/>
          <w:sz w:val="20"/>
          <w:szCs w:val="20"/>
          <w:lang w:val="es-PE"/>
        </w:rPr>
        <w:t xml:space="preserve">a la vida cultural </w:t>
      </w:r>
      <w:r w:rsidR="002D29FF" w:rsidRPr="006D531F">
        <w:rPr>
          <w:rFonts w:asciiTheme="majorHAnsi" w:hAnsiTheme="majorHAnsi"/>
          <w:sz w:val="20"/>
          <w:szCs w:val="20"/>
          <w:lang w:val="es-PE"/>
        </w:rPr>
        <w:t xml:space="preserve">se refiere al derecho de toda persona a contribuir a la creación de las manifestaciones espirituales, materiales, intelectuales y emocionales de la comunidad. </w:t>
      </w:r>
      <w:r w:rsidR="00DE165D" w:rsidRPr="006D531F">
        <w:rPr>
          <w:rFonts w:asciiTheme="majorHAnsi" w:hAnsiTheme="majorHAnsi"/>
          <w:sz w:val="20"/>
          <w:szCs w:val="20"/>
          <w:lang w:val="es-PE"/>
        </w:rPr>
        <w:t xml:space="preserve">Asimismo, la Observación General </w:t>
      </w:r>
      <w:r w:rsidR="002604DF" w:rsidRPr="006D531F">
        <w:rPr>
          <w:rFonts w:asciiTheme="majorHAnsi" w:hAnsiTheme="majorHAnsi"/>
          <w:sz w:val="20"/>
          <w:szCs w:val="20"/>
          <w:lang w:val="es-PE"/>
        </w:rPr>
        <w:t xml:space="preserve">No. </w:t>
      </w:r>
      <w:r w:rsidR="00DE165D" w:rsidRPr="006D531F">
        <w:rPr>
          <w:rFonts w:asciiTheme="majorHAnsi" w:hAnsiTheme="majorHAnsi"/>
          <w:sz w:val="20"/>
          <w:szCs w:val="20"/>
          <w:lang w:val="es-PE"/>
        </w:rPr>
        <w:t>21</w:t>
      </w:r>
      <w:r w:rsidR="00A8023E" w:rsidRPr="006D531F">
        <w:rPr>
          <w:rFonts w:asciiTheme="majorHAnsi" w:hAnsiTheme="majorHAnsi"/>
          <w:sz w:val="20"/>
          <w:szCs w:val="20"/>
          <w:lang w:val="es-PE"/>
        </w:rPr>
        <w:t xml:space="preserve"> establece </w:t>
      </w:r>
      <w:r w:rsidR="008A7E34" w:rsidRPr="006D531F">
        <w:rPr>
          <w:rFonts w:asciiTheme="majorHAnsi" w:hAnsiTheme="majorHAnsi"/>
          <w:sz w:val="20"/>
          <w:szCs w:val="20"/>
          <w:lang w:val="es-PE"/>
        </w:rPr>
        <w:t>diversos</w:t>
      </w:r>
      <w:r w:rsidR="00A8023E" w:rsidRPr="006D531F">
        <w:rPr>
          <w:rFonts w:asciiTheme="majorHAnsi" w:hAnsiTheme="majorHAnsi"/>
          <w:sz w:val="20"/>
          <w:szCs w:val="20"/>
          <w:lang w:val="es-PE"/>
        </w:rPr>
        <w:t xml:space="preserve"> elementos del derecho a participar </w:t>
      </w:r>
      <w:r w:rsidR="00DF01E5" w:rsidRPr="006D531F">
        <w:rPr>
          <w:rFonts w:asciiTheme="majorHAnsi" w:hAnsiTheme="majorHAnsi"/>
          <w:sz w:val="20"/>
          <w:szCs w:val="20"/>
          <w:lang w:val="es-PE"/>
        </w:rPr>
        <w:t>en la vida cultural</w:t>
      </w:r>
      <w:r w:rsidR="008472EF" w:rsidRPr="006D531F">
        <w:rPr>
          <w:rFonts w:asciiTheme="majorHAnsi" w:hAnsiTheme="majorHAnsi"/>
          <w:sz w:val="20"/>
          <w:szCs w:val="20"/>
          <w:lang w:val="es-PE"/>
        </w:rPr>
        <w:t>, entre los cuales se reconoce al elemento de accesibilidad</w:t>
      </w:r>
      <w:r w:rsidR="00602827">
        <w:rPr>
          <w:rFonts w:asciiTheme="majorHAnsi" w:hAnsiTheme="majorHAnsi"/>
          <w:sz w:val="20"/>
          <w:szCs w:val="20"/>
          <w:lang w:val="es-PE"/>
        </w:rPr>
        <w:t>. La accesibilidad</w:t>
      </w:r>
      <w:r w:rsidR="008472EF" w:rsidRPr="006D531F">
        <w:rPr>
          <w:rFonts w:asciiTheme="majorHAnsi" w:hAnsiTheme="majorHAnsi"/>
          <w:sz w:val="20"/>
          <w:szCs w:val="20"/>
          <w:lang w:val="es-PE"/>
        </w:rPr>
        <w:t>,</w:t>
      </w:r>
      <w:r w:rsidR="00602827">
        <w:rPr>
          <w:rFonts w:asciiTheme="majorHAnsi" w:hAnsiTheme="majorHAnsi"/>
          <w:sz w:val="20"/>
          <w:szCs w:val="20"/>
          <w:lang w:val="es-PE"/>
        </w:rPr>
        <w:t xml:space="preserve"> a su vez,</w:t>
      </w:r>
      <w:r w:rsidR="008472EF" w:rsidRPr="006D531F">
        <w:rPr>
          <w:rFonts w:asciiTheme="majorHAnsi" w:hAnsiTheme="majorHAnsi"/>
          <w:sz w:val="20"/>
          <w:szCs w:val="20"/>
          <w:lang w:val="es-PE"/>
        </w:rPr>
        <w:t xml:space="preserve"> </w:t>
      </w:r>
      <w:r w:rsidR="00AD49F5" w:rsidRPr="006D531F">
        <w:rPr>
          <w:rFonts w:asciiTheme="majorHAnsi" w:hAnsiTheme="majorHAnsi"/>
          <w:sz w:val="20"/>
          <w:szCs w:val="20"/>
          <w:lang w:val="es-PE"/>
        </w:rPr>
        <w:t xml:space="preserve">destaca como un componente </w:t>
      </w:r>
      <w:r w:rsidR="00D63964" w:rsidRPr="006D531F">
        <w:rPr>
          <w:rFonts w:asciiTheme="majorHAnsi" w:hAnsiTheme="majorHAnsi"/>
          <w:sz w:val="20"/>
          <w:szCs w:val="20"/>
          <w:lang w:val="es-PE"/>
        </w:rPr>
        <w:t>inherente</w:t>
      </w:r>
      <w:r w:rsidR="00AD49F5" w:rsidRPr="006D531F">
        <w:rPr>
          <w:rFonts w:asciiTheme="majorHAnsi" w:hAnsiTheme="majorHAnsi"/>
          <w:sz w:val="20"/>
          <w:szCs w:val="20"/>
          <w:lang w:val="es-PE"/>
        </w:rPr>
        <w:t xml:space="preserve"> </w:t>
      </w:r>
      <w:r w:rsidR="00602827">
        <w:rPr>
          <w:rFonts w:asciiTheme="majorHAnsi" w:hAnsiTheme="majorHAnsi"/>
          <w:sz w:val="20"/>
          <w:szCs w:val="20"/>
          <w:lang w:val="es-PE"/>
        </w:rPr>
        <w:t>de</w:t>
      </w:r>
      <w:r w:rsidR="00AD49F5" w:rsidRPr="006D531F">
        <w:rPr>
          <w:rFonts w:asciiTheme="majorHAnsi" w:hAnsiTheme="majorHAnsi"/>
          <w:sz w:val="20"/>
          <w:szCs w:val="20"/>
          <w:lang w:val="es-PE"/>
        </w:rPr>
        <w:t xml:space="preserve">l derecho a participar en la vida cultural </w:t>
      </w:r>
      <w:r w:rsidR="00FF5F59" w:rsidRPr="006D531F">
        <w:rPr>
          <w:rFonts w:asciiTheme="majorHAnsi" w:hAnsiTheme="majorHAnsi"/>
          <w:sz w:val="20"/>
          <w:szCs w:val="20"/>
          <w:lang w:val="es-PE"/>
        </w:rPr>
        <w:t>el</w:t>
      </w:r>
      <w:r w:rsidR="004247B9" w:rsidRPr="006D531F">
        <w:rPr>
          <w:rFonts w:asciiTheme="majorHAnsi" w:hAnsiTheme="majorHAnsi"/>
          <w:sz w:val="20"/>
          <w:szCs w:val="20"/>
          <w:lang w:val="es-PE"/>
        </w:rPr>
        <w:t xml:space="preserve"> acceso de las comunidades a los </w:t>
      </w:r>
      <w:r w:rsidR="006211B5" w:rsidRPr="006D531F">
        <w:rPr>
          <w:rFonts w:asciiTheme="majorHAnsi" w:hAnsiTheme="majorHAnsi"/>
          <w:sz w:val="20"/>
          <w:szCs w:val="20"/>
          <w:lang w:val="es-PE"/>
        </w:rPr>
        <w:t>medios de expresión y difusión</w:t>
      </w:r>
      <w:r w:rsidR="00E445F8" w:rsidRPr="006D531F">
        <w:rPr>
          <w:rStyle w:val="FootnoteReference"/>
          <w:rFonts w:asciiTheme="majorHAnsi" w:hAnsiTheme="majorHAnsi"/>
          <w:sz w:val="20"/>
          <w:szCs w:val="20"/>
          <w:lang w:val="es-PE"/>
        </w:rPr>
        <w:footnoteReference w:id="136"/>
      </w:r>
      <w:r w:rsidR="0023702A" w:rsidRPr="006D531F">
        <w:rPr>
          <w:rFonts w:asciiTheme="majorHAnsi" w:hAnsiTheme="majorHAnsi"/>
          <w:sz w:val="20"/>
          <w:szCs w:val="20"/>
          <w:lang w:val="es-PE"/>
        </w:rPr>
        <w:t xml:space="preserve">. </w:t>
      </w:r>
    </w:p>
    <w:p w14:paraId="38F4C9A5" w14:textId="77777777" w:rsidR="00014C88" w:rsidRPr="006D531F" w:rsidRDefault="00014C88" w:rsidP="00014C8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Batang" w:hAnsiTheme="majorHAnsi" w:cs="Arial"/>
          <w:sz w:val="20"/>
          <w:szCs w:val="20"/>
          <w:bdr w:val="none" w:sz="0" w:space="0" w:color="auto"/>
          <w:lang w:val="es-ES"/>
        </w:rPr>
      </w:pPr>
    </w:p>
    <w:p w14:paraId="21E88BE5" w14:textId="77777777" w:rsidR="00062C05" w:rsidRPr="006D531F" w:rsidRDefault="0006415C" w:rsidP="00062C0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cs="Arial"/>
          <w:sz w:val="20"/>
          <w:szCs w:val="20"/>
          <w:bdr w:val="none" w:sz="0" w:space="0" w:color="auto"/>
          <w:lang w:val="es-ES"/>
        </w:rPr>
      </w:pPr>
      <w:r w:rsidRPr="006D531F">
        <w:rPr>
          <w:rFonts w:asciiTheme="majorHAnsi" w:hAnsiTheme="majorHAnsi"/>
          <w:sz w:val="20"/>
          <w:szCs w:val="20"/>
          <w:lang w:val="es-PE"/>
        </w:rPr>
        <w:t xml:space="preserve">Por otro lado, </w:t>
      </w:r>
      <w:r w:rsidR="0024480B" w:rsidRPr="006D531F">
        <w:rPr>
          <w:rFonts w:asciiTheme="majorHAnsi" w:hAnsiTheme="majorHAnsi"/>
          <w:sz w:val="20"/>
          <w:szCs w:val="20"/>
          <w:lang w:val="es-PE"/>
        </w:rPr>
        <w:t xml:space="preserve">la Convención sobre </w:t>
      </w:r>
      <w:r w:rsidR="009447FF" w:rsidRPr="006D531F">
        <w:rPr>
          <w:rFonts w:asciiTheme="majorHAnsi" w:hAnsiTheme="majorHAnsi"/>
          <w:sz w:val="20"/>
          <w:szCs w:val="20"/>
          <w:lang w:val="es-PE"/>
        </w:rPr>
        <w:t xml:space="preserve">la </w:t>
      </w:r>
      <w:r w:rsidR="0024480B" w:rsidRPr="006D531F">
        <w:rPr>
          <w:rFonts w:asciiTheme="majorHAnsi" w:hAnsiTheme="majorHAnsi"/>
          <w:sz w:val="20"/>
          <w:szCs w:val="20"/>
          <w:lang w:val="es-PE"/>
        </w:rPr>
        <w:t xml:space="preserve">protección </w:t>
      </w:r>
      <w:r w:rsidR="009447FF" w:rsidRPr="006D531F">
        <w:rPr>
          <w:rFonts w:asciiTheme="majorHAnsi" w:hAnsiTheme="majorHAnsi"/>
          <w:sz w:val="20"/>
          <w:szCs w:val="20"/>
          <w:lang w:val="es-PE"/>
        </w:rPr>
        <w:t>y la promoción de la diversidad de las expresiones cultural</w:t>
      </w:r>
      <w:r w:rsidR="001F2AD1" w:rsidRPr="006D531F">
        <w:rPr>
          <w:rFonts w:asciiTheme="majorHAnsi" w:hAnsiTheme="majorHAnsi"/>
          <w:sz w:val="20"/>
          <w:szCs w:val="20"/>
          <w:lang w:val="es-PE"/>
        </w:rPr>
        <w:t>es</w:t>
      </w:r>
      <w:r w:rsidR="00BC3B85" w:rsidRPr="006D531F">
        <w:rPr>
          <w:rStyle w:val="FootnoteReference"/>
          <w:rFonts w:asciiTheme="majorHAnsi" w:hAnsiTheme="majorHAnsi"/>
          <w:sz w:val="20"/>
          <w:szCs w:val="20"/>
          <w:lang w:val="es-PE"/>
        </w:rPr>
        <w:footnoteReference w:id="137"/>
      </w:r>
      <w:r w:rsidR="003E07C8" w:rsidRPr="006D531F">
        <w:rPr>
          <w:rFonts w:asciiTheme="majorHAnsi" w:hAnsiTheme="majorHAnsi"/>
          <w:sz w:val="20"/>
          <w:szCs w:val="20"/>
          <w:lang w:val="es-PE"/>
        </w:rPr>
        <w:t xml:space="preserve"> (2005), ratificada por Guatemala en el 2006, </w:t>
      </w:r>
      <w:r w:rsidR="00422E4F" w:rsidRPr="006D531F">
        <w:rPr>
          <w:rFonts w:asciiTheme="majorHAnsi" w:hAnsiTheme="majorHAnsi"/>
          <w:sz w:val="20"/>
          <w:szCs w:val="20"/>
          <w:lang w:val="es-PE"/>
        </w:rPr>
        <w:t>también señala en su artículo 6.h)</w:t>
      </w:r>
      <w:r w:rsidR="0056321E" w:rsidRPr="006D531F">
        <w:rPr>
          <w:rFonts w:asciiTheme="majorHAnsi" w:hAnsiTheme="majorHAnsi"/>
          <w:sz w:val="20"/>
          <w:szCs w:val="20"/>
          <w:lang w:val="es-PE"/>
        </w:rPr>
        <w:t xml:space="preserve"> que</w:t>
      </w:r>
      <w:r w:rsidR="00AB133C" w:rsidRPr="006D531F">
        <w:rPr>
          <w:rFonts w:asciiTheme="majorHAnsi" w:hAnsiTheme="majorHAnsi"/>
          <w:sz w:val="20"/>
          <w:szCs w:val="20"/>
          <w:lang w:val="es-PE"/>
        </w:rPr>
        <w:t xml:space="preserve"> los Estados podrán adoptar medidas destinadas a promover </w:t>
      </w:r>
      <w:r w:rsidR="00A717D5" w:rsidRPr="006D531F">
        <w:rPr>
          <w:rFonts w:asciiTheme="majorHAnsi" w:hAnsiTheme="majorHAnsi"/>
          <w:sz w:val="20"/>
          <w:szCs w:val="20"/>
          <w:lang w:val="es-PE"/>
        </w:rPr>
        <w:t xml:space="preserve">la diversidad </w:t>
      </w:r>
      <w:r w:rsidR="00836BC4" w:rsidRPr="006D531F">
        <w:rPr>
          <w:rFonts w:asciiTheme="majorHAnsi" w:hAnsiTheme="majorHAnsi"/>
          <w:sz w:val="20"/>
          <w:szCs w:val="20"/>
          <w:lang w:val="es-PE"/>
        </w:rPr>
        <w:t>de los medios de comunicación social</w:t>
      </w:r>
      <w:r w:rsidR="00FF1832" w:rsidRPr="006D531F">
        <w:rPr>
          <w:rFonts w:asciiTheme="majorHAnsi" w:hAnsiTheme="majorHAnsi"/>
          <w:sz w:val="20"/>
          <w:szCs w:val="20"/>
          <w:lang w:val="es-PE"/>
        </w:rPr>
        <w:t>.</w:t>
      </w:r>
      <w:r w:rsidR="00A717D5" w:rsidRPr="006D531F">
        <w:rPr>
          <w:rFonts w:asciiTheme="majorHAnsi" w:hAnsiTheme="majorHAnsi"/>
          <w:sz w:val="20"/>
          <w:szCs w:val="20"/>
          <w:lang w:val="es-PE"/>
        </w:rPr>
        <w:t xml:space="preserve"> </w:t>
      </w:r>
      <w:r w:rsidR="00FF1832" w:rsidRPr="006D531F">
        <w:rPr>
          <w:rFonts w:asciiTheme="majorHAnsi" w:hAnsiTheme="majorHAnsi"/>
          <w:sz w:val="20"/>
          <w:szCs w:val="20"/>
          <w:lang w:val="es-PE"/>
        </w:rPr>
        <w:t xml:space="preserve">Asimismo, el artículo </w:t>
      </w:r>
      <w:r w:rsidR="00D91B5F" w:rsidRPr="006D531F">
        <w:rPr>
          <w:rFonts w:asciiTheme="majorHAnsi" w:hAnsiTheme="majorHAnsi"/>
          <w:sz w:val="20"/>
          <w:szCs w:val="20"/>
          <w:lang w:val="es-PE"/>
        </w:rPr>
        <w:t>6 de la Declaración Universal de la UNESCO sobre la diversidad cultural</w:t>
      </w:r>
      <w:r w:rsidR="00BC3B85" w:rsidRPr="006D531F">
        <w:rPr>
          <w:rStyle w:val="FootnoteReference"/>
          <w:rFonts w:asciiTheme="majorHAnsi" w:hAnsiTheme="majorHAnsi"/>
          <w:sz w:val="20"/>
          <w:szCs w:val="20"/>
          <w:lang w:val="es-PE"/>
        </w:rPr>
        <w:footnoteReference w:id="138"/>
      </w:r>
      <w:r w:rsidR="00D91B5F" w:rsidRPr="006D531F">
        <w:rPr>
          <w:rFonts w:asciiTheme="majorHAnsi" w:hAnsiTheme="majorHAnsi"/>
          <w:sz w:val="20"/>
          <w:szCs w:val="20"/>
          <w:lang w:val="es-PE"/>
        </w:rPr>
        <w:t xml:space="preserve">, </w:t>
      </w:r>
      <w:r w:rsidR="00045071" w:rsidRPr="006D531F">
        <w:rPr>
          <w:rFonts w:asciiTheme="majorHAnsi" w:hAnsiTheme="majorHAnsi"/>
          <w:sz w:val="20"/>
          <w:szCs w:val="20"/>
          <w:lang w:val="es-PE"/>
        </w:rPr>
        <w:t>establece que</w:t>
      </w:r>
      <w:r w:rsidR="004D0655" w:rsidRPr="006D531F">
        <w:rPr>
          <w:rFonts w:asciiTheme="majorHAnsi" w:hAnsiTheme="majorHAnsi"/>
          <w:sz w:val="20"/>
          <w:szCs w:val="20"/>
          <w:lang w:val="es-PE"/>
        </w:rPr>
        <w:t xml:space="preserve"> “[a]l</w:t>
      </w:r>
      <w:r w:rsidR="00062C05" w:rsidRPr="006D531F">
        <w:rPr>
          <w:rFonts w:asciiTheme="majorHAnsi" w:hAnsiTheme="majorHAnsi"/>
          <w:sz w:val="20"/>
          <w:szCs w:val="20"/>
          <w:lang w:val="es-PE"/>
        </w:rPr>
        <w:t xml:space="preserve"> tiempo que se garantiza la libre circulación de las ideas mediante la palabra y la imagen, hay que procurar que todas las culturas puedan expresarse y darse a conocer. La libertad de expresión, el pluralismo de medios de comunicación, el multilingüismo, la igualdad de acceso a expresiones artísticas, al saber científico y tecnológico –incluida su forma digital– y la posibilidad de que todas las culturas puedan acceder a medios de expresión y difusión, son garantes de la diversidad cultural</w:t>
      </w:r>
      <w:r w:rsidR="00C07ECA" w:rsidRPr="006D531F">
        <w:rPr>
          <w:rFonts w:asciiTheme="majorHAnsi" w:hAnsiTheme="majorHAnsi"/>
          <w:sz w:val="20"/>
          <w:szCs w:val="20"/>
          <w:lang w:val="es-PE"/>
        </w:rPr>
        <w:t>”</w:t>
      </w:r>
      <w:r w:rsidR="00062C05" w:rsidRPr="006D531F">
        <w:rPr>
          <w:rFonts w:asciiTheme="majorHAnsi" w:hAnsiTheme="majorHAnsi"/>
          <w:sz w:val="20"/>
          <w:szCs w:val="20"/>
          <w:lang w:val="es-PE"/>
        </w:rPr>
        <w:t>.</w:t>
      </w:r>
    </w:p>
    <w:p w14:paraId="714B9892" w14:textId="77777777" w:rsidR="00094340" w:rsidRPr="006D531F" w:rsidRDefault="00094340" w:rsidP="00431065">
      <w:pPr>
        <w:pBdr>
          <w:top w:val="none" w:sz="0" w:space="0" w:color="auto"/>
          <w:left w:val="none" w:sz="0" w:space="0" w:color="auto"/>
          <w:bottom w:val="none" w:sz="0" w:space="0" w:color="auto"/>
          <w:right w:val="none" w:sz="0" w:space="0" w:color="auto"/>
          <w:between w:val="none" w:sz="0" w:space="0" w:color="auto"/>
          <w:bar w:val="none" w:sz="0" w:color="auto"/>
        </w:pBdr>
        <w:tabs>
          <w:tab w:val="left" w:pos="3869"/>
        </w:tabs>
        <w:jc w:val="both"/>
        <w:rPr>
          <w:rFonts w:asciiTheme="majorHAnsi" w:eastAsia="Batang" w:hAnsiTheme="majorHAnsi" w:cs="Arial"/>
          <w:sz w:val="20"/>
          <w:szCs w:val="20"/>
          <w:bdr w:val="none" w:sz="0" w:space="0" w:color="auto"/>
          <w:lang w:val="es-ES"/>
        </w:rPr>
      </w:pPr>
    </w:p>
    <w:p w14:paraId="7C2904B5" w14:textId="77777777" w:rsidR="00410099" w:rsidRPr="00410099" w:rsidRDefault="0017551C" w:rsidP="0087036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cs="Arial"/>
          <w:sz w:val="20"/>
          <w:szCs w:val="20"/>
          <w:bdr w:val="none" w:sz="0" w:space="0" w:color="auto"/>
          <w:lang w:val="es-ES"/>
        </w:rPr>
      </w:pPr>
      <w:r w:rsidRPr="006D531F">
        <w:rPr>
          <w:rFonts w:asciiTheme="majorHAnsi" w:hAnsiTheme="majorHAnsi"/>
          <w:sz w:val="20"/>
          <w:szCs w:val="20"/>
          <w:lang w:val="es-PE"/>
        </w:rPr>
        <w:t xml:space="preserve">La Comisión entiende que </w:t>
      </w:r>
      <w:r w:rsidR="00AC4618" w:rsidRPr="006D531F">
        <w:rPr>
          <w:rFonts w:asciiTheme="majorHAnsi" w:hAnsiTheme="majorHAnsi"/>
          <w:sz w:val="20"/>
          <w:szCs w:val="20"/>
          <w:lang w:val="es-PE"/>
        </w:rPr>
        <w:t>la participación en la vida cultural forma parte del contenido de los derechos culturales de los pueblos indígenas, y que</w:t>
      </w:r>
      <w:r w:rsidR="00094340">
        <w:rPr>
          <w:rFonts w:asciiTheme="majorHAnsi" w:hAnsiTheme="majorHAnsi"/>
          <w:sz w:val="20"/>
          <w:szCs w:val="20"/>
          <w:lang w:val="es-PE"/>
        </w:rPr>
        <w:t>,</w:t>
      </w:r>
      <w:r w:rsidR="00AC4618" w:rsidRPr="006D531F">
        <w:rPr>
          <w:rFonts w:asciiTheme="majorHAnsi" w:hAnsiTheme="majorHAnsi"/>
          <w:sz w:val="20"/>
          <w:szCs w:val="20"/>
          <w:lang w:val="es-PE"/>
        </w:rPr>
        <w:t xml:space="preserve"> a su vez, </w:t>
      </w:r>
      <w:r w:rsidR="001424F9" w:rsidRPr="006D531F">
        <w:rPr>
          <w:rFonts w:asciiTheme="majorHAnsi" w:hAnsiTheme="majorHAnsi"/>
          <w:sz w:val="20"/>
          <w:szCs w:val="20"/>
          <w:lang w:val="es-PE"/>
        </w:rPr>
        <w:t xml:space="preserve">un elemento inherente de dicha participación se </w:t>
      </w:r>
      <w:r w:rsidR="001B1DC1" w:rsidRPr="006D531F">
        <w:rPr>
          <w:rFonts w:asciiTheme="majorHAnsi" w:hAnsiTheme="majorHAnsi"/>
          <w:sz w:val="20"/>
          <w:szCs w:val="20"/>
          <w:lang w:val="es-PE"/>
        </w:rPr>
        <w:t>refiere</w:t>
      </w:r>
      <w:r w:rsidR="00F16CE6" w:rsidRPr="006D531F">
        <w:rPr>
          <w:rFonts w:asciiTheme="majorHAnsi" w:hAnsiTheme="majorHAnsi"/>
          <w:sz w:val="20"/>
          <w:szCs w:val="20"/>
          <w:lang w:val="es-PE"/>
        </w:rPr>
        <w:t xml:space="preserve"> al acceso a medios de comunicación</w:t>
      </w:r>
      <w:r w:rsidR="00410099">
        <w:rPr>
          <w:rFonts w:asciiTheme="majorHAnsi" w:hAnsiTheme="majorHAnsi"/>
          <w:sz w:val="20"/>
          <w:szCs w:val="20"/>
          <w:lang w:val="es-PE"/>
        </w:rPr>
        <w:t xml:space="preserve"> y la posibilidad de fundar medios de comunicación de forma autónoma</w:t>
      </w:r>
      <w:r w:rsidR="00F16CE6" w:rsidRPr="006D531F">
        <w:rPr>
          <w:rFonts w:asciiTheme="majorHAnsi" w:hAnsiTheme="majorHAnsi"/>
          <w:sz w:val="20"/>
          <w:szCs w:val="20"/>
          <w:lang w:val="es-PE"/>
        </w:rPr>
        <w:t xml:space="preserve">, a través de los cuales </w:t>
      </w:r>
      <w:r w:rsidR="000F6520" w:rsidRPr="006D531F">
        <w:rPr>
          <w:rFonts w:asciiTheme="majorHAnsi" w:hAnsiTheme="majorHAnsi"/>
          <w:sz w:val="20"/>
          <w:szCs w:val="20"/>
          <w:lang w:val="es-PE"/>
        </w:rPr>
        <w:t xml:space="preserve">los pueblos indígenas pueden no solo participar, sino </w:t>
      </w:r>
      <w:r w:rsidR="00C263D4" w:rsidRPr="006D531F">
        <w:rPr>
          <w:rFonts w:asciiTheme="majorHAnsi" w:hAnsiTheme="majorHAnsi"/>
          <w:sz w:val="20"/>
          <w:szCs w:val="20"/>
          <w:lang w:val="es-PE"/>
        </w:rPr>
        <w:t>también conocer de sus propias culturas, y contribuir con las mismas, en su propio idioma</w:t>
      </w:r>
      <w:r w:rsidR="00C6194F" w:rsidRPr="006D531F">
        <w:rPr>
          <w:rFonts w:asciiTheme="majorHAnsi" w:hAnsiTheme="majorHAnsi"/>
          <w:sz w:val="20"/>
          <w:szCs w:val="20"/>
          <w:lang w:val="es-PE"/>
        </w:rPr>
        <w:t xml:space="preserve">. </w:t>
      </w:r>
    </w:p>
    <w:p w14:paraId="4CA694B4" w14:textId="77777777" w:rsidR="00410099" w:rsidRPr="00410099" w:rsidRDefault="00410099" w:rsidP="0041009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Batang" w:hAnsiTheme="majorHAnsi" w:cs="Arial"/>
          <w:sz w:val="20"/>
          <w:szCs w:val="20"/>
          <w:bdr w:val="none" w:sz="0" w:space="0" w:color="auto"/>
          <w:lang w:val="es-ES"/>
        </w:rPr>
      </w:pPr>
    </w:p>
    <w:p w14:paraId="2DA3AE75" w14:textId="77777777" w:rsidR="00062C05" w:rsidRPr="006D531F" w:rsidRDefault="00C6194F" w:rsidP="0087036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cs="Arial"/>
          <w:sz w:val="20"/>
          <w:szCs w:val="20"/>
          <w:bdr w:val="none" w:sz="0" w:space="0" w:color="auto"/>
          <w:lang w:val="es-ES"/>
        </w:rPr>
      </w:pPr>
      <w:r w:rsidRPr="006D531F">
        <w:rPr>
          <w:rFonts w:asciiTheme="majorHAnsi" w:hAnsiTheme="majorHAnsi"/>
          <w:sz w:val="20"/>
          <w:szCs w:val="20"/>
          <w:lang w:val="es-PE"/>
        </w:rPr>
        <w:t>En este sentido, el derecho a la libertad de expresión a través de las radios comunitarias</w:t>
      </w:r>
      <w:r w:rsidR="00260826" w:rsidRPr="006D531F">
        <w:rPr>
          <w:rFonts w:asciiTheme="majorHAnsi" w:hAnsiTheme="majorHAnsi"/>
          <w:sz w:val="20"/>
          <w:szCs w:val="20"/>
          <w:lang w:val="es-PE"/>
        </w:rPr>
        <w:t xml:space="preserve"> </w:t>
      </w:r>
      <w:r w:rsidR="00CE59D4" w:rsidRPr="006D531F">
        <w:rPr>
          <w:rFonts w:asciiTheme="majorHAnsi" w:hAnsiTheme="majorHAnsi"/>
          <w:sz w:val="20"/>
          <w:szCs w:val="20"/>
          <w:lang w:val="es-PE"/>
        </w:rPr>
        <w:t xml:space="preserve">funciona </w:t>
      </w:r>
      <w:r w:rsidR="006020AC" w:rsidRPr="006D531F">
        <w:rPr>
          <w:rFonts w:asciiTheme="majorHAnsi" w:hAnsiTheme="majorHAnsi"/>
          <w:sz w:val="20"/>
          <w:szCs w:val="20"/>
          <w:lang w:val="es-PE"/>
        </w:rPr>
        <w:t>de forma</w:t>
      </w:r>
      <w:r w:rsidR="00CE59D4" w:rsidRPr="006D531F">
        <w:rPr>
          <w:rFonts w:asciiTheme="majorHAnsi" w:hAnsiTheme="majorHAnsi"/>
          <w:sz w:val="20"/>
          <w:szCs w:val="20"/>
          <w:lang w:val="es-PE"/>
        </w:rPr>
        <w:t xml:space="preserve"> instrument</w:t>
      </w:r>
      <w:r w:rsidR="006020AC" w:rsidRPr="006D531F">
        <w:rPr>
          <w:rFonts w:asciiTheme="majorHAnsi" w:hAnsiTheme="majorHAnsi"/>
          <w:sz w:val="20"/>
          <w:szCs w:val="20"/>
          <w:lang w:val="es-PE"/>
        </w:rPr>
        <w:t>al</w:t>
      </w:r>
      <w:r w:rsidR="008C2181" w:rsidRPr="006D531F">
        <w:rPr>
          <w:rFonts w:asciiTheme="majorHAnsi" w:hAnsiTheme="majorHAnsi"/>
          <w:sz w:val="20"/>
          <w:szCs w:val="20"/>
          <w:lang w:val="es-PE"/>
        </w:rPr>
        <w:t xml:space="preserve"> para lograr la efectiva participación en la vida cultural de los pueblos</w:t>
      </w:r>
      <w:r w:rsidR="003B6EC6" w:rsidRPr="006D531F">
        <w:rPr>
          <w:rFonts w:asciiTheme="majorHAnsi" w:hAnsiTheme="majorHAnsi"/>
          <w:sz w:val="20"/>
          <w:szCs w:val="20"/>
          <w:lang w:val="es-PE"/>
        </w:rPr>
        <w:t xml:space="preserve">, </w:t>
      </w:r>
      <w:r w:rsidR="00DB5192" w:rsidRPr="006D531F">
        <w:rPr>
          <w:rFonts w:asciiTheme="majorHAnsi" w:hAnsiTheme="majorHAnsi"/>
          <w:sz w:val="20"/>
          <w:szCs w:val="20"/>
          <w:lang w:val="es-PE"/>
        </w:rPr>
        <w:t xml:space="preserve">lo cual es de importancia trascendental </w:t>
      </w:r>
      <w:r w:rsidR="00067107" w:rsidRPr="006D531F">
        <w:rPr>
          <w:rFonts w:asciiTheme="majorHAnsi" w:hAnsiTheme="majorHAnsi"/>
          <w:sz w:val="20"/>
          <w:szCs w:val="20"/>
          <w:lang w:val="es-PE"/>
        </w:rPr>
        <w:t xml:space="preserve">para la preservación, promoción </w:t>
      </w:r>
      <w:r w:rsidR="006C58A5" w:rsidRPr="006D531F">
        <w:rPr>
          <w:rFonts w:asciiTheme="majorHAnsi" w:hAnsiTheme="majorHAnsi"/>
          <w:sz w:val="20"/>
          <w:szCs w:val="20"/>
          <w:lang w:val="es-PE"/>
        </w:rPr>
        <w:t>y disfrute de la cultura de las comunidades indígenas</w:t>
      </w:r>
      <w:r w:rsidR="003F22B6" w:rsidRPr="006D531F">
        <w:rPr>
          <w:rFonts w:asciiTheme="majorHAnsi" w:hAnsiTheme="majorHAnsi"/>
          <w:sz w:val="20"/>
          <w:szCs w:val="20"/>
          <w:lang w:val="es-PE"/>
        </w:rPr>
        <w:t>.</w:t>
      </w:r>
      <w:r w:rsidR="001F7240" w:rsidRPr="006D531F">
        <w:rPr>
          <w:rFonts w:asciiTheme="majorHAnsi" w:hAnsiTheme="majorHAnsi"/>
          <w:sz w:val="20"/>
          <w:szCs w:val="20"/>
          <w:lang w:val="es-PE"/>
        </w:rPr>
        <w:t xml:space="preserve"> </w:t>
      </w:r>
      <w:r w:rsidR="001F7240" w:rsidRPr="006D531F">
        <w:rPr>
          <w:rFonts w:asciiTheme="majorHAnsi" w:eastAsia="Batang" w:hAnsiTheme="majorHAnsi" w:cs="Arial"/>
          <w:sz w:val="20"/>
          <w:szCs w:val="20"/>
          <w:bdr w:val="none" w:sz="0" w:space="0" w:color="auto"/>
          <w:lang w:val="es-PE"/>
        </w:rPr>
        <w:t>Asimismo,</w:t>
      </w:r>
      <w:r w:rsidR="00E67D3D" w:rsidRPr="006D531F">
        <w:rPr>
          <w:rFonts w:asciiTheme="majorHAnsi" w:eastAsia="Batang" w:hAnsiTheme="majorHAnsi" w:cs="Arial"/>
          <w:sz w:val="20"/>
          <w:szCs w:val="20"/>
          <w:bdr w:val="none" w:sz="0" w:space="0" w:color="auto"/>
          <w:lang w:val="es-PE"/>
        </w:rPr>
        <w:t xml:space="preserve"> como se señaló ante</w:t>
      </w:r>
      <w:r w:rsidR="00072398" w:rsidRPr="006D531F">
        <w:rPr>
          <w:rFonts w:asciiTheme="majorHAnsi" w:eastAsia="Batang" w:hAnsiTheme="majorHAnsi" w:cs="Arial"/>
          <w:sz w:val="20"/>
          <w:szCs w:val="20"/>
          <w:bdr w:val="none" w:sz="0" w:space="0" w:color="auto"/>
          <w:lang w:val="es-PE"/>
        </w:rPr>
        <w:t>s</w:t>
      </w:r>
      <w:r w:rsidR="00E67D3D" w:rsidRPr="006D531F">
        <w:rPr>
          <w:rFonts w:asciiTheme="majorHAnsi" w:eastAsia="Batang" w:hAnsiTheme="majorHAnsi" w:cs="Arial"/>
          <w:sz w:val="20"/>
          <w:szCs w:val="20"/>
          <w:bdr w:val="none" w:sz="0" w:space="0" w:color="auto"/>
          <w:lang w:val="es-PE"/>
        </w:rPr>
        <w:t xml:space="preserve">, una </w:t>
      </w:r>
      <w:r w:rsidR="001F7240" w:rsidRPr="006D531F">
        <w:rPr>
          <w:rFonts w:asciiTheme="majorHAnsi" w:eastAsia="Batang" w:hAnsiTheme="majorHAnsi" w:cs="Arial"/>
          <w:sz w:val="20"/>
          <w:szCs w:val="20"/>
          <w:bdr w:val="none" w:sz="0" w:space="0" w:color="auto"/>
          <w:lang w:val="es-ES"/>
        </w:rPr>
        <w:t xml:space="preserve">de las obligaciones inmediatas de los Estados sobre dicho derecho se </w:t>
      </w:r>
      <w:r w:rsidR="0072664E" w:rsidRPr="006D531F">
        <w:rPr>
          <w:rFonts w:asciiTheme="majorHAnsi" w:eastAsia="Batang" w:hAnsiTheme="majorHAnsi" w:cs="Arial"/>
          <w:sz w:val="20"/>
          <w:szCs w:val="20"/>
          <w:bdr w:val="none" w:sz="0" w:space="0" w:color="auto"/>
          <w:lang w:val="es-ES"/>
        </w:rPr>
        <w:t xml:space="preserve">refiere a </w:t>
      </w:r>
      <w:r w:rsidR="001F7240" w:rsidRPr="006D531F">
        <w:rPr>
          <w:rFonts w:asciiTheme="majorHAnsi" w:eastAsia="Batang" w:hAnsiTheme="majorHAnsi" w:cs="Arial"/>
          <w:sz w:val="20"/>
          <w:szCs w:val="20"/>
          <w:bdr w:val="none" w:sz="0" w:space="0" w:color="auto"/>
          <w:lang w:val="es-ES"/>
        </w:rPr>
        <w:t>la eliminación de obstáculos que impid</w:t>
      </w:r>
      <w:r w:rsidR="00493C95" w:rsidRPr="006D531F">
        <w:rPr>
          <w:rFonts w:asciiTheme="majorHAnsi" w:eastAsia="Batang" w:hAnsiTheme="majorHAnsi" w:cs="Arial"/>
          <w:sz w:val="20"/>
          <w:szCs w:val="20"/>
          <w:bdr w:val="none" w:sz="0" w:space="0" w:color="auto"/>
          <w:lang w:val="es-ES"/>
        </w:rPr>
        <w:t>a</w:t>
      </w:r>
      <w:r w:rsidR="001F7240" w:rsidRPr="006D531F">
        <w:rPr>
          <w:rFonts w:asciiTheme="majorHAnsi" w:eastAsia="Batang" w:hAnsiTheme="majorHAnsi" w:cs="Arial"/>
          <w:sz w:val="20"/>
          <w:szCs w:val="20"/>
          <w:bdr w:val="none" w:sz="0" w:space="0" w:color="auto"/>
          <w:lang w:val="es-ES"/>
        </w:rPr>
        <w:t>n o limitan el acceso de la persona o comunidad a su propia cultura</w:t>
      </w:r>
      <w:r w:rsidR="00D36D28" w:rsidRPr="006D531F">
        <w:rPr>
          <w:rFonts w:asciiTheme="majorHAnsi" w:eastAsia="Batang" w:hAnsiTheme="majorHAnsi" w:cs="Arial"/>
          <w:sz w:val="20"/>
          <w:szCs w:val="20"/>
          <w:bdr w:val="none" w:sz="0" w:space="0" w:color="auto"/>
          <w:lang w:val="es-ES"/>
        </w:rPr>
        <w:t xml:space="preserve">. En este sentido, los Estados deberán remover los obstáculos que impidan o limiten </w:t>
      </w:r>
      <w:r w:rsidR="0017704C" w:rsidRPr="006D531F">
        <w:rPr>
          <w:rFonts w:asciiTheme="majorHAnsi" w:eastAsia="Batang" w:hAnsiTheme="majorHAnsi" w:cs="Arial"/>
          <w:sz w:val="20"/>
          <w:szCs w:val="20"/>
          <w:bdr w:val="none" w:sz="0" w:space="0" w:color="auto"/>
          <w:lang w:val="es-ES"/>
        </w:rPr>
        <w:t>el acceso a las frecuencias radio</w:t>
      </w:r>
      <w:r w:rsidR="009D04F0" w:rsidRPr="006D531F">
        <w:rPr>
          <w:rFonts w:asciiTheme="majorHAnsi" w:eastAsia="Batang" w:hAnsiTheme="majorHAnsi" w:cs="Arial"/>
          <w:sz w:val="20"/>
          <w:szCs w:val="20"/>
          <w:bdr w:val="none" w:sz="0" w:space="0" w:color="auto"/>
          <w:lang w:val="es-ES"/>
        </w:rPr>
        <w:t xml:space="preserve">eléctricas a </w:t>
      </w:r>
      <w:r w:rsidR="00D36D28" w:rsidRPr="006D531F">
        <w:rPr>
          <w:rFonts w:asciiTheme="majorHAnsi" w:eastAsia="Batang" w:hAnsiTheme="majorHAnsi" w:cs="Arial"/>
          <w:sz w:val="20"/>
          <w:szCs w:val="20"/>
          <w:bdr w:val="none" w:sz="0" w:space="0" w:color="auto"/>
          <w:lang w:val="es-ES"/>
        </w:rPr>
        <w:t>las radio</w:t>
      </w:r>
      <w:r w:rsidR="00E04A08" w:rsidRPr="006D531F">
        <w:rPr>
          <w:rFonts w:asciiTheme="majorHAnsi" w:eastAsia="Batang" w:hAnsiTheme="majorHAnsi" w:cs="Arial"/>
          <w:sz w:val="20"/>
          <w:szCs w:val="20"/>
          <w:bdr w:val="none" w:sz="0" w:space="0" w:color="auto"/>
          <w:lang w:val="es-ES"/>
        </w:rPr>
        <w:t>s</w:t>
      </w:r>
      <w:r w:rsidR="00D36D28" w:rsidRPr="006D531F">
        <w:rPr>
          <w:rFonts w:asciiTheme="majorHAnsi" w:eastAsia="Batang" w:hAnsiTheme="majorHAnsi" w:cs="Arial"/>
          <w:sz w:val="20"/>
          <w:szCs w:val="20"/>
          <w:bdr w:val="none" w:sz="0" w:space="0" w:color="auto"/>
          <w:lang w:val="es-ES"/>
        </w:rPr>
        <w:t xml:space="preserve"> comunitarias</w:t>
      </w:r>
      <w:r w:rsidR="009D04F0" w:rsidRPr="006D531F">
        <w:rPr>
          <w:rFonts w:asciiTheme="majorHAnsi" w:eastAsia="Batang" w:hAnsiTheme="majorHAnsi" w:cs="Arial"/>
          <w:sz w:val="20"/>
          <w:szCs w:val="20"/>
          <w:bdr w:val="none" w:sz="0" w:space="0" w:color="auto"/>
          <w:lang w:val="es-ES"/>
        </w:rPr>
        <w:t>, ya que</w:t>
      </w:r>
      <w:r w:rsidR="00E269E6">
        <w:rPr>
          <w:rFonts w:asciiTheme="majorHAnsi" w:eastAsia="Batang" w:hAnsiTheme="majorHAnsi" w:cs="Arial"/>
          <w:sz w:val="20"/>
          <w:szCs w:val="20"/>
          <w:bdr w:val="none" w:sz="0" w:space="0" w:color="auto"/>
          <w:lang w:val="es-ES"/>
        </w:rPr>
        <w:t xml:space="preserve"> constituyen</w:t>
      </w:r>
      <w:r w:rsidR="009D04F0" w:rsidRPr="006D531F">
        <w:rPr>
          <w:rFonts w:asciiTheme="majorHAnsi" w:eastAsia="Batang" w:hAnsiTheme="majorHAnsi" w:cs="Arial"/>
          <w:sz w:val="20"/>
          <w:szCs w:val="20"/>
          <w:bdr w:val="none" w:sz="0" w:space="0" w:color="auto"/>
          <w:lang w:val="es-ES"/>
        </w:rPr>
        <w:t xml:space="preserve"> uno de los mecanismos más importantes a través de los cuales </w:t>
      </w:r>
      <w:r w:rsidR="00B628B4" w:rsidRPr="006D531F">
        <w:rPr>
          <w:rFonts w:asciiTheme="majorHAnsi" w:eastAsia="Batang" w:hAnsiTheme="majorHAnsi" w:cs="Arial"/>
          <w:sz w:val="20"/>
          <w:szCs w:val="20"/>
          <w:bdr w:val="none" w:sz="0" w:space="0" w:color="auto"/>
          <w:lang w:val="es-ES"/>
        </w:rPr>
        <w:t>los pueblos indígenas gozan y ejercen sus derechos culturales.</w:t>
      </w:r>
      <w:r w:rsidR="009D04F0" w:rsidRPr="006D531F">
        <w:rPr>
          <w:rFonts w:asciiTheme="majorHAnsi" w:eastAsia="Batang" w:hAnsiTheme="majorHAnsi" w:cs="Arial"/>
          <w:sz w:val="20"/>
          <w:szCs w:val="20"/>
          <w:bdr w:val="none" w:sz="0" w:space="0" w:color="auto"/>
          <w:lang w:val="es-ES"/>
        </w:rPr>
        <w:t xml:space="preserve"> </w:t>
      </w:r>
    </w:p>
    <w:p w14:paraId="7B689C03" w14:textId="77777777" w:rsidR="00B628B4" w:rsidRPr="006D531F" w:rsidRDefault="00B628B4" w:rsidP="00B628B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Batang" w:hAnsiTheme="majorHAnsi" w:cs="Arial"/>
          <w:sz w:val="20"/>
          <w:szCs w:val="20"/>
          <w:bdr w:val="none" w:sz="0" w:space="0" w:color="auto"/>
          <w:lang w:val="es-ES"/>
        </w:rPr>
      </w:pPr>
    </w:p>
    <w:p w14:paraId="7736134D" w14:textId="77777777" w:rsidR="00FD5A99" w:rsidRPr="006D531F" w:rsidRDefault="00FD5A99" w:rsidP="00EA00F8">
      <w:pPr>
        <w:pStyle w:val="Heading3"/>
        <w:keepNext w:val="0"/>
        <w:spacing w:before="0" w:after="0"/>
        <w:ind w:left="0" w:firstLine="0"/>
      </w:pPr>
      <w:bookmarkStart w:id="38" w:name="_Toc6937384"/>
      <w:bookmarkStart w:id="39" w:name="_Toc11073112"/>
      <w:bookmarkStart w:id="40" w:name="_Toc28418785"/>
      <w:r w:rsidRPr="006D531F">
        <w:t>Análisis del caso</w:t>
      </w:r>
      <w:bookmarkEnd w:id="38"/>
      <w:bookmarkEnd w:id="39"/>
      <w:bookmarkEnd w:id="40"/>
    </w:p>
    <w:p w14:paraId="708F66AF" w14:textId="77777777" w:rsidR="009F0E49" w:rsidRPr="006D531F" w:rsidRDefault="009F0E49" w:rsidP="00EA00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48632F33" w14:textId="77777777" w:rsidR="00FF06EF" w:rsidRDefault="00560872" w:rsidP="00EA00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MX"/>
        </w:rPr>
      </w:pPr>
      <w:r w:rsidRPr="006D531F">
        <w:rPr>
          <w:rFonts w:asciiTheme="majorHAnsi" w:hAnsiTheme="majorHAnsi"/>
          <w:spacing w:val="-2"/>
          <w:sz w:val="20"/>
          <w:szCs w:val="20"/>
          <w:lang w:val="es-ES_tradnl"/>
        </w:rPr>
        <w:t>L</w:t>
      </w:r>
      <w:r w:rsidR="009F0E49" w:rsidRPr="006D531F">
        <w:rPr>
          <w:rFonts w:asciiTheme="majorHAnsi" w:hAnsiTheme="majorHAnsi"/>
          <w:sz w:val="20"/>
          <w:szCs w:val="20"/>
          <w:lang w:val="es-MX"/>
        </w:rPr>
        <w:t>a Comisión considera que</w:t>
      </w:r>
      <w:r w:rsidR="001F4B9F" w:rsidRPr="006D531F">
        <w:rPr>
          <w:rFonts w:asciiTheme="majorHAnsi" w:hAnsiTheme="majorHAnsi"/>
          <w:sz w:val="20"/>
          <w:szCs w:val="20"/>
          <w:lang w:val="es-MX"/>
        </w:rPr>
        <w:t xml:space="preserve">, </w:t>
      </w:r>
      <w:r w:rsidRPr="006D531F">
        <w:rPr>
          <w:rFonts w:asciiTheme="majorHAnsi" w:hAnsiTheme="majorHAnsi"/>
          <w:sz w:val="20"/>
          <w:szCs w:val="20"/>
          <w:lang w:val="es-MX"/>
        </w:rPr>
        <w:t xml:space="preserve">en </w:t>
      </w:r>
      <w:r w:rsidR="00795462" w:rsidRPr="006D531F">
        <w:rPr>
          <w:rFonts w:asciiTheme="majorHAnsi" w:hAnsiTheme="majorHAnsi"/>
          <w:sz w:val="20"/>
          <w:szCs w:val="20"/>
          <w:lang w:val="es-MX"/>
        </w:rPr>
        <w:t xml:space="preserve">el presente caso, </w:t>
      </w:r>
      <w:r w:rsidR="009F0E49" w:rsidRPr="006D531F">
        <w:rPr>
          <w:rFonts w:asciiTheme="majorHAnsi" w:hAnsiTheme="majorHAnsi"/>
          <w:sz w:val="20"/>
          <w:szCs w:val="20"/>
          <w:lang w:val="es-MX"/>
        </w:rPr>
        <w:t xml:space="preserve">el principal problema jurídico que debe resolver es si </w:t>
      </w:r>
      <w:r w:rsidR="00D61092" w:rsidRPr="006D531F">
        <w:rPr>
          <w:rFonts w:asciiTheme="majorHAnsi" w:hAnsiTheme="majorHAnsi"/>
          <w:sz w:val="20"/>
          <w:szCs w:val="20"/>
          <w:lang w:val="es-MX"/>
        </w:rPr>
        <w:t xml:space="preserve">la normativa interna </w:t>
      </w:r>
      <w:r w:rsidR="004C2420" w:rsidRPr="006D531F">
        <w:rPr>
          <w:rFonts w:asciiTheme="majorHAnsi" w:hAnsiTheme="majorHAnsi"/>
          <w:sz w:val="20"/>
          <w:szCs w:val="20"/>
          <w:lang w:val="es-MX"/>
        </w:rPr>
        <w:t xml:space="preserve">en Guatemala </w:t>
      </w:r>
      <w:r w:rsidR="00531365" w:rsidRPr="006D531F">
        <w:rPr>
          <w:rFonts w:asciiTheme="majorHAnsi" w:hAnsiTheme="majorHAnsi"/>
          <w:sz w:val="20"/>
          <w:szCs w:val="20"/>
          <w:lang w:val="es-MX"/>
        </w:rPr>
        <w:t>sobre asignación del espectro radioel</w:t>
      </w:r>
      <w:r w:rsidR="007A5619" w:rsidRPr="006D531F">
        <w:rPr>
          <w:rFonts w:asciiTheme="majorHAnsi" w:hAnsiTheme="majorHAnsi"/>
          <w:sz w:val="20"/>
          <w:szCs w:val="20"/>
          <w:lang w:val="es-MX"/>
        </w:rPr>
        <w:t>é</w:t>
      </w:r>
      <w:r w:rsidR="00531365" w:rsidRPr="006D531F">
        <w:rPr>
          <w:rFonts w:asciiTheme="majorHAnsi" w:hAnsiTheme="majorHAnsi"/>
          <w:sz w:val="20"/>
          <w:szCs w:val="20"/>
          <w:lang w:val="es-MX"/>
        </w:rPr>
        <w:t>ctrico</w:t>
      </w:r>
      <w:r w:rsidR="0077458D" w:rsidRPr="006D531F">
        <w:rPr>
          <w:rFonts w:asciiTheme="majorHAnsi" w:hAnsiTheme="majorHAnsi"/>
          <w:sz w:val="20"/>
          <w:szCs w:val="20"/>
          <w:lang w:val="es-MX"/>
        </w:rPr>
        <w:t xml:space="preserve">, </w:t>
      </w:r>
      <w:r w:rsidR="00114B1D" w:rsidRPr="006D531F">
        <w:rPr>
          <w:rFonts w:asciiTheme="majorHAnsi" w:hAnsiTheme="majorHAnsi"/>
          <w:sz w:val="20"/>
          <w:szCs w:val="20"/>
          <w:lang w:val="es-MX"/>
        </w:rPr>
        <w:t>la cual no reconoce expresamente al sector comunitario</w:t>
      </w:r>
      <w:r w:rsidR="00D76476" w:rsidRPr="006D531F">
        <w:rPr>
          <w:rFonts w:asciiTheme="majorHAnsi" w:hAnsiTheme="majorHAnsi"/>
          <w:sz w:val="20"/>
          <w:szCs w:val="20"/>
          <w:lang w:val="es-MX"/>
        </w:rPr>
        <w:t xml:space="preserve">, </w:t>
      </w:r>
      <w:r w:rsidR="00956CA7" w:rsidRPr="006D531F">
        <w:rPr>
          <w:rFonts w:asciiTheme="majorHAnsi" w:hAnsiTheme="majorHAnsi"/>
          <w:sz w:val="20"/>
          <w:szCs w:val="20"/>
          <w:lang w:val="es-MX"/>
        </w:rPr>
        <w:t>fue</w:t>
      </w:r>
      <w:r w:rsidR="008A4382" w:rsidRPr="006D531F">
        <w:rPr>
          <w:rFonts w:asciiTheme="majorHAnsi" w:hAnsiTheme="majorHAnsi"/>
          <w:sz w:val="20"/>
          <w:szCs w:val="20"/>
          <w:lang w:val="es-MX"/>
        </w:rPr>
        <w:t xml:space="preserve"> discriminatoria</w:t>
      </w:r>
      <w:r w:rsidR="00CB7B9F" w:rsidRPr="006D531F">
        <w:rPr>
          <w:rFonts w:asciiTheme="majorHAnsi" w:hAnsiTheme="majorHAnsi"/>
          <w:sz w:val="20"/>
          <w:szCs w:val="20"/>
          <w:lang w:val="es-MX"/>
        </w:rPr>
        <w:t xml:space="preserve"> y </w:t>
      </w:r>
      <w:r w:rsidR="0066621F" w:rsidRPr="006D531F">
        <w:rPr>
          <w:rFonts w:asciiTheme="majorHAnsi" w:hAnsiTheme="majorHAnsi"/>
          <w:sz w:val="20"/>
          <w:szCs w:val="20"/>
          <w:lang w:val="es-MX"/>
        </w:rPr>
        <w:t xml:space="preserve">si </w:t>
      </w:r>
      <w:r w:rsidR="00542B13" w:rsidRPr="006D531F">
        <w:rPr>
          <w:rFonts w:asciiTheme="majorHAnsi" w:hAnsiTheme="majorHAnsi"/>
          <w:sz w:val="20"/>
          <w:szCs w:val="20"/>
          <w:lang w:val="es-MX"/>
        </w:rPr>
        <w:t>esta</w:t>
      </w:r>
      <w:r w:rsidR="00CB7B9F" w:rsidRPr="006D531F">
        <w:rPr>
          <w:rFonts w:asciiTheme="majorHAnsi" w:hAnsiTheme="majorHAnsi"/>
          <w:sz w:val="20"/>
          <w:szCs w:val="20"/>
          <w:lang w:val="es-MX"/>
        </w:rPr>
        <w:t xml:space="preserve"> </w:t>
      </w:r>
      <w:r w:rsidR="00D76476" w:rsidRPr="006D531F">
        <w:rPr>
          <w:rFonts w:asciiTheme="majorHAnsi" w:hAnsiTheme="majorHAnsi"/>
          <w:sz w:val="20"/>
          <w:szCs w:val="20"/>
          <w:lang w:val="es-MX"/>
        </w:rPr>
        <w:t>permit</w:t>
      </w:r>
      <w:r w:rsidR="00956CA7" w:rsidRPr="006D531F">
        <w:rPr>
          <w:rFonts w:asciiTheme="majorHAnsi" w:hAnsiTheme="majorHAnsi"/>
          <w:sz w:val="20"/>
          <w:szCs w:val="20"/>
          <w:lang w:val="es-MX"/>
        </w:rPr>
        <w:t>ió</w:t>
      </w:r>
      <w:r w:rsidR="00D76476" w:rsidRPr="006D531F">
        <w:rPr>
          <w:rFonts w:asciiTheme="majorHAnsi" w:hAnsiTheme="majorHAnsi"/>
          <w:sz w:val="20"/>
          <w:szCs w:val="20"/>
          <w:lang w:val="es-MX"/>
        </w:rPr>
        <w:t xml:space="preserve"> el ejercicio de la libertad de expresión </w:t>
      </w:r>
      <w:r w:rsidR="00745680" w:rsidRPr="006D531F">
        <w:rPr>
          <w:rFonts w:asciiTheme="majorHAnsi" w:hAnsiTheme="majorHAnsi"/>
          <w:sz w:val="20"/>
          <w:szCs w:val="20"/>
          <w:lang w:val="es-MX"/>
        </w:rPr>
        <w:t xml:space="preserve">y </w:t>
      </w:r>
      <w:r w:rsidR="009023E2" w:rsidRPr="006D531F">
        <w:rPr>
          <w:rFonts w:asciiTheme="majorHAnsi" w:hAnsiTheme="majorHAnsi"/>
          <w:sz w:val="20"/>
          <w:szCs w:val="20"/>
          <w:lang w:val="es-MX"/>
        </w:rPr>
        <w:t>de</w:t>
      </w:r>
      <w:r w:rsidR="002E5AE6" w:rsidRPr="006D531F">
        <w:rPr>
          <w:rFonts w:asciiTheme="majorHAnsi" w:hAnsiTheme="majorHAnsi"/>
          <w:sz w:val="20"/>
          <w:szCs w:val="20"/>
          <w:lang w:val="es-MX"/>
        </w:rPr>
        <w:t xml:space="preserve"> los </w:t>
      </w:r>
      <w:r w:rsidR="009023E2" w:rsidRPr="006D531F">
        <w:rPr>
          <w:rFonts w:asciiTheme="majorHAnsi" w:hAnsiTheme="majorHAnsi"/>
          <w:sz w:val="20"/>
          <w:szCs w:val="20"/>
          <w:lang w:val="es-MX"/>
        </w:rPr>
        <w:t xml:space="preserve">derechos culturales </w:t>
      </w:r>
      <w:r w:rsidR="00D76476" w:rsidRPr="006D531F">
        <w:rPr>
          <w:rFonts w:asciiTheme="majorHAnsi" w:hAnsiTheme="majorHAnsi"/>
          <w:sz w:val="20"/>
          <w:szCs w:val="20"/>
          <w:lang w:val="es-MX"/>
        </w:rPr>
        <w:t xml:space="preserve">de los pueblos indígenas víctimas </w:t>
      </w:r>
      <w:r w:rsidR="002E5AE6" w:rsidRPr="006D531F">
        <w:rPr>
          <w:rFonts w:asciiTheme="majorHAnsi" w:hAnsiTheme="majorHAnsi"/>
          <w:sz w:val="20"/>
          <w:szCs w:val="20"/>
          <w:lang w:val="es-MX"/>
        </w:rPr>
        <w:t>en el caso,</w:t>
      </w:r>
      <w:r w:rsidR="00CE0EF5" w:rsidRPr="006D531F">
        <w:rPr>
          <w:rFonts w:asciiTheme="majorHAnsi" w:hAnsiTheme="majorHAnsi"/>
          <w:sz w:val="20"/>
          <w:szCs w:val="20"/>
          <w:lang w:val="es-MX"/>
        </w:rPr>
        <w:t xml:space="preserve"> </w:t>
      </w:r>
      <w:r w:rsidR="00B6519F" w:rsidRPr="006D531F">
        <w:rPr>
          <w:rFonts w:asciiTheme="majorHAnsi" w:hAnsiTheme="majorHAnsi"/>
          <w:sz w:val="20"/>
          <w:szCs w:val="20"/>
          <w:lang w:val="es-MX"/>
        </w:rPr>
        <w:t>de conformidad</w:t>
      </w:r>
      <w:r w:rsidR="00F30738" w:rsidRPr="006D531F">
        <w:rPr>
          <w:rFonts w:asciiTheme="majorHAnsi" w:hAnsiTheme="majorHAnsi"/>
          <w:sz w:val="20"/>
          <w:szCs w:val="20"/>
          <w:lang w:val="es-MX"/>
        </w:rPr>
        <w:t xml:space="preserve"> con </w:t>
      </w:r>
      <w:r w:rsidR="001342BA" w:rsidRPr="006D531F">
        <w:rPr>
          <w:rFonts w:asciiTheme="majorHAnsi" w:hAnsiTheme="majorHAnsi"/>
          <w:sz w:val="20"/>
          <w:szCs w:val="20"/>
          <w:lang w:val="es-MX"/>
        </w:rPr>
        <w:t>l</w:t>
      </w:r>
      <w:r w:rsidR="0029547B" w:rsidRPr="006D531F">
        <w:rPr>
          <w:rFonts w:asciiTheme="majorHAnsi" w:hAnsiTheme="majorHAnsi"/>
          <w:sz w:val="20"/>
          <w:szCs w:val="20"/>
          <w:lang w:val="es-MX"/>
        </w:rPr>
        <w:t xml:space="preserve">os artículos </w:t>
      </w:r>
      <w:r w:rsidR="002C4ABB" w:rsidRPr="006D531F">
        <w:rPr>
          <w:rFonts w:asciiTheme="majorHAnsi" w:hAnsiTheme="majorHAnsi"/>
          <w:sz w:val="20"/>
          <w:szCs w:val="20"/>
          <w:lang w:val="es-MX"/>
        </w:rPr>
        <w:t xml:space="preserve">1.1, </w:t>
      </w:r>
      <w:r w:rsidR="0029547B" w:rsidRPr="006D531F">
        <w:rPr>
          <w:rFonts w:asciiTheme="majorHAnsi" w:hAnsiTheme="majorHAnsi"/>
          <w:sz w:val="20"/>
          <w:szCs w:val="20"/>
          <w:lang w:val="es-MX"/>
        </w:rPr>
        <w:t xml:space="preserve">2, 13, 24 y 26 </w:t>
      </w:r>
      <w:r w:rsidR="009F0E49" w:rsidRPr="006D531F">
        <w:rPr>
          <w:rFonts w:asciiTheme="majorHAnsi" w:hAnsiTheme="majorHAnsi"/>
          <w:sz w:val="20"/>
          <w:szCs w:val="20"/>
          <w:lang w:val="es-MX"/>
        </w:rPr>
        <w:t xml:space="preserve">de la Convención Americana. </w:t>
      </w:r>
    </w:p>
    <w:p w14:paraId="20169976" w14:textId="77777777" w:rsidR="00FF06EF" w:rsidRDefault="00FF06EF" w:rsidP="00FF06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MX"/>
        </w:rPr>
      </w:pPr>
    </w:p>
    <w:p w14:paraId="1E0A06DB" w14:textId="77777777" w:rsidR="009F0E49" w:rsidRPr="006D531F" w:rsidRDefault="00AB6343" w:rsidP="00EA00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MX"/>
        </w:rPr>
      </w:pPr>
      <w:r w:rsidRPr="006D531F">
        <w:rPr>
          <w:rFonts w:asciiTheme="majorHAnsi" w:hAnsiTheme="majorHAnsi"/>
          <w:sz w:val="20"/>
          <w:szCs w:val="20"/>
          <w:lang w:val="es-MX"/>
        </w:rPr>
        <w:t>De igual manera, la Comisión debe analizar si</w:t>
      </w:r>
      <w:r w:rsidR="00B7457A">
        <w:rPr>
          <w:rFonts w:asciiTheme="majorHAnsi" w:hAnsiTheme="majorHAnsi"/>
          <w:sz w:val="20"/>
          <w:szCs w:val="20"/>
          <w:lang w:val="es-MX"/>
        </w:rPr>
        <w:t xml:space="preserve"> de acuerdo al marco jurídico interamericano,</w:t>
      </w:r>
      <w:r w:rsidR="00170441" w:rsidRPr="006D531F">
        <w:rPr>
          <w:rFonts w:asciiTheme="majorHAnsi" w:hAnsiTheme="majorHAnsi"/>
          <w:sz w:val="20"/>
          <w:szCs w:val="20"/>
          <w:lang w:val="es-MX"/>
        </w:rPr>
        <w:t xml:space="preserve"> el Estado </w:t>
      </w:r>
      <w:r w:rsidR="00B7457A">
        <w:rPr>
          <w:rFonts w:asciiTheme="majorHAnsi" w:hAnsiTheme="majorHAnsi"/>
          <w:sz w:val="20"/>
          <w:szCs w:val="20"/>
          <w:lang w:val="es-MX"/>
        </w:rPr>
        <w:t>tenía</w:t>
      </w:r>
      <w:r w:rsidR="00170441" w:rsidRPr="006D531F">
        <w:rPr>
          <w:rFonts w:asciiTheme="majorHAnsi" w:hAnsiTheme="majorHAnsi"/>
          <w:sz w:val="20"/>
          <w:szCs w:val="20"/>
          <w:lang w:val="es-MX"/>
        </w:rPr>
        <w:t xml:space="preserve"> la obligación de adoptar medidas de di</w:t>
      </w:r>
      <w:r w:rsidR="00A3321B" w:rsidRPr="006D531F">
        <w:rPr>
          <w:rFonts w:asciiTheme="majorHAnsi" w:hAnsiTheme="majorHAnsi"/>
          <w:sz w:val="20"/>
          <w:szCs w:val="20"/>
          <w:lang w:val="es-MX"/>
        </w:rPr>
        <w:t xml:space="preserve">ferenciación positiva </w:t>
      </w:r>
      <w:r w:rsidR="00B25A12" w:rsidRPr="006D531F">
        <w:rPr>
          <w:rFonts w:asciiTheme="majorHAnsi" w:hAnsiTheme="majorHAnsi"/>
          <w:sz w:val="20"/>
          <w:szCs w:val="20"/>
          <w:lang w:val="es-MX"/>
        </w:rPr>
        <w:t>en favor de los pueblos indígenas</w:t>
      </w:r>
      <w:r w:rsidR="00B7457A">
        <w:rPr>
          <w:rFonts w:asciiTheme="majorHAnsi" w:hAnsiTheme="majorHAnsi"/>
          <w:sz w:val="20"/>
          <w:szCs w:val="20"/>
          <w:lang w:val="es-MX"/>
        </w:rPr>
        <w:t>,</w:t>
      </w:r>
      <w:r w:rsidR="00E951AF" w:rsidRPr="006D531F">
        <w:rPr>
          <w:rFonts w:asciiTheme="majorHAnsi" w:hAnsiTheme="majorHAnsi"/>
          <w:sz w:val="20"/>
          <w:szCs w:val="20"/>
          <w:lang w:val="es-MX"/>
        </w:rPr>
        <w:t xml:space="preserve"> a fin de </w:t>
      </w:r>
      <w:r w:rsidR="00B7457A">
        <w:rPr>
          <w:rFonts w:asciiTheme="majorHAnsi" w:hAnsiTheme="majorHAnsi"/>
          <w:sz w:val="20"/>
          <w:szCs w:val="20"/>
          <w:lang w:val="es-MX"/>
        </w:rPr>
        <w:lastRenderedPageBreak/>
        <w:t>facilitar el acceso</w:t>
      </w:r>
      <w:r w:rsidR="00970E4B" w:rsidRPr="006D531F">
        <w:rPr>
          <w:rFonts w:asciiTheme="majorHAnsi" w:hAnsiTheme="majorHAnsi"/>
          <w:sz w:val="20"/>
          <w:szCs w:val="20"/>
          <w:lang w:val="es-MX"/>
        </w:rPr>
        <w:t xml:space="preserve"> a una licencia de radio</w:t>
      </w:r>
      <w:r w:rsidR="00740937" w:rsidRPr="006D531F">
        <w:rPr>
          <w:rFonts w:asciiTheme="majorHAnsi" w:hAnsiTheme="majorHAnsi"/>
          <w:sz w:val="20"/>
          <w:szCs w:val="20"/>
          <w:lang w:val="es-MX"/>
        </w:rPr>
        <w:t>difusión para operar radios comunitarias, y</w:t>
      </w:r>
      <w:r w:rsidR="003B4CCF" w:rsidRPr="006D531F">
        <w:rPr>
          <w:rFonts w:asciiTheme="majorHAnsi" w:hAnsiTheme="majorHAnsi"/>
          <w:sz w:val="20"/>
          <w:szCs w:val="20"/>
          <w:lang w:val="es-MX"/>
        </w:rPr>
        <w:t xml:space="preserve"> </w:t>
      </w:r>
      <w:r w:rsidR="00C730F4" w:rsidRPr="006D531F">
        <w:rPr>
          <w:rFonts w:asciiTheme="majorHAnsi" w:hAnsiTheme="majorHAnsi"/>
          <w:sz w:val="20"/>
          <w:szCs w:val="20"/>
          <w:lang w:val="es-MX"/>
        </w:rPr>
        <w:t xml:space="preserve">si la criminalización de las radios </w:t>
      </w:r>
      <w:r w:rsidR="00F37B43" w:rsidRPr="006D531F">
        <w:rPr>
          <w:rFonts w:asciiTheme="majorHAnsi" w:hAnsiTheme="majorHAnsi"/>
          <w:sz w:val="20"/>
          <w:szCs w:val="20"/>
          <w:lang w:val="es-MX"/>
        </w:rPr>
        <w:t>comunitarias, los</w:t>
      </w:r>
      <w:r w:rsidR="00740937" w:rsidRPr="006D531F">
        <w:rPr>
          <w:rFonts w:asciiTheme="majorHAnsi" w:hAnsiTheme="majorHAnsi"/>
          <w:sz w:val="20"/>
          <w:szCs w:val="20"/>
          <w:lang w:val="es-MX"/>
        </w:rPr>
        <w:t xml:space="preserve"> allanamientos</w:t>
      </w:r>
      <w:r w:rsidR="00BB4FD7" w:rsidRPr="006D531F">
        <w:rPr>
          <w:rFonts w:asciiTheme="majorHAnsi" w:hAnsiTheme="majorHAnsi"/>
          <w:sz w:val="20"/>
          <w:szCs w:val="20"/>
          <w:lang w:val="es-MX"/>
        </w:rPr>
        <w:t xml:space="preserve"> y decomisos de equipos</w:t>
      </w:r>
      <w:r w:rsidR="00740937" w:rsidRPr="006D531F">
        <w:rPr>
          <w:rFonts w:asciiTheme="majorHAnsi" w:hAnsiTheme="majorHAnsi"/>
          <w:sz w:val="20"/>
          <w:szCs w:val="20"/>
          <w:lang w:val="es-MX"/>
        </w:rPr>
        <w:t xml:space="preserve"> realizados en la Radio Ixchel y </w:t>
      </w:r>
      <w:r w:rsidRPr="006D531F">
        <w:rPr>
          <w:rFonts w:asciiTheme="majorHAnsi" w:hAnsiTheme="majorHAnsi"/>
          <w:sz w:val="20"/>
          <w:szCs w:val="20"/>
          <w:lang w:val="es-MX"/>
        </w:rPr>
        <w:t>la</w:t>
      </w:r>
      <w:r w:rsidR="00740937" w:rsidRPr="006D531F">
        <w:rPr>
          <w:rFonts w:asciiTheme="majorHAnsi" w:hAnsiTheme="majorHAnsi"/>
          <w:sz w:val="20"/>
          <w:szCs w:val="20"/>
          <w:lang w:val="es-MX"/>
        </w:rPr>
        <w:t xml:space="preserve"> radio “La Voz del Pueblo” </w:t>
      </w:r>
      <w:r w:rsidR="00B7457A">
        <w:rPr>
          <w:rFonts w:asciiTheme="majorHAnsi" w:hAnsiTheme="majorHAnsi"/>
          <w:sz w:val="20"/>
          <w:szCs w:val="20"/>
          <w:lang w:val="es-MX"/>
        </w:rPr>
        <w:t>irrespetaron normas</w:t>
      </w:r>
      <w:r w:rsidR="00740937" w:rsidRPr="006D531F">
        <w:rPr>
          <w:rFonts w:asciiTheme="majorHAnsi" w:hAnsiTheme="majorHAnsi"/>
          <w:sz w:val="20"/>
          <w:szCs w:val="20"/>
          <w:lang w:val="es-MX"/>
        </w:rPr>
        <w:t xml:space="preserve"> convencionales</w:t>
      </w:r>
      <w:r w:rsidR="00370585" w:rsidRPr="006D531F">
        <w:rPr>
          <w:rFonts w:asciiTheme="majorHAnsi" w:hAnsiTheme="majorHAnsi"/>
          <w:sz w:val="20"/>
          <w:szCs w:val="20"/>
          <w:lang w:val="es-MX"/>
        </w:rPr>
        <w:t>.</w:t>
      </w:r>
      <w:r w:rsidRPr="006D531F">
        <w:rPr>
          <w:rFonts w:asciiTheme="majorHAnsi" w:hAnsiTheme="majorHAnsi"/>
          <w:sz w:val="20"/>
          <w:szCs w:val="20"/>
          <w:lang w:val="es-MX"/>
        </w:rPr>
        <w:t xml:space="preserve"> </w:t>
      </w:r>
      <w:r w:rsidR="00B74FFD" w:rsidRPr="006D531F">
        <w:rPr>
          <w:rFonts w:asciiTheme="majorHAnsi" w:hAnsiTheme="majorHAnsi"/>
          <w:sz w:val="20"/>
          <w:szCs w:val="20"/>
          <w:lang w:val="es-MX"/>
        </w:rPr>
        <w:t xml:space="preserve">Además, </w:t>
      </w:r>
      <w:r w:rsidR="005564AF" w:rsidRPr="006D531F">
        <w:rPr>
          <w:rFonts w:asciiTheme="majorHAnsi" w:hAnsiTheme="majorHAnsi"/>
          <w:sz w:val="20"/>
          <w:szCs w:val="20"/>
          <w:lang w:val="es-MX"/>
        </w:rPr>
        <w:t xml:space="preserve">la Comisión analizará si la </w:t>
      </w:r>
      <w:r w:rsidRPr="006D531F">
        <w:rPr>
          <w:rFonts w:asciiTheme="majorHAnsi" w:hAnsiTheme="majorHAnsi"/>
          <w:sz w:val="20"/>
          <w:szCs w:val="20"/>
          <w:lang w:val="es-MX"/>
        </w:rPr>
        <w:t>decisión de acción de inconstitucionalidad adoptada por la Cort</w:t>
      </w:r>
      <w:r w:rsidR="00110245" w:rsidRPr="006D531F">
        <w:rPr>
          <w:rFonts w:asciiTheme="majorHAnsi" w:hAnsiTheme="majorHAnsi"/>
          <w:sz w:val="20"/>
          <w:szCs w:val="20"/>
          <w:lang w:val="es-MX"/>
        </w:rPr>
        <w:t xml:space="preserve">e </w:t>
      </w:r>
      <w:r w:rsidR="00502AEE" w:rsidRPr="006D531F">
        <w:rPr>
          <w:rFonts w:asciiTheme="majorHAnsi" w:hAnsiTheme="majorHAnsi"/>
          <w:sz w:val="20"/>
          <w:szCs w:val="20"/>
          <w:lang w:val="es-MX"/>
        </w:rPr>
        <w:t xml:space="preserve">de Constitucionalidad </w:t>
      </w:r>
      <w:r w:rsidR="009D2B07" w:rsidRPr="006D531F">
        <w:rPr>
          <w:rFonts w:asciiTheme="majorHAnsi" w:hAnsiTheme="majorHAnsi"/>
          <w:sz w:val="20"/>
          <w:szCs w:val="20"/>
          <w:lang w:val="es-MX"/>
        </w:rPr>
        <w:t xml:space="preserve">se </w:t>
      </w:r>
      <w:r w:rsidR="00D35B82" w:rsidRPr="006D531F">
        <w:rPr>
          <w:rFonts w:asciiTheme="majorHAnsi" w:hAnsiTheme="majorHAnsi"/>
          <w:sz w:val="20"/>
          <w:szCs w:val="20"/>
          <w:lang w:val="es-MX"/>
        </w:rPr>
        <w:t xml:space="preserve">dictó de conformidad con el </w:t>
      </w:r>
      <w:r w:rsidR="003F0C1F" w:rsidRPr="006D531F">
        <w:rPr>
          <w:rFonts w:asciiTheme="majorHAnsi" w:hAnsiTheme="majorHAnsi"/>
          <w:sz w:val="20"/>
          <w:szCs w:val="20"/>
          <w:lang w:val="es-MX"/>
        </w:rPr>
        <w:t>artículo 13 de l</w:t>
      </w:r>
      <w:r w:rsidR="009173EC" w:rsidRPr="006D531F">
        <w:rPr>
          <w:rFonts w:asciiTheme="majorHAnsi" w:hAnsiTheme="majorHAnsi"/>
          <w:sz w:val="20"/>
          <w:szCs w:val="20"/>
          <w:lang w:val="es-MX"/>
        </w:rPr>
        <w:t>a Convención.</w:t>
      </w:r>
      <w:r w:rsidR="00445B16" w:rsidRPr="006D531F">
        <w:rPr>
          <w:rFonts w:asciiTheme="majorHAnsi" w:hAnsiTheme="majorHAnsi"/>
          <w:sz w:val="20"/>
          <w:szCs w:val="20"/>
          <w:lang w:val="es-MX"/>
        </w:rPr>
        <w:t xml:space="preserve"> </w:t>
      </w:r>
      <w:r w:rsidR="00962542" w:rsidRPr="006D531F">
        <w:rPr>
          <w:rFonts w:asciiTheme="majorHAnsi" w:hAnsiTheme="majorHAnsi"/>
          <w:sz w:val="20"/>
          <w:szCs w:val="20"/>
          <w:lang w:val="es-MX"/>
        </w:rPr>
        <w:t xml:space="preserve">La Comisión pasará a analizar </w:t>
      </w:r>
      <w:r w:rsidR="00722B53" w:rsidRPr="006D531F">
        <w:rPr>
          <w:rFonts w:asciiTheme="majorHAnsi" w:hAnsiTheme="majorHAnsi"/>
          <w:sz w:val="20"/>
          <w:szCs w:val="20"/>
          <w:lang w:val="es-MX"/>
        </w:rPr>
        <w:t xml:space="preserve">el caso concreto, </w:t>
      </w:r>
      <w:r w:rsidR="009F0E49" w:rsidRPr="006D531F">
        <w:rPr>
          <w:rFonts w:asciiTheme="majorHAnsi" w:hAnsiTheme="majorHAnsi"/>
          <w:sz w:val="20"/>
          <w:szCs w:val="20"/>
          <w:lang w:val="es-MX"/>
        </w:rPr>
        <w:t>de acuerdo con las circunstancias de</w:t>
      </w:r>
      <w:r w:rsidR="00994B26" w:rsidRPr="006D531F">
        <w:rPr>
          <w:rFonts w:asciiTheme="majorHAnsi" w:hAnsiTheme="majorHAnsi"/>
          <w:sz w:val="20"/>
          <w:szCs w:val="20"/>
          <w:lang w:val="es-MX"/>
        </w:rPr>
        <w:t xml:space="preserve"> hecho expuestas</w:t>
      </w:r>
      <w:r w:rsidR="009F0E49" w:rsidRPr="006D531F">
        <w:rPr>
          <w:rFonts w:asciiTheme="majorHAnsi" w:hAnsiTheme="majorHAnsi"/>
          <w:sz w:val="20"/>
          <w:szCs w:val="20"/>
          <w:lang w:val="es-MX"/>
        </w:rPr>
        <w:t xml:space="preserve"> y los criterios </w:t>
      </w:r>
      <w:r w:rsidR="004C7510" w:rsidRPr="006D531F">
        <w:rPr>
          <w:rFonts w:asciiTheme="majorHAnsi" w:hAnsiTheme="majorHAnsi"/>
          <w:sz w:val="20"/>
          <w:szCs w:val="20"/>
          <w:lang w:val="es-MX"/>
        </w:rPr>
        <w:t xml:space="preserve">jurídicos </w:t>
      </w:r>
      <w:r w:rsidR="009F0E49" w:rsidRPr="006D531F">
        <w:rPr>
          <w:rFonts w:asciiTheme="majorHAnsi" w:hAnsiTheme="majorHAnsi"/>
          <w:sz w:val="20"/>
          <w:szCs w:val="20"/>
          <w:lang w:val="es-MX"/>
        </w:rPr>
        <w:t xml:space="preserve">establecidos </w:t>
      </w:r>
      <w:r w:rsidR="009F0E49" w:rsidRPr="006D531F">
        <w:rPr>
          <w:rFonts w:asciiTheme="majorHAnsi" w:hAnsiTheme="majorHAnsi"/>
          <w:i/>
          <w:iCs/>
          <w:sz w:val="20"/>
          <w:szCs w:val="20"/>
          <w:lang w:val="es-MX"/>
        </w:rPr>
        <w:t>ut supra</w:t>
      </w:r>
      <w:r w:rsidR="009F0E49" w:rsidRPr="006D531F">
        <w:rPr>
          <w:rFonts w:asciiTheme="majorHAnsi" w:hAnsiTheme="majorHAnsi"/>
          <w:sz w:val="20"/>
          <w:szCs w:val="20"/>
          <w:lang w:val="es-MX"/>
        </w:rPr>
        <w:t>.</w:t>
      </w:r>
    </w:p>
    <w:p w14:paraId="01B5C1E0" w14:textId="77777777" w:rsidR="00445B16" w:rsidRPr="006D531F" w:rsidRDefault="00445B16" w:rsidP="00445B1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MX"/>
        </w:rPr>
      </w:pPr>
    </w:p>
    <w:p w14:paraId="34DB5856" w14:textId="77777777" w:rsidR="00445B16" w:rsidRPr="006D531F" w:rsidRDefault="00445B16" w:rsidP="00EA00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MX"/>
        </w:rPr>
      </w:pPr>
      <w:r w:rsidRPr="006D531F">
        <w:rPr>
          <w:rFonts w:asciiTheme="majorHAnsi" w:hAnsiTheme="majorHAnsi"/>
          <w:sz w:val="20"/>
          <w:szCs w:val="20"/>
          <w:lang w:val="es-MX"/>
        </w:rPr>
        <w:t xml:space="preserve">En primer lugar, es preciso reiterar que la Comisión estableció en párrafos precedentes que </w:t>
      </w:r>
      <w:r w:rsidRPr="006D531F">
        <w:rPr>
          <w:rFonts w:asciiTheme="majorHAnsi" w:hAnsiTheme="majorHAnsi"/>
          <w:sz w:val="20"/>
          <w:szCs w:val="20"/>
          <w:lang w:val="es-PE"/>
        </w:rPr>
        <w:t xml:space="preserve">el derecho a fundar medios de radiodifusión comunitaria, y que el goce y ejercicio del derecho a la libertad de expresión a través de estos </w:t>
      </w:r>
      <w:r w:rsidR="00B157DE" w:rsidRPr="006D531F">
        <w:rPr>
          <w:rFonts w:asciiTheme="majorHAnsi" w:hAnsiTheme="majorHAnsi"/>
          <w:sz w:val="20"/>
          <w:szCs w:val="20"/>
          <w:lang w:val="es-PE"/>
        </w:rPr>
        <w:t xml:space="preserve">mediante </w:t>
      </w:r>
      <w:r w:rsidR="00E178C8" w:rsidRPr="006D531F">
        <w:rPr>
          <w:rFonts w:asciiTheme="majorHAnsi" w:hAnsiTheme="majorHAnsi"/>
          <w:sz w:val="20"/>
          <w:szCs w:val="20"/>
          <w:lang w:val="es-PE"/>
        </w:rPr>
        <w:t xml:space="preserve">el acceso a una frecuencia de radio </w:t>
      </w:r>
      <w:r w:rsidRPr="006D531F">
        <w:rPr>
          <w:rFonts w:asciiTheme="majorHAnsi" w:hAnsiTheme="majorHAnsi"/>
          <w:sz w:val="20"/>
          <w:szCs w:val="20"/>
          <w:lang w:val="es-PE"/>
        </w:rPr>
        <w:t>por parte de pueblos indígenas, se encuentra protegido por el artículo 13.</w:t>
      </w:r>
      <w:r w:rsidR="00E818F1">
        <w:rPr>
          <w:rFonts w:asciiTheme="majorHAnsi" w:hAnsiTheme="majorHAnsi"/>
          <w:sz w:val="20"/>
          <w:szCs w:val="20"/>
          <w:lang w:val="es-PE"/>
        </w:rPr>
        <w:t xml:space="preserve"> </w:t>
      </w:r>
      <w:r w:rsidR="00E818F1" w:rsidRPr="00E818F1">
        <w:rPr>
          <w:rFonts w:asciiTheme="majorHAnsi" w:hAnsiTheme="majorHAnsi"/>
          <w:sz w:val="20"/>
          <w:szCs w:val="20"/>
          <w:lang w:val="es-ES_tradnl"/>
        </w:rPr>
        <w:t>los medios de comunicación son asociaciones de personas que de manera sostenida ejercen la libertad de expresión. Es indispensable reconocer que para que prosperen los medios de comunicación es necesario tener una estructura organizativa y financiera adecuada a la demanda de información.</w:t>
      </w:r>
      <w:r w:rsidR="00591999">
        <w:rPr>
          <w:rFonts w:asciiTheme="majorHAnsi" w:hAnsiTheme="majorHAnsi"/>
          <w:sz w:val="20"/>
          <w:szCs w:val="20"/>
          <w:lang w:val="es-ES_tradnl"/>
        </w:rPr>
        <w:t xml:space="preserve"> Como lo ha reafirmado la Corte en diversas decisiones, "l</w:t>
      </w:r>
      <w:r w:rsidR="00E818F1" w:rsidRPr="00E818F1">
        <w:rPr>
          <w:rFonts w:asciiTheme="majorHAnsi" w:hAnsiTheme="majorHAnsi"/>
          <w:sz w:val="20"/>
          <w:szCs w:val="20"/>
          <w:lang w:val="es-ES_tradnl"/>
        </w:rPr>
        <w:t>os medios son mecanismos que sirven al ejercicio del derecho a la libertad de expresión de quienes los utilizan para difundir sus ideas e informaciones</w:t>
      </w:r>
      <w:r w:rsidR="00E818F1">
        <w:rPr>
          <w:rFonts w:asciiTheme="majorHAnsi" w:hAnsiTheme="majorHAnsi"/>
          <w:sz w:val="20"/>
          <w:szCs w:val="20"/>
          <w:lang w:val="es-ES_tradnl"/>
        </w:rPr>
        <w:t>".</w:t>
      </w:r>
      <w:r w:rsidR="00034D21">
        <w:rPr>
          <w:rStyle w:val="FootnoteReference"/>
          <w:rFonts w:asciiTheme="majorHAnsi" w:hAnsiTheme="majorHAnsi"/>
          <w:sz w:val="20"/>
          <w:szCs w:val="20"/>
          <w:lang w:val="es-ES_tradnl"/>
        </w:rPr>
        <w:footnoteReference w:id="139"/>
      </w:r>
    </w:p>
    <w:p w14:paraId="5DD8AA4B" w14:textId="77777777" w:rsidR="00BD3548" w:rsidRPr="006D531F" w:rsidRDefault="00BD3548" w:rsidP="00EA00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MX"/>
        </w:rPr>
      </w:pPr>
    </w:p>
    <w:p w14:paraId="5C09E1ED" w14:textId="77777777" w:rsidR="009E6866" w:rsidRDefault="004B5157" w:rsidP="0087036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PE"/>
        </w:rPr>
      </w:pPr>
      <w:r w:rsidRPr="006D531F">
        <w:rPr>
          <w:rFonts w:asciiTheme="majorHAnsi" w:hAnsiTheme="majorHAnsi"/>
          <w:sz w:val="20"/>
          <w:szCs w:val="20"/>
          <w:lang w:val="es-MX"/>
        </w:rPr>
        <w:t xml:space="preserve">Dicho esto, </w:t>
      </w:r>
      <w:r w:rsidR="00390A36" w:rsidRPr="006D531F">
        <w:rPr>
          <w:rFonts w:asciiTheme="majorHAnsi" w:hAnsiTheme="majorHAnsi"/>
          <w:sz w:val="20"/>
          <w:szCs w:val="20"/>
          <w:lang w:val="es-MX"/>
        </w:rPr>
        <w:t>la Comisión observa que l</w:t>
      </w:r>
      <w:r w:rsidR="00F107B4" w:rsidRPr="006D531F">
        <w:rPr>
          <w:rFonts w:asciiTheme="majorHAnsi" w:hAnsiTheme="majorHAnsi"/>
          <w:sz w:val="20"/>
          <w:szCs w:val="20"/>
          <w:lang w:val="es-MX"/>
        </w:rPr>
        <w:t xml:space="preserve">a Ley General de Telecomunicaciones en Guatemala </w:t>
      </w:r>
      <w:r w:rsidR="00ED4AD7" w:rsidRPr="006D531F">
        <w:rPr>
          <w:rFonts w:asciiTheme="majorHAnsi" w:hAnsiTheme="majorHAnsi"/>
          <w:sz w:val="20"/>
          <w:szCs w:val="20"/>
          <w:lang w:val="es-MX"/>
        </w:rPr>
        <w:t xml:space="preserve">establece en su artículo 61 que </w:t>
      </w:r>
      <w:r w:rsidR="00D50EEB" w:rsidRPr="006D531F">
        <w:rPr>
          <w:rFonts w:asciiTheme="majorHAnsi" w:hAnsiTheme="majorHAnsi"/>
          <w:sz w:val="20"/>
          <w:szCs w:val="20"/>
          <w:lang w:val="es-MX"/>
        </w:rPr>
        <w:t>“</w:t>
      </w:r>
      <w:r w:rsidR="00C719E0" w:rsidRPr="006D531F">
        <w:rPr>
          <w:rFonts w:asciiTheme="majorHAnsi" w:hAnsiTheme="majorHAnsi"/>
          <w:sz w:val="20"/>
          <w:szCs w:val="20"/>
          <w:lang w:val="es-ES_tradnl"/>
        </w:rPr>
        <w:t>cualquier persona interesada, individual o jurídica, puede solicitar la adjudicación de títulos de usufructo de frecuencias</w:t>
      </w:r>
      <w:r w:rsidR="00D50EEB" w:rsidRPr="006D531F">
        <w:rPr>
          <w:rFonts w:asciiTheme="majorHAnsi" w:hAnsiTheme="majorHAnsi"/>
          <w:sz w:val="20"/>
          <w:szCs w:val="20"/>
          <w:lang w:val="es-ES_tradnl"/>
        </w:rPr>
        <w:t>”.</w:t>
      </w:r>
      <w:r w:rsidR="002A0F6F" w:rsidRPr="006D531F">
        <w:rPr>
          <w:rFonts w:asciiTheme="majorHAnsi" w:hAnsiTheme="majorHAnsi"/>
          <w:sz w:val="20"/>
          <w:szCs w:val="20"/>
          <w:lang w:val="es-ES_tradnl"/>
        </w:rPr>
        <w:t xml:space="preserve"> L</w:t>
      </w:r>
      <w:r w:rsidR="00D50EEB" w:rsidRPr="006D531F">
        <w:rPr>
          <w:rFonts w:asciiTheme="majorHAnsi" w:hAnsiTheme="majorHAnsi"/>
          <w:sz w:val="20"/>
          <w:szCs w:val="20"/>
          <w:lang w:val="es-ES_tradnl"/>
        </w:rPr>
        <w:t>a redacción de la norma</w:t>
      </w:r>
      <w:r w:rsidR="00225B95" w:rsidRPr="006D531F">
        <w:rPr>
          <w:rFonts w:asciiTheme="majorHAnsi" w:hAnsiTheme="majorHAnsi"/>
          <w:sz w:val="20"/>
          <w:szCs w:val="20"/>
          <w:lang w:val="es-ES_tradnl"/>
        </w:rPr>
        <w:t xml:space="preserve"> es a primera vista neutral, ya que </w:t>
      </w:r>
      <w:r w:rsidR="00EB24B7">
        <w:rPr>
          <w:rFonts w:asciiTheme="majorHAnsi" w:hAnsiTheme="majorHAnsi"/>
          <w:sz w:val="20"/>
          <w:szCs w:val="20"/>
          <w:lang w:val="es-ES_tradnl"/>
        </w:rPr>
        <w:t>no impediría</w:t>
      </w:r>
      <w:r w:rsidR="00225B95" w:rsidRPr="006D531F">
        <w:rPr>
          <w:rFonts w:asciiTheme="majorHAnsi" w:hAnsiTheme="majorHAnsi"/>
          <w:sz w:val="20"/>
          <w:szCs w:val="20"/>
          <w:lang w:val="es-ES_tradnl"/>
        </w:rPr>
        <w:t xml:space="preserve"> la posibilidad de que los pueblos indígenas puedan acceder a frecuencias </w:t>
      </w:r>
      <w:r w:rsidR="00777EE7" w:rsidRPr="006D531F">
        <w:rPr>
          <w:rFonts w:asciiTheme="majorHAnsi" w:hAnsiTheme="majorHAnsi"/>
          <w:sz w:val="20"/>
          <w:szCs w:val="20"/>
          <w:lang w:val="es-ES_tradnl"/>
        </w:rPr>
        <w:t xml:space="preserve">radioeléctricas. </w:t>
      </w:r>
      <w:r w:rsidR="0015669E" w:rsidRPr="006D531F">
        <w:rPr>
          <w:rFonts w:asciiTheme="majorHAnsi" w:hAnsiTheme="majorHAnsi"/>
          <w:sz w:val="20"/>
          <w:szCs w:val="20"/>
          <w:lang w:val="es-MX"/>
        </w:rPr>
        <w:t xml:space="preserve">Sin embargo, </w:t>
      </w:r>
      <w:r w:rsidR="00BC4B9D" w:rsidRPr="006D531F">
        <w:rPr>
          <w:rFonts w:asciiTheme="majorHAnsi" w:hAnsiTheme="majorHAnsi"/>
          <w:sz w:val="20"/>
          <w:szCs w:val="20"/>
          <w:lang w:val="es-MX"/>
        </w:rPr>
        <w:t>e</w:t>
      </w:r>
      <w:r w:rsidR="00BC4B9D" w:rsidRPr="006D531F">
        <w:rPr>
          <w:rFonts w:asciiTheme="majorHAnsi" w:hAnsiTheme="majorHAnsi"/>
          <w:sz w:val="20"/>
          <w:szCs w:val="20"/>
          <w:lang w:val="es-PE"/>
        </w:rPr>
        <w:t xml:space="preserve">l artículo 62 de la </w:t>
      </w:r>
      <w:r w:rsidR="004A02B8" w:rsidRPr="006D531F">
        <w:rPr>
          <w:rFonts w:asciiTheme="majorHAnsi" w:hAnsiTheme="majorHAnsi"/>
          <w:sz w:val="20"/>
          <w:szCs w:val="20"/>
          <w:lang w:val="es-PE"/>
        </w:rPr>
        <w:t>l</w:t>
      </w:r>
      <w:r w:rsidR="00BC4B9D" w:rsidRPr="006D531F">
        <w:rPr>
          <w:rFonts w:asciiTheme="majorHAnsi" w:hAnsiTheme="majorHAnsi"/>
          <w:sz w:val="20"/>
          <w:szCs w:val="20"/>
          <w:lang w:val="es-PE"/>
        </w:rPr>
        <w:t>ey establece como</w:t>
      </w:r>
      <w:r w:rsidR="007332CC" w:rsidRPr="006D531F">
        <w:rPr>
          <w:rFonts w:asciiTheme="majorHAnsi" w:hAnsiTheme="majorHAnsi"/>
          <w:sz w:val="20"/>
          <w:szCs w:val="20"/>
          <w:lang w:val="es-PE"/>
        </w:rPr>
        <w:t xml:space="preserve"> único</w:t>
      </w:r>
      <w:r w:rsidR="00BC4B9D" w:rsidRPr="006D531F">
        <w:rPr>
          <w:rFonts w:asciiTheme="majorHAnsi" w:hAnsiTheme="majorHAnsi"/>
          <w:sz w:val="20"/>
          <w:szCs w:val="20"/>
          <w:lang w:val="es-PE"/>
        </w:rPr>
        <w:t xml:space="preserve"> criterio de adjudicación de frecuencias </w:t>
      </w:r>
      <w:r w:rsidR="002F1D4B" w:rsidRPr="006D531F">
        <w:rPr>
          <w:rFonts w:asciiTheme="majorHAnsi" w:hAnsiTheme="majorHAnsi"/>
          <w:sz w:val="20"/>
          <w:szCs w:val="20"/>
          <w:lang w:val="es-PE"/>
        </w:rPr>
        <w:t xml:space="preserve">la </w:t>
      </w:r>
      <w:r w:rsidR="007E2DF4" w:rsidRPr="006D531F">
        <w:rPr>
          <w:rFonts w:asciiTheme="majorHAnsi" w:hAnsiTheme="majorHAnsi"/>
          <w:sz w:val="20"/>
          <w:szCs w:val="20"/>
          <w:lang w:val="es-PE"/>
        </w:rPr>
        <w:t xml:space="preserve">mayor </w:t>
      </w:r>
      <w:r w:rsidR="002F1D4B" w:rsidRPr="006D531F">
        <w:rPr>
          <w:rFonts w:asciiTheme="majorHAnsi" w:hAnsiTheme="majorHAnsi"/>
          <w:sz w:val="20"/>
          <w:szCs w:val="20"/>
          <w:lang w:val="es-PE"/>
        </w:rPr>
        <w:t xml:space="preserve">oferta </w:t>
      </w:r>
      <w:r w:rsidR="007E2DF4" w:rsidRPr="006D531F">
        <w:rPr>
          <w:rFonts w:asciiTheme="majorHAnsi" w:hAnsiTheme="majorHAnsi"/>
          <w:sz w:val="20"/>
          <w:szCs w:val="20"/>
          <w:lang w:val="es-PE"/>
        </w:rPr>
        <w:t>económica</w:t>
      </w:r>
      <w:r w:rsidR="00CE2FCC" w:rsidRPr="006D531F">
        <w:rPr>
          <w:rFonts w:asciiTheme="majorHAnsi" w:hAnsiTheme="majorHAnsi"/>
          <w:sz w:val="20"/>
          <w:szCs w:val="20"/>
          <w:lang w:val="es-PE"/>
        </w:rPr>
        <w:t xml:space="preserve">. La Comisión observa </w:t>
      </w:r>
      <w:r w:rsidR="00915021" w:rsidRPr="006D531F">
        <w:rPr>
          <w:rFonts w:asciiTheme="majorHAnsi" w:hAnsiTheme="majorHAnsi"/>
          <w:sz w:val="20"/>
          <w:szCs w:val="20"/>
          <w:lang w:val="es-PE"/>
        </w:rPr>
        <w:t>que</w:t>
      </w:r>
      <w:r w:rsidR="00AD2888" w:rsidRPr="006D531F">
        <w:rPr>
          <w:rFonts w:asciiTheme="majorHAnsi" w:hAnsiTheme="majorHAnsi"/>
          <w:sz w:val="20"/>
          <w:szCs w:val="20"/>
          <w:lang w:val="es-PE"/>
        </w:rPr>
        <w:t xml:space="preserve"> </w:t>
      </w:r>
      <w:r w:rsidR="00C26729" w:rsidRPr="006D531F">
        <w:rPr>
          <w:rFonts w:asciiTheme="majorHAnsi" w:hAnsiTheme="majorHAnsi"/>
          <w:sz w:val="20"/>
          <w:szCs w:val="20"/>
          <w:lang w:val="es-PE"/>
        </w:rPr>
        <w:t xml:space="preserve">la normativa interna adopta </w:t>
      </w:r>
      <w:r w:rsidR="002F1D4B" w:rsidRPr="006D531F">
        <w:rPr>
          <w:rFonts w:asciiTheme="majorHAnsi" w:hAnsiTheme="majorHAnsi"/>
          <w:sz w:val="20"/>
          <w:szCs w:val="20"/>
          <w:lang w:val="es-PE"/>
        </w:rPr>
        <w:t xml:space="preserve">el criterio económico </w:t>
      </w:r>
      <w:r w:rsidR="00BE5286" w:rsidRPr="006D531F">
        <w:rPr>
          <w:rFonts w:asciiTheme="majorHAnsi" w:hAnsiTheme="majorHAnsi"/>
          <w:sz w:val="20"/>
          <w:szCs w:val="20"/>
          <w:lang w:val="es-PE"/>
        </w:rPr>
        <w:t xml:space="preserve">como el </w:t>
      </w:r>
      <w:r w:rsidR="002F1D4B" w:rsidRPr="006D531F">
        <w:rPr>
          <w:rFonts w:asciiTheme="majorHAnsi" w:hAnsiTheme="majorHAnsi"/>
          <w:sz w:val="20"/>
          <w:szCs w:val="20"/>
          <w:lang w:val="es-PE"/>
        </w:rPr>
        <w:t>factor excluyente o principal para adjudicar todas las frecuencias de radio o televisión</w:t>
      </w:r>
      <w:r w:rsidR="00756E60" w:rsidRPr="006D531F">
        <w:rPr>
          <w:rFonts w:asciiTheme="majorHAnsi" w:hAnsiTheme="majorHAnsi"/>
          <w:sz w:val="20"/>
          <w:szCs w:val="20"/>
          <w:lang w:val="es-PE"/>
        </w:rPr>
        <w:t>.</w:t>
      </w:r>
      <w:r w:rsidR="006527DF" w:rsidRPr="006D531F">
        <w:rPr>
          <w:rFonts w:asciiTheme="majorHAnsi" w:hAnsiTheme="majorHAnsi"/>
          <w:sz w:val="20"/>
          <w:szCs w:val="20"/>
          <w:lang w:val="es-PE"/>
        </w:rPr>
        <w:t xml:space="preserve"> </w:t>
      </w:r>
    </w:p>
    <w:p w14:paraId="022D2368" w14:textId="77777777" w:rsidR="009E6866" w:rsidRDefault="009E6866" w:rsidP="009E686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PE"/>
        </w:rPr>
      </w:pPr>
    </w:p>
    <w:p w14:paraId="18B40C40" w14:textId="77777777" w:rsidR="0045761A" w:rsidRPr="006D531F" w:rsidRDefault="00DA140D" w:rsidP="0087036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PE"/>
        </w:rPr>
      </w:pPr>
      <w:r w:rsidRPr="006D531F">
        <w:rPr>
          <w:rFonts w:asciiTheme="majorHAnsi" w:hAnsiTheme="majorHAnsi"/>
          <w:sz w:val="20"/>
          <w:szCs w:val="20"/>
          <w:lang w:val="es-PE"/>
        </w:rPr>
        <w:t xml:space="preserve">Ahora bien, </w:t>
      </w:r>
      <w:r w:rsidR="006527DF" w:rsidRPr="006D531F">
        <w:rPr>
          <w:rFonts w:asciiTheme="majorHAnsi" w:hAnsiTheme="majorHAnsi"/>
          <w:sz w:val="20"/>
          <w:szCs w:val="20"/>
          <w:lang w:val="es-PE"/>
        </w:rPr>
        <w:t xml:space="preserve">ello también </w:t>
      </w:r>
      <w:r w:rsidRPr="006D531F">
        <w:rPr>
          <w:rFonts w:asciiTheme="majorHAnsi" w:hAnsiTheme="majorHAnsi"/>
          <w:sz w:val="20"/>
          <w:szCs w:val="20"/>
          <w:lang w:val="es-PE"/>
        </w:rPr>
        <w:t>puede ser considerado</w:t>
      </w:r>
      <w:r w:rsidR="00AE076F" w:rsidRPr="006D531F">
        <w:rPr>
          <w:rFonts w:asciiTheme="majorHAnsi" w:hAnsiTheme="majorHAnsi"/>
          <w:sz w:val="20"/>
          <w:szCs w:val="20"/>
          <w:lang w:val="es-PE"/>
        </w:rPr>
        <w:t xml:space="preserve"> </w:t>
      </w:r>
      <w:r w:rsidR="00654017" w:rsidRPr="006D531F">
        <w:rPr>
          <w:rFonts w:asciiTheme="majorHAnsi" w:hAnsiTheme="majorHAnsi"/>
          <w:sz w:val="20"/>
          <w:szCs w:val="20"/>
          <w:lang w:val="es-PE"/>
        </w:rPr>
        <w:t xml:space="preserve">a primera vista, como </w:t>
      </w:r>
      <w:r w:rsidR="00AE076F" w:rsidRPr="006D531F">
        <w:rPr>
          <w:rFonts w:asciiTheme="majorHAnsi" w:hAnsiTheme="majorHAnsi"/>
          <w:sz w:val="20"/>
          <w:szCs w:val="20"/>
          <w:lang w:val="es-PE"/>
        </w:rPr>
        <w:t xml:space="preserve">un criterio </w:t>
      </w:r>
      <w:r w:rsidRPr="006D531F">
        <w:rPr>
          <w:rFonts w:asciiTheme="majorHAnsi" w:hAnsiTheme="majorHAnsi"/>
          <w:sz w:val="20"/>
          <w:szCs w:val="20"/>
          <w:lang w:val="es-PE"/>
        </w:rPr>
        <w:t>objetivo</w:t>
      </w:r>
      <w:r w:rsidR="00861335" w:rsidRPr="006D531F">
        <w:rPr>
          <w:rFonts w:asciiTheme="majorHAnsi" w:hAnsiTheme="majorHAnsi"/>
          <w:sz w:val="20"/>
          <w:szCs w:val="20"/>
          <w:lang w:val="es-PE"/>
        </w:rPr>
        <w:t xml:space="preserve"> </w:t>
      </w:r>
      <w:r w:rsidR="00654017" w:rsidRPr="006D531F">
        <w:rPr>
          <w:rFonts w:asciiTheme="majorHAnsi" w:hAnsiTheme="majorHAnsi"/>
          <w:sz w:val="20"/>
          <w:szCs w:val="20"/>
          <w:lang w:val="es-PE"/>
        </w:rPr>
        <w:t>y neutral</w:t>
      </w:r>
      <w:r w:rsidRPr="006D531F">
        <w:rPr>
          <w:rFonts w:asciiTheme="majorHAnsi" w:hAnsiTheme="majorHAnsi"/>
          <w:sz w:val="20"/>
          <w:szCs w:val="20"/>
          <w:lang w:val="es-PE"/>
        </w:rPr>
        <w:t>,</w:t>
      </w:r>
      <w:r w:rsidR="00707026" w:rsidRPr="006D531F">
        <w:rPr>
          <w:rFonts w:asciiTheme="majorHAnsi" w:hAnsiTheme="majorHAnsi"/>
          <w:sz w:val="20"/>
          <w:szCs w:val="20"/>
          <w:lang w:val="es-PE"/>
        </w:rPr>
        <w:t xml:space="preserve"> sin embargo</w:t>
      </w:r>
      <w:r w:rsidR="001A6A80" w:rsidRPr="006D531F">
        <w:rPr>
          <w:rFonts w:asciiTheme="majorHAnsi" w:hAnsiTheme="majorHAnsi"/>
          <w:sz w:val="20"/>
          <w:szCs w:val="20"/>
          <w:lang w:val="es-PE"/>
        </w:rPr>
        <w:t>, el mismo es aplicado</w:t>
      </w:r>
      <w:r w:rsidRPr="006D531F">
        <w:rPr>
          <w:rFonts w:asciiTheme="majorHAnsi" w:hAnsiTheme="majorHAnsi"/>
          <w:sz w:val="20"/>
          <w:szCs w:val="20"/>
          <w:lang w:val="es-PE"/>
        </w:rPr>
        <w:t xml:space="preserve"> para asignar todas las frecuencias</w:t>
      </w:r>
      <w:r w:rsidR="00777B2E" w:rsidRPr="006D531F">
        <w:rPr>
          <w:rFonts w:asciiTheme="majorHAnsi" w:hAnsiTheme="majorHAnsi"/>
          <w:sz w:val="20"/>
          <w:szCs w:val="20"/>
          <w:lang w:val="es-PE"/>
        </w:rPr>
        <w:t xml:space="preserve"> en Guatemala</w:t>
      </w:r>
      <w:r w:rsidRPr="006D531F">
        <w:rPr>
          <w:rFonts w:asciiTheme="majorHAnsi" w:hAnsiTheme="majorHAnsi"/>
          <w:sz w:val="20"/>
          <w:szCs w:val="20"/>
          <w:lang w:val="es-PE"/>
        </w:rPr>
        <w:t>,</w:t>
      </w:r>
      <w:r w:rsidR="00777B2E" w:rsidRPr="006D531F">
        <w:rPr>
          <w:rFonts w:asciiTheme="majorHAnsi" w:hAnsiTheme="majorHAnsi"/>
          <w:sz w:val="20"/>
          <w:szCs w:val="20"/>
          <w:lang w:val="es-PE"/>
        </w:rPr>
        <w:t xml:space="preserve"> sin tomar en cuenta </w:t>
      </w:r>
      <w:r w:rsidR="00FB6112" w:rsidRPr="006D531F">
        <w:rPr>
          <w:rFonts w:asciiTheme="majorHAnsi" w:hAnsiTheme="majorHAnsi"/>
          <w:sz w:val="20"/>
          <w:szCs w:val="20"/>
          <w:lang w:val="es-PE"/>
        </w:rPr>
        <w:t>las condiciones en las que se encuentran</w:t>
      </w:r>
      <w:r w:rsidR="00DE2BE0" w:rsidRPr="006D531F">
        <w:rPr>
          <w:rFonts w:asciiTheme="majorHAnsi" w:hAnsiTheme="majorHAnsi"/>
          <w:sz w:val="20"/>
          <w:szCs w:val="20"/>
          <w:lang w:val="es-PE"/>
        </w:rPr>
        <w:t xml:space="preserve"> los pueblos indígenas</w:t>
      </w:r>
      <w:r w:rsidR="009E6866">
        <w:rPr>
          <w:rFonts w:asciiTheme="majorHAnsi" w:hAnsiTheme="majorHAnsi"/>
          <w:sz w:val="20"/>
          <w:szCs w:val="20"/>
          <w:lang w:val="es-PE"/>
        </w:rPr>
        <w:t>, como lo dem</w:t>
      </w:r>
      <w:r w:rsidR="000D11B6">
        <w:rPr>
          <w:rFonts w:asciiTheme="majorHAnsi" w:hAnsiTheme="majorHAnsi"/>
          <w:sz w:val="20"/>
          <w:szCs w:val="20"/>
          <w:lang w:val="es-PE"/>
        </w:rPr>
        <w:t>uestra la situación de las cuatro</w:t>
      </w:r>
      <w:r w:rsidR="009E6866">
        <w:rPr>
          <w:rFonts w:asciiTheme="majorHAnsi" w:hAnsiTheme="majorHAnsi"/>
          <w:sz w:val="20"/>
          <w:szCs w:val="20"/>
          <w:lang w:val="es-PE"/>
        </w:rPr>
        <w:t xml:space="preserve"> emisoras de radio peticionarias que han ejercido la libertad de expresión a través del uso de frecuencias sin autorización, razón por la cual algunas de ellas han sido perseguidas penalmente</w:t>
      </w:r>
      <w:r w:rsidR="006A614A">
        <w:rPr>
          <w:rFonts w:asciiTheme="majorHAnsi" w:hAnsiTheme="majorHAnsi"/>
          <w:sz w:val="20"/>
          <w:szCs w:val="20"/>
          <w:lang w:val="es-PE"/>
        </w:rPr>
        <w:t xml:space="preserve"> como surge de la documentación aportada</w:t>
      </w:r>
      <w:r w:rsidR="00B54946" w:rsidRPr="006D531F">
        <w:rPr>
          <w:rFonts w:asciiTheme="majorHAnsi" w:hAnsiTheme="majorHAnsi"/>
          <w:sz w:val="20"/>
          <w:szCs w:val="20"/>
          <w:lang w:val="es-PE"/>
        </w:rPr>
        <w:t xml:space="preserve">. </w:t>
      </w:r>
    </w:p>
    <w:p w14:paraId="4E46A0F5" w14:textId="77777777" w:rsidR="001A311E" w:rsidRPr="006D531F" w:rsidRDefault="001A311E" w:rsidP="001A311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PE"/>
        </w:rPr>
      </w:pPr>
    </w:p>
    <w:p w14:paraId="0699C035" w14:textId="77777777" w:rsidR="004B5F68" w:rsidRPr="006D531F" w:rsidRDefault="001739E5" w:rsidP="004B5F6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PE"/>
        </w:rPr>
      </w:pPr>
      <w:r w:rsidRPr="006D531F">
        <w:rPr>
          <w:rFonts w:asciiTheme="majorHAnsi" w:hAnsiTheme="majorHAnsi"/>
          <w:sz w:val="20"/>
          <w:szCs w:val="20"/>
          <w:lang w:val="es-MX"/>
        </w:rPr>
        <w:t>En</w:t>
      </w:r>
      <w:r w:rsidRPr="006D531F">
        <w:rPr>
          <w:rFonts w:asciiTheme="majorHAnsi" w:hAnsiTheme="majorHAnsi"/>
          <w:sz w:val="20"/>
          <w:szCs w:val="20"/>
          <w:lang w:val="es-PE"/>
        </w:rPr>
        <w:t xml:space="preserve"> efecto, l</w:t>
      </w:r>
      <w:r w:rsidRPr="006D531F">
        <w:rPr>
          <w:rFonts w:asciiTheme="majorHAnsi" w:hAnsiTheme="majorHAnsi"/>
          <w:sz w:val="20"/>
          <w:szCs w:val="20"/>
          <w:lang w:val="es-MX"/>
        </w:rPr>
        <w:t>a Comisión ha establecido en el presente informe que los pueblos indígenas en Guatemala se encuentran en una situación estructural de exclusión social</w:t>
      </w:r>
      <w:r w:rsidR="003D3E5E" w:rsidRPr="006D531F">
        <w:rPr>
          <w:rFonts w:asciiTheme="majorHAnsi" w:hAnsiTheme="majorHAnsi"/>
          <w:sz w:val="20"/>
          <w:szCs w:val="20"/>
          <w:lang w:val="es-MX"/>
        </w:rPr>
        <w:t xml:space="preserve">, </w:t>
      </w:r>
      <w:r w:rsidRPr="006D531F">
        <w:rPr>
          <w:rFonts w:asciiTheme="majorHAnsi" w:hAnsiTheme="majorHAnsi"/>
          <w:sz w:val="20"/>
          <w:szCs w:val="20"/>
          <w:lang w:val="es-MX"/>
        </w:rPr>
        <w:t>de discriminación</w:t>
      </w:r>
      <w:r w:rsidR="003D3E5E" w:rsidRPr="006D531F">
        <w:rPr>
          <w:rFonts w:asciiTheme="majorHAnsi" w:hAnsiTheme="majorHAnsi"/>
          <w:sz w:val="20"/>
          <w:szCs w:val="20"/>
          <w:lang w:val="es-MX"/>
        </w:rPr>
        <w:t xml:space="preserve"> y pobreza</w:t>
      </w:r>
      <w:r w:rsidRPr="006D531F">
        <w:rPr>
          <w:rFonts w:asciiTheme="majorHAnsi" w:hAnsiTheme="majorHAnsi"/>
          <w:sz w:val="20"/>
          <w:szCs w:val="20"/>
          <w:lang w:val="es-MX"/>
        </w:rPr>
        <w:t>, lo cual se manifiesta en diversas esferas, siendo una de ellas su participación y representación en los medios de comunicación.</w:t>
      </w:r>
      <w:r w:rsidRPr="006D531F">
        <w:rPr>
          <w:rFonts w:asciiTheme="majorHAnsi" w:hAnsiTheme="majorHAnsi"/>
          <w:sz w:val="20"/>
          <w:szCs w:val="20"/>
          <w:lang w:val="es-ES_tradnl"/>
        </w:rPr>
        <w:t xml:space="preserve"> </w:t>
      </w:r>
      <w:r w:rsidR="00D77B00" w:rsidRPr="006D531F">
        <w:rPr>
          <w:rFonts w:asciiTheme="majorHAnsi" w:hAnsiTheme="majorHAnsi"/>
          <w:sz w:val="20"/>
          <w:szCs w:val="20"/>
          <w:lang w:val="es-ES_tradnl"/>
        </w:rPr>
        <w:t>En el marco de dicha situación estructural</w:t>
      </w:r>
      <w:r w:rsidR="00FF227E" w:rsidRPr="006D531F">
        <w:rPr>
          <w:rFonts w:asciiTheme="majorHAnsi" w:hAnsiTheme="majorHAnsi"/>
          <w:sz w:val="20"/>
          <w:szCs w:val="20"/>
          <w:lang w:val="es-ES_tradnl"/>
        </w:rPr>
        <w:t>, los</w:t>
      </w:r>
      <w:r w:rsidR="00310F6F" w:rsidRPr="006D531F">
        <w:rPr>
          <w:rFonts w:asciiTheme="majorHAnsi" w:hAnsiTheme="majorHAnsi"/>
          <w:sz w:val="20"/>
          <w:szCs w:val="20"/>
          <w:lang w:val="es-ES_tradnl"/>
        </w:rPr>
        <w:t xml:space="preserve"> pueblos </w:t>
      </w:r>
      <w:r w:rsidR="00310F6F" w:rsidRPr="006D531F">
        <w:rPr>
          <w:rFonts w:asciiTheme="majorHAnsi" w:hAnsiTheme="majorHAnsi"/>
          <w:sz w:val="20"/>
          <w:szCs w:val="20"/>
          <w:lang w:val="es-MX"/>
        </w:rPr>
        <w:t>indígenas Maya Kaqchikel</w:t>
      </w:r>
      <w:r w:rsidR="00172D75" w:rsidRPr="006D531F">
        <w:rPr>
          <w:rFonts w:asciiTheme="majorHAnsi" w:hAnsiTheme="majorHAnsi"/>
          <w:sz w:val="20"/>
          <w:szCs w:val="20"/>
          <w:lang w:val="es-MX"/>
        </w:rPr>
        <w:t xml:space="preserve">, </w:t>
      </w:r>
      <w:r w:rsidR="00310F6F" w:rsidRPr="006D531F">
        <w:rPr>
          <w:rFonts w:asciiTheme="majorHAnsi" w:hAnsiTheme="majorHAnsi"/>
          <w:sz w:val="20"/>
          <w:szCs w:val="20"/>
          <w:lang w:val="es-MX"/>
        </w:rPr>
        <w:t>Maya Achí de San Miguel Chicaj, Maya Mam de Cajolá</w:t>
      </w:r>
      <w:r w:rsidR="00223B78" w:rsidRPr="006D531F">
        <w:rPr>
          <w:rFonts w:asciiTheme="majorHAnsi" w:hAnsiTheme="majorHAnsi"/>
          <w:sz w:val="20"/>
          <w:szCs w:val="20"/>
          <w:lang w:val="es-MX"/>
        </w:rPr>
        <w:t xml:space="preserve"> </w:t>
      </w:r>
      <w:r w:rsidR="00310F6F" w:rsidRPr="006D531F">
        <w:rPr>
          <w:rFonts w:asciiTheme="majorHAnsi" w:hAnsiTheme="majorHAnsi"/>
          <w:sz w:val="20"/>
          <w:szCs w:val="20"/>
          <w:lang w:val="es-MX"/>
        </w:rPr>
        <w:t>y Maya de Todos Santos de Cuchumatá</w:t>
      </w:r>
      <w:r w:rsidR="00223B78" w:rsidRPr="006D531F">
        <w:rPr>
          <w:rFonts w:asciiTheme="majorHAnsi" w:hAnsiTheme="majorHAnsi"/>
          <w:sz w:val="20"/>
          <w:szCs w:val="20"/>
          <w:lang w:val="es-MX"/>
        </w:rPr>
        <w:t>n no</w:t>
      </w:r>
      <w:r w:rsidR="00A26197" w:rsidRPr="006D531F">
        <w:rPr>
          <w:rFonts w:asciiTheme="majorHAnsi" w:hAnsiTheme="majorHAnsi"/>
          <w:sz w:val="20"/>
          <w:szCs w:val="20"/>
          <w:lang w:val="es-MX"/>
        </w:rPr>
        <w:t xml:space="preserve"> son la excepción</w:t>
      </w:r>
      <w:r w:rsidR="00963FE7">
        <w:rPr>
          <w:rFonts w:asciiTheme="majorHAnsi" w:hAnsiTheme="majorHAnsi"/>
          <w:sz w:val="20"/>
          <w:szCs w:val="20"/>
          <w:lang w:val="es-MX"/>
        </w:rPr>
        <w:t>,</w:t>
      </w:r>
      <w:r w:rsidR="00A26197" w:rsidRPr="006D531F">
        <w:rPr>
          <w:rFonts w:asciiTheme="majorHAnsi" w:hAnsiTheme="majorHAnsi"/>
          <w:sz w:val="20"/>
          <w:szCs w:val="20"/>
          <w:lang w:val="es-MX"/>
        </w:rPr>
        <w:t xml:space="preserve"> </w:t>
      </w:r>
      <w:r w:rsidR="009B0AB7" w:rsidRPr="006D531F">
        <w:rPr>
          <w:rFonts w:asciiTheme="majorHAnsi" w:hAnsiTheme="majorHAnsi"/>
          <w:sz w:val="20"/>
          <w:szCs w:val="20"/>
          <w:lang w:val="es-MX"/>
        </w:rPr>
        <w:t>por lo que no cuentan</w:t>
      </w:r>
      <w:r w:rsidR="000C7612" w:rsidRPr="006D531F">
        <w:rPr>
          <w:rFonts w:asciiTheme="majorHAnsi" w:hAnsiTheme="majorHAnsi"/>
          <w:sz w:val="20"/>
          <w:szCs w:val="20"/>
          <w:lang w:val="es-MX"/>
        </w:rPr>
        <w:t xml:space="preserve"> con los recursos econ</w:t>
      </w:r>
      <w:r w:rsidR="00FF227E" w:rsidRPr="006D531F">
        <w:rPr>
          <w:rFonts w:asciiTheme="majorHAnsi" w:hAnsiTheme="majorHAnsi"/>
          <w:sz w:val="20"/>
          <w:szCs w:val="20"/>
          <w:lang w:val="es-MX"/>
        </w:rPr>
        <w:t>ó</w:t>
      </w:r>
      <w:r w:rsidR="000C7612" w:rsidRPr="006D531F">
        <w:rPr>
          <w:rFonts w:asciiTheme="majorHAnsi" w:hAnsiTheme="majorHAnsi"/>
          <w:sz w:val="20"/>
          <w:szCs w:val="20"/>
          <w:lang w:val="es-MX"/>
        </w:rPr>
        <w:t xml:space="preserve">micos ni se encuentran en igualdad de condiciones </w:t>
      </w:r>
      <w:r w:rsidR="006A1919" w:rsidRPr="006D531F">
        <w:rPr>
          <w:rFonts w:asciiTheme="majorHAnsi" w:hAnsiTheme="majorHAnsi"/>
          <w:sz w:val="20"/>
          <w:szCs w:val="20"/>
          <w:lang w:val="es-MX"/>
        </w:rPr>
        <w:t xml:space="preserve">para competir </w:t>
      </w:r>
      <w:r w:rsidR="0010006B" w:rsidRPr="006D531F">
        <w:rPr>
          <w:rFonts w:asciiTheme="majorHAnsi" w:hAnsiTheme="majorHAnsi"/>
          <w:sz w:val="20"/>
          <w:szCs w:val="20"/>
          <w:lang w:val="es-MX"/>
        </w:rPr>
        <w:t xml:space="preserve">por frecuencias de radio </w:t>
      </w:r>
      <w:r w:rsidR="000C7612" w:rsidRPr="006D531F">
        <w:rPr>
          <w:rFonts w:asciiTheme="majorHAnsi" w:hAnsiTheme="majorHAnsi"/>
          <w:sz w:val="20"/>
          <w:szCs w:val="20"/>
          <w:lang w:val="es-MX"/>
        </w:rPr>
        <w:t xml:space="preserve">con </w:t>
      </w:r>
      <w:r w:rsidR="009C38A6" w:rsidRPr="006D531F">
        <w:rPr>
          <w:rFonts w:asciiTheme="majorHAnsi" w:hAnsiTheme="majorHAnsi"/>
          <w:sz w:val="20"/>
          <w:szCs w:val="20"/>
          <w:lang w:val="es-MX"/>
        </w:rPr>
        <w:t>medios de comunicación comerciales, a quienes</w:t>
      </w:r>
      <w:r w:rsidR="007D4A14" w:rsidRPr="006D531F">
        <w:rPr>
          <w:rFonts w:asciiTheme="majorHAnsi" w:hAnsiTheme="majorHAnsi"/>
          <w:sz w:val="20"/>
          <w:szCs w:val="20"/>
          <w:lang w:val="es-MX"/>
        </w:rPr>
        <w:t xml:space="preserve"> indirectamente</w:t>
      </w:r>
      <w:r w:rsidR="009C38A6" w:rsidRPr="006D531F">
        <w:rPr>
          <w:rFonts w:asciiTheme="majorHAnsi" w:hAnsiTheme="majorHAnsi"/>
          <w:sz w:val="20"/>
          <w:szCs w:val="20"/>
          <w:lang w:val="es-MX"/>
        </w:rPr>
        <w:t xml:space="preserve"> la Ley General de Telecomunicaciones </w:t>
      </w:r>
      <w:r w:rsidR="00C70CAE" w:rsidRPr="006D531F">
        <w:rPr>
          <w:rFonts w:asciiTheme="majorHAnsi" w:hAnsiTheme="majorHAnsi"/>
          <w:sz w:val="20"/>
          <w:szCs w:val="20"/>
          <w:lang w:val="es-MX"/>
        </w:rPr>
        <w:t>tiene como objetivo</w:t>
      </w:r>
      <w:r w:rsidR="007D4A14" w:rsidRPr="006D531F">
        <w:rPr>
          <w:rFonts w:asciiTheme="majorHAnsi" w:hAnsiTheme="majorHAnsi"/>
          <w:sz w:val="20"/>
          <w:szCs w:val="20"/>
          <w:lang w:val="es-MX"/>
        </w:rPr>
        <w:t xml:space="preserve"> principal</w:t>
      </w:r>
      <w:r w:rsidR="00C70CAE" w:rsidRPr="006D531F">
        <w:rPr>
          <w:rFonts w:asciiTheme="majorHAnsi" w:hAnsiTheme="majorHAnsi"/>
          <w:sz w:val="20"/>
          <w:szCs w:val="20"/>
          <w:lang w:val="es-MX"/>
        </w:rPr>
        <w:t xml:space="preserve"> regular. </w:t>
      </w:r>
      <w:r w:rsidR="004B5F68" w:rsidRPr="006D531F">
        <w:rPr>
          <w:rFonts w:asciiTheme="majorHAnsi" w:hAnsiTheme="majorHAnsi"/>
          <w:sz w:val="20"/>
          <w:szCs w:val="20"/>
          <w:lang w:val="es-PE"/>
        </w:rPr>
        <w:t>Es preciso señalar que la Ley General de Telecomunicaciones tiene una visión principalmente comercial que no toma en cuenta las condiciones en las que se encuentra</w:t>
      </w:r>
      <w:r w:rsidR="006A614A">
        <w:rPr>
          <w:rFonts w:asciiTheme="majorHAnsi" w:hAnsiTheme="majorHAnsi"/>
          <w:sz w:val="20"/>
          <w:szCs w:val="20"/>
          <w:lang w:val="es-PE"/>
        </w:rPr>
        <w:t xml:space="preserve">n los cuatro pueblos indígenas en </w:t>
      </w:r>
      <w:r w:rsidR="004B5F68" w:rsidRPr="006D531F">
        <w:rPr>
          <w:rFonts w:asciiTheme="majorHAnsi" w:hAnsiTheme="majorHAnsi"/>
          <w:sz w:val="20"/>
          <w:szCs w:val="20"/>
          <w:lang w:val="es-PE"/>
        </w:rPr>
        <w:t>el presente caso.</w:t>
      </w:r>
    </w:p>
    <w:p w14:paraId="536F65A1" w14:textId="77777777" w:rsidR="004B5F68" w:rsidRPr="006D531F" w:rsidRDefault="004B5F68" w:rsidP="004B5F6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PE"/>
        </w:rPr>
      </w:pPr>
    </w:p>
    <w:p w14:paraId="739AAA0D" w14:textId="77777777" w:rsidR="00BD4597" w:rsidRPr="006D531F" w:rsidRDefault="00AA1722" w:rsidP="00EA00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6D531F">
        <w:rPr>
          <w:rFonts w:asciiTheme="majorHAnsi" w:hAnsiTheme="majorHAnsi"/>
          <w:sz w:val="20"/>
          <w:szCs w:val="20"/>
          <w:lang w:val="es-MX"/>
        </w:rPr>
        <w:t xml:space="preserve">La Comisión considera que </w:t>
      </w:r>
      <w:r w:rsidR="00221D95" w:rsidRPr="006D531F">
        <w:rPr>
          <w:rFonts w:asciiTheme="majorHAnsi" w:hAnsiTheme="majorHAnsi"/>
          <w:sz w:val="20"/>
          <w:szCs w:val="20"/>
          <w:lang w:val="es-CR"/>
        </w:rPr>
        <w:t>las subastas</w:t>
      </w:r>
      <w:r w:rsidR="000B1EB1" w:rsidRPr="006D531F">
        <w:rPr>
          <w:rFonts w:asciiTheme="majorHAnsi" w:hAnsiTheme="majorHAnsi"/>
          <w:sz w:val="20"/>
          <w:szCs w:val="20"/>
          <w:lang w:val="es-CR"/>
        </w:rPr>
        <w:t xml:space="preserve"> para </w:t>
      </w:r>
      <w:r w:rsidR="002258FA" w:rsidRPr="006D531F">
        <w:rPr>
          <w:rFonts w:asciiTheme="majorHAnsi" w:hAnsiTheme="majorHAnsi"/>
          <w:sz w:val="20"/>
          <w:szCs w:val="20"/>
          <w:lang w:val="es-CR"/>
        </w:rPr>
        <w:t>optar</w:t>
      </w:r>
      <w:r w:rsidR="000B1EB1" w:rsidRPr="006D531F">
        <w:rPr>
          <w:rFonts w:asciiTheme="majorHAnsi" w:hAnsiTheme="majorHAnsi"/>
          <w:sz w:val="20"/>
          <w:szCs w:val="20"/>
          <w:lang w:val="es-CR"/>
        </w:rPr>
        <w:t xml:space="preserve"> </w:t>
      </w:r>
      <w:r w:rsidR="002258FA" w:rsidRPr="006D531F">
        <w:rPr>
          <w:rFonts w:asciiTheme="majorHAnsi" w:hAnsiTheme="majorHAnsi"/>
          <w:sz w:val="20"/>
          <w:szCs w:val="20"/>
          <w:lang w:val="es-CR"/>
        </w:rPr>
        <w:t>por</w:t>
      </w:r>
      <w:r w:rsidR="000B1EB1" w:rsidRPr="006D531F">
        <w:rPr>
          <w:rFonts w:asciiTheme="majorHAnsi" w:hAnsiTheme="majorHAnsi"/>
          <w:sz w:val="20"/>
          <w:szCs w:val="20"/>
          <w:lang w:val="es-CR"/>
        </w:rPr>
        <w:t xml:space="preserve"> una frecuencia</w:t>
      </w:r>
      <w:r w:rsidR="00221D95" w:rsidRPr="006D531F">
        <w:rPr>
          <w:rFonts w:asciiTheme="majorHAnsi" w:hAnsiTheme="majorHAnsi"/>
          <w:sz w:val="20"/>
          <w:szCs w:val="20"/>
          <w:lang w:val="es-CR"/>
        </w:rPr>
        <w:t xml:space="preserve"> contempl</w:t>
      </w:r>
      <w:r w:rsidR="00985652" w:rsidRPr="006D531F">
        <w:rPr>
          <w:rFonts w:asciiTheme="majorHAnsi" w:hAnsiTheme="majorHAnsi"/>
          <w:sz w:val="20"/>
          <w:szCs w:val="20"/>
          <w:lang w:val="es-CR"/>
        </w:rPr>
        <w:t>a</w:t>
      </w:r>
      <w:r w:rsidR="00221D95" w:rsidRPr="006D531F">
        <w:rPr>
          <w:rFonts w:asciiTheme="majorHAnsi" w:hAnsiTheme="majorHAnsi"/>
          <w:sz w:val="20"/>
          <w:szCs w:val="20"/>
          <w:lang w:val="es-CR"/>
        </w:rPr>
        <w:t>n</w:t>
      </w:r>
      <w:r w:rsidR="00536BA8" w:rsidRPr="006D531F">
        <w:rPr>
          <w:rFonts w:asciiTheme="majorHAnsi" w:hAnsiTheme="majorHAnsi"/>
          <w:sz w:val="20"/>
          <w:szCs w:val="20"/>
          <w:lang w:val="es-CR"/>
        </w:rPr>
        <w:t xml:space="preserve"> </w:t>
      </w:r>
      <w:r w:rsidR="00221D95" w:rsidRPr="006D531F">
        <w:rPr>
          <w:rFonts w:asciiTheme="majorHAnsi" w:hAnsiTheme="majorHAnsi"/>
          <w:sz w:val="20"/>
          <w:szCs w:val="20"/>
          <w:lang w:val="es-CR"/>
        </w:rPr>
        <w:t>únicamente</w:t>
      </w:r>
      <w:r w:rsidR="00536BA8" w:rsidRPr="006D531F">
        <w:rPr>
          <w:rFonts w:asciiTheme="majorHAnsi" w:hAnsiTheme="majorHAnsi"/>
          <w:sz w:val="20"/>
          <w:szCs w:val="20"/>
          <w:lang w:val="es-CR"/>
        </w:rPr>
        <w:t xml:space="preserve"> criterios</w:t>
      </w:r>
      <w:r w:rsidR="00221D95" w:rsidRPr="006D531F">
        <w:rPr>
          <w:rFonts w:asciiTheme="majorHAnsi" w:hAnsiTheme="majorHAnsi"/>
          <w:sz w:val="20"/>
          <w:szCs w:val="20"/>
          <w:lang w:val="es-CR"/>
        </w:rPr>
        <w:t xml:space="preserve"> económicos</w:t>
      </w:r>
      <w:r w:rsidR="00D84915">
        <w:rPr>
          <w:rFonts w:asciiTheme="majorHAnsi" w:hAnsiTheme="majorHAnsi"/>
          <w:sz w:val="20"/>
          <w:szCs w:val="20"/>
          <w:lang w:val="es-CR"/>
        </w:rPr>
        <w:t>,</w:t>
      </w:r>
      <w:r w:rsidR="00221D95" w:rsidRPr="006D531F">
        <w:rPr>
          <w:rFonts w:asciiTheme="majorHAnsi" w:hAnsiTheme="majorHAnsi"/>
          <w:sz w:val="20"/>
          <w:szCs w:val="20"/>
          <w:lang w:val="es-CR"/>
        </w:rPr>
        <w:t xml:space="preserve"> </w:t>
      </w:r>
      <w:r w:rsidR="00DE2FD8" w:rsidRPr="006D531F">
        <w:rPr>
          <w:rFonts w:asciiTheme="majorHAnsi" w:hAnsiTheme="majorHAnsi"/>
          <w:sz w:val="20"/>
          <w:szCs w:val="20"/>
          <w:lang w:val="es-CR"/>
        </w:rPr>
        <w:t xml:space="preserve">sin tomar en consideración </w:t>
      </w:r>
      <w:r w:rsidR="00C4729B" w:rsidRPr="006D531F">
        <w:rPr>
          <w:rFonts w:asciiTheme="majorHAnsi" w:hAnsiTheme="majorHAnsi"/>
          <w:sz w:val="20"/>
          <w:szCs w:val="20"/>
          <w:lang w:val="es-CR"/>
        </w:rPr>
        <w:t xml:space="preserve">las </w:t>
      </w:r>
      <w:r w:rsidR="00D84915">
        <w:rPr>
          <w:rFonts w:asciiTheme="majorHAnsi" w:hAnsiTheme="majorHAnsi"/>
          <w:sz w:val="20"/>
          <w:szCs w:val="20"/>
          <w:lang w:val="es-CR"/>
        </w:rPr>
        <w:t>carencias de capacidad</w:t>
      </w:r>
      <w:r w:rsidR="00C4729B" w:rsidRPr="006D531F">
        <w:rPr>
          <w:rFonts w:asciiTheme="majorHAnsi" w:hAnsiTheme="majorHAnsi"/>
          <w:sz w:val="20"/>
          <w:szCs w:val="20"/>
          <w:lang w:val="es-CR"/>
        </w:rPr>
        <w:t xml:space="preserve"> </w:t>
      </w:r>
      <w:r w:rsidR="00D84915">
        <w:rPr>
          <w:rFonts w:asciiTheme="majorHAnsi" w:hAnsiTheme="majorHAnsi"/>
          <w:sz w:val="20"/>
          <w:szCs w:val="20"/>
          <w:lang w:val="es-CR"/>
        </w:rPr>
        <w:t>económica</w:t>
      </w:r>
      <w:r w:rsidR="003470EC" w:rsidRPr="006D531F">
        <w:rPr>
          <w:rFonts w:asciiTheme="majorHAnsi" w:hAnsiTheme="majorHAnsi"/>
          <w:sz w:val="20"/>
          <w:szCs w:val="20"/>
          <w:lang w:val="es-CR"/>
        </w:rPr>
        <w:t xml:space="preserve"> de los pueblos</w:t>
      </w:r>
      <w:r w:rsidR="006B1051" w:rsidRPr="006D531F">
        <w:rPr>
          <w:rFonts w:asciiTheme="majorHAnsi" w:hAnsiTheme="majorHAnsi"/>
          <w:sz w:val="20"/>
          <w:szCs w:val="20"/>
          <w:lang w:val="es-CR"/>
        </w:rPr>
        <w:t xml:space="preserve"> en cuestión, </w:t>
      </w:r>
      <w:r w:rsidR="00937AA4" w:rsidRPr="006D531F">
        <w:rPr>
          <w:rFonts w:asciiTheme="majorHAnsi" w:hAnsiTheme="majorHAnsi"/>
          <w:sz w:val="20"/>
          <w:szCs w:val="20"/>
          <w:lang w:val="es-CR"/>
        </w:rPr>
        <w:t xml:space="preserve">por lo que </w:t>
      </w:r>
      <w:r w:rsidR="00666902" w:rsidRPr="006D531F">
        <w:rPr>
          <w:rFonts w:asciiTheme="majorHAnsi" w:hAnsiTheme="majorHAnsi"/>
          <w:sz w:val="20"/>
          <w:szCs w:val="20"/>
          <w:lang w:val="es-CR"/>
        </w:rPr>
        <w:t>no otorgan</w:t>
      </w:r>
      <w:r w:rsidR="00A66C30" w:rsidRPr="006D531F">
        <w:rPr>
          <w:rFonts w:asciiTheme="majorHAnsi" w:hAnsiTheme="majorHAnsi"/>
          <w:sz w:val="20"/>
          <w:szCs w:val="20"/>
          <w:lang w:val="es-CR"/>
        </w:rPr>
        <w:t>,</w:t>
      </w:r>
      <w:r w:rsidR="00666902" w:rsidRPr="006D531F">
        <w:rPr>
          <w:rFonts w:asciiTheme="majorHAnsi" w:hAnsiTheme="majorHAnsi"/>
          <w:sz w:val="20"/>
          <w:szCs w:val="20"/>
          <w:lang w:val="es-CR"/>
        </w:rPr>
        <w:t xml:space="preserve"> en la realidad</w:t>
      </w:r>
      <w:r w:rsidR="00A66C30" w:rsidRPr="006D531F">
        <w:rPr>
          <w:rFonts w:asciiTheme="majorHAnsi" w:hAnsiTheme="majorHAnsi"/>
          <w:sz w:val="20"/>
          <w:szCs w:val="20"/>
          <w:lang w:val="es-CR"/>
        </w:rPr>
        <w:t>,</w:t>
      </w:r>
      <w:r w:rsidR="00666902" w:rsidRPr="006D531F">
        <w:rPr>
          <w:rFonts w:asciiTheme="majorHAnsi" w:hAnsiTheme="majorHAnsi"/>
          <w:sz w:val="20"/>
          <w:szCs w:val="20"/>
          <w:lang w:val="es-CR"/>
        </w:rPr>
        <w:t xml:space="preserve"> una oportunidad </w:t>
      </w:r>
      <w:r w:rsidR="00221D95" w:rsidRPr="006D531F">
        <w:rPr>
          <w:rFonts w:asciiTheme="majorHAnsi" w:hAnsiTheme="majorHAnsi"/>
          <w:sz w:val="20"/>
          <w:szCs w:val="20"/>
          <w:lang w:val="es-CR"/>
        </w:rPr>
        <w:t xml:space="preserve">equitativa para </w:t>
      </w:r>
      <w:r w:rsidR="00CD2F26">
        <w:rPr>
          <w:rFonts w:asciiTheme="majorHAnsi" w:hAnsiTheme="majorHAnsi"/>
          <w:sz w:val="20"/>
          <w:szCs w:val="20"/>
          <w:lang w:val="es-CR"/>
        </w:rPr>
        <w:t>que dichas comunidades</w:t>
      </w:r>
      <w:r w:rsidR="00937AA4" w:rsidRPr="006D531F">
        <w:rPr>
          <w:rFonts w:asciiTheme="majorHAnsi" w:hAnsiTheme="majorHAnsi"/>
          <w:sz w:val="20"/>
          <w:szCs w:val="20"/>
          <w:lang w:val="es-CR"/>
        </w:rPr>
        <w:t xml:space="preserve"> puedan acceder a una frecuencia de radio</w:t>
      </w:r>
      <w:r w:rsidR="00CD2F26">
        <w:rPr>
          <w:rFonts w:asciiTheme="majorHAnsi" w:hAnsiTheme="majorHAnsi"/>
          <w:sz w:val="20"/>
          <w:szCs w:val="20"/>
          <w:lang w:val="es-CR"/>
        </w:rPr>
        <w:t>,</w:t>
      </w:r>
      <w:r w:rsidR="001A2005" w:rsidRPr="006D531F">
        <w:rPr>
          <w:rFonts w:asciiTheme="majorHAnsi" w:hAnsiTheme="majorHAnsi"/>
          <w:sz w:val="20"/>
          <w:szCs w:val="20"/>
          <w:lang w:val="es-CR"/>
        </w:rPr>
        <w:t xml:space="preserve"> al </w:t>
      </w:r>
      <w:r w:rsidR="002F2A98" w:rsidRPr="006D531F">
        <w:rPr>
          <w:rFonts w:asciiTheme="majorHAnsi" w:hAnsiTheme="majorHAnsi"/>
          <w:sz w:val="20"/>
          <w:szCs w:val="20"/>
          <w:lang w:val="es-CR"/>
        </w:rPr>
        <w:t>encontrar</w:t>
      </w:r>
      <w:r w:rsidR="008B5DF0" w:rsidRPr="006D531F">
        <w:rPr>
          <w:rFonts w:asciiTheme="majorHAnsi" w:hAnsiTheme="majorHAnsi"/>
          <w:sz w:val="20"/>
          <w:szCs w:val="20"/>
          <w:lang w:val="es-CR"/>
        </w:rPr>
        <w:t>s</w:t>
      </w:r>
      <w:r w:rsidR="002F2A98" w:rsidRPr="006D531F">
        <w:rPr>
          <w:rFonts w:asciiTheme="majorHAnsi" w:hAnsiTheme="majorHAnsi"/>
          <w:sz w:val="20"/>
          <w:szCs w:val="20"/>
          <w:lang w:val="es-CR"/>
        </w:rPr>
        <w:t>e imposibilitados de</w:t>
      </w:r>
      <w:r w:rsidR="00CD2F26">
        <w:rPr>
          <w:rFonts w:asciiTheme="majorHAnsi" w:hAnsiTheme="majorHAnsi"/>
          <w:sz w:val="20"/>
          <w:szCs w:val="20"/>
          <w:lang w:val="es-CR"/>
        </w:rPr>
        <w:t xml:space="preserve"> hecho en</w:t>
      </w:r>
      <w:r w:rsidR="002F2A98" w:rsidRPr="006D531F">
        <w:rPr>
          <w:rFonts w:asciiTheme="majorHAnsi" w:hAnsiTheme="majorHAnsi"/>
          <w:sz w:val="20"/>
          <w:szCs w:val="20"/>
          <w:lang w:val="es-CR"/>
        </w:rPr>
        <w:t xml:space="preserve"> </w:t>
      </w:r>
      <w:r w:rsidR="00DA56C4" w:rsidRPr="006D531F">
        <w:rPr>
          <w:rFonts w:asciiTheme="majorHAnsi" w:hAnsiTheme="majorHAnsi"/>
          <w:sz w:val="20"/>
          <w:szCs w:val="20"/>
          <w:lang w:val="es-CR"/>
        </w:rPr>
        <w:t xml:space="preserve">ofrecer un </w:t>
      </w:r>
      <w:r w:rsidR="00BC7A7E" w:rsidRPr="006D531F">
        <w:rPr>
          <w:rFonts w:asciiTheme="majorHAnsi" w:hAnsiTheme="majorHAnsi"/>
          <w:sz w:val="20"/>
          <w:szCs w:val="20"/>
          <w:lang w:val="es-CR"/>
        </w:rPr>
        <w:t xml:space="preserve">monto que les permita </w:t>
      </w:r>
      <w:r w:rsidR="00CD2F26">
        <w:rPr>
          <w:rFonts w:asciiTheme="majorHAnsi" w:hAnsiTheme="majorHAnsi"/>
          <w:sz w:val="20"/>
          <w:szCs w:val="20"/>
          <w:lang w:val="es-CR"/>
        </w:rPr>
        <w:t xml:space="preserve">concurrir a </w:t>
      </w:r>
      <w:r w:rsidR="00BC7A7E" w:rsidRPr="006D531F">
        <w:rPr>
          <w:rFonts w:asciiTheme="majorHAnsi" w:hAnsiTheme="majorHAnsi"/>
          <w:sz w:val="20"/>
          <w:szCs w:val="20"/>
          <w:lang w:val="es-CR"/>
        </w:rPr>
        <w:t xml:space="preserve">competir con radios comerciales. </w:t>
      </w:r>
      <w:r w:rsidR="00351909" w:rsidRPr="006D531F">
        <w:rPr>
          <w:rFonts w:asciiTheme="majorHAnsi" w:hAnsiTheme="majorHAnsi"/>
          <w:sz w:val="20"/>
          <w:szCs w:val="20"/>
          <w:lang w:val="es-CR"/>
        </w:rPr>
        <w:t>Si bien l</w:t>
      </w:r>
      <w:r w:rsidR="00BD4597" w:rsidRPr="006D531F">
        <w:rPr>
          <w:rFonts w:asciiTheme="majorHAnsi" w:hAnsiTheme="majorHAnsi"/>
          <w:sz w:val="20"/>
          <w:szCs w:val="20"/>
          <w:lang w:val="es-CR"/>
        </w:rPr>
        <w:t xml:space="preserve">a normativa sobre telecomunicaciones </w:t>
      </w:r>
      <w:r w:rsidR="00164946" w:rsidRPr="006D531F">
        <w:rPr>
          <w:rFonts w:asciiTheme="majorHAnsi" w:hAnsiTheme="majorHAnsi"/>
          <w:sz w:val="20"/>
          <w:szCs w:val="20"/>
          <w:lang w:val="es-CR"/>
        </w:rPr>
        <w:t xml:space="preserve">no se encuentra dirigida directamente a crear una situación de discriminación, </w:t>
      </w:r>
      <w:r w:rsidR="00075709" w:rsidRPr="006D531F">
        <w:rPr>
          <w:rFonts w:asciiTheme="majorHAnsi" w:hAnsiTheme="majorHAnsi"/>
          <w:sz w:val="20"/>
          <w:szCs w:val="20"/>
          <w:lang w:val="es-CR"/>
        </w:rPr>
        <w:t xml:space="preserve">lo hace de forma indirecta, ya que </w:t>
      </w:r>
      <w:r w:rsidR="00D25A3E" w:rsidRPr="006D531F">
        <w:rPr>
          <w:rFonts w:asciiTheme="majorHAnsi" w:hAnsiTheme="majorHAnsi"/>
          <w:sz w:val="20"/>
          <w:szCs w:val="20"/>
          <w:lang w:val="es-CR"/>
        </w:rPr>
        <w:t xml:space="preserve">a través de </w:t>
      </w:r>
      <w:r w:rsidR="00451D5B" w:rsidRPr="006D531F">
        <w:rPr>
          <w:rFonts w:asciiTheme="majorHAnsi" w:hAnsiTheme="majorHAnsi"/>
          <w:sz w:val="20"/>
          <w:szCs w:val="20"/>
          <w:lang w:val="es-CR"/>
        </w:rPr>
        <w:t xml:space="preserve">esta </w:t>
      </w:r>
      <w:r w:rsidR="00D25A3E" w:rsidRPr="006D531F">
        <w:rPr>
          <w:rFonts w:asciiTheme="majorHAnsi" w:hAnsiTheme="majorHAnsi"/>
          <w:sz w:val="20"/>
          <w:szCs w:val="20"/>
          <w:lang w:val="es-CR"/>
        </w:rPr>
        <w:t xml:space="preserve">y </w:t>
      </w:r>
      <w:r w:rsidR="00C5718F" w:rsidRPr="006D531F">
        <w:rPr>
          <w:rFonts w:asciiTheme="majorHAnsi" w:hAnsiTheme="majorHAnsi"/>
          <w:sz w:val="20"/>
          <w:szCs w:val="20"/>
          <w:lang w:val="es-CR"/>
        </w:rPr>
        <w:t xml:space="preserve">con base en la situación </w:t>
      </w:r>
      <w:r w:rsidR="00D573FE" w:rsidRPr="006D531F">
        <w:rPr>
          <w:rFonts w:asciiTheme="majorHAnsi" w:hAnsiTheme="majorHAnsi"/>
          <w:sz w:val="20"/>
          <w:szCs w:val="20"/>
          <w:lang w:val="es-CR"/>
        </w:rPr>
        <w:t>de desventaja económica en la que se encuentran los pueblos</w:t>
      </w:r>
      <w:r w:rsidR="00CD2F26">
        <w:rPr>
          <w:rFonts w:asciiTheme="majorHAnsi" w:hAnsiTheme="majorHAnsi"/>
          <w:sz w:val="20"/>
          <w:szCs w:val="20"/>
          <w:lang w:val="es-CR"/>
        </w:rPr>
        <w:t xml:space="preserve"> indígenas</w:t>
      </w:r>
      <w:r w:rsidR="00B95258">
        <w:rPr>
          <w:rFonts w:asciiTheme="majorHAnsi" w:hAnsiTheme="majorHAnsi"/>
          <w:sz w:val="20"/>
          <w:szCs w:val="20"/>
          <w:lang w:val="es-CR"/>
        </w:rPr>
        <w:t xml:space="preserve"> y las organizaciones sin fines de lucro</w:t>
      </w:r>
      <w:r w:rsidR="00D573FE" w:rsidRPr="006D531F">
        <w:rPr>
          <w:rFonts w:asciiTheme="majorHAnsi" w:hAnsiTheme="majorHAnsi"/>
          <w:sz w:val="20"/>
          <w:szCs w:val="20"/>
          <w:lang w:val="es-CR"/>
        </w:rPr>
        <w:t>, genera una situación de facto que discrimina</w:t>
      </w:r>
      <w:r w:rsidR="0089530A">
        <w:rPr>
          <w:rFonts w:asciiTheme="majorHAnsi" w:hAnsiTheme="majorHAnsi"/>
          <w:sz w:val="20"/>
          <w:szCs w:val="20"/>
          <w:lang w:val="es-CR"/>
        </w:rPr>
        <w:t>, tiene un impacto desproporcionado</w:t>
      </w:r>
      <w:r w:rsidR="00D573FE" w:rsidRPr="006D531F">
        <w:rPr>
          <w:rFonts w:asciiTheme="majorHAnsi" w:hAnsiTheme="majorHAnsi"/>
          <w:sz w:val="20"/>
          <w:szCs w:val="20"/>
          <w:lang w:val="es-CR"/>
        </w:rPr>
        <w:t xml:space="preserve"> y excluye de manera arbitraria </w:t>
      </w:r>
      <w:r w:rsidR="001C7AAB" w:rsidRPr="006D531F">
        <w:rPr>
          <w:rFonts w:asciiTheme="majorHAnsi" w:hAnsiTheme="majorHAnsi"/>
          <w:sz w:val="20"/>
          <w:szCs w:val="20"/>
          <w:lang w:val="es-CR"/>
        </w:rPr>
        <w:t>a los pueblos indígenas.</w:t>
      </w:r>
    </w:p>
    <w:p w14:paraId="0F7AA964" w14:textId="77777777" w:rsidR="00BD4597" w:rsidRPr="006D531F" w:rsidRDefault="00BD4597" w:rsidP="00EA00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6FC10DC2" w14:textId="77777777" w:rsidR="001013CC" w:rsidRPr="006D531F" w:rsidRDefault="00E350C2" w:rsidP="00EA00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6D531F">
        <w:rPr>
          <w:rFonts w:asciiTheme="majorHAnsi" w:hAnsiTheme="majorHAnsi"/>
          <w:sz w:val="20"/>
          <w:szCs w:val="20"/>
          <w:lang w:val="es-MX"/>
        </w:rPr>
        <w:t>En este sentido, la normativa que en principio se denota como neutral, en la práctica genera un impacto desproporcionado en los pueblos indígenas víctimas del presente caso</w:t>
      </w:r>
      <w:r w:rsidR="0089530A">
        <w:rPr>
          <w:rFonts w:asciiTheme="majorHAnsi" w:hAnsiTheme="majorHAnsi"/>
          <w:sz w:val="20"/>
          <w:szCs w:val="20"/>
          <w:lang w:val="es-MX"/>
        </w:rPr>
        <w:t>,</w:t>
      </w:r>
      <w:r w:rsidR="00E43C58" w:rsidRPr="006D531F">
        <w:rPr>
          <w:rFonts w:asciiTheme="majorHAnsi" w:hAnsiTheme="majorHAnsi"/>
          <w:sz w:val="20"/>
          <w:szCs w:val="20"/>
          <w:lang w:val="es-MX"/>
        </w:rPr>
        <w:t xml:space="preserve"> quienes </w:t>
      </w:r>
      <w:r w:rsidR="0089530A">
        <w:rPr>
          <w:rFonts w:asciiTheme="majorHAnsi" w:hAnsiTheme="majorHAnsi"/>
          <w:sz w:val="20"/>
          <w:szCs w:val="20"/>
          <w:lang w:val="es-MX"/>
        </w:rPr>
        <w:t>han visto</w:t>
      </w:r>
      <w:r w:rsidR="007767CA" w:rsidRPr="006D531F">
        <w:rPr>
          <w:rFonts w:asciiTheme="majorHAnsi" w:hAnsiTheme="majorHAnsi"/>
          <w:sz w:val="20"/>
          <w:szCs w:val="20"/>
          <w:lang w:val="es-MX"/>
        </w:rPr>
        <w:t xml:space="preserve"> limitado</w:t>
      </w:r>
      <w:r w:rsidR="002B2B57" w:rsidRPr="006D531F">
        <w:rPr>
          <w:rFonts w:asciiTheme="majorHAnsi" w:hAnsiTheme="majorHAnsi"/>
          <w:sz w:val="20"/>
          <w:szCs w:val="20"/>
          <w:lang w:val="es-MX"/>
        </w:rPr>
        <w:t xml:space="preserve"> el goce y ejercicio de</w:t>
      </w:r>
      <w:r w:rsidR="00E43C58" w:rsidRPr="006D531F">
        <w:rPr>
          <w:rFonts w:asciiTheme="majorHAnsi" w:hAnsiTheme="majorHAnsi"/>
          <w:sz w:val="20"/>
          <w:szCs w:val="20"/>
          <w:lang w:val="es-MX"/>
        </w:rPr>
        <w:t xml:space="preserve"> su derecho a la libertad de expresión a través de las radios comunitarias</w:t>
      </w:r>
      <w:r w:rsidR="00B50D2F" w:rsidRPr="006D531F">
        <w:rPr>
          <w:rFonts w:asciiTheme="majorHAnsi" w:hAnsiTheme="majorHAnsi"/>
          <w:sz w:val="20"/>
          <w:szCs w:val="20"/>
          <w:lang w:val="es-MX"/>
        </w:rPr>
        <w:t xml:space="preserve"> al no poder </w:t>
      </w:r>
      <w:r w:rsidR="00636B4C" w:rsidRPr="006D531F">
        <w:rPr>
          <w:rFonts w:asciiTheme="majorHAnsi" w:hAnsiTheme="majorHAnsi"/>
          <w:sz w:val="20"/>
          <w:szCs w:val="20"/>
          <w:lang w:val="es-MX"/>
        </w:rPr>
        <w:t>acceder a una frecuencia.</w:t>
      </w:r>
      <w:r w:rsidR="000B2C64" w:rsidRPr="006D531F">
        <w:rPr>
          <w:rFonts w:asciiTheme="majorHAnsi" w:hAnsiTheme="majorHAnsi"/>
          <w:sz w:val="20"/>
          <w:szCs w:val="20"/>
          <w:lang w:val="es-MX"/>
        </w:rPr>
        <w:t xml:space="preserve"> </w:t>
      </w:r>
      <w:r w:rsidR="00790DCA" w:rsidRPr="006D531F">
        <w:rPr>
          <w:rFonts w:asciiTheme="majorHAnsi" w:hAnsiTheme="majorHAnsi"/>
          <w:sz w:val="20"/>
          <w:szCs w:val="20"/>
          <w:lang w:val="es-MX"/>
        </w:rPr>
        <w:t>Por ello</w:t>
      </w:r>
      <w:r w:rsidR="001E5488" w:rsidRPr="006D531F">
        <w:rPr>
          <w:rFonts w:asciiTheme="majorHAnsi" w:hAnsiTheme="majorHAnsi"/>
          <w:sz w:val="20"/>
          <w:szCs w:val="20"/>
          <w:lang w:val="es-MX"/>
        </w:rPr>
        <w:t>,</w:t>
      </w:r>
      <w:r w:rsidR="000B2C64" w:rsidRPr="006D531F">
        <w:rPr>
          <w:rFonts w:asciiTheme="majorHAnsi" w:hAnsiTheme="majorHAnsi"/>
          <w:sz w:val="20"/>
          <w:szCs w:val="20"/>
          <w:lang w:val="es-MX"/>
        </w:rPr>
        <w:t xml:space="preserve"> </w:t>
      </w:r>
      <w:r w:rsidR="00D45035" w:rsidRPr="006D531F">
        <w:rPr>
          <w:rFonts w:asciiTheme="majorHAnsi" w:hAnsiTheme="majorHAnsi"/>
          <w:sz w:val="20"/>
          <w:szCs w:val="20"/>
          <w:lang w:val="es-MX"/>
        </w:rPr>
        <w:t>la</w:t>
      </w:r>
      <w:r w:rsidR="001E5488" w:rsidRPr="006D531F">
        <w:rPr>
          <w:rFonts w:asciiTheme="majorHAnsi" w:hAnsiTheme="majorHAnsi"/>
          <w:sz w:val="20"/>
          <w:szCs w:val="20"/>
          <w:lang w:val="es-MX"/>
        </w:rPr>
        <w:t xml:space="preserve"> Comisión considera que la </w:t>
      </w:r>
      <w:r w:rsidR="00B76B88" w:rsidRPr="006D531F">
        <w:rPr>
          <w:rFonts w:asciiTheme="majorHAnsi" w:hAnsiTheme="majorHAnsi"/>
          <w:sz w:val="20"/>
          <w:szCs w:val="20"/>
          <w:lang w:val="es-MX"/>
        </w:rPr>
        <w:t xml:space="preserve">normativa citada </w:t>
      </w:r>
      <w:r w:rsidR="00063A57" w:rsidRPr="006D531F">
        <w:rPr>
          <w:rFonts w:asciiTheme="majorHAnsi" w:hAnsiTheme="majorHAnsi"/>
          <w:sz w:val="20"/>
          <w:szCs w:val="20"/>
          <w:lang w:val="es-MX"/>
        </w:rPr>
        <w:t>discrimina de forma</w:t>
      </w:r>
      <w:r w:rsidR="00B76B88" w:rsidRPr="006D531F">
        <w:rPr>
          <w:rFonts w:asciiTheme="majorHAnsi" w:hAnsiTheme="majorHAnsi"/>
          <w:sz w:val="20"/>
          <w:szCs w:val="20"/>
          <w:lang w:val="es-MX"/>
        </w:rPr>
        <w:t xml:space="preserve"> indirecta </w:t>
      </w:r>
      <w:r w:rsidR="001013CC" w:rsidRPr="006D531F">
        <w:rPr>
          <w:rFonts w:asciiTheme="majorHAnsi" w:hAnsiTheme="majorHAnsi"/>
          <w:sz w:val="20"/>
          <w:szCs w:val="20"/>
          <w:lang w:val="es-MX"/>
        </w:rPr>
        <w:t>a los cuatro pueblos del presente caso</w:t>
      </w:r>
      <w:r w:rsidR="0089530A">
        <w:rPr>
          <w:rFonts w:asciiTheme="majorHAnsi" w:hAnsiTheme="majorHAnsi"/>
          <w:sz w:val="20"/>
          <w:szCs w:val="20"/>
          <w:lang w:val="es-MX"/>
        </w:rPr>
        <w:t>, al tiempo que vulnera los derechos de los integrantes de esos pueblos a fundar medios de comunicación y a expresarse a tr</w:t>
      </w:r>
      <w:r w:rsidR="005E5DFA">
        <w:rPr>
          <w:rFonts w:asciiTheme="majorHAnsi" w:hAnsiTheme="majorHAnsi"/>
          <w:sz w:val="20"/>
          <w:szCs w:val="20"/>
          <w:lang w:val="es-MX"/>
        </w:rPr>
        <w:t>avés de un medio útil para expre</w:t>
      </w:r>
      <w:r w:rsidR="0089530A">
        <w:rPr>
          <w:rFonts w:asciiTheme="majorHAnsi" w:hAnsiTheme="majorHAnsi"/>
          <w:sz w:val="20"/>
          <w:szCs w:val="20"/>
          <w:lang w:val="es-MX"/>
        </w:rPr>
        <w:t>sar informaciones, ideas y su cosmovisión cultural</w:t>
      </w:r>
      <w:r w:rsidR="001013CC" w:rsidRPr="006D531F">
        <w:rPr>
          <w:rFonts w:asciiTheme="majorHAnsi" w:hAnsiTheme="majorHAnsi"/>
          <w:sz w:val="20"/>
          <w:szCs w:val="20"/>
          <w:lang w:val="es-MX"/>
        </w:rPr>
        <w:t>.</w:t>
      </w:r>
    </w:p>
    <w:p w14:paraId="5C39C0AA" w14:textId="77777777" w:rsidR="009A61D3" w:rsidRPr="006D531F" w:rsidRDefault="009A61D3" w:rsidP="009A61D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2EA116E5" w14:textId="77777777" w:rsidR="00573252" w:rsidRPr="006D531F" w:rsidRDefault="00914E59" w:rsidP="00EA00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R"/>
        </w:rPr>
      </w:pPr>
      <w:r w:rsidRPr="006D531F">
        <w:rPr>
          <w:rFonts w:asciiTheme="majorHAnsi" w:hAnsiTheme="majorHAnsi"/>
          <w:sz w:val="20"/>
          <w:szCs w:val="20"/>
          <w:lang w:val="es-PE"/>
        </w:rPr>
        <w:t xml:space="preserve">De igual forma, </w:t>
      </w:r>
      <w:r w:rsidR="005A6191" w:rsidRPr="006D531F">
        <w:rPr>
          <w:rFonts w:asciiTheme="majorHAnsi" w:hAnsiTheme="majorHAnsi"/>
          <w:sz w:val="20"/>
          <w:szCs w:val="20"/>
          <w:lang w:val="es-PE"/>
        </w:rPr>
        <w:t xml:space="preserve">el Estado </w:t>
      </w:r>
      <w:r w:rsidR="00A01B59" w:rsidRPr="006D531F">
        <w:rPr>
          <w:rFonts w:asciiTheme="majorHAnsi" w:hAnsiTheme="majorHAnsi"/>
          <w:sz w:val="20"/>
          <w:szCs w:val="20"/>
          <w:lang w:val="es-PE"/>
        </w:rPr>
        <w:t xml:space="preserve">también tiene la obligación de </w:t>
      </w:r>
      <w:r w:rsidR="00A01B59" w:rsidRPr="006D531F">
        <w:rPr>
          <w:rFonts w:asciiTheme="majorHAnsi" w:hAnsiTheme="majorHAnsi"/>
          <w:sz w:val="20"/>
          <w:szCs w:val="20"/>
          <w:lang w:val="es-CO"/>
        </w:rPr>
        <w:t>adoptar medidas</w:t>
      </w:r>
      <w:r w:rsidR="007D3CB1" w:rsidRPr="006D531F">
        <w:rPr>
          <w:rFonts w:asciiTheme="majorHAnsi" w:hAnsiTheme="majorHAnsi"/>
          <w:sz w:val="20"/>
          <w:szCs w:val="20"/>
          <w:lang w:val="es-CO"/>
        </w:rPr>
        <w:t xml:space="preserve"> </w:t>
      </w:r>
      <w:r w:rsidR="00F66A31" w:rsidRPr="006D531F">
        <w:rPr>
          <w:rFonts w:asciiTheme="majorHAnsi" w:hAnsiTheme="majorHAnsi"/>
          <w:sz w:val="20"/>
          <w:szCs w:val="20"/>
          <w:lang w:val="es-CO"/>
        </w:rPr>
        <w:t>afirmativas</w:t>
      </w:r>
      <w:r w:rsidR="007D3CB1" w:rsidRPr="006D531F">
        <w:rPr>
          <w:rFonts w:asciiTheme="majorHAnsi" w:hAnsiTheme="majorHAnsi"/>
          <w:sz w:val="20"/>
          <w:szCs w:val="20"/>
          <w:lang w:val="es-CO"/>
        </w:rPr>
        <w:t xml:space="preserve"> </w:t>
      </w:r>
      <w:r w:rsidR="00A01B59" w:rsidRPr="006D531F">
        <w:rPr>
          <w:rFonts w:asciiTheme="majorHAnsi" w:hAnsiTheme="majorHAnsi"/>
          <w:sz w:val="20"/>
          <w:szCs w:val="20"/>
          <w:lang w:val="es-CO"/>
        </w:rPr>
        <w:t xml:space="preserve">(legislativas, administrativas o de cualquier otra naturaleza) </w:t>
      </w:r>
      <w:r w:rsidR="00BA38F7" w:rsidRPr="006D531F">
        <w:rPr>
          <w:rFonts w:asciiTheme="majorHAnsi" w:hAnsiTheme="majorHAnsi"/>
          <w:sz w:val="20"/>
          <w:szCs w:val="20"/>
          <w:lang w:val="es-CO"/>
        </w:rPr>
        <w:t xml:space="preserve">y de implementarlas con el fin de </w:t>
      </w:r>
      <w:r w:rsidR="00A01B59" w:rsidRPr="006D531F">
        <w:rPr>
          <w:rFonts w:asciiTheme="majorHAnsi" w:hAnsiTheme="majorHAnsi"/>
          <w:sz w:val="20"/>
          <w:szCs w:val="20"/>
          <w:lang w:val="es-CO"/>
        </w:rPr>
        <w:t xml:space="preserve">revertir o cambiar </w:t>
      </w:r>
      <w:r w:rsidR="00C65772" w:rsidRPr="006D531F">
        <w:rPr>
          <w:rFonts w:asciiTheme="majorHAnsi" w:hAnsiTheme="majorHAnsi"/>
          <w:sz w:val="20"/>
          <w:szCs w:val="20"/>
          <w:lang w:val="es-CO"/>
        </w:rPr>
        <w:t xml:space="preserve">la situación de desventaja en la que se encuentran estos pueblos, para otorgarles </w:t>
      </w:r>
      <w:r w:rsidR="00B663A1" w:rsidRPr="006D531F">
        <w:rPr>
          <w:rFonts w:asciiTheme="majorHAnsi" w:hAnsiTheme="majorHAnsi"/>
          <w:sz w:val="20"/>
          <w:szCs w:val="20"/>
          <w:lang w:val="es-CO"/>
        </w:rPr>
        <w:t>igualdad de condiciones para acceder al espectro.</w:t>
      </w:r>
      <w:r w:rsidR="00BE5393" w:rsidRPr="006D531F">
        <w:rPr>
          <w:rFonts w:asciiTheme="majorHAnsi" w:hAnsiTheme="majorHAnsi"/>
          <w:sz w:val="20"/>
          <w:szCs w:val="20"/>
          <w:lang w:val="es-CO"/>
        </w:rPr>
        <w:t xml:space="preserve"> Dichas medidas afirmativas deben ser adoptadas </w:t>
      </w:r>
      <w:r w:rsidR="00CF3DD0" w:rsidRPr="006D531F">
        <w:rPr>
          <w:rFonts w:asciiTheme="majorHAnsi" w:hAnsiTheme="majorHAnsi"/>
          <w:sz w:val="20"/>
          <w:szCs w:val="20"/>
          <w:lang w:val="es-CO"/>
        </w:rPr>
        <w:t>en función de las particularidades de los pueblos indígenas</w:t>
      </w:r>
      <w:r w:rsidR="004F636B" w:rsidRPr="006D531F">
        <w:rPr>
          <w:rFonts w:asciiTheme="majorHAnsi" w:hAnsiTheme="majorHAnsi"/>
          <w:sz w:val="20"/>
          <w:szCs w:val="20"/>
          <w:lang w:val="es-CO"/>
        </w:rPr>
        <w:t xml:space="preserve">, con base en la situación </w:t>
      </w:r>
      <w:r w:rsidR="00631C6B" w:rsidRPr="006D531F">
        <w:rPr>
          <w:rFonts w:asciiTheme="majorHAnsi" w:hAnsiTheme="majorHAnsi"/>
          <w:sz w:val="20"/>
          <w:szCs w:val="20"/>
          <w:lang w:val="es-CO"/>
        </w:rPr>
        <w:t xml:space="preserve">específica en la que se encuentran. </w:t>
      </w:r>
      <w:r w:rsidR="00EF2DFC" w:rsidRPr="006D531F">
        <w:rPr>
          <w:rFonts w:asciiTheme="majorHAnsi" w:hAnsiTheme="majorHAnsi"/>
          <w:sz w:val="20"/>
          <w:szCs w:val="20"/>
          <w:lang w:val="es-CO"/>
        </w:rPr>
        <w:t xml:space="preserve">La Comisión ha </w:t>
      </w:r>
      <w:r w:rsidR="003F0D08" w:rsidRPr="006D531F">
        <w:rPr>
          <w:rFonts w:asciiTheme="majorHAnsi" w:hAnsiTheme="majorHAnsi"/>
          <w:sz w:val="20"/>
          <w:szCs w:val="20"/>
          <w:lang w:val="es-CO"/>
        </w:rPr>
        <w:t xml:space="preserve">establecido </w:t>
      </w:r>
      <w:r w:rsidR="003042C4" w:rsidRPr="006D531F">
        <w:rPr>
          <w:rFonts w:asciiTheme="majorHAnsi" w:hAnsiTheme="majorHAnsi"/>
          <w:sz w:val="20"/>
          <w:szCs w:val="20"/>
          <w:lang w:val="es-CO"/>
        </w:rPr>
        <w:t>en párrafos precedentes</w:t>
      </w:r>
      <w:r w:rsidR="00672B0C" w:rsidRPr="006D531F">
        <w:rPr>
          <w:rFonts w:asciiTheme="majorHAnsi" w:hAnsiTheme="majorHAnsi"/>
          <w:sz w:val="20"/>
          <w:szCs w:val="20"/>
          <w:lang w:val="es-CO"/>
        </w:rPr>
        <w:t>,</w:t>
      </w:r>
      <w:r w:rsidR="003042C4" w:rsidRPr="006D531F">
        <w:rPr>
          <w:rFonts w:asciiTheme="majorHAnsi" w:hAnsiTheme="majorHAnsi"/>
          <w:sz w:val="20"/>
          <w:szCs w:val="20"/>
          <w:lang w:val="es-CO"/>
        </w:rPr>
        <w:t xml:space="preserve"> </w:t>
      </w:r>
      <w:r w:rsidR="003F0D08" w:rsidRPr="006D531F">
        <w:rPr>
          <w:rFonts w:asciiTheme="majorHAnsi" w:hAnsiTheme="majorHAnsi"/>
          <w:sz w:val="20"/>
          <w:szCs w:val="20"/>
          <w:lang w:val="es-CO"/>
        </w:rPr>
        <w:t xml:space="preserve">diversos </w:t>
      </w:r>
      <w:r w:rsidR="00225B34" w:rsidRPr="006D531F">
        <w:rPr>
          <w:rFonts w:asciiTheme="majorHAnsi" w:hAnsiTheme="majorHAnsi"/>
          <w:sz w:val="20"/>
          <w:szCs w:val="20"/>
          <w:lang w:val="es-CO"/>
        </w:rPr>
        <w:t>criterios que los Estados debe</w:t>
      </w:r>
      <w:r w:rsidR="00126755" w:rsidRPr="006D531F">
        <w:rPr>
          <w:rFonts w:asciiTheme="majorHAnsi" w:hAnsiTheme="majorHAnsi"/>
          <w:sz w:val="20"/>
          <w:szCs w:val="20"/>
          <w:lang w:val="es-CO"/>
        </w:rPr>
        <w:t>n adoptar</w:t>
      </w:r>
      <w:r w:rsidR="00225B34" w:rsidRPr="006D531F">
        <w:rPr>
          <w:rFonts w:asciiTheme="majorHAnsi" w:hAnsiTheme="majorHAnsi"/>
          <w:sz w:val="20"/>
          <w:szCs w:val="20"/>
          <w:lang w:val="es-CO"/>
        </w:rPr>
        <w:t xml:space="preserve"> </w:t>
      </w:r>
      <w:r w:rsidR="00E13153" w:rsidRPr="006D531F">
        <w:rPr>
          <w:rFonts w:asciiTheme="majorHAnsi" w:hAnsiTheme="majorHAnsi"/>
          <w:sz w:val="20"/>
          <w:szCs w:val="20"/>
          <w:lang w:val="es-CO"/>
        </w:rPr>
        <w:t>como medidas de diferenciación positiva</w:t>
      </w:r>
      <w:r w:rsidR="00C3033B" w:rsidRPr="006D531F">
        <w:rPr>
          <w:rFonts w:asciiTheme="majorHAnsi" w:hAnsiTheme="majorHAnsi"/>
          <w:sz w:val="20"/>
          <w:szCs w:val="20"/>
          <w:lang w:val="es-CO"/>
        </w:rPr>
        <w:t xml:space="preserve">, a saber: a) reconocimiento legal de las radios comunitarias para otorgamiento de seguridad jurídica; b) establecimiento de procedimientos sencillos de acceso a frecuencias; c) </w:t>
      </w:r>
      <w:r w:rsidR="00F30FAD" w:rsidRPr="006D531F">
        <w:rPr>
          <w:rFonts w:asciiTheme="majorHAnsi" w:hAnsiTheme="majorHAnsi"/>
          <w:sz w:val="20"/>
          <w:szCs w:val="20"/>
          <w:lang w:val="es-CO"/>
        </w:rPr>
        <w:t xml:space="preserve">no exigencia de requisitos </w:t>
      </w:r>
      <w:r w:rsidR="00B52FDD" w:rsidRPr="006D531F">
        <w:rPr>
          <w:rFonts w:asciiTheme="majorHAnsi" w:hAnsiTheme="majorHAnsi"/>
          <w:sz w:val="20"/>
          <w:szCs w:val="20"/>
          <w:lang w:val="es-CO"/>
        </w:rPr>
        <w:t xml:space="preserve">severos que impidan su acceso; </w:t>
      </w:r>
      <w:r w:rsidR="005928F2" w:rsidRPr="006D531F">
        <w:rPr>
          <w:rFonts w:asciiTheme="majorHAnsi" w:hAnsiTheme="majorHAnsi"/>
          <w:sz w:val="20"/>
          <w:szCs w:val="20"/>
          <w:lang w:val="es-CO"/>
        </w:rPr>
        <w:t xml:space="preserve">c) acceso a fuentes de financiamiento; d) reserva de espectro; </w:t>
      </w:r>
      <w:r w:rsidR="005F7C10" w:rsidRPr="006D531F">
        <w:rPr>
          <w:rFonts w:asciiTheme="majorHAnsi" w:hAnsiTheme="majorHAnsi"/>
          <w:sz w:val="20"/>
          <w:szCs w:val="20"/>
          <w:lang w:val="es-CO"/>
        </w:rPr>
        <w:t xml:space="preserve">e) exenciones </w:t>
      </w:r>
      <w:r w:rsidR="006C7B7A" w:rsidRPr="006D531F">
        <w:rPr>
          <w:rFonts w:asciiTheme="majorHAnsi" w:hAnsiTheme="majorHAnsi"/>
          <w:sz w:val="20"/>
          <w:szCs w:val="20"/>
          <w:lang w:val="es-CO"/>
        </w:rPr>
        <w:t>tributarias</w:t>
      </w:r>
      <w:r w:rsidR="009109E0" w:rsidRPr="006D531F">
        <w:rPr>
          <w:rFonts w:asciiTheme="majorHAnsi" w:hAnsiTheme="majorHAnsi"/>
          <w:sz w:val="20"/>
          <w:szCs w:val="20"/>
          <w:lang w:val="es-CO"/>
        </w:rPr>
        <w:t xml:space="preserve">, </w:t>
      </w:r>
      <w:r w:rsidR="00E7629A" w:rsidRPr="006D531F">
        <w:rPr>
          <w:rFonts w:asciiTheme="majorHAnsi" w:hAnsiTheme="majorHAnsi"/>
          <w:sz w:val="20"/>
          <w:szCs w:val="20"/>
          <w:lang w:val="es-CO"/>
        </w:rPr>
        <w:t xml:space="preserve">entre otras. </w:t>
      </w:r>
    </w:p>
    <w:p w14:paraId="74F82090" w14:textId="77777777" w:rsidR="0092036B" w:rsidRPr="006D531F" w:rsidRDefault="0092036B" w:rsidP="00EA00F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R"/>
        </w:rPr>
      </w:pPr>
    </w:p>
    <w:p w14:paraId="6E061830" w14:textId="77777777" w:rsidR="001F7869" w:rsidRPr="006D531F" w:rsidRDefault="00C83FBC" w:rsidP="00EA00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R"/>
        </w:rPr>
      </w:pPr>
      <w:r w:rsidRPr="006D531F">
        <w:rPr>
          <w:rFonts w:asciiTheme="majorHAnsi" w:hAnsiTheme="majorHAnsi"/>
          <w:sz w:val="20"/>
          <w:szCs w:val="20"/>
          <w:lang w:val="es-CR"/>
        </w:rPr>
        <w:t>No obstante</w:t>
      </w:r>
      <w:r w:rsidR="00B50944" w:rsidRPr="006D531F">
        <w:rPr>
          <w:rFonts w:asciiTheme="majorHAnsi" w:hAnsiTheme="majorHAnsi"/>
          <w:sz w:val="20"/>
          <w:szCs w:val="20"/>
          <w:lang w:val="es-CO"/>
        </w:rPr>
        <w:t xml:space="preserve"> </w:t>
      </w:r>
      <w:r w:rsidR="000F49CE" w:rsidRPr="006D531F">
        <w:rPr>
          <w:rFonts w:asciiTheme="majorHAnsi" w:hAnsiTheme="majorHAnsi"/>
          <w:sz w:val="20"/>
          <w:szCs w:val="20"/>
          <w:lang w:val="es-CO"/>
        </w:rPr>
        <w:t>lo anterior</w:t>
      </w:r>
      <w:r w:rsidR="00B50944" w:rsidRPr="006D531F">
        <w:rPr>
          <w:rFonts w:asciiTheme="majorHAnsi" w:hAnsiTheme="majorHAnsi"/>
          <w:sz w:val="20"/>
          <w:szCs w:val="20"/>
          <w:lang w:val="es-CO"/>
        </w:rPr>
        <w:t xml:space="preserve">, </w:t>
      </w:r>
      <w:r w:rsidR="003A0A82" w:rsidRPr="006D531F">
        <w:rPr>
          <w:rFonts w:asciiTheme="majorHAnsi" w:hAnsiTheme="majorHAnsi"/>
          <w:sz w:val="20"/>
          <w:szCs w:val="20"/>
          <w:lang w:val="es-CO"/>
        </w:rPr>
        <w:t xml:space="preserve">en </w:t>
      </w:r>
      <w:r w:rsidR="00F53C96" w:rsidRPr="006D531F">
        <w:rPr>
          <w:rFonts w:asciiTheme="majorHAnsi" w:hAnsiTheme="majorHAnsi"/>
          <w:sz w:val="20"/>
          <w:szCs w:val="20"/>
          <w:lang w:val="es-PE"/>
        </w:rPr>
        <w:t xml:space="preserve">Guatemala </w:t>
      </w:r>
      <w:r w:rsidR="00663B83" w:rsidRPr="006D531F">
        <w:rPr>
          <w:rFonts w:asciiTheme="majorHAnsi" w:hAnsiTheme="majorHAnsi"/>
          <w:sz w:val="20"/>
          <w:szCs w:val="20"/>
          <w:lang w:val="es-PE"/>
        </w:rPr>
        <w:t>no</w:t>
      </w:r>
      <w:r w:rsidR="00D03796" w:rsidRPr="006D531F">
        <w:rPr>
          <w:rFonts w:asciiTheme="majorHAnsi" w:hAnsiTheme="majorHAnsi"/>
          <w:sz w:val="20"/>
          <w:szCs w:val="20"/>
          <w:lang w:val="es-PE"/>
        </w:rPr>
        <w:t xml:space="preserve"> </w:t>
      </w:r>
      <w:r w:rsidR="00F53C96" w:rsidRPr="006D531F">
        <w:rPr>
          <w:rFonts w:asciiTheme="majorHAnsi" w:hAnsiTheme="majorHAnsi"/>
          <w:sz w:val="20"/>
          <w:szCs w:val="20"/>
          <w:lang w:val="es-PE"/>
        </w:rPr>
        <w:t>existe un reconocimiento de</w:t>
      </w:r>
      <w:r w:rsidR="00270E53" w:rsidRPr="006D531F">
        <w:rPr>
          <w:rFonts w:asciiTheme="majorHAnsi" w:hAnsiTheme="majorHAnsi"/>
          <w:sz w:val="20"/>
          <w:szCs w:val="20"/>
          <w:lang w:val="es-PE"/>
        </w:rPr>
        <w:t xml:space="preserve"> las radios </w:t>
      </w:r>
      <w:r w:rsidR="00F53C96" w:rsidRPr="006D531F">
        <w:rPr>
          <w:rFonts w:asciiTheme="majorHAnsi" w:hAnsiTheme="majorHAnsi"/>
          <w:sz w:val="20"/>
          <w:szCs w:val="20"/>
          <w:lang w:val="es-PE"/>
        </w:rPr>
        <w:t>comunitari</w:t>
      </w:r>
      <w:r w:rsidR="00270E53" w:rsidRPr="006D531F">
        <w:rPr>
          <w:rFonts w:asciiTheme="majorHAnsi" w:hAnsiTheme="majorHAnsi"/>
          <w:sz w:val="20"/>
          <w:szCs w:val="20"/>
          <w:lang w:val="es-PE"/>
        </w:rPr>
        <w:t xml:space="preserve">as </w:t>
      </w:r>
      <w:r w:rsidR="00F53C96" w:rsidRPr="006D531F">
        <w:rPr>
          <w:rFonts w:asciiTheme="majorHAnsi" w:hAnsiTheme="majorHAnsi"/>
          <w:sz w:val="20"/>
          <w:szCs w:val="20"/>
          <w:lang w:val="es-PE"/>
        </w:rPr>
        <w:t xml:space="preserve">en la legislación interna, </w:t>
      </w:r>
      <w:r w:rsidRPr="006D531F">
        <w:rPr>
          <w:rFonts w:asciiTheme="majorHAnsi" w:hAnsiTheme="majorHAnsi"/>
          <w:sz w:val="20"/>
          <w:szCs w:val="20"/>
          <w:lang w:val="es-PE"/>
        </w:rPr>
        <w:t xml:space="preserve">a pesar </w:t>
      </w:r>
      <w:r w:rsidR="00786FAA" w:rsidRPr="006D531F">
        <w:rPr>
          <w:rFonts w:asciiTheme="majorHAnsi" w:hAnsiTheme="majorHAnsi"/>
          <w:sz w:val="20"/>
          <w:szCs w:val="20"/>
          <w:lang w:val="es-PE"/>
        </w:rPr>
        <w:t>de la</w:t>
      </w:r>
      <w:r w:rsidR="009D0824" w:rsidRPr="006D531F">
        <w:rPr>
          <w:rFonts w:asciiTheme="majorHAnsi" w:hAnsiTheme="majorHAnsi"/>
          <w:sz w:val="20"/>
          <w:szCs w:val="20"/>
          <w:lang w:val="es-PE"/>
        </w:rPr>
        <w:t xml:space="preserve"> </w:t>
      </w:r>
      <w:r w:rsidR="00F53C96" w:rsidRPr="006D531F">
        <w:rPr>
          <w:rFonts w:asciiTheme="majorHAnsi" w:hAnsiTheme="majorHAnsi"/>
          <w:sz w:val="20"/>
          <w:szCs w:val="20"/>
          <w:lang w:val="es-PE"/>
        </w:rPr>
        <w:t>importancia de este sector en un país donde aproximadamente la mitad de la población pertenece a pueblo</w:t>
      </w:r>
      <w:r w:rsidR="00DE5BF4">
        <w:rPr>
          <w:rFonts w:asciiTheme="majorHAnsi" w:hAnsiTheme="majorHAnsi"/>
          <w:sz w:val="20"/>
          <w:szCs w:val="20"/>
          <w:lang w:val="es-PE"/>
        </w:rPr>
        <w:t>s</w:t>
      </w:r>
      <w:r w:rsidR="00F53C96" w:rsidRPr="006D531F">
        <w:rPr>
          <w:rFonts w:asciiTheme="majorHAnsi" w:hAnsiTheme="majorHAnsi"/>
          <w:sz w:val="20"/>
          <w:szCs w:val="20"/>
          <w:lang w:val="es-PE"/>
        </w:rPr>
        <w:t xml:space="preserve"> </w:t>
      </w:r>
      <w:r w:rsidR="00DE5BF4">
        <w:rPr>
          <w:rFonts w:asciiTheme="majorHAnsi" w:hAnsiTheme="majorHAnsi"/>
          <w:sz w:val="20"/>
          <w:szCs w:val="20"/>
          <w:lang w:val="es-PE"/>
        </w:rPr>
        <w:t>originarios</w:t>
      </w:r>
      <w:r w:rsidR="00622BE4" w:rsidRPr="006D531F">
        <w:rPr>
          <w:rFonts w:asciiTheme="majorHAnsi" w:hAnsiTheme="majorHAnsi"/>
          <w:sz w:val="20"/>
          <w:szCs w:val="20"/>
          <w:lang w:val="es-PE"/>
        </w:rPr>
        <w:t xml:space="preserve">, quienes </w:t>
      </w:r>
      <w:r w:rsidR="00FD2831" w:rsidRPr="006D531F">
        <w:rPr>
          <w:rFonts w:asciiTheme="majorHAnsi" w:hAnsiTheme="majorHAnsi"/>
          <w:sz w:val="20"/>
          <w:szCs w:val="20"/>
          <w:lang w:val="es-PE"/>
        </w:rPr>
        <w:t>en muchas ocasiones accede</w:t>
      </w:r>
      <w:r w:rsidR="00FD3C0D" w:rsidRPr="006D531F">
        <w:rPr>
          <w:rFonts w:asciiTheme="majorHAnsi" w:hAnsiTheme="majorHAnsi"/>
          <w:sz w:val="20"/>
          <w:szCs w:val="20"/>
          <w:lang w:val="es-PE"/>
        </w:rPr>
        <w:t>n</w:t>
      </w:r>
      <w:r w:rsidR="00FD2831" w:rsidRPr="006D531F">
        <w:rPr>
          <w:rFonts w:asciiTheme="majorHAnsi" w:hAnsiTheme="majorHAnsi"/>
          <w:sz w:val="20"/>
          <w:szCs w:val="20"/>
          <w:lang w:val="es-PE"/>
        </w:rPr>
        <w:t xml:space="preserve"> a información </w:t>
      </w:r>
      <w:r w:rsidR="00B1539E" w:rsidRPr="006D531F">
        <w:rPr>
          <w:rFonts w:asciiTheme="majorHAnsi" w:hAnsiTheme="majorHAnsi"/>
          <w:sz w:val="20"/>
          <w:szCs w:val="20"/>
          <w:lang w:val="es-PE"/>
        </w:rPr>
        <w:t xml:space="preserve">principalmente </w:t>
      </w:r>
      <w:r w:rsidR="009921E7" w:rsidRPr="006D531F">
        <w:rPr>
          <w:rFonts w:asciiTheme="majorHAnsi" w:hAnsiTheme="majorHAnsi"/>
          <w:sz w:val="20"/>
          <w:szCs w:val="20"/>
          <w:lang w:val="es-PE"/>
        </w:rPr>
        <w:t xml:space="preserve">a través de </w:t>
      </w:r>
      <w:r w:rsidR="005A59C7" w:rsidRPr="006D531F">
        <w:rPr>
          <w:rFonts w:asciiTheme="majorHAnsi" w:hAnsiTheme="majorHAnsi"/>
          <w:sz w:val="20"/>
          <w:szCs w:val="20"/>
          <w:lang w:val="es-PE"/>
        </w:rPr>
        <w:t xml:space="preserve">este tipo de radios. </w:t>
      </w:r>
      <w:r w:rsidR="003771DA" w:rsidRPr="006D531F">
        <w:rPr>
          <w:rFonts w:asciiTheme="majorHAnsi" w:hAnsiTheme="majorHAnsi"/>
          <w:sz w:val="20"/>
          <w:szCs w:val="20"/>
          <w:lang w:val="es-PE"/>
        </w:rPr>
        <w:t>El Estado</w:t>
      </w:r>
      <w:r w:rsidR="005866BC" w:rsidRPr="006D531F">
        <w:rPr>
          <w:rFonts w:asciiTheme="majorHAnsi" w:hAnsiTheme="majorHAnsi"/>
          <w:sz w:val="20"/>
          <w:szCs w:val="20"/>
          <w:lang w:val="es-PE"/>
        </w:rPr>
        <w:t xml:space="preserve"> </w:t>
      </w:r>
      <w:r w:rsidR="0051009C" w:rsidRPr="006D531F">
        <w:rPr>
          <w:rFonts w:asciiTheme="majorHAnsi" w:hAnsiTheme="majorHAnsi"/>
          <w:sz w:val="20"/>
          <w:szCs w:val="20"/>
          <w:lang w:val="es-PE"/>
        </w:rPr>
        <w:t xml:space="preserve">tampoco </w:t>
      </w:r>
      <w:r w:rsidR="005866BC" w:rsidRPr="006D531F">
        <w:rPr>
          <w:rFonts w:asciiTheme="majorHAnsi" w:hAnsiTheme="majorHAnsi"/>
          <w:sz w:val="20"/>
          <w:szCs w:val="20"/>
          <w:lang w:val="es-PE"/>
        </w:rPr>
        <w:t xml:space="preserve">ha adoptado </w:t>
      </w:r>
      <w:r w:rsidR="00CD763B" w:rsidRPr="006D531F">
        <w:rPr>
          <w:rFonts w:asciiTheme="majorHAnsi" w:hAnsiTheme="majorHAnsi"/>
          <w:sz w:val="20"/>
          <w:szCs w:val="20"/>
          <w:lang w:val="es-PE"/>
        </w:rPr>
        <w:t xml:space="preserve">ninguna </w:t>
      </w:r>
      <w:r w:rsidR="00460768" w:rsidRPr="006D531F">
        <w:rPr>
          <w:rFonts w:asciiTheme="majorHAnsi" w:hAnsiTheme="majorHAnsi"/>
          <w:sz w:val="20"/>
          <w:szCs w:val="20"/>
          <w:lang w:val="es-PE"/>
        </w:rPr>
        <w:t xml:space="preserve">medida </w:t>
      </w:r>
      <w:r w:rsidR="007577B5" w:rsidRPr="006D531F">
        <w:rPr>
          <w:rFonts w:asciiTheme="majorHAnsi" w:hAnsiTheme="majorHAnsi"/>
          <w:sz w:val="20"/>
          <w:szCs w:val="20"/>
          <w:lang w:val="es-PE"/>
        </w:rPr>
        <w:t>(legislación, práctica o política)</w:t>
      </w:r>
      <w:r w:rsidR="00CD763B" w:rsidRPr="006D531F">
        <w:rPr>
          <w:rFonts w:asciiTheme="majorHAnsi" w:hAnsiTheme="majorHAnsi"/>
          <w:sz w:val="20"/>
          <w:szCs w:val="20"/>
          <w:lang w:val="es-PE"/>
        </w:rPr>
        <w:t xml:space="preserve"> </w:t>
      </w:r>
      <w:r w:rsidR="007577B5" w:rsidRPr="006D531F">
        <w:rPr>
          <w:rFonts w:asciiTheme="majorHAnsi" w:hAnsiTheme="majorHAnsi"/>
          <w:sz w:val="20"/>
          <w:szCs w:val="20"/>
          <w:lang w:val="es-PE"/>
        </w:rPr>
        <w:t>de diferenciación</w:t>
      </w:r>
      <w:r w:rsidR="00CD763B" w:rsidRPr="006D531F">
        <w:rPr>
          <w:rFonts w:asciiTheme="majorHAnsi" w:hAnsiTheme="majorHAnsi"/>
          <w:sz w:val="20"/>
          <w:szCs w:val="20"/>
          <w:lang w:val="es-PE"/>
        </w:rPr>
        <w:t xml:space="preserve"> positiva </w:t>
      </w:r>
      <w:r w:rsidR="00B70670" w:rsidRPr="006D531F">
        <w:rPr>
          <w:rFonts w:asciiTheme="majorHAnsi" w:hAnsiTheme="majorHAnsi"/>
          <w:sz w:val="20"/>
          <w:szCs w:val="20"/>
          <w:lang w:val="es-PE"/>
        </w:rPr>
        <w:t xml:space="preserve">para remover las barreras u </w:t>
      </w:r>
      <w:r w:rsidR="00213197" w:rsidRPr="006D531F">
        <w:rPr>
          <w:rFonts w:asciiTheme="majorHAnsi" w:hAnsiTheme="majorHAnsi"/>
          <w:sz w:val="20"/>
          <w:szCs w:val="20"/>
          <w:lang w:val="es-PE"/>
        </w:rPr>
        <w:t>o</w:t>
      </w:r>
      <w:r w:rsidR="00B70670" w:rsidRPr="006D531F">
        <w:rPr>
          <w:rFonts w:asciiTheme="majorHAnsi" w:hAnsiTheme="majorHAnsi"/>
          <w:sz w:val="20"/>
          <w:szCs w:val="20"/>
          <w:lang w:val="es-PE"/>
        </w:rPr>
        <w:t>bstáculos que</w:t>
      </w:r>
      <w:r w:rsidR="00CF5DCD">
        <w:rPr>
          <w:rFonts w:asciiTheme="majorHAnsi" w:hAnsiTheme="majorHAnsi"/>
          <w:sz w:val="20"/>
          <w:szCs w:val="20"/>
          <w:lang w:val="es-PE"/>
        </w:rPr>
        <w:t>,</w:t>
      </w:r>
      <w:r w:rsidR="00B70670" w:rsidRPr="006D531F">
        <w:rPr>
          <w:rFonts w:asciiTheme="majorHAnsi" w:hAnsiTheme="majorHAnsi"/>
          <w:sz w:val="20"/>
          <w:szCs w:val="20"/>
          <w:lang w:val="es-PE"/>
        </w:rPr>
        <w:t xml:space="preserve"> en la práctica</w:t>
      </w:r>
      <w:r w:rsidR="00CF5DCD">
        <w:rPr>
          <w:rFonts w:asciiTheme="majorHAnsi" w:hAnsiTheme="majorHAnsi"/>
          <w:sz w:val="20"/>
          <w:szCs w:val="20"/>
          <w:lang w:val="es-PE"/>
        </w:rPr>
        <w:t>,</w:t>
      </w:r>
      <w:r w:rsidR="00B70670" w:rsidRPr="006D531F">
        <w:rPr>
          <w:rFonts w:asciiTheme="majorHAnsi" w:hAnsiTheme="majorHAnsi"/>
          <w:sz w:val="20"/>
          <w:szCs w:val="20"/>
          <w:lang w:val="es-PE"/>
        </w:rPr>
        <w:t xml:space="preserve"> </w:t>
      </w:r>
      <w:r w:rsidR="00213197" w:rsidRPr="006D531F">
        <w:rPr>
          <w:rFonts w:asciiTheme="majorHAnsi" w:hAnsiTheme="majorHAnsi"/>
          <w:sz w:val="20"/>
          <w:szCs w:val="20"/>
          <w:lang w:val="es-PE"/>
        </w:rPr>
        <w:t>enfrenta</w:t>
      </w:r>
      <w:r w:rsidR="002F0202" w:rsidRPr="006D531F">
        <w:rPr>
          <w:rFonts w:asciiTheme="majorHAnsi" w:hAnsiTheme="majorHAnsi"/>
          <w:sz w:val="20"/>
          <w:szCs w:val="20"/>
          <w:lang w:val="es-PE"/>
        </w:rPr>
        <w:t>n</w:t>
      </w:r>
      <w:r w:rsidR="00213197" w:rsidRPr="006D531F">
        <w:rPr>
          <w:rFonts w:asciiTheme="majorHAnsi" w:hAnsiTheme="majorHAnsi"/>
          <w:sz w:val="20"/>
          <w:szCs w:val="20"/>
          <w:lang w:val="es-PE"/>
        </w:rPr>
        <w:t xml:space="preserve"> los pueblos indígenas del caso</w:t>
      </w:r>
      <w:r w:rsidR="003F25AD" w:rsidRPr="006D531F">
        <w:rPr>
          <w:rFonts w:asciiTheme="majorHAnsi" w:hAnsiTheme="majorHAnsi"/>
          <w:sz w:val="20"/>
          <w:szCs w:val="20"/>
          <w:lang w:val="es-PE"/>
        </w:rPr>
        <w:t xml:space="preserve"> para acceder a frecuencias de radio para el ejercicio de su derecho a la libertad de expresión</w:t>
      </w:r>
      <w:r w:rsidR="00457CD6" w:rsidRPr="006D531F">
        <w:rPr>
          <w:rFonts w:asciiTheme="majorHAnsi" w:hAnsiTheme="majorHAnsi"/>
          <w:sz w:val="20"/>
          <w:szCs w:val="20"/>
          <w:lang w:val="es-PE"/>
        </w:rPr>
        <w:t>.</w:t>
      </w:r>
    </w:p>
    <w:p w14:paraId="7ADAEE95" w14:textId="77777777" w:rsidR="001F7869" w:rsidRPr="006D531F" w:rsidRDefault="001F7869" w:rsidP="001F7869">
      <w:pPr>
        <w:pStyle w:val="ListParagraph"/>
        <w:rPr>
          <w:rFonts w:asciiTheme="majorHAnsi" w:hAnsiTheme="majorHAnsi"/>
          <w:color w:val="auto"/>
          <w:sz w:val="20"/>
          <w:szCs w:val="20"/>
          <w:lang w:val="es-PE"/>
        </w:rPr>
      </w:pPr>
    </w:p>
    <w:p w14:paraId="3BFFC1CA" w14:textId="77777777" w:rsidR="00A0573A" w:rsidRPr="006D531F" w:rsidRDefault="000C466C" w:rsidP="00EA00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R"/>
        </w:rPr>
      </w:pPr>
      <w:r w:rsidRPr="006D531F">
        <w:rPr>
          <w:rFonts w:asciiTheme="majorHAnsi" w:hAnsiTheme="majorHAnsi"/>
          <w:sz w:val="20"/>
          <w:szCs w:val="20"/>
          <w:lang w:val="es-PE"/>
        </w:rPr>
        <w:t>Adicionalmente,</w:t>
      </w:r>
      <w:r w:rsidR="00BC7BB0" w:rsidRPr="006D531F">
        <w:rPr>
          <w:rFonts w:asciiTheme="majorHAnsi" w:hAnsiTheme="majorHAnsi"/>
          <w:sz w:val="20"/>
          <w:szCs w:val="20"/>
          <w:lang w:val="es-PE"/>
        </w:rPr>
        <w:t xml:space="preserve"> de la legislación pertinente </w:t>
      </w:r>
      <w:r w:rsidRPr="006D531F">
        <w:rPr>
          <w:rFonts w:asciiTheme="majorHAnsi" w:hAnsiTheme="majorHAnsi"/>
          <w:sz w:val="20"/>
          <w:szCs w:val="20"/>
          <w:lang w:val="es-PE"/>
        </w:rPr>
        <w:t xml:space="preserve">no </w:t>
      </w:r>
      <w:r w:rsidR="00BC7BB0" w:rsidRPr="006D531F">
        <w:rPr>
          <w:rFonts w:asciiTheme="majorHAnsi" w:hAnsiTheme="majorHAnsi"/>
          <w:sz w:val="20"/>
          <w:szCs w:val="20"/>
          <w:lang w:val="es-PE"/>
        </w:rPr>
        <w:t xml:space="preserve">se observa </w:t>
      </w:r>
      <w:r w:rsidRPr="006D531F">
        <w:rPr>
          <w:rFonts w:asciiTheme="majorHAnsi" w:hAnsiTheme="majorHAnsi"/>
          <w:sz w:val="20"/>
          <w:szCs w:val="20"/>
          <w:lang w:val="es-PE"/>
        </w:rPr>
        <w:t>ningún</w:t>
      </w:r>
      <w:r w:rsidR="00BC7BB0" w:rsidRPr="006D531F">
        <w:rPr>
          <w:rFonts w:asciiTheme="majorHAnsi" w:hAnsiTheme="majorHAnsi"/>
          <w:sz w:val="20"/>
          <w:szCs w:val="20"/>
          <w:lang w:val="es-PE"/>
        </w:rPr>
        <w:t xml:space="preserve"> mecanismo </w:t>
      </w:r>
      <w:r w:rsidR="008544BA" w:rsidRPr="006D531F">
        <w:rPr>
          <w:rFonts w:asciiTheme="majorHAnsi" w:hAnsiTheme="majorHAnsi"/>
          <w:sz w:val="20"/>
          <w:szCs w:val="20"/>
          <w:lang w:val="es-PE"/>
        </w:rPr>
        <w:t xml:space="preserve">que permita </w:t>
      </w:r>
      <w:r w:rsidR="00D16453" w:rsidRPr="006D531F">
        <w:rPr>
          <w:rFonts w:asciiTheme="majorHAnsi" w:hAnsiTheme="majorHAnsi"/>
          <w:sz w:val="20"/>
          <w:szCs w:val="20"/>
          <w:lang w:val="es-PE"/>
        </w:rPr>
        <w:t xml:space="preserve">a los pueblos indígenas </w:t>
      </w:r>
      <w:r w:rsidR="00B0374B" w:rsidRPr="006D531F">
        <w:rPr>
          <w:rFonts w:asciiTheme="majorHAnsi" w:hAnsiTheme="majorHAnsi"/>
          <w:sz w:val="20"/>
          <w:szCs w:val="20"/>
          <w:lang w:val="es-PE"/>
        </w:rPr>
        <w:t xml:space="preserve">acudir a instancias que les permitan </w:t>
      </w:r>
      <w:r w:rsidR="00AA6BF2" w:rsidRPr="006D531F">
        <w:rPr>
          <w:rFonts w:asciiTheme="majorHAnsi" w:hAnsiTheme="majorHAnsi"/>
          <w:sz w:val="20"/>
          <w:szCs w:val="20"/>
          <w:lang w:val="es-PE"/>
        </w:rPr>
        <w:t xml:space="preserve">la efectiva protección y garantía de </w:t>
      </w:r>
      <w:r w:rsidR="005760C0" w:rsidRPr="006D531F">
        <w:rPr>
          <w:rFonts w:asciiTheme="majorHAnsi" w:hAnsiTheme="majorHAnsi"/>
          <w:sz w:val="20"/>
          <w:szCs w:val="20"/>
          <w:lang w:val="es-PE"/>
        </w:rPr>
        <w:t xml:space="preserve">su derecho a la libertad de expresión </w:t>
      </w:r>
      <w:r w:rsidR="00A95464" w:rsidRPr="006D531F">
        <w:rPr>
          <w:rFonts w:asciiTheme="majorHAnsi" w:hAnsiTheme="majorHAnsi"/>
          <w:sz w:val="20"/>
          <w:szCs w:val="20"/>
          <w:lang w:val="es-PE"/>
        </w:rPr>
        <w:t xml:space="preserve">respecto a </w:t>
      </w:r>
      <w:r w:rsidR="00140D61" w:rsidRPr="006D531F">
        <w:rPr>
          <w:rFonts w:asciiTheme="majorHAnsi" w:hAnsiTheme="majorHAnsi"/>
          <w:sz w:val="20"/>
          <w:szCs w:val="20"/>
          <w:lang w:val="es-PE"/>
        </w:rPr>
        <w:t xml:space="preserve">la discriminación de facto causada por la </w:t>
      </w:r>
      <w:r w:rsidR="00D75AC2" w:rsidRPr="006D531F">
        <w:rPr>
          <w:rFonts w:asciiTheme="majorHAnsi" w:hAnsiTheme="majorHAnsi"/>
          <w:sz w:val="20"/>
          <w:szCs w:val="20"/>
          <w:lang w:val="es-PE"/>
        </w:rPr>
        <w:t>Ley General de Telecomunicaciones</w:t>
      </w:r>
      <w:r w:rsidR="00614FD8" w:rsidRPr="006D531F">
        <w:rPr>
          <w:rFonts w:asciiTheme="majorHAnsi" w:hAnsiTheme="majorHAnsi"/>
          <w:sz w:val="20"/>
          <w:szCs w:val="20"/>
          <w:lang w:val="es-PE"/>
        </w:rPr>
        <w:t>. Lo anterior, es de particular importancia si se toma en cuenta que</w:t>
      </w:r>
      <w:r w:rsidR="00372335">
        <w:rPr>
          <w:rFonts w:asciiTheme="majorHAnsi" w:hAnsiTheme="majorHAnsi"/>
          <w:sz w:val="20"/>
          <w:szCs w:val="20"/>
          <w:lang w:val="es-PE"/>
        </w:rPr>
        <w:t>,</w:t>
      </w:r>
      <w:r w:rsidR="00CF5DCD">
        <w:rPr>
          <w:rFonts w:asciiTheme="majorHAnsi" w:hAnsiTheme="majorHAnsi"/>
          <w:sz w:val="20"/>
          <w:szCs w:val="20"/>
          <w:lang w:val="es-PE"/>
        </w:rPr>
        <w:t xml:space="preserve"> en el caso concreto,</w:t>
      </w:r>
      <w:r w:rsidR="00614FD8" w:rsidRPr="006D531F">
        <w:rPr>
          <w:rFonts w:asciiTheme="majorHAnsi" w:hAnsiTheme="majorHAnsi"/>
          <w:sz w:val="20"/>
          <w:szCs w:val="20"/>
          <w:lang w:val="es-PE"/>
        </w:rPr>
        <w:t xml:space="preserve"> la propia Corte de Constitucionalidad concluyó que </w:t>
      </w:r>
      <w:r w:rsidR="00F973EA" w:rsidRPr="006D531F">
        <w:rPr>
          <w:rFonts w:asciiTheme="majorHAnsi" w:hAnsiTheme="majorHAnsi"/>
          <w:sz w:val="20"/>
          <w:szCs w:val="20"/>
          <w:lang w:val="es-PE"/>
        </w:rPr>
        <w:t xml:space="preserve">de </w:t>
      </w:r>
      <w:r w:rsidR="00FA37AD" w:rsidRPr="006D531F">
        <w:rPr>
          <w:rFonts w:asciiTheme="majorHAnsi" w:hAnsiTheme="majorHAnsi"/>
          <w:sz w:val="20"/>
          <w:szCs w:val="20"/>
          <w:lang w:val="es-PE"/>
        </w:rPr>
        <w:t>los artículos 61 y 62 d</w:t>
      </w:r>
      <w:r w:rsidR="00F973EA" w:rsidRPr="006D531F">
        <w:rPr>
          <w:rFonts w:asciiTheme="majorHAnsi" w:hAnsiTheme="majorHAnsi"/>
          <w:sz w:val="20"/>
          <w:szCs w:val="20"/>
          <w:lang w:val="es-PE"/>
        </w:rPr>
        <w:t xml:space="preserve">e la ley no se podía </w:t>
      </w:r>
      <w:r w:rsidR="009E2334" w:rsidRPr="006D531F">
        <w:rPr>
          <w:rFonts w:asciiTheme="majorHAnsi" w:hAnsiTheme="majorHAnsi"/>
          <w:sz w:val="20"/>
          <w:szCs w:val="20"/>
          <w:lang w:val="es-PE"/>
        </w:rPr>
        <w:t>advertir ninguna distinción</w:t>
      </w:r>
      <w:r w:rsidR="00DB7D14" w:rsidRPr="006D531F">
        <w:rPr>
          <w:rFonts w:asciiTheme="majorHAnsi" w:hAnsiTheme="majorHAnsi"/>
          <w:sz w:val="20"/>
          <w:szCs w:val="20"/>
          <w:lang w:val="es-PE"/>
        </w:rPr>
        <w:t xml:space="preserve">, exclusión </w:t>
      </w:r>
      <w:r w:rsidR="00346DC7" w:rsidRPr="006D531F">
        <w:rPr>
          <w:rFonts w:asciiTheme="majorHAnsi" w:hAnsiTheme="majorHAnsi"/>
          <w:sz w:val="20"/>
          <w:szCs w:val="20"/>
          <w:lang w:val="es-PE"/>
        </w:rPr>
        <w:t>o limitación para que los pueblos indígenas acced</w:t>
      </w:r>
      <w:r w:rsidR="000B53AD" w:rsidRPr="006D531F">
        <w:rPr>
          <w:rFonts w:asciiTheme="majorHAnsi" w:hAnsiTheme="majorHAnsi"/>
          <w:sz w:val="20"/>
          <w:szCs w:val="20"/>
          <w:lang w:val="es-PE"/>
        </w:rPr>
        <w:t>ieran</w:t>
      </w:r>
      <w:r w:rsidR="00346DC7" w:rsidRPr="006D531F">
        <w:rPr>
          <w:rFonts w:asciiTheme="majorHAnsi" w:hAnsiTheme="majorHAnsi"/>
          <w:sz w:val="20"/>
          <w:szCs w:val="20"/>
          <w:lang w:val="es-PE"/>
        </w:rPr>
        <w:t xml:space="preserve"> a licencias, ya que la normativa </w:t>
      </w:r>
      <w:r w:rsidR="00024903" w:rsidRPr="006D531F">
        <w:rPr>
          <w:rFonts w:asciiTheme="majorHAnsi" w:hAnsiTheme="majorHAnsi"/>
          <w:sz w:val="20"/>
          <w:szCs w:val="20"/>
          <w:lang w:val="es-PE"/>
        </w:rPr>
        <w:t>permitía el acceso a “cualquier persona interesada”</w:t>
      </w:r>
      <w:r w:rsidR="00C9683C" w:rsidRPr="006D531F">
        <w:rPr>
          <w:rFonts w:asciiTheme="majorHAnsi" w:hAnsiTheme="majorHAnsi"/>
          <w:sz w:val="20"/>
          <w:szCs w:val="20"/>
          <w:lang w:val="es-PE"/>
        </w:rPr>
        <w:t>, por lo que no era discriminatoria.</w:t>
      </w:r>
      <w:r w:rsidR="00085014" w:rsidRPr="006D531F">
        <w:rPr>
          <w:rFonts w:asciiTheme="majorHAnsi" w:hAnsiTheme="majorHAnsi"/>
          <w:sz w:val="20"/>
          <w:szCs w:val="20"/>
          <w:lang w:val="es-PE"/>
        </w:rPr>
        <w:t xml:space="preserve"> Dich</w:t>
      </w:r>
      <w:r w:rsidR="00C9683C" w:rsidRPr="006D531F">
        <w:rPr>
          <w:rFonts w:asciiTheme="majorHAnsi" w:hAnsiTheme="majorHAnsi"/>
          <w:sz w:val="20"/>
          <w:szCs w:val="20"/>
          <w:lang w:val="es-PE"/>
        </w:rPr>
        <w:t>a</w:t>
      </w:r>
      <w:r w:rsidR="00085014" w:rsidRPr="006D531F">
        <w:rPr>
          <w:rFonts w:asciiTheme="majorHAnsi" w:hAnsiTheme="majorHAnsi"/>
          <w:sz w:val="20"/>
          <w:szCs w:val="20"/>
          <w:lang w:val="es-PE"/>
        </w:rPr>
        <w:t xml:space="preserve"> decisión no tomó en consideración la desigualdad de facto en la que se encuentran los pueblos </w:t>
      </w:r>
      <w:r w:rsidR="00FB1E95" w:rsidRPr="006D531F">
        <w:rPr>
          <w:rFonts w:asciiTheme="majorHAnsi" w:hAnsiTheme="majorHAnsi"/>
          <w:sz w:val="20"/>
          <w:szCs w:val="20"/>
          <w:lang w:val="es-PE"/>
        </w:rPr>
        <w:t>indígenas,</w:t>
      </w:r>
      <w:r w:rsidR="00085014" w:rsidRPr="006D531F">
        <w:rPr>
          <w:rFonts w:asciiTheme="majorHAnsi" w:hAnsiTheme="majorHAnsi"/>
          <w:sz w:val="20"/>
          <w:szCs w:val="20"/>
          <w:lang w:val="es-PE"/>
        </w:rPr>
        <w:t xml:space="preserve"> </w:t>
      </w:r>
      <w:r w:rsidR="00CC2176" w:rsidRPr="006D531F">
        <w:rPr>
          <w:rFonts w:asciiTheme="majorHAnsi" w:hAnsiTheme="majorHAnsi"/>
          <w:sz w:val="20"/>
          <w:szCs w:val="20"/>
          <w:lang w:val="es-PE"/>
        </w:rPr>
        <w:t>sino que interpretó la norma de conformidad con su neutralidad textual</w:t>
      </w:r>
      <w:r w:rsidR="001A3A79" w:rsidRPr="006D531F">
        <w:rPr>
          <w:rFonts w:asciiTheme="majorHAnsi" w:hAnsiTheme="majorHAnsi"/>
          <w:sz w:val="20"/>
          <w:szCs w:val="20"/>
          <w:lang w:val="es-PE"/>
        </w:rPr>
        <w:t>, sin reconocer</w:t>
      </w:r>
      <w:r w:rsidR="00F554DF" w:rsidRPr="006D531F">
        <w:rPr>
          <w:rFonts w:asciiTheme="majorHAnsi" w:hAnsiTheme="majorHAnsi"/>
          <w:sz w:val="20"/>
          <w:szCs w:val="20"/>
          <w:lang w:val="es-PE"/>
        </w:rPr>
        <w:t xml:space="preserve"> la importancia de la libertad de expresión </w:t>
      </w:r>
      <w:r w:rsidR="00930C29" w:rsidRPr="006D531F">
        <w:rPr>
          <w:rFonts w:asciiTheme="majorHAnsi" w:hAnsiTheme="majorHAnsi"/>
          <w:sz w:val="20"/>
          <w:szCs w:val="20"/>
          <w:lang w:val="es-PE"/>
        </w:rPr>
        <w:t>para dichos pueblos,</w:t>
      </w:r>
      <w:r w:rsidR="005C7619" w:rsidRPr="006D531F">
        <w:rPr>
          <w:rFonts w:asciiTheme="majorHAnsi" w:hAnsiTheme="majorHAnsi"/>
          <w:sz w:val="20"/>
          <w:szCs w:val="20"/>
          <w:lang w:val="es-PE"/>
        </w:rPr>
        <w:t xml:space="preserve"> </w:t>
      </w:r>
      <w:r w:rsidR="007B2AF5" w:rsidRPr="006D531F">
        <w:rPr>
          <w:rFonts w:asciiTheme="majorHAnsi" w:hAnsiTheme="majorHAnsi"/>
          <w:sz w:val="20"/>
          <w:szCs w:val="20"/>
          <w:lang w:val="es-PE"/>
        </w:rPr>
        <w:t xml:space="preserve">por lo que no garantizó </w:t>
      </w:r>
      <w:r w:rsidR="00944A56" w:rsidRPr="006D531F">
        <w:rPr>
          <w:rFonts w:asciiTheme="majorHAnsi" w:hAnsiTheme="majorHAnsi"/>
          <w:sz w:val="20"/>
          <w:szCs w:val="20"/>
          <w:lang w:val="es-PE"/>
        </w:rPr>
        <w:t>los derechos a la libertad de expresión</w:t>
      </w:r>
      <w:r w:rsidR="00DE0380" w:rsidRPr="006D531F">
        <w:rPr>
          <w:rFonts w:asciiTheme="majorHAnsi" w:hAnsiTheme="majorHAnsi"/>
          <w:sz w:val="20"/>
          <w:szCs w:val="20"/>
          <w:lang w:val="es-PE"/>
        </w:rPr>
        <w:t xml:space="preserve">, </w:t>
      </w:r>
      <w:r w:rsidR="00E31CC6" w:rsidRPr="006D531F">
        <w:rPr>
          <w:rFonts w:asciiTheme="majorHAnsi" w:hAnsiTheme="majorHAnsi"/>
          <w:sz w:val="20"/>
          <w:szCs w:val="20"/>
          <w:lang w:val="es-PE"/>
        </w:rPr>
        <w:t>el derecho a la igualdad ante</w:t>
      </w:r>
      <w:r w:rsidR="00846817" w:rsidRPr="006D531F">
        <w:rPr>
          <w:rFonts w:asciiTheme="majorHAnsi" w:hAnsiTheme="majorHAnsi"/>
          <w:sz w:val="20"/>
          <w:szCs w:val="20"/>
          <w:lang w:val="es-PE"/>
        </w:rPr>
        <w:t xml:space="preserve"> la ley y el principio de no discriminación de conformidad con la Convención.</w:t>
      </w:r>
    </w:p>
    <w:p w14:paraId="5DBA3F5E" w14:textId="77777777" w:rsidR="00612B91" w:rsidRPr="006D531F" w:rsidRDefault="00612B91" w:rsidP="00EA00F8">
      <w:pPr>
        <w:pStyle w:val="ListParagraph"/>
        <w:ind w:left="0"/>
        <w:jc w:val="both"/>
        <w:rPr>
          <w:rFonts w:asciiTheme="majorHAnsi" w:hAnsiTheme="majorHAnsi"/>
          <w:color w:val="auto"/>
          <w:sz w:val="20"/>
          <w:szCs w:val="20"/>
          <w:lang w:val="es-CR"/>
        </w:rPr>
      </w:pPr>
    </w:p>
    <w:p w14:paraId="4D1DE2F2" w14:textId="77777777" w:rsidR="00612B91" w:rsidRPr="006D531F" w:rsidRDefault="006B4BF7" w:rsidP="00EA00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R"/>
        </w:rPr>
      </w:pPr>
      <w:r w:rsidRPr="006D531F">
        <w:rPr>
          <w:rFonts w:asciiTheme="majorHAnsi" w:hAnsiTheme="majorHAnsi"/>
          <w:sz w:val="20"/>
          <w:szCs w:val="20"/>
          <w:lang w:val="es-CR"/>
        </w:rPr>
        <w:t xml:space="preserve">La Comisión </w:t>
      </w:r>
      <w:r w:rsidR="00FA7744" w:rsidRPr="006D531F">
        <w:rPr>
          <w:rFonts w:asciiTheme="majorHAnsi" w:hAnsiTheme="majorHAnsi"/>
          <w:sz w:val="20"/>
          <w:szCs w:val="20"/>
          <w:lang w:val="es-CR"/>
        </w:rPr>
        <w:t xml:space="preserve">considera que </w:t>
      </w:r>
      <w:r w:rsidR="00BD5B46" w:rsidRPr="006D531F">
        <w:rPr>
          <w:rFonts w:asciiTheme="majorHAnsi" w:hAnsiTheme="majorHAnsi"/>
          <w:sz w:val="20"/>
          <w:szCs w:val="20"/>
          <w:lang w:val="es-CR"/>
        </w:rPr>
        <w:t xml:space="preserve">la situación estructural de </w:t>
      </w:r>
      <w:r w:rsidR="00AB398F" w:rsidRPr="006D531F">
        <w:rPr>
          <w:rFonts w:asciiTheme="majorHAnsi" w:hAnsiTheme="majorHAnsi"/>
          <w:sz w:val="20"/>
          <w:szCs w:val="20"/>
          <w:lang w:val="es-CR"/>
        </w:rPr>
        <w:t xml:space="preserve">exclusión </w:t>
      </w:r>
      <w:r w:rsidR="009B1CC4" w:rsidRPr="006D531F">
        <w:rPr>
          <w:rFonts w:asciiTheme="majorHAnsi" w:hAnsiTheme="majorHAnsi"/>
          <w:sz w:val="20"/>
          <w:szCs w:val="20"/>
          <w:lang w:val="es-CR"/>
        </w:rPr>
        <w:t xml:space="preserve">social y de discriminación de los pueblos indígenas en Guatemala, </w:t>
      </w:r>
      <w:r w:rsidR="00335A49" w:rsidRPr="006D531F">
        <w:rPr>
          <w:rFonts w:asciiTheme="majorHAnsi" w:hAnsiTheme="majorHAnsi"/>
          <w:sz w:val="20"/>
          <w:szCs w:val="20"/>
          <w:lang w:val="es-CR"/>
        </w:rPr>
        <w:t xml:space="preserve">la ausencia de reconocimiento legal de las radios comunitarias y de procesos y requisitos claros </w:t>
      </w:r>
      <w:r w:rsidR="006A38FB" w:rsidRPr="006D531F">
        <w:rPr>
          <w:rFonts w:asciiTheme="majorHAnsi" w:hAnsiTheme="majorHAnsi"/>
          <w:sz w:val="20"/>
          <w:szCs w:val="20"/>
          <w:lang w:val="es-CR"/>
        </w:rPr>
        <w:t xml:space="preserve">que regulen </w:t>
      </w:r>
      <w:r w:rsidR="005273EF" w:rsidRPr="006D531F">
        <w:rPr>
          <w:rFonts w:asciiTheme="majorHAnsi" w:hAnsiTheme="majorHAnsi"/>
          <w:sz w:val="20"/>
          <w:szCs w:val="20"/>
          <w:lang w:val="es-CR"/>
        </w:rPr>
        <w:t xml:space="preserve">el acceso de las mismas al espectro radioeléctrico, la </w:t>
      </w:r>
      <w:r w:rsidR="0026358B" w:rsidRPr="006D531F">
        <w:rPr>
          <w:rFonts w:asciiTheme="majorHAnsi" w:hAnsiTheme="majorHAnsi"/>
          <w:sz w:val="20"/>
          <w:szCs w:val="20"/>
          <w:lang w:val="es-CR"/>
        </w:rPr>
        <w:t xml:space="preserve">falta de adopción de medidas afirmativas para que los pueblos </w:t>
      </w:r>
      <w:r w:rsidR="00A628DC" w:rsidRPr="006D531F">
        <w:rPr>
          <w:rFonts w:asciiTheme="majorHAnsi" w:hAnsiTheme="majorHAnsi"/>
          <w:sz w:val="20"/>
          <w:szCs w:val="20"/>
          <w:lang w:val="es-CR"/>
        </w:rPr>
        <w:t xml:space="preserve">puedan </w:t>
      </w:r>
      <w:r w:rsidR="00B1222F" w:rsidRPr="006D531F">
        <w:rPr>
          <w:rFonts w:asciiTheme="majorHAnsi" w:hAnsiTheme="majorHAnsi"/>
          <w:sz w:val="20"/>
          <w:szCs w:val="20"/>
          <w:lang w:val="es-CR"/>
        </w:rPr>
        <w:t>acceder a una licencia</w:t>
      </w:r>
      <w:r w:rsidR="00A628DC" w:rsidRPr="006D531F">
        <w:rPr>
          <w:rFonts w:asciiTheme="majorHAnsi" w:hAnsiTheme="majorHAnsi"/>
          <w:sz w:val="20"/>
          <w:szCs w:val="20"/>
          <w:lang w:val="es-CR"/>
        </w:rPr>
        <w:t xml:space="preserve"> en condiciones</w:t>
      </w:r>
      <w:r w:rsidR="0026358B" w:rsidRPr="006D531F">
        <w:rPr>
          <w:rFonts w:asciiTheme="majorHAnsi" w:hAnsiTheme="majorHAnsi"/>
          <w:sz w:val="20"/>
          <w:szCs w:val="20"/>
          <w:lang w:val="es-CR"/>
        </w:rPr>
        <w:t xml:space="preserve"> </w:t>
      </w:r>
      <w:r w:rsidR="00A628DC" w:rsidRPr="006D531F">
        <w:rPr>
          <w:rFonts w:asciiTheme="majorHAnsi" w:hAnsiTheme="majorHAnsi"/>
          <w:sz w:val="20"/>
          <w:szCs w:val="20"/>
          <w:lang w:val="es-CR"/>
        </w:rPr>
        <w:t>de</w:t>
      </w:r>
      <w:r w:rsidR="0026358B" w:rsidRPr="006D531F">
        <w:rPr>
          <w:rFonts w:asciiTheme="majorHAnsi" w:hAnsiTheme="majorHAnsi"/>
          <w:sz w:val="20"/>
          <w:szCs w:val="20"/>
          <w:lang w:val="es-CR"/>
        </w:rPr>
        <w:t xml:space="preserve"> igualdad, </w:t>
      </w:r>
      <w:r w:rsidR="00A56EE3" w:rsidRPr="006D531F">
        <w:rPr>
          <w:rFonts w:asciiTheme="majorHAnsi" w:hAnsiTheme="majorHAnsi"/>
          <w:sz w:val="20"/>
          <w:szCs w:val="20"/>
          <w:lang w:val="es-CR"/>
        </w:rPr>
        <w:t>la falta de mecanismos que permitan enfren</w:t>
      </w:r>
      <w:r w:rsidR="00317FA2" w:rsidRPr="006D531F">
        <w:rPr>
          <w:rFonts w:asciiTheme="majorHAnsi" w:hAnsiTheme="majorHAnsi"/>
          <w:sz w:val="20"/>
          <w:szCs w:val="20"/>
          <w:lang w:val="es-CR"/>
        </w:rPr>
        <w:t xml:space="preserve">tar esta situación y la </w:t>
      </w:r>
      <w:r w:rsidR="00F55373" w:rsidRPr="006D531F">
        <w:rPr>
          <w:rFonts w:asciiTheme="majorHAnsi" w:hAnsiTheme="majorHAnsi"/>
          <w:sz w:val="20"/>
          <w:szCs w:val="20"/>
          <w:lang w:val="es-CR"/>
        </w:rPr>
        <w:t xml:space="preserve">prevalencia de una visión </w:t>
      </w:r>
      <w:r w:rsidR="00DF73B7" w:rsidRPr="006D531F">
        <w:rPr>
          <w:rFonts w:asciiTheme="majorHAnsi" w:hAnsiTheme="majorHAnsi"/>
          <w:sz w:val="20"/>
          <w:szCs w:val="20"/>
          <w:lang w:val="es-CR"/>
        </w:rPr>
        <w:t>que otorga mayor</w:t>
      </w:r>
      <w:r w:rsidR="00F55373" w:rsidRPr="006D531F">
        <w:rPr>
          <w:rFonts w:asciiTheme="majorHAnsi" w:hAnsiTheme="majorHAnsi"/>
          <w:sz w:val="20"/>
          <w:szCs w:val="20"/>
          <w:lang w:val="es-CR"/>
        </w:rPr>
        <w:t xml:space="preserve"> protección a los medios de comunicación comercial </w:t>
      </w:r>
      <w:r w:rsidR="00BA5534" w:rsidRPr="006D531F">
        <w:rPr>
          <w:rFonts w:asciiTheme="majorHAnsi" w:hAnsiTheme="majorHAnsi"/>
          <w:sz w:val="20"/>
          <w:szCs w:val="20"/>
          <w:lang w:val="es-CR"/>
        </w:rPr>
        <w:t>por sobre las radios comunitarias</w:t>
      </w:r>
      <w:r w:rsidR="00CF5DCD">
        <w:rPr>
          <w:rFonts w:asciiTheme="majorHAnsi" w:hAnsiTheme="majorHAnsi"/>
          <w:sz w:val="20"/>
          <w:szCs w:val="20"/>
          <w:lang w:val="es-CR"/>
        </w:rPr>
        <w:t>,</w:t>
      </w:r>
      <w:r w:rsidR="00BA5534" w:rsidRPr="006D531F">
        <w:rPr>
          <w:rFonts w:asciiTheme="majorHAnsi" w:hAnsiTheme="majorHAnsi"/>
          <w:sz w:val="20"/>
          <w:szCs w:val="20"/>
          <w:lang w:val="es-CR"/>
        </w:rPr>
        <w:t xml:space="preserve"> </w:t>
      </w:r>
      <w:r w:rsidR="00AA5DBF" w:rsidRPr="006D531F">
        <w:rPr>
          <w:rFonts w:asciiTheme="majorHAnsi" w:hAnsiTheme="majorHAnsi"/>
          <w:sz w:val="20"/>
          <w:szCs w:val="20"/>
          <w:lang w:val="es-CR"/>
        </w:rPr>
        <w:t>gener</w:t>
      </w:r>
      <w:r w:rsidR="00E82242" w:rsidRPr="006D531F">
        <w:rPr>
          <w:rFonts w:asciiTheme="majorHAnsi" w:hAnsiTheme="majorHAnsi"/>
          <w:sz w:val="20"/>
          <w:szCs w:val="20"/>
          <w:lang w:val="es-CR"/>
        </w:rPr>
        <w:t>ó</w:t>
      </w:r>
      <w:r w:rsidR="00AA5DBF" w:rsidRPr="006D531F">
        <w:rPr>
          <w:rFonts w:asciiTheme="majorHAnsi" w:hAnsiTheme="majorHAnsi"/>
          <w:sz w:val="20"/>
          <w:szCs w:val="20"/>
          <w:lang w:val="es-CR"/>
        </w:rPr>
        <w:t xml:space="preserve"> </w:t>
      </w:r>
      <w:r w:rsidR="00B571F3" w:rsidRPr="006D531F">
        <w:rPr>
          <w:rFonts w:asciiTheme="majorHAnsi" w:hAnsiTheme="majorHAnsi"/>
          <w:sz w:val="20"/>
          <w:szCs w:val="20"/>
          <w:lang w:val="es-CR"/>
        </w:rPr>
        <w:t xml:space="preserve">una situación de </w:t>
      </w:r>
      <w:r w:rsidR="00C57F69" w:rsidRPr="006D531F">
        <w:rPr>
          <w:rFonts w:asciiTheme="majorHAnsi" w:hAnsiTheme="majorHAnsi"/>
          <w:sz w:val="20"/>
          <w:szCs w:val="20"/>
          <w:lang w:val="es-CR"/>
        </w:rPr>
        <w:t xml:space="preserve">discriminación de facto </w:t>
      </w:r>
      <w:r w:rsidR="00497E06" w:rsidRPr="006D531F">
        <w:rPr>
          <w:rFonts w:asciiTheme="majorHAnsi" w:hAnsiTheme="majorHAnsi"/>
          <w:sz w:val="20"/>
          <w:szCs w:val="20"/>
          <w:lang w:val="es-CR"/>
        </w:rPr>
        <w:t xml:space="preserve"> </w:t>
      </w:r>
      <w:r w:rsidR="00B571F3" w:rsidRPr="006D531F">
        <w:rPr>
          <w:rFonts w:asciiTheme="majorHAnsi" w:hAnsiTheme="majorHAnsi"/>
          <w:sz w:val="20"/>
          <w:szCs w:val="20"/>
          <w:lang w:val="es-CR"/>
        </w:rPr>
        <w:t xml:space="preserve">que no ha sido </w:t>
      </w:r>
      <w:r w:rsidR="00385496" w:rsidRPr="006D531F">
        <w:rPr>
          <w:rFonts w:asciiTheme="majorHAnsi" w:hAnsiTheme="majorHAnsi"/>
          <w:sz w:val="20"/>
          <w:szCs w:val="20"/>
          <w:lang w:val="es-CR"/>
        </w:rPr>
        <w:t>revertida por el Estado.</w:t>
      </w:r>
      <w:r w:rsidR="00F34E9E">
        <w:rPr>
          <w:rFonts w:asciiTheme="majorHAnsi" w:hAnsiTheme="majorHAnsi"/>
          <w:sz w:val="20"/>
          <w:szCs w:val="20"/>
          <w:lang w:val="es-CR"/>
        </w:rPr>
        <w:t xml:space="preserve"> En particular, la situación se torna más grave en un contexto de elevada concentración en la propiedad y control de los medios de comunicación, como el existente en Guatemala.</w:t>
      </w:r>
    </w:p>
    <w:p w14:paraId="0E984A0A" w14:textId="77777777" w:rsidR="00B50944" w:rsidRPr="006D531F" w:rsidRDefault="00B50944" w:rsidP="005234F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R"/>
        </w:rPr>
      </w:pPr>
    </w:p>
    <w:p w14:paraId="035D193C" w14:textId="77777777" w:rsidR="00537168" w:rsidRPr="000D11B6" w:rsidRDefault="00826270" w:rsidP="00EA00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R"/>
        </w:rPr>
      </w:pPr>
      <w:r w:rsidRPr="006D531F">
        <w:rPr>
          <w:rFonts w:asciiTheme="majorHAnsi" w:hAnsiTheme="majorHAnsi"/>
          <w:sz w:val="20"/>
          <w:szCs w:val="20"/>
          <w:lang w:val="es-CR"/>
        </w:rPr>
        <w:t xml:space="preserve">Debido a todo lo señalado anteriormente, </w:t>
      </w:r>
      <w:r w:rsidR="00E743FC" w:rsidRPr="006D531F">
        <w:rPr>
          <w:rFonts w:asciiTheme="majorHAnsi" w:hAnsiTheme="majorHAnsi"/>
          <w:sz w:val="20"/>
          <w:szCs w:val="20"/>
          <w:lang w:val="es-CR"/>
        </w:rPr>
        <w:t xml:space="preserve">los pueblos indígenas del caso no pudieron </w:t>
      </w:r>
      <w:r w:rsidR="00346E2F" w:rsidRPr="006D531F">
        <w:rPr>
          <w:rFonts w:asciiTheme="majorHAnsi" w:hAnsiTheme="majorHAnsi"/>
          <w:sz w:val="20"/>
          <w:szCs w:val="20"/>
          <w:lang w:val="es-CR"/>
        </w:rPr>
        <w:t>ejercer</w:t>
      </w:r>
      <w:r w:rsidR="00CF5DCD">
        <w:rPr>
          <w:rFonts w:asciiTheme="majorHAnsi" w:hAnsiTheme="majorHAnsi"/>
          <w:sz w:val="20"/>
          <w:szCs w:val="20"/>
          <w:lang w:val="es-CR"/>
        </w:rPr>
        <w:t xml:space="preserve"> en plenitud</w:t>
      </w:r>
      <w:r w:rsidR="00346E2F" w:rsidRPr="006D531F">
        <w:rPr>
          <w:rFonts w:asciiTheme="majorHAnsi" w:hAnsiTheme="majorHAnsi"/>
          <w:sz w:val="20"/>
          <w:szCs w:val="20"/>
          <w:lang w:val="es-CR"/>
        </w:rPr>
        <w:t xml:space="preserve"> su derecho a la libertad de expresión a través del medio de su elección: las radios comunitarias. </w:t>
      </w:r>
      <w:r w:rsidR="001606A4" w:rsidRPr="006D531F">
        <w:rPr>
          <w:rFonts w:asciiTheme="majorHAnsi" w:hAnsiTheme="majorHAnsi"/>
          <w:sz w:val="20"/>
          <w:szCs w:val="20"/>
          <w:lang w:val="es-CR"/>
        </w:rPr>
        <w:t>E</w:t>
      </w:r>
      <w:r w:rsidR="00B2160E" w:rsidRPr="006D531F">
        <w:rPr>
          <w:rFonts w:asciiTheme="majorHAnsi" w:hAnsiTheme="majorHAnsi"/>
          <w:sz w:val="20"/>
          <w:szCs w:val="20"/>
          <w:lang w:val="es-CR"/>
        </w:rPr>
        <w:t>st</w:t>
      </w:r>
      <w:r w:rsidR="00802BA7" w:rsidRPr="006D531F">
        <w:rPr>
          <w:rFonts w:asciiTheme="majorHAnsi" w:hAnsiTheme="majorHAnsi"/>
          <w:sz w:val="20"/>
          <w:szCs w:val="20"/>
          <w:lang w:val="es-CR"/>
        </w:rPr>
        <w:t>as</w:t>
      </w:r>
      <w:r w:rsidR="00DD213C" w:rsidRPr="006D531F">
        <w:rPr>
          <w:rFonts w:asciiTheme="majorHAnsi" w:hAnsiTheme="majorHAnsi"/>
          <w:sz w:val="20"/>
          <w:szCs w:val="20"/>
          <w:lang w:val="es-CR"/>
        </w:rPr>
        <w:t xml:space="preserve"> radios</w:t>
      </w:r>
      <w:r w:rsidR="00802BA7" w:rsidRPr="006D531F">
        <w:rPr>
          <w:rFonts w:asciiTheme="majorHAnsi" w:hAnsiTheme="majorHAnsi"/>
          <w:sz w:val="20"/>
          <w:szCs w:val="20"/>
          <w:lang w:val="es-CR"/>
        </w:rPr>
        <w:t xml:space="preserve"> constituyen </w:t>
      </w:r>
      <w:r w:rsidR="00EE4912" w:rsidRPr="006D531F">
        <w:rPr>
          <w:rFonts w:asciiTheme="majorHAnsi" w:hAnsiTheme="majorHAnsi"/>
          <w:sz w:val="20"/>
          <w:szCs w:val="20"/>
          <w:lang w:val="es-PE"/>
        </w:rPr>
        <w:t>medios de comunicación fundamentales para garantizar a los pueblos indígenas el efectivo ejercicio de su derecho a la libertad de expresión y acceso a la información</w:t>
      </w:r>
      <w:r w:rsidR="0051701A" w:rsidRPr="006D531F">
        <w:rPr>
          <w:rFonts w:asciiTheme="majorHAnsi" w:hAnsiTheme="majorHAnsi"/>
          <w:sz w:val="20"/>
          <w:szCs w:val="20"/>
          <w:lang w:val="es-PE"/>
        </w:rPr>
        <w:t>. Ello,</w:t>
      </w:r>
      <w:r w:rsidR="009430F8" w:rsidRPr="006D531F">
        <w:rPr>
          <w:rFonts w:asciiTheme="majorHAnsi" w:hAnsiTheme="majorHAnsi"/>
          <w:sz w:val="20"/>
          <w:szCs w:val="20"/>
          <w:lang w:val="es-PE"/>
        </w:rPr>
        <w:t xml:space="preserve"> debido a que so</w:t>
      </w:r>
      <w:r w:rsidR="009D578C" w:rsidRPr="006D531F">
        <w:rPr>
          <w:rFonts w:asciiTheme="majorHAnsi" w:hAnsiTheme="majorHAnsi"/>
          <w:sz w:val="20"/>
          <w:szCs w:val="20"/>
          <w:lang w:val="es-PE"/>
        </w:rPr>
        <w:t xml:space="preserve">n </w:t>
      </w:r>
      <w:r w:rsidR="00102079" w:rsidRPr="006D531F">
        <w:rPr>
          <w:rFonts w:asciiTheme="majorHAnsi" w:hAnsiTheme="majorHAnsi"/>
          <w:sz w:val="20"/>
          <w:szCs w:val="20"/>
          <w:lang w:val="es-PE"/>
        </w:rPr>
        <w:t xml:space="preserve">los mecanismos más efectivos </w:t>
      </w:r>
      <w:r w:rsidR="00EA3C8B" w:rsidRPr="006D531F">
        <w:rPr>
          <w:rFonts w:asciiTheme="majorHAnsi" w:hAnsiTheme="majorHAnsi"/>
          <w:sz w:val="20"/>
          <w:szCs w:val="20"/>
          <w:lang w:val="es-PE"/>
        </w:rPr>
        <w:t xml:space="preserve">y económicos </w:t>
      </w:r>
      <w:r w:rsidR="00692FAE" w:rsidRPr="006D531F">
        <w:rPr>
          <w:rFonts w:asciiTheme="majorHAnsi" w:hAnsiTheme="majorHAnsi"/>
          <w:sz w:val="20"/>
          <w:szCs w:val="20"/>
          <w:lang w:val="es-PE"/>
        </w:rPr>
        <w:t>para que sus miembros accedan a información</w:t>
      </w:r>
      <w:r w:rsidR="009D578C" w:rsidRPr="006D531F">
        <w:rPr>
          <w:rFonts w:asciiTheme="majorHAnsi" w:hAnsiTheme="majorHAnsi"/>
          <w:sz w:val="20"/>
          <w:szCs w:val="20"/>
          <w:lang w:val="es-PE"/>
        </w:rPr>
        <w:t xml:space="preserve"> de </w:t>
      </w:r>
      <w:r w:rsidR="003E532A" w:rsidRPr="006D531F">
        <w:rPr>
          <w:rFonts w:asciiTheme="majorHAnsi" w:hAnsiTheme="majorHAnsi"/>
          <w:sz w:val="20"/>
          <w:szCs w:val="20"/>
          <w:lang w:val="es-PE"/>
        </w:rPr>
        <w:t xml:space="preserve">toda índole, especialmente de </w:t>
      </w:r>
      <w:r w:rsidR="009D578C" w:rsidRPr="006D531F">
        <w:rPr>
          <w:rFonts w:asciiTheme="majorHAnsi" w:hAnsiTheme="majorHAnsi"/>
          <w:sz w:val="20"/>
          <w:szCs w:val="20"/>
          <w:lang w:val="es-PE"/>
        </w:rPr>
        <w:t>interés público</w:t>
      </w:r>
      <w:r w:rsidR="00621E09" w:rsidRPr="006D531F">
        <w:rPr>
          <w:rFonts w:asciiTheme="majorHAnsi" w:hAnsiTheme="majorHAnsi"/>
          <w:sz w:val="20"/>
          <w:szCs w:val="20"/>
          <w:lang w:val="es-PE"/>
        </w:rPr>
        <w:t>,</w:t>
      </w:r>
      <w:r w:rsidR="009D578C" w:rsidRPr="006D531F">
        <w:rPr>
          <w:rFonts w:asciiTheme="majorHAnsi" w:hAnsiTheme="majorHAnsi"/>
          <w:sz w:val="20"/>
          <w:szCs w:val="20"/>
          <w:lang w:val="es-PE"/>
        </w:rPr>
        <w:t xml:space="preserve"> y </w:t>
      </w:r>
      <w:r w:rsidR="003E532A" w:rsidRPr="006D531F">
        <w:rPr>
          <w:rFonts w:asciiTheme="majorHAnsi" w:hAnsiTheme="majorHAnsi"/>
          <w:sz w:val="20"/>
          <w:szCs w:val="20"/>
          <w:lang w:val="es-PE"/>
        </w:rPr>
        <w:t>en relación con</w:t>
      </w:r>
      <w:r w:rsidR="007A0E06" w:rsidRPr="006D531F">
        <w:rPr>
          <w:rFonts w:asciiTheme="majorHAnsi" w:hAnsiTheme="majorHAnsi"/>
          <w:sz w:val="20"/>
          <w:szCs w:val="20"/>
          <w:lang w:val="es-PE"/>
        </w:rPr>
        <w:t xml:space="preserve"> lo</w:t>
      </w:r>
      <w:r w:rsidR="004579FB" w:rsidRPr="006D531F">
        <w:rPr>
          <w:rFonts w:asciiTheme="majorHAnsi" w:hAnsiTheme="majorHAnsi"/>
          <w:sz w:val="20"/>
          <w:szCs w:val="20"/>
          <w:lang w:val="es-PE"/>
        </w:rPr>
        <w:t xml:space="preserve"> que</w:t>
      </w:r>
      <w:r w:rsidR="007A0E06" w:rsidRPr="006D531F">
        <w:rPr>
          <w:rFonts w:asciiTheme="majorHAnsi" w:hAnsiTheme="majorHAnsi"/>
          <w:sz w:val="20"/>
          <w:szCs w:val="20"/>
          <w:lang w:val="es-PE"/>
        </w:rPr>
        <w:t xml:space="preserve"> </w:t>
      </w:r>
      <w:r w:rsidR="008829A7" w:rsidRPr="006D531F">
        <w:rPr>
          <w:rFonts w:asciiTheme="majorHAnsi" w:hAnsiTheme="majorHAnsi"/>
          <w:sz w:val="20"/>
          <w:szCs w:val="20"/>
          <w:lang w:val="es-PE"/>
        </w:rPr>
        <w:t>ocurre en sus comunidades,</w:t>
      </w:r>
      <w:r w:rsidR="00A13B44" w:rsidRPr="006D531F">
        <w:rPr>
          <w:rFonts w:asciiTheme="majorHAnsi" w:hAnsiTheme="majorHAnsi"/>
          <w:sz w:val="20"/>
          <w:szCs w:val="20"/>
          <w:lang w:val="es-PE"/>
        </w:rPr>
        <w:t xml:space="preserve"> </w:t>
      </w:r>
      <w:r w:rsidR="00AE50BD" w:rsidRPr="006D531F">
        <w:rPr>
          <w:rFonts w:asciiTheme="majorHAnsi" w:hAnsiTheme="majorHAnsi"/>
          <w:sz w:val="20"/>
          <w:szCs w:val="20"/>
          <w:lang w:val="es-PE"/>
        </w:rPr>
        <w:t xml:space="preserve">sobre todo si se </w:t>
      </w:r>
      <w:r w:rsidR="00A13B44" w:rsidRPr="006D531F">
        <w:rPr>
          <w:rFonts w:asciiTheme="majorHAnsi" w:hAnsiTheme="majorHAnsi"/>
          <w:sz w:val="20"/>
          <w:szCs w:val="20"/>
          <w:lang w:val="es-PE"/>
        </w:rPr>
        <w:t xml:space="preserve">toma en </w:t>
      </w:r>
      <w:r w:rsidR="00A13B44" w:rsidRPr="006D531F">
        <w:rPr>
          <w:rFonts w:asciiTheme="majorHAnsi" w:hAnsiTheme="majorHAnsi"/>
          <w:sz w:val="20"/>
          <w:szCs w:val="20"/>
          <w:lang w:val="es-PE"/>
        </w:rPr>
        <w:lastRenderedPageBreak/>
        <w:t xml:space="preserve">consideración </w:t>
      </w:r>
      <w:r w:rsidR="00C52822" w:rsidRPr="006D531F">
        <w:rPr>
          <w:rFonts w:asciiTheme="majorHAnsi" w:hAnsiTheme="majorHAnsi"/>
          <w:sz w:val="20"/>
          <w:szCs w:val="20"/>
          <w:lang w:val="es-PE"/>
        </w:rPr>
        <w:t xml:space="preserve">el </w:t>
      </w:r>
      <w:r w:rsidR="00E307A7" w:rsidRPr="006D531F">
        <w:rPr>
          <w:rFonts w:asciiTheme="majorHAnsi" w:hAnsiTheme="majorHAnsi"/>
          <w:sz w:val="20"/>
          <w:szCs w:val="20"/>
          <w:lang w:val="es-PE"/>
        </w:rPr>
        <w:t>acceso limitado</w:t>
      </w:r>
      <w:r w:rsidR="00C52822" w:rsidRPr="006D531F">
        <w:rPr>
          <w:rFonts w:asciiTheme="majorHAnsi" w:hAnsiTheme="majorHAnsi"/>
          <w:sz w:val="20"/>
          <w:szCs w:val="20"/>
          <w:lang w:val="es-PE"/>
        </w:rPr>
        <w:t xml:space="preserve"> </w:t>
      </w:r>
      <w:r w:rsidR="0024230C" w:rsidRPr="006D531F">
        <w:rPr>
          <w:rFonts w:asciiTheme="majorHAnsi" w:hAnsiTheme="majorHAnsi"/>
          <w:sz w:val="20"/>
          <w:szCs w:val="20"/>
          <w:lang w:val="es-PE"/>
        </w:rPr>
        <w:t xml:space="preserve">de los pueblos indígenas </w:t>
      </w:r>
      <w:r w:rsidR="00E307A7" w:rsidRPr="006D531F">
        <w:rPr>
          <w:rFonts w:asciiTheme="majorHAnsi" w:hAnsiTheme="majorHAnsi"/>
          <w:sz w:val="20"/>
          <w:szCs w:val="20"/>
          <w:lang w:val="es-PE"/>
        </w:rPr>
        <w:t xml:space="preserve">a otros medios y tecnologías. </w:t>
      </w:r>
      <w:r w:rsidR="00CF5DCD">
        <w:rPr>
          <w:rFonts w:asciiTheme="majorHAnsi" w:hAnsiTheme="majorHAnsi"/>
          <w:sz w:val="20"/>
          <w:szCs w:val="20"/>
          <w:lang w:val="es-PE"/>
        </w:rPr>
        <w:t xml:space="preserve">En este sentido, a juicio de la Comisión Interamericana, el Estado de Guatemala violó respecto a los peticionarios el artículo 13.1 y 13.3 de la Convención Americana, en tanto no han podido ejercer la libertad de expresión por "cualquier procedimiento a su elección", debido a la existencia de acciones y omisiones del Estado que han constituido medios indirectos para impedirles la circulación </w:t>
      </w:r>
      <w:r w:rsidR="002D5FE3">
        <w:rPr>
          <w:rFonts w:asciiTheme="majorHAnsi" w:hAnsiTheme="majorHAnsi"/>
          <w:sz w:val="20"/>
          <w:szCs w:val="20"/>
          <w:lang w:val="es-PE"/>
        </w:rPr>
        <w:t>de</w:t>
      </w:r>
      <w:r w:rsidR="00AB538D">
        <w:rPr>
          <w:rFonts w:asciiTheme="majorHAnsi" w:hAnsiTheme="majorHAnsi"/>
          <w:sz w:val="20"/>
          <w:szCs w:val="20"/>
          <w:lang w:val="es-PE"/>
        </w:rPr>
        <w:t xml:space="preserve"> información,</w:t>
      </w:r>
      <w:r w:rsidR="002D5FE3">
        <w:rPr>
          <w:rFonts w:asciiTheme="majorHAnsi" w:hAnsiTheme="majorHAnsi"/>
          <w:sz w:val="20"/>
          <w:szCs w:val="20"/>
          <w:lang w:val="es-PE"/>
        </w:rPr>
        <w:t xml:space="preserve"> ideas y opiniones.</w:t>
      </w:r>
    </w:p>
    <w:p w14:paraId="259DBDBC" w14:textId="77777777" w:rsidR="009943C6" w:rsidRPr="000D11B6" w:rsidRDefault="009943C6" w:rsidP="000D11B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R"/>
        </w:rPr>
      </w:pPr>
    </w:p>
    <w:p w14:paraId="2F848BD9" w14:textId="77777777" w:rsidR="001734A9" w:rsidRPr="000D11B6" w:rsidRDefault="00AB538D" w:rsidP="000D11B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eastAsia="Batang" w:hAnsiTheme="majorHAnsi" w:cs="Arial"/>
          <w:sz w:val="20"/>
          <w:szCs w:val="20"/>
          <w:bdr w:val="none" w:sz="0" w:space="0" w:color="auto"/>
          <w:lang w:val="es-ES"/>
        </w:rPr>
      </w:pPr>
      <w:r w:rsidRPr="001734A9">
        <w:rPr>
          <w:rFonts w:asciiTheme="majorHAnsi" w:hAnsiTheme="majorHAnsi"/>
          <w:sz w:val="20"/>
          <w:szCs w:val="20"/>
          <w:lang w:val="es-PE"/>
        </w:rPr>
        <w:t>E</w:t>
      </w:r>
      <w:r w:rsidR="00265528" w:rsidRPr="00514B7B">
        <w:rPr>
          <w:rFonts w:asciiTheme="majorHAnsi" w:hAnsiTheme="majorHAnsi"/>
          <w:sz w:val="20"/>
          <w:szCs w:val="20"/>
          <w:lang w:val="es-PE"/>
        </w:rPr>
        <w:t xml:space="preserve">l impedimento </w:t>
      </w:r>
      <w:r w:rsidR="00BD11E4" w:rsidRPr="00514B7B">
        <w:rPr>
          <w:rFonts w:asciiTheme="majorHAnsi" w:hAnsiTheme="majorHAnsi"/>
          <w:sz w:val="20"/>
          <w:szCs w:val="20"/>
          <w:lang w:val="es-PE"/>
        </w:rPr>
        <w:t>de facto gen</w:t>
      </w:r>
      <w:r w:rsidR="00363B35" w:rsidRPr="00514B7B">
        <w:rPr>
          <w:rFonts w:asciiTheme="majorHAnsi" w:hAnsiTheme="majorHAnsi"/>
          <w:sz w:val="20"/>
          <w:szCs w:val="20"/>
          <w:lang w:val="es-PE"/>
        </w:rPr>
        <w:t>er</w:t>
      </w:r>
      <w:r w:rsidR="00BD11E4" w:rsidRPr="00514B7B">
        <w:rPr>
          <w:rFonts w:asciiTheme="majorHAnsi" w:hAnsiTheme="majorHAnsi"/>
          <w:sz w:val="20"/>
          <w:szCs w:val="20"/>
          <w:lang w:val="es-PE"/>
        </w:rPr>
        <w:t xml:space="preserve">ado por la normativa interna </w:t>
      </w:r>
      <w:r w:rsidR="007F0865" w:rsidRPr="00514B7B">
        <w:rPr>
          <w:rFonts w:asciiTheme="majorHAnsi" w:hAnsiTheme="majorHAnsi"/>
          <w:sz w:val="20"/>
          <w:szCs w:val="20"/>
          <w:lang w:val="es-PE"/>
        </w:rPr>
        <w:t>limitó</w:t>
      </w:r>
      <w:r w:rsidR="00484099" w:rsidRPr="00D64E90">
        <w:rPr>
          <w:rFonts w:asciiTheme="majorHAnsi" w:hAnsiTheme="majorHAnsi"/>
          <w:sz w:val="20"/>
          <w:szCs w:val="20"/>
          <w:lang w:val="es-PE"/>
        </w:rPr>
        <w:t xml:space="preserve"> el acceso</w:t>
      </w:r>
      <w:r w:rsidR="00CF5D27" w:rsidRPr="00D64E90">
        <w:rPr>
          <w:rFonts w:asciiTheme="majorHAnsi" w:hAnsiTheme="majorHAnsi"/>
          <w:sz w:val="20"/>
          <w:szCs w:val="20"/>
          <w:lang w:val="es-PE"/>
        </w:rPr>
        <w:t xml:space="preserve"> </w:t>
      </w:r>
      <w:r w:rsidR="001E4BBF" w:rsidRPr="00D64E90">
        <w:rPr>
          <w:rFonts w:asciiTheme="majorHAnsi" w:hAnsiTheme="majorHAnsi"/>
          <w:sz w:val="20"/>
          <w:szCs w:val="20"/>
          <w:lang w:val="es-PE"/>
        </w:rPr>
        <w:t>de los pueblos indígenas a información</w:t>
      </w:r>
      <w:r w:rsidR="00607423" w:rsidRPr="00D64E90">
        <w:rPr>
          <w:rFonts w:asciiTheme="majorHAnsi" w:hAnsiTheme="majorHAnsi"/>
          <w:sz w:val="20"/>
          <w:szCs w:val="20"/>
          <w:lang w:val="es-PE"/>
        </w:rPr>
        <w:t xml:space="preserve"> diversa</w:t>
      </w:r>
      <w:r w:rsidR="00EF5346" w:rsidRPr="00A53EA9">
        <w:rPr>
          <w:rFonts w:asciiTheme="majorHAnsi" w:hAnsiTheme="majorHAnsi"/>
          <w:sz w:val="20"/>
          <w:szCs w:val="20"/>
          <w:lang w:val="es-PE"/>
        </w:rPr>
        <w:t xml:space="preserve"> y sobre todo de interés público</w:t>
      </w:r>
      <w:r w:rsidR="00D912F5" w:rsidRPr="001734A9">
        <w:rPr>
          <w:rFonts w:asciiTheme="majorHAnsi" w:hAnsiTheme="majorHAnsi"/>
          <w:sz w:val="20"/>
          <w:szCs w:val="20"/>
          <w:lang w:val="es-PE"/>
        </w:rPr>
        <w:t>, así como a</w:t>
      </w:r>
      <w:r w:rsidR="008C7AD7" w:rsidRPr="001734A9">
        <w:rPr>
          <w:rFonts w:asciiTheme="majorHAnsi" w:hAnsiTheme="majorHAnsi"/>
          <w:sz w:val="20"/>
          <w:szCs w:val="20"/>
          <w:lang w:val="es-PE"/>
        </w:rPr>
        <w:t xml:space="preserve">l intercambio de ideas y opiniones </w:t>
      </w:r>
      <w:r w:rsidR="00D322F8" w:rsidRPr="001734A9">
        <w:rPr>
          <w:rFonts w:asciiTheme="majorHAnsi" w:hAnsiTheme="majorHAnsi"/>
          <w:sz w:val="20"/>
          <w:szCs w:val="20"/>
          <w:lang w:val="es-PE"/>
        </w:rPr>
        <w:t xml:space="preserve">de toda índole, en particular </w:t>
      </w:r>
      <w:r w:rsidR="0004063A" w:rsidRPr="001734A9">
        <w:rPr>
          <w:rFonts w:asciiTheme="majorHAnsi" w:hAnsiTheme="majorHAnsi"/>
          <w:sz w:val="20"/>
          <w:szCs w:val="20"/>
          <w:lang w:val="es-PE"/>
        </w:rPr>
        <w:t xml:space="preserve">la perteneciente </w:t>
      </w:r>
      <w:r w:rsidR="00D00AFA" w:rsidRPr="001734A9">
        <w:rPr>
          <w:rFonts w:asciiTheme="majorHAnsi" w:hAnsiTheme="majorHAnsi"/>
          <w:sz w:val="20"/>
          <w:szCs w:val="20"/>
          <w:lang w:val="es-PE"/>
        </w:rPr>
        <w:t>a su historia, tradiciones, cultura e identidad</w:t>
      </w:r>
      <w:r w:rsidR="00955BCB" w:rsidRPr="001734A9">
        <w:rPr>
          <w:rFonts w:asciiTheme="majorHAnsi" w:hAnsiTheme="majorHAnsi"/>
          <w:sz w:val="20"/>
          <w:szCs w:val="20"/>
          <w:lang w:val="es-PE"/>
        </w:rPr>
        <w:t>, en su propia lengua</w:t>
      </w:r>
      <w:r w:rsidR="006F37B1" w:rsidRPr="001734A9">
        <w:rPr>
          <w:rFonts w:asciiTheme="majorHAnsi" w:hAnsiTheme="majorHAnsi"/>
          <w:sz w:val="20"/>
          <w:szCs w:val="20"/>
          <w:lang w:val="es-PE"/>
        </w:rPr>
        <w:t>.</w:t>
      </w:r>
      <w:r w:rsidR="00402840" w:rsidRPr="001734A9">
        <w:rPr>
          <w:rFonts w:asciiTheme="majorHAnsi" w:hAnsiTheme="majorHAnsi"/>
          <w:sz w:val="20"/>
          <w:szCs w:val="20"/>
          <w:lang w:val="es-PE"/>
        </w:rPr>
        <w:t xml:space="preserve"> Al impedir en la práctica que </w:t>
      </w:r>
      <w:r w:rsidR="000C6F5C" w:rsidRPr="001734A9">
        <w:rPr>
          <w:rFonts w:asciiTheme="majorHAnsi" w:hAnsiTheme="majorHAnsi"/>
          <w:sz w:val="20"/>
          <w:szCs w:val="20"/>
          <w:lang w:val="es-PE"/>
        </w:rPr>
        <w:t xml:space="preserve">los pueblos utilicen las frecuencias de radio, </w:t>
      </w:r>
      <w:r w:rsidR="00120C04" w:rsidRPr="001734A9">
        <w:rPr>
          <w:rFonts w:asciiTheme="majorHAnsi" w:hAnsiTheme="majorHAnsi"/>
          <w:sz w:val="20"/>
          <w:szCs w:val="20"/>
          <w:lang w:val="es-PE"/>
        </w:rPr>
        <w:t xml:space="preserve">no solo se limitó </w:t>
      </w:r>
      <w:r w:rsidR="00170CC8" w:rsidRPr="001734A9">
        <w:rPr>
          <w:rFonts w:asciiTheme="majorHAnsi" w:hAnsiTheme="majorHAnsi"/>
          <w:sz w:val="20"/>
          <w:szCs w:val="20"/>
          <w:lang w:val="es-PE"/>
        </w:rPr>
        <w:t xml:space="preserve">su derecho a la libertad de expresión, sino también sus derechos culturales, </w:t>
      </w:r>
      <w:r w:rsidR="00004610" w:rsidRPr="001734A9">
        <w:rPr>
          <w:rFonts w:asciiTheme="majorHAnsi" w:hAnsiTheme="majorHAnsi"/>
          <w:sz w:val="20"/>
          <w:szCs w:val="20"/>
          <w:lang w:val="es-PE"/>
        </w:rPr>
        <w:t xml:space="preserve">debido a que como fue establecido, </w:t>
      </w:r>
      <w:r w:rsidR="0016436C" w:rsidRPr="001734A9">
        <w:rPr>
          <w:rFonts w:asciiTheme="majorHAnsi" w:hAnsiTheme="majorHAnsi"/>
          <w:sz w:val="20"/>
          <w:szCs w:val="20"/>
          <w:lang w:val="es-PE"/>
        </w:rPr>
        <w:t xml:space="preserve">las radios comunitarias son </w:t>
      </w:r>
      <w:r w:rsidR="00B6074E" w:rsidRPr="001734A9">
        <w:rPr>
          <w:rFonts w:asciiTheme="majorHAnsi" w:hAnsiTheme="majorHAnsi"/>
          <w:sz w:val="20"/>
          <w:szCs w:val="20"/>
          <w:lang w:val="es-PE"/>
        </w:rPr>
        <w:t>mecanismos</w:t>
      </w:r>
      <w:r w:rsidR="00D3512A" w:rsidRPr="001734A9">
        <w:rPr>
          <w:rFonts w:asciiTheme="majorHAnsi" w:hAnsiTheme="majorHAnsi"/>
          <w:sz w:val="20"/>
          <w:szCs w:val="20"/>
          <w:lang w:val="es-PE"/>
        </w:rPr>
        <w:t xml:space="preserve"> que</w:t>
      </w:r>
      <w:r w:rsidR="0058207B" w:rsidRPr="001734A9">
        <w:rPr>
          <w:rFonts w:asciiTheme="majorHAnsi" w:hAnsiTheme="majorHAnsi"/>
          <w:sz w:val="20"/>
          <w:szCs w:val="20"/>
          <w:lang w:val="es-PE"/>
        </w:rPr>
        <w:t xml:space="preserve"> hacen accesible </w:t>
      </w:r>
      <w:r w:rsidR="000646A2" w:rsidRPr="001734A9">
        <w:rPr>
          <w:rFonts w:asciiTheme="majorHAnsi" w:hAnsiTheme="majorHAnsi"/>
          <w:sz w:val="20"/>
          <w:szCs w:val="20"/>
          <w:lang w:val="es-PE"/>
        </w:rPr>
        <w:t xml:space="preserve">la participación en la vida cultural </w:t>
      </w:r>
      <w:r w:rsidR="00A54711" w:rsidRPr="001734A9">
        <w:rPr>
          <w:rFonts w:asciiTheme="majorHAnsi" w:hAnsiTheme="majorHAnsi"/>
          <w:sz w:val="20"/>
          <w:szCs w:val="20"/>
          <w:lang w:val="es-PE"/>
        </w:rPr>
        <w:t xml:space="preserve">y preservación de la cultura de </w:t>
      </w:r>
      <w:r w:rsidR="00C7228F" w:rsidRPr="001734A9">
        <w:rPr>
          <w:rFonts w:asciiTheme="majorHAnsi" w:hAnsiTheme="majorHAnsi"/>
          <w:sz w:val="20"/>
          <w:szCs w:val="20"/>
          <w:lang w:val="es-PE"/>
        </w:rPr>
        <w:t>lo</w:t>
      </w:r>
      <w:r w:rsidR="00A54711" w:rsidRPr="001734A9">
        <w:rPr>
          <w:rFonts w:asciiTheme="majorHAnsi" w:hAnsiTheme="majorHAnsi"/>
          <w:sz w:val="20"/>
          <w:szCs w:val="20"/>
          <w:lang w:val="es-PE"/>
        </w:rPr>
        <w:t>s pueblos</w:t>
      </w:r>
      <w:r w:rsidR="00C7228F" w:rsidRPr="001734A9">
        <w:rPr>
          <w:rFonts w:asciiTheme="majorHAnsi" w:hAnsiTheme="majorHAnsi"/>
          <w:sz w:val="20"/>
          <w:szCs w:val="20"/>
          <w:lang w:val="es-PE"/>
        </w:rPr>
        <w:t xml:space="preserve"> indígenas</w:t>
      </w:r>
      <w:r w:rsidR="00A54711" w:rsidRPr="001734A9">
        <w:rPr>
          <w:rFonts w:asciiTheme="majorHAnsi" w:hAnsiTheme="majorHAnsi"/>
          <w:sz w:val="20"/>
          <w:szCs w:val="20"/>
          <w:lang w:val="es-PE"/>
        </w:rPr>
        <w:t xml:space="preserve">. </w:t>
      </w:r>
      <w:r w:rsidR="003C6124" w:rsidRPr="001734A9">
        <w:rPr>
          <w:rFonts w:asciiTheme="majorHAnsi" w:hAnsiTheme="majorHAnsi"/>
          <w:sz w:val="20"/>
          <w:szCs w:val="20"/>
          <w:lang w:val="es-PE"/>
        </w:rPr>
        <w:t xml:space="preserve">Las radios comunitarias son herramientas imprescindibles </w:t>
      </w:r>
      <w:r w:rsidR="00DA150C" w:rsidRPr="001734A9">
        <w:rPr>
          <w:rFonts w:asciiTheme="majorHAnsi" w:hAnsiTheme="majorHAnsi"/>
          <w:sz w:val="20"/>
          <w:szCs w:val="20"/>
          <w:lang w:val="es-PE"/>
        </w:rPr>
        <w:t xml:space="preserve">para la preservación, mantenimiento y promoción de la cultura de los pueblos </w:t>
      </w:r>
      <w:r w:rsidR="00DB547B" w:rsidRPr="001734A9">
        <w:rPr>
          <w:rFonts w:asciiTheme="majorHAnsi" w:hAnsiTheme="majorHAnsi"/>
          <w:sz w:val="20"/>
          <w:szCs w:val="20"/>
          <w:lang w:val="es-PE"/>
        </w:rPr>
        <w:t>indígenas</w:t>
      </w:r>
      <w:r w:rsidR="001E2F27" w:rsidRPr="001734A9">
        <w:rPr>
          <w:rFonts w:asciiTheme="majorHAnsi" w:hAnsiTheme="majorHAnsi"/>
          <w:sz w:val="20"/>
          <w:szCs w:val="20"/>
          <w:lang w:val="es-PE"/>
        </w:rPr>
        <w:t>,</w:t>
      </w:r>
      <w:r w:rsidR="00C7202F" w:rsidRPr="001734A9">
        <w:rPr>
          <w:rFonts w:asciiTheme="majorHAnsi" w:hAnsiTheme="majorHAnsi"/>
          <w:sz w:val="20"/>
          <w:szCs w:val="20"/>
          <w:lang w:val="es-PE"/>
        </w:rPr>
        <w:t xml:space="preserve"> así </w:t>
      </w:r>
      <w:r w:rsidR="0004455F" w:rsidRPr="001734A9">
        <w:rPr>
          <w:rFonts w:asciiTheme="majorHAnsi" w:hAnsiTheme="majorHAnsi"/>
          <w:sz w:val="20"/>
          <w:szCs w:val="20"/>
          <w:lang w:val="es-PE"/>
        </w:rPr>
        <w:t>como para la preservación</w:t>
      </w:r>
      <w:r w:rsidR="00B13172" w:rsidRPr="001734A9">
        <w:rPr>
          <w:rFonts w:asciiTheme="majorHAnsi" w:hAnsiTheme="majorHAnsi"/>
          <w:sz w:val="20"/>
          <w:szCs w:val="20"/>
          <w:lang w:val="es-PE"/>
        </w:rPr>
        <w:t xml:space="preserve"> de las lenguas indígenas</w:t>
      </w:r>
      <w:r w:rsidR="00F75972" w:rsidRPr="001734A9">
        <w:rPr>
          <w:rFonts w:asciiTheme="majorHAnsi" w:hAnsiTheme="majorHAnsi"/>
          <w:sz w:val="20"/>
          <w:szCs w:val="20"/>
          <w:lang w:val="es-PE"/>
        </w:rPr>
        <w:t xml:space="preserve">, </w:t>
      </w:r>
      <w:r w:rsidR="00397741" w:rsidRPr="001734A9">
        <w:rPr>
          <w:rFonts w:asciiTheme="majorHAnsi" w:hAnsiTheme="majorHAnsi"/>
          <w:sz w:val="20"/>
          <w:szCs w:val="20"/>
          <w:lang w:val="es-PE"/>
        </w:rPr>
        <w:t>la difusión de su música</w:t>
      </w:r>
      <w:r w:rsidR="00D168D7" w:rsidRPr="001734A9">
        <w:rPr>
          <w:rFonts w:asciiTheme="majorHAnsi" w:hAnsiTheme="majorHAnsi"/>
          <w:sz w:val="20"/>
          <w:szCs w:val="20"/>
          <w:lang w:val="es-PE"/>
        </w:rPr>
        <w:t xml:space="preserve"> y tradiciones.</w:t>
      </w:r>
      <w:r w:rsidR="00397741" w:rsidRPr="001734A9">
        <w:rPr>
          <w:rFonts w:asciiTheme="majorHAnsi" w:hAnsiTheme="majorHAnsi"/>
          <w:sz w:val="20"/>
          <w:szCs w:val="20"/>
          <w:lang w:val="es-PE"/>
        </w:rPr>
        <w:t xml:space="preserve"> </w:t>
      </w:r>
      <w:r w:rsidR="00B13172" w:rsidRPr="001734A9">
        <w:rPr>
          <w:rFonts w:asciiTheme="majorHAnsi" w:hAnsiTheme="majorHAnsi"/>
          <w:sz w:val="20"/>
          <w:szCs w:val="20"/>
          <w:lang w:val="es-PE"/>
        </w:rPr>
        <w:t>Estas radios son vías</w:t>
      </w:r>
      <w:r w:rsidR="00761F15" w:rsidRPr="001734A9">
        <w:rPr>
          <w:rFonts w:asciiTheme="majorHAnsi" w:hAnsiTheme="majorHAnsi"/>
          <w:sz w:val="20"/>
          <w:szCs w:val="20"/>
          <w:lang w:val="es-PE"/>
        </w:rPr>
        <w:t xml:space="preserve"> esenciales</w:t>
      </w:r>
      <w:r w:rsidR="00B13172" w:rsidRPr="001734A9">
        <w:rPr>
          <w:rFonts w:asciiTheme="majorHAnsi" w:hAnsiTheme="majorHAnsi"/>
          <w:sz w:val="20"/>
          <w:szCs w:val="20"/>
          <w:lang w:val="es-PE"/>
        </w:rPr>
        <w:t xml:space="preserve"> </w:t>
      </w:r>
      <w:r w:rsidR="005D08BF" w:rsidRPr="001734A9">
        <w:rPr>
          <w:rFonts w:asciiTheme="majorHAnsi" w:hAnsiTheme="majorHAnsi"/>
          <w:sz w:val="20"/>
          <w:szCs w:val="20"/>
          <w:lang w:val="es-PE"/>
        </w:rPr>
        <w:t>para</w:t>
      </w:r>
      <w:r w:rsidR="00F81F18" w:rsidRPr="001734A9">
        <w:rPr>
          <w:rFonts w:asciiTheme="majorHAnsi" w:hAnsiTheme="majorHAnsi"/>
          <w:sz w:val="20"/>
          <w:szCs w:val="20"/>
          <w:lang w:val="es-PE"/>
        </w:rPr>
        <w:t xml:space="preserve"> </w:t>
      </w:r>
      <w:r w:rsidR="00BF3D47" w:rsidRPr="001734A9">
        <w:rPr>
          <w:rFonts w:asciiTheme="majorHAnsi" w:hAnsiTheme="majorHAnsi"/>
          <w:sz w:val="20"/>
          <w:szCs w:val="20"/>
          <w:lang w:val="es-PE"/>
        </w:rPr>
        <w:t xml:space="preserve">participar en </w:t>
      </w:r>
      <w:r w:rsidR="007E0353" w:rsidRPr="001734A9">
        <w:rPr>
          <w:rFonts w:asciiTheme="majorHAnsi" w:hAnsiTheme="majorHAnsi"/>
          <w:sz w:val="20"/>
          <w:szCs w:val="20"/>
          <w:lang w:val="es-PE"/>
        </w:rPr>
        <w:t>la</w:t>
      </w:r>
      <w:r w:rsidR="00F81F18" w:rsidRPr="001734A9">
        <w:rPr>
          <w:rFonts w:asciiTheme="majorHAnsi" w:hAnsiTheme="majorHAnsi"/>
          <w:sz w:val="20"/>
          <w:szCs w:val="20"/>
          <w:lang w:val="es-PE"/>
        </w:rPr>
        <w:t xml:space="preserve"> cultura</w:t>
      </w:r>
      <w:r w:rsidR="007E0353" w:rsidRPr="001734A9">
        <w:rPr>
          <w:rFonts w:asciiTheme="majorHAnsi" w:hAnsiTheme="majorHAnsi"/>
          <w:sz w:val="20"/>
          <w:szCs w:val="20"/>
          <w:lang w:val="es-PE"/>
        </w:rPr>
        <w:t xml:space="preserve"> de los pu</w:t>
      </w:r>
      <w:r w:rsidR="004524D8" w:rsidRPr="001734A9">
        <w:rPr>
          <w:rFonts w:asciiTheme="majorHAnsi" w:hAnsiTheme="majorHAnsi"/>
          <w:sz w:val="20"/>
          <w:szCs w:val="20"/>
          <w:lang w:val="es-PE"/>
        </w:rPr>
        <w:t xml:space="preserve">eblos, para </w:t>
      </w:r>
      <w:r w:rsidR="00AF69EE" w:rsidRPr="001734A9">
        <w:rPr>
          <w:rFonts w:asciiTheme="majorHAnsi" w:hAnsiTheme="majorHAnsi"/>
          <w:sz w:val="20"/>
          <w:szCs w:val="20"/>
          <w:lang w:val="es-PE"/>
        </w:rPr>
        <w:t>mantenerla</w:t>
      </w:r>
      <w:r w:rsidR="00F81F18" w:rsidRPr="001734A9">
        <w:rPr>
          <w:rFonts w:asciiTheme="majorHAnsi" w:hAnsiTheme="majorHAnsi"/>
          <w:sz w:val="20"/>
          <w:szCs w:val="20"/>
          <w:lang w:val="es-PE"/>
        </w:rPr>
        <w:t xml:space="preserve"> como única y distinta, </w:t>
      </w:r>
      <w:r w:rsidR="00693FFC" w:rsidRPr="001734A9">
        <w:rPr>
          <w:rFonts w:asciiTheme="majorHAnsi" w:hAnsiTheme="majorHAnsi"/>
          <w:sz w:val="20"/>
          <w:szCs w:val="20"/>
          <w:lang w:val="es-PE"/>
        </w:rPr>
        <w:t>así c</w:t>
      </w:r>
      <w:r w:rsidR="00F81F18" w:rsidRPr="001734A9">
        <w:rPr>
          <w:rFonts w:asciiTheme="majorHAnsi" w:hAnsiTheme="majorHAnsi"/>
          <w:sz w:val="20"/>
          <w:szCs w:val="20"/>
          <w:lang w:val="es-PE"/>
        </w:rPr>
        <w:t xml:space="preserve">omo para </w:t>
      </w:r>
      <w:r w:rsidR="005D08BF" w:rsidRPr="001734A9">
        <w:rPr>
          <w:rFonts w:asciiTheme="majorHAnsi" w:hAnsiTheme="majorHAnsi"/>
          <w:sz w:val="20"/>
          <w:szCs w:val="20"/>
          <w:lang w:val="es-PE"/>
        </w:rPr>
        <w:t>difundir</w:t>
      </w:r>
      <w:r w:rsidR="00F81F18" w:rsidRPr="001734A9">
        <w:rPr>
          <w:rFonts w:asciiTheme="majorHAnsi" w:hAnsiTheme="majorHAnsi"/>
          <w:sz w:val="20"/>
          <w:szCs w:val="20"/>
          <w:lang w:val="es-PE"/>
        </w:rPr>
        <w:t xml:space="preserve">la </w:t>
      </w:r>
      <w:r w:rsidR="00EF5123" w:rsidRPr="001734A9">
        <w:rPr>
          <w:rFonts w:asciiTheme="majorHAnsi" w:hAnsiTheme="majorHAnsi"/>
          <w:sz w:val="20"/>
          <w:szCs w:val="20"/>
          <w:lang w:val="es-PE"/>
        </w:rPr>
        <w:t xml:space="preserve">a las actuales y futuras </w:t>
      </w:r>
      <w:r w:rsidR="00EF5123" w:rsidRPr="000D11B6">
        <w:rPr>
          <w:rFonts w:asciiTheme="majorHAnsi" w:hAnsiTheme="majorHAnsi"/>
          <w:sz w:val="20"/>
          <w:szCs w:val="20"/>
          <w:lang w:val="es-PE"/>
        </w:rPr>
        <w:t>generaciones</w:t>
      </w:r>
      <w:r w:rsidR="00BF3D47" w:rsidRPr="000D11B6">
        <w:rPr>
          <w:rFonts w:asciiTheme="majorHAnsi" w:hAnsiTheme="majorHAnsi"/>
          <w:sz w:val="20"/>
          <w:szCs w:val="20"/>
          <w:lang w:val="es-PE"/>
        </w:rPr>
        <w:t xml:space="preserve">. </w:t>
      </w:r>
      <w:r w:rsidR="00B769FE" w:rsidRPr="000D11B6">
        <w:rPr>
          <w:rFonts w:asciiTheme="majorHAnsi" w:hAnsiTheme="majorHAnsi"/>
          <w:sz w:val="20"/>
          <w:szCs w:val="20"/>
          <w:lang w:val="es-PE"/>
        </w:rPr>
        <w:t xml:space="preserve">En este sentido, ante la presencia de </w:t>
      </w:r>
      <w:r w:rsidR="00B769FE" w:rsidRPr="000D11B6">
        <w:rPr>
          <w:rFonts w:asciiTheme="majorHAnsi" w:eastAsia="Batang" w:hAnsiTheme="majorHAnsi" w:cs="Arial"/>
          <w:sz w:val="20"/>
          <w:szCs w:val="20"/>
          <w:bdr w:val="none" w:sz="0" w:space="0" w:color="auto"/>
          <w:lang w:val="es-ES"/>
        </w:rPr>
        <w:t xml:space="preserve">obstáculos que impidan o limiten el acceso a las frecuencias radioeléctricas a las radios comunitarias, </w:t>
      </w:r>
      <w:r w:rsidR="00B769FE" w:rsidRPr="000D11B6">
        <w:rPr>
          <w:rFonts w:asciiTheme="majorHAnsi" w:hAnsiTheme="majorHAnsi"/>
          <w:sz w:val="20"/>
          <w:szCs w:val="20"/>
          <w:lang w:val="es-PE"/>
        </w:rPr>
        <w:t xml:space="preserve">el Estado tenía la obligación inmediata de removerlos, para que las radios puedan también gozar y ejercer su derecho a la participación en la vida cultural, entendida como un componente de sus derechos culturales, </w:t>
      </w:r>
      <w:r w:rsidR="00007C30" w:rsidRPr="000D11B6">
        <w:rPr>
          <w:rFonts w:asciiTheme="majorHAnsi" w:hAnsiTheme="majorHAnsi"/>
          <w:sz w:val="20"/>
          <w:szCs w:val="20"/>
          <w:lang w:val="es-PE"/>
        </w:rPr>
        <w:t xml:space="preserve">lo cual no ocurrió. </w:t>
      </w:r>
      <w:r w:rsidR="00B769FE" w:rsidRPr="000D11B6">
        <w:rPr>
          <w:rFonts w:asciiTheme="majorHAnsi" w:hAnsiTheme="majorHAnsi"/>
          <w:sz w:val="20"/>
          <w:szCs w:val="20"/>
          <w:lang w:val="es-PE"/>
        </w:rPr>
        <w:t>Por lo anterior</w:t>
      </w:r>
      <w:r w:rsidR="000C7312" w:rsidRPr="000D11B6">
        <w:rPr>
          <w:rFonts w:asciiTheme="majorHAnsi" w:hAnsiTheme="majorHAnsi"/>
          <w:sz w:val="20"/>
          <w:szCs w:val="20"/>
          <w:lang w:val="es-PE"/>
        </w:rPr>
        <w:t xml:space="preserve">, el impedimento de facto de los pueblos indígenas </w:t>
      </w:r>
      <w:r w:rsidR="00FC4E60" w:rsidRPr="000D11B6">
        <w:rPr>
          <w:rFonts w:asciiTheme="majorHAnsi" w:hAnsiTheme="majorHAnsi"/>
          <w:sz w:val="20"/>
          <w:szCs w:val="20"/>
          <w:lang w:val="es-PE"/>
        </w:rPr>
        <w:t xml:space="preserve">para acceder a frecuencias de radio </w:t>
      </w:r>
      <w:r w:rsidR="00E7652E" w:rsidRPr="000D11B6">
        <w:rPr>
          <w:rFonts w:asciiTheme="majorHAnsi" w:hAnsiTheme="majorHAnsi"/>
          <w:sz w:val="20"/>
          <w:szCs w:val="20"/>
          <w:lang w:val="es-PE"/>
        </w:rPr>
        <w:t xml:space="preserve">no solo </w:t>
      </w:r>
      <w:r w:rsidR="00FC4E60" w:rsidRPr="000D11B6">
        <w:rPr>
          <w:rFonts w:asciiTheme="majorHAnsi" w:hAnsiTheme="majorHAnsi"/>
          <w:sz w:val="20"/>
          <w:szCs w:val="20"/>
          <w:lang w:val="es-PE"/>
        </w:rPr>
        <w:t>generó la violación</w:t>
      </w:r>
      <w:r w:rsidR="00FC4E60" w:rsidRPr="00514B7B">
        <w:rPr>
          <w:rFonts w:asciiTheme="majorHAnsi" w:hAnsiTheme="majorHAnsi"/>
          <w:sz w:val="20"/>
          <w:szCs w:val="20"/>
          <w:lang w:val="es-PE"/>
        </w:rPr>
        <w:t xml:space="preserve"> de los derechos a la libertad de expresión</w:t>
      </w:r>
      <w:r w:rsidR="00BC5FAA" w:rsidRPr="00A53EA9">
        <w:rPr>
          <w:rFonts w:asciiTheme="majorHAnsi" w:hAnsiTheme="majorHAnsi"/>
          <w:sz w:val="20"/>
          <w:szCs w:val="20"/>
          <w:lang w:val="es-PE"/>
        </w:rPr>
        <w:t xml:space="preserve">, </w:t>
      </w:r>
      <w:r w:rsidR="00FC4E60" w:rsidRPr="001734A9">
        <w:rPr>
          <w:rFonts w:asciiTheme="majorHAnsi" w:hAnsiTheme="majorHAnsi"/>
          <w:sz w:val="20"/>
          <w:szCs w:val="20"/>
          <w:lang w:val="es-PE"/>
        </w:rPr>
        <w:t xml:space="preserve">igualdad ante la ley, </w:t>
      </w:r>
      <w:r w:rsidR="00BC5FAA" w:rsidRPr="001734A9">
        <w:rPr>
          <w:rFonts w:asciiTheme="majorHAnsi" w:hAnsiTheme="majorHAnsi"/>
          <w:sz w:val="20"/>
          <w:szCs w:val="20"/>
          <w:lang w:val="es-PE"/>
        </w:rPr>
        <w:t xml:space="preserve">y </w:t>
      </w:r>
      <w:r w:rsidR="002B1560" w:rsidRPr="001734A9">
        <w:rPr>
          <w:rFonts w:asciiTheme="majorHAnsi" w:hAnsiTheme="majorHAnsi"/>
          <w:sz w:val="20"/>
          <w:szCs w:val="20"/>
          <w:lang w:val="es-PE"/>
        </w:rPr>
        <w:t>el deber de adoptar disposiciones de derecho interno, sino también la violación de los derechos culturales de los pueblos víctimas del caso.</w:t>
      </w:r>
    </w:p>
    <w:p w14:paraId="0AF5C04D" w14:textId="77777777" w:rsidR="00255834" w:rsidRPr="001734A9" w:rsidRDefault="00255834" w:rsidP="001734A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R"/>
        </w:rPr>
      </w:pPr>
    </w:p>
    <w:p w14:paraId="10DF13DB" w14:textId="77777777" w:rsidR="00B93423" w:rsidRPr="006D531F" w:rsidRDefault="00AD4AD8" w:rsidP="00EA00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R"/>
        </w:rPr>
      </w:pPr>
      <w:r w:rsidRPr="006D531F">
        <w:rPr>
          <w:rFonts w:asciiTheme="majorHAnsi" w:hAnsiTheme="majorHAnsi"/>
          <w:sz w:val="20"/>
          <w:szCs w:val="20"/>
          <w:lang w:val="es-PE"/>
        </w:rPr>
        <w:t>Por otro lado, la Comisión observa que</w:t>
      </w:r>
      <w:r w:rsidR="00ED4F1B" w:rsidRPr="006D531F">
        <w:rPr>
          <w:rFonts w:asciiTheme="majorHAnsi" w:hAnsiTheme="majorHAnsi"/>
          <w:sz w:val="20"/>
          <w:szCs w:val="20"/>
          <w:lang w:val="es-PE"/>
        </w:rPr>
        <w:t xml:space="preserve"> </w:t>
      </w:r>
      <w:r w:rsidR="00FE11F2" w:rsidRPr="006D531F">
        <w:rPr>
          <w:rFonts w:asciiTheme="majorHAnsi" w:hAnsiTheme="majorHAnsi"/>
          <w:sz w:val="20"/>
          <w:szCs w:val="20"/>
          <w:lang w:val="es-PE"/>
        </w:rPr>
        <w:t xml:space="preserve">la </w:t>
      </w:r>
      <w:r w:rsidR="00ED4F1B" w:rsidRPr="006D531F">
        <w:rPr>
          <w:rFonts w:asciiTheme="majorHAnsi" w:hAnsiTheme="majorHAnsi"/>
          <w:sz w:val="20"/>
          <w:szCs w:val="20"/>
          <w:lang w:val="es-PE"/>
        </w:rPr>
        <w:t xml:space="preserve">falta de reconocimiento </w:t>
      </w:r>
      <w:r w:rsidR="007E54BA" w:rsidRPr="006D531F">
        <w:rPr>
          <w:rFonts w:asciiTheme="majorHAnsi" w:hAnsiTheme="majorHAnsi"/>
          <w:sz w:val="20"/>
          <w:szCs w:val="20"/>
          <w:lang w:val="es-PE"/>
        </w:rPr>
        <w:t>legal y los obstáculos para el acceso</w:t>
      </w:r>
      <w:r w:rsidR="008C21B2" w:rsidRPr="006D531F">
        <w:rPr>
          <w:rFonts w:asciiTheme="majorHAnsi" w:hAnsiTheme="majorHAnsi"/>
          <w:sz w:val="20"/>
          <w:szCs w:val="20"/>
          <w:lang w:val="es-PE"/>
        </w:rPr>
        <w:t xml:space="preserve"> a frecuencias generaron </w:t>
      </w:r>
      <w:r w:rsidR="008C21B2" w:rsidRPr="006D531F">
        <w:rPr>
          <w:rFonts w:asciiTheme="majorHAnsi" w:hAnsiTheme="majorHAnsi"/>
          <w:sz w:val="20"/>
          <w:szCs w:val="20"/>
          <w:lang w:val="es-CR"/>
        </w:rPr>
        <w:t>que</w:t>
      </w:r>
      <w:r w:rsidR="00E41605" w:rsidRPr="006D531F">
        <w:rPr>
          <w:rFonts w:asciiTheme="majorHAnsi" w:hAnsiTheme="majorHAnsi"/>
          <w:sz w:val="20"/>
          <w:szCs w:val="20"/>
          <w:lang w:val="es-CR"/>
        </w:rPr>
        <w:t xml:space="preserve"> las cuatro radios del caso</w:t>
      </w:r>
      <w:r w:rsidR="00751AC3" w:rsidRPr="006D531F">
        <w:rPr>
          <w:rFonts w:asciiTheme="majorHAnsi" w:hAnsiTheme="majorHAnsi"/>
          <w:sz w:val="20"/>
          <w:szCs w:val="20"/>
          <w:lang w:val="es-CR"/>
        </w:rPr>
        <w:t xml:space="preserve"> operaran</w:t>
      </w:r>
      <w:r w:rsidR="00F91920" w:rsidRPr="006D531F">
        <w:rPr>
          <w:rFonts w:asciiTheme="majorHAnsi" w:hAnsiTheme="majorHAnsi"/>
          <w:sz w:val="20"/>
          <w:szCs w:val="20"/>
          <w:lang w:val="es-CR"/>
        </w:rPr>
        <w:t xml:space="preserve"> </w:t>
      </w:r>
      <w:r w:rsidR="00E855E4" w:rsidRPr="006D531F">
        <w:rPr>
          <w:rFonts w:asciiTheme="majorHAnsi" w:hAnsiTheme="majorHAnsi"/>
          <w:sz w:val="20"/>
          <w:szCs w:val="20"/>
          <w:lang w:val="es-CR"/>
        </w:rPr>
        <w:t xml:space="preserve">por cuenta propia y </w:t>
      </w:r>
      <w:r w:rsidR="00E84492" w:rsidRPr="006D531F">
        <w:rPr>
          <w:rFonts w:asciiTheme="majorHAnsi" w:hAnsiTheme="majorHAnsi"/>
          <w:sz w:val="20"/>
          <w:szCs w:val="20"/>
          <w:lang w:val="es-CR"/>
        </w:rPr>
        <w:t>con el apoyo de sus propias comunidades</w:t>
      </w:r>
      <w:r w:rsidR="00E855E4" w:rsidRPr="006D531F">
        <w:rPr>
          <w:rFonts w:asciiTheme="majorHAnsi" w:hAnsiTheme="majorHAnsi"/>
          <w:sz w:val="20"/>
          <w:szCs w:val="20"/>
          <w:lang w:val="es-CR"/>
        </w:rPr>
        <w:t xml:space="preserve">. </w:t>
      </w:r>
      <w:r w:rsidR="00467E07" w:rsidRPr="006D531F">
        <w:rPr>
          <w:rFonts w:asciiTheme="majorHAnsi" w:hAnsiTheme="majorHAnsi"/>
          <w:sz w:val="20"/>
          <w:szCs w:val="20"/>
          <w:lang w:val="es-CR"/>
        </w:rPr>
        <w:t xml:space="preserve">Debido a ello, </w:t>
      </w:r>
      <w:r w:rsidR="00B707A5" w:rsidRPr="006D531F">
        <w:rPr>
          <w:rFonts w:asciiTheme="majorHAnsi" w:hAnsiTheme="majorHAnsi"/>
          <w:sz w:val="20"/>
          <w:szCs w:val="20"/>
          <w:lang w:val="es-CR"/>
        </w:rPr>
        <w:t xml:space="preserve">Radio Ixchel y Radio </w:t>
      </w:r>
      <w:r w:rsidR="00B707A5" w:rsidRPr="006D531F">
        <w:rPr>
          <w:rFonts w:asciiTheme="majorHAnsi" w:hAnsiTheme="majorHAnsi"/>
          <w:sz w:val="20"/>
          <w:szCs w:val="20"/>
          <w:lang w:val="es-ES_tradnl"/>
        </w:rPr>
        <w:t xml:space="preserve">Uqul Tinamit </w:t>
      </w:r>
      <w:r w:rsidR="001E1755" w:rsidRPr="006D531F">
        <w:rPr>
          <w:rFonts w:asciiTheme="majorHAnsi" w:hAnsiTheme="majorHAnsi"/>
          <w:sz w:val="20"/>
          <w:szCs w:val="20"/>
          <w:lang w:val="es-ES_tradnl"/>
        </w:rPr>
        <w:t>“</w:t>
      </w:r>
      <w:r w:rsidR="00B707A5" w:rsidRPr="006D531F">
        <w:rPr>
          <w:rFonts w:asciiTheme="majorHAnsi" w:hAnsiTheme="majorHAnsi"/>
          <w:sz w:val="20"/>
          <w:szCs w:val="20"/>
          <w:lang w:val="es-ES_tradnl"/>
        </w:rPr>
        <w:t>La Voz del Pueblo</w:t>
      </w:r>
      <w:r w:rsidR="001E1755" w:rsidRPr="006D531F">
        <w:rPr>
          <w:rFonts w:asciiTheme="majorHAnsi" w:hAnsiTheme="majorHAnsi"/>
          <w:sz w:val="20"/>
          <w:szCs w:val="20"/>
          <w:lang w:val="es-ES_tradnl"/>
        </w:rPr>
        <w:t>”</w:t>
      </w:r>
      <w:r w:rsidR="007A2D19" w:rsidRPr="006D531F">
        <w:rPr>
          <w:rFonts w:asciiTheme="majorHAnsi" w:hAnsiTheme="majorHAnsi"/>
          <w:sz w:val="20"/>
          <w:szCs w:val="20"/>
          <w:lang w:val="es-ES_tradnl"/>
        </w:rPr>
        <w:t xml:space="preserve"> fueron allanadas por</w:t>
      </w:r>
      <w:r w:rsidR="002050D3" w:rsidRPr="006D531F">
        <w:rPr>
          <w:rFonts w:asciiTheme="majorHAnsi" w:hAnsiTheme="majorHAnsi"/>
          <w:sz w:val="20"/>
          <w:szCs w:val="20"/>
          <w:lang w:val="es-ES_tradnl"/>
        </w:rPr>
        <w:t xml:space="preserve"> la policía y el ministerio público</w:t>
      </w:r>
      <w:r w:rsidR="00443E57" w:rsidRPr="006D531F">
        <w:rPr>
          <w:rFonts w:asciiTheme="majorHAnsi" w:hAnsiTheme="majorHAnsi"/>
          <w:sz w:val="20"/>
          <w:szCs w:val="20"/>
          <w:lang w:val="es-ES_tradnl"/>
        </w:rPr>
        <w:t xml:space="preserve"> y sus equipos fueron confiscados. Asimismo, </w:t>
      </w:r>
      <w:r w:rsidR="001702C5" w:rsidRPr="006D531F">
        <w:rPr>
          <w:rFonts w:asciiTheme="majorHAnsi" w:hAnsiTheme="majorHAnsi"/>
          <w:sz w:val="20"/>
          <w:szCs w:val="20"/>
          <w:lang w:val="es-ES_tradnl"/>
        </w:rPr>
        <w:t xml:space="preserve">uno de los trabajadores de </w:t>
      </w:r>
      <w:r w:rsidR="001702C5" w:rsidRPr="006D531F">
        <w:rPr>
          <w:rFonts w:asciiTheme="majorHAnsi" w:hAnsiTheme="majorHAnsi"/>
          <w:sz w:val="20"/>
          <w:szCs w:val="20"/>
          <w:lang w:val="es-CR"/>
        </w:rPr>
        <w:t xml:space="preserve">Radio </w:t>
      </w:r>
      <w:r w:rsidR="001702C5" w:rsidRPr="006D531F">
        <w:rPr>
          <w:rFonts w:asciiTheme="majorHAnsi" w:hAnsiTheme="majorHAnsi"/>
          <w:sz w:val="20"/>
          <w:szCs w:val="20"/>
          <w:lang w:val="es-ES_tradnl"/>
        </w:rPr>
        <w:t>Uqul Tinamit fue arrestado</w:t>
      </w:r>
      <w:r w:rsidR="00925B63" w:rsidRPr="006D531F">
        <w:rPr>
          <w:rFonts w:asciiTheme="majorHAnsi" w:hAnsiTheme="majorHAnsi"/>
          <w:sz w:val="20"/>
          <w:szCs w:val="20"/>
          <w:lang w:val="es-ES_tradnl"/>
        </w:rPr>
        <w:t xml:space="preserve"> y </w:t>
      </w:r>
      <w:r w:rsidR="00D751EE" w:rsidRPr="006D531F">
        <w:rPr>
          <w:rFonts w:asciiTheme="majorHAnsi" w:hAnsiTheme="majorHAnsi"/>
          <w:sz w:val="20"/>
          <w:szCs w:val="20"/>
          <w:lang w:val="es-ES_tradnl"/>
        </w:rPr>
        <w:t xml:space="preserve">el </w:t>
      </w:r>
      <w:r w:rsidR="00925B63" w:rsidRPr="006D531F">
        <w:rPr>
          <w:rFonts w:asciiTheme="majorHAnsi" w:hAnsiTheme="majorHAnsi"/>
          <w:sz w:val="20"/>
          <w:szCs w:val="20"/>
          <w:lang w:val="es-ES_tradnl"/>
        </w:rPr>
        <w:t xml:space="preserve">coordinador voluntario de la emisora </w:t>
      </w:r>
      <w:r w:rsidR="00925B63" w:rsidRPr="006D531F">
        <w:rPr>
          <w:rFonts w:asciiTheme="majorHAnsi" w:hAnsiTheme="majorHAnsi"/>
          <w:sz w:val="20"/>
          <w:szCs w:val="20"/>
          <w:lang w:val="es-CR"/>
        </w:rPr>
        <w:t xml:space="preserve">Radio Ixchel </w:t>
      </w:r>
      <w:r w:rsidR="00D751EE" w:rsidRPr="006D531F">
        <w:rPr>
          <w:rFonts w:asciiTheme="majorHAnsi" w:hAnsiTheme="majorHAnsi"/>
          <w:sz w:val="20"/>
          <w:szCs w:val="20"/>
          <w:lang w:val="es-CR"/>
        </w:rPr>
        <w:t xml:space="preserve">fue sometido a </w:t>
      </w:r>
      <w:r w:rsidR="00925B63" w:rsidRPr="006D531F">
        <w:rPr>
          <w:rFonts w:asciiTheme="majorHAnsi" w:hAnsiTheme="majorHAnsi"/>
          <w:sz w:val="20"/>
          <w:szCs w:val="20"/>
          <w:lang w:val="es-CR"/>
        </w:rPr>
        <w:t>un</w:t>
      </w:r>
      <w:r w:rsidR="00D751EE" w:rsidRPr="006D531F">
        <w:rPr>
          <w:rFonts w:asciiTheme="majorHAnsi" w:hAnsiTheme="majorHAnsi"/>
          <w:sz w:val="20"/>
          <w:szCs w:val="20"/>
          <w:lang w:val="es-CR"/>
        </w:rPr>
        <w:t>a investigación</w:t>
      </w:r>
      <w:r w:rsidR="00925B63" w:rsidRPr="006D531F">
        <w:rPr>
          <w:rFonts w:asciiTheme="majorHAnsi" w:hAnsiTheme="majorHAnsi"/>
          <w:sz w:val="20"/>
          <w:szCs w:val="20"/>
          <w:lang w:val="es-CR"/>
        </w:rPr>
        <w:t xml:space="preserve"> penal por</w:t>
      </w:r>
      <w:r w:rsidR="00D751EE" w:rsidRPr="006D531F">
        <w:rPr>
          <w:rFonts w:asciiTheme="majorHAnsi" w:hAnsiTheme="majorHAnsi"/>
          <w:sz w:val="20"/>
          <w:szCs w:val="20"/>
          <w:lang w:val="es-CR"/>
        </w:rPr>
        <w:t xml:space="preserve"> la presunta comisión del delito de</w:t>
      </w:r>
      <w:r w:rsidR="00925B63" w:rsidRPr="006D531F">
        <w:rPr>
          <w:rFonts w:asciiTheme="majorHAnsi" w:hAnsiTheme="majorHAnsi"/>
          <w:sz w:val="20"/>
          <w:szCs w:val="20"/>
          <w:lang w:val="es-CR"/>
        </w:rPr>
        <w:t xml:space="preserve"> “hurto”, el cual fue después desestimado. </w:t>
      </w:r>
    </w:p>
    <w:p w14:paraId="59096FC8" w14:textId="77777777" w:rsidR="00B93423" w:rsidRPr="006D531F" w:rsidRDefault="00B93423" w:rsidP="00B93423">
      <w:pPr>
        <w:pStyle w:val="ListParagraph"/>
        <w:rPr>
          <w:rFonts w:asciiTheme="majorHAnsi" w:hAnsiTheme="majorHAnsi"/>
          <w:color w:val="auto"/>
          <w:sz w:val="20"/>
          <w:szCs w:val="20"/>
          <w:lang w:val="es-CR"/>
        </w:rPr>
      </w:pPr>
    </w:p>
    <w:p w14:paraId="5A122079" w14:textId="77777777" w:rsidR="00F52D3D" w:rsidRPr="006D531F" w:rsidRDefault="00925B63" w:rsidP="00F52D3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R"/>
        </w:rPr>
      </w:pPr>
      <w:r w:rsidRPr="006D531F">
        <w:rPr>
          <w:rFonts w:asciiTheme="majorHAnsi" w:hAnsiTheme="majorHAnsi"/>
          <w:sz w:val="20"/>
          <w:szCs w:val="20"/>
          <w:lang w:val="es-CR"/>
        </w:rPr>
        <w:t xml:space="preserve">Ante esto, la Comisión observa que </w:t>
      </w:r>
      <w:r w:rsidR="00F75D75" w:rsidRPr="006D531F">
        <w:rPr>
          <w:rFonts w:asciiTheme="majorHAnsi" w:hAnsiTheme="majorHAnsi"/>
          <w:sz w:val="20"/>
          <w:szCs w:val="20"/>
          <w:lang w:val="es-CR"/>
        </w:rPr>
        <w:t xml:space="preserve">existe una fuerte criminalización de la operación de radios </w:t>
      </w:r>
      <w:r w:rsidR="00DC54FF" w:rsidRPr="006D531F">
        <w:rPr>
          <w:rFonts w:asciiTheme="majorHAnsi" w:hAnsiTheme="majorHAnsi"/>
          <w:sz w:val="20"/>
          <w:szCs w:val="20"/>
          <w:lang w:val="es-CR"/>
        </w:rPr>
        <w:t>comunitarias en Guatemala</w:t>
      </w:r>
      <w:r w:rsidR="002F1F37" w:rsidRPr="006D531F">
        <w:rPr>
          <w:rFonts w:asciiTheme="majorHAnsi" w:hAnsiTheme="majorHAnsi"/>
          <w:sz w:val="20"/>
          <w:szCs w:val="20"/>
          <w:lang w:val="es-CR"/>
        </w:rPr>
        <w:t>, a pesar de que las mismas no pueden operar dentro del marco de la legalidad por acción pro</w:t>
      </w:r>
      <w:r w:rsidR="00BF7C4D" w:rsidRPr="006D531F">
        <w:rPr>
          <w:rFonts w:asciiTheme="majorHAnsi" w:hAnsiTheme="majorHAnsi"/>
          <w:sz w:val="20"/>
          <w:szCs w:val="20"/>
          <w:lang w:val="es-CR"/>
        </w:rPr>
        <w:t>pia del Estado</w:t>
      </w:r>
      <w:r w:rsidR="00137640" w:rsidRPr="006D531F">
        <w:rPr>
          <w:rFonts w:asciiTheme="majorHAnsi" w:hAnsiTheme="majorHAnsi"/>
          <w:sz w:val="20"/>
          <w:szCs w:val="20"/>
          <w:lang w:val="es-CR"/>
        </w:rPr>
        <w:t xml:space="preserve">. De este modo, </w:t>
      </w:r>
      <w:r w:rsidR="00F52D3D" w:rsidRPr="006D531F">
        <w:rPr>
          <w:rFonts w:asciiTheme="majorHAnsi" w:hAnsiTheme="majorHAnsi"/>
          <w:sz w:val="20"/>
          <w:szCs w:val="20"/>
          <w:lang w:val="es-PE"/>
        </w:rPr>
        <w:t>la postergación en el ejercicio del derecho a la libertad de expresión, por ejemplo</w:t>
      </w:r>
      <w:r w:rsidR="00201961" w:rsidRPr="006D531F">
        <w:rPr>
          <w:rFonts w:asciiTheme="majorHAnsi" w:hAnsiTheme="majorHAnsi"/>
          <w:sz w:val="20"/>
          <w:szCs w:val="20"/>
          <w:lang w:val="es-PE"/>
        </w:rPr>
        <w:t>,</w:t>
      </w:r>
      <w:r w:rsidR="00F52D3D" w:rsidRPr="006D531F">
        <w:rPr>
          <w:rFonts w:asciiTheme="majorHAnsi" w:hAnsiTheme="majorHAnsi"/>
          <w:sz w:val="20"/>
          <w:szCs w:val="20"/>
          <w:lang w:val="es-PE"/>
        </w:rPr>
        <w:t xml:space="preserve"> ante las dificultades</w:t>
      </w:r>
      <w:r w:rsidR="00761F15">
        <w:rPr>
          <w:rFonts w:asciiTheme="majorHAnsi" w:hAnsiTheme="majorHAnsi"/>
          <w:sz w:val="20"/>
          <w:szCs w:val="20"/>
          <w:lang w:val="es-PE"/>
        </w:rPr>
        <w:t xml:space="preserve"> </w:t>
      </w:r>
      <w:r w:rsidR="00F52D3D" w:rsidRPr="006D531F">
        <w:rPr>
          <w:rFonts w:asciiTheme="majorHAnsi" w:hAnsiTheme="majorHAnsi"/>
          <w:sz w:val="20"/>
          <w:szCs w:val="20"/>
          <w:lang w:val="es-PE"/>
        </w:rPr>
        <w:t>injustificadas o arbitrarias de acceder a una licencia</w:t>
      </w:r>
      <w:r w:rsidR="00761F15">
        <w:rPr>
          <w:rFonts w:asciiTheme="majorHAnsi" w:hAnsiTheme="majorHAnsi"/>
          <w:sz w:val="20"/>
          <w:szCs w:val="20"/>
          <w:lang w:val="es-PE"/>
        </w:rPr>
        <w:t xml:space="preserve"> </w:t>
      </w:r>
      <w:r w:rsidR="0037677A">
        <w:rPr>
          <w:rFonts w:asciiTheme="majorHAnsi" w:hAnsiTheme="majorHAnsi"/>
          <w:sz w:val="20"/>
          <w:szCs w:val="20"/>
          <w:lang w:val="es-PE"/>
        </w:rPr>
        <w:t>--generadas</w:t>
      </w:r>
      <w:r w:rsidR="00761F15">
        <w:rPr>
          <w:rFonts w:asciiTheme="majorHAnsi" w:hAnsiTheme="majorHAnsi"/>
          <w:sz w:val="20"/>
          <w:szCs w:val="20"/>
          <w:lang w:val="es-PE"/>
        </w:rPr>
        <w:t xml:space="preserve"> por</w:t>
      </w:r>
      <w:r w:rsidR="0037677A">
        <w:rPr>
          <w:rFonts w:asciiTheme="majorHAnsi" w:hAnsiTheme="majorHAnsi"/>
          <w:sz w:val="20"/>
          <w:szCs w:val="20"/>
          <w:lang w:val="es-PE"/>
        </w:rPr>
        <w:t xml:space="preserve"> una política de exclusión </w:t>
      </w:r>
      <w:r w:rsidR="00C357A0">
        <w:rPr>
          <w:rFonts w:asciiTheme="majorHAnsi" w:hAnsiTheme="majorHAnsi"/>
          <w:sz w:val="20"/>
          <w:szCs w:val="20"/>
          <w:lang w:val="es-PE"/>
        </w:rPr>
        <w:t>persistente por parte</w:t>
      </w:r>
      <w:r w:rsidR="00761F15">
        <w:rPr>
          <w:rFonts w:asciiTheme="majorHAnsi" w:hAnsiTheme="majorHAnsi"/>
          <w:sz w:val="20"/>
          <w:szCs w:val="20"/>
          <w:lang w:val="es-PE"/>
        </w:rPr>
        <w:t xml:space="preserve"> </w:t>
      </w:r>
      <w:r w:rsidR="0037677A">
        <w:rPr>
          <w:rFonts w:asciiTheme="majorHAnsi" w:hAnsiTheme="majorHAnsi"/>
          <w:sz w:val="20"/>
          <w:szCs w:val="20"/>
          <w:lang w:val="es-PE"/>
        </w:rPr>
        <w:t>d</w:t>
      </w:r>
      <w:r w:rsidR="00761F15">
        <w:rPr>
          <w:rFonts w:asciiTheme="majorHAnsi" w:hAnsiTheme="majorHAnsi"/>
          <w:sz w:val="20"/>
          <w:szCs w:val="20"/>
          <w:lang w:val="es-PE"/>
        </w:rPr>
        <w:t>el propio Estado--</w:t>
      </w:r>
      <w:r w:rsidR="00F52D3D" w:rsidRPr="006D531F">
        <w:rPr>
          <w:rFonts w:asciiTheme="majorHAnsi" w:hAnsiTheme="majorHAnsi"/>
          <w:sz w:val="20"/>
          <w:szCs w:val="20"/>
          <w:lang w:val="es-PE"/>
        </w:rPr>
        <w:t>, opera como un límite claro a la posibilidad de perseguir penalmente las conductas encaminadas a lograr su vigencia.</w:t>
      </w:r>
    </w:p>
    <w:p w14:paraId="0474B37A" w14:textId="77777777" w:rsidR="00201961" w:rsidRPr="006D531F" w:rsidRDefault="00201961" w:rsidP="00201961">
      <w:pPr>
        <w:pStyle w:val="ListParagraph"/>
        <w:rPr>
          <w:rFonts w:asciiTheme="majorHAnsi" w:hAnsiTheme="majorHAnsi"/>
          <w:color w:val="auto"/>
          <w:sz w:val="20"/>
          <w:szCs w:val="20"/>
          <w:lang w:val="es-CR"/>
        </w:rPr>
      </w:pPr>
    </w:p>
    <w:p w14:paraId="0C1609EB" w14:textId="77777777" w:rsidR="002406A4" w:rsidRPr="006D531F" w:rsidRDefault="00201961" w:rsidP="00EA00F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R"/>
        </w:rPr>
      </w:pPr>
      <w:r w:rsidRPr="006D531F">
        <w:rPr>
          <w:rFonts w:asciiTheme="majorHAnsi" w:hAnsiTheme="majorHAnsi"/>
          <w:sz w:val="20"/>
          <w:szCs w:val="20"/>
          <w:lang w:val="es-CR"/>
        </w:rPr>
        <w:t>Asimismo,</w:t>
      </w:r>
      <w:r w:rsidR="00D46EE2" w:rsidRPr="006D531F">
        <w:rPr>
          <w:rFonts w:asciiTheme="majorHAnsi" w:hAnsiTheme="majorHAnsi"/>
          <w:sz w:val="20"/>
          <w:szCs w:val="20"/>
          <w:lang w:val="es-CR"/>
        </w:rPr>
        <w:t xml:space="preserve"> la Comisión </w:t>
      </w:r>
      <w:r w:rsidR="00445197" w:rsidRPr="006D531F">
        <w:rPr>
          <w:rFonts w:asciiTheme="majorHAnsi" w:hAnsiTheme="majorHAnsi"/>
          <w:sz w:val="20"/>
          <w:szCs w:val="20"/>
          <w:lang w:val="es-CR"/>
        </w:rPr>
        <w:t xml:space="preserve">recuerda que </w:t>
      </w:r>
      <w:r w:rsidR="00445197" w:rsidRPr="006D531F">
        <w:rPr>
          <w:rFonts w:asciiTheme="majorHAnsi" w:hAnsiTheme="majorHAnsi"/>
          <w:sz w:val="20"/>
          <w:szCs w:val="20"/>
          <w:lang w:val="es-PE"/>
        </w:rPr>
        <w:t>es jurisprudencia consolidada del sistema interamericano que las limitaciones a la libertad de expresión</w:t>
      </w:r>
      <w:r w:rsidR="0054339C" w:rsidRPr="006D531F">
        <w:rPr>
          <w:rFonts w:asciiTheme="majorHAnsi" w:hAnsiTheme="majorHAnsi"/>
          <w:sz w:val="20"/>
          <w:szCs w:val="20"/>
          <w:lang w:val="es-PE"/>
        </w:rPr>
        <w:t xml:space="preserve">, como las que podría </w:t>
      </w:r>
      <w:r w:rsidR="007C66BC" w:rsidRPr="006D531F">
        <w:rPr>
          <w:rFonts w:asciiTheme="majorHAnsi" w:hAnsiTheme="majorHAnsi"/>
          <w:sz w:val="20"/>
          <w:szCs w:val="20"/>
          <w:lang w:val="es-PE"/>
        </w:rPr>
        <w:t xml:space="preserve">imponer la regulación estatal sobre radiodifusión, </w:t>
      </w:r>
      <w:r w:rsidR="00445197" w:rsidRPr="006D531F">
        <w:rPr>
          <w:rFonts w:asciiTheme="majorHAnsi" w:hAnsiTheme="majorHAnsi"/>
          <w:sz w:val="20"/>
          <w:szCs w:val="20"/>
          <w:lang w:val="es-PE"/>
        </w:rPr>
        <w:t>deben ser “necesarias en una sociedad democrática”</w:t>
      </w:r>
      <w:r w:rsidR="00445197" w:rsidRPr="006D531F">
        <w:rPr>
          <w:rStyle w:val="FootnoteReference"/>
          <w:rFonts w:asciiTheme="majorHAnsi" w:hAnsiTheme="majorHAnsi"/>
          <w:sz w:val="20"/>
          <w:szCs w:val="20"/>
        </w:rPr>
        <w:footnoteReference w:id="140"/>
      </w:r>
      <w:r w:rsidR="00445197" w:rsidRPr="006D531F">
        <w:rPr>
          <w:rFonts w:asciiTheme="majorHAnsi" w:hAnsiTheme="majorHAnsi"/>
          <w:sz w:val="20"/>
          <w:szCs w:val="20"/>
          <w:lang w:val="es-PE"/>
        </w:rPr>
        <w:t>, proporcionales e idóneas para el logro de los objetivos que persiguen</w:t>
      </w:r>
      <w:r w:rsidR="00D500D7" w:rsidRPr="006D531F">
        <w:rPr>
          <w:rFonts w:asciiTheme="majorHAnsi" w:hAnsiTheme="majorHAnsi"/>
          <w:sz w:val="20"/>
          <w:szCs w:val="20"/>
          <w:lang w:val="es-PE"/>
        </w:rPr>
        <w:t xml:space="preserve">. En este sentido, </w:t>
      </w:r>
      <w:r w:rsidR="00BA0DA8" w:rsidRPr="006D531F">
        <w:rPr>
          <w:rFonts w:asciiTheme="majorHAnsi" w:hAnsiTheme="majorHAnsi"/>
          <w:sz w:val="20"/>
          <w:szCs w:val="20"/>
          <w:lang w:val="es-PE"/>
        </w:rPr>
        <w:t xml:space="preserve">resultan sumamente gravosas para la libertad de expresión </w:t>
      </w:r>
      <w:r w:rsidR="00EE083E" w:rsidRPr="006D531F">
        <w:rPr>
          <w:rFonts w:asciiTheme="majorHAnsi" w:hAnsiTheme="majorHAnsi"/>
          <w:sz w:val="20"/>
          <w:szCs w:val="20"/>
          <w:lang w:val="es-PE"/>
        </w:rPr>
        <w:t>las respuestas q</w:t>
      </w:r>
      <w:r w:rsidR="00534956" w:rsidRPr="006D531F">
        <w:rPr>
          <w:rFonts w:asciiTheme="majorHAnsi" w:hAnsiTheme="majorHAnsi"/>
          <w:sz w:val="20"/>
          <w:szCs w:val="20"/>
          <w:lang w:val="es-PE"/>
        </w:rPr>
        <w:t xml:space="preserve">ue </w:t>
      </w:r>
      <w:r w:rsidR="00445197" w:rsidRPr="006D531F">
        <w:rPr>
          <w:rFonts w:asciiTheme="majorHAnsi" w:hAnsiTheme="majorHAnsi"/>
          <w:sz w:val="20"/>
          <w:szCs w:val="20"/>
          <w:lang w:val="es-PE"/>
        </w:rPr>
        <w:t>imponga</w:t>
      </w:r>
      <w:r w:rsidR="00A40376" w:rsidRPr="006D531F">
        <w:rPr>
          <w:rFonts w:asciiTheme="majorHAnsi" w:hAnsiTheme="majorHAnsi"/>
          <w:sz w:val="20"/>
          <w:szCs w:val="20"/>
          <w:lang w:val="es-PE"/>
        </w:rPr>
        <w:t xml:space="preserve">n </w:t>
      </w:r>
      <w:r w:rsidR="00534956" w:rsidRPr="006D531F">
        <w:rPr>
          <w:rFonts w:asciiTheme="majorHAnsi" w:hAnsiTheme="majorHAnsi"/>
          <w:sz w:val="20"/>
          <w:szCs w:val="20"/>
          <w:lang w:val="es-PE"/>
        </w:rPr>
        <w:t>sanciones penales</w:t>
      </w:r>
      <w:r w:rsidR="00D033C0" w:rsidRPr="006D531F">
        <w:rPr>
          <w:rFonts w:asciiTheme="majorHAnsi" w:hAnsiTheme="majorHAnsi"/>
          <w:sz w:val="20"/>
          <w:szCs w:val="20"/>
          <w:lang w:val="es-PE"/>
        </w:rPr>
        <w:t>. E</w:t>
      </w:r>
      <w:r w:rsidR="0029443D" w:rsidRPr="006D531F">
        <w:rPr>
          <w:rFonts w:asciiTheme="majorHAnsi" w:hAnsiTheme="majorHAnsi"/>
          <w:sz w:val="20"/>
          <w:szCs w:val="20"/>
          <w:lang w:val="es-PE"/>
        </w:rPr>
        <w:t>n tan</w:t>
      </w:r>
      <w:r w:rsidR="00EE083E" w:rsidRPr="006D531F">
        <w:rPr>
          <w:rFonts w:asciiTheme="majorHAnsi" w:hAnsiTheme="majorHAnsi"/>
          <w:sz w:val="20"/>
          <w:szCs w:val="20"/>
          <w:lang w:val="es-PE"/>
        </w:rPr>
        <w:t>t</w:t>
      </w:r>
      <w:r w:rsidR="0029443D" w:rsidRPr="006D531F">
        <w:rPr>
          <w:rFonts w:asciiTheme="majorHAnsi" w:hAnsiTheme="majorHAnsi"/>
          <w:sz w:val="20"/>
          <w:szCs w:val="20"/>
          <w:lang w:val="es-PE"/>
        </w:rPr>
        <w:t>o existan medidas alternativas y menos restrictivas de la libertad de expresión que la previsión y tipificación penal de conductas que impliquen la violación de la regulación sobre radiodifusión, éstas no deberían dar lugar a respuestas de tipo penal</w:t>
      </w:r>
      <w:r w:rsidR="0029443D" w:rsidRPr="006D531F">
        <w:rPr>
          <w:rStyle w:val="FootnoteReference"/>
          <w:rFonts w:asciiTheme="majorHAnsi" w:hAnsiTheme="majorHAnsi"/>
          <w:sz w:val="20"/>
          <w:szCs w:val="20"/>
          <w:lang w:val="es-PE"/>
        </w:rPr>
        <w:footnoteReference w:id="141"/>
      </w:r>
      <w:r w:rsidR="0029443D" w:rsidRPr="006D531F">
        <w:rPr>
          <w:rFonts w:asciiTheme="majorHAnsi" w:hAnsiTheme="majorHAnsi"/>
          <w:sz w:val="20"/>
          <w:szCs w:val="20"/>
          <w:lang w:val="es-PE"/>
        </w:rPr>
        <w:t>.</w:t>
      </w:r>
      <w:r w:rsidR="00A4058C" w:rsidRPr="006D531F">
        <w:rPr>
          <w:rFonts w:asciiTheme="majorHAnsi" w:hAnsiTheme="majorHAnsi"/>
          <w:sz w:val="20"/>
          <w:szCs w:val="20"/>
          <w:lang w:val="es-PE"/>
        </w:rPr>
        <w:t xml:space="preserve"> En este sentido, al Comisión considera que la utilización de figuras penales como el hurto</w:t>
      </w:r>
      <w:r w:rsidR="00EF167B" w:rsidRPr="006D531F">
        <w:rPr>
          <w:rFonts w:asciiTheme="majorHAnsi" w:hAnsiTheme="majorHAnsi"/>
          <w:sz w:val="20"/>
          <w:szCs w:val="20"/>
          <w:lang w:val="es-PE"/>
        </w:rPr>
        <w:t>,</w:t>
      </w:r>
      <w:r w:rsidR="00A4058C" w:rsidRPr="006D531F">
        <w:rPr>
          <w:rFonts w:asciiTheme="majorHAnsi" w:hAnsiTheme="majorHAnsi"/>
          <w:sz w:val="20"/>
          <w:szCs w:val="20"/>
          <w:lang w:val="es-PE"/>
        </w:rPr>
        <w:t xml:space="preserve"> dirigidas a </w:t>
      </w:r>
      <w:r w:rsidR="00F81C00" w:rsidRPr="006D531F">
        <w:rPr>
          <w:rFonts w:asciiTheme="majorHAnsi" w:hAnsiTheme="majorHAnsi"/>
          <w:sz w:val="20"/>
          <w:szCs w:val="20"/>
          <w:lang w:val="es-PE"/>
        </w:rPr>
        <w:t>sancionar la utilización del espectro radioeléctrico por parte de</w:t>
      </w:r>
      <w:r w:rsidR="00FA05FE" w:rsidRPr="006D531F">
        <w:rPr>
          <w:rFonts w:asciiTheme="majorHAnsi" w:hAnsiTheme="majorHAnsi"/>
          <w:sz w:val="20"/>
          <w:szCs w:val="20"/>
          <w:lang w:val="es-PE"/>
        </w:rPr>
        <w:t xml:space="preserve"> dos de</w:t>
      </w:r>
      <w:r w:rsidR="00F81C00" w:rsidRPr="006D531F">
        <w:rPr>
          <w:rFonts w:asciiTheme="majorHAnsi" w:hAnsiTheme="majorHAnsi"/>
          <w:sz w:val="20"/>
          <w:szCs w:val="20"/>
          <w:lang w:val="es-PE"/>
        </w:rPr>
        <w:t xml:space="preserve"> los puebl</w:t>
      </w:r>
      <w:r w:rsidR="00FA05FE" w:rsidRPr="006D531F">
        <w:rPr>
          <w:rFonts w:asciiTheme="majorHAnsi" w:hAnsiTheme="majorHAnsi"/>
          <w:sz w:val="20"/>
          <w:szCs w:val="20"/>
          <w:lang w:val="es-PE"/>
        </w:rPr>
        <w:t xml:space="preserve">os indígenas en el presente caso, </w:t>
      </w:r>
      <w:r w:rsidR="00FD0022" w:rsidRPr="006D531F">
        <w:rPr>
          <w:rFonts w:asciiTheme="majorHAnsi" w:hAnsiTheme="majorHAnsi"/>
          <w:sz w:val="20"/>
          <w:szCs w:val="20"/>
          <w:lang w:val="es-PE"/>
        </w:rPr>
        <w:t xml:space="preserve">es contraria </w:t>
      </w:r>
      <w:r w:rsidR="00761F15">
        <w:rPr>
          <w:rFonts w:asciiTheme="majorHAnsi" w:hAnsiTheme="majorHAnsi"/>
          <w:sz w:val="20"/>
          <w:szCs w:val="20"/>
          <w:lang w:val="es-PE"/>
        </w:rPr>
        <w:t>a los requisitos establecidos en el</w:t>
      </w:r>
      <w:r w:rsidR="00FD0022" w:rsidRPr="006D531F">
        <w:rPr>
          <w:rFonts w:asciiTheme="majorHAnsi" w:hAnsiTheme="majorHAnsi"/>
          <w:sz w:val="20"/>
          <w:szCs w:val="20"/>
          <w:lang w:val="es-PE"/>
        </w:rPr>
        <w:t xml:space="preserve"> artículo 13</w:t>
      </w:r>
      <w:r w:rsidR="00761F15">
        <w:rPr>
          <w:rFonts w:asciiTheme="majorHAnsi" w:hAnsiTheme="majorHAnsi"/>
          <w:sz w:val="20"/>
          <w:szCs w:val="20"/>
          <w:lang w:val="es-PE"/>
        </w:rPr>
        <w:t>.2 de la Convención</w:t>
      </w:r>
      <w:r w:rsidR="00FD0022" w:rsidRPr="006D531F">
        <w:rPr>
          <w:rFonts w:asciiTheme="majorHAnsi" w:hAnsiTheme="majorHAnsi"/>
          <w:sz w:val="20"/>
          <w:szCs w:val="20"/>
          <w:lang w:val="es-PE"/>
        </w:rPr>
        <w:t xml:space="preserve"> sobre</w:t>
      </w:r>
      <w:r w:rsidR="00761F15">
        <w:rPr>
          <w:rFonts w:asciiTheme="majorHAnsi" w:hAnsiTheme="majorHAnsi"/>
          <w:sz w:val="20"/>
          <w:szCs w:val="20"/>
          <w:lang w:val="es-PE"/>
        </w:rPr>
        <w:t xml:space="preserve"> responsabilidades ulteriores</w:t>
      </w:r>
      <w:r w:rsidR="00217ED0" w:rsidRPr="006D531F">
        <w:rPr>
          <w:rFonts w:asciiTheme="majorHAnsi" w:hAnsiTheme="majorHAnsi"/>
          <w:sz w:val="20"/>
          <w:szCs w:val="20"/>
          <w:lang w:val="es-PE"/>
        </w:rPr>
        <w:t>.</w:t>
      </w:r>
    </w:p>
    <w:p w14:paraId="4487317F" w14:textId="77777777" w:rsidR="00D75BF4" w:rsidRPr="006D531F" w:rsidRDefault="00D75BF4" w:rsidP="00D75BF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highlight w:val="green"/>
          <w:lang w:val="es-ES_tradnl"/>
        </w:rPr>
      </w:pPr>
    </w:p>
    <w:p w14:paraId="1182A6A9" w14:textId="77777777" w:rsidR="00F4715A" w:rsidRDefault="00A674A4" w:rsidP="000A6C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R"/>
        </w:rPr>
      </w:pPr>
      <w:r w:rsidRPr="006D531F">
        <w:rPr>
          <w:rFonts w:asciiTheme="majorHAnsi" w:hAnsiTheme="majorHAnsi"/>
          <w:sz w:val="20"/>
          <w:szCs w:val="20"/>
          <w:lang w:val="es-CR"/>
        </w:rPr>
        <w:t xml:space="preserve">Por otro lado, si bien </w:t>
      </w:r>
      <w:r w:rsidR="003623DD" w:rsidRPr="006D531F">
        <w:rPr>
          <w:rFonts w:asciiTheme="majorHAnsi" w:hAnsiTheme="majorHAnsi"/>
          <w:sz w:val="20"/>
          <w:szCs w:val="20"/>
          <w:lang w:val="es-CR"/>
        </w:rPr>
        <w:t xml:space="preserve">la regulación sobre radiodifusión puede establecer sanciones ante el incumplimiento de alguna obligación </w:t>
      </w:r>
      <w:r w:rsidR="000E7F24" w:rsidRPr="006D531F">
        <w:rPr>
          <w:rFonts w:asciiTheme="majorHAnsi" w:hAnsiTheme="majorHAnsi"/>
          <w:sz w:val="20"/>
          <w:szCs w:val="20"/>
          <w:lang w:val="es-CR"/>
        </w:rPr>
        <w:t>legal o ante la comisión de alguna falta e irregularidad</w:t>
      </w:r>
      <w:r w:rsidR="001A2485" w:rsidRPr="006D531F">
        <w:rPr>
          <w:rFonts w:asciiTheme="majorHAnsi" w:hAnsiTheme="majorHAnsi"/>
          <w:sz w:val="20"/>
          <w:szCs w:val="20"/>
          <w:lang w:val="es-CR"/>
        </w:rPr>
        <w:t xml:space="preserve"> </w:t>
      </w:r>
      <w:r w:rsidR="001502A4" w:rsidRPr="006D531F">
        <w:rPr>
          <w:rFonts w:asciiTheme="majorHAnsi" w:hAnsiTheme="majorHAnsi"/>
          <w:sz w:val="20"/>
          <w:szCs w:val="20"/>
          <w:lang w:val="es-CR"/>
        </w:rPr>
        <w:t xml:space="preserve">de cumplirse los </w:t>
      </w:r>
      <w:r w:rsidR="001502A4" w:rsidRPr="006D531F">
        <w:rPr>
          <w:rFonts w:asciiTheme="majorHAnsi" w:hAnsiTheme="majorHAnsi"/>
          <w:sz w:val="20"/>
          <w:szCs w:val="20"/>
          <w:lang w:val="es-CR"/>
        </w:rPr>
        <w:lastRenderedPageBreak/>
        <w:t>requisitos del artículo 13.2</w:t>
      </w:r>
      <w:r w:rsidR="000E7F24" w:rsidRPr="006D531F">
        <w:rPr>
          <w:rFonts w:asciiTheme="majorHAnsi" w:hAnsiTheme="majorHAnsi"/>
          <w:sz w:val="20"/>
          <w:szCs w:val="20"/>
          <w:lang w:val="es-CR"/>
        </w:rPr>
        <w:t>, es preciso destacar que</w:t>
      </w:r>
      <w:r w:rsidR="006E5444" w:rsidRPr="006D531F">
        <w:rPr>
          <w:rFonts w:asciiTheme="majorHAnsi" w:hAnsiTheme="majorHAnsi"/>
          <w:sz w:val="20"/>
          <w:szCs w:val="20"/>
          <w:lang w:val="es-CR"/>
        </w:rPr>
        <w:t>,</w:t>
      </w:r>
      <w:r w:rsidR="000E7F24" w:rsidRPr="006D531F">
        <w:rPr>
          <w:rFonts w:asciiTheme="majorHAnsi" w:hAnsiTheme="majorHAnsi"/>
          <w:sz w:val="20"/>
          <w:szCs w:val="20"/>
          <w:lang w:val="es-CR"/>
        </w:rPr>
        <w:t xml:space="preserve"> en el presente caso</w:t>
      </w:r>
      <w:r w:rsidR="00FB685F" w:rsidRPr="006D531F">
        <w:rPr>
          <w:rFonts w:asciiTheme="majorHAnsi" w:hAnsiTheme="majorHAnsi"/>
          <w:sz w:val="20"/>
          <w:szCs w:val="20"/>
          <w:lang w:val="es-CR"/>
        </w:rPr>
        <w:t>,</w:t>
      </w:r>
      <w:r w:rsidR="000E7F24" w:rsidRPr="006D531F">
        <w:rPr>
          <w:rFonts w:asciiTheme="majorHAnsi" w:hAnsiTheme="majorHAnsi"/>
          <w:sz w:val="20"/>
          <w:szCs w:val="20"/>
          <w:lang w:val="es-CR"/>
        </w:rPr>
        <w:t xml:space="preserve"> no exist</w:t>
      </w:r>
      <w:r w:rsidR="00B92A84" w:rsidRPr="006D531F">
        <w:rPr>
          <w:rFonts w:asciiTheme="majorHAnsi" w:hAnsiTheme="majorHAnsi"/>
          <w:sz w:val="20"/>
          <w:szCs w:val="20"/>
          <w:lang w:val="es-CR"/>
        </w:rPr>
        <w:t>e en la práctica, posibilidad real de que las radios de pueblos indígenas puedan operar con licencias</w:t>
      </w:r>
      <w:r w:rsidR="00183AC8" w:rsidRPr="006D531F">
        <w:rPr>
          <w:rFonts w:asciiTheme="majorHAnsi" w:hAnsiTheme="majorHAnsi"/>
          <w:sz w:val="20"/>
          <w:szCs w:val="20"/>
          <w:lang w:val="es-CR"/>
        </w:rPr>
        <w:t xml:space="preserve"> </w:t>
      </w:r>
      <w:r w:rsidR="005B10ED" w:rsidRPr="006D531F">
        <w:rPr>
          <w:rFonts w:asciiTheme="majorHAnsi" w:hAnsiTheme="majorHAnsi"/>
          <w:sz w:val="20"/>
          <w:szCs w:val="20"/>
          <w:lang w:val="es-CR"/>
        </w:rPr>
        <w:t>en el marco regulatorio existente</w:t>
      </w:r>
      <w:r w:rsidR="00CA4C49" w:rsidRPr="006D531F">
        <w:rPr>
          <w:rFonts w:asciiTheme="majorHAnsi" w:hAnsiTheme="majorHAnsi"/>
          <w:sz w:val="20"/>
          <w:szCs w:val="20"/>
          <w:lang w:val="es-CR"/>
        </w:rPr>
        <w:t xml:space="preserve">, </w:t>
      </w:r>
      <w:r w:rsidR="00200639" w:rsidRPr="006D531F">
        <w:rPr>
          <w:rFonts w:asciiTheme="majorHAnsi" w:hAnsiTheme="majorHAnsi"/>
          <w:sz w:val="20"/>
          <w:szCs w:val="20"/>
          <w:lang w:val="es-CR"/>
        </w:rPr>
        <w:t xml:space="preserve">situación </w:t>
      </w:r>
      <w:r w:rsidR="00C93993" w:rsidRPr="006D531F">
        <w:rPr>
          <w:rFonts w:asciiTheme="majorHAnsi" w:hAnsiTheme="majorHAnsi"/>
          <w:sz w:val="20"/>
          <w:szCs w:val="20"/>
          <w:lang w:val="es-CR"/>
        </w:rPr>
        <w:t xml:space="preserve">que debe ser </w:t>
      </w:r>
      <w:r w:rsidR="00CA4C49" w:rsidRPr="006D531F">
        <w:rPr>
          <w:rFonts w:asciiTheme="majorHAnsi" w:hAnsiTheme="majorHAnsi"/>
          <w:sz w:val="20"/>
          <w:szCs w:val="20"/>
          <w:lang w:val="es-CR"/>
        </w:rPr>
        <w:t>reverti</w:t>
      </w:r>
      <w:r w:rsidR="00C93993" w:rsidRPr="006D531F">
        <w:rPr>
          <w:rFonts w:asciiTheme="majorHAnsi" w:hAnsiTheme="majorHAnsi"/>
          <w:sz w:val="20"/>
          <w:szCs w:val="20"/>
          <w:lang w:val="es-CR"/>
        </w:rPr>
        <w:t>da por</w:t>
      </w:r>
      <w:r w:rsidR="00CA4C49" w:rsidRPr="006D531F">
        <w:rPr>
          <w:rFonts w:asciiTheme="majorHAnsi" w:hAnsiTheme="majorHAnsi"/>
          <w:sz w:val="20"/>
          <w:szCs w:val="20"/>
          <w:lang w:val="es-CR"/>
        </w:rPr>
        <w:t xml:space="preserve"> </w:t>
      </w:r>
      <w:r w:rsidR="00200639" w:rsidRPr="006D531F">
        <w:rPr>
          <w:rFonts w:asciiTheme="majorHAnsi" w:hAnsiTheme="majorHAnsi"/>
          <w:sz w:val="20"/>
          <w:szCs w:val="20"/>
          <w:lang w:val="es-CR"/>
        </w:rPr>
        <w:t>el Estado</w:t>
      </w:r>
      <w:r w:rsidR="00C93993" w:rsidRPr="006D531F">
        <w:rPr>
          <w:rFonts w:asciiTheme="majorHAnsi" w:hAnsiTheme="majorHAnsi"/>
          <w:sz w:val="20"/>
          <w:szCs w:val="20"/>
          <w:lang w:val="es-CR"/>
        </w:rPr>
        <w:t>. En este sentido,</w:t>
      </w:r>
      <w:r w:rsidR="00200639" w:rsidRPr="006D531F">
        <w:rPr>
          <w:rFonts w:asciiTheme="majorHAnsi" w:hAnsiTheme="majorHAnsi"/>
          <w:sz w:val="20"/>
          <w:szCs w:val="20"/>
          <w:lang w:val="es-CR"/>
        </w:rPr>
        <w:t xml:space="preserve"> </w:t>
      </w:r>
      <w:r w:rsidR="0037683D" w:rsidRPr="006D531F">
        <w:rPr>
          <w:rFonts w:asciiTheme="majorHAnsi" w:hAnsiTheme="majorHAnsi"/>
          <w:sz w:val="20"/>
          <w:szCs w:val="20"/>
          <w:lang w:val="es-CR"/>
        </w:rPr>
        <w:t>el allanamiento y el decomiso de equipos de radiodifusión de las radios citadas</w:t>
      </w:r>
      <w:r w:rsidR="000D572D" w:rsidRPr="006D531F">
        <w:rPr>
          <w:rFonts w:asciiTheme="majorHAnsi" w:hAnsiTheme="majorHAnsi"/>
          <w:sz w:val="20"/>
          <w:szCs w:val="20"/>
          <w:lang w:val="es-CR"/>
        </w:rPr>
        <w:t>, si bien fueron hechas por orden judicial</w:t>
      </w:r>
      <w:r w:rsidR="00A2514F" w:rsidRPr="006D531F">
        <w:rPr>
          <w:rFonts w:asciiTheme="majorHAnsi" w:hAnsiTheme="majorHAnsi"/>
          <w:sz w:val="20"/>
          <w:szCs w:val="20"/>
          <w:lang w:val="es-CR"/>
        </w:rPr>
        <w:t xml:space="preserve">, derivaron de un proceso penal </w:t>
      </w:r>
      <w:r w:rsidR="00D440F4" w:rsidRPr="006D531F">
        <w:rPr>
          <w:rFonts w:asciiTheme="majorHAnsi" w:hAnsiTheme="majorHAnsi"/>
          <w:sz w:val="20"/>
          <w:szCs w:val="20"/>
          <w:lang w:val="es-CR"/>
        </w:rPr>
        <w:t>que imp</w:t>
      </w:r>
      <w:r w:rsidR="00EA784C" w:rsidRPr="006D531F">
        <w:rPr>
          <w:rFonts w:asciiTheme="majorHAnsi" w:hAnsiTheme="majorHAnsi"/>
          <w:sz w:val="20"/>
          <w:szCs w:val="20"/>
          <w:lang w:val="es-CR"/>
        </w:rPr>
        <w:t>o</w:t>
      </w:r>
      <w:r w:rsidR="00D440F4" w:rsidRPr="006D531F">
        <w:rPr>
          <w:rFonts w:asciiTheme="majorHAnsi" w:hAnsiTheme="majorHAnsi"/>
          <w:sz w:val="20"/>
          <w:szCs w:val="20"/>
          <w:lang w:val="es-CR"/>
        </w:rPr>
        <w:t>ne restricciones al derecho a la libertad de expresión que</w:t>
      </w:r>
      <w:r w:rsidR="00197F86" w:rsidRPr="006D531F">
        <w:rPr>
          <w:rFonts w:asciiTheme="majorHAnsi" w:hAnsiTheme="majorHAnsi"/>
          <w:sz w:val="20"/>
          <w:szCs w:val="20"/>
          <w:lang w:val="es-CR"/>
        </w:rPr>
        <w:t xml:space="preserve"> </w:t>
      </w:r>
      <w:r w:rsidR="00DB3FB2" w:rsidRPr="006D531F">
        <w:rPr>
          <w:rFonts w:asciiTheme="majorHAnsi" w:hAnsiTheme="majorHAnsi"/>
          <w:sz w:val="20"/>
          <w:szCs w:val="20"/>
          <w:lang w:val="es-CR"/>
        </w:rPr>
        <w:t xml:space="preserve">no </w:t>
      </w:r>
      <w:r w:rsidR="00197F86" w:rsidRPr="006D531F">
        <w:rPr>
          <w:rFonts w:asciiTheme="majorHAnsi" w:hAnsiTheme="majorHAnsi"/>
          <w:sz w:val="20"/>
          <w:szCs w:val="20"/>
          <w:lang w:val="es-CR"/>
        </w:rPr>
        <w:t xml:space="preserve">se ajustan a la Convención </w:t>
      </w:r>
      <w:r w:rsidR="00B77DF4" w:rsidRPr="006D531F">
        <w:rPr>
          <w:rFonts w:asciiTheme="majorHAnsi" w:hAnsiTheme="majorHAnsi"/>
          <w:sz w:val="20"/>
          <w:szCs w:val="20"/>
          <w:lang w:val="es-CR"/>
        </w:rPr>
        <w:t>Americana</w:t>
      </w:r>
      <w:r w:rsidR="0065527D" w:rsidRPr="006D531F">
        <w:rPr>
          <w:rFonts w:asciiTheme="majorHAnsi" w:hAnsiTheme="majorHAnsi"/>
          <w:sz w:val="20"/>
          <w:szCs w:val="20"/>
          <w:lang w:val="es-CR"/>
        </w:rPr>
        <w:t xml:space="preserve">. </w:t>
      </w:r>
    </w:p>
    <w:p w14:paraId="5C406CD9" w14:textId="77777777" w:rsidR="00F4715A" w:rsidRDefault="00F4715A" w:rsidP="00F4715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R"/>
        </w:rPr>
      </w:pPr>
    </w:p>
    <w:p w14:paraId="2E9C974D" w14:textId="77777777" w:rsidR="009F0E49" w:rsidRPr="006D531F" w:rsidRDefault="00107288" w:rsidP="000A6CE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R"/>
        </w:rPr>
      </w:pPr>
      <w:r w:rsidRPr="006D531F">
        <w:rPr>
          <w:rFonts w:asciiTheme="majorHAnsi" w:hAnsiTheme="majorHAnsi"/>
          <w:sz w:val="20"/>
          <w:szCs w:val="20"/>
          <w:lang w:val="es-CR"/>
        </w:rPr>
        <w:t>De igual manera, de los hechos del caso</w:t>
      </w:r>
      <w:r w:rsidR="00B95F9B" w:rsidRPr="006D531F">
        <w:rPr>
          <w:rFonts w:asciiTheme="majorHAnsi" w:hAnsiTheme="majorHAnsi"/>
          <w:sz w:val="20"/>
          <w:szCs w:val="20"/>
          <w:lang w:val="es-CR"/>
        </w:rPr>
        <w:t xml:space="preserve">, </w:t>
      </w:r>
      <w:r w:rsidR="005D769B" w:rsidRPr="006D531F">
        <w:rPr>
          <w:rFonts w:asciiTheme="majorHAnsi" w:hAnsiTheme="majorHAnsi"/>
          <w:sz w:val="20"/>
          <w:szCs w:val="20"/>
          <w:lang w:val="es-CR"/>
        </w:rPr>
        <w:t xml:space="preserve">las órdenes de allanamiento y decomiso fueron dadas </w:t>
      </w:r>
      <w:r w:rsidR="004A2985" w:rsidRPr="006D531F">
        <w:rPr>
          <w:rFonts w:asciiTheme="majorHAnsi" w:hAnsiTheme="majorHAnsi"/>
          <w:sz w:val="20"/>
          <w:szCs w:val="20"/>
          <w:lang w:val="es-CR"/>
        </w:rPr>
        <w:t xml:space="preserve">a través de una </w:t>
      </w:r>
      <w:r w:rsidR="003E725D" w:rsidRPr="006D531F">
        <w:rPr>
          <w:rFonts w:asciiTheme="majorHAnsi" w:hAnsiTheme="majorHAnsi"/>
          <w:sz w:val="20"/>
          <w:szCs w:val="20"/>
          <w:lang w:val="es-CR"/>
        </w:rPr>
        <w:t xml:space="preserve">orden judicial </w:t>
      </w:r>
      <w:r w:rsidR="002233BA" w:rsidRPr="006D531F">
        <w:rPr>
          <w:rFonts w:asciiTheme="majorHAnsi" w:hAnsiTheme="majorHAnsi"/>
          <w:sz w:val="20"/>
          <w:szCs w:val="20"/>
          <w:lang w:val="es-CR"/>
        </w:rPr>
        <w:t xml:space="preserve">en el marco de una investigación </w:t>
      </w:r>
      <w:r w:rsidR="0075589B" w:rsidRPr="006D531F">
        <w:rPr>
          <w:rFonts w:asciiTheme="majorHAnsi" w:hAnsiTheme="majorHAnsi"/>
          <w:sz w:val="20"/>
          <w:szCs w:val="20"/>
          <w:lang w:val="es-CR"/>
        </w:rPr>
        <w:t xml:space="preserve">penal </w:t>
      </w:r>
      <w:r w:rsidR="00D45D36" w:rsidRPr="006D531F">
        <w:rPr>
          <w:rFonts w:asciiTheme="majorHAnsi" w:hAnsiTheme="majorHAnsi"/>
          <w:sz w:val="20"/>
          <w:szCs w:val="20"/>
          <w:lang w:val="es-CR"/>
        </w:rPr>
        <w:t xml:space="preserve">debido a la sospecha de la comisión de un </w:t>
      </w:r>
      <w:r w:rsidR="00D45D36" w:rsidRPr="000D11B6">
        <w:rPr>
          <w:rFonts w:asciiTheme="majorHAnsi" w:hAnsiTheme="majorHAnsi"/>
          <w:sz w:val="20"/>
          <w:szCs w:val="20"/>
          <w:lang w:val="es-CR"/>
        </w:rPr>
        <w:t>delito</w:t>
      </w:r>
      <w:r w:rsidR="001734A9" w:rsidRPr="000D11B6">
        <w:rPr>
          <w:rFonts w:asciiTheme="majorHAnsi" w:hAnsiTheme="majorHAnsi"/>
          <w:sz w:val="20"/>
          <w:szCs w:val="20"/>
          <w:lang w:val="es-CR"/>
        </w:rPr>
        <w:t xml:space="preserve">, sin </w:t>
      </w:r>
      <w:r w:rsidR="009943C6" w:rsidRPr="000D11B6">
        <w:rPr>
          <w:rFonts w:asciiTheme="majorHAnsi" w:hAnsiTheme="majorHAnsi"/>
          <w:sz w:val="20"/>
          <w:szCs w:val="20"/>
          <w:lang w:val="es-CR"/>
        </w:rPr>
        <w:t xml:space="preserve">embargo, la </w:t>
      </w:r>
      <w:r w:rsidR="00514B7B" w:rsidRPr="000D11B6">
        <w:rPr>
          <w:rFonts w:asciiTheme="majorHAnsi" w:hAnsiTheme="majorHAnsi"/>
          <w:sz w:val="20"/>
          <w:szCs w:val="20"/>
          <w:lang w:val="es-CR"/>
        </w:rPr>
        <w:t>orden dictada no se ajustó al artículo 13.2 de la Convenci</w:t>
      </w:r>
      <w:r w:rsidR="00D64E90" w:rsidRPr="000D11B6">
        <w:rPr>
          <w:rFonts w:asciiTheme="majorHAnsi" w:hAnsiTheme="majorHAnsi"/>
          <w:sz w:val="20"/>
          <w:szCs w:val="20"/>
          <w:lang w:val="es-CR"/>
        </w:rPr>
        <w:t xml:space="preserve">ón. </w:t>
      </w:r>
      <w:r w:rsidR="009943C6" w:rsidRPr="000D11B6">
        <w:rPr>
          <w:rFonts w:asciiTheme="majorHAnsi" w:hAnsiTheme="majorHAnsi"/>
          <w:sz w:val="20"/>
          <w:szCs w:val="20"/>
          <w:lang w:val="es-CR"/>
        </w:rPr>
        <w:t>Lo anterior, debido a que</w:t>
      </w:r>
      <w:r w:rsidR="00514B7B" w:rsidRPr="000D11B6">
        <w:rPr>
          <w:rFonts w:asciiTheme="majorHAnsi" w:hAnsiTheme="majorHAnsi"/>
          <w:sz w:val="20"/>
          <w:szCs w:val="20"/>
          <w:lang w:val="es-CR"/>
        </w:rPr>
        <w:t xml:space="preserve"> la medida de restricción del derecho a la libertad de expresión (decomiso) de los pueblos </w:t>
      </w:r>
      <w:r w:rsidR="00514B7B" w:rsidRPr="000D11B6">
        <w:rPr>
          <w:rFonts w:asciiTheme="majorHAnsi" w:hAnsiTheme="majorHAnsi"/>
          <w:sz w:val="20"/>
          <w:szCs w:val="20"/>
          <w:lang w:val="es-MX"/>
        </w:rPr>
        <w:t>Maya Kaqchikel</w:t>
      </w:r>
      <w:r w:rsidR="00514B7B" w:rsidRPr="000D11B6">
        <w:rPr>
          <w:rFonts w:asciiTheme="majorHAnsi" w:hAnsiTheme="majorHAnsi"/>
          <w:sz w:val="20"/>
          <w:szCs w:val="20"/>
          <w:lang w:val="es-CR"/>
        </w:rPr>
        <w:t xml:space="preserve"> (</w:t>
      </w:r>
      <w:r w:rsidR="00514B7B" w:rsidRPr="000D11B6">
        <w:rPr>
          <w:rFonts w:asciiTheme="majorHAnsi" w:hAnsiTheme="majorHAnsi"/>
          <w:sz w:val="20"/>
          <w:szCs w:val="20"/>
          <w:lang w:val="es-MX"/>
        </w:rPr>
        <w:t>Radio Ixchel) y Maya Achí</w:t>
      </w:r>
      <w:r w:rsidR="00514B7B" w:rsidRPr="000D11B6">
        <w:rPr>
          <w:rFonts w:asciiTheme="majorHAnsi" w:hAnsiTheme="majorHAnsi"/>
          <w:sz w:val="20"/>
          <w:szCs w:val="20"/>
          <w:lang w:val="es-CR"/>
        </w:rPr>
        <w:t xml:space="preserve"> (</w:t>
      </w:r>
      <w:r w:rsidR="00514B7B" w:rsidRPr="000D11B6">
        <w:rPr>
          <w:rFonts w:asciiTheme="majorHAnsi" w:hAnsiTheme="majorHAnsi"/>
          <w:sz w:val="20"/>
          <w:szCs w:val="20"/>
          <w:lang w:val="es-MX"/>
        </w:rPr>
        <w:t xml:space="preserve">Uqul Tinamil “La Voz del Pueblo”) no fue necesaria ni proporcional, al impedir </w:t>
      </w:r>
      <w:r w:rsidR="00D64E90" w:rsidRPr="000D11B6">
        <w:rPr>
          <w:rFonts w:asciiTheme="majorHAnsi" w:hAnsiTheme="majorHAnsi"/>
          <w:sz w:val="20"/>
          <w:szCs w:val="20"/>
          <w:lang w:val="es-MX"/>
        </w:rPr>
        <w:t xml:space="preserve">de forma absoluta </w:t>
      </w:r>
      <w:r w:rsidR="00514B7B" w:rsidRPr="000D11B6">
        <w:rPr>
          <w:rFonts w:asciiTheme="majorHAnsi" w:hAnsiTheme="majorHAnsi"/>
          <w:sz w:val="20"/>
          <w:szCs w:val="20"/>
          <w:lang w:val="es-MX"/>
        </w:rPr>
        <w:t>que las comunidades pudieran ejercer su derecho a la libertad de expresi</w:t>
      </w:r>
      <w:r w:rsidR="00D64E90" w:rsidRPr="000D11B6">
        <w:rPr>
          <w:rFonts w:asciiTheme="majorHAnsi" w:hAnsiTheme="majorHAnsi"/>
          <w:sz w:val="20"/>
          <w:szCs w:val="20"/>
          <w:lang w:val="es-MX"/>
        </w:rPr>
        <w:t xml:space="preserve">ón </w:t>
      </w:r>
      <w:r w:rsidR="000D11B6" w:rsidRPr="000D11B6">
        <w:rPr>
          <w:rFonts w:asciiTheme="majorHAnsi" w:hAnsiTheme="majorHAnsi"/>
          <w:sz w:val="20"/>
          <w:szCs w:val="20"/>
          <w:lang w:val="es-MX"/>
        </w:rPr>
        <w:t>al verse imposibilitadas</w:t>
      </w:r>
      <w:r w:rsidR="009943C6" w:rsidRPr="000D11B6">
        <w:rPr>
          <w:rFonts w:asciiTheme="majorHAnsi" w:hAnsiTheme="majorHAnsi"/>
          <w:sz w:val="20"/>
          <w:szCs w:val="20"/>
          <w:lang w:val="es-MX"/>
        </w:rPr>
        <w:t xml:space="preserve"> de transmitir </w:t>
      </w:r>
      <w:r w:rsidR="00D64E90" w:rsidRPr="000D11B6">
        <w:rPr>
          <w:rFonts w:asciiTheme="majorHAnsi" w:hAnsiTheme="majorHAnsi"/>
          <w:sz w:val="20"/>
          <w:szCs w:val="20"/>
          <w:lang w:val="es-MX"/>
        </w:rPr>
        <w:t>por no contar con los equipos para hacerlo.</w:t>
      </w:r>
      <w:r w:rsidR="00514B7B" w:rsidRPr="000D11B6">
        <w:rPr>
          <w:rFonts w:asciiTheme="majorHAnsi" w:hAnsiTheme="majorHAnsi"/>
          <w:sz w:val="20"/>
          <w:szCs w:val="20"/>
          <w:lang w:val="es-MX"/>
        </w:rPr>
        <w:t xml:space="preserve"> </w:t>
      </w:r>
      <w:r w:rsidR="004719B8" w:rsidRPr="000D11B6">
        <w:rPr>
          <w:rFonts w:asciiTheme="majorHAnsi" w:hAnsiTheme="majorHAnsi"/>
          <w:sz w:val="20"/>
          <w:szCs w:val="20"/>
          <w:lang w:val="es-CR"/>
        </w:rPr>
        <w:t xml:space="preserve">La Comisión considera que el allanamiento y decomiso de bienes </w:t>
      </w:r>
      <w:r w:rsidR="00074757" w:rsidRPr="000D11B6">
        <w:rPr>
          <w:rFonts w:asciiTheme="majorHAnsi" w:hAnsiTheme="majorHAnsi"/>
          <w:sz w:val="20"/>
          <w:szCs w:val="20"/>
          <w:lang w:val="es-CR"/>
        </w:rPr>
        <w:t xml:space="preserve">en supuestos como los analizados </w:t>
      </w:r>
      <w:r w:rsidR="00CD65F4" w:rsidRPr="000D11B6">
        <w:rPr>
          <w:rFonts w:asciiTheme="majorHAnsi" w:hAnsiTheme="majorHAnsi"/>
          <w:sz w:val="20"/>
          <w:szCs w:val="20"/>
          <w:lang w:val="es-CR"/>
        </w:rPr>
        <w:t>aquí</w:t>
      </w:r>
      <w:r w:rsidR="00074757" w:rsidRPr="000D11B6">
        <w:rPr>
          <w:rFonts w:asciiTheme="majorHAnsi" w:hAnsiTheme="majorHAnsi"/>
          <w:sz w:val="20"/>
          <w:szCs w:val="20"/>
          <w:lang w:val="es-CR"/>
        </w:rPr>
        <w:t xml:space="preserve">, </w:t>
      </w:r>
      <w:r w:rsidR="00CC3D66" w:rsidRPr="000D11B6">
        <w:rPr>
          <w:rFonts w:asciiTheme="majorHAnsi" w:hAnsiTheme="majorHAnsi"/>
          <w:sz w:val="20"/>
          <w:szCs w:val="20"/>
          <w:lang w:val="es-CR"/>
        </w:rPr>
        <w:t>constituyen</w:t>
      </w:r>
      <w:r w:rsidR="00CC3D66" w:rsidRPr="006D531F">
        <w:rPr>
          <w:rFonts w:asciiTheme="majorHAnsi" w:hAnsiTheme="majorHAnsi"/>
          <w:sz w:val="20"/>
          <w:szCs w:val="20"/>
          <w:lang w:val="es-CR"/>
        </w:rPr>
        <w:t xml:space="preserve"> una forma </w:t>
      </w:r>
      <w:r w:rsidR="00066708" w:rsidRPr="006D531F">
        <w:rPr>
          <w:rFonts w:asciiTheme="majorHAnsi" w:hAnsiTheme="majorHAnsi"/>
          <w:sz w:val="20"/>
          <w:szCs w:val="20"/>
          <w:lang w:val="es-CR"/>
        </w:rPr>
        <w:t xml:space="preserve">de censura </w:t>
      </w:r>
      <w:r w:rsidR="000F37CC" w:rsidRPr="006D531F">
        <w:rPr>
          <w:rFonts w:asciiTheme="majorHAnsi" w:hAnsiTheme="majorHAnsi"/>
          <w:sz w:val="20"/>
          <w:szCs w:val="20"/>
          <w:lang w:val="es-CR"/>
        </w:rPr>
        <w:t xml:space="preserve">y una violación </w:t>
      </w:r>
      <w:r w:rsidR="002D6EE9" w:rsidRPr="006D531F">
        <w:rPr>
          <w:rFonts w:asciiTheme="majorHAnsi" w:hAnsiTheme="majorHAnsi"/>
          <w:sz w:val="20"/>
          <w:szCs w:val="20"/>
          <w:lang w:val="es-CR"/>
        </w:rPr>
        <w:t>desproporcionada</w:t>
      </w:r>
      <w:r w:rsidR="000F37CC" w:rsidRPr="006D531F">
        <w:rPr>
          <w:rFonts w:asciiTheme="majorHAnsi" w:hAnsiTheme="majorHAnsi"/>
          <w:sz w:val="20"/>
          <w:szCs w:val="20"/>
          <w:lang w:val="es-CR"/>
        </w:rPr>
        <w:t xml:space="preserve"> de la libertad de expresión </w:t>
      </w:r>
      <w:r w:rsidR="00E54A3E" w:rsidRPr="006D531F">
        <w:rPr>
          <w:rFonts w:asciiTheme="majorHAnsi" w:hAnsiTheme="majorHAnsi"/>
          <w:sz w:val="20"/>
          <w:szCs w:val="20"/>
          <w:lang w:val="es-CR"/>
        </w:rPr>
        <w:t>de los pueblos indígenas</w:t>
      </w:r>
      <w:r w:rsidR="002D6EE9" w:rsidRPr="006D531F">
        <w:rPr>
          <w:rFonts w:asciiTheme="majorHAnsi" w:hAnsiTheme="majorHAnsi"/>
          <w:sz w:val="20"/>
          <w:szCs w:val="20"/>
          <w:lang w:val="es-CR"/>
        </w:rPr>
        <w:t xml:space="preserve">, ya que </w:t>
      </w:r>
      <w:r w:rsidR="00F83A00" w:rsidRPr="006D531F">
        <w:rPr>
          <w:rFonts w:asciiTheme="majorHAnsi" w:hAnsiTheme="majorHAnsi"/>
          <w:sz w:val="20"/>
          <w:szCs w:val="20"/>
          <w:lang w:val="es-CR"/>
        </w:rPr>
        <w:t xml:space="preserve">dichas conductas </w:t>
      </w:r>
      <w:r w:rsidR="00804CB3" w:rsidRPr="006D531F">
        <w:rPr>
          <w:rFonts w:asciiTheme="majorHAnsi" w:hAnsiTheme="majorHAnsi"/>
          <w:sz w:val="20"/>
          <w:szCs w:val="20"/>
          <w:lang w:val="es-CR"/>
        </w:rPr>
        <w:t xml:space="preserve">impiden que las radios comunitarias pueden </w:t>
      </w:r>
      <w:r w:rsidR="008B5EEA" w:rsidRPr="006D531F">
        <w:rPr>
          <w:rFonts w:asciiTheme="majorHAnsi" w:hAnsiTheme="majorHAnsi"/>
          <w:sz w:val="20"/>
          <w:szCs w:val="20"/>
          <w:lang w:val="es-CR"/>
        </w:rPr>
        <w:t>transmitir</w:t>
      </w:r>
      <w:r w:rsidR="00F4715A">
        <w:rPr>
          <w:rFonts w:asciiTheme="majorHAnsi" w:hAnsiTheme="majorHAnsi"/>
          <w:sz w:val="20"/>
          <w:szCs w:val="20"/>
          <w:lang w:val="es-CR"/>
        </w:rPr>
        <w:t xml:space="preserve"> en adelante</w:t>
      </w:r>
      <w:r w:rsidR="00750044" w:rsidRPr="006D531F">
        <w:rPr>
          <w:rFonts w:asciiTheme="majorHAnsi" w:hAnsiTheme="majorHAnsi"/>
          <w:sz w:val="20"/>
          <w:szCs w:val="20"/>
          <w:lang w:val="es-CR"/>
        </w:rPr>
        <w:t>, como ocurrió con la Radio “La Voz del Pueblo”</w:t>
      </w:r>
      <w:r w:rsidR="007B46B0" w:rsidRPr="006D531F">
        <w:rPr>
          <w:rFonts w:asciiTheme="majorHAnsi" w:hAnsiTheme="majorHAnsi"/>
          <w:sz w:val="20"/>
          <w:szCs w:val="20"/>
          <w:lang w:val="es-CR"/>
        </w:rPr>
        <w:t xml:space="preserve"> de forma permanente</w:t>
      </w:r>
      <w:r w:rsidR="00750044" w:rsidRPr="006D531F">
        <w:rPr>
          <w:rFonts w:asciiTheme="majorHAnsi" w:hAnsiTheme="majorHAnsi"/>
          <w:sz w:val="20"/>
          <w:szCs w:val="20"/>
          <w:lang w:val="es-CR"/>
        </w:rPr>
        <w:t>.</w:t>
      </w:r>
    </w:p>
    <w:p w14:paraId="48652FFA" w14:textId="77777777" w:rsidR="00514B7B" w:rsidRPr="000D11B6" w:rsidRDefault="00514B7B" w:rsidP="0045520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14:paraId="6CEE5CD7" w14:textId="77777777" w:rsidR="00455200" w:rsidRPr="006D531F" w:rsidRDefault="00455200" w:rsidP="00113CD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6D531F">
        <w:rPr>
          <w:rFonts w:asciiTheme="majorHAnsi" w:hAnsiTheme="majorHAnsi"/>
          <w:sz w:val="20"/>
          <w:szCs w:val="20"/>
          <w:lang w:val="es-PE"/>
        </w:rPr>
        <w:t>Con base en lo desarrollado, la CIDH concluye</w:t>
      </w:r>
      <w:r w:rsidR="00F87C1A" w:rsidRPr="006D531F">
        <w:rPr>
          <w:rFonts w:asciiTheme="majorHAnsi" w:hAnsiTheme="majorHAnsi"/>
          <w:sz w:val="20"/>
          <w:szCs w:val="20"/>
          <w:lang w:val="es-PE"/>
        </w:rPr>
        <w:t xml:space="preserve"> que la normativa interna, ratificada por la Corte de Constitucionalidad, así como </w:t>
      </w:r>
      <w:r w:rsidR="00584013" w:rsidRPr="006D531F">
        <w:rPr>
          <w:rFonts w:asciiTheme="majorHAnsi" w:hAnsiTheme="majorHAnsi"/>
          <w:sz w:val="20"/>
          <w:szCs w:val="20"/>
          <w:lang w:val="es-PE"/>
        </w:rPr>
        <w:t>la falta de adopción de medidas afirmativas en beneficio de los pueblos indígenas para acceder en igualdad de condiciones a las frecuencias de radio</w:t>
      </w:r>
      <w:r w:rsidR="00006A8E" w:rsidRPr="006D531F">
        <w:rPr>
          <w:rFonts w:asciiTheme="majorHAnsi" w:hAnsiTheme="majorHAnsi"/>
          <w:sz w:val="20"/>
          <w:szCs w:val="20"/>
          <w:lang w:val="es-PE"/>
        </w:rPr>
        <w:t xml:space="preserve">difusión, </w:t>
      </w:r>
      <w:r w:rsidR="00F72FE3" w:rsidRPr="006D531F">
        <w:rPr>
          <w:rFonts w:asciiTheme="majorHAnsi" w:hAnsiTheme="majorHAnsi"/>
          <w:sz w:val="20"/>
          <w:szCs w:val="20"/>
          <w:lang w:val="es-PE"/>
        </w:rPr>
        <w:t xml:space="preserve">constituyen violaciones de los derechos a la libertad de expresión, a la </w:t>
      </w:r>
      <w:r w:rsidR="00C777AE" w:rsidRPr="006D531F">
        <w:rPr>
          <w:rFonts w:asciiTheme="majorHAnsi" w:hAnsiTheme="majorHAnsi"/>
          <w:sz w:val="20"/>
          <w:szCs w:val="20"/>
          <w:lang w:val="es-PE"/>
        </w:rPr>
        <w:t xml:space="preserve">igualdad ante la ley y a los derechos culturales, reconocidos en los artículos 13, 24 y 26 </w:t>
      </w:r>
      <w:r w:rsidRPr="006D531F">
        <w:rPr>
          <w:rFonts w:asciiTheme="majorHAnsi" w:hAnsiTheme="majorHAnsi"/>
          <w:sz w:val="20"/>
          <w:szCs w:val="20"/>
          <w:lang w:val="es-PE"/>
        </w:rPr>
        <w:t>de la Convención Americana, en relación con l</w:t>
      </w:r>
      <w:r w:rsidR="00C777AE" w:rsidRPr="006D531F">
        <w:rPr>
          <w:rFonts w:asciiTheme="majorHAnsi" w:hAnsiTheme="majorHAnsi"/>
          <w:sz w:val="20"/>
          <w:szCs w:val="20"/>
          <w:lang w:val="es-PE"/>
        </w:rPr>
        <w:t>os</w:t>
      </w:r>
      <w:r w:rsidRPr="006D531F">
        <w:rPr>
          <w:rFonts w:asciiTheme="majorHAnsi" w:hAnsiTheme="majorHAnsi"/>
          <w:sz w:val="20"/>
          <w:szCs w:val="20"/>
          <w:lang w:val="es-PE"/>
        </w:rPr>
        <w:t xml:space="preserve"> artículo</w:t>
      </w:r>
      <w:r w:rsidR="00C777AE" w:rsidRPr="006D531F">
        <w:rPr>
          <w:rFonts w:asciiTheme="majorHAnsi" w:hAnsiTheme="majorHAnsi"/>
          <w:sz w:val="20"/>
          <w:szCs w:val="20"/>
          <w:lang w:val="es-PE"/>
        </w:rPr>
        <w:t>s</w:t>
      </w:r>
      <w:r w:rsidRPr="006D531F">
        <w:rPr>
          <w:rFonts w:asciiTheme="majorHAnsi" w:hAnsiTheme="majorHAnsi"/>
          <w:sz w:val="20"/>
          <w:szCs w:val="20"/>
          <w:lang w:val="es-PE"/>
        </w:rPr>
        <w:t xml:space="preserve"> 1.1 </w:t>
      </w:r>
      <w:r w:rsidR="00C777AE" w:rsidRPr="006D531F">
        <w:rPr>
          <w:rFonts w:asciiTheme="majorHAnsi" w:hAnsiTheme="majorHAnsi"/>
          <w:sz w:val="20"/>
          <w:szCs w:val="20"/>
          <w:lang w:val="es-PE"/>
        </w:rPr>
        <w:t xml:space="preserve">y 2 </w:t>
      </w:r>
      <w:r w:rsidRPr="006D531F">
        <w:rPr>
          <w:rFonts w:asciiTheme="majorHAnsi" w:hAnsiTheme="majorHAnsi"/>
          <w:sz w:val="20"/>
          <w:szCs w:val="20"/>
          <w:lang w:val="es-PE"/>
        </w:rPr>
        <w:t xml:space="preserve">del mismo instrumento. Asimismo, </w:t>
      </w:r>
      <w:r w:rsidR="00A01051" w:rsidRPr="006D531F">
        <w:rPr>
          <w:rFonts w:asciiTheme="majorHAnsi" w:hAnsiTheme="majorHAnsi"/>
          <w:sz w:val="20"/>
          <w:szCs w:val="20"/>
          <w:lang w:val="es-PE"/>
        </w:rPr>
        <w:t xml:space="preserve">la Comisión concluye que la </w:t>
      </w:r>
      <w:r w:rsidR="007A56A0" w:rsidRPr="006D531F">
        <w:rPr>
          <w:rFonts w:asciiTheme="majorHAnsi" w:hAnsiTheme="majorHAnsi"/>
          <w:sz w:val="20"/>
          <w:szCs w:val="20"/>
          <w:lang w:val="es-PE"/>
        </w:rPr>
        <w:t>criminalización</w:t>
      </w:r>
      <w:r w:rsidR="007519D9" w:rsidRPr="006D531F">
        <w:rPr>
          <w:rFonts w:asciiTheme="majorHAnsi" w:hAnsiTheme="majorHAnsi"/>
          <w:sz w:val="20"/>
          <w:szCs w:val="20"/>
          <w:lang w:val="es-PE"/>
        </w:rPr>
        <w:t xml:space="preserve"> de la</w:t>
      </w:r>
      <w:r w:rsidR="007A56A0" w:rsidRPr="006D531F">
        <w:rPr>
          <w:rFonts w:asciiTheme="majorHAnsi" w:hAnsiTheme="majorHAnsi"/>
          <w:sz w:val="20"/>
          <w:szCs w:val="20"/>
          <w:lang w:val="es-PE"/>
        </w:rPr>
        <w:t xml:space="preserve"> </w:t>
      </w:r>
      <w:r w:rsidR="00566166" w:rsidRPr="006D531F">
        <w:rPr>
          <w:rFonts w:asciiTheme="majorHAnsi" w:hAnsiTheme="majorHAnsi"/>
          <w:sz w:val="20"/>
          <w:szCs w:val="20"/>
          <w:lang w:val="es-PE"/>
        </w:rPr>
        <w:t>operación de dos</w:t>
      </w:r>
      <w:r w:rsidR="007519D9" w:rsidRPr="006D531F">
        <w:rPr>
          <w:rFonts w:asciiTheme="majorHAnsi" w:hAnsiTheme="majorHAnsi"/>
          <w:sz w:val="20"/>
          <w:szCs w:val="20"/>
          <w:lang w:val="es-PE"/>
        </w:rPr>
        <w:t xml:space="preserve"> radios comunitarias</w:t>
      </w:r>
      <w:r w:rsidR="00F2470B" w:rsidRPr="006D531F">
        <w:rPr>
          <w:rFonts w:asciiTheme="majorHAnsi" w:hAnsiTheme="majorHAnsi"/>
          <w:sz w:val="20"/>
          <w:szCs w:val="20"/>
          <w:lang w:val="es-PE"/>
        </w:rPr>
        <w:t xml:space="preserve"> indígenas </w:t>
      </w:r>
      <w:r w:rsidRPr="006D531F">
        <w:rPr>
          <w:rFonts w:asciiTheme="majorHAnsi" w:hAnsiTheme="majorHAnsi"/>
          <w:sz w:val="20"/>
          <w:szCs w:val="20"/>
          <w:lang w:val="es-PE"/>
        </w:rPr>
        <w:t xml:space="preserve">violó </w:t>
      </w:r>
      <w:r w:rsidR="00F2470B" w:rsidRPr="006D531F">
        <w:rPr>
          <w:rFonts w:asciiTheme="majorHAnsi" w:hAnsiTheme="majorHAnsi"/>
          <w:sz w:val="20"/>
          <w:szCs w:val="20"/>
          <w:lang w:val="es-PE"/>
        </w:rPr>
        <w:t xml:space="preserve">el </w:t>
      </w:r>
      <w:r w:rsidR="002E1B4F" w:rsidRPr="006D531F">
        <w:rPr>
          <w:rFonts w:asciiTheme="majorHAnsi" w:hAnsiTheme="majorHAnsi"/>
          <w:sz w:val="20"/>
          <w:szCs w:val="20"/>
          <w:lang w:val="es-PE"/>
        </w:rPr>
        <w:t>derecho a la libertad de expresión, re</w:t>
      </w:r>
      <w:r w:rsidR="007A56A0" w:rsidRPr="006D531F">
        <w:rPr>
          <w:rFonts w:asciiTheme="majorHAnsi" w:hAnsiTheme="majorHAnsi"/>
          <w:sz w:val="20"/>
          <w:szCs w:val="20"/>
          <w:lang w:val="es-PE"/>
        </w:rPr>
        <w:t>cogido en el artículo 13 de la Convención, en relación con el artículo 1.1 del mismo tratado</w:t>
      </w:r>
      <w:r w:rsidR="00792526" w:rsidRPr="006D531F">
        <w:rPr>
          <w:rFonts w:asciiTheme="majorHAnsi" w:hAnsiTheme="majorHAnsi"/>
          <w:sz w:val="20"/>
          <w:szCs w:val="20"/>
          <w:lang w:val="es-PE"/>
        </w:rPr>
        <w:t xml:space="preserve">. Todas las violaciones </w:t>
      </w:r>
      <w:r w:rsidR="00B04286" w:rsidRPr="006D531F">
        <w:rPr>
          <w:rFonts w:asciiTheme="majorHAnsi" w:hAnsiTheme="majorHAnsi"/>
          <w:sz w:val="20"/>
          <w:szCs w:val="20"/>
          <w:lang w:val="es-PE"/>
        </w:rPr>
        <w:t>declara</w:t>
      </w:r>
      <w:r w:rsidR="00113CDD" w:rsidRPr="006D531F">
        <w:rPr>
          <w:rFonts w:asciiTheme="majorHAnsi" w:hAnsiTheme="majorHAnsi"/>
          <w:sz w:val="20"/>
          <w:szCs w:val="20"/>
          <w:lang w:val="es-PE"/>
        </w:rPr>
        <w:t xml:space="preserve">das </w:t>
      </w:r>
      <w:r w:rsidR="00B04286" w:rsidRPr="006D531F">
        <w:rPr>
          <w:rFonts w:asciiTheme="majorHAnsi" w:hAnsiTheme="majorHAnsi"/>
          <w:sz w:val="20"/>
          <w:szCs w:val="20"/>
          <w:lang w:val="es-PE"/>
        </w:rPr>
        <w:t xml:space="preserve">son </w:t>
      </w:r>
      <w:r w:rsidRPr="006D531F">
        <w:rPr>
          <w:rFonts w:asciiTheme="majorHAnsi" w:hAnsiTheme="majorHAnsi"/>
          <w:sz w:val="20"/>
          <w:szCs w:val="20"/>
          <w:lang w:val="es-PE"/>
        </w:rPr>
        <w:t xml:space="preserve">en perjuicio de </w:t>
      </w:r>
      <w:r w:rsidR="00113CDD" w:rsidRPr="006D531F">
        <w:rPr>
          <w:rFonts w:asciiTheme="majorHAnsi" w:hAnsiTheme="majorHAnsi"/>
          <w:sz w:val="20"/>
          <w:szCs w:val="20"/>
          <w:lang w:val="es-VE"/>
        </w:rPr>
        <w:t xml:space="preserve">los pueblos </w:t>
      </w:r>
      <w:r w:rsidR="00113CDD" w:rsidRPr="006D531F">
        <w:rPr>
          <w:rFonts w:asciiTheme="majorHAnsi" w:hAnsiTheme="majorHAnsi"/>
          <w:sz w:val="20"/>
          <w:szCs w:val="20"/>
          <w:lang w:val="es-MX"/>
        </w:rPr>
        <w:t>indígenas Maya Kaqchikel de Sumpango, Maya Achí de San Miguel Chicaj, Maya Mam de Cajolá, y Maya de Todos Santos de Cuchumatán.</w:t>
      </w:r>
    </w:p>
    <w:p w14:paraId="0F6C87D7" w14:textId="77777777" w:rsidR="002F54A2" w:rsidRDefault="002F54A2">
      <w:pPr>
        <w:rPr>
          <w:rFonts w:asciiTheme="majorHAnsi" w:hAnsiTheme="majorHAnsi"/>
          <w:sz w:val="20"/>
          <w:szCs w:val="20"/>
          <w:lang w:val="es-PE"/>
        </w:rPr>
      </w:pPr>
      <w:r>
        <w:rPr>
          <w:rFonts w:asciiTheme="majorHAnsi" w:hAnsiTheme="majorHAnsi"/>
          <w:sz w:val="20"/>
          <w:szCs w:val="20"/>
          <w:lang w:val="es-PE"/>
        </w:rPr>
        <w:br w:type="page"/>
      </w:r>
    </w:p>
    <w:p w14:paraId="51A3ED97" w14:textId="77777777" w:rsidR="00670C60" w:rsidRPr="006D531F" w:rsidRDefault="00670C60" w:rsidP="000A6CE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PE"/>
        </w:rPr>
      </w:pPr>
    </w:p>
    <w:p w14:paraId="18DE9353" w14:textId="77777777" w:rsidR="00014876" w:rsidRPr="006D531F" w:rsidRDefault="00014876" w:rsidP="006D531F">
      <w:pPr>
        <w:pStyle w:val="Heading1"/>
        <w:suppressAutoHyphens w:val="0"/>
        <w:ind w:left="0" w:firstLine="0"/>
        <w:jc w:val="both"/>
        <w:rPr>
          <w:color w:val="auto"/>
          <w:lang w:val="es-CO"/>
        </w:rPr>
      </w:pPr>
      <w:bookmarkStart w:id="41" w:name="_Toc534905542"/>
      <w:bookmarkStart w:id="42" w:name="_Toc4492624"/>
      <w:bookmarkStart w:id="43" w:name="_Toc6937385"/>
      <w:bookmarkStart w:id="44" w:name="_Toc11073114"/>
      <w:bookmarkStart w:id="45" w:name="_Toc28418786"/>
      <w:r w:rsidRPr="006D531F">
        <w:rPr>
          <w:color w:val="auto"/>
          <w:lang w:val="es-CO"/>
        </w:rPr>
        <w:t>CONCLUSIONES</w:t>
      </w:r>
      <w:bookmarkEnd w:id="41"/>
      <w:bookmarkEnd w:id="42"/>
      <w:bookmarkEnd w:id="43"/>
      <w:bookmarkEnd w:id="44"/>
      <w:bookmarkEnd w:id="45"/>
    </w:p>
    <w:p w14:paraId="2DC685FC" w14:textId="77777777" w:rsidR="00D87908" w:rsidRPr="006D531F" w:rsidRDefault="00D87908" w:rsidP="006D531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340EDC2E" w14:textId="77777777" w:rsidR="00CD0B67" w:rsidRPr="006D531F" w:rsidRDefault="00014876" w:rsidP="006D531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CO"/>
        </w:rPr>
      </w:pPr>
      <w:r w:rsidRPr="006D531F">
        <w:rPr>
          <w:rFonts w:asciiTheme="majorHAnsi" w:hAnsiTheme="majorHAnsi"/>
          <w:sz w:val="20"/>
          <w:szCs w:val="20"/>
          <w:lang w:val="es-VE"/>
        </w:rPr>
        <w:t>Con</w:t>
      </w:r>
      <w:r w:rsidRPr="006D531F">
        <w:rPr>
          <w:rFonts w:asciiTheme="majorHAnsi" w:hAnsiTheme="majorHAnsi"/>
          <w:sz w:val="20"/>
          <w:szCs w:val="20"/>
          <w:lang w:val="es-CL"/>
        </w:rPr>
        <w:t xml:space="preserve"> base en las consideraciones de hecho y de derecho contenidas en el presente informe, l</w:t>
      </w:r>
      <w:r w:rsidRPr="006D531F">
        <w:rPr>
          <w:rFonts w:asciiTheme="majorHAnsi" w:hAnsiTheme="majorHAnsi"/>
          <w:sz w:val="20"/>
          <w:szCs w:val="20"/>
          <w:lang w:val="es-ES"/>
        </w:rPr>
        <w:t xml:space="preserve">a CIDH concluye que el Estado de </w:t>
      </w:r>
      <w:r w:rsidR="00F9385D" w:rsidRPr="006D531F">
        <w:rPr>
          <w:rFonts w:asciiTheme="majorHAnsi" w:hAnsiTheme="majorHAnsi"/>
          <w:sz w:val="20"/>
          <w:szCs w:val="20"/>
          <w:lang w:val="es-ES"/>
        </w:rPr>
        <w:t>Guatemala</w:t>
      </w:r>
      <w:r w:rsidR="006E5650" w:rsidRPr="006D531F">
        <w:rPr>
          <w:rFonts w:asciiTheme="majorHAnsi" w:hAnsiTheme="majorHAnsi"/>
          <w:sz w:val="20"/>
          <w:szCs w:val="20"/>
          <w:lang w:val="es-ES"/>
        </w:rPr>
        <w:t xml:space="preserve"> </w:t>
      </w:r>
      <w:r w:rsidRPr="006D531F">
        <w:rPr>
          <w:rFonts w:asciiTheme="majorHAnsi" w:hAnsiTheme="majorHAnsi"/>
          <w:sz w:val="20"/>
          <w:szCs w:val="20"/>
          <w:lang w:val="es-ES"/>
        </w:rPr>
        <w:t>violó</w:t>
      </w:r>
      <w:r w:rsidR="006E5650" w:rsidRPr="006D531F">
        <w:rPr>
          <w:rFonts w:asciiTheme="majorHAnsi" w:hAnsiTheme="majorHAnsi"/>
          <w:sz w:val="20"/>
          <w:szCs w:val="20"/>
          <w:lang w:val="es-ES"/>
        </w:rPr>
        <w:t xml:space="preserve"> </w:t>
      </w:r>
      <w:r w:rsidRPr="006D531F">
        <w:rPr>
          <w:rFonts w:asciiTheme="majorHAnsi" w:hAnsiTheme="majorHAnsi" w:cs="Arial"/>
          <w:bCs/>
          <w:sz w:val="20"/>
          <w:szCs w:val="20"/>
          <w:lang w:val="es-CO"/>
        </w:rPr>
        <w:t xml:space="preserve">los derechos </w:t>
      </w:r>
      <w:r w:rsidR="00374BF6" w:rsidRPr="006D531F">
        <w:rPr>
          <w:rFonts w:asciiTheme="majorHAnsi" w:hAnsiTheme="majorHAnsi" w:cs="Arial"/>
          <w:bCs/>
          <w:sz w:val="20"/>
          <w:szCs w:val="20"/>
          <w:lang w:val="es-CO"/>
        </w:rPr>
        <w:t xml:space="preserve">reconocidos </w:t>
      </w:r>
      <w:r w:rsidR="00A153A3" w:rsidRPr="006D531F">
        <w:rPr>
          <w:rFonts w:asciiTheme="majorHAnsi" w:hAnsiTheme="majorHAnsi" w:cs="Arial"/>
          <w:bCs/>
          <w:sz w:val="20"/>
          <w:szCs w:val="20"/>
          <w:lang w:val="es-CO"/>
        </w:rPr>
        <w:t>en los artículos 13 (libertad de pensamiento y expresión)</w:t>
      </w:r>
      <w:r w:rsidR="003F2963" w:rsidRPr="006D531F">
        <w:rPr>
          <w:rFonts w:asciiTheme="majorHAnsi" w:hAnsiTheme="majorHAnsi" w:cs="Arial"/>
          <w:bCs/>
          <w:sz w:val="20"/>
          <w:szCs w:val="20"/>
          <w:lang w:val="es-CO"/>
        </w:rPr>
        <w:t xml:space="preserve">; </w:t>
      </w:r>
      <w:r w:rsidR="006156F1" w:rsidRPr="006D531F">
        <w:rPr>
          <w:rFonts w:asciiTheme="majorHAnsi" w:hAnsiTheme="majorHAnsi" w:cs="Arial"/>
          <w:bCs/>
          <w:sz w:val="20"/>
          <w:szCs w:val="20"/>
          <w:lang w:val="es-CO"/>
        </w:rPr>
        <w:t>24</w:t>
      </w:r>
      <w:r w:rsidR="00A153A3" w:rsidRPr="006D531F">
        <w:rPr>
          <w:rFonts w:asciiTheme="majorHAnsi" w:hAnsiTheme="majorHAnsi" w:cs="Arial"/>
          <w:bCs/>
          <w:sz w:val="20"/>
          <w:szCs w:val="20"/>
          <w:lang w:val="es-CO"/>
        </w:rPr>
        <w:t xml:space="preserve"> (</w:t>
      </w:r>
      <w:r w:rsidR="006156F1" w:rsidRPr="006D531F">
        <w:rPr>
          <w:rFonts w:asciiTheme="majorHAnsi" w:hAnsiTheme="majorHAnsi" w:cs="Arial"/>
          <w:bCs/>
          <w:sz w:val="20"/>
          <w:szCs w:val="20"/>
          <w:lang w:val="es-CO"/>
        </w:rPr>
        <w:t>igualdad ante la ley</w:t>
      </w:r>
      <w:r w:rsidR="00913EF8" w:rsidRPr="006D531F">
        <w:rPr>
          <w:rFonts w:asciiTheme="majorHAnsi" w:hAnsiTheme="majorHAnsi" w:cs="Arial"/>
          <w:bCs/>
          <w:sz w:val="20"/>
          <w:szCs w:val="20"/>
          <w:lang w:val="es-CO"/>
        </w:rPr>
        <w:t xml:space="preserve">) </w:t>
      </w:r>
      <w:r w:rsidR="003F2963" w:rsidRPr="006D531F">
        <w:rPr>
          <w:rFonts w:asciiTheme="majorHAnsi" w:hAnsiTheme="majorHAnsi" w:cs="Arial"/>
          <w:bCs/>
          <w:sz w:val="20"/>
          <w:szCs w:val="20"/>
          <w:lang w:val="es-CO"/>
        </w:rPr>
        <w:t>y 2</w:t>
      </w:r>
      <w:r w:rsidR="006156F1" w:rsidRPr="006D531F">
        <w:rPr>
          <w:rFonts w:asciiTheme="majorHAnsi" w:hAnsiTheme="majorHAnsi" w:cs="Arial"/>
          <w:bCs/>
          <w:sz w:val="20"/>
          <w:szCs w:val="20"/>
          <w:lang w:val="es-CO"/>
        </w:rPr>
        <w:t>6</w:t>
      </w:r>
      <w:r w:rsidR="003F2963" w:rsidRPr="006D531F">
        <w:rPr>
          <w:rFonts w:asciiTheme="majorHAnsi" w:hAnsiTheme="majorHAnsi" w:cs="Arial"/>
          <w:bCs/>
          <w:sz w:val="20"/>
          <w:szCs w:val="20"/>
          <w:lang w:val="es-CO"/>
        </w:rPr>
        <w:t xml:space="preserve"> (</w:t>
      </w:r>
      <w:r w:rsidR="006156F1" w:rsidRPr="006D531F">
        <w:rPr>
          <w:rFonts w:asciiTheme="majorHAnsi" w:hAnsiTheme="majorHAnsi" w:cs="Arial"/>
          <w:bCs/>
          <w:sz w:val="20"/>
          <w:szCs w:val="20"/>
          <w:lang w:val="es-CO"/>
        </w:rPr>
        <w:t>de</w:t>
      </w:r>
      <w:r w:rsidR="00BF5AE3" w:rsidRPr="006D531F">
        <w:rPr>
          <w:rFonts w:asciiTheme="majorHAnsi" w:hAnsiTheme="majorHAnsi" w:cs="Arial"/>
          <w:bCs/>
          <w:sz w:val="20"/>
          <w:szCs w:val="20"/>
          <w:lang w:val="es-CO"/>
        </w:rPr>
        <w:t>rechos culturales</w:t>
      </w:r>
      <w:r w:rsidR="003F2963" w:rsidRPr="006D531F">
        <w:rPr>
          <w:rFonts w:asciiTheme="majorHAnsi" w:hAnsiTheme="majorHAnsi" w:cs="Arial"/>
          <w:bCs/>
          <w:sz w:val="20"/>
          <w:szCs w:val="20"/>
          <w:lang w:val="es-CO"/>
        </w:rPr>
        <w:t xml:space="preserve">) </w:t>
      </w:r>
      <w:r w:rsidRPr="006D531F">
        <w:rPr>
          <w:rFonts w:asciiTheme="majorHAnsi" w:hAnsiTheme="majorHAnsi" w:cs="Arial"/>
          <w:bCs/>
          <w:sz w:val="20"/>
          <w:szCs w:val="20"/>
          <w:lang w:val="es-CO"/>
        </w:rPr>
        <w:t>de la Convención Americana, en relación con los artículos 1.1 (obligación de respetar los derechos) y 2 (deber de adoptar disposiciones de derecho interno) de dicho instrumento</w:t>
      </w:r>
      <w:r w:rsidR="00652E1E" w:rsidRPr="006D531F">
        <w:rPr>
          <w:rFonts w:asciiTheme="majorHAnsi" w:hAnsiTheme="majorHAnsi" w:cs="Arial"/>
          <w:bCs/>
          <w:sz w:val="20"/>
          <w:szCs w:val="20"/>
          <w:lang w:val="es-CO"/>
        </w:rPr>
        <w:t xml:space="preserve">, </w:t>
      </w:r>
      <w:r w:rsidR="00291420" w:rsidRPr="006D531F">
        <w:rPr>
          <w:rFonts w:asciiTheme="majorHAnsi" w:hAnsiTheme="majorHAnsi"/>
          <w:sz w:val="20"/>
          <w:szCs w:val="20"/>
          <w:lang w:val="es-VE"/>
        </w:rPr>
        <w:t xml:space="preserve">en perjuicio de los pueblos </w:t>
      </w:r>
      <w:r w:rsidR="00291420" w:rsidRPr="006D531F">
        <w:rPr>
          <w:rFonts w:asciiTheme="majorHAnsi" w:hAnsiTheme="majorHAnsi"/>
          <w:sz w:val="20"/>
          <w:szCs w:val="20"/>
          <w:lang w:val="es-MX"/>
        </w:rPr>
        <w:t>indígenas Maya Kaqchikel de Sumpango, en Sacatepéquez; Maya Achí de San Miguel Chicaj, en Baja Verapaz; Maya Mam de Cajolá, en Quetzaltenango; y Maya de Todos Santos de Cuchumatán, en Huehuetenango</w:t>
      </w:r>
      <w:r w:rsidR="00B67D38" w:rsidRPr="006D531F">
        <w:rPr>
          <w:rFonts w:asciiTheme="majorHAnsi" w:hAnsiTheme="majorHAnsi"/>
          <w:sz w:val="20"/>
          <w:szCs w:val="20"/>
          <w:lang w:val="es-MX"/>
        </w:rPr>
        <w:t>.</w:t>
      </w:r>
    </w:p>
    <w:p w14:paraId="39219D10" w14:textId="77777777" w:rsidR="00B67D38" w:rsidRPr="006D531F" w:rsidRDefault="00B67D38" w:rsidP="006D531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CO"/>
        </w:rPr>
      </w:pPr>
    </w:p>
    <w:p w14:paraId="59934C2C" w14:textId="77777777" w:rsidR="00CD0B67" w:rsidRPr="006D531F" w:rsidRDefault="00014876" w:rsidP="006D531F">
      <w:pPr>
        <w:pStyle w:val="Heading1"/>
        <w:suppressAutoHyphens w:val="0"/>
        <w:ind w:left="0" w:firstLine="0"/>
        <w:jc w:val="both"/>
        <w:rPr>
          <w:color w:val="auto"/>
          <w:lang w:val="es-CO"/>
        </w:rPr>
      </w:pPr>
      <w:bookmarkStart w:id="46" w:name="_Toc534905543"/>
      <w:bookmarkStart w:id="47" w:name="_Toc4492625"/>
      <w:bookmarkStart w:id="48" w:name="_Toc6937386"/>
      <w:bookmarkStart w:id="49" w:name="_Toc11073115"/>
      <w:bookmarkStart w:id="50" w:name="_Toc28418787"/>
      <w:r w:rsidRPr="006D531F">
        <w:rPr>
          <w:color w:val="auto"/>
          <w:lang w:val="es-CO"/>
        </w:rPr>
        <w:t>RECOMENDACIONES</w:t>
      </w:r>
      <w:bookmarkEnd w:id="46"/>
      <w:bookmarkEnd w:id="47"/>
      <w:bookmarkEnd w:id="48"/>
      <w:bookmarkEnd w:id="49"/>
      <w:bookmarkEnd w:id="50"/>
    </w:p>
    <w:p w14:paraId="02DE1A44" w14:textId="77777777" w:rsidR="00A660B7" w:rsidRPr="006D531F" w:rsidRDefault="00A660B7" w:rsidP="006D531F">
      <w:pPr>
        <w:jc w:val="both"/>
        <w:rPr>
          <w:rFonts w:asciiTheme="majorHAnsi" w:hAnsiTheme="majorHAnsi"/>
          <w:sz w:val="20"/>
          <w:szCs w:val="20"/>
          <w:lang w:val="es-CO" w:eastAsia="es-ES"/>
        </w:rPr>
      </w:pPr>
    </w:p>
    <w:p w14:paraId="1DA253DC" w14:textId="77777777" w:rsidR="0083596A" w:rsidRPr="006D531F" w:rsidRDefault="00014876" w:rsidP="006D531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ind w:left="0" w:firstLine="0"/>
        <w:jc w:val="both"/>
        <w:rPr>
          <w:rFonts w:asciiTheme="majorHAnsi" w:hAnsiTheme="majorHAnsi"/>
          <w:sz w:val="20"/>
          <w:szCs w:val="20"/>
          <w:lang w:val="es-VE"/>
        </w:rPr>
      </w:pPr>
      <w:r w:rsidRPr="006D531F">
        <w:rPr>
          <w:rFonts w:asciiTheme="majorHAnsi" w:hAnsiTheme="majorHAnsi"/>
          <w:sz w:val="20"/>
          <w:szCs w:val="20"/>
          <w:lang w:val="es-VE"/>
        </w:rPr>
        <w:t>Con fundamento en el análisis y las conclusiones del presente informe,</w:t>
      </w:r>
    </w:p>
    <w:p w14:paraId="7777D864" w14:textId="77777777" w:rsidR="00073BB6" w:rsidRPr="006D531F" w:rsidRDefault="00073BB6" w:rsidP="006D531F">
      <w:pPr>
        <w:jc w:val="both"/>
        <w:rPr>
          <w:rFonts w:asciiTheme="majorHAnsi" w:hAnsiTheme="majorHAnsi"/>
          <w:b/>
          <w:bCs/>
          <w:sz w:val="20"/>
          <w:szCs w:val="20"/>
          <w:lang w:val="es-CL"/>
        </w:rPr>
      </w:pPr>
    </w:p>
    <w:p w14:paraId="4BB57162" w14:textId="77777777" w:rsidR="00014876" w:rsidRPr="006D531F" w:rsidRDefault="00014876" w:rsidP="006D531F">
      <w:pPr>
        <w:jc w:val="both"/>
        <w:rPr>
          <w:rFonts w:asciiTheme="majorHAnsi" w:hAnsiTheme="majorHAnsi"/>
          <w:b/>
          <w:bCs/>
          <w:sz w:val="20"/>
          <w:szCs w:val="20"/>
          <w:lang w:val="es-CL"/>
        </w:rPr>
      </w:pPr>
      <w:r w:rsidRPr="006D531F">
        <w:rPr>
          <w:rFonts w:asciiTheme="majorHAnsi" w:hAnsiTheme="majorHAnsi"/>
          <w:b/>
          <w:bCs/>
          <w:sz w:val="20"/>
          <w:szCs w:val="20"/>
          <w:lang w:val="es-CL"/>
        </w:rPr>
        <w:t xml:space="preserve">LA COMISIÓN INTERAMERICANA DE DERECHOS HUMANOS RECOMIENDA AL ESTADO DE </w:t>
      </w:r>
      <w:r w:rsidR="00B67D38" w:rsidRPr="006D531F">
        <w:rPr>
          <w:rFonts w:asciiTheme="majorHAnsi" w:hAnsiTheme="majorHAnsi"/>
          <w:b/>
          <w:bCs/>
          <w:sz w:val="20"/>
          <w:szCs w:val="20"/>
          <w:lang w:val="es-CL"/>
        </w:rPr>
        <w:t>GUATEMALA</w:t>
      </w:r>
      <w:r w:rsidRPr="006D531F">
        <w:rPr>
          <w:rFonts w:asciiTheme="majorHAnsi" w:hAnsiTheme="majorHAnsi"/>
          <w:b/>
          <w:bCs/>
          <w:sz w:val="20"/>
          <w:szCs w:val="20"/>
          <w:lang w:val="es-CL"/>
        </w:rPr>
        <w:t>:</w:t>
      </w:r>
    </w:p>
    <w:p w14:paraId="0ACB9C97" w14:textId="77777777" w:rsidR="00073BB6" w:rsidRPr="006D531F" w:rsidRDefault="00073BB6" w:rsidP="006D531F">
      <w:pPr>
        <w:jc w:val="both"/>
        <w:rPr>
          <w:rFonts w:asciiTheme="majorHAnsi" w:hAnsiTheme="majorHAnsi"/>
          <w:sz w:val="20"/>
          <w:szCs w:val="20"/>
          <w:lang w:val="es-ES"/>
        </w:rPr>
      </w:pPr>
    </w:p>
    <w:p w14:paraId="4042F41E" w14:textId="77777777" w:rsidR="007815C7" w:rsidRPr="006D531F" w:rsidRDefault="00255454" w:rsidP="006D531F">
      <w:pPr>
        <w:pStyle w:val="ListParagraph"/>
        <w:numPr>
          <w:ilvl w:val="0"/>
          <w:numId w:val="60"/>
        </w:numPr>
        <w:ind w:left="0" w:firstLine="0"/>
        <w:jc w:val="both"/>
        <w:rPr>
          <w:rFonts w:asciiTheme="majorHAnsi" w:hAnsiTheme="majorHAnsi"/>
          <w:color w:val="auto"/>
          <w:sz w:val="20"/>
          <w:szCs w:val="20"/>
          <w:lang w:val="es-ES"/>
        </w:rPr>
      </w:pPr>
      <w:r w:rsidRPr="006D531F">
        <w:rPr>
          <w:rFonts w:asciiTheme="majorHAnsi" w:hAnsiTheme="majorHAnsi"/>
          <w:color w:val="auto"/>
          <w:sz w:val="20"/>
          <w:szCs w:val="20"/>
          <w:lang w:val="es-ES"/>
        </w:rPr>
        <w:t xml:space="preserve">Reconocer </w:t>
      </w:r>
      <w:r w:rsidR="00291F33" w:rsidRPr="006D531F">
        <w:rPr>
          <w:rFonts w:asciiTheme="majorHAnsi" w:hAnsiTheme="majorHAnsi"/>
          <w:color w:val="auto"/>
          <w:sz w:val="20"/>
          <w:szCs w:val="20"/>
          <w:lang w:val="es-ES"/>
        </w:rPr>
        <w:t xml:space="preserve">legalmente a los medios comunitarios </w:t>
      </w:r>
      <w:r w:rsidR="00A876AB" w:rsidRPr="006D531F">
        <w:rPr>
          <w:rFonts w:asciiTheme="majorHAnsi" w:hAnsiTheme="majorHAnsi"/>
          <w:color w:val="auto"/>
          <w:sz w:val="20"/>
          <w:szCs w:val="20"/>
          <w:lang w:val="es-ES"/>
        </w:rPr>
        <w:t>en la normativa interna</w:t>
      </w:r>
      <w:r w:rsidR="004A2496">
        <w:rPr>
          <w:rFonts w:asciiTheme="majorHAnsi" w:hAnsiTheme="majorHAnsi"/>
          <w:color w:val="auto"/>
          <w:sz w:val="20"/>
          <w:szCs w:val="20"/>
          <w:lang w:val="es-ES"/>
        </w:rPr>
        <w:t xml:space="preserve"> y adoptar medidas para promover la diversidad y el pluralismo de </w:t>
      </w:r>
      <w:r w:rsidR="00D43212">
        <w:rPr>
          <w:rFonts w:asciiTheme="majorHAnsi" w:hAnsiTheme="majorHAnsi"/>
          <w:color w:val="auto"/>
          <w:sz w:val="20"/>
          <w:szCs w:val="20"/>
          <w:lang w:val="es-ES"/>
        </w:rPr>
        <w:t xml:space="preserve">los </w:t>
      </w:r>
      <w:r w:rsidR="004A2496">
        <w:rPr>
          <w:rFonts w:asciiTheme="majorHAnsi" w:hAnsiTheme="majorHAnsi"/>
          <w:color w:val="auto"/>
          <w:sz w:val="20"/>
          <w:szCs w:val="20"/>
          <w:lang w:val="es-ES"/>
        </w:rPr>
        <w:t>medios de comunicación</w:t>
      </w:r>
      <w:r w:rsidR="00AF0B67" w:rsidRPr="006D531F">
        <w:rPr>
          <w:rFonts w:asciiTheme="majorHAnsi" w:hAnsiTheme="majorHAnsi"/>
          <w:color w:val="auto"/>
          <w:sz w:val="20"/>
          <w:szCs w:val="20"/>
          <w:lang w:val="es-ES"/>
        </w:rPr>
        <w:t>.</w:t>
      </w:r>
    </w:p>
    <w:p w14:paraId="639C03A1" w14:textId="77777777" w:rsidR="00AF0B67" w:rsidRPr="006D531F" w:rsidRDefault="00AF0B67" w:rsidP="006D531F">
      <w:pPr>
        <w:pStyle w:val="ListParagraph"/>
        <w:ind w:left="0"/>
        <w:jc w:val="both"/>
        <w:rPr>
          <w:rFonts w:asciiTheme="majorHAnsi" w:hAnsiTheme="majorHAnsi"/>
          <w:color w:val="auto"/>
          <w:sz w:val="20"/>
          <w:szCs w:val="20"/>
          <w:lang w:val="es-ES"/>
        </w:rPr>
      </w:pPr>
    </w:p>
    <w:p w14:paraId="7344246E" w14:textId="77777777" w:rsidR="00F84C26" w:rsidRDefault="00F84C26" w:rsidP="00F84C26">
      <w:pPr>
        <w:pStyle w:val="ListParagraph"/>
        <w:numPr>
          <w:ilvl w:val="0"/>
          <w:numId w:val="60"/>
        </w:numPr>
        <w:ind w:left="0" w:firstLine="0"/>
        <w:jc w:val="both"/>
        <w:rPr>
          <w:rFonts w:asciiTheme="majorHAnsi" w:hAnsiTheme="majorHAnsi"/>
          <w:color w:val="auto"/>
          <w:sz w:val="20"/>
          <w:szCs w:val="20"/>
          <w:lang w:val="es-ES"/>
        </w:rPr>
      </w:pPr>
      <w:r w:rsidRPr="006D531F">
        <w:rPr>
          <w:rFonts w:asciiTheme="majorHAnsi" w:hAnsiTheme="majorHAnsi"/>
          <w:color w:val="auto"/>
          <w:sz w:val="20"/>
          <w:szCs w:val="20"/>
          <w:lang w:val="es-ES"/>
        </w:rPr>
        <w:t>Adoptar las medidas necesarias para lograr la regularización de las radios comunitarias</w:t>
      </w:r>
      <w:r w:rsidR="00BB6EAB">
        <w:rPr>
          <w:rFonts w:asciiTheme="majorHAnsi" w:hAnsiTheme="majorHAnsi"/>
          <w:color w:val="auto"/>
          <w:sz w:val="20"/>
          <w:szCs w:val="20"/>
          <w:lang w:val="es-ES"/>
        </w:rPr>
        <w:t xml:space="preserve"> peticionarias en el presente caso </w:t>
      </w:r>
      <w:r w:rsidR="00BB6EAB" w:rsidRPr="006D531F">
        <w:rPr>
          <w:rFonts w:asciiTheme="majorHAnsi" w:hAnsiTheme="majorHAnsi"/>
          <w:sz w:val="20"/>
          <w:szCs w:val="20"/>
          <w:lang w:val="es-MX"/>
        </w:rPr>
        <w:t>Maya Kaqchikel de Sumpango, en Sacatepéquez; Maya Achí de San Miguel Chicaj, en Baja Verapaz; Maya Mam de Cajolá, en Quetzaltenango; y Maya de Todos Santos de Cuchumatán, en Huehuetenango,</w:t>
      </w:r>
      <w:r w:rsidRPr="006D531F">
        <w:rPr>
          <w:rFonts w:asciiTheme="majorHAnsi" w:hAnsiTheme="majorHAnsi"/>
          <w:color w:val="auto"/>
          <w:sz w:val="20"/>
          <w:szCs w:val="20"/>
          <w:lang w:val="es-ES"/>
        </w:rPr>
        <w:t xml:space="preserve"> que operan en la actualidad ante la falta de un marco regulatorio adecuado.</w:t>
      </w:r>
    </w:p>
    <w:p w14:paraId="18369436" w14:textId="77777777" w:rsidR="00F84C26" w:rsidRPr="00F84C26" w:rsidRDefault="00F84C26" w:rsidP="00F84C26">
      <w:pPr>
        <w:ind w:left="810"/>
        <w:jc w:val="both"/>
        <w:rPr>
          <w:rFonts w:asciiTheme="majorHAnsi" w:hAnsiTheme="majorHAnsi"/>
          <w:sz w:val="20"/>
          <w:szCs w:val="20"/>
          <w:lang w:val="es-ES"/>
        </w:rPr>
      </w:pPr>
    </w:p>
    <w:p w14:paraId="00E0A606" w14:textId="77777777" w:rsidR="00344028" w:rsidRPr="006D531F" w:rsidRDefault="00344028" w:rsidP="006D531F">
      <w:pPr>
        <w:pStyle w:val="ListParagraph"/>
        <w:numPr>
          <w:ilvl w:val="0"/>
          <w:numId w:val="60"/>
        </w:numPr>
        <w:ind w:left="0" w:firstLine="0"/>
        <w:jc w:val="both"/>
        <w:rPr>
          <w:rFonts w:asciiTheme="majorHAnsi" w:hAnsiTheme="majorHAnsi"/>
          <w:color w:val="auto"/>
          <w:sz w:val="20"/>
          <w:szCs w:val="20"/>
          <w:lang w:val="es-ES"/>
        </w:rPr>
      </w:pPr>
      <w:r w:rsidRPr="006D531F">
        <w:rPr>
          <w:rFonts w:asciiTheme="majorHAnsi" w:hAnsiTheme="majorHAnsi"/>
          <w:color w:val="auto"/>
          <w:sz w:val="20"/>
          <w:szCs w:val="20"/>
          <w:lang w:val="es-PE"/>
        </w:rPr>
        <w:t xml:space="preserve">Adoptar toda medida que resulte necesaria para garantizar </w:t>
      </w:r>
      <w:r w:rsidR="0050381F" w:rsidRPr="006D531F">
        <w:rPr>
          <w:rFonts w:asciiTheme="majorHAnsi" w:hAnsiTheme="majorHAnsi"/>
          <w:color w:val="auto"/>
          <w:sz w:val="20"/>
          <w:szCs w:val="20"/>
          <w:lang w:val="es-ES"/>
        </w:rPr>
        <w:t>el acceso efectivo a frecuencias radioeléctricas en igualdad de condiciones a los pueblos indígenas</w:t>
      </w:r>
      <w:r w:rsidR="00E70A7F" w:rsidRPr="006D531F">
        <w:rPr>
          <w:rFonts w:asciiTheme="majorHAnsi" w:hAnsiTheme="majorHAnsi"/>
          <w:color w:val="auto"/>
          <w:sz w:val="20"/>
          <w:szCs w:val="20"/>
          <w:lang w:val="es-ES"/>
        </w:rPr>
        <w:t xml:space="preserve">, de conformidad </w:t>
      </w:r>
      <w:r w:rsidRPr="006D531F">
        <w:rPr>
          <w:rFonts w:asciiTheme="majorHAnsi" w:hAnsiTheme="majorHAnsi"/>
          <w:color w:val="auto"/>
          <w:sz w:val="20"/>
          <w:szCs w:val="20"/>
          <w:lang w:val="es-PE"/>
        </w:rPr>
        <w:t xml:space="preserve">con las obligaciones internacionales del Estado </w:t>
      </w:r>
      <w:r w:rsidR="00E70A7F" w:rsidRPr="006D531F">
        <w:rPr>
          <w:rFonts w:asciiTheme="majorHAnsi" w:hAnsiTheme="majorHAnsi"/>
          <w:color w:val="auto"/>
          <w:sz w:val="20"/>
          <w:szCs w:val="20"/>
          <w:lang w:val="es-PE"/>
        </w:rPr>
        <w:t>de Guatemala</w:t>
      </w:r>
      <w:r w:rsidRPr="006D531F">
        <w:rPr>
          <w:rFonts w:asciiTheme="majorHAnsi" w:hAnsiTheme="majorHAnsi"/>
          <w:color w:val="auto"/>
          <w:sz w:val="20"/>
          <w:szCs w:val="20"/>
          <w:lang w:val="es-PE"/>
        </w:rPr>
        <w:t xml:space="preserve"> en materia de libertad de expresión,</w:t>
      </w:r>
      <w:r w:rsidR="00FD3380" w:rsidRPr="006D531F">
        <w:rPr>
          <w:rFonts w:asciiTheme="majorHAnsi" w:hAnsiTheme="majorHAnsi"/>
          <w:color w:val="auto"/>
          <w:sz w:val="20"/>
          <w:szCs w:val="20"/>
          <w:lang w:val="es-PE"/>
        </w:rPr>
        <w:t xml:space="preserve"> </w:t>
      </w:r>
      <w:r w:rsidR="006E58CC">
        <w:rPr>
          <w:rFonts w:asciiTheme="majorHAnsi" w:hAnsiTheme="majorHAnsi"/>
          <w:color w:val="auto"/>
          <w:sz w:val="20"/>
          <w:szCs w:val="20"/>
          <w:lang w:val="es-PE"/>
        </w:rPr>
        <w:t xml:space="preserve">garantizando el principio de igualdad y no discriminación, </w:t>
      </w:r>
      <w:r w:rsidR="00FD3380" w:rsidRPr="006D531F">
        <w:rPr>
          <w:rFonts w:asciiTheme="majorHAnsi" w:hAnsiTheme="majorHAnsi"/>
          <w:color w:val="auto"/>
          <w:sz w:val="20"/>
          <w:szCs w:val="20"/>
          <w:lang w:val="es-PE"/>
        </w:rPr>
        <w:t xml:space="preserve">de acuerdo </w:t>
      </w:r>
      <w:r w:rsidRPr="006D531F">
        <w:rPr>
          <w:rFonts w:asciiTheme="majorHAnsi" w:hAnsiTheme="majorHAnsi"/>
          <w:color w:val="auto"/>
          <w:sz w:val="20"/>
          <w:szCs w:val="20"/>
          <w:lang w:val="es-PE"/>
        </w:rPr>
        <w:t>con lo</w:t>
      </w:r>
      <w:r w:rsidR="00B76EF0" w:rsidRPr="006D531F">
        <w:rPr>
          <w:rFonts w:asciiTheme="majorHAnsi" w:hAnsiTheme="majorHAnsi"/>
          <w:color w:val="auto"/>
          <w:sz w:val="20"/>
          <w:szCs w:val="20"/>
          <w:lang w:val="es-PE"/>
        </w:rPr>
        <w:t>s criterios</w:t>
      </w:r>
      <w:r w:rsidRPr="006D531F">
        <w:rPr>
          <w:rFonts w:asciiTheme="majorHAnsi" w:hAnsiTheme="majorHAnsi"/>
          <w:color w:val="auto"/>
          <w:sz w:val="20"/>
          <w:szCs w:val="20"/>
          <w:lang w:val="es-PE"/>
        </w:rPr>
        <w:t xml:space="preserve"> establecido</w:t>
      </w:r>
      <w:r w:rsidR="00B76EF0" w:rsidRPr="006D531F">
        <w:rPr>
          <w:rFonts w:asciiTheme="majorHAnsi" w:hAnsiTheme="majorHAnsi"/>
          <w:color w:val="auto"/>
          <w:sz w:val="20"/>
          <w:szCs w:val="20"/>
          <w:lang w:val="es-PE"/>
        </w:rPr>
        <w:t>s</w:t>
      </w:r>
      <w:r w:rsidRPr="006D531F">
        <w:rPr>
          <w:rFonts w:asciiTheme="majorHAnsi" w:hAnsiTheme="majorHAnsi"/>
          <w:color w:val="auto"/>
          <w:sz w:val="20"/>
          <w:szCs w:val="20"/>
          <w:lang w:val="es-PE"/>
        </w:rPr>
        <w:t xml:space="preserve"> en </w:t>
      </w:r>
      <w:r w:rsidR="00B76EF0" w:rsidRPr="006D531F">
        <w:rPr>
          <w:rFonts w:asciiTheme="majorHAnsi" w:hAnsiTheme="majorHAnsi"/>
          <w:color w:val="auto"/>
          <w:sz w:val="20"/>
          <w:szCs w:val="20"/>
          <w:lang w:val="es-PE"/>
        </w:rPr>
        <w:t>el presente</w:t>
      </w:r>
      <w:r w:rsidRPr="006D531F">
        <w:rPr>
          <w:rFonts w:asciiTheme="majorHAnsi" w:hAnsiTheme="majorHAnsi"/>
          <w:color w:val="auto"/>
          <w:sz w:val="20"/>
          <w:szCs w:val="20"/>
          <w:lang w:val="es-PE"/>
        </w:rPr>
        <w:t xml:space="preserve"> informe.</w:t>
      </w:r>
    </w:p>
    <w:p w14:paraId="454DF5D1" w14:textId="77777777" w:rsidR="00AF0B67" w:rsidRPr="006D531F" w:rsidRDefault="00AF0B67" w:rsidP="006D531F">
      <w:pPr>
        <w:pStyle w:val="ListParagraph"/>
        <w:ind w:left="0"/>
        <w:jc w:val="both"/>
        <w:rPr>
          <w:rFonts w:asciiTheme="majorHAnsi" w:hAnsiTheme="majorHAnsi"/>
          <w:color w:val="auto"/>
          <w:sz w:val="20"/>
          <w:szCs w:val="20"/>
          <w:lang w:val="es-ES"/>
        </w:rPr>
      </w:pPr>
    </w:p>
    <w:p w14:paraId="5ADC3143" w14:textId="77777777" w:rsidR="00A80089" w:rsidRPr="006D531F" w:rsidRDefault="002F3C8A" w:rsidP="006D531F">
      <w:pPr>
        <w:pStyle w:val="ListParagraph"/>
        <w:numPr>
          <w:ilvl w:val="0"/>
          <w:numId w:val="60"/>
        </w:numPr>
        <w:ind w:left="0" w:firstLine="0"/>
        <w:jc w:val="both"/>
        <w:rPr>
          <w:rFonts w:asciiTheme="majorHAnsi" w:hAnsiTheme="majorHAnsi"/>
          <w:color w:val="auto"/>
          <w:sz w:val="20"/>
          <w:szCs w:val="20"/>
          <w:lang w:val="es-ES"/>
        </w:rPr>
      </w:pPr>
      <w:r w:rsidRPr="006D531F">
        <w:rPr>
          <w:rFonts w:asciiTheme="majorHAnsi" w:hAnsiTheme="majorHAnsi"/>
          <w:color w:val="auto"/>
          <w:sz w:val="20"/>
          <w:szCs w:val="20"/>
          <w:lang w:val="es-ES"/>
        </w:rPr>
        <w:t xml:space="preserve"> A</w:t>
      </w:r>
      <w:r w:rsidR="00A01566" w:rsidRPr="006D531F">
        <w:rPr>
          <w:rFonts w:asciiTheme="majorHAnsi" w:hAnsiTheme="majorHAnsi"/>
          <w:color w:val="auto"/>
          <w:sz w:val="20"/>
          <w:szCs w:val="20"/>
          <w:lang w:val="es-ES"/>
        </w:rPr>
        <w:t xml:space="preserve">bstenerse de </w:t>
      </w:r>
      <w:r w:rsidR="00811C42">
        <w:rPr>
          <w:rFonts w:asciiTheme="majorHAnsi" w:hAnsiTheme="majorHAnsi"/>
          <w:color w:val="auto"/>
          <w:sz w:val="20"/>
          <w:szCs w:val="20"/>
          <w:lang w:val="es-ES"/>
        </w:rPr>
        <w:t>hacer uso del derecho penal</w:t>
      </w:r>
      <w:r w:rsidR="00A01566" w:rsidRPr="006D531F">
        <w:rPr>
          <w:rFonts w:asciiTheme="majorHAnsi" w:hAnsiTheme="majorHAnsi"/>
          <w:color w:val="auto"/>
          <w:sz w:val="20"/>
          <w:szCs w:val="20"/>
          <w:lang w:val="es-ES"/>
        </w:rPr>
        <w:t xml:space="preserve"> para criminalizar </w:t>
      </w:r>
      <w:r w:rsidR="001D2A98" w:rsidRPr="006D531F">
        <w:rPr>
          <w:rFonts w:asciiTheme="majorHAnsi" w:hAnsiTheme="majorHAnsi"/>
          <w:color w:val="auto"/>
          <w:sz w:val="20"/>
          <w:szCs w:val="20"/>
          <w:lang w:val="es-ES"/>
        </w:rPr>
        <w:t xml:space="preserve">la operación </w:t>
      </w:r>
      <w:r w:rsidR="006128FC" w:rsidRPr="006D531F">
        <w:rPr>
          <w:rFonts w:asciiTheme="majorHAnsi" w:hAnsiTheme="majorHAnsi"/>
          <w:color w:val="auto"/>
          <w:sz w:val="20"/>
          <w:szCs w:val="20"/>
          <w:lang w:val="es-ES"/>
        </w:rPr>
        <w:t xml:space="preserve">de </w:t>
      </w:r>
      <w:r w:rsidR="00A01566" w:rsidRPr="006D531F">
        <w:rPr>
          <w:rFonts w:asciiTheme="majorHAnsi" w:hAnsiTheme="majorHAnsi"/>
          <w:color w:val="auto"/>
          <w:sz w:val="20"/>
          <w:szCs w:val="20"/>
          <w:lang w:val="es-ES"/>
        </w:rPr>
        <w:t>radios comunitarias</w:t>
      </w:r>
      <w:r w:rsidR="004A382E" w:rsidRPr="006D531F">
        <w:rPr>
          <w:rFonts w:asciiTheme="majorHAnsi" w:hAnsiTheme="majorHAnsi"/>
          <w:color w:val="auto"/>
          <w:sz w:val="20"/>
          <w:szCs w:val="20"/>
          <w:lang w:val="es-ES"/>
        </w:rPr>
        <w:t xml:space="preserve"> indígenas</w:t>
      </w:r>
      <w:r w:rsidR="003572CB" w:rsidRPr="006D531F">
        <w:rPr>
          <w:rFonts w:asciiTheme="majorHAnsi" w:hAnsiTheme="majorHAnsi"/>
          <w:color w:val="auto"/>
          <w:sz w:val="20"/>
          <w:szCs w:val="20"/>
          <w:lang w:val="es-ES"/>
        </w:rPr>
        <w:t>,</w:t>
      </w:r>
      <w:r w:rsidR="00110DEA" w:rsidRPr="006D531F">
        <w:rPr>
          <w:rFonts w:asciiTheme="majorHAnsi" w:hAnsiTheme="majorHAnsi"/>
          <w:color w:val="auto"/>
          <w:sz w:val="20"/>
          <w:szCs w:val="20"/>
          <w:lang w:val="es-ES"/>
        </w:rPr>
        <w:t xml:space="preserve"> así como</w:t>
      </w:r>
      <w:r w:rsidR="003572CB" w:rsidRPr="006D531F">
        <w:rPr>
          <w:rFonts w:asciiTheme="majorHAnsi" w:hAnsiTheme="majorHAnsi"/>
          <w:color w:val="auto"/>
          <w:sz w:val="20"/>
          <w:szCs w:val="20"/>
          <w:lang w:val="es-ES"/>
        </w:rPr>
        <w:t xml:space="preserve"> abstenerse de allanar y decomisar equipos</w:t>
      </w:r>
      <w:r w:rsidR="007247CB" w:rsidRPr="006D531F">
        <w:rPr>
          <w:rFonts w:asciiTheme="majorHAnsi" w:hAnsiTheme="majorHAnsi"/>
          <w:color w:val="auto"/>
          <w:sz w:val="20"/>
          <w:szCs w:val="20"/>
          <w:lang w:val="es-ES"/>
        </w:rPr>
        <w:t xml:space="preserve"> de aquellas emisoras comunitarias indígenas que oper</w:t>
      </w:r>
      <w:r w:rsidR="004309B6" w:rsidRPr="006D531F">
        <w:rPr>
          <w:rFonts w:asciiTheme="majorHAnsi" w:hAnsiTheme="majorHAnsi"/>
          <w:color w:val="auto"/>
          <w:sz w:val="20"/>
          <w:szCs w:val="20"/>
          <w:lang w:val="es-ES"/>
        </w:rPr>
        <w:t>an en la actualidad ante la falta de un marco regulatorio adecuado.</w:t>
      </w:r>
    </w:p>
    <w:p w14:paraId="4C5AB094" w14:textId="77777777" w:rsidR="00BC7385" w:rsidRPr="006D531F" w:rsidRDefault="00BC7385" w:rsidP="006D531F">
      <w:pPr>
        <w:pStyle w:val="ListParagraph"/>
        <w:ind w:left="0"/>
        <w:jc w:val="both"/>
        <w:rPr>
          <w:rFonts w:asciiTheme="majorHAnsi" w:hAnsiTheme="majorHAnsi"/>
          <w:color w:val="auto"/>
          <w:sz w:val="20"/>
          <w:szCs w:val="20"/>
          <w:lang w:val="es-ES"/>
        </w:rPr>
      </w:pPr>
    </w:p>
    <w:p w14:paraId="4E35046B" w14:textId="77777777" w:rsidR="00EB2CFB" w:rsidRPr="006D531F" w:rsidRDefault="00EB2CFB" w:rsidP="006D531F">
      <w:pPr>
        <w:pStyle w:val="ListParagraph"/>
        <w:numPr>
          <w:ilvl w:val="0"/>
          <w:numId w:val="60"/>
        </w:numPr>
        <w:ind w:left="0" w:firstLine="0"/>
        <w:jc w:val="both"/>
        <w:rPr>
          <w:rFonts w:asciiTheme="majorHAnsi" w:hAnsiTheme="majorHAnsi"/>
          <w:color w:val="auto"/>
          <w:sz w:val="20"/>
          <w:szCs w:val="20"/>
          <w:lang w:val="es-ES"/>
        </w:rPr>
      </w:pPr>
      <w:r w:rsidRPr="006D531F">
        <w:rPr>
          <w:rFonts w:asciiTheme="majorHAnsi" w:eastAsia="Times New Roman" w:hAnsiTheme="majorHAnsi" w:cs="Tahoma"/>
          <w:color w:val="auto"/>
          <w:sz w:val="20"/>
          <w:szCs w:val="20"/>
          <w:bdr w:val="none" w:sz="0" w:space="0" w:color="auto"/>
          <w:lang w:val="es-ES"/>
        </w:rPr>
        <w:t>Reparar integralmente las violaciones de derechos humanos declaradas en el presente informe tanto en el aspecto material como inmaterial. El Estado deberá adoptar las medidas de compensación económica y satisfacción</w:t>
      </w:r>
      <w:r w:rsidR="00AF0B67" w:rsidRPr="006D531F">
        <w:rPr>
          <w:rFonts w:asciiTheme="majorHAnsi" w:eastAsia="Times New Roman" w:hAnsiTheme="majorHAnsi" w:cs="Tahoma"/>
          <w:color w:val="auto"/>
          <w:sz w:val="20"/>
          <w:szCs w:val="20"/>
          <w:bdr w:val="none" w:sz="0" w:space="0" w:color="auto"/>
          <w:lang w:val="es-ES"/>
        </w:rPr>
        <w:t xml:space="preserve"> a los cuatro pueblos indígenas víctimas en el presente caso</w:t>
      </w:r>
      <w:r w:rsidR="0019581F">
        <w:rPr>
          <w:rFonts w:asciiTheme="majorHAnsi" w:eastAsia="Times New Roman" w:hAnsiTheme="majorHAnsi" w:cs="Tahoma"/>
          <w:color w:val="auto"/>
          <w:sz w:val="20"/>
          <w:szCs w:val="20"/>
          <w:bdr w:val="none" w:sz="0" w:space="0" w:color="auto"/>
          <w:lang w:val="es-ES"/>
        </w:rPr>
        <w:t xml:space="preserve">, las cuales deberán </w:t>
      </w:r>
      <w:r w:rsidR="00CC0560">
        <w:rPr>
          <w:rFonts w:asciiTheme="majorHAnsi" w:eastAsia="Times New Roman" w:hAnsiTheme="majorHAnsi" w:cs="Tahoma"/>
          <w:color w:val="auto"/>
          <w:sz w:val="20"/>
          <w:szCs w:val="20"/>
          <w:bdr w:val="none" w:sz="0" w:space="0" w:color="auto"/>
          <w:lang w:val="es-ES"/>
        </w:rPr>
        <w:t xml:space="preserve">incluir </w:t>
      </w:r>
      <w:r w:rsidR="003E731A">
        <w:rPr>
          <w:rFonts w:asciiTheme="majorHAnsi" w:eastAsia="Times New Roman" w:hAnsiTheme="majorHAnsi" w:cs="Tahoma"/>
          <w:color w:val="auto"/>
          <w:sz w:val="20"/>
          <w:szCs w:val="20"/>
          <w:bdr w:val="none" w:sz="0" w:space="0" w:color="auto"/>
          <w:lang w:val="es-ES"/>
        </w:rPr>
        <w:t xml:space="preserve">las reparaciones correspondientes derivadas de los allanamientos y </w:t>
      </w:r>
      <w:r w:rsidR="0037193B">
        <w:rPr>
          <w:rFonts w:asciiTheme="majorHAnsi" w:eastAsia="Times New Roman" w:hAnsiTheme="majorHAnsi" w:cs="Tahoma"/>
          <w:color w:val="auto"/>
          <w:sz w:val="20"/>
          <w:szCs w:val="20"/>
          <w:bdr w:val="none" w:sz="0" w:space="0" w:color="auto"/>
          <w:lang w:val="es-ES"/>
        </w:rPr>
        <w:t>confiscaciones de equipos realizadas en perjuicio de dos de las radios comunitarias en el presente caso.</w:t>
      </w:r>
    </w:p>
    <w:p w14:paraId="62F750DD" w14:textId="77777777" w:rsidR="00073BB6" w:rsidRPr="006D531F" w:rsidRDefault="00073BB6" w:rsidP="000A6CEF">
      <w:pPr>
        <w:pStyle w:val="ListParagraph"/>
        <w:ind w:left="0"/>
        <w:jc w:val="both"/>
        <w:rPr>
          <w:rFonts w:asciiTheme="majorHAnsi" w:hAnsiTheme="majorHAnsi"/>
          <w:color w:val="auto"/>
          <w:sz w:val="20"/>
          <w:szCs w:val="20"/>
          <w:lang w:val="es-ES"/>
        </w:rPr>
      </w:pPr>
    </w:p>
    <w:p w14:paraId="44E61FE0" w14:textId="77777777" w:rsidR="002F54A2" w:rsidRPr="00A37B82" w:rsidRDefault="002F54A2" w:rsidP="002F54A2">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Aprobado por la Comisión Interamericana de Derechos Humanos</w:t>
      </w:r>
      <w:r w:rsidRPr="00A37B82">
        <w:rPr>
          <w:rFonts w:asciiTheme="majorHAnsi" w:hAnsiTheme="majorHAnsi" w:cs="Arial"/>
          <w:noProof/>
          <w:spacing w:val="-2"/>
          <w:sz w:val="20"/>
          <w:szCs w:val="20"/>
          <w:lang w:val="es-CL"/>
        </w:rPr>
        <w:t xml:space="preserve"> en la ciudad de </w:t>
      </w:r>
      <w:r>
        <w:rPr>
          <w:rFonts w:asciiTheme="majorHAnsi" w:hAnsiTheme="majorHAnsi" w:cs="Arial"/>
          <w:noProof/>
          <w:spacing w:val="-2"/>
          <w:sz w:val="20"/>
          <w:szCs w:val="20"/>
          <w:lang w:val="es-CL"/>
        </w:rPr>
        <w:t>Quito, Ecuador</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9 días del mes de noviembre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2019</w:t>
      </w:r>
      <w:r w:rsidRPr="00A37B82">
        <w:rPr>
          <w:rFonts w:asciiTheme="majorHAnsi" w:hAnsiTheme="majorHAnsi" w:cs="Arial"/>
          <w:noProof/>
          <w:spacing w:val="-2"/>
          <w:sz w:val="20"/>
          <w:szCs w:val="20"/>
          <w:lang w:val="es-CL"/>
        </w:rPr>
        <w:t xml:space="preserve">.  (Firmado):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Presidenta;</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Joel Hernández, Primer Vicepresidente; Antonia Urrejola, Segunda Vicepresidenta</w:t>
      </w:r>
      <w:r w:rsidRPr="00A37B82">
        <w:rPr>
          <w:rFonts w:asciiTheme="majorHAnsi" w:hAnsiTheme="majorHAnsi" w:cs="Arial"/>
          <w:noProof/>
          <w:spacing w:val="-2"/>
          <w:sz w:val="20"/>
          <w:szCs w:val="20"/>
          <w:lang w:val="es-CL"/>
        </w:rPr>
        <w:t xml:space="preserve">; </w:t>
      </w:r>
      <w:r>
        <w:rPr>
          <w:rFonts w:asciiTheme="majorHAnsi" w:hAnsiTheme="majorHAnsi" w:cs="Arial"/>
          <w:noProof/>
          <w:spacing w:val="-2"/>
          <w:sz w:val="20"/>
          <w:szCs w:val="20"/>
          <w:lang w:val="es-CL"/>
        </w:rPr>
        <w:t xml:space="preserve">Margarette May Macaulay, Luis Ernesto Vargas Silva, y Flávia Piovesan,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4B61BC4D" w14:textId="77777777" w:rsidR="002F54A2" w:rsidRPr="00A37B82" w:rsidRDefault="002F54A2" w:rsidP="002F54A2">
      <w:pPr>
        <w:suppressAutoHyphens/>
        <w:ind w:firstLine="720"/>
        <w:jc w:val="both"/>
        <w:rPr>
          <w:rFonts w:asciiTheme="majorHAnsi" w:hAnsiTheme="majorHAnsi" w:cs="Arial"/>
          <w:noProof/>
          <w:spacing w:val="-2"/>
          <w:sz w:val="20"/>
          <w:szCs w:val="20"/>
          <w:lang w:val="es-CL"/>
        </w:rPr>
      </w:pPr>
    </w:p>
    <w:p w14:paraId="7F81AD56" w14:textId="77777777" w:rsidR="002F54A2" w:rsidRDefault="002F54A2" w:rsidP="002F54A2">
      <w:pPr>
        <w:ind w:firstLine="720"/>
        <w:jc w:val="both"/>
        <w:rPr>
          <w:rFonts w:ascii="Cambria" w:hAnsi="Cambria"/>
          <w:sz w:val="20"/>
          <w:szCs w:val="20"/>
          <w:lang w:val="es-CL"/>
        </w:rPr>
      </w:pPr>
      <w:r>
        <w:rPr>
          <w:rFonts w:ascii="Cambria" w:hAnsi="Cambria"/>
          <w:sz w:val="20"/>
          <w:szCs w:val="20"/>
          <w:lang w:val="es-CL"/>
        </w:rPr>
        <w:t xml:space="preserve">El que suscribe, </w:t>
      </w:r>
      <w:r w:rsidRPr="001761EB">
        <w:rPr>
          <w:rFonts w:ascii="Cambria" w:hAnsi="Cambria" w:cs="Arial"/>
          <w:sz w:val="20"/>
          <w:szCs w:val="20"/>
          <w:lang w:val="es-US"/>
        </w:rPr>
        <w:t>Paulo Abrão</w:t>
      </w:r>
      <w:r>
        <w:rPr>
          <w:rFonts w:ascii="Cambria" w:hAnsi="Cambria"/>
          <w:sz w:val="20"/>
          <w:szCs w:val="20"/>
          <w:lang w:val="es-CL"/>
        </w:rPr>
        <w:t>, Secretario Ejecutivo, de conformidad con el artículo 49 del Reglamento de la Comisión, certifica que es copia fiel del original depositado en los archivos de la Secretaría de la CIDH.</w:t>
      </w:r>
    </w:p>
    <w:p w14:paraId="2CE3B481" w14:textId="77777777" w:rsidR="002F54A2" w:rsidRPr="001761EB" w:rsidRDefault="002F54A2" w:rsidP="002F54A2">
      <w:pPr>
        <w:rPr>
          <w:rFonts w:ascii="Cambria" w:hAnsi="Cambria"/>
          <w:sz w:val="20"/>
          <w:szCs w:val="20"/>
          <w:lang w:val="es-US"/>
        </w:rPr>
      </w:pPr>
    </w:p>
    <w:p w14:paraId="369080DF" w14:textId="77777777" w:rsidR="002F54A2" w:rsidRPr="006E0DF3" w:rsidRDefault="002F54A2" w:rsidP="002F54A2">
      <w:pPr>
        <w:ind w:left="4320" w:firstLine="720"/>
        <w:rPr>
          <w:rFonts w:ascii="Cambria" w:hAnsi="Cambria"/>
          <w:sz w:val="20"/>
          <w:szCs w:val="20"/>
          <w:lang w:val="es-US"/>
        </w:rPr>
      </w:pPr>
    </w:p>
    <w:p w14:paraId="60ACB3D7" w14:textId="77777777" w:rsidR="002F54A2" w:rsidRPr="006E0DF3" w:rsidRDefault="002F54A2" w:rsidP="002F54A2">
      <w:pPr>
        <w:ind w:left="2160" w:firstLine="720"/>
        <w:jc w:val="center"/>
        <w:rPr>
          <w:rFonts w:ascii="Cambria" w:hAnsi="Cambria"/>
          <w:sz w:val="20"/>
          <w:szCs w:val="20"/>
        </w:rPr>
      </w:pPr>
      <w:r w:rsidRPr="006E0DF3">
        <w:rPr>
          <w:rFonts w:ascii="Cambria" w:hAnsi="Cambria" w:cs="Arial"/>
          <w:sz w:val="20"/>
          <w:szCs w:val="20"/>
        </w:rPr>
        <w:t>Paulo Abrão</w:t>
      </w:r>
    </w:p>
    <w:p w14:paraId="5C7C2E39" w14:textId="77777777" w:rsidR="00B748C7" w:rsidRPr="006D531F" w:rsidRDefault="002F54A2" w:rsidP="002F54A2">
      <w:pPr>
        <w:ind w:left="2160" w:firstLine="720"/>
        <w:jc w:val="center"/>
        <w:rPr>
          <w:rFonts w:asciiTheme="majorHAnsi" w:hAnsiTheme="majorHAnsi"/>
          <w:sz w:val="20"/>
          <w:szCs w:val="20"/>
          <w:lang w:val="es-ES"/>
        </w:rPr>
      </w:pPr>
      <w:r w:rsidRPr="006E0DF3">
        <w:rPr>
          <w:rFonts w:ascii="Cambria" w:hAnsi="Cambria"/>
          <w:sz w:val="20"/>
          <w:szCs w:val="20"/>
        </w:rPr>
        <w:t>Secretario Ejecutivo</w:t>
      </w:r>
    </w:p>
    <w:sectPr w:rsidR="00B748C7" w:rsidRPr="006D531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CACB3" w14:textId="77777777" w:rsidR="00B95258" w:rsidRDefault="00B95258">
      <w:r>
        <w:separator/>
      </w:r>
    </w:p>
  </w:endnote>
  <w:endnote w:type="continuationSeparator" w:id="0">
    <w:p w14:paraId="5DD205EC" w14:textId="77777777" w:rsidR="00B95258" w:rsidRDefault="00B9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UniversBold">
    <w:panose1 w:val="00000000000000000000"/>
    <w:charset w:val="00"/>
    <w:family w:val="swiss"/>
    <w:notTrueType/>
    <w:pitch w:val="default"/>
    <w:sig w:usb0="00000003" w:usb1="00000000" w:usb2="00000000" w:usb3="00000000" w:csb0="00000001" w:csb1="00000000"/>
  </w:font>
  <w:font w:name="Univers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5294112"/>
      <w:docPartObj>
        <w:docPartGallery w:val="Page Numbers (Bottom of Page)"/>
        <w:docPartUnique/>
      </w:docPartObj>
    </w:sdtPr>
    <w:sdtEndPr>
      <w:rPr>
        <w:noProof/>
        <w:sz w:val="16"/>
        <w:szCs w:val="22"/>
      </w:rPr>
    </w:sdtEndPr>
    <w:sdtContent>
      <w:p w14:paraId="27CB3464" w14:textId="77777777" w:rsidR="00B95258" w:rsidRPr="00934A2C" w:rsidRDefault="00B9525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355B3">
          <w:rPr>
            <w:noProof/>
            <w:sz w:val="16"/>
            <w:szCs w:val="22"/>
          </w:rPr>
          <w:t>26</w:t>
        </w:r>
        <w:r w:rsidRPr="00934A2C">
          <w:rPr>
            <w:noProof/>
            <w:sz w:val="16"/>
            <w:szCs w:val="22"/>
          </w:rPr>
          <w:fldChar w:fldCharType="end"/>
        </w:r>
      </w:p>
    </w:sdtContent>
  </w:sdt>
  <w:p w14:paraId="39A5AABC" w14:textId="77777777" w:rsidR="00B95258" w:rsidRDefault="00B95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92953" w14:textId="77777777" w:rsidR="00B95258" w:rsidRPr="00934A2C" w:rsidRDefault="00B95258">
    <w:pPr>
      <w:pStyle w:val="Footer"/>
      <w:jc w:val="center"/>
      <w:rPr>
        <w:sz w:val="16"/>
        <w:szCs w:val="22"/>
      </w:rPr>
    </w:pPr>
  </w:p>
  <w:p w14:paraId="72B357AD" w14:textId="77777777" w:rsidR="00B95258" w:rsidRDefault="00B95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D51FF" w14:textId="77777777" w:rsidR="00B95258" w:rsidRPr="000F35ED" w:rsidRDefault="00B9525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D9F598D" w14:textId="77777777" w:rsidR="00B95258" w:rsidRPr="000F35ED" w:rsidRDefault="00B95258" w:rsidP="000F35ED">
      <w:pPr>
        <w:rPr>
          <w:rFonts w:asciiTheme="majorHAnsi" w:hAnsiTheme="majorHAnsi"/>
          <w:sz w:val="16"/>
          <w:szCs w:val="16"/>
        </w:rPr>
      </w:pPr>
      <w:r w:rsidRPr="000F35ED">
        <w:rPr>
          <w:rFonts w:asciiTheme="majorHAnsi" w:hAnsiTheme="majorHAnsi"/>
          <w:sz w:val="16"/>
          <w:szCs w:val="16"/>
        </w:rPr>
        <w:separator/>
      </w:r>
    </w:p>
    <w:p w14:paraId="753B55AE" w14:textId="77777777" w:rsidR="00B95258" w:rsidRPr="000F35ED" w:rsidRDefault="00B95258"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6133F51" w14:textId="77777777" w:rsidR="00B95258" w:rsidRPr="000F35ED" w:rsidRDefault="00B9525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FE7F01A" w14:textId="77777777" w:rsidR="00B95258" w:rsidRPr="00EA33F1" w:rsidRDefault="00B95258" w:rsidP="00EA33F1">
      <w:pPr>
        <w:pStyle w:val="FootnoteText"/>
        <w:rPr>
          <w:lang w:val="es-MX"/>
        </w:rPr>
      </w:pPr>
      <w:r w:rsidRPr="00EA33F1">
        <w:rPr>
          <w:rStyle w:val="FootnoteReference"/>
          <w:color w:val="auto"/>
        </w:rPr>
        <w:footnoteRef/>
      </w:r>
      <w:r w:rsidRPr="00EA33F1">
        <w:rPr>
          <w:color w:val="auto"/>
          <w:lang w:val="es-MX"/>
        </w:rPr>
        <w:t xml:space="preserve"> CIDH. Informe No. 51/18. </w:t>
      </w:r>
      <w:r w:rsidRPr="00EA33F1">
        <w:rPr>
          <w:color w:val="auto"/>
          <w:lang w:val="es-US"/>
        </w:rPr>
        <w:t xml:space="preserve">Petición 1779-12. </w:t>
      </w:r>
      <w:r w:rsidRPr="00EA33F1">
        <w:rPr>
          <w:color w:val="auto"/>
          <w:lang w:val="es-MX"/>
        </w:rPr>
        <w:t>Pueblos indígenas Maya Kaqchikuel de Sumpango y otros. Guatemala. 5 de mayo de 2018. La CIDH declaró admisible la petición respecto de los artículos 13, 24 y 26, en relación con los artículos 1.1 y 2 de la Convención Americana, así como d</w:t>
      </w:r>
      <w:r w:rsidRPr="00EA33F1">
        <w:rPr>
          <w:bdr w:val="none" w:sz="0" w:space="0" w:color="auto" w:frame="1"/>
          <w:lang w:val="es-ES_tradnl"/>
        </w:rPr>
        <w:t xml:space="preserve">el </w:t>
      </w:r>
      <w:r w:rsidRPr="00EA33F1">
        <w:rPr>
          <w:bCs/>
          <w:lang w:val="es-ES"/>
        </w:rPr>
        <w:t>artículo XIII de la Declaración Americana de Derechos y Deberes del Hombre, cuyo análisis se hará en el marco del artículo 26 de la Convención Americana en el presente caso.</w:t>
      </w:r>
    </w:p>
    <w:p w14:paraId="2FF2F6B4" w14:textId="77777777" w:rsidR="00B95258" w:rsidRPr="00EA33F1" w:rsidRDefault="00B95258" w:rsidP="00EA33F1">
      <w:pPr>
        <w:pStyle w:val="FootnoteText"/>
        <w:rPr>
          <w:color w:val="auto"/>
          <w:lang w:val="es-PE"/>
        </w:rPr>
      </w:pPr>
    </w:p>
  </w:footnote>
  <w:footnote w:id="3">
    <w:p w14:paraId="16EF288A" w14:textId="77777777" w:rsidR="00B95258" w:rsidRPr="00EA33F1" w:rsidRDefault="00B95258" w:rsidP="00EA33F1">
      <w:pPr>
        <w:pStyle w:val="FootnoteText"/>
        <w:rPr>
          <w:lang w:val="es-PE"/>
        </w:rPr>
      </w:pPr>
      <w:r w:rsidRPr="00EA33F1">
        <w:rPr>
          <w:rStyle w:val="FootnoteReference"/>
        </w:rPr>
        <w:footnoteRef/>
      </w:r>
      <w:r w:rsidRPr="00EA33F1">
        <w:rPr>
          <w:lang w:val="es-MX"/>
        </w:rPr>
        <w:t xml:space="preserve"> CIDH. Informe </w:t>
      </w:r>
      <w:r w:rsidRPr="00EA33F1">
        <w:rPr>
          <w:lang w:val="es-ES"/>
        </w:rPr>
        <w:t xml:space="preserve">Situación de los derechos humanos en </w:t>
      </w:r>
      <w:r w:rsidRPr="00EA33F1">
        <w:rPr>
          <w:lang w:val="es-MX"/>
        </w:rPr>
        <w:t xml:space="preserve">Guatemala. OEA/Ser.L/V/II. Doc. 43/15, 31 de diciembre de 2015. Párr 64. Disponible en: </w:t>
      </w:r>
      <w:hyperlink r:id="rId1" w:history="1">
        <w:r w:rsidRPr="00EA33F1">
          <w:rPr>
            <w:rStyle w:val="Hyperlink"/>
            <w:lang w:val="es-PE"/>
          </w:rPr>
          <w:t>http://www.oas.org/es/cidh/informes/pdfs/Guatemala2016.pdf</w:t>
        </w:r>
      </w:hyperlink>
      <w:r w:rsidRPr="00EA33F1">
        <w:rPr>
          <w:lang w:val="es-PE"/>
        </w:rPr>
        <w:t xml:space="preserve"> </w:t>
      </w:r>
    </w:p>
  </w:footnote>
  <w:footnote w:id="4">
    <w:p w14:paraId="6FF3051B" w14:textId="77777777" w:rsidR="00B95258" w:rsidRPr="00EA33F1" w:rsidRDefault="00B95258" w:rsidP="00EA33F1">
      <w:pPr>
        <w:pStyle w:val="FootnoteText"/>
        <w:rPr>
          <w:lang w:val="es-MX"/>
        </w:rPr>
      </w:pPr>
      <w:r w:rsidRPr="00EA33F1">
        <w:rPr>
          <w:rStyle w:val="FootnoteReference"/>
        </w:rPr>
        <w:footnoteRef/>
      </w:r>
      <w:r w:rsidRPr="00EA33F1">
        <w:rPr>
          <w:lang w:val="es-MX"/>
        </w:rPr>
        <w:t xml:space="preserve"> CIDH. Informe </w:t>
      </w:r>
      <w:r w:rsidRPr="00EA33F1">
        <w:rPr>
          <w:lang w:val="es-ES"/>
        </w:rPr>
        <w:t xml:space="preserve">Situación de los derechos humanos en </w:t>
      </w:r>
      <w:r w:rsidRPr="00EA33F1">
        <w:rPr>
          <w:lang w:val="es-MX"/>
        </w:rPr>
        <w:t>Guatemala. OEA/Ser.L/V/II. Doc. 43/15, 31 de diciembre de 2015. Párr 68.</w:t>
      </w:r>
    </w:p>
  </w:footnote>
  <w:footnote w:id="5">
    <w:p w14:paraId="5917C7E1" w14:textId="77777777" w:rsidR="00B95258" w:rsidRPr="00EA33F1" w:rsidRDefault="00B95258" w:rsidP="00EA33F1">
      <w:pPr>
        <w:pStyle w:val="FootnoteText"/>
        <w:rPr>
          <w:lang w:val="es-MX"/>
        </w:rPr>
      </w:pPr>
      <w:r w:rsidRPr="00EA33F1">
        <w:rPr>
          <w:rStyle w:val="FootnoteReference"/>
        </w:rPr>
        <w:footnoteRef/>
      </w:r>
      <w:r w:rsidRPr="00EA33F1">
        <w:rPr>
          <w:lang w:val="es-MX"/>
        </w:rPr>
        <w:t xml:space="preserve"> CIDH. Informe </w:t>
      </w:r>
      <w:r w:rsidRPr="00EA33F1">
        <w:rPr>
          <w:lang w:val="es-ES"/>
        </w:rPr>
        <w:t xml:space="preserve">Situación de los derechos humanos en </w:t>
      </w:r>
      <w:r w:rsidRPr="00EA33F1">
        <w:rPr>
          <w:lang w:val="es-MX"/>
        </w:rPr>
        <w:t>Guatemala. OEA/Ser.L/V/II. Doc. 43/15, 31 de diciembre de 2015. Párr 77.</w:t>
      </w:r>
    </w:p>
  </w:footnote>
  <w:footnote w:id="6">
    <w:p w14:paraId="005BF250" w14:textId="77777777" w:rsidR="00B95258" w:rsidRPr="00EA33F1" w:rsidRDefault="00B95258" w:rsidP="00EA33F1">
      <w:pPr>
        <w:pStyle w:val="FootnoteText"/>
        <w:rPr>
          <w:lang w:val="es-PE"/>
        </w:rPr>
      </w:pPr>
      <w:r w:rsidRPr="00EA33F1">
        <w:rPr>
          <w:rStyle w:val="FootnoteReference"/>
        </w:rPr>
        <w:footnoteRef/>
      </w:r>
      <w:r w:rsidRPr="00EA33F1">
        <w:rPr>
          <w:lang w:val="es-MX"/>
        </w:rPr>
        <w:t xml:space="preserve"> </w:t>
      </w:r>
      <w:r w:rsidRPr="00EA33F1">
        <w:rPr>
          <w:lang w:val="es-ES"/>
        </w:rPr>
        <w:t xml:space="preserve">CIDH. Informe Situación de los derechos humanos en </w:t>
      </w:r>
      <w:r w:rsidRPr="00EA33F1">
        <w:rPr>
          <w:lang w:val="es-MX"/>
        </w:rPr>
        <w:t xml:space="preserve">Guatemala. OEA/Ser.L/V/II. Doc. 208/17, 31 de diciembre de 2017. Párr 377. Disponible en: </w:t>
      </w:r>
      <w:hyperlink r:id="rId2" w:history="1">
        <w:r w:rsidRPr="00EA33F1">
          <w:rPr>
            <w:rStyle w:val="Hyperlink"/>
            <w:lang w:val="es-PE"/>
          </w:rPr>
          <w:t>http://www.oas.org/es/cidh/informes/pdfs/Guatemala2017-es.pdf</w:t>
        </w:r>
      </w:hyperlink>
      <w:r w:rsidRPr="00EA33F1">
        <w:rPr>
          <w:lang w:val="es-PE"/>
        </w:rPr>
        <w:t xml:space="preserve"> </w:t>
      </w:r>
    </w:p>
  </w:footnote>
  <w:footnote w:id="7">
    <w:p w14:paraId="626B85EE" w14:textId="77777777" w:rsidR="00B95258" w:rsidRPr="00EA33F1" w:rsidRDefault="00B95258" w:rsidP="00EA33F1">
      <w:pPr>
        <w:pStyle w:val="FootnoteText"/>
        <w:rPr>
          <w:lang w:val="es-MX"/>
        </w:rPr>
      </w:pPr>
      <w:r w:rsidRPr="00EA33F1">
        <w:rPr>
          <w:rStyle w:val="FootnoteReference"/>
        </w:rPr>
        <w:footnoteRef/>
      </w:r>
      <w:r w:rsidRPr="00EA33F1">
        <w:rPr>
          <w:lang w:val="es-MX"/>
        </w:rPr>
        <w:t xml:space="preserve"> </w:t>
      </w:r>
      <w:r w:rsidRPr="00EA33F1">
        <w:rPr>
          <w:lang w:val="es-ES"/>
        </w:rPr>
        <w:t xml:space="preserve">CIDH. Informe Situación de los derechos humanos en </w:t>
      </w:r>
      <w:r w:rsidRPr="00EA33F1">
        <w:rPr>
          <w:lang w:val="es-MX"/>
        </w:rPr>
        <w:t>Guatemala. OEA/Ser.L/V/II. Doc. 208/17, 31 de diciembre de 2017. Párr 4.</w:t>
      </w:r>
    </w:p>
  </w:footnote>
  <w:footnote w:id="8">
    <w:p w14:paraId="51FDF55F" w14:textId="77777777" w:rsidR="00B95258" w:rsidRPr="00EA33F1" w:rsidRDefault="00B95258" w:rsidP="00EA33F1">
      <w:pPr>
        <w:pStyle w:val="FootnoteText"/>
        <w:rPr>
          <w:lang w:val="es-MX"/>
        </w:rPr>
      </w:pPr>
      <w:r w:rsidRPr="00EA33F1">
        <w:rPr>
          <w:rStyle w:val="FootnoteReference"/>
        </w:rPr>
        <w:footnoteRef/>
      </w:r>
      <w:r w:rsidRPr="00EA33F1">
        <w:rPr>
          <w:lang w:val="es-MX"/>
        </w:rPr>
        <w:t xml:space="preserve"> CIDH Informe Anual 2018. Capítulo V: Seguimiento de recomendaciones formuladas por la CIDH en sus informes de país o temáticos. OEA/Ser.L/V/II. Doc. 30. 17 de marzo 2019. Párr 112. Disponible en: </w:t>
      </w:r>
      <w:hyperlink r:id="rId3" w:history="1">
        <w:r w:rsidRPr="00EA33F1">
          <w:rPr>
            <w:rStyle w:val="Hyperlink"/>
            <w:lang w:val="es-PE"/>
          </w:rPr>
          <w:t>http://www.oas.org/es/cidh/docs/anual/2018/indice.asp</w:t>
        </w:r>
      </w:hyperlink>
    </w:p>
  </w:footnote>
  <w:footnote w:id="9">
    <w:p w14:paraId="16BB13AF" w14:textId="77777777" w:rsidR="00B95258" w:rsidRPr="00EA33F1" w:rsidRDefault="00B95258" w:rsidP="00EA33F1">
      <w:pPr>
        <w:pStyle w:val="FootnoteText"/>
        <w:rPr>
          <w:lang w:val="es-MX"/>
        </w:rPr>
      </w:pPr>
      <w:r w:rsidRPr="00EA33F1">
        <w:rPr>
          <w:rStyle w:val="FootnoteReference"/>
        </w:rPr>
        <w:footnoteRef/>
      </w:r>
      <w:r w:rsidRPr="00EA33F1">
        <w:rPr>
          <w:lang w:val="es-MX"/>
        </w:rPr>
        <w:t xml:space="preserve"> CIDH. </w:t>
      </w:r>
      <w:hyperlink r:id="rId4" w:history="1">
        <w:r w:rsidRPr="00EA33F1">
          <w:rPr>
            <w:rStyle w:val="Hyperlink"/>
            <w:u w:val="none"/>
            <w:lang w:val="es-AR"/>
          </w:rPr>
          <w:t xml:space="preserve">Informe Anual 2018. </w:t>
        </w:r>
        <w:r w:rsidRPr="00EA33F1">
          <w:rPr>
            <w:rFonts w:cs="Arial"/>
            <w:lang w:val="es-UY"/>
          </w:rPr>
          <w:t>Volumen II:</w:t>
        </w:r>
        <w:r w:rsidRPr="00EA33F1">
          <w:rPr>
            <w:rFonts w:cs="Arial"/>
            <w:i/>
            <w:lang w:val="es-UY"/>
          </w:rPr>
          <w:t xml:space="preserve"> </w:t>
        </w:r>
        <w:r w:rsidRPr="00EA33F1">
          <w:rPr>
            <w:rFonts w:cs="Arial"/>
            <w:lang w:val="es-UY"/>
          </w:rPr>
          <w:t xml:space="preserve">Informe Anual de la Relatoría Especial para la Libertad de Expresión. </w:t>
        </w:r>
      </w:hyperlink>
      <w:r w:rsidRPr="00EA33F1">
        <w:rPr>
          <w:lang w:val="es-AR"/>
        </w:rPr>
        <w:t xml:space="preserve">Capítulo II: Situación de la libertad de expresión. Guatemala. </w:t>
      </w:r>
      <w:r w:rsidRPr="00EA33F1">
        <w:rPr>
          <w:lang w:val="es-MX"/>
        </w:rPr>
        <w:t xml:space="preserve">OEA/Ser.L/V/II. Doc. 30. 17 de marzo 2019. Párr 585. Disponible en: </w:t>
      </w:r>
      <w:hyperlink r:id="rId5" w:history="1">
        <w:r w:rsidRPr="00EA33F1">
          <w:rPr>
            <w:rStyle w:val="Hyperlink"/>
            <w:lang w:val="es-PE"/>
          </w:rPr>
          <w:t>http://www.oas.org/es/cidh/expresion/informes/anuales.asp</w:t>
        </w:r>
      </w:hyperlink>
    </w:p>
  </w:footnote>
  <w:footnote w:id="10">
    <w:p w14:paraId="21EECFB5" w14:textId="77777777" w:rsidR="00B95258" w:rsidRPr="00EA33F1" w:rsidRDefault="00B95258" w:rsidP="00EA33F1">
      <w:pPr>
        <w:pStyle w:val="FootnoteText"/>
        <w:rPr>
          <w:lang w:val="es-MX"/>
        </w:rPr>
      </w:pPr>
      <w:r w:rsidRPr="00EA33F1">
        <w:rPr>
          <w:rStyle w:val="FootnoteReference"/>
        </w:rPr>
        <w:footnoteRef/>
      </w:r>
      <w:r w:rsidRPr="00EA33F1">
        <w:rPr>
          <w:lang w:val="es-PE"/>
        </w:rPr>
        <w:t xml:space="preserve"> </w:t>
      </w:r>
      <w:r w:rsidRPr="00EA33F1">
        <w:rPr>
          <w:lang w:val="es-ES"/>
        </w:rPr>
        <w:t xml:space="preserve">CIDH. Informe Situación de los derechos humanos en </w:t>
      </w:r>
      <w:r w:rsidRPr="00EA33F1">
        <w:rPr>
          <w:lang w:val="es-MX"/>
        </w:rPr>
        <w:t xml:space="preserve">Guatemala. OEA/Ser.L/V/II. Doc. 208/17, 31 de diciembre de 2017. Párr 301. Allí se destacó que según lo señalado por la </w:t>
      </w:r>
      <w:r w:rsidRPr="00EA33F1">
        <w:rPr>
          <w:lang w:val="es-PE"/>
        </w:rPr>
        <w:t>Comisión Internacional contra la Impunidad en Guatemala (CICIG) en julio de 2015, “[p]robablemente no exista otro caso en el mundo en que una misma persona sea dueña de los cuatro canales privados de VHF existentes”.</w:t>
      </w:r>
    </w:p>
  </w:footnote>
  <w:footnote w:id="11">
    <w:p w14:paraId="61A30FE5" w14:textId="77777777" w:rsidR="00B95258" w:rsidRPr="00EA33F1" w:rsidRDefault="00B95258" w:rsidP="00EA33F1">
      <w:pPr>
        <w:jc w:val="both"/>
        <w:rPr>
          <w:rFonts w:asciiTheme="majorHAnsi" w:hAnsiTheme="majorHAnsi"/>
          <w:sz w:val="16"/>
          <w:szCs w:val="16"/>
          <w:lang w:val="es-PE"/>
        </w:rPr>
      </w:pPr>
      <w:r w:rsidRPr="00EA33F1">
        <w:rPr>
          <w:rStyle w:val="FootnoteReference"/>
          <w:rFonts w:asciiTheme="majorHAnsi" w:hAnsiTheme="majorHAnsi"/>
          <w:sz w:val="16"/>
          <w:szCs w:val="16"/>
        </w:rPr>
        <w:footnoteRef/>
      </w:r>
      <w:r w:rsidRPr="00EA33F1">
        <w:rPr>
          <w:rFonts w:asciiTheme="majorHAnsi" w:hAnsiTheme="majorHAnsi"/>
          <w:sz w:val="16"/>
          <w:szCs w:val="16"/>
          <w:lang w:val="es-PE"/>
        </w:rPr>
        <w:t xml:space="preserve"> Acuerdo sobre Identidad y Derechos de los Pueblos Indígenas. 31 de marzo de 1995. México, D.F. El inciso H (2)(b) del capítulo III establece que el Estado guatemalteco debería “[p]romover ante el Congreso de la República las reformas que sean necesarias en la actual ley de radiocomunicaciones con el objetivo de facilitar frecuencias para proyectos indígenas y asegurar la observancia del principio de no discriminación en el uso de los medios de comunicación. Promover asimismo la derogación de toda disposición del jurídico que obstaculice el derecho de los pueblos indígenas a disponer de medios de comunicación para el desarrollo de su identidad”. </w:t>
      </w:r>
      <w:r w:rsidRPr="00EA33F1">
        <w:rPr>
          <w:rFonts w:asciiTheme="majorHAnsi" w:hAnsiTheme="majorHAnsi"/>
          <w:sz w:val="16"/>
          <w:szCs w:val="16"/>
          <w:lang w:val="es-MX"/>
        </w:rPr>
        <w:t xml:space="preserve">CIDH. Informe </w:t>
      </w:r>
      <w:r w:rsidRPr="00EA33F1">
        <w:rPr>
          <w:rFonts w:asciiTheme="majorHAnsi" w:hAnsiTheme="majorHAnsi"/>
          <w:sz w:val="16"/>
          <w:szCs w:val="16"/>
          <w:lang w:val="es-ES"/>
        </w:rPr>
        <w:t xml:space="preserve">Situación de los derechos humanos en </w:t>
      </w:r>
      <w:r w:rsidRPr="00EA33F1">
        <w:rPr>
          <w:rFonts w:asciiTheme="majorHAnsi" w:hAnsiTheme="majorHAnsi"/>
          <w:sz w:val="16"/>
          <w:szCs w:val="16"/>
          <w:lang w:val="es-MX"/>
        </w:rPr>
        <w:t>Guatemala. OEA/Ser.L/V/II. Doc. 43/15, 31 de diciembre de 2015. Párr 305.</w:t>
      </w:r>
    </w:p>
  </w:footnote>
  <w:footnote w:id="12">
    <w:p w14:paraId="47A5A66C" w14:textId="77777777" w:rsidR="00B95258" w:rsidRPr="00EA33F1" w:rsidRDefault="00B95258" w:rsidP="00EA33F1">
      <w:pPr>
        <w:pStyle w:val="FootnoteText"/>
        <w:rPr>
          <w:lang w:val="es-MX"/>
        </w:rPr>
      </w:pPr>
      <w:r w:rsidRPr="00EA33F1">
        <w:rPr>
          <w:rStyle w:val="FootnoteReference"/>
        </w:rPr>
        <w:footnoteRef/>
      </w:r>
      <w:r w:rsidRPr="00EA33F1">
        <w:rPr>
          <w:lang w:val="es-MX"/>
        </w:rPr>
        <w:t xml:space="preserve"> Anexo 1. Ley General de Telecomunicaciones. Decreto No. 94-96. Publicado el 18 de noviembre de 1996. Este Decreto fue reformado por el Decreto No. 115-97, publicado el 21 de noviembre de 1997. Anexo 1 a la petición inicial de 28 de septiembre de 2012.</w:t>
      </w:r>
    </w:p>
  </w:footnote>
  <w:footnote w:id="13">
    <w:p w14:paraId="38EE5C18" w14:textId="77777777" w:rsidR="00B95258" w:rsidRPr="00EA33F1" w:rsidRDefault="00B95258" w:rsidP="00EA33F1">
      <w:pPr>
        <w:jc w:val="both"/>
        <w:rPr>
          <w:rFonts w:asciiTheme="majorHAnsi" w:hAnsiTheme="majorHAnsi"/>
          <w:sz w:val="16"/>
          <w:szCs w:val="16"/>
          <w:lang w:val="es-PE"/>
        </w:rPr>
      </w:pPr>
      <w:r w:rsidRPr="00EA33F1">
        <w:rPr>
          <w:rStyle w:val="FootnoteReference"/>
          <w:rFonts w:asciiTheme="majorHAnsi" w:hAnsiTheme="majorHAnsi"/>
          <w:sz w:val="16"/>
          <w:szCs w:val="16"/>
        </w:rPr>
        <w:footnoteRef/>
      </w:r>
      <w:r w:rsidRPr="00EA33F1">
        <w:rPr>
          <w:rFonts w:asciiTheme="majorHAnsi" w:hAnsiTheme="majorHAnsi"/>
          <w:sz w:val="16"/>
          <w:szCs w:val="16"/>
          <w:lang w:val="es-PE"/>
        </w:rPr>
        <w:t xml:space="preserve"> CIDH. </w:t>
      </w:r>
      <w:r w:rsidRPr="00EA33F1">
        <w:rPr>
          <w:rFonts w:asciiTheme="majorHAnsi" w:hAnsiTheme="majorHAnsi"/>
          <w:sz w:val="16"/>
          <w:szCs w:val="16"/>
          <w:lang w:val="es-CO"/>
        </w:rPr>
        <w:t xml:space="preserve">Justicia e inclusión social: Los desafíos de la democracia en Guatemala. Capítulo VII: La situación de la libertad de expresión. </w:t>
      </w:r>
      <w:r w:rsidRPr="00EA33F1">
        <w:rPr>
          <w:rFonts w:asciiTheme="majorHAnsi" w:hAnsiTheme="majorHAnsi"/>
          <w:sz w:val="16"/>
          <w:szCs w:val="16"/>
          <w:lang w:val="es-MX"/>
        </w:rPr>
        <w:t xml:space="preserve">OEA/Ser.L/V/II. 118. Doc. 5 rev. 2, 29 de diciembre de 2003. Párrs. 412 y ss.; Informe </w:t>
      </w:r>
      <w:r w:rsidRPr="00EA33F1">
        <w:rPr>
          <w:rFonts w:asciiTheme="majorHAnsi" w:hAnsiTheme="majorHAnsi"/>
          <w:sz w:val="16"/>
          <w:szCs w:val="16"/>
          <w:lang w:val="es-ES"/>
        </w:rPr>
        <w:t xml:space="preserve">Situación de los derechos humanos en </w:t>
      </w:r>
      <w:r w:rsidRPr="00EA33F1">
        <w:rPr>
          <w:rFonts w:asciiTheme="majorHAnsi" w:hAnsiTheme="majorHAnsi"/>
          <w:sz w:val="16"/>
          <w:szCs w:val="16"/>
          <w:lang w:val="es-MX"/>
        </w:rPr>
        <w:t xml:space="preserve">Guatemala. OEA/Ser.L/V/II. Doc. 43/15, 31 de diciembre de 2015. Párrs. 302 y ss., e </w:t>
      </w:r>
      <w:r w:rsidRPr="00EA33F1">
        <w:rPr>
          <w:rFonts w:asciiTheme="majorHAnsi" w:hAnsiTheme="majorHAnsi"/>
          <w:sz w:val="16"/>
          <w:szCs w:val="16"/>
          <w:lang w:val="es-ES"/>
        </w:rPr>
        <w:t xml:space="preserve">Informe Situación de los derechos humanos en </w:t>
      </w:r>
      <w:r w:rsidRPr="00EA33F1">
        <w:rPr>
          <w:rFonts w:asciiTheme="majorHAnsi" w:hAnsiTheme="majorHAnsi"/>
          <w:sz w:val="16"/>
          <w:szCs w:val="16"/>
          <w:lang w:val="es-MX"/>
        </w:rPr>
        <w:t>Guatemala. OEA/Ser.L/V/II. Doc. 208/17, 31 de diciembre de 2017. Párrs 293 y ss.</w:t>
      </w:r>
    </w:p>
  </w:footnote>
  <w:footnote w:id="14">
    <w:p w14:paraId="2B4FDCE9" w14:textId="77777777" w:rsidR="00B95258" w:rsidRPr="00EA33F1" w:rsidRDefault="00B95258" w:rsidP="00EA33F1">
      <w:pPr>
        <w:pStyle w:val="FootnoteText"/>
        <w:rPr>
          <w:lang w:val="es-MX"/>
        </w:rPr>
      </w:pPr>
      <w:r w:rsidRPr="00EA33F1">
        <w:rPr>
          <w:rStyle w:val="FootnoteReference"/>
        </w:rPr>
        <w:footnoteRef/>
      </w:r>
      <w:r w:rsidRPr="00EA33F1">
        <w:rPr>
          <w:lang w:val="es-MX"/>
        </w:rPr>
        <w:t xml:space="preserve"> Escrito de petición inicial de 28 de septiembre de 2012. Información no controvertida por el Estado.</w:t>
      </w:r>
    </w:p>
  </w:footnote>
  <w:footnote w:id="15">
    <w:p w14:paraId="31DAA878" w14:textId="77777777" w:rsidR="00B95258" w:rsidRPr="00EA33F1" w:rsidRDefault="00B95258" w:rsidP="00EA33F1">
      <w:pPr>
        <w:pStyle w:val="FootnoteText"/>
        <w:rPr>
          <w:lang w:val="es-MX"/>
        </w:rPr>
      </w:pPr>
      <w:r w:rsidRPr="00EA33F1">
        <w:rPr>
          <w:rStyle w:val="FootnoteReference"/>
        </w:rPr>
        <w:footnoteRef/>
      </w:r>
      <w:r w:rsidRPr="00EA33F1">
        <w:rPr>
          <w:lang w:val="es-MX"/>
        </w:rPr>
        <w:t xml:space="preserve"> Escrito de petición inicial de 28 de septiembre de 2012. Información no controvertida por el Estado.</w:t>
      </w:r>
    </w:p>
  </w:footnote>
  <w:footnote w:id="16">
    <w:p w14:paraId="2C7DC48F" w14:textId="77777777" w:rsidR="00B95258" w:rsidRPr="00EA33F1" w:rsidRDefault="00B95258" w:rsidP="00EA33F1">
      <w:pPr>
        <w:pStyle w:val="FootnoteText"/>
        <w:rPr>
          <w:lang w:val="es-MX"/>
        </w:rPr>
      </w:pPr>
      <w:r w:rsidRPr="00EA33F1">
        <w:rPr>
          <w:rStyle w:val="FootnoteReference"/>
        </w:rPr>
        <w:footnoteRef/>
      </w:r>
      <w:r w:rsidRPr="00EA33F1">
        <w:rPr>
          <w:lang w:val="es-MX"/>
        </w:rPr>
        <w:t xml:space="preserve"> Anexo 1. Ley General de Telecomunicaciones, </w:t>
      </w:r>
      <w:r w:rsidRPr="00EA33F1">
        <w:rPr>
          <w:i/>
          <w:iCs/>
          <w:lang w:val="es-MX"/>
        </w:rPr>
        <w:t>supra</w:t>
      </w:r>
      <w:r w:rsidRPr="00EA33F1">
        <w:rPr>
          <w:lang w:val="es-MX"/>
        </w:rPr>
        <w:t xml:space="preserve">, artículo 1. </w:t>
      </w:r>
    </w:p>
  </w:footnote>
  <w:footnote w:id="17">
    <w:p w14:paraId="6FEA67EE"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w:t>
      </w:r>
      <w:r w:rsidRPr="00EA33F1">
        <w:rPr>
          <w:lang w:val="es-VE"/>
        </w:rPr>
        <w:t xml:space="preserve">Los artículos 64 a 67 de la </w:t>
      </w:r>
      <w:r w:rsidRPr="00EA33F1">
        <w:rPr>
          <w:lang w:val="es-MX"/>
        </w:rPr>
        <w:t xml:space="preserve">Ley General de Telecomunicaciones se refieren a </w:t>
      </w:r>
      <w:r w:rsidRPr="00EA33F1">
        <w:rPr>
          <w:lang w:val="es-VE"/>
        </w:rPr>
        <w:t xml:space="preserve">las bandas de frecuencias reservadas. Estos no incluyen ninguna relativa a radios comunitarias. </w:t>
      </w:r>
      <w:r w:rsidRPr="00EA33F1">
        <w:rPr>
          <w:lang w:val="es-MX"/>
        </w:rPr>
        <w:t xml:space="preserve">Anexo 1. Ley General de Telecomunicaciones, </w:t>
      </w:r>
      <w:r w:rsidRPr="00EA33F1">
        <w:rPr>
          <w:i/>
          <w:iCs/>
          <w:lang w:val="es-MX"/>
        </w:rPr>
        <w:t>supra</w:t>
      </w:r>
      <w:r w:rsidRPr="00EA33F1">
        <w:rPr>
          <w:lang w:val="es-MX"/>
        </w:rPr>
        <w:t>, artículos 64 a 67.</w:t>
      </w:r>
    </w:p>
  </w:footnote>
  <w:footnote w:id="18">
    <w:p w14:paraId="0EA20854" w14:textId="77777777" w:rsidR="00B95258" w:rsidRPr="00EA33F1" w:rsidRDefault="00B95258" w:rsidP="00EA33F1">
      <w:pPr>
        <w:pStyle w:val="FootnoteText"/>
        <w:rPr>
          <w:lang w:val="es-MX"/>
        </w:rPr>
      </w:pPr>
      <w:r w:rsidRPr="00EA33F1">
        <w:rPr>
          <w:rStyle w:val="FootnoteReference"/>
        </w:rPr>
        <w:footnoteRef/>
      </w:r>
      <w:r w:rsidRPr="00EA33F1">
        <w:rPr>
          <w:lang w:val="es-MX"/>
        </w:rPr>
        <w:t xml:space="preserve"> Anexo 1. Ley General de Telecomunicaciones, </w:t>
      </w:r>
      <w:r w:rsidRPr="00EA33F1">
        <w:rPr>
          <w:i/>
          <w:iCs/>
          <w:lang w:val="es-MX"/>
        </w:rPr>
        <w:t>supra</w:t>
      </w:r>
      <w:r w:rsidRPr="00EA33F1">
        <w:rPr>
          <w:lang w:val="es-MX"/>
        </w:rPr>
        <w:t>, artículo 61.</w:t>
      </w:r>
    </w:p>
  </w:footnote>
  <w:footnote w:id="19">
    <w:p w14:paraId="79264385" w14:textId="77777777" w:rsidR="00B95258" w:rsidRPr="00EA33F1" w:rsidRDefault="00B95258" w:rsidP="00EA33F1">
      <w:pPr>
        <w:pStyle w:val="FootnoteText"/>
        <w:rPr>
          <w:lang w:val="es-MX"/>
        </w:rPr>
      </w:pPr>
      <w:r w:rsidRPr="00EA33F1">
        <w:rPr>
          <w:rStyle w:val="FootnoteReference"/>
        </w:rPr>
        <w:footnoteRef/>
      </w:r>
      <w:r w:rsidRPr="00EA33F1">
        <w:rPr>
          <w:lang w:val="es-MX"/>
        </w:rPr>
        <w:t xml:space="preserve"> Anexo 1. Ley General de Telecomunicaciones, </w:t>
      </w:r>
      <w:r w:rsidRPr="00EA33F1">
        <w:rPr>
          <w:i/>
          <w:iCs/>
          <w:lang w:val="es-MX"/>
        </w:rPr>
        <w:t>supra</w:t>
      </w:r>
      <w:r w:rsidRPr="00EA33F1">
        <w:rPr>
          <w:lang w:val="es-MX"/>
        </w:rPr>
        <w:t xml:space="preserve">, artículo 62. </w:t>
      </w:r>
    </w:p>
  </w:footnote>
  <w:footnote w:id="20">
    <w:p w14:paraId="4BF950AF" w14:textId="77777777" w:rsidR="00B95258" w:rsidRPr="00EA33F1" w:rsidRDefault="00B95258" w:rsidP="00EA33F1">
      <w:pPr>
        <w:pStyle w:val="FootnoteText"/>
        <w:rPr>
          <w:lang w:val="es-MX"/>
        </w:rPr>
      </w:pPr>
      <w:r w:rsidRPr="00EA33F1">
        <w:rPr>
          <w:rStyle w:val="FootnoteReference"/>
        </w:rPr>
        <w:footnoteRef/>
      </w:r>
      <w:r w:rsidRPr="00EA33F1">
        <w:rPr>
          <w:lang w:val="es-MX"/>
        </w:rPr>
        <w:t xml:space="preserve"> Escrito de observaciones del Estado de 25 de julio de 2017.</w:t>
      </w:r>
    </w:p>
  </w:footnote>
  <w:footnote w:id="21">
    <w:p w14:paraId="36991DB8" w14:textId="77777777" w:rsidR="00B95258" w:rsidRPr="00EA33F1" w:rsidRDefault="00B95258" w:rsidP="00EA33F1">
      <w:pPr>
        <w:jc w:val="both"/>
        <w:rPr>
          <w:rFonts w:asciiTheme="majorHAnsi" w:hAnsiTheme="majorHAnsi"/>
          <w:sz w:val="16"/>
          <w:szCs w:val="16"/>
          <w:lang w:val="es-MX"/>
        </w:rPr>
      </w:pPr>
      <w:r w:rsidRPr="00EA33F1">
        <w:rPr>
          <w:rStyle w:val="FootnoteReference"/>
          <w:rFonts w:asciiTheme="majorHAnsi" w:hAnsiTheme="majorHAnsi"/>
          <w:sz w:val="16"/>
          <w:szCs w:val="16"/>
        </w:rPr>
        <w:footnoteRef/>
      </w:r>
      <w:r w:rsidRPr="00EA33F1">
        <w:rPr>
          <w:rFonts w:asciiTheme="majorHAnsi" w:hAnsiTheme="majorHAnsi"/>
          <w:sz w:val="16"/>
          <w:szCs w:val="16"/>
          <w:lang w:val="es-MX"/>
        </w:rPr>
        <w:t xml:space="preserve"> En el escrito de observaciones de fondo de la parte peticionaria de fecha 20 de diciembre de 2018, los peticionarios incluyeron una lista de radios comunitarias que habr</w:t>
      </w:r>
      <w:r w:rsidRPr="00EA33F1">
        <w:rPr>
          <w:rFonts w:asciiTheme="majorHAnsi" w:hAnsiTheme="majorHAnsi"/>
          <w:sz w:val="16"/>
          <w:szCs w:val="16"/>
          <w:lang w:val="es-PE"/>
        </w:rPr>
        <w:t xml:space="preserve">ían sido </w:t>
      </w:r>
      <w:r w:rsidRPr="00EA33F1">
        <w:rPr>
          <w:rFonts w:asciiTheme="majorHAnsi" w:hAnsiTheme="majorHAnsi"/>
          <w:sz w:val="16"/>
          <w:szCs w:val="16"/>
          <w:lang w:val="es-MX"/>
        </w:rPr>
        <w:t xml:space="preserve">allanadas, muchas de las cuales no forman parte del presente caso. Los siguientes constituyen ejemplos de algunos allanamientos a radios comunitarias en Guatemala: 1) el ocurrido el 7 de julio de 2006 a Radio Ixchel, del pueblo maya de Kaqchikel de Sumpango, en Sacatepéquez; 2) el de 2008 a Radio San Pedro, de San Pedro en Solalá; 3) el del 8 de diciembre de 2009 a Radio San Juan, de Comalpa en Chimaltenango; 4) el de 8 de mayo de 2012 a la Radio Uqul Tinamit, de San Miguel Chicaj en Baja Verapaz; 5) el de 11 de octubre de 2012 a la Radio Doble Vía, de San Mateo en Quetzaltenengo; 6) el de 15 de noviembre de 2012 y 21 de noviembre de 2013 a la Radio Damasco de San Pablo, en San Marcos; 7) el de 27 de febrero de 2014 a la Radio San José de San Pedro, en San Marcos; 8) el de 9 de diciembre de 2014 a Radio Juventud, de Patzicia en Chimaltenango; 9) el de 20 de enero de 2015 a la Radio Snuq’Jolom Konob, de Santa Eulalia, en Huehuetenango; 10) el de 25 de febrero de 2015 a la Radio Ixmukane, de Santa Cruz del Quiche, en Quiche; 11) el de 25 de febrero de 2015 a la Radio Swan Tinamit, de Chichicastenango, y 12) el de 16 de septiembre de 2015 a la Radio Restauración, de Chimaltenango. Al menos 6 de estas radios comunitarias no transmiten su programación actualmente y 6 interrumpieron sus transmisiones por cierto tiempo para luego volver al aire. En cada uno de los 12 allanamientos se registró decomiso de equipos de trabajo para la transmisión y en al menos 4 de ellos, alguno de los voluntarios y/o empleados fueron detenidos. La parte peticionaria solicitó medidas cautelares para ocho de estas radios, las cuales no forman parte de este caso. Véase también, </w:t>
      </w:r>
      <w:r w:rsidRPr="00EA33F1">
        <w:rPr>
          <w:rFonts w:asciiTheme="majorHAnsi" w:hAnsiTheme="majorHAnsi"/>
          <w:sz w:val="16"/>
          <w:szCs w:val="16"/>
          <w:lang w:val="es-CO"/>
        </w:rPr>
        <w:t xml:space="preserve">CIDH. Justicia e inclusión social: Los desafíos de la democracia en Guatemala. Capítulo VII: La situación de la libertad de expresión. </w:t>
      </w:r>
      <w:r w:rsidRPr="00EA33F1">
        <w:rPr>
          <w:rFonts w:asciiTheme="majorHAnsi" w:hAnsiTheme="majorHAnsi"/>
          <w:sz w:val="16"/>
          <w:szCs w:val="16"/>
          <w:lang w:val="es-MX"/>
        </w:rPr>
        <w:t xml:space="preserve">OEA/Ser.L/V/II. 118. Doc. 5 rev. 2, 29 de diciembre de 2003. Párrs. 412 y ss. Disponible en: </w:t>
      </w:r>
      <w:hyperlink r:id="rId6" w:history="1">
        <w:r w:rsidRPr="00EA33F1">
          <w:rPr>
            <w:rStyle w:val="Hyperlink"/>
            <w:rFonts w:asciiTheme="majorHAnsi" w:hAnsiTheme="majorHAnsi"/>
            <w:sz w:val="16"/>
            <w:szCs w:val="16"/>
            <w:lang w:val="es-PE"/>
          </w:rPr>
          <w:t>http://www.cidh.org/countryrep/Guatemala2003sp/indice.htm</w:t>
        </w:r>
      </w:hyperlink>
      <w:r w:rsidRPr="00EA33F1">
        <w:rPr>
          <w:rFonts w:asciiTheme="majorHAnsi" w:hAnsiTheme="majorHAnsi"/>
          <w:sz w:val="16"/>
          <w:szCs w:val="16"/>
          <w:lang w:val="es-MX"/>
        </w:rPr>
        <w:t xml:space="preserve">; Informe </w:t>
      </w:r>
      <w:r w:rsidRPr="00EA33F1">
        <w:rPr>
          <w:rFonts w:asciiTheme="majorHAnsi" w:hAnsiTheme="majorHAnsi"/>
          <w:sz w:val="16"/>
          <w:szCs w:val="16"/>
          <w:lang w:val="es-ES"/>
        </w:rPr>
        <w:t xml:space="preserve">Situación de los derechos humanos en </w:t>
      </w:r>
      <w:r w:rsidRPr="00EA33F1">
        <w:rPr>
          <w:rFonts w:asciiTheme="majorHAnsi" w:hAnsiTheme="majorHAnsi"/>
          <w:sz w:val="16"/>
          <w:szCs w:val="16"/>
          <w:lang w:val="es-MX"/>
        </w:rPr>
        <w:t xml:space="preserve">Guatemala. OEA/Ser.L/V/II. Doc. 43/15, 31 de diciembre de 2015. Párrs. 302 y ss., e </w:t>
      </w:r>
      <w:r w:rsidRPr="00EA33F1">
        <w:rPr>
          <w:rFonts w:asciiTheme="majorHAnsi" w:hAnsiTheme="majorHAnsi"/>
          <w:sz w:val="16"/>
          <w:szCs w:val="16"/>
          <w:lang w:val="es-ES"/>
        </w:rPr>
        <w:t xml:space="preserve">Informe Situación de los derechos humanos en </w:t>
      </w:r>
      <w:r w:rsidRPr="00EA33F1">
        <w:rPr>
          <w:rFonts w:asciiTheme="majorHAnsi" w:hAnsiTheme="majorHAnsi"/>
          <w:sz w:val="16"/>
          <w:szCs w:val="16"/>
          <w:lang w:val="es-MX"/>
        </w:rPr>
        <w:t>Guatemala. OEA/Ser.L/V/II. Doc. 208/17, 31 de diciembre de 2017. Párrs 293 y ss.</w:t>
      </w:r>
    </w:p>
  </w:footnote>
  <w:footnote w:id="22">
    <w:p w14:paraId="2B15F503" w14:textId="77777777" w:rsidR="00B95258" w:rsidRPr="00EA33F1" w:rsidRDefault="00B95258" w:rsidP="00EA33F1">
      <w:pPr>
        <w:jc w:val="both"/>
        <w:rPr>
          <w:rFonts w:asciiTheme="majorHAnsi" w:hAnsiTheme="majorHAnsi"/>
          <w:sz w:val="16"/>
          <w:szCs w:val="16"/>
          <w:lang w:val="es-CO"/>
        </w:rPr>
      </w:pPr>
      <w:r w:rsidRPr="00EA33F1">
        <w:rPr>
          <w:rStyle w:val="FootnoteReference"/>
          <w:rFonts w:asciiTheme="majorHAnsi" w:hAnsiTheme="majorHAnsi"/>
          <w:sz w:val="16"/>
          <w:szCs w:val="16"/>
        </w:rPr>
        <w:footnoteRef/>
      </w:r>
      <w:r w:rsidRPr="00EA33F1">
        <w:rPr>
          <w:rFonts w:asciiTheme="majorHAnsi" w:hAnsiTheme="majorHAnsi"/>
          <w:sz w:val="16"/>
          <w:szCs w:val="16"/>
          <w:lang w:val="es-PE"/>
        </w:rPr>
        <w:t xml:space="preserve"> </w:t>
      </w:r>
      <w:r w:rsidRPr="00EA33F1">
        <w:rPr>
          <w:rFonts w:asciiTheme="majorHAnsi" w:hAnsiTheme="majorHAnsi"/>
          <w:sz w:val="16"/>
          <w:szCs w:val="16"/>
          <w:lang w:val="es-CO"/>
        </w:rPr>
        <w:t xml:space="preserve">CIDH. Justicia e inclusión social: Los desafíos de la democracia en Guatemala. Capítulo VII: La situación de la libertad de expresión. </w:t>
      </w:r>
      <w:r w:rsidRPr="00EA33F1">
        <w:rPr>
          <w:rFonts w:asciiTheme="majorHAnsi" w:hAnsiTheme="majorHAnsi"/>
          <w:sz w:val="16"/>
          <w:szCs w:val="16"/>
          <w:lang w:val="es-MX"/>
        </w:rPr>
        <w:t xml:space="preserve">OEA/Ser.L/V/II. 118. Doc. 5 rev. 2, 29 de diciembre de 2003. Párrs. 412 y ss.; Informe </w:t>
      </w:r>
      <w:r w:rsidRPr="00EA33F1">
        <w:rPr>
          <w:rFonts w:asciiTheme="majorHAnsi" w:hAnsiTheme="majorHAnsi"/>
          <w:sz w:val="16"/>
          <w:szCs w:val="16"/>
          <w:lang w:val="es-ES"/>
        </w:rPr>
        <w:t xml:space="preserve">Situación de los derechos humanos en </w:t>
      </w:r>
      <w:r w:rsidRPr="00EA33F1">
        <w:rPr>
          <w:rFonts w:asciiTheme="majorHAnsi" w:hAnsiTheme="majorHAnsi"/>
          <w:sz w:val="16"/>
          <w:szCs w:val="16"/>
          <w:lang w:val="es-MX"/>
        </w:rPr>
        <w:t xml:space="preserve">Guatemala. OEA/Ser.L/V/II. Doc. 43/15, 31 de diciembre de 2015. Párrs. 302 y ss., e </w:t>
      </w:r>
      <w:r w:rsidRPr="00EA33F1">
        <w:rPr>
          <w:rFonts w:asciiTheme="majorHAnsi" w:hAnsiTheme="majorHAnsi"/>
          <w:sz w:val="16"/>
          <w:szCs w:val="16"/>
          <w:lang w:val="es-ES"/>
        </w:rPr>
        <w:t xml:space="preserve">Informe Situación de los derechos humanos en </w:t>
      </w:r>
      <w:r w:rsidRPr="00EA33F1">
        <w:rPr>
          <w:rFonts w:asciiTheme="majorHAnsi" w:hAnsiTheme="majorHAnsi"/>
          <w:sz w:val="16"/>
          <w:szCs w:val="16"/>
          <w:lang w:val="es-MX"/>
        </w:rPr>
        <w:t>Guatemala. OEA/Ser.L/V/II. Doc. 208/17, 31 de diciembre de 2017. Párrs 293 y ss.</w:t>
      </w:r>
    </w:p>
    <w:p w14:paraId="04652D6A" w14:textId="77777777" w:rsidR="00B95258" w:rsidRPr="00EA33F1" w:rsidRDefault="00B95258" w:rsidP="00EA33F1">
      <w:pPr>
        <w:jc w:val="both"/>
        <w:rPr>
          <w:rFonts w:asciiTheme="majorHAnsi" w:hAnsiTheme="majorHAnsi"/>
          <w:sz w:val="16"/>
          <w:szCs w:val="16"/>
          <w:lang w:val="es-MX"/>
        </w:rPr>
      </w:pPr>
    </w:p>
  </w:footnote>
  <w:footnote w:id="23">
    <w:p w14:paraId="388BED43" w14:textId="77777777" w:rsidR="00B95258" w:rsidRPr="00EA33F1" w:rsidRDefault="00B95258" w:rsidP="00EA33F1">
      <w:pPr>
        <w:pStyle w:val="FootnoteText"/>
        <w:rPr>
          <w:lang w:val="es-MX"/>
        </w:rPr>
      </w:pPr>
      <w:r w:rsidRPr="00EA33F1">
        <w:rPr>
          <w:rStyle w:val="FootnoteReference"/>
        </w:rPr>
        <w:footnoteRef/>
      </w:r>
      <w:r w:rsidRPr="00EA33F1">
        <w:rPr>
          <w:lang w:val="es-MX"/>
        </w:rPr>
        <w:t xml:space="preserve"> Anexo 2. Autorización de allanamiento del Juez de primera instancia penal, narcoactividad y delitos contra el ambiente, Causa Penal 653-2006, 6 de julio de 2006. Anexo 3 a la petición inicial de 28 de septiembre de 2012. Véase también, Escrito de observaciones de fondo de la parte peticionaria de fecha 20 de diciembre de 2018.</w:t>
      </w:r>
    </w:p>
  </w:footnote>
  <w:footnote w:id="24">
    <w:p w14:paraId="6B19EE31" w14:textId="77777777" w:rsidR="00B95258" w:rsidRPr="00EA33F1" w:rsidRDefault="00B95258" w:rsidP="00EA33F1">
      <w:pPr>
        <w:pStyle w:val="FootnoteText"/>
        <w:rPr>
          <w:lang w:val="es-MX"/>
        </w:rPr>
      </w:pPr>
      <w:r w:rsidRPr="00EA33F1">
        <w:rPr>
          <w:rStyle w:val="FootnoteReference"/>
        </w:rPr>
        <w:footnoteRef/>
      </w:r>
      <w:r w:rsidRPr="00EA33F1">
        <w:rPr>
          <w:lang w:val="es-MX"/>
        </w:rPr>
        <w:t xml:space="preserve"> Anexo 3. Resolución del Juez de primera instancia penal, narcoactividad y delitos contra el ambiente por la que se declara falta de mérito en contra de Anselmo Xunic Cabrera, Causa Penal 653-2007, 20 de agosto de 2007. Anexo 4 a la petición inicial de 28 de septiembre de 2012.</w:t>
      </w:r>
    </w:p>
  </w:footnote>
  <w:footnote w:id="25">
    <w:p w14:paraId="5CD3B93F" w14:textId="77777777" w:rsidR="00B95258" w:rsidRPr="00EA33F1" w:rsidRDefault="00B95258" w:rsidP="00EA33F1">
      <w:pPr>
        <w:pStyle w:val="FootnoteText"/>
        <w:rPr>
          <w:lang w:val="es-MX"/>
        </w:rPr>
      </w:pPr>
      <w:r w:rsidRPr="00EA33F1">
        <w:rPr>
          <w:rStyle w:val="FootnoteReference"/>
        </w:rPr>
        <w:footnoteRef/>
      </w:r>
      <w:r w:rsidRPr="00EA33F1">
        <w:rPr>
          <w:lang w:val="es-MX"/>
        </w:rPr>
        <w:t xml:space="preserve"> Petición inicial de 28 de septiembre de 2012, que cita las siguientes notas: “Ausencia de legislación para radios comunitarias avala persecución de las emisoras”, 9 de mayo de 2012. Disponible en: </w:t>
      </w:r>
      <w:hyperlink r:id="rId7" w:history="1">
        <w:r w:rsidRPr="00EA33F1">
          <w:rPr>
            <w:rStyle w:val="Hyperlink"/>
            <w:lang w:val="es-MX"/>
          </w:rPr>
          <w:t>https://www.cerigua.org/article/ausencia-de-legislacion-para-radios-comunitarias-a/</w:t>
        </w:r>
      </w:hyperlink>
      <w:r w:rsidRPr="00EA33F1">
        <w:rPr>
          <w:lang w:val="es-MX"/>
        </w:rPr>
        <w:t xml:space="preserve">, y “Uqual Tinamit Community Radio Station Raided by Guatemalan Police”, 8 de mayo de 2012. Disponible en http://www.culturalsurvival.org/news/uqul-tinamit-community-radio-station-raided-guatemalan-police  </w:t>
      </w:r>
    </w:p>
  </w:footnote>
  <w:footnote w:id="26">
    <w:p w14:paraId="41769202" w14:textId="77777777" w:rsidR="00B95258" w:rsidRPr="00EA33F1" w:rsidRDefault="00B95258" w:rsidP="00EA33F1">
      <w:pPr>
        <w:pStyle w:val="FootnoteText"/>
        <w:rPr>
          <w:lang w:val="es-MX"/>
        </w:rPr>
      </w:pPr>
      <w:r w:rsidRPr="00EA33F1">
        <w:rPr>
          <w:rStyle w:val="FootnoteReference"/>
        </w:rPr>
        <w:footnoteRef/>
      </w:r>
      <w:r w:rsidRPr="00EA33F1">
        <w:rPr>
          <w:lang w:val="es-MX"/>
        </w:rPr>
        <w:t xml:space="preserve"> Escrito de la parte peticionaria de 11 de mayo de 2016.</w:t>
      </w:r>
    </w:p>
  </w:footnote>
  <w:footnote w:id="27">
    <w:p w14:paraId="7CCC34AF" w14:textId="77777777" w:rsidR="00B95258" w:rsidRPr="00EA33F1" w:rsidRDefault="00B95258" w:rsidP="00EA33F1">
      <w:pPr>
        <w:pStyle w:val="FootnoteText"/>
        <w:rPr>
          <w:lang w:val="es-MX"/>
        </w:rPr>
      </w:pPr>
      <w:r w:rsidRPr="00EA33F1">
        <w:rPr>
          <w:rStyle w:val="FootnoteReference"/>
        </w:rPr>
        <w:footnoteRef/>
      </w:r>
      <w:r w:rsidRPr="00EA33F1">
        <w:rPr>
          <w:lang w:val="es-MX"/>
        </w:rPr>
        <w:t xml:space="preserve"> Anexo 4. Iniciativa de ley No. 2621, 7 de febrero de 2012. Anexo 6 a la petición inicial de 28 de septiembre de 2012.</w:t>
      </w:r>
    </w:p>
  </w:footnote>
  <w:footnote w:id="28">
    <w:p w14:paraId="410E153C" w14:textId="77777777" w:rsidR="00B95258" w:rsidRPr="00EA33F1" w:rsidRDefault="00B95258" w:rsidP="00EA33F1">
      <w:pPr>
        <w:pStyle w:val="FootnoteText"/>
        <w:rPr>
          <w:lang w:val="es-MX"/>
        </w:rPr>
      </w:pPr>
      <w:r w:rsidRPr="00EA33F1">
        <w:rPr>
          <w:rStyle w:val="FootnoteReference"/>
        </w:rPr>
        <w:footnoteRef/>
      </w:r>
      <w:r w:rsidRPr="00EA33F1">
        <w:rPr>
          <w:lang w:val="es-MX"/>
        </w:rPr>
        <w:t xml:space="preserve"> Escrito de petición inicial de 28 de septiembre de 2012.</w:t>
      </w:r>
    </w:p>
  </w:footnote>
  <w:footnote w:id="29">
    <w:p w14:paraId="54517BC8" w14:textId="77777777" w:rsidR="00B95258" w:rsidRPr="00EA33F1" w:rsidRDefault="00B95258" w:rsidP="00EA33F1">
      <w:pPr>
        <w:pStyle w:val="FootnoteText"/>
        <w:rPr>
          <w:lang w:val="es-MX"/>
        </w:rPr>
      </w:pPr>
      <w:r w:rsidRPr="00EA33F1">
        <w:rPr>
          <w:rStyle w:val="FootnoteReference"/>
        </w:rPr>
        <w:footnoteRef/>
      </w:r>
      <w:r w:rsidRPr="00EA33F1">
        <w:rPr>
          <w:lang w:val="es-MX"/>
        </w:rPr>
        <w:t xml:space="preserve"> Escrito de observaciones del Estado de 25 de julio de 2017.</w:t>
      </w:r>
    </w:p>
  </w:footnote>
  <w:footnote w:id="30">
    <w:p w14:paraId="55069174" w14:textId="77777777" w:rsidR="00B95258" w:rsidRPr="00EA33F1" w:rsidRDefault="00B95258" w:rsidP="00EA33F1">
      <w:pPr>
        <w:pStyle w:val="FootnoteText"/>
        <w:rPr>
          <w:lang w:val="es-MX"/>
        </w:rPr>
      </w:pPr>
      <w:r w:rsidRPr="00EA33F1">
        <w:rPr>
          <w:rStyle w:val="FootnoteReference"/>
        </w:rPr>
        <w:footnoteRef/>
      </w:r>
      <w:r w:rsidRPr="00EA33F1">
        <w:rPr>
          <w:lang w:val="es-MX"/>
        </w:rPr>
        <w:t xml:space="preserve"> Anexo 5. Iniciativa de ley No. 3142, 1 de febrero de 2005. Anexo 7 a la petición inicial de 28 de septiembre de 2012.</w:t>
      </w:r>
    </w:p>
  </w:footnote>
  <w:footnote w:id="31">
    <w:p w14:paraId="7806FB42" w14:textId="77777777" w:rsidR="00B95258" w:rsidRPr="00EA33F1" w:rsidRDefault="00B95258" w:rsidP="00EA33F1">
      <w:pPr>
        <w:pStyle w:val="FootnoteText"/>
        <w:rPr>
          <w:lang w:val="es-MX"/>
        </w:rPr>
      </w:pPr>
      <w:r w:rsidRPr="00EA33F1">
        <w:rPr>
          <w:rStyle w:val="FootnoteReference"/>
        </w:rPr>
        <w:footnoteRef/>
      </w:r>
      <w:r w:rsidRPr="00EA33F1">
        <w:rPr>
          <w:lang w:val="es-MX"/>
        </w:rPr>
        <w:t xml:space="preserve"> Anexo 6. Iniciativa de ley No. 3151, 9 de febrero de 2005. Anexo 8 a la petición inicial de 28 de septiembre de 2012.</w:t>
      </w:r>
    </w:p>
  </w:footnote>
  <w:footnote w:id="32">
    <w:p w14:paraId="3EE2174D" w14:textId="77777777" w:rsidR="00B95258" w:rsidRPr="00EA33F1" w:rsidRDefault="00B95258" w:rsidP="00EA33F1">
      <w:pPr>
        <w:pStyle w:val="FootnoteText"/>
        <w:rPr>
          <w:lang w:val="es-MX"/>
        </w:rPr>
      </w:pPr>
      <w:r w:rsidRPr="00EA33F1">
        <w:rPr>
          <w:rStyle w:val="FootnoteReference"/>
        </w:rPr>
        <w:footnoteRef/>
      </w:r>
      <w:r w:rsidRPr="00EA33F1">
        <w:rPr>
          <w:lang w:val="es-MX"/>
        </w:rPr>
        <w:t xml:space="preserve"> Anexo 7. Iniciativa de ley No. 4087, 20 de agosto de 2009. Anexos 10 y 11 a la petición inicial de 28 de septiembre de 2012.</w:t>
      </w:r>
    </w:p>
  </w:footnote>
  <w:footnote w:id="33">
    <w:p w14:paraId="02A4B66C" w14:textId="77777777" w:rsidR="00B95258" w:rsidRPr="00EA33F1" w:rsidRDefault="00B95258" w:rsidP="00EA33F1">
      <w:pPr>
        <w:pStyle w:val="FootnoteText"/>
        <w:rPr>
          <w:lang w:val="es-MX"/>
        </w:rPr>
      </w:pPr>
      <w:r w:rsidRPr="00EA33F1">
        <w:rPr>
          <w:rStyle w:val="FootnoteReference"/>
        </w:rPr>
        <w:footnoteRef/>
      </w:r>
      <w:r w:rsidRPr="00EA33F1">
        <w:rPr>
          <w:lang w:val="es-MX"/>
        </w:rPr>
        <w:t xml:space="preserve"> Escrito de petición inicial de 28 de septiembre de 2012.</w:t>
      </w:r>
    </w:p>
  </w:footnote>
  <w:footnote w:id="34">
    <w:p w14:paraId="03F711B9" w14:textId="77777777" w:rsidR="00B95258" w:rsidRPr="00EA33F1" w:rsidRDefault="00B95258" w:rsidP="00EA33F1">
      <w:pPr>
        <w:pStyle w:val="FootnoteText"/>
        <w:rPr>
          <w:lang w:val="es-MX"/>
        </w:rPr>
      </w:pPr>
      <w:r w:rsidRPr="00EA33F1">
        <w:rPr>
          <w:rStyle w:val="FootnoteReference"/>
        </w:rPr>
        <w:footnoteRef/>
      </w:r>
      <w:r w:rsidRPr="00EA33F1">
        <w:rPr>
          <w:lang w:val="es-MX"/>
        </w:rPr>
        <w:t xml:space="preserve"> Anexo 8. Iniciativa de ley No. 4479, 10 de julio de 2012. Anexo 2 a la petición inicial de 28 de septiembre de 2012. </w:t>
      </w:r>
    </w:p>
  </w:footnote>
  <w:footnote w:id="35">
    <w:p w14:paraId="386F9A6F" w14:textId="77777777" w:rsidR="00B95258" w:rsidRPr="00EA33F1" w:rsidRDefault="00B95258" w:rsidP="00EA33F1">
      <w:pPr>
        <w:pStyle w:val="FootnoteText"/>
        <w:rPr>
          <w:lang w:val="es-MX"/>
        </w:rPr>
      </w:pPr>
      <w:r w:rsidRPr="00EA33F1">
        <w:rPr>
          <w:rStyle w:val="FootnoteReference"/>
        </w:rPr>
        <w:footnoteRef/>
      </w:r>
      <w:r w:rsidRPr="00EA33F1">
        <w:rPr>
          <w:lang w:val="es-MX"/>
        </w:rPr>
        <w:t xml:space="preserve"> Dictamen No. 04-2011 de la Comisión de Legislación y Puntos Constitucionales de Guatemala, 20 de noviembre de 2012. Disponible en:  </w:t>
      </w:r>
      <w:hyperlink r:id="rId8" w:history="1">
        <w:r w:rsidRPr="00EA33F1">
          <w:rPr>
            <w:rStyle w:val="Hyperlink"/>
            <w:lang w:val="es-MX"/>
          </w:rPr>
          <w:t>https://www.congreso.gob.gt/assets/uploads/info_legislativo/dictamen/1243.pdf</w:t>
        </w:r>
      </w:hyperlink>
      <w:r w:rsidRPr="00EA33F1">
        <w:rPr>
          <w:lang w:val="es-MX"/>
        </w:rPr>
        <w:t xml:space="preserve"> </w:t>
      </w:r>
    </w:p>
  </w:footnote>
  <w:footnote w:id="36">
    <w:p w14:paraId="2C8475F3" w14:textId="77777777" w:rsidR="00B95258" w:rsidRPr="00EA33F1" w:rsidRDefault="00B95258" w:rsidP="00EA33F1">
      <w:pPr>
        <w:pStyle w:val="FootnoteText"/>
        <w:rPr>
          <w:lang w:val="es-MX"/>
        </w:rPr>
      </w:pPr>
      <w:r w:rsidRPr="00EA33F1">
        <w:rPr>
          <w:rStyle w:val="FootnoteReference"/>
        </w:rPr>
        <w:footnoteRef/>
      </w:r>
      <w:r w:rsidRPr="00EA33F1">
        <w:rPr>
          <w:lang w:val="es-MX"/>
        </w:rPr>
        <w:t xml:space="preserve"> Anexo 9. Resolución de la Corte de Constitucionalidad. Expediente No. 4238-2011, Párr B VI, 14 de marzo de 2012. Anexo12 a la petición inicial de 28 de septiembre de 2012.</w:t>
      </w:r>
    </w:p>
  </w:footnote>
  <w:footnote w:id="37">
    <w:p w14:paraId="70ADA977" w14:textId="77777777" w:rsidR="00B95258" w:rsidRPr="00EA33F1" w:rsidRDefault="00B95258" w:rsidP="00EA33F1">
      <w:pPr>
        <w:pStyle w:val="FootnoteText"/>
        <w:rPr>
          <w:lang w:val="es-MX"/>
        </w:rPr>
      </w:pPr>
      <w:r w:rsidRPr="00EA33F1">
        <w:rPr>
          <w:rStyle w:val="FootnoteReference"/>
        </w:rPr>
        <w:footnoteRef/>
      </w:r>
      <w:r w:rsidRPr="00EA33F1">
        <w:rPr>
          <w:lang w:val="es-MX"/>
        </w:rPr>
        <w:t xml:space="preserve"> Anexo 9. Resolución de la Corte de Constitucionalidad. Expediente No. 4238-2011, Párr B I, 14 de marzo de 2012. Anexo 12 a la petición inicial de 28 de septiembre de 2012.</w:t>
      </w:r>
    </w:p>
  </w:footnote>
  <w:footnote w:id="38">
    <w:p w14:paraId="514B314A" w14:textId="77777777" w:rsidR="00B95258" w:rsidRPr="00EA33F1" w:rsidRDefault="00B95258" w:rsidP="00EA33F1">
      <w:pPr>
        <w:pStyle w:val="FootnoteText"/>
        <w:rPr>
          <w:lang w:val="es-MX"/>
        </w:rPr>
      </w:pPr>
      <w:r w:rsidRPr="00EA33F1">
        <w:rPr>
          <w:rStyle w:val="FootnoteReference"/>
        </w:rPr>
        <w:footnoteRef/>
      </w:r>
      <w:r w:rsidRPr="00EA33F1">
        <w:rPr>
          <w:lang w:val="es-MX"/>
        </w:rPr>
        <w:t xml:space="preserve"> Anexo 9. Resolución de la Corte de Constitucionalidad. Expediente No. 4238-2011, Párr B II, 14 de marzo de 2012. Anexo 12 a la petición inicial de 28 de septiembre de 2012.</w:t>
      </w:r>
    </w:p>
  </w:footnote>
  <w:footnote w:id="39">
    <w:p w14:paraId="4CAED5D9" w14:textId="77777777" w:rsidR="00B95258" w:rsidRPr="00EA33F1" w:rsidRDefault="00B95258" w:rsidP="00EA33F1">
      <w:pPr>
        <w:pStyle w:val="FootnoteText"/>
        <w:rPr>
          <w:lang w:val="es-MX"/>
        </w:rPr>
      </w:pPr>
      <w:r w:rsidRPr="00EA33F1">
        <w:rPr>
          <w:rStyle w:val="FootnoteReference"/>
        </w:rPr>
        <w:footnoteRef/>
      </w:r>
      <w:r w:rsidRPr="00EA33F1">
        <w:rPr>
          <w:lang w:val="es-MX"/>
        </w:rPr>
        <w:t xml:space="preserve"> Anexo 9. Resolución de la Corte de Constitucionalidad. Expediente No. 4238-2011, Párr B IV, 14 de marzo de 2012. Anexo 12 a la petición inicial de 28 de septiembre de 2012.</w:t>
      </w:r>
    </w:p>
  </w:footnote>
  <w:footnote w:id="40">
    <w:p w14:paraId="6A4ECA3C" w14:textId="77777777" w:rsidR="00B95258" w:rsidRPr="00EA33F1" w:rsidRDefault="00B95258" w:rsidP="00EA33F1">
      <w:pPr>
        <w:pStyle w:val="FootnoteText"/>
        <w:rPr>
          <w:i/>
          <w:lang w:val="es-MX"/>
        </w:rPr>
      </w:pPr>
      <w:r w:rsidRPr="00EA33F1">
        <w:rPr>
          <w:rStyle w:val="FootnoteReference"/>
        </w:rPr>
        <w:footnoteRef/>
      </w:r>
      <w:r w:rsidRPr="00EA33F1">
        <w:rPr>
          <w:lang w:val="es-MX"/>
        </w:rPr>
        <w:t xml:space="preserve"> Anexo 9. Resolución de la Corte de Constitucionalidad. Expediente No. 4238-2011, Considerando IV Párr. V y VI, 14 de marzo de 2012. Anexo 12 a la petición inicial de 28 de septiembre de 2012.</w:t>
      </w:r>
    </w:p>
  </w:footnote>
  <w:footnote w:id="41">
    <w:p w14:paraId="6BB148EB" w14:textId="77777777" w:rsidR="00B95258" w:rsidRPr="00EA33F1" w:rsidRDefault="00B95258" w:rsidP="00EA33F1">
      <w:pPr>
        <w:pStyle w:val="FootnoteText"/>
        <w:rPr>
          <w:color w:val="auto"/>
          <w:lang w:val="es-MX"/>
        </w:rPr>
      </w:pPr>
      <w:r w:rsidRPr="00EA33F1">
        <w:rPr>
          <w:rStyle w:val="FootnoteReference"/>
        </w:rPr>
        <w:footnoteRef/>
      </w:r>
      <w:r w:rsidRPr="00EA33F1">
        <w:rPr>
          <w:lang w:val="es-PE"/>
        </w:rPr>
        <w:t xml:space="preserve"> </w:t>
      </w:r>
      <w:r w:rsidRPr="00EA33F1">
        <w:rPr>
          <w:color w:val="auto"/>
          <w:lang w:val="es-MX"/>
        </w:rPr>
        <w:t>El artículo 13 de la Convención Americana dispone en lo pertinente que:</w:t>
      </w:r>
    </w:p>
    <w:p w14:paraId="0B475982" w14:textId="77777777" w:rsidR="00B95258" w:rsidRPr="00EA33F1" w:rsidRDefault="00B95258" w:rsidP="00EA33F1">
      <w:pPr>
        <w:pStyle w:val="FootnoteText"/>
        <w:rPr>
          <w:color w:val="auto"/>
          <w:lang w:val="es-MX"/>
        </w:rPr>
      </w:pPr>
      <w:r w:rsidRPr="00EA33F1">
        <w:rPr>
          <w:color w:val="auto"/>
          <w:lang w:val="es-MX"/>
        </w:rPr>
        <w:t>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p w14:paraId="4B4186B3" w14:textId="77777777" w:rsidR="00B95258" w:rsidRPr="00EA33F1" w:rsidRDefault="00B95258" w:rsidP="00EA33F1">
      <w:pPr>
        <w:pStyle w:val="FootnoteText"/>
        <w:rPr>
          <w:color w:val="auto"/>
          <w:lang w:val="es-MX"/>
        </w:rPr>
      </w:pPr>
      <w:r w:rsidRPr="00EA33F1">
        <w:rPr>
          <w:color w:val="auto"/>
          <w:lang w:val="es-MX"/>
        </w:rPr>
        <w:t>2. El ejercicio del derecho previsto en el inciso precedente no puede estar sujeto a previa censura sino a responsabilidades ulteriores, las que deben estar expresamente fijadas por la ley y ser necesarias para asegurar:</w:t>
      </w:r>
    </w:p>
    <w:p w14:paraId="2BD95CE4" w14:textId="77777777" w:rsidR="00B95258" w:rsidRPr="00EA33F1" w:rsidRDefault="00B95258" w:rsidP="00EA33F1">
      <w:pPr>
        <w:pStyle w:val="FootnoteText"/>
        <w:rPr>
          <w:color w:val="auto"/>
          <w:lang w:val="es-MX"/>
        </w:rPr>
      </w:pPr>
      <w:r w:rsidRPr="00EA33F1">
        <w:rPr>
          <w:color w:val="auto"/>
          <w:lang w:val="es-MX"/>
        </w:rPr>
        <w:t>a. el respeto a los derechos o a la reputación de los demás, o</w:t>
      </w:r>
    </w:p>
    <w:p w14:paraId="4CCD64D4" w14:textId="77777777" w:rsidR="00B95258" w:rsidRPr="00EA33F1" w:rsidRDefault="00B95258" w:rsidP="00EA33F1">
      <w:pPr>
        <w:pStyle w:val="FootnoteText"/>
        <w:rPr>
          <w:color w:val="auto"/>
          <w:lang w:val="es-MX"/>
        </w:rPr>
      </w:pPr>
      <w:r w:rsidRPr="00EA33F1">
        <w:rPr>
          <w:color w:val="auto"/>
          <w:lang w:val="es-MX"/>
        </w:rPr>
        <w:t>b. la protección de la seguridad nacional, el orden público o la salud o la moral públicas.</w:t>
      </w:r>
    </w:p>
    <w:p w14:paraId="7EA1F639" w14:textId="77777777" w:rsidR="00B95258" w:rsidRPr="00EA33F1" w:rsidRDefault="00B95258" w:rsidP="00EA33F1">
      <w:pPr>
        <w:pStyle w:val="FootnoteText"/>
        <w:rPr>
          <w:color w:val="auto"/>
          <w:lang w:val="es-MX"/>
        </w:rPr>
      </w:pPr>
      <w:r w:rsidRPr="00EA33F1">
        <w:rPr>
          <w:color w:val="auto"/>
          <w:lang w:val="es-MX"/>
        </w:rPr>
        <w:t>3. No se puede restringir el derecho de expresión por vías o medios indirectos, tales como el abuso de controles oficiales o particulares de papel para periódicos, de frecuencias radioeléctricas, o de enseres y aparatos usados en la difusión de información o por cualesquiera otros medios encaminados a impedir la comunicación y la circulación de ideas y opiniones.</w:t>
      </w:r>
    </w:p>
    <w:p w14:paraId="266FE76A" w14:textId="77777777" w:rsidR="00B95258" w:rsidRPr="00EA33F1" w:rsidRDefault="00B95258" w:rsidP="00EA33F1">
      <w:pPr>
        <w:pStyle w:val="FootnoteText"/>
        <w:rPr>
          <w:lang w:val="es-PE"/>
        </w:rPr>
      </w:pPr>
      <w:r w:rsidRPr="00EA33F1">
        <w:rPr>
          <w:color w:val="auto"/>
          <w:lang w:val="es-MX"/>
        </w:rPr>
        <w:t>[…]</w:t>
      </w:r>
    </w:p>
  </w:footnote>
  <w:footnote w:id="42">
    <w:p w14:paraId="2E0D86FB"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El </w:t>
      </w:r>
      <w:r w:rsidRPr="00EA33F1">
        <w:rPr>
          <w:bdr w:val="none" w:sz="0" w:space="0" w:color="auto" w:frame="1"/>
          <w:lang w:val="es-MX"/>
        </w:rPr>
        <w:t xml:space="preserve">artículo 24 </w:t>
      </w:r>
      <w:r w:rsidRPr="00EA33F1">
        <w:rPr>
          <w:lang w:val="es-MX"/>
        </w:rPr>
        <w:t>de la Convención Americana dispone que</w:t>
      </w:r>
      <w:r w:rsidRPr="00EA33F1">
        <w:rPr>
          <w:bdr w:val="none" w:sz="0" w:space="0" w:color="auto" w:frame="1"/>
          <w:lang w:val="es-MX"/>
        </w:rPr>
        <w:t xml:space="preserve">: </w:t>
      </w:r>
      <w:r w:rsidRPr="00EA33F1">
        <w:rPr>
          <w:rFonts w:cs="Tahoma"/>
          <w:lang w:val="es-PE"/>
        </w:rPr>
        <w:t>Todas las personas son iguales ante la ley.  En consecuencia, tienen derecho, sin discriminación, a igual protección de la ley.</w:t>
      </w:r>
    </w:p>
  </w:footnote>
  <w:footnote w:id="43">
    <w:p w14:paraId="58000ADF"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El </w:t>
      </w:r>
      <w:r w:rsidRPr="00EA33F1">
        <w:rPr>
          <w:bdr w:val="none" w:sz="0" w:space="0" w:color="auto" w:frame="1"/>
          <w:lang w:val="es-MX"/>
        </w:rPr>
        <w:t xml:space="preserve">artículo 26 </w:t>
      </w:r>
      <w:r w:rsidRPr="00EA33F1">
        <w:rPr>
          <w:lang w:val="es-MX"/>
        </w:rPr>
        <w:t>de la Convención Americana dispone que</w:t>
      </w:r>
      <w:r w:rsidRPr="00EA33F1">
        <w:rPr>
          <w:bdr w:val="none" w:sz="0" w:space="0" w:color="auto" w:frame="1"/>
          <w:lang w:val="es-MX"/>
        </w:rPr>
        <w:t xml:space="preserve">: </w:t>
      </w:r>
      <w:r w:rsidRPr="00EA33F1">
        <w:rPr>
          <w:rFonts w:cs="Tahoma"/>
          <w:lang w:val="es-PE"/>
        </w:rPr>
        <w:t>Los Estados parte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w:t>
      </w:r>
    </w:p>
  </w:footnote>
  <w:footnote w:id="44">
    <w:p w14:paraId="14ADF5FD" w14:textId="77777777" w:rsidR="00B95258" w:rsidRPr="00EA33F1" w:rsidRDefault="00B95258" w:rsidP="00EA33F1">
      <w:pPr>
        <w:pStyle w:val="FootnoteText"/>
        <w:rPr>
          <w:lang w:val="es-PE"/>
        </w:rPr>
      </w:pPr>
      <w:r w:rsidRPr="00EA33F1">
        <w:rPr>
          <w:rStyle w:val="FootnoteReference"/>
        </w:rPr>
        <w:footnoteRef/>
      </w:r>
      <w:r w:rsidRPr="00EA33F1">
        <w:rPr>
          <w:rStyle w:val="FootnoteReference"/>
        </w:rPr>
        <w:footnoteRef/>
      </w:r>
      <w:r w:rsidRPr="00EA33F1">
        <w:rPr>
          <w:lang w:val="es-PE"/>
        </w:rPr>
        <w:t xml:space="preserve"> </w:t>
      </w:r>
      <w:r w:rsidRPr="00EA33F1">
        <w:rPr>
          <w:color w:val="auto"/>
          <w:lang w:val="es-PE"/>
        </w:rPr>
        <w:t xml:space="preserve">El </w:t>
      </w:r>
      <w:r w:rsidRPr="00EA33F1">
        <w:rPr>
          <w:color w:val="auto"/>
          <w:bdr w:val="none" w:sz="0" w:space="0" w:color="auto" w:frame="1"/>
          <w:lang w:val="es-MX"/>
        </w:rPr>
        <w:t xml:space="preserve">artículo 1.1 </w:t>
      </w:r>
      <w:r w:rsidRPr="00EA33F1">
        <w:rPr>
          <w:color w:val="auto"/>
          <w:lang w:val="es-MX"/>
        </w:rPr>
        <w:t>de la Convención Americana dispone que</w:t>
      </w:r>
      <w:r w:rsidRPr="00EA33F1">
        <w:rPr>
          <w:color w:val="auto"/>
          <w:bdr w:val="none" w:sz="0" w:space="0" w:color="auto" w:frame="1"/>
          <w:lang w:val="es-MX"/>
        </w:rPr>
        <w:t xml:space="preserve">: </w:t>
      </w:r>
      <w:r w:rsidRPr="00EA33F1">
        <w:rPr>
          <w:rFonts w:eastAsia="Batang"/>
          <w:color w:val="auto"/>
          <w:bdr w:val="none" w:sz="0" w:space="0" w:color="auto" w:frame="1"/>
          <w:lang w:val="es-ES_tradnl"/>
        </w:rPr>
        <w:t>Los Estados parte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45">
    <w:p w14:paraId="70C2B0BE"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El </w:t>
      </w:r>
      <w:r w:rsidRPr="00EA33F1">
        <w:rPr>
          <w:bdr w:val="none" w:sz="0" w:space="0" w:color="auto" w:frame="1"/>
          <w:lang w:val="es-MX"/>
        </w:rPr>
        <w:t xml:space="preserve">artículo 2 </w:t>
      </w:r>
      <w:r w:rsidRPr="00EA33F1">
        <w:rPr>
          <w:lang w:val="es-MX"/>
        </w:rPr>
        <w:t>de la Convención Americana dispone que</w:t>
      </w:r>
      <w:r w:rsidRPr="00EA33F1">
        <w:rPr>
          <w:bdr w:val="none" w:sz="0" w:space="0" w:color="auto" w:frame="1"/>
          <w:lang w:val="es-MX"/>
        </w:rPr>
        <w:t xml:space="preserve">: </w:t>
      </w:r>
      <w:r w:rsidRPr="00EA33F1">
        <w:rPr>
          <w:rFonts w:cs="Tahoma"/>
          <w:lang w:val="es-PE"/>
        </w:rPr>
        <w:t>Si el ejercicio de los derechos y libertades mencionados en el artículo 1 no estuviere ya garantizado por disposiciones legislativas o de otro carácter, los Estados parte se comprometen a adoptar, con arreglo a sus procedimientos constitucionales y a las disposiciones de esta Convención, las medidas legislativas o de otro carácter que fueren necesarias para hacer efectivos tales derechos y libertades.</w:t>
      </w:r>
    </w:p>
  </w:footnote>
  <w:footnote w:id="46">
    <w:p w14:paraId="78034DF3"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w:t>
      </w:r>
      <w:r w:rsidRPr="00EA33F1">
        <w:rPr>
          <w:lang w:val="es-ES_tradnl"/>
        </w:rPr>
        <w:t xml:space="preserve">Corte IDH. </w:t>
      </w:r>
      <w:r w:rsidRPr="00EA33F1">
        <w:rPr>
          <w:i/>
          <w:iCs/>
          <w:lang w:val="es-ES_tradnl"/>
        </w:rPr>
        <w:t>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 A y B del Protocolo de San Salvador).</w:t>
      </w:r>
      <w:r w:rsidRPr="00EA33F1">
        <w:rPr>
          <w:lang w:val="es-ES_tradnl"/>
        </w:rPr>
        <w:t xml:space="preserve"> Opinión Consultiva OC-22/16 de 26 de febrero de 2016. Serie A No. 22. Párr. 75.</w:t>
      </w:r>
    </w:p>
  </w:footnote>
  <w:footnote w:id="47">
    <w:p w14:paraId="31D256E5" w14:textId="77777777" w:rsidR="00B95258" w:rsidRPr="00EA33F1" w:rsidRDefault="00B95258" w:rsidP="00EA33F1">
      <w:pPr>
        <w:jc w:val="both"/>
        <w:rPr>
          <w:rFonts w:asciiTheme="majorHAnsi" w:hAnsiTheme="majorHAnsi"/>
          <w:sz w:val="16"/>
          <w:szCs w:val="16"/>
          <w:lang w:val="es-ES"/>
        </w:rPr>
      </w:pPr>
      <w:r w:rsidRPr="00EA33F1">
        <w:rPr>
          <w:rStyle w:val="FootnoteReference"/>
          <w:rFonts w:asciiTheme="majorHAnsi" w:hAnsiTheme="majorHAnsi"/>
          <w:sz w:val="16"/>
          <w:szCs w:val="16"/>
        </w:rPr>
        <w:footnoteRef/>
      </w:r>
      <w:r w:rsidRPr="00EA33F1">
        <w:rPr>
          <w:rFonts w:asciiTheme="majorHAnsi" w:hAnsiTheme="majorHAnsi"/>
          <w:sz w:val="16"/>
          <w:szCs w:val="16"/>
          <w:lang w:val="es-ES"/>
        </w:rPr>
        <w:t xml:space="preserve"> Corte IDH. </w:t>
      </w:r>
      <w:r w:rsidRPr="00EA33F1">
        <w:rPr>
          <w:rFonts w:asciiTheme="majorHAnsi" w:hAnsiTheme="majorHAnsi"/>
          <w:i/>
          <w:sz w:val="16"/>
          <w:szCs w:val="16"/>
          <w:lang w:val="es-ES"/>
        </w:rPr>
        <w:t>La Colegiación Obligatoria de Periodistas (Arts. 13 y 29 de la Convención Americana sobre Derechos Humanos).</w:t>
      </w:r>
      <w:r w:rsidRPr="00EA33F1">
        <w:rPr>
          <w:rFonts w:asciiTheme="majorHAnsi" w:hAnsiTheme="majorHAnsi"/>
          <w:sz w:val="16"/>
          <w:szCs w:val="16"/>
          <w:lang w:val="es-ES"/>
        </w:rPr>
        <w:t xml:space="preserve"> Opinión Consultiva OC-5/85 de 13 de noviembre de 1985. Serie A No. 5. Párr. 30, y </w:t>
      </w:r>
      <w:r w:rsidRPr="00EA33F1">
        <w:rPr>
          <w:rFonts w:asciiTheme="majorHAnsi" w:hAnsiTheme="majorHAnsi"/>
          <w:i/>
          <w:sz w:val="16"/>
          <w:szCs w:val="16"/>
          <w:lang w:val="es-ES"/>
        </w:rPr>
        <w:t>Caso Mémoli Vs. Argentina.</w:t>
      </w:r>
      <w:r w:rsidRPr="00EA33F1">
        <w:rPr>
          <w:rFonts w:asciiTheme="majorHAnsi" w:hAnsiTheme="majorHAnsi"/>
          <w:sz w:val="16"/>
          <w:szCs w:val="16"/>
          <w:lang w:val="es-ES"/>
        </w:rPr>
        <w:t xml:space="preserve"> Excepciones Preliminares, </w:t>
      </w:r>
      <w:r w:rsidRPr="00EA33F1">
        <w:rPr>
          <w:rFonts w:asciiTheme="majorHAnsi" w:hAnsiTheme="majorHAnsi"/>
          <w:spacing w:val="-2"/>
          <w:sz w:val="16"/>
          <w:szCs w:val="16"/>
          <w:lang w:val="es-PE"/>
        </w:rPr>
        <w:t>Fondo, Reparaciones y Costas. Sentencia de 22 de agosto de 2013. Serie C No. 265</w:t>
      </w:r>
      <w:r w:rsidRPr="00EA33F1">
        <w:rPr>
          <w:rFonts w:asciiTheme="majorHAnsi" w:hAnsiTheme="majorHAnsi"/>
          <w:sz w:val="16"/>
          <w:szCs w:val="16"/>
          <w:lang w:val="es-PE"/>
        </w:rPr>
        <w:t>. Párr. 119</w:t>
      </w:r>
      <w:r w:rsidRPr="00EA33F1">
        <w:rPr>
          <w:rFonts w:asciiTheme="majorHAnsi" w:hAnsiTheme="majorHAnsi"/>
          <w:sz w:val="16"/>
          <w:szCs w:val="16"/>
          <w:lang w:val="es-ES"/>
        </w:rPr>
        <w:t xml:space="preserve">. CIDH. Informe No. 82/10. Caso 12.524. Fondo. Jorge Fontevecchia y Hector d’Amico. Argentina. 13 de julio de 2010. Párr. 86. </w:t>
      </w:r>
    </w:p>
  </w:footnote>
  <w:footnote w:id="48">
    <w:p w14:paraId="6D5C4D28"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CIDH. Informe No. 82/10. Caso 12.524. Fondo. Jorge Fontevecchia y Hector d’Amico. Argentina. 13 de julio de 2010. Párr. 85, e Informe No. 112/12. Caso 12.828. Fondo. Marcel Granier y otros. Venezuela. 9 de noviembre de 2012. Párr. 115.</w:t>
      </w:r>
    </w:p>
  </w:footnote>
  <w:footnote w:id="49">
    <w:p w14:paraId="0908D9B1" w14:textId="77777777" w:rsidR="00B95258" w:rsidRPr="00EA33F1" w:rsidRDefault="00B95258" w:rsidP="00EA33F1">
      <w:pPr>
        <w:pStyle w:val="FootnoteText"/>
        <w:tabs>
          <w:tab w:val="left" w:pos="567"/>
        </w:tabs>
        <w:rPr>
          <w:rFonts w:cs="Times New Roman"/>
          <w:color w:val="auto"/>
          <w:spacing w:val="-2"/>
          <w:lang w:val="es-PE"/>
        </w:rPr>
      </w:pPr>
      <w:r w:rsidRPr="00EA33F1">
        <w:rPr>
          <w:rStyle w:val="FootnoteReference"/>
          <w:rFonts w:eastAsia="Batang" w:cs="Times New Roman"/>
          <w:color w:val="auto"/>
          <w:spacing w:val="-2"/>
        </w:rPr>
        <w:footnoteRef/>
      </w:r>
      <w:r w:rsidRPr="00EA33F1">
        <w:rPr>
          <w:color w:val="auto"/>
          <w:spacing w:val="-2"/>
          <w:lang w:val="es-PE"/>
        </w:rPr>
        <w:t xml:space="preserve"> Corte IDH.</w:t>
      </w:r>
      <w:r w:rsidRPr="00EA33F1">
        <w:rPr>
          <w:i/>
          <w:iCs/>
          <w:color w:val="auto"/>
          <w:spacing w:val="-2"/>
          <w:lang w:val="es-ES"/>
        </w:rPr>
        <w:t xml:space="preserve"> La Colegiación Obligatoria de Periodistas (Arts. 13 y 29 de la Convención Americana sobre Derechos Humanos), supra</w:t>
      </w:r>
      <w:r w:rsidRPr="00EA33F1">
        <w:rPr>
          <w:color w:val="auto"/>
          <w:spacing w:val="-2"/>
          <w:lang w:val="es-ES"/>
        </w:rPr>
        <w:t xml:space="preserve">. Párrs. 30 al 33, y </w:t>
      </w:r>
      <w:r w:rsidRPr="00EA33F1">
        <w:rPr>
          <w:i/>
          <w:color w:val="auto"/>
          <w:spacing w:val="-2"/>
          <w:lang w:val="es-ES"/>
        </w:rPr>
        <w:t>Caso Vélez Restrepo y familiares Vs. Colombia</w:t>
      </w:r>
      <w:r w:rsidRPr="00EA33F1">
        <w:rPr>
          <w:color w:val="auto"/>
          <w:spacing w:val="-2"/>
          <w:lang w:val="es-ES"/>
        </w:rPr>
        <w:t xml:space="preserve">. </w:t>
      </w:r>
      <w:r w:rsidRPr="00EA33F1">
        <w:rPr>
          <w:lang w:val="es-ES"/>
        </w:rPr>
        <w:t xml:space="preserve">Excepción Preliminar, </w:t>
      </w:r>
      <w:r w:rsidRPr="00EA33F1">
        <w:rPr>
          <w:spacing w:val="-2"/>
          <w:lang w:val="es-PE"/>
        </w:rPr>
        <w:t>Fondo, Reparaciones y Costas. Sentencia de 3 de septiembre de 2012. Serie C No. 248</w:t>
      </w:r>
      <w:r w:rsidRPr="00EA33F1">
        <w:rPr>
          <w:lang w:val="es-PE"/>
        </w:rPr>
        <w:t xml:space="preserve">. </w:t>
      </w:r>
      <w:r w:rsidRPr="00EA33F1">
        <w:rPr>
          <w:color w:val="auto"/>
          <w:spacing w:val="-2"/>
          <w:lang w:val="es-ES"/>
        </w:rPr>
        <w:t>Párr. 137.</w:t>
      </w:r>
    </w:p>
  </w:footnote>
  <w:footnote w:id="50">
    <w:p w14:paraId="33940CFB" w14:textId="77777777" w:rsidR="00B95258" w:rsidRPr="00EA33F1" w:rsidRDefault="00B95258" w:rsidP="00EA33F1">
      <w:pPr>
        <w:pStyle w:val="FootnoteText"/>
        <w:tabs>
          <w:tab w:val="left" w:pos="567"/>
        </w:tabs>
        <w:rPr>
          <w:rFonts w:cs="Times New Roman"/>
          <w:color w:val="auto"/>
          <w:spacing w:val="-2"/>
          <w:lang w:val="es-PE"/>
        </w:rPr>
      </w:pPr>
      <w:r w:rsidRPr="00EA33F1">
        <w:rPr>
          <w:rStyle w:val="FootnoteReference"/>
          <w:rFonts w:eastAsia="Batang" w:cs="Times New Roman"/>
          <w:color w:val="auto"/>
          <w:spacing w:val="-2"/>
        </w:rPr>
        <w:footnoteRef/>
      </w:r>
      <w:r w:rsidRPr="00EA33F1">
        <w:rPr>
          <w:i/>
          <w:iCs/>
          <w:color w:val="auto"/>
          <w:spacing w:val="-2"/>
          <w:lang w:val="es-ES"/>
        </w:rPr>
        <w:t xml:space="preserve"> </w:t>
      </w:r>
      <w:r w:rsidRPr="00EA33F1">
        <w:rPr>
          <w:iCs/>
          <w:color w:val="auto"/>
          <w:spacing w:val="-2"/>
          <w:lang w:val="es-ES"/>
        </w:rPr>
        <w:t>Corte</w:t>
      </w:r>
      <w:r w:rsidRPr="00EA33F1">
        <w:rPr>
          <w:i/>
          <w:iCs/>
          <w:color w:val="auto"/>
          <w:spacing w:val="-2"/>
          <w:lang w:val="es-ES"/>
        </w:rPr>
        <w:t xml:space="preserve"> </w:t>
      </w:r>
      <w:r w:rsidRPr="00EA33F1">
        <w:rPr>
          <w:iCs/>
          <w:color w:val="auto"/>
          <w:spacing w:val="-2"/>
          <w:lang w:val="es-ES"/>
        </w:rPr>
        <w:t>IDH</w:t>
      </w:r>
      <w:r w:rsidRPr="00EA33F1">
        <w:rPr>
          <w:i/>
          <w:iCs/>
          <w:color w:val="auto"/>
          <w:spacing w:val="-2"/>
          <w:lang w:val="es-ES"/>
        </w:rPr>
        <w:t>. La Colegiación Obligatoria de Periodistas (Arts. 13 y 29 de la Convención Americana sobre Derechos Humanos), supra</w:t>
      </w:r>
      <w:r w:rsidRPr="00EA33F1">
        <w:rPr>
          <w:color w:val="auto"/>
          <w:spacing w:val="-2"/>
          <w:lang w:val="es-ES"/>
        </w:rPr>
        <w:t xml:space="preserve">. Párr. 33, y </w:t>
      </w:r>
      <w:r w:rsidRPr="00EA33F1">
        <w:rPr>
          <w:i/>
          <w:color w:val="auto"/>
          <w:spacing w:val="-2"/>
          <w:lang w:val="es-ES"/>
        </w:rPr>
        <w:t>Caso Vélez Restrepo y familiares Vs. Colombia, supra</w:t>
      </w:r>
      <w:r w:rsidRPr="00EA33F1">
        <w:rPr>
          <w:color w:val="auto"/>
          <w:spacing w:val="-2"/>
          <w:lang w:val="es-ES"/>
        </w:rPr>
        <w:t xml:space="preserve">. Párr. 137. </w:t>
      </w:r>
    </w:p>
  </w:footnote>
  <w:footnote w:id="51">
    <w:p w14:paraId="51C2BD11" w14:textId="77777777" w:rsidR="00B95258" w:rsidRPr="00EA33F1" w:rsidRDefault="00B95258" w:rsidP="00EA33F1">
      <w:pPr>
        <w:jc w:val="both"/>
        <w:rPr>
          <w:rFonts w:asciiTheme="majorHAnsi" w:hAnsiTheme="majorHAnsi"/>
          <w:sz w:val="16"/>
          <w:szCs w:val="16"/>
          <w:lang w:val="es-PE"/>
        </w:rPr>
      </w:pPr>
      <w:r w:rsidRPr="00EA33F1">
        <w:rPr>
          <w:rStyle w:val="FootnoteReference"/>
          <w:rFonts w:asciiTheme="majorHAnsi" w:hAnsiTheme="majorHAnsi"/>
          <w:sz w:val="16"/>
          <w:szCs w:val="16"/>
        </w:rPr>
        <w:footnoteRef/>
      </w:r>
      <w:r w:rsidRPr="00EA33F1">
        <w:rPr>
          <w:rFonts w:asciiTheme="majorHAnsi" w:hAnsiTheme="majorHAnsi"/>
          <w:sz w:val="16"/>
          <w:szCs w:val="16"/>
          <w:lang w:val="es-PE"/>
        </w:rPr>
        <w:t xml:space="preserve"> </w:t>
      </w:r>
      <w:r w:rsidRPr="00EA33F1">
        <w:rPr>
          <w:rFonts w:asciiTheme="majorHAnsi" w:hAnsiTheme="majorHAnsi"/>
          <w:sz w:val="16"/>
          <w:szCs w:val="16"/>
          <w:lang w:val="es-ES"/>
        </w:rPr>
        <w:t xml:space="preserve">Corte IDH. </w:t>
      </w:r>
      <w:r w:rsidRPr="00EA33F1">
        <w:rPr>
          <w:rFonts w:asciiTheme="majorHAnsi" w:hAnsiTheme="majorHAnsi"/>
          <w:i/>
          <w:sz w:val="16"/>
          <w:szCs w:val="16"/>
          <w:lang w:val="es-ES"/>
        </w:rPr>
        <w:t>La Colegiación Obligatoria de Periodistas (Arts. 13 y 29 de la Convención Americana sobre Derechos Humanos)</w:t>
      </w:r>
      <w:r w:rsidRPr="00EA33F1">
        <w:rPr>
          <w:rFonts w:asciiTheme="majorHAnsi" w:hAnsiTheme="majorHAnsi"/>
          <w:sz w:val="16"/>
          <w:szCs w:val="16"/>
          <w:lang w:val="es-ES"/>
        </w:rPr>
        <w:t>, s</w:t>
      </w:r>
      <w:r w:rsidRPr="00EA33F1">
        <w:rPr>
          <w:rFonts w:asciiTheme="majorHAnsi" w:hAnsiTheme="majorHAnsi"/>
          <w:i/>
          <w:sz w:val="16"/>
          <w:szCs w:val="16"/>
          <w:lang w:val="es-ES"/>
        </w:rPr>
        <w:t>upra</w:t>
      </w:r>
      <w:r w:rsidRPr="00EA33F1">
        <w:rPr>
          <w:rFonts w:asciiTheme="majorHAnsi" w:hAnsiTheme="majorHAnsi"/>
          <w:sz w:val="16"/>
          <w:szCs w:val="16"/>
          <w:lang w:val="es-ES"/>
        </w:rPr>
        <w:t>. Párr. 31.</w:t>
      </w:r>
    </w:p>
  </w:footnote>
  <w:footnote w:id="52">
    <w:p w14:paraId="36DC24BF" w14:textId="77777777" w:rsidR="00B95258" w:rsidRPr="00EA33F1" w:rsidRDefault="00B95258" w:rsidP="00EA33F1">
      <w:pPr>
        <w:jc w:val="both"/>
        <w:rPr>
          <w:rFonts w:asciiTheme="majorHAnsi" w:hAnsiTheme="majorHAnsi"/>
          <w:sz w:val="16"/>
          <w:szCs w:val="16"/>
          <w:lang w:val="es-ES"/>
        </w:rPr>
      </w:pPr>
      <w:r w:rsidRPr="00EA33F1">
        <w:rPr>
          <w:rStyle w:val="FootnoteReference"/>
          <w:rFonts w:asciiTheme="majorHAnsi" w:hAnsiTheme="majorHAnsi"/>
          <w:sz w:val="16"/>
          <w:szCs w:val="16"/>
        </w:rPr>
        <w:footnoteRef/>
      </w:r>
      <w:r w:rsidRPr="00EA33F1">
        <w:rPr>
          <w:rFonts w:asciiTheme="majorHAnsi" w:hAnsiTheme="majorHAnsi"/>
          <w:sz w:val="16"/>
          <w:szCs w:val="16"/>
          <w:lang w:val="es-PE"/>
        </w:rPr>
        <w:t xml:space="preserve"> Corte IDH. </w:t>
      </w:r>
      <w:r w:rsidRPr="00EA33F1">
        <w:rPr>
          <w:rFonts w:asciiTheme="majorHAnsi" w:hAnsiTheme="majorHAnsi"/>
          <w:i/>
          <w:sz w:val="16"/>
          <w:szCs w:val="16"/>
          <w:lang w:val="es-PE"/>
        </w:rPr>
        <w:t xml:space="preserve">La Colegiación Obligatoria de Periodistas (Arts. 13 y 29 de la Convención Americana sobre Derechos </w:t>
      </w:r>
      <w:r w:rsidRPr="00EA33F1">
        <w:rPr>
          <w:rFonts w:asciiTheme="majorHAnsi" w:hAnsiTheme="majorHAnsi"/>
          <w:i/>
          <w:sz w:val="16"/>
          <w:szCs w:val="16"/>
          <w:lang w:val="es-ES"/>
        </w:rPr>
        <w:t>Humanos)</w:t>
      </w:r>
      <w:r w:rsidRPr="00EA33F1">
        <w:rPr>
          <w:rFonts w:asciiTheme="majorHAnsi" w:hAnsiTheme="majorHAnsi"/>
          <w:sz w:val="16"/>
          <w:szCs w:val="16"/>
          <w:lang w:val="es-ES"/>
        </w:rPr>
        <w:t>, s</w:t>
      </w:r>
      <w:r w:rsidRPr="00EA33F1">
        <w:rPr>
          <w:rFonts w:asciiTheme="majorHAnsi" w:hAnsiTheme="majorHAnsi"/>
          <w:i/>
          <w:sz w:val="16"/>
          <w:szCs w:val="16"/>
          <w:lang w:val="es-ES"/>
        </w:rPr>
        <w:t>upra</w:t>
      </w:r>
      <w:r w:rsidRPr="00EA33F1">
        <w:rPr>
          <w:rFonts w:asciiTheme="majorHAnsi" w:hAnsiTheme="majorHAnsi"/>
          <w:sz w:val="16"/>
          <w:szCs w:val="16"/>
          <w:lang w:val="es-ES"/>
        </w:rPr>
        <w:t xml:space="preserve">. </w:t>
      </w:r>
      <w:r w:rsidRPr="00EA33F1">
        <w:rPr>
          <w:rFonts w:asciiTheme="majorHAnsi" w:hAnsiTheme="majorHAnsi"/>
          <w:sz w:val="16"/>
          <w:szCs w:val="16"/>
          <w:lang w:val="es-PE"/>
        </w:rPr>
        <w:t xml:space="preserve">Párr. 30, y </w:t>
      </w:r>
      <w:r w:rsidRPr="00EA33F1">
        <w:rPr>
          <w:rFonts w:asciiTheme="majorHAnsi" w:hAnsiTheme="majorHAnsi"/>
          <w:i/>
          <w:sz w:val="16"/>
          <w:szCs w:val="16"/>
          <w:lang w:val="es-PE"/>
        </w:rPr>
        <w:t xml:space="preserve">Caso Kimel Vs. </w:t>
      </w:r>
      <w:r w:rsidRPr="00EA33F1">
        <w:rPr>
          <w:rFonts w:asciiTheme="majorHAnsi" w:hAnsiTheme="majorHAnsi"/>
          <w:i/>
          <w:sz w:val="16"/>
          <w:szCs w:val="16"/>
          <w:lang w:val="es-VE"/>
        </w:rPr>
        <w:t>Argentina.</w:t>
      </w:r>
      <w:r w:rsidRPr="00EA33F1">
        <w:rPr>
          <w:rFonts w:asciiTheme="majorHAnsi" w:hAnsiTheme="majorHAnsi"/>
          <w:sz w:val="16"/>
          <w:szCs w:val="16"/>
          <w:lang w:val="es-VE"/>
        </w:rPr>
        <w:t xml:space="preserve"> </w:t>
      </w:r>
      <w:r w:rsidRPr="00EA33F1">
        <w:rPr>
          <w:rFonts w:asciiTheme="majorHAnsi" w:hAnsiTheme="majorHAnsi"/>
          <w:sz w:val="16"/>
          <w:szCs w:val="16"/>
          <w:lang w:val="es-PE"/>
        </w:rPr>
        <w:t xml:space="preserve">Fondo, Reparaciones y Costas. Sentencia de 2 de mayo de 2008. Serie C No. 177. Párr. 53. CIDH Informe No. 130/99. Caso No. 11.740. Fondo. Víctor Manuel Oropeza. México. 19 de noviembre de 1999. Párr. 51, e Informe No. 11/96. Caso No. 11.230. Fondo. Francisco Martorell. Chile. 3 de mayo de 1996. </w:t>
      </w:r>
      <w:r w:rsidRPr="00EA33F1">
        <w:rPr>
          <w:rFonts w:asciiTheme="majorHAnsi" w:hAnsiTheme="majorHAnsi"/>
          <w:sz w:val="16"/>
          <w:szCs w:val="16"/>
          <w:lang w:val="es-ES"/>
        </w:rPr>
        <w:t>Párr. 53.</w:t>
      </w:r>
    </w:p>
  </w:footnote>
  <w:footnote w:id="53">
    <w:p w14:paraId="367A789F" w14:textId="77777777" w:rsidR="00B95258" w:rsidRPr="00EA33F1" w:rsidRDefault="00B95258" w:rsidP="00EA33F1">
      <w:pPr>
        <w:jc w:val="both"/>
        <w:rPr>
          <w:rFonts w:asciiTheme="majorHAnsi" w:hAnsiTheme="majorHAnsi"/>
          <w:sz w:val="16"/>
          <w:szCs w:val="16"/>
          <w:lang w:val="es-PE"/>
        </w:rPr>
      </w:pPr>
      <w:r w:rsidRPr="00EA33F1">
        <w:rPr>
          <w:rStyle w:val="FootnoteReference"/>
          <w:rFonts w:asciiTheme="majorHAnsi" w:hAnsiTheme="majorHAnsi"/>
          <w:sz w:val="16"/>
          <w:szCs w:val="16"/>
        </w:rPr>
        <w:footnoteRef/>
      </w:r>
      <w:r w:rsidRPr="00EA33F1">
        <w:rPr>
          <w:rFonts w:asciiTheme="majorHAnsi" w:hAnsiTheme="majorHAnsi"/>
          <w:sz w:val="16"/>
          <w:szCs w:val="16"/>
          <w:lang w:val="es-MX"/>
        </w:rPr>
        <w:t xml:space="preserve"> Corte IDH. </w:t>
      </w:r>
      <w:r w:rsidRPr="00EA33F1">
        <w:rPr>
          <w:rFonts w:asciiTheme="majorHAnsi" w:hAnsiTheme="majorHAnsi"/>
          <w:i/>
          <w:sz w:val="16"/>
          <w:szCs w:val="16"/>
          <w:lang w:val="es-PE"/>
        </w:rPr>
        <w:t>Caso Herrera Ulloa Vs. Costa Rica</w:t>
      </w:r>
      <w:r w:rsidRPr="00EA33F1">
        <w:rPr>
          <w:rFonts w:asciiTheme="majorHAnsi" w:hAnsiTheme="majorHAnsi"/>
          <w:sz w:val="16"/>
          <w:szCs w:val="16"/>
          <w:lang w:val="es-PE"/>
        </w:rPr>
        <w:t xml:space="preserve">. Sentencia del 2 de julio de 2004, Serie C No. 107. </w:t>
      </w:r>
      <w:r w:rsidRPr="00EA33F1">
        <w:rPr>
          <w:rFonts w:asciiTheme="majorHAnsi" w:hAnsiTheme="majorHAnsi"/>
          <w:sz w:val="16"/>
          <w:szCs w:val="16"/>
          <w:lang w:val="es-ES"/>
        </w:rPr>
        <w:t xml:space="preserve">Párr. 110; </w:t>
      </w:r>
      <w:r w:rsidRPr="00EA33F1">
        <w:rPr>
          <w:rFonts w:asciiTheme="majorHAnsi" w:hAnsiTheme="majorHAnsi"/>
          <w:i/>
          <w:sz w:val="16"/>
          <w:szCs w:val="16"/>
          <w:lang w:val="es-PE"/>
        </w:rPr>
        <w:t>Caso Ricardo Canese Vs. Paraguay.</w:t>
      </w:r>
      <w:r w:rsidRPr="00EA33F1">
        <w:rPr>
          <w:rFonts w:asciiTheme="majorHAnsi" w:hAnsiTheme="majorHAnsi"/>
          <w:sz w:val="16"/>
          <w:szCs w:val="16"/>
          <w:lang w:val="es-PE"/>
        </w:rPr>
        <w:t xml:space="preserve"> Sentencia de 31 de agosto de 2004, Serie C No. 111. </w:t>
      </w:r>
      <w:r w:rsidRPr="00EA33F1">
        <w:rPr>
          <w:rFonts w:asciiTheme="majorHAnsi" w:hAnsiTheme="majorHAnsi"/>
          <w:sz w:val="16"/>
          <w:szCs w:val="16"/>
          <w:lang w:val="es-ES"/>
        </w:rPr>
        <w:t xml:space="preserve">Párr. 79, y </w:t>
      </w:r>
      <w:r w:rsidRPr="00EA33F1">
        <w:rPr>
          <w:rFonts w:asciiTheme="majorHAnsi" w:hAnsiTheme="majorHAnsi"/>
          <w:i/>
          <w:sz w:val="16"/>
          <w:szCs w:val="16"/>
          <w:lang w:val="es-ES"/>
        </w:rPr>
        <w:t>Caso</w:t>
      </w:r>
      <w:r w:rsidRPr="00EA33F1">
        <w:rPr>
          <w:rFonts w:asciiTheme="majorHAnsi" w:hAnsiTheme="majorHAnsi"/>
          <w:i/>
          <w:sz w:val="16"/>
          <w:szCs w:val="16"/>
          <w:lang w:val="es-PE"/>
        </w:rPr>
        <w:t xml:space="preserve"> "La Última Tentación de Cristo" (Olmedo Bustos y otros) Vs. Chile.</w:t>
      </w:r>
      <w:r w:rsidRPr="00EA33F1">
        <w:rPr>
          <w:rFonts w:asciiTheme="majorHAnsi" w:hAnsiTheme="majorHAnsi"/>
          <w:sz w:val="16"/>
          <w:szCs w:val="16"/>
          <w:lang w:val="es-PE"/>
        </w:rPr>
        <w:t xml:space="preserve"> Sentencia de 5 de febrero de 2001. Serie C No. 73. </w:t>
      </w:r>
      <w:r w:rsidRPr="00EA33F1">
        <w:rPr>
          <w:rFonts w:asciiTheme="majorHAnsi" w:hAnsiTheme="majorHAnsi"/>
          <w:sz w:val="16"/>
          <w:szCs w:val="16"/>
          <w:lang w:val="es-ES"/>
        </w:rPr>
        <w:t>Párr. 66</w:t>
      </w:r>
      <w:r w:rsidRPr="00EA33F1">
        <w:rPr>
          <w:rFonts w:asciiTheme="majorHAnsi" w:hAnsiTheme="majorHAnsi"/>
          <w:sz w:val="16"/>
          <w:szCs w:val="16"/>
          <w:lang w:val="es-PE"/>
        </w:rPr>
        <w:t>.</w:t>
      </w:r>
    </w:p>
  </w:footnote>
  <w:footnote w:id="54">
    <w:p w14:paraId="13723F4F" w14:textId="77777777" w:rsidR="00B95258" w:rsidRPr="00EA33F1" w:rsidRDefault="00B95258" w:rsidP="00EA33F1">
      <w:pPr>
        <w:pStyle w:val="FootnoteText"/>
        <w:tabs>
          <w:tab w:val="left" w:pos="567"/>
        </w:tabs>
        <w:rPr>
          <w:rFonts w:cs="Times New Roman"/>
          <w:color w:val="auto"/>
          <w:spacing w:val="-2"/>
          <w:lang w:val="es-PE"/>
        </w:rPr>
      </w:pPr>
      <w:r w:rsidRPr="00EA33F1">
        <w:rPr>
          <w:rStyle w:val="FootnoteReference"/>
          <w:rFonts w:eastAsia="Batang" w:cs="Times New Roman"/>
          <w:color w:val="auto"/>
          <w:spacing w:val="-2"/>
        </w:rPr>
        <w:footnoteRef/>
      </w:r>
      <w:r w:rsidRPr="00EA33F1">
        <w:rPr>
          <w:color w:val="auto"/>
          <w:spacing w:val="-2"/>
          <w:lang w:val="es-PE"/>
        </w:rPr>
        <w:t xml:space="preserve"> </w:t>
      </w:r>
      <w:r w:rsidRPr="00EA33F1">
        <w:rPr>
          <w:color w:val="auto"/>
          <w:spacing w:val="-2"/>
          <w:lang w:val="es-ES"/>
        </w:rPr>
        <w:t xml:space="preserve">Corte IDH. </w:t>
      </w:r>
      <w:r w:rsidRPr="00EA33F1">
        <w:rPr>
          <w:i/>
          <w:iCs/>
          <w:color w:val="auto"/>
          <w:spacing w:val="-2"/>
          <w:lang w:val="es-ES"/>
        </w:rPr>
        <w:t>La Colegiación Obligatoria de Periodistas (Arts. 13 y 29 de la Convención Americana sobre Derechos Humanos), supra</w:t>
      </w:r>
      <w:r w:rsidRPr="00EA33F1">
        <w:rPr>
          <w:i/>
          <w:color w:val="auto"/>
          <w:spacing w:val="-2"/>
          <w:lang w:val="es-ES"/>
        </w:rPr>
        <w:t>.</w:t>
      </w:r>
      <w:r w:rsidRPr="00EA33F1">
        <w:rPr>
          <w:color w:val="auto"/>
          <w:spacing w:val="-2"/>
          <w:lang w:val="es-ES"/>
        </w:rPr>
        <w:t xml:space="preserve"> Párr. 32, y </w:t>
      </w:r>
      <w:r w:rsidRPr="00EA33F1">
        <w:rPr>
          <w:i/>
          <w:color w:val="auto"/>
          <w:spacing w:val="-2"/>
          <w:lang w:val="es-ES"/>
        </w:rPr>
        <w:t>Caso Vélez Restrepo y familiares Vs. Colombia, supra</w:t>
      </w:r>
      <w:r w:rsidRPr="00EA33F1">
        <w:rPr>
          <w:color w:val="auto"/>
          <w:spacing w:val="-2"/>
          <w:lang w:val="es-ES"/>
        </w:rPr>
        <w:t>. Párr. 138.</w:t>
      </w:r>
    </w:p>
  </w:footnote>
  <w:footnote w:id="55">
    <w:p w14:paraId="20F3817C" w14:textId="77777777" w:rsidR="00B95258" w:rsidRPr="00EA33F1" w:rsidRDefault="00B95258" w:rsidP="00EA33F1">
      <w:pPr>
        <w:pStyle w:val="FootnoteText"/>
        <w:rPr>
          <w:rFonts w:cs="Arial"/>
          <w:lang w:val="es-PE"/>
        </w:rPr>
      </w:pPr>
      <w:r w:rsidRPr="00EA33F1">
        <w:rPr>
          <w:rStyle w:val="FootnoteReference"/>
        </w:rPr>
        <w:footnoteRef/>
      </w:r>
      <w:r w:rsidRPr="00EA33F1">
        <w:rPr>
          <w:rFonts w:cs="Arial"/>
          <w:lang w:val="es-PE"/>
        </w:rPr>
        <w:t xml:space="preserve"> </w:t>
      </w:r>
      <w:r w:rsidRPr="00EA33F1">
        <w:rPr>
          <w:lang w:val="es-MX"/>
        </w:rPr>
        <w:t xml:space="preserve">Corte IDH. </w:t>
      </w:r>
      <w:r w:rsidRPr="00EA33F1">
        <w:rPr>
          <w:i/>
          <w:lang w:val="es-PE"/>
        </w:rPr>
        <w:t>La Colegiación Obligatoria de Periodistas</w:t>
      </w:r>
      <w:r w:rsidRPr="00EA33F1">
        <w:rPr>
          <w:lang w:val="es-PE"/>
        </w:rPr>
        <w:t xml:space="preserve"> </w:t>
      </w:r>
      <w:r w:rsidRPr="00EA33F1">
        <w:rPr>
          <w:i/>
          <w:iCs/>
          <w:color w:val="auto"/>
          <w:spacing w:val="-2"/>
          <w:lang w:val="es-ES"/>
        </w:rPr>
        <w:t>(Arts. 13 y 29 de la Convención Americana sobre Derechos Humanos), supra</w:t>
      </w:r>
      <w:r w:rsidRPr="00EA33F1">
        <w:rPr>
          <w:i/>
          <w:color w:val="auto"/>
          <w:spacing w:val="-2"/>
          <w:lang w:val="es-ES"/>
        </w:rPr>
        <w:t>.</w:t>
      </w:r>
      <w:r w:rsidRPr="00EA33F1">
        <w:rPr>
          <w:color w:val="auto"/>
          <w:spacing w:val="-2"/>
          <w:lang w:val="es-ES"/>
        </w:rPr>
        <w:t xml:space="preserve"> Párr.</w:t>
      </w:r>
      <w:r w:rsidRPr="00EA33F1">
        <w:rPr>
          <w:rFonts w:cs="Arial"/>
          <w:lang w:val="es-PE"/>
        </w:rPr>
        <w:t xml:space="preserve"> 31.</w:t>
      </w:r>
    </w:p>
  </w:footnote>
  <w:footnote w:id="56">
    <w:p w14:paraId="38BB25F9" w14:textId="77777777" w:rsidR="00B95258" w:rsidRPr="00EA33F1" w:rsidRDefault="00B95258" w:rsidP="00EA33F1">
      <w:pPr>
        <w:pStyle w:val="FootnoteText"/>
        <w:rPr>
          <w:lang w:val="es-AR"/>
        </w:rPr>
      </w:pPr>
      <w:r w:rsidRPr="00EA33F1">
        <w:rPr>
          <w:rStyle w:val="FootnoteReference"/>
        </w:rPr>
        <w:footnoteRef/>
      </w:r>
      <w:r w:rsidRPr="00EA33F1">
        <w:rPr>
          <w:lang w:val="es-AR"/>
        </w:rPr>
        <w:t xml:space="preserve"> </w:t>
      </w:r>
      <w:r w:rsidRPr="00EA33F1">
        <w:rPr>
          <w:lang w:val="es-ES"/>
        </w:rPr>
        <w:t xml:space="preserve">Corte IDH. </w:t>
      </w:r>
      <w:r w:rsidRPr="00EA33F1">
        <w:rPr>
          <w:bCs/>
          <w:i/>
          <w:lang w:val="es-ES"/>
        </w:rPr>
        <w:t>Caso Ivcher Bronstein Vs. Perú</w:t>
      </w:r>
      <w:r w:rsidRPr="00EA33F1">
        <w:rPr>
          <w:b/>
          <w:bCs/>
          <w:lang w:val="es-ES"/>
        </w:rPr>
        <w:t xml:space="preserve">. </w:t>
      </w:r>
      <w:r w:rsidRPr="00EA33F1">
        <w:rPr>
          <w:lang w:val="es-ES"/>
        </w:rPr>
        <w:t>Fondo, Reparaciones y Costas. Sentencia de 6 de febrero de 2001. Serie C No. 74. Párrs. 149-150.</w:t>
      </w:r>
    </w:p>
  </w:footnote>
  <w:footnote w:id="57">
    <w:p w14:paraId="7EAC9692" w14:textId="77777777" w:rsidR="00B95258" w:rsidRPr="00EA33F1" w:rsidRDefault="00B95258" w:rsidP="00EA33F1">
      <w:pPr>
        <w:pStyle w:val="FootnoteText"/>
        <w:rPr>
          <w:lang w:val="es-ES"/>
        </w:rPr>
      </w:pPr>
      <w:r w:rsidRPr="00EA33F1">
        <w:rPr>
          <w:rStyle w:val="FootnoteReference"/>
        </w:rPr>
        <w:footnoteRef/>
      </w:r>
      <w:r w:rsidRPr="00EA33F1">
        <w:rPr>
          <w:lang w:val="es-PE"/>
        </w:rPr>
        <w:t xml:space="preserve"> </w:t>
      </w:r>
      <w:r w:rsidRPr="00EA33F1">
        <w:rPr>
          <w:lang w:val="es-CO"/>
        </w:rPr>
        <w:t xml:space="preserve">CIDH, Relatoría Especial para la Libertad de Expresión. </w:t>
      </w:r>
      <w:r w:rsidRPr="00EA33F1">
        <w:rPr>
          <w:i/>
          <w:lang w:val="es-CO"/>
        </w:rPr>
        <w:t>Estándares de libertad de expresión para una radiodifusión libre e incluyente.</w:t>
      </w:r>
      <w:r w:rsidRPr="00EA33F1">
        <w:rPr>
          <w:lang w:val="es-CO"/>
        </w:rPr>
        <w:t xml:space="preserve"> OEA/Ser.L/V/II CIDH/RELE/INF. 3/09.</w:t>
      </w:r>
      <w:r w:rsidRPr="00EA33F1">
        <w:rPr>
          <w:i/>
          <w:lang w:val="es-CO"/>
        </w:rPr>
        <w:t xml:space="preserve"> </w:t>
      </w:r>
      <w:r w:rsidRPr="00EA33F1">
        <w:rPr>
          <w:lang w:val="es-CO"/>
        </w:rPr>
        <w:t>30 de diciembre de 2009</w:t>
      </w:r>
      <w:r w:rsidRPr="00EA33F1">
        <w:rPr>
          <w:lang w:val="es-ES"/>
        </w:rPr>
        <w:t xml:space="preserve">. Párrs. 4-6. Disponible en: </w:t>
      </w:r>
      <w:hyperlink r:id="rId9" w:history="1">
        <w:r w:rsidRPr="00EA33F1">
          <w:rPr>
            <w:rStyle w:val="Hyperlink"/>
            <w:lang w:val="es-ES"/>
          </w:rPr>
          <w:t>http://www.cidh.org/pdf%20files/Estandares%20para%20radiodifusion%20incluyente.pdf</w:t>
        </w:r>
      </w:hyperlink>
    </w:p>
  </w:footnote>
  <w:footnote w:id="58">
    <w:p w14:paraId="3E196C6E" w14:textId="77777777" w:rsidR="00B95258" w:rsidRPr="00EA33F1" w:rsidRDefault="00B95258" w:rsidP="00EA33F1">
      <w:pPr>
        <w:jc w:val="both"/>
        <w:rPr>
          <w:rFonts w:asciiTheme="majorHAnsi" w:hAnsiTheme="majorHAnsi"/>
          <w:sz w:val="16"/>
          <w:szCs w:val="16"/>
          <w:lang w:val="es-PE"/>
        </w:rPr>
      </w:pPr>
      <w:r w:rsidRPr="00EA33F1">
        <w:rPr>
          <w:rStyle w:val="FootnoteReference"/>
          <w:rFonts w:asciiTheme="majorHAnsi" w:hAnsiTheme="majorHAnsi"/>
          <w:sz w:val="16"/>
          <w:szCs w:val="16"/>
        </w:rPr>
        <w:footnoteRef/>
      </w:r>
      <w:r w:rsidRPr="00EA33F1">
        <w:rPr>
          <w:rFonts w:asciiTheme="majorHAnsi" w:hAnsiTheme="majorHAnsi"/>
          <w:sz w:val="16"/>
          <w:szCs w:val="16"/>
          <w:lang w:val="es-PE"/>
        </w:rPr>
        <w:t xml:space="preserve"> CIDH. Alegatos ante la Corte Interamericana en el caso Ivcher Bronstein Vs. Perú. Transcritos en: Corte IDH, </w:t>
      </w:r>
      <w:r w:rsidRPr="00EA33F1">
        <w:rPr>
          <w:rFonts w:asciiTheme="majorHAnsi" w:hAnsiTheme="majorHAnsi"/>
          <w:i/>
          <w:sz w:val="16"/>
          <w:szCs w:val="16"/>
          <w:lang w:val="es-PE"/>
        </w:rPr>
        <w:t>Caso Ivcher Bronstein Vs. Perú</w:t>
      </w:r>
      <w:r w:rsidRPr="00EA33F1">
        <w:rPr>
          <w:rFonts w:asciiTheme="majorHAnsi" w:hAnsiTheme="majorHAnsi"/>
          <w:sz w:val="16"/>
          <w:szCs w:val="16"/>
          <w:lang w:val="es-PE"/>
        </w:rPr>
        <w:t xml:space="preserve">, </w:t>
      </w:r>
      <w:r w:rsidRPr="00EA33F1">
        <w:rPr>
          <w:rFonts w:asciiTheme="majorHAnsi" w:hAnsiTheme="majorHAnsi"/>
          <w:i/>
          <w:iCs/>
          <w:sz w:val="16"/>
          <w:szCs w:val="16"/>
          <w:lang w:val="es-PE"/>
        </w:rPr>
        <w:t>supra</w:t>
      </w:r>
      <w:r w:rsidRPr="00EA33F1">
        <w:rPr>
          <w:rFonts w:asciiTheme="majorHAnsi" w:hAnsiTheme="majorHAnsi"/>
          <w:sz w:val="16"/>
          <w:szCs w:val="16"/>
          <w:lang w:val="es-PE"/>
        </w:rPr>
        <w:t xml:space="preserve">. Párr. 143. d); Alegatos ante la Corte Interamericana en el caso "La Última Tentación de Cristo" (Olmedo Bustos y otros) Vs. Chile. Transcritos en: Corte IDH, </w:t>
      </w:r>
      <w:r w:rsidRPr="00EA33F1">
        <w:rPr>
          <w:rFonts w:asciiTheme="majorHAnsi" w:hAnsiTheme="majorHAnsi"/>
          <w:i/>
          <w:sz w:val="16"/>
          <w:szCs w:val="16"/>
          <w:lang w:val="es-PE"/>
        </w:rPr>
        <w:t>Caso "La Última Tentación de Cristo" (Olmedo Bustos y otros) Vs. Chile, supra.</w:t>
      </w:r>
      <w:r w:rsidRPr="00EA33F1">
        <w:rPr>
          <w:rFonts w:asciiTheme="majorHAnsi" w:hAnsiTheme="majorHAnsi"/>
          <w:sz w:val="16"/>
          <w:szCs w:val="16"/>
          <w:lang w:val="es-PE"/>
        </w:rPr>
        <w:t xml:space="preserve"> Párr. 61. b).</w:t>
      </w:r>
    </w:p>
  </w:footnote>
  <w:footnote w:id="59">
    <w:p w14:paraId="70618882" w14:textId="77777777" w:rsidR="00B95258" w:rsidRPr="00EA33F1" w:rsidRDefault="00B95258" w:rsidP="00EA33F1">
      <w:pPr>
        <w:jc w:val="both"/>
        <w:rPr>
          <w:rFonts w:asciiTheme="majorHAnsi" w:hAnsiTheme="majorHAnsi"/>
          <w:sz w:val="16"/>
          <w:szCs w:val="16"/>
          <w:lang w:val="es-PE"/>
        </w:rPr>
      </w:pPr>
      <w:r w:rsidRPr="00EA33F1">
        <w:rPr>
          <w:rStyle w:val="FootnoteReference"/>
          <w:rFonts w:asciiTheme="majorHAnsi" w:hAnsiTheme="majorHAnsi"/>
          <w:sz w:val="16"/>
          <w:szCs w:val="16"/>
        </w:rPr>
        <w:footnoteRef/>
      </w:r>
      <w:r w:rsidRPr="00EA33F1">
        <w:rPr>
          <w:rFonts w:asciiTheme="majorHAnsi" w:hAnsiTheme="majorHAnsi"/>
          <w:sz w:val="16"/>
          <w:szCs w:val="16"/>
          <w:lang w:val="es-ES"/>
        </w:rPr>
        <w:t xml:space="preserve"> Artículo 4, Carta Democrá</w:t>
      </w:r>
      <w:r w:rsidRPr="00EA33F1">
        <w:rPr>
          <w:rFonts w:asciiTheme="majorHAnsi" w:hAnsiTheme="majorHAnsi"/>
          <w:sz w:val="16"/>
          <w:szCs w:val="16"/>
          <w:lang w:val="es-PE"/>
        </w:rPr>
        <w:t xml:space="preserve">tica Interamericana, aprobada 11 de septiembre de 2001. </w:t>
      </w:r>
    </w:p>
  </w:footnote>
  <w:footnote w:id="60">
    <w:p w14:paraId="68BEC72E" w14:textId="77777777" w:rsidR="00B95258" w:rsidRPr="00EA33F1" w:rsidRDefault="00B95258" w:rsidP="00EA33F1">
      <w:pPr>
        <w:tabs>
          <w:tab w:val="left" w:pos="567"/>
        </w:tabs>
        <w:jc w:val="both"/>
        <w:rPr>
          <w:rFonts w:asciiTheme="majorHAnsi" w:hAnsiTheme="majorHAnsi"/>
          <w:sz w:val="16"/>
          <w:szCs w:val="16"/>
          <w:lang w:val="es-PE"/>
        </w:rPr>
      </w:pPr>
      <w:r w:rsidRPr="00EA33F1">
        <w:rPr>
          <w:rStyle w:val="FootnoteReference"/>
          <w:rFonts w:asciiTheme="majorHAnsi" w:hAnsiTheme="majorHAnsi"/>
          <w:sz w:val="16"/>
          <w:szCs w:val="16"/>
        </w:rPr>
        <w:footnoteRef/>
      </w:r>
      <w:r w:rsidRPr="00EA33F1">
        <w:rPr>
          <w:rFonts w:asciiTheme="majorHAnsi" w:hAnsiTheme="majorHAnsi"/>
          <w:sz w:val="16"/>
          <w:szCs w:val="16"/>
          <w:lang w:val="es-PE"/>
        </w:rPr>
        <w:t xml:space="preserve">AG/RES. 2679 (XLI-O/11) DERECHO A LA LIBERTAD DE PENSAMIENTO Y EXPRESIÓN Y LA IMPORTANCIA DE LOS MEDIOS DE COMUNICACIÓN (Aprobada en la cuarta sesión plenaria, celebrada el 7 de junio de 2011), párr. 5; </w:t>
      </w:r>
      <w:r w:rsidRPr="00EA33F1">
        <w:rPr>
          <w:rFonts w:asciiTheme="majorHAnsi" w:eastAsia="Calibri" w:hAnsiTheme="majorHAnsi" w:cs="UniversBold"/>
          <w:bCs/>
          <w:sz w:val="16"/>
          <w:szCs w:val="16"/>
          <w:lang w:val="es-CO"/>
        </w:rPr>
        <w:t>AG/RES. 2523 (XXXIX-O/09)</w:t>
      </w:r>
      <w:r w:rsidRPr="00EA33F1">
        <w:rPr>
          <w:rFonts w:asciiTheme="majorHAnsi" w:hAnsiTheme="majorHAnsi" w:cs="Arial"/>
          <w:sz w:val="16"/>
          <w:szCs w:val="16"/>
          <w:lang w:val="es-PE"/>
        </w:rPr>
        <w:t xml:space="preserve"> </w:t>
      </w:r>
      <w:r w:rsidRPr="00EA33F1">
        <w:rPr>
          <w:rFonts w:asciiTheme="majorHAnsi" w:eastAsia="Calibri" w:hAnsiTheme="majorHAnsi" w:cs="UniversBold"/>
          <w:bCs/>
          <w:sz w:val="16"/>
          <w:szCs w:val="16"/>
          <w:lang w:val="es-CO"/>
        </w:rPr>
        <w:t>DERECHO A LA LIBERTAD DE PENSAMIENTO Y EXPRESIÓN Y LA IMPORTANCIA DE</w:t>
      </w:r>
      <w:r w:rsidRPr="00EA33F1">
        <w:rPr>
          <w:rFonts w:asciiTheme="majorHAnsi" w:hAnsiTheme="majorHAnsi" w:cs="Arial"/>
          <w:sz w:val="16"/>
          <w:szCs w:val="16"/>
          <w:lang w:val="es-PE"/>
        </w:rPr>
        <w:t xml:space="preserve"> </w:t>
      </w:r>
      <w:r w:rsidRPr="00EA33F1">
        <w:rPr>
          <w:rFonts w:asciiTheme="majorHAnsi" w:eastAsia="Calibri" w:hAnsiTheme="majorHAnsi" w:cs="UniversBold"/>
          <w:bCs/>
          <w:sz w:val="16"/>
          <w:szCs w:val="16"/>
          <w:lang w:val="es-CO"/>
        </w:rPr>
        <w:t>LOS MEDIOS DE COMUNICACIÓN</w:t>
      </w:r>
      <w:r w:rsidRPr="00EA33F1">
        <w:rPr>
          <w:rFonts w:asciiTheme="majorHAnsi" w:hAnsiTheme="majorHAnsi" w:cs="Arial"/>
          <w:sz w:val="16"/>
          <w:szCs w:val="16"/>
          <w:lang w:val="es-PE"/>
        </w:rPr>
        <w:t xml:space="preserve"> </w:t>
      </w:r>
      <w:r w:rsidRPr="00EA33F1">
        <w:rPr>
          <w:rFonts w:asciiTheme="majorHAnsi" w:eastAsia="Calibri" w:hAnsiTheme="majorHAnsi" w:cs="UniversMedium"/>
          <w:sz w:val="16"/>
          <w:szCs w:val="16"/>
          <w:lang w:val="es-CO"/>
        </w:rPr>
        <w:t xml:space="preserve">(Aprobada en la cuarta sesión plenaria, celebrada el 4 de junio de 2009), párr. 5; </w:t>
      </w:r>
      <w:r w:rsidRPr="00EA33F1">
        <w:rPr>
          <w:rFonts w:asciiTheme="majorHAnsi" w:hAnsiTheme="majorHAnsi"/>
          <w:sz w:val="16"/>
          <w:szCs w:val="16"/>
          <w:lang w:val="es-PE"/>
        </w:rPr>
        <w:t xml:space="preserve">AG/RES. 2434 (XXXVIII-O/08) </w:t>
      </w:r>
      <w:r w:rsidRPr="00EA33F1">
        <w:rPr>
          <w:rFonts w:asciiTheme="majorHAnsi" w:eastAsia="Calibri" w:hAnsiTheme="majorHAnsi" w:cs="UniversBold"/>
          <w:bCs/>
          <w:sz w:val="16"/>
          <w:szCs w:val="16"/>
          <w:lang w:val="es-CO"/>
        </w:rPr>
        <w:t>DERECHO A LA LIBERTAD DE PENSAMIENTO Y EXPRESIÓN Y LA IMPORTANCIA DE</w:t>
      </w:r>
      <w:r w:rsidRPr="00EA33F1">
        <w:rPr>
          <w:rFonts w:asciiTheme="majorHAnsi" w:hAnsiTheme="majorHAnsi" w:cs="Arial"/>
          <w:sz w:val="16"/>
          <w:szCs w:val="16"/>
          <w:lang w:val="es-PE"/>
        </w:rPr>
        <w:t xml:space="preserve"> </w:t>
      </w:r>
      <w:r w:rsidRPr="00EA33F1">
        <w:rPr>
          <w:rFonts w:asciiTheme="majorHAnsi" w:eastAsia="Calibri" w:hAnsiTheme="majorHAnsi" w:cs="UniversBold"/>
          <w:bCs/>
          <w:sz w:val="16"/>
          <w:szCs w:val="16"/>
          <w:lang w:val="es-CO"/>
        </w:rPr>
        <w:t xml:space="preserve">LOS MEDIOS DE COMUNICACIÓN </w:t>
      </w:r>
      <w:r w:rsidRPr="00EA33F1">
        <w:rPr>
          <w:rFonts w:asciiTheme="majorHAnsi" w:hAnsiTheme="majorHAnsi"/>
          <w:sz w:val="16"/>
          <w:szCs w:val="16"/>
          <w:lang w:val="es-ES"/>
        </w:rPr>
        <w:t xml:space="preserve">(Aprobada en la cuarta sesión plenaria, celebrada el 3 de junio de 2008), párr. 5; </w:t>
      </w:r>
      <w:r w:rsidRPr="00EA33F1">
        <w:rPr>
          <w:rFonts w:asciiTheme="majorHAnsi" w:hAnsiTheme="majorHAnsi"/>
          <w:sz w:val="16"/>
          <w:szCs w:val="16"/>
          <w:lang w:val="es-PE"/>
        </w:rPr>
        <w:t xml:space="preserve">AG/RES. 2287 (XXXVII-O/07) </w:t>
      </w:r>
      <w:r w:rsidRPr="00EA33F1">
        <w:rPr>
          <w:rFonts w:asciiTheme="majorHAnsi" w:eastAsia="Calibri" w:hAnsiTheme="majorHAnsi" w:cs="UniversBold"/>
          <w:bCs/>
          <w:sz w:val="16"/>
          <w:szCs w:val="16"/>
          <w:lang w:val="es-CO"/>
        </w:rPr>
        <w:t>DERECHO A LA LIBERTAD DE PENSAMIENTO Y EXPRESIÓN Y LA IMPORTANCIA DE</w:t>
      </w:r>
      <w:r w:rsidRPr="00EA33F1">
        <w:rPr>
          <w:rFonts w:asciiTheme="majorHAnsi" w:hAnsiTheme="majorHAnsi" w:cs="Arial"/>
          <w:sz w:val="16"/>
          <w:szCs w:val="16"/>
          <w:lang w:val="es-PE"/>
        </w:rPr>
        <w:t xml:space="preserve"> </w:t>
      </w:r>
      <w:r w:rsidRPr="00EA33F1">
        <w:rPr>
          <w:rFonts w:asciiTheme="majorHAnsi" w:eastAsia="Calibri" w:hAnsiTheme="majorHAnsi" w:cs="UniversBold"/>
          <w:bCs/>
          <w:sz w:val="16"/>
          <w:szCs w:val="16"/>
          <w:lang w:val="es-CO"/>
        </w:rPr>
        <w:t>LOS MEDIOS DE COMUNICACIÓN</w:t>
      </w:r>
      <w:r w:rsidRPr="00EA33F1">
        <w:rPr>
          <w:rFonts w:asciiTheme="majorHAnsi" w:hAnsiTheme="majorHAnsi" w:cs="Arial"/>
          <w:sz w:val="16"/>
          <w:szCs w:val="16"/>
          <w:lang w:val="es-PE"/>
        </w:rPr>
        <w:t xml:space="preserve"> </w:t>
      </w:r>
      <w:r w:rsidRPr="00EA33F1">
        <w:rPr>
          <w:rFonts w:asciiTheme="majorHAnsi" w:hAnsiTheme="majorHAnsi"/>
          <w:bCs/>
          <w:sz w:val="16"/>
          <w:szCs w:val="16"/>
          <w:lang w:val="es-PE"/>
        </w:rPr>
        <w:t>(Aprobada en la cuarta sesión plenaria, celebrada el 5 de junio de 2007), párr. 5</w:t>
      </w:r>
      <w:r w:rsidRPr="00EA33F1">
        <w:rPr>
          <w:rFonts w:asciiTheme="majorHAnsi" w:hAnsiTheme="majorHAnsi"/>
          <w:sz w:val="16"/>
          <w:szCs w:val="16"/>
          <w:lang w:val="es-PE"/>
        </w:rPr>
        <w:t xml:space="preserve">; AG/RES. 2237 (XXXVI-O/06) </w:t>
      </w:r>
      <w:r w:rsidRPr="00EA33F1">
        <w:rPr>
          <w:rFonts w:asciiTheme="majorHAnsi" w:eastAsia="Calibri" w:hAnsiTheme="majorHAnsi" w:cs="UniversBold"/>
          <w:bCs/>
          <w:sz w:val="16"/>
          <w:szCs w:val="16"/>
          <w:lang w:val="es-CO"/>
        </w:rPr>
        <w:t>DERECHO A LA LIBERTAD DE PENSAMIENTO Y EXPRESIÓN Y LA IMPORTANCIA DE</w:t>
      </w:r>
      <w:r w:rsidRPr="00EA33F1">
        <w:rPr>
          <w:rFonts w:asciiTheme="majorHAnsi" w:hAnsiTheme="majorHAnsi" w:cs="Arial"/>
          <w:sz w:val="16"/>
          <w:szCs w:val="16"/>
          <w:lang w:val="es-PE"/>
        </w:rPr>
        <w:t xml:space="preserve"> </w:t>
      </w:r>
      <w:r w:rsidRPr="00EA33F1">
        <w:rPr>
          <w:rFonts w:asciiTheme="majorHAnsi" w:eastAsia="Calibri" w:hAnsiTheme="majorHAnsi" w:cs="UniversBold"/>
          <w:bCs/>
          <w:sz w:val="16"/>
          <w:szCs w:val="16"/>
          <w:lang w:val="es-CO"/>
        </w:rPr>
        <w:t xml:space="preserve">LOS MEDIOS DE COMUNICACIÓN </w:t>
      </w:r>
      <w:r w:rsidRPr="00EA33F1">
        <w:rPr>
          <w:rFonts w:asciiTheme="majorHAnsi" w:hAnsiTheme="majorHAnsi"/>
          <w:bCs/>
          <w:sz w:val="16"/>
          <w:szCs w:val="16"/>
          <w:lang w:val="es-PE"/>
        </w:rPr>
        <w:t xml:space="preserve">(Aprobada en la cuarta sesión plenaria, celebrada el 6 de junio de 2006), párr. 5; </w:t>
      </w:r>
      <w:r w:rsidRPr="00EA33F1">
        <w:rPr>
          <w:rFonts w:asciiTheme="majorHAnsi" w:hAnsiTheme="majorHAnsi" w:cs="Arial"/>
          <w:sz w:val="16"/>
          <w:szCs w:val="16"/>
          <w:lang w:val="es-PE"/>
        </w:rPr>
        <w:t xml:space="preserve">AG/RES. 2149 (XXXV-O/05) </w:t>
      </w:r>
      <w:r w:rsidRPr="00EA33F1">
        <w:rPr>
          <w:rFonts w:asciiTheme="majorHAnsi" w:hAnsiTheme="majorHAnsi"/>
          <w:sz w:val="16"/>
          <w:szCs w:val="16"/>
          <w:lang w:val="es-PE"/>
        </w:rPr>
        <w:t>DERECHO A LA LIBERTAD DE PENSAMIENTO Y EXPRESIÓN Y LA IMPORTANCIA DE LOS MEDIOS DE COMUNICACIÓN</w:t>
      </w:r>
      <w:r w:rsidRPr="00EA33F1">
        <w:rPr>
          <w:rFonts w:asciiTheme="majorHAnsi" w:hAnsiTheme="majorHAnsi"/>
          <w:sz w:val="16"/>
          <w:szCs w:val="16"/>
          <w:lang w:val="es-ES"/>
        </w:rPr>
        <w:t xml:space="preserve"> </w:t>
      </w:r>
      <w:r w:rsidRPr="00EA33F1">
        <w:rPr>
          <w:rFonts w:asciiTheme="majorHAnsi" w:hAnsiTheme="majorHAnsi" w:cs="Arial"/>
          <w:sz w:val="16"/>
          <w:szCs w:val="16"/>
          <w:lang w:val="es-PE"/>
        </w:rPr>
        <w:t xml:space="preserve">(Aprobada en la cuarta sesión plenaria, celebrada el 7 de junio de 2005), párr. 4. </w:t>
      </w:r>
      <w:r w:rsidRPr="00EA33F1">
        <w:rPr>
          <w:rFonts w:asciiTheme="majorHAnsi" w:hAnsiTheme="majorHAnsi"/>
          <w:sz w:val="16"/>
          <w:szCs w:val="16"/>
          <w:lang w:val="es-PE"/>
        </w:rPr>
        <w:t xml:space="preserve">Corte IDH. </w:t>
      </w:r>
      <w:r w:rsidRPr="00EA33F1">
        <w:rPr>
          <w:rFonts w:asciiTheme="majorHAnsi" w:hAnsiTheme="majorHAnsi"/>
          <w:i/>
          <w:sz w:val="16"/>
          <w:szCs w:val="16"/>
          <w:lang w:val="es-UY"/>
        </w:rPr>
        <w:t>Caso Granier y otros (Radio Caracas Televisión) Vs. Venezuela</w:t>
      </w:r>
      <w:r w:rsidRPr="00EA33F1">
        <w:rPr>
          <w:rFonts w:asciiTheme="majorHAnsi" w:hAnsiTheme="majorHAnsi"/>
          <w:sz w:val="16"/>
          <w:szCs w:val="16"/>
          <w:lang w:val="es-UY"/>
        </w:rPr>
        <w:t>. Excepciones Preliminares, Fondo, Reparaciones y Costas. Sentencia de 22 de junio de 2015. Serie C No. 293. Párr. 141.</w:t>
      </w:r>
    </w:p>
  </w:footnote>
  <w:footnote w:id="61">
    <w:p w14:paraId="79EC1589"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Relatoría Especial para la Libertad de Expresión. </w:t>
      </w:r>
      <w:r w:rsidRPr="00EA33F1">
        <w:rPr>
          <w:lang w:val="es-ES_tradnl"/>
        </w:rPr>
        <w:t>12 de diciembre de 2007. Declaración Conjunta sobre diversidad en la radiodifusión</w:t>
      </w:r>
      <w:r w:rsidRPr="00EA33F1">
        <w:rPr>
          <w:i/>
          <w:lang w:val="es-ES_tradnl"/>
        </w:rPr>
        <w:t xml:space="preserve">. </w:t>
      </w:r>
      <w:r w:rsidRPr="00EA33F1">
        <w:rPr>
          <w:lang w:val="es-ES_tradnl"/>
        </w:rPr>
        <w:t xml:space="preserve">Disponible en: </w:t>
      </w:r>
      <w:hyperlink r:id="rId10" w:history="1">
        <w:r w:rsidRPr="00EA33F1">
          <w:rPr>
            <w:rStyle w:val="Hyperlink"/>
            <w:lang w:val="es-PE"/>
          </w:rPr>
          <w:t>http://www.oas.org/es/cidh/expresion/showarticle.asp?artID=719&amp;lID=2</w:t>
        </w:r>
      </w:hyperlink>
    </w:p>
  </w:footnote>
  <w:footnote w:id="62">
    <w:p w14:paraId="71032333" w14:textId="77777777" w:rsidR="00B95258" w:rsidRPr="00EA33F1" w:rsidRDefault="00B95258" w:rsidP="00EA33F1">
      <w:pPr>
        <w:pStyle w:val="FootnoteText"/>
        <w:rPr>
          <w:rFonts w:cs="Arial"/>
          <w:lang w:val="es-PE"/>
        </w:rPr>
      </w:pPr>
      <w:r w:rsidRPr="00EA33F1">
        <w:rPr>
          <w:rStyle w:val="FootnoteReference"/>
        </w:rPr>
        <w:footnoteRef/>
      </w:r>
      <w:r w:rsidRPr="00EA33F1">
        <w:rPr>
          <w:rFonts w:cs="Arial"/>
          <w:lang w:val="es-PE"/>
        </w:rPr>
        <w:t xml:space="preserve"> </w:t>
      </w:r>
      <w:r w:rsidRPr="00EA33F1">
        <w:rPr>
          <w:rFonts w:cs="Arial"/>
          <w:lang w:val="es-MX"/>
        </w:rPr>
        <w:t>El principio 12 de la Declaración de Principios sobre Libertad de Expresión de la CIDH de 2001 establece que, los “</w:t>
      </w:r>
      <w:r w:rsidRPr="00EA33F1">
        <w:rPr>
          <w:rFonts w:cs="Arial"/>
          <w:lang w:val="es-UY"/>
        </w:rPr>
        <w:t>monopolios u oligopolios en la propiedad y control de los medios de comunicación deben estar sujetos a leyes anti-monopólicas por cuanto conspiran contra la democracia al restringir la pluralidad y diversidad que asegura el pleno ejercicio del derecho a la información de los ciudadanos”</w:t>
      </w:r>
      <w:r w:rsidRPr="00EA33F1">
        <w:rPr>
          <w:rFonts w:cs="Arial"/>
          <w:lang w:val="es-MX"/>
        </w:rPr>
        <w:t xml:space="preserve">. Disponible en: </w:t>
      </w:r>
      <w:hyperlink r:id="rId11" w:history="1">
        <w:r w:rsidRPr="00EA33F1">
          <w:rPr>
            <w:rStyle w:val="Hyperlink"/>
            <w:lang w:val="es-PE"/>
          </w:rPr>
          <w:t>https://www.cidh.oas.org/basicos/declaracion.htm</w:t>
        </w:r>
      </w:hyperlink>
      <w:r w:rsidRPr="00EA33F1">
        <w:rPr>
          <w:lang w:val="es-PE"/>
        </w:rPr>
        <w:t xml:space="preserve"> </w:t>
      </w:r>
    </w:p>
  </w:footnote>
  <w:footnote w:id="63">
    <w:p w14:paraId="206A543D" w14:textId="77777777" w:rsidR="00B95258" w:rsidRPr="00EA33F1" w:rsidRDefault="00B95258" w:rsidP="00EA33F1">
      <w:pPr>
        <w:pStyle w:val="Default"/>
        <w:jc w:val="both"/>
        <w:rPr>
          <w:rFonts w:asciiTheme="majorHAnsi" w:hAnsiTheme="majorHAnsi"/>
          <w:color w:val="auto"/>
          <w:sz w:val="16"/>
          <w:szCs w:val="16"/>
          <w:lang w:val="es-CO"/>
        </w:rPr>
      </w:pPr>
      <w:r w:rsidRPr="00EA33F1">
        <w:rPr>
          <w:rStyle w:val="FootnoteReference"/>
          <w:rFonts w:asciiTheme="majorHAnsi" w:eastAsia="Trebuchet MS" w:hAnsiTheme="majorHAnsi"/>
          <w:color w:val="auto"/>
          <w:sz w:val="16"/>
          <w:szCs w:val="16"/>
        </w:rPr>
        <w:footnoteRef/>
      </w:r>
      <w:r w:rsidRPr="00EA33F1">
        <w:rPr>
          <w:rFonts w:asciiTheme="majorHAnsi" w:hAnsiTheme="majorHAnsi"/>
          <w:color w:val="auto"/>
          <w:sz w:val="16"/>
          <w:szCs w:val="16"/>
          <w:lang w:val="es-ES"/>
        </w:rPr>
        <w:t xml:space="preserve"> </w:t>
      </w:r>
      <w:r w:rsidRPr="00EA33F1">
        <w:rPr>
          <w:rFonts w:asciiTheme="majorHAnsi" w:hAnsiTheme="majorHAnsi"/>
          <w:sz w:val="16"/>
          <w:szCs w:val="16"/>
          <w:lang w:val="es-ES_tradnl"/>
        </w:rPr>
        <w:t xml:space="preserve">Corte IDH. </w:t>
      </w:r>
      <w:r w:rsidRPr="00EA33F1">
        <w:rPr>
          <w:rFonts w:asciiTheme="majorHAnsi" w:hAnsiTheme="majorHAnsi"/>
          <w:i/>
          <w:iCs/>
          <w:sz w:val="16"/>
          <w:szCs w:val="16"/>
          <w:lang w:val="es-ES_tradnl"/>
        </w:rPr>
        <w:t xml:space="preserve">La Colegiación Obligatoria de Periodistas (Arts. 13 y 29 de la Convención Americana sobre Derechos Humanos), supra. </w:t>
      </w:r>
      <w:r w:rsidRPr="00EA33F1">
        <w:rPr>
          <w:rFonts w:asciiTheme="majorHAnsi" w:hAnsiTheme="majorHAnsi"/>
          <w:sz w:val="16"/>
          <w:szCs w:val="16"/>
          <w:lang w:val="es-ES_tradnl"/>
        </w:rPr>
        <w:t xml:space="preserve">Párrs. 33-34. </w:t>
      </w:r>
    </w:p>
  </w:footnote>
  <w:footnote w:id="64">
    <w:p w14:paraId="2A2E739D" w14:textId="77777777" w:rsidR="00B95258" w:rsidRPr="00EA33F1" w:rsidRDefault="00B95258" w:rsidP="00EA33F1">
      <w:pPr>
        <w:pStyle w:val="Default"/>
        <w:jc w:val="both"/>
        <w:rPr>
          <w:rFonts w:asciiTheme="majorHAnsi" w:hAnsiTheme="majorHAnsi"/>
          <w:iCs/>
          <w:color w:val="auto"/>
          <w:sz w:val="16"/>
          <w:szCs w:val="16"/>
          <w:lang w:val="es-CO"/>
        </w:rPr>
      </w:pPr>
      <w:r w:rsidRPr="00EA33F1">
        <w:rPr>
          <w:rStyle w:val="FootnoteReference"/>
          <w:rFonts w:asciiTheme="majorHAnsi" w:eastAsia="Trebuchet MS" w:hAnsiTheme="majorHAnsi"/>
          <w:color w:val="auto"/>
          <w:sz w:val="16"/>
          <w:szCs w:val="16"/>
        </w:rPr>
        <w:footnoteRef/>
      </w:r>
      <w:r w:rsidRPr="00EA33F1">
        <w:rPr>
          <w:rFonts w:asciiTheme="majorHAnsi" w:hAnsiTheme="majorHAnsi"/>
          <w:color w:val="auto"/>
          <w:sz w:val="16"/>
          <w:szCs w:val="16"/>
          <w:lang w:val="es-ES"/>
        </w:rPr>
        <w:t xml:space="preserve"> </w:t>
      </w:r>
      <w:r w:rsidRPr="00EA33F1">
        <w:rPr>
          <w:rFonts w:asciiTheme="majorHAnsi" w:hAnsiTheme="majorHAnsi"/>
          <w:sz w:val="16"/>
          <w:szCs w:val="16"/>
          <w:lang w:val="es-ES_tradnl"/>
        </w:rPr>
        <w:t xml:space="preserve">Corte IDH. </w:t>
      </w:r>
      <w:r w:rsidRPr="00EA33F1">
        <w:rPr>
          <w:rFonts w:asciiTheme="majorHAnsi" w:hAnsiTheme="majorHAnsi"/>
          <w:i/>
          <w:iCs/>
          <w:sz w:val="16"/>
          <w:szCs w:val="16"/>
          <w:lang w:val="es-ES_tradnl"/>
        </w:rPr>
        <w:t xml:space="preserve">La Colegiación Obligatoria de Periodistas (Arts. 13 y 29 de la Convención Americana sobre Derechos Humanos), supra. </w:t>
      </w:r>
      <w:r w:rsidRPr="00EA33F1">
        <w:rPr>
          <w:rFonts w:asciiTheme="majorHAnsi" w:hAnsiTheme="majorHAnsi"/>
          <w:sz w:val="16"/>
          <w:szCs w:val="16"/>
          <w:lang w:val="es-ES_tradnl"/>
        </w:rPr>
        <w:t>Párr</w:t>
      </w:r>
      <w:r w:rsidRPr="00EA33F1">
        <w:rPr>
          <w:rFonts w:asciiTheme="majorHAnsi" w:hAnsiTheme="majorHAnsi"/>
          <w:color w:val="auto"/>
          <w:sz w:val="16"/>
          <w:szCs w:val="16"/>
          <w:lang w:val="es-ES"/>
        </w:rPr>
        <w:t xml:space="preserve">. 56, y </w:t>
      </w:r>
      <w:r w:rsidRPr="00EA33F1">
        <w:rPr>
          <w:rFonts w:asciiTheme="majorHAnsi" w:hAnsiTheme="majorHAnsi"/>
          <w:i/>
          <w:sz w:val="16"/>
          <w:szCs w:val="16"/>
          <w:lang w:val="es-UY"/>
        </w:rPr>
        <w:t>Caso Granier y otros (Radio Caracas Televisión) Vs. Venezuela</w:t>
      </w:r>
      <w:r w:rsidRPr="00EA33F1">
        <w:rPr>
          <w:rFonts w:asciiTheme="majorHAnsi" w:hAnsiTheme="majorHAnsi"/>
          <w:sz w:val="16"/>
          <w:szCs w:val="16"/>
          <w:lang w:val="es-UY"/>
        </w:rPr>
        <w:t xml:space="preserve">, </w:t>
      </w:r>
      <w:r w:rsidRPr="00EA33F1">
        <w:rPr>
          <w:rFonts w:asciiTheme="majorHAnsi" w:hAnsiTheme="majorHAnsi"/>
          <w:i/>
          <w:iCs/>
          <w:sz w:val="16"/>
          <w:szCs w:val="16"/>
          <w:lang w:val="es-UY"/>
        </w:rPr>
        <w:t>supra</w:t>
      </w:r>
      <w:r w:rsidRPr="00EA33F1">
        <w:rPr>
          <w:rFonts w:asciiTheme="majorHAnsi" w:hAnsiTheme="majorHAnsi"/>
          <w:sz w:val="16"/>
          <w:szCs w:val="16"/>
          <w:lang w:val="es-UY"/>
        </w:rPr>
        <w:t xml:space="preserve">. Párr. 143. </w:t>
      </w:r>
      <w:r w:rsidRPr="00EA33F1">
        <w:rPr>
          <w:rFonts w:asciiTheme="majorHAnsi" w:hAnsiTheme="majorHAnsi"/>
          <w:color w:val="auto"/>
          <w:sz w:val="16"/>
          <w:szCs w:val="16"/>
          <w:lang w:val="es-CO"/>
        </w:rPr>
        <w:t xml:space="preserve">En el mismo sentido, véase, CIDH. </w:t>
      </w:r>
      <w:r w:rsidRPr="00EA33F1">
        <w:rPr>
          <w:rFonts w:asciiTheme="majorHAnsi" w:hAnsiTheme="majorHAnsi"/>
          <w:sz w:val="16"/>
          <w:szCs w:val="16"/>
          <w:lang w:val="es-CO"/>
        </w:rPr>
        <w:t xml:space="preserve">Relatoría Especial para la Libertad de Expresión. </w:t>
      </w:r>
      <w:r w:rsidRPr="00EA33F1">
        <w:rPr>
          <w:rFonts w:asciiTheme="majorHAnsi" w:hAnsiTheme="majorHAnsi"/>
          <w:i/>
          <w:sz w:val="16"/>
          <w:szCs w:val="16"/>
          <w:lang w:val="es-CO"/>
        </w:rPr>
        <w:t>Estándares de libertad de expresión para una radiodifusión libre e incluyente, supra</w:t>
      </w:r>
      <w:r w:rsidRPr="00EA33F1">
        <w:rPr>
          <w:rFonts w:asciiTheme="majorHAnsi" w:hAnsiTheme="majorHAnsi"/>
          <w:iCs/>
          <w:sz w:val="16"/>
          <w:szCs w:val="16"/>
          <w:lang w:val="es-CO"/>
        </w:rPr>
        <w:t>. Párrs. 116 y 117.</w:t>
      </w:r>
    </w:p>
  </w:footnote>
  <w:footnote w:id="65">
    <w:p w14:paraId="53162480" w14:textId="77777777" w:rsidR="00B95258" w:rsidRPr="00EA33F1" w:rsidRDefault="00B95258" w:rsidP="00EA33F1">
      <w:pPr>
        <w:pStyle w:val="FootnoteText"/>
        <w:tabs>
          <w:tab w:val="left" w:pos="567"/>
        </w:tabs>
        <w:rPr>
          <w:lang w:val="es-CO"/>
        </w:rPr>
      </w:pPr>
      <w:r w:rsidRPr="00EA33F1">
        <w:rPr>
          <w:rStyle w:val="FootnoteReference"/>
        </w:rPr>
        <w:footnoteRef/>
      </w:r>
      <w:r w:rsidRPr="00EA33F1">
        <w:rPr>
          <w:lang w:val="es-PE"/>
        </w:rPr>
        <w:t xml:space="preserve"> </w:t>
      </w:r>
      <w:r w:rsidRPr="00EA33F1">
        <w:rPr>
          <w:lang w:val="es-ES_tradnl"/>
        </w:rPr>
        <w:t xml:space="preserve">Corte IDH. </w:t>
      </w:r>
      <w:r w:rsidRPr="00EA33F1">
        <w:rPr>
          <w:i/>
          <w:lang w:val="es-UY"/>
        </w:rPr>
        <w:t>Caso Granier y otros (Radio Caracas Televisión) Vs. Venezuela</w:t>
      </w:r>
      <w:r w:rsidRPr="00EA33F1">
        <w:rPr>
          <w:lang w:val="es-UY"/>
        </w:rPr>
        <w:t xml:space="preserve">, </w:t>
      </w:r>
      <w:r w:rsidRPr="00EA33F1">
        <w:rPr>
          <w:i/>
          <w:iCs/>
          <w:lang w:val="es-UY"/>
        </w:rPr>
        <w:t>supra</w:t>
      </w:r>
      <w:r w:rsidRPr="00EA33F1">
        <w:rPr>
          <w:lang w:val="es-UY"/>
        </w:rPr>
        <w:t xml:space="preserve">. Párr. 145. En el caso Granier la Corte se refirió al </w:t>
      </w:r>
      <w:r w:rsidRPr="00EA33F1">
        <w:rPr>
          <w:lang w:val="es-PE"/>
        </w:rPr>
        <w:t xml:space="preserve">caso </w:t>
      </w:r>
      <w:r w:rsidRPr="00EA33F1">
        <w:rPr>
          <w:bCs/>
          <w:i/>
          <w:iCs/>
          <w:lang w:val="es-PE"/>
        </w:rPr>
        <w:t xml:space="preserve">Centro Europa 7 s.r.l. y Di Stefano Vs. Italia, </w:t>
      </w:r>
      <w:r w:rsidRPr="00EA33F1">
        <w:rPr>
          <w:bCs/>
          <w:lang w:val="es-PE"/>
        </w:rPr>
        <w:t xml:space="preserve">en el cual </w:t>
      </w:r>
      <w:r w:rsidRPr="00EA33F1">
        <w:rPr>
          <w:bCs/>
          <w:iCs/>
          <w:lang w:val="es-PE"/>
        </w:rPr>
        <w:t xml:space="preserve">el Tribunal Europeo indicó que además de un deber negativo de no interferencia, el Estado tiene una obligación positiva de contar con un marco administrativo y legislativo adecuado para garantizar el pluralismo y la diversidad. </w:t>
      </w:r>
      <w:r w:rsidRPr="00EA33F1">
        <w:rPr>
          <w:lang w:val="es-PE"/>
        </w:rPr>
        <w:t>Asimismo</w:t>
      </w:r>
      <w:r w:rsidRPr="00EA33F1">
        <w:rPr>
          <w:bCs/>
          <w:i/>
          <w:iCs/>
          <w:lang w:val="es-CO"/>
        </w:rPr>
        <w:t>,</w:t>
      </w:r>
      <w:r w:rsidRPr="00EA33F1">
        <w:rPr>
          <w:bCs/>
          <w:iCs/>
          <w:lang w:val="es-CO"/>
        </w:rPr>
        <w:t xml:space="preserve"> al determinar que existía una obligación positiva de los Estados de adecuar su marco legislativo y administrativo para garantizar el pluralismo efectivo, el Tribunal retomó la Recomendación CM/Rec(2007)2 del Consejo de Ministros sobre la pluralidad de los medios y la diversidad de contenido de los medios, reafirmando que: </w:t>
      </w:r>
      <w:r w:rsidRPr="00EA33F1">
        <w:rPr>
          <w:lang w:val="es-CO"/>
        </w:rPr>
        <w:t>“</w:t>
      </w:r>
      <w:r w:rsidRPr="00EA33F1">
        <w:rPr>
          <w:bCs/>
          <w:iCs/>
          <w:lang w:val="es-CO"/>
        </w:rPr>
        <w:t>con la finalidad de proteger y promover activamente las expresiones pluralistas de ideas y opiniones, así como la diversidad cultural, los Estados miembros tienen que adaptar los marcos regulatorios existentes, particularmente con respecto a la propiedad de los medios de comunicación y adoptar cualquier medida regulatoria y financiera adecuada para garantizar la transparencia de los medios de comunicación y el pluralismo estructural, así como la diversidad del contenido distribuido</w:t>
      </w:r>
      <w:r w:rsidRPr="00EA33F1">
        <w:rPr>
          <w:lang w:val="es-CO"/>
        </w:rPr>
        <w:t xml:space="preserve">”. </w:t>
      </w:r>
      <w:r w:rsidRPr="00EA33F1">
        <w:rPr>
          <w:bCs/>
          <w:i/>
          <w:iCs/>
          <w:lang w:val="es-CR"/>
        </w:rPr>
        <w:t xml:space="preserve">Caso Centro Europa 7 s.r.l. y Di Stefano Vs. </w:t>
      </w:r>
      <w:r w:rsidRPr="00EA33F1">
        <w:rPr>
          <w:bCs/>
          <w:i/>
          <w:iCs/>
          <w:lang w:val="es-CO"/>
        </w:rPr>
        <w:t>Italia</w:t>
      </w:r>
      <w:r w:rsidRPr="00EA33F1">
        <w:rPr>
          <w:bCs/>
          <w:iCs/>
          <w:lang w:val="es-CO"/>
        </w:rPr>
        <w:t xml:space="preserve"> </w:t>
      </w:r>
      <w:r w:rsidRPr="00EA33F1">
        <w:rPr>
          <w:spacing w:val="-2"/>
          <w:lang w:val="es-ES"/>
        </w:rPr>
        <w:t>[Gran Sala]</w:t>
      </w:r>
      <w:r w:rsidRPr="00EA33F1">
        <w:rPr>
          <w:bCs/>
          <w:iCs/>
          <w:lang w:val="es-CO"/>
        </w:rPr>
        <w:t>. No.38433/09. Sentencia de 7 de junio de 2012. Párrs.129 a 134.</w:t>
      </w:r>
    </w:p>
  </w:footnote>
  <w:footnote w:id="66">
    <w:p w14:paraId="138333DF" w14:textId="77777777" w:rsidR="00B95258" w:rsidRPr="00EA33F1" w:rsidRDefault="00B95258" w:rsidP="00EA33F1">
      <w:pPr>
        <w:pStyle w:val="FootnoteText"/>
        <w:rPr>
          <w:rFonts w:cs="Arial"/>
          <w:lang w:val="es-ES_tradnl"/>
        </w:rPr>
      </w:pPr>
      <w:r w:rsidRPr="00EA33F1">
        <w:rPr>
          <w:rFonts w:cs="Arial"/>
          <w:vertAlign w:val="superscript"/>
          <w:lang w:val="es-ES_tradnl"/>
        </w:rPr>
        <w:footnoteRef/>
      </w:r>
      <w:r w:rsidRPr="00EA33F1">
        <w:rPr>
          <w:rFonts w:cs="Arial"/>
          <w:vertAlign w:val="superscript"/>
          <w:lang w:val="es-ES_tradnl"/>
        </w:rPr>
        <w:t xml:space="preserve"> </w:t>
      </w:r>
      <w:r w:rsidRPr="00EA33F1">
        <w:rPr>
          <w:rFonts w:cs="Arial"/>
          <w:lang w:val="es-ES_tradnl"/>
        </w:rPr>
        <w:t xml:space="preserve">“La Comisión reconoce que el Estado tiene la potestad de administrar el espectro radioeléctrico, de establecer previamente términos de duración de las concesiones y de decidir sobre su renovación a la finalización de los plazos respectivos”. CIDH. 25 de mayo de 2007. Comunicado de Prensa N° 29/07. Disponible en: </w:t>
      </w:r>
      <w:hyperlink r:id="rId12" w:history="1">
        <w:r w:rsidRPr="00EA33F1">
          <w:rPr>
            <w:rStyle w:val="Hyperlink"/>
            <w:rFonts w:cs="Arial"/>
            <w:lang w:val="es-PE"/>
          </w:rPr>
          <w:t>http://www.cidh.oas.org/Comunicados/Spanish/2007/29.07sp.htm</w:t>
        </w:r>
      </w:hyperlink>
      <w:r w:rsidRPr="00EA33F1">
        <w:rPr>
          <w:rFonts w:cs="Arial"/>
          <w:lang w:val="es-ES_tradnl"/>
        </w:rPr>
        <w:t>.</w:t>
      </w:r>
    </w:p>
  </w:footnote>
  <w:footnote w:id="67">
    <w:p w14:paraId="2B699EAC" w14:textId="77777777" w:rsidR="00B95258" w:rsidRPr="00EA33F1" w:rsidRDefault="00B95258" w:rsidP="00EA33F1">
      <w:pPr>
        <w:pStyle w:val="FootnoteText"/>
        <w:rPr>
          <w:rFonts w:cs="Arial"/>
          <w:lang w:val="es-ES_tradnl"/>
        </w:rPr>
      </w:pPr>
      <w:r w:rsidRPr="00EA33F1">
        <w:rPr>
          <w:rStyle w:val="FootnoteReference"/>
        </w:rPr>
        <w:footnoteRef/>
      </w:r>
      <w:r w:rsidRPr="00EA33F1">
        <w:rPr>
          <w:rFonts w:cs="Arial"/>
          <w:lang w:val="es-PE"/>
        </w:rPr>
        <w:t xml:space="preserve"> </w:t>
      </w:r>
      <w:r w:rsidRPr="00EA33F1">
        <w:rPr>
          <w:rFonts w:cs="Arial"/>
          <w:lang w:val="es-UY"/>
        </w:rPr>
        <w:t>CIDH. Informe Anual 2008. Volumen II:</w:t>
      </w:r>
      <w:r w:rsidRPr="00EA33F1">
        <w:rPr>
          <w:rFonts w:cs="Arial"/>
          <w:i/>
          <w:lang w:val="es-UY"/>
        </w:rPr>
        <w:t xml:space="preserve"> </w:t>
      </w:r>
      <w:r w:rsidRPr="00EA33F1">
        <w:rPr>
          <w:rFonts w:cs="Arial"/>
          <w:lang w:val="es-UY"/>
        </w:rPr>
        <w:t>Informe Anual de la Relatoría Especial para la Libertad de Expresión. Capítulo IV. P</w:t>
      </w:r>
      <w:r w:rsidRPr="00EA33F1">
        <w:rPr>
          <w:rFonts w:cs="Arial"/>
          <w:lang w:val="es-ES_tradnl"/>
        </w:rPr>
        <w:t>árr. 82, y</w:t>
      </w:r>
      <w:r w:rsidRPr="00EA33F1">
        <w:rPr>
          <w:color w:val="auto"/>
          <w:lang w:val="es-CO"/>
        </w:rPr>
        <w:t xml:space="preserve"> </w:t>
      </w:r>
      <w:r w:rsidRPr="00EA33F1">
        <w:rPr>
          <w:lang w:val="es-CO"/>
        </w:rPr>
        <w:t xml:space="preserve">Relatoría Especial para la Libertad de Expresión. </w:t>
      </w:r>
      <w:r w:rsidRPr="00EA33F1">
        <w:rPr>
          <w:i/>
          <w:lang w:val="es-CO"/>
        </w:rPr>
        <w:t>Estándares de libertad de expresión para una radiodifusión libre e incluyente, supra</w:t>
      </w:r>
      <w:r w:rsidRPr="00EA33F1">
        <w:rPr>
          <w:iCs/>
          <w:lang w:val="es-CO"/>
        </w:rPr>
        <w:t>. Párrs. 9-10, y 24.</w:t>
      </w:r>
    </w:p>
  </w:footnote>
  <w:footnote w:id="68">
    <w:p w14:paraId="0DF8E9DB"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w:t>
      </w:r>
      <w:r w:rsidRPr="00EA33F1">
        <w:rPr>
          <w:color w:val="auto"/>
          <w:lang w:val="es-CO"/>
        </w:rPr>
        <w:t xml:space="preserve">CIDH. </w:t>
      </w:r>
      <w:r w:rsidRPr="00EA33F1">
        <w:rPr>
          <w:lang w:val="es-CO"/>
        </w:rPr>
        <w:t xml:space="preserve">Relatoría Especial para la Libertad de Expresión. </w:t>
      </w:r>
      <w:r w:rsidRPr="00EA33F1">
        <w:rPr>
          <w:i/>
          <w:lang w:val="es-CO"/>
        </w:rPr>
        <w:t>Estándares de libertad de expresión para una radiodifusión libre e incluyente, supra</w:t>
      </w:r>
      <w:r w:rsidRPr="00EA33F1">
        <w:rPr>
          <w:iCs/>
          <w:lang w:val="es-CO"/>
        </w:rPr>
        <w:t>. Párrs. 60-61.</w:t>
      </w:r>
    </w:p>
  </w:footnote>
  <w:footnote w:id="69">
    <w:p w14:paraId="213020F8" w14:textId="77777777" w:rsidR="00B95258" w:rsidRPr="00EA33F1" w:rsidRDefault="00B95258" w:rsidP="00EA33F1">
      <w:pPr>
        <w:pStyle w:val="FootnoteText"/>
        <w:rPr>
          <w:rFonts w:cs="Arial"/>
          <w:lang w:val="es-PE"/>
        </w:rPr>
      </w:pPr>
      <w:r w:rsidRPr="00EA33F1">
        <w:rPr>
          <w:rStyle w:val="FootnoteReference"/>
        </w:rPr>
        <w:footnoteRef/>
      </w:r>
      <w:r w:rsidRPr="00EA33F1">
        <w:rPr>
          <w:lang w:val="es-PE"/>
        </w:rPr>
        <w:t xml:space="preserve"> </w:t>
      </w:r>
      <w:r w:rsidRPr="00EA33F1">
        <w:rPr>
          <w:lang w:val="es-ES_tradnl"/>
        </w:rPr>
        <w:t xml:space="preserve">Corte IDH. </w:t>
      </w:r>
      <w:r w:rsidRPr="00EA33F1">
        <w:rPr>
          <w:i/>
          <w:iCs/>
          <w:lang w:val="es-ES_tradnl"/>
        </w:rPr>
        <w:t xml:space="preserve">La Colegiación Obligatoria de Periodistas (Arts. 13 y 29 de la Convención Americana sobre Derechos Humanos), supra. </w:t>
      </w:r>
      <w:r w:rsidRPr="00EA33F1">
        <w:rPr>
          <w:lang w:val="es-ES_tradnl"/>
        </w:rPr>
        <w:t>Párr. 34.</w:t>
      </w:r>
    </w:p>
  </w:footnote>
  <w:footnote w:id="70">
    <w:p w14:paraId="4E6D9C97" w14:textId="77777777" w:rsidR="00B95258" w:rsidRPr="00EA33F1" w:rsidRDefault="00B95258" w:rsidP="00EA33F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16"/>
          <w:szCs w:val="16"/>
          <w:lang w:val="es-ES"/>
        </w:rPr>
      </w:pPr>
      <w:r w:rsidRPr="00EA33F1">
        <w:rPr>
          <w:rStyle w:val="FootnoteReference"/>
          <w:rFonts w:asciiTheme="majorHAnsi" w:hAnsiTheme="majorHAnsi"/>
          <w:sz w:val="16"/>
          <w:szCs w:val="16"/>
        </w:rPr>
        <w:footnoteRef/>
      </w:r>
      <w:r w:rsidRPr="00EA33F1">
        <w:rPr>
          <w:rFonts w:asciiTheme="majorHAnsi" w:hAnsiTheme="majorHAnsi"/>
          <w:sz w:val="16"/>
          <w:szCs w:val="16"/>
          <w:lang w:val="es-PE"/>
        </w:rPr>
        <w:t xml:space="preserve"> </w:t>
      </w:r>
      <w:r w:rsidRPr="00EA33F1">
        <w:rPr>
          <w:rFonts w:asciiTheme="majorHAnsi" w:hAnsiTheme="majorHAnsi"/>
          <w:sz w:val="16"/>
          <w:szCs w:val="16"/>
          <w:lang w:val="es-ES"/>
        </w:rPr>
        <w:t>La Declaración de Principios establece al respecto que: [l]a utilización del […] otorgamiento de frecuencias de radio y televisión, entre otros, con el objetivo de presionar y castigar o premiar y privilegiar a los comunicadores sociales y a los medios de comunicación en función de sus líneas informativas, atenta contra la libertad de expresión y deben estar expresamente prohibidos por la ley. […]”.</w:t>
      </w:r>
    </w:p>
  </w:footnote>
  <w:footnote w:id="71">
    <w:p w14:paraId="5E1D262B"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w:t>
      </w:r>
      <w:r w:rsidRPr="00EA33F1">
        <w:rPr>
          <w:lang w:val="es-UY"/>
        </w:rPr>
        <w:t>Al respecto, el principio 12 de la Declaración de Principios ha destacado que “[l]as asignaciones</w:t>
      </w:r>
      <w:r w:rsidRPr="00EA33F1">
        <w:rPr>
          <w:b/>
          <w:lang w:val="es-UY"/>
        </w:rPr>
        <w:t xml:space="preserve"> </w:t>
      </w:r>
      <w:r w:rsidRPr="00EA33F1">
        <w:rPr>
          <w:lang w:val="es-UY"/>
        </w:rPr>
        <w:t>de radio y televisión deben considerar criterios democráticos que garanticen una igualdad de oportunidades para todos los individuos en el acceso a los mismos”.</w:t>
      </w:r>
    </w:p>
  </w:footnote>
  <w:footnote w:id="72">
    <w:p w14:paraId="1F4E2D3E" w14:textId="77777777" w:rsidR="00B95258" w:rsidRPr="00EA33F1" w:rsidRDefault="00B95258" w:rsidP="00EA33F1">
      <w:pPr>
        <w:pStyle w:val="FootnoteText"/>
        <w:rPr>
          <w:rFonts w:cs="Arial"/>
          <w:lang w:val="es-PE"/>
        </w:rPr>
      </w:pPr>
      <w:r w:rsidRPr="00EA33F1">
        <w:rPr>
          <w:rStyle w:val="FootnoteReference"/>
        </w:rPr>
        <w:footnoteRef/>
      </w:r>
      <w:r w:rsidRPr="00EA33F1">
        <w:rPr>
          <w:rFonts w:cs="Arial"/>
          <w:lang w:val="es-PE"/>
        </w:rPr>
        <w:t xml:space="preserve"> </w:t>
      </w:r>
      <w:r w:rsidRPr="00EA33F1">
        <w:rPr>
          <w:lang w:val="es-PE"/>
        </w:rPr>
        <w:t xml:space="preserve">Relatoría Especial para la Libertad de Expresión. </w:t>
      </w:r>
      <w:r w:rsidRPr="00EA33F1">
        <w:rPr>
          <w:lang w:val="es-ES_tradnl"/>
        </w:rPr>
        <w:t>12 de diciembre de 2007. Declaración Conjunta sobre diversidad en la radiodifusión.</w:t>
      </w:r>
    </w:p>
  </w:footnote>
  <w:footnote w:id="73">
    <w:p w14:paraId="152A7366"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El artículo 16 de la Declaración de las Naciones Unidas sobre los Derechos de los Pueblos Indígenas establece que: “1. Los pueblos indígenas tienen derecho a establecer sus propios medios de información en sus propios idiomas y a acceder a todos los demás medios de información no indígenas sin discriminación alguna”; y que, “2. Los Estados adoptarán medidas eficaces para asegurar que los medios de información públicos reflejen debidamente la diversidad cultural indígena. Los Estados, sin perjuicio de la obligación de asegurar plenamente la libertad de expresión, deberán alentar a los medios de comunicación privados a reflejar debidamente la diversidad cultural indígena”. Declaración de las Naciones Unidas sobre los Derechos de los Pueblos Indígenas, aprobada por la Asamblea General, 30 de diciembre de 2007.</w:t>
      </w:r>
    </w:p>
  </w:footnote>
  <w:footnote w:id="74">
    <w:p w14:paraId="1899DBA9" w14:textId="77777777" w:rsidR="00B95258" w:rsidRPr="00EA33F1" w:rsidRDefault="00B95258" w:rsidP="00EA33F1">
      <w:pPr>
        <w:jc w:val="both"/>
        <w:rPr>
          <w:rFonts w:asciiTheme="majorHAnsi" w:hAnsiTheme="majorHAnsi"/>
          <w:sz w:val="16"/>
          <w:szCs w:val="16"/>
          <w:lang w:val="es-PE"/>
        </w:rPr>
      </w:pPr>
      <w:r w:rsidRPr="00EA33F1">
        <w:rPr>
          <w:rStyle w:val="FootnoteReference"/>
          <w:rFonts w:asciiTheme="majorHAnsi" w:hAnsiTheme="majorHAnsi"/>
          <w:sz w:val="16"/>
          <w:szCs w:val="16"/>
        </w:rPr>
        <w:footnoteRef/>
      </w:r>
      <w:r w:rsidRPr="00EA33F1">
        <w:rPr>
          <w:rFonts w:asciiTheme="majorHAnsi" w:hAnsiTheme="majorHAnsi"/>
          <w:sz w:val="16"/>
          <w:szCs w:val="16"/>
          <w:lang w:val="es-PE"/>
        </w:rPr>
        <w:t xml:space="preserve"> El artículo XIV de la Declaración Americana sobre los Derechos de los Pueblos Indígenas dispone que: “Artículo XIV. Sistemas de conocimientos, lenguaje y comunicación. 1. Los pueblos indígenas tienen el derecho a preservar, usar, desarrollar, revitalizar y transmitir a generaciones futuras sus propias historias, lenguas, tradiciones orales, filosofías, sistemas de conocimientos, escritura y literatura; y a designar y mantener sus propios nombres para sus comunidades, individuos y lugares. 2. Los Estados deberán adoptar medidas adecuadas y eficaces para proteger el ejercicio de este derecho con la participación plena y efectiva de los pueblos indígenas. 3. Los pueblos indígenas, tienen derecho a promover y desarrollar todos sus sistemas y medios de comunicación, incluidos sus propios programas de radio y televisión, y acceder en pie de igualdad a todos los demás medios de comunicación e información. Los Estados tomarán medidas para promover la transmisión de programas de radio y televisión en lengua indígena, particularmente en regiones de presencia indígena. Los Estados apoyarán y facilitarán la creación de radioemisoras y televisoras indígenas, así como otros medios de información y comunicación. 4. Los Estados, en conjunto con los pueblos indígenas, realizarán esfuerzos para que dichos pueblos puedan comprender y hacerse comprender en sus propias lenguas en procesos administrativos, políticos y judiciales, facilitándoles, si fuere necesario, intérpretes u otros medios eficaces”. Declaración Americana sobre los Derechos de los Pueblos Indígenas. AG/RES. 2888 (XLVI-O/16). Aprobada en la segunda sesión plenaria, celebrada el 14 de junio de 2016.</w:t>
      </w:r>
    </w:p>
  </w:footnote>
  <w:footnote w:id="75">
    <w:p w14:paraId="618CA06F" w14:textId="77777777" w:rsidR="00B95258" w:rsidRPr="00EA33F1" w:rsidRDefault="00B95258" w:rsidP="00EA33F1">
      <w:pPr>
        <w:pStyle w:val="Default"/>
        <w:jc w:val="both"/>
        <w:rPr>
          <w:rFonts w:asciiTheme="majorHAnsi" w:hAnsiTheme="majorHAnsi"/>
          <w:color w:val="auto"/>
          <w:sz w:val="16"/>
          <w:szCs w:val="16"/>
          <w:lang w:val="es-ES"/>
        </w:rPr>
      </w:pPr>
      <w:r w:rsidRPr="00EA33F1">
        <w:rPr>
          <w:rStyle w:val="FootnoteReference"/>
          <w:rFonts w:asciiTheme="majorHAnsi" w:eastAsia="Trebuchet MS" w:hAnsiTheme="majorHAnsi"/>
          <w:color w:val="auto"/>
          <w:sz w:val="16"/>
          <w:szCs w:val="16"/>
        </w:rPr>
        <w:footnoteRef/>
      </w:r>
      <w:r w:rsidRPr="00EA33F1">
        <w:rPr>
          <w:rFonts w:asciiTheme="majorHAnsi" w:hAnsiTheme="majorHAnsi"/>
          <w:color w:val="auto"/>
          <w:sz w:val="16"/>
          <w:szCs w:val="16"/>
          <w:lang w:val="es-ES"/>
        </w:rPr>
        <w:t xml:space="preserve"> </w:t>
      </w:r>
      <w:r w:rsidRPr="00EA33F1">
        <w:rPr>
          <w:rFonts w:asciiTheme="majorHAnsi" w:hAnsiTheme="majorHAnsi"/>
          <w:sz w:val="16"/>
          <w:szCs w:val="16"/>
          <w:lang w:val="es-CO"/>
        </w:rPr>
        <w:t xml:space="preserve">CIDH. Justicia e inclusión social: Los desafíos de la democracia en Guatemala. Capítulo VII: La situación de la libertad de expresión. Párr. 414; </w:t>
      </w:r>
      <w:r w:rsidRPr="00EA33F1">
        <w:rPr>
          <w:rFonts w:asciiTheme="majorHAnsi" w:hAnsiTheme="majorHAnsi"/>
          <w:color w:val="auto"/>
          <w:sz w:val="16"/>
          <w:szCs w:val="16"/>
          <w:lang w:val="es-CO"/>
        </w:rPr>
        <w:t>Informe Anual 2002. Volumen III: Informe de la Relatoría Especial para la Libertad de Expresión.</w:t>
      </w:r>
      <w:r w:rsidRPr="00EA33F1">
        <w:rPr>
          <w:rFonts w:asciiTheme="majorHAnsi" w:hAnsiTheme="majorHAnsi"/>
          <w:iCs/>
          <w:color w:val="auto"/>
          <w:sz w:val="16"/>
          <w:szCs w:val="16"/>
          <w:lang w:val="es-CO"/>
        </w:rPr>
        <w:t xml:space="preserve"> Capítulo IV: Libertad de expresión y pobreza</w:t>
      </w:r>
      <w:r w:rsidRPr="00EA33F1">
        <w:rPr>
          <w:rFonts w:asciiTheme="majorHAnsi" w:hAnsiTheme="majorHAnsi"/>
          <w:color w:val="auto"/>
          <w:sz w:val="16"/>
          <w:szCs w:val="16"/>
          <w:lang w:val="es-CO"/>
        </w:rPr>
        <w:t xml:space="preserve">. Párr. 41. Disponible en: </w:t>
      </w:r>
      <w:hyperlink r:id="rId13" w:history="1">
        <w:r w:rsidRPr="00EA33F1">
          <w:rPr>
            <w:rStyle w:val="Hyperlink"/>
            <w:rFonts w:asciiTheme="majorHAnsi" w:hAnsiTheme="majorHAnsi"/>
            <w:sz w:val="16"/>
            <w:szCs w:val="16"/>
            <w:lang w:val="es-PE"/>
          </w:rPr>
          <w:t>http://www.oas.org/es/cidh/expresion/informes/anuales.asp</w:t>
        </w:r>
      </w:hyperlink>
      <w:r w:rsidRPr="00EA33F1">
        <w:rPr>
          <w:rFonts w:asciiTheme="majorHAnsi" w:hAnsiTheme="majorHAnsi"/>
          <w:sz w:val="16"/>
          <w:szCs w:val="16"/>
          <w:lang w:val="es-PE"/>
        </w:rPr>
        <w:t xml:space="preserve">, </w:t>
      </w:r>
      <w:r w:rsidRPr="00EA33F1">
        <w:rPr>
          <w:rFonts w:asciiTheme="majorHAnsi" w:hAnsiTheme="majorHAnsi"/>
          <w:color w:val="auto"/>
          <w:sz w:val="16"/>
          <w:szCs w:val="16"/>
          <w:lang w:val="es-CO"/>
        </w:rPr>
        <w:t xml:space="preserve"> y </w:t>
      </w:r>
      <w:r w:rsidRPr="00EA33F1">
        <w:rPr>
          <w:rFonts w:asciiTheme="majorHAnsi" w:hAnsiTheme="majorHAnsi"/>
          <w:sz w:val="16"/>
          <w:szCs w:val="16"/>
          <w:lang w:val="es-CO"/>
        </w:rPr>
        <w:t xml:space="preserve">Relatoría Especial para la Libertad de Expresión. </w:t>
      </w:r>
      <w:r w:rsidRPr="00EA33F1">
        <w:rPr>
          <w:rFonts w:asciiTheme="majorHAnsi" w:hAnsiTheme="majorHAnsi"/>
          <w:i/>
          <w:sz w:val="16"/>
          <w:szCs w:val="16"/>
          <w:lang w:val="es-CO"/>
        </w:rPr>
        <w:t>Estándares de libertad de expresión para una radiodifusión libre e incluyente, supra</w:t>
      </w:r>
      <w:r w:rsidRPr="00EA33F1">
        <w:rPr>
          <w:rFonts w:asciiTheme="majorHAnsi" w:hAnsiTheme="majorHAnsi"/>
          <w:iCs/>
          <w:sz w:val="16"/>
          <w:szCs w:val="16"/>
          <w:lang w:val="es-CO"/>
        </w:rPr>
        <w:t>. Págs. 26-27.</w:t>
      </w:r>
    </w:p>
  </w:footnote>
  <w:footnote w:id="76">
    <w:p w14:paraId="6AF3AB72"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CIDH. Informe Anual 2002. Volumen </w:t>
      </w:r>
      <w:r w:rsidRPr="00EA33F1">
        <w:rPr>
          <w:lang w:val="es-AR"/>
        </w:rPr>
        <w:t>III: Informe de la Relatoría Especial para la Libertad de Expresión. Capítulo IV:</w:t>
      </w:r>
      <w:r w:rsidRPr="00EA33F1">
        <w:rPr>
          <w:lang w:val="es-ES_tradnl"/>
        </w:rPr>
        <w:t xml:space="preserve"> Libertad de expresión y pobreza</w:t>
      </w:r>
      <w:r w:rsidRPr="00EA33F1">
        <w:rPr>
          <w:lang w:val="es-AR"/>
        </w:rPr>
        <w:t>. Párrs. 37-38, y 41.</w:t>
      </w:r>
    </w:p>
  </w:footnote>
  <w:footnote w:id="77">
    <w:p w14:paraId="21052E8D" w14:textId="77777777" w:rsidR="00B95258" w:rsidRPr="00EA33F1" w:rsidRDefault="00B95258" w:rsidP="00EA33F1">
      <w:pPr>
        <w:pStyle w:val="Default"/>
        <w:jc w:val="both"/>
        <w:rPr>
          <w:rFonts w:asciiTheme="majorHAnsi" w:hAnsiTheme="majorHAnsi"/>
          <w:color w:val="auto"/>
          <w:sz w:val="16"/>
          <w:szCs w:val="16"/>
          <w:lang w:val="es-ES"/>
        </w:rPr>
      </w:pPr>
      <w:r w:rsidRPr="00EA33F1">
        <w:rPr>
          <w:rStyle w:val="FootnoteReference"/>
          <w:rFonts w:asciiTheme="majorHAnsi" w:eastAsia="Trebuchet MS" w:hAnsiTheme="majorHAnsi"/>
          <w:color w:val="auto"/>
          <w:sz w:val="16"/>
          <w:szCs w:val="16"/>
        </w:rPr>
        <w:footnoteRef/>
      </w:r>
      <w:r w:rsidRPr="00EA33F1">
        <w:rPr>
          <w:rFonts w:asciiTheme="majorHAnsi" w:hAnsiTheme="majorHAnsi"/>
          <w:color w:val="auto"/>
          <w:position w:val="6"/>
          <w:sz w:val="16"/>
          <w:szCs w:val="16"/>
          <w:vertAlign w:val="superscript"/>
          <w:lang w:val="es-CO"/>
        </w:rPr>
        <w:t xml:space="preserve"> </w:t>
      </w:r>
      <w:r w:rsidRPr="00EA33F1">
        <w:rPr>
          <w:rFonts w:asciiTheme="majorHAnsi" w:hAnsiTheme="majorHAnsi"/>
          <w:sz w:val="16"/>
          <w:szCs w:val="16"/>
          <w:lang w:val="es-CO"/>
        </w:rPr>
        <w:t xml:space="preserve">CIDH. Justicia e inclusión social: Los desafíos de la democracia en Guatemala. Capítulo VII: La situación de la libertad de expresión. Párr. 414. </w:t>
      </w:r>
    </w:p>
  </w:footnote>
  <w:footnote w:id="78">
    <w:p w14:paraId="5ED78DB2" w14:textId="77777777" w:rsidR="00B95258" w:rsidRPr="00EA33F1" w:rsidRDefault="00B95258" w:rsidP="00EA33F1">
      <w:pPr>
        <w:pStyle w:val="FootnoteText"/>
        <w:rPr>
          <w:lang w:val="es-UY"/>
        </w:rPr>
      </w:pPr>
      <w:r w:rsidRPr="00EA33F1">
        <w:rPr>
          <w:rStyle w:val="FootnoteReference"/>
        </w:rPr>
        <w:footnoteRef/>
      </w:r>
      <w:r w:rsidRPr="00EA33F1">
        <w:rPr>
          <w:lang w:val="es-PE"/>
        </w:rPr>
        <w:t xml:space="preserve"> </w:t>
      </w:r>
      <w:r w:rsidRPr="00EA33F1">
        <w:rPr>
          <w:rFonts w:cs="Arial"/>
          <w:lang w:val="es-UY"/>
        </w:rPr>
        <w:t xml:space="preserve">CIDH. Informe Anual 2008. Volumen II: Informe Anual de la Relatoría Especial para la Libertad de Expresión. Capítulo IV. Párr. 100, y </w:t>
      </w:r>
      <w:r w:rsidRPr="00EA33F1">
        <w:rPr>
          <w:lang w:val="es-CO"/>
        </w:rPr>
        <w:t xml:space="preserve">Relatoría Especial para la Libertad de Expresión. </w:t>
      </w:r>
      <w:r w:rsidRPr="00EA33F1">
        <w:rPr>
          <w:i/>
          <w:lang w:val="es-CO"/>
        </w:rPr>
        <w:t>Estándares de libertad de expresión para una radiodifusión libre e incluyente, supra</w:t>
      </w:r>
      <w:r w:rsidRPr="00EA33F1">
        <w:rPr>
          <w:iCs/>
          <w:lang w:val="es-CO"/>
        </w:rPr>
        <w:t>. Págs. 26-27.</w:t>
      </w:r>
    </w:p>
  </w:footnote>
  <w:footnote w:id="79">
    <w:p w14:paraId="0E63C188" w14:textId="77777777" w:rsidR="00B95258" w:rsidRPr="00EA33F1" w:rsidRDefault="00B95258" w:rsidP="00EA33F1">
      <w:pPr>
        <w:pStyle w:val="Default"/>
        <w:tabs>
          <w:tab w:val="left" w:pos="8820"/>
        </w:tabs>
        <w:jc w:val="both"/>
        <w:rPr>
          <w:rFonts w:asciiTheme="majorHAnsi" w:hAnsiTheme="majorHAnsi"/>
          <w:color w:val="auto"/>
          <w:sz w:val="16"/>
          <w:szCs w:val="16"/>
          <w:lang w:val="es-ES"/>
        </w:rPr>
      </w:pPr>
      <w:r w:rsidRPr="00EA33F1">
        <w:rPr>
          <w:rStyle w:val="FootnoteReference"/>
          <w:rFonts w:asciiTheme="majorHAnsi" w:eastAsia="Trebuchet MS" w:hAnsiTheme="majorHAnsi"/>
          <w:color w:val="auto"/>
          <w:sz w:val="16"/>
          <w:szCs w:val="16"/>
        </w:rPr>
        <w:footnoteRef/>
      </w:r>
      <w:r w:rsidRPr="00EA33F1">
        <w:rPr>
          <w:rFonts w:asciiTheme="majorHAnsi" w:hAnsiTheme="majorHAnsi"/>
          <w:color w:val="auto"/>
          <w:sz w:val="16"/>
          <w:szCs w:val="16"/>
          <w:lang w:val="es-ES"/>
        </w:rPr>
        <w:t xml:space="preserve"> </w:t>
      </w:r>
      <w:r w:rsidRPr="00EA33F1">
        <w:rPr>
          <w:rFonts w:asciiTheme="majorHAnsi" w:hAnsiTheme="majorHAnsi"/>
          <w:color w:val="auto"/>
          <w:sz w:val="16"/>
          <w:szCs w:val="16"/>
          <w:lang w:val="es-UY"/>
        </w:rPr>
        <w:t xml:space="preserve">CIDH. Informe Anual 2008. Volumen II: Informe Anual de la Relatoría Especial para la Libertad de Expresión. Capítulo III. Párr. </w:t>
      </w:r>
      <w:r w:rsidRPr="00EA33F1">
        <w:rPr>
          <w:rFonts w:asciiTheme="majorHAnsi" w:hAnsiTheme="majorHAnsi"/>
          <w:color w:val="auto"/>
          <w:sz w:val="16"/>
          <w:szCs w:val="16"/>
          <w:lang w:val="es-ES"/>
        </w:rPr>
        <w:t xml:space="preserve">230. En general, sobre la obligación del Estado de garantizar los derechos sin discriminación, véase, </w:t>
      </w:r>
      <w:r w:rsidRPr="00EA33F1">
        <w:rPr>
          <w:rFonts w:asciiTheme="majorHAnsi" w:hAnsiTheme="majorHAnsi"/>
          <w:sz w:val="16"/>
          <w:szCs w:val="16"/>
          <w:lang w:val="es-ES_tradnl"/>
        </w:rPr>
        <w:t xml:space="preserve">Corte IDH. </w:t>
      </w:r>
      <w:r w:rsidRPr="00EA33F1">
        <w:rPr>
          <w:rFonts w:asciiTheme="majorHAnsi" w:hAnsiTheme="majorHAnsi"/>
          <w:i/>
          <w:sz w:val="16"/>
          <w:szCs w:val="16"/>
          <w:lang w:val="es-ES_tradnl"/>
        </w:rPr>
        <w:t>Condición Jurídica y Derechos de los Migrantes Indocumentados.</w:t>
      </w:r>
      <w:r w:rsidRPr="00EA33F1">
        <w:rPr>
          <w:rFonts w:asciiTheme="majorHAnsi" w:hAnsiTheme="majorHAnsi"/>
          <w:sz w:val="16"/>
          <w:szCs w:val="16"/>
          <w:lang w:val="es-ES_tradnl"/>
        </w:rPr>
        <w:t xml:space="preserve"> Opinión Consultiva OC-18/03 de 17 de septiembre de 2003. Serie A No. 18</w:t>
      </w:r>
      <w:r w:rsidRPr="00EA33F1">
        <w:rPr>
          <w:rFonts w:asciiTheme="majorHAnsi" w:hAnsiTheme="majorHAnsi"/>
          <w:color w:val="auto"/>
          <w:sz w:val="16"/>
          <w:szCs w:val="16"/>
          <w:lang w:val="es-ES"/>
        </w:rPr>
        <w:t>. Párrs. 103-104</w:t>
      </w:r>
      <w:r w:rsidRPr="00EA33F1">
        <w:rPr>
          <w:rFonts w:asciiTheme="majorHAnsi" w:hAnsiTheme="majorHAnsi"/>
          <w:color w:val="auto"/>
          <w:sz w:val="16"/>
          <w:szCs w:val="16"/>
          <w:lang w:val="es-CO"/>
        </w:rPr>
        <w:t>.</w:t>
      </w:r>
    </w:p>
  </w:footnote>
  <w:footnote w:id="80">
    <w:p w14:paraId="2404260C"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w:t>
      </w:r>
      <w:r w:rsidRPr="00EA33F1">
        <w:rPr>
          <w:rFonts w:cs="Arial"/>
          <w:lang w:val="es-ES_tradnl"/>
        </w:rPr>
        <w:t xml:space="preserve">CIDH. Informe Anual 2007. Volumen II: Informe de la Relatoría </w:t>
      </w:r>
      <w:r w:rsidRPr="00EA33F1">
        <w:rPr>
          <w:lang w:val="es-AR"/>
        </w:rPr>
        <w:t>Especial</w:t>
      </w:r>
      <w:r w:rsidRPr="00EA33F1">
        <w:rPr>
          <w:rFonts w:cs="Arial"/>
          <w:lang w:val="es-ES_tradnl"/>
        </w:rPr>
        <w:t xml:space="preserve"> para la Libertad de Expresión. Capítulo III: Conclusiones y Recomendaciones</w:t>
      </w:r>
      <w:r w:rsidRPr="00EA33F1">
        <w:rPr>
          <w:rFonts w:cs="Arial"/>
          <w:lang w:val="es-PE"/>
        </w:rPr>
        <w:t>. Párr.</w:t>
      </w:r>
      <w:r w:rsidRPr="00EA33F1">
        <w:rPr>
          <w:rFonts w:cs="Arial"/>
          <w:lang w:val="es-ES_tradnl"/>
        </w:rPr>
        <w:t xml:space="preserve"> 5. Disponible en: </w:t>
      </w:r>
      <w:hyperlink r:id="rId14" w:history="1">
        <w:r w:rsidRPr="00EA33F1">
          <w:rPr>
            <w:rStyle w:val="Hyperlink"/>
            <w:lang w:val="es-PE"/>
          </w:rPr>
          <w:t>http://www.oas.org/es/cidh/expresion/informes/anuales.asp</w:t>
        </w:r>
      </w:hyperlink>
    </w:p>
  </w:footnote>
  <w:footnote w:id="81">
    <w:p w14:paraId="4E345135" w14:textId="77777777" w:rsidR="00B95258" w:rsidRPr="00EA33F1" w:rsidRDefault="00B95258" w:rsidP="00EA33F1">
      <w:pPr>
        <w:pStyle w:val="FootnoteText"/>
        <w:rPr>
          <w:lang w:val="es-PE"/>
        </w:rPr>
      </w:pPr>
      <w:r w:rsidRPr="00EA33F1">
        <w:rPr>
          <w:vertAlign w:val="superscript"/>
        </w:rPr>
        <w:footnoteRef/>
      </w:r>
      <w:r w:rsidRPr="00EA33F1">
        <w:rPr>
          <w:lang w:val="es-PE"/>
        </w:rPr>
        <w:t xml:space="preserve"> Corte IDH. </w:t>
      </w:r>
      <w:r w:rsidRPr="00EA33F1">
        <w:rPr>
          <w:i/>
          <w:lang w:val="es-PE"/>
        </w:rPr>
        <w:t>Caso Nadege Dorzema y otros Vs</w:t>
      </w:r>
      <w:r w:rsidRPr="00EA33F1">
        <w:rPr>
          <w:lang w:val="es-PE"/>
        </w:rPr>
        <w:t xml:space="preserve">. </w:t>
      </w:r>
      <w:r w:rsidRPr="00EA33F1">
        <w:rPr>
          <w:i/>
          <w:lang w:val="es-PE"/>
        </w:rPr>
        <w:t xml:space="preserve">República Dominicana. </w:t>
      </w:r>
      <w:r w:rsidRPr="00EA33F1">
        <w:rPr>
          <w:iCs/>
          <w:lang w:val="es-PE"/>
        </w:rPr>
        <w:t xml:space="preserve">Fondo, Reparaciones y Costas. </w:t>
      </w:r>
      <w:r w:rsidRPr="00EA33F1">
        <w:rPr>
          <w:lang w:val="es-PE"/>
        </w:rPr>
        <w:t>Sentencia de 24 de octubre de 2012. Serie C No. 251. Párr. 234</w:t>
      </w:r>
      <w:r w:rsidRPr="00EA33F1">
        <w:rPr>
          <w:i/>
          <w:lang w:val="es-PE"/>
        </w:rPr>
        <w:t xml:space="preserve">, </w:t>
      </w:r>
      <w:r w:rsidRPr="00EA33F1">
        <w:rPr>
          <w:lang w:val="es-PE"/>
        </w:rPr>
        <w:t xml:space="preserve">y </w:t>
      </w:r>
      <w:r w:rsidRPr="00EA33F1">
        <w:rPr>
          <w:i/>
          <w:lang w:val="es-PE"/>
        </w:rPr>
        <w:t>Caso de Personas dominicanas y haitianas expulsadas</w:t>
      </w:r>
      <w:r w:rsidRPr="00EA33F1">
        <w:rPr>
          <w:lang w:val="es-PE"/>
        </w:rPr>
        <w:t xml:space="preserve"> </w:t>
      </w:r>
      <w:r w:rsidRPr="00EA33F1">
        <w:rPr>
          <w:i/>
          <w:lang w:val="es-PE"/>
        </w:rPr>
        <w:t>Vs</w:t>
      </w:r>
      <w:r w:rsidRPr="00EA33F1">
        <w:rPr>
          <w:lang w:val="es-PE"/>
        </w:rPr>
        <w:t xml:space="preserve">. </w:t>
      </w:r>
      <w:r w:rsidRPr="00EA33F1">
        <w:rPr>
          <w:i/>
          <w:lang w:val="es-PE"/>
        </w:rPr>
        <w:t xml:space="preserve">República Dominicana. </w:t>
      </w:r>
      <w:r w:rsidRPr="00EA33F1">
        <w:rPr>
          <w:iCs/>
          <w:lang w:val="es-PE"/>
        </w:rPr>
        <w:t xml:space="preserve">Excepciones Preliminares, </w:t>
      </w:r>
      <w:r w:rsidRPr="00EA33F1">
        <w:rPr>
          <w:lang w:val="es-ES"/>
        </w:rPr>
        <w:t>Fondo, Reparaciones y Costas. Sentencia de 28 de agosto de 2014. Serie C No. 282. Párr. 263.</w:t>
      </w:r>
    </w:p>
  </w:footnote>
  <w:footnote w:id="82">
    <w:p w14:paraId="481C3698" w14:textId="77777777" w:rsidR="00B95258" w:rsidRPr="00EA33F1" w:rsidRDefault="00B95258" w:rsidP="00EA33F1">
      <w:pPr>
        <w:pStyle w:val="FootnoteText"/>
        <w:rPr>
          <w:lang w:val="es-ES"/>
        </w:rPr>
      </w:pPr>
      <w:r w:rsidRPr="00EA33F1">
        <w:rPr>
          <w:vertAlign w:val="superscript"/>
        </w:rPr>
        <w:footnoteRef/>
      </w:r>
      <w:r w:rsidRPr="00EA33F1">
        <w:rPr>
          <w:lang w:val="es-PE"/>
        </w:rPr>
        <w:t xml:space="preserve"> </w:t>
      </w:r>
      <w:r w:rsidRPr="00EA33F1">
        <w:rPr>
          <w:i/>
          <w:lang w:val="es-PE"/>
        </w:rPr>
        <w:t xml:space="preserve">Caso Nadege Dorzema y otros Vs. República Dominicana, supra. </w:t>
      </w:r>
      <w:r w:rsidRPr="00EA33F1">
        <w:rPr>
          <w:lang w:val="es-PE"/>
        </w:rPr>
        <w:t>Párrs. 234 y 235</w:t>
      </w:r>
      <w:r w:rsidRPr="00EA33F1">
        <w:rPr>
          <w:i/>
          <w:lang w:val="es-PE"/>
        </w:rPr>
        <w:t xml:space="preserve">, </w:t>
      </w:r>
      <w:r w:rsidRPr="00EA33F1">
        <w:rPr>
          <w:lang w:val="es-PE"/>
        </w:rPr>
        <w:t>y</w:t>
      </w:r>
      <w:r w:rsidRPr="00EA33F1">
        <w:rPr>
          <w:i/>
          <w:lang w:val="es-PE"/>
        </w:rPr>
        <w:t xml:space="preserve"> Caso de Personas dominicanas y haitianas expulsadas</w:t>
      </w:r>
      <w:r w:rsidRPr="00EA33F1">
        <w:rPr>
          <w:lang w:val="es-PE"/>
        </w:rPr>
        <w:t xml:space="preserve"> </w:t>
      </w:r>
      <w:r w:rsidRPr="00EA33F1">
        <w:rPr>
          <w:i/>
          <w:lang w:val="es-PE"/>
        </w:rPr>
        <w:t>Vs</w:t>
      </w:r>
      <w:r w:rsidRPr="00EA33F1">
        <w:rPr>
          <w:lang w:val="es-PE"/>
        </w:rPr>
        <w:t xml:space="preserve">. </w:t>
      </w:r>
      <w:r w:rsidRPr="00EA33F1">
        <w:rPr>
          <w:i/>
          <w:lang w:val="es-PE"/>
        </w:rPr>
        <w:t xml:space="preserve">República Dominicana, supra. </w:t>
      </w:r>
      <w:r w:rsidRPr="00EA33F1">
        <w:rPr>
          <w:lang w:val="es-ES"/>
        </w:rPr>
        <w:t xml:space="preserve">Párr. 263. </w:t>
      </w:r>
      <w:r w:rsidRPr="00EA33F1">
        <w:rPr>
          <w:lang w:val="es-PE"/>
        </w:rPr>
        <w:t>En esa oportunidad, la Corte se remitió a lo dicho por el Comité de Derechos Económicos, Sociales y Culturales,</w:t>
      </w:r>
      <w:r w:rsidRPr="00EA33F1">
        <w:rPr>
          <w:i/>
          <w:lang w:val="es-PE"/>
        </w:rPr>
        <w:t xml:space="preserve"> en su Observación General No. 20 (La no discriminación y los derechos económicos, sociales y culturales, párr. 10 inciso b). </w:t>
      </w:r>
      <w:r w:rsidRPr="00EA33F1">
        <w:rPr>
          <w:lang w:val="es-PE"/>
        </w:rPr>
        <w:t>La Corte, además, en la Sentencia referida, recordó que el Tribunal Europeo “ha establecido que cuando una política general o medida tiene un efecto desproporcionado perjudicial en un grupo particular puede ser considerada discriminatoria aún si no fue dirigida específicamente a ese grupo”, y señaló, en tal sentido, la siguiente decisión: TEDH. “</w:t>
      </w:r>
      <w:r w:rsidRPr="00EA33F1">
        <w:rPr>
          <w:i/>
          <w:lang w:val="es-PE"/>
        </w:rPr>
        <w:t>Hoogendijk Vs. Holanda</w:t>
      </w:r>
      <w:r w:rsidRPr="00EA33F1">
        <w:rPr>
          <w:lang w:val="es-PE"/>
        </w:rPr>
        <w:t>, No. 58641/00. Sección primera. Decisión de 6 de enero de 2005, pág. 21”.</w:t>
      </w:r>
    </w:p>
  </w:footnote>
  <w:footnote w:id="83">
    <w:p w14:paraId="7D6744F9" w14:textId="77777777" w:rsidR="00B95258" w:rsidRPr="00EA33F1" w:rsidRDefault="00B95258" w:rsidP="00EA33F1">
      <w:pPr>
        <w:pStyle w:val="FootnoteText"/>
        <w:rPr>
          <w:rFonts w:cs="Arial"/>
          <w:lang w:val="es-ES_tradnl"/>
        </w:rPr>
      </w:pPr>
      <w:r w:rsidRPr="00EA33F1">
        <w:rPr>
          <w:rFonts w:cs="Arial"/>
          <w:vertAlign w:val="superscript"/>
          <w:lang w:val="es-ES_tradnl"/>
        </w:rPr>
        <w:footnoteRef/>
      </w:r>
      <w:r w:rsidRPr="00EA33F1">
        <w:rPr>
          <w:rFonts w:cs="Arial"/>
          <w:lang w:val="es-ES_tradnl"/>
        </w:rPr>
        <w:t xml:space="preserve"> </w:t>
      </w:r>
      <w:r w:rsidRPr="00EA33F1">
        <w:rPr>
          <w:rFonts w:cs="Arial"/>
          <w:lang w:val="es-UY"/>
        </w:rPr>
        <w:t>CIDH. Informe Anual 2008. Volumen II:</w:t>
      </w:r>
      <w:r w:rsidRPr="00EA33F1">
        <w:rPr>
          <w:rFonts w:cs="Arial"/>
          <w:i/>
          <w:lang w:val="es-UY"/>
        </w:rPr>
        <w:t xml:space="preserve"> </w:t>
      </w:r>
      <w:r w:rsidRPr="00EA33F1">
        <w:rPr>
          <w:rFonts w:cs="Arial"/>
          <w:lang w:val="es-UY"/>
        </w:rPr>
        <w:t>Informe Anual de la Relatoría Especial para la Libertad de Expresión. Capítulo IV. P</w:t>
      </w:r>
      <w:r w:rsidRPr="00EA33F1">
        <w:rPr>
          <w:rFonts w:cs="Arial"/>
          <w:lang w:val="es-ES_tradnl"/>
        </w:rPr>
        <w:t xml:space="preserve">árr. 230. Véase también, Corte IDH. </w:t>
      </w:r>
      <w:r w:rsidRPr="00EA33F1">
        <w:rPr>
          <w:rFonts w:eastAsia="Times New Roman"/>
          <w:i/>
          <w:lang w:val="es-ES_tradnl"/>
        </w:rPr>
        <w:t xml:space="preserve">Condición Jurídica y Derechos de los Migrantes Indocumentados, supra. </w:t>
      </w:r>
      <w:r w:rsidRPr="00EA33F1">
        <w:rPr>
          <w:rFonts w:eastAsia="Times New Roman"/>
          <w:lang w:val="es-ES_tradnl"/>
        </w:rPr>
        <w:t>Párrs. 103 y 104,</w:t>
      </w:r>
      <w:r w:rsidRPr="00EA33F1">
        <w:rPr>
          <w:rFonts w:eastAsia="Times New Roman"/>
          <w:i/>
          <w:lang w:val="es-ES_tradnl"/>
        </w:rPr>
        <w:t xml:space="preserve"> </w:t>
      </w:r>
      <w:r w:rsidRPr="00EA33F1">
        <w:rPr>
          <w:lang w:val="es-PE"/>
        </w:rPr>
        <w:t>y</w:t>
      </w:r>
      <w:r w:rsidRPr="00EA33F1">
        <w:rPr>
          <w:i/>
          <w:lang w:val="es-PE"/>
        </w:rPr>
        <w:t xml:space="preserve"> Caso de Personas dominicanas y haitianas expulsadas</w:t>
      </w:r>
      <w:r w:rsidRPr="00EA33F1">
        <w:rPr>
          <w:lang w:val="es-PE"/>
        </w:rPr>
        <w:t xml:space="preserve"> </w:t>
      </w:r>
      <w:r w:rsidRPr="00EA33F1">
        <w:rPr>
          <w:i/>
          <w:lang w:val="es-PE"/>
        </w:rPr>
        <w:t>Vs</w:t>
      </w:r>
      <w:r w:rsidRPr="00EA33F1">
        <w:rPr>
          <w:lang w:val="es-PE"/>
        </w:rPr>
        <w:t xml:space="preserve">. </w:t>
      </w:r>
      <w:r w:rsidRPr="00EA33F1">
        <w:rPr>
          <w:i/>
          <w:lang w:val="es-PE"/>
        </w:rPr>
        <w:t xml:space="preserve">República Dominicana, supra. </w:t>
      </w:r>
      <w:r w:rsidRPr="00EA33F1">
        <w:rPr>
          <w:lang w:val="es-ES"/>
        </w:rPr>
        <w:t>Párr. 263.</w:t>
      </w:r>
    </w:p>
  </w:footnote>
  <w:footnote w:id="84">
    <w:p w14:paraId="7DCE09E7"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Corte IDH. </w:t>
      </w:r>
      <w:r w:rsidRPr="00EA33F1">
        <w:rPr>
          <w:i/>
          <w:lang w:val="es-PE"/>
        </w:rPr>
        <w:t>Caso Comunidad Indígena Yakye Axa vs. Paraguay</w:t>
      </w:r>
      <w:r w:rsidRPr="00EA33F1">
        <w:rPr>
          <w:lang w:val="es-PE"/>
        </w:rPr>
        <w:t xml:space="preserve">. Fondo, Reparaciones y Costas. Sentencia de 17 de junio de 2005. Serie C No. 125. Párr. 63, y </w:t>
      </w:r>
      <w:r w:rsidRPr="00EA33F1">
        <w:rPr>
          <w:i/>
          <w:lang w:val="es-PE"/>
        </w:rPr>
        <w:t>Caso Comunidad Indígena Xákmok Kásek Vs. Paraguay.</w:t>
      </w:r>
      <w:r w:rsidRPr="00EA33F1">
        <w:rPr>
          <w:lang w:val="es-PE"/>
        </w:rPr>
        <w:t xml:space="preserve"> Fondo, Reparaciones y Costas. Sentencia de 24 de agosto de 2010. Serie C No. 214. Párr. 270.</w:t>
      </w:r>
    </w:p>
  </w:footnote>
  <w:footnote w:id="85">
    <w:p w14:paraId="645ED016" w14:textId="77777777" w:rsidR="00B95258" w:rsidRPr="00EA33F1" w:rsidRDefault="00B95258" w:rsidP="00EA33F1">
      <w:pPr>
        <w:pStyle w:val="FootnoteText"/>
        <w:rPr>
          <w:rFonts w:cs="Arial"/>
          <w:lang w:val="es-ES_tradnl"/>
        </w:rPr>
      </w:pPr>
      <w:r w:rsidRPr="00EA33F1">
        <w:rPr>
          <w:vertAlign w:val="superscript"/>
          <w:lang w:val="es-ES_tradnl"/>
        </w:rPr>
        <w:footnoteRef/>
      </w:r>
      <w:r w:rsidRPr="00EA33F1">
        <w:rPr>
          <w:rFonts w:cs="Arial"/>
          <w:lang w:val="es-ES_tradnl"/>
        </w:rPr>
        <w:t xml:space="preserve"> </w:t>
      </w:r>
      <w:r w:rsidRPr="00EA33F1">
        <w:rPr>
          <w:rFonts w:cs="Arial"/>
          <w:lang w:val="es-UY"/>
        </w:rPr>
        <w:t>CIDH. Informe Anual 2008. Volumen II:</w:t>
      </w:r>
      <w:r w:rsidRPr="00EA33F1">
        <w:rPr>
          <w:rFonts w:cs="Arial"/>
          <w:i/>
          <w:lang w:val="es-UY"/>
        </w:rPr>
        <w:t xml:space="preserve"> </w:t>
      </w:r>
      <w:r w:rsidRPr="00EA33F1">
        <w:rPr>
          <w:rFonts w:cs="Arial"/>
          <w:lang w:val="es-UY"/>
        </w:rPr>
        <w:t>Informe Anual de la Relatoría Especial para la Libertad de Expresión. Capítulo IV. P</w:t>
      </w:r>
      <w:r w:rsidRPr="00EA33F1">
        <w:rPr>
          <w:rFonts w:cs="Arial"/>
          <w:lang w:val="es-ES_tradnl"/>
        </w:rPr>
        <w:t xml:space="preserve">árr. 216. </w:t>
      </w:r>
    </w:p>
  </w:footnote>
  <w:footnote w:id="86">
    <w:p w14:paraId="2461CEDC" w14:textId="77777777" w:rsidR="00B95258" w:rsidRPr="00EA33F1" w:rsidRDefault="00B95258" w:rsidP="00EA33F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iCs/>
          <w:strike/>
          <w:sz w:val="16"/>
          <w:szCs w:val="16"/>
          <w:lang w:val="es-ES_tradnl"/>
        </w:rPr>
      </w:pPr>
      <w:r w:rsidRPr="00EA33F1">
        <w:rPr>
          <w:rStyle w:val="FootnoteReference"/>
          <w:rFonts w:asciiTheme="majorHAnsi" w:hAnsiTheme="majorHAnsi"/>
          <w:sz w:val="16"/>
          <w:szCs w:val="16"/>
        </w:rPr>
        <w:footnoteRef/>
      </w:r>
      <w:r w:rsidRPr="00EA33F1">
        <w:rPr>
          <w:rFonts w:asciiTheme="majorHAnsi" w:hAnsiTheme="majorHAnsi" w:cs="Arial"/>
          <w:sz w:val="16"/>
          <w:szCs w:val="16"/>
          <w:lang w:val="es-PE"/>
        </w:rPr>
        <w:t xml:space="preserve"> </w:t>
      </w:r>
      <w:r w:rsidRPr="00EA33F1">
        <w:rPr>
          <w:rFonts w:asciiTheme="majorHAnsi" w:hAnsiTheme="majorHAnsi" w:cs="Arial"/>
          <w:sz w:val="16"/>
          <w:szCs w:val="16"/>
          <w:lang w:val="es-UY"/>
        </w:rPr>
        <w:t>CIDH. Informe Anual 2008. Volumen II:</w:t>
      </w:r>
      <w:r w:rsidRPr="00EA33F1">
        <w:rPr>
          <w:rFonts w:asciiTheme="majorHAnsi" w:hAnsiTheme="majorHAnsi" w:cs="Arial"/>
          <w:i/>
          <w:sz w:val="16"/>
          <w:szCs w:val="16"/>
          <w:lang w:val="es-UY"/>
        </w:rPr>
        <w:t xml:space="preserve"> </w:t>
      </w:r>
      <w:r w:rsidRPr="00EA33F1">
        <w:rPr>
          <w:rFonts w:asciiTheme="majorHAnsi" w:hAnsiTheme="majorHAnsi" w:cs="Arial"/>
          <w:sz w:val="16"/>
          <w:szCs w:val="16"/>
          <w:lang w:val="es-UY"/>
        </w:rPr>
        <w:t xml:space="preserve">Informe Anual de la Relatoría Especial para la Libertad de Expresión. Capítulo IV. Párr. </w:t>
      </w:r>
      <w:r w:rsidRPr="00EA33F1">
        <w:rPr>
          <w:rFonts w:asciiTheme="majorHAnsi" w:hAnsiTheme="majorHAnsi" w:cs="Arial"/>
          <w:sz w:val="16"/>
          <w:szCs w:val="16"/>
          <w:lang w:val="es-PE"/>
        </w:rPr>
        <w:t xml:space="preserve">216. Al respecto, los </w:t>
      </w:r>
      <w:r w:rsidRPr="00EA33F1">
        <w:rPr>
          <w:rFonts w:asciiTheme="majorHAnsi" w:hAnsiTheme="majorHAnsi" w:cs="Arial"/>
          <w:sz w:val="16"/>
          <w:szCs w:val="16"/>
          <w:lang w:val="es-UY" w:eastAsia="es-UY"/>
        </w:rPr>
        <w:t xml:space="preserve">relatores para la libertad de expresión de la ONU, la OEA y la OSCE destacaron </w:t>
      </w:r>
      <w:r w:rsidRPr="00EA33F1">
        <w:rPr>
          <w:rFonts w:asciiTheme="majorHAnsi" w:hAnsiTheme="majorHAnsi"/>
          <w:sz w:val="16"/>
          <w:szCs w:val="16"/>
          <w:lang w:val="es-UY"/>
        </w:rPr>
        <w:t>“[l]a promoción de la diversidad debe ser el objetivo primordial de la reglamentación de la radiodifusión; la diversidad implica igualdad de género en la radiodifusión e igualdad de oportunidades para el acceso de todos los segmentos de la sociedad a las ondas de radiodifusión”</w:t>
      </w:r>
      <w:r w:rsidRPr="00EA33F1">
        <w:rPr>
          <w:rStyle w:val="FootnoteReference"/>
          <w:rFonts w:asciiTheme="majorHAnsi" w:hAnsiTheme="majorHAnsi"/>
          <w:sz w:val="16"/>
          <w:szCs w:val="16"/>
          <w:lang w:val="es-UY"/>
        </w:rPr>
        <w:footnoteRef/>
      </w:r>
      <w:r w:rsidRPr="00EA33F1">
        <w:rPr>
          <w:rFonts w:asciiTheme="majorHAnsi" w:hAnsiTheme="majorHAnsi"/>
          <w:sz w:val="16"/>
          <w:szCs w:val="16"/>
          <w:lang w:val="es-UY"/>
        </w:rPr>
        <w:t>.</w:t>
      </w:r>
      <w:r w:rsidRPr="00EA33F1">
        <w:rPr>
          <w:rFonts w:asciiTheme="majorHAnsi" w:hAnsiTheme="majorHAnsi" w:cs="Arial"/>
          <w:i/>
          <w:iCs/>
          <w:noProof/>
          <w:sz w:val="16"/>
          <w:szCs w:val="16"/>
          <w:lang w:val="es-ES_tradnl"/>
        </w:rPr>
        <w:t xml:space="preserve"> </w:t>
      </w:r>
      <w:r w:rsidRPr="00EA33F1">
        <w:rPr>
          <w:rFonts w:asciiTheme="majorHAnsi" w:hAnsiTheme="majorHAnsi"/>
          <w:sz w:val="16"/>
          <w:szCs w:val="16"/>
          <w:lang w:val="es-PE"/>
        </w:rPr>
        <w:t xml:space="preserve">Relatoría Especial para la Libertad de Expresión. </w:t>
      </w:r>
      <w:r w:rsidRPr="00EA33F1">
        <w:rPr>
          <w:rFonts w:asciiTheme="majorHAnsi" w:hAnsiTheme="majorHAnsi" w:cs="Arial"/>
          <w:sz w:val="16"/>
          <w:szCs w:val="16"/>
          <w:lang w:val="es-UY" w:eastAsia="es-UY"/>
        </w:rPr>
        <w:t>20 de noviembre de 2001. Declaración Conjunta sobre los desafíos a la libertad de expresión en el nuevo siglo</w:t>
      </w:r>
      <w:r w:rsidRPr="00EA33F1">
        <w:rPr>
          <w:rFonts w:asciiTheme="majorHAnsi" w:hAnsiTheme="majorHAnsi" w:cs="Arial"/>
          <w:i/>
          <w:sz w:val="16"/>
          <w:szCs w:val="16"/>
          <w:lang w:val="es-UY" w:eastAsia="es-UY"/>
        </w:rPr>
        <w:t xml:space="preserve">. </w:t>
      </w:r>
      <w:r w:rsidRPr="00EA33F1">
        <w:rPr>
          <w:rFonts w:asciiTheme="majorHAnsi" w:hAnsiTheme="majorHAnsi" w:cs="Arial"/>
          <w:iCs/>
          <w:sz w:val="16"/>
          <w:szCs w:val="16"/>
          <w:lang w:val="es-UY" w:eastAsia="es-UY"/>
        </w:rPr>
        <w:t>Disponible en:</w:t>
      </w:r>
      <w:r w:rsidRPr="00EA33F1">
        <w:rPr>
          <w:rFonts w:asciiTheme="majorHAnsi" w:hAnsiTheme="majorHAnsi" w:cs="Arial"/>
          <w:i/>
          <w:sz w:val="16"/>
          <w:szCs w:val="16"/>
          <w:lang w:val="es-UY" w:eastAsia="es-UY"/>
        </w:rPr>
        <w:t xml:space="preserve"> </w:t>
      </w:r>
      <w:r w:rsidRPr="00EA33F1">
        <w:rPr>
          <w:rFonts w:asciiTheme="majorHAnsi" w:hAnsiTheme="majorHAnsi" w:cs="Arial"/>
          <w:iCs/>
          <w:sz w:val="16"/>
          <w:szCs w:val="16"/>
          <w:lang w:val="es-UY" w:eastAsia="es-UY"/>
        </w:rPr>
        <w:t>http://www.oas.org/es/cidh/expresion/showarticle.asp?artID=48&amp;lID=2</w:t>
      </w:r>
    </w:p>
  </w:footnote>
  <w:footnote w:id="87">
    <w:p w14:paraId="574992DB" w14:textId="77777777" w:rsidR="00B95258" w:rsidRPr="00EA33F1" w:rsidRDefault="00B95258" w:rsidP="00EA33F1">
      <w:pPr>
        <w:pStyle w:val="FootnoteText"/>
        <w:rPr>
          <w:rFonts w:cs="Arial"/>
          <w:lang w:val="es-ES_tradnl"/>
        </w:rPr>
      </w:pPr>
      <w:r w:rsidRPr="00EA33F1">
        <w:rPr>
          <w:rStyle w:val="FootnoteReference"/>
        </w:rPr>
        <w:footnoteRef/>
      </w:r>
      <w:r w:rsidRPr="00EA33F1">
        <w:rPr>
          <w:rFonts w:cs="Arial"/>
          <w:lang w:val="es-PE"/>
        </w:rPr>
        <w:t xml:space="preserve"> </w:t>
      </w:r>
      <w:r w:rsidRPr="00EA33F1">
        <w:rPr>
          <w:lang w:val="es-PE"/>
        </w:rPr>
        <w:t xml:space="preserve">Relatoría Especial para la Libertad de Expresión. </w:t>
      </w:r>
      <w:r w:rsidRPr="00EA33F1">
        <w:rPr>
          <w:lang w:val="es-ES_tradnl"/>
        </w:rPr>
        <w:t>12 de diciembre de 2007. Declaración Conjunta sobre diversidad en la radiodifusión.</w:t>
      </w:r>
    </w:p>
  </w:footnote>
  <w:footnote w:id="88">
    <w:p w14:paraId="3C93B998"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Resolución del Parlamento Europeo sobre los medios del tercer sector de la comunicación (TSC), 25 de septiembre de 2008.</w:t>
      </w:r>
    </w:p>
  </w:footnote>
  <w:footnote w:id="89">
    <w:p w14:paraId="0A43D47D"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w:t>
      </w:r>
      <w:r w:rsidRPr="00EA33F1">
        <w:rPr>
          <w:rFonts w:cs="Arial"/>
          <w:lang w:val="es-ES_tradnl"/>
        </w:rPr>
        <w:t xml:space="preserve">CIDH. Informe Anual 2007. Volumen II: Informe de la Relatoría </w:t>
      </w:r>
      <w:r w:rsidRPr="00EA33F1">
        <w:rPr>
          <w:lang w:val="es-AR"/>
        </w:rPr>
        <w:t>Especial</w:t>
      </w:r>
      <w:r w:rsidRPr="00EA33F1">
        <w:rPr>
          <w:rFonts w:cs="Arial"/>
          <w:lang w:val="es-ES_tradnl"/>
        </w:rPr>
        <w:t xml:space="preserve"> para la Libertad de Expresión. Capítulo III: Conclusiones y Recomendaciones</w:t>
      </w:r>
      <w:r w:rsidRPr="00EA33F1">
        <w:rPr>
          <w:rFonts w:cs="Arial"/>
          <w:lang w:val="es-PE"/>
        </w:rPr>
        <w:t>. Párr.</w:t>
      </w:r>
      <w:r w:rsidRPr="00EA33F1">
        <w:rPr>
          <w:rFonts w:cs="Arial"/>
          <w:lang w:val="es-ES_tradnl"/>
        </w:rPr>
        <w:t xml:space="preserve"> </w:t>
      </w:r>
      <w:r w:rsidRPr="00EA33F1">
        <w:rPr>
          <w:lang w:val="es-ES_tradnl"/>
        </w:rPr>
        <w:t>5.</w:t>
      </w:r>
    </w:p>
  </w:footnote>
  <w:footnote w:id="90">
    <w:p w14:paraId="673B71D6" w14:textId="77777777" w:rsidR="00B95258" w:rsidRPr="00EA33F1" w:rsidRDefault="00B95258" w:rsidP="00EA33F1">
      <w:pPr>
        <w:jc w:val="both"/>
        <w:rPr>
          <w:rFonts w:asciiTheme="majorHAnsi" w:hAnsiTheme="majorHAnsi" w:cs="Arial"/>
          <w:sz w:val="16"/>
          <w:szCs w:val="16"/>
          <w:lang w:val="es-PE"/>
        </w:rPr>
      </w:pPr>
      <w:r w:rsidRPr="00EA33F1">
        <w:rPr>
          <w:rStyle w:val="FootnoteReference"/>
          <w:rFonts w:asciiTheme="majorHAnsi" w:hAnsiTheme="majorHAnsi"/>
          <w:sz w:val="16"/>
          <w:szCs w:val="16"/>
        </w:rPr>
        <w:footnoteRef/>
      </w:r>
      <w:r w:rsidRPr="00EA33F1">
        <w:rPr>
          <w:rFonts w:asciiTheme="majorHAnsi" w:hAnsiTheme="majorHAnsi" w:cs="Arial"/>
          <w:sz w:val="16"/>
          <w:szCs w:val="16"/>
          <w:lang w:val="es-PE"/>
        </w:rPr>
        <w:t xml:space="preserve"> </w:t>
      </w:r>
      <w:r w:rsidRPr="00EA33F1">
        <w:rPr>
          <w:rFonts w:asciiTheme="majorHAnsi" w:hAnsiTheme="majorHAnsi"/>
          <w:sz w:val="16"/>
          <w:szCs w:val="16"/>
          <w:lang w:val="es-UY"/>
        </w:rPr>
        <w:t xml:space="preserve">CIDH. Informe Anual 2008. Volumen II: Informe Anual de la Relatoría Especial para la Libertad de Expresión. Capítulo III. Párr. </w:t>
      </w:r>
      <w:r w:rsidRPr="00EA33F1">
        <w:rPr>
          <w:rFonts w:asciiTheme="majorHAnsi" w:hAnsiTheme="majorHAnsi"/>
          <w:sz w:val="16"/>
          <w:szCs w:val="16"/>
          <w:lang w:val="es-PE"/>
        </w:rPr>
        <w:t>230.</w:t>
      </w:r>
    </w:p>
  </w:footnote>
  <w:footnote w:id="91">
    <w:p w14:paraId="6E8B01F2" w14:textId="77777777" w:rsidR="00B95258" w:rsidRPr="00EA33F1" w:rsidRDefault="00B95258" w:rsidP="00EA33F1">
      <w:pPr>
        <w:pStyle w:val="FootnoteText"/>
        <w:rPr>
          <w:rFonts w:cs="Arial"/>
          <w:lang w:val="es-PE"/>
        </w:rPr>
      </w:pPr>
      <w:r w:rsidRPr="00EA33F1">
        <w:rPr>
          <w:rStyle w:val="FootnoteReference"/>
        </w:rPr>
        <w:footnoteRef/>
      </w:r>
      <w:r w:rsidRPr="00EA33F1">
        <w:rPr>
          <w:rFonts w:cs="Arial"/>
          <w:lang w:val="es-PE"/>
        </w:rPr>
        <w:t xml:space="preserve"> </w:t>
      </w:r>
      <w:r w:rsidRPr="00EA33F1">
        <w:rPr>
          <w:rFonts w:cs="Arial"/>
          <w:lang w:val="es-ES_tradnl"/>
        </w:rPr>
        <w:t xml:space="preserve">CIDH. Informe Anual 2007. Volumen II: Informe de la Relatoría </w:t>
      </w:r>
      <w:r w:rsidRPr="00EA33F1">
        <w:rPr>
          <w:lang w:val="es-AR"/>
        </w:rPr>
        <w:t>Especial</w:t>
      </w:r>
      <w:r w:rsidRPr="00EA33F1">
        <w:rPr>
          <w:rFonts w:cs="Arial"/>
          <w:lang w:val="es-ES_tradnl"/>
        </w:rPr>
        <w:t xml:space="preserve"> para la Libertad de Expresión. Capítulo III: Conclusiones y Recomendaciones</w:t>
      </w:r>
      <w:r w:rsidRPr="00EA33F1">
        <w:rPr>
          <w:rFonts w:cs="Arial"/>
          <w:lang w:val="es-PE"/>
        </w:rPr>
        <w:t>. Párr.</w:t>
      </w:r>
      <w:r w:rsidRPr="00EA33F1">
        <w:rPr>
          <w:rFonts w:cs="Arial"/>
          <w:lang w:val="es-CO"/>
        </w:rPr>
        <w:t xml:space="preserve"> 5</w:t>
      </w:r>
      <w:r w:rsidRPr="00EA33F1">
        <w:rPr>
          <w:rFonts w:cs="Arial"/>
          <w:lang w:val="es-ES_tradnl"/>
        </w:rPr>
        <w:t>.</w:t>
      </w:r>
    </w:p>
  </w:footnote>
  <w:footnote w:id="92">
    <w:p w14:paraId="65D68DA2"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Por ejemplo, existen concursos abiertos y públicos sobre la base de proyectos comunicacionales (Argentina y Uruguay). También existe la adjudicación directa para emisoras de baja potencia y de acuerdo con la disponibilidad de espectro (Argentina), o sorteos de licencias (Brasil y Chile).</w:t>
      </w:r>
    </w:p>
  </w:footnote>
  <w:footnote w:id="93">
    <w:p w14:paraId="73046F44" w14:textId="77777777" w:rsidR="00B95258" w:rsidRPr="00EA33F1" w:rsidRDefault="00B95258" w:rsidP="00EA33F1">
      <w:pPr>
        <w:jc w:val="both"/>
        <w:rPr>
          <w:rFonts w:asciiTheme="majorHAnsi" w:hAnsiTheme="majorHAnsi"/>
          <w:sz w:val="16"/>
          <w:szCs w:val="16"/>
          <w:lang w:val="es-PE"/>
        </w:rPr>
      </w:pPr>
      <w:r w:rsidRPr="00EA33F1">
        <w:rPr>
          <w:rStyle w:val="FootnoteReference"/>
          <w:rFonts w:asciiTheme="majorHAnsi" w:hAnsiTheme="majorHAnsi"/>
          <w:sz w:val="16"/>
          <w:szCs w:val="16"/>
        </w:rPr>
        <w:footnoteRef/>
      </w:r>
      <w:r w:rsidRPr="00EA33F1">
        <w:rPr>
          <w:rFonts w:asciiTheme="majorHAnsi" w:hAnsiTheme="majorHAnsi"/>
          <w:sz w:val="16"/>
          <w:szCs w:val="16"/>
          <w:lang w:val="es-PE"/>
        </w:rPr>
        <w:t xml:space="preserve"> Entre algunos de los criterios específicos para medios comunitarios pueden encontrarse los siguientes: la representatividad a partir de manifestaciones de apoyo de miembros y asociaciones de la comunidad; la claridad y rentabilidad social de la propuesta presentada; la existencia probada de comunidad organizada; el plan de servicios a la comunidad que pretende brindar el solicitante; mecanismos previstos para asegurar la participación ciudadana en la gestión y programación de la emisora; antecedentes de trabajo social y comunitario en la zona de cobertura solicitada; referencias de personas, organizaciones o instituciones sociales representativas del plan de servicios a la comunidad y de la propuesta de comunicación que se pretende brindar.</w:t>
      </w:r>
    </w:p>
  </w:footnote>
  <w:footnote w:id="94">
    <w:p w14:paraId="0C2D87BB" w14:textId="77777777" w:rsidR="00B95258" w:rsidRPr="00EA33F1" w:rsidRDefault="00B95258" w:rsidP="00EA33F1">
      <w:pPr>
        <w:pStyle w:val="Default"/>
        <w:jc w:val="both"/>
        <w:rPr>
          <w:rFonts w:asciiTheme="majorHAnsi" w:hAnsiTheme="majorHAnsi"/>
          <w:color w:val="auto"/>
          <w:sz w:val="16"/>
          <w:szCs w:val="16"/>
          <w:lang w:val="es-ES"/>
        </w:rPr>
      </w:pPr>
      <w:r w:rsidRPr="00EA33F1">
        <w:rPr>
          <w:rStyle w:val="FootnoteReference"/>
          <w:rFonts w:asciiTheme="majorHAnsi" w:eastAsia="Trebuchet MS" w:hAnsiTheme="majorHAnsi"/>
          <w:color w:val="auto"/>
          <w:sz w:val="16"/>
          <w:szCs w:val="16"/>
        </w:rPr>
        <w:footnoteRef/>
      </w:r>
      <w:r w:rsidRPr="00EA33F1">
        <w:rPr>
          <w:rFonts w:asciiTheme="majorHAnsi" w:hAnsiTheme="majorHAnsi"/>
          <w:color w:val="auto"/>
          <w:position w:val="6"/>
          <w:sz w:val="16"/>
          <w:szCs w:val="16"/>
          <w:vertAlign w:val="superscript"/>
          <w:lang w:val="es-CO"/>
        </w:rPr>
        <w:t xml:space="preserve"> </w:t>
      </w:r>
      <w:r w:rsidRPr="00EA33F1">
        <w:rPr>
          <w:rFonts w:asciiTheme="majorHAnsi" w:hAnsiTheme="majorHAnsi"/>
          <w:sz w:val="16"/>
          <w:szCs w:val="16"/>
          <w:lang w:val="es-CO"/>
        </w:rPr>
        <w:t xml:space="preserve">CIDH. Justicia e inclusión social: Los desafíos de la democracia en Guatemala. Capítulo VII: La situación de la libertad de expresión, párr. 414. </w:t>
      </w:r>
      <w:r w:rsidRPr="00EA33F1">
        <w:rPr>
          <w:rFonts w:asciiTheme="majorHAnsi" w:hAnsiTheme="majorHAnsi" w:cs="Arial"/>
          <w:sz w:val="16"/>
          <w:szCs w:val="16"/>
          <w:lang w:val="es-PE"/>
        </w:rPr>
        <w:t xml:space="preserve">Asimismo, el mecanismo de la subasta ha sido declarado inconstitucional por la Suprema Corte de Justicia de México, en tanto, “viola los principios de igualdad de libre concurrencia porque se privilegia el aspecto económico para la asignación, y atenta además contra la libertad de expresión”. En la sentencia, se analiza la constitucionalidad del artículo 17 del Decreto que modificaba la Ley Federal de Telecomunicaciones de 11 de abril de 2006. Al respecto, ver: </w:t>
      </w:r>
      <w:hyperlink r:id="rId15" w:history="1">
        <w:r w:rsidRPr="00EA33F1">
          <w:rPr>
            <w:rStyle w:val="Hyperlink"/>
            <w:rFonts w:asciiTheme="majorHAnsi" w:hAnsiTheme="majorHAnsi" w:cs="Arial"/>
            <w:sz w:val="16"/>
            <w:szCs w:val="16"/>
            <w:lang w:val="es-PE"/>
          </w:rPr>
          <w:t>http://www.scjn.gob.mx</w:t>
        </w:r>
      </w:hyperlink>
      <w:r w:rsidRPr="00EA33F1">
        <w:rPr>
          <w:rFonts w:asciiTheme="majorHAnsi" w:hAnsiTheme="majorHAnsi" w:cs="Arial"/>
          <w:sz w:val="16"/>
          <w:szCs w:val="16"/>
          <w:lang w:val="es-PE"/>
        </w:rPr>
        <w:t>.</w:t>
      </w:r>
    </w:p>
  </w:footnote>
  <w:footnote w:id="95">
    <w:p w14:paraId="49BCC682" w14:textId="77777777" w:rsidR="00B95258" w:rsidRPr="00EA33F1" w:rsidRDefault="00B95258" w:rsidP="00EA33F1">
      <w:pPr>
        <w:pStyle w:val="FootnoteText"/>
        <w:rPr>
          <w:lang w:val="es-PE"/>
        </w:rPr>
      </w:pPr>
      <w:r w:rsidRPr="00EA33F1">
        <w:rPr>
          <w:rStyle w:val="FootnoteReference"/>
        </w:rPr>
        <w:footnoteRef/>
      </w:r>
      <w:r w:rsidRPr="00EA33F1">
        <w:rPr>
          <w:rFonts w:cs="Arial"/>
          <w:lang w:val="es-PE"/>
        </w:rPr>
        <w:t xml:space="preserve">Corte IDH. </w:t>
      </w:r>
      <w:r w:rsidRPr="00EA33F1">
        <w:rPr>
          <w:i/>
          <w:lang w:val="es-PE"/>
        </w:rPr>
        <w:t>Caso de la Comunidad Indígena Yakye Axa, supra</w:t>
      </w:r>
      <w:r w:rsidRPr="00EA33F1">
        <w:rPr>
          <w:lang w:val="es-PE"/>
        </w:rPr>
        <w:t xml:space="preserve">. Párr. 51, y </w:t>
      </w:r>
      <w:r w:rsidRPr="00EA33F1">
        <w:rPr>
          <w:rFonts w:cs="Arial"/>
          <w:i/>
          <w:lang w:val="es-PE"/>
        </w:rPr>
        <w:t>Caso López Álvarez</w:t>
      </w:r>
      <w:r w:rsidRPr="00EA33F1">
        <w:rPr>
          <w:rFonts w:cs="Arial"/>
          <w:lang w:val="es-PE"/>
        </w:rPr>
        <w:t xml:space="preserve">. </w:t>
      </w:r>
      <w:r w:rsidRPr="00EA33F1">
        <w:rPr>
          <w:i/>
          <w:lang w:val="es-PE"/>
        </w:rPr>
        <w:t>Caso López Álvarez Vs. Honduras.</w:t>
      </w:r>
      <w:r w:rsidRPr="00EA33F1">
        <w:rPr>
          <w:lang w:val="es-PE"/>
        </w:rPr>
        <w:t xml:space="preserve"> </w:t>
      </w:r>
      <w:r w:rsidRPr="00EA33F1">
        <w:rPr>
          <w:rFonts w:cs="Arial"/>
          <w:lang w:val="es-PE"/>
        </w:rPr>
        <w:t xml:space="preserve">Fondo, Reparaciones y Costas. </w:t>
      </w:r>
      <w:r w:rsidRPr="00EA33F1">
        <w:rPr>
          <w:rFonts w:cs="Arial"/>
          <w:lang w:val="es-AR"/>
        </w:rPr>
        <w:t xml:space="preserve">Sentencia de 1 de febrero de 2006. Serie C No. 141. Párr. 171.  </w:t>
      </w:r>
    </w:p>
  </w:footnote>
  <w:footnote w:id="96">
    <w:p w14:paraId="6A183E31"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Corte </w:t>
      </w:r>
      <w:r w:rsidRPr="00EA33F1">
        <w:rPr>
          <w:rFonts w:cs="Arial"/>
          <w:lang w:val="es-PE"/>
        </w:rPr>
        <w:t xml:space="preserve">IDH. </w:t>
      </w:r>
      <w:r w:rsidRPr="00EA33F1">
        <w:rPr>
          <w:rFonts w:cs="Arial"/>
          <w:i/>
          <w:lang w:val="es-PE"/>
        </w:rPr>
        <w:t xml:space="preserve">Caso López Álvarez </w:t>
      </w:r>
      <w:r w:rsidRPr="00EA33F1">
        <w:rPr>
          <w:i/>
          <w:lang w:val="es-PE"/>
        </w:rPr>
        <w:t>Vs. Honduras</w:t>
      </w:r>
      <w:r w:rsidRPr="00EA33F1">
        <w:rPr>
          <w:rFonts w:cs="Arial"/>
          <w:lang w:val="es-PE"/>
        </w:rPr>
        <w:t xml:space="preserve">, </w:t>
      </w:r>
      <w:r w:rsidRPr="00EA33F1">
        <w:rPr>
          <w:rFonts w:cs="Arial"/>
          <w:i/>
          <w:iCs/>
          <w:lang w:val="es-PE"/>
        </w:rPr>
        <w:t>supra</w:t>
      </w:r>
      <w:r w:rsidRPr="00EA33F1">
        <w:rPr>
          <w:rFonts w:cs="Arial"/>
          <w:lang w:val="es-PE"/>
        </w:rPr>
        <w:t>. Párr.</w:t>
      </w:r>
      <w:r w:rsidRPr="00EA33F1">
        <w:rPr>
          <w:rFonts w:cs="Arial"/>
          <w:lang w:val="es-AR"/>
        </w:rPr>
        <w:t xml:space="preserve">171.  </w:t>
      </w:r>
    </w:p>
  </w:footnote>
  <w:footnote w:id="97">
    <w:p w14:paraId="3F16DD41"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Argentina, Brasil, Bolivia, Chile, Colombia, Ecuador, El Salvador, México, Honduras, Paraguay, Perú, Uruguay y Venezuela reconocen, aunque sea me manera parcial, a los medios comunitarios. Véase, OBSERVACOM. Libertad a medias. La regulación de los medios comunitarios y su compatibilidad con los estándares interamericanos de libertad de expresión. Informe 2019, disponible en: </w:t>
      </w:r>
      <w:hyperlink r:id="rId16" w:history="1">
        <w:r w:rsidRPr="00EA33F1">
          <w:rPr>
            <w:rStyle w:val="Hyperlink"/>
            <w:lang w:val="es-PE"/>
          </w:rPr>
          <w:t>https://www.observacom.org/wp-content/uploads/2019/10/Libertad-a-Medias-Informe-2019-sobre-medios-comunitarios-y-libertad-de-expresio%CC%81n.pdf</w:t>
        </w:r>
      </w:hyperlink>
    </w:p>
  </w:footnote>
  <w:footnote w:id="98">
    <w:p w14:paraId="6B32DF53"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w:t>
      </w:r>
      <w:r w:rsidRPr="00EA33F1">
        <w:rPr>
          <w:lang w:val="es-MX"/>
        </w:rPr>
        <w:t>Ley Nº 26.522, Regúlense los Servicios de Comunicación Audiovisual en todo el ámbito territorial de la República Argentina, Artículo 21, 10 de octubre de 2009. Esta ley realiza un reconocimiento expreso de los medios comunitarios, pero no diferenciado al incluirlos dentro de una categoría más amplia de “prestadores privados sin fines de lucro”.</w:t>
      </w:r>
    </w:p>
  </w:footnote>
  <w:footnote w:id="99">
    <w:p w14:paraId="19AE75C1"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w:t>
      </w:r>
      <w:r w:rsidRPr="00EA33F1">
        <w:rPr>
          <w:lang w:val="es-MX"/>
        </w:rPr>
        <w:t>Ley N° 1341, Por la cual se definen principios y conceptos sobre la sociedad de la información y la organización de las tecnologías de la información y las comunicaciones, se crea la Agencia Nacional de Espectro y se dictan otras disposiciones, Artículo 57 Parágrafo 2°, 30 de julio de 2009.</w:t>
      </w:r>
    </w:p>
  </w:footnote>
  <w:footnote w:id="100">
    <w:p w14:paraId="54E837AA"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w:t>
      </w:r>
      <w:r w:rsidRPr="00EA33F1">
        <w:rPr>
          <w:lang w:val="es-MX"/>
        </w:rPr>
        <w:t>Ley N° 642 de 1995, Ley de Telecomunicaciones, Artículos 57 al 59, 14 de diciembre de 1995; y Resolución Nº 1414/1998.</w:t>
      </w:r>
    </w:p>
  </w:footnote>
  <w:footnote w:id="101">
    <w:p w14:paraId="6BAC6AB1"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w:t>
      </w:r>
      <w:r w:rsidRPr="00EA33F1">
        <w:rPr>
          <w:lang w:val="es-MX"/>
        </w:rPr>
        <w:t>Ley Orgánica de Telecomunicaciones, Artículo 2° Párr. 2, 28 de marzo del 2000; Decreto N° 1.521, Reglamento de radiodifusión sonora y televisión abierta comunitarias de servicio público, sin fines de lucro, 3 de noviembre de 2001, Artículo2 Párr.11; Ley de la Comunicación del Poder Popular, Artículo 6 Párr. 5, 2015. Ésta última ley está a la espera de la adopción de su reglamentación de desarrollo.</w:t>
      </w:r>
    </w:p>
  </w:footnote>
  <w:footnote w:id="102">
    <w:p w14:paraId="508604C2"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w:t>
      </w:r>
      <w:r w:rsidRPr="00EA33F1">
        <w:rPr>
          <w:lang w:val="es-MX"/>
        </w:rPr>
        <w:t>Resolución 09/2013, Reglamento para los servicios de Radiodifusión Sonora con Fines Comunitarios, 3 de agosto de 2013.</w:t>
      </w:r>
    </w:p>
  </w:footnote>
  <w:footnote w:id="103">
    <w:p w14:paraId="40715514" w14:textId="77777777" w:rsidR="00B95258" w:rsidRPr="00EA33F1" w:rsidRDefault="00B95258" w:rsidP="00EA33F1">
      <w:pPr>
        <w:pStyle w:val="FootnoteText"/>
        <w:rPr>
          <w:lang w:val="es-MX"/>
        </w:rPr>
      </w:pPr>
      <w:r w:rsidRPr="00EA33F1">
        <w:rPr>
          <w:rStyle w:val="FootnoteReference"/>
        </w:rPr>
        <w:footnoteRef/>
      </w:r>
      <w:r w:rsidRPr="00EA33F1">
        <w:rPr>
          <w:lang w:val="es-PE"/>
        </w:rPr>
        <w:t xml:space="preserve"> </w:t>
      </w:r>
      <w:r w:rsidRPr="00EA33F1">
        <w:rPr>
          <w:lang w:val="es-MX"/>
        </w:rPr>
        <w:t>Constitución Política de la República de Bolivia, Artículo 107, 7 de febrero de 2009. El Estado apoyará la creación de medios de comunicación comunitarios en igualdad de condiciones y oportunidades.</w:t>
      </w:r>
    </w:p>
  </w:footnote>
  <w:footnote w:id="104">
    <w:p w14:paraId="56D9A87F"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w:t>
      </w:r>
      <w:r w:rsidRPr="00EA33F1">
        <w:rPr>
          <w:lang w:val="es-MX"/>
        </w:rPr>
        <w:t xml:space="preserve">Constitución del Ecuador, Artículo 16, 17 y 384, 20 de octubre de 2008. “Todas las personas, en forma individual o colectiva, tienen derecho a: [...] 3. La creación de medios de comunicación social, y al acceso en igualdad de condiciones al uso de las frecuencias del espectro radioeléctrico para la gestión de estaciones de radio y televisión públicas, privadas y comunitarias, y a bandas libres para la explotación de redes inalámbricas. Artículo 17. EI Estado fomentará la pluralidad y la diversidad en la comunicación, y al efecto: 1. Garantizará la asignación, a través de métodos transparentes y en igualdad de condiciones, de las frecuencias del espectro radioeléctrico, para la gestión de estaciones de radio y televisión públicas, privadas y comunitarias, así como el acceso a bandas libres para la explotación de redes inalámbricas, y precautelará que en su utilización prevalezca el interés colectivo. Artículo 384. La comunicación como un servicio público se prestará a través de medios públicos, privados y comunitarios. El sistema de comunicación social asegurará el ejercicio de los derechos de la comunicación, la información y la libertad de expresión, y fortalecerá la participación ciudadana. El sistema se conformará por las instituciones y actores de carácter público, las políticas y la normativa; y los actores privados, ciudadanos y comunitarios que se integren voluntariamente a él. 2. Facilitará la creación y el fortalecimiento de medios de comunicación públicos, privados y comunitarios, así como el acceso universal a las tecnologías de información y comunicación en especial para las personas y colectividades que carezcan de dicho acceso o lo tengan de forma limitada”. </w:t>
      </w:r>
    </w:p>
  </w:footnote>
  <w:footnote w:id="105">
    <w:p w14:paraId="7721EDDE"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w:t>
      </w:r>
      <w:r w:rsidRPr="00EA33F1">
        <w:rPr>
          <w:bCs/>
          <w:lang w:val="es-MX"/>
        </w:rPr>
        <w:t>Acuerdo mediante el cual el Pleno del Instituto Federal de Telecomunicaciones aprueba y emite los lineamientos generales para el otorgamiento de las concesiones a que se refiere el título cuarto de la Ley Federal de Telecomunicaciones y Radiodifusión</w:t>
      </w:r>
      <w:r w:rsidRPr="00EA33F1">
        <w:rPr>
          <w:b/>
          <w:bCs/>
          <w:lang w:val="es-MX"/>
        </w:rPr>
        <w:t xml:space="preserve">, </w:t>
      </w:r>
      <w:r w:rsidRPr="00EA33F1">
        <w:rPr>
          <w:lang w:val="es-MX"/>
        </w:rPr>
        <w:t>Transitorio 3º, 24 de julio de 2015. “Establecer los mecanismos para homologar el régimen de permisos y concesiones de radiodifusión, a efecto de que únicamente existan concesiones, asegurando una diversidad de medios que permita distinguir las concesiones de uso comercial, público, privado y social que incluyen las comunitarias e indígenas”.</w:t>
      </w:r>
      <w:r w:rsidRPr="00EA33F1">
        <w:rPr>
          <w:lang w:val="es-PE"/>
        </w:rPr>
        <w:t xml:space="preserve"> </w:t>
      </w:r>
    </w:p>
  </w:footnote>
  <w:footnote w:id="106">
    <w:p w14:paraId="6BAF66C4" w14:textId="77777777" w:rsidR="00B95258" w:rsidRPr="00EA33F1" w:rsidRDefault="00B95258" w:rsidP="00EA33F1">
      <w:pPr>
        <w:pStyle w:val="FootnoteText"/>
        <w:rPr>
          <w:lang w:val="es-MX"/>
        </w:rPr>
      </w:pPr>
      <w:r w:rsidRPr="00EA33F1">
        <w:rPr>
          <w:rStyle w:val="FootnoteReference"/>
        </w:rPr>
        <w:footnoteRef/>
      </w:r>
      <w:r w:rsidRPr="00EA33F1">
        <w:rPr>
          <w:lang w:val="es-MX"/>
        </w:rPr>
        <w:t xml:space="preserve"> Ley Nº 9.612, Reglamento del Instituto de Servicio y Radiodifusión comunitaria, 19 de febrero de 1998.</w:t>
      </w:r>
    </w:p>
  </w:footnote>
  <w:footnote w:id="107">
    <w:p w14:paraId="430656A1"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w:t>
      </w:r>
      <w:r w:rsidRPr="00EA33F1">
        <w:rPr>
          <w:lang w:val="es-MX"/>
        </w:rPr>
        <w:t>Ley Nº 20.433, crea los servicios de radiodifusión comunitaria ciudadana, Artículo 1°, 25 de abril de 2010; y Ley 20.750/2014, permite la introducción de la televisión digital terrestre, Artículo 12 Párr. b, 22 de mayo de 2014.</w:t>
      </w:r>
    </w:p>
  </w:footnote>
  <w:footnote w:id="108">
    <w:p w14:paraId="653627D7"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w:t>
      </w:r>
      <w:r w:rsidRPr="00EA33F1">
        <w:rPr>
          <w:lang w:val="es-MX"/>
        </w:rPr>
        <w:t>Ley N° 18.232, Servicio de Radiodifusión Comunitaria, Artículo 4, 22 de diciembre de 2007; y Decreto 585/2012, Televisión Digital, 11 de mayo de 2012.</w:t>
      </w:r>
    </w:p>
  </w:footnote>
  <w:footnote w:id="109">
    <w:p w14:paraId="69A35CA3" w14:textId="77777777" w:rsidR="00B95258" w:rsidRPr="00EA33F1" w:rsidRDefault="00B95258" w:rsidP="00EA33F1">
      <w:pPr>
        <w:pStyle w:val="FootnoteText"/>
        <w:rPr>
          <w:lang w:val="es-MX"/>
        </w:rPr>
      </w:pPr>
      <w:r w:rsidRPr="00EA33F1">
        <w:rPr>
          <w:rStyle w:val="FootnoteReference"/>
        </w:rPr>
        <w:footnoteRef/>
      </w:r>
      <w:r w:rsidRPr="00EA33F1">
        <w:rPr>
          <w:lang w:val="es-PE"/>
        </w:rPr>
        <w:t xml:space="preserve"> </w:t>
      </w:r>
      <w:r w:rsidRPr="00EA33F1">
        <w:rPr>
          <w:lang w:val="es-MX"/>
        </w:rPr>
        <w:t>Ley N° 18.232, Servicio de Radiodifusión Comunitaria, Artículo 20, 22 de diciembre de 2007.</w:t>
      </w:r>
    </w:p>
  </w:footnote>
  <w:footnote w:id="110">
    <w:p w14:paraId="3B25CAE2"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w:t>
      </w:r>
      <w:r w:rsidRPr="00EA33F1">
        <w:rPr>
          <w:lang w:val="es-MX"/>
        </w:rPr>
        <w:t>Ley Nº 26.522, Regúlense los Servicios de Comunicación Audiovisual en todo el ámbito territorial de la República Argentina, Artículo 162, 10 de octubre de 2009.</w:t>
      </w:r>
    </w:p>
  </w:footnote>
  <w:footnote w:id="111">
    <w:p w14:paraId="33E508A2"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w:t>
      </w:r>
      <w:r w:rsidRPr="00EA33F1">
        <w:rPr>
          <w:lang w:val="es-MX"/>
        </w:rPr>
        <w:t>Reglamento de radiodifusión sonora y televisión abierta comunitarias de servicio público, sin fines de lucro, Gaceta Oficial N° 37.359, Disposición Transitoria 1ª, 8 de enero de 2002.</w:t>
      </w:r>
    </w:p>
  </w:footnote>
  <w:footnote w:id="112">
    <w:p w14:paraId="74890218"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w:t>
      </w:r>
      <w:r w:rsidRPr="00EA33F1">
        <w:rPr>
          <w:lang w:val="es-MX"/>
        </w:rPr>
        <w:t>Ley Nº 18.232, Servicio de Radiodifusión comunitaria, Artículo 10, 22 de diciembre de 2007.</w:t>
      </w:r>
    </w:p>
  </w:footnote>
  <w:footnote w:id="113">
    <w:p w14:paraId="47224B5A"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w:t>
      </w:r>
      <w:r w:rsidRPr="00EA33F1">
        <w:rPr>
          <w:lang w:val="es-MX"/>
        </w:rPr>
        <w:t>Ley Federal de Telecomunicaciones y Radiodifusión, Artículo 89, 14 de julio de 2014.</w:t>
      </w:r>
    </w:p>
  </w:footnote>
  <w:footnote w:id="114">
    <w:p w14:paraId="09B1A69F"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w:t>
      </w:r>
      <w:r w:rsidRPr="00EA33F1">
        <w:rPr>
          <w:lang w:val="es-MX"/>
        </w:rPr>
        <w:t>Ley de Telecomunicaciones, Artículo 129, 21 de noviembre de 1997.</w:t>
      </w:r>
    </w:p>
  </w:footnote>
  <w:footnote w:id="115">
    <w:p w14:paraId="7F51DCF4"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w:t>
      </w:r>
      <w:r w:rsidRPr="00EA33F1">
        <w:rPr>
          <w:lang w:val="es-MX"/>
        </w:rPr>
        <w:t>Ley Orgánica de Telecomunicaciones, Artículo 157, 28 de marzo del 2000; Ley de Responsabilidad Social en Medios, artículo 24, 7 de diciembre de 2004. Se prevé la exención total o parcial prevista en y exentos del Fondo de Responsabilidad Social (contribución parafiscal por la difusión de imágenes o sonidos realizadas dentro del territorio nacional).</w:t>
      </w:r>
    </w:p>
  </w:footnote>
  <w:footnote w:id="116">
    <w:p w14:paraId="02966984"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w:t>
      </w:r>
      <w:r w:rsidRPr="00EA33F1">
        <w:rPr>
          <w:lang w:val="es-MX"/>
        </w:rPr>
        <w:t>Ley Nº 26.522, Regúlense los Servicios de Comunicación Audiovisual en todo el ámbito territorial de la República Argentina, Artículos 37 y 49, 10 de octubre de 2009.</w:t>
      </w:r>
    </w:p>
  </w:footnote>
  <w:footnote w:id="117">
    <w:p w14:paraId="5F5A9D94"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w:t>
      </w:r>
      <w:r w:rsidRPr="00EA33F1">
        <w:rPr>
          <w:lang w:val="es-MX"/>
        </w:rPr>
        <w:t>Ley Nº 20.433, crea los servicios de radiodifusión comunitaria ciudadana, Artículo 3, 25 de abril de 2010. Dentro de un segmento especial del espectro radioeléctrico en la banda de frecuencia modulada, tanto para la operación analógica como la digital”.</w:t>
      </w:r>
    </w:p>
  </w:footnote>
  <w:footnote w:id="118">
    <w:p w14:paraId="325C328D"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w:t>
      </w:r>
      <w:r w:rsidRPr="00EA33F1">
        <w:rPr>
          <w:lang w:val="es-MX"/>
        </w:rPr>
        <w:t>Ley Federal de Telecomunicaciones y Radiodifusión, Artículo 90, 14 de julio de 2014. El Instituto deberá reservar para estaciones de radio FM comunitarias e indígenas el diez por ciento de la banda de radiodifusión sonora de FM, que va de los 88 a los 108 MHz.</w:t>
      </w:r>
    </w:p>
  </w:footnote>
  <w:footnote w:id="119">
    <w:p w14:paraId="160C1867"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w:t>
      </w:r>
      <w:r w:rsidRPr="00EA33F1">
        <w:rPr>
          <w:lang w:val="es-MX"/>
        </w:rPr>
        <w:t>Ley Nº 26.522, Regúlense los Servicios de Comunicación Audiovisual en todo el ámbito territorial de la República Argentina, Artículo 89, 10 de octubre de 2009.</w:t>
      </w:r>
    </w:p>
  </w:footnote>
  <w:footnote w:id="120">
    <w:p w14:paraId="6910DE57"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w:t>
      </w:r>
      <w:r w:rsidRPr="00EA33F1">
        <w:rPr>
          <w:lang w:val="es-MX"/>
        </w:rPr>
        <w:t>Ley General de Telecomunicaciones N°164, Artículo 10, 8 de agosto de 2011; y Reglamento Geeneral de la Ley N° 164, Decreto Supremo Nº 1391, Artículos Artículo 1 y 19, 24 de octubre de 2012. Hasta 17% donde exista disponibilidad. 5 frecuencias del área de servicio, 2 si es zona rural o con menor frecuencias.</w:t>
      </w:r>
    </w:p>
  </w:footnote>
  <w:footnote w:id="121">
    <w:p w14:paraId="472E8EEA"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w:t>
      </w:r>
      <w:r w:rsidRPr="00EA33F1">
        <w:rPr>
          <w:lang w:val="es-MX"/>
        </w:rPr>
        <w:t>Ley Orgánica de Comunicación, Artículo 106, reforma de 2019. Reserva del espectro radioeléctrico. - La autoridad de telecomunicaciones planificará el uso del espectro radioeléctrico para difusión de señal abierta para medios públicos, privados y comunitarios. Se reservará hasta el 34% del espectro radioeléctrico al sector comunitario en función de la demanda y de la disponibilidad, porcentaje máximo que deberá alcanzarse progresivamente”.</w:t>
      </w:r>
    </w:p>
  </w:footnote>
  <w:footnote w:id="122">
    <w:p w14:paraId="602D82A5"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w:t>
      </w:r>
      <w:r w:rsidRPr="00EA33F1">
        <w:rPr>
          <w:lang w:val="es-MX"/>
        </w:rPr>
        <w:t>Ley Nº 20.433, crea los servicios de radiodifusión comunitaria ciudadana, Artículo 5, 25 de abril de 2010. Ver también reserva de frecuencias en televisión digital en artículo 2 y ss. Decreto 585/2012</w:t>
      </w:r>
      <w:r w:rsidRPr="00EA33F1">
        <w:rPr>
          <w:lang w:val="es-PE"/>
        </w:rPr>
        <w:t>. Ver también reserva de frecuencias en televisión digital en artículo 2 y ss. Decreto 585/2012.</w:t>
      </w:r>
    </w:p>
  </w:footnote>
  <w:footnote w:id="123">
    <w:p w14:paraId="4CF9D366" w14:textId="77777777" w:rsidR="00B95258" w:rsidRPr="00EA33F1" w:rsidRDefault="00B95258" w:rsidP="00EA33F1">
      <w:pPr>
        <w:pStyle w:val="FootnoteText"/>
        <w:rPr>
          <w:rFonts w:cs="Arial"/>
          <w:lang w:val="es-PE"/>
        </w:rPr>
      </w:pPr>
      <w:r w:rsidRPr="00EA33F1">
        <w:rPr>
          <w:rStyle w:val="FootnoteReference"/>
        </w:rPr>
        <w:footnoteRef/>
      </w:r>
      <w:r w:rsidRPr="00EA33F1">
        <w:rPr>
          <w:rFonts w:cs="Arial"/>
          <w:lang w:val="es-PE"/>
        </w:rPr>
        <w:t xml:space="preserve"> </w:t>
      </w:r>
      <w:r w:rsidRPr="00EA33F1">
        <w:rPr>
          <w:lang w:val="es-PE"/>
        </w:rPr>
        <w:t xml:space="preserve">Corte </w:t>
      </w:r>
      <w:r w:rsidRPr="00EA33F1">
        <w:rPr>
          <w:rFonts w:cs="Arial"/>
          <w:lang w:val="es-PE"/>
        </w:rPr>
        <w:t xml:space="preserve">IDH. </w:t>
      </w:r>
      <w:r w:rsidRPr="00EA33F1">
        <w:rPr>
          <w:i/>
          <w:lang w:val="es-PE"/>
        </w:rPr>
        <w:t>La Colegiación Obligatoria de Periodistas</w:t>
      </w:r>
      <w:r w:rsidRPr="00EA33F1">
        <w:rPr>
          <w:lang w:val="es-PE"/>
        </w:rPr>
        <w:t xml:space="preserve"> (Arts. 13 y 29 de la Convención Americana sobre Derechos Humanos), </w:t>
      </w:r>
      <w:r w:rsidRPr="00EA33F1">
        <w:rPr>
          <w:i/>
          <w:iCs/>
          <w:lang w:val="es-PE"/>
        </w:rPr>
        <w:t>supra</w:t>
      </w:r>
      <w:r w:rsidRPr="00EA33F1">
        <w:rPr>
          <w:lang w:val="es-PE"/>
        </w:rPr>
        <w:t xml:space="preserve">. </w:t>
      </w:r>
      <w:r w:rsidRPr="00EA33F1">
        <w:rPr>
          <w:rFonts w:cs="Arial"/>
          <w:lang w:val="es-PE"/>
        </w:rPr>
        <w:t xml:space="preserve">Párr. 46, y </w:t>
      </w:r>
      <w:r w:rsidRPr="00EA33F1">
        <w:rPr>
          <w:i/>
          <w:lang w:val="es-PE"/>
        </w:rPr>
        <w:t>Caso Herrera Ulloa Vs. Costa Rica</w:t>
      </w:r>
      <w:r w:rsidRPr="00EA33F1">
        <w:rPr>
          <w:lang w:val="es-PE"/>
        </w:rPr>
        <w:t xml:space="preserve">, </w:t>
      </w:r>
      <w:r w:rsidRPr="00EA33F1">
        <w:rPr>
          <w:i/>
          <w:iCs/>
          <w:lang w:val="es-PE"/>
        </w:rPr>
        <w:t>supra</w:t>
      </w:r>
      <w:r w:rsidRPr="00EA33F1">
        <w:rPr>
          <w:lang w:val="es-PE"/>
        </w:rPr>
        <w:t xml:space="preserve">. </w:t>
      </w:r>
      <w:r w:rsidRPr="00EA33F1">
        <w:rPr>
          <w:rFonts w:cs="Arial"/>
          <w:lang w:val="es-PE"/>
        </w:rPr>
        <w:t>Párrs. 120-123.</w:t>
      </w:r>
    </w:p>
  </w:footnote>
  <w:footnote w:id="124">
    <w:p w14:paraId="272FD9A1"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w:t>
      </w:r>
      <w:r w:rsidRPr="00EA33F1">
        <w:rPr>
          <w:color w:val="auto"/>
          <w:lang w:val="es-CO"/>
        </w:rPr>
        <w:t xml:space="preserve">CIDH. </w:t>
      </w:r>
      <w:r w:rsidRPr="00EA33F1">
        <w:rPr>
          <w:lang w:val="es-CO"/>
        </w:rPr>
        <w:t xml:space="preserve">Relatoría Especial para la Libertad de Expresión. </w:t>
      </w:r>
      <w:r w:rsidRPr="00EA33F1">
        <w:rPr>
          <w:i/>
          <w:lang w:val="es-CO"/>
        </w:rPr>
        <w:t xml:space="preserve">Estándares de libertad de expresión para una radiodifusión libre e incluyente, supra, </w:t>
      </w:r>
      <w:r w:rsidRPr="00EA33F1">
        <w:rPr>
          <w:iCs/>
          <w:lang w:val="es-CO"/>
        </w:rPr>
        <w:t>Párr. 41.</w:t>
      </w:r>
    </w:p>
  </w:footnote>
  <w:footnote w:id="125">
    <w:p w14:paraId="71BCCCB4" w14:textId="77777777" w:rsidR="00B95258" w:rsidRPr="00EA33F1" w:rsidRDefault="00B95258" w:rsidP="00EA33F1">
      <w:pPr>
        <w:pStyle w:val="FootnoteText"/>
        <w:rPr>
          <w:lang w:val="es-ES_tradnl"/>
        </w:rPr>
      </w:pPr>
      <w:r w:rsidRPr="00EA33F1">
        <w:rPr>
          <w:rStyle w:val="FootnoteReference"/>
        </w:rPr>
        <w:footnoteRef/>
      </w:r>
      <w:r w:rsidRPr="00EA33F1">
        <w:rPr>
          <w:lang w:val="es-PE"/>
        </w:rPr>
        <w:t xml:space="preserve"> </w:t>
      </w:r>
      <w:r w:rsidRPr="00EA33F1">
        <w:rPr>
          <w:color w:val="auto"/>
          <w:lang w:val="es-CO"/>
        </w:rPr>
        <w:t xml:space="preserve">CIDH. </w:t>
      </w:r>
      <w:r w:rsidRPr="00EA33F1">
        <w:rPr>
          <w:lang w:val="es-CO"/>
        </w:rPr>
        <w:t xml:space="preserve">Relatoría Especial para la Libertad de Expresión. </w:t>
      </w:r>
      <w:r w:rsidRPr="00EA33F1">
        <w:rPr>
          <w:i/>
          <w:lang w:val="es-CO"/>
        </w:rPr>
        <w:t>Estándares de libertad de expresión para una radiodifusión libre e incluyente, supra</w:t>
      </w:r>
      <w:r w:rsidRPr="00EA33F1">
        <w:rPr>
          <w:iCs/>
          <w:lang w:val="es-CO"/>
        </w:rPr>
        <w:t>. Párr. 134.</w:t>
      </w:r>
    </w:p>
  </w:footnote>
  <w:footnote w:id="126">
    <w:p w14:paraId="7305FFB6" w14:textId="77777777" w:rsidR="00B95258" w:rsidRPr="00EA33F1" w:rsidRDefault="00B95258" w:rsidP="00EA33F1">
      <w:pPr>
        <w:pStyle w:val="FootnoteText"/>
        <w:rPr>
          <w:lang w:val="es-CO"/>
        </w:rPr>
      </w:pPr>
      <w:r w:rsidRPr="00EA33F1">
        <w:rPr>
          <w:rStyle w:val="FootnoteReference"/>
        </w:rPr>
        <w:footnoteRef/>
      </w:r>
      <w:r w:rsidRPr="00EA33F1">
        <w:rPr>
          <w:lang w:val="es-CO"/>
        </w:rPr>
        <w:t xml:space="preserve"> </w:t>
      </w:r>
      <w:r w:rsidRPr="00EA33F1">
        <w:rPr>
          <w:rFonts w:cs="Times New Roman"/>
          <w:bCs/>
          <w:lang w:val="es-CO"/>
        </w:rPr>
        <w:t xml:space="preserve">Corte IDH. </w:t>
      </w:r>
      <w:r w:rsidRPr="00EA33F1">
        <w:rPr>
          <w:rFonts w:cs="Times New Roman"/>
          <w:bCs/>
          <w:i/>
          <w:iCs/>
          <w:lang w:val="es-CO"/>
        </w:rPr>
        <w:t>Caso Cuscul Pivaral y otros Vs. Guatemala</w:t>
      </w:r>
      <w:r w:rsidRPr="00EA33F1">
        <w:rPr>
          <w:rFonts w:cs="Times New Roman"/>
          <w:bCs/>
          <w:lang w:val="es-CO"/>
        </w:rPr>
        <w:t xml:space="preserve">. Excepción Preliminar, Fondo, Reparaciones y Costas. Sentencia de 23 de agosto de 2018. Serie C No. 359. Párrs. 74 -97; </w:t>
      </w:r>
      <w:r w:rsidRPr="00EA33F1">
        <w:rPr>
          <w:rStyle w:val="Strong"/>
          <w:rFonts w:eastAsia="Times New Roman"/>
          <w:b w:val="0"/>
          <w:i/>
          <w:iCs/>
          <w:lang w:val="es-PE"/>
        </w:rPr>
        <w:t>Caso Lagos del Campo Vs. Perú.</w:t>
      </w:r>
      <w:r w:rsidRPr="00EA33F1">
        <w:rPr>
          <w:rStyle w:val="Strong"/>
          <w:rFonts w:eastAsia="Times New Roman"/>
          <w:b w:val="0"/>
          <w:lang w:val="es-PE"/>
        </w:rPr>
        <w:t xml:space="preserve"> Excepciones Preliminares, Fondo, Reparaciones y Costas. Sentencia de 31 de agosto de 2017. Serie C No. 340. Párr. 141, y</w:t>
      </w:r>
      <w:r w:rsidRPr="00EA33F1">
        <w:rPr>
          <w:rStyle w:val="Strong"/>
          <w:rFonts w:eastAsia="Times New Roman"/>
          <w:lang w:val="es-PE"/>
        </w:rPr>
        <w:t xml:space="preserve"> </w:t>
      </w:r>
      <w:r w:rsidRPr="00EA33F1">
        <w:rPr>
          <w:rFonts w:cs="Helvetica"/>
          <w:i/>
          <w:iCs/>
          <w:color w:val="141413"/>
          <w:lang w:val="es-CO" w:bidi="en-US"/>
        </w:rPr>
        <w:t xml:space="preserve">Caso Acevedo Buendía y otros (“Cesantes y Jubilados de la Contraloría”) Vs. Perú. </w:t>
      </w:r>
      <w:r w:rsidRPr="00EA33F1">
        <w:rPr>
          <w:rFonts w:cs="Helvetica"/>
          <w:color w:val="141413"/>
          <w:lang w:val="es-CO" w:bidi="en-US"/>
        </w:rPr>
        <w:t xml:space="preserve">Excepción Preliminar, Fondo, Reparaciones y Costas. Sentencia 24 de noviembre de 2009. </w:t>
      </w:r>
      <w:r w:rsidRPr="00EA33F1">
        <w:rPr>
          <w:rStyle w:val="Strong"/>
          <w:rFonts w:eastAsia="Times New Roman"/>
          <w:b w:val="0"/>
          <w:lang w:val="es-PE"/>
        </w:rPr>
        <w:t>Serie C No. 210.</w:t>
      </w:r>
      <w:r w:rsidRPr="00EA33F1">
        <w:rPr>
          <w:rFonts w:cs="Helvetica"/>
          <w:color w:val="141413"/>
          <w:lang w:val="es-CO" w:bidi="en-US"/>
        </w:rPr>
        <w:t xml:space="preserve"> Párr. 101.</w:t>
      </w:r>
    </w:p>
  </w:footnote>
  <w:footnote w:id="127">
    <w:p w14:paraId="482FDFBA"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CIDH. Informe No. 25/18. Caso 12.428. Admisibilidad y Fondo. Empleados de la Fábrica de Fuegos en Santo Antonio de Jesús y sus familiares. Brasil. 2 de marzo de 2018. Párr. 129.</w:t>
      </w:r>
    </w:p>
  </w:footnote>
  <w:footnote w:id="128">
    <w:p w14:paraId="6FA6D116"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CIDH. Informe No. 25/18. Caso 12.428. Admisibilidad y Fondo. Empleados de la Fábrica de Fuegos en Santo Antonio de Jesús y sus familiares. Brasil. 2 de marzo de 2018. Párr. 130.</w:t>
      </w:r>
    </w:p>
  </w:footnote>
  <w:footnote w:id="129">
    <w:p w14:paraId="6DB0361F"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CIDH. Informe No. 25/18. Caso 12.428. Admisibilidad y Fondo. Empleados de la Fábrica de Fuegos en Santo Antonio de Jesús y sus familiares. Brasil. 2 de marzo de 2018. Párr. 134.</w:t>
      </w:r>
    </w:p>
  </w:footnote>
  <w:footnote w:id="130">
    <w:p w14:paraId="1C192A4A" w14:textId="77777777" w:rsidR="00B95258" w:rsidRPr="00EA33F1" w:rsidRDefault="00B95258" w:rsidP="00EA33F1">
      <w:pPr>
        <w:jc w:val="both"/>
        <w:rPr>
          <w:rFonts w:asciiTheme="majorHAnsi" w:eastAsia="Times New Roman" w:hAnsiTheme="majorHAnsi"/>
          <w:sz w:val="16"/>
          <w:szCs w:val="16"/>
          <w:lang w:val="es-PE"/>
        </w:rPr>
      </w:pPr>
      <w:r w:rsidRPr="00EA33F1">
        <w:rPr>
          <w:rStyle w:val="FootnoteReference"/>
          <w:rFonts w:asciiTheme="majorHAnsi" w:hAnsiTheme="majorHAnsi"/>
          <w:sz w:val="16"/>
          <w:szCs w:val="16"/>
        </w:rPr>
        <w:footnoteRef/>
      </w:r>
      <w:r w:rsidRPr="00EA33F1">
        <w:rPr>
          <w:rFonts w:asciiTheme="majorHAnsi" w:hAnsiTheme="majorHAnsi"/>
          <w:sz w:val="16"/>
          <w:szCs w:val="16"/>
          <w:lang w:val="es-PE"/>
        </w:rPr>
        <w:t xml:space="preserve"> ONU. </w:t>
      </w:r>
      <w:r w:rsidRPr="00EA33F1">
        <w:rPr>
          <w:rFonts w:asciiTheme="majorHAnsi" w:hAnsiTheme="majorHAnsi"/>
          <w:sz w:val="16"/>
          <w:szCs w:val="16"/>
          <w:lang w:val="es-ES"/>
        </w:rPr>
        <w:t xml:space="preserve">Comité DESC. </w:t>
      </w:r>
      <w:r w:rsidRPr="00EA33F1">
        <w:rPr>
          <w:rFonts w:asciiTheme="majorHAnsi" w:eastAsia="Times New Roman" w:hAnsiTheme="majorHAnsi"/>
          <w:iCs/>
          <w:color w:val="000000"/>
          <w:sz w:val="16"/>
          <w:szCs w:val="16"/>
          <w:lang w:val="es-PE"/>
        </w:rPr>
        <w:t>Observación General 3: La índole de las obligaciones de los Estados Parte (párrafo 1 del artículo 2 del Pacto)</w:t>
      </w:r>
      <w:r w:rsidRPr="00EA33F1">
        <w:rPr>
          <w:rFonts w:asciiTheme="majorHAnsi" w:eastAsia="Times New Roman" w:hAnsiTheme="majorHAnsi"/>
          <w:color w:val="000000"/>
          <w:sz w:val="16"/>
          <w:szCs w:val="16"/>
          <w:lang w:val="es-PE"/>
        </w:rPr>
        <w:t xml:space="preserve">, 1990. En ese sentido, véase, </w:t>
      </w:r>
      <w:r w:rsidRPr="00EA33F1">
        <w:rPr>
          <w:rFonts w:asciiTheme="majorHAnsi" w:hAnsiTheme="majorHAnsi"/>
          <w:sz w:val="16"/>
          <w:szCs w:val="16"/>
          <w:lang w:val="es-PE"/>
        </w:rPr>
        <w:t>CIDH. Informe sobre pobreza y derechos humanos en las Américas. OEA/Ser.L/V/II.164 Doc. 147. 7 de septiembre de 2017. Párrs. 236 y 237.</w:t>
      </w:r>
    </w:p>
  </w:footnote>
  <w:footnote w:id="131">
    <w:p w14:paraId="0C78296F" w14:textId="77777777" w:rsidR="00B95258" w:rsidRPr="00EA33F1" w:rsidRDefault="00B95258" w:rsidP="00EA33F1">
      <w:pPr>
        <w:pStyle w:val="FootnoteText"/>
        <w:rPr>
          <w:lang w:val="es-ES"/>
        </w:rPr>
      </w:pPr>
      <w:r w:rsidRPr="00EA33F1">
        <w:rPr>
          <w:rStyle w:val="FootnoteReference"/>
        </w:rPr>
        <w:footnoteRef/>
      </w:r>
      <w:r w:rsidRPr="00EA33F1">
        <w:rPr>
          <w:lang w:val="es-ES"/>
        </w:rPr>
        <w:t xml:space="preserve"> ONU. Comité DESC. Observación General No. 21:  Derecho de toda persona a participar en la vida cultural (artículo 15, párrafo 1 a), del Pacto Internacional de Derechos Económicos, Sociales y Culturas). UN Doc. E/C.12/GC/21/Rev.1, 17 de mayo de 2010. Párr. 36.</w:t>
      </w:r>
    </w:p>
  </w:footnote>
  <w:footnote w:id="132">
    <w:p w14:paraId="78DA44EA" w14:textId="77777777" w:rsidR="00B95258" w:rsidRPr="00EA33F1" w:rsidRDefault="00B95258" w:rsidP="00EA33F1">
      <w:pPr>
        <w:pStyle w:val="FootnoteText"/>
        <w:rPr>
          <w:lang w:val="es-ES"/>
        </w:rPr>
      </w:pPr>
      <w:r w:rsidRPr="00EA33F1">
        <w:rPr>
          <w:rStyle w:val="FootnoteReference"/>
        </w:rPr>
        <w:footnoteRef/>
      </w:r>
      <w:r w:rsidRPr="00EA33F1">
        <w:rPr>
          <w:lang w:val="es-ES"/>
        </w:rPr>
        <w:t xml:space="preserve"> ONU. Comité DESC. Observación General No. 21:  Derecho de toda persona a participar en la vida cultural (artículo 15, párrafo 1 a), del Pacto Internacional de Derechos Económicos, Sociales y Culturas). UN Doc. E/C.12/GC/21/Rev.1, 17 de mayo de 2010. Párr. 16.</w:t>
      </w:r>
    </w:p>
  </w:footnote>
  <w:footnote w:id="133">
    <w:p w14:paraId="6892AAAF" w14:textId="77777777" w:rsidR="00B95258" w:rsidRPr="00EA33F1" w:rsidRDefault="00B95258" w:rsidP="00EA33F1">
      <w:pPr>
        <w:pStyle w:val="FootnoteText"/>
        <w:rPr>
          <w:lang w:val="es-ES"/>
        </w:rPr>
      </w:pPr>
      <w:r w:rsidRPr="00EA33F1">
        <w:rPr>
          <w:rStyle w:val="FootnoteReference"/>
        </w:rPr>
        <w:footnoteRef/>
      </w:r>
      <w:r w:rsidRPr="00EA33F1">
        <w:rPr>
          <w:lang w:val="es-ES"/>
        </w:rPr>
        <w:t xml:space="preserve"> ONU. Comité DESC. Observación General No. 21:  Derecho de toda persona a participar en la vida cultural (artículo 15, párrafo 1 a), del Pacto Internacional de Derechos Económicos, Sociales y Culturas).  UN Doc. E/C.12/GC/21/Rev.1, 17 de mayo de 2010. Párr. 55.</w:t>
      </w:r>
    </w:p>
  </w:footnote>
  <w:footnote w:id="134">
    <w:p w14:paraId="5DAAE825" w14:textId="77777777" w:rsidR="00B95258" w:rsidRPr="00EA33F1" w:rsidRDefault="00B95258" w:rsidP="00EA33F1">
      <w:pPr>
        <w:pStyle w:val="FootnoteText"/>
        <w:rPr>
          <w:lang w:val="es-ES"/>
        </w:rPr>
      </w:pPr>
      <w:r w:rsidRPr="00EA33F1">
        <w:rPr>
          <w:rStyle w:val="FootnoteReference"/>
        </w:rPr>
        <w:footnoteRef/>
      </w:r>
      <w:r w:rsidRPr="00EA33F1">
        <w:rPr>
          <w:lang w:val="es-ES"/>
        </w:rPr>
        <w:t xml:space="preserve"> ONU. Comité DESC. Observación General No. 21:  Derecho de toda persona a participar en la vida cultural (artículo 15, párrafo 1 a), del Pacto Internacional de Derechos Económicos, Sociales y Culturas).  UN Doc. E/C.12/GC/21/Rev.1, 17 de mayo de 2010. Párr. 40.</w:t>
      </w:r>
    </w:p>
  </w:footnote>
  <w:footnote w:id="135">
    <w:p w14:paraId="0098B4DA"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ONU. </w:t>
      </w:r>
      <w:r w:rsidRPr="00EA33F1">
        <w:rPr>
          <w:lang w:val="es-ES"/>
        </w:rPr>
        <w:t>Comité DESC. Observación General No. 21:  Derecho de toda persona a participar en la vida cultural (artículo 15, párrafo 1 a), del Pacto Internacional de Derechos Económicos, Sociales y Culturas).  UN Doc. E/C.12/GC/21/Rev.1, 17 de mayo de 2010. Párr. 15.</w:t>
      </w:r>
    </w:p>
  </w:footnote>
  <w:footnote w:id="136">
    <w:p w14:paraId="7D5EC7C3"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ONU. </w:t>
      </w:r>
      <w:r w:rsidRPr="00EA33F1">
        <w:rPr>
          <w:lang w:val="es-ES"/>
        </w:rPr>
        <w:t>Comité DESC. Observación General No. 21:  Derecho de toda persona a participar en la vida cultural (artículo 15, párrafo 1 a), del Pacto Internacional de Derechos Económicos, Sociales y Culturas). UN Doc. E/C.12/GC/21/Rev.1. 17 de mayo de 2010. Párr. 16.b)</w:t>
      </w:r>
    </w:p>
  </w:footnote>
  <w:footnote w:id="137">
    <w:p w14:paraId="3822895D" w14:textId="77777777" w:rsidR="00B95258" w:rsidRPr="00EA33F1" w:rsidRDefault="00B95258" w:rsidP="00EA33F1">
      <w:pPr>
        <w:pBdr>
          <w:top w:val="none" w:sz="0" w:space="0" w:color="auto"/>
          <w:left w:val="none" w:sz="0" w:space="0" w:color="auto"/>
          <w:bottom w:val="none" w:sz="0" w:space="0" w:color="auto"/>
          <w:right w:val="none" w:sz="0" w:space="0" w:color="auto"/>
          <w:between w:val="none" w:sz="0" w:space="0" w:color="auto"/>
          <w:bar w:val="none" w:sz="0" w:color="auto"/>
        </w:pBdr>
        <w:tabs>
          <w:tab w:val="left" w:pos="3869"/>
        </w:tabs>
        <w:jc w:val="both"/>
        <w:rPr>
          <w:rFonts w:asciiTheme="majorHAnsi" w:eastAsia="Batang" w:hAnsiTheme="majorHAnsi" w:cs="Arial"/>
          <w:sz w:val="16"/>
          <w:szCs w:val="16"/>
          <w:bdr w:val="none" w:sz="0" w:space="0" w:color="auto"/>
          <w:lang w:val="es-ES"/>
        </w:rPr>
      </w:pPr>
      <w:r w:rsidRPr="00EA33F1">
        <w:rPr>
          <w:rStyle w:val="FootnoteReference"/>
          <w:rFonts w:asciiTheme="majorHAnsi" w:hAnsiTheme="majorHAnsi"/>
          <w:sz w:val="16"/>
          <w:szCs w:val="16"/>
        </w:rPr>
        <w:footnoteRef/>
      </w:r>
      <w:r w:rsidRPr="00EA33F1">
        <w:rPr>
          <w:rFonts w:asciiTheme="majorHAnsi" w:hAnsiTheme="majorHAnsi"/>
          <w:sz w:val="16"/>
          <w:szCs w:val="16"/>
          <w:lang w:val="es-PE"/>
        </w:rPr>
        <w:t xml:space="preserve"> </w:t>
      </w:r>
      <w:r w:rsidRPr="00EA33F1">
        <w:rPr>
          <w:rFonts w:asciiTheme="majorHAnsi" w:eastAsia="Batang" w:hAnsiTheme="majorHAnsi" w:cs="Arial"/>
          <w:sz w:val="16"/>
          <w:szCs w:val="16"/>
          <w:bdr w:val="none" w:sz="0" w:space="0" w:color="auto"/>
          <w:lang w:val="es-ES"/>
        </w:rPr>
        <w:t>Organización de las Naciones Unidas para la Educación, la Ciencia y la Cultura (UNESCO, por sus siglas en inglés)</w:t>
      </w:r>
      <w:r w:rsidRPr="00EA33F1">
        <w:rPr>
          <w:rFonts w:asciiTheme="majorHAnsi" w:hAnsiTheme="majorHAnsi"/>
          <w:sz w:val="16"/>
          <w:szCs w:val="16"/>
          <w:lang w:val="es-PE"/>
        </w:rPr>
        <w:t>. Convención sobre la protección y la promoción de la diversidad de las expresiones culturales, 20 de octubre de 2005.</w:t>
      </w:r>
    </w:p>
  </w:footnote>
  <w:footnote w:id="138">
    <w:p w14:paraId="1FFC8E07" w14:textId="77777777" w:rsidR="00B95258" w:rsidRPr="00EA33F1" w:rsidRDefault="00B95258" w:rsidP="00EA33F1">
      <w:pPr>
        <w:pBdr>
          <w:top w:val="none" w:sz="0" w:space="0" w:color="auto"/>
          <w:left w:val="none" w:sz="0" w:space="0" w:color="auto"/>
          <w:bottom w:val="none" w:sz="0" w:space="0" w:color="auto"/>
          <w:right w:val="none" w:sz="0" w:space="0" w:color="auto"/>
          <w:between w:val="none" w:sz="0" w:space="0" w:color="auto"/>
          <w:bar w:val="none" w:sz="0" w:color="auto"/>
        </w:pBdr>
        <w:tabs>
          <w:tab w:val="left" w:pos="3869"/>
        </w:tabs>
        <w:jc w:val="both"/>
        <w:rPr>
          <w:rFonts w:asciiTheme="majorHAnsi" w:eastAsia="Batang" w:hAnsiTheme="majorHAnsi" w:cs="Arial"/>
          <w:sz w:val="16"/>
          <w:szCs w:val="16"/>
          <w:bdr w:val="none" w:sz="0" w:space="0" w:color="auto"/>
          <w:lang w:val="es-ES"/>
        </w:rPr>
      </w:pPr>
      <w:r w:rsidRPr="00EA33F1">
        <w:rPr>
          <w:rStyle w:val="FootnoteReference"/>
          <w:rFonts w:asciiTheme="majorHAnsi" w:hAnsiTheme="majorHAnsi"/>
          <w:sz w:val="16"/>
          <w:szCs w:val="16"/>
        </w:rPr>
        <w:footnoteRef/>
      </w:r>
      <w:r w:rsidRPr="00EA33F1">
        <w:rPr>
          <w:rFonts w:asciiTheme="majorHAnsi" w:hAnsiTheme="majorHAnsi"/>
          <w:sz w:val="16"/>
          <w:szCs w:val="16"/>
          <w:lang w:val="es-PE"/>
        </w:rPr>
        <w:t xml:space="preserve"> </w:t>
      </w:r>
      <w:r w:rsidRPr="00EA33F1">
        <w:rPr>
          <w:rFonts w:asciiTheme="majorHAnsi" w:eastAsia="Batang" w:hAnsiTheme="majorHAnsi" w:cs="Arial"/>
          <w:sz w:val="16"/>
          <w:szCs w:val="16"/>
          <w:bdr w:val="none" w:sz="0" w:space="0" w:color="auto"/>
          <w:lang w:val="es-ES"/>
        </w:rPr>
        <w:t xml:space="preserve">Organización de las Naciones Unidas para la Educación, la Ciencia y la Cultura (UNESCO, por sus siglas en inglés). </w:t>
      </w:r>
      <w:r w:rsidRPr="00EA33F1">
        <w:rPr>
          <w:rFonts w:asciiTheme="majorHAnsi" w:hAnsiTheme="majorHAnsi"/>
          <w:sz w:val="16"/>
          <w:szCs w:val="16"/>
          <w:lang w:val="es-PE"/>
        </w:rPr>
        <w:t>Declaración Universal de la UNESCO sobre la diversidad cultural, 2 de noviembre de 2001.</w:t>
      </w:r>
    </w:p>
  </w:footnote>
  <w:footnote w:id="139">
    <w:p w14:paraId="36E162D5" w14:textId="77777777" w:rsidR="00B95258" w:rsidRPr="00EA33F1" w:rsidRDefault="00B95258" w:rsidP="00EA33F1">
      <w:pPr>
        <w:pStyle w:val="FootnoteText"/>
        <w:rPr>
          <w:lang w:val="es-ES_tradnl"/>
        </w:rPr>
      </w:pPr>
      <w:r w:rsidRPr="00EA33F1">
        <w:rPr>
          <w:rStyle w:val="FootnoteReference"/>
        </w:rPr>
        <w:footnoteRef/>
      </w:r>
      <w:r w:rsidRPr="00EA33F1">
        <w:rPr>
          <w:lang w:val="es-PE"/>
        </w:rPr>
        <w:t xml:space="preserve"> </w:t>
      </w:r>
      <w:r w:rsidRPr="00EA33F1">
        <w:rPr>
          <w:lang w:val="es-ES_tradnl"/>
        </w:rPr>
        <w:t xml:space="preserve">Corte IDH. </w:t>
      </w:r>
      <w:r w:rsidRPr="00EA33F1">
        <w:rPr>
          <w:i/>
          <w:iCs/>
          <w:lang w:val="es-ES_tradnl"/>
        </w:rPr>
        <w:t xml:space="preserve">Titularidad de derechos de las personas jurídicas en el Sistema Interamericano de Derechos Humanos (Interpretación y alcance del artículo 1.2, en relación con los artículos 1.1, 8, 11.2, 13, 16, 21, 24, 25, 29, 30, 44, 46, y 62.3 de la Convención Americana sobre Derechos Humanos, así como del artículo 8.1 A y B del Protocolo de San Salvador), supra. </w:t>
      </w:r>
      <w:r w:rsidRPr="00EA33F1">
        <w:rPr>
          <w:lang w:val="es-ES_tradnl"/>
        </w:rPr>
        <w:t>Párrs. 112 a 117.</w:t>
      </w:r>
    </w:p>
  </w:footnote>
  <w:footnote w:id="140">
    <w:p w14:paraId="7F99595F" w14:textId="77777777" w:rsidR="00B95258" w:rsidRPr="00EA33F1" w:rsidRDefault="00B95258" w:rsidP="00EA33F1">
      <w:pPr>
        <w:pStyle w:val="FootnoteText"/>
        <w:rPr>
          <w:rFonts w:cs="Arial"/>
          <w:lang w:val="es-PE"/>
        </w:rPr>
      </w:pPr>
      <w:r w:rsidRPr="00EA33F1">
        <w:rPr>
          <w:rStyle w:val="FootnoteReference"/>
        </w:rPr>
        <w:footnoteRef/>
      </w:r>
      <w:r w:rsidRPr="00EA33F1">
        <w:rPr>
          <w:rFonts w:cs="Arial"/>
          <w:lang w:val="es-PE"/>
        </w:rPr>
        <w:t xml:space="preserve"> </w:t>
      </w:r>
      <w:r w:rsidRPr="00EA33F1">
        <w:rPr>
          <w:lang w:val="es-PE"/>
        </w:rPr>
        <w:t xml:space="preserve">Corte IDH. </w:t>
      </w:r>
      <w:r w:rsidRPr="00EA33F1">
        <w:rPr>
          <w:i/>
          <w:lang w:val="es-PE"/>
        </w:rPr>
        <w:t>La Colegiación Obligatoria de Periodistas</w:t>
      </w:r>
      <w:r w:rsidRPr="00EA33F1">
        <w:rPr>
          <w:lang w:val="es-PE"/>
        </w:rPr>
        <w:t xml:space="preserve"> (Arts. 13 y 29 de la Convención Americana sobre Derechos Humanos), </w:t>
      </w:r>
      <w:r w:rsidRPr="00EA33F1">
        <w:rPr>
          <w:i/>
          <w:iCs/>
          <w:lang w:val="es-PE"/>
        </w:rPr>
        <w:t>supra</w:t>
      </w:r>
      <w:r w:rsidRPr="00EA33F1">
        <w:rPr>
          <w:lang w:val="es-PE"/>
        </w:rPr>
        <w:t xml:space="preserve">. </w:t>
      </w:r>
      <w:r w:rsidRPr="00EA33F1">
        <w:rPr>
          <w:rFonts w:cs="Arial"/>
          <w:lang w:val="es-PE"/>
        </w:rPr>
        <w:t xml:space="preserve">Párr. 46, y </w:t>
      </w:r>
      <w:r w:rsidRPr="00EA33F1">
        <w:rPr>
          <w:i/>
          <w:lang w:val="es-PE"/>
        </w:rPr>
        <w:t>Caso Herrera Ulloa Vs. Costa Rica</w:t>
      </w:r>
      <w:r w:rsidRPr="00EA33F1">
        <w:rPr>
          <w:lang w:val="es-PE"/>
        </w:rPr>
        <w:t xml:space="preserve">, </w:t>
      </w:r>
      <w:r w:rsidRPr="00EA33F1">
        <w:rPr>
          <w:i/>
          <w:iCs/>
          <w:lang w:val="es-PE"/>
        </w:rPr>
        <w:t>supra</w:t>
      </w:r>
      <w:r w:rsidRPr="00EA33F1">
        <w:rPr>
          <w:lang w:val="es-PE"/>
        </w:rPr>
        <w:t xml:space="preserve">. </w:t>
      </w:r>
      <w:r w:rsidRPr="00EA33F1">
        <w:rPr>
          <w:rFonts w:cs="Arial"/>
          <w:lang w:val="es-PE"/>
        </w:rPr>
        <w:t>Párrs. 120-123.</w:t>
      </w:r>
    </w:p>
  </w:footnote>
  <w:footnote w:id="141">
    <w:p w14:paraId="3906831B" w14:textId="77777777" w:rsidR="00B95258" w:rsidRPr="00EA33F1" w:rsidRDefault="00B95258" w:rsidP="00EA33F1">
      <w:pPr>
        <w:pStyle w:val="FootnoteText"/>
        <w:rPr>
          <w:lang w:val="es-PE"/>
        </w:rPr>
      </w:pPr>
      <w:r w:rsidRPr="00EA33F1">
        <w:rPr>
          <w:rStyle w:val="FootnoteReference"/>
        </w:rPr>
        <w:footnoteRef/>
      </w:r>
      <w:r w:rsidRPr="00EA33F1">
        <w:rPr>
          <w:lang w:val="es-PE"/>
        </w:rPr>
        <w:t xml:space="preserve"> </w:t>
      </w:r>
      <w:r w:rsidRPr="00EA33F1">
        <w:rPr>
          <w:color w:val="auto"/>
          <w:lang w:val="es-CO"/>
        </w:rPr>
        <w:t xml:space="preserve">CIDH. </w:t>
      </w:r>
      <w:r w:rsidRPr="00EA33F1">
        <w:rPr>
          <w:lang w:val="es-CO"/>
        </w:rPr>
        <w:t xml:space="preserve">Relatoría Especial para la Libertad de Expresión. </w:t>
      </w:r>
      <w:r w:rsidRPr="00EA33F1">
        <w:rPr>
          <w:i/>
          <w:lang w:val="es-CO"/>
        </w:rPr>
        <w:t>Estándares de libertad de expresión para una radiodifusión libre e incluyente, supra</w:t>
      </w:r>
      <w:r w:rsidRPr="00EA33F1">
        <w:rPr>
          <w:iCs/>
          <w:lang w:val="es-CO"/>
        </w:rPr>
        <w:t>. Párr. 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04AF9" w14:textId="77777777" w:rsidR="00B95258" w:rsidRDefault="00B95258" w:rsidP="00B06D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B78E509" w14:textId="77777777" w:rsidR="00B95258" w:rsidRDefault="00B952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691D7" w14:textId="77777777" w:rsidR="00B95258" w:rsidRDefault="00B95258" w:rsidP="00A50FCF">
    <w:pPr>
      <w:pStyle w:val="Header"/>
      <w:tabs>
        <w:tab w:val="clear" w:pos="4320"/>
        <w:tab w:val="clear" w:pos="8640"/>
      </w:tabs>
      <w:jc w:val="center"/>
      <w:rPr>
        <w:sz w:val="22"/>
        <w:szCs w:val="22"/>
      </w:rPr>
    </w:pPr>
    <w:r>
      <w:rPr>
        <w:noProof/>
        <w:sz w:val="22"/>
        <w:szCs w:val="22"/>
      </w:rPr>
      <w:drawing>
        <wp:inline distT="0" distB="0" distL="0" distR="0" wp14:anchorId="0F2B6852" wp14:editId="0F4DB9BB">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395AED5" w14:textId="77777777" w:rsidR="00B95258" w:rsidRPr="00EC7D62" w:rsidRDefault="004A3F76" w:rsidP="00A50FCF">
    <w:pPr>
      <w:pStyle w:val="Header"/>
      <w:tabs>
        <w:tab w:val="clear" w:pos="4320"/>
        <w:tab w:val="clear" w:pos="8640"/>
      </w:tabs>
      <w:jc w:val="center"/>
      <w:rPr>
        <w:sz w:val="22"/>
        <w:szCs w:val="22"/>
      </w:rPr>
    </w:pPr>
    <w:r>
      <w:rPr>
        <w:sz w:val="22"/>
        <w:szCs w:val="22"/>
      </w:rPr>
      <w:pict w14:anchorId="33DAE74B">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DEA000D"/>
    <w:multiLevelType w:val="hybridMultilevel"/>
    <w:tmpl w:val="B3AEB21C"/>
    <w:lvl w:ilvl="0" w:tplc="72C0CA34">
      <w:start w:val="1"/>
      <w:numFmt w:val="upperLetter"/>
      <w:pStyle w:val="Heading2"/>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0E52740"/>
    <w:multiLevelType w:val="hybridMultilevel"/>
    <w:tmpl w:val="F754068E"/>
    <w:lvl w:ilvl="0" w:tplc="ADE830B6">
      <w:start w:val="1"/>
      <w:numFmt w:val="decimal"/>
      <w:lvlText w:val="%1."/>
      <w:lvlJc w:val="left"/>
      <w:pPr>
        <w:ind w:left="360" w:hanging="360"/>
      </w:pPr>
      <w:rPr>
        <w:rFonts w:ascii="Cambria" w:hAnsi="Cambria" w:hint="default"/>
        <w:b w:val="0"/>
        <w:i w:val="0"/>
        <w:sz w:val="20"/>
        <w:szCs w:val="20"/>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2A0BA1"/>
    <w:multiLevelType w:val="multilevel"/>
    <w:tmpl w:val="7ADA7DC4"/>
    <w:lvl w:ilvl="0">
      <w:start w:val="1"/>
      <w:numFmt w:val="upperRoman"/>
      <w:pStyle w:val="Heading1"/>
      <w:lvlText w:val="%1."/>
      <w:lvlJc w:val="left"/>
      <w:pPr>
        <w:ind w:left="1080" w:hanging="720"/>
      </w:pPr>
      <w:rPr>
        <w:rFonts w:hint="default"/>
      </w:rPr>
    </w:lvl>
    <w:lvl w:ilvl="1">
      <w:start w:val="1"/>
      <w:numFmt w:val="decimal"/>
      <w:isLgl/>
      <w:lvlText w:val="%1.%2."/>
      <w:lvlJc w:val="left"/>
      <w:pPr>
        <w:ind w:left="189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459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90" w:hanging="1080"/>
      </w:pPr>
      <w:rPr>
        <w:rFonts w:hint="default"/>
      </w:rPr>
    </w:lvl>
    <w:lvl w:ilvl="6">
      <w:start w:val="1"/>
      <w:numFmt w:val="decimal"/>
      <w:isLgl/>
      <w:lvlText w:val="%1.%2.%3.%4.%5.%6.%7."/>
      <w:lvlJc w:val="left"/>
      <w:pPr>
        <w:ind w:left="8820" w:hanging="1440"/>
      </w:pPr>
      <w:rPr>
        <w:rFonts w:hint="default"/>
      </w:rPr>
    </w:lvl>
    <w:lvl w:ilvl="7">
      <w:start w:val="1"/>
      <w:numFmt w:val="decimal"/>
      <w:isLgl/>
      <w:lvlText w:val="%1.%2.%3.%4.%5.%6.%7.%8."/>
      <w:lvlJc w:val="left"/>
      <w:pPr>
        <w:ind w:left="9990" w:hanging="1440"/>
      </w:pPr>
      <w:rPr>
        <w:rFonts w:hint="default"/>
      </w:rPr>
    </w:lvl>
    <w:lvl w:ilvl="8">
      <w:start w:val="1"/>
      <w:numFmt w:val="decimal"/>
      <w:isLgl/>
      <w:lvlText w:val="%1.%2.%3.%4.%5.%6.%7.%8.%9."/>
      <w:lvlJc w:val="left"/>
      <w:pPr>
        <w:ind w:left="11520" w:hanging="1800"/>
      </w:pPr>
      <w:rPr>
        <w:rFont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B461944"/>
    <w:multiLevelType w:val="hybridMultilevel"/>
    <w:tmpl w:val="8A7656AE"/>
    <w:lvl w:ilvl="0" w:tplc="3EFA93BC">
      <w:start w:val="2"/>
      <w:numFmt w:val="lowerLetter"/>
      <w:lvlText w:val="%1)"/>
      <w:lvlJc w:val="left"/>
      <w:pPr>
        <w:tabs>
          <w:tab w:val="num" w:pos="1440"/>
        </w:tabs>
        <w:ind w:left="1440" w:hanging="72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0" w15:restartNumberingAfterBreak="0">
    <w:nsid w:val="3C597227"/>
    <w:multiLevelType w:val="hybridMultilevel"/>
    <w:tmpl w:val="A0C2BE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2D1E17"/>
    <w:multiLevelType w:val="hybridMultilevel"/>
    <w:tmpl w:val="C0503138"/>
    <w:lvl w:ilvl="0" w:tplc="8CE0F52C">
      <w:start w:val="1"/>
      <w:numFmt w:val="lowerLetter"/>
      <w:pStyle w:val="Heading5"/>
      <w:lvlText w:val="%1)"/>
      <w:lvlJc w:val="left"/>
      <w:pPr>
        <w:ind w:left="2640" w:hanging="360"/>
      </w:pPr>
      <w:rPr>
        <w:rFonts w:hint="default"/>
        <w:i/>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004E84"/>
    <w:multiLevelType w:val="hybridMultilevel"/>
    <w:tmpl w:val="C936A376"/>
    <w:lvl w:ilvl="0" w:tplc="98F2E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AEDCDA68"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5195813"/>
    <w:multiLevelType w:val="hybridMultilevel"/>
    <w:tmpl w:val="E00CCBDA"/>
    <w:lvl w:ilvl="0" w:tplc="EA4604FE">
      <w:start w:val="1"/>
      <w:numFmt w:val="decimal"/>
      <w:lvlText w:val="%1."/>
      <w:lvlJc w:val="left"/>
      <w:pPr>
        <w:ind w:left="1170" w:hanging="360"/>
      </w:pPr>
      <w:rPr>
        <w:rFonts w:ascii="Cambria" w:hAnsi="Cambria"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D50E99"/>
    <w:multiLevelType w:val="multilevel"/>
    <w:tmpl w:val="C5865118"/>
    <w:lvl w:ilvl="0">
      <w:start w:val="1"/>
      <w:numFmt w:val="decimal"/>
      <w:pStyle w:val="Heading3"/>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5D7D4B9D"/>
    <w:multiLevelType w:val="hybridMultilevel"/>
    <w:tmpl w:val="527A75E6"/>
    <w:lvl w:ilvl="0" w:tplc="59CA1D1C">
      <w:start w:val="1"/>
      <w:numFmt w:val="decimal"/>
      <w:lvlText w:val="%1."/>
      <w:lvlJc w:val="left"/>
      <w:pPr>
        <w:ind w:left="360" w:hanging="360"/>
      </w:pPr>
      <w:rPr>
        <w:rFonts w:ascii="Cambria" w:hAnsi="Cambria" w:hint="default"/>
        <w:b w:val="0"/>
        <w:i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BF15681"/>
    <w:multiLevelType w:val="hybridMultilevel"/>
    <w:tmpl w:val="5B4871E0"/>
    <w:lvl w:ilvl="0" w:tplc="8D9E700A">
      <w:start w:val="1"/>
      <w:numFmt w:val="decimal"/>
      <w:lvlText w:val="%1."/>
      <w:lvlJc w:val="left"/>
      <w:pPr>
        <w:tabs>
          <w:tab w:val="num" w:pos="720"/>
        </w:tabs>
        <w:ind w:left="0" w:firstLine="720"/>
      </w:pPr>
      <w:rPr>
        <w:rFonts w:ascii="Univers" w:hAnsi="Univers" w:hint="default"/>
        <w:b w:val="0"/>
        <w:i w:val="0"/>
        <w:sz w:val="20"/>
        <w:szCs w:val="20"/>
      </w:rPr>
    </w:lvl>
    <w:lvl w:ilvl="1" w:tplc="04090019">
      <w:start w:val="1"/>
      <w:numFmt w:val="lowerLetter"/>
      <w:lvlText w:val="%2."/>
      <w:lvlJc w:val="left"/>
      <w:pPr>
        <w:tabs>
          <w:tab w:val="num" w:pos="5040"/>
        </w:tabs>
        <w:ind w:left="5040" w:hanging="360"/>
      </w:pPr>
    </w:lvl>
    <w:lvl w:ilvl="2" w:tplc="F51E36CE">
      <w:start w:val="1"/>
      <w:numFmt w:val="lowerLetter"/>
      <w:lvlText w:val="%3)"/>
      <w:lvlJc w:val="left"/>
      <w:pPr>
        <w:tabs>
          <w:tab w:val="num" w:pos="5940"/>
        </w:tabs>
        <w:ind w:left="5940" w:hanging="360"/>
      </w:pPr>
      <w:rPr>
        <w:rFonts w:hint="default"/>
      </w:rPr>
    </w:lvl>
    <w:lvl w:ilvl="3" w:tplc="EC66B828">
      <w:start w:val="4"/>
      <w:numFmt w:val="upperRoman"/>
      <w:lvlText w:val="%4."/>
      <w:lvlJc w:val="left"/>
      <w:pPr>
        <w:tabs>
          <w:tab w:val="num" w:pos="6840"/>
        </w:tabs>
        <w:ind w:left="6840" w:hanging="720"/>
      </w:pPr>
      <w:rPr>
        <w:rFonts w:hint="default"/>
      </w:r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E64D32"/>
    <w:multiLevelType w:val="hybridMultilevel"/>
    <w:tmpl w:val="DECCFC04"/>
    <w:lvl w:ilvl="0" w:tplc="2FD44600">
      <w:start w:val="1"/>
      <w:numFmt w:val="decimal"/>
      <w:lvlText w:val="%1."/>
      <w:lvlJc w:val="left"/>
      <w:pPr>
        <w:tabs>
          <w:tab w:val="num" w:pos="5640"/>
        </w:tabs>
      </w:pPr>
      <w:rPr>
        <w:rFonts w:ascii="Verdana" w:eastAsia="Times New Roman" w:hAnsi="Verdana"/>
        <w:b w:val="0"/>
        <w:bCs w:val="0"/>
        <w:i w:val="0"/>
        <w:iCs w:val="0"/>
        <w:strike w:val="0"/>
        <w:color w:val="auto"/>
        <w:sz w:val="20"/>
        <w:szCs w:val="20"/>
        <w:lang w:val="es-CR"/>
      </w:rPr>
    </w:lvl>
    <w:lvl w:ilvl="1" w:tplc="140A0003">
      <w:start w:val="1"/>
      <w:numFmt w:val="lowerLetter"/>
      <w:lvlText w:val="%2)"/>
      <w:lvlJc w:val="left"/>
      <w:pPr>
        <w:tabs>
          <w:tab w:val="num" w:pos="1080"/>
        </w:tabs>
        <w:ind w:left="1080" w:hanging="360"/>
      </w:pPr>
      <w:rPr>
        <w:rFonts w:hint="default"/>
        <w:b w:val="0"/>
        <w:bCs w:val="0"/>
        <w:i w:val="0"/>
        <w:iCs w:val="0"/>
        <w:sz w:val="20"/>
        <w:szCs w:val="20"/>
      </w:rPr>
    </w:lvl>
    <w:lvl w:ilvl="2" w:tplc="140A0005">
      <w:start w:val="1"/>
      <w:numFmt w:val="lowerRoman"/>
      <w:lvlText w:val="%3."/>
      <w:lvlJc w:val="right"/>
      <w:pPr>
        <w:tabs>
          <w:tab w:val="num" w:pos="2160"/>
        </w:tabs>
        <w:ind w:left="2160" w:hanging="180"/>
      </w:pPr>
    </w:lvl>
    <w:lvl w:ilvl="3" w:tplc="140A0001">
      <w:start w:val="1"/>
      <w:numFmt w:val="decimal"/>
      <w:lvlText w:val="%4."/>
      <w:lvlJc w:val="left"/>
      <w:pPr>
        <w:tabs>
          <w:tab w:val="num" w:pos="2880"/>
        </w:tabs>
        <w:ind w:left="2880" w:hanging="360"/>
      </w:pPr>
    </w:lvl>
    <w:lvl w:ilvl="4" w:tplc="140A0003">
      <w:start w:val="1"/>
      <w:numFmt w:val="lowerLetter"/>
      <w:lvlText w:val="%5."/>
      <w:lvlJc w:val="left"/>
      <w:pPr>
        <w:tabs>
          <w:tab w:val="num" w:pos="3600"/>
        </w:tabs>
        <w:ind w:left="3600" w:hanging="360"/>
      </w:pPr>
    </w:lvl>
    <w:lvl w:ilvl="5" w:tplc="140A0005">
      <w:start w:val="1"/>
      <w:numFmt w:val="lowerRoman"/>
      <w:lvlText w:val="%6."/>
      <w:lvlJc w:val="right"/>
      <w:pPr>
        <w:tabs>
          <w:tab w:val="num" w:pos="4320"/>
        </w:tabs>
        <w:ind w:left="4320" w:hanging="180"/>
      </w:pPr>
    </w:lvl>
    <w:lvl w:ilvl="6" w:tplc="140A0001">
      <w:start w:val="1"/>
      <w:numFmt w:val="decimal"/>
      <w:lvlText w:val="%7."/>
      <w:lvlJc w:val="left"/>
      <w:pPr>
        <w:tabs>
          <w:tab w:val="num" w:pos="5040"/>
        </w:tabs>
        <w:ind w:left="5040" w:hanging="360"/>
      </w:pPr>
    </w:lvl>
    <w:lvl w:ilvl="7" w:tplc="140A0003">
      <w:start w:val="1"/>
      <w:numFmt w:val="lowerLetter"/>
      <w:lvlText w:val="%8."/>
      <w:lvlJc w:val="left"/>
      <w:pPr>
        <w:tabs>
          <w:tab w:val="num" w:pos="5760"/>
        </w:tabs>
        <w:ind w:left="5760" w:hanging="360"/>
      </w:pPr>
    </w:lvl>
    <w:lvl w:ilvl="8" w:tplc="140A0005">
      <w:start w:val="1"/>
      <w:numFmt w:val="lowerRoman"/>
      <w:lvlText w:val="%9."/>
      <w:lvlJc w:val="right"/>
      <w:pPr>
        <w:tabs>
          <w:tab w:val="num" w:pos="6480"/>
        </w:tabs>
        <w:ind w:left="6480" w:hanging="180"/>
      </w:pPr>
    </w:lvl>
  </w:abstractNum>
  <w:abstractNum w:abstractNumId="63"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F175B76"/>
    <w:multiLevelType w:val="hybridMultilevel"/>
    <w:tmpl w:val="C1D23328"/>
    <w:lvl w:ilvl="0" w:tplc="CB46C63C">
      <w:start w:val="1"/>
      <w:numFmt w:val="decimal"/>
      <w:pStyle w:val="numberedparagraphs"/>
      <w:lvlText w:val="%1."/>
      <w:lvlJc w:val="left"/>
      <w:pPr>
        <w:ind w:left="786" w:hanging="360"/>
      </w:pPr>
      <w:rPr>
        <w:rFonts w:hint="default"/>
        <w:b w:val="0"/>
        <w:color w:val="808080"/>
        <w:sz w:val="18"/>
      </w:rPr>
    </w:lvl>
    <w:lvl w:ilvl="1" w:tplc="3BB62120">
      <w:start w:val="1"/>
      <w:numFmt w:val="lowerLetter"/>
      <w:lvlText w:val="%2."/>
      <w:lvlJc w:val="left"/>
      <w:pPr>
        <w:ind w:left="1647" w:hanging="360"/>
      </w:pPr>
      <w:rPr>
        <w:b/>
      </w:rPr>
    </w:lvl>
    <w:lvl w:ilvl="2" w:tplc="200A001B" w:tentative="1">
      <w:start w:val="1"/>
      <w:numFmt w:val="lowerRoman"/>
      <w:lvlText w:val="%3."/>
      <w:lvlJc w:val="right"/>
      <w:pPr>
        <w:ind w:left="2367" w:hanging="180"/>
      </w:pPr>
    </w:lvl>
    <w:lvl w:ilvl="3" w:tplc="200A000F" w:tentative="1">
      <w:start w:val="1"/>
      <w:numFmt w:val="decimal"/>
      <w:lvlText w:val="%4."/>
      <w:lvlJc w:val="left"/>
      <w:pPr>
        <w:ind w:left="3087" w:hanging="360"/>
      </w:pPr>
    </w:lvl>
    <w:lvl w:ilvl="4" w:tplc="200A0019" w:tentative="1">
      <w:start w:val="1"/>
      <w:numFmt w:val="lowerLetter"/>
      <w:lvlText w:val="%5."/>
      <w:lvlJc w:val="left"/>
      <w:pPr>
        <w:ind w:left="3807" w:hanging="360"/>
      </w:pPr>
    </w:lvl>
    <w:lvl w:ilvl="5" w:tplc="200A001B" w:tentative="1">
      <w:start w:val="1"/>
      <w:numFmt w:val="lowerRoman"/>
      <w:lvlText w:val="%6."/>
      <w:lvlJc w:val="right"/>
      <w:pPr>
        <w:ind w:left="4527" w:hanging="180"/>
      </w:pPr>
    </w:lvl>
    <w:lvl w:ilvl="6" w:tplc="200A000F" w:tentative="1">
      <w:start w:val="1"/>
      <w:numFmt w:val="decimal"/>
      <w:lvlText w:val="%7."/>
      <w:lvlJc w:val="left"/>
      <w:pPr>
        <w:ind w:left="5247" w:hanging="360"/>
      </w:pPr>
    </w:lvl>
    <w:lvl w:ilvl="7" w:tplc="200A0019" w:tentative="1">
      <w:start w:val="1"/>
      <w:numFmt w:val="lowerLetter"/>
      <w:lvlText w:val="%8."/>
      <w:lvlJc w:val="left"/>
      <w:pPr>
        <w:ind w:left="5967" w:hanging="360"/>
      </w:pPr>
    </w:lvl>
    <w:lvl w:ilvl="8" w:tplc="200A001B" w:tentative="1">
      <w:start w:val="1"/>
      <w:numFmt w:val="lowerRoman"/>
      <w:lvlText w:val="%9."/>
      <w:lvlJc w:val="right"/>
      <w:pPr>
        <w:ind w:left="6687" w:hanging="180"/>
      </w:pPr>
    </w:lvl>
  </w:abstractNum>
  <w:abstractNum w:abstractNumId="65"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8"/>
  </w:num>
  <w:num w:numId="4">
    <w:abstractNumId w:val="21"/>
  </w:num>
  <w:num w:numId="5">
    <w:abstractNumId w:val="52"/>
  </w:num>
  <w:num w:numId="6">
    <w:abstractNumId w:val="27"/>
  </w:num>
  <w:num w:numId="7">
    <w:abstractNumId w:val="6"/>
  </w:num>
  <w:num w:numId="8">
    <w:abstractNumId w:val="17"/>
  </w:num>
  <w:num w:numId="9">
    <w:abstractNumId w:val="45"/>
  </w:num>
  <w:num w:numId="10">
    <w:abstractNumId w:val="0"/>
  </w:num>
  <w:num w:numId="11">
    <w:abstractNumId w:val="40"/>
  </w:num>
  <w:num w:numId="12">
    <w:abstractNumId w:val="41"/>
  </w:num>
  <w:num w:numId="13">
    <w:abstractNumId w:val="48"/>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6"/>
  </w:num>
  <w:num w:numId="31">
    <w:abstractNumId w:val="28"/>
  </w:num>
  <w:num w:numId="32">
    <w:abstractNumId w:val="31"/>
  </w:num>
  <w:num w:numId="33">
    <w:abstractNumId w:val="32"/>
  </w:num>
  <w:num w:numId="34">
    <w:abstractNumId w:val="33"/>
  </w:num>
  <w:num w:numId="35">
    <w:abstractNumId w:val="34"/>
  </w:num>
  <w:num w:numId="36">
    <w:abstractNumId w:val="35"/>
  </w:num>
  <w:num w:numId="37">
    <w:abstractNumId w:val="37"/>
  </w:num>
  <w:num w:numId="38">
    <w:abstractNumId w:val="39"/>
  </w:num>
  <w:num w:numId="39">
    <w:abstractNumId w:val="42"/>
  </w:num>
  <w:num w:numId="40">
    <w:abstractNumId w:val="43"/>
  </w:num>
  <w:num w:numId="41">
    <w:abstractNumId w:val="51"/>
  </w:num>
  <w:num w:numId="42">
    <w:abstractNumId w:val="53"/>
  </w:num>
  <w:num w:numId="43">
    <w:abstractNumId w:val="55"/>
  </w:num>
  <w:num w:numId="44">
    <w:abstractNumId w:val="56"/>
  </w:num>
  <w:num w:numId="45">
    <w:abstractNumId w:val="57"/>
  </w:num>
  <w:num w:numId="46">
    <w:abstractNumId w:val="59"/>
  </w:num>
  <w:num w:numId="47">
    <w:abstractNumId w:val="60"/>
  </w:num>
  <w:num w:numId="48">
    <w:abstractNumId w:val="61"/>
  </w:num>
  <w:num w:numId="49">
    <w:abstractNumId w:val="63"/>
  </w:num>
  <w:num w:numId="50">
    <w:abstractNumId w:val="65"/>
  </w:num>
  <w:num w:numId="51">
    <w:abstractNumId w:val="20"/>
  </w:num>
  <w:num w:numId="52">
    <w:abstractNumId w:val="44"/>
  </w:num>
  <w:num w:numId="53">
    <w:abstractNumId w:val="49"/>
  </w:num>
  <w:num w:numId="54">
    <w:abstractNumId w:val="25"/>
  </w:num>
  <w:num w:numId="55">
    <w:abstractNumId w:val="50"/>
  </w:num>
  <w:num w:numId="56">
    <w:abstractNumId w:val="3"/>
  </w:num>
  <w:num w:numId="57">
    <w:abstractNumId w:val="47"/>
  </w:num>
  <w:num w:numId="58">
    <w:abstractNumId w:val="47"/>
    <w:lvlOverride w:ilvl="0">
      <w:startOverride w:val="1"/>
    </w:lvlOverride>
  </w:num>
  <w:num w:numId="59">
    <w:abstractNumId w:val="64"/>
  </w:num>
  <w:num w:numId="60">
    <w:abstractNumId w:val="46"/>
  </w:num>
  <w:num w:numId="61">
    <w:abstractNumId w:val="36"/>
  </w:num>
  <w:num w:numId="62">
    <w:abstractNumId w:val="38"/>
  </w:num>
  <w:num w:numId="63">
    <w:abstractNumId w:val="12"/>
  </w:num>
  <w:num w:numId="64">
    <w:abstractNumId w:val="3"/>
    <w:lvlOverride w:ilvl="0">
      <w:startOverride w:val="1"/>
    </w:lvlOverride>
  </w:num>
  <w:num w:numId="65">
    <w:abstractNumId w:val="3"/>
    <w:lvlOverride w:ilvl="0">
      <w:startOverride w:val="1"/>
    </w:lvlOverride>
  </w:num>
  <w:num w:numId="66">
    <w:abstractNumId w:val="30"/>
  </w:num>
  <w:num w:numId="67">
    <w:abstractNumId w:val="54"/>
  </w:num>
  <w:num w:numId="68">
    <w:abstractNumId w:val="62"/>
  </w:num>
  <w:num w:numId="69">
    <w:abstractNumId w:val="29"/>
  </w:num>
  <w:num w:numId="70">
    <w:abstractNumId w:val="47"/>
  </w:num>
  <w:num w:numId="71">
    <w:abstractNumId w:val="47"/>
    <w:lvlOverride w:ilvl="0">
      <w:startOverride w:val="3"/>
    </w:lvlOverride>
    <w:lvlOverride w:ilvl="1">
      <w:startOverride w:val="2"/>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425"/>
  <w:characterSpacingControl w:val="doNotCompress"/>
  <w:hdrShapeDefaults>
    <o:shapedefaults v:ext="edit" spidmax="6146"/>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4EC"/>
    <w:rsid w:val="00000CDA"/>
    <w:rsid w:val="00003079"/>
    <w:rsid w:val="00003148"/>
    <w:rsid w:val="00003D2C"/>
    <w:rsid w:val="00003E9D"/>
    <w:rsid w:val="00004610"/>
    <w:rsid w:val="00005F8F"/>
    <w:rsid w:val="00006896"/>
    <w:rsid w:val="00006A8E"/>
    <w:rsid w:val="00006E1F"/>
    <w:rsid w:val="000070D7"/>
    <w:rsid w:val="000073CB"/>
    <w:rsid w:val="00007A19"/>
    <w:rsid w:val="00007C30"/>
    <w:rsid w:val="00010602"/>
    <w:rsid w:val="00010DBE"/>
    <w:rsid w:val="0001257B"/>
    <w:rsid w:val="00013478"/>
    <w:rsid w:val="0001354B"/>
    <w:rsid w:val="000137A5"/>
    <w:rsid w:val="00014876"/>
    <w:rsid w:val="00014C88"/>
    <w:rsid w:val="00015206"/>
    <w:rsid w:val="000153EC"/>
    <w:rsid w:val="000158FD"/>
    <w:rsid w:val="000171D4"/>
    <w:rsid w:val="0001788C"/>
    <w:rsid w:val="000209FA"/>
    <w:rsid w:val="0002173A"/>
    <w:rsid w:val="00021CF3"/>
    <w:rsid w:val="00022370"/>
    <w:rsid w:val="00022512"/>
    <w:rsid w:val="00022686"/>
    <w:rsid w:val="00022EEA"/>
    <w:rsid w:val="00023586"/>
    <w:rsid w:val="000238DF"/>
    <w:rsid w:val="0002432F"/>
    <w:rsid w:val="00024903"/>
    <w:rsid w:val="000250D4"/>
    <w:rsid w:val="000253A6"/>
    <w:rsid w:val="000317D8"/>
    <w:rsid w:val="00031AE7"/>
    <w:rsid w:val="00032571"/>
    <w:rsid w:val="00032948"/>
    <w:rsid w:val="00032AB8"/>
    <w:rsid w:val="0003332A"/>
    <w:rsid w:val="0003334E"/>
    <w:rsid w:val="00034256"/>
    <w:rsid w:val="00034D21"/>
    <w:rsid w:val="00034DA1"/>
    <w:rsid w:val="00035AD6"/>
    <w:rsid w:val="0003659C"/>
    <w:rsid w:val="00036ED7"/>
    <w:rsid w:val="0003710B"/>
    <w:rsid w:val="000371D3"/>
    <w:rsid w:val="000405F8"/>
    <w:rsid w:val="0004063A"/>
    <w:rsid w:val="00040C3A"/>
    <w:rsid w:val="00041DDF"/>
    <w:rsid w:val="00041E3E"/>
    <w:rsid w:val="00042264"/>
    <w:rsid w:val="0004399D"/>
    <w:rsid w:val="00043B1A"/>
    <w:rsid w:val="00044278"/>
    <w:rsid w:val="0004455F"/>
    <w:rsid w:val="0004483E"/>
    <w:rsid w:val="00045071"/>
    <w:rsid w:val="000452D7"/>
    <w:rsid w:val="0004553A"/>
    <w:rsid w:val="00045C99"/>
    <w:rsid w:val="0004601A"/>
    <w:rsid w:val="00046073"/>
    <w:rsid w:val="000460CA"/>
    <w:rsid w:val="00046CED"/>
    <w:rsid w:val="000479FC"/>
    <w:rsid w:val="000527E8"/>
    <w:rsid w:val="00052E7C"/>
    <w:rsid w:val="000530CC"/>
    <w:rsid w:val="00053397"/>
    <w:rsid w:val="000535C9"/>
    <w:rsid w:val="000537EE"/>
    <w:rsid w:val="0005456F"/>
    <w:rsid w:val="000547A5"/>
    <w:rsid w:val="00054C9F"/>
    <w:rsid w:val="00054D2B"/>
    <w:rsid w:val="000564DA"/>
    <w:rsid w:val="0005794B"/>
    <w:rsid w:val="00060173"/>
    <w:rsid w:val="00060278"/>
    <w:rsid w:val="00060462"/>
    <w:rsid w:val="000604FB"/>
    <w:rsid w:val="00060F90"/>
    <w:rsid w:val="00061858"/>
    <w:rsid w:val="00062BD2"/>
    <w:rsid w:val="00062C05"/>
    <w:rsid w:val="00063A57"/>
    <w:rsid w:val="0006415C"/>
    <w:rsid w:val="000646A2"/>
    <w:rsid w:val="00064C8D"/>
    <w:rsid w:val="000658CD"/>
    <w:rsid w:val="0006622C"/>
    <w:rsid w:val="00066593"/>
    <w:rsid w:val="00066708"/>
    <w:rsid w:val="00066AF9"/>
    <w:rsid w:val="00067107"/>
    <w:rsid w:val="000672DE"/>
    <w:rsid w:val="000679F2"/>
    <w:rsid w:val="00067A5D"/>
    <w:rsid w:val="00067CDB"/>
    <w:rsid w:val="00070215"/>
    <w:rsid w:val="000705E1"/>
    <w:rsid w:val="00070889"/>
    <w:rsid w:val="000716C5"/>
    <w:rsid w:val="00072398"/>
    <w:rsid w:val="00072CC2"/>
    <w:rsid w:val="00073BB6"/>
    <w:rsid w:val="00074757"/>
    <w:rsid w:val="000751B4"/>
    <w:rsid w:val="000751FF"/>
    <w:rsid w:val="00075709"/>
    <w:rsid w:val="00075E23"/>
    <w:rsid w:val="00076AE3"/>
    <w:rsid w:val="00077239"/>
    <w:rsid w:val="00080E92"/>
    <w:rsid w:val="000814F1"/>
    <w:rsid w:val="0008172C"/>
    <w:rsid w:val="00081E5C"/>
    <w:rsid w:val="00082E1C"/>
    <w:rsid w:val="00083CD5"/>
    <w:rsid w:val="00083E3B"/>
    <w:rsid w:val="00085014"/>
    <w:rsid w:val="00085C2E"/>
    <w:rsid w:val="00085D35"/>
    <w:rsid w:val="0008651C"/>
    <w:rsid w:val="00086876"/>
    <w:rsid w:val="00086C2B"/>
    <w:rsid w:val="0008768F"/>
    <w:rsid w:val="00090297"/>
    <w:rsid w:val="00090E3E"/>
    <w:rsid w:val="00090F9B"/>
    <w:rsid w:val="0009108E"/>
    <w:rsid w:val="0009201F"/>
    <w:rsid w:val="0009344A"/>
    <w:rsid w:val="00093A4C"/>
    <w:rsid w:val="00093B2D"/>
    <w:rsid w:val="00094227"/>
    <w:rsid w:val="000942E1"/>
    <w:rsid w:val="00094340"/>
    <w:rsid w:val="00094710"/>
    <w:rsid w:val="00094716"/>
    <w:rsid w:val="00094725"/>
    <w:rsid w:val="00094788"/>
    <w:rsid w:val="000952C9"/>
    <w:rsid w:val="000954EE"/>
    <w:rsid w:val="00095CAA"/>
    <w:rsid w:val="000963AB"/>
    <w:rsid w:val="00096613"/>
    <w:rsid w:val="00096ABB"/>
    <w:rsid w:val="00097336"/>
    <w:rsid w:val="00097FC4"/>
    <w:rsid w:val="000A02B1"/>
    <w:rsid w:val="000A20F9"/>
    <w:rsid w:val="000A2C48"/>
    <w:rsid w:val="000A2D17"/>
    <w:rsid w:val="000A3336"/>
    <w:rsid w:val="000A392E"/>
    <w:rsid w:val="000A3D88"/>
    <w:rsid w:val="000A40DC"/>
    <w:rsid w:val="000A49BC"/>
    <w:rsid w:val="000A4A82"/>
    <w:rsid w:val="000A528A"/>
    <w:rsid w:val="000A5602"/>
    <w:rsid w:val="000A575F"/>
    <w:rsid w:val="000A576A"/>
    <w:rsid w:val="000A5959"/>
    <w:rsid w:val="000A61AD"/>
    <w:rsid w:val="000A69FD"/>
    <w:rsid w:val="000A6CCE"/>
    <w:rsid w:val="000A6CEF"/>
    <w:rsid w:val="000A7893"/>
    <w:rsid w:val="000B02F1"/>
    <w:rsid w:val="000B0713"/>
    <w:rsid w:val="000B07A4"/>
    <w:rsid w:val="000B089A"/>
    <w:rsid w:val="000B10C3"/>
    <w:rsid w:val="000B113D"/>
    <w:rsid w:val="000B1EB1"/>
    <w:rsid w:val="000B2C64"/>
    <w:rsid w:val="000B38D8"/>
    <w:rsid w:val="000B433E"/>
    <w:rsid w:val="000B461C"/>
    <w:rsid w:val="000B532F"/>
    <w:rsid w:val="000B53AD"/>
    <w:rsid w:val="000B548A"/>
    <w:rsid w:val="000B5715"/>
    <w:rsid w:val="000B575F"/>
    <w:rsid w:val="000B5ADA"/>
    <w:rsid w:val="000B67D1"/>
    <w:rsid w:val="000B6C23"/>
    <w:rsid w:val="000B71AB"/>
    <w:rsid w:val="000B7EA5"/>
    <w:rsid w:val="000C072A"/>
    <w:rsid w:val="000C0BE6"/>
    <w:rsid w:val="000C17CF"/>
    <w:rsid w:val="000C1E89"/>
    <w:rsid w:val="000C2176"/>
    <w:rsid w:val="000C23F4"/>
    <w:rsid w:val="000C2A82"/>
    <w:rsid w:val="000C37AC"/>
    <w:rsid w:val="000C3D16"/>
    <w:rsid w:val="000C466C"/>
    <w:rsid w:val="000C4FA4"/>
    <w:rsid w:val="000C5117"/>
    <w:rsid w:val="000C5334"/>
    <w:rsid w:val="000C57D0"/>
    <w:rsid w:val="000C6698"/>
    <w:rsid w:val="000C6B4C"/>
    <w:rsid w:val="000C6F5C"/>
    <w:rsid w:val="000C7312"/>
    <w:rsid w:val="000C7612"/>
    <w:rsid w:val="000C7DD9"/>
    <w:rsid w:val="000D03E3"/>
    <w:rsid w:val="000D10DB"/>
    <w:rsid w:val="000D11B6"/>
    <w:rsid w:val="000D11FA"/>
    <w:rsid w:val="000D1314"/>
    <w:rsid w:val="000D15A8"/>
    <w:rsid w:val="000D15D8"/>
    <w:rsid w:val="000D17A6"/>
    <w:rsid w:val="000D3380"/>
    <w:rsid w:val="000D3604"/>
    <w:rsid w:val="000D462D"/>
    <w:rsid w:val="000D55D1"/>
    <w:rsid w:val="000D572D"/>
    <w:rsid w:val="000D5F92"/>
    <w:rsid w:val="000D6051"/>
    <w:rsid w:val="000D643A"/>
    <w:rsid w:val="000D75F8"/>
    <w:rsid w:val="000D7D8E"/>
    <w:rsid w:val="000E0DBA"/>
    <w:rsid w:val="000E10AD"/>
    <w:rsid w:val="000E2016"/>
    <w:rsid w:val="000E27BF"/>
    <w:rsid w:val="000E3709"/>
    <w:rsid w:val="000E39DB"/>
    <w:rsid w:val="000E404C"/>
    <w:rsid w:val="000E488B"/>
    <w:rsid w:val="000E5027"/>
    <w:rsid w:val="000E521A"/>
    <w:rsid w:val="000E5EB5"/>
    <w:rsid w:val="000E6AA9"/>
    <w:rsid w:val="000E6F5D"/>
    <w:rsid w:val="000E7F24"/>
    <w:rsid w:val="000F0247"/>
    <w:rsid w:val="000F0337"/>
    <w:rsid w:val="000F0C4D"/>
    <w:rsid w:val="000F1843"/>
    <w:rsid w:val="000F2099"/>
    <w:rsid w:val="000F219E"/>
    <w:rsid w:val="000F2254"/>
    <w:rsid w:val="000F235A"/>
    <w:rsid w:val="000F2733"/>
    <w:rsid w:val="000F2DFA"/>
    <w:rsid w:val="000F35ED"/>
    <w:rsid w:val="000F3781"/>
    <w:rsid w:val="000F37CC"/>
    <w:rsid w:val="000F3D77"/>
    <w:rsid w:val="000F49CE"/>
    <w:rsid w:val="000F51C0"/>
    <w:rsid w:val="000F5AA6"/>
    <w:rsid w:val="000F5C85"/>
    <w:rsid w:val="000F6520"/>
    <w:rsid w:val="000F7352"/>
    <w:rsid w:val="000F73E6"/>
    <w:rsid w:val="000F77A1"/>
    <w:rsid w:val="000F7C92"/>
    <w:rsid w:val="000F7C95"/>
    <w:rsid w:val="0010006B"/>
    <w:rsid w:val="00100391"/>
    <w:rsid w:val="001013CC"/>
    <w:rsid w:val="00102079"/>
    <w:rsid w:val="001021FB"/>
    <w:rsid w:val="00103359"/>
    <w:rsid w:val="00103B26"/>
    <w:rsid w:val="00103B53"/>
    <w:rsid w:val="001043D9"/>
    <w:rsid w:val="00105265"/>
    <w:rsid w:val="00105A15"/>
    <w:rsid w:val="00105A18"/>
    <w:rsid w:val="00105AF4"/>
    <w:rsid w:val="0010698C"/>
    <w:rsid w:val="00107131"/>
    <w:rsid w:val="00107239"/>
    <w:rsid w:val="00107288"/>
    <w:rsid w:val="0010736F"/>
    <w:rsid w:val="0010768E"/>
    <w:rsid w:val="00110245"/>
    <w:rsid w:val="00110DEA"/>
    <w:rsid w:val="00111B07"/>
    <w:rsid w:val="0011220A"/>
    <w:rsid w:val="00113CDD"/>
    <w:rsid w:val="00113F73"/>
    <w:rsid w:val="00114022"/>
    <w:rsid w:val="001146D7"/>
    <w:rsid w:val="00114B1D"/>
    <w:rsid w:val="0011662D"/>
    <w:rsid w:val="0011680F"/>
    <w:rsid w:val="0011692D"/>
    <w:rsid w:val="00116E18"/>
    <w:rsid w:val="00116F00"/>
    <w:rsid w:val="00120C04"/>
    <w:rsid w:val="00121B23"/>
    <w:rsid w:val="00121CC2"/>
    <w:rsid w:val="001220FD"/>
    <w:rsid w:val="0012236B"/>
    <w:rsid w:val="00123EFE"/>
    <w:rsid w:val="00125A36"/>
    <w:rsid w:val="00125F39"/>
    <w:rsid w:val="00126755"/>
    <w:rsid w:val="00126E0E"/>
    <w:rsid w:val="00127900"/>
    <w:rsid w:val="00127F4F"/>
    <w:rsid w:val="00130189"/>
    <w:rsid w:val="0013046D"/>
    <w:rsid w:val="001311A5"/>
    <w:rsid w:val="00131705"/>
    <w:rsid w:val="00131C2E"/>
    <w:rsid w:val="0013244F"/>
    <w:rsid w:val="00132593"/>
    <w:rsid w:val="00132883"/>
    <w:rsid w:val="00132BAF"/>
    <w:rsid w:val="001331CB"/>
    <w:rsid w:val="00133BA9"/>
    <w:rsid w:val="00133EE5"/>
    <w:rsid w:val="001342BA"/>
    <w:rsid w:val="00134FCC"/>
    <w:rsid w:val="00135380"/>
    <w:rsid w:val="00137640"/>
    <w:rsid w:val="001379B8"/>
    <w:rsid w:val="001402E0"/>
    <w:rsid w:val="00140744"/>
    <w:rsid w:val="00140D61"/>
    <w:rsid w:val="00141E56"/>
    <w:rsid w:val="001424F9"/>
    <w:rsid w:val="0014264C"/>
    <w:rsid w:val="00142691"/>
    <w:rsid w:val="00142C01"/>
    <w:rsid w:val="0014433F"/>
    <w:rsid w:val="001449B1"/>
    <w:rsid w:val="00145826"/>
    <w:rsid w:val="00145B22"/>
    <w:rsid w:val="00146E68"/>
    <w:rsid w:val="00147AA9"/>
    <w:rsid w:val="00147B9B"/>
    <w:rsid w:val="00147D6E"/>
    <w:rsid w:val="001502A4"/>
    <w:rsid w:val="00150AEB"/>
    <w:rsid w:val="0015161F"/>
    <w:rsid w:val="001521FC"/>
    <w:rsid w:val="001525F2"/>
    <w:rsid w:val="00152AF9"/>
    <w:rsid w:val="001533FD"/>
    <w:rsid w:val="00155929"/>
    <w:rsid w:val="0015597A"/>
    <w:rsid w:val="0015669E"/>
    <w:rsid w:val="00156BA1"/>
    <w:rsid w:val="00157533"/>
    <w:rsid w:val="001578C4"/>
    <w:rsid w:val="001606A4"/>
    <w:rsid w:val="00160B8B"/>
    <w:rsid w:val="00161761"/>
    <w:rsid w:val="001630ED"/>
    <w:rsid w:val="0016385D"/>
    <w:rsid w:val="00163A1A"/>
    <w:rsid w:val="00163C9E"/>
    <w:rsid w:val="00164270"/>
    <w:rsid w:val="0016436C"/>
    <w:rsid w:val="00164946"/>
    <w:rsid w:val="00164C88"/>
    <w:rsid w:val="00165285"/>
    <w:rsid w:val="00166189"/>
    <w:rsid w:val="001667A3"/>
    <w:rsid w:val="00167A34"/>
    <w:rsid w:val="00167BE1"/>
    <w:rsid w:val="001702C5"/>
    <w:rsid w:val="00170441"/>
    <w:rsid w:val="00170BEE"/>
    <w:rsid w:val="00170CC8"/>
    <w:rsid w:val="001725CF"/>
    <w:rsid w:val="00172D75"/>
    <w:rsid w:val="001734A9"/>
    <w:rsid w:val="001739E5"/>
    <w:rsid w:val="0017551C"/>
    <w:rsid w:val="00175C13"/>
    <w:rsid w:val="00176592"/>
    <w:rsid w:val="0017704C"/>
    <w:rsid w:val="00177A25"/>
    <w:rsid w:val="00177D9F"/>
    <w:rsid w:val="0018064A"/>
    <w:rsid w:val="0018072D"/>
    <w:rsid w:val="001810DE"/>
    <w:rsid w:val="00181F34"/>
    <w:rsid w:val="0018279D"/>
    <w:rsid w:val="00182847"/>
    <w:rsid w:val="001836FB"/>
    <w:rsid w:val="00183710"/>
    <w:rsid w:val="00183AC8"/>
    <w:rsid w:val="001841F7"/>
    <w:rsid w:val="00184DCD"/>
    <w:rsid w:val="00185524"/>
    <w:rsid w:val="00186236"/>
    <w:rsid w:val="0018684D"/>
    <w:rsid w:val="00186CB7"/>
    <w:rsid w:val="001877F8"/>
    <w:rsid w:val="00187A84"/>
    <w:rsid w:val="00187E3E"/>
    <w:rsid w:val="00187FE2"/>
    <w:rsid w:val="00190BCB"/>
    <w:rsid w:val="00192908"/>
    <w:rsid w:val="00192B29"/>
    <w:rsid w:val="00192C4D"/>
    <w:rsid w:val="001956CC"/>
    <w:rsid w:val="0019581F"/>
    <w:rsid w:val="001959BA"/>
    <w:rsid w:val="00195F4A"/>
    <w:rsid w:val="0019635E"/>
    <w:rsid w:val="00196D9B"/>
    <w:rsid w:val="00197D14"/>
    <w:rsid w:val="00197E6F"/>
    <w:rsid w:val="00197F86"/>
    <w:rsid w:val="001A2005"/>
    <w:rsid w:val="001A2185"/>
    <w:rsid w:val="001A2485"/>
    <w:rsid w:val="001A2F56"/>
    <w:rsid w:val="001A311E"/>
    <w:rsid w:val="001A3A62"/>
    <w:rsid w:val="001A3A79"/>
    <w:rsid w:val="001A3E60"/>
    <w:rsid w:val="001A4D23"/>
    <w:rsid w:val="001A6158"/>
    <w:rsid w:val="001A6A80"/>
    <w:rsid w:val="001A6BBE"/>
    <w:rsid w:val="001A703F"/>
    <w:rsid w:val="001A778F"/>
    <w:rsid w:val="001A7870"/>
    <w:rsid w:val="001B17D2"/>
    <w:rsid w:val="001B190D"/>
    <w:rsid w:val="001B1DC1"/>
    <w:rsid w:val="001B1F51"/>
    <w:rsid w:val="001B222B"/>
    <w:rsid w:val="001B2272"/>
    <w:rsid w:val="001B5C67"/>
    <w:rsid w:val="001B69AA"/>
    <w:rsid w:val="001B6FA0"/>
    <w:rsid w:val="001B6FC4"/>
    <w:rsid w:val="001B7473"/>
    <w:rsid w:val="001B7D55"/>
    <w:rsid w:val="001C002E"/>
    <w:rsid w:val="001C07C6"/>
    <w:rsid w:val="001C103F"/>
    <w:rsid w:val="001C1B41"/>
    <w:rsid w:val="001C2719"/>
    <w:rsid w:val="001C316E"/>
    <w:rsid w:val="001C319E"/>
    <w:rsid w:val="001C378F"/>
    <w:rsid w:val="001C4BE0"/>
    <w:rsid w:val="001C4E45"/>
    <w:rsid w:val="001C720B"/>
    <w:rsid w:val="001C7AAB"/>
    <w:rsid w:val="001D0D8E"/>
    <w:rsid w:val="001D18C7"/>
    <w:rsid w:val="001D1FCC"/>
    <w:rsid w:val="001D2A98"/>
    <w:rsid w:val="001D2AD4"/>
    <w:rsid w:val="001D2D16"/>
    <w:rsid w:val="001D461F"/>
    <w:rsid w:val="001D5299"/>
    <w:rsid w:val="001D56DB"/>
    <w:rsid w:val="001D65EF"/>
    <w:rsid w:val="001D67B4"/>
    <w:rsid w:val="001D7159"/>
    <w:rsid w:val="001E0802"/>
    <w:rsid w:val="001E15B6"/>
    <w:rsid w:val="001E1755"/>
    <w:rsid w:val="001E267C"/>
    <w:rsid w:val="001E2F27"/>
    <w:rsid w:val="001E3030"/>
    <w:rsid w:val="001E3F5C"/>
    <w:rsid w:val="001E3F9A"/>
    <w:rsid w:val="001E43D1"/>
    <w:rsid w:val="001E4BBF"/>
    <w:rsid w:val="001E5488"/>
    <w:rsid w:val="001E6E5E"/>
    <w:rsid w:val="001E736F"/>
    <w:rsid w:val="001E7F6B"/>
    <w:rsid w:val="001F046D"/>
    <w:rsid w:val="001F0579"/>
    <w:rsid w:val="001F24DB"/>
    <w:rsid w:val="001F2AD1"/>
    <w:rsid w:val="001F2B31"/>
    <w:rsid w:val="001F3AB8"/>
    <w:rsid w:val="001F444F"/>
    <w:rsid w:val="001F4B9F"/>
    <w:rsid w:val="001F507E"/>
    <w:rsid w:val="001F5C67"/>
    <w:rsid w:val="001F5D06"/>
    <w:rsid w:val="001F6A60"/>
    <w:rsid w:val="001F6FC8"/>
    <w:rsid w:val="001F7028"/>
    <w:rsid w:val="001F7240"/>
    <w:rsid w:val="001F7869"/>
    <w:rsid w:val="00200639"/>
    <w:rsid w:val="00200ED8"/>
    <w:rsid w:val="002010E2"/>
    <w:rsid w:val="00201341"/>
    <w:rsid w:val="00201961"/>
    <w:rsid w:val="0020229C"/>
    <w:rsid w:val="00202583"/>
    <w:rsid w:val="00202F20"/>
    <w:rsid w:val="00202F9B"/>
    <w:rsid w:val="002035AC"/>
    <w:rsid w:val="002041F7"/>
    <w:rsid w:val="00204B61"/>
    <w:rsid w:val="002050D3"/>
    <w:rsid w:val="00205563"/>
    <w:rsid w:val="00205CCC"/>
    <w:rsid w:val="00206E90"/>
    <w:rsid w:val="00207B60"/>
    <w:rsid w:val="00210608"/>
    <w:rsid w:val="00210DBB"/>
    <w:rsid w:val="00210FFD"/>
    <w:rsid w:val="0021184D"/>
    <w:rsid w:val="002129F9"/>
    <w:rsid w:val="00212DF3"/>
    <w:rsid w:val="00212E03"/>
    <w:rsid w:val="0021300C"/>
    <w:rsid w:val="00213197"/>
    <w:rsid w:val="00213432"/>
    <w:rsid w:val="00213EAF"/>
    <w:rsid w:val="00215B7E"/>
    <w:rsid w:val="00216425"/>
    <w:rsid w:val="00216794"/>
    <w:rsid w:val="002172FD"/>
    <w:rsid w:val="00217544"/>
    <w:rsid w:val="002177CB"/>
    <w:rsid w:val="00217ED0"/>
    <w:rsid w:val="00220178"/>
    <w:rsid w:val="002208D2"/>
    <w:rsid w:val="00220F82"/>
    <w:rsid w:val="0022121A"/>
    <w:rsid w:val="0022152C"/>
    <w:rsid w:val="00221B3F"/>
    <w:rsid w:val="00221C8E"/>
    <w:rsid w:val="00221D95"/>
    <w:rsid w:val="0022273F"/>
    <w:rsid w:val="002227D0"/>
    <w:rsid w:val="00222B96"/>
    <w:rsid w:val="00222CD9"/>
    <w:rsid w:val="00223255"/>
    <w:rsid w:val="002232B6"/>
    <w:rsid w:val="002233BA"/>
    <w:rsid w:val="00223AF9"/>
    <w:rsid w:val="00223B78"/>
    <w:rsid w:val="00223C37"/>
    <w:rsid w:val="002247BC"/>
    <w:rsid w:val="002250A3"/>
    <w:rsid w:val="0022516C"/>
    <w:rsid w:val="002258FA"/>
    <w:rsid w:val="00225B34"/>
    <w:rsid w:val="00225B95"/>
    <w:rsid w:val="00225BEC"/>
    <w:rsid w:val="002264E1"/>
    <w:rsid w:val="00226DB2"/>
    <w:rsid w:val="00226F4E"/>
    <w:rsid w:val="00227092"/>
    <w:rsid w:val="002272D1"/>
    <w:rsid w:val="00227F65"/>
    <w:rsid w:val="00230105"/>
    <w:rsid w:val="00230AEA"/>
    <w:rsid w:val="0023241F"/>
    <w:rsid w:val="00233D1B"/>
    <w:rsid w:val="00235217"/>
    <w:rsid w:val="00235FC9"/>
    <w:rsid w:val="00236006"/>
    <w:rsid w:val="0023677D"/>
    <w:rsid w:val="00236A7E"/>
    <w:rsid w:val="0023702A"/>
    <w:rsid w:val="002402E5"/>
    <w:rsid w:val="002406A4"/>
    <w:rsid w:val="00240C0B"/>
    <w:rsid w:val="00240F9E"/>
    <w:rsid w:val="00241431"/>
    <w:rsid w:val="0024170F"/>
    <w:rsid w:val="00241872"/>
    <w:rsid w:val="0024230C"/>
    <w:rsid w:val="00242412"/>
    <w:rsid w:val="00242A79"/>
    <w:rsid w:val="00242B49"/>
    <w:rsid w:val="00242CA5"/>
    <w:rsid w:val="0024480B"/>
    <w:rsid w:val="00244992"/>
    <w:rsid w:val="00245249"/>
    <w:rsid w:val="00245D72"/>
    <w:rsid w:val="002463BE"/>
    <w:rsid w:val="002469F8"/>
    <w:rsid w:val="00246A5F"/>
    <w:rsid w:val="00246BDD"/>
    <w:rsid w:val="00246D1F"/>
    <w:rsid w:val="00247403"/>
    <w:rsid w:val="00247518"/>
    <w:rsid w:val="00247542"/>
    <w:rsid w:val="0024759B"/>
    <w:rsid w:val="00247623"/>
    <w:rsid w:val="00250058"/>
    <w:rsid w:val="00250910"/>
    <w:rsid w:val="00250ECC"/>
    <w:rsid w:val="002518E1"/>
    <w:rsid w:val="00252482"/>
    <w:rsid w:val="00252716"/>
    <w:rsid w:val="0025277E"/>
    <w:rsid w:val="002534B4"/>
    <w:rsid w:val="00254984"/>
    <w:rsid w:val="00255454"/>
    <w:rsid w:val="00255834"/>
    <w:rsid w:val="00255B88"/>
    <w:rsid w:val="00256E32"/>
    <w:rsid w:val="002577E2"/>
    <w:rsid w:val="002601A1"/>
    <w:rsid w:val="002604DF"/>
    <w:rsid w:val="00260826"/>
    <w:rsid w:val="00261946"/>
    <w:rsid w:val="00262A47"/>
    <w:rsid w:val="0026358B"/>
    <w:rsid w:val="00264C83"/>
    <w:rsid w:val="002650E5"/>
    <w:rsid w:val="00265528"/>
    <w:rsid w:val="00265D4A"/>
    <w:rsid w:val="00266629"/>
    <w:rsid w:val="0026670B"/>
    <w:rsid w:val="00266B61"/>
    <w:rsid w:val="00266F8F"/>
    <w:rsid w:val="0026712A"/>
    <w:rsid w:val="002704DB"/>
    <w:rsid w:val="00270E53"/>
    <w:rsid w:val="002724C8"/>
    <w:rsid w:val="002737BA"/>
    <w:rsid w:val="00273F7C"/>
    <w:rsid w:val="0027471E"/>
    <w:rsid w:val="00274CAE"/>
    <w:rsid w:val="002768FE"/>
    <w:rsid w:val="00276918"/>
    <w:rsid w:val="00276DF8"/>
    <w:rsid w:val="00277B41"/>
    <w:rsid w:val="00277EF9"/>
    <w:rsid w:val="0028097E"/>
    <w:rsid w:val="00280F1D"/>
    <w:rsid w:val="00281CB1"/>
    <w:rsid w:val="002827DD"/>
    <w:rsid w:val="00283478"/>
    <w:rsid w:val="0028447B"/>
    <w:rsid w:val="0028461D"/>
    <w:rsid w:val="00284B74"/>
    <w:rsid w:val="0028514D"/>
    <w:rsid w:val="002900FF"/>
    <w:rsid w:val="00290DE1"/>
    <w:rsid w:val="00291420"/>
    <w:rsid w:val="00291F33"/>
    <w:rsid w:val="00292195"/>
    <w:rsid w:val="002926DD"/>
    <w:rsid w:val="002939A3"/>
    <w:rsid w:val="0029443D"/>
    <w:rsid w:val="0029547B"/>
    <w:rsid w:val="00295ADC"/>
    <w:rsid w:val="00296412"/>
    <w:rsid w:val="002A0AAE"/>
    <w:rsid w:val="002A0E86"/>
    <w:rsid w:val="002A0F6F"/>
    <w:rsid w:val="002A1497"/>
    <w:rsid w:val="002A19C9"/>
    <w:rsid w:val="002A1A64"/>
    <w:rsid w:val="002A2A73"/>
    <w:rsid w:val="002A33A1"/>
    <w:rsid w:val="002A35EB"/>
    <w:rsid w:val="002A4562"/>
    <w:rsid w:val="002A477C"/>
    <w:rsid w:val="002A48C9"/>
    <w:rsid w:val="002A4A73"/>
    <w:rsid w:val="002A4F51"/>
    <w:rsid w:val="002A51B2"/>
    <w:rsid w:val="002A567E"/>
    <w:rsid w:val="002A5820"/>
    <w:rsid w:val="002A6286"/>
    <w:rsid w:val="002A6629"/>
    <w:rsid w:val="002A6D2F"/>
    <w:rsid w:val="002A7152"/>
    <w:rsid w:val="002B0FC2"/>
    <w:rsid w:val="002B1560"/>
    <w:rsid w:val="002B1B84"/>
    <w:rsid w:val="002B1D3A"/>
    <w:rsid w:val="002B2989"/>
    <w:rsid w:val="002B2B57"/>
    <w:rsid w:val="002B44E8"/>
    <w:rsid w:val="002B4513"/>
    <w:rsid w:val="002B4962"/>
    <w:rsid w:val="002B51EC"/>
    <w:rsid w:val="002B590F"/>
    <w:rsid w:val="002B6C61"/>
    <w:rsid w:val="002B6D6A"/>
    <w:rsid w:val="002B706C"/>
    <w:rsid w:val="002B7D6D"/>
    <w:rsid w:val="002C096B"/>
    <w:rsid w:val="002C11DC"/>
    <w:rsid w:val="002C13EF"/>
    <w:rsid w:val="002C1454"/>
    <w:rsid w:val="002C1482"/>
    <w:rsid w:val="002C1C4E"/>
    <w:rsid w:val="002C2C96"/>
    <w:rsid w:val="002C364B"/>
    <w:rsid w:val="002C495C"/>
    <w:rsid w:val="002C4ABB"/>
    <w:rsid w:val="002C5FB8"/>
    <w:rsid w:val="002C6439"/>
    <w:rsid w:val="002C685F"/>
    <w:rsid w:val="002D00BA"/>
    <w:rsid w:val="002D03CE"/>
    <w:rsid w:val="002D04A5"/>
    <w:rsid w:val="002D1E2F"/>
    <w:rsid w:val="002D29FF"/>
    <w:rsid w:val="002D2B26"/>
    <w:rsid w:val="002D2DA9"/>
    <w:rsid w:val="002D3F4D"/>
    <w:rsid w:val="002D4380"/>
    <w:rsid w:val="002D4EBE"/>
    <w:rsid w:val="002D566F"/>
    <w:rsid w:val="002D5FE3"/>
    <w:rsid w:val="002D6577"/>
    <w:rsid w:val="002D6EE9"/>
    <w:rsid w:val="002D7044"/>
    <w:rsid w:val="002D7755"/>
    <w:rsid w:val="002D7EA2"/>
    <w:rsid w:val="002E01E2"/>
    <w:rsid w:val="002E0C6A"/>
    <w:rsid w:val="002E187C"/>
    <w:rsid w:val="002E1B4F"/>
    <w:rsid w:val="002E1DFF"/>
    <w:rsid w:val="002E2522"/>
    <w:rsid w:val="002E404E"/>
    <w:rsid w:val="002E4146"/>
    <w:rsid w:val="002E4AEA"/>
    <w:rsid w:val="002E4FA8"/>
    <w:rsid w:val="002E5606"/>
    <w:rsid w:val="002E5AE6"/>
    <w:rsid w:val="002E5FC4"/>
    <w:rsid w:val="002E66AC"/>
    <w:rsid w:val="002E6B78"/>
    <w:rsid w:val="002E6CE8"/>
    <w:rsid w:val="002E79D6"/>
    <w:rsid w:val="002E7B1F"/>
    <w:rsid w:val="002F0202"/>
    <w:rsid w:val="002F0CE4"/>
    <w:rsid w:val="002F0E76"/>
    <w:rsid w:val="002F153B"/>
    <w:rsid w:val="002F1D4B"/>
    <w:rsid w:val="002F1F37"/>
    <w:rsid w:val="002F2722"/>
    <w:rsid w:val="002F2A03"/>
    <w:rsid w:val="002F2A98"/>
    <w:rsid w:val="002F3C0C"/>
    <w:rsid w:val="002F3C8A"/>
    <w:rsid w:val="002F476E"/>
    <w:rsid w:val="002F4F66"/>
    <w:rsid w:val="002F54A2"/>
    <w:rsid w:val="002F5F5D"/>
    <w:rsid w:val="002F6C7D"/>
    <w:rsid w:val="002F7003"/>
    <w:rsid w:val="00300074"/>
    <w:rsid w:val="0030095F"/>
    <w:rsid w:val="00300F15"/>
    <w:rsid w:val="00302733"/>
    <w:rsid w:val="00302EB3"/>
    <w:rsid w:val="003033A7"/>
    <w:rsid w:val="00303D52"/>
    <w:rsid w:val="003042C4"/>
    <w:rsid w:val="003046AE"/>
    <w:rsid w:val="003046F8"/>
    <w:rsid w:val="00307ABC"/>
    <w:rsid w:val="00307B0F"/>
    <w:rsid w:val="003100F9"/>
    <w:rsid w:val="003103EF"/>
    <w:rsid w:val="003108C6"/>
    <w:rsid w:val="00310F6F"/>
    <w:rsid w:val="0031160D"/>
    <w:rsid w:val="003117CF"/>
    <w:rsid w:val="0031215F"/>
    <w:rsid w:val="0031293A"/>
    <w:rsid w:val="00312A46"/>
    <w:rsid w:val="003137B6"/>
    <w:rsid w:val="0031389F"/>
    <w:rsid w:val="003139D7"/>
    <w:rsid w:val="00313C65"/>
    <w:rsid w:val="00314078"/>
    <w:rsid w:val="0031473B"/>
    <w:rsid w:val="0031535D"/>
    <w:rsid w:val="00315FDC"/>
    <w:rsid w:val="003173AE"/>
    <w:rsid w:val="00317FA2"/>
    <w:rsid w:val="00320086"/>
    <w:rsid w:val="00321ED5"/>
    <w:rsid w:val="0032298A"/>
    <w:rsid w:val="00322B86"/>
    <w:rsid w:val="00322D72"/>
    <w:rsid w:val="00325323"/>
    <w:rsid w:val="00325B4A"/>
    <w:rsid w:val="00325D96"/>
    <w:rsid w:val="00326A6F"/>
    <w:rsid w:val="0032742E"/>
    <w:rsid w:val="003276F3"/>
    <w:rsid w:val="0033028D"/>
    <w:rsid w:val="00330BBB"/>
    <w:rsid w:val="0033169F"/>
    <w:rsid w:val="00331873"/>
    <w:rsid w:val="00331FD4"/>
    <w:rsid w:val="003320B4"/>
    <w:rsid w:val="003323DA"/>
    <w:rsid w:val="003324DC"/>
    <w:rsid w:val="00332F08"/>
    <w:rsid w:val="00333AFC"/>
    <w:rsid w:val="00333BCD"/>
    <w:rsid w:val="00334C2B"/>
    <w:rsid w:val="00335600"/>
    <w:rsid w:val="00335A49"/>
    <w:rsid w:val="00336B04"/>
    <w:rsid w:val="00336D14"/>
    <w:rsid w:val="00337578"/>
    <w:rsid w:val="00340801"/>
    <w:rsid w:val="003421FE"/>
    <w:rsid w:val="00342464"/>
    <w:rsid w:val="00343152"/>
    <w:rsid w:val="003435AA"/>
    <w:rsid w:val="00343DA7"/>
    <w:rsid w:val="00344028"/>
    <w:rsid w:val="00344DD0"/>
    <w:rsid w:val="00344E9A"/>
    <w:rsid w:val="00345AA1"/>
    <w:rsid w:val="003469AF"/>
    <w:rsid w:val="00346C95"/>
    <w:rsid w:val="00346DC7"/>
    <w:rsid w:val="00346E2F"/>
    <w:rsid w:val="003470EC"/>
    <w:rsid w:val="0034712E"/>
    <w:rsid w:val="00347531"/>
    <w:rsid w:val="0034777A"/>
    <w:rsid w:val="00350B10"/>
    <w:rsid w:val="00350B51"/>
    <w:rsid w:val="00350CCF"/>
    <w:rsid w:val="00350E0D"/>
    <w:rsid w:val="00351909"/>
    <w:rsid w:val="003527D7"/>
    <w:rsid w:val="00354927"/>
    <w:rsid w:val="00355694"/>
    <w:rsid w:val="003556EB"/>
    <w:rsid w:val="00355A58"/>
    <w:rsid w:val="00356185"/>
    <w:rsid w:val="00356F38"/>
    <w:rsid w:val="00356F84"/>
    <w:rsid w:val="003572CB"/>
    <w:rsid w:val="003577A3"/>
    <w:rsid w:val="00357F39"/>
    <w:rsid w:val="0036017B"/>
    <w:rsid w:val="00360380"/>
    <w:rsid w:val="00360772"/>
    <w:rsid w:val="00360C48"/>
    <w:rsid w:val="00361415"/>
    <w:rsid w:val="003619E9"/>
    <w:rsid w:val="00361B67"/>
    <w:rsid w:val="0036205B"/>
    <w:rsid w:val="003623DD"/>
    <w:rsid w:val="00362F55"/>
    <w:rsid w:val="003636D6"/>
    <w:rsid w:val="00363B35"/>
    <w:rsid w:val="00363C46"/>
    <w:rsid w:val="00363E54"/>
    <w:rsid w:val="00364020"/>
    <w:rsid w:val="00364DCF"/>
    <w:rsid w:val="00365031"/>
    <w:rsid w:val="00365687"/>
    <w:rsid w:val="00365872"/>
    <w:rsid w:val="00366359"/>
    <w:rsid w:val="003663F2"/>
    <w:rsid w:val="003669A2"/>
    <w:rsid w:val="00367538"/>
    <w:rsid w:val="00370585"/>
    <w:rsid w:val="0037193B"/>
    <w:rsid w:val="00371DE2"/>
    <w:rsid w:val="00372335"/>
    <w:rsid w:val="0037361F"/>
    <w:rsid w:val="00373C0D"/>
    <w:rsid w:val="00374BF6"/>
    <w:rsid w:val="0037519E"/>
    <w:rsid w:val="00375280"/>
    <w:rsid w:val="0037677A"/>
    <w:rsid w:val="0037683D"/>
    <w:rsid w:val="003771DA"/>
    <w:rsid w:val="0038026F"/>
    <w:rsid w:val="00381048"/>
    <w:rsid w:val="0038173F"/>
    <w:rsid w:val="003818BA"/>
    <w:rsid w:val="003820E6"/>
    <w:rsid w:val="00383D65"/>
    <w:rsid w:val="0038443E"/>
    <w:rsid w:val="00384679"/>
    <w:rsid w:val="003847BB"/>
    <w:rsid w:val="00384EB6"/>
    <w:rsid w:val="00385496"/>
    <w:rsid w:val="00385542"/>
    <w:rsid w:val="003859D4"/>
    <w:rsid w:val="00385D7D"/>
    <w:rsid w:val="00386437"/>
    <w:rsid w:val="0038667E"/>
    <w:rsid w:val="00386CF0"/>
    <w:rsid w:val="00387228"/>
    <w:rsid w:val="00390A36"/>
    <w:rsid w:val="00390A3C"/>
    <w:rsid w:val="00390E8A"/>
    <w:rsid w:val="0039123E"/>
    <w:rsid w:val="003912E1"/>
    <w:rsid w:val="0039164D"/>
    <w:rsid w:val="00392072"/>
    <w:rsid w:val="00392C9A"/>
    <w:rsid w:val="003932CD"/>
    <w:rsid w:val="00394F88"/>
    <w:rsid w:val="00396612"/>
    <w:rsid w:val="00396D1C"/>
    <w:rsid w:val="00397741"/>
    <w:rsid w:val="00397CD1"/>
    <w:rsid w:val="00397CDC"/>
    <w:rsid w:val="00397F47"/>
    <w:rsid w:val="003A0A82"/>
    <w:rsid w:val="003A115B"/>
    <w:rsid w:val="003A11B5"/>
    <w:rsid w:val="003A2B59"/>
    <w:rsid w:val="003A353C"/>
    <w:rsid w:val="003A3DF0"/>
    <w:rsid w:val="003A3F1E"/>
    <w:rsid w:val="003A58E1"/>
    <w:rsid w:val="003A64BD"/>
    <w:rsid w:val="003A73F6"/>
    <w:rsid w:val="003A7457"/>
    <w:rsid w:val="003A755F"/>
    <w:rsid w:val="003A7EA7"/>
    <w:rsid w:val="003B4CCF"/>
    <w:rsid w:val="003B56BC"/>
    <w:rsid w:val="003B5BDC"/>
    <w:rsid w:val="003B5C54"/>
    <w:rsid w:val="003B5EB3"/>
    <w:rsid w:val="003B6EC6"/>
    <w:rsid w:val="003C0551"/>
    <w:rsid w:val="003C06D9"/>
    <w:rsid w:val="003C0D53"/>
    <w:rsid w:val="003C1838"/>
    <w:rsid w:val="003C2A12"/>
    <w:rsid w:val="003C2A4E"/>
    <w:rsid w:val="003C314F"/>
    <w:rsid w:val="003C56DE"/>
    <w:rsid w:val="003C5716"/>
    <w:rsid w:val="003C5E5D"/>
    <w:rsid w:val="003C6124"/>
    <w:rsid w:val="003C6195"/>
    <w:rsid w:val="003C676B"/>
    <w:rsid w:val="003C6B1A"/>
    <w:rsid w:val="003C6F50"/>
    <w:rsid w:val="003C77D1"/>
    <w:rsid w:val="003C7ACD"/>
    <w:rsid w:val="003D0A9F"/>
    <w:rsid w:val="003D0D7B"/>
    <w:rsid w:val="003D10FA"/>
    <w:rsid w:val="003D2274"/>
    <w:rsid w:val="003D3BC2"/>
    <w:rsid w:val="003D3E5E"/>
    <w:rsid w:val="003D42AD"/>
    <w:rsid w:val="003D5044"/>
    <w:rsid w:val="003D6146"/>
    <w:rsid w:val="003D6549"/>
    <w:rsid w:val="003D67C7"/>
    <w:rsid w:val="003D6BE4"/>
    <w:rsid w:val="003D70A5"/>
    <w:rsid w:val="003D71D4"/>
    <w:rsid w:val="003D7C03"/>
    <w:rsid w:val="003E07C8"/>
    <w:rsid w:val="003E0CBE"/>
    <w:rsid w:val="003E1EC6"/>
    <w:rsid w:val="003E2604"/>
    <w:rsid w:val="003E276D"/>
    <w:rsid w:val="003E28BD"/>
    <w:rsid w:val="003E2B08"/>
    <w:rsid w:val="003E34C9"/>
    <w:rsid w:val="003E38C0"/>
    <w:rsid w:val="003E3EA7"/>
    <w:rsid w:val="003E432F"/>
    <w:rsid w:val="003E528E"/>
    <w:rsid w:val="003E532A"/>
    <w:rsid w:val="003E5436"/>
    <w:rsid w:val="003E56A9"/>
    <w:rsid w:val="003E5854"/>
    <w:rsid w:val="003E5ECD"/>
    <w:rsid w:val="003E605B"/>
    <w:rsid w:val="003E66DC"/>
    <w:rsid w:val="003E6742"/>
    <w:rsid w:val="003E6CA1"/>
    <w:rsid w:val="003E725D"/>
    <w:rsid w:val="003E72B0"/>
    <w:rsid w:val="003E731A"/>
    <w:rsid w:val="003F00CC"/>
    <w:rsid w:val="003F0C1F"/>
    <w:rsid w:val="003F0D08"/>
    <w:rsid w:val="003F114E"/>
    <w:rsid w:val="003F1245"/>
    <w:rsid w:val="003F22B6"/>
    <w:rsid w:val="003F25AD"/>
    <w:rsid w:val="003F2963"/>
    <w:rsid w:val="003F4B6B"/>
    <w:rsid w:val="003F4DE3"/>
    <w:rsid w:val="003F5524"/>
    <w:rsid w:val="003F55B3"/>
    <w:rsid w:val="003F5F61"/>
    <w:rsid w:val="003F7F64"/>
    <w:rsid w:val="00400326"/>
    <w:rsid w:val="00401366"/>
    <w:rsid w:val="00401B3F"/>
    <w:rsid w:val="004025A4"/>
    <w:rsid w:val="00402840"/>
    <w:rsid w:val="00402C9C"/>
    <w:rsid w:val="0040304D"/>
    <w:rsid w:val="00403965"/>
    <w:rsid w:val="00403C17"/>
    <w:rsid w:val="00404ABE"/>
    <w:rsid w:val="004053F3"/>
    <w:rsid w:val="004066D3"/>
    <w:rsid w:val="0040695D"/>
    <w:rsid w:val="004073F2"/>
    <w:rsid w:val="00407422"/>
    <w:rsid w:val="00407BE1"/>
    <w:rsid w:val="00410099"/>
    <w:rsid w:val="004108F4"/>
    <w:rsid w:val="0041127A"/>
    <w:rsid w:val="00411856"/>
    <w:rsid w:val="00411CF5"/>
    <w:rsid w:val="004132ED"/>
    <w:rsid w:val="00413313"/>
    <w:rsid w:val="00414A23"/>
    <w:rsid w:val="00414EDF"/>
    <w:rsid w:val="0041519B"/>
    <w:rsid w:val="004160DE"/>
    <w:rsid w:val="004165C2"/>
    <w:rsid w:val="0041782C"/>
    <w:rsid w:val="004202F8"/>
    <w:rsid w:val="00421AF4"/>
    <w:rsid w:val="004220BC"/>
    <w:rsid w:val="00422E4F"/>
    <w:rsid w:val="00422F42"/>
    <w:rsid w:val="004237A9"/>
    <w:rsid w:val="00423C8E"/>
    <w:rsid w:val="00424268"/>
    <w:rsid w:val="004247B9"/>
    <w:rsid w:val="00424922"/>
    <w:rsid w:val="00424ED4"/>
    <w:rsid w:val="00425007"/>
    <w:rsid w:val="00425C24"/>
    <w:rsid w:val="00426114"/>
    <w:rsid w:val="00427EAC"/>
    <w:rsid w:val="0043066C"/>
    <w:rsid w:val="00430855"/>
    <w:rsid w:val="004309B6"/>
    <w:rsid w:val="004309FD"/>
    <w:rsid w:val="00431065"/>
    <w:rsid w:val="00431973"/>
    <w:rsid w:val="00432AFE"/>
    <w:rsid w:val="0043304A"/>
    <w:rsid w:val="00433D1D"/>
    <w:rsid w:val="00433F46"/>
    <w:rsid w:val="004342BD"/>
    <w:rsid w:val="00434DA4"/>
    <w:rsid w:val="004355CE"/>
    <w:rsid w:val="004362D4"/>
    <w:rsid w:val="00437655"/>
    <w:rsid w:val="00441ECB"/>
    <w:rsid w:val="00441F10"/>
    <w:rsid w:val="00442221"/>
    <w:rsid w:val="004424F5"/>
    <w:rsid w:val="00442DAE"/>
    <w:rsid w:val="00443CD8"/>
    <w:rsid w:val="00443E57"/>
    <w:rsid w:val="004443E1"/>
    <w:rsid w:val="00444564"/>
    <w:rsid w:val="00444C65"/>
    <w:rsid w:val="00444FFB"/>
    <w:rsid w:val="00445197"/>
    <w:rsid w:val="00445860"/>
    <w:rsid w:val="00445B16"/>
    <w:rsid w:val="00445C48"/>
    <w:rsid w:val="00445DEB"/>
    <w:rsid w:val="004500C7"/>
    <w:rsid w:val="00450354"/>
    <w:rsid w:val="00450815"/>
    <w:rsid w:val="00450F67"/>
    <w:rsid w:val="004517DD"/>
    <w:rsid w:val="00451D5B"/>
    <w:rsid w:val="004524B9"/>
    <w:rsid w:val="004524D8"/>
    <w:rsid w:val="00454BB3"/>
    <w:rsid w:val="00455200"/>
    <w:rsid w:val="004554C1"/>
    <w:rsid w:val="00455896"/>
    <w:rsid w:val="00455FC1"/>
    <w:rsid w:val="0045707B"/>
    <w:rsid w:val="00457092"/>
    <w:rsid w:val="004575D9"/>
    <w:rsid w:val="0045761A"/>
    <w:rsid w:val="004579FB"/>
    <w:rsid w:val="00457B79"/>
    <w:rsid w:val="00457CD6"/>
    <w:rsid w:val="004605DB"/>
    <w:rsid w:val="00460768"/>
    <w:rsid w:val="00461E9C"/>
    <w:rsid w:val="004649A9"/>
    <w:rsid w:val="0046558F"/>
    <w:rsid w:val="00465652"/>
    <w:rsid w:val="004669AA"/>
    <w:rsid w:val="004671FB"/>
    <w:rsid w:val="00467B7E"/>
    <w:rsid w:val="00467E07"/>
    <w:rsid w:val="00470024"/>
    <w:rsid w:val="00470664"/>
    <w:rsid w:val="004719B8"/>
    <w:rsid w:val="00471F12"/>
    <w:rsid w:val="004728DB"/>
    <w:rsid w:val="00472C61"/>
    <w:rsid w:val="004740A1"/>
    <w:rsid w:val="0047437E"/>
    <w:rsid w:val="004749F4"/>
    <w:rsid w:val="00474B8F"/>
    <w:rsid w:val="004753DD"/>
    <w:rsid w:val="004753E3"/>
    <w:rsid w:val="004759C4"/>
    <w:rsid w:val="004766B7"/>
    <w:rsid w:val="00476E6B"/>
    <w:rsid w:val="00477592"/>
    <w:rsid w:val="00480880"/>
    <w:rsid w:val="00481834"/>
    <w:rsid w:val="0048224A"/>
    <w:rsid w:val="0048224F"/>
    <w:rsid w:val="004827C4"/>
    <w:rsid w:val="00482EC8"/>
    <w:rsid w:val="00482FAB"/>
    <w:rsid w:val="00483492"/>
    <w:rsid w:val="004835FD"/>
    <w:rsid w:val="004837BB"/>
    <w:rsid w:val="00483A9A"/>
    <w:rsid w:val="00484089"/>
    <w:rsid w:val="00484099"/>
    <w:rsid w:val="00484291"/>
    <w:rsid w:val="00484E0B"/>
    <w:rsid w:val="0048535B"/>
    <w:rsid w:val="00485BC7"/>
    <w:rsid w:val="00485C93"/>
    <w:rsid w:val="00486428"/>
    <w:rsid w:val="00486700"/>
    <w:rsid w:val="004867F2"/>
    <w:rsid w:val="004869F3"/>
    <w:rsid w:val="00486D8E"/>
    <w:rsid w:val="00486F1C"/>
    <w:rsid w:val="00490D7C"/>
    <w:rsid w:val="00491050"/>
    <w:rsid w:val="004916A6"/>
    <w:rsid w:val="00491BC4"/>
    <w:rsid w:val="00491BE4"/>
    <w:rsid w:val="00491EF9"/>
    <w:rsid w:val="00493161"/>
    <w:rsid w:val="00493C95"/>
    <w:rsid w:val="0049419D"/>
    <w:rsid w:val="00494B0E"/>
    <w:rsid w:val="00495B3E"/>
    <w:rsid w:val="00496C4E"/>
    <w:rsid w:val="0049725B"/>
    <w:rsid w:val="00497E06"/>
    <w:rsid w:val="004A01FB"/>
    <w:rsid w:val="004A02B8"/>
    <w:rsid w:val="004A0868"/>
    <w:rsid w:val="004A1355"/>
    <w:rsid w:val="004A143A"/>
    <w:rsid w:val="004A2181"/>
    <w:rsid w:val="004A2496"/>
    <w:rsid w:val="004A2985"/>
    <w:rsid w:val="004A32BD"/>
    <w:rsid w:val="004A382E"/>
    <w:rsid w:val="004A3F76"/>
    <w:rsid w:val="004A501D"/>
    <w:rsid w:val="004A52AB"/>
    <w:rsid w:val="004A575D"/>
    <w:rsid w:val="004A5EDA"/>
    <w:rsid w:val="004A64FE"/>
    <w:rsid w:val="004A651F"/>
    <w:rsid w:val="004A7B00"/>
    <w:rsid w:val="004A7BE2"/>
    <w:rsid w:val="004B01B9"/>
    <w:rsid w:val="004B0CDB"/>
    <w:rsid w:val="004B11B6"/>
    <w:rsid w:val="004B133C"/>
    <w:rsid w:val="004B1371"/>
    <w:rsid w:val="004B1603"/>
    <w:rsid w:val="004B1A98"/>
    <w:rsid w:val="004B2337"/>
    <w:rsid w:val="004B2575"/>
    <w:rsid w:val="004B287B"/>
    <w:rsid w:val="004B43E6"/>
    <w:rsid w:val="004B4434"/>
    <w:rsid w:val="004B4ADE"/>
    <w:rsid w:val="004B4EB7"/>
    <w:rsid w:val="004B5157"/>
    <w:rsid w:val="004B571A"/>
    <w:rsid w:val="004B5F68"/>
    <w:rsid w:val="004B6F67"/>
    <w:rsid w:val="004B7789"/>
    <w:rsid w:val="004B77AF"/>
    <w:rsid w:val="004C09EF"/>
    <w:rsid w:val="004C14CC"/>
    <w:rsid w:val="004C1891"/>
    <w:rsid w:val="004C20D2"/>
    <w:rsid w:val="004C2420"/>
    <w:rsid w:val="004C2933"/>
    <w:rsid w:val="004C2CC9"/>
    <w:rsid w:val="004C3310"/>
    <w:rsid w:val="004C4155"/>
    <w:rsid w:val="004C4515"/>
    <w:rsid w:val="004C480B"/>
    <w:rsid w:val="004C4865"/>
    <w:rsid w:val="004C49F2"/>
    <w:rsid w:val="004C4B62"/>
    <w:rsid w:val="004C4BD9"/>
    <w:rsid w:val="004C4E09"/>
    <w:rsid w:val="004C51CD"/>
    <w:rsid w:val="004C54C9"/>
    <w:rsid w:val="004C568A"/>
    <w:rsid w:val="004C62EF"/>
    <w:rsid w:val="004C7510"/>
    <w:rsid w:val="004C753F"/>
    <w:rsid w:val="004C779D"/>
    <w:rsid w:val="004C790D"/>
    <w:rsid w:val="004D0655"/>
    <w:rsid w:val="004D11DD"/>
    <w:rsid w:val="004D156A"/>
    <w:rsid w:val="004D195F"/>
    <w:rsid w:val="004D2123"/>
    <w:rsid w:val="004D2720"/>
    <w:rsid w:val="004D29A0"/>
    <w:rsid w:val="004D327C"/>
    <w:rsid w:val="004D36E0"/>
    <w:rsid w:val="004D5B9B"/>
    <w:rsid w:val="004D6025"/>
    <w:rsid w:val="004D6618"/>
    <w:rsid w:val="004D68D0"/>
    <w:rsid w:val="004D6A21"/>
    <w:rsid w:val="004D797E"/>
    <w:rsid w:val="004E0BA6"/>
    <w:rsid w:val="004E0E1A"/>
    <w:rsid w:val="004E1822"/>
    <w:rsid w:val="004E2083"/>
    <w:rsid w:val="004E214F"/>
    <w:rsid w:val="004E25E5"/>
    <w:rsid w:val="004E25F3"/>
    <w:rsid w:val="004E2649"/>
    <w:rsid w:val="004E28F6"/>
    <w:rsid w:val="004E3882"/>
    <w:rsid w:val="004E5931"/>
    <w:rsid w:val="004E59CB"/>
    <w:rsid w:val="004E6387"/>
    <w:rsid w:val="004E68C3"/>
    <w:rsid w:val="004E7448"/>
    <w:rsid w:val="004F0064"/>
    <w:rsid w:val="004F0179"/>
    <w:rsid w:val="004F04E5"/>
    <w:rsid w:val="004F0D2C"/>
    <w:rsid w:val="004F11A0"/>
    <w:rsid w:val="004F1448"/>
    <w:rsid w:val="004F1DF7"/>
    <w:rsid w:val="004F278D"/>
    <w:rsid w:val="004F2ADF"/>
    <w:rsid w:val="004F400D"/>
    <w:rsid w:val="004F47A6"/>
    <w:rsid w:val="004F48F8"/>
    <w:rsid w:val="004F4B58"/>
    <w:rsid w:val="004F565B"/>
    <w:rsid w:val="004F5A95"/>
    <w:rsid w:val="004F6185"/>
    <w:rsid w:val="004F627D"/>
    <w:rsid w:val="004F636B"/>
    <w:rsid w:val="004F7391"/>
    <w:rsid w:val="00500986"/>
    <w:rsid w:val="00500BB3"/>
    <w:rsid w:val="00501399"/>
    <w:rsid w:val="00501A2E"/>
    <w:rsid w:val="00501B3A"/>
    <w:rsid w:val="00501D70"/>
    <w:rsid w:val="00501F76"/>
    <w:rsid w:val="0050220F"/>
    <w:rsid w:val="00502AEE"/>
    <w:rsid w:val="0050377D"/>
    <w:rsid w:val="0050381F"/>
    <w:rsid w:val="005038B0"/>
    <w:rsid w:val="00503A5D"/>
    <w:rsid w:val="005045CB"/>
    <w:rsid w:val="00505D50"/>
    <w:rsid w:val="0050633D"/>
    <w:rsid w:val="00506C81"/>
    <w:rsid w:val="0050775E"/>
    <w:rsid w:val="00507AA1"/>
    <w:rsid w:val="00507B43"/>
    <w:rsid w:val="00507BC4"/>
    <w:rsid w:val="00507CB7"/>
    <w:rsid w:val="0051009C"/>
    <w:rsid w:val="00510338"/>
    <w:rsid w:val="00510F50"/>
    <w:rsid w:val="005111C3"/>
    <w:rsid w:val="00511B86"/>
    <w:rsid w:val="00512231"/>
    <w:rsid w:val="005128E4"/>
    <w:rsid w:val="005133DB"/>
    <w:rsid w:val="00513417"/>
    <w:rsid w:val="00514630"/>
    <w:rsid w:val="00514B7B"/>
    <w:rsid w:val="0051559B"/>
    <w:rsid w:val="005161AD"/>
    <w:rsid w:val="00516520"/>
    <w:rsid w:val="00516D2B"/>
    <w:rsid w:val="00516F50"/>
    <w:rsid w:val="0051701A"/>
    <w:rsid w:val="00517C59"/>
    <w:rsid w:val="00517D9D"/>
    <w:rsid w:val="00517F31"/>
    <w:rsid w:val="00520728"/>
    <w:rsid w:val="0052136F"/>
    <w:rsid w:val="005219F6"/>
    <w:rsid w:val="005221FA"/>
    <w:rsid w:val="005224AB"/>
    <w:rsid w:val="0052293B"/>
    <w:rsid w:val="00523360"/>
    <w:rsid w:val="005234FA"/>
    <w:rsid w:val="00523C93"/>
    <w:rsid w:val="00523EEB"/>
    <w:rsid w:val="005242B0"/>
    <w:rsid w:val="00524553"/>
    <w:rsid w:val="0052465E"/>
    <w:rsid w:val="005247AF"/>
    <w:rsid w:val="00524843"/>
    <w:rsid w:val="00524FEA"/>
    <w:rsid w:val="00525156"/>
    <w:rsid w:val="005254EC"/>
    <w:rsid w:val="00525560"/>
    <w:rsid w:val="005260D2"/>
    <w:rsid w:val="005265E2"/>
    <w:rsid w:val="00526D77"/>
    <w:rsid w:val="005273EF"/>
    <w:rsid w:val="00527542"/>
    <w:rsid w:val="00530A93"/>
    <w:rsid w:val="00530DE2"/>
    <w:rsid w:val="00531365"/>
    <w:rsid w:val="0053186B"/>
    <w:rsid w:val="005318B2"/>
    <w:rsid w:val="0053252B"/>
    <w:rsid w:val="005343CE"/>
    <w:rsid w:val="0053493E"/>
    <w:rsid w:val="00534956"/>
    <w:rsid w:val="0053498E"/>
    <w:rsid w:val="00534A7E"/>
    <w:rsid w:val="005354F3"/>
    <w:rsid w:val="00536016"/>
    <w:rsid w:val="005367EE"/>
    <w:rsid w:val="00536923"/>
    <w:rsid w:val="00536BA8"/>
    <w:rsid w:val="00536C5C"/>
    <w:rsid w:val="00537168"/>
    <w:rsid w:val="0053775A"/>
    <w:rsid w:val="005405A7"/>
    <w:rsid w:val="005411CA"/>
    <w:rsid w:val="0054122E"/>
    <w:rsid w:val="0054242E"/>
    <w:rsid w:val="00542B13"/>
    <w:rsid w:val="00542BF0"/>
    <w:rsid w:val="005430CE"/>
    <w:rsid w:val="0054339C"/>
    <w:rsid w:val="00544492"/>
    <w:rsid w:val="00544C49"/>
    <w:rsid w:val="00544F24"/>
    <w:rsid w:val="005451F2"/>
    <w:rsid w:val="005459DA"/>
    <w:rsid w:val="00545E65"/>
    <w:rsid w:val="005463B6"/>
    <w:rsid w:val="00550000"/>
    <w:rsid w:val="005501C6"/>
    <w:rsid w:val="00550DA4"/>
    <w:rsid w:val="005516A1"/>
    <w:rsid w:val="00552026"/>
    <w:rsid w:val="005525FA"/>
    <w:rsid w:val="00552955"/>
    <w:rsid w:val="00553875"/>
    <w:rsid w:val="0055435B"/>
    <w:rsid w:val="00555193"/>
    <w:rsid w:val="005560CB"/>
    <w:rsid w:val="00556475"/>
    <w:rsid w:val="005564AF"/>
    <w:rsid w:val="005568A0"/>
    <w:rsid w:val="00556E54"/>
    <w:rsid w:val="00560124"/>
    <w:rsid w:val="00560657"/>
    <w:rsid w:val="00560872"/>
    <w:rsid w:val="00560A31"/>
    <w:rsid w:val="00560B99"/>
    <w:rsid w:val="005626DD"/>
    <w:rsid w:val="00562CFB"/>
    <w:rsid w:val="0056321E"/>
    <w:rsid w:val="0056323D"/>
    <w:rsid w:val="00563A6E"/>
    <w:rsid w:val="005640E2"/>
    <w:rsid w:val="0056544F"/>
    <w:rsid w:val="00565744"/>
    <w:rsid w:val="005657CB"/>
    <w:rsid w:val="00566166"/>
    <w:rsid w:val="00566743"/>
    <w:rsid w:val="00566C8D"/>
    <w:rsid w:val="00566CA7"/>
    <w:rsid w:val="00566F52"/>
    <w:rsid w:val="00570A2D"/>
    <w:rsid w:val="00570BF1"/>
    <w:rsid w:val="00571559"/>
    <w:rsid w:val="00572146"/>
    <w:rsid w:val="005722C8"/>
    <w:rsid w:val="005728E4"/>
    <w:rsid w:val="005731CF"/>
    <w:rsid w:val="00573252"/>
    <w:rsid w:val="0057402A"/>
    <w:rsid w:val="00574C34"/>
    <w:rsid w:val="00574D9A"/>
    <w:rsid w:val="0057529D"/>
    <w:rsid w:val="005757D3"/>
    <w:rsid w:val="005758AC"/>
    <w:rsid w:val="00575F9F"/>
    <w:rsid w:val="00576045"/>
    <w:rsid w:val="005760C0"/>
    <w:rsid w:val="00576C46"/>
    <w:rsid w:val="00576F09"/>
    <w:rsid w:val="005771D0"/>
    <w:rsid w:val="00577FC4"/>
    <w:rsid w:val="00580167"/>
    <w:rsid w:val="005810D8"/>
    <w:rsid w:val="00581B8E"/>
    <w:rsid w:val="00581E55"/>
    <w:rsid w:val="0058207B"/>
    <w:rsid w:val="00583373"/>
    <w:rsid w:val="005836A6"/>
    <w:rsid w:val="00584013"/>
    <w:rsid w:val="00584C2E"/>
    <w:rsid w:val="0058508E"/>
    <w:rsid w:val="0058524F"/>
    <w:rsid w:val="005866BC"/>
    <w:rsid w:val="00586D23"/>
    <w:rsid w:val="0059191A"/>
    <w:rsid w:val="00591999"/>
    <w:rsid w:val="00591AD4"/>
    <w:rsid w:val="005921FF"/>
    <w:rsid w:val="005926CF"/>
    <w:rsid w:val="005928F2"/>
    <w:rsid w:val="00592B4D"/>
    <w:rsid w:val="0059354D"/>
    <w:rsid w:val="005937C5"/>
    <w:rsid w:val="005937F1"/>
    <w:rsid w:val="00593C79"/>
    <w:rsid w:val="00594734"/>
    <w:rsid w:val="00594860"/>
    <w:rsid w:val="00594C1E"/>
    <w:rsid w:val="00594CE9"/>
    <w:rsid w:val="00595C1D"/>
    <w:rsid w:val="0059603D"/>
    <w:rsid w:val="005961CF"/>
    <w:rsid w:val="0059682C"/>
    <w:rsid w:val="005968BB"/>
    <w:rsid w:val="00596E2B"/>
    <w:rsid w:val="00597DFE"/>
    <w:rsid w:val="005A170E"/>
    <w:rsid w:val="005A1EEC"/>
    <w:rsid w:val="005A29C6"/>
    <w:rsid w:val="005A30B1"/>
    <w:rsid w:val="005A30B5"/>
    <w:rsid w:val="005A3750"/>
    <w:rsid w:val="005A442E"/>
    <w:rsid w:val="005A4A59"/>
    <w:rsid w:val="005A59C7"/>
    <w:rsid w:val="005A5B05"/>
    <w:rsid w:val="005A6117"/>
    <w:rsid w:val="005A6191"/>
    <w:rsid w:val="005A62CB"/>
    <w:rsid w:val="005A6D0E"/>
    <w:rsid w:val="005A719B"/>
    <w:rsid w:val="005A74C9"/>
    <w:rsid w:val="005A7A20"/>
    <w:rsid w:val="005A7F71"/>
    <w:rsid w:val="005B099A"/>
    <w:rsid w:val="005B0C15"/>
    <w:rsid w:val="005B10ED"/>
    <w:rsid w:val="005B2552"/>
    <w:rsid w:val="005B30EA"/>
    <w:rsid w:val="005B3463"/>
    <w:rsid w:val="005B34DC"/>
    <w:rsid w:val="005B3547"/>
    <w:rsid w:val="005B4075"/>
    <w:rsid w:val="005B408F"/>
    <w:rsid w:val="005B4245"/>
    <w:rsid w:val="005B4B62"/>
    <w:rsid w:val="005B4FB7"/>
    <w:rsid w:val="005B52B0"/>
    <w:rsid w:val="005B5525"/>
    <w:rsid w:val="005B59F0"/>
    <w:rsid w:val="005B6806"/>
    <w:rsid w:val="005B7129"/>
    <w:rsid w:val="005C0979"/>
    <w:rsid w:val="005C0EFB"/>
    <w:rsid w:val="005C10B3"/>
    <w:rsid w:val="005C1160"/>
    <w:rsid w:val="005C2509"/>
    <w:rsid w:val="005C34E1"/>
    <w:rsid w:val="005C4225"/>
    <w:rsid w:val="005C498A"/>
    <w:rsid w:val="005C4CA5"/>
    <w:rsid w:val="005C5F0F"/>
    <w:rsid w:val="005C63BE"/>
    <w:rsid w:val="005C6A99"/>
    <w:rsid w:val="005C704B"/>
    <w:rsid w:val="005C7619"/>
    <w:rsid w:val="005C7E67"/>
    <w:rsid w:val="005D08BF"/>
    <w:rsid w:val="005D09DA"/>
    <w:rsid w:val="005D0CD2"/>
    <w:rsid w:val="005D0DB1"/>
    <w:rsid w:val="005D144D"/>
    <w:rsid w:val="005D1A74"/>
    <w:rsid w:val="005D2897"/>
    <w:rsid w:val="005D40B7"/>
    <w:rsid w:val="005D482E"/>
    <w:rsid w:val="005D5670"/>
    <w:rsid w:val="005D5D71"/>
    <w:rsid w:val="005D5EEC"/>
    <w:rsid w:val="005D66C8"/>
    <w:rsid w:val="005D69F2"/>
    <w:rsid w:val="005D72B9"/>
    <w:rsid w:val="005D769B"/>
    <w:rsid w:val="005D7F07"/>
    <w:rsid w:val="005E0F23"/>
    <w:rsid w:val="005E26AD"/>
    <w:rsid w:val="005E30B3"/>
    <w:rsid w:val="005E31C3"/>
    <w:rsid w:val="005E32FA"/>
    <w:rsid w:val="005E3428"/>
    <w:rsid w:val="005E3707"/>
    <w:rsid w:val="005E418F"/>
    <w:rsid w:val="005E4593"/>
    <w:rsid w:val="005E5760"/>
    <w:rsid w:val="005E5CC4"/>
    <w:rsid w:val="005E5DFA"/>
    <w:rsid w:val="005E63BA"/>
    <w:rsid w:val="005E6EA4"/>
    <w:rsid w:val="005E701C"/>
    <w:rsid w:val="005E728C"/>
    <w:rsid w:val="005E73FB"/>
    <w:rsid w:val="005E75BA"/>
    <w:rsid w:val="005F0ABD"/>
    <w:rsid w:val="005F0AF5"/>
    <w:rsid w:val="005F0DAD"/>
    <w:rsid w:val="005F0F33"/>
    <w:rsid w:val="005F17B2"/>
    <w:rsid w:val="005F1817"/>
    <w:rsid w:val="005F2D03"/>
    <w:rsid w:val="005F309E"/>
    <w:rsid w:val="005F3964"/>
    <w:rsid w:val="005F3FD8"/>
    <w:rsid w:val="005F3FEA"/>
    <w:rsid w:val="005F41E3"/>
    <w:rsid w:val="005F41FE"/>
    <w:rsid w:val="005F4437"/>
    <w:rsid w:val="005F564D"/>
    <w:rsid w:val="005F5C29"/>
    <w:rsid w:val="005F67A8"/>
    <w:rsid w:val="005F7C10"/>
    <w:rsid w:val="00600CAE"/>
    <w:rsid w:val="00600DEB"/>
    <w:rsid w:val="006014CD"/>
    <w:rsid w:val="00601649"/>
    <w:rsid w:val="00601844"/>
    <w:rsid w:val="00601CB8"/>
    <w:rsid w:val="00601D57"/>
    <w:rsid w:val="00602072"/>
    <w:rsid w:val="006020AC"/>
    <w:rsid w:val="006026D9"/>
    <w:rsid w:val="00602827"/>
    <w:rsid w:val="00603236"/>
    <w:rsid w:val="0060367A"/>
    <w:rsid w:val="00606532"/>
    <w:rsid w:val="00606A76"/>
    <w:rsid w:val="00606B24"/>
    <w:rsid w:val="00607423"/>
    <w:rsid w:val="00610717"/>
    <w:rsid w:val="00610CE7"/>
    <w:rsid w:val="0061119F"/>
    <w:rsid w:val="00611638"/>
    <w:rsid w:val="006125C3"/>
    <w:rsid w:val="006128FC"/>
    <w:rsid w:val="00612B04"/>
    <w:rsid w:val="00612B91"/>
    <w:rsid w:val="00612BE6"/>
    <w:rsid w:val="00613297"/>
    <w:rsid w:val="00613FE1"/>
    <w:rsid w:val="006144D1"/>
    <w:rsid w:val="006149EC"/>
    <w:rsid w:val="00614FD8"/>
    <w:rsid w:val="006150F5"/>
    <w:rsid w:val="006156F1"/>
    <w:rsid w:val="00615C56"/>
    <w:rsid w:val="0061631D"/>
    <w:rsid w:val="0061668C"/>
    <w:rsid w:val="00617A76"/>
    <w:rsid w:val="0062015E"/>
    <w:rsid w:val="006211B5"/>
    <w:rsid w:val="00621E09"/>
    <w:rsid w:val="006227C7"/>
    <w:rsid w:val="00622BE4"/>
    <w:rsid w:val="006231D4"/>
    <w:rsid w:val="00623410"/>
    <w:rsid w:val="00623662"/>
    <w:rsid w:val="00624760"/>
    <w:rsid w:val="00627619"/>
    <w:rsid w:val="00627C9F"/>
    <w:rsid w:val="00630124"/>
    <w:rsid w:val="00630363"/>
    <w:rsid w:val="00630598"/>
    <w:rsid w:val="00630615"/>
    <w:rsid w:val="006311E9"/>
    <w:rsid w:val="00631266"/>
    <w:rsid w:val="006313B1"/>
    <w:rsid w:val="00631C6B"/>
    <w:rsid w:val="006321FA"/>
    <w:rsid w:val="00632354"/>
    <w:rsid w:val="00632495"/>
    <w:rsid w:val="0063266D"/>
    <w:rsid w:val="00632723"/>
    <w:rsid w:val="00632C3C"/>
    <w:rsid w:val="00633030"/>
    <w:rsid w:val="006330E3"/>
    <w:rsid w:val="00633DB3"/>
    <w:rsid w:val="00633E3E"/>
    <w:rsid w:val="00633FD2"/>
    <w:rsid w:val="00634744"/>
    <w:rsid w:val="00635846"/>
    <w:rsid w:val="006363B6"/>
    <w:rsid w:val="006363F8"/>
    <w:rsid w:val="00636B4C"/>
    <w:rsid w:val="00636C60"/>
    <w:rsid w:val="00636D06"/>
    <w:rsid w:val="006372F7"/>
    <w:rsid w:val="00637A6C"/>
    <w:rsid w:val="00637D60"/>
    <w:rsid w:val="00640AFD"/>
    <w:rsid w:val="00640BAB"/>
    <w:rsid w:val="006420B0"/>
    <w:rsid w:val="00642810"/>
    <w:rsid w:val="00642E66"/>
    <w:rsid w:val="006432DD"/>
    <w:rsid w:val="0064431E"/>
    <w:rsid w:val="006447FB"/>
    <w:rsid w:val="00644B96"/>
    <w:rsid w:val="00644DA6"/>
    <w:rsid w:val="00645038"/>
    <w:rsid w:val="00645348"/>
    <w:rsid w:val="00645502"/>
    <w:rsid w:val="00646719"/>
    <w:rsid w:val="006467BB"/>
    <w:rsid w:val="0064712F"/>
    <w:rsid w:val="006479AD"/>
    <w:rsid w:val="00651934"/>
    <w:rsid w:val="00651C46"/>
    <w:rsid w:val="00651D35"/>
    <w:rsid w:val="00652333"/>
    <w:rsid w:val="006526DB"/>
    <w:rsid w:val="006527DF"/>
    <w:rsid w:val="00652E1E"/>
    <w:rsid w:val="00654017"/>
    <w:rsid w:val="00654299"/>
    <w:rsid w:val="00654B90"/>
    <w:rsid w:val="0065527D"/>
    <w:rsid w:val="00655980"/>
    <w:rsid w:val="00655B8E"/>
    <w:rsid w:val="00656106"/>
    <w:rsid w:val="00656C83"/>
    <w:rsid w:val="00657279"/>
    <w:rsid w:val="00657AFB"/>
    <w:rsid w:val="00660CF0"/>
    <w:rsid w:val="0066173A"/>
    <w:rsid w:val="0066200C"/>
    <w:rsid w:val="00662023"/>
    <w:rsid w:val="00662C9B"/>
    <w:rsid w:val="00662DEB"/>
    <w:rsid w:val="00663B83"/>
    <w:rsid w:val="006646FA"/>
    <w:rsid w:val="00664CD5"/>
    <w:rsid w:val="00665043"/>
    <w:rsid w:val="00665963"/>
    <w:rsid w:val="0066621F"/>
    <w:rsid w:val="00666902"/>
    <w:rsid w:val="00666904"/>
    <w:rsid w:val="00666E3A"/>
    <w:rsid w:val="00667D23"/>
    <w:rsid w:val="00670C60"/>
    <w:rsid w:val="00671F28"/>
    <w:rsid w:val="00671F3C"/>
    <w:rsid w:val="00672B0C"/>
    <w:rsid w:val="006734F2"/>
    <w:rsid w:val="006747C4"/>
    <w:rsid w:val="00674D15"/>
    <w:rsid w:val="0067557A"/>
    <w:rsid w:val="00677413"/>
    <w:rsid w:val="0068009E"/>
    <w:rsid w:val="0068024F"/>
    <w:rsid w:val="00681248"/>
    <w:rsid w:val="0068161C"/>
    <w:rsid w:val="00683A5E"/>
    <w:rsid w:val="00683B7A"/>
    <w:rsid w:val="0068451C"/>
    <w:rsid w:val="006845ED"/>
    <w:rsid w:val="00684AAC"/>
    <w:rsid w:val="0068548A"/>
    <w:rsid w:val="006858AC"/>
    <w:rsid w:val="00686762"/>
    <w:rsid w:val="00690BB2"/>
    <w:rsid w:val="00691541"/>
    <w:rsid w:val="00691804"/>
    <w:rsid w:val="00691A69"/>
    <w:rsid w:val="00692219"/>
    <w:rsid w:val="0069232D"/>
    <w:rsid w:val="00692FAE"/>
    <w:rsid w:val="0069334B"/>
    <w:rsid w:val="0069375D"/>
    <w:rsid w:val="00693FFC"/>
    <w:rsid w:val="00695E1E"/>
    <w:rsid w:val="00697128"/>
    <w:rsid w:val="006975E6"/>
    <w:rsid w:val="006A17D2"/>
    <w:rsid w:val="006A1919"/>
    <w:rsid w:val="006A38FB"/>
    <w:rsid w:val="006A4B39"/>
    <w:rsid w:val="006A5FB4"/>
    <w:rsid w:val="006A614A"/>
    <w:rsid w:val="006A7120"/>
    <w:rsid w:val="006A73E6"/>
    <w:rsid w:val="006B01A2"/>
    <w:rsid w:val="006B0780"/>
    <w:rsid w:val="006B1051"/>
    <w:rsid w:val="006B2937"/>
    <w:rsid w:val="006B2963"/>
    <w:rsid w:val="006B2D5C"/>
    <w:rsid w:val="006B3A0B"/>
    <w:rsid w:val="006B3D56"/>
    <w:rsid w:val="006B42DE"/>
    <w:rsid w:val="006B4BF7"/>
    <w:rsid w:val="006B4D40"/>
    <w:rsid w:val="006B4E28"/>
    <w:rsid w:val="006B510E"/>
    <w:rsid w:val="006B5927"/>
    <w:rsid w:val="006B593A"/>
    <w:rsid w:val="006C048E"/>
    <w:rsid w:val="006C0FDF"/>
    <w:rsid w:val="006C1302"/>
    <w:rsid w:val="006C1A20"/>
    <w:rsid w:val="006C2062"/>
    <w:rsid w:val="006C20C0"/>
    <w:rsid w:val="006C4B98"/>
    <w:rsid w:val="006C4EB1"/>
    <w:rsid w:val="006C58A5"/>
    <w:rsid w:val="006C6279"/>
    <w:rsid w:val="006C7B7A"/>
    <w:rsid w:val="006D0F96"/>
    <w:rsid w:val="006D1620"/>
    <w:rsid w:val="006D1EF5"/>
    <w:rsid w:val="006D399A"/>
    <w:rsid w:val="006D3E3C"/>
    <w:rsid w:val="006D4746"/>
    <w:rsid w:val="006D4819"/>
    <w:rsid w:val="006D4820"/>
    <w:rsid w:val="006D4A9A"/>
    <w:rsid w:val="006D4B0E"/>
    <w:rsid w:val="006D531F"/>
    <w:rsid w:val="006D58B0"/>
    <w:rsid w:val="006D5A39"/>
    <w:rsid w:val="006D6027"/>
    <w:rsid w:val="006D610A"/>
    <w:rsid w:val="006D61AA"/>
    <w:rsid w:val="006D652A"/>
    <w:rsid w:val="006D7572"/>
    <w:rsid w:val="006D78CB"/>
    <w:rsid w:val="006E0166"/>
    <w:rsid w:val="006E0B4C"/>
    <w:rsid w:val="006E2D3C"/>
    <w:rsid w:val="006E2F6F"/>
    <w:rsid w:val="006E4C38"/>
    <w:rsid w:val="006E5444"/>
    <w:rsid w:val="006E5650"/>
    <w:rsid w:val="006E58CC"/>
    <w:rsid w:val="006E71E8"/>
    <w:rsid w:val="006E7B34"/>
    <w:rsid w:val="006F1219"/>
    <w:rsid w:val="006F1429"/>
    <w:rsid w:val="006F298C"/>
    <w:rsid w:val="006F37B1"/>
    <w:rsid w:val="006F3FCC"/>
    <w:rsid w:val="006F4646"/>
    <w:rsid w:val="006F484C"/>
    <w:rsid w:val="006F4B70"/>
    <w:rsid w:val="006F5139"/>
    <w:rsid w:val="006F68A9"/>
    <w:rsid w:val="006F73D9"/>
    <w:rsid w:val="00700CAC"/>
    <w:rsid w:val="007018E4"/>
    <w:rsid w:val="00702306"/>
    <w:rsid w:val="007032FD"/>
    <w:rsid w:val="00704AD8"/>
    <w:rsid w:val="00705D6D"/>
    <w:rsid w:val="00705E3B"/>
    <w:rsid w:val="007066A8"/>
    <w:rsid w:val="0070697F"/>
    <w:rsid w:val="00707026"/>
    <w:rsid w:val="00707C8F"/>
    <w:rsid w:val="00711A80"/>
    <w:rsid w:val="007138AB"/>
    <w:rsid w:val="00713F27"/>
    <w:rsid w:val="0071534C"/>
    <w:rsid w:val="00715D5E"/>
    <w:rsid w:val="00715E61"/>
    <w:rsid w:val="007172B1"/>
    <w:rsid w:val="00720B23"/>
    <w:rsid w:val="00720EC1"/>
    <w:rsid w:val="0072199C"/>
    <w:rsid w:val="00721CB2"/>
    <w:rsid w:val="00721F99"/>
    <w:rsid w:val="007222F4"/>
    <w:rsid w:val="00722B1B"/>
    <w:rsid w:val="00722B53"/>
    <w:rsid w:val="00722C9F"/>
    <w:rsid w:val="007231C8"/>
    <w:rsid w:val="007244F6"/>
    <w:rsid w:val="00724745"/>
    <w:rsid w:val="007247CB"/>
    <w:rsid w:val="007250EB"/>
    <w:rsid w:val="007253B8"/>
    <w:rsid w:val="007261A8"/>
    <w:rsid w:val="0072664E"/>
    <w:rsid w:val="00726B0F"/>
    <w:rsid w:val="00726DFE"/>
    <w:rsid w:val="007275E4"/>
    <w:rsid w:val="00727F8B"/>
    <w:rsid w:val="007301EC"/>
    <w:rsid w:val="00730947"/>
    <w:rsid w:val="0073257F"/>
    <w:rsid w:val="00732AF9"/>
    <w:rsid w:val="00732D44"/>
    <w:rsid w:val="007332CC"/>
    <w:rsid w:val="00733597"/>
    <w:rsid w:val="0073374C"/>
    <w:rsid w:val="00733900"/>
    <w:rsid w:val="007339E1"/>
    <w:rsid w:val="00733A32"/>
    <w:rsid w:val="00733A82"/>
    <w:rsid w:val="00734517"/>
    <w:rsid w:val="00734C7A"/>
    <w:rsid w:val="007352E4"/>
    <w:rsid w:val="00735CBC"/>
    <w:rsid w:val="0073631B"/>
    <w:rsid w:val="00736683"/>
    <w:rsid w:val="00736BF9"/>
    <w:rsid w:val="0073741F"/>
    <w:rsid w:val="00740871"/>
    <w:rsid w:val="00740937"/>
    <w:rsid w:val="0074303B"/>
    <w:rsid w:val="007432F3"/>
    <w:rsid w:val="00743771"/>
    <w:rsid w:val="007443BA"/>
    <w:rsid w:val="00744621"/>
    <w:rsid w:val="00745680"/>
    <w:rsid w:val="00745C90"/>
    <w:rsid w:val="00746405"/>
    <w:rsid w:val="0074772D"/>
    <w:rsid w:val="00750044"/>
    <w:rsid w:val="00750307"/>
    <w:rsid w:val="007503F8"/>
    <w:rsid w:val="0075053B"/>
    <w:rsid w:val="00750912"/>
    <w:rsid w:val="007519D9"/>
    <w:rsid w:val="00751AC3"/>
    <w:rsid w:val="00751BA7"/>
    <w:rsid w:val="00751F34"/>
    <w:rsid w:val="00752654"/>
    <w:rsid w:val="0075277D"/>
    <w:rsid w:val="007532BF"/>
    <w:rsid w:val="00753B3C"/>
    <w:rsid w:val="00753C01"/>
    <w:rsid w:val="00753EDF"/>
    <w:rsid w:val="00754238"/>
    <w:rsid w:val="007555BA"/>
    <w:rsid w:val="0075589B"/>
    <w:rsid w:val="00756E60"/>
    <w:rsid w:val="00756EC0"/>
    <w:rsid w:val="007577B5"/>
    <w:rsid w:val="007615D5"/>
    <w:rsid w:val="00761E93"/>
    <w:rsid w:val="00761F15"/>
    <w:rsid w:val="007625C0"/>
    <w:rsid w:val="00762931"/>
    <w:rsid w:val="00763C95"/>
    <w:rsid w:val="00763CDC"/>
    <w:rsid w:val="00763F56"/>
    <w:rsid w:val="007644FA"/>
    <w:rsid w:val="0076643F"/>
    <w:rsid w:val="007675B8"/>
    <w:rsid w:val="00770F80"/>
    <w:rsid w:val="00772190"/>
    <w:rsid w:val="00773741"/>
    <w:rsid w:val="00774279"/>
    <w:rsid w:val="0077458D"/>
    <w:rsid w:val="00775070"/>
    <w:rsid w:val="0077536A"/>
    <w:rsid w:val="007767CA"/>
    <w:rsid w:val="00776950"/>
    <w:rsid w:val="00776AD0"/>
    <w:rsid w:val="00776E9C"/>
    <w:rsid w:val="00777279"/>
    <w:rsid w:val="00777AED"/>
    <w:rsid w:val="00777B2E"/>
    <w:rsid w:val="00777EE7"/>
    <w:rsid w:val="00777F63"/>
    <w:rsid w:val="00780C0F"/>
    <w:rsid w:val="00781389"/>
    <w:rsid w:val="007815C7"/>
    <w:rsid w:val="007819C4"/>
    <w:rsid w:val="00781EC6"/>
    <w:rsid w:val="00781F0C"/>
    <w:rsid w:val="007824D3"/>
    <w:rsid w:val="00782611"/>
    <w:rsid w:val="00782620"/>
    <w:rsid w:val="007827DA"/>
    <w:rsid w:val="007829BB"/>
    <w:rsid w:val="00782F9C"/>
    <w:rsid w:val="00783E43"/>
    <w:rsid w:val="00784873"/>
    <w:rsid w:val="007848A5"/>
    <w:rsid w:val="00784E9C"/>
    <w:rsid w:val="007850CA"/>
    <w:rsid w:val="0078528A"/>
    <w:rsid w:val="007854A2"/>
    <w:rsid w:val="0078640B"/>
    <w:rsid w:val="0078667A"/>
    <w:rsid w:val="007867BE"/>
    <w:rsid w:val="0078684A"/>
    <w:rsid w:val="00786FAA"/>
    <w:rsid w:val="0078790F"/>
    <w:rsid w:val="00787992"/>
    <w:rsid w:val="00787E40"/>
    <w:rsid w:val="00790DCA"/>
    <w:rsid w:val="00791019"/>
    <w:rsid w:val="00791361"/>
    <w:rsid w:val="00791D1E"/>
    <w:rsid w:val="00792366"/>
    <w:rsid w:val="00792526"/>
    <w:rsid w:val="007926D6"/>
    <w:rsid w:val="00792702"/>
    <w:rsid w:val="00792C96"/>
    <w:rsid w:val="00792CDE"/>
    <w:rsid w:val="00793202"/>
    <w:rsid w:val="0079410B"/>
    <w:rsid w:val="00794158"/>
    <w:rsid w:val="00794407"/>
    <w:rsid w:val="00795462"/>
    <w:rsid w:val="00796DDC"/>
    <w:rsid w:val="00797C70"/>
    <w:rsid w:val="007A085C"/>
    <w:rsid w:val="007A0E06"/>
    <w:rsid w:val="007A1D0C"/>
    <w:rsid w:val="007A2425"/>
    <w:rsid w:val="007A29EA"/>
    <w:rsid w:val="007A2D19"/>
    <w:rsid w:val="007A2DE4"/>
    <w:rsid w:val="007A34BC"/>
    <w:rsid w:val="007A36AB"/>
    <w:rsid w:val="007A415E"/>
    <w:rsid w:val="007A4C39"/>
    <w:rsid w:val="007A5619"/>
    <w:rsid w:val="007A56A0"/>
    <w:rsid w:val="007A5817"/>
    <w:rsid w:val="007A63BE"/>
    <w:rsid w:val="007A70AA"/>
    <w:rsid w:val="007A7FD7"/>
    <w:rsid w:val="007B08A2"/>
    <w:rsid w:val="007B10F0"/>
    <w:rsid w:val="007B1DE7"/>
    <w:rsid w:val="007B1F5C"/>
    <w:rsid w:val="007B2702"/>
    <w:rsid w:val="007B2945"/>
    <w:rsid w:val="007B2AF5"/>
    <w:rsid w:val="007B2CC3"/>
    <w:rsid w:val="007B2E63"/>
    <w:rsid w:val="007B3197"/>
    <w:rsid w:val="007B3587"/>
    <w:rsid w:val="007B376B"/>
    <w:rsid w:val="007B46B0"/>
    <w:rsid w:val="007B52EA"/>
    <w:rsid w:val="007B5AE7"/>
    <w:rsid w:val="007B60E9"/>
    <w:rsid w:val="007B66A4"/>
    <w:rsid w:val="007B6CC3"/>
    <w:rsid w:val="007B6F33"/>
    <w:rsid w:val="007B74E0"/>
    <w:rsid w:val="007B7D4E"/>
    <w:rsid w:val="007B7E5A"/>
    <w:rsid w:val="007C039D"/>
    <w:rsid w:val="007C28B8"/>
    <w:rsid w:val="007C30C0"/>
    <w:rsid w:val="007C330C"/>
    <w:rsid w:val="007C3334"/>
    <w:rsid w:val="007C3C68"/>
    <w:rsid w:val="007C4DE3"/>
    <w:rsid w:val="007C54CF"/>
    <w:rsid w:val="007C6108"/>
    <w:rsid w:val="007C6457"/>
    <w:rsid w:val="007C66BC"/>
    <w:rsid w:val="007C6733"/>
    <w:rsid w:val="007C6A39"/>
    <w:rsid w:val="007C6E4B"/>
    <w:rsid w:val="007C7507"/>
    <w:rsid w:val="007C756A"/>
    <w:rsid w:val="007D030F"/>
    <w:rsid w:val="007D0731"/>
    <w:rsid w:val="007D10F1"/>
    <w:rsid w:val="007D1480"/>
    <w:rsid w:val="007D14A5"/>
    <w:rsid w:val="007D1553"/>
    <w:rsid w:val="007D1696"/>
    <w:rsid w:val="007D21FE"/>
    <w:rsid w:val="007D298B"/>
    <w:rsid w:val="007D29F5"/>
    <w:rsid w:val="007D2B98"/>
    <w:rsid w:val="007D3B73"/>
    <w:rsid w:val="007D3CB1"/>
    <w:rsid w:val="007D41EB"/>
    <w:rsid w:val="007D4A14"/>
    <w:rsid w:val="007D6119"/>
    <w:rsid w:val="007D73FD"/>
    <w:rsid w:val="007E0184"/>
    <w:rsid w:val="007E0353"/>
    <w:rsid w:val="007E08C8"/>
    <w:rsid w:val="007E0917"/>
    <w:rsid w:val="007E0E54"/>
    <w:rsid w:val="007E0F32"/>
    <w:rsid w:val="007E21BC"/>
    <w:rsid w:val="007E25DA"/>
    <w:rsid w:val="007E2897"/>
    <w:rsid w:val="007E2DF4"/>
    <w:rsid w:val="007E3C51"/>
    <w:rsid w:val="007E4B42"/>
    <w:rsid w:val="007E54BA"/>
    <w:rsid w:val="007E569F"/>
    <w:rsid w:val="007E60AC"/>
    <w:rsid w:val="007E633B"/>
    <w:rsid w:val="007E7CAA"/>
    <w:rsid w:val="007E7E68"/>
    <w:rsid w:val="007F00CE"/>
    <w:rsid w:val="007F0662"/>
    <w:rsid w:val="007F0865"/>
    <w:rsid w:val="007F09D5"/>
    <w:rsid w:val="007F1917"/>
    <w:rsid w:val="007F27E7"/>
    <w:rsid w:val="007F3C0C"/>
    <w:rsid w:val="007F4350"/>
    <w:rsid w:val="007F47D4"/>
    <w:rsid w:val="007F47FF"/>
    <w:rsid w:val="007F49CF"/>
    <w:rsid w:val="007F4C04"/>
    <w:rsid w:val="007F4C4B"/>
    <w:rsid w:val="007F506D"/>
    <w:rsid w:val="007F5462"/>
    <w:rsid w:val="007F7C67"/>
    <w:rsid w:val="007F7D47"/>
    <w:rsid w:val="007F7E9A"/>
    <w:rsid w:val="0080007A"/>
    <w:rsid w:val="008009FC"/>
    <w:rsid w:val="00800EB8"/>
    <w:rsid w:val="00801A6D"/>
    <w:rsid w:val="00801D72"/>
    <w:rsid w:val="0080265F"/>
    <w:rsid w:val="00802737"/>
    <w:rsid w:val="00802BA7"/>
    <w:rsid w:val="00803F1C"/>
    <w:rsid w:val="00804CB3"/>
    <w:rsid w:val="00804D06"/>
    <w:rsid w:val="0080566C"/>
    <w:rsid w:val="0080600E"/>
    <w:rsid w:val="0081034F"/>
    <w:rsid w:val="00810B71"/>
    <w:rsid w:val="00811C42"/>
    <w:rsid w:val="008121E3"/>
    <w:rsid w:val="00812DE3"/>
    <w:rsid w:val="00812E40"/>
    <w:rsid w:val="00813829"/>
    <w:rsid w:val="00813DA5"/>
    <w:rsid w:val="0081409A"/>
    <w:rsid w:val="00814780"/>
    <w:rsid w:val="00815021"/>
    <w:rsid w:val="0081503C"/>
    <w:rsid w:val="008157C8"/>
    <w:rsid w:val="008168DA"/>
    <w:rsid w:val="00816EF6"/>
    <w:rsid w:val="00817612"/>
    <w:rsid w:val="00817D0E"/>
    <w:rsid w:val="008203FD"/>
    <w:rsid w:val="0082061E"/>
    <w:rsid w:val="0082092E"/>
    <w:rsid w:val="008217E6"/>
    <w:rsid w:val="0082222D"/>
    <w:rsid w:val="0082240F"/>
    <w:rsid w:val="00822FC8"/>
    <w:rsid w:val="00823435"/>
    <w:rsid w:val="00823B76"/>
    <w:rsid w:val="00823EE7"/>
    <w:rsid w:val="008258CF"/>
    <w:rsid w:val="00826270"/>
    <w:rsid w:val="008266A7"/>
    <w:rsid w:val="00827740"/>
    <w:rsid w:val="008314E9"/>
    <w:rsid w:val="0083241C"/>
    <w:rsid w:val="00832542"/>
    <w:rsid w:val="00832B6C"/>
    <w:rsid w:val="008338A4"/>
    <w:rsid w:val="00833D7F"/>
    <w:rsid w:val="00834F92"/>
    <w:rsid w:val="00835179"/>
    <w:rsid w:val="0083596A"/>
    <w:rsid w:val="00836701"/>
    <w:rsid w:val="00836990"/>
    <w:rsid w:val="00836BC4"/>
    <w:rsid w:val="008377C2"/>
    <w:rsid w:val="00837C45"/>
    <w:rsid w:val="0084151E"/>
    <w:rsid w:val="008418D4"/>
    <w:rsid w:val="00841FC4"/>
    <w:rsid w:val="008420CB"/>
    <w:rsid w:val="008424DC"/>
    <w:rsid w:val="00842F59"/>
    <w:rsid w:val="008431DD"/>
    <w:rsid w:val="00843828"/>
    <w:rsid w:val="008441AE"/>
    <w:rsid w:val="00844730"/>
    <w:rsid w:val="00844D71"/>
    <w:rsid w:val="008457C2"/>
    <w:rsid w:val="00846817"/>
    <w:rsid w:val="008472EF"/>
    <w:rsid w:val="00847567"/>
    <w:rsid w:val="008522AE"/>
    <w:rsid w:val="008527CE"/>
    <w:rsid w:val="00852F35"/>
    <w:rsid w:val="008535ED"/>
    <w:rsid w:val="00853BA6"/>
    <w:rsid w:val="008544BA"/>
    <w:rsid w:val="00855D67"/>
    <w:rsid w:val="00855FB3"/>
    <w:rsid w:val="00856F53"/>
    <w:rsid w:val="00857A82"/>
    <w:rsid w:val="0086009F"/>
    <w:rsid w:val="008602A4"/>
    <w:rsid w:val="00860DA5"/>
    <w:rsid w:val="00861335"/>
    <w:rsid w:val="0086193A"/>
    <w:rsid w:val="0086210D"/>
    <w:rsid w:val="008628C4"/>
    <w:rsid w:val="0086325C"/>
    <w:rsid w:val="00863B7A"/>
    <w:rsid w:val="00863C25"/>
    <w:rsid w:val="0086409C"/>
    <w:rsid w:val="008650EF"/>
    <w:rsid w:val="00865DB0"/>
    <w:rsid w:val="0086782C"/>
    <w:rsid w:val="00867BAA"/>
    <w:rsid w:val="00867FF3"/>
    <w:rsid w:val="00870367"/>
    <w:rsid w:val="00870396"/>
    <w:rsid w:val="00870AC0"/>
    <w:rsid w:val="008732A9"/>
    <w:rsid w:val="00873836"/>
    <w:rsid w:val="00873D5B"/>
    <w:rsid w:val="00874F3D"/>
    <w:rsid w:val="00876BDC"/>
    <w:rsid w:val="00876E67"/>
    <w:rsid w:val="00876EDD"/>
    <w:rsid w:val="0087731F"/>
    <w:rsid w:val="008773E8"/>
    <w:rsid w:val="00880711"/>
    <w:rsid w:val="00880B87"/>
    <w:rsid w:val="00882810"/>
    <w:rsid w:val="0088295E"/>
    <w:rsid w:val="008829A7"/>
    <w:rsid w:val="00882E2D"/>
    <w:rsid w:val="008834C6"/>
    <w:rsid w:val="008841FF"/>
    <w:rsid w:val="00885737"/>
    <w:rsid w:val="00885AF8"/>
    <w:rsid w:val="00885BEA"/>
    <w:rsid w:val="0088736B"/>
    <w:rsid w:val="00887794"/>
    <w:rsid w:val="00887DD6"/>
    <w:rsid w:val="00890251"/>
    <w:rsid w:val="00890650"/>
    <w:rsid w:val="00891A3E"/>
    <w:rsid w:val="00892177"/>
    <w:rsid w:val="00892425"/>
    <w:rsid w:val="0089294B"/>
    <w:rsid w:val="008930E9"/>
    <w:rsid w:val="00893549"/>
    <w:rsid w:val="00893D13"/>
    <w:rsid w:val="008947E9"/>
    <w:rsid w:val="0089530A"/>
    <w:rsid w:val="008957C5"/>
    <w:rsid w:val="008965F1"/>
    <w:rsid w:val="00897278"/>
    <w:rsid w:val="008972C0"/>
    <w:rsid w:val="00897828"/>
    <w:rsid w:val="00897A2E"/>
    <w:rsid w:val="00897E12"/>
    <w:rsid w:val="00897E87"/>
    <w:rsid w:val="008A078F"/>
    <w:rsid w:val="008A0EC2"/>
    <w:rsid w:val="008A10C4"/>
    <w:rsid w:val="008A1306"/>
    <w:rsid w:val="008A1CD4"/>
    <w:rsid w:val="008A3104"/>
    <w:rsid w:val="008A31BB"/>
    <w:rsid w:val="008A3D0C"/>
    <w:rsid w:val="008A3D39"/>
    <w:rsid w:val="008A4382"/>
    <w:rsid w:val="008A51EA"/>
    <w:rsid w:val="008A56D2"/>
    <w:rsid w:val="008A5B58"/>
    <w:rsid w:val="008A6CDC"/>
    <w:rsid w:val="008A72C3"/>
    <w:rsid w:val="008A7AAC"/>
    <w:rsid w:val="008A7E0F"/>
    <w:rsid w:val="008A7E34"/>
    <w:rsid w:val="008B0B04"/>
    <w:rsid w:val="008B12F5"/>
    <w:rsid w:val="008B16B8"/>
    <w:rsid w:val="008B196F"/>
    <w:rsid w:val="008B1D65"/>
    <w:rsid w:val="008B2D2F"/>
    <w:rsid w:val="008B2FD8"/>
    <w:rsid w:val="008B33D9"/>
    <w:rsid w:val="008B342C"/>
    <w:rsid w:val="008B40CC"/>
    <w:rsid w:val="008B5651"/>
    <w:rsid w:val="008B58DE"/>
    <w:rsid w:val="008B5DF0"/>
    <w:rsid w:val="008B5EEA"/>
    <w:rsid w:val="008B69CD"/>
    <w:rsid w:val="008B75D1"/>
    <w:rsid w:val="008C0652"/>
    <w:rsid w:val="008C08EB"/>
    <w:rsid w:val="008C1A0C"/>
    <w:rsid w:val="008C1B30"/>
    <w:rsid w:val="008C1B90"/>
    <w:rsid w:val="008C2181"/>
    <w:rsid w:val="008C21B2"/>
    <w:rsid w:val="008C2F9A"/>
    <w:rsid w:val="008C3098"/>
    <w:rsid w:val="008C3A39"/>
    <w:rsid w:val="008C509A"/>
    <w:rsid w:val="008C52D9"/>
    <w:rsid w:val="008C5839"/>
    <w:rsid w:val="008C62A0"/>
    <w:rsid w:val="008C7395"/>
    <w:rsid w:val="008C7AD7"/>
    <w:rsid w:val="008D042E"/>
    <w:rsid w:val="008D0B3F"/>
    <w:rsid w:val="008D1E55"/>
    <w:rsid w:val="008D28A3"/>
    <w:rsid w:val="008D3293"/>
    <w:rsid w:val="008D36CE"/>
    <w:rsid w:val="008D5A46"/>
    <w:rsid w:val="008D7376"/>
    <w:rsid w:val="008D768D"/>
    <w:rsid w:val="008D7F4A"/>
    <w:rsid w:val="008E01A0"/>
    <w:rsid w:val="008E028C"/>
    <w:rsid w:val="008E178D"/>
    <w:rsid w:val="008E1C87"/>
    <w:rsid w:val="008E1D25"/>
    <w:rsid w:val="008E2730"/>
    <w:rsid w:val="008E2BA4"/>
    <w:rsid w:val="008E31C0"/>
    <w:rsid w:val="008E3405"/>
    <w:rsid w:val="008E3759"/>
    <w:rsid w:val="008E3C7D"/>
    <w:rsid w:val="008E3D5D"/>
    <w:rsid w:val="008E47F1"/>
    <w:rsid w:val="008E60BD"/>
    <w:rsid w:val="008F0300"/>
    <w:rsid w:val="008F0AD3"/>
    <w:rsid w:val="008F10D4"/>
    <w:rsid w:val="008F1107"/>
    <w:rsid w:val="008F168C"/>
    <w:rsid w:val="008F1912"/>
    <w:rsid w:val="008F1B28"/>
    <w:rsid w:val="008F1E36"/>
    <w:rsid w:val="008F26AD"/>
    <w:rsid w:val="008F4366"/>
    <w:rsid w:val="008F47B6"/>
    <w:rsid w:val="008F5244"/>
    <w:rsid w:val="008F604B"/>
    <w:rsid w:val="008F7958"/>
    <w:rsid w:val="009014A4"/>
    <w:rsid w:val="00901523"/>
    <w:rsid w:val="00901A7D"/>
    <w:rsid w:val="00902232"/>
    <w:rsid w:val="009023E2"/>
    <w:rsid w:val="0090255D"/>
    <w:rsid w:val="0090270B"/>
    <w:rsid w:val="00902F09"/>
    <w:rsid w:val="00902F14"/>
    <w:rsid w:val="00902F8A"/>
    <w:rsid w:val="00903965"/>
    <w:rsid w:val="00903B18"/>
    <w:rsid w:val="009041DC"/>
    <w:rsid w:val="00904DF1"/>
    <w:rsid w:val="00905F25"/>
    <w:rsid w:val="00905F27"/>
    <w:rsid w:val="009061AB"/>
    <w:rsid w:val="00906201"/>
    <w:rsid w:val="00906C51"/>
    <w:rsid w:val="00906F3F"/>
    <w:rsid w:val="00906FFF"/>
    <w:rsid w:val="00907304"/>
    <w:rsid w:val="00910158"/>
    <w:rsid w:val="00910536"/>
    <w:rsid w:val="00910791"/>
    <w:rsid w:val="009109E0"/>
    <w:rsid w:val="00910B62"/>
    <w:rsid w:val="00911E35"/>
    <w:rsid w:val="009120C4"/>
    <w:rsid w:val="009129BA"/>
    <w:rsid w:val="00912EF3"/>
    <w:rsid w:val="00912FD9"/>
    <w:rsid w:val="009136DA"/>
    <w:rsid w:val="009139BE"/>
    <w:rsid w:val="00913AEE"/>
    <w:rsid w:val="00913DF6"/>
    <w:rsid w:val="00913EF8"/>
    <w:rsid w:val="00913FC7"/>
    <w:rsid w:val="00914470"/>
    <w:rsid w:val="009144A8"/>
    <w:rsid w:val="0091495D"/>
    <w:rsid w:val="00914999"/>
    <w:rsid w:val="00914E59"/>
    <w:rsid w:val="00915021"/>
    <w:rsid w:val="00915492"/>
    <w:rsid w:val="009156CA"/>
    <w:rsid w:val="00916026"/>
    <w:rsid w:val="00916219"/>
    <w:rsid w:val="00916A17"/>
    <w:rsid w:val="009173C2"/>
    <w:rsid w:val="009173EC"/>
    <w:rsid w:val="00917B5A"/>
    <w:rsid w:val="009201A3"/>
    <w:rsid w:val="0092036B"/>
    <w:rsid w:val="009204F0"/>
    <w:rsid w:val="00920A58"/>
    <w:rsid w:val="00920A8C"/>
    <w:rsid w:val="00920FBC"/>
    <w:rsid w:val="0092111F"/>
    <w:rsid w:val="00921438"/>
    <w:rsid w:val="009225A6"/>
    <w:rsid w:val="00922F8C"/>
    <w:rsid w:val="00923303"/>
    <w:rsid w:val="009236E1"/>
    <w:rsid w:val="00923FE3"/>
    <w:rsid w:val="0092405D"/>
    <w:rsid w:val="00924754"/>
    <w:rsid w:val="009253DD"/>
    <w:rsid w:val="00925485"/>
    <w:rsid w:val="009259EE"/>
    <w:rsid w:val="00925B63"/>
    <w:rsid w:val="00925B6E"/>
    <w:rsid w:val="0092618D"/>
    <w:rsid w:val="00926DB7"/>
    <w:rsid w:val="009273CC"/>
    <w:rsid w:val="009275FE"/>
    <w:rsid w:val="009278BB"/>
    <w:rsid w:val="009300B8"/>
    <w:rsid w:val="009301E5"/>
    <w:rsid w:val="009304FE"/>
    <w:rsid w:val="00930C29"/>
    <w:rsid w:val="00931B5D"/>
    <w:rsid w:val="00931F04"/>
    <w:rsid w:val="00931F67"/>
    <w:rsid w:val="00934326"/>
    <w:rsid w:val="00934A2C"/>
    <w:rsid w:val="00937AA4"/>
    <w:rsid w:val="00937F5A"/>
    <w:rsid w:val="009400C6"/>
    <w:rsid w:val="009401AD"/>
    <w:rsid w:val="009416F9"/>
    <w:rsid w:val="00941C6B"/>
    <w:rsid w:val="00942A9F"/>
    <w:rsid w:val="009430F8"/>
    <w:rsid w:val="0094347B"/>
    <w:rsid w:val="00943571"/>
    <w:rsid w:val="009436B7"/>
    <w:rsid w:val="00943A55"/>
    <w:rsid w:val="00944256"/>
    <w:rsid w:val="009447FF"/>
    <w:rsid w:val="00944A56"/>
    <w:rsid w:val="00944C21"/>
    <w:rsid w:val="00945291"/>
    <w:rsid w:val="0094547B"/>
    <w:rsid w:val="00945C50"/>
    <w:rsid w:val="00945E85"/>
    <w:rsid w:val="0094650D"/>
    <w:rsid w:val="00946C41"/>
    <w:rsid w:val="00947173"/>
    <w:rsid w:val="00947867"/>
    <w:rsid w:val="00947E8D"/>
    <w:rsid w:val="009501A1"/>
    <w:rsid w:val="0095080B"/>
    <w:rsid w:val="00950F13"/>
    <w:rsid w:val="0095160D"/>
    <w:rsid w:val="00951CBC"/>
    <w:rsid w:val="0095334A"/>
    <w:rsid w:val="00953AC3"/>
    <w:rsid w:val="00953FBD"/>
    <w:rsid w:val="00954F2E"/>
    <w:rsid w:val="00955BCB"/>
    <w:rsid w:val="00955FF8"/>
    <w:rsid w:val="00956C25"/>
    <w:rsid w:val="00956CA7"/>
    <w:rsid w:val="009609E8"/>
    <w:rsid w:val="00961F59"/>
    <w:rsid w:val="00962542"/>
    <w:rsid w:val="009626F4"/>
    <w:rsid w:val="009630E4"/>
    <w:rsid w:val="009634DA"/>
    <w:rsid w:val="00963AC4"/>
    <w:rsid w:val="00963FE7"/>
    <w:rsid w:val="009640B2"/>
    <w:rsid w:val="00964FE0"/>
    <w:rsid w:val="00965233"/>
    <w:rsid w:val="00965281"/>
    <w:rsid w:val="00965662"/>
    <w:rsid w:val="00965821"/>
    <w:rsid w:val="00965EBC"/>
    <w:rsid w:val="009660BB"/>
    <w:rsid w:val="009668C8"/>
    <w:rsid w:val="00966C21"/>
    <w:rsid w:val="0096706E"/>
    <w:rsid w:val="009703DA"/>
    <w:rsid w:val="0097097C"/>
    <w:rsid w:val="00970E4B"/>
    <w:rsid w:val="00971642"/>
    <w:rsid w:val="00971BF0"/>
    <w:rsid w:val="0097374A"/>
    <w:rsid w:val="00975C4E"/>
    <w:rsid w:val="00975D71"/>
    <w:rsid w:val="009762AD"/>
    <w:rsid w:val="0097638C"/>
    <w:rsid w:val="009767B3"/>
    <w:rsid w:val="00976EA7"/>
    <w:rsid w:val="0097707A"/>
    <w:rsid w:val="0097716C"/>
    <w:rsid w:val="009775F0"/>
    <w:rsid w:val="009775F1"/>
    <w:rsid w:val="00977C7F"/>
    <w:rsid w:val="00977C9F"/>
    <w:rsid w:val="0098148C"/>
    <w:rsid w:val="00981A46"/>
    <w:rsid w:val="00981F35"/>
    <w:rsid w:val="00981FBA"/>
    <w:rsid w:val="009828BA"/>
    <w:rsid w:val="00982A24"/>
    <w:rsid w:val="0098327F"/>
    <w:rsid w:val="00983717"/>
    <w:rsid w:val="00983801"/>
    <w:rsid w:val="00983B3F"/>
    <w:rsid w:val="00983E9B"/>
    <w:rsid w:val="00985652"/>
    <w:rsid w:val="00986F24"/>
    <w:rsid w:val="00987EE6"/>
    <w:rsid w:val="00990499"/>
    <w:rsid w:val="00990634"/>
    <w:rsid w:val="00990770"/>
    <w:rsid w:val="009921E7"/>
    <w:rsid w:val="00994152"/>
    <w:rsid w:val="009943C6"/>
    <w:rsid w:val="00994B26"/>
    <w:rsid w:val="00995743"/>
    <w:rsid w:val="00995B40"/>
    <w:rsid w:val="00997043"/>
    <w:rsid w:val="00997288"/>
    <w:rsid w:val="00997B99"/>
    <w:rsid w:val="00997BC5"/>
    <w:rsid w:val="009A0BE3"/>
    <w:rsid w:val="009A0EF6"/>
    <w:rsid w:val="009A1745"/>
    <w:rsid w:val="009A2F2B"/>
    <w:rsid w:val="009A4519"/>
    <w:rsid w:val="009A47F5"/>
    <w:rsid w:val="009A4B9D"/>
    <w:rsid w:val="009A4F41"/>
    <w:rsid w:val="009A61D3"/>
    <w:rsid w:val="009A6985"/>
    <w:rsid w:val="009A6D4A"/>
    <w:rsid w:val="009A76E1"/>
    <w:rsid w:val="009B0008"/>
    <w:rsid w:val="009B0281"/>
    <w:rsid w:val="009B0356"/>
    <w:rsid w:val="009B0AB7"/>
    <w:rsid w:val="009B17F0"/>
    <w:rsid w:val="009B1B81"/>
    <w:rsid w:val="009B1CC4"/>
    <w:rsid w:val="009B221F"/>
    <w:rsid w:val="009B3248"/>
    <w:rsid w:val="009B381B"/>
    <w:rsid w:val="009B4568"/>
    <w:rsid w:val="009B5116"/>
    <w:rsid w:val="009B5A95"/>
    <w:rsid w:val="009B6A2A"/>
    <w:rsid w:val="009B7BE3"/>
    <w:rsid w:val="009C05D1"/>
    <w:rsid w:val="009C0DB4"/>
    <w:rsid w:val="009C0ED2"/>
    <w:rsid w:val="009C104D"/>
    <w:rsid w:val="009C1D09"/>
    <w:rsid w:val="009C2B92"/>
    <w:rsid w:val="009C38A6"/>
    <w:rsid w:val="009C4A37"/>
    <w:rsid w:val="009C4C7B"/>
    <w:rsid w:val="009C4EAA"/>
    <w:rsid w:val="009C523B"/>
    <w:rsid w:val="009C6B20"/>
    <w:rsid w:val="009C7B30"/>
    <w:rsid w:val="009C7E4D"/>
    <w:rsid w:val="009C7EFD"/>
    <w:rsid w:val="009D04F0"/>
    <w:rsid w:val="009D0824"/>
    <w:rsid w:val="009D0C7F"/>
    <w:rsid w:val="009D0EAB"/>
    <w:rsid w:val="009D0ECC"/>
    <w:rsid w:val="009D1301"/>
    <w:rsid w:val="009D144E"/>
    <w:rsid w:val="009D1526"/>
    <w:rsid w:val="009D1753"/>
    <w:rsid w:val="009D198D"/>
    <w:rsid w:val="009D1CEC"/>
    <w:rsid w:val="009D2B07"/>
    <w:rsid w:val="009D3218"/>
    <w:rsid w:val="009D3A52"/>
    <w:rsid w:val="009D3B53"/>
    <w:rsid w:val="009D3D23"/>
    <w:rsid w:val="009D3D7E"/>
    <w:rsid w:val="009D498F"/>
    <w:rsid w:val="009D578C"/>
    <w:rsid w:val="009D5B90"/>
    <w:rsid w:val="009D6044"/>
    <w:rsid w:val="009D7566"/>
    <w:rsid w:val="009D7611"/>
    <w:rsid w:val="009D78E1"/>
    <w:rsid w:val="009E020A"/>
    <w:rsid w:val="009E032B"/>
    <w:rsid w:val="009E0B61"/>
    <w:rsid w:val="009E231F"/>
    <w:rsid w:val="009E2334"/>
    <w:rsid w:val="009E3D88"/>
    <w:rsid w:val="009E49ED"/>
    <w:rsid w:val="009E53CA"/>
    <w:rsid w:val="009E53DE"/>
    <w:rsid w:val="009E5839"/>
    <w:rsid w:val="009E58E6"/>
    <w:rsid w:val="009E5E4F"/>
    <w:rsid w:val="009E6454"/>
    <w:rsid w:val="009E6866"/>
    <w:rsid w:val="009E6C64"/>
    <w:rsid w:val="009E7FCF"/>
    <w:rsid w:val="009F0A14"/>
    <w:rsid w:val="009F0E49"/>
    <w:rsid w:val="009F1458"/>
    <w:rsid w:val="009F2A56"/>
    <w:rsid w:val="009F40BB"/>
    <w:rsid w:val="009F40E1"/>
    <w:rsid w:val="009F5AAC"/>
    <w:rsid w:val="009F719C"/>
    <w:rsid w:val="009F7792"/>
    <w:rsid w:val="00A001CC"/>
    <w:rsid w:val="00A00E25"/>
    <w:rsid w:val="00A01033"/>
    <w:rsid w:val="00A01051"/>
    <w:rsid w:val="00A012AA"/>
    <w:rsid w:val="00A012ED"/>
    <w:rsid w:val="00A01348"/>
    <w:rsid w:val="00A01365"/>
    <w:rsid w:val="00A01566"/>
    <w:rsid w:val="00A01841"/>
    <w:rsid w:val="00A01B59"/>
    <w:rsid w:val="00A01EE3"/>
    <w:rsid w:val="00A03A30"/>
    <w:rsid w:val="00A04831"/>
    <w:rsid w:val="00A04E95"/>
    <w:rsid w:val="00A0539A"/>
    <w:rsid w:val="00A0573A"/>
    <w:rsid w:val="00A06D70"/>
    <w:rsid w:val="00A06E2E"/>
    <w:rsid w:val="00A07A03"/>
    <w:rsid w:val="00A07FF9"/>
    <w:rsid w:val="00A104D0"/>
    <w:rsid w:val="00A10F75"/>
    <w:rsid w:val="00A1129B"/>
    <w:rsid w:val="00A11833"/>
    <w:rsid w:val="00A11D32"/>
    <w:rsid w:val="00A11EE1"/>
    <w:rsid w:val="00A126F3"/>
    <w:rsid w:val="00A12A9C"/>
    <w:rsid w:val="00A12ABE"/>
    <w:rsid w:val="00A12E83"/>
    <w:rsid w:val="00A13286"/>
    <w:rsid w:val="00A13427"/>
    <w:rsid w:val="00A13B44"/>
    <w:rsid w:val="00A146BD"/>
    <w:rsid w:val="00A153A3"/>
    <w:rsid w:val="00A15739"/>
    <w:rsid w:val="00A159A5"/>
    <w:rsid w:val="00A17613"/>
    <w:rsid w:val="00A20391"/>
    <w:rsid w:val="00A2138E"/>
    <w:rsid w:val="00A2201B"/>
    <w:rsid w:val="00A22557"/>
    <w:rsid w:val="00A22584"/>
    <w:rsid w:val="00A2324D"/>
    <w:rsid w:val="00A2481B"/>
    <w:rsid w:val="00A24BA4"/>
    <w:rsid w:val="00A2514F"/>
    <w:rsid w:val="00A253E8"/>
    <w:rsid w:val="00A25677"/>
    <w:rsid w:val="00A2598E"/>
    <w:rsid w:val="00A25D79"/>
    <w:rsid w:val="00A26197"/>
    <w:rsid w:val="00A273A0"/>
    <w:rsid w:val="00A2754C"/>
    <w:rsid w:val="00A278DA"/>
    <w:rsid w:val="00A27EF1"/>
    <w:rsid w:val="00A30333"/>
    <w:rsid w:val="00A30F79"/>
    <w:rsid w:val="00A315AD"/>
    <w:rsid w:val="00A316EC"/>
    <w:rsid w:val="00A328B3"/>
    <w:rsid w:val="00A32A29"/>
    <w:rsid w:val="00A32EA9"/>
    <w:rsid w:val="00A33194"/>
    <w:rsid w:val="00A3321B"/>
    <w:rsid w:val="00A3375E"/>
    <w:rsid w:val="00A3378A"/>
    <w:rsid w:val="00A33B1E"/>
    <w:rsid w:val="00A343D5"/>
    <w:rsid w:val="00A34716"/>
    <w:rsid w:val="00A349A0"/>
    <w:rsid w:val="00A34D0A"/>
    <w:rsid w:val="00A358BA"/>
    <w:rsid w:val="00A36E36"/>
    <w:rsid w:val="00A37046"/>
    <w:rsid w:val="00A37DFA"/>
    <w:rsid w:val="00A37E3F"/>
    <w:rsid w:val="00A4036D"/>
    <w:rsid w:val="00A40376"/>
    <w:rsid w:val="00A404F4"/>
    <w:rsid w:val="00A4058C"/>
    <w:rsid w:val="00A40D9D"/>
    <w:rsid w:val="00A40E24"/>
    <w:rsid w:val="00A412F1"/>
    <w:rsid w:val="00A41EA7"/>
    <w:rsid w:val="00A42011"/>
    <w:rsid w:val="00A432CD"/>
    <w:rsid w:val="00A436ED"/>
    <w:rsid w:val="00A43A5B"/>
    <w:rsid w:val="00A43DEC"/>
    <w:rsid w:val="00A44559"/>
    <w:rsid w:val="00A44933"/>
    <w:rsid w:val="00A450AE"/>
    <w:rsid w:val="00A46F99"/>
    <w:rsid w:val="00A50010"/>
    <w:rsid w:val="00A50341"/>
    <w:rsid w:val="00A50FCF"/>
    <w:rsid w:val="00A528D1"/>
    <w:rsid w:val="00A52EF7"/>
    <w:rsid w:val="00A53EA9"/>
    <w:rsid w:val="00A54711"/>
    <w:rsid w:val="00A54C9D"/>
    <w:rsid w:val="00A55482"/>
    <w:rsid w:val="00A555DC"/>
    <w:rsid w:val="00A559B5"/>
    <w:rsid w:val="00A55DD5"/>
    <w:rsid w:val="00A56305"/>
    <w:rsid w:val="00A567F2"/>
    <w:rsid w:val="00A56EE3"/>
    <w:rsid w:val="00A5727B"/>
    <w:rsid w:val="00A5753E"/>
    <w:rsid w:val="00A57E03"/>
    <w:rsid w:val="00A60D2B"/>
    <w:rsid w:val="00A60F65"/>
    <w:rsid w:val="00A610CD"/>
    <w:rsid w:val="00A61518"/>
    <w:rsid w:val="00A61610"/>
    <w:rsid w:val="00A61C95"/>
    <w:rsid w:val="00A628DC"/>
    <w:rsid w:val="00A62999"/>
    <w:rsid w:val="00A62F5D"/>
    <w:rsid w:val="00A634C4"/>
    <w:rsid w:val="00A63C10"/>
    <w:rsid w:val="00A64053"/>
    <w:rsid w:val="00A64475"/>
    <w:rsid w:val="00A645D2"/>
    <w:rsid w:val="00A6487A"/>
    <w:rsid w:val="00A65014"/>
    <w:rsid w:val="00A65860"/>
    <w:rsid w:val="00A660B7"/>
    <w:rsid w:val="00A66C30"/>
    <w:rsid w:val="00A674A4"/>
    <w:rsid w:val="00A67E81"/>
    <w:rsid w:val="00A7025D"/>
    <w:rsid w:val="00A709DF"/>
    <w:rsid w:val="00A717D5"/>
    <w:rsid w:val="00A71AD9"/>
    <w:rsid w:val="00A72373"/>
    <w:rsid w:val="00A723F7"/>
    <w:rsid w:val="00A72E41"/>
    <w:rsid w:val="00A730F4"/>
    <w:rsid w:val="00A73605"/>
    <w:rsid w:val="00A73B7A"/>
    <w:rsid w:val="00A742A0"/>
    <w:rsid w:val="00A752D2"/>
    <w:rsid w:val="00A75344"/>
    <w:rsid w:val="00A754E1"/>
    <w:rsid w:val="00A756D5"/>
    <w:rsid w:val="00A75E63"/>
    <w:rsid w:val="00A76E1D"/>
    <w:rsid w:val="00A77A60"/>
    <w:rsid w:val="00A77DC3"/>
    <w:rsid w:val="00A80044"/>
    <w:rsid w:val="00A80089"/>
    <w:rsid w:val="00A8023E"/>
    <w:rsid w:val="00A804FC"/>
    <w:rsid w:val="00A80A31"/>
    <w:rsid w:val="00A80DE2"/>
    <w:rsid w:val="00A814FA"/>
    <w:rsid w:val="00A81EB4"/>
    <w:rsid w:val="00A82266"/>
    <w:rsid w:val="00A8230F"/>
    <w:rsid w:val="00A824BC"/>
    <w:rsid w:val="00A829D1"/>
    <w:rsid w:val="00A82A4B"/>
    <w:rsid w:val="00A839C6"/>
    <w:rsid w:val="00A845E8"/>
    <w:rsid w:val="00A84887"/>
    <w:rsid w:val="00A84E2D"/>
    <w:rsid w:val="00A85044"/>
    <w:rsid w:val="00A85A16"/>
    <w:rsid w:val="00A85BF8"/>
    <w:rsid w:val="00A860F3"/>
    <w:rsid w:val="00A86A2C"/>
    <w:rsid w:val="00A876AB"/>
    <w:rsid w:val="00A9053C"/>
    <w:rsid w:val="00A90D06"/>
    <w:rsid w:val="00A9111D"/>
    <w:rsid w:val="00A9125B"/>
    <w:rsid w:val="00A920E2"/>
    <w:rsid w:val="00A92166"/>
    <w:rsid w:val="00A92386"/>
    <w:rsid w:val="00A92652"/>
    <w:rsid w:val="00A92BB7"/>
    <w:rsid w:val="00A95267"/>
    <w:rsid w:val="00A95464"/>
    <w:rsid w:val="00A95B35"/>
    <w:rsid w:val="00A9622E"/>
    <w:rsid w:val="00A97C49"/>
    <w:rsid w:val="00AA09A2"/>
    <w:rsid w:val="00AA0A01"/>
    <w:rsid w:val="00AA1722"/>
    <w:rsid w:val="00AA1776"/>
    <w:rsid w:val="00AA1C32"/>
    <w:rsid w:val="00AA2512"/>
    <w:rsid w:val="00AA253C"/>
    <w:rsid w:val="00AA49C3"/>
    <w:rsid w:val="00AA4A60"/>
    <w:rsid w:val="00AA4FB6"/>
    <w:rsid w:val="00AA4FDA"/>
    <w:rsid w:val="00AA555B"/>
    <w:rsid w:val="00AA5DBF"/>
    <w:rsid w:val="00AA5F11"/>
    <w:rsid w:val="00AA6BF2"/>
    <w:rsid w:val="00AA7996"/>
    <w:rsid w:val="00AB0772"/>
    <w:rsid w:val="00AB0A79"/>
    <w:rsid w:val="00AB0FD6"/>
    <w:rsid w:val="00AB133C"/>
    <w:rsid w:val="00AB14A2"/>
    <w:rsid w:val="00AB191E"/>
    <w:rsid w:val="00AB2BC0"/>
    <w:rsid w:val="00AB3086"/>
    <w:rsid w:val="00AB398F"/>
    <w:rsid w:val="00AB3B03"/>
    <w:rsid w:val="00AB4D88"/>
    <w:rsid w:val="00AB538D"/>
    <w:rsid w:val="00AB575D"/>
    <w:rsid w:val="00AB602F"/>
    <w:rsid w:val="00AB6343"/>
    <w:rsid w:val="00AB6DB9"/>
    <w:rsid w:val="00AB7EC8"/>
    <w:rsid w:val="00AC0822"/>
    <w:rsid w:val="00AC135E"/>
    <w:rsid w:val="00AC1913"/>
    <w:rsid w:val="00AC19CB"/>
    <w:rsid w:val="00AC1E95"/>
    <w:rsid w:val="00AC23CA"/>
    <w:rsid w:val="00AC243D"/>
    <w:rsid w:val="00AC2442"/>
    <w:rsid w:val="00AC2F0B"/>
    <w:rsid w:val="00AC2FB0"/>
    <w:rsid w:val="00AC395F"/>
    <w:rsid w:val="00AC3D6D"/>
    <w:rsid w:val="00AC4618"/>
    <w:rsid w:val="00AC479E"/>
    <w:rsid w:val="00AC5013"/>
    <w:rsid w:val="00AC5233"/>
    <w:rsid w:val="00AC555E"/>
    <w:rsid w:val="00AC55D4"/>
    <w:rsid w:val="00AC56D0"/>
    <w:rsid w:val="00AC5AB3"/>
    <w:rsid w:val="00AC6F3F"/>
    <w:rsid w:val="00AC7195"/>
    <w:rsid w:val="00AD2888"/>
    <w:rsid w:val="00AD345A"/>
    <w:rsid w:val="00AD34CF"/>
    <w:rsid w:val="00AD475A"/>
    <w:rsid w:val="00AD47CE"/>
    <w:rsid w:val="00AD49F5"/>
    <w:rsid w:val="00AD4AD8"/>
    <w:rsid w:val="00AD4EB8"/>
    <w:rsid w:val="00AD5792"/>
    <w:rsid w:val="00AD58B4"/>
    <w:rsid w:val="00AD5AA4"/>
    <w:rsid w:val="00AD79A3"/>
    <w:rsid w:val="00AE076F"/>
    <w:rsid w:val="00AE10A7"/>
    <w:rsid w:val="00AE1A89"/>
    <w:rsid w:val="00AE452E"/>
    <w:rsid w:val="00AE50BD"/>
    <w:rsid w:val="00AE5488"/>
    <w:rsid w:val="00AE6226"/>
    <w:rsid w:val="00AE6384"/>
    <w:rsid w:val="00AE6539"/>
    <w:rsid w:val="00AE6988"/>
    <w:rsid w:val="00AE6D57"/>
    <w:rsid w:val="00AE6F91"/>
    <w:rsid w:val="00AE7D00"/>
    <w:rsid w:val="00AE7DD5"/>
    <w:rsid w:val="00AF0AAC"/>
    <w:rsid w:val="00AF0B67"/>
    <w:rsid w:val="00AF103E"/>
    <w:rsid w:val="00AF2A51"/>
    <w:rsid w:val="00AF3760"/>
    <w:rsid w:val="00AF3910"/>
    <w:rsid w:val="00AF3A46"/>
    <w:rsid w:val="00AF3ABE"/>
    <w:rsid w:val="00AF4A9B"/>
    <w:rsid w:val="00AF51C5"/>
    <w:rsid w:val="00AF5571"/>
    <w:rsid w:val="00AF5685"/>
    <w:rsid w:val="00AF5797"/>
    <w:rsid w:val="00AF59A9"/>
    <w:rsid w:val="00AF69EE"/>
    <w:rsid w:val="00AF7988"/>
    <w:rsid w:val="00B00F6C"/>
    <w:rsid w:val="00B035D9"/>
    <w:rsid w:val="00B0374B"/>
    <w:rsid w:val="00B03A81"/>
    <w:rsid w:val="00B03EDC"/>
    <w:rsid w:val="00B04182"/>
    <w:rsid w:val="00B04286"/>
    <w:rsid w:val="00B04F80"/>
    <w:rsid w:val="00B05032"/>
    <w:rsid w:val="00B06D65"/>
    <w:rsid w:val="00B06D80"/>
    <w:rsid w:val="00B06F14"/>
    <w:rsid w:val="00B07184"/>
    <w:rsid w:val="00B072A6"/>
    <w:rsid w:val="00B07341"/>
    <w:rsid w:val="00B079CE"/>
    <w:rsid w:val="00B079EF"/>
    <w:rsid w:val="00B1222F"/>
    <w:rsid w:val="00B12E2A"/>
    <w:rsid w:val="00B13172"/>
    <w:rsid w:val="00B135F8"/>
    <w:rsid w:val="00B1366A"/>
    <w:rsid w:val="00B13DC1"/>
    <w:rsid w:val="00B1539E"/>
    <w:rsid w:val="00B154DF"/>
    <w:rsid w:val="00B157DE"/>
    <w:rsid w:val="00B15A35"/>
    <w:rsid w:val="00B15EBD"/>
    <w:rsid w:val="00B16CA8"/>
    <w:rsid w:val="00B16E48"/>
    <w:rsid w:val="00B175D2"/>
    <w:rsid w:val="00B208A3"/>
    <w:rsid w:val="00B2160E"/>
    <w:rsid w:val="00B21C28"/>
    <w:rsid w:val="00B22D00"/>
    <w:rsid w:val="00B248E0"/>
    <w:rsid w:val="00B254B1"/>
    <w:rsid w:val="00B256E4"/>
    <w:rsid w:val="00B25A12"/>
    <w:rsid w:val="00B25A95"/>
    <w:rsid w:val="00B26DFE"/>
    <w:rsid w:val="00B27017"/>
    <w:rsid w:val="00B30539"/>
    <w:rsid w:val="00B3093C"/>
    <w:rsid w:val="00B30B88"/>
    <w:rsid w:val="00B314DB"/>
    <w:rsid w:val="00B31785"/>
    <w:rsid w:val="00B321ED"/>
    <w:rsid w:val="00B3255A"/>
    <w:rsid w:val="00B325EA"/>
    <w:rsid w:val="00B32C4D"/>
    <w:rsid w:val="00B33F3C"/>
    <w:rsid w:val="00B34CE7"/>
    <w:rsid w:val="00B355B3"/>
    <w:rsid w:val="00B35867"/>
    <w:rsid w:val="00B361F2"/>
    <w:rsid w:val="00B3718B"/>
    <w:rsid w:val="00B37190"/>
    <w:rsid w:val="00B403E4"/>
    <w:rsid w:val="00B405AB"/>
    <w:rsid w:val="00B40F53"/>
    <w:rsid w:val="00B4244A"/>
    <w:rsid w:val="00B42B49"/>
    <w:rsid w:val="00B43CE9"/>
    <w:rsid w:val="00B446E4"/>
    <w:rsid w:val="00B44C8D"/>
    <w:rsid w:val="00B45447"/>
    <w:rsid w:val="00B4632A"/>
    <w:rsid w:val="00B4680A"/>
    <w:rsid w:val="00B46CCD"/>
    <w:rsid w:val="00B47C0B"/>
    <w:rsid w:val="00B47CA3"/>
    <w:rsid w:val="00B47D8A"/>
    <w:rsid w:val="00B50070"/>
    <w:rsid w:val="00B50944"/>
    <w:rsid w:val="00B5095D"/>
    <w:rsid w:val="00B50D2F"/>
    <w:rsid w:val="00B50DD6"/>
    <w:rsid w:val="00B513B1"/>
    <w:rsid w:val="00B51EF8"/>
    <w:rsid w:val="00B52132"/>
    <w:rsid w:val="00B52CB4"/>
    <w:rsid w:val="00B52FDD"/>
    <w:rsid w:val="00B530F1"/>
    <w:rsid w:val="00B541D2"/>
    <w:rsid w:val="00B544A7"/>
    <w:rsid w:val="00B54946"/>
    <w:rsid w:val="00B54A0C"/>
    <w:rsid w:val="00B558DA"/>
    <w:rsid w:val="00B571F3"/>
    <w:rsid w:val="00B57BD8"/>
    <w:rsid w:val="00B6074E"/>
    <w:rsid w:val="00B60EAB"/>
    <w:rsid w:val="00B6125B"/>
    <w:rsid w:val="00B628B4"/>
    <w:rsid w:val="00B62917"/>
    <w:rsid w:val="00B62BAC"/>
    <w:rsid w:val="00B632D6"/>
    <w:rsid w:val="00B635B0"/>
    <w:rsid w:val="00B637B2"/>
    <w:rsid w:val="00B647CA"/>
    <w:rsid w:val="00B64806"/>
    <w:rsid w:val="00B6519F"/>
    <w:rsid w:val="00B663A1"/>
    <w:rsid w:val="00B66B13"/>
    <w:rsid w:val="00B67999"/>
    <w:rsid w:val="00B67D38"/>
    <w:rsid w:val="00B67D7F"/>
    <w:rsid w:val="00B70121"/>
    <w:rsid w:val="00B70670"/>
    <w:rsid w:val="00B707A5"/>
    <w:rsid w:val="00B7183A"/>
    <w:rsid w:val="00B71A7E"/>
    <w:rsid w:val="00B72FD2"/>
    <w:rsid w:val="00B73983"/>
    <w:rsid w:val="00B74346"/>
    <w:rsid w:val="00B7457A"/>
    <w:rsid w:val="00B748C7"/>
    <w:rsid w:val="00B74FFD"/>
    <w:rsid w:val="00B75864"/>
    <w:rsid w:val="00B7661E"/>
    <w:rsid w:val="00B769FE"/>
    <w:rsid w:val="00B76B88"/>
    <w:rsid w:val="00B76BA7"/>
    <w:rsid w:val="00B76EF0"/>
    <w:rsid w:val="00B7720A"/>
    <w:rsid w:val="00B779BF"/>
    <w:rsid w:val="00B77DF4"/>
    <w:rsid w:val="00B80164"/>
    <w:rsid w:val="00B81A54"/>
    <w:rsid w:val="00B820AC"/>
    <w:rsid w:val="00B82140"/>
    <w:rsid w:val="00B824BD"/>
    <w:rsid w:val="00B8306A"/>
    <w:rsid w:val="00B85DA6"/>
    <w:rsid w:val="00B86D2B"/>
    <w:rsid w:val="00B86D97"/>
    <w:rsid w:val="00B86F47"/>
    <w:rsid w:val="00B87160"/>
    <w:rsid w:val="00B87D02"/>
    <w:rsid w:val="00B904BF"/>
    <w:rsid w:val="00B90A44"/>
    <w:rsid w:val="00B91C61"/>
    <w:rsid w:val="00B92A0F"/>
    <w:rsid w:val="00B92A84"/>
    <w:rsid w:val="00B92F8F"/>
    <w:rsid w:val="00B93423"/>
    <w:rsid w:val="00B935F5"/>
    <w:rsid w:val="00B93FCA"/>
    <w:rsid w:val="00B94939"/>
    <w:rsid w:val="00B94D9C"/>
    <w:rsid w:val="00B95223"/>
    <w:rsid w:val="00B95258"/>
    <w:rsid w:val="00B95379"/>
    <w:rsid w:val="00B95851"/>
    <w:rsid w:val="00B95D8A"/>
    <w:rsid w:val="00B95F4A"/>
    <w:rsid w:val="00B95F9B"/>
    <w:rsid w:val="00B96592"/>
    <w:rsid w:val="00B96D9B"/>
    <w:rsid w:val="00B96E14"/>
    <w:rsid w:val="00BA0712"/>
    <w:rsid w:val="00BA0DA8"/>
    <w:rsid w:val="00BA21BB"/>
    <w:rsid w:val="00BA243C"/>
    <w:rsid w:val="00BA24B6"/>
    <w:rsid w:val="00BA252E"/>
    <w:rsid w:val="00BA276C"/>
    <w:rsid w:val="00BA29BE"/>
    <w:rsid w:val="00BA3580"/>
    <w:rsid w:val="00BA38F7"/>
    <w:rsid w:val="00BA41D7"/>
    <w:rsid w:val="00BA460B"/>
    <w:rsid w:val="00BA461E"/>
    <w:rsid w:val="00BA4758"/>
    <w:rsid w:val="00BA4B3A"/>
    <w:rsid w:val="00BA4D3F"/>
    <w:rsid w:val="00BA4FAB"/>
    <w:rsid w:val="00BA5534"/>
    <w:rsid w:val="00BA7179"/>
    <w:rsid w:val="00BA7CD6"/>
    <w:rsid w:val="00BA7D6C"/>
    <w:rsid w:val="00BA7D92"/>
    <w:rsid w:val="00BA7EE9"/>
    <w:rsid w:val="00BB0AE7"/>
    <w:rsid w:val="00BB1ACF"/>
    <w:rsid w:val="00BB2080"/>
    <w:rsid w:val="00BB20F5"/>
    <w:rsid w:val="00BB2C8E"/>
    <w:rsid w:val="00BB306F"/>
    <w:rsid w:val="00BB38F4"/>
    <w:rsid w:val="00BB47F2"/>
    <w:rsid w:val="00BB4E0F"/>
    <w:rsid w:val="00BB4ECB"/>
    <w:rsid w:val="00BB4FD7"/>
    <w:rsid w:val="00BB4FE6"/>
    <w:rsid w:val="00BB52E7"/>
    <w:rsid w:val="00BB55F3"/>
    <w:rsid w:val="00BB585C"/>
    <w:rsid w:val="00BB59D1"/>
    <w:rsid w:val="00BB5AE5"/>
    <w:rsid w:val="00BB678D"/>
    <w:rsid w:val="00BB6E7A"/>
    <w:rsid w:val="00BB6EAB"/>
    <w:rsid w:val="00BB7623"/>
    <w:rsid w:val="00BC03A4"/>
    <w:rsid w:val="00BC1180"/>
    <w:rsid w:val="00BC1D47"/>
    <w:rsid w:val="00BC2E65"/>
    <w:rsid w:val="00BC2EE7"/>
    <w:rsid w:val="00BC3B85"/>
    <w:rsid w:val="00BC4B9D"/>
    <w:rsid w:val="00BC4BBA"/>
    <w:rsid w:val="00BC553D"/>
    <w:rsid w:val="00BC5623"/>
    <w:rsid w:val="00BC5FAA"/>
    <w:rsid w:val="00BC683A"/>
    <w:rsid w:val="00BC7385"/>
    <w:rsid w:val="00BC7A7E"/>
    <w:rsid w:val="00BC7BB0"/>
    <w:rsid w:val="00BD09E1"/>
    <w:rsid w:val="00BD0ACC"/>
    <w:rsid w:val="00BD11E4"/>
    <w:rsid w:val="00BD2296"/>
    <w:rsid w:val="00BD2628"/>
    <w:rsid w:val="00BD2670"/>
    <w:rsid w:val="00BD2886"/>
    <w:rsid w:val="00BD2C03"/>
    <w:rsid w:val="00BD2D81"/>
    <w:rsid w:val="00BD2E15"/>
    <w:rsid w:val="00BD31B7"/>
    <w:rsid w:val="00BD3548"/>
    <w:rsid w:val="00BD3A8A"/>
    <w:rsid w:val="00BD4597"/>
    <w:rsid w:val="00BD4B89"/>
    <w:rsid w:val="00BD54C8"/>
    <w:rsid w:val="00BD5B46"/>
    <w:rsid w:val="00BD62C3"/>
    <w:rsid w:val="00BD63E9"/>
    <w:rsid w:val="00BD669B"/>
    <w:rsid w:val="00BD6D5E"/>
    <w:rsid w:val="00BD71E0"/>
    <w:rsid w:val="00BD75AF"/>
    <w:rsid w:val="00BD7BB8"/>
    <w:rsid w:val="00BE0550"/>
    <w:rsid w:val="00BE1559"/>
    <w:rsid w:val="00BE2005"/>
    <w:rsid w:val="00BE3075"/>
    <w:rsid w:val="00BE4763"/>
    <w:rsid w:val="00BE4FF6"/>
    <w:rsid w:val="00BE5246"/>
    <w:rsid w:val="00BE5286"/>
    <w:rsid w:val="00BE5393"/>
    <w:rsid w:val="00BE574C"/>
    <w:rsid w:val="00BE650A"/>
    <w:rsid w:val="00BE686F"/>
    <w:rsid w:val="00BF02CB"/>
    <w:rsid w:val="00BF0EA8"/>
    <w:rsid w:val="00BF11D3"/>
    <w:rsid w:val="00BF1664"/>
    <w:rsid w:val="00BF16F0"/>
    <w:rsid w:val="00BF2086"/>
    <w:rsid w:val="00BF2C4D"/>
    <w:rsid w:val="00BF2F39"/>
    <w:rsid w:val="00BF3D47"/>
    <w:rsid w:val="00BF4CEE"/>
    <w:rsid w:val="00BF558B"/>
    <w:rsid w:val="00BF5AE3"/>
    <w:rsid w:val="00BF662F"/>
    <w:rsid w:val="00BF6F88"/>
    <w:rsid w:val="00BF6FD8"/>
    <w:rsid w:val="00BF70C3"/>
    <w:rsid w:val="00BF71CE"/>
    <w:rsid w:val="00BF7C4D"/>
    <w:rsid w:val="00C00341"/>
    <w:rsid w:val="00C003F0"/>
    <w:rsid w:val="00C01E85"/>
    <w:rsid w:val="00C02089"/>
    <w:rsid w:val="00C03680"/>
    <w:rsid w:val="00C04952"/>
    <w:rsid w:val="00C054DF"/>
    <w:rsid w:val="00C06AD7"/>
    <w:rsid w:val="00C071C9"/>
    <w:rsid w:val="00C076F4"/>
    <w:rsid w:val="00C07A01"/>
    <w:rsid w:val="00C07ECA"/>
    <w:rsid w:val="00C11438"/>
    <w:rsid w:val="00C118ED"/>
    <w:rsid w:val="00C13178"/>
    <w:rsid w:val="00C1367D"/>
    <w:rsid w:val="00C16370"/>
    <w:rsid w:val="00C16402"/>
    <w:rsid w:val="00C16B8E"/>
    <w:rsid w:val="00C172D7"/>
    <w:rsid w:val="00C1747A"/>
    <w:rsid w:val="00C17FC2"/>
    <w:rsid w:val="00C20737"/>
    <w:rsid w:val="00C211FC"/>
    <w:rsid w:val="00C21762"/>
    <w:rsid w:val="00C22D91"/>
    <w:rsid w:val="00C23A39"/>
    <w:rsid w:val="00C24543"/>
    <w:rsid w:val="00C24A0C"/>
    <w:rsid w:val="00C25090"/>
    <w:rsid w:val="00C25667"/>
    <w:rsid w:val="00C256A2"/>
    <w:rsid w:val="00C25887"/>
    <w:rsid w:val="00C258EE"/>
    <w:rsid w:val="00C25D16"/>
    <w:rsid w:val="00C25E5B"/>
    <w:rsid w:val="00C26322"/>
    <w:rsid w:val="00C263D4"/>
    <w:rsid w:val="00C26729"/>
    <w:rsid w:val="00C279C3"/>
    <w:rsid w:val="00C3026D"/>
    <w:rsid w:val="00C3033B"/>
    <w:rsid w:val="00C3058B"/>
    <w:rsid w:val="00C310E3"/>
    <w:rsid w:val="00C31F89"/>
    <w:rsid w:val="00C32A87"/>
    <w:rsid w:val="00C33065"/>
    <w:rsid w:val="00C343CD"/>
    <w:rsid w:val="00C344D1"/>
    <w:rsid w:val="00C3455F"/>
    <w:rsid w:val="00C34B42"/>
    <w:rsid w:val="00C34EF9"/>
    <w:rsid w:val="00C357A0"/>
    <w:rsid w:val="00C3610F"/>
    <w:rsid w:val="00C36F01"/>
    <w:rsid w:val="00C37453"/>
    <w:rsid w:val="00C37BA3"/>
    <w:rsid w:val="00C37F3D"/>
    <w:rsid w:val="00C37F95"/>
    <w:rsid w:val="00C402EE"/>
    <w:rsid w:val="00C40789"/>
    <w:rsid w:val="00C41DD1"/>
    <w:rsid w:val="00C422EF"/>
    <w:rsid w:val="00C43AF1"/>
    <w:rsid w:val="00C441CB"/>
    <w:rsid w:val="00C44423"/>
    <w:rsid w:val="00C448F1"/>
    <w:rsid w:val="00C44AD4"/>
    <w:rsid w:val="00C46EE5"/>
    <w:rsid w:val="00C46F1F"/>
    <w:rsid w:val="00C4729B"/>
    <w:rsid w:val="00C47D49"/>
    <w:rsid w:val="00C51515"/>
    <w:rsid w:val="00C5170A"/>
    <w:rsid w:val="00C51BA4"/>
    <w:rsid w:val="00C51D8C"/>
    <w:rsid w:val="00C526A3"/>
    <w:rsid w:val="00C52822"/>
    <w:rsid w:val="00C55F26"/>
    <w:rsid w:val="00C5660B"/>
    <w:rsid w:val="00C56A0D"/>
    <w:rsid w:val="00C57159"/>
    <w:rsid w:val="00C5718F"/>
    <w:rsid w:val="00C577EC"/>
    <w:rsid w:val="00C57A0C"/>
    <w:rsid w:val="00C57F69"/>
    <w:rsid w:val="00C605CC"/>
    <w:rsid w:val="00C61386"/>
    <w:rsid w:val="00C6194F"/>
    <w:rsid w:val="00C62249"/>
    <w:rsid w:val="00C623CB"/>
    <w:rsid w:val="00C62461"/>
    <w:rsid w:val="00C62A4D"/>
    <w:rsid w:val="00C62A75"/>
    <w:rsid w:val="00C64D00"/>
    <w:rsid w:val="00C64F80"/>
    <w:rsid w:val="00C65772"/>
    <w:rsid w:val="00C66B72"/>
    <w:rsid w:val="00C66C5D"/>
    <w:rsid w:val="00C66C94"/>
    <w:rsid w:val="00C673CC"/>
    <w:rsid w:val="00C67AA8"/>
    <w:rsid w:val="00C7029D"/>
    <w:rsid w:val="00C70CAE"/>
    <w:rsid w:val="00C71524"/>
    <w:rsid w:val="00C71716"/>
    <w:rsid w:val="00C719E0"/>
    <w:rsid w:val="00C71DD8"/>
    <w:rsid w:val="00C7202F"/>
    <w:rsid w:val="00C7228F"/>
    <w:rsid w:val="00C730F4"/>
    <w:rsid w:val="00C733FE"/>
    <w:rsid w:val="00C74153"/>
    <w:rsid w:val="00C75282"/>
    <w:rsid w:val="00C756B6"/>
    <w:rsid w:val="00C758D8"/>
    <w:rsid w:val="00C75C74"/>
    <w:rsid w:val="00C75DF6"/>
    <w:rsid w:val="00C7602C"/>
    <w:rsid w:val="00C76776"/>
    <w:rsid w:val="00C775A4"/>
    <w:rsid w:val="00C777AE"/>
    <w:rsid w:val="00C77A64"/>
    <w:rsid w:val="00C803D4"/>
    <w:rsid w:val="00C8083E"/>
    <w:rsid w:val="00C810D8"/>
    <w:rsid w:val="00C816D0"/>
    <w:rsid w:val="00C83B0B"/>
    <w:rsid w:val="00C83FBC"/>
    <w:rsid w:val="00C8403E"/>
    <w:rsid w:val="00C84AB2"/>
    <w:rsid w:val="00C86718"/>
    <w:rsid w:val="00C869A1"/>
    <w:rsid w:val="00C87399"/>
    <w:rsid w:val="00C90A6E"/>
    <w:rsid w:val="00C91AB3"/>
    <w:rsid w:val="00C93993"/>
    <w:rsid w:val="00C9567A"/>
    <w:rsid w:val="00C9683C"/>
    <w:rsid w:val="00C97129"/>
    <w:rsid w:val="00C97742"/>
    <w:rsid w:val="00CA0C4E"/>
    <w:rsid w:val="00CA2DD5"/>
    <w:rsid w:val="00CA2FD0"/>
    <w:rsid w:val="00CA3D22"/>
    <w:rsid w:val="00CA3E19"/>
    <w:rsid w:val="00CA45B8"/>
    <w:rsid w:val="00CA4C49"/>
    <w:rsid w:val="00CA7413"/>
    <w:rsid w:val="00CA7565"/>
    <w:rsid w:val="00CB01F5"/>
    <w:rsid w:val="00CB07D6"/>
    <w:rsid w:val="00CB0975"/>
    <w:rsid w:val="00CB212D"/>
    <w:rsid w:val="00CB224D"/>
    <w:rsid w:val="00CB2583"/>
    <w:rsid w:val="00CB2660"/>
    <w:rsid w:val="00CB2C74"/>
    <w:rsid w:val="00CB3A38"/>
    <w:rsid w:val="00CB4D01"/>
    <w:rsid w:val="00CB59A0"/>
    <w:rsid w:val="00CB6FA0"/>
    <w:rsid w:val="00CB7B9F"/>
    <w:rsid w:val="00CB7BB0"/>
    <w:rsid w:val="00CC0560"/>
    <w:rsid w:val="00CC0576"/>
    <w:rsid w:val="00CC1FBD"/>
    <w:rsid w:val="00CC2176"/>
    <w:rsid w:val="00CC23D2"/>
    <w:rsid w:val="00CC271C"/>
    <w:rsid w:val="00CC3594"/>
    <w:rsid w:val="00CC3A3C"/>
    <w:rsid w:val="00CC3D66"/>
    <w:rsid w:val="00CC3F88"/>
    <w:rsid w:val="00CC41E7"/>
    <w:rsid w:val="00CC56E5"/>
    <w:rsid w:val="00CC5C57"/>
    <w:rsid w:val="00CC5C91"/>
    <w:rsid w:val="00CC5E90"/>
    <w:rsid w:val="00CC60CB"/>
    <w:rsid w:val="00CC628D"/>
    <w:rsid w:val="00CC63CF"/>
    <w:rsid w:val="00CC64E3"/>
    <w:rsid w:val="00CC7E1D"/>
    <w:rsid w:val="00CD01B7"/>
    <w:rsid w:val="00CD02D1"/>
    <w:rsid w:val="00CD0325"/>
    <w:rsid w:val="00CD046C"/>
    <w:rsid w:val="00CD0941"/>
    <w:rsid w:val="00CD0B23"/>
    <w:rsid w:val="00CD0B67"/>
    <w:rsid w:val="00CD169D"/>
    <w:rsid w:val="00CD185D"/>
    <w:rsid w:val="00CD1CDA"/>
    <w:rsid w:val="00CD2E56"/>
    <w:rsid w:val="00CD2F26"/>
    <w:rsid w:val="00CD4462"/>
    <w:rsid w:val="00CD4AF4"/>
    <w:rsid w:val="00CD4B11"/>
    <w:rsid w:val="00CD5352"/>
    <w:rsid w:val="00CD646B"/>
    <w:rsid w:val="00CD65F4"/>
    <w:rsid w:val="00CD6F8D"/>
    <w:rsid w:val="00CD740C"/>
    <w:rsid w:val="00CD763B"/>
    <w:rsid w:val="00CD76A0"/>
    <w:rsid w:val="00CD7AFF"/>
    <w:rsid w:val="00CE066C"/>
    <w:rsid w:val="00CE076C"/>
    <w:rsid w:val="00CE08AA"/>
    <w:rsid w:val="00CE094E"/>
    <w:rsid w:val="00CE0C76"/>
    <w:rsid w:val="00CE0D55"/>
    <w:rsid w:val="00CE0E1B"/>
    <w:rsid w:val="00CE0EF5"/>
    <w:rsid w:val="00CE1FBC"/>
    <w:rsid w:val="00CE2C4E"/>
    <w:rsid w:val="00CE2D58"/>
    <w:rsid w:val="00CE2DD1"/>
    <w:rsid w:val="00CE2FCC"/>
    <w:rsid w:val="00CE3024"/>
    <w:rsid w:val="00CE31F7"/>
    <w:rsid w:val="00CE32D5"/>
    <w:rsid w:val="00CE4361"/>
    <w:rsid w:val="00CE5075"/>
    <w:rsid w:val="00CE5199"/>
    <w:rsid w:val="00CE59D4"/>
    <w:rsid w:val="00CE65BA"/>
    <w:rsid w:val="00CE66D5"/>
    <w:rsid w:val="00CE79F0"/>
    <w:rsid w:val="00CF0175"/>
    <w:rsid w:val="00CF1C2D"/>
    <w:rsid w:val="00CF1CB6"/>
    <w:rsid w:val="00CF1FA1"/>
    <w:rsid w:val="00CF3DD0"/>
    <w:rsid w:val="00CF5A09"/>
    <w:rsid w:val="00CF5D27"/>
    <w:rsid w:val="00CF5DCD"/>
    <w:rsid w:val="00CF637A"/>
    <w:rsid w:val="00CF64E7"/>
    <w:rsid w:val="00D00AFA"/>
    <w:rsid w:val="00D00E43"/>
    <w:rsid w:val="00D0177A"/>
    <w:rsid w:val="00D03185"/>
    <w:rsid w:val="00D03252"/>
    <w:rsid w:val="00D03324"/>
    <w:rsid w:val="00D033C0"/>
    <w:rsid w:val="00D03796"/>
    <w:rsid w:val="00D0382A"/>
    <w:rsid w:val="00D03DAB"/>
    <w:rsid w:val="00D03ED3"/>
    <w:rsid w:val="00D04F40"/>
    <w:rsid w:val="00D052C1"/>
    <w:rsid w:val="00D059DE"/>
    <w:rsid w:val="00D05C14"/>
    <w:rsid w:val="00D06555"/>
    <w:rsid w:val="00D068BA"/>
    <w:rsid w:val="00D10319"/>
    <w:rsid w:val="00D12193"/>
    <w:rsid w:val="00D13FCE"/>
    <w:rsid w:val="00D14488"/>
    <w:rsid w:val="00D14B35"/>
    <w:rsid w:val="00D1519B"/>
    <w:rsid w:val="00D1607C"/>
    <w:rsid w:val="00D16453"/>
    <w:rsid w:val="00D1649D"/>
    <w:rsid w:val="00D168D7"/>
    <w:rsid w:val="00D1747A"/>
    <w:rsid w:val="00D17970"/>
    <w:rsid w:val="00D17AFC"/>
    <w:rsid w:val="00D17D6A"/>
    <w:rsid w:val="00D2005E"/>
    <w:rsid w:val="00D209E6"/>
    <w:rsid w:val="00D2163C"/>
    <w:rsid w:val="00D2196D"/>
    <w:rsid w:val="00D233AC"/>
    <w:rsid w:val="00D233C9"/>
    <w:rsid w:val="00D245CE"/>
    <w:rsid w:val="00D25845"/>
    <w:rsid w:val="00D25A3E"/>
    <w:rsid w:val="00D25B0E"/>
    <w:rsid w:val="00D263AD"/>
    <w:rsid w:val="00D27C10"/>
    <w:rsid w:val="00D3027A"/>
    <w:rsid w:val="00D306D1"/>
    <w:rsid w:val="00D31AE1"/>
    <w:rsid w:val="00D31F4F"/>
    <w:rsid w:val="00D322F8"/>
    <w:rsid w:val="00D34117"/>
    <w:rsid w:val="00D34786"/>
    <w:rsid w:val="00D34CD1"/>
    <w:rsid w:val="00D3512A"/>
    <w:rsid w:val="00D35B82"/>
    <w:rsid w:val="00D35C40"/>
    <w:rsid w:val="00D3639E"/>
    <w:rsid w:val="00D364FE"/>
    <w:rsid w:val="00D36D28"/>
    <w:rsid w:val="00D372E3"/>
    <w:rsid w:val="00D37BFC"/>
    <w:rsid w:val="00D37DD9"/>
    <w:rsid w:val="00D412F9"/>
    <w:rsid w:val="00D41822"/>
    <w:rsid w:val="00D43212"/>
    <w:rsid w:val="00D4321C"/>
    <w:rsid w:val="00D43DBF"/>
    <w:rsid w:val="00D440F4"/>
    <w:rsid w:val="00D449D1"/>
    <w:rsid w:val="00D44B9D"/>
    <w:rsid w:val="00D44D66"/>
    <w:rsid w:val="00D44F73"/>
    <w:rsid w:val="00D45035"/>
    <w:rsid w:val="00D45252"/>
    <w:rsid w:val="00D454A2"/>
    <w:rsid w:val="00D45D36"/>
    <w:rsid w:val="00D46EE2"/>
    <w:rsid w:val="00D47A8E"/>
    <w:rsid w:val="00D47BF0"/>
    <w:rsid w:val="00D500D7"/>
    <w:rsid w:val="00D50388"/>
    <w:rsid w:val="00D50C10"/>
    <w:rsid w:val="00D50D27"/>
    <w:rsid w:val="00D50EEB"/>
    <w:rsid w:val="00D51830"/>
    <w:rsid w:val="00D5205A"/>
    <w:rsid w:val="00D521E3"/>
    <w:rsid w:val="00D522EC"/>
    <w:rsid w:val="00D526F1"/>
    <w:rsid w:val="00D52D14"/>
    <w:rsid w:val="00D5401C"/>
    <w:rsid w:val="00D55516"/>
    <w:rsid w:val="00D5570E"/>
    <w:rsid w:val="00D57091"/>
    <w:rsid w:val="00D572DD"/>
    <w:rsid w:val="00D572F7"/>
    <w:rsid w:val="00D573FE"/>
    <w:rsid w:val="00D6010E"/>
    <w:rsid w:val="00D61092"/>
    <w:rsid w:val="00D61517"/>
    <w:rsid w:val="00D61818"/>
    <w:rsid w:val="00D61ADF"/>
    <w:rsid w:val="00D62ED3"/>
    <w:rsid w:val="00D63070"/>
    <w:rsid w:val="00D63964"/>
    <w:rsid w:val="00D63ADD"/>
    <w:rsid w:val="00D64422"/>
    <w:rsid w:val="00D64C10"/>
    <w:rsid w:val="00D64E90"/>
    <w:rsid w:val="00D650E8"/>
    <w:rsid w:val="00D65100"/>
    <w:rsid w:val="00D656B4"/>
    <w:rsid w:val="00D65874"/>
    <w:rsid w:val="00D65967"/>
    <w:rsid w:val="00D65CBF"/>
    <w:rsid w:val="00D661B5"/>
    <w:rsid w:val="00D66C0D"/>
    <w:rsid w:val="00D66EB8"/>
    <w:rsid w:val="00D67F67"/>
    <w:rsid w:val="00D712D3"/>
    <w:rsid w:val="00D71422"/>
    <w:rsid w:val="00D714E0"/>
    <w:rsid w:val="00D72190"/>
    <w:rsid w:val="00D72DC6"/>
    <w:rsid w:val="00D735D8"/>
    <w:rsid w:val="00D7388D"/>
    <w:rsid w:val="00D7421A"/>
    <w:rsid w:val="00D74829"/>
    <w:rsid w:val="00D74C5D"/>
    <w:rsid w:val="00D74CE2"/>
    <w:rsid w:val="00D751EE"/>
    <w:rsid w:val="00D752FB"/>
    <w:rsid w:val="00D7558D"/>
    <w:rsid w:val="00D757E0"/>
    <w:rsid w:val="00D75AC2"/>
    <w:rsid w:val="00D75BF4"/>
    <w:rsid w:val="00D76476"/>
    <w:rsid w:val="00D76DD8"/>
    <w:rsid w:val="00D76E6B"/>
    <w:rsid w:val="00D77B00"/>
    <w:rsid w:val="00D80C6D"/>
    <w:rsid w:val="00D80DEF"/>
    <w:rsid w:val="00D81173"/>
    <w:rsid w:val="00D8166B"/>
    <w:rsid w:val="00D816AA"/>
    <w:rsid w:val="00D81AED"/>
    <w:rsid w:val="00D81D52"/>
    <w:rsid w:val="00D81D92"/>
    <w:rsid w:val="00D82A09"/>
    <w:rsid w:val="00D833FA"/>
    <w:rsid w:val="00D83D73"/>
    <w:rsid w:val="00D8455E"/>
    <w:rsid w:val="00D84915"/>
    <w:rsid w:val="00D85E47"/>
    <w:rsid w:val="00D8632E"/>
    <w:rsid w:val="00D8780F"/>
    <w:rsid w:val="00D87908"/>
    <w:rsid w:val="00D87C89"/>
    <w:rsid w:val="00D904FC"/>
    <w:rsid w:val="00D912F5"/>
    <w:rsid w:val="00D914C9"/>
    <w:rsid w:val="00D91B5F"/>
    <w:rsid w:val="00D91C1F"/>
    <w:rsid w:val="00D922C8"/>
    <w:rsid w:val="00D92F45"/>
    <w:rsid w:val="00D932F6"/>
    <w:rsid w:val="00D93751"/>
    <w:rsid w:val="00D94BCC"/>
    <w:rsid w:val="00D95C1E"/>
    <w:rsid w:val="00D965E6"/>
    <w:rsid w:val="00D968A3"/>
    <w:rsid w:val="00D96D95"/>
    <w:rsid w:val="00D96E66"/>
    <w:rsid w:val="00DA0776"/>
    <w:rsid w:val="00DA09F9"/>
    <w:rsid w:val="00DA0CA8"/>
    <w:rsid w:val="00DA0D9F"/>
    <w:rsid w:val="00DA140D"/>
    <w:rsid w:val="00DA150C"/>
    <w:rsid w:val="00DA15C6"/>
    <w:rsid w:val="00DA180B"/>
    <w:rsid w:val="00DA1867"/>
    <w:rsid w:val="00DA19C2"/>
    <w:rsid w:val="00DA2C8B"/>
    <w:rsid w:val="00DA2CD0"/>
    <w:rsid w:val="00DA2F04"/>
    <w:rsid w:val="00DA3342"/>
    <w:rsid w:val="00DA3352"/>
    <w:rsid w:val="00DA39F4"/>
    <w:rsid w:val="00DA4C40"/>
    <w:rsid w:val="00DA55A2"/>
    <w:rsid w:val="00DA56C4"/>
    <w:rsid w:val="00DA56FD"/>
    <w:rsid w:val="00DA6310"/>
    <w:rsid w:val="00DA6561"/>
    <w:rsid w:val="00DA6642"/>
    <w:rsid w:val="00DA7309"/>
    <w:rsid w:val="00DA7B5F"/>
    <w:rsid w:val="00DA7C8C"/>
    <w:rsid w:val="00DB0848"/>
    <w:rsid w:val="00DB10E1"/>
    <w:rsid w:val="00DB1E65"/>
    <w:rsid w:val="00DB2154"/>
    <w:rsid w:val="00DB32D7"/>
    <w:rsid w:val="00DB3FB2"/>
    <w:rsid w:val="00DB441D"/>
    <w:rsid w:val="00DB5192"/>
    <w:rsid w:val="00DB51F7"/>
    <w:rsid w:val="00DB526D"/>
    <w:rsid w:val="00DB547B"/>
    <w:rsid w:val="00DB6063"/>
    <w:rsid w:val="00DB611E"/>
    <w:rsid w:val="00DB6C59"/>
    <w:rsid w:val="00DB720F"/>
    <w:rsid w:val="00DB7534"/>
    <w:rsid w:val="00DB7D14"/>
    <w:rsid w:val="00DC0444"/>
    <w:rsid w:val="00DC11E7"/>
    <w:rsid w:val="00DC1EC2"/>
    <w:rsid w:val="00DC2118"/>
    <w:rsid w:val="00DC2A67"/>
    <w:rsid w:val="00DC352E"/>
    <w:rsid w:val="00DC424E"/>
    <w:rsid w:val="00DC4327"/>
    <w:rsid w:val="00DC50A1"/>
    <w:rsid w:val="00DC54FF"/>
    <w:rsid w:val="00DC5EC1"/>
    <w:rsid w:val="00DC6179"/>
    <w:rsid w:val="00DC63C3"/>
    <w:rsid w:val="00DC6C56"/>
    <w:rsid w:val="00DC7023"/>
    <w:rsid w:val="00DC769A"/>
    <w:rsid w:val="00DD0889"/>
    <w:rsid w:val="00DD0C28"/>
    <w:rsid w:val="00DD1381"/>
    <w:rsid w:val="00DD213C"/>
    <w:rsid w:val="00DD27F8"/>
    <w:rsid w:val="00DD3321"/>
    <w:rsid w:val="00DD39F7"/>
    <w:rsid w:val="00DD3D86"/>
    <w:rsid w:val="00DD3EE9"/>
    <w:rsid w:val="00DD3FF0"/>
    <w:rsid w:val="00DD4077"/>
    <w:rsid w:val="00DD41A1"/>
    <w:rsid w:val="00DD4A4E"/>
    <w:rsid w:val="00DD62D8"/>
    <w:rsid w:val="00DD6E40"/>
    <w:rsid w:val="00DD7278"/>
    <w:rsid w:val="00DE0380"/>
    <w:rsid w:val="00DE110D"/>
    <w:rsid w:val="00DE15EA"/>
    <w:rsid w:val="00DE165D"/>
    <w:rsid w:val="00DE1AA3"/>
    <w:rsid w:val="00DE24E9"/>
    <w:rsid w:val="00DE2AD3"/>
    <w:rsid w:val="00DE2BE0"/>
    <w:rsid w:val="00DE2C5C"/>
    <w:rsid w:val="00DE2FD8"/>
    <w:rsid w:val="00DE334A"/>
    <w:rsid w:val="00DE3A61"/>
    <w:rsid w:val="00DE3EB6"/>
    <w:rsid w:val="00DE44DD"/>
    <w:rsid w:val="00DE5BF4"/>
    <w:rsid w:val="00DE6416"/>
    <w:rsid w:val="00DE648E"/>
    <w:rsid w:val="00DE7A99"/>
    <w:rsid w:val="00DF01E5"/>
    <w:rsid w:val="00DF02F3"/>
    <w:rsid w:val="00DF1608"/>
    <w:rsid w:val="00DF1EC4"/>
    <w:rsid w:val="00DF3953"/>
    <w:rsid w:val="00DF47FE"/>
    <w:rsid w:val="00DF4854"/>
    <w:rsid w:val="00DF5144"/>
    <w:rsid w:val="00DF5C19"/>
    <w:rsid w:val="00DF6074"/>
    <w:rsid w:val="00DF73B7"/>
    <w:rsid w:val="00DF779F"/>
    <w:rsid w:val="00DF788F"/>
    <w:rsid w:val="00DF7EC5"/>
    <w:rsid w:val="00E01011"/>
    <w:rsid w:val="00E017E5"/>
    <w:rsid w:val="00E025D7"/>
    <w:rsid w:val="00E02DC0"/>
    <w:rsid w:val="00E02E35"/>
    <w:rsid w:val="00E031D0"/>
    <w:rsid w:val="00E0326C"/>
    <w:rsid w:val="00E0340B"/>
    <w:rsid w:val="00E03B39"/>
    <w:rsid w:val="00E04796"/>
    <w:rsid w:val="00E04A08"/>
    <w:rsid w:val="00E04A90"/>
    <w:rsid w:val="00E04B32"/>
    <w:rsid w:val="00E04C89"/>
    <w:rsid w:val="00E056C2"/>
    <w:rsid w:val="00E056FC"/>
    <w:rsid w:val="00E05A95"/>
    <w:rsid w:val="00E0760A"/>
    <w:rsid w:val="00E07975"/>
    <w:rsid w:val="00E1027A"/>
    <w:rsid w:val="00E109F3"/>
    <w:rsid w:val="00E10D82"/>
    <w:rsid w:val="00E118A0"/>
    <w:rsid w:val="00E12198"/>
    <w:rsid w:val="00E12B35"/>
    <w:rsid w:val="00E13153"/>
    <w:rsid w:val="00E13839"/>
    <w:rsid w:val="00E146A0"/>
    <w:rsid w:val="00E14763"/>
    <w:rsid w:val="00E1600E"/>
    <w:rsid w:val="00E160BE"/>
    <w:rsid w:val="00E178C8"/>
    <w:rsid w:val="00E20A25"/>
    <w:rsid w:val="00E20C0D"/>
    <w:rsid w:val="00E21533"/>
    <w:rsid w:val="00E219C7"/>
    <w:rsid w:val="00E21C5F"/>
    <w:rsid w:val="00E22753"/>
    <w:rsid w:val="00E22AC4"/>
    <w:rsid w:val="00E24410"/>
    <w:rsid w:val="00E24CC4"/>
    <w:rsid w:val="00E2590C"/>
    <w:rsid w:val="00E25AA9"/>
    <w:rsid w:val="00E2608B"/>
    <w:rsid w:val="00E269E6"/>
    <w:rsid w:val="00E2742C"/>
    <w:rsid w:val="00E3072B"/>
    <w:rsid w:val="00E307A7"/>
    <w:rsid w:val="00E30C15"/>
    <w:rsid w:val="00E31CC6"/>
    <w:rsid w:val="00E3217B"/>
    <w:rsid w:val="00E321B9"/>
    <w:rsid w:val="00E350C2"/>
    <w:rsid w:val="00E35C5D"/>
    <w:rsid w:val="00E36580"/>
    <w:rsid w:val="00E36E42"/>
    <w:rsid w:val="00E37547"/>
    <w:rsid w:val="00E4013E"/>
    <w:rsid w:val="00E404D2"/>
    <w:rsid w:val="00E40642"/>
    <w:rsid w:val="00E41300"/>
    <w:rsid w:val="00E41493"/>
    <w:rsid w:val="00E415E2"/>
    <w:rsid w:val="00E41605"/>
    <w:rsid w:val="00E42F86"/>
    <w:rsid w:val="00E43157"/>
    <w:rsid w:val="00E43C58"/>
    <w:rsid w:val="00E445F8"/>
    <w:rsid w:val="00E459D5"/>
    <w:rsid w:val="00E461CE"/>
    <w:rsid w:val="00E46984"/>
    <w:rsid w:val="00E46DB0"/>
    <w:rsid w:val="00E471A3"/>
    <w:rsid w:val="00E47C3B"/>
    <w:rsid w:val="00E47FE5"/>
    <w:rsid w:val="00E51AF9"/>
    <w:rsid w:val="00E51B74"/>
    <w:rsid w:val="00E51BA6"/>
    <w:rsid w:val="00E51BE4"/>
    <w:rsid w:val="00E52673"/>
    <w:rsid w:val="00E52E26"/>
    <w:rsid w:val="00E5422E"/>
    <w:rsid w:val="00E5431F"/>
    <w:rsid w:val="00E54A3E"/>
    <w:rsid w:val="00E55C31"/>
    <w:rsid w:val="00E5637E"/>
    <w:rsid w:val="00E564ED"/>
    <w:rsid w:val="00E576E2"/>
    <w:rsid w:val="00E57860"/>
    <w:rsid w:val="00E578D0"/>
    <w:rsid w:val="00E6009C"/>
    <w:rsid w:val="00E60C21"/>
    <w:rsid w:val="00E60CE1"/>
    <w:rsid w:val="00E60FBC"/>
    <w:rsid w:val="00E6101C"/>
    <w:rsid w:val="00E61F59"/>
    <w:rsid w:val="00E62148"/>
    <w:rsid w:val="00E62E13"/>
    <w:rsid w:val="00E62F42"/>
    <w:rsid w:val="00E630D6"/>
    <w:rsid w:val="00E634EB"/>
    <w:rsid w:val="00E6445B"/>
    <w:rsid w:val="00E64DB7"/>
    <w:rsid w:val="00E6527C"/>
    <w:rsid w:val="00E6592A"/>
    <w:rsid w:val="00E66281"/>
    <w:rsid w:val="00E66887"/>
    <w:rsid w:val="00E66D9A"/>
    <w:rsid w:val="00E66E13"/>
    <w:rsid w:val="00E67A4B"/>
    <w:rsid w:val="00E67C7A"/>
    <w:rsid w:val="00E67D3D"/>
    <w:rsid w:val="00E70A7F"/>
    <w:rsid w:val="00E7132F"/>
    <w:rsid w:val="00E720CA"/>
    <w:rsid w:val="00E73025"/>
    <w:rsid w:val="00E733B2"/>
    <w:rsid w:val="00E734F4"/>
    <w:rsid w:val="00E73CB8"/>
    <w:rsid w:val="00E73FE5"/>
    <w:rsid w:val="00E743FC"/>
    <w:rsid w:val="00E751D6"/>
    <w:rsid w:val="00E7629A"/>
    <w:rsid w:val="00E7652E"/>
    <w:rsid w:val="00E77C68"/>
    <w:rsid w:val="00E77D24"/>
    <w:rsid w:val="00E80137"/>
    <w:rsid w:val="00E807FA"/>
    <w:rsid w:val="00E810C3"/>
    <w:rsid w:val="00E813AF"/>
    <w:rsid w:val="00E818F1"/>
    <w:rsid w:val="00E81BBA"/>
    <w:rsid w:val="00E82242"/>
    <w:rsid w:val="00E8273F"/>
    <w:rsid w:val="00E82EFD"/>
    <w:rsid w:val="00E838BC"/>
    <w:rsid w:val="00E84492"/>
    <w:rsid w:val="00E84EB5"/>
    <w:rsid w:val="00E85457"/>
    <w:rsid w:val="00E855E4"/>
    <w:rsid w:val="00E85662"/>
    <w:rsid w:val="00E868AC"/>
    <w:rsid w:val="00E8789F"/>
    <w:rsid w:val="00E907BE"/>
    <w:rsid w:val="00E909AA"/>
    <w:rsid w:val="00E91175"/>
    <w:rsid w:val="00E9139D"/>
    <w:rsid w:val="00E91B88"/>
    <w:rsid w:val="00E91D31"/>
    <w:rsid w:val="00E922C4"/>
    <w:rsid w:val="00E93412"/>
    <w:rsid w:val="00E93BE9"/>
    <w:rsid w:val="00E94053"/>
    <w:rsid w:val="00E951AF"/>
    <w:rsid w:val="00E953E3"/>
    <w:rsid w:val="00E96505"/>
    <w:rsid w:val="00E967DB"/>
    <w:rsid w:val="00E97B71"/>
    <w:rsid w:val="00E97E3A"/>
    <w:rsid w:val="00EA0013"/>
    <w:rsid w:val="00EA00F8"/>
    <w:rsid w:val="00EA13C6"/>
    <w:rsid w:val="00EA2610"/>
    <w:rsid w:val="00EA2778"/>
    <w:rsid w:val="00EA2834"/>
    <w:rsid w:val="00EA33F1"/>
    <w:rsid w:val="00EA35DD"/>
    <w:rsid w:val="00EA3764"/>
    <w:rsid w:val="00EA3C8B"/>
    <w:rsid w:val="00EA3CDB"/>
    <w:rsid w:val="00EA3D34"/>
    <w:rsid w:val="00EA45B2"/>
    <w:rsid w:val="00EA4DD4"/>
    <w:rsid w:val="00EA6A9C"/>
    <w:rsid w:val="00EA7301"/>
    <w:rsid w:val="00EA784C"/>
    <w:rsid w:val="00EA7D07"/>
    <w:rsid w:val="00EB05A4"/>
    <w:rsid w:val="00EB0C74"/>
    <w:rsid w:val="00EB0D80"/>
    <w:rsid w:val="00EB0E14"/>
    <w:rsid w:val="00EB195B"/>
    <w:rsid w:val="00EB2329"/>
    <w:rsid w:val="00EB23EC"/>
    <w:rsid w:val="00EB249C"/>
    <w:rsid w:val="00EB24B7"/>
    <w:rsid w:val="00EB270A"/>
    <w:rsid w:val="00EB2CFB"/>
    <w:rsid w:val="00EB3153"/>
    <w:rsid w:val="00EB4195"/>
    <w:rsid w:val="00EB4499"/>
    <w:rsid w:val="00EB454D"/>
    <w:rsid w:val="00EB5AF9"/>
    <w:rsid w:val="00EB6B2E"/>
    <w:rsid w:val="00EB7419"/>
    <w:rsid w:val="00EC0AE0"/>
    <w:rsid w:val="00EC105F"/>
    <w:rsid w:val="00EC11B2"/>
    <w:rsid w:val="00EC1BE2"/>
    <w:rsid w:val="00EC1F75"/>
    <w:rsid w:val="00EC22C3"/>
    <w:rsid w:val="00EC2CCD"/>
    <w:rsid w:val="00EC30F7"/>
    <w:rsid w:val="00EC35A6"/>
    <w:rsid w:val="00EC3783"/>
    <w:rsid w:val="00EC4252"/>
    <w:rsid w:val="00EC477E"/>
    <w:rsid w:val="00EC5F5A"/>
    <w:rsid w:val="00EC7E70"/>
    <w:rsid w:val="00ED012F"/>
    <w:rsid w:val="00ED10BC"/>
    <w:rsid w:val="00ED118F"/>
    <w:rsid w:val="00ED1962"/>
    <w:rsid w:val="00ED25A9"/>
    <w:rsid w:val="00ED2F93"/>
    <w:rsid w:val="00ED4AD7"/>
    <w:rsid w:val="00ED4F1B"/>
    <w:rsid w:val="00ED5096"/>
    <w:rsid w:val="00ED708C"/>
    <w:rsid w:val="00ED75B7"/>
    <w:rsid w:val="00ED76BE"/>
    <w:rsid w:val="00EE042B"/>
    <w:rsid w:val="00EE083E"/>
    <w:rsid w:val="00EE086F"/>
    <w:rsid w:val="00EE0EBE"/>
    <w:rsid w:val="00EE0FDB"/>
    <w:rsid w:val="00EE1164"/>
    <w:rsid w:val="00EE29BA"/>
    <w:rsid w:val="00EE390B"/>
    <w:rsid w:val="00EE3AEB"/>
    <w:rsid w:val="00EE4912"/>
    <w:rsid w:val="00EE4B46"/>
    <w:rsid w:val="00EE50D2"/>
    <w:rsid w:val="00EE5497"/>
    <w:rsid w:val="00EE574C"/>
    <w:rsid w:val="00EE5A21"/>
    <w:rsid w:val="00EE5A9A"/>
    <w:rsid w:val="00EE5E37"/>
    <w:rsid w:val="00EE5ECE"/>
    <w:rsid w:val="00EE6DDE"/>
    <w:rsid w:val="00EE7210"/>
    <w:rsid w:val="00EE7E75"/>
    <w:rsid w:val="00EF0136"/>
    <w:rsid w:val="00EF1257"/>
    <w:rsid w:val="00EF154E"/>
    <w:rsid w:val="00EF167B"/>
    <w:rsid w:val="00EF2DFC"/>
    <w:rsid w:val="00EF3E21"/>
    <w:rsid w:val="00EF40B5"/>
    <w:rsid w:val="00EF42C2"/>
    <w:rsid w:val="00EF4459"/>
    <w:rsid w:val="00EF4509"/>
    <w:rsid w:val="00EF4526"/>
    <w:rsid w:val="00EF4E5E"/>
    <w:rsid w:val="00EF5123"/>
    <w:rsid w:val="00EF5346"/>
    <w:rsid w:val="00EF58BB"/>
    <w:rsid w:val="00EF596A"/>
    <w:rsid w:val="00EF5B6D"/>
    <w:rsid w:val="00EF619B"/>
    <w:rsid w:val="00EF6B2E"/>
    <w:rsid w:val="00EF7CF8"/>
    <w:rsid w:val="00F00763"/>
    <w:rsid w:val="00F00B55"/>
    <w:rsid w:val="00F02AD1"/>
    <w:rsid w:val="00F0535B"/>
    <w:rsid w:val="00F0557A"/>
    <w:rsid w:val="00F05B30"/>
    <w:rsid w:val="00F062CA"/>
    <w:rsid w:val="00F06FC3"/>
    <w:rsid w:val="00F0799E"/>
    <w:rsid w:val="00F107B4"/>
    <w:rsid w:val="00F1182C"/>
    <w:rsid w:val="00F11D52"/>
    <w:rsid w:val="00F13738"/>
    <w:rsid w:val="00F148BC"/>
    <w:rsid w:val="00F16CE6"/>
    <w:rsid w:val="00F17329"/>
    <w:rsid w:val="00F17599"/>
    <w:rsid w:val="00F21A97"/>
    <w:rsid w:val="00F21F5D"/>
    <w:rsid w:val="00F22E35"/>
    <w:rsid w:val="00F23223"/>
    <w:rsid w:val="00F23B6C"/>
    <w:rsid w:val="00F2470B"/>
    <w:rsid w:val="00F252C5"/>
    <w:rsid w:val="00F253CC"/>
    <w:rsid w:val="00F2544E"/>
    <w:rsid w:val="00F25AAF"/>
    <w:rsid w:val="00F26C29"/>
    <w:rsid w:val="00F3030A"/>
    <w:rsid w:val="00F304DA"/>
    <w:rsid w:val="00F30711"/>
    <w:rsid w:val="00F30738"/>
    <w:rsid w:val="00F30ACC"/>
    <w:rsid w:val="00F30FAD"/>
    <w:rsid w:val="00F334EC"/>
    <w:rsid w:val="00F3382F"/>
    <w:rsid w:val="00F339CB"/>
    <w:rsid w:val="00F34E9E"/>
    <w:rsid w:val="00F35591"/>
    <w:rsid w:val="00F356DF"/>
    <w:rsid w:val="00F365C1"/>
    <w:rsid w:val="00F367A2"/>
    <w:rsid w:val="00F36A14"/>
    <w:rsid w:val="00F37106"/>
    <w:rsid w:val="00F37493"/>
    <w:rsid w:val="00F37599"/>
    <w:rsid w:val="00F37B43"/>
    <w:rsid w:val="00F37C62"/>
    <w:rsid w:val="00F40433"/>
    <w:rsid w:val="00F40930"/>
    <w:rsid w:val="00F40B9C"/>
    <w:rsid w:val="00F40C13"/>
    <w:rsid w:val="00F41F7B"/>
    <w:rsid w:val="00F43329"/>
    <w:rsid w:val="00F43C75"/>
    <w:rsid w:val="00F4500B"/>
    <w:rsid w:val="00F45641"/>
    <w:rsid w:val="00F45C59"/>
    <w:rsid w:val="00F463F8"/>
    <w:rsid w:val="00F46429"/>
    <w:rsid w:val="00F4715A"/>
    <w:rsid w:val="00F47C26"/>
    <w:rsid w:val="00F47FE4"/>
    <w:rsid w:val="00F50836"/>
    <w:rsid w:val="00F50F62"/>
    <w:rsid w:val="00F511F5"/>
    <w:rsid w:val="00F516BF"/>
    <w:rsid w:val="00F519CF"/>
    <w:rsid w:val="00F51A53"/>
    <w:rsid w:val="00F51F16"/>
    <w:rsid w:val="00F520BF"/>
    <w:rsid w:val="00F52A3D"/>
    <w:rsid w:val="00F52D3D"/>
    <w:rsid w:val="00F53C96"/>
    <w:rsid w:val="00F53D2B"/>
    <w:rsid w:val="00F5421C"/>
    <w:rsid w:val="00F55031"/>
    <w:rsid w:val="00F55373"/>
    <w:rsid w:val="00F554DF"/>
    <w:rsid w:val="00F559A8"/>
    <w:rsid w:val="00F56BA5"/>
    <w:rsid w:val="00F60C22"/>
    <w:rsid w:val="00F60E22"/>
    <w:rsid w:val="00F60E5B"/>
    <w:rsid w:val="00F6212B"/>
    <w:rsid w:val="00F62473"/>
    <w:rsid w:val="00F62C02"/>
    <w:rsid w:val="00F64F85"/>
    <w:rsid w:val="00F65754"/>
    <w:rsid w:val="00F65A56"/>
    <w:rsid w:val="00F6662B"/>
    <w:rsid w:val="00F66A31"/>
    <w:rsid w:val="00F67855"/>
    <w:rsid w:val="00F706AE"/>
    <w:rsid w:val="00F712ED"/>
    <w:rsid w:val="00F71E99"/>
    <w:rsid w:val="00F72996"/>
    <w:rsid w:val="00F72FE3"/>
    <w:rsid w:val="00F73104"/>
    <w:rsid w:val="00F736A7"/>
    <w:rsid w:val="00F7424B"/>
    <w:rsid w:val="00F747C2"/>
    <w:rsid w:val="00F74C44"/>
    <w:rsid w:val="00F75972"/>
    <w:rsid w:val="00F75D75"/>
    <w:rsid w:val="00F771D0"/>
    <w:rsid w:val="00F773F0"/>
    <w:rsid w:val="00F77635"/>
    <w:rsid w:val="00F77F1E"/>
    <w:rsid w:val="00F805FB"/>
    <w:rsid w:val="00F81395"/>
    <w:rsid w:val="00F81C00"/>
    <w:rsid w:val="00F81F14"/>
    <w:rsid w:val="00F81F18"/>
    <w:rsid w:val="00F8275C"/>
    <w:rsid w:val="00F83A00"/>
    <w:rsid w:val="00F83B2C"/>
    <w:rsid w:val="00F83D6D"/>
    <w:rsid w:val="00F84A95"/>
    <w:rsid w:val="00F84C26"/>
    <w:rsid w:val="00F8553C"/>
    <w:rsid w:val="00F855E6"/>
    <w:rsid w:val="00F86083"/>
    <w:rsid w:val="00F86BF9"/>
    <w:rsid w:val="00F87232"/>
    <w:rsid w:val="00F877CE"/>
    <w:rsid w:val="00F87C1A"/>
    <w:rsid w:val="00F902EB"/>
    <w:rsid w:val="00F90988"/>
    <w:rsid w:val="00F90A28"/>
    <w:rsid w:val="00F90B41"/>
    <w:rsid w:val="00F917D1"/>
    <w:rsid w:val="00F91920"/>
    <w:rsid w:val="00F91F4B"/>
    <w:rsid w:val="00F92599"/>
    <w:rsid w:val="00F92EBE"/>
    <w:rsid w:val="00F937CC"/>
    <w:rsid w:val="00F9385D"/>
    <w:rsid w:val="00F93F4A"/>
    <w:rsid w:val="00F94107"/>
    <w:rsid w:val="00F94C16"/>
    <w:rsid w:val="00F95101"/>
    <w:rsid w:val="00F9653B"/>
    <w:rsid w:val="00F97261"/>
    <w:rsid w:val="00F97298"/>
    <w:rsid w:val="00F973EA"/>
    <w:rsid w:val="00F974A9"/>
    <w:rsid w:val="00FA0019"/>
    <w:rsid w:val="00FA05FE"/>
    <w:rsid w:val="00FA131B"/>
    <w:rsid w:val="00FA2061"/>
    <w:rsid w:val="00FA37AD"/>
    <w:rsid w:val="00FA5861"/>
    <w:rsid w:val="00FA713C"/>
    <w:rsid w:val="00FA7744"/>
    <w:rsid w:val="00FA7875"/>
    <w:rsid w:val="00FB14F6"/>
    <w:rsid w:val="00FB16C1"/>
    <w:rsid w:val="00FB1850"/>
    <w:rsid w:val="00FB1E95"/>
    <w:rsid w:val="00FB2A40"/>
    <w:rsid w:val="00FB40AA"/>
    <w:rsid w:val="00FB41EB"/>
    <w:rsid w:val="00FB49E8"/>
    <w:rsid w:val="00FB57FB"/>
    <w:rsid w:val="00FB5BEA"/>
    <w:rsid w:val="00FB5DC1"/>
    <w:rsid w:val="00FB6112"/>
    <w:rsid w:val="00FB6157"/>
    <w:rsid w:val="00FB62CF"/>
    <w:rsid w:val="00FB6513"/>
    <w:rsid w:val="00FB685F"/>
    <w:rsid w:val="00FB7954"/>
    <w:rsid w:val="00FC0A02"/>
    <w:rsid w:val="00FC0EB9"/>
    <w:rsid w:val="00FC139A"/>
    <w:rsid w:val="00FC284B"/>
    <w:rsid w:val="00FC2D2A"/>
    <w:rsid w:val="00FC3319"/>
    <w:rsid w:val="00FC4E60"/>
    <w:rsid w:val="00FC6D5C"/>
    <w:rsid w:val="00FC739C"/>
    <w:rsid w:val="00FD0022"/>
    <w:rsid w:val="00FD02D4"/>
    <w:rsid w:val="00FD0876"/>
    <w:rsid w:val="00FD0B20"/>
    <w:rsid w:val="00FD2831"/>
    <w:rsid w:val="00FD2CBB"/>
    <w:rsid w:val="00FD3380"/>
    <w:rsid w:val="00FD3433"/>
    <w:rsid w:val="00FD3A5A"/>
    <w:rsid w:val="00FD3C0D"/>
    <w:rsid w:val="00FD3C3B"/>
    <w:rsid w:val="00FD3DDA"/>
    <w:rsid w:val="00FD44E9"/>
    <w:rsid w:val="00FD4DF1"/>
    <w:rsid w:val="00FD564D"/>
    <w:rsid w:val="00FD5A99"/>
    <w:rsid w:val="00FD5E93"/>
    <w:rsid w:val="00FD61EA"/>
    <w:rsid w:val="00FD63FF"/>
    <w:rsid w:val="00FD6E6B"/>
    <w:rsid w:val="00FD7B66"/>
    <w:rsid w:val="00FE0155"/>
    <w:rsid w:val="00FE07DD"/>
    <w:rsid w:val="00FE0B7E"/>
    <w:rsid w:val="00FE117C"/>
    <w:rsid w:val="00FE11F2"/>
    <w:rsid w:val="00FE1F08"/>
    <w:rsid w:val="00FE20DD"/>
    <w:rsid w:val="00FE2800"/>
    <w:rsid w:val="00FE4B2F"/>
    <w:rsid w:val="00FE5B79"/>
    <w:rsid w:val="00FE6429"/>
    <w:rsid w:val="00FE6B45"/>
    <w:rsid w:val="00FE7B6D"/>
    <w:rsid w:val="00FE7CE0"/>
    <w:rsid w:val="00FF0280"/>
    <w:rsid w:val="00FF06EF"/>
    <w:rsid w:val="00FF1832"/>
    <w:rsid w:val="00FF18A9"/>
    <w:rsid w:val="00FF1A34"/>
    <w:rsid w:val="00FF227E"/>
    <w:rsid w:val="00FF296D"/>
    <w:rsid w:val="00FF33F2"/>
    <w:rsid w:val="00FF39C0"/>
    <w:rsid w:val="00FF5456"/>
    <w:rsid w:val="00FF5585"/>
    <w:rsid w:val="00FF55F3"/>
    <w:rsid w:val="00FF5655"/>
    <w:rsid w:val="00FF5851"/>
    <w:rsid w:val="00FF5C7C"/>
    <w:rsid w:val="00FF5CFE"/>
    <w:rsid w:val="00FF5F59"/>
    <w:rsid w:val="00FF6691"/>
    <w:rsid w:val="00FF6913"/>
    <w:rsid w:val="00FF6B38"/>
    <w:rsid w:val="00FF7B79"/>
    <w:rsid w:val="00FF7E0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14:docId w14:val="2829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ListParagraph"/>
    <w:next w:val="Normal"/>
    <w:link w:val="Heading1Char"/>
    <w:uiPriority w:val="9"/>
    <w:qFormat/>
    <w:rsid w:val="001C319E"/>
    <w:pPr>
      <w:numPr>
        <w:numId w:val="54"/>
      </w:numPr>
      <w:suppressAutoHyphens/>
      <w:ind w:left="1418" w:hanging="873"/>
      <w:outlineLvl w:val="0"/>
    </w:pPr>
    <w:rPr>
      <w:rFonts w:asciiTheme="majorHAnsi" w:hAnsiTheme="majorHAnsi"/>
      <w:b/>
      <w:sz w:val="20"/>
      <w:szCs w:val="20"/>
      <w:lang w:val="es-ES_tradnl"/>
    </w:rPr>
  </w:style>
  <w:style w:type="paragraph" w:styleId="Heading2">
    <w:name w:val="heading 2"/>
    <w:basedOn w:val="Normal"/>
    <w:next w:val="Normal"/>
    <w:link w:val="Heading2Char"/>
    <w:qFormat/>
    <w:rsid w:val="000E521A"/>
    <w:pPr>
      <w:numPr>
        <w:numId w:val="56"/>
      </w:numPr>
      <w:pBdr>
        <w:top w:val="none" w:sz="0" w:space="0" w:color="auto"/>
        <w:left w:val="none" w:sz="0" w:space="0" w:color="auto"/>
        <w:bottom w:val="none" w:sz="0" w:space="0" w:color="auto"/>
        <w:right w:val="none" w:sz="0" w:space="0" w:color="auto"/>
        <w:between w:val="none" w:sz="0" w:space="0" w:color="auto"/>
        <w:bar w:val="none" w:sz="0" w:color="auto"/>
      </w:pBdr>
      <w:ind w:left="720" w:hanging="720"/>
      <w:jc w:val="both"/>
      <w:outlineLvl w:val="1"/>
    </w:pPr>
    <w:rPr>
      <w:rFonts w:ascii="Cambria" w:eastAsia="Times New Roman" w:hAnsi="Cambria" w:cs="Arial"/>
      <w:b/>
      <w:bCs/>
      <w:iCs/>
      <w:sz w:val="20"/>
      <w:szCs w:val="20"/>
      <w:bdr w:val="none" w:sz="0" w:space="0" w:color="auto"/>
      <w:lang w:val="es-ES_tradnl"/>
    </w:rPr>
  </w:style>
  <w:style w:type="paragraph" w:styleId="Heading3">
    <w:name w:val="heading 3"/>
    <w:basedOn w:val="Normal"/>
    <w:next w:val="Normal"/>
    <w:link w:val="Heading3Char"/>
    <w:qFormat/>
    <w:rsid w:val="00A567F2"/>
    <w:pPr>
      <w:keepNext/>
      <w:numPr>
        <w:numId w:val="57"/>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ind w:left="11" w:hanging="11"/>
      <w:jc w:val="both"/>
      <w:outlineLvl w:val="2"/>
    </w:pPr>
    <w:rPr>
      <w:rFonts w:asciiTheme="majorHAnsi" w:eastAsia="Times New Roman" w:hAnsiTheme="majorHAnsi" w:cs="Arial"/>
      <w:b/>
      <w:bCs/>
      <w:sz w:val="20"/>
      <w:szCs w:val="20"/>
      <w:bdr w:val="none" w:sz="0" w:space="0" w:color="auto"/>
      <w:lang w:val="es-ES_tradnl"/>
    </w:rPr>
  </w:style>
  <w:style w:type="paragraph" w:styleId="Heading4">
    <w:name w:val="heading 4"/>
    <w:basedOn w:val="Normal"/>
    <w:next w:val="Normal"/>
    <w:link w:val="Heading4Char"/>
    <w:uiPriority w:val="9"/>
    <w:unhideWhenUsed/>
    <w:qFormat/>
    <w:rsid w:val="00D81AED"/>
    <w:pPr>
      <w:keepNext/>
      <w:keepLines/>
      <w:ind w:left="720"/>
      <w:outlineLvl w:val="3"/>
    </w:pPr>
    <w:rPr>
      <w:rFonts w:asciiTheme="majorHAnsi" w:eastAsiaTheme="majorEastAsia" w:hAnsiTheme="majorHAnsi" w:cstheme="majorBidi"/>
      <w:b/>
      <w:i/>
      <w:iCs/>
      <w:sz w:val="20"/>
      <w:szCs w:val="20"/>
      <w:lang w:val="es-CO"/>
    </w:rPr>
  </w:style>
  <w:style w:type="paragraph" w:styleId="Heading5">
    <w:name w:val="heading 5"/>
    <w:basedOn w:val="ListParagraph"/>
    <w:next w:val="Normal"/>
    <w:link w:val="Heading5Char"/>
    <w:uiPriority w:val="9"/>
    <w:unhideWhenUsed/>
    <w:qFormat/>
    <w:rsid w:val="00E02E35"/>
    <w:pPr>
      <w:numPr>
        <w:numId w:val="61"/>
      </w:numPr>
      <w:ind w:left="1440" w:hanging="720"/>
      <w:outlineLvl w:val="4"/>
    </w:pPr>
    <w:rPr>
      <w:i/>
      <w:sz w:val="20"/>
      <w:szCs w:val="20"/>
      <w:lang w:val="es-PE"/>
    </w:rPr>
  </w:style>
  <w:style w:type="paragraph" w:styleId="Heading6">
    <w:name w:val="heading 6"/>
    <w:basedOn w:val="Heading5"/>
    <w:next w:val="Normal"/>
    <w:link w:val="Heading6Char"/>
    <w:uiPriority w:val="9"/>
    <w:qFormat/>
    <w:rsid w:val="00DE7A99"/>
    <w:pPr>
      <w:numPr>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3600"/>
      </w:tabs>
      <w:ind w:left="3600" w:hanging="360"/>
      <w:jc w:val="both"/>
      <w:outlineLvl w:val="5"/>
    </w:pPr>
    <w:rPr>
      <w:rFonts w:ascii="Verdana" w:eastAsia="Times New Roman" w:hAnsi="Verdana" w:cs="Times New Roman"/>
      <w:i w:val="0"/>
      <w:color w:val="auto"/>
      <w:spacing w:val="-2"/>
      <w:bdr w:val="none" w:sz="0" w:space="0" w:color="auto"/>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Medium Grid 1 - Accent 21,Colorful List - Accent 12"/>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A03A30"/>
    <w:pPr>
      <w:jc w:val="both"/>
    </w:pPr>
    <w:rPr>
      <w:rFonts w:asciiTheme="majorHAnsi" w:eastAsia="Calibri" w:hAnsiTheme="majorHAnsi" w:cs="Calibri"/>
      <w:color w:val="000000"/>
      <w:sz w:val="16"/>
      <w:szCs w:val="16"/>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1C319E"/>
    <w:rPr>
      <w:rFonts w:asciiTheme="majorHAnsi" w:eastAsia="Cambria" w:hAnsiTheme="majorHAnsi" w:cs="Cambria"/>
      <w:b/>
      <w:color w:val="000000"/>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A06D70"/>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A03A30"/>
    <w:rPr>
      <w:rFonts w:asciiTheme="majorHAnsi" w:eastAsia="Calibri" w:hAnsiTheme="majorHAnsi" w:cs="Calibri"/>
      <w:color w:val="000000"/>
      <w:sz w:val="16"/>
      <w:szCs w:val="16"/>
      <w:u w:color="000000"/>
      <w:lang w:val="en-US"/>
    </w:rPr>
  </w:style>
  <w:style w:type="character" w:customStyle="1" w:styleId="Heading2Char">
    <w:name w:val="Heading 2 Char"/>
    <w:basedOn w:val="DefaultParagraphFont"/>
    <w:link w:val="Heading2"/>
    <w:rsid w:val="000E521A"/>
    <w:rPr>
      <w:rFonts w:ascii="Cambria" w:eastAsia="Times New Roman" w:hAnsi="Cambria" w:cs="Arial"/>
      <w:b/>
      <w:bCs/>
      <w:iCs/>
      <w:bdr w:val="none" w:sz="0" w:space="0" w:color="auto"/>
      <w:lang w:val="es-ES_tradnl" w:eastAsia="en-US"/>
    </w:rPr>
  </w:style>
  <w:style w:type="character" w:customStyle="1" w:styleId="Heading3Char">
    <w:name w:val="Heading 3 Char"/>
    <w:basedOn w:val="DefaultParagraphFont"/>
    <w:link w:val="Heading3"/>
    <w:rsid w:val="00A567F2"/>
    <w:rPr>
      <w:rFonts w:asciiTheme="majorHAnsi" w:eastAsia="Times New Roman" w:hAnsiTheme="majorHAnsi" w:cs="Arial"/>
      <w:b/>
      <w:bCs/>
      <w:bdr w:val="none" w:sz="0" w:space="0" w:color="auto"/>
      <w:lang w:val="es-ES_tradnl"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Medium Grid 1 - Accent 21 Char,Colorful List - Accent 12 Char"/>
    <w:link w:val="ListParagraph"/>
    <w:locked/>
    <w:rsid w:val="002E4AEA"/>
    <w:rPr>
      <w:rFonts w:ascii="Cambria" w:eastAsia="Cambria" w:hAnsi="Cambria" w:cs="Cambria"/>
      <w:color w:val="000000"/>
      <w:sz w:val="24"/>
      <w:szCs w:val="24"/>
      <w:u w:color="000000"/>
      <w:lang w:val="en-US"/>
    </w:rPr>
  </w:style>
  <w:style w:type="paragraph" w:customStyle="1" w:styleId="1">
    <w:name w:val="1"/>
    <w:basedOn w:val="Normal"/>
    <w:uiPriority w:val="99"/>
    <w:rsid w:val="00E6527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character" w:customStyle="1" w:styleId="Heading4Char">
    <w:name w:val="Heading 4 Char"/>
    <w:basedOn w:val="DefaultParagraphFont"/>
    <w:link w:val="Heading4"/>
    <w:uiPriority w:val="9"/>
    <w:rsid w:val="00D81AED"/>
    <w:rPr>
      <w:rFonts w:asciiTheme="majorHAnsi" w:eastAsiaTheme="majorEastAsia" w:hAnsiTheme="majorHAnsi" w:cstheme="majorBidi"/>
      <w:b/>
      <w:i/>
      <w:iCs/>
      <w:lang w:val="es-CO" w:eastAsia="en-US"/>
    </w:rPr>
  </w:style>
  <w:style w:type="paragraph" w:customStyle="1" w:styleId="footnote">
    <w:name w:val="footnote"/>
    <w:basedOn w:val="NormalWeb"/>
    <w:autoRedefine/>
    <w:rsid w:val="00AC555E"/>
    <w:pPr>
      <w:pBdr>
        <w:top w:val="none" w:sz="0" w:space="0" w:color="auto"/>
        <w:left w:val="none" w:sz="0" w:space="0" w:color="auto"/>
        <w:bottom w:val="none" w:sz="0" w:space="0" w:color="auto"/>
        <w:right w:val="none" w:sz="0" w:space="0" w:color="auto"/>
        <w:between w:val="none" w:sz="0" w:space="0" w:color="auto"/>
        <w:bar w:val="none" w:sz="0" w:color="auto"/>
      </w:pBdr>
      <w:spacing w:after="40"/>
      <w:jc w:val="both"/>
    </w:pPr>
    <w:rPr>
      <w:rFonts w:ascii="Calibri" w:eastAsia="Times New Roman" w:hAnsi="Calibri" w:cs="Univers"/>
      <w:sz w:val="16"/>
      <w:szCs w:val="16"/>
      <w:bdr w:val="none" w:sz="0" w:space="0" w:color="auto"/>
      <w:lang w:val="es-MX" w:eastAsia="zh-CN"/>
    </w:rPr>
  </w:style>
  <w:style w:type="paragraph" w:customStyle="1" w:styleId="numberedparagraphs">
    <w:name w:val="numbered paragraphs"/>
    <w:basedOn w:val="Normal"/>
    <w:link w:val="numberedparagraphsChar"/>
    <w:qFormat/>
    <w:rsid w:val="00916A17"/>
    <w:pPr>
      <w:numPr>
        <w:numId w:val="59"/>
      </w:numPr>
      <w:pBdr>
        <w:top w:val="none" w:sz="0" w:space="0" w:color="auto"/>
        <w:left w:val="none" w:sz="0" w:space="0" w:color="auto"/>
        <w:bottom w:val="none" w:sz="0" w:space="0" w:color="auto"/>
        <w:right w:val="none" w:sz="0" w:space="0" w:color="auto"/>
        <w:between w:val="none" w:sz="0" w:space="0" w:color="auto"/>
        <w:bar w:val="none" w:sz="0" w:color="auto"/>
      </w:pBdr>
      <w:spacing w:after="240"/>
      <w:ind w:left="547" w:hanging="547"/>
      <w:jc w:val="both"/>
    </w:pPr>
    <w:rPr>
      <w:rFonts w:ascii="Cambria" w:eastAsia="Times New Roman" w:hAnsi="Cambria" w:cs="Arial"/>
      <w:sz w:val="20"/>
      <w:szCs w:val="20"/>
      <w:bdr w:val="none" w:sz="0" w:space="0" w:color="auto"/>
      <w:lang w:val="es-VE"/>
    </w:rPr>
  </w:style>
  <w:style w:type="character" w:customStyle="1" w:styleId="numberedparagraphsChar">
    <w:name w:val="numbered paragraphs Char"/>
    <w:link w:val="numberedparagraphs"/>
    <w:rsid w:val="00916A17"/>
    <w:rPr>
      <w:rFonts w:ascii="Cambria" w:eastAsia="Times New Roman" w:hAnsi="Cambria" w:cs="Arial"/>
      <w:bdr w:val="none" w:sz="0" w:space="0" w:color="auto"/>
      <w:lang w:val="es-VE" w:eastAsia="en-US"/>
    </w:rPr>
  </w:style>
  <w:style w:type="paragraph" w:styleId="NormalWeb">
    <w:name w:val="Normal (Web)"/>
    <w:basedOn w:val="Normal"/>
    <w:link w:val="NormalWebChar"/>
    <w:unhideWhenUsed/>
    <w:rsid w:val="00916A17"/>
  </w:style>
  <w:style w:type="character" w:customStyle="1" w:styleId="Heading5Char">
    <w:name w:val="Heading 5 Char"/>
    <w:basedOn w:val="DefaultParagraphFont"/>
    <w:link w:val="Heading5"/>
    <w:uiPriority w:val="9"/>
    <w:rsid w:val="00E02E35"/>
    <w:rPr>
      <w:rFonts w:ascii="Cambria" w:eastAsia="Cambria" w:hAnsi="Cambria" w:cs="Cambria"/>
      <w:i/>
      <w:color w:val="000000"/>
      <w:u w:color="000000"/>
      <w:lang w:val="es-PE"/>
    </w:rPr>
  </w:style>
  <w:style w:type="paragraph" w:styleId="TOCHeading">
    <w:name w:val="TOC Heading"/>
    <w:basedOn w:val="Heading1"/>
    <w:next w:val="Normal"/>
    <w:uiPriority w:val="39"/>
    <w:unhideWhenUsed/>
    <w:qFormat/>
    <w:rsid w:val="009144A8"/>
    <w:pPr>
      <w:keepNext/>
      <w:keepLines/>
      <w:numPr>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line="259" w:lineRule="auto"/>
      <w:outlineLvl w:val="9"/>
    </w:pPr>
    <w:rPr>
      <w:rFonts w:eastAsiaTheme="majorEastAsia" w:cstheme="majorBidi"/>
      <w:b w:val="0"/>
      <w:color w:val="365F91" w:themeColor="accent1" w:themeShade="BF"/>
      <w:sz w:val="32"/>
      <w:szCs w:val="32"/>
      <w:bdr w:val="none" w:sz="0" w:space="0" w:color="auto"/>
      <w:lang w:val="en-US" w:eastAsia="en-US"/>
    </w:rPr>
  </w:style>
  <w:style w:type="character" w:styleId="CommentReference">
    <w:name w:val="annotation reference"/>
    <w:basedOn w:val="DefaultParagraphFont"/>
    <w:uiPriority w:val="99"/>
    <w:semiHidden/>
    <w:unhideWhenUsed/>
    <w:rsid w:val="00943A55"/>
    <w:rPr>
      <w:sz w:val="18"/>
      <w:szCs w:val="18"/>
    </w:rPr>
  </w:style>
  <w:style w:type="paragraph" w:styleId="CommentText">
    <w:name w:val="annotation text"/>
    <w:basedOn w:val="Normal"/>
    <w:link w:val="CommentTextChar"/>
    <w:uiPriority w:val="99"/>
    <w:semiHidden/>
    <w:unhideWhenUsed/>
    <w:rsid w:val="00943A55"/>
  </w:style>
  <w:style w:type="character" w:customStyle="1" w:styleId="CommentTextChar">
    <w:name w:val="Comment Text Char"/>
    <w:basedOn w:val="DefaultParagraphFont"/>
    <w:link w:val="CommentText"/>
    <w:uiPriority w:val="99"/>
    <w:semiHidden/>
    <w:rsid w:val="00943A55"/>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943A55"/>
    <w:rPr>
      <w:b/>
      <w:bCs/>
      <w:sz w:val="20"/>
      <w:szCs w:val="20"/>
    </w:rPr>
  </w:style>
  <w:style w:type="character" w:customStyle="1" w:styleId="CommentSubjectChar">
    <w:name w:val="Comment Subject Char"/>
    <w:basedOn w:val="CommentTextChar"/>
    <w:link w:val="CommentSubject"/>
    <w:uiPriority w:val="99"/>
    <w:semiHidden/>
    <w:rsid w:val="00943A55"/>
    <w:rPr>
      <w:b/>
      <w:bCs/>
      <w:sz w:val="24"/>
      <w:szCs w:val="24"/>
      <w:lang w:val="en-US" w:eastAsia="en-US"/>
    </w:rPr>
  </w:style>
  <w:style w:type="paragraph" w:styleId="Revision">
    <w:name w:val="Revision"/>
    <w:hidden/>
    <w:uiPriority w:val="99"/>
    <w:semiHidden/>
    <w:rsid w:val="00943A5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Strong">
    <w:name w:val="Strong"/>
    <w:basedOn w:val="DefaultParagraphFont"/>
    <w:uiPriority w:val="22"/>
    <w:qFormat/>
    <w:rsid w:val="00085C2E"/>
    <w:rPr>
      <w:b/>
      <w:bCs/>
    </w:rPr>
  </w:style>
  <w:style w:type="character" w:customStyle="1" w:styleId="apple-converted-space">
    <w:name w:val="apple-converted-space"/>
    <w:rsid w:val="00085C2E"/>
    <w:rPr>
      <w:rFonts w:ascii="Times New Roman" w:hAnsi="Times New Roman" w:cs="Times New Roman" w:hint="default"/>
    </w:rPr>
  </w:style>
  <w:style w:type="paragraph" w:customStyle="1" w:styleId="PrrafodeSentencia">
    <w:name w:val="*. Párrafo de Sentencia"/>
    <w:autoRedefine/>
    <w:qFormat/>
    <w:rsid w:val="00390A3C"/>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851"/>
        <w:tab w:val="num" w:pos="2130"/>
      </w:tabs>
      <w:spacing w:before="120" w:after="120"/>
      <w:ind w:firstLine="567"/>
      <w:jc w:val="both"/>
    </w:pPr>
    <w:rPr>
      <w:rFonts w:ascii="Verdana" w:eastAsia="Batang" w:hAnsi="Verdana"/>
      <w:b/>
      <w:i/>
      <w:bdr w:val="none" w:sz="0" w:space="0" w:color="auto"/>
      <w:lang w:val="es-ES_tradnl" w:eastAsia="es-MX"/>
    </w:rPr>
  </w:style>
  <w:style w:type="character" w:customStyle="1" w:styleId="apple-style-span">
    <w:name w:val="apple-style-span"/>
    <w:basedOn w:val="DefaultParagraphFont"/>
    <w:rsid w:val="00390A3C"/>
  </w:style>
  <w:style w:type="paragraph" w:customStyle="1" w:styleId="Estilo1">
    <w:name w:val="Estilo1"/>
    <w:basedOn w:val="Normal"/>
    <w:link w:val="Estilo1Car"/>
    <w:qFormat/>
    <w:rsid w:val="00390A3C"/>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num" w:pos="6042"/>
      </w:tabs>
      <w:spacing w:after="120"/>
      <w:jc w:val="both"/>
    </w:pPr>
    <w:rPr>
      <w:rFonts w:ascii="Verdana" w:eastAsia="Calibri" w:hAnsi="Verdana"/>
      <w:sz w:val="20"/>
      <w:szCs w:val="20"/>
      <w:bdr w:val="none" w:sz="0" w:space="0" w:color="auto"/>
      <w:lang w:val="es-ES" w:eastAsia="x-none"/>
    </w:rPr>
  </w:style>
  <w:style w:type="paragraph" w:customStyle="1" w:styleId="Estilo2">
    <w:name w:val="Estilo2"/>
    <w:basedOn w:val="Normal"/>
    <w:qFormat/>
    <w:rsid w:val="00390A3C"/>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1134"/>
        <w:tab w:val="num" w:pos="4767"/>
      </w:tabs>
      <w:spacing w:after="120"/>
      <w:ind w:firstLine="357"/>
      <w:jc w:val="both"/>
    </w:pPr>
    <w:rPr>
      <w:rFonts w:ascii="Verdana" w:eastAsia="Calibri" w:hAnsi="Verdana"/>
      <w:sz w:val="20"/>
      <w:szCs w:val="20"/>
      <w:bdr w:val="none" w:sz="0" w:space="0" w:color="auto"/>
      <w:lang w:val="x-none" w:eastAsia="x-none"/>
    </w:rPr>
  </w:style>
  <w:style w:type="character" w:customStyle="1" w:styleId="Estilo1Car">
    <w:name w:val="Estilo1 Car"/>
    <w:link w:val="Estilo1"/>
    <w:rsid w:val="00390A3C"/>
    <w:rPr>
      <w:rFonts w:ascii="Verdana" w:eastAsia="Calibri" w:hAnsi="Verdana"/>
      <w:bdr w:val="none" w:sz="0" w:space="0" w:color="auto"/>
      <w:lang w:eastAsia="x-none"/>
    </w:rPr>
  </w:style>
  <w:style w:type="table" w:styleId="ColorfulList-Accent1">
    <w:name w:val="Colorful List Accent 1"/>
    <w:basedOn w:val="TableNormal"/>
    <w:uiPriority w:val="72"/>
    <w:rsid w:val="00390A3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ListParagraphChar1">
    <w:name w:val="List Paragraph Char1"/>
    <w:aliases w:val="Colorful List - Accent 11 Char1,Footnote Char1"/>
    <w:rsid w:val="00390A3C"/>
    <w:rPr>
      <w:rFonts w:ascii="Verdana" w:eastAsia="Times New Roman" w:hAnsi="Verdana"/>
      <w:lang w:val="es-ES_tradnl"/>
    </w:rPr>
  </w:style>
  <w:style w:type="paragraph" w:customStyle="1" w:styleId="1111">
    <w:name w:val="1.1.1.1"/>
    <w:basedOn w:val="Heading2"/>
    <w:rsid w:val="00FE20DD"/>
    <w:pPr>
      <w:numPr>
        <w:numId w:val="0"/>
      </w:numPr>
      <w:spacing w:before="240" w:after="60" w:line="276" w:lineRule="auto"/>
      <w:ind w:firstLine="720"/>
    </w:pPr>
    <w:rPr>
      <w:rFonts w:ascii="Univers" w:eastAsia="Batang" w:hAnsi="Univers"/>
    </w:rPr>
  </w:style>
  <w:style w:type="paragraph" w:customStyle="1" w:styleId="111">
    <w:name w:val="1.1.1"/>
    <w:basedOn w:val="Normal"/>
    <w:link w:val="111Char"/>
    <w:rsid w:val="00C13178"/>
    <w:pPr>
      <w:pBdr>
        <w:top w:val="none" w:sz="0" w:space="0" w:color="auto"/>
        <w:left w:val="none" w:sz="0" w:space="0" w:color="auto"/>
        <w:bottom w:val="none" w:sz="0" w:space="0" w:color="auto"/>
        <w:right w:val="none" w:sz="0" w:space="0" w:color="auto"/>
        <w:between w:val="none" w:sz="0" w:space="0" w:color="auto"/>
        <w:bar w:val="none" w:sz="0" w:color="auto"/>
      </w:pBdr>
      <w:tabs>
        <w:tab w:val="num" w:pos="720"/>
        <w:tab w:val="num" w:pos="1440"/>
      </w:tabs>
      <w:ind w:left="1440" w:right="432" w:hanging="720"/>
      <w:jc w:val="both"/>
    </w:pPr>
    <w:rPr>
      <w:rFonts w:ascii="Univers" w:eastAsia="Times New Roman" w:hAnsi="Univers"/>
      <w:b/>
      <w:bCs/>
      <w:sz w:val="20"/>
      <w:szCs w:val="20"/>
      <w:bdr w:val="none" w:sz="0" w:space="0" w:color="auto"/>
      <w:lang w:val="es-ES_tradnl"/>
    </w:rPr>
  </w:style>
  <w:style w:type="character" w:customStyle="1" w:styleId="111Char">
    <w:name w:val="1.1.1 Char"/>
    <w:basedOn w:val="DefaultParagraphFont"/>
    <w:link w:val="111"/>
    <w:rsid w:val="00C13178"/>
    <w:rPr>
      <w:rFonts w:ascii="Univers" w:eastAsia="Times New Roman" w:hAnsi="Univers"/>
      <w:b/>
      <w:bCs/>
      <w:bdr w:val="none" w:sz="0" w:space="0" w:color="auto"/>
      <w:lang w:val="es-ES_tradnl" w:eastAsia="en-US"/>
    </w:rPr>
  </w:style>
  <w:style w:type="character" w:customStyle="1" w:styleId="NormalWebChar">
    <w:name w:val="Normal (Web) Char"/>
    <w:basedOn w:val="DefaultParagraphFont"/>
    <w:link w:val="NormalWeb"/>
    <w:rsid w:val="00C13178"/>
    <w:rPr>
      <w:sz w:val="24"/>
      <w:szCs w:val="24"/>
      <w:lang w:val="en-US" w:eastAsia="en-US"/>
    </w:rPr>
  </w:style>
  <w:style w:type="paragraph" w:customStyle="1" w:styleId="11">
    <w:name w:val="1.1"/>
    <w:basedOn w:val="NormalWeb"/>
    <w:link w:val="11Char"/>
    <w:rsid w:val="00C13178"/>
    <w:pPr>
      <w:pBdr>
        <w:top w:val="none" w:sz="0" w:space="0" w:color="auto"/>
        <w:left w:val="none" w:sz="0" w:space="0" w:color="auto"/>
        <w:bottom w:val="none" w:sz="0" w:space="0" w:color="auto"/>
        <w:right w:val="none" w:sz="0" w:space="0" w:color="auto"/>
        <w:between w:val="none" w:sz="0" w:space="0" w:color="auto"/>
        <w:bar w:val="none" w:sz="0" w:color="auto"/>
      </w:pBdr>
      <w:ind w:left="720" w:right="432"/>
      <w:jc w:val="both"/>
    </w:pPr>
    <w:rPr>
      <w:rFonts w:ascii="Univers" w:eastAsia="Times New Roman" w:hAnsi="Univers"/>
      <w:b/>
      <w:bdr w:val="none" w:sz="0" w:space="0" w:color="auto"/>
      <w:lang w:val="es-ES_tradnl"/>
    </w:rPr>
  </w:style>
  <w:style w:type="character" w:customStyle="1" w:styleId="11Char">
    <w:name w:val="1.1 Char"/>
    <w:basedOn w:val="NormalWebChar"/>
    <w:link w:val="11"/>
    <w:rsid w:val="00C13178"/>
    <w:rPr>
      <w:rFonts w:ascii="Univers" w:eastAsia="Times New Roman" w:hAnsi="Univers"/>
      <w:b/>
      <w:sz w:val="24"/>
      <w:szCs w:val="24"/>
      <w:bdr w:val="none" w:sz="0" w:space="0" w:color="auto"/>
      <w:lang w:val="es-ES_tradnl" w:eastAsia="en-US"/>
    </w:rPr>
  </w:style>
  <w:style w:type="character" w:customStyle="1" w:styleId="Heading6Char">
    <w:name w:val="Heading 6 Char"/>
    <w:basedOn w:val="DefaultParagraphFont"/>
    <w:link w:val="Heading6"/>
    <w:uiPriority w:val="9"/>
    <w:rsid w:val="00DE7A99"/>
    <w:rPr>
      <w:rFonts w:ascii="Verdana" w:eastAsia="Times New Roman" w:hAnsi="Verdana"/>
      <w:spacing w:val="-2"/>
      <w:bdr w:val="none" w:sz="0" w:space="0" w:color="auto"/>
      <w:lang w:val="es-ES_tradnl" w:eastAsia="x-none"/>
    </w:rPr>
  </w:style>
  <w:style w:type="paragraph" w:customStyle="1" w:styleId="bodytext0">
    <w:name w:val="bodytext"/>
    <w:basedOn w:val="Normal"/>
    <w:rsid w:val="003820E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negritamayuscula">
    <w:name w:val="negrita mayuscula"/>
    <w:basedOn w:val="Normal"/>
    <w:rsid w:val="00A30F7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s>
      <w:spacing w:line="360" w:lineRule="atLeast"/>
      <w:jc w:val="both"/>
    </w:pPr>
    <w:rPr>
      <w:rFonts w:ascii="Garamond" w:eastAsia="Times New Roman" w:hAnsi="Garamond"/>
      <w:szCs w:val="20"/>
      <w:bdr w:val="none" w:sz="0" w:space="0" w:color="auto"/>
      <w:lang w:val="es-ES_tradnl"/>
    </w:rPr>
  </w:style>
  <w:style w:type="paragraph" w:customStyle="1" w:styleId="SingleTxtG">
    <w:name w:val="_ Single Txt_G"/>
    <w:basedOn w:val="Normal"/>
    <w:rsid w:val="00BD0ACC"/>
    <w:pPr>
      <w:pBdr>
        <w:top w:val="none" w:sz="0" w:space="0" w:color="auto"/>
        <w:left w:val="none" w:sz="0" w:space="0" w:color="auto"/>
        <w:bottom w:val="none" w:sz="0" w:space="0" w:color="auto"/>
        <w:right w:val="none" w:sz="0" w:space="0" w:color="auto"/>
        <w:between w:val="none" w:sz="0" w:space="0" w:color="auto"/>
        <w:bar w:val="none" w:sz="0" w:color="auto"/>
      </w:pBdr>
      <w:spacing w:after="120" w:line="240" w:lineRule="atLeast"/>
      <w:ind w:left="1134" w:right="1134"/>
      <w:jc w:val="both"/>
    </w:pPr>
    <w:rPr>
      <w:rFonts w:eastAsia="Times New Roman"/>
      <w:sz w:val="20"/>
      <w:szCs w:val="20"/>
      <w:bdr w:val="none" w:sz="0" w:space="0" w:color="auto"/>
      <w:lang w:val="es-ES" w:eastAsia="es-ES"/>
    </w:rPr>
  </w:style>
  <w:style w:type="character" w:customStyle="1" w:styleId="UnresolvedMention1">
    <w:name w:val="Unresolved Mention1"/>
    <w:basedOn w:val="DefaultParagraphFont"/>
    <w:uiPriority w:val="99"/>
    <w:semiHidden/>
    <w:unhideWhenUsed/>
    <w:rsid w:val="004C4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14633">
      <w:bodyDiv w:val="1"/>
      <w:marLeft w:val="0"/>
      <w:marRight w:val="0"/>
      <w:marTop w:val="0"/>
      <w:marBottom w:val="0"/>
      <w:divBdr>
        <w:top w:val="none" w:sz="0" w:space="0" w:color="auto"/>
        <w:left w:val="none" w:sz="0" w:space="0" w:color="auto"/>
        <w:bottom w:val="none" w:sz="0" w:space="0" w:color="auto"/>
        <w:right w:val="none" w:sz="0" w:space="0" w:color="auto"/>
      </w:divBdr>
    </w:div>
    <w:div w:id="90929526">
      <w:bodyDiv w:val="1"/>
      <w:marLeft w:val="0"/>
      <w:marRight w:val="0"/>
      <w:marTop w:val="0"/>
      <w:marBottom w:val="0"/>
      <w:divBdr>
        <w:top w:val="none" w:sz="0" w:space="0" w:color="auto"/>
        <w:left w:val="none" w:sz="0" w:space="0" w:color="auto"/>
        <w:bottom w:val="none" w:sz="0" w:space="0" w:color="auto"/>
        <w:right w:val="none" w:sz="0" w:space="0" w:color="auto"/>
      </w:divBdr>
    </w:div>
    <w:div w:id="444233422">
      <w:bodyDiv w:val="1"/>
      <w:marLeft w:val="0"/>
      <w:marRight w:val="0"/>
      <w:marTop w:val="0"/>
      <w:marBottom w:val="0"/>
      <w:divBdr>
        <w:top w:val="none" w:sz="0" w:space="0" w:color="auto"/>
        <w:left w:val="none" w:sz="0" w:space="0" w:color="auto"/>
        <w:bottom w:val="none" w:sz="0" w:space="0" w:color="auto"/>
        <w:right w:val="none" w:sz="0" w:space="0" w:color="auto"/>
      </w:divBdr>
    </w:div>
    <w:div w:id="445000319">
      <w:bodyDiv w:val="1"/>
      <w:marLeft w:val="0"/>
      <w:marRight w:val="0"/>
      <w:marTop w:val="0"/>
      <w:marBottom w:val="0"/>
      <w:divBdr>
        <w:top w:val="none" w:sz="0" w:space="0" w:color="auto"/>
        <w:left w:val="none" w:sz="0" w:space="0" w:color="auto"/>
        <w:bottom w:val="none" w:sz="0" w:space="0" w:color="auto"/>
        <w:right w:val="none" w:sz="0" w:space="0" w:color="auto"/>
      </w:divBdr>
    </w:div>
    <w:div w:id="903494937">
      <w:bodyDiv w:val="1"/>
      <w:marLeft w:val="0"/>
      <w:marRight w:val="0"/>
      <w:marTop w:val="0"/>
      <w:marBottom w:val="0"/>
      <w:divBdr>
        <w:top w:val="none" w:sz="0" w:space="0" w:color="auto"/>
        <w:left w:val="none" w:sz="0" w:space="0" w:color="auto"/>
        <w:bottom w:val="none" w:sz="0" w:space="0" w:color="auto"/>
        <w:right w:val="none" w:sz="0" w:space="0" w:color="auto"/>
      </w:divBdr>
    </w:div>
    <w:div w:id="1137257799">
      <w:bodyDiv w:val="1"/>
      <w:marLeft w:val="0"/>
      <w:marRight w:val="0"/>
      <w:marTop w:val="0"/>
      <w:marBottom w:val="0"/>
      <w:divBdr>
        <w:top w:val="none" w:sz="0" w:space="0" w:color="auto"/>
        <w:left w:val="none" w:sz="0" w:space="0" w:color="auto"/>
        <w:bottom w:val="none" w:sz="0" w:space="0" w:color="auto"/>
        <w:right w:val="none" w:sz="0" w:space="0" w:color="auto"/>
      </w:divBdr>
    </w:div>
    <w:div w:id="1289971182">
      <w:bodyDiv w:val="1"/>
      <w:marLeft w:val="0"/>
      <w:marRight w:val="0"/>
      <w:marTop w:val="0"/>
      <w:marBottom w:val="0"/>
      <w:divBdr>
        <w:top w:val="none" w:sz="0" w:space="0" w:color="auto"/>
        <w:left w:val="none" w:sz="0" w:space="0" w:color="auto"/>
        <w:bottom w:val="none" w:sz="0" w:space="0" w:color="auto"/>
        <w:right w:val="none" w:sz="0" w:space="0" w:color="auto"/>
      </w:divBdr>
    </w:div>
    <w:div w:id="1300724996">
      <w:bodyDiv w:val="1"/>
      <w:marLeft w:val="0"/>
      <w:marRight w:val="0"/>
      <w:marTop w:val="0"/>
      <w:marBottom w:val="0"/>
      <w:divBdr>
        <w:top w:val="none" w:sz="0" w:space="0" w:color="auto"/>
        <w:left w:val="none" w:sz="0" w:space="0" w:color="auto"/>
        <w:bottom w:val="none" w:sz="0" w:space="0" w:color="auto"/>
        <w:right w:val="none" w:sz="0" w:space="0" w:color="auto"/>
      </w:divBdr>
    </w:div>
    <w:div w:id="164981919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57330092">
      <w:bodyDiv w:val="1"/>
      <w:marLeft w:val="0"/>
      <w:marRight w:val="0"/>
      <w:marTop w:val="0"/>
      <w:marBottom w:val="0"/>
      <w:divBdr>
        <w:top w:val="none" w:sz="0" w:space="0" w:color="auto"/>
        <w:left w:val="none" w:sz="0" w:space="0" w:color="auto"/>
        <w:bottom w:val="none" w:sz="0" w:space="0" w:color="auto"/>
        <w:right w:val="none" w:sz="0" w:space="0" w:color="auto"/>
      </w:divBdr>
    </w:div>
    <w:div w:id="2062319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ongreso.gob.gt/assets/uploads/info_legislativo/dictamen/1243.pdf" TargetMode="External"/><Relationship Id="rId13" Type="http://schemas.openxmlformats.org/officeDocument/2006/relationships/hyperlink" Target="http://www.oas.org/es/cidh/expresion/informes/anuales.asp" TargetMode="External"/><Relationship Id="rId3" Type="http://schemas.openxmlformats.org/officeDocument/2006/relationships/hyperlink" Target="http://www.oas.org/es/cidh/docs/anual/2018/indice.asp" TargetMode="External"/><Relationship Id="rId7" Type="http://schemas.openxmlformats.org/officeDocument/2006/relationships/hyperlink" Target="https://www.cerigua.org/article/ausencia-de-legislacion-para-radios-comunitarias-a/" TargetMode="External"/><Relationship Id="rId12" Type="http://schemas.openxmlformats.org/officeDocument/2006/relationships/hyperlink" Target="http://www.cidh.oas.org/Comunicados/Spanish/2007/29.07sp.htm" TargetMode="External"/><Relationship Id="rId2" Type="http://schemas.openxmlformats.org/officeDocument/2006/relationships/hyperlink" Target="http://www.oas.org/es/cidh/informes/pdfs/Guatemala2017-es.pdf" TargetMode="External"/><Relationship Id="rId16" Type="http://schemas.openxmlformats.org/officeDocument/2006/relationships/hyperlink" Target="https://www.observacom.org/wp-content/uploads/2019/10/Libertad-a-Medias-Informe-2019-sobre-medios-comunitarios-y-libertad-de-expresio%CC%81n.pdf" TargetMode="External"/><Relationship Id="rId1" Type="http://schemas.openxmlformats.org/officeDocument/2006/relationships/hyperlink" Target="http://www.oas.org/es/cidh/informes/pdfs/Guatemala2016.pdf" TargetMode="External"/><Relationship Id="rId6" Type="http://schemas.openxmlformats.org/officeDocument/2006/relationships/hyperlink" Target="http://www.cidh.org/countryrep/Guatemala2003sp/indice.htm" TargetMode="External"/><Relationship Id="rId11" Type="http://schemas.openxmlformats.org/officeDocument/2006/relationships/hyperlink" Target="https://www.cidh.oas.org/basicos/declaracion.htm" TargetMode="External"/><Relationship Id="rId5" Type="http://schemas.openxmlformats.org/officeDocument/2006/relationships/hyperlink" Target="http://www.oas.org/es/cidh/expresion/informes/anuales.asp" TargetMode="External"/><Relationship Id="rId15" Type="http://schemas.openxmlformats.org/officeDocument/2006/relationships/hyperlink" Target="http://www.scjn.gob.mx" TargetMode="External"/><Relationship Id="rId10" Type="http://schemas.openxmlformats.org/officeDocument/2006/relationships/hyperlink" Target="http://www.oas.org/es/cidh/expresion/showarticle.asp?artID=719&amp;lID=2" TargetMode="External"/><Relationship Id="rId4" Type="http://schemas.openxmlformats.org/officeDocument/2006/relationships/hyperlink" Target="http://www.oas.org/es/cidh/expresion/docs/informes/anuales/2014_04_22_IA_2013_ESP_FINAL_WEB.pdf" TargetMode="External"/><Relationship Id="rId9" Type="http://schemas.openxmlformats.org/officeDocument/2006/relationships/hyperlink" Target="http://www.cidh.org/pdf%20files/Estandares%20para%20radiodifusion%20incluyente.pdf" TargetMode="External"/><Relationship Id="rId14" Type="http://schemas.openxmlformats.org/officeDocument/2006/relationships/hyperlink" Target="http://www.oas.org/es/cidh/expresion/informes/anuales.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D0C0D-5F44-4111-8F90-C52F7B14D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15025</Words>
  <Characters>85649</Characters>
  <Application>Microsoft Office Word</Application>
  <DocSecurity>0</DocSecurity>
  <Lines>713</Lines>
  <Paragraphs>200</Paragraphs>
  <ScaleCrop>false</ScaleCrop>
  <Company/>
  <LinksUpToDate>false</LinksUpToDate>
  <CharactersWithSpaces>100474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2020-11-03T16:17:00Z</dcterms:created>
  <dcterms:modified xsi:type="dcterms:W3CDTF">2020-11-03T16:17:00Z</dcterms:modified>
</cp:coreProperties>
</file>